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1F039A82" w:rsidR="006C43D7" w:rsidRPr="000F7813" w:rsidRDefault="00AD3D5D" w:rsidP="00C74E97">
      <w:pPr>
        <w:spacing w:after="120" w:line="360" w:lineRule="auto"/>
        <w:jc w:val="center"/>
        <w:rPr>
          <w:rFonts w:cs="Arial"/>
          <w:b/>
          <w:bCs/>
          <w:szCs w:val="22"/>
        </w:rPr>
      </w:pPr>
      <w:r w:rsidRPr="000F7813">
        <w:rPr>
          <w:rFonts w:cs="Arial"/>
          <w:b/>
          <w:bCs/>
          <w:szCs w:val="22"/>
        </w:rPr>
        <w:t xml:space="preserve"> </w:t>
      </w:r>
      <w:r w:rsidR="006C43D7" w:rsidRPr="000F7813">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F7813" w:rsidRDefault="006C43D7" w:rsidP="00C74E97">
      <w:pPr>
        <w:spacing w:line="360" w:lineRule="auto"/>
        <w:jc w:val="center"/>
        <w:rPr>
          <w:rFonts w:cs="Arial"/>
          <w:b/>
          <w:szCs w:val="22"/>
        </w:rPr>
      </w:pPr>
      <w:r w:rsidRPr="000F7813">
        <w:rPr>
          <w:rFonts w:cs="Arial"/>
          <w:b/>
          <w:szCs w:val="22"/>
        </w:rPr>
        <w:t xml:space="preserve">IN THE HIGH COURT OF SOUTH AFRICA, </w:t>
      </w:r>
    </w:p>
    <w:p w14:paraId="566C4D1B" w14:textId="77777777" w:rsidR="006C43D7" w:rsidRPr="000F7813" w:rsidRDefault="006C43D7" w:rsidP="00C74E97">
      <w:pPr>
        <w:spacing w:line="360" w:lineRule="auto"/>
        <w:jc w:val="center"/>
        <w:rPr>
          <w:rFonts w:cs="Arial"/>
          <w:b/>
          <w:szCs w:val="22"/>
        </w:rPr>
      </w:pPr>
      <w:r w:rsidRPr="000F7813">
        <w:rPr>
          <w:rFonts w:cs="Arial"/>
          <w:b/>
          <w:szCs w:val="22"/>
        </w:rPr>
        <w:t>GAUTENG DIVISION, JOHANNESBURG</w:t>
      </w:r>
    </w:p>
    <w:p w14:paraId="13D6E83E" w14:textId="77777777" w:rsidR="006C43D7" w:rsidRPr="000F7813" w:rsidRDefault="006C43D7" w:rsidP="00C74E97">
      <w:pPr>
        <w:spacing w:line="360" w:lineRule="auto"/>
        <w:jc w:val="both"/>
        <w:rPr>
          <w:rFonts w:cs="Arial"/>
          <w:b/>
          <w:szCs w:val="22"/>
        </w:rPr>
      </w:pPr>
    </w:p>
    <w:p w14:paraId="0AF8DD38" w14:textId="2C92EA0D" w:rsidR="006C43D7" w:rsidRPr="000F7813" w:rsidRDefault="00F913C7" w:rsidP="00C74E97">
      <w:pPr>
        <w:spacing w:line="360" w:lineRule="auto"/>
        <w:jc w:val="right"/>
        <w:rPr>
          <w:rFonts w:cs="Arial"/>
          <w:b/>
          <w:szCs w:val="22"/>
        </w:rPr>
      </w:pPr>
      <w:r w:rsidRPr="000F7813">
        <w:rPr>
          <w:rFonts w:cs="Arial"/>
          <w:b/>
          <w:szCs w:val="22"/>
        </w:rPr>
        <w:t xml:space="preserve">CASE NO: </w:t>
      </w:r>
      <w:r w:rsidR="005F602F">
        <w:rPr>
          <w:noProof/>
          <w:lang w:val="en-US"/>
        </w:rPr>
        <mc:AlternateContent>
          <mc:Choice Requires="wps">
            <w:drawing>
              <wp:anchor distT="0" distB="0" distL="114300" distR="114300" simplePos="0" relativeHeight="251659264" behindDoc="0" locked="0" layoutInCell="1" allowOverlap="1" wp14:anchorId="15401FE8" wp14:editId="5C290432">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11C07600" w:rsidR="00893C08" w:rsidRDefault="00355CCC" w:rsidP="00355CCC">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F5D23">
                              <w:rPr>
                                <w:rFonts w:ascii="Century Gothic" w:hAnsi="Century Gothic"/>
                                <w:sz w:val="20"/>
                                <w:szCs w:val="20"/>
                              </w:rPr>
                              <w:t>NO</w:t>
                            </w:r>
                          </w:p>
                          <w:p w14:paraId="3A4C7296" w14:textId="1DDBBBCD" w:rsidR="00893C08" w:rsidRDefault="00355CCC" w:rsidP="00355CCC">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F913C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1FE8"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11C07600" w:rsidR="00893C08" w:rsidRDefault="00355CCC" w:rsidP="00355CCC">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F5D23">
                        <w:rPr>
                          <w:rFonts w:ascii="Century Gothic" w:hAnsi="Century Gothic"/>
                          <w:sz w:val="20"/>
                          <w:szCs w:val="20"/>
                        </w:rPr>
                        <w:t>NO</w:t>
                      </w:r>
                    </w:p>
                    <w:p w14:paraId="3A4C7296" w14:textId="1DDBBBCD" w:rsidR="00893C08" w:rsidRDefault="00355CCC" w:rsidP="00355CCC">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F913C7">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236E47">
        <w:rPr>
          <w:rFonts w:cs="Arial"/>
          <w:b/>
          <w:szCs w:val="22"/>
        </w:rPr>
        <w:t>202</w:t>
      </w:r>
      <w:r w:rsidR="00515FD8">
        <w:rPr>
          <w:rFonts w:cs="Arial"/>
          <w:b/>
          <w:szCs w:val="22"/>
        </w:rPr>
        <w:t>3 - 082132</w:t>
      </w:r>
    </w:p>
    <w:p w14:paraId="084B5ECD" w14:textId="77777777" w:rsidR="006C43D7" w:rsidRPr="000F7813" w:rsidRDefault="006C43D7" w:rsidP="00C74E97">
      <w:pPr>
        <w:spacing w:line="360" w:lineRule="auto"/>
        <w:jc w:val="both"/>
        <w:rPr>
          <w:rFonts w:cs="Arial"/>
          <w:szCs w:val="22"/>
        </w:rPr>
      </w:pPr>
    </w:p>
    <w:p w14:paraId="4E808D74" w14:textId="77777777" w:rsidR="006C43D7" w:rsidRPr="000F7813" w:rsidRDefault="006C43D7" w:rsidP="00C74E97">
      <w:pPr>
        <w:spacing w:line="360" w:lineRule="auto"/>
        <w:jc w:val="both"/>
        <w:rPr>
          <w:rFonts w:cs="Arial"/>
          <w:szCs w:val="22"/>
        </w:rPr>
      </w:pPr>
    </w:p>
    <w:p w14:paraId="34BF70B6" w14:textId="77777777" w:rsidR="006C43D7" w:rsidRPr="000F7813" w:rsidRDefault="006C43D7" w:rsidP="00C74E97">
      <w:pPr>
        <w:spacing w:line="360" w:lineRule="auto"/>
        <w:jc w:val="both"/>
        <w:rPr>
          <w:rFonts w:cs="Arial"/>
          <w:szCs w:val="22"/>
        </w:rPr>
      </w:pPr>
    </w:p>
    <w:p w14:paraId="2F53BA3A" w14:textId="77777777" w:rsidR="006C43D7" w:rsidRPr="000F7813" w:rsidRDefault="006C43D7" w:rsidP="00C74E97">
      <w:pPr>
        <w:spacing w:line="360" w:lineRule="auto"/>
        <w:jc w:val="both"/>
        <w:rPr>
          <w:rFonts w:cs="Arial"/>
          <w:szCs w:val="22"/>
        </w:rPr>
      </w:pPr>
    </w:p>
    <w:p w14:paraId="3A1C212E" w14:textId="77777777" w:rsidR="006C43D7" w:rsidRPr="000F7813" w:rsidRDefault="006C43D7" w:rsidP="00C74E97">
      <w:pPr>
        <w:spacing w:line="360" w:lineRule="auto"/>
        <w:jc w:val="both"/>
        <w:rPr>
          <w:rFonts w:cs="Arial"/>
          <w:szCs w:val="22"/>
        </w:rPr>
      </w:pPr>
    </w:p>
    <w:p w14:paraId="04919B1B" w14:textId="77777777" w:rsidR="001D3CC2" w:rsidRPr="000F7813" w:rsidRDefault="001D3CC2" w:rsidP="00C74E97">
      <w:pPr>
        <w:spacing w:line="360" w:lineRule="auto"/>
        <w:jc w:val="both"/>
        <w:rPr>
          <w:rFonts w:cs="Arial"/>
          <w:szCs w:val="22"/>
        </w:rPr>
      </w:pPr>
    </w:p>
    <w:p w14:paraId="045D3852" w14:textId="77777777" w:rsidR="00E57446" w:rsidRPr="000F7813" w:rsidRDefault="00E57446" w:rsidP="00C74E97">
      <w:pPr>
        <w:spacing w:line="360" w:lineRule="auto"/>
        <w:jc w:val="both"/>
        <w:rPr>
          <w:rFonts w:cs="Arial"/>
          <w:szCs w:val="22"/>
        </w:rPr>
      </w:pPr>
    </w:p>
    <w:p w14:paraId="2804C32A" w14:textId="6C8D50AF" w:rsidR="00E57446" w:rsidRPr="000F7813" w:rsidRDefault="00E57446" w:rsidP="00C74E97">
      <w:pPr>
        <w:spacing w:line="360" w:lineRule="auto"/>
        <w:jc w:val="both"/>
        <w:rPr>
          <w:rFonts w:cs="Arial"/>
          <w:szCs w:val="22"/>
        </w:rPr>
      </w:pPr>
      <w:r w:rsidRPr="000F7813">
        <w:rPr>
          <w:rFonts w:cs="Arial"/>
          <w:szCs w:val="22"/>
        </w:rPr>
        <w:t>In the application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7"/>
        <w:gridCol w:w="2244"/>
      </w:tblGrid>
      <w:tr w:rsidR="00E57446" w:rsidRPr="000F7813" w14:paraId="4CBFF906" w14:textId="77777777" w:rsidTr="000F00EF">
        <w:tc>
          <w:tcPr>
            <w:tcW w:w="6297" w:type="dxa"/>
          </w:tcPr>
          <w:p w14:paraId="07466740" w14:textId="1BC826B2" w:rsidR="00E57446" w:rsidRPr="000F7813" w:rsidRDefault="00515FD8" w:rsidP="006D5E45">
            <w:pPr>
              <w:spacing w:line="360" w:lineRule="auto"/>
              <w:rPr>
                <w:rFonts w:cs="Arial"/>
                <w:b/>
                <w:szCs w:val="22"/>
              </w:rPr>
            </w:pPr>
            <w:bookmarkStart w:id="0" w:name="_GoBack"/>
            <w:r>
              <w:rPr>
                <w:rFonts w:cs="Arial"/>
                <w:b/>
                <w:szCs w:val="22"/>
              </w:rPr>
              <w:t>KOEKEMOER,</w:t>
            </w:r>
            <w:bookmarkEnd w:id="0"/>
            <w:r>
              <w:rPr>
                <w:rFonts w:cs="Arial"/>
                <w:b/>
                <w:szCs w:val="22"/>
              </w:rPr>
              <w:t xml:space="preserve"> HENDRIK LAMBERT</w:t>
            </w:r>
          </w:p>
        </w:tc>
        <w:tc>
          <w:tcPr>
            <w:tcW w:w="2244" w:type="dxa"/>
          </w:tcPr>
          <w:p w14:paraId="32F3C456" w14:textId="2B53A814" w:rsidR="00E57446" w:rsidRPr="000F7813" w:rsidRDefault="00515FD8" w:rsidP="00893C08">
            <w:pPr>
              <w:spacing w:line="360" w:lineRule="auto"/>
              <w:rPr>
                <w:rFonts w:cs="Arial"/>
                <w:szCs w:val="22"/>
              </w:rPr>
            </w:pPr>
            <w:r>
              <w:rPr>
                <w:rFonts w:cs="Arial"/>
                <w:szCs w:val="22"/>
              </w:rPr>
              <w:t xml:space="preserve">First </w:t>
            </w:r>
            <w:r w:rsidR="00E57446" w:rsidRPr="000F7813">
              <w:rPr>
                <w:rFonts w:cs="Arial"/>
                <w:szCs w:val="22"/>
              </w:rPr>
              <w:t>Applicant</w:t>
            </w:r>
          </w:p>
        </w:tc>
      </w:tr>
      <w:tr w:rsidR="00E57446" w:rsidRPr="000F7813" w14:paraId="582D8E94" w14:textId="77777777" w:rsidTr="000F00EF">
        <w:tc>
          <w:tcPr>
            <w:tcW w:w="6297" w:type="dxa"/>
          </w:tcPr>
          <w:p w14:paraId="7BC13697" w14:textId="62D6B465" w:rsidR="00E57446" w:rsidRPr="000F00EF" w:rsidRDefault="000F00EF" w:rsidP="006D5E45">
            <w:pPr>
              <w:spacing w:line="360" w:lineRule="auto"/>
              <w:rPr>
                <w:rFonts w:cs="Arial"/>
                <w:b/>
                <w:bCs/>
                <w:szCs w:val="22"/>
              </w:rPr>
            </w:pPr>
            <w:r w:rsidRPr="000F00EF">
              <w:rPr>
                <w:rFonts w:cs="Arial"/>
                <w:b/>
                <w:bCs/>
                <w:szCs w:val="22"/>
              </w:rPr>
              <w:t>AMILKE HOLDINGS (PTY) LTD</w:t>
            </w:r>
          </w:p>
        </w:tc>
        <w:tc>
          <w:tcPr>
            <w:tcW w:w="2244" w:type="dxa"/>
          </w:tcPr>
          <w:p w14:paraId="3E582FC6" w14:textId="3C9ECD46" w:rsidR="00E57446" w:rsidRPr="000F7813" w:rsidRDefault="000F00EF" w:rsidP="000F00EF">
            <w:pPr>
              <w:spacing w:line="360" w:lineRule="auto"/>
              <w:rPr>
                <w:rFonts w:cs="Arial"/>
                <w:szCs w:val="22"/>
              </w:rPr>
            </w:pPr>
            <w:r>
              <w:rPr>
                <w:rFonts w:cs="Arial"/>
                <w:szCs w:val="22"/>
              </w:rPr>
              <w:t>Second Applicant</w:t>
            </w:r>
          </w:p>
        </w:tc>
      </w:tr>
      <w:tr w:rsidR="00E57446" w:rsidRPr="000F7813" w14:paraId="143F83E0" w14:textId="77777777" w:rsidTr="000F00EF">
        <w:tc>
          <w:tcPr>
            <w:tcW w:w="6297" w:type="dxa"/>
          </w:tcPr>
          <w:p w14:paraId="66C3A0D3" w14:textId="0C9683B8" w:rsidR="00E57446" w:rsidRPr="000F7813" w:rsidRDefault="003B11F4" w:rsidP="006D5E45">
            <w:pPr>
              <w:spacing w:line="360" w:lineRule="auto"/>
              <w:rPr>
                <w:rFonts w:cs="Arial"/>
                <w:b/>
                <w:szCs w:val="22"/>
              </w:rPr>
            </w:pPr>
            <w:r w:rsidRPr="000F7813">
              <w:rPr>
                <w:rFonts w:cs="Arial"/>
                <w:szCs w:val="22"/>
              </w:rPr>
              <w:t>A</w:t>
            </w:r>
            <w:r w:rsidR="00515FD8" w:rsidRPr="000F7813">
              <w:rPr>
                <w:rFonts w:cs="Arial"/>
                <w:szCs w:val="22"/>
              </w:rPr>
              <w:t>nd</w:t>
            </w:r>
          </w:p>
        </w:tc>
        <w:tc>
          <w:tcPr>
            <w:tcW w:w="2244" w:type="dxa"/>
          </w:tcPr>
          <w:p w14:paraId="79FDAF6B" w14:textId="43AB6013" w:rsidR="00E57446" w:rsidRPr="000F7813" w:rsidRDefault="00E57446" w:rsidP="00893C08">
            <w:pPr>
              <w:spacing w:line="360" w:lineRule="auto"/>
              <w:rPr>
                <w:rFonts w:cs="Arial"/>
                <w:szCs w:val="22"/>
              </w:rPr>
            </w:pPr>
          </w:p>
        </w:tc>
      </w:tr>
      <w:tr w:rsidR="000F00EF" w:rsidRPr="000F7813" w14:paraId="72126C43" w14:textId="77777777" w:rsidTr="000F00EF">
        <w:tc>
          <w:tcPr>
            <w:tcW w:w="6297" w:type="dxa"/>
          </w:tcPr>
          <w:p w14:paraId="35C8FDE9" w14:textId="062DBBE7" w:rsidR="000F00EF" w:rsidRPr="000F00EF" w:rsidRDefault="000F00EF" w:rsidP="000F00EF">
            <w:pPr>
              <w:spacing w:line="360" w:lineRule="auto"/>
              <w:rPr>
                <w:rFonts w:cs="Arial"/>
                <w:b/>
                <w:bCs/>
                <w:szCs w:val="22"/>
              </w:rPr>
            </w:pPr>
            <w:r w:rsidRPr="000F00EF">
              <w:rPr>
                <w:rFonts w:cs="Arial"/>
                <w:b/>
                <w:bCs/>
                <w:szCs w:val="22"/>
              </w:rPr>
              <w:t>VIRTUAL BENEFIT SOLUTIONS TECH (PTY) LTD</w:t>
            </w:r>
          </w:p>
        </w:tc>
        <w:tc>
          <w:tcPr>
            <w:tcW w:w="2244" w:type="dxa"/>
          </w:tcPr>
          <w:p w14:paraId="7AC1A636" w14:textId="20633D0C" w:rsidR="000F00EF" w:rsidRPr="000F7813" w:rsidRDefault="000F00EF" w:rsidP="000F00EF">
            <w:pPr>
              <w:spacing w:line="360" w:lineRule="auto"/>
              <w:rPr>
                <w:rFonts w:cs="Arial"/>
                <w:szCs w:val="22"/>
              </w:rPr>
            </w:pPr>
            <w:r>
              <w:rPr>
                <w:rFonts w:cs="Arial"/>
                <w:szCs w:val="22"/>
              </w:rPr>
              <w:t xml:space="preserve">First </w:t>
            </w:r>
            <w:r w:rsidRPr="000F7813">
              <w:rPr>
                <w:rFonts w:cs="Arial"/>
                <w:szCs w:val="22"/>
              </w:rPr>
              <w:t>Respondent</w:t>
            </w:r>
          </w:p>
        </w:tc>
      </w:tr>
      <w:tr w:rsidR="000F00EF" w:rsidRPr="000F7813" w14:paraId="5E2E11F1" w14:textId="77777777" w:rsidTr="000F00EF">
        <w:tc>
          <w:tcPr>
            <w:tcW w:w="6297" w:type="dxa"/>
          </w:tcPr>
          <w:p w14:paraId="3E1783E7" w14:textId="33D8BFCB" w:rsidR="000F00EF" w:rsidRPr="000F00EF" w:rsidRDefault="000F00EF" w:rsidP="000F00EF">
            <w:pPr>
              <w:spacing w:line="360" w:lineRule="auto"/>
              <w:rPr>
                <w:rFonts w:cs="Arial"/>
                <w:b/>
                <w:bCs/>
                <w:szCs w:val="22"/>
              </w:rPr>
            </w:pPr>
            <w:r w:rsidRPr="000F00EF">
              <w:rPr>
                <w:rFonts w:cs="Arial"/>
                <w:b/>
                <w:bCs/>
                <w:szCs w:val="22"/>
              </w:rPr>
              <w:t>AMILKE SOUTH AFRICA (PTY) LTD</w:t>
            </w:r>
          </w:p>
        </w:tc>
        <w:tc>
          <w:tcPr>
            <w:tcW w:w="2244" w:type="dxa"/>
          </w:tcPr>
          <w:p w14:paraId="272C00F9" w14:textId="31844F6B" w:rsidR="000F00EF" w:rsidRPr="000F7813" w:rsidRDefault="000F00EF" w:rsidP="000F00EF">
            <w:pPr>
              <w:spacing w:line="360" w:lineRule="auto"/>
              <w:rPr>
                <w:rFonts w:cs="Arial"/>
                <w:szCs w:val="22"/>
              </w:rPr>
            </w:pPr>
            <w:r>
              <w:rPr>
                <w:rFonts w:cs="Arial"/>
                <w:szCs w:val="22"/>
              </w:rPr>
              <w:t>Second Respondent</w:t>
            </w:r>
          </w:p>
        </w:tc>
      </w:tr>
    </w:tbl>
    <w:p w14:paraId="25A9B909" w14:textId="77777777" w:rsidR="00C1108E" w:rsidRPr="000F7813" w:rsidRDefault="00C1108E" w:rsidP="00C1108E">
      <w:pPr>
        <w:spacing w:line="360" w:lineRule="auto"/>
        <w:jc w:val="both"/>
        <w:rPr>
          <w:rFonts w:cs="Arial"/>
          <w:b/>
          <w:szCs w:val="22"/>
        </w:rPr>
      </w:pPr>
    </w:p>
    <w:p w14:paraId="73A7E259" w14:textId="77777777" w:rsidR="00C1108E" w:rsidRPr="000F7813" w:rsidRDefault="00C1108E" w:rsidP="00C74E97">
      <w:pPr>
        <w:pBdr>
          <w:bottom w:val="single" w:sz="4" w:space="1" w:color="auto"/>
        </w:pBdr>
        <w:spacing w:line="360" w:lineRule="auto"/>
        <w:jc w:val="both"/>
        <w:rPr>
          <w:rFonts w:cs="Arial"/>
          <w:szCs w:val="22"/>
        </w:rPr>
      </w:pPr>
    </w:p>
    <w:p w14:paraId="58DE5549" w14:textId="77777777" w:rsidR="006C43D7" w:rsidRPr="000F7813" w:rsidRDefault="006C43D7" w:rsidP="00C74E97">
      <w:pPr>
        <w:spacing w:line="360" w:lineRule="auto"/>
        <w:jc w:val="both"/>
        <w:rPr>
          <w:rFonts w:cs="Arial"/>
          <w:szCs w:val="22"/>
        </w:rPr>
      </w:pPr>
    </w:p>
    <w:p w14:paraId="647AB70C" w14:textId="77777777" w:rsidR="006C43D7" w:rsidRPr="000F7813" w:rsidRDefault="006C43D7" w:rsidP="00C74E97">
      <w:pPr>
        <w:keepNext/>
        <w:spacing w:line="360" w:lineRule="auto"/>
        <w:jc w:val="center"/>
        <w:outlineLvl w:val="1"/>
        <w:rPr>
          <w:rFonts w:cs="Arial"/>
          <w:b/>
          <w:bCs/>
          <w:szCs w:val="22"/>
        </w:rPr>
      </w:pPr>
      <w:r w:rsidRPr="000F7813">
        <w:rPr>
          <w:rFonts w:cs="Arial"/>
          <w:b/>
          <w:bCs/>
          <w:szCs w:val="22"/>
        </w:rPr>
        <w:t>JUDGMENT</w:t>
      </w:r>
    </w:p>
    <w:p w14:paraId="52CD25EB" w14:textId="77777777" w:rsidR="006C43D7" w:rsidRPr="000F7813" w:rsidRDefault="006C43D7" w:rsidP="00C74E97">
      <w:pPr>
        <w:pBdr>
          <w:bottom w:val="single" w:sz="4" w:space="1" w:color="auto"/>
        </w:pBdr>
        <w:spacing w:line="360" w:lineRule="auto"/>
        <w:jc w:val="both"/>
        <w:rPr>
          <w:rFonts w:cs="Arial"/>
          <w:szCs w:val="22"/>
        </w:rPr>
      </w:pPr>
    </w:p>
    <w:p w14:paraId="0CA76DA1" w14:textId="77777777" w:rsidR="00DC621D" w:rsidRPr="000F7813" w:rsidRDefault="00DC621D" w:rsidP="00C74E97">
      <w:pPr>
        <w:spacing w:line="360" w:lineRule="auto"/>
        <w:jc w:val="both"/>
        <w:rPr>
          <w:rFonts w:cs="Arial"/>
          <w:b/>
          <w:szCs w:val="22"/>
        </w:rPr>
      </w:pPr>
    </w:p>
    <w:p w14:paraId="5BD82EFE" w14:textId="0F8FBF70" w:rsidR="00BE6AB8" w:rsidRPr="000F7813" w:rsidRDefault="00C676F3" w:rsidP="00C74E97">
      <w:pPr>
        <w:spacing w:after="480" w:line="360" w:lineRule="auto"/>
        <w:jc w:val="both"/>
        <w:rPr>
          <w:rFonts w:cs="Arial"/>
          <w:b/>
          <w:szCs w:val="22"/>
        </w:rPr>
      </w:pPr>
      <w:r w:rsidRPr="000F7813">
        <w:rPr>
          <w:rFonts w:cs="Arial"/>
          <w:b/>
          <w:szCs w:val="22"/>
        </w:rPr>
        <w:t>MOORCROFT</w:t>
      </w:r>
      <w:r w:rsidR="006C43D7" w:rsidRPr="000F7813">
        <w:rPr>
          <w:rFonts w:cs="Arial"/>
          <w:b/>
          <w:szCs w:val="22"/>
        </w:rPr>
        <w:t xml:space="preserve"> AJ:</w:t>
      </w:r>
    </w:p>
    <w:p w14:paraId="09239A78" w14:textId="205827F2" w:rsidR="00C460A0" w:rsidRPr="000F7813" w:rsidRDefault="00C460A0" w:rsidP="00C74E97">
      <w:pPr>
        <w:keepNext/>
        <w:spacing w:after="480" w:line="360" w:lineRule="auto"/>
        <w:jc w:val="both"/>
        <w:rPr>
          <w:rFonts w:cs="Arial"/>
          <w:bCs/>
          <w:i/>
          <w:iCs/>
          <w:szCs w:val="22"/>
          <w:u w:val="single"/>
        </w:rPr>
      </w:pPr>
      <w:r w:rsidRPr="000F7813">
        <w:rPr>
          <w:rFonts w:cs="Arial"/>
          <w:bCs/>
          <w:i/>
          <w:iCs/>
          <w:szCs w:val="22"/>
          <w:u w:val="single"/>
        </w:rPr>
        <w:lastRenderedPageBreak/>
        <w:t>Summary</w:t>
      </w:r>
    </w:p>
    <w:p w14:paraId="26BBAC6B" w14:textId="4F4AB08B" w:rsidR="000F00EF" w:rsidRDefault="00686C3F" w:rsidP="00C74E97">
      <w:pPr>
        <w:keepNext/>
        <w:spacing w:after="480" w:line="360" w:lineRule="auto"/>
        <w:jc w:val="both"/>
        <w:rPr>
          <w:rFonts w:cs="Arial"/>
          <w:bCs/>
          <w:i/>
          <w:iCs/>
          <w:szCs w:val="22"/>
        </w:rPr>
      </w:pPr>
      <w:r>
        <w:rPr>
          <w:rFonts w:cs="Arial"/>
          <w:bCs/>
          <w:i/>
          <w:iCs/>
          <w:szCs w:val="22"/>
        </w:rPr>
        <w:t>Reconsideration of interim interdict in terms of Rule 6(12</w:t>
      </w:r>
      <w:proofErr w:type="gramStart"/>
      <w:r>
        <w:rPr>
          <w:rFonts w:cs="Arial"/>
          <w:bCs/>
          <w:i/>
          <w:iCs/>
          <w:szCs w:val="22"/>
        </w:rPr>
        <w:t>)(</w:t>
      </w:r>
      <w:proofErr w:type="gramEnd"/>
      <w:r>
        <w:rPr>
          <w:rFonts w:cs="Arial"/>
          <w:bCs/>
          <w:i/>
          <w:iCs/>
          <w:szCs w:val="22"/>
        </w:rPr>
        <w:t>c) – de novo hearing</w:t>
      </w:r>
    </w:p>
    <w:p w14:paraId="2F75901C" w14:textId="17A7A626" w:rsidR="00686C3F" w:rsidRDefault="00686C3F" w:rsidP="00C74E97">
      <w:pPr>
        <w:keepNext/>
        <w:spacing w:after="480" w:line="360" w:lineRule="auto"/>
        <w:jc w:val="both"/>
        <w:rPr>
          <w:rFonts w:cs="Arial"/>
          <w:bCs/>
          <w:i/>
          <w:iCs/>
          <w:szCs w:val="22"/>
        </w:rPr>
      </w:pPr>
      <w:r>
        <w:rPr>
          <w:rFonts w:cs="Arial"/>
          <w:bCs/>
          <w:i/>
          <w:iCs/>
          <w:szCs w:val="22"/>
        </w:rPr>
        <w:t>No case made out by applicants</w:t>
      </w:r>
      <w:r w:rsidR="00A35CE6">
        <w:rPr>
          <w:rFonts w:cs="Arial"/>
          <w:bCs/>
          <w:i/>
          <w:iCs/>
          <w:szCs w:val="22"/>
        </w:rPr>
        <w:t xml:space="preserve"> – application brought on behalf of applicant that was not a party to the agreement relied upon and not entitled to cancel the agreement</w:t>
      </w:r>
    </w:p>
    <w:p w14:paraId="6FEEA1E2" w14:textId="77777777" w:rsidR="00D65571" w:rsidRPr="000F7813" w:rsidRDefault="00D65571" w:rsidP="00C74E97">
      <w:pPr>
        <w:keepNext/>
        <w:spacing w:after="480" w:line="360" w:lineRule="auto"/>
        <w:jc w:val="both"/>
        <w:rPr>
          <w:rFonts w:cs="Arial"/>
          <w:bCs/>
          <w:szCs w:val="22"/>
          <w:u w:val="single"/>
        </w:rPr>
      </w:pPr>
    </w:p>
    <w:p w14:paraId="18AFD427" w14:textId="7B3D0B7D" w:rsidR="00BE6AB8" w:rsidRPr="000F7813" w:rsidRDefault="00BE6AB8" w:rsidP="00C74E97">
      <w:pPr>
        <w:keepNext/>
        <w:spacing w:after="480" w:line="360" w:lineRule="auto"/>
        <w:jc w:val="both"/>
        <w:rPr>
          <w:rFonts w:cs="Arial"/>
          <w:bCs/>
          <w:szCs w:val="22"/>
          <w:u w:val="single"/>
        </w:rPr>
      </w:pPr>
      <w:r w:rsidRPr="000F7813">
        <w:rPr>
          <w:rFonts w:cs="Arial"/>
          <w:bCs/>
          <w:szCs w:val="22"/>
          <w:u w:val="single"/>
        </w:rPr>
        <w:t>Order</w:t>
      </w:r>
    </w:p>
    <w:p w14:paraId="63515C87" w14:textId="5F641738" w:rsidR="004E3D0E" w:rsidRPr="00AD4080" w:rsidRDefault="00355CCC" w:rsidP="00355CCC">
      <w:pPr>
        <w:tabs>
          <w:tab w:val="left" w:pos="567"/>
        </w:tabs>
        <w:spacing w:after="480" w:line="360" w:lineRule="auto"/>
        <w:jc w:val="both"/>
        <w:rPr>
          <w:rFonts w:cs="Arial"/>
          <w:i/>
          <w:iCs/>
          <w:szCs w:val="22"/>
        </w:rPr>
      </w:pPr>
      <w:r w:rsidRPr="00AD4080">
        <w:rPr>
          <w:rFonts w:cs="Arial"/>
          <w:iCs/>
          <w:szCs w:val="22"/>
        </w:rPr>
        <w:t>[1]</w:t>
      </w:r>
      <w:r w:rsidRPr="00AD4080">
        <w:rPr>
          <w:rFonts w:cs="Arial"/>
          <w:iCs/>
          <w:szCs w:val="22"/>
        </w:rPr>
        <w:tab/>
      </w:r>
      <w:r w:rsidR="003B4100" w:rsidRPr="000F7813">
        <w:rPr>
          <w:rFonts w:cs="Arial"/>
          <w:bCs/>
          <w:szCs w:val="22"/>
        </w:rPr>
        <w:t xml:space="preserve">In this </w:t>
      </w:r>
      <w:r w:rsidR="00B56906" w:rsidRPr="000F7813">
        <w:rPr>
          <w:rFonts w:cs="Arial"/>
          <w:bCs/>
          <w:szCs w:val="22"/>
        </w:rPr>
        <w:t xml:space="preserve">matter </w:t>
      </w:r>
      <w:r w:rsidR="00C460A0" w:rsidRPr="000F7813">
        <w:rPr>
          <w:rFonts w:cs="Arial"/>
          <w:bCs/>
          <w:szCs w:val="22"/>
        </w:rPr>
        <w:t>I ma</w:t>
      </w:r>
      <w:r w:rsidR="00F913C7" w:rsidRPr="000F7813">
        <w:rPr>
          <w:rFonts w:cs="Arial"/>
          <w:bCs/>
          <w:szCs w:val="22"/>
        </w:rPr>
        <w:t>k</w:t>
      </w:r>
      <w:r w:rsidR="00DC6EF8" w:rsidRPr="000F7813">
        <w:rPr>
          <w:rFonts w:cs="Arial"/>
          <w:bCs/>
          <w:szCs w:val="22"/>
        </w:rPr>
        <w:t>e</w:t>
      </w:r>
      <w:r w:rsidR="00C460A0" w:rsidRPr="000F7813">
        <w:rPr>
          <w:rFonts w:cs="Arial"/>
          <w:bCs/>
          <w:szCs w:val="22"/>
        </w:rPr>
        <w:t xml:space="preserve"> the following order</w:t>
      </w:r>
      <w:r w:rsidR="00F913C7" w:rsidRPr="000F7813">
        <w:rPr>
          <w:rFonts w:cs="Arial"/>
          <w:bCs/>
          <w:szCs w:val="22"/>
        </w:rPr>
        <w:t>:</w:t>
      </w:r>
    </w:p>
    <w:p w14:paraId="1E3C98A7" w14:textId="0B47DFDF" w:rsidR="00AD4080" w:rsidRPr="00355CCC" w:rsidRDefault="00355CCC" w:rsidP="00355CCC">
      <w:pPr>
        <w:spacing w:after="480" w:line="360" w:lineRule="auto"/>
        <w:ind w:left="720" w:hanging="360"/>
        <w:jc w:val="both"/>
        <w:rPr>
          <w:rFonts w:cs="Arial"/>
          <w:i/>
          <w:iCs/>
          <w:szCs w:val="22"/>
        </w:rPr>
      </w:pPr>
      <w:r>
        <w:rPr>
          <w:rFonts w:cs="Arial"/>
          <w:i/>
          <w:iCs/>
          <w:szCs w:val="22"/>
        </w:rPr>
        <w:t>1.</w:t>
      </w:r>
      <w:r>
        <w:rPr>
          <w:rFonts w:cs="Arial"/>
          <w:i/>
          <w:iCs/>
          <w:szCs w:val="22"/>
        </w:rPr>
        <w:tab/>
      </w:r>
      <w:r w:rsidR="00AD4080" w:rsidRPr="00355CCC">
        <w:rPr>
          <w:rFonts w:cs="Arial"/>
          <w:i/>
          <w:iCs/>
          <w:szCs w:val="22"/>
        </w:rPr>
        <w:t>The order granted on 18 August 2023 is discharged;</w:t>
      </w:r>
    </w:p>
    <w:p w14:paraId="3DF9134B" w14:textId="00476DB9" w:rsidR="00E41B67" w:rsidRPr="00355CCC" w:rsidRDefault="00355CCC" w:rsidP="00355CCC">
      <w:pPr>
        <w:spacing w:after="480" w:line="360" w:lineRule="auto"/>
        <w:ind w:left="720" w:hanging="360"/>
        <w:jc w:val="both"/>
        <w:rPr>
          <w:rFonts w:cs="Arial"/>
          <w:i/>
          <w:iCs/>
          <w:szCs w:val="22"/>
        </w:rPr>
      </w:pPr>
      <w:r>
        <w:rPr>
          <w:rFonts w:cs="Arial"/>
          <w:i/>
          <w:iCs/>
          <w:szCs w:val="22"/>
        </w:rPr>
        <w:t>2.</w:t>
      </w:r>
      <w:r>
        <w:rPr>
          <w:rFonts w:cs="Arial"/>
          <w:i/>
          <w:iCs/>
          <w:szCs w:val="22"/>
        </w:rPr>
        <w:tab/>
      </w:r>
      <w:r w:rsidR="00E41B67" w:rsidRPr="00355CCC">
        <w:rPr>
          <w:rFonts w:cs="Arial"/>
          <w:i/>
          <w:iCs/>
          <w:szCs w:val="22"/>
        </w:rPr>
        <w:t>The application is dismissed;</w:t>
      </w:r>
    </w:p>
    <w:p w14:paraId="4E1E5FF0" w14:textId="1107E5CE" w:rsidR="00AD4080" w:rsidRPr="00355CCC" w:rsidRDefault="00355CCC" w:rsidP="00355CCC">
      <w:pPr>
        <w:spacing w:after="480" w:line="360" w:lineRule="auto"/>
        <w:ind w:left="720" w:hanging="360"/>
        <w:jc w:val="both"/>
        <w:rPr>
          <w:rFonts w:cs="Arial"/>
          <w:i/>
          <w:iCs/>
          <w:szCs w:val="22"/>
        </w:rPr>
      </w:pPr>
      <w:r>
        <w:rPr>
          <w:rFonts w:cs="Arial"/>
          <w:i/>
          <w:iCs/>
          <w:szCs w:val="22"/>
        </w:rPr>
        <w:t>3.</w:t>
      </w:r>
      <w:r>
        <w:rPr>
          <w:rFonts w:cs="Arial"/>
          <w:i/>
          <w:iCs/>
          <w:szCs w:val="22"/>
        </w:rPr>
        <w:tab/>
      </w:r>
      <w:r w:rsidR="00AD4080" w:rsidRPr="00355CCC">
        <w:rPr>
          <w:rFonts w:cs="Arial"/>
          <w:i/>
          <w:iCs/>
          <w:szCs w:val="22"/>
        </w:rPr>
        <w:t xml:space="preserve">The applicants are ordered to pay the costs of the first respondent, jointly and severally the one paying the other to be absolved. </w:t>
      </w:r>
    </w:p>
    <w:p w14:paraId="355B5719" w14:textId="77777777" w:rsidR="00AD4080" w:rsidRPr="00AD4080" w:rsidRDefault="00AD4080" w:rsidP="00AD4080">
      <w:pPr>
        <w:spacing w:after="480" w:line="360" w:lineRule="auto"/>
        <w:jc w:val="both"/>
        <w:rPr>
          <w:rFonts w:cs="Arial"/>
          <w:i/>
          <w:iCs/>
          <w:szCs w:val="22"/>
        </w:rPr>
      </w:pPr>
    </w:p>
    <w:p w14:paraId="08540072" w14:textId="53F1F1CD" w:rsidR="00C9310B" w:rsidRPr="00355CCC" w:rsidRDefault="00355CCC" w:rsidP="00355CCC">
      <w:pPr>
        <w:widowControl w:val="0"/>
        <w:tabs>
          <w:tab w:val="left" w:pos="567"/>
        </w:tabs>
        <w:spacing w:before="480" w:after="480" w:line="360" w:lineRule="auto"/>
        <w:jc w:val="both"/>
        <w:rPr>
          <w:rFonts w:cs="Arial"/>
          <w:bCs/>
          <w:szCs w:val="22"/>
          <w:u w:val="single"/>
        </w:rPr>
      </w:pPr>
      <w:r w:rsidRPr="000F7813">
        <w:rPr>
          <w:rFonts w:cs="Arial"/>
          <w:bCs/>
          <w:szCs w:val="22"/>
        </w:rPr>
        <w:t>[2]</w:t>
      </w:r>
      <w:r w:rsidRPr="000F7813">
        <w:rPr>
          <w:rFonts w:cs="Arial"/>
          <w:bCs/>
          <w:szCs w:val="22"/>
        </w:rPr>
        <w:tab/>
      </w:r>
      <w:r w:rsidR="00573FF9" w:rsidRPr="00355CCC">
        <w:rPr>
          <w:rFonts w:cs="Arial"/>
          <w:bCs/>
          <w:szCs w:val="22"/>
        </w:rPr>
        <w:t xml:space="preserve">The reasons for the order </w:t>
      </w:r>
      <w:r w:rsidR="00A63709" w:rsidRPr="00355CCC">
        <w:rPr>
          <w:rFonts w:cs="Arial"/>
          <w:bCs/>
          <w:szCs w:val="22"/>
        </w:rPr>
        <w:t>follow</w:t>
      </w:r>
      <w:r w:rsidR="00573FF9" w:rsidRPr="00355CCC">
        <w:rPr>
          <w:rFonts w:cs="Arial"/>
          <w:bCs/>
          <w:szCs w:val="22"/>
        </w:rPr>
        <w:t xml:space="preserve"> below.</w:t>
      </w:r>
    </w:p>
    <w:p w14:paraId="037F1A01" w14:textId="77777777" w:rsidR="00A444DD" w:rsidRPr="000F7813" w:rsidRDefault="00A444DD" w:rsidP="00C74E97">
      <w:pPr>
        <w:keepNext/>
        <w:widowControl w:val="0"/>
        <w:spacing w:before="480" w:after="480" w:line="360" w:lineRule="auto"/>
        <w:jc w:val="both"/>
        <w:rPr>
          <w:rFonts w:cs="Arial"/>
          <w:bCs/>
          <w:szCs w:val="22"/>
          <w:u w:val="single"/>
        </w:rPr>
      </w:pPr>
    </w:p>
    <w:p w14:paraId="3658C913" w14:textId="6056F843" w:rsidR="00573FF9" w:rsidRPr="000F7813" w:rsidRDefault="00D9086C" w:rsidP="00C74E97">
      <w:pPr>
        <w:keepNext/>
        <w:widowControl w:val="0"/>
        <w:spacing w:before="480" w:after="480" w:line="360" w:lineRule="auto"/>
        <w:jc w:val="both"/>
        <w:rPr>
          <w:rFonts w:cs="Arial"/>
          <w:bCs/>
          <w:szCs w:val="22"/>
          <w:u w:val="single"/>
        </w:rPr>
      </w:pPr>
      <w:r w:rsidRPr="000F7813">
        <w:rPr>
          <w:rFonts w:cs="Arial"/>
          <w:bCs/>
          <w:szCs w:val="22"/>
          <w:u w:val="single"/>
        </w:rPr>
        <w:t>Introduction</w:t>
      </w:r>
    </w:p>
    <w:p w14:paraId="1424809A" w14:textId="68773E54" w:rsidR="008F6436" w:rsidRDefault="00355CCC" w:rsidP="00355CCC">
      <w:pPr>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3B11F4">
        <w:rPr>
          <w:rFonts w:cs="Arial"/>
          <w:bCs/>
          <w:szCs w:val="22"/>
        </w:rPr>
        <w:t>This matter c</w:t>
      </w:r>
      <w:r w:rsidR="00686C3F">
        <w:rPr>
          <w:rFonts w:cs="Arial"/>
          <w:bCs/>
          <w:szCs w:val="22"/>
        </w:rPr>
        <w:t>a</w:t>
      </w:r>
      <w:r w:rsidR="003B11F4">
        <w:rPr>
          <w:rFonts w:cs="Arial"/>
          <w:bCs/>
          <w:szCs w:val="22"/>
        </w:rPr>
        <w:t>me before me in the Urgent Court and in terms of rule 6(12)(</w:t>
      </w:r>
      <w:r w:rsidR="000D2265">
        <w:rPr>
          <w:rFonts w:cs="Arial"/>
          <w:bCs/>
          <w:szCs w:val="22"/>
        </w:rPr>
        <w:t>c</w:t>
      </w:r>
      <w:r w:rsidR="003B11F4">
        <w:rPr>
          <w:rFonts w:cs="Arial"/>
          <w:bCs/>
          <w:szCs w:val="22"/>
        </w:rPr>
        <w:t>) of the Uniform Rules</w:t>
      </w:r>
      <w:r w:rsidR="00686C3F">
        <w:rPr>
          <w:rFonts w:cs="Arial"/>
          <w:bCs/>
          <w:szCs w:val="22"/>
        </w:rPr>
        <w:t xml:space="preserve"> on 28 August 2023</w:t>
      </w:r>
      <w:r w:rsidR="003B11F4">
        <w:rPr>
          <w:rFonts w:cs="Arial"/>
          <w:bCs/>
          <w:szCs w:val="22"/>
        </w:rPr>
        <w:t xml:space="preserve">. I </w:t>
      </w:r>
      <w:r w:rsidR="00686C3F">
        <w:rPr>
          <w:rFonts w:cs="Arial"/>
          <w:bCs/>
          <w:szCs w:val="22"/>
        </w:rPr>
        <w:t>was</w:t>
      </w:r>
      <w:r w:rsidR="003B11F4">
        <w:rPr>
          <w:rFonts w:cs="Arial"/>
          <w:bCs/>
          <w:szCs w:val="22"/>
        </w:rPr>
        <w:t xml:space="preserve"> called upon to reconsider an </w:t>
      </w:r>
      <w:r w:rsidR="00686C3F">
        <w:rPr>
          <w:rFonts w:cs="Arial"/>
          <w:bCs/>
          <w:szCs w:val="22"/>
        </w:rPr>
        <w:t>interim interdict</w:t>
      </w:r>
      <w:r w:rsidR="003B11F4">
        <w:rPr>
          <w:rFonts w:cs="Arial"/>
          <w:bCs/>
          <w:szCs w:val="22"/>
        </w:rPr>
        <w:t xml:space="preserve"> granted in the Urgent Court</w:t>
      </w:r>
      <w:r w:rsidR="00686C3F">
        <w:rPr>
          <w:rFonts w:cs="Arial"/>
          <w:bCs/>
          <w:szCs w:val="22"/>
        </w:rPr>
        <w:t>.</w:t>
      </w:r>
    </w:p>
    <w:p w14:paraId="0CE3A469" w14:textId="5E0730CE" w:rsidR="00686C3F" w:rsidRPr="003959D1" w:rsidRDefault="00686C3F" w:rsidP="00686C3F">
      <w:pPr>
        <w:widowControl w:val="0"/>
        <w:spacing w:before="480" w:after="480" w:line="360" w:lineRule="auto"/>
        <w:jc w:val="both"/>
        <w:rPr>
          <w:rFonts w:cs="Arial"/>
          <w:bCs/>
          <w:szCs w:val="22"/>
        </w:rPr>
      </w:pPr>
      <w:r>
        <w:rPr>
          <w:rFonts w:cs="Arial"/>
          <w:bCs/>
          <w:szCs w:val="22"/>
          <w:lang w:val="en-US"/>
        </w:rPr>
        <w:lastRenderedPageBreak/>
        <w:t xml:space="preserve">The interim interdict was granted </w:t>
      </w:r>
      <w:r w:rsidRPr="005F7E15">
        <w:rPr>
          <w:rFonts w:cs="Arial"/>
          <w:bCs/>
          <w:i/>
          <w:iCs/>
          <w:szCs w:val="22"/>
          <w:lang w:val="en-US"/>
        </w:rPr>
        <w:t>ex parte</w:t>
      </w:r>
      <w:r>
        <w:rPr>
          <w:rFonts w:cs="Arial"/>
          <w:bCs/>
          <w:szCs w:val="22"/>
          <w:lang w:val="en-US"/>
        </w:rPr>
        <w:t xml:space="preserve"> on </w:t>
      </w:r>
      <w:r w:rsidRPr="00F2125A">
        <w:rPr>
          <w:rFonts w:cs="Arial"/>
          <w:bCs/>
          <w:szCs w:val="22"/>
          <w:lang w:val="en-US"/>
        </w:rPr>
        <w:t>18 August 2023</w:t>
      </w:r>
      <w:r>
        <w:rPr>
          <w:rFonts w:cs="Arial"/>
          <w:bCs/>
          <w:szCs w:val="22"/>
          <w:lang w:val="en-US"/>
        </w:rPr>
        <w:t>,</w:t>
      </w:r>
      <w:r>
        <w:rPr>
          <w:rStyle w:val="FootnoteReference"/>
          <w:rFonts w:cs="Arial"/>
          <w:bCs/>
          <w:szCs w:val="22"/>
          <w:lang w:val="en-US"/>
        </w:rPr>
        <w:footnoteReference w:id="1"/>
      </w:r>
      <w:r w:rsidRPr="008E2D8C">
        <w:rPr>
          <w:rFonts w:cs="Arial"/>
          <w:bCs/>
          <w:szCs w:val="22"/>
          <w:lang w:val="en-US"/>
        </w:rPr>
        <w:t xml:space="preserve"> </w:t>
      </w:r>
      <w:r>
        <w:rPr>
          <w:rFonts w:cs="Arial"/>
          <w:bCs/>
          <w:szCs w:val="22"/>
          <w:lang w:val="en-US"/>
        </w:rPr>
        <w:t>with</w:t>
      </w:r>
      <w:r w:rsidRPr="008E2D8C">
        <w:rPr>
          <w:rFonts w:cs="Arial"/>
          <w:bCs/>
          <w:szCs w:val="22"/>
          <w:lang w:val="en-US"/>
        </w:rPr>
        <w:t xml:space="preserve"> </w:t>
      </w:r>
      <w:r>
        <w:rPr>
          <w:rFonts w:cs="Arial"/>
          <w:bCs/>
          <w:szCs w:val="22"/>
          <w:lang w:val="en-US"/>
        </w:rPr>
        <w:t xml:space="preserve">a rule </w:t>
      </w:r>
      <w:r w:rsidRPr="008D2A7F">
        <w:rPr>
          <w:rFonts w:cs="Arial"/>
          <w:bCs/>
          <w:i/>
          <w:iCs/>
          <w:szCs w:val="22"/>
          <w:lang w:val="en-US"/>
        </w:rPr>
        <w:t>nisi</w:t>
      </w:r>
      <w:r>
        <w:rPr>
          <w:rFonts w:cs="Arial"/>
          <w:bCs/>
          <w:szCs w:val="22"/>
          <w:lang w:val="en-US"/>
        </w:rPr>
        <w:t xml:space="preserve"> </w:t>
      </w:r>
      <w:r w:rsidRPr="008E2D8C">
        <w:rPr>
          <w:rFonts w:cs="Arial"/>
          <w:bCs/>
          <w:szCs w:val="22"/>
          <w:lang w:val="en-US"/>
        </w:rPr>
        <w:t xml:space="preserve">calling on the respondents to show cause on 4 October 2023 why an order declaring that the agreement </w:t>
      </w:r>
      <w:r>
        <w:rPr>
          <w:rFonts w:cs="Arial"/>
          <w:bCs/>
          <w:szCs w:val="22"/>
          <w:lang w:val="en-US"/>
        </w:rPr>
        <w:t xml:space="preserve">between the second applicant and the first respondent </w:t>
      </w:r>
      <w:r w:rsidRPr="008E2D8C">
        <w:rPr>
          <w:rFonts w:cs="Arial"/>
          <w:bCs/>
          <w:szCs w:val="22"/>
          <w:lang w:val="en-US"/>
        </w:rPr>
        <w:t xml:space="preserve">had been cancelled on 10 August 2023 should not be made together with orders for the delivery </w:t>
      </w:r>
      <w:r>
        <w:rPr>
          <w:rFonts w:cs="Arial"/>
          <w:bCs/>
          <w:szCs w:val="22"/>
          <w:lang w:val="en-US"/>
        </w:rPr>
        <w:t xml:space="preserve">up </w:t>
      </w:r>
      <w:r w:rsidRPr="008E2D8C">
        <w:rPr>
          <w:rFonts w:cs="Arial"/>
          <w:bCs/>
          <w:szCs w:val="22"/>
          <w:lang w:val="en-US"/>
        </w:rPr>
        <w:t>of good</w:t>
      </w:r>
      <w:r>
        <w:rPr>
          <w:rFonts w:cs="Arial"/>
          <w:bCs/>
          <w:szCs w:val="22"/>
          <w:lang w:val="en-US"/>
        </w:rPr>
        <w:t xml:space="preserve">s, stock and </w:t>
      </w:r>
      <w:r w:rsidRPr="008E2D8C">
        <w:rPr>
          <w:rFonts w:cs="Arial"/>
          <w:bCs/>
          <w:szCs w:val="22"/>
          <w:lang w:val="en-US"/>
        </w:rPr>
        <w:t>records</w:t>
      </w:r>
      <w:r>
        <w:rPr>
          <w:rFonts w:cs="Arial"/>
          <w:bCs/>
          <w:szCs w:val="22"/>
          <w:lang w:val="en-US"/>
        </w:rPr>
        <w:t xml:space="preserve">, </w:t>
      </w:r>
      <w:r w:rsidRPr="008E2D8C">
        <w:rPr>
          <w:rFonts w:cs="Arial"/>
          <w:bCs/>
          <w:szCs w:val="22"/>
          <w:lang w:val="en-US"/>
        </w:rPr>
        <w:t>and intellectual property</w:t>
      </w:r>
      <w:r>
        <w:rPr>
          <w:rFonts w:cs="Arial"/>
          <w:bCs/>
          <w:szCs w:val="22"/>
          <w:lang w:val="en-US"/>
        </w:rPr>
        <w:t xml:space="preserve">, </w:t>
      </w:r>
      <w:r w:rsidRPr="008E2D8C">
        <w:rPr>
          <w:rFonts w:cs="Arial"/>
          <w:bCs/>
          <w:szCs w:val="22"/>
          <w:lang w:val="en-US"/>
        </w:rPr>
        <w:t>and ancillary relief</w:t>
      </w:r>
      <w:r>
        <w:rPr>
          <w:rFonts w:cs="Arial"/>
          <w:bCs/>
          <w:szCs w:val="22"/>
          <w:lang w:val="en-US"/>
        </w:rPr>
        <w:t xml:space="preserve">. </w:t>
      </w:r>
      <w:r w:rsidRPr="008E2D8C">
        <w:rPr>
          <w:rFonts w:cs="Arial"/>
          <w:bCs/>
          <w:szCs w:val="22"/>
          <w:lang w:val="en-US"/>
        </w:rPr>
        <w:t>The interim</w:t>
      </w:r>
      <w:r>
        <w:rPr>
          <w:rFonts w:cs="Arial"/>
          <w:bCs/>
          <w:szCs w:val="22"/>
          <w:lang w:val="en-US"/>
        </w:rPr>
        <w:t xml:space="preserve"> interdictory relief </w:t>
      </w:r>
      <w:r w:rsidRPr="008E2D8C">
        <w:rPr>
          <w:rFonts w:cs="Arial"/>
          <w:bCs/>
          <w:szCs w:val="22"/>
          <w:lang w:val="en-US"/>
        </w:rPr>
        <w:t>provided</w:t>
      </w:r>
      <w:r>
        <w:rPr>
          <w:rFonts w:cs="Arial"/>
          <w:bCs/>
          <w:szCs w:val="22"/>
          <w:lang w:val="en-US"/>
        </w:rPr>
        <w:t xml:space="preserve"> </w:t>
      </w:r>
      <w:r w:rsidRPr="008D2A7F">
        <w:rPr>
          <w:rFonts w:cs="Arial"/>
          <w:bCs/>
          <w:i/>
          <w:iCs/>
          <w:szCs w:val="22"/>
          <w:lang w:val="en-US"/>
        </w:rPr>
        <w:t>inter alia</w:t>
      </w:r>
      <w:r w:rsidRPr="008E2D8C">
        <w:rPr>
          <w:rFonts w:cs="Arial"/>
          <w:bCs/>
          <w:szCs w:val="22"/>
          <w:lang w:val="en-US"/>
        </w:rPr>
        <w:t xml:space="preserve"> that the first respondent be interdicted from disposing of the second respondent</w:t>
      </w:r>
      <w:r>
        <w:rPr>
          <w:rFonts w:cs="Arial"/>
          <w:bCs/>
          <w:szCs w:val="22"/>
          <w:lang w:val="en-US"/>
        </w:rPr>
        <w:t>’</w:t>
      </w:r>
      <w:r w:rsidRPr="008E2D8C">
        <w:rPr>
          <w:rFonts w:cs="Arial"/>
          <w:bCs/>
          <w:szCs w:val="22"/>
          <w:lang w:val="en-US"/>
        </w:rPr>
        <w:t>s assets</w:t>
      </w:r>
      <w:r>
        <w:rPr>
          <w:rFonts w:cs="Arial"/>
          <w:bCs/>
          <w:szCs w:val="22"/>
          <w:lang w:val="en-US"/>
        </w:rPr>
        <w:t xml:space="preserve">, </w:t>
      </w:r>
      <w:r w:rsidRPr="008E2D8C">
        <w:rPr>
          <w:rFonts w:cs="Arial"/>
          <w:bCs/>
          <w:szCs w:val="22"/>
          <w:lang w:val="en-US"/>
        </w:rPr>
        <w:t xml:space="preserve">accessing the second </w:t>
      </w:r>
      <w:proofErr w:type="gramStart"/>
      <w:r w:rsidRPr="008E2D8C">
        <w:rPr>
          <w:rFonts w:cs="Arial"/>
          <w:bCs/>
          <w:szCs w:val="22"/>
          <w:lang w:val="en-US"/>
        </w:rPr>
        <w:t>respondents</w:t>
      </w:r>
      <w:proofErr w:type="gramEnd"/>
      <w:r w:rsidRPr="008E2D8C">
        <w:rPr>
          <w:rFonts w:cs="Arial"/>
          <w:bCs/>
          <w:szCs w:val="22"/>
          <w:lang w:val="en-US"/>
        </w:rPr>
        <w:t xml:space="preserve"> pre</w:t>
      </w:r>
      <w:r>
        <w:rPr>
          <w:rFonts w:cs="Arial"/>
          <w:bCs/>
          <w:szCs w:val="22"/>
          <w:lang w:val="en-US"/>
        </w:rPr>
        <w:t>m</w:t>
      </w:r>
      <w:r w:rsidRPr="008E2D8C">
        <w:rPr>
          <w:rFonts w:cs="Arial"/>
          <w:bCs/>
          <w:szCs w:val="22"/>
          <w:lang w:val="en-US"/>
        </w:rPr>
        <w:t>ises</w:t>
      </w:r>
      <w:r>
        <w:rPr>
          <w:rFonts w:cs="Arial"/>
          <w:bCs/>
          <w:szCs w:val="22"/>
          <w:lang w:val="en-US"/>
        </w:rPr>
        <w:t xml:space="preserve">, </w:t>
      </w:r>
      <w:r w:rsidRPr="008E2D8C">
        <w:rPr>
          <w:rFonts w:cs="Arial"/>
          <w:bCs/>
          <w:szCs w:val="22"/>
          <w:lang w:val="en-US"/>
        </w:rPr>
        <w:t xml:space="preserve">accessing, </w:t>
      </w:r>
      <w:r>
        <w:rPr>
          <w:rFonts w:cs="Arial"/>
          <w:bCs/>
          <w:szCs w:val="22"/>
          <w:lang w:val="en-US"/>
        </w:rPr>
        <w:t xml:space="preserve">and </w:t>
      </w:r>
      <w:r w:rsidRPr="008E2D8C">
        <w:rPr>
          <w:rFonts w:cs="Arial"/>
          <w:bCs/>
          <w:szCs w:val="22"/>
          <w:lang w:val="en-US"/>
        </w:rPr>
        <w:t>copying or using any of the second respondent</w:t>
      </w:r>
      <w:r>
        <w:rPr>
          <w:rFonts w:cs="Arial"/>
          <w:bCs/>
          <w:szCs w:val="22"/>
          <w:lang w:val="en-US"/>
        </w:rPr>
        <w:t>’</w:t>
      </w:r>
      <w:r w:rsidRPr="008E2D8C">
        <w:rPr>
          <w:rFonts w:cs="Arial"/>
          <w:bCs/>
          <w:szCs w:val="22"/>
          <w:lang w:val="en-US"/>
        </w:rPr>
        <w:t>s incorporeal assets including the intellectual property</w:t>
      </w:r>
      <w:r>
        <w:rPr>
          <w:rFonts w:cs="Arial"/>
          <w:bCs/>
          <w:szCs w:val="22"/>
          <w:lang w:val="en-US"/>
        </w:rPr>
        <w:t xml:space="preserve">. </w:t>
      </w:r>
      <w:r w:rsidRPr="008E2D8C">
        <w:rPr>
          <w:rFonts w:cs="Arial"/>
          <w:bCs/>
          <w:szCs w:val="22"/>
          <w:lang w:val="en-US"/>
        </w:rPr>
        <w:t>The</w:t>
      </w:r>
      <w:r>
        <w:rPr>
          <w:rFonts w:cs="Arial"/>
          <w:bCs/>
          <w:szCs w:val="22"/>
          <w:lang w:val="en-US"/>
        </w:rPr>
        <w:t xml:space="preserve"> </w:t>
      </w:r>
      <w:r w:rsidRPr="008E2D8C">
        <w:rPr>
          <w:rFonts w:cs="Arial"/>
          <w:bCs/>
          <w:szCs w:val="22"/>
          <w:lang w:val="en-US"/>
        </w:rPr>
        <w:t xml:space="preserve">second respondent was in turn interdicted from disposing of </w:t>
      </w:r>
      <w:r>
        <w:rPr>
          <w:rFonts w:cs="Arial"/>
          <w:bCs/>
          <w:szCs w:val="22"/>
          <w:lang w:val="en-US"/>
        </w:rPr>
        <w:t xml:space="preserve">its </w:t>
      </w:r>
      <w:r w:rsidRPr="008E2D8C">
        <w:rPr>
          <w:rFonts w:cs="Arial"/>
          <w:bCs/>
          <w:szCs w:val="22"/>
          <w:lang w:val="en-US"/>
        </w:rPr>
        <w:t>assets</w:t>
      </w:r>
      <w:r>
        <w:rPr>
          <w:rFonts w:cs="Arial"/>
          <w:bCs/>
          <w:szCs w:val="22"/>
          <w:lang w:val="en-US"/>
        </w:rPr>
        <w:t xml:space="preserve">. </w:t>
      </w:r>
      <w:r w:rsidRPr="008E2D8C">
        <w:rPr>
          <w:rFonts w:cs="Arial"/>
          <w:bCs/>
          <w:szCs w:val="22"/>
          <w:lang w:val="en-US"/>
        </w:rPr>
        <w:t xml:space="preserve">The Sheriff of the High Court was </w:t>
      </w:r>
      <w:proofErr w:type="spellStart"/>
      <w:r w:rsidRPr="008E2D8C">
        <w:rPr>
          <w:rFonts w:cs="Arial"/>
          <w:bCs/>
          <w:szCs w:val="22"/>
          <w:lang w:val="en-US"/>
        </w:rPr>
        <w:t>authori</w:t>
      </w:r>
      <w:r>
        <w:rPr>
          <w:rFonts w:cs="Arial"/>
          <w:bCs/>
          <w:szCs w:val="22"/>
          <w:lang w:val="en-US"/>
        </w:rPr>
        <w:t>s</w:t>
      </w:r>
      <w:r w:rsidRPr="008E2D8C">
        <w:rPr>
          <w:rFonts w:cs="Arial"/>
          <w:bCs/>
          <w:szCs w:val="22"/>
          <w:lang w:val="en-US"/>
        </w:rPr>
        <w:t>ed</w:t>
      </w:r>
      <w:proofErr w:type="spellEnd"/>
      <w:r w:rsidRPr="008E2D8C">
        <w:rPr>
          <w:rFonts w:cs="Arial"/>
          <w:bCs/>
          <w:szCs w:val="22"/>
          <w:lang w:val="en-US"/>
        </w:rPr>
        <w:t xml:space="preserve"> to enter the business premises of the second respondent</w:t>
      </w:r>
      <w:r>
        <w:rPr>
          <w:rFonts w:cs="Arial"/>
          <w:bCs/>
          <w:szCs w:val="22"/>
          <w:lang w:val="en-US"/>
        </w:rPr>
        <w:t>. A</w:t>
      </w:r>
      <w:r w:rsidR="000426C0">
        <w:rPr>
          <w:rFonts w:cs="Arial"/>
          <w:bCs/>
          <w:szCs w:val="22"/>
          <w:lang w:val="en-US"/>
        </w:rPr>
        <w:t>s will be shown below</w:t>
      </w:r>
      <w:r>
        <w:rPr>
          <w:rFonts w:cs="Arial"/>
          <w:bCs/>
          <w:szCs w:val="22"/>
          <w:lang w:val="en-US"/>
        </w:rPr>
        <w:t>, it is a mystery why the applicants sought an interdict to permit the Sheriff to access the second respondent’s premises as the second applicant is the sole shareholder of the second respondent and the first applicant is the guiding force behind the second respondent. The second respondent was at all times at liberty to allow the Sheriff into its premises.</w:t>
      </w:r>
    </w:p>
    <w:p w14:paraId="6B672FC1" w14:textId="7AB0B75C" w:rsidR="000426C0" w:rsidRPr="000426C0" w:rsidRDefault="00355CCC" w:rsidP="00355CCC">
      <w:pPr>
        <w:widowControl w:val="0"/>
        <w:tabs>
          <w:tab w:val="left" w:pos="567"/>
        </w:tabs>
        <w:spacing w:before="480" w:after="480" w:line="360" w:lineRule="auto"/>
        <w:jc w:val="both"/>
        <w:rPr>
          <w:rFonts w:cs="Arial"/>
          <w:bCs/>
          <w:i/>
          <w:iCs/>
          <w:szCs w:val="22"/>
        </w:rPr>
      </w:pPr>
      <w:r w:rsidRPr="000426C0">
        <w:rPr>
          <w:rFonts w:cs="Arial"/>
          <w:bCs/>
          <w:iCs/>
          <w:szCs w:val="22"/>
        </w:rPr>
        <w:t>[4]</w:t>
      </w:r>
      <w:r w:rsidRPr="000426C0">
        <w:rPr>
          <w:rFonts w:cs="Arial"/>
          <w:bCs/>
          <w:iCs/>
          <w:szCs w:val="22"/>
        </w:rPr>
        <w:tab/>
      </w:r>
      <w:r w:rsidR="008F6436" w:rsidRPr="008E7E5E">
        <w:rPr>
          <w:rFonts w:cs="Arial"/>
          <w:bCs/>
          <w:szCs w:val="22"/>
          <w:lang w:val="en-US"/>
        </w:rPr>
        <w:t>The first respondent filed an affidavit in support of an application in terms of rule 6</w:t>
      </w:r>
      <w:r w:rsidR="008F6436">
        <w:rPr>
          <w:rFonts w:cs="Arial"/>
          <w:bCs/>
          <w:szCs w:val="22"/>
          <w:lang w:val="en-US"/>
        </w:rPr>
        <w:t>(</w:t>
      </w:r>
      <w:r w:rsidR="008F6436" w:rsidRPr="008E7E5E">
        <w:rPr>
          <w:rFonts w:cs="Arial"/>
          <w:bCs/>
          <w:szCs w:val="22"/>
          <w:lang w:val="en-US"/>
        </w:rPr>
        <w:t>12</w:t>
      </w:r>
      <w:proofErr w:type="gramStart"/>
      <w:r w:rsidR="008F6436">
        <w:rPr>
          <w:rFonts w:cs="Arial"/>
          <w:bCs/>
          <w:szCs w:val="22"/>
          <w:lang w:val="en-US"/>
        </w:rPr>
        <w:t>)(</w:t>
      </w:r>
      <w:proofErr w:type="gramEnd"/>
      <w:r w:rsidR="008F6436">
        <w:rPr>
          <w:rFonts w:cs="Arial"/>
          <w:bCs/>
          <w:szCs w:val="22"/>
          <w:lang w:val="en-US"/>
        </w:rPr>
        <w:t>c) for a</w:t>
      </w:r>
      <w:r w:rsidR="008F6436" w:rsidRPr="008E7E5E">
        <w:rPr>
          <w:rFonts w:cs="Arial"/>
          <w:bCs/>
          <w:szCs w:val="22"/>
          <w:lang w:val="en-US"/>
        </w:rPr>
        <w:t xml:space="preserve"> reconsideration of the order</w:t>
      </w:r>
      <w:r w:rsidR="008F6436">
        <w:rPr>
          <w:rFonts w:cs="Arial"/>
          <w:bCs/>
          <w:szCs w:val="22"/>
          <w:lang w:val="en-US"/>
        </w:rPr>
        <w:t>. The r</w:t>
      </w:r>
      <w:r w:rsidR="008F6436" w:rsidRPr="008E7E5E">
        <w:rPr>
          <w:rFonts w:cs="Arial"/>
          <w:bCs/>
          <w:szCs w:val="22"/>
          <w:lang w:val="en-US"/>
        </w:rPr>
        <w:t>ule provides that</w:t>
      </w:r>
      <w:r w:rsidR="008F6436">
        <w:rPr>
          <w:rFonts w:cs="Arial"/>
          <w:bCs/>
          <w:szCs w:val="22"/>
          <w:lang w:val="en-US"/>
        </w:rPr>
        <w:t xml:space="preserve"> </w:t>
      </w:r>
      <w:r w:rsidR="008F6436" w:rsidRPr="008E7E5E">
        <w:rPr>
          <w:rFonts w:cs="Arial"/>
          <w:bCs/>
          <w:i/>
          <w:iCs/>
          <w:szCs w:val="22"/>
          <w:lang w:val="en-US"/>
        </w:rPr>
        <w:t>“</w:t>
      </w:r>
      <w:r w:rsidR="008F6436" w:rsidRPr="008E7E5E">
        <w:rPr>
          <w:i/>
          <w:iCs/>
        </w:rPr>
        <w:t>a person against whom an order was granted in such person’s absence in an urgent application may by notice set down the matter for reconsideration of the order.</w:t>
      </w:r>
      <w:r w:rsidR="008F6436">
        <w:rPr>
          <w:i/>
          <w:iCs/>
        </w:rPr>
        <w:t xml:space="preserve">” </w:t>
      </w:r>
      <w:r w:rsidR="008F6436" w:rsidRPr="008E7E5E">
        <w:rPr>
          <w:lang w:val="en-US"/>
        </w:rPr>
        <w:t>The sub</w:t>
      </w:r>
      <w:r w:rsidR="008F6436">
        <w:rPr>
          <w:lang w:val="en-US"/>
        </w:rPr>
        <w:t>-</w:t>
      </w:r>
      <w:r w:rsidR="008F6436" w:rsidRPr="008E7E5E">
        <w:rPr>
          <w:lang w:val="en-US"/>
        </w:rPr>
        <w:t xml:space="preserve">rule </w:t>
      </w:r>
      <w:r w:rsidR="008F6436">
        <w:rPr>
          <w:lang w:val="en-US"/>
        </w:rPr>
        <w:t xml:space="preserve">envisages a </w:t>
      </w:r>
      <w:r w:rsidR="008F6436" w:rsidRPr="008E7E5E">
        <w:rPr>
          <w:lang w:val="en-US"/>
        </w:rPr>
        <w:t>rehearing of the application</w:t>
      </w:r>
      <w:r w:rsidR="008F6436">
        <w:rPr>
          <w:rStyle w:val="FootnoteReference"/>
          <w:lang w:val="en-US"/>
        </w:rPr>
        <w:footnoteReference w:id="2"/>
      </w:r>
      <w:r w:rsidR="008F6436">
        <w:rPr>
          <w:lang w:val="en-US"/>
        </w:rPr>
        <w:t xml:space="preserve"> </w:t>
      </w:r>
      <w:r w:rsidR="008F6436" w:rsidRPr="006630E1">
        <w:rPr>
          <w:lang w:val="en-US"/>
        </w:rPr>
        <w:t xml:space="preserve">and </w:t>
      </w:r>
      <w:r w:rsidR="008F6436">
        <w:rPr>
          <w:lang w:val="en-US"/>
        </w:rPr>
        <w:t>a court</w:t>
      </w:r>
      <w:r w:rsidR="008F6436" w:rsidRPr="006630E1">
        <w:rPr>
          <w:lang w:val="en-US"/>
        </w:rPr>
        <w:t xml:space="preserve"> will have regard to all the papers filed of record and not only </w:t>
      </w:r>
      <w:r w:rsidR="008F6436">
        <w:rPr>
          <w:lang w:val="en-US"/>
        </w:rPr>
        <w:t>t</w:t>
      </w:r>
      <w:r w:rsidR="008F6436" w:rsidRPr="006630E1">
        <w:rPr>
          <w:lang w:val="en-US"/>
        </w:rPr>
        <w:t>o the papers filed by the applicant in the initial application</w:t>
      </w:r>
      <w:r w:rsidR="008F6436">
        <w:rPr>
          <w:lang w:val="en-US"/>
        </w:rPr>
        <w:t xml:space="preserve">. </w:t>
      </w:r>
    </w:p>
    <w:p w14:paraId="4FC3C8E7" w14:textId="11C9AE8F" w:rsidR="008F6436" w:rsidRPr="00E704E0" w:rsidRDefault="008F6436" w:rsidP="000426C0">
      <w:pPr>
        <w:widowControl w:val="0"/>
        <w:spacing w:before="480" w:after="480" w:line="360" w:lineRule="auto"/>
        <w:jc w:val="both"/>
        <w:rPr>
          <w:rFonts w:cs="Arial"/>
          <w:bCs/>
          <w:i/>
          <w:iCs/>
          <w:szCs w:val="22"/>
        </w:rPr>
      </w:pPr>
      <w:r w:rsidRPr="006630E1">
        <w:rPr>
          <w:lang w:val="en-US"/>
        </w:rPr>
        <w:t xml:space="preserve">The rehearing is not a review of the </w:t>
      </w:r>
      <w:r>
        <w:rPr>
          <w:lang w:val="en-US"/>
        </w:rPr>
        <w:t>initial</w:t>
      </w:r>
      <w:r w:rsidRPr="006630E1">
        <w:rPr>
          <w:lang w:val="en-US"/>
        </w:rPr>
        <w:t xml:space="preserve"> order</w:t>
      </w:r>
      <w:r>
        <w:rPr>
          <w:lang w:val="en-US"/>
        </w:rPr>
        <w:t xml:space="preserve">. </w:t>
      </w:r>
      <w:r w:rsidRPr="006630E1">
        <w:rPr>
          <w:lang w:val="en-US"/>
        </w:rPr>
        <w:t xml:space="preserve">The application is </w:t>
      </w:r>
      <w:r>
        <w:rPr>
          <w:lang w:val="en-US"/>
        </w:rPr>
        <w:t xml:space="preserve">heard </w:t>
      </w:r>
      <w:r w:rsidRPr="00366E5C">
        <w:rPr>
          <w:i/>
          <w:iCs/>
          <w:lang w:val="en-US"/>
        </w:rPr>
        <w:t>de novo</w:t>
      </w:r>
      <w:r>
        <w:rPr>
          <w:lang w:val="en-US"/>
        </w:rPr>
        <w:t xml:space="preserve"> </w:t>
      </w:r>
      <w:r w:rsidRPr="006630E1">
        <w:rPr>
          <w:lang w:val="en-US"/>
        </w:rPr>
        <w:t>and the onus is not affected by the fact that the initial order was granted</w:t>
      </w:r>
      <w:r>
        <w:rPr>
          <w:lang w:val="en-US"/>
        </w:rPr>
        <w:t>.</w:t>
      </w:r>
      <w:r w:rsidRPr="006630E1">
        <w:rPr>
          <w:lang w:val="en-US"/>
        </w:rPr>
        <w:t xml:space="preserve"> The court now has the benefit of argument </w:t>
      </w:r>
      <w:r>
        <w:rPr>
          <w:lang w:val="en-US"/>
        </w:rPr>
        <w:t xml:space="preserve">on behalf of </w:t>
      </w:r>
      <w:r w:rsidRPr="006630E1">
        <w:rPr>
          <w:lang w:val="en-US"/>
        </w:rPr>
        <w:t>respondent</w:t>
      </w:r>
      <w:r>
        <w:rPr>
          <w:lang w:val="en-US"/>
        </w:rPr>
        <w:t>s</w:t>
      </w:r>
      <w:r w:rsidRPr="006630E1">
        <w:rPr>
          <w:lang w:val="en-US"/>
        </w:rPr>
        <w:t xml:space="preserve"> as well as in most cases a</w:t>
      </w:r>
      <w:r>
        <w:rPr>
          <w:lang w:val="en-US"/>
        </w:rPr>
        <w:t>nswering</w:t>
      </w:r>
      <w:r w:rsidRPr="006630E1">
        <w:rPr>
          <w:lang w:val="en-US"/>
        </w:rPr>
        <w:t xml:space="preserve"> affidavits and replying affidavits</w:t>
      </w:r>
      <w:r>
        <w:rPr>
          <w:lang w:val="en-US"/>
        </w:rPr>
        <w:t>.</w:t>
      </w:r>
    </w:p>
    <w:p w14:paraId="333E213C" w14:textId="11EE3695" w:rsidR="000F00EF" w:rsidRPr="000F00EF" w:rsidRDefault="00355CCC" w:rsidP="00355CCC">
      <w:pPr>
        <w:widowControl w:val="0"/>
        <w:tabs>
          <w:tab w:val="left" w:pos="567"/>
        </w:tabs>
        <w:spacing w:before="480" w:after="480" w:line="360" w:lineRule="auto"/>
        <w:jc w:val="both"/>
        <w:rPr>
          <w:rFonts w:cs="Arial"/>
          <w:bCs/>
          <w:szCs w:val="22"/>
        </w:rPr>
      </w:pPr>
      <w:r w:rsidRPr="000F00EF">
        <w:rPr>
          <w:rFonts w:cs="Arial"/>
          <w:bCs/>
          <w:szCs w:val="22"/>
        </w:rPr>
        <w:t>[5]</w:t>
      </w:r>
      <w:r w:rsidRPr="000F00EF">
        <w:rPr>
          <w:rFonts w:cs="Arial"/>
          <w:bCs/>
          <w:szCs w:val="22"/>
        </w:rPr>
        <w:tab/>
      </w:r>
      <w:r w:rsidR="006C1EDF">
        <w:rPr>
          <w:rFonts w:cs="Arial"/>
          <w:bCs/>
          <w:szCs w:val="22"/>
        </w:rPr>
        <w:t xml:space="preserve">While preparing this judgment I extended an invitation to all parties to submit written argument by 5 September 2023 on the subject of </w:t>
      </w:r>
      <w:r w:rsidR="006C1EDF" w:rsidRPr="006C1EDF">
        <w:rPr>
          <w:rFonts w:cs="Arial"/>
          <w:bCs/>
          <w:i/>
          <w:iCs/>
          <w:szCs w:val="22"/>
        </w:rPr>
        <w:t xml:space="preserve">locus </w:t>
      </w:r>
      <w:proofErr w:type="spellStart"/>
      <w:r w:rsidR="006C1EDF" w:rsidRPr="006C1EDF">
        <w:rPr>
          <w:rFonts w:cs="Arial"/>
          <w:bCs/>
          <w:i/>
          <w:iCs/>
          <w:szCs w:val="22"/>
        </w:rPr>
        <w:t>standi</w:t>
      </w:r>
      <w:proofErr w:type="spellEnd"/>
      <w:r w:rsidR="006C1EDF">
        <w:rPr>
          <w:rFonts w:cs="Arial"/>
          <w:bCs/>
          <w:szCs w:val="22"/>
        </w:rPr>
        <w:t xml:space="preserve"> as it became apparent that neither side dealt with his aspect sufficiently in argument. The applicant accepted the invitation and filed written argument on 5 September 2023, together with a notice by the second respondent abiding the relief sought by the applicant</w:t>
      </w:r>
      <w:r w:rsidR="008F6436">
        <w:rPr>
          <w:rFonts w:cs="Arial"/>
          <w:bCs/>
          <w:szCs w:val="22"/>
        </w:rPr>
        <w:t>s</w:t>
      </w:r>
      <w:r w:rsidR="006C1EDF">
        <w:rPr>
          <w:rFonts w:cs="Arial"/>
          <w:bCs/>
          <w:szCs w:val="22"/>
        </w:rPr>
        <w:t xml:space="preserve"> and a resolution by the </w:t>
      </w:r>
      <w:r w:rsidR="006C1EDF">
        <w:rPr>
          <w:rFonts w:cs="Arial"/>
          <w:bCs/>
          <w:szCs w:val="22"/>
        </w:rPr>
        <w:lastRenderedPageBreak/>
        <w:t>second respondent in support of the application and appointing the applicants’ attorneys to also act for the second respondent. I do not find it necessary to decide whether these two documents are properly before me</w:t>
      </w:r>
      <w:r w:rsidR="000426C0">
        <w:rPr>
          <w:rFonts w:cs="Arial"/>
          <w:bCs/>
          <w:szCs w:val="22"/>
        </w:rPr>
        <w:t xml:space="preserve"> and would not allow the documents without entertaining argument from the first respondent.</w:t>
      </w:r>
      <w:r w:rsidR="000426C0">
        <w:rPr>
          <w:rStyle w:val="FootnoteReference"/>
          <w:rFonts w:cs="Arial"/>
          <w:bCs/>
          <w:szCs w:val="22"/>
        </w:rPr>
        <w:footnoteReference w:id="3"/>
      </w:r>
      <w:r w:rsidR="000426C0">
        <w:rPr>
          <w:rFonts w:cs="Arial"/>
          <w:bCs/>
          <w:szCs w:val="22"/>
        </w:rPr>
        <w:t xml:space="preserve"> </w:t>
      </w:r>
    </w:p>
    <w:p w14:paraId="55249023" w14:textId="22898CE0" w:rsidR="008F6436" w:rsidRPr="008F6436" w:rsidRDefault="00355CCC" w:rsidP="00355CCC">
      <w:pPr>
        <w:widowControl w:val="0"/>
        <w:tabs>
          <w:tab w:val="left" w:pos="567"/>
        </w:tabs>
        <w:spacing w:before="480" w:after="480" w:line="360" w:lineRule="auto"/>
        <w:jc w:val="both"/>
        <w:rPr>
          <w:rFonts w:cs="Arial"/>
          <w:bCs/>
          <w:szCs w:val="22"/>
        </w:rPr>
      </w:pPr>
      <w:r w:rsidRPr="008F6436">
        <w:rPr>
          <w:rFonts w:cs="Arial"/>
          <w:bCs/>
          <w:szCs w:val="22"/>
        </w:rPr>
        <w:t>[6]</w:t>
      </w:r>
      <w:r w:rsidRPr="008F6436">
        <w:rPr>
          <w:rFonts w:cs="Arial"/>
          <w:bCs/>
          <w:szCs w:val="22"/>
        </w:rPr>
        <w:tab/>
      </w:r>
      <w:r w:rsidR="00494337" w:rsidRPr="00494337">
        <w:rPr>
          <w:rFonts w:cs="Arial"/>
          <w:bCs/>
          <w:szCs w:val="22"/>
          <w:lang w:val="en-US"/>
        </w:rPr>
        <w:t xml:space="preserve">The </w:t>
      </w:r>
      <w:r w:rsidR="00F4192F">
        <w:rPr>
          <w:rFonts w:cs="Arial"/>
          <w:bCs/>
          <w:szCs w:val="22"/>
          <w:lang w:val="en-US"/>
        </w:rPr>
        <w:t xml:space="preserve">first applicant and the </w:t>
      </w:r>
      <w:r w:rsidR="00AD4080">
        <w:rPr>
          <w:rFonts w:cs="Arial"/>
          <w:bCs/>
          <w:szCs w:val="22"/>
          <w:lang w:val="en-US"/>
        </w:rPr>
        <w:t xml:space="preserve">two </w:t>
      </w:r>
      <w:r w:rsidR="00F4192F">
        <w:rPr>
          <w:rFonts w:cs="Arial"/>
          <w:bCs/>
          <w:szCs w:val="22"/>
          <w:lang w:val="en-US"/>
        </w:rPr>
        <w:t>respondent</w:t>
      </w:r>
      <w:r w:rsidR="00891F55">
        <w:rPr>
          <w:rFonts w:cs="Arial"/>
          <w:bCs/>
          <w:szCs w:val="22"/>
          <w:lang w:val="en-US"/>
        </w:rPr>
        <w:t>s</w:t>
      </w:r>
      <w:r w:rsidR="00F4192F">
        <w:rPr>
          <w:rFonts w:cs="Arial"/>
          <w:bCs/>
          <w:szCs w:val="22"/>
          <w:lang w:val="en-US"/>
        </w:rPr>
        <w:t xml:space="preserve"> </w:t>
      </w:r>
      <w:r w:rsidR="00494337" w:rsidRPr="00494337">
        <w:rPr>
          <w:rFonts w:cs="Arial"/>
          <w:bCs/>
          <w:szCs w:val="22"/>
          <w:lang w:val="en-US"/>
        </w:rPr>
        <w:t>entered into a</w:t>
      </w:r>
      <w:r w:rsidR="00B00DA5">
        <w:rPr>
          <w:rFonts w:cs="Arial"/>
          <w:bCs/>
          <w:szCs w:val="22"/>
          <w:lang w:val="en-US"/>
        </w:rPr>
        <w:t xml:space="preserve"> tripartite</w:t>
      </w:r>
      <w:r w:rsidR="00494337" w:rsidRPr="00494337">
        <w:rPr>
          <w:rFonts w:cs="Arial"/>
          <w:bCs/>
          <w:szCs w:val="22"/>
          <w:lang w:val="en-US"/>
        </w:rPr>
        <w:t xml:space="preserve"> written sale of business agreement</w:t>
      </w:r>
      <w:r w:rsidR="00494337">
        <w:rPr>
          <w:rStyle w:val="FootnoteReference"/>
          <w:rFonts w:cs="Arial"/>
          <w:bCs/>
          <w:szCs w:val="22"/>
          <w:lang w:val="en-US"/>
        </w:rPr>
        <w:footnoteReference w:id="4"/>
      </w:r>
      <w:r w:rsidR="00494337">
        <w:rPr>
          <w:rFonts w:cs="Arial"/>
          <w:bCs/>
          <w:szCs w:val="22"/>
          <w:lang w:val="en-US"/>
        </w:rPr>
        <w:t xml:space="preserve"> </w:t>
      </w:r>
      <w:r w:rsidR="00494337" w:rsidRPr="00494337">
        <w:rPr>
          <w:rFonts w:cs="Arial"/>
          <w:bCs/>
          <w:szCs w:val="22"/>
          <w:lang w:val="en-US"/>
        </w:rPr>
        <w:t xml:space="preserve">on 15 March 2023. On </w:t>
      </w:r>
      <w:r w:rsidR="00494337">
        <w:rPr>
          <w:rFonts w:cs="Arial"/>
          <w:bCs/>
          <w:szCs w:val="22"/>
          <w:lang w:val="en-US"/>
        </w:rPr>
        <w:t>3</w:t>
      </w:r>
      <w:r w:rsidR="00494337" w:rsidRPr="00494337">
        <w:rPr>
          <w:rFonts w:cs="Arial"/>
          <w:bCs/>
          <w:szCs w:val="22"/>
          <w:lang w:val="en-US"/>
        </w:rPr>
        <w:t xml:space="preserve"> April 2023 they entered into a second agreement</w:t>
      </w:r>
      <w:r w:rsidR="00494337">
        <w:rPr>
          <w:rStyle w:val="FootnoteReference"/>
          <w:rFonts w:cs="Arial"/>
          <w:bCs/>
          <w:szCs w:val="22"/>
          <w:lang w:val="en-US"/>
        </w:rPr>
        <w:footnoteReference w:id="5"/>
      </w:r>
      <w:r w:rsidR="00494337">
        <w:rPr>
          <w:rFonts w:cs="Arial"/>
          <w:bCs/>
          <w:szCs w:val="22"/>
          <w:lang w:val="en-US"/>
        </w:rPr>
        <w:t xml:space="preserve"> (</w:t>
      </w:r>
      <w:r w:rsidR="00494337" w:rsidRPr="00494337">
        <w:rPr>
          <w:rFonts w:cs="Arial"/>
          <w:bCs/>
          <w:szCs w:val="22"/>
          <w:lang w:val="en-US"/>
        </w:rPr>
        <w:t xml:space="preserve">styled the </w:t>
      </w:r>
      <w:r w:rsidR="00494337">
        <w:rPr>
          <w:rFonts w:cs="Arial"/>
          <w:bCs/>
          <w:szCs w:val="22"/>
          <w:lang w:val="en-US"/>
        </w:rPr>
        <w:t>‘</w:t>
      </w:r>
      <w:r w:rsidR="00494337" w:rsidRPr="00494337">
        <w:rPr>
          <w:rFonts w:cs="Arial"/>
          <w:bCs/>
          <w:szCs w:val="22"/>
          <w:lang w:val="en-US"/>
        </w:rPr>
        <w:t xml:space="preserve">restated </w:t>
      </w:r>
      <w:r w:rsidR="00494337">
        <w:rPr>
          <w:rFonts w:cs="Arial"/>
          <w:bCs/>
          <w:szCs w:val="22"/>
          <w:lang w:val="en-US"/>
        </w:rPr>
        <w:t xml:space="preserve">and amended </w:t>
      </w:r>
      <w:r w:rsidR="00494337" w:rsidRPr="00494337">
        <w:rPr>
          <w:rFonts w:cs="Arial"/>
          <w:bCs/>
          <w:szCs w:val="22"/>
          <w:lang w:val="en-US"/>
        </w:rPr>
        <w:t>agreement</w:t>
      </w:r>
      <w:r w:rsidR="00494337">
        <w:rPr>
          <w:rFonts w:cs="Arial"/>
          <w:bCs/>
          <w:szCs w:val="22"/>
          <w:lang w:val="en-US"/>
        </w:rPr>
        <w:t xml:space="preserve">’) </w:t>
      </w:r>
      <w:r w:rsidR="00494337" w:rsidRPr="00494337">
        <w:rPr>
          <w:rFonts w:cs="Arial"/>
          <w:bCs/>
          <w:szCs w:val="22"/>
          <w:lang w:val="en-US"/>
        </w:rPr>
        <w:t>with a view to amending certain clauses of the agreement. I refer in this judgment to the agreement as</w:t>
      </w:r>
      <w:r w:rsidR="008F6436">
        <w:rPr>
          <w:rFonts w:cs="Arial"/>
          <w:bCs/>
          <w:szCs w:val="22"/>
          <w:lang w:val="en-US"/>
        </w:rPr>
        <w:t xml:space="preserve"> it was</w:t>
      </w:r>
      <w:r w:rsidR="00494337" w:rsidRPr="00494337">
        <w:rPr>
          <w:rFonts w:cs="Arial"/>
          <w:bCs/>
          <w:szCs w:val="22"/>
          <w:lang w:val="en-US"/>
        </w:rPr>
        <w:t xml:space="preserve"> amended.</w:t>
      </w:r>
      <w:r w:rsidR="00891F55">
        <w:rPr>
          <w:rFonts w:cs="Arial"/>
          <w:bCs/>
          <w:szCs w:val="22"/>
          <w:lang w:val="en-US"/>
        </w:rPr>
        <w:t xml:space="preserve"> </w:t>
      </w:r>
    </w:p>
    <w:p w14:paraId="1F946CEA" w14:textId="02D58A3A" w:rsidR="005E7B14" w:rsidRPr="005E7B14" w:rsidRDefault="00205E72" w:rsidP="008F6436">
      <w:pPr>
        <w:widowControl w:val="0"/>
        <w:spacing w:before="480" w:after="480" w:line="360" w:lineRule="auto"/>
        <w:jc w:val="both"/>
        <w:rPr>
          <w:rFonts w:cs="Arial"/>
          <w:bCs/>
          <w:szCs w:val="22"/>
        </w:rPr>
      </w:pPr>
      <w:r>
        <w:rPr>
          <w:rFonts w:cs="Arial"/>
          <w:bCs/>
          <w:szCs w:val="22"/>
          <w:lang w:val="en-US"/>
        </w:rPr>
        <w:t>The second applicant is referred to as the sole shareholder of the second respondent in the agreement.</w:t>
      </w:r>
      <w:r>
        <w:rPr>
          <w:rStyle w:val="FootnoteReference"/>
          <w:rFonts w:cs="Arial"/>
          <w:bCs/>
          <w:szCs w:val="22"/>
          <w:lang w:val="en-US"/>
        </w:rPr>
        <w:footnoteReference w:id="6"/>
      </w:r>
    </w:p>
    <w:p w14:paraId="08FE01E5" w14:textId="6E21D231" w:rsidR="000426C0" w:rsidRPr="000426C0" w:rsidRDefault="00355CCC" w:rsidP="00355CCC">
      <w:pPr>
        <w:widowControl w:val="0"/>
        <w:tabs>
          <w:tab w:val="left" w:pos="567"/>
        </w:tabs>
        <w:spacing w:before="480" w:after="480" w:line="360" w:lineRule="auto"/>
        <w:jc w:val="both"/>
        <w:rPr>
          <w:rFonts w:cs="Arial"/>
          <w:bCs/>
          <w:szCs w:val="22"/>
        </w:rPr>
      </w:pPr>
      <w:r w:rsidRPr="000426C0">
        <w:rPr>
          <w:rFonts w:cs="Arial"/>
          <w:bCs/>
          <w:szCs w:val="22"/>
        </w:rPr>
        <w:t>[7]</w:t>
      </w:r>
      <w:r w:rsidRPr="000426C0">
        <w:rPr>
          <w:rFonts w:cs="Arial"/>
          <w:bCs/>
          <w:szCs w:val="22"/>
        </w:rPr>
        <w:tab/>
      </w:r>
      <w:r w:rsidR="00CE2E22" w:rsidRPr="00CE2E22">
        <w:rPr>
          <w:rFonts w:cs="Arial"/>
          <w:bCs/>
          <w:szCs w:val="22"/>
          <w:lang w:val="en-US"/>
        </w:rPr>
        <w:t xml:space="preserve">As will be shown below the applicants </w:t>
      </w:r>
      <w:r w:rsidR="00205E72">
        <w:rPr>
          <w:rFonts w:cs="Arial"/>
          <w:bCs/>
          <w:szCs w:val="22"/>
          <w:lang w:val="en-US"/>
        </w:rPr>
        <w:t xml:space="preserve">misconstrued the agreement. </w:t>
      </w:r>
      <w:r w:rsidR="00D922E1">
        <w:rPr>
          <w:rFonts w:cs="Arial"/>
          <w:bCs/>
          <w:szCs w:val="22"/>
          <w:lang w:val="en-US"/>
        </w:rPr>
        <w:t>It is alleged in paragraph 20</w:t>
      </w:r>
      <w:r w:rsidR="00060AF8">
        <w:rPr>
          <w:rStyle w:val="FootnoteReference"/>
          <w:rFonts w:cs="Arial"/>
          <w:bCs/>
          <w:szCs w:val="22"/>
          <w:lang w:val="en-US"/>
        </w:rPr>
        <w:footnoteReference w:id="7"/>
      </w:r>
      <w:r w:rsidR="00D922E1">
        <w:rPr>
          <w:rFonts w:cs="Arial"/>
          <w:bCs/>
          <w:szCs w:val="22"/>
          <w:lang w:val="en-US"/>
        </w:rPr>
        <w:t xml:space="preserve"> of the founding affidavit that the first respondent and the second applicant concluded the agreement. The agreement was in reality concluded by the second respondent and not by the second applicant.</w:t>
      </w:r>
      <w:r w:rsidR="00060AF8">
        <w:rPr>
          <w:rFonts w:cs="Arial"/>
          <w:bCs/>
          <w:szCs w:val="22"/>
          <w:lang w:val="en-US"/>
        </w:rPr>
        <w:t xml:space="preserve"> What was sold, was the business of the second respondent as defined, not the ownership of the second respondent i</w:t>
      </w:r>
      <w:r w:rsidR="005E7B14">
        <w:rPr>
          <w:rFonts w:cs="Arial"/>
          <w:bCs/>
          <w:szCs w:val="22"/>
          <w:lang w:val="en-US"/>
        </w:rPr>
        <w:t>.</w:t>
      </w:r>
      <w:r w:rsidR="00060AF8">
        <w:rPr>
          <w:rFonts w:cs="Arial"/>
          <w:bCs/>
          <w:szCs w:val="22"/>
          <w:lang w:val="en-US"/>
        </w:rPr>
        <w:t>e</w:t>
      </w:r>
      <w:r w:rsidR="005E7B14">
        <w:rPr>
          <w:rFonts w:cs="Arial"/>
          <w:bCs/>
          <w:szCs w:val="22"/>
          <w:lang w:val="en-US"/>
        </w:rPr>
        <w:t>.</w:t>
      </w:r>
      <w:r w:rsidR="00060AF8">
        <w:rPr>
          <w:rFonts w:cs="Arial"/>
          <w:bCs/>
          <w:szCs w:val="22"/>
          <w:lang w:val="en-US"/>
        </w:rPr>
        <w:t xml:space="preserve"> its shares.</w:t>
      </w:r>
      <w:r w:rsidR="005E7B14" w:rsidRPr="005E7B14">
        <w:rPr>
          <w:rFonts w:cs="Arial"/>
          <w:bCs/>
          <w:szCs w:val="22"/>
          <w:lang w:val="en-US"/>
        </w:rPr>
        <w:t xml:space="preserve"> </w:t>
      </w:r>
    </w:p>
    <w:p w14:paraId="56F6690C" w14:textId="231B6C98" w:rsidR="00686C3F" w:rsidRPr="00686C3F" w:rsidRDefault="00355CCC" w:rsidP="00355CCC">
      <w:pPr>
        <w:widowControl w:val="0"/>
        <w:tabs>
          <w:tab w:val="left" w:pos="567"/>
        </w:tabs>
        <w:spacing w:before="480" w:after="480" w:line="360" w:lineRule="auto"/>
        <w:jc w:val="both"/>
        <w:rPr>
          <w:rFonts w:cs="Arial"/>
          <w:bCs/>
          <w:szCs w:val="22"/>
        </w:rPr>
      </w:pPr>
      <w:r w:rsidRPr="00686C3F">
        <w:rPr>
          <w:rFonts w:cs="Arial"/>
          <w:bCs/>
          <w:szCs w:val="22"/>
        </w:rPr>
        <w:t>[8]</w:t>
      </w:r>
      <w:r w:rsidRPr="00686C3F">
        <w:rPr>
          <w:rFonts w:cs="Arial"/>
          <w:bCs/>
          <w:szCs w:val="22"/>
        </w:rPr>
        <w:tab/>
      </w:r>
      <w:r w:rsidR="00E41B67">
        <w:rPr>
          <w:rFonts w:cs="Arial"/>
          <w:bCs/>
          <w:szCs w:val="22"/>
          <w:lang w:val="en-US"/>
        </w:rPr>
        <w:t xml:space="preserve">The second applicant does not have </w:t>
      </w:r>
      <w:r w:rsidR="00E41B67" w:rsidRPr="00E41B67">
        <w:rPr>
          <w:rFonts w:cs="Arial"/>
          <w:bCs/>
          <w:i/>
          <w:iCs/>
          <w:szCs w:val="22"/>
          <w:lang w:val="en-US"/>
        </w:rPr>
        <w:t xml:space="preserve">locus </w:t>
      </w:r>
      <w:proofErr w:type="spellStart"/>
      <w:r w:rsidR="00E41B67" w:rsidRPr="00E41B67">
        <w:rPr>
          <w:rFonts w:cs="Arial"/>
          <w:bCs/>
          <w:i/>
          <w:iCs/>
          <w:szCs w:val="22"/>
          <w:lang w:val="en-US"/>
        </w:rPr>
        <w:t>standi</w:t>
      </w:r>
      <w:proofErr w:type="spellEnd"/>
      <w:r w:rsidR="00E41B67">
        <w:rPr>
          <w:rFonts w:cs="Arial"/>
          <w:bCs/>
          <w:szCs w:val="22"/>
          <w:lang w:val="en-US"/>
        </w:rPr>
        <w:t xml:space="preserve"> to sue on the agreement.</w:t>
      </w:r>
      <w:r w:rsidR="00205E72">
        <w:rPr>
          <w:rFonts w:cs="Arial"/>
          <w:bCs/>
          <w:szCs w:val="22"/>
          <w:lang w:val="en-US"/>
        </w:rPr>
        <w:t xml:space="preserve"> The first respondent would have </w:t>
      </w:r>
      <w:r w:rsidR="00205E72" w:rsidRPr="00205E72">
        <w:rPr>
          <w:rFonts w:cs="Arial"/>
          <w:bCs/>
          <w:i/>
          <w:iCs/>
          <w:szCs w:val="22"/>
          <w:lang w:val="en-US"/>
        </w:rPr>
        <w:t xml:space="preserve">locus </w:t>
      </w:r>
      <w:proofErr w:type="spellStart"/>
      <w:r w:rsidR="00205E72" w:rsidRPr="00205E72">
        <w:rPr>
          <w:rFonts w:cs="Arial"/>
          <w:bCs/>
          <w:i/>
          <w:iCs/>
          <w:szCs w:val="22"/>
          <w:lang w:val="en-US"/>
        </w:rPr>
        <w:t>standi</w:t>
      </w:r>
      <w:proofErr w:type="spellEnd"/>
      <w:r w:rsidR="00205E72">
        <w:rPr>
          <w:rFonts w:cs="Arial"/>
          <w:bCs/>
          <w:szCs w:val="22"/>
          <w:lang w:val="en-US"/>
        </w:rPr>
        <w:t xml:space="preserve"> but it is not seeking any relief and is not cited as an applicant. </w:t>
      </w:r>
    </w:p>
    <w:p w14:paraId="34C3DB8D" w14:textId="061461BE" w:rsidR="005E7B14" w:rsidRPr="005E7B14" w:rsidRDefault="00205E72" w:rsidP="00686C3F">
      <w:pPr>
        <w:widowControl w:val="0"/>
        <w:spacing w:before="480" w:after="480" w:line="360" w:lineRule="auto"/>
        <w:jc w:val="both"/>
        <w:rPr>
          <w:rFonts w:cs="Arial"/>
          <w:bCs/>
          <w:szCs w:val="22"/>
        </w:rPr>
      </w:pPr>
      <w:r w:rsidRPr="00205E72">
        <w:rPr>
          <w:rFonts w:cs="Arial"/>
          <w:bCs/>
          <w:szCs w:val="22"/>
          <w:lang w:val="en-US"/>
        </w:rPr>
        <w:t xml:space="preserve">The first applicant was not the seller and was a party to the agreement because the agreement contained restraint of trade provisions binding on the first applicant as well as </w:t>
      </w:r>
      <w:r w:rsidRPr="00205E72">
        <w:rPr>
          <w:rFonts w:cs="Arial"/>
          <w:bCs/>
          <w:szCs w:val="22"/>
          <w:lang w:val="en-US"/>
        </w:rPr>
        <w:lastRenderedPageBreak/>
        <w:t>the second respondent.</w:t>
      </w:r>
    </w:p>
    <w:p w14:paraId="21D7ECF3" w14:textId="675E2E19" w:rsidR="009D7613" w:rsidRPr="00205E72" w:rsidRDefault="00355CCC" w:rsidP="00355CCC">
      <w:pPr>
        <w:widowControl w:val="0"/>
        <w:tabs>
          <w:tab w:val="left" w:pos="567"/>
        </w:tabs>
        <w:spacing w:before="480" w:after="480" w:line="360" w:lineRule="auto"/>
        <w:jc w:val="both"/>
        <w:rPr>
          <w:rFonts w:cs="Arial"/>
          <w:bCs/>
          <w:szCs w:val="22"/>
        </w:rPr>
      </w:pPr>
      <w:r w:rsidRPr="00205E72">
        <w:rPr>
          <w:rFonts w:cs="Arial"/>
          <w:bCs/>
          <w:szCs w:val="22"/>
        </w:rPr>
        <w:t>[9]</w:t>
      </w:r>
      <w:r w:rsidRPr="00205E72">
        <w:rPr>
          <w:rFonts w:cs="Arial"/>
          <w:bCs/>
          <w:szCs w:val="22"/>
        </w:rPr>
        <w:tab/>
      </w:r>
      <w:r w:rsidR="00205E72" w:rsidRPr="00205E72">
        <w:rPr>
          <w:rFonts w:cs="Arial"/>
          <w:bCs/>
          <w:szCs w:val="22"/>
        </w:rPr>
        <w:t xml:space="preserve">The applicants approached the Urgent Court on an </w:t>
      </w:r>
      <w:r w:rsidR="00205E72" w:rsidRPr="00205E72">
        <w:rPr>
          <w:rFonts w:cs="Arial"/>
          <w:bCs/>
          <w:i/>
          <w:iCs/>
          <w:szCs w:val="22"/>
        </w:rPr>
        <w:t>ex parte</w:t>
      </w:r>
      <w:r w:rsidR="00205E72" w:rsidRPr="00205E72">
        <w:rPr>
          <w:rFonts w:cs="Arial"/>
          <w:bCs/>
          <w:szCs w:val="22"/>
        </w:rPr>
        <w:t xml:space="preserve"> basis in reliance on an agreement that simply does not exist.</w:t>
      </w:r>
      <w:r w:rsidR="00205E72">
        <w:rPr>
          <w:rFonts w:cs="Arial"/>
          <w:bCs/>
          <w:szCs w:val="22"/>
        </w:rPr>
        <w:t xml:space="preserve"> </w:t>
      </w:r>
      <w:r w:rsidR="00CE2E22" w:rsidRPr="00205E72">
        <w:rPr>
          <w:rFonts w:cs="Arial"/>
          <w:bCs/>
          <w:szCs w:val="22"/>
          <w:lang w:val="en-US"/>
        </w:rPr>
        <w:t xml:space="preserve">In the </w:t>
      </w:r>
      <w:r w:rsidR="009D7613" w:rsidRPr="00205E72">
        <w:rPr>
          <w:rFonts w:cs="Arial"/>
          <w:bCs/>
          <w:szCs w:val="22"/>
          <w:lang w:val="en-US"/>
        </w:rPr>
        <w:t xml:space="preserve">draft order handed up in court on 18 August 2023 the applicants sought and obtained an </w:t>
      </w:r>
      <w:r w:rsidR="00947F51" w:rsidRPr="00205E72">
        <w:rPr>
          <w:rFonts w:cs="Arial"/>
          <w:bCs/>
          <w:szCs w:val="22"/>
          <w:lang w:val="en-US"/>
        </w:rPr>
        <w:t xml:space="preserve">interim </w:t>
      </w:r>
      <w:r w:rsidR="009D7613" w:rsidRPr="00205E72">
        <w:rPr>
          <w:rFonts w:cs="Arial"/>
          <w:bCs/>
          <w:szCs w:val="22"/>
          <w:lang w:val="en-US"/>
        </w:rPr>
        <w:t xml:space="preserve">order aimed at a final order declaring that the agreement </w:t>
      </w:r>
      <w:r w:rsidR="009D7613" w:rsidRPr="00205E72">
        <w:rPr>
          <w:rFonts w:cs="Arial"/>
          <w:bCs/>
          <w:i/>
          <w:iCs/>
          <w:szCs w:val="22"/>
          <w:lang w:val="en-US"/>
        </w:rPr>
        <w:t>“between the second applicant and the first respondent”</w:t>
      </w:r>
      <w:r w:rsidR="009D7613" w:rsidRPr="00205E72">
        <w:rPr>
          <w:rFonts w:cs="Arial"/>
          <w:bCs/>
          <w:szCs w:val="22"/>
          <w:lang w:val="en-US"/>
        </w:rPr>
        <w:t xml:space="preserve"> was validly cancelled. The second applicant was </w:t>
      </w:r>
      <w:r w:rsidR="00B00DA5" w:rsidRPr="00205E72">
        <w:rPr>
          <w:rFonts w:cs="Arial"/>
          <w:bCs/>
          <w:szCs w:val="22"/>
          <w:lang w:val="en-US"/>
        </w:rPr>
        <w:t xml:space="preserve">however </w:t>
      </w:r>
      <w:r w:rsidR="009D7613" w:rsidRPr="00205E72">
        <w:rPr>
          <w:rFonts w:cs="Arial"/>
          <w:bCs/>
          <w:szCs w:val="22"/>
          <w:lang w:val="en-US"/>
        </w:rPr>
        <w:t xml:space="preserve">not a party to the agreement and the seller was not the second applicant as alleged, but the second respondent. </w:t>
      </w:r>
    </w:p>
    <w:p w14:paraId="5391C873" w14:textId="6E26F3A7" w:rsidR="00CE2E22" w:rsidRPr="00947F51" w:rsidRDefault="00355CCC" w:rsidP="00355CCC">
      <w:pPr>
        <w:widowControl w:val="0"/>
        <w:tabs>
          <w:tab w:val="left" w:pos="567"/>
        </w:tabs>
        <w:spacing w:before="480" w:after="480" w:line="360" w:lineRule="auto"/>
        <w:jc w:val="both"/>
        <w:rPr>
          <w:rFonts w:cs="Arial"/>
          <w:bCs/>
          <w:szCs w:val="22"/>
        </w:rPr>
      </w:pPr>
      <w:r w:rsidRPr="00947F51">
        <w:rPr>
          <w:rFonts w:cs="Arial"/>
          <w:bCs/>
          <w:szCs w:val="22"/>
        </w:rPr>
        <w:t>[10]</w:t>
      </w:r>
      <w:r w:rsidRPr="00947F51">
        <w:rPr>
          <w:rFonts w:cs="Arial"/>
          <w:bCs/>
          <w:szCs w:val="22"/>
        </w:rPr>
        <w:tab/>
      </w:r>
      <w:r w:rsidR="009D7613" w:rsidRPr="009D7613">
        <w:rPr>
          <w:rFonts w:cs="Arial"/>
          <w:bCs/>
          <w:szCs w:val="22"/>
          <w:lang w:val="en-US"/>
        </w:rPr>
        <w:t>On</w:t>
      </w:r>
      <w:r w:rsidR="00205E72">
        <w:rPr>
          <w:rFonts w:cs="Arial"/>
          <w:bCs/>
          <w:szCs w:val="22"/>
          <w:lang w:val="en-US"/>
        </w:rPr>
        <w:t xml:space="preserve"> reading the agreement it is clear that </w:t>
      </w:r>
      <w:r w:rsidR="009D7613">
        <w:rPr>
          <w:rFonts w:cs="Arial"/>
          <w:bCs/>
          <w:szCs w:val="22"/>
          <w:lang w:val="en-US"/>
        </w:rPr>
        <w:t xml:space="preserve">it </w:t>
      </w:r>
      <w:r w:rsidR="009D7613" w:rsidRPr="009D7613">
        <w:rPr>
          <w:rFonts w:cs="Arial"/>
          <w:bCs/>
          <w:szCs w:val="22"/>
          <w:lang w:val="en-US"/>
        </w:rPr>
        <w:t xml:space="preserve">was the second respondent and not either of the applicants that was </w:t>
      </w:r>
      <w:r w:rsidR="00686C3F">
        <w:rPr>
          <w:rFonts w:cs="Arial"/>
          <w:bCs/>
          <w:szCs w:val="22"/>
          <w:lang w:val="en-US"/>
        </w:rPr>
        <w:t xml:space="preserve">potentially </w:t>
      </w:r>
      <w:r w:rsidR="009D7613" w:rsidRPr="009D7613">
        <w:rPr>
          <w:rFonts w:cs="Arial"/>
          <w:bCs/>
          <w:szCs w:val="22"/>
          <w:lang w:val="en-US"/>
        </w:rPr>
        <w:t>entitled to cancel the agreement because of non</w:t>
      </w:r>
      <w:r w:rsidR="009D7613">
        <w:rPr>
          <w:rFonts w:cs="Arial"/>
          <w:bCs/>
          <w:szCs w:val="22"/>
          <w:lang w:val="en-US"/>
        </w:rPr>
        <w:t>-</w:t>
      </w:r>
      <w:r w:rsidR="009D7613" w:rsidRPr="009D7613">
        <w:rPr>
          <w:rFonts w:cs="Arial"/>
          <w:bCs/>
          <w:szCs w:val="22"/>
          <w:lang w:val="en-US"/>
        </w:rPr>
        <w:t>payment</w:t>
      </w:r>
      <w:r w:rsidR="009D7613">
        <w:rPr>
          <w:rFonts w:cs="Arial"/>
          <w:bCs/>
          <w:szCs w:val="22"/>
          <w:lang w:val="en-US"/>
        </w:rPr>
        <w:t xml:space="preserve">. </w:t>
      </w:r>
      <w:r w:rsidR="009D7613" w:rsidRPr="009D7613">
        <w:rPr>
          <w:rFonts w:cs="Arial"/>
          <w:bCs/>
          <w:szCs w:val="22"/>
          <w:lang w:val="en-US"/>
        </w:rPr>
        <w:t xml:space="preserve">It is not alleged </w:t>
      </w:r>
      <w:r w:rsidR="009D7613">
        <w:rPr>
          <w:rFonts w:cs="Arial"/>
          <w:bCs/>
          <w:szCs w:val="22"/>
          <w:lang w:val="en-US"/>
        </w:rPr>
        <w:t xml:space="preserve">or shown </w:t>
      </w:r>
      <w:r w:rsidR="009D7613" w:rsidRPr="009D7613">
        <w:rPr>
          <w:rFonts w:cs="Arial"/>
          <w:bCs/>
          <w:szCs w:val="22"/>
          <w:lang w:val="en-US"/>
        </w:rPr>
        <w:t>that the first respondent breached the agreement</w:t>
      </w:r>
      <w:r w:rsidR="009D7613">
        <w:rPr>
          <w:rFonts w:cs="Arial"/>
          <w:bCs/>
          <w:szCs w:val="22"/>
          <w:lang w:val="en-US"/>
        </w:rPr>
        <w:t xml:space="preserve"> </w:t>
      </w:r>
      <w:r w:rsidR="009D7613" w:rsidRPr="009D7613">
        <w:rPr>
          <w:rFonts w:cs="Arial"/>
          <w:bCs/>
          <w:szCs w:val="22"/>
          <w:lang w:val="en-US"/>
        </w:rPr>
        <w:t>in respect of any obligation owed to the first applicant and no right to cancel accrued to the first applicant to cancel the agreement</w:t>
      </w:r>
      <w:r w:rsidR="009D7613">
        <w:rPr>
          <w:rFonts w:cs="Arial"/>
          <w:bCs/>
          <w:szCs w:val="22"/>
          <w:lang w:val="en-US"/>
        </w:rPr>
        <w:t>.</w:t>
      </w:r>
      <w:r w:rsidR="00947F51">
        <w:rPr>
          <w:rFonts w:cs="Arial"/>
          <w:bCs/>
          <w:szCs w:val="22"/>
          <w:lang w:val="en-US"/>
        </w:rPr>
        <w:t xml:space="preserve"> </w:t>
      </w:r>
      <w:r w:rsidR="005E7B14">
        <w:rPr>
          <w:rFonts w:cs="Arial"/>
          <w:bCs/>
          <w:szCs w:val="22"/>
          <w:lang w:val="en-US"/>
        </w:rPr>
        <w:t>The second applicant could never have the right to cancel the agreement as it was not a party to it.</w:t>
      </w:r>
    </w:p>
    <w:p w14:paraId="1A6F36A6" w14:textId="7A72CA04" w:rsidR="00947F51" w:rsidRPr="00494337" w:rsidRDefault="00947F51" w:rsidP="00686C3F">
      <w:pPr>
        <w:widowControl w:val="0"/>
        <w:spacing w:before="480" w:after="480" w:line="360" w:lineRule="auto"/>
        <w:jc w:val="both"/>
        <w:rPr>
          <w:rFonts w:cs="Arial"/>
          <w:bCs/>
          <w:szCs w:val="22"/>
        </w:rPr>
      </w:pPr>
      <w:r>
        <w:rPr>
          <w:rFonts w:cs="Arial"/>
          <w:bCs/>
          <w:szCs w:val="22"/>
          <w:lang w:val="en-US"/>
        </w:rPr>
        <w:t xml:space="preserve">The </w:t>
      </w:r>
      <w:r w:rsidR="008F6436">
        <w:rPr>
          <w:rFonts w:cs="Arial"/>
          <w:bCs/>
          <w:szCs w:val="22"/>
          <w:lang w:val="en-US"/>
        </w:rPr>
        <w:t xml:space="preserve">two </w:t>
      </w:r>
      <w:r w:rsidRPr="00947F51">
        <w:rPr>
          <w:rFonts w:cs="Arial"/>
          <w:bCs/>
          <w:szCs w:val="22"/>
          <w:lang w:val="en-US"/>
        </w:rPr>
        <w:t>applicants therefore lack</w:t>
      </w:r>
      <w:r>
        <w:rPr>
          <w:rFonts w:cs="Arial"/>
          <w:bCs/>
          <w:szCs w:val="22"/>
          <w:lang w:val="en-US"/>
        </w:rPr>
        <w:t>ed</w:t>
      </w:r>
      <w:r w:rsidRPr="00947F51">
        <w:rPr>
          <w:rFonts w:cs="Arial"/>
          <w:bCs/>
          <w:szCs w:val="22"/>
          <w:lang w:val="en-US"/>
        </w:rPr>
        <w:t xml:space="preserve"> </w:t>
      </w:r>
      <w:r w:rsidR="00B00DA5" w:rsidRPr="00B00DA5">
        <w:rPr>
          <w:rFonts w:cs="Arial"/>
          <w:bCs/>
          <w:i/>
          <w:iCs/>
          <w:szCs w:val="22"/>
          <w:lang w:val="en-US"/>
        </w:rPr>
        <w:t xml:space="preserve">locus </w:t>
      </w:r>
      <w:proofErr w:type="spellStart"/>
      <w:r w:rsidR="00B00DA5" w:rsidRPr="00B00DA5">
        <w:rPr>
          <w:rFonts w:cs="Arial"/>
          <w:bCs/>
          <w:i/>
          <w:iCs/>
          <w:szCs w:val="22"/>
          <w:lang w:val="en-US"/>
        </w:rPr>
        <w:t>standi</w:t>
      </w:r>
      <w:proofErr w:type="spellEnd"/>
      <w:r w:rsidR="00B00DA5">
        <w:rPr>
          <w:rFonts w:cs="Arial"/>
          <w:bCs/>
          <w:szCs w:val="22"/>
          <w:lang w:val="en-US"/>
        </w:rPr>
        <w:t xml:space="preserve"> </w:t>
      </w:r>
      <w:r w:rsidRPr="00947F51">
        <w:rPr>
          <w:rFonts w:cs="Arial"/>
          <w:bCs/>
          <w:szCs w:val="22"/>
          <w:lang w:val="en-US"/>
        </w:rPr>
        <w:t>to bring the application and the application must fail for this reason</w:t>
      </w:r>
      <w:r>
        <w:rPr>
          <w:rFonts w:cs="Arial"/>
          <w:bCs/>
          <w:szCs w:val="22"/>
          <w:lang w:val="en-US"/>
        </w:rPr>
        <w:t>.</w:t>
      </w:r>
    </w:p>
    <w:p w14:paraId="7AC85A0D" w14:textId="3F59ABF7" w:rsidR="00494337" w:rsidRPr="000F00EF" w:rsidRDefault="00355CCC" w:rsidP="00355CCC">
      <w:pPr>
        <w:widowControl w:val="0"/>
        <w:tabs>
          <w:tab w:val="left" w:pos="567"/>
        </w:tabs>
        <w:spacing w:before="480" w:after="480" w:line="360" w:lineRule="auto"/>
        <w:jc w:val="both"/>
        <w:rPr>
          <w:rFonts w:cs="Arial"/>
          <w:bCs/>
          <w:szCs w:val="22"/>
        </w:rPr>
      </w:pPr>
      <w:r w:rsidRPr="000F00EF">
        <w:rPr>
          <w:rFonts w:cs="Arial"/>
          <w:bCs/>
          <w:szCs w:val="22"/>
        </w:rPr>
        <w:t>[11]</w:t>
      </w:r>
      <w:r w:rsidRPr="000F00EF">
        <w:rPr>
          <w:rFonts w:cs="Arial"/>
          <w:bCs/>
          <w:szCs w:val="22"/>
        </w:rPr>
        <w:tab/>
      </w:r>
      <w:r w:rsidR="00494337" w:rsidRPr="00494337">
        <w:rPr>
          <w:rFonts w:cs="Arial"/>
          <w:bCs/>
          <w:szCs w:val="22"/>
          <w:lang w:val="en-US"/>
        </w:rPr>
        <w:t>The agreement provided for the sale</w:t>
      </w:r>
      <w:r w:rsidR="0029196F">
        <w:rPr>
          <w:rStyle w:val="FootnoteReference"/>
          <w:rFonts w:cs="Arial"/>
          <w:bCs/>
          <w:szCs w:val="22"/>
          <w:lang w:val="en-US"/>
        </w:rPr>
        <w:footnoteReference w:id="8"/>
      </w:r>
      <w:r w:rsidR="00494337" w:rsidRPr="00494337">
        <w:rPr>
          <w:rFonts w:cs="Arial"/>
          <w:bCs/>
          <w:szCs w:val="22"/>
          <w:lang w:val="en-US"/>
        </w:rPr>
        <w:t xml:space="preserve"> of the business conducted by the seller </w:t>
      </w:r>
      <w:r w:rsidR="0029196F">
        <w:rPr>
          <w:rFonts w:cs="Arial"/>
          <w:bCs/>
          <w:szCs w:val="22"/>
          <w:lang w:val="en-US"/>
        </w:rPr>
        <w:t xml:space="preserve">(the </w:t>
      </w:r>
      <w:r w:rsidR="003B11F4">
        <w:rPr>
          <w:rFonts w:cs="Arial"/>
          <w:bCs/>
          <w:szCs w:val="22"/>
          <w:lang w:val="en-US"/>
        </w:rPr>
        <w:t>second respondent) to the purchaser (the first respondent). The business is</w:t>
      </w:r>
      <w:r w:rsidR="0029196F">
        <w:rPr>
          <w:rFonts w:cs="Arial"/>
          <w:bCs/>
          <w:szCs w:val="22"/>
          <w:lang w:val="en-US"/>
        </w:rPr>
        <w:t xml:space="preserve"> </w:t>
      </w:r>
      <w:r w:rsidR="00494337" w:rsidRPr="00494337">
        <w:rPr>
          <w:rFonts w:cs="Arial"/>
          <w:bCs/>
          <w:szCs w:val="22"/>
          <w:lang w:val="en-US"/>
        </w:rPr>
        <w:t>described</w:t>
      </w:r>
      <w:r w:rsidR="0029196F">
        <w:rPr>
          <w:rStyle w:val="FootnoteReference"/>
          <w:rFonts w:cs="Arial"/>
          <w:bCs/>
          <w:szCs w:val="22"/>
          <w:lang w:val="en-US"/>
        </w:rPr>
        <w:footnoteReference w:id="9"/>
      </w:r>
      <w:r w:rsidR="00494337" w:rsidRPr="00494337">
        <w:rPr>
          <w:rFonts w:cs="Arial"/>
          <w:bCs/>
          <w:szCs w:val="22"/>
          <w:lang w:val="en-US"/>
        </w:rPr>
        <w:t xml:space="preserve"> as the operation of a medical technology company </w:t>
      </w:r>
      <w:proofErr w:type="spellStart"/>
      <w:r w:rsidR="00494337" w:rsidRPr="00494337">
        <w:rPr>
          <w:rFonts w:cs="Arial"/>
          <w:bCs/>
          <w:szCs w:val="22"/>
          <w:lang w:val="en-US"/>
        </w:rPr>
        <w:t>specialising</w:t>
      </w:r>
      <w:proofErr w:type="spellEnd"/>
      <w:r w:rsidR="00494337" w:rsidRPr="00494337">
        <w:rPr>
          <w:rFonts w:cs="Arial"/>
          <w:bCs/>
          <w:szCs w:val="22"/>
          <w:lang w:val="en-US"/>
        </w:rPr>
        <w:t xml:space="preserve"> in the manufacture of portable medical technology devices</w:t>
      </w:r>
      <w:r w:rsidR="0029196F">
        <w:rPr>
          <w:rFonts w:cs="Arial"/>
          <w:bCs/>
          <w:szCs w:val="22"/>
          <w:lang w:val="en-US"/>
        </w:rPr>
        <w:t xml:space="preserve">. </w:t>
      </w:r>
      <w:r w:rsidR="0029196F" w:rsidRPr="0029196F">
        <w:rPr>
          <w:rFonts w:cs="Arial"/>
          <w:bCs/>
          <w:szCs w:val="22"/>
          <w:lang w:val="en-US"/>
        </w:rPr>
        <w:t>The business is comprised of sale assets</w:t>
      </w:r>
      <w:r w:rsidR="0029196F">
        <w:rPr>
          <w:rFonts w:cs="Arial"/>
          <w:bCs/>
          <w:szCs w:val="22"/>
          <w:lang w:val="en-US"/>
        </w:rPr>
        <w:t xml:space="preserve"> </w:t>
      </w:r>
      <w:r w:rsidR="0029196F" w:rsidRPr="0029196F">
        <w:rPr>
          <w:rFonts w:cs="Arial"/>
          <w:bCs/>
          <w:szCs w:val="22"/>
          <w:lang w:val="en-US"/>
        </w:rPr>
        <w:t>defined</w:t>
      </w:r>
      <w:r w:rsidR="0029196F">
        <w:rPr>
          <w:rFonts w:cs="Arial"/>
          <w:bCs/>
          <w:szCs w:val="22"/>
          <w:lang w:val="en-US"/>
        </w:rPr>
        <w:t xml:space="preserve"> </w:t>
      </w:r>
      <w:r w:rsidR="0029196F" w:rsidRPr="0029196F">
        <w:rPr>
          <w:rFonts w:cs="Arial"/>
          <w:bCs/>
          <w:szCs w:val="22"/>
          <w:lang w:val="en-US"/>
        </w:rPr>
        <w:t>in the agreement</w:t>
      </w:r>
      <w:r w:rsidR="0029196F">
        <w:rPr>
          <w:rFonts w:cs="Arial"/>
          <w:bCs/>
          <w:szCs w:val="22"/>
          <w:lang w:val="en-US"/>
        </w:rPr>
        <w:t>.</w:t>
      </w:r>
      <w:r w:rsidR="0029196F">
        <w:rPr>
          <w:rStyle w:val="FootnoteReference"/>
          <w:rFonts w:cs="Arial"/>
          <w:bCs/>
          <w:szCs w:val="22"/>
          <w:lang w:val="en-US"/>
        </w:rPr>
        <w:footnoteReference w:id="10"/>
      </w:r>
      <w:r w:rsidR="008D2A7F">
        <w:rPr>
          <w:rFonts w:cs="Arial"/>
          <w:bCs/>
          <w:szCs w:val="22"/>
          <w:lang w:val="en-US"/>
        </w:rPr>
        <w:t xml:space="preserve"> It is important to note that the sale was not a sale of shares and that ownership of the shares in the second respondent did not change hands.</w:t>
      </w:r>
    </w:p>
    <w:p w14:paraId="087B72E6" w14:textId="3D674F4A" w:rsidR="000F00EF" w:rsidRPr="00C50180" w:rsidRDefault="00355CCC" w:rsidP="00355CCC">
      <w:pPr>
        <w:widowControl w:val="0"/>
        <w:tabs>
          <w:tab w:val="left" w:pos="567"/>
        </w:tabs>
        <w:spacing w:before="480" w:after="480" w:line="360" w:lineRule="auto"/>
        <w:jc w:val="both"/>
        <w:rPr>
          <w:rFonts w:cs="Arial"/>
          <w:bCs/>
          <w:szCs w:val="22"/>
        </w:rPr>
      </w:pPr>
      <w:r w:rsidRPr="00C50180">
        <w:rPr>
          <w:rFonts w:cs="Arial"/>
          <w:bCs/>
          <w:szCs w:val="22"/>
        </w:rPr>
        <w:t>[12]</w:t>
      </w:r>
      <w:r w:rsidRPr="00C50180">
        <w:rPr>
          <w:rFonts w:cs="Arial"/>
          <w:bCs/>
          <w:szCs w:val="22"/>
        </w:rPr>
        <w:tab/>
      </w:r>
      <w:r w:rsidR="00787202">
        <w:rPr>
          <w:rFonts w:cs="Arial"/>
          <w:bCs/>
          <w:szCs w:val="22"/>
          <w:lang w:val="en-US"/>
        </w:rPr>
        <w:t>T</w:t>
      </w:r>
      <w:r w:rsidR="00787202" w:rsidRPr="003959D1">
        <w:rPr>
          <w:rFonts w:cs="Arial"/>
          <w:bCs/>
          <w:szCs w:val="22"/>
          <w:lang w:val="en-US"/>
        </w:rPr>
        <w:t>he first respondent was already in possession of the sale assets</w:t>
      </w:r>
      <w:r w:rsidR="00787202">
        <w:rPr>
          <w:rFonts w:cs="Arial"/>
          <w:bCs/>
          <w:szCs w:val="22"/>
          <w:lang w:val="en-US"/>
        </w:rPr>
        <w:t xml:space="preserve"> </w:t>
      </w:r>
      <w:r w:rsidR="00787202" w:rsidRPr="003959D1">
        <w:rPr>
          <w:rFonts w:cs="Arial"/>
          <w:bCs/>
          <w:szCs w:val="22"/>
          <w:lang w:val="en-US"/>
        </w:rPr>
        <w:t xml:space="preserve">by </w:t>
      </w:r>
      <w:r w:rsidR="00787202">
        <w:rPr>
          <w:rFonts w:cs="Arial"/>
          <w:bCs/>
          <w:szCs w:val="22"/>
          <w:lang w:val="en-US"/>
        </w:rPr>
        <w:t>1</w:t>
      </w:r>
      <w:r w:rsidR="00787202" w:rsidRPr="003959D1">
        <w:rPr>
          <w:rFonts w:cs="Arial"/>
          <w:bCs/>
          <w:szCs w:val="22"/>
          <w:lang w:val="en-US"/>
        </w:rPr>
        <w:t xml:space="preserve"> December 2022</w:t>
      </w:r>
      <w:r w:rsidR="00787202">
        <w:rPr>
          <w:rFonts w:cs="Arial"/>
          <w:bCs/>
          <w:szCs w:val="22"/>
          <w:lang w:val="en-US"/>
        </w:rPr>
        <w:t>.</w:t>
      </w:r>
      <w:r w:rsidR="00787202">
        <w:rPr>
          <w:rStyle w:val="FootnoteReference"/>
          <w:rFonts w:cs="Arial"/>
          <w:bCs/>
          <w:szCs w:val="22"/>
          <w:lang w:val="en-US"/>
        </w:rPr>
        <w:footnoteReference w:id="11"/>
      </w:r>
      <w:r w:rsidR="00787202">
        <w:rPr>
          <w:rFonts w:cs="Arial"/>
          <w:bCs/>
          <w:szCs w:val="22"/>
          <w:lang w:val="en-US"/>
        </w:rPr>
        <w:t xml:space="preserve"> </w:t>
      </w:r>
      <w:r w:rsidR="0029196F">
        <w:rPr>
          <w:rFonts w:cs="Arial"/>
          <w:bCs/>
          <w:szCs w:val="22"/>
          <w:lang w:val="en-US"/>
        </w:rPr>
        <w:t>T</w:t>
      </w:r>
      <w:r w:rsidR="0029196F" w:rsidRPr="0029196F">
        <w:rPr>
          <w:rFonts w:cs="Arial"/>
          <w:bCs/>
          <w:szCs w:val="22"/>
          <w:lang w:val="en-US"/>
        </w:rPr>
        <w:t>he agreement records that</w:t>
      </w:r>
      <w:r w:rsidR="0029196F">
        <w:rPr>
          <w:rFonts w:cs="Arial"/>
          <w:bCs/>
          <w:szCs w:val="22"/>
          <w:lang w:val="en-US"/>
        </w:rPr>
        <w:t xml:space="preserve"> </w:t>
      </w:r>
      <w:r w:rsidR="0029196F" w:rsidRPr="0029196F">
        <w:rPr>
          <w:rFonts w:cs="Arial"/>
          <w:bCs/>
          <w:szCs w:val="22"/>
          <w:lang w:val="en-US"/>
        </w:rPr>
        <w:t>the purchaser</w:t>
      </w:r>
      <w:r w:rsidR="00F4192F">
        <w:rPr>
          <w:rFonts w:cs="Arial"/>
          <w:bCs/>
          <w:szCs w:val="22"/>
          <w:lang w:val="en-US"/>
        </w:rPr>
        <w:t xml:space="preserve"> </w:t>
      </w:r>
      <w:r w:rsidR="0029196F" w:rsidRPr="0029196F">
        <w:rPr>
          <w:rFonts w:cs="Arial"/>
          <w:bCs/>
          <w:szCs w:val="22"/>
          <w:lang w:val="en-US"/>
        </w:rPr>
        <w:t xml:space="preserve">had already been placed in </w:t>
      </w:r>
      <w:r w:rsidR="0029196F">
        <w:rPr>
          <w:rFonts w:cs="Arial"/>
          <w:bCs/>
          <w:szCs w:val="22"/>
          <w:lang w:val="en-US"/>
        </w:rPr>
        <w:t>possession</w:t>
      </w:r>
      <w:r w:rsidR="0029196F" w:rsidRPr="0029196F">
        <w:rPr>
          <w:rFonts w:cs="Arial"/>
          <w:bCs/>
          <w:szCs w:val="22"/>
          <w:lang w:val="en-US"/>
        </w:rPr>
        <w:t xml:space="preserve"> and control of the busin</w:t>
      </w:r>
      <w:r w:rsidR="003959D1">
        <w:rPr>
          <w:rFonts w:cs="Arial"/>
          <w:bCs/>
          <w:szCs w:val="22"/>
          <w:lang w:val="en-US"/>
        </w:rPr>
        <w:t>e</w:t>
      </w:r>
      <w:r w:rsidR="0029196F" w:rsidRPr="0029196F">
        <w:rPr>
          <w:rFonts w:cs="Arial"/>
          <w:bCs/>
          <w:szCs w:val="22"/>
          <w:lang w:val="en-US"/>
        </w:rPr>
        <w:t>ss</w:t>
      </w:r>
      <w:r w:rsidR="0029196F">
        <w:rPr>
          <w:rFonts w:cs="Arial"/>
          <w:bCs/>
          <w:szCs w:val="22"/>
          <w:lang w:val="en-US"/>
        </w:rPr>
        <w:t xml:space="preserve"> </w:t>
      </w:r>
      <w:r w:rsidR="003959D1">
        <w:rPr>
          <w:rFonts w:cs="Arial"/>
          <w:bCs/>
          <w:szCs w:val="22"/>
          <w:lang w:val="en-US"/>
        </w:rPr>
        <w:t>at</w:t>
      </w:r>
      <w:r w:rsidR="0029196F" w:rsidRPr="0029196F">
        <w:rPr>
          <w:rFonts w:cs="Arial"/>
          <w:bCs/>
          <w:szCs w:val="22"/>
          <w:lang w:val="en-US"/>
        </w:rPr>
        <w:t xml:space="preserve"> signature date as a means of </w:t>
      </w:r>
      <w:proofErr w:type="spellStart"/>
      <w:r w:rsidR="0029196F" w:rsidRPr="0029196F">
        <w:rPr>
          <w:rFonts w:cs="Arial"/>
          <w:bCs/>
          <w:szCs w:val="22"/>
          <w:lang w:val="en-US"/>
        </w:rPr>
        <w:t>familiari</w:t>
      </w:r>
      <w:r w:rsidR="00787202">
        <w:rPr>
          <w:rFonts w:cs="Arial"/>
          <w:bCs/>
          <w:szCs w:val="22"/>
          <w:lang w:val="en-US"/>
        </w:rPr>
        <w:t>s</w:t>
      </w:r>
      <w:r w:rsidR="0029196F" w:rsidRPr="0029196F">
        <w:rPr>
          <w:rFonts w:cs="Arial"/>
          <w:bCs/>
          <w:szCs w:val="22"/>
          <w:lang w:val="en-US"/>
        </w:rPr>
        <w:t>ing</w:t>
      </w:r>
      <w:proofErr w:type="spellEnd"/>
      <w:r w:rsidR="0029196F" w:rsidRPr="0029196F">
        <w:rPr>
          <w:rFonts w:cs="Arial"/>
          <w:bCs/>
          <w:szCs w:val="22"/>
          <w:lang w:val="en-US"/>
        </w:rPr>
        <w:t xml:space="preserve"> the </w:t>
      </w:r>
      <w:r w:rsidR="008D2A7F">
        <w:rPr>
          <w:rFonts w:cs="Arial"/>
          <w:bCs/>
          <w:szCs w:val="22"/>
          <w:lang w:val="en-US"/>
        </w:rPr>
        <w:t>purchaser</w:t>
      </w:r>
      <w:r w:rsidR="0029196F" w:rsidRPr="0029196F">
        <w:rPr>
          <w:rFonts w:cs="Arial"/>
          <w:bCs/>
          <w:szCs w:val="22"/>
          <w:lang w:val="en-US"/>
        </w:rPr>
        <w:t xml:space="preserve"> with the operation of the business</w:t>
      </w:r>
      <w:r w:rsidR="0029196F">
        <w:rPr>
          <w:rFonts w:cs="Arial"/>
          <w:bCs/>
          <w:szCs w:val="22"/>
          <w:lang w:val="en-US"/>
        </w:rPr>
        <w:t>.</w:t>
      </w:r>
      <w:r w:rsidR="0029196F">
        <w:rPr>
          <w:rStyle w:val="FootnoteReference"/>
          <w:rFonts w:cs="Arial"/>
          <w:bCs/>
          <w:szCs w:val="22"/>
          <w:lang w:val="en-US"/>
        </w:rPr>
        <w:footnoteReference w:id="12"/>
      </w:r>
      <w:r w:rsidR="003959D1">
        <w:rPr>
          <w:rFonts w:cs="Arial"/>
          <w:bCs/>
          <w:szCs w:val="22"/>
          <w:lang w:val="en-US"/>
        </w:rPr>
        <w:t xml:space="preserve"> </w:t>
      </w:r>
    </w:p>
    <w:p w14:paraId="591609D5" w14:textId="097398C9" w:rsidR="00C50180" w:rsidRPr="000F00EF" w:rsidRDefault="00C50180" w:rsidP="00686C3F">
      <w:pPr>
        <w:widowControl w:val="0"/>
        <w:spacing w:before="480" w:after="480" w:line="360" w:lineRule="auto"/>
        <w:jc w:val="both"/>
        <w:rPr>
          <w:rFonts w:cs="Arial"/>
          <w:bCs/>
          <w:szCs w:val="22"/>
        </w:rPr>
      </w:pPr>
      <w:r>
        <w:rPr>
          <w:rFonts w:cs="Arial"/>
          <w:bCs/>
          <w:szCs w:val="22"/>
          <w:lang w:val="en-US"/>
        </w:rPr>
        <w:lastRenderedPageBreak/>
        <w:t>The agreement provided for the second respondent’s liabilit</w:t>
      </w:r>
      <w:r w:rsidR="00E95C5F">
        <w:rPr>
          <w:rFonts w:cs="Arial"/>
          <w:bCs/>
          <w:szCs w:val="22"/>
          <w:lang w:val="en-US"/>
        </w:rPr>
        <w:t>y</w:t>
      </w:r>
      <w:r>
        <w:rPr>
          <w:rFonts w:cs="Arial"/>
          <w:bCs/>
          <w:szCs w:val="22"/>
          <w:lang w:val="en-US"/>
        </w:rPr>
        <w:t xml:space="preserve"> for debts incurred prior to the transfer of the business.</w:t>
      </w:r>
      <w:r>
        <w:rPr>
          <w:rStyle w:val="FootnoteReference"/>
          <w:rFonts w:cs="Arial"/>
          <w:bCs/>
          <w:szCs w:val="22"/>
          <w:lang w:val="en-US"/>
        </w:rPr>
        <w:footnoteReference w:id="13"/>
      </w:r>
    </w:p>
    <w:p w14:paraId="4D213066" w14:textId="0FEACA80" w:rsidR="00A70814" w:rsidRPr="001114D8" w:rsidRDefault="00355CCC" w:rsidP="00355CCC">
      <w:pPr>
        <w:widowControl w:val="0"/>
        <w:tabs>
          <w:tab w:val="left" w:pos="567"/>
        </w:tabs>
        <w:spacing w:before="480" w:after="480" w:line="360" w:lineRule="auto"/>
        <w:jc w:val="both"/>
        <w:rPr>
          <w:rFonts w:cs="Arial"/>
          <w:bCs/>
          <w:szCs w:val="22"/>
        </w:rPr>
      </w:pPr>
      <w:r w:rsidRPr="001114D8">
        <w:rPr>
          <w:rFonts w:cs="Arial"/>
          <w:bCs/>
          <w:szCs w:val="22"/>
        </w:rPr>
        <w:t>[13]</w:t>
      </w:r>
      <w:r w:rsidRPr="001114D8">
        <w:rPr>
          <w:rFonts w:cs="Arial"/>
          <w:bCs/>
          <w:szCs w:val="22"/>
        </w:rPr>
        <w:tab/>
      </w:r>
      <w:r w:rsidR="003959D1" w:rsidRPr="003959D1">
        <w:rPr>
          <w:rFonts w:cs="Arial"/>
          <w:bCs/>
          <w:szCs w:val="22"/>
          <w:lang w:val="en-US"/>
        </w:rPr>
        <w:t>The agreement became effective on the closing date</w:t>
      </w:r>
      <w:r w:rsidR="003959D1">
        <w:rPr>
          <w:rFonts w:cs="Arial"/>
          <w:bCs/>
          <w:szCs w:val="22"/>
          <w:lang w:val="en-US"/>
        </w:rPr>
        <w:t xml:space="preserve">, </w:t>
      </w:r>
      <w:r w:rsidR="003959D1" w:rsidRPr="003959D1">
        <w:rPr>
          <w:rFonts w:cs="Arial"/>
          <w:bCs/>
          <w:szCs w:val="22"/>
          <w:lang w:val="en-US"/>
        </w:rPr>
        <w:t>being</w:t>
      </w:r>
      <w:r w:rsidR="00E95C5F" w:rsidRPr="00E95C5F">
        <w:rPr>
          <w:rFonts w:cs="Arial"/>
          <w:bCs/>
          <w:szCs w:val="22"/>
          <w:lang w:val="en-US"/>
        </w:rPr>
        <w:t xml:space="preserve"> </w:t>
      </w:r>
      <w:r w:rsidR="00E95C5F" w:rsidRPr="003959D1">
        <w:rPr>
          <w:rFonts w:cs="Arial"/>
          <w:bCs/>
          <w:szCs w:val="22"/>
          <w:lang w:val="en-US"/>
        </w:rPr>
        <w:t>the first business day following the date on which the last of the conditions precedent were fulfilled</w:t>
      </w:r>
      <w:r w:rsidR="00E95C5F">
        <w:rPr>
          <w:rFonts w:cs="Arial"/>
          <w:bCs/>
          <w:szCs w:val="22"/>
          <w:lang w:val="en-US"/>
        </w:rPr>
        <w:t>.</w:t>
      </w:r>
      <w:r w:rsidR="003959D1">
        <w:rPr>
          <w:rStyle w:val="FootnoteReference"/>
          <w:rFonts w:cs="Arial"/>
          <w:bCs/>
          <w:szCs w:val="22"/>
          <w:lang w:val="en-US"/>
        </w:rPr>
        <w:footnoteReference w:id="14"/>
      </w:r>
      <w:r w:rsidR="003959D1">
        <w:rPr>
          <w:rFonts w:cs="Arial"/>
          <w:bCs/>
          <w:szCs w:val="22"/>
          <w:lang w:val="en-US"/>
        </w:rPr>
        <w:t xml:space="preserve"> </w:t>
      </w:r>
      <w:r w:rsidR="003959D1" w:rsidRPr="003959D1">
        <w:rPr>
          <w:rFonts w:cs="Arial"/>
          <w:bCs/>
          <w:szCs w:val="22"/>
          <w:lang w:val="en-US"/>
        </w:rPr>
        <w:t xml:space="preserve">These conditions had to be fulfilled by </w:t>
      </w:r>
      <w:r w:rsidR="003959D1">
        <w:rPr>
          <w:rFonts w:cs="Arial"/>
          <w:bCs/>
          <w:szCs w:val="22"/>
          <w:lang w:val="en-US"/>
        </w:rPr>
        <w:t>3</w:t>
      </w:r>
      <w:r w:rsidR="003959D1" w:rsidRPr="003959D1">
        <w:rPr>
          <w:rFonts w:cs="Arial"/>
          <w:bCs/>
          <w:szCs w:val="22"/>
          <w:lang w:val="en-US"/>
        </w:rPr>
        <w:t xml:space="preserve"> April 2023</w:t>
      </w:r>
      <w:r w:rsidR="00A07164">
        <w:rPr>
          <w:rFonts w:cs="Arial"/>
          <w:bCs/>
          <w:szCs w:val="22"/>
          <w:lang w:val="en-US"/>
        </w:rPr>
        <w:t>.</w:t>
      </w:r>
      <w:r w:rsidR="003959D1">
        <w:rPr>
          <w:rStyle w:val="FootnoteReference"/>
          <w:rFonts w:cs="Arial"/>
          <w:bCs/>
          <w:szCs w:val="22"/>
          <w:lang w:val="en-US"/>
        </w:rPr>
        <w:footnoteReference w:id="15"/>
      </w:r>
      <w:r w:rsidR="00A07164">
        <w:rPr>
          <w:rFonts w:cs="Arial"/>
          <w:bCs/>
          <w:szCs w:val="22"/>
          <w:lang w:val="en-US"/>
        </w:rPr>
        <w:t xml:space="preserve"> </w:t>
      </w:r>
      <w:proofErr w:type="gramStart"/>
      <w:r w:rsidR="00A07164" w:rsidRPr="00A07164">
        <w:rPr>
          <w:rFonts w:cs="Arial"/>
          <w:bCs/>
          <w:szCs w:val="22"/>
          <w:lang w:val="en-US"/>
        </w:rPr>
        <w:t>it</w:t>
      </w:r>
      <w:proofErr w:type="gramEnd"/>
      <w:r w:rsidR="00A07164" w:rsidRPr="00A07164">
        <w:rPr>
          <w:rFonts w:cs="Arial"/>
          <w:bCs/>
          <w:szCs w:val="22"/>
          <w:lang w:val="en-US"/>
        </w:rPr>
        <w:t xml:space="preserve"> is common cause that the conditions were fulfilled and the </w:t>
      </w:r>
      <w:r w:rsidR="00787202">
        <w:rPr>
          <w:rFonts w:cs="Arial"/>
          <w:bCs/>
          <w:szCs w:val="22"/>
          <w:lang w:val="en-US"/>
        </w:rPr>
        <w:t>closing</w:t>
      </w:r>
      <w:r w:rsidR="00A07164" w:rsidRPr="00A07164">
        <w:rPr>
          <w:rFonts w:cs="Arial"/>
          <w:bCs/>
          <w:szCs w:val="22"/>
          <w:lang w:val="en-US"/>
        </w:rPr>
        <w:t xml:space="preserve"> date was </w:t>
      </w:r>
      <w:r w:rsidR="00B00DA5">
        <w:rPr>
          <w:rFonts w:cs="Arial"/>
          <w:bCs/>
          <w:szCs w:val="22"/>
          <w:lang w:val="en-US"/>
        </w:rPr>
        <w:t xml:space="preserve">therefore </w:t>
      </w:r>
      <w:r w:rsidR="00E95C5F">
        <w:rPr>
          <w:rFonts w:cs="Arial"/>
          <w:bCs/>
          <w:szCs w:val="22"/>
          <w:lang w:val="en-US"/>
        </w:rPr>
        <w:t xml:space="preserve">Tuesday, </w:t>
      </w:r>
      <w:r w:rsidR="00A07164">
        <w:rPr>
          <w:rFonts w:cs="Arial"/>
          <w:bCs/>
          <w:szCs w:val="22"/>
          <w:lang w:val="en-US"/>
        </w:rPr>
        <w:t>4</w:t>
      </w:r>
      <w:r w:rsidR="00A07164" w:rsidRPr="00A07164">
        <w:rPr>
          <w:rFonts w:cs="Arial"/>
          <w:bCs/>
          <w:szCs w:val="22"/>
          <w:lang w:val="en-US"/>
        </w:rPr>
        <w:t xml:space="preserve"> April 2023</w:t>
      </w:r>
      <w:r w:rsidR="00A07164">
        <w:rPr>
          <w:rFonts w:cs="Arial"/>
          <w:bCs/>
          <w:szCs w:val="22"/>
          <w:lang w:val="en-US"/>
        </w:rPr>
        <w:t>.</w:t>
      </w:r>
      <w:r w:rsidR="00CE2E22">
        <w:rPr>
          <w:rFonts w:cs="Arial"/>
          <w:bCs/>
          <w:szCs w:val="22"/>
          <w:lang w:val="en-US"/>
        </w:rPr>
        <w:t xml:space="preserve"> </w:t>
      </w:r>
      <w:r w:rsidR="00CE2E22" w:rsidRPr="00CE2E22">
        <w:rPr>
          <w:rFonts w:cs="Arial"/>
          <w:bCs/>
          <w:szCs w:val="22"/>
          <w:lang w:val="en-US"/>
        </w:rPr>
        <w:t>One of the conditions was that the second applicant as so</w:t>
      </w:r>
      <w:r w:rsidR="00CE2E22">
        <w:rPr>
          <w:rFonts w:cs="Arial"/>
          <w:bCs/>
          <w:szCs w:val="22"/>
          <w:lang w:val="en-US"/>
        </w:rPr>
        <w:t xml:space="preserve">le </w:t>
      </w:r>
      <w:r w:rsidR="00CE2E22" w:rsidRPr="00CE2E22">
        <w:rPr>
          <w:rFonts w:cs="Arial"/>
          <w:bCs/>
          <w:szCs w:val="22"/>
          <w:lang w:val="en-US"/>
        </w:rPr>
        <w:t>shareholder of the second respondent</w:t>
      </w:r>
      <w:r w:rsidR="00CE2E22">
        <w:rPr>
          <w:rFonts w:cs="Arial"/>
          <w:bCs/>
          <w:szCs w:val="22"/>
          <w:lang w:val="en-US"/>
        </w:rPr>
        <w:t xml:space="preserve"> </w:t>
      </w:r>
      <w:r w:rsidR="00CE2E22" w:rsidRPr="00CE2E22">
        <w:rPr>
          <w:rFonts w:cs="Arial"/>
          <w:bCs/>
          <w:szCs w:val="22"/>
          <w:lang w:val="en-US"/>
        </w:rPr>
        <w:t>pa</w:t>
      </w:r>
      <w:r w:rsidR="00B00DA5">
        <w:rPr>
          <w:rFonts w:cs="Arial"/>
          <w:bCs/>
          <w:szCs w:val="22"/>
          <w:lang w:val="en-US"/>
        </w:rPr>
        <w:t>ss</w:t>
      </w:r>
      <w:r w:rsidR="00CE2E22" w:rsidRPr="00CE2E22">
        <w:rPr>
          <w:rFonts w:cs="Arial"/>
          <w:bCs/>
          <w:szCs w:val="22"/>
          <w:lang w:val="en-US"/>
        </w:rPr>
        <w:t xml:space="preserve"> special resolution</w:t>
      </w:r>
      <w:r w:rsidR="00B00DA5">
        <w:rPr>
          <w:rFonts w:cs="Arial"/>
          <w:bCs/>
          <w:szCs w:val="22"/>
          <w:lang w:val="en-US"/>
        </w:rPr>
        <w:t>s</w:t>
      </w:r>
      <w:r w:rsidR="00CE2E22" w:rsidRPr="00CE2E22">
        <w:rPr>
          <w:rFonts w:cs="Arial"/>
          <w:bCs/>
          <w:szCs w:val="22"/>
          <w:lang w:val="en-US"/>
        </w:rPr>
        <w:t xml:space="preserve"> </w:t>
      </w:r>
      <w:r w:rsidR="00B00DA5">
        <w:rPr>
          <w:rFonts w:cs="Arial"/>
          <w:bCs/>
          <w:szCs w:val="22"/>
          <w:lang w:val="en-US"/>
        </w:rPr>
        <w:t>as required by</w:t>
      </w:r>
      <w:r w:rsidR="00CE2E22" w:rsidRPr="00CE2E22">
        <w:rPr>
          <w:rFonts w:cs="Arial"/>
          <w:bCs/>
          <w:szCs w:val="22"/>
          <w:lang w:val="en-US"/>
        </w:rPr>
        <w:t xml:space="preserve"> section 112 and section 115 of the Companies Act</w:t>
      </w:r>
      <w:r w:rsidR="00CE2E22">
        <w:rPr>
          <w:rFonts w:cs="Arial"/>
          <w:bCs/>
          <w:szCs w:val="22"/>
          <w:lang w:val="en-US"/>
        </w:rPr>
        <w:t>, 71 of 2008.</w:t>
      </w:r>
    </w:p>
    <w:p w14:paraId="1B4B9A71" w14:textId="23690B7F" w:rsidR="0004508D" w:rsidRPr="0004508D" w:rsidRDefault="00355CCC" w:rsidP="00355CCC">
      <w:pPr>
        <w:widowControl w:val="0"/>
        <w:tabs>
          <w:tab w:val="left" w:pos="567"/>
        </w:tabs>
        <w:spacing w:before="480" w:after="480" w:line="360" w:lineRule="auto"/>
        <w:jc w:val="both"/>
        <w:rPr>
          <w:rFonts w:cs="Arial"/>
          <w:bCs/>
          <w:szCs w:val="22"/>
        </w:rPr>
      </w:pPr>
      <w:r w:rsidRPr="0004508D">
        <w:rPr>
          <w:rFonts w:cs="Arial"/>
          <w:bCs/>
          <w:szCs w:val="22"/>
        </w:rPr>
        <w:t>[14]</w:t>
      </w:r>
      <w:r w:rsidRPr="0004508D">
        <w:rPr>
          <w:rFonts w:cs="Arial"/>
          <w:bCs/>
          <w:szCs w:val="22"/>
        </w:rPr>
        <w:tab/>
      </w:r>
      <w:r w:rsidR="0004508D" w:rsidRPr="0004508D">
        <w:rPr>
          <w:rFonts w:cs="Arial"/>
          <w:bCs/>
          <w:szCs w:val="22"/>
          <w:lang w:val="en-US"/>
        </w:rPr>
        <w:t>In terms of the agreement the seller (the second respondent) and the first applicant who was the guiding force behind the second respondent were bound by a restraint of trade clause.</w:t>
      </w:r>
      <w:r w:rsidR="0004508D">
        <w:rPr>
          <w:rStyle w:val="FootnoteReference"/>
          <w:rFonts w:cs="Arial"/>
          <w:bCs/>
          <w:szCs w:val="22"/>
          <w:lang w:val="en-US"/>
        </w:rPr>
        <w:footnoteReference w:id="16"/>
      </w:r>
      <w:r w:rsidR="0004508D" w:rsidRPr="0004508D">
        <w:rPr>
          <w:rFonts w:cs="Arial"/>
          <w:bCs/>
          <w:szCs w:val="22"/>
          <w:lang w:val="en-US"/>
        </w:rPr>
        <w:t xml:space="preserve"> During the </w:t>
      </w:r>
      <w:r w:rsidR="00E95C5F">
        <w:rPr>
          <w:rFonts w:cs="Arial"/>
          <w:bCs/>
          <w:szCs w:val="22"/>
          <w:lang w:val="en-US"/>
        </w:rPr>
        <w:t>restraint period of three years</w:t>
      </w:r>
      <w:r w:rsidR="0004508D" w:rsidRPr="0004508D">
        <w:rPr>
          <w:rFonts w:cs="Arial"/>
          <w:bCs/>
          <w:szCs w:val="22"/>
          <w:lang w:val="en-US"/>
        </w:rPr>
        <w:t xml:space="preserve"> the first applicant</w:t>
      </w:r>
      <w:r w:rsidR="00C50180">
        <w:rPr>
          <w:rFonts w:cs="Arial"/>
          <w:bCs/>
          <w:szCs w:val="22"/>
          <w:lang w:val="en-US"/>
        </w:rPr>
        <w:t xml:space="preserve"> and second respondent were</w:t>
      </w:r>
      <w:r w:rsidR="00787202">
        <w:rPr>
          <w:rFonts w:cs="Arial"/>
          <w:bCs/>
          <w:szCs w:val="22"/>
          <w:lang w:val="en-US"/>
        </w:rPr>
        <w:t xml:space="preserve"> </w:t>
      </w:r>
      <w:r w:rsidR="0004508D" w:rsidRPr="0004508D">
        <w:rPr>
          <w:rFonts w:cs="Arial"/>
          <w:bCs/>
          <w:szCs w:val="22"/>
          <w:lang w:val="en-US"/>
        </w:rPr>
        <w:t>restrained from working in the</w:t>
      </w:r>
      <w:r w:rsidR="00E95C5F">
        <w:rPr>
          <w:rFonts w:cs="Arial"/>
          <w:bCs/>
          <w:szCs w:val="22"/>
          <w:lang w:val="en-US"/>
        </w:rPr>
        <w:t xml:space="preserve"> same</w:t>
      </w:r>
      <w:r w:rsidR="0004508D" w:rsidRPr="0004508D">
        <w:rPr>
          <w:rFonts w:cs="Arial"/>
          <w:bCs/>
          <w:szCs w:val="22"/>
          <w:lang w:val="en-US"/>
        </w:rPr>
        <w:t xml:space="preserve"> industry and competing with the first respondent.</w:t>
      </w:r>
    </w:p>
    <w:p w14:paraId="47F548AA" w14:textId="7776CB7A" w:rsidR="003959D1" w:rsidRPr="00746E92" w:rsidRDefault="00355CCC" w:rsidP="00355CCC">
      <w:pPr>
        <w:widowControl w:val="0"/>
        <w:tabs>
          <w:tab w:val="left" w:pos="567"/>
        </w:tabs>
        <w:spacing w:before="480" w:after="480" w:line="360" w:lineRule="auto"/>
        <w:jc w:val="both"/>
        <w:rPr>
          <w:rFonts w:cs="Arial"/>
          <w:bCs/>
          <w:szCs w:val="22"/>
        </w:rPr>
      </w:pPr>
      <w:r w:rsidRPr="00746E92">
        <w:rPr>
          <w:rFonts w:cs="Arial"/>
          <w:bCs/>
          <w:szCs w:val="22"/>
        </w:rPr>
        <w:t>[15]</w:t>
      </w:r>
      <w:r w:rsidRPr="00746E92">
        <w:rPr>
          <w:rFonts w:cs="Arial"/>
          <w:bCs/>
          <w:szCs w:val="22"/>
        </w:rPr>
        <w:tab/>
      </w:r>
      <w:r w:rsidR="00A07164" w:rsidRPr="00A07164">
        <w:rPr>
          <w:rFonts w:cs="Arial"/>
          <w:bCs/>
          <w:szCs w:val="22"/>
          <w:lang w:val="en-US"/>
        </w:rPr>
        <w:t>The purchase price of</w:t>
      </w:r>
      <w:r w:rsidR="00A07164">
        <w:rPr>
          <w:rFonts w:cs="Arial"/>
          <w:bCs/>
          <w:szCs w:val="22"/>
          <w:lang w:val="en-US"/>
        </w:rPr>
        <w:t xml:space="preserve"> $</w:t>
      </w:r>
      <w:r w:rsidR="00A07164" w:rsidRPr="00A07164">
        <w:rPr>
          <w:rFonts w:cs="Arial"/>
          <w:bCs/>
          <w:szCs w:val="22"/>
          <w:lang w:val="en-US"/>
        </w:rPr>
        <w:t>5,563,000</w:t>
      </w:r>
      <w:r w:rsidR="00A07164">
        <w:rPr>
          <w:rStyle w:val="FootnoteReference"/>
          <w:rFonts w:cs="Arial"/>
          <w:bCs/>
          <w:szCs w:val="22"/>
          <w:lang w:val="en-US"/>
        </w:rPr>
        <w:footnoteReference w:id="17"/>
      </w:r>
      <w:r w:rsidR="00A07164">
        <w:rPr>
          <w:rFonts w:cs="Arial"/>
          <w:bCs/>
          <w:szCs w:val="22"/>
          <w:lang w:val="en-US"/>
        </w:rPr>
        <w:t xml:space="preserve"> </w:t>
      </w:r>
      <w:r w:rsidR="00A07164" w:rsidRPr="00A07164">
        <w:rPr>
          <w:rFonts w:cs="Arial"/>
          <w:bCs/>
          <w:szCs w:val="22"/>
          <w:lang w:val="en-US"/>
        </w:rPr>
        <w:t xml:space="preserve">was payable in 18 </w:t>
      </w:r>
      <w:r w:rsidR="00A07164">
        <w:rPr>
          <w:rFonts w:cs="Arial"/>
          <w:bCs/>
          <w:szCs w:val="22"/>
          <w:lang w:val="en-US"/>
        </w:rPr>
        <w:t xml:space="preserve">equal </w:t>
      </w:r>
      <w:r w:rsidR="00A07164" w:rsidRPr="00A07164">
        <w:rPr>
          <w:rFonts w:cs="Arial"/>
          <w:bCs/>
          <w:szCs w:val="22"/>
          <w:lang w:val="en-US"/>
        </w:rPr>
        <w:t>monthly instalments</w:t>
      </w:r>
      <w:r w:rsidR="00E52F6E">
        <w:rPr>
          <w:rStyle w:val="FootnoteReference"/>
          <w:rFonts w:cs="Arial"/>
          <w:bCs/>
          <w:szCs w:val="22"/>
          <w:lang w:val="en-US"/>
        </w:rPr>
        <w:footnoteReference w:id="18"/>
      </w:r>
      <w:r w:rsidR="00A07164" w:rsidRPr="00A07164">
        <w:rPr>
          <w:rFonts w:cs="Arial"/>
          <w:bCs/>
          <w:szCs w:val="22"/>
          <w:lang w:val="en-US"/>
        </w:rPr>
        <w:t xml:space="preserve"> commencing on </w:t>
      </w:r>
      <w:r w:rsidR="00A07164">
        <w:rPr>
          <w:rFonts w:cs="Arial"/>
          <w:bCs/>
          <w:szCs w:val="22"/>
          <w:lang w:val="en-US"/>
        </w:rPr>
        <w:t>4</w:t>
      </w:r>
      <w:r w:rsidR="00A07164" w:rsidRPr="00A07164">
        <w:rPr>
          <w:rFonts w:cs="Arial"/>
          <w:bCs/>
          <w:szCs w:val="22"/>
          <w:lang w:val="en-US"/>
        </w:rPr>
        <w:t xml:space="preserve"> April 2023</w:t>
      </w:r>
      <w:r w:rsidR="00A07164">
        <w:rPr>
          <w:rFonts w:cs="Arial"/>
          <w:bCs/>
          <w:szCs w:val="22"/>
          <w:lang w:val="en-US"/>
        </w:rPr>
        <w:t>.</w:t>
      </w:r>
      <w:r w:rsidR="00A07164">
        <w:rPr>
          <w:rStyle w:val="FootnoteReference"/>
          <w:rFonts w:cs="Arial"/>
          <w:bCs/>
          <w:szCs w:val="22"/>
          <w:lang w:val="en-US"/>
        </w:rPr>
        <w:footnoteReference w:id="19"/>
      </w:r>
      <w:r w:rsidR="00E52F6E">
        <w:rPr>
          <w:rFonts w:cs="Arial"/>
          <w:bCs/>
          <w:szCs w:val="22"/>
          <w:lang w:val="en-US"/>
        </w:rPr>
        <w:t xml:space="preserve"> </w:t>
      </w:r>
      <w:r w:rsidR="00E52F6E" w:rsidRPr="00E52F6E">
        <w:rPr>
          <w:rFonts w:cs="Arial"/>
          <w:bCs/>
          <w:szCs w:val="22"/>
          <w:lang w:val="en-US"/>
        </w:rPr>
        <w:t>No</w:t>
      </w:r>
      <w:r w:rsidR="00E52F6E">
        <w:rPr>
          <w:rFonts w:cs="Arial"/>
          <w:bCs/>
          <w:szCs w:val="22"/>
          <w:lang w:val="en-US"/>
        </w:rPr>
        <w:t xml:space="preserve"> </w:t>
      </w:r>
      <w:r w:rsidR="00E52F6E" w:rsidRPr="00E52F6E">
        <w:rPr>
          <w:rFonts w:cs="Arial"/>
          <w:bCs/>
          <w:szCs w:val="22"/>
          <w:lang w:val="en-US"/>
        </w:rPr>
        <w:t>party ha</w:t>
      </w:r>
      <w:r w:rsidR="00484F8A">
        <w:rPr>
          <w:rFonts w:cs="Arial"/>
          <w:bCs/>
          <w:szCs w:val="22"/>
          <w:lang w:val="en-US"/>
        </w:rPr>
        <w:t>d</w:t>
      </w:r>
      <w:r w:rsidR="00E52F6E" w:rsidRPr="00E52F6E">
        <w:rPr>
          <w:rFonts w:cs="Arial"/>
          <w:bCs/>
          <w:szCs w:val="22"/>
          <w:lang w:val="en-US"/>
        </w:rPr>
        <w:t xml:space="preserve"> the right to defer</w:t>
      </w:r>
      <w:r w:rsidR="00E52F6E">
        <w:rPr>
          <w:rFonts w:cs="Arial"/>
          <w:bCs/>
          <w:szCs w:val="22"/>
          <w:lang w:val="en-US"/>
        </w:rPr>
        <w:t xml:space="preserve">, </w:t>
      </w:r>
      <w:r w:rsidR="00E52F6E" w:rsidRPr="00E52F6E">
        <w:rPr>
          <w:rFonts w:cs="Arial"/>
          <w:bCs/>
          <w:szCs w:val="22"/>
          <w:lang w:val="en-US"/>
        </w:rPr>
        <w:t xml:space="preserve">adjust or withhold any payment due to the other in terms of </w:t>
      </w:r>
      <w:r w:rsidR="00787202">
        <w:rPr>
          <w:rFonts w:cs="Arial"/>
          <w:bCs/>
          <w:szCs w:val="22"/>
          <w:lang w:val="en-US"/>
        </w:rPr>
        <w:t>or</w:t>
      </w:r>
      <w:r w:rsidR="00E52F6E" w:rsidRPr="00E52F6E">
        <w:rPr>
          <w:rFonts w:cs="Arial"/>
          <w:bCs/>
          <w:szCs w:val="22"/>
          <w:lang w:val="en-US"/>
        </w:rPr>
        <w:t xml:space="preserve"> arising out of the agreement</w:t>
      </w:r>
      <w:r w:rsidR="00E52F6E">
        <w:rPr>
          <w:rFonts w:cs="Arial"/>
          <w:bCs/>
          <w:szCs w:val="22"/>
          <w:lang w:val="en-US"/>
        </w:rPr>
        <w:t xml:space="preserve"> </w:t>
      </w:r>
      <w:r w:rsidR="00787202">
        <w:rPr>
          <w:rFonts w:cs="Arial"/>
          <w:bCs/>
          <w:szCs w:val="22"/>
          <w:lang w:val="en-US"/>
        </w:rPr>
        <w:t>or</w:t>
      </w:r>
      <w:r w:rsidR="00E52F6E" w:rsidRPr="00E52F6E">
        <w:rPr>
          <w:rFonts w:cs="Arial"/>
          <w:bCs/>
          <w:szCs w:val="22"/>
          <w:lang w:val="en-US"/>
        </w:rPr>
        <w:t xml:space="preserve"> set off or </w:t>
      </w:r>
      <w:r w:rsidR="00787202">
        <w:rPr>
          <w:rFonts w:cs="Arial"/>
          <w:bCs/>
          <w:szCs w:val="22"/>
          <w:lang w:val="en-US"/>
        </w:rPr>
        <w:t xml:space="preserve">by way of </w:t>
      </w:r>
      <w:r w:rsidR="00E52F6E" w:rsidRPr="00E52F6E">
        <w:rPr>
          <w:rFonts w:cs="Arial"/>
          <w:bCs/>
          <w:szCs w:val="22"/>
          <w:lang w:val="en-US"/>
        </w:rPr>
        <w:t>a counterclaim</w:t>
      </w:r>
      <w:r w:rsidR="00E52F6E">
        <w:rPr>
          <w:rFonts w:cs="Arial"/>
          <w:bCs/>
          <w:szCs w:val="22"/>
          <w:lang w:val="en-US"/>
        </w:rPr>
        <w:t>.</w:t>
      </w:r>
      <w:r w:rsidR="00E52F6E">
        <w:rPr>
          <w:rStyle w:val="FootnoteReference"/>
          <w:rFonts w:cs="Arial"/>
          <w:bCs/>
          <w:szCs w:val="22"/>
          <w:lang w:val="en-US"/>
        </w:rPr>
        <w:footnoteReference w:id="20"/>
      </w:r>
    </w:p>
    <w:p w14:paraId="78CE6F58" w14:textId="34AD4D2F" w:rsidR="003959D1" w:rsidRPr="00E704E0" w:rsidRDefault="00355CCC" w:rsidP="00355CCC">
      <w:pPr>
        <w:widowControl w:val="0"/>
        <w:tabs>
          <w:tab w:val="left" w:pos="567"/>
        </w:tabs>
        <w:spacing w:before="480" w:after="480" w:line="360" w:lineRule="auto"/>
        <w:jc w:val="both"/>
        <w:rPr>
          <w:rFonts w:cs="Arial"/>
          <w:bCs/>
          <w:szCs w:val="22"/>
        </w:rPr>
      </w:pPr>
      <w:r w:rsidRPr="00E704E0">
        <w:rPr>
          <w:rFonts w:cs="Arial"/>
          <w:bCs/>
          <w:szCs w:val="22"/>
        </w:rPr>
        <w:t>[16]</w:t>
      </w:r>
      <w:r w:rsidRPr="00E704E0">
        <w:rPr>
          <w:rFonts w:cs="Arial"/>
          <w:bCs/>
          <w:szCs w:val="22"/>
        </w:rPr>
        <w:tab/>
      </w:r>
      <w:r w:rsidR="00E52F6E" w:rsidRPr="00E52F6E">
        <w:rPr>
          <w:rFonts w:cs="Arial"/>
          <w:bCs/>
          <w:szCs w:val="22"/>
          <w:lang w:val="en-US"/>
        </w:rPr>
        <w:t xml:space="preserve">It is common cause that the </w:t>
      </w:r>
      <w:r w:rsidR="00366E5C">
        <w:rPr>
          <w:rFonts w:cs="Arial"/>
          <w:bCs/>
          <w:szCs w:val="22"/>
          <w:lang w:val="en-US"/>
        </w:rPr>
        <w:t xml:space="preserve">first </w:t>
      </w:r>
      <w:r w:rsidR="00E52F6E" w:rsidRPr="00E52F6E">
        <w:rPr>
          <w:rFonts w:cs="Arial"/>
          <w:bCs/>
          <w:szCs w:val="22"/>
          <w:lang w:val="en-US"/>
        </w:rPr>
        <w:t>respondent</w:t>
      </w:r>
      <w:r w:rsidR="00E704E0">
        <w:rPr>
          <w:rFonts w:cs="Arial"/>
          <w:bCs/>
          <w:szCs w:val="22"/>
          <w:lang w:val="en-US"/>
        </w:rPr>
        <w:t xml:space="preserve"> made some payments but did not pay all amounts as they fell due.</w:t>
      </w:r>
      <w:r w:rsidR="00F65A5D">
        <w:rPr>
          <w:rFonts w:cs="Arial"/>
          <w:bCs/>
          <w:szCs w:val="22"/>
          <w:lang w:val="en-US"/>
        </w:rPr>
        <w:t xml:space="preserve"> </w:t>
      </w:r>
      <w:r w:rsidR="00F65A5D" w:rsidRPr="00F65A5D">
        <w:rPr>
          <w:rFonts w:cs="Arial"/>
          <w:bCs/>
          <w:szCs w:val="22"/>
          <w:lang w:val="en-US"/>
        </w:rPr>
        <w:t xml:space="preserve">It is also common cause that the </w:t>
      </w:r>
      <w:r w:rsidR="00366E5C">
        <w:rPr>
          <w:rFonts w:cs="Arial"/>
          <w:bCs/>
          <w:szCs w:val="22"/>
          <w:lang w:val="en-US"/>
        </w:rPr>
        <w:t xml:space="preserve">first </w:t>
      </w:r>
      <w:r w:rsidR="00F65A5D" w:rsidRPr="00F65A5D">
        <w:rPr>
          <w:rFonts w:cs="Arial"/>
          <w:bCs/>
          <w:szCs w:val="22"/>
          <w:lang w:val="en-US"/>
        </w:rPr>
        <w:t xml:space="preserve">respondent was in </w:t>
      </w:r>
      <w:r w:rsidR="00F65A5D">
        <w:rPr>
          <w:rFonts w:cs="Arial"/>
          <w:bCs/>
          <w:szCs w:val="22"/>
          <w:lang w:val="en-US"/>
        </w:rPr>
        <w:t>breach</w:t>
      </w:r>
      <w:r w:rsidR="00F65A5D" w:rsidRPr="00F65A5D">
        <w:rPr>
          <w:rFonts w:cs="Arial"/>
          <w:bCs/>
          <w:szCs w:val="22"/>
          <w:lang w:val="en-US"/>
        </w:rPr>
        <w:t xml:space="preserve"> of the agreement</w:t>
      </w:r>
      <w:r w:rsidR="00F65A5D">
        <w:rPr>
          <w:rFonts w:cs="Arial"/>
          <w:bCs/>
          <w:szCs w:val="22"/>
          <w:lang w:val="en-US"/>
        </w:rPr>
        <w:t xml:space="preserve">. </w:t>
      </w:r>
      <w:r w:rsidR="00E704E0">
        <w:rPr>
          <w:rFonts w:cs="Arial"/>
          <w:bCs/>
          <w:szCs w:val="22"/>
          <w:lang w:val="en-US"/>
        </w:rPr>
        <w:t xml:space="preserve">On </w:t>
      </w:r>
      <w:r w:rsidR="00F65A5D" w:rsidRPr="00F65A5D">
        <w:rPr>
          <w:rFonts w:cs="Arial"/>
          <w:bCs/>
          <w:szCs w:val="22"/>
          <w:lang w:val="en-US"/>
        </w:rPr>
        <w:t xml:space="preserve">6 </w:t>
      </w:r>
      <w:r w:rsidR="00E704E0">
        <w:rPr>
          <w:rFonts w:cs="Arial"/>
          <w:bCs/>
          <w:szCs w:val="22"/>
          <w:lang w:val="en-US"/>
        </w:rPr>
        <w:t>M</w:t>
      </w:r>
      <w:r w:rsidR="00F65A5D" w:rsidRPr="00F65A5D">
        <w:rPr>
          <w:rFonts w:cs="Arial"/>
          <w:bCs/>
          <w:szCs w:val="22"/>
          <w:lang w:val="en-US"/>
        </w:rPr>
        <w:t xml:space="preserve">ay 2023 the </w:t>
      </w:r>
      <w:r w:rsidR="00366E5C">
        <w:rPr>
          <w:rFonts w:cs="Arial"/>
          <w:bCs/>
          <w:szCs w:val="22"/>
          <w:lang w:val="en-US"/>
        </w:rPr>
        <w:t xml:space="preserve">first </w:t>
      </w:r>
      <w:r w:rsidR="00F65A5D" w:rsidRPr="00F65A5D">
        <w:rPr>
          <w:rFonts w:cs="Arial"/>
          <w:bCs/>
          <w:szCs w:val="22"/>
          <w:lang w:val="en-US"/>
        </w:rPr>
        <w:t>respondent</w:t>
      </w:r>
      <w:r w:rsidR="00366E5C">
        <w:rPr>
          <w:rFonts w:cs="Arial"/>
          <w:bCs/>
          <w:szCs w:val="22"/>
          <w:lang w:val="en-US"/>
        </w:rPr>
        <w:t>’</w:t>
      </w:r>
      <w:r w:rsidR="00F65A5D" w:rsidRPr="00F65A5D">
        <w:rPr>
          <w:rFonts w:cs="Arial"/>
          <w:bCs/>
          <w:szCs w:val="22"/>
          <w:lang w:val="en-US"/>
        </w:rPr>
        <w:t>s attorneys addressed a letter to the applicants</w:t>
      </w:r>
      <w:r w:rsidR="00E75732">
        <w:rPr>
          <w:rFonts w:cs="Arial"/>
          <w:bCs/>
          <w:szCs w:val="22"/>
          <w:lang w:val="en-US"/>
        </w:rPr>
        <w:t>’</w:t>
      </w:r>
      <w:r w:rsidR="00F65A5D" w:rsidRPr="00F65A5D">
        <w:rPr>
          <w:rFonts w:cs="Arial"/>
          <w:bCs/>
          <w:szCs w:val="22"/>
          <w:lang w:val="en-US"/>
        </w:rPr>
        <w:t xml:space="preserve"> attorneys indicating that the </w:t>
      </w:r>
      <w:r w:rsidR="00E75732">
        <w:rPr>
          <w:rFonts w:cs="Arial"/>
          <w:bCs/>
          <w:szCs w:val="22"/>
          <w:lang w:val="en-US"/>
        </w:rPr>
        <w:t xml:space="preserve">first </w:t>
      </w:r>
      <w:r w:rsidR="00F65A5D" w:rsidRPr="00F65A5D">
        <w:rPr>
          <w:rFonts w:cs="Arial"/>
          <w:bCs/>
          <w:szCs w:val="22"/>
          <w:lang w:val="en-US"/>
        </w:rPr>
        <w:t>respondent</w:t>
      </w:r>
      <w:r w:rsidR="00F65A5D">
        <w:rPr>
          <w:rFonts w:cs="Arial"/>
          <w:bCs/>
          <w:szCs w:val="22"/>
          <w:lang w:val="en-US"/>
        </w:rPr>
        <w:t xml:space="preserve"> </w:t>
      </w:r>
      <w:r w:rsidR="00F65A5D" w:rsidRPr="00F65A5D">
        <w:rPr>
          <w:rFonts w:cs="Arial"/>
          <w:bCs/>
          <w:i/>
          <w:iCs/>
          <w:szCs w:val="22"/>
          <w:lang w:val="en-US"/>
        </w:rPr>
        <w:t>“would make up for the missed payment at the end of the term of the contract by adding an extra month thereto.”</w:t>
      </w:r>
      <w:r w:rsidR="00F65A5D">
        <w:rPr>
          <w:rStyle w:val="FootnoteReference"/>
          <w:rFonts w:cs="Arial"/>
          <w:bCs/>
          <w:i/>
          <w:iCs/>
          <w:szCs w:val="22"/>
          <w:lang w:val="en-US"/>
        </w:rPr>
        <w:footnoteReference w:id="21"/>
      </w:r>
      <w:r w:rsidR="00E704E0">
        <w:rPr>
          <w:rFonts w:cs="Arial"/>
          <w:bCs/>
          <w:i/>
          <w:iCs/>
          <w:szCs w:val="22"/>
          <w:lang w:val="en-US"/>
        </w:rPr>
        <w:t xml:space="preserve"> </w:t>
      </w:r>
      <w:r w:rsidR="00E704E0">
        <w:rPr>
          <w:rFonts w:cs="Arial"/>
          <w:bCs/>
          <w:szCs w:val="22"/>
          <w:lang w:val="en-US"/>
        </w:rPr>
        <w:t>T</w:t>
      </w:r>
      <w:r w:rsidR="00E704E0" w:rsidRPr="00E704E0">
        <w:rPr>
          <w:rFonts w:cs="Arial"/>
          <w:bCs/>
          <w:szCs w:val="22"/>
          <w:lang w:val="en-US"/>
        </w:rPr>
        <w:t>his was of course</w:t>
      </w:r>
      <w:r w:rsidR="00E704E0">
        <w:rPr>
          <w:rFonts w:cs="Arial"/>
          <w:bCs/>
          <w:szCs w:val="22"/>
          <w:lang w:val="en-US"/>
        </w:rPr>
        <w:t xml:space="preserve"> </w:t>
      </w:r>
      <w:r w:rsidR="00E704E0" w:rsidRPr="00E704E0">
        <w:rPr>
          <w:rFonts w:cs="Arial"/>
          <w:bCs/>
          <w:szCs w:val="22"/>
          <w:lang w:val="en-US"/>
        </w:rPr>
        <w:t>an attempt to</w:t>
      </w:r>
      <w:r w:rsidR="00E704E0">
        <w:rPr>
          <w:rFonts w:cs="Arial"/>
          <w:bCs/>
          <w:szCs w:val="22"/>
          <w:lang w:val="en-US"/>
        </w:rPr>
        <w:t xml:space="preserve"> </w:t>
      </w:r>
      <w:r w:rsidR="00E704E0" w:rsidRPr="00E704E0">
        <w:rPr>
          <w:rFonts w:cs="Arial"/>
          <w:bCs/>
          <w:szCs w:val="22"/>
          <w:lang w:val="en-US"/>
        </w:rPr>
        <w:t>amend the agreement</w:t>
      </w:r>
      <w:r w:rsidR="00787202">
        <w:rPr>
          <w:rFonts w:cs="Arial"/>
          <w:bCs/>
          <w:szCs w:val="22"/>
          <w:lang w:val="en-US"/>
        </w:rPr>
        <w:t>.</w:t>
      </w:r>
    </w:p>
    <w:p w14:paraId="3B1C31ED" w14:textId="7DDD7A64" w:rsidR="00686C3F" w:rsidRPr="00686C3F" w:rsidRDefault="00355CCC" w:rsidP="00355CCC">
      <w:pPr>
        <w:widowControl w:val="0"/>
        <w:tabs>
          <w:tab w:val="left" w:pos="567"/>
        </w:tabs>
        <w:spacing w:before="480" w:after="480" w:line="360" w:lineRule="auto"/>
        <w:jc w:val="both"/>
        <w:rPr>
          <w:rFonts w:cs="Arial"/>
          <w:bCs/>
          <w:szCs w:val="22"/>
        </w:rPr>
      </w:pPr>
      <w:r w:rsidRPr="00686C3F">
        <w:rPr>
          <w:rFonts w:cs="Arial"/>
          <w:bCs/>
          <w:szCs w:val="22"/>
        </w:rPr>
        <w:lastRenderedPageBreak/>
        <w:t>[17]</w:t>
      </w:r>
      <w:r w:rsidRPr="00686C3F">
        <w:rPr>
          <w:rFonts w:cs="Arial"/>
          <w:bCs/>
          <w:szCs w:val="22"/>
        </w:rPr>
        <w:tab/>
      </w:r>
      <w:r w:rsidR="00746E92" w:rsidRPr="00746E92">
        <w:rPr>
          <w:rFonts w:cs="Arial"/>
          <w:bCs/>
          <w:szCs w:val="22"/>
          <w:lang w:val="en-US"/>
        </w:rPr>
        <w:t>Cl</w:t>
      </w:r>
      <w:r w:rsidR="00746E92">
        <w:rPr>
          <w:rFonts w:cs="Arial"/>
          <w:bCs/>
          <w:szCs w:val="22"/>
          <w:lang w:val="en-US"/>
        </w:rPr>
        <w:t>au</w:t>
      </w:r>
      <w:r w:rsidR="00746E92" w:rsidRPr="00746E92">
        <w:rPr>
          <w:rFonts w:cs="Arial"/>
          <w:bCs/>
          <w:szCs w:val="22"/>
          <w:lang w:val="en-US"/>
        </w:rPr>
        <w:t>se 25 provide</w:t>
      </w:r>
      <w:r w:rsidR="00746E92">
        <w:rPr>
          <w:rFonts w:cs="Arial"/>
          <w:bCs/>
          <w:szCs w:val="22"/>
          <w:lang w:val="en-US"/>
        </w:rPr>
        <w:t>s</w:t>
      </w:r>
      <w:r w:rsidR="00746E92" w:rsidRPr="00746E92">
        <w:rPr>
          <w:rFonts w:cs="Arial"/>
          <w:bCs/>
          <w:szCs w:val="22"/>
          <w:lang w:val="en-US"/>
        </w:rPr>
        <w:t xml:space="preserve"> that</w:t>
      </w:r>
      <w:r w:rsidR="00746E92">
        <w:rPr>
          <w:rFonts w:cs="Arial"/>
          <w:bCs/>
          <w:szCs w:val="22"/>
          <w:lang w:val="en-US"/>
        </w:rPr>
        <w:t xml:space="preserve"> </w:t>
      </w:r>
      <w:r w:rsidR="00746E92" w:rsidRPr="00746E92">
        <w:rPr>
          <w:rFonts w:cs="Arial"/>
          <w:bCs/>
          <w:szCs w:val="22"/>
          <w:lang w:val="en-US"/>
        </w:rPr>
        <w:t>in the event of a b</w:t>
      </w:r>
      <w:r w:rsidR="00CB5B24">
        <w:rPr>
          <w:rFonts w:cs="Arial"/>
          <w:bCs/>
          <w:szCs w:val="22"/>
          <w:lang w:val="en-US"/>
        </w:rPr>
        <w:t>r</w:t>
      </w:r>
      <w:r w:rsidR="00746E92" w:rsidRPr="00746E92">
        <w:rPr>
          <w:rFonts w:cs="Arial"/>
          <w:bCs/>
          <w:szCs w:val="22"/>
          <w:lang w:val="en-US"/>
        </w:rPr>
        <w:t>each</w:t>
      </w:r>
      <w:r w:rsidR="00746E92">
        <w:rPr>
          <w:rFonts w:cs="Arial"/>
          <w:bCs/>
          <w:szCs w:val="22"/>
          <w:lang w:val="en-US"/>
        </w:rPr>
        <w:t xml:space="preserve"> </w:t>
      </w:r>
      <w:r w:rsidR="00746E92" w:rsidRPr="00746E92">
        <w:rPr>
          <w:rFonts w:cs="Arial"/>
          <w:bCs/>
          <w:szCs w:val="22"/>
          <w:lang w:val="en-US"/>
        </w:rPr>
        <w:t>of obligations by either party</w:t>
      </w:r>
      <w:r w:rsidR="00CB5B24" w:rsidRPr="00CB5B24">
        <w:rPr>
          <w:rFonts w:cs="Arial"/>
          <w:bCs/>
          <w:szCs w:val="22"/>
          <w:lang w:val="en-US"/>
        </w:rPr>
        <w:t xml:space="preserve"> the aggrieved party </w:t>
      </w:r>
      <w:r w:rsidR="00E95C5F">
        <w:rPr>
          <w:rFonts w:cs="Arial"/>
          <w:bCs/>
          <w:szCs w:val="22"/>
          <w:lang w:val="en-US"/>
        </w:rPr>
        <w:t>shall h</w:t>
      </w:r>
      <w:r w:rsidR="00CB5B24" w:rsidRPr="00CB5B24">
        <w:rPr>
          <w:rFonts w:cs="Arial"/>
          <w:bCs/>
          <w:szCs w:val="22"/>
          <w:lang w:val="en-US"/>
        </w:rPr>
        <w:t>ave the right after giving seven days</w:t>
      </w:r>
      <w:r w:rsidR="00CB5B24">
        <w:rPr>
          <w:rFonts w:cs="Arial"/>
          <w:bCs/>
          <w:szCs w:val="22"/>
          <w:lang w:val="en-US"/>
        </w:rPr>
        <w:t>’</w:t>
      </w:r>
      <w:r w:rsidR="00CB5B24" w:rsidRPr="00CB5B24">
        <w:rPr>
          <w:rFonts w:cs="Arial"/>
          <w:bCs/>
          <w:szCs w:val="22"/>
          <w:lang w:val="en-US"/>
        </w:rPr>
        <w:t xml:space="preserve"> notice in writing</w:t>
      </w:r>
      <w:r w:rsidR="00CB5B24">
        <w:rPr>
          <w:rFonts w:cs="Arial"/>
          <w:bCs/>
          <w:szCs w:val="22"/>
          <w:lang w:val="en-US"/>
        </w:rPr>
        <w:t xml:space="preserve"> and</w:t>
      </w:r>
      <w:r w:rsidR="00CB5B24" w:rsidRPr="00CB5B24">
        <w:rPr>
          <w:rFonts w:cs="Arial"/>
          <w:bCs/>
          <w:szCs w:val="22"/>
          <w:lang w:val="en-US"/>
        </w:rPr>
        <w:t xml:space="preserve"> if the </w:t>
      </w:r>
      <w:r w:rsidR="00CB5B24">
        <w:rPr>
          <w:rFonts w:cs="Arial"/>
          <w:bCs/>
          <w:szCs w:val="22"/>
          <w:lang w:val="en-US"/>
        </w:rPr>
        <w:t>breach</w:t>
      </w:r>
      <w:r w:rsidR="00CB5B24" w:rsidRPr="00CB5B24">
        <w:rPr>
          <w:rFonts w:cs="Arial"/>
          <w:bCs/>
          <w:szCs w:val="22"/>
          <w:lang w:val="en-US"/>
        </w:rPr>
        <w:t xml:space="preserve"> is</w:t>
      </w:r>
      <w:r w:rsidR="008D2A7F">
        <w:rPr>
          <w:rFonts w:cs="Arial"/>
          <w:bCs/>
          <w:szCs w:val="22"/>
          <w:lang w:val="en-US"/>
        </w:rPr>
        <w:t xml:space="preserve"> then</w:t>
      </w:r>
      <w:r w:rsidR="00CB5B24" w:rsidRPr="00CB5B24">
        <w:rPr>
          <w:rFonts w:cs="Arial"/>
          <w:bCs/>
          <w:szCs w:val="22"/>
          <w:lang w:val="en-US"/>
        </w:rPr>
        <w:t xml:space="preserve"> persisted wi</w:t>
      </w:r>
      <w:r w:rsidR="00CB5B24">
        <w:rPr>
          <w:rFonts w:cs="Arial"/>
          <w:bCs/>
          <w:szCs w:val="22"/>
          <w:lang w:val="en-US"/>
        </w:rPr>
        <w:t>th</w:t>
      </w:r>
      <w:r w:rsidR="00CB5B24" w:rsidRPr="00CB5B24">
        <w:rPr>
          <w:rFonts w:cs="Arial"/>
          <w:bCs/>
          <w:szCs w:val="22"/>
          <w:lang w:val="en-US"/>
        </w:rPr>
        <w:t xml:space="preserve"> to cancel the agreement</w:t>
      </w:r>
      <w:r w:rsidR="00CB5B24">
        <w:rPr>
          <w:rFonts w:cs="Arial"/>
          <w:bCs/>
          <w:szCs w:val="22"/>
          <w:lang w:val="en-US"/>
        </w:rPr>
        <w:t xml:space="preserve">, </w:t>
      </w:r>
      <w:r w:rsidR="00CB5B24" w:rsidRPr="00CB5B24">
        <w:rPr>
          <w:rFonts w:cs="Arial"/>
          <w:bCs/>
          <w:szCs w:val="22"/>
          <w:lang w:val="en-US"/>
        </w:rPr>
        <w:t>to seek specific performance</w:t>
      </w:r>
      <w:r w:rsidR="00CB5B24">
        <w:rPr>
          <w:rFonts w:cs="Arial"/>
          <w:bCs/>
          <w:szCs w:val="22"/>
          <w:lang w:val="en-US"/>
        </w:rPr>
        <w:t xml:space="preserve">, </w:t>
      </w:r>
      <w:r w:rsidR="00CB5B24" w:rsidRPr="00CB5B24">
        <w:rPr>
          <w:rFonts w:cs="Arial"/>
          <w:bCs/>
          <w:szCs w:val="22"/>
          <w:lang w:val="en-US"/>
        </w:rPr>
        <w:t>to claim damages</w:t>
      </w:r>
      <w:r w:rsidR="00CB5B24">
        <w:rPr>
          <w:rFonts w:cs="Arial"/>
          <w:bCs/>
          <w:szCs w:val="22"/>
          <w:lang w:val="en-US"/>
        </w:rPr>
        <w:t xml:space="preserve">, </w:t>
      </w:r>
      <w:r w:rsidR="00CB5B24" w:rsidRPr="00CB5B24">
        <w:rPr>
          <w:rFonts w:cs="Arial"/>
          <w:bCs/>
          <w:szCs w:val="22"/>
          <w:lang w:val="en-US"/>
        </w:rPr>
        <w:t xml:space="preserve">or to exercise other rights available to </w:t>
      </w:r>
      <w:r w:rsidR="00CB5B24">
        <w:rPr>
          <w:rFonts w:cs="Arial"/>
          <w:bCs/>
          <w:szCs w:val="22"/>
          <w:lang w:val="en-US"/>
        </w:rPr>
        <w:t>it</w:t>
      </w:r>
      <w:r w:rsidR="00CB5B24" w:rsidRPr="00CB5B24">
        <w:rPr>
          <w:rFonts w:cs="Arial"/>
          <w:bCs/>
          <w:szCs w:val="22"/>
          <w:lang w:val="en-US"/>
        </w:rPr>
        <w:t xml:space="preserve"> in l</w:t>
      </w:r>
      <w:r w:rsidR="00CB5B24">
        <w:rPr>
          <w:rFonts w:cs="Arial"/>
          <w:bCs/>
          <w:szCs w:val="22"/>
          <w:lang w:val="en-US"/>
        </w:rPr>
        <w:t>aw.</w:t>
      </w:r>
      <w:r w:rsidR="00CB5B24">
        <w:rPr>
          <w:rStyle w:val="FootnoteReference"/>
          <w:rFonts w:cs="Arial"/>
          <w:bCs/>
          <w:szCs w:val="22"/>
          <w:lang w:val="en-US"/>
        </w:rPr>
        <w:footnoteReference w:id="22"/>
      </w:r>
      <w:r w:rsidR="00CB5B24">
        <w:rPr>
          <w:rFonts w:cs="Arial"/>
          <w:bCs/>
          <w:szCs w:val="22"/>
          <w:lang w:val="en-US"/>
        </w:rPr>
        <w:t xml:space="preserve"> </w:t>
      </w:r>
    </w:p>
    <w:p w14:paraId="36608EC2" w14:textId="0CF8C6BA" w:rsidR="005F7E15" w:rsidRPr="003959D1" w:rsidRDefault="005F7E15" w:rsidP="00686C3F">
      <w:pPr>
        <w:widowControl w:val="0"/>
        <w:spacing w:before="480" w:after="480" w:line="360" w:lineRule="auto"/>
        <w:jc w:val="both"/>
        <w:rPr>
          <w:rFonts w:cs="Arial"/>
          <w:bCs/>
          <w:szCs w:val="22"/>
        </w:rPr>
      </w:pPr>
      <w:r w:rsidRPr="00947F51">
        <w:rPr>
          <w:rFonts w:cs="Arial"/>
          <w:bCs/>
          <w:szCs w:val="22"/>
          <w:lang w:val="en-US"/>
        </w:rPr>
        <w:t>The reference to</w:t>
      </w:r>
      <w:r>
        <w:rPr>
          <w:rFonts w:cs="Arial"/>
          <w:bCs/>
          <w:szCs w:val="22"/>
          <w:lang w:val="en-US"/>
        </w:rPr>
        <w:t xml:space="preserve"> </w:t>
      </w:r>
      <w:r w:rsidRPr="00B00DA5">
        <w:rPr>
          <w:rFonts w:cs="Arial"/>
          <w:bCs/>
          <w:i/>
          <w:iCs/>
          <w:szCs w:val="22"/>
          <w:lang w:val="en-US"/>
        </w:rPr>
        <w:t>“either party”</w:t>
      </w:r>
      <w:r>
        <w:rPr>
          <w:rFonts w:cs="Arial"/>
          <w:bCs/>
          <w:szCs w:val="22"/>
          <w:lang w:val="en-US"/>
        </w:rPr>
        <w:t xml:space="preserve"> </w:t>
      </w:r>
      <w:r w:rsidRPr="00947F51">
        <w:rPr>
          <w:rFonts w:cs="Arial"/>
          <w:bCs/>
          <w:szCs w:val="22"/>
          <w:lang w:val="en-US"/>
        </w:rPr>
        <w:t xml:space="preserve">in clause 25 would seem to be a reference to the first and second respondents </w:t>
      </w:r>
      <w:r>
        <w:rPr>
          <w:rFonts w:cs="Arial"/>
          <w:bCs/>
          <w:szCs w:val="22"/>
          <w:lang w:val="en-US"/>
        </w:rPr>
        <w:t>as</w:t>
      </w:r>
      <w:r w:rsidRPr="00947F51">
        <w:rPr>
          <w:rFonts w:cs="Arial"/>
          <w:bCs/>
          <w:szCs w:val="22"/>
          <w:lang w:val="en-US"/>
        </w:rPr>
        <w:t xml:space="preserve"> purchaser and seller </w:t>
      </w:r>
      <w:r>
        <w:rPr>
          <w:rFonts w:cs="Arial"/>
          <w:bCs/>
          <w:szCs w:val="22"/>
          <w:lang w:val="en-US"/>
        </w:rPr>
        <w:t>a</w:t>
      </w:r>
      <w:r w:rsidRPr="00947F51">
        <w:rPr>
          <w:rFonts w:cs="Arial"/>
          <w:bCs/>
          <w:szCs w:val="22"/>
          <w:lang w:val="en-US"/>
        </w:rPr>
        <w:t>s it is difficult to see how the first applicant would be entitled to give notice of a breach by the first respondent</w:t>
      </w:r>
      <w:r w:rsidR="00D922E1">
        <w:rPr>
          <w:rFonts w:cs="Arial"/>
          <w:bCs/>
          <w:szCs w:val="22"/>
          <w:lang w:val="en-US"/>
        </w:rPr>
        <w:t>. The first respondent’s obligations were to the second respondent and not to the first applicant</w:t>
      </w:r>
      <w:r>
        <w:rPr>
          <w:rFonts w:cs="Arial"/>
          <w:bCs/>
          <w:szCs w:val="22"/>
          <w:lang w:val="en-US"/>
        </w:rPr>
        <w:t xml:space="preserve">, </w:t>
      </w:r>
      <w:r w:rsidR="00D922E1">
        <w:rPr>
          <w:rFonts w:cs="Arial"/>
          <w:bCs/>
          <w:szCs w:val="22"/>
          <w:lang w:val="en-US"/>
        </w:rPr>
        <w:t>and th</w:t>
      </w:r>
      <w:r w:rsidRPr="004A5056">
        <w:rPr>
          <w:rFonts w:cs="Arial"/>
          <w:bCs/>
          <w:szCs w:val="22"/>
          <w:lang w:val="en-US"/>
        </w:rPr>
        <w:t>e second applicant was not the party to the agreement</w:t>
      </w:r>
      <w:r w:rsidR="00D922E1">
        <w:rPr>
          <w:rFonts w:cs="Arial"/>
          <w:bCs/>
          <w:szCs w:val="22"/>
          <w:lang w:val="en-US"/>
        </w:rPr>
        <w:t xml:space="preserve"> and could not act in terms thereof.</w:t>
      </w:r>
    </w:p>
    <w:p w14:paraId="5B7AD25B" w14:textId="52FAE2D9" w:rsidR="00746E92" w:rsidRPr="003959D1" w:rsidRDefault="00355CCC" w:rsidP="00355CCC">
      <w:pPr>
        <w:widowControl w:val="0"/>
        <w:tabs>
          <w:tab w:val="left" w:pos="567"/>
        </w:tabs>
        <w:spacing w:before="480" w:after="480" w:line="360" w:lineRule="auto"/>
        <w:jc w:val="both"/>
        <w:rPr>
          <w:rFonts w:cs="Arial"/>
          <w:bCs/>
          <w:szCs w:val="22"/>
        </w:rPr>
      </w:pPr>
      <w:r w:rsidRPr="003959D1">
        <w:rPr>
          <w:rFonts w:cs="Arial"/>
          <w:bCs/>
          <w:szCs w:val="22"/>
        </w:rPr>
        <w:t>[18]</w:t>
      </w:r>
      <w:r w:rsidRPr="003959D1">
        <w:rPr>
          <w:rFonts w:cs="Arial"/>
          <w:bCs/>
          <w:szCs w:val="22"/>
        </w:rPr>
        <w:tab/>
      </w:r>
      <w:r w:rsidR="000B39D7" w:rsidRPr="00CB5B24">
        <w:rPr>
          <w:rFonts w:cs="Arial"/>
          <w:bCs/>
          <w:szCs w:val="22"/>
          <w:lang w:val="en-US"/>
        </w:rPr>
        <w:t xml:space="preserve">On </w:t>
      </w:r>
      <w:r w:rsidR="000B39D7">
        <w:rPr>
          <w:rFonts w:cs="Arial"/>
          <w:bCs/>
          <w:szCs w:val="22"/>
          <w:lang w:val="en-US"/>
        </w:rPr>
        <w:t>1</w:t>
      </w:r>
      <w:r w:rsidR="00CB5B24" w:rsidRPr="00CB5B24">
        <w:rPr>
          <w:rFonts w:cs="Arial"/>
          <w:bCs/>
          <w:szCs w:val="22"/>
          <w:lang w:val="en-US"/>
        </w:rPr>
        <w:t xml:space="preserve"> August 2023</w:t>
      </w:r>
      <w:r w:rsidR="000B39D7">
        <w:rPr>
          <w:rStyle w:val="FootnoteReference"/>
          <w:rFonts w:cs="Arial"/>
          <w:bCs/>
          <w:szCs w:val="22"/>
          <w:lang w:val="en-US"/>
        </w:rPr>
        <w:footnoteReference w:id="23"/>
      </w:r>
      <w:r w:rsidR="000B39D7">
        <w:rPr>
          <w:rFonts w:cs="Arial"/>
          <w:bCs/>
          <w:szCs w:val="22"/>
          <w:lang w:val="en-US"/>
        </w:rPr>
        <w:t xml:space="preserve"> </w:t>
      </w:r>
      <w:r w:rsidR="000B39D7" w:rsidRPr="000B39D7">
        <w:rPr>
          <w:rFonts w:cs="Arial"/>
          <w:bCs/>
          <w:szCs w:val="22"/>
          <w:lang w:val="en-US"/>
        </w:rPr>
        <w:t>the applicants</w:t>
      </w:r>
      <w:r w:rsidR="00E75732">
        <w:rPr>
          <w:rFonts w:cs="Arial"/>
          <w:bCs/>
          <w:szCs w:val="22"/>
          <w:lang w:val="en-US"/>
        </w:rPr>
        <w:t>’</w:t>
      </w:r>
      <w:r w:rsidR="000B39D7" w:rsidRPr="000B39D7">
        <w:rPr>
          <w:rFonts w:cs="Arial"/>
          <w:bCs/>
          <w:szCs w:val="22"/>
          <w:lang w:val="en-US"/>
        </w:rPr>
        <w:t xml:space="preserve"> </w:t>
      </w:r>
      <w:r w:rsidR="005E7B14">
        <w:rPr>
          <w:rFonts w:cs="Arial"/>
          <w:bCs/>
          <w:szCs w:val="22"/>
          <w:lang w:val="en-US"/>
        </w:rPr>
        <w:t xml:space="preserve">and second respondent’s </w:t>
      </w:r>
      <w:r w:rsidR="000B39D7" w:rsidRPr="000B39D7">
        <w:rPr>
          <w:rFonts w:cs="Arial"/>
          <w:bCs/>
          <w:szCs w:val="22"/>
          <w:lang w:val="en-US"/>
        </w:rPr>
        <w:t xml:space="preserve">attorney wrote to the </w:t>
      </w:r>
      <w:r w:rsidR="00E75732">
        <w:rPr>
          <w:rFonts w:cs="Arial"/>
          <w:bCs/>
          <w:szCs w:val="22"/>
          <w:lang w:val="en-US"/>
        </w:rPr>
        <w:t xml:space="preserve">first </w:t>
      </w:r>
      <w:r w:rsidR="000B39D7" w:rsidRPr="000B39D7">
        <w:rPr>
          <w:rFonts w:cs="Arial"/>
          <w:bCs/>
          <w:szCs w:val="22"/>
          <w:lang w:val="en-US"/>
        </w:rPr>
        <w:t>respondent</w:t>
      </w:r>
      <w:r w:rsidR="000B39D7">
        <w:rPr>
          <w:rFonts w:cs="Arial"/>
          <w:bCs/>
          <w:szCs w:val="22"/>
          <w:lang w:val="en-US"/>
        </w:rPr>
        <w:t>’</w:t>
      </w:r>
      <w:r w:rsidR="000B39D7" w:rsidRPr="000B39D7">
        <w:rPr>
          <w:rFonts w:cs="Arial"/>
          <w:bCs/>
          <w:szCs w:val="22"/>
          <w:lang w:val="en-US"/>
        </w:rPr>
        <w:t>s attorney</w:t>
      </w:r>
      <w:r w:rsidR="004A5056">
        <w:rPr>
          <w:rFonts w:cs="Arial"/>
          <w:bCs/>
          <w:szCs w:val="22"/>
          <w:lang w:val="en-US"/>
        </w:rPr>
        <w:t xml:space="preserve"> on behalf of the second respondent,</w:t>
      </w:r>
      <w:r w:rsidR="000B39D7">
        <w:rPr>
          <w:rFonts w:cs="Arial"/>
          <w:bCs/>
          <w:szCs w:val="22"/>
          <w:lang w:val="en-US"/>
        </w:rPr>
        <w:t xml:space="preserve"> </w:t>
      </w:r>
      <w:r w:rsidR="000B39D7" w:rsidRPr="000B39D7">
        <w:rPr>
          <w:rFonts w:cs="Arial"/>
          <w:bCs/>
          <w:szCs w:val="22"/>
          <w:lang w:val="en-US"/>
        </w:rPr>
        <w:t xml:space="preserve">recording that </w:t>
      </w:r>
      <w:r w:rsidR="000B39D7">
        <w:rPr>
          <w:rFonts w:cs="Arial"/>
          <w:bCs/>
          <w:szCs w:val="22"/>
          <w:lang w:val="en-US"/>
        </w:rPr>
        <w:t>only $</w:t>
      </w:r>
      <w:r w:rsidR="000B39D7" w:rsidRPr="000B39D7">
        <w:rPr>
          <w:rFonts w:cs="Arial"/>
          <w:bCs/>
          <w:szCs w:val="22"/>
          <w:lang w:val="en-US"/>
        </w:rPr>
        <w:t>30,000 had been paid towards the indebtedness</w:t>
      </w:r>
      <w:r w:rsidR="000B39D7">
        <w:rPr>
          <w:rFonts w:cs="Arial"/>
          <w:bCs/>
          <w:szCs w:val="22"/>
          <w:lang w:val="en-US"/>
        </w:rPr>
        <w:t xml:space="preserve">. </w:t>
      </w:r>
      <w:r w:rsidR="000B39D7" w:rsidRPr="000B39D7">
        <w:rPr>
          <w:rFonts w:cs="Arial"/>
          <w:bCs/>
          <w:szCs w:val="22"/>
          <w:lang w:val="en-US"/>
        </w:rPr>
        <w:t>The a</w:t>
      </w:r>
      <w:r w:rsidR="004A5056">
        <w:rPr>
          <w:rFonts w:cs="Arial"/>
          <w:bCs/>
          <w:szCs w:val="22"/>
          <w:lang w:val="en-US"/>
        </w:rPr>
        <w:t>ttorney</w:t>
      </w:r>
      <w:r w:rsidR="000B39D7" w:rsidRPr="000B39D7">
        <w:rPr>
          <w:rFonts w:cs="Arial"/>
          <w:bCs/>
          <w:szCs w:val="22"/>
          <w:lang w:val="en-US"/>
        </w:rPr>
        <w:t xml:space="preserve"> demanded that the </w:t>
      </w:r>
      <w:r w:rsidR="008D2A7F">
        <w:rPr>
          <w:rFonts w:cs="Arial"/>
          <w:bCs/>
          <w:szCs w:val="22"/>
          <w:lang w:val="en-US"/>
        </w:rPr>
        <w:t>breach</w:t>
      </w:r>
      <w:r w:rsidR="000B39D7" w:rsidRPr="000B39D7">
        <w:rPr>
          <w:rFonts w:cs="Arial"/>
          <w:bCs/>
          <w:szCs w:val="22"/>
          <w:lang w:val="en-US"/>
        </w:rPr>
        <w:t xml:space="preserve"> be rectified within seven days failing which the </w:t>
      </w:r>
      <w:r w:rsidR="004A5056">
        <w:rPr>
          <w:rFonts w:cs="Arial"/>
          <w:bCs/>
          <w:szCs w:val="22"/>
          <w:lang w:val="en-US"/>
        </w:rPr>
        <w:t>second respondent</w:t>
      </w:r>
      <w:r w:rsidR="000B39D7" w:rsidRPr="000B39D7">
        <w:rPr>
          <w:rFonts w:cs="Arial"/>
          <w:bCs/>
          <w:szCs w:val="22"/>
          <w:lang w:val="en-US"/>
        </w:rPr>
        <w:t xml:space="preserve"> would institute legal action for an order </w:t>
      </w:r>
      <w:r w:rsidR="008D2A7F">
        <w:rPr>
          <w:rFonts w:cs="Arial"/>
          <w:bCs/>
          <w:szCs w:val="22"/>
          <w:lang w:val="en-US"/>
        </w:rPr>
        <w:t>of</w:t>
      </w:r>
      <w:r w:rsidR="000B39D7" w:rsidRPr="000B39D7">
        <w:rPr>
          <w:rFonts w:cs="Arial"/>
          <w:bCs/>
          <w:szCs w:val="22"/>
          <w:lang w:val="en-US"/>
        </w:rPr>
        <w:t xml:space="preserve"> specific performance and damages</w:t>
      </w:r>
      <w:r w:rsidR="000B39D7">
        <w:rPr>
          <w:rFonts w:cs="Arial"/>
          <w:bCs/>
          <w:szCs w:val="22"/>
          <w:lang w:val="en-US"/>
        </w:rPr>
        <w:t xml:space="preserve">, </w:t>
      </w:r>
      <w:r w:rsidR="000B39D7" w:rsidRPr="000B39D7">
        <w:rPr>
          <w:rFonts w:cs="Arial"/>
          <w:bCs/>
          <w:szCs w:val="22"/>
          <w:lang w:val="en-US"/>
        </w:rPr>
        <w:t>or cancel the agreement and claim damages</w:t>
      </w:r>
      <w:r w:rsidR="000B39D7">
        <w:rPr>
          <w:rFonts w:cs="Arial"/>
          <w:bCs/>
          <w:szCs w:val="22"/>
          <w:lang w:val="en-US"/>
        </w:rPr>
        <w:t>.</w:t>
      </w:r>
      <w:r w:rsidR="00947F51">
        <w:rPr>
          <w:rFonts w:cs="Arial"/>
          <w:bCs/>
          <w:szCs w:val="22"/>
          <w:lang w:val="en-US"/>
        </w:rPr>
        <w:t xml:space="preserve"> </w:t>
      </w:r>
      <w:r w:rsidR="005F7E15" w:rsidRPr="005F7E15">
        <w:rPr>
          <w:rFonts w:cs="Arial"/>
          <w:bCs/>
          <w:szCs w:val="22"/>
          <w:lang w:val="en-US"/>
        </w:rPr>
        <w:t>The confusion in the minds of the applicants in respect of the identity of the seller appears from paragraph 26 of the founding affidavit</w:t>
      </w:r>
      <w:r w:rsidR="005F7E15">
        <w:rPr>
          <w:rStyle w:val="FootnoteReference"/>
          <w:rFonts w:cs="Arial"/>
          <w:bCs/>
          <w:szCs w:val="22"/>
          <w:lang w:val="en-US"/>
        </w:rPr>
        <w:footnoteReference w:id="24"/>
      </w:r>
      <w:r w:rsidR="005F7E15">
        <w:rPr>
          <w:rFonts w:cs="Arial"/>
          <w:bCs/>
          <w:szCs w:val="22"/>
          <w:lang w:val="en-US"/>
        </w:rPr>
        <w:t xml:space="preserve"> w</w:t>
      </w:r>
      <w:r w:rsidR="005F7E15" w:rsidRPr="005F7E15">
        <w:rPr>
          <w:rFonts w:cs="Arial"/>
          <w:bCs/>
          <w:szCs w:val="22"/>
          <w:lang w:val="en-US"/>
        </w:rPr>
        <w:t>here is alleged that the demand was made</w:t>
      </w:r>
      <w:r w:rsidR="005F7E15">
        <w:rPr>
          <w:rFonts w:cs="Arial"/>
          <w:bCs/>
          <w:szCs w:val="22"/>
          <w:lang w:val="en-US"/>
        </w:rPr>
        <w:t xml:space="preserve"> </w:t>
      </w:r>
      <w:r w:rsidR="005F7E15" w:rsidRPr="005F7E15">
        <w:rPr>
          <w:rFonts w:cs="Arial"/>
          <w:bCs/>
          <w:szCs w:val="22"/>
          <w:lang w:val="en-US"/>
        </w:rPr>
        <w:t>on behalf of the second applicant</w:t>
      </w:r>
      <w:r w:rsidR="005F7E15">
        <w:rPr>
          <w:rFonts w:cs="Arial"/>
          <w:bCs/>
          <w:szCs w:val="22"/>
          <w:lang w:val="en-US"/>
        </w:rPr>
        <w:t xml:space="preserve">. </w:t>
      </w:r>
      <w:r w:rsidR="005F7E15" w:rsidRPr="005F7E15">
        <w:rPr>
          <w:rFonts w:cs="Arial"/>
          <w:bCs/>
          <w:szCs w:val="22"/>
          <w:lang w:val="en-US"/>
        </w:rPr>
        <w:t>It is clear from the l</w:t>
      </w:r>
      <w:r w:rsidR="005F7E15">
        <w:rPr>
          <w:rFonts w:cs="Arial"/>
          <w:bCs/>
          <w:szCs w:val="22"/>
          <w:lang w:val="en-US"/>
        </w:rPr>
        <w:t xml:space="preserve">etter </w:t>
      </w:r>
      <w:r w:rsidR="005F7E15" w:rsidRPr="005F7E15">
        <w:rPr>
          <w:rFonts w:cs="Arial"/>
          <w:bCs/>
          <w:szCs w:val="22"/>
          <w:lang w:val="en-US"/>
        </w:rPr>
        <w:t>itself</w:t>
      </w:r>
      <w:r w:rsidR="005F7E15">
        <w:rPr>
          <w:rFonts w:cs="Arial"/>
          <w:bCs/>
          <w:szCs w:val="22"/>
          <w:lang w:val="en-US"/>
        </w:rPr>
        <w:t xml:space="preserve"> </w:t>
      </w:r>
      <w:r w:rsidR="005F7E15" w:rsidRPr="005F7E15">
        <w:rPr>
          <w:rFonts w:cs="Arial"/>
          <w:bCs/>
          <w:szCs w:val="22"/>
          <w:lang w:val="en-US"/>
        </w:rPr>
        <w:t>that the attorney</w:t>
      </w:r>
      <w:r w:rsidR="005E7B14">
        <w:rPr>
          <w:rFonts w:cs="Arial"/>
          <w:bCs/>
          <w:szCs w:val="22"/>
          <w:lang w:val="en-US"/>
        </w:rPr>
        <w:t>’</w:t>
      </w:r>
      <w:r w:rsidR="005F7E15" w:rsidRPr="005F7E15">
        <w:rPr>
          <w:rFonts w:cs="Arial"/>
          <w:bCs/>
          <w:szCs w:val="22"/>
          <w:lang w:val="en-US"/>
        </w:rPr>
        <w:t xml:space="preserve">s client is identified as the </w:t>
      </w:r>
      <w:r w:rsidR="005E7B14">
        <w:rPr>
          <w:rFonts w:cs="Arial"/>
          <w:bCs/>
          <w:szCs w:val="22"/>
          <w:lang w:val="en-US"/>
        </w:rPr>
        <w:t>second</w:t>
      </w:r>
      <w:r w:rsidR="005F7E15" w:rsidRPr="005F7E15">
        <w:rPr>
          <w:rFonts w:cs="Arial"/>
          <w:bCs/>
          <w:szCs w:val="22"/>
          <w:lang w:val="en-US"/>
        </w:rPr>
        <w:t xml:space="preserve"> respondent</w:t>
      </w:r>
      <w:r w:rsidR="005F7E15">
        <w:rPr>
          <w:rFonts w:cs="Arial"/>
          <w:bCs/>
          <w:szCs w:val="22"/>
          <w:lang w:val="en-US"/>
        </w:rPr>
        <w:t>.</w:t>
      </w:r>
    </w:p>
    <w:p w14:paraId="20DD5279" w14:textId="36F79423" w:rsidR="008F6436" w:rsidRPr="008F6436" w:rsidRDefault="00355CCC" w:rsidP="00355CCC">
      <w:pPr>
        <w:widowControl w:val="0"/>
        <w:tabs>
          <w:tab w:val="left" w:pos="567"/>
        </w:tabs>
        <w:spacing w:before="480" w:after="480" w:line="360" w:lineRule="auto"/>
        <w:jc w:val="both"/>
        <w:rPr>
          <w:rFonts w:cs="Arial"/>
          <w:bCs/>
          <w:szCs w:val="22"/>
        </w:rPr>
      </w:pPr>
      <w:r w:rsidRPr="008F6436">
        <w:rPr>
          <w:rFonts w:cs="Arial"/>
          <w:bCs/>
          <w:szCs w:val="22"/>
        </w:rPr>
        <w:t>[19]</w:t>
      </w:r>
      <w:r w:rsidRPr="008F6436">
        <w:rPr>
          <w:rFonts w:cs="Arial"/>
          <w:bCs/>
          <w:szCs w:val="22"/>
        </w:rPr>
        <w:tab/>
      </w:r>
      <w:r w:rsidR="00BF1C99" w:rsidRPr="00BF1C99">
        <w:rPr>
          <w:rFonts w:cs="Arial"/>
          <w:bCs/>
          <w:szCs w:val="22"/>
          <w:lang w:val="en-US"/>
        </w:rPr>
        <w:t xml:space="preserve">Payment was not forthcoming and on 10 August 2023 the </w:t>
      </w:r>
      <w:r w:rsidR="004A5056">
        <w:rPr>
          <w:rFonts w:cs="Arial"/>
          <w:bCs/>
          <w:szCs w:val="22"/>
          <w:lang w:val="en-US"/>
        </w:rPr>
        <w:t xml:space="preserve">second </w:t>
      </w:r>
      <w:proofErr w:type="gramStart"/>
      <w:r w:rsidR="004A5056">
        <w:rPr>
          <w:rFonts w:cs="Arial"/>
          <w:bCs/>
          <w:szCs w:val="22"/>
          <w:lang w:val="en-US"/>
        </w:rPr>
        <w:t xml:space="preserve">respondent </w:t>
      </w:r>
      <w:r w:rsidR="00BF1C99" w:rsidRPr="00BF1C99">
        <w:rPr>
          <w:rFonts w:cs="Arial"/>
          <w:bCs/>
          <w:szCs w:val="22"/>
          <w:lang w:val="en-US"/>
        </w:rPr>
        <w:t xml:space="preserve"> </w:t>
      </w:r>
      <w:r w:rsidR="008F6436">
        <w:rPr>
          <w:rFonts w:cs="Arial"/>
          <w:bCs/>
          <w:szCs w:val="22"/>
          <w:lang w:val="en-US"/>
        </w:rPr>
        <w:t>purportedly</w:t>
      </w:r>
      <w:proofErr w:type="gramEnd"/>
      <w:r w:rsidR="008F6436">
        <w:rPr>
          <w:rFonts w:cs="Arial"/>
          <w:bCs/>
          <w:szCs w:val="22"/>
          <w:lang w:val="en-US"/>
        </w:rPr>
        <w:t xml:space="preserve"> </w:t>
      </w:r>
      <w:r w:rsidR="00BF1C99" w:rsidRPr="00BF1C99">
        <w:rPr>
          <w:rFonts w:cs="Arial"/>
          <w:bCs/>
          <w:szCs w:val="22"/>
          <w:lang w:val="en-US"/>
        </w:rPr>
        <w:t>cancelled the agreement in writing</w:t>
      </w:r>
      <w:r w:rsidR="00BF1C99">
        <w:rPr>
          <w:rStyle w:val="FootnoteReference"/>
          <w:rFonts w:cs="Arial"/>
          <w:bCs/>
          <w:szCs w:val="22"/>
          <w:lang w:val="en-US"/>
        </w:rPr>
        <w:footnoteReference w:id="25"/>
      </w:r>
      <w:r w:rsidR="00BF1C99">
        <w:rPr>
          <w:rFonts w:cs="Arial"/>
          <w:bCs/>
          <w:szCs w:val="22"/>
          <w:lang w:val="en-US"/>
        </w:rPr>
        <w:t xml:space="preserve"> </w:t>
      </w:r>
      <w:r w:rsidR="00BF1C99" w:rsidRPr="00BF1C99">
        <w:rPr>
          <w:rFonts w:cs="Arial"/>
          <w:bCs/>
          <w:szCs w:val="22"/>
          <w:lang w:val="en-US"/>
        </w:rPr>
        <w:t>and reserved the right to claim damages</w:t>
      </w:r>
      <w:r w:rsidR="00BF1C99">
        <w:rPr>
          <w:rFonts w:cs="Arial"/>
          <w:bCs/>
          <w:szCs w:val="22"/>
          <w:lang w:val="en-US"/>
        </w:rPr>
        <w:t>.</w:t>
      </w:r>
      <w:r w:rsidR="008F6436">
        <w:rPr>
          <w:rFonts w:cs="Arial"/>
          <w:bCs/>
          <w:szCs w:val="22"/>
          <w:lang w:val="en-US"/>
        </w:rPr>
        <w:t xml:space="preserve"> I need not decide whether the first respondent could remedy its default within 7 days by paying the outstanding instalments or whether the full purchase price was now payable as stated in the letter of demand, and nor would it be proper to make an </w:t>
      </w:r>
      <w:proofErr w:type="spellStart"/>
      <w:r w:rsidR="008F6436" w:rsidRPr="008F6436">
        <w:rPr>
          <w:rFonts w:cs="Arial"/>
          <w:bCs/>
          <w:i/>
          <w:iCs/>
          <w:szCs w:val="22"/>
          <w:lang w:val="en-US"/>
        </w:rPr>
        <w:t>obiter</w:t>
      </w:r>
      <w:proofErr w:type="spellEnd"/>
      <w:r w:rsidR="008F6436">
        <w:rPr>
          <w:rFonts w:cs="Arial"/>
          <w:bCs/>
          <w:szCs w:val="22"/>
          <w:lang w:val="en-US"/>
        </w:rPr>
        <w:t xml:space="preserve"> comment on the question whether the second respondent was</w:t>
      </w:r>
      <w:r w:rsidR="00D2164A">
        <w:rPr>
          <w:rFonts w:cs="Arial"/>
          <w:bCs/>
          <w:szCs w:val="22"/>
          <w:lang w:val="en-US"/>
        </w:rPr>
        <w:t xml:space="preserve"> now</w:t>
      </w:r>
      <w:r w:rsidR="008F6436">
        <w:rPr>
          <w:rFonts w:cs="Arial"/>
          <w:bCs/>
          <w:szCs w:val="22"/>
          <w:lang w:val="en-US"/>
        </w:rPr>
        <w:t xml:space="preserve"> entitled to cancel.</w:t>
      </w:r>
    </w:p>
    <w:p w14:paraId="65CE0E0C" w14:textId="3DE28AE7" w:rsidR="003959D1" w:rsidRPr="00D2164A" w:rsidRDefault="00355CCC" w:rsidP="00355CCC">
      <w:pPr>
        <w:widowControl w:val="0"/>
        <w:tabs>
          <w:tab w:val="left" w:pos="567"/>
        </w:tabs>
        <w:spacing w:before="480" w:after="480" w:line="360" w:lineRule="auto"/>
        <w:jc w:val="both"/>
        <w:rPr>
          <w:rFonts w:cs="Arial"/>
          <w:bCs/>
          <w:szCs w:val="22"/>
        </w:rPr>
      </w:pPr>
      <w:r w:rsidRPr="00D2164A">
        <w:rPr>
          <w:rFonts w:cs="Arial"/>
          <w:bCs/>
          <w:szCs w:val="22"/>
        </w:rPr>
        <w:t>[20]</w:t>
      </w:r>
      <w:r w:rsidRPr="00D2164A">
        <w:rPr>
          <w:rFonts w:cs="Arial"/>
          <w:bCs/>
          <w:szCs w:val="22"/>
        </w:rPr>
        <w:tab/>
      </w:r>
      <w:r w:rsidR="005F7E15">
        <w:rPr>
          <w:rFonts w:cs="Arial"/>
          <w:bCs/>
          <w:szCs w:val="22"/>
          <w:lang w:val="en-US"/>
        </w:rPr>
        <w:t xml:space="preserve"> </w:t>
      </w:r>
      <w:r w:rsidR="005F7E15" w:rsidRPr="005F7E15">
        <w:rPr>
          <w:rFonts w:cs="Arial"/>
          <w:bCs/>
          <w:szCs w:val="22"/>
          <w:lang w:val="en-US"/>
        </w:rPr>
        <w:t>In the founding affidavit it is alleged</w:t>
      </w:r>
      <w:r w:rsidR="005F7E15">
        <w:rPr>
          <w:rStyle w:val="FootnoteReference"/>
          <w:rFonts w:cs="Arial"/>
          <w:bCs/>
          <w:szCs w:val="22"/>
          <w:lang w:val="en-US"/>
        </w:rPr>
        <w:footnoteReference w:id="26"/>
      </w:r>
      <w:r w:rsidR="005F7E15" w:rsidRPr="005F7E15">
        <w:rPr>
          <w:rFonts w:cs="Arial"/>
          <w:bCs/>
          <w:szCs w:val="22"/>
          <w:lang w:val="en-US"/>
        </w:rPr>
        <w:t xml:space="preserve"> that the second applicant cancelled the agreement</w:t>
      </w:r>
      <w:r w:rsidR="005F7E15">
        <w:rPr>
          <w:rFonts w:cs="Arial"/>
          <w:bCs/>
          <w:szCs w:val="22"/>
          <w:lang w:val="en-US"/>
        </w:rPr>
        <w:t xml:space="preserve">. </w:t>
      </w:r>
      <w:r w:rsidR="005F7E15" w:rsidRPr="005F7E15">
        <w:rPr>
          <w:rFonts w:cs="Arial"/>
          <w:bCs/>
          <w:szCs w:val="22"/>
          <w:lang w:val="en-US"/>
        </w:rPr>
        <w:t xml:space="preserve">It bears repetition that the second applicant had no right to cancel the </w:t>
      </w:r>
      <w:r w:rsidR="005F7E15" w:rsidRPr="005F7E15">
        <w:rPr>
          <w:rFonts w:cs="Arial"/>
          <w:bCs/>
          <w:szCs w:val="22"/>
          <w:lang w:val="en-US"/>
        </w:rPr>
        <w:lastRenderedPageBreak/>
        <w:t>agreement as it was not a party to the agreement</w:t>
      </w:r>
      <w:r w:rsidR="005F7E15">
        <w:rPr>
          <w:rFonts w:cs="Arial"/>
          <w:bCs/>
          <w:szCs w:val="22"/>
          <w:lang w:val="en-US"/>
        </w:rPr>
        <w:t>.</w:t>
      </w:r>
    </w:p>
    <w:p w14:paraId="50826F15" w14:textId="4F2B5DFC" w:rsidR="00D2164A" w:rsidRPr="003959D1" w:rsidRDefault="00355CCC" w:rsidP="00355CCC">
      <w:pPr>
        <w:widowControl w:val="0"/>
        <w:tabs>
          <w:tab w:val="left" w:pos="567"/>
        </w:tabs>
        <w:spacing w:before="480" w:after="480" w:line="360" w:lineRule="auto"/>
        <w:jc w:val="both"/>
        <w:rPr>
          <w:rFonts w:cs="Arial"/>
          <w:bCs/>
          <w:szCs w:val="22"/>
        </w:rPr>
      </w:pPr>
      <w:r w:rsidRPr="003959D1">
        <w:rPr>
          <w:rFonts w:cs="Arial"/>
          <w:bCs/>
          <w:szCs w:val="22"/>
        </w:rPr>
        <w:t>[21]</w:t>
      </w:r>
      <w:r w:rsidRPr="003959D1">
        <w:rPr>
          <w:rFonts w:cs="Arial"/>
          <w:bCs/>
          <w:szCs w:val="22"/>
        </w:rPr>
        <w:tab/>
      </w:r>
      <w:r w:rsidR="00D2164A">
        <w:rPr>
          <w:rFonts w:cs="Arial"/>
          <w:bCs/>
          <w:szCs w:val="22"/>
          <w:lang w:val="en-US"/>
        </w:rPr>
        <w:t>For the reasons set out above I make the order in paragraph 1.</w:t>
      </w:r>
    </w:p>
    <w:p w14:paraId="5E3F3A66" w14:textId="6CAAB854" w:rsidR="00293C02" w:rsidRPr="000F7813" w:rsidRDefault="00293C02" w:rsidP="005B380D">
      <w:pPr>
        <w:widowControl w:val="0"/>
        <w:tabs>
          <w:tab w:val="right" w:pos="0"/>
        </w:tabs>
        <w:spacing w:line="360" w:lineRule="auto"/>
        <w:contextualSpacing/>
        <w:rPr>
          <w:rFonts w:cs="Arial"/>
          <w:b/>
          <w:szCs w:val="22"/>
        </w:rPr>
      </w:pPr>
    </w:p>
    <w:p w14:paraId="53CD27EE" w14:textId="0B3A7FA3" w:rsidR="00AE287F" w:rsidRPr="000F7813" w:rsidRDefault="00A649E6" w:rsidP="003A1D18">
      <w:pPr>
        <w:widowControl w:val="0"/>
        <w:tabs>
          <w:tab w:val="right" w:pos="0"/>
        </w:tabs>
        <w:spacing w:line="360" w:lineRule="auto"/>
        <w:contextualSpacing/>
        <w:jc w:val="right"/>
        <w:rPr>
          <w:rFonts w:cs="Arial"/>
          <w:b/>
          <w:szCs w:val="22"/>
        </w:rPr>
      </w:pPr>
      <w:r w:rsidRPr="000F7813">
        <w:rPr>
          <w:rFonts w:cs="Arial"/>
          <w:b/>
          <w:szCs w:val="22"/>
        </w:rPr>
        <w:t>______________</w:t>
      </w:r>
    </w:p>
    <w:p w14:paraId="0CCB9BFE" w14:textId="7ABE564D" w:rsidR="006C43D7" w:rsidRPr="000F7813" w:rsidRDefault="00C676F3" w:rsidP="003A1D18">
      <w:pPr>
        <w:widowControl w:val="0"/>
        <w:tabs>
          <w:tab w:val="right" w:pos="0"/>
        </w:tabs>
        <w:spacing w:line="360" w:lineRule="auto"/>
        <w:contextualSpacing/>
        <w:jc w:val="right"/>
        <w:rPr>
          <w:rFonts w:cs="Arial"/>
          <w:b/>
          <w:szCs w:val="22"/>
        </w:rPr>
      </w:pPr>
      <w:r w:rsidRPr="000F7813">
        <w:rPr>
          <w:rFonts w:cs="Arial"/>
          <w:b/>
          <w:szCs w:val="22"/>
        </w:rPr>
        <w:t>J MOORCROFT</w:t>
      </w:r>
    </w:p>
    <w:p w14:paraId="7A2C1059" w14:textId="77777777" w:rsidR="006C43D7" w:rsidRPr="000F7813" w:rsidRDefault="006C43D7" w:rsidP="003A1D18">
      <w:pPr>
        <w:widowControl w:val="0"/>
        <w:tabs>
          <w:tab w:val="right" w:pos="0"/>
        </w:tabs>
        <w:spacing w:line="360" w:lineRule="auto"/>
        <w:contextualSpacing/>
        <w:jc w:val="right"/>
        <w:rPr>
          <w:rFonts w:cs="Arial"/>
          <w:b/>
          <w:szCs w:val="22"/>
        </w:rPr>
      </w:pPr>
      <w:r w:rsidRPr="000F7813">
        <w:rPr>
          <w:rFonts w:cs="Arial"/>
          <w:b/>
          <w:szCs w:val="22"/>
        </w:rPr>
        <w:t>ACTING JUDGE OF THE HIGH COURT OF SOUTH AFRICA</w:t>
      </w:r>
    </w:p>
    <w:p w14:paraId="077C2590" w14:textId="7452355B" w:rsidR="006C43D7" w:rsidRPr="000F7813" w:rsidRDefault="006C43D7" w:rsidP="003A1D18">
      <w:pPr>
        <w:widowControl w:val="0"/>
        <w:tabs>
          <w:tab w:val="right" w:pos="0"/>
          <w:tab w:val="left" w:pos="4253"/>
        </w:tabs>
        <w:spacing w:line="360" w:lineRule="auto"/>
        <w:contextualSpacing/>
        <w:jc w:val="right"/>
        <w:rPr>
          <w:rFonts w:cs="Arial"/>
          <w:b/>
          <w:szCs w:val="22"/>
        </w:rPr>
      </w:pPr>
      <w:r w:rsidRPr="000F7813">
        <w:rPr>
          <w:rFonts w:cs="Arial"/>
          <w:b/>
          <w:szCs w:val="22"/>
        </w:rPr>
        <w:t>GAUTENG DIVISION</w:t>
      </w:r>
    </w:p>
    <w:p w14:paraId="40B9C946" w14:textId="77777777" w:rsidR="006C43D7" w:rsidRPr="000F7813" w:rsidRDefault="006C43D7" w:rsidP="0005282E">
      <w:pPr>
        <w:widowControl w:val="0"/>
        <w:tabs>
          <w:tab w:val="right" w:pos="0"/>
          <w:tab w:val="left" w:pos="4253"/>
        </w:tabs>
        <w:spacing w:line="360" w:lineRule="auto"/>
        <w:contextualSpacing/>
        <w:jc w:val="right"/>
        <w:rPr>
          <w:rFonts w:cs="Arial"/>
          <w:b/>
          <w:szCs w:val="22"/>
        </w:rPr>
      </w:pPr>
      <w:r w:rsidRPr="000F7813">
        <w:rPr>
          <w:rFonts w:cs="Arial"/>
          <w:b/>
          <w:szCs w:val="22"/>
        </w:rPr>
        <w:t>JOHANNESBURG</w:t>
      </w:r>
    </w:p>
    <w:p w14:paraId="326B529B" w14:textId="77777777" w:rsidR="006C43D7" w:rsidRPr="000F7813"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0F7813" w:rsidRDefault="006C43D7" w:rsidP="003A1D18">
      <w:pPr>
        <w:widowControl w:val="0"/>
        <w:spacing w:after="200" w:line="480" w:lineRule="auto"/>
        <w:contextualSpacing/>
        <w:jc w:val="right"/>
        <w:rPr>
          <w:rFonts w:cs="Arial"/>
          <w:b/>
          <w:i/>
          <w:iCs/>
          <w:szCs w:val="22"/>
        </w:rPr>
      </w:pPr>
      <w:r w:rsidRPr="000F7813">
        <w:rPr>
          <w:rFonts w:cs="Arial"/>
          <w:b/>
          <w:i/>
          <w:iCs/>
          <w:szCs w:val="22"/>
        </w:rPr>
        <w:t>Electronically submitted</w:t>
      </w:r>
    </w:p>
    <w:p w14:paraId="4E3E9427" w14:textId="77777777" w:rsidR="006C43D7" w:rsidRPr="000F7813" w:rsidRDefault="006C43D7" w:rsidP="003A1D18">
      <w:pPr>
        <w:widowControl w:val="0"/>
        <w:spacing w:after="200" w:line="360" w:lineRule="auto"/>
        <w:contextualSpacing/>
        <w:jc w:val="both"/>
        <w:rPr>
          <w:rFonts w:eastAsia="Arial Unicode MS" w:cs="Arial"/>
          <w:bCs/>
          <w:szCs w:val="22"/>
        </w:rPr>
      </w:pPr>
    </w:p>
    <w:p w14:paraId="51C686CA" w14:textId="7D86EADE" w:rsidR="006C43D7" w:rsidRPr="000F7813" w:rsidRDefault="006C43D7" w:rsidP="003A1D18">
      <w:pPr>
        <w:widowControl w:val="0"/>
        <w:spacing w:after="200" w:line="360" w:lineRule="auto"/>
        <w:contextualSpacing/>
        <w:jc w:val="both"/>
        <w:rPr>
          <w:rFonts w:eastAsia="Arial Unicode MS" w:cs="Arial"/>
          <w:bCs/>
          <w:szCs w:val="22"/>
        </w:rPr>
      </w:pPr>
      <w:r w:rsidRPr="000F7813">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0F7813">
        <w:rPr>
          <w:rFonts w:eastAsia="Arial Unicode MS" w:cs="Arial"/>
          <w:bCs/>
          <w:szCs w:val="22"/>
        </w:rPr>
        <w:t>CaseLines</w:t>
      </w:r>
      <w:proofErr w:type="spellEnd"/>
      <w:r w:rsidRPr="000F7813">
        <w:rPr>
          <w:rFonts w:eastAsia="Arial Unicode MS" w:cs="Arial"/>
          <w:bCs/>
          <w:szCs w:val="22"/>
        </w:rPr>
        <w:t xml:space="preserve">. The date of the judgment is deemed to </w:t>
      </w:r>
      <w:proofErr w:type="gramStart"/>
      <w:r w:rsidRPr="000F7813">
        <w:rPr>
          <w:rFonts w:eastAsia="Arial Unicode MS" w:cs="Arial"/>
          <w:bCs/>
          <w:szCs w:val="22"/>
        </w:rPr>
        <w:t>be</w:t>
      </w:r>
      <w:r w:rsidR="00C460A0" w:rsidRPr="000F7813">
        <w:rPr>
          <w:rFonts w:eastAsia="Arial Unicode MS" w:cs="Arial"/>
          <w:b/>
          <w:szCs w:val="22"/>
        </w:rPr>
        <w:t xml:space="preserve"> </w:t>
      </w:r>
      <w:r w:rsidR="0005282E" w:rsidRPr="000F7813">
        <w:rPr>
          <w:rFonts w:eastAsia="Arial Unicode MS" w:cs="Arial"/>
          <w:b/>
          <w:szCs w:val="22"/>
        </w:rPr>
        <w:t xml:space="preserve"> </w:t>
      </w:r>
      <w:r w:rsidR="00D2164A">
        <w:rPr>
          <w:rFonts w:eastAsia="Arial Unicode MS" w:cs="Arial"/>
          <w:b/>
          <w:szCs w:val="22"/>
        </w:rPr>
        <w:t>7</w:t>
      </w:r>
      <w:proofErr w:type="gramEnd"/>
      <w:r w:rsidR="00B5572D" w:rsidRPr="000F7813">
        <w:rPr>
          <w:rFonts w:eastAsia="Arial Unicode MS" w:cs="Arial"/>
          <w:b/>
          <w:szCs w:val="22"/>
        </w:rPr>
        <w:t xml:space="preserve"> </w:t>
      </w:r>
      <w:r w:rsidR="00751D8C">
        <w:rPr>
          <w:rFonts w:eastAsia="Arial Unicode MS" w:cs="Arial"/>
          <w:b/>
          <w:szCs w:val="22"/>
        </w:rPr>
        <w:t xml:space="preserve">SEPTEMBER </w:t>
      </w:r>
      <w:r w:rsidR="00237FF9" w:rsidRPr="000F7813">
        <w:rPr>
          <w:rFonts w:eastAsia="Arial Unicode MS" w:cs="Arial"/>
          <w:b/>
          <w:bCs/>
          <w:szCs w:val="22"/>
        </w:rPr>
        <w:t>202</w:t>
      </w:r>
      <w:r w:rsidR="00051A2B" w:rsidRPr="000F7813">
        <w:rPr>
          <w:rFonts w:eastAsia="Arial Unicode MS" w:cs="Arial"/>
          <w:b/>
          <w:bCs/>
          <w:szCs w:val="22"/>
        </w:rPr>
        <w:t>3</w:t>
      </w:r>
      <w:r w:rsidR="00051A2B" w:rsidRPr="000F7813">
        <w:rPr>
          <w:rFonts w:eastAsia="Arial Unicode MS" w:cs="Arial"/>
          <w:bCs/>
          <w:szCs w:val="22"/>
        </w:rPr>
        <w:t>.</w:t>
      </w:r>
    </w:p>
    <w:p w14:paraId="482DDF6E" w14:textId="77777777" w:rsidR="006C43D7" w:rsidRPr="000F7813"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0F7813" w14:paraId="493AF0D7" w14:textId="77777777" w:rsidTr="00615F6B">
        <w:tc>
          <w:tcPr>
            <w:tcW w:w="4678" w:type="dxa"/>
          </w:tcPr>
          <w:p w14:paraId="6A05541A" w14:textId="456AD745" w:rsidR="009D35B5" w:rsidRPr="000F7813" w:rsidRDefault="009D35B5" w:rsidP="00A25AB4">
            <w:pPr>
              <w:tabs>
                <w:tab w:val="right" w:pos="0"/>
                <w:tab w:val="left" w:pos="4253"/>
              </w:tabs>
              <w:spacing w:before="120" w:after="120"/>
              <w:rPr>
                <w:rFonts w:cs="Arial"/>
                <w:szCs w:val="22"/>
              </w:rPr>
            </w:pPr>
            <w:r w:rsidRPr="000F7813">
              <w:rPr>
                <w:rFonts w:cs="Arial"/>
                <w:szCs w:val="22"/>
              </w:rPr>
              <w:t xml:space="preserve">COUNSEL FOR </w:t>
            </w:r>
            <w:r w:rsidR="00404A52" w:rsidRPr="000F7813">
              <w:rPr>
                <w:rFonts w:cs="Arial"/>
                <w:szCs w:val="22"/>
              </w:rPr>
              <w:t>THE APPLICANT</w:t>
            </w:r>
            <w:r w:rsidR="00F44250">
              <w:rPr>
                <w:rFonts w:cs="Arial"/>
                <w:szCs w:val="22"/>
              </w:rPr>
              <w:t>S</w:t>
            </w:r>
            <w:r w:rsidRPr="000F7813">
              <w:rPr>
                <w:rFonts w:cs="Arial"/>
                <w:szCs w:val="22"/>
              </w:rPr>
              <w:t>:</w:t>
            </w:r>
          </w:p>
        </w:tc>
        <w:tc>
          <w:tcPr>
            <w:tcW w:w="3935" w:type="dxa"/>
          </w:tcPr>
          <w:p w14:paraId="69785AA9" w14:textId="73DC8B8B" w:rsidR="00D15C79" w:rsidRPr="000F7813" w:rsidRDefault="0029196F" w:rsidP="00D65571">
            <w:pPr>
              <w:tabs>
                <w:tab w:val="right" w:pos="0"/>
                <w:tab w:val="left" w:pos="567"/>
                <w:tab w:val="right" w:pos="2727"/>
                <w:tab w:val="left" w:pos="4253"/>
              </w:tabs>
              <w:spacing w:before="120" w:after="120"/>
              <w:jc w:val="right"/>
              <w:rPr>
                <w:rFonts w:cs="Arial"/>
                <w:szCs w:val="22"/>
              </w:rPr>
            </w:pPr>
            <w:r>
              <w:rPr>
                <w:rFonts w:cs="Arial"/>
                <w:szCs w:val="22"/>
              </w:rPr>
              <w:t>M H NIEUWOUDT</w:t>
            </w:r>
          </w:p>
        </w:tc>
      </w:tr>
      <w:tr w:rsidR="009D35B5" w:rsidRPr="000F7813" w14:paraId="183C176D" w14:textId="77777777" w:rsidTr="00615F6B">
        <w:tc>
          <w:tcPr>
            <w:tcW w:w="4678" w:type="dxa"/>
          </w:tcPr>
          <w:p w14:paraId="75365413" w14:textId="481747BC" w:rsidR="009D35B5" w:rsidRPr="000F7813" w:rsidRDefault="009D35B5" w:rsidP="00A25AB4">
            <w:pPr>
              <w:tabs>
                <w:tab w:val="right" w:pos="0"/>
                <w:tab w:val="left" w:pos="4253"/>
              </w:tabs>
              <w:spacing w:before="120" w:after="120"/>
              <w:rPr>
                <w:rFonts w:cs="Arial"/>
                <w:szCs w:val="22"/>
              </w:rPr>
            </w:pPr>
            <w:r w:rsidRPr="000F7813">
              <w:rPr>
                <w:rFonts w:cs="Arial"/>
                <w:szCs w:val="22"/>
              </w:rPr>
              <w:t>INSTRUCTED BY:</w:t>
            </w:r>
          </w:p>
        </w:tc>
        <w:tc>
          <w:tcPr>
            <w:tcW w:w="3935" w:type="dxa"/>
          </w:tcPr>
          <w:p w14:paraId="4044534A" w14:textId="4B2CF049" w:rsidR="00E10D04" w:rsidRPr="000F7813" w:rsidRDefault="0029196F" w:rsidP="00A25AB4">
            <w:pPr>
              <w:tabs>
                <w:tab w:val="right" w:pos="0"/>
                <w:tab w:val="left" w:pos="4253"/>
              </w:tabs>
              <w:spacing w:before="120" w:after="120"/>
              <w:jc w:val="right"/>
              <w:rPr>
                <w:rFonts w:cs="Arial"/>
                <w:szCs w:val="22"/>
              </w:rPr>
            </w:pPr>
            <w:r>
              <w:rPr>
                <w:rFonts w:cs="Arial"/>
                <w:szCs w:val="22"/>
              </w:rPr>
              <w:t>COETZEE ATTORNEYS</w:t>
            </w:r>
          </w:p>
        </w:tc>
      </w:tr>
      <w:tr w:rsidR="009D35B5" w:rsidRPr="000F7813" w14:paraId="6E2BF966" w14:textId="77777777" w:rsidTr="00615F6B">
        <w:tc>
          <w:tcPr>
            <w:tcW w:w="4678" w:type="dxa"/>
          </w:tcPr>
          <w:p w14:paraId="545B6665" w14:textId="5514B773" w:rsidR="009D35B5" w:rsidRPr="000F7813" w:rsidRDefault="009D35B5" w:rsidP="00A25AB4">
            <w:pPr>
              <w:tabs>
                <w:tab w:val="right" w:pos="0"/>
                <w:tab w:val="left" w:pos="4253"/>
              </w:tabs>
              <w:spacing w:before="120" w:after="120"/>
              <w:rPr>
                <w:rFonts w:cs="Arial"/>
                <w:szCs w:val="22"/>
              </w:rPr>
            </w:pPr>
            <w:r w:rsidRPr="000F7813">
              <w:rPr>
                <w:rFonts w:cs="Arial"/>
                <w:szCs w:val="22"/>
              </w:rPr>
              <w:t xml:space="preserve">COUNSEL FOR </w:t>
            </w:r>
            <w:r w:rsidR="00404A52" w:rsidRPr="000F7813">
              <w:rPr>
                <w:rFonts w:cs="Arial"/>
                <w:szCs w:val="22"/>
              </w:rPr>
              <w:t xml:space="preserve">THE </w:t>
            </w:r>
            <w:r w:rsidR="0029196F">
              <w:rPr>
                <w:rFonts w:cs="Arial"/>
                <w:szCs w:val="22"/>
              </w:rPr>
              <w:t xml:space="preserve">FIRST </w:t>
            </w:r>
            <w:r w:rsidR="00027D19" w:rsidRPr="000F7813">
              <w:rPr>
                <w:rFonts w:cs="Arial"/>
                <w:szCs w:val="22"/>
              </w:rPr>
              <w:t>RESPONDENT</w:t>
            </w:r>
            <w:r w:rsidRPr="000F7813">
              <w:rPr>
                <w:rFonts w:cs="Arial"/>
                <w:szCs w:val="22"/>
              </w:rPr>
              <w:t>:</w:t>
            </w:r>
          </w:p>
        </w:tc>
        <w:tc>
          <w:tcPr>
            <w:tcW w:w="3935" w:type="dxa"/>
          </w:tcPr>
          <w:p w14:paraId="51741A90" w14:textId="54103D8F" w:rsidR="009D35B5" w:rsidRPr="000F7813" w:rsidRDefault="0029196F" w:rsidP="00D65571">
            <w:pPr>
              <w:tabs>
                <w:tab w:val="right" w:pos="0"/>
                <w:tab w:val="left" w:pos="4253"/>
              </w:tabs>
              <w:spacing w:before="120" w:after="120"/>
              <w:jc w:val="right"/>
              <w:rPr>
                <w:rFonts w:cs="Arial"/>
                <w:szCs w:val="22"/>
              </w:rPr>
            </w:pPr>
            <w:r>
              <w:rPr>
                <w:rFonts w:cs="Arial"/>
                <w:szCs w:val="22"/>
              </w:rPr>
              <w:t>K M BOSHOMANE</w:t>
            </w:r>
          </w:p>
        </w:tc>
      </w:tr>
      <w:tr w:rsidR="009D35B5" w:rsidRPr="000F7813" w14:paraId="1EC4105A" w14:textId="77777777" w:rsidTr="00615F6B">
        <w:tc>
          <w:tcPr>
            <w:tcW w:w="4678" w:type="dxa"/>
          </w:tcPr>
          <w:p w14:paraId="184EC2ED" w14:textId="1E42F28A" w:rsidR="009D35B5" w:rsidRPr="000F7813" w:rsidRDefault="009D35B5" w:rsidP="00A25AB4">
            <w:pPr>
              <w:tabs>
                <w:tab w:val="right" w:pos="0"/>
                <w:tab w:val="left" w:pos="4253"/>
              </w:tabs>
              <w:spacing w:before="120" w:after="120"/>
              <w:rPr>
                <w:rFonts w:cs="Arial"/>
                <w:szCs w:val="22"/>
              </w:rPr>
            </w:pPr>
            <w:r w:rsidRPr="000F7813">
              <w:rPr>
                <w:rFonts w:cs="Arial"/>
                <w:szCs w:val="22"/>
              </w:rPr>
              <w:t>INSTRUCTED BY:</w:t>
            </w:r>
          </w:p>
        </w:tc>
        <w:tc>
          <w:tcPr>
            <w:tcW w:w="3935" w:type="dxa"/>
          </w:tcPr>
          <w:p w14:paraId="2098BE2A" w14:textId="3634F782" w:rsidR="009D35B5" w:rsidRPr="000F7813" w:rsidRDefault="0029196F" w:rsidP="00A25AB4">
            <w:pPr>
              <w:tabs>
                <w:tab w:val="right" w:pos="0"/>
                <w:tab w:val="left" w:pos="4253"/>
              </w:tabs>
              <w:spacing w:before="120" w:after="120"/>
              <w:jc w:val="right"/>
              <w:rPr>
                <w:rFonts w:cs="Arial"/>
                <w:szCs w:val="22"/>
              </w:rPr>
            </w:pPr>
            <w:r>
              <w:rPr>
                <w:rFonts w:cs="Arial"/>
                <w:szCs w:val="22"/>
              </w:rPr>
              <w:t>LANHAM-LOVE GAILBRAITH VAN REENEN ATTORNEYS</w:t>
            </w:r>
          </w:p>
        </w:tc>
      </w:tr>
      <w:tr w:rsidR="009D35B5" w:rsidRPr="000F7813" w14:paraId="2A3FE2B1" w14:textId="77777777" w:rsidTr="00615F6B">
        <w:tc>
          <w:tcPr>
            <w:tcW w:w="4678" w:type="dxa"/>
          </w:tcPr>
          <w:p w14:paraId="0767D0FE" w14:textId="61925A22" w:rsidR="009D35B5" w:rsidRPr="000F7813" w:rsidRDefault="009D35B5" w:rsidP="00A25AB4">
            <w:pPr>
              <w:tabs>
                <w:tab w:val="right" w:pos="0"/>
                <w:tab w:val="left" w:pos="4253"/>
              </w:tabs>
              <w:spacing w:before="120" w:after="120"/>
              <w:rPr>
                <w:rFonts w:cs="Arial"/>
                <w:szCs w:val="22"/>
              </w:rPr>
            </w:pPr>
            <w:r w:rsidRPr="000F7813">
              <w:rPr>
                <w:rFonts w:cs="Arial"/>
                <w:szCs w:val="22"/>
              </w:rPr>
              <w:t xml:space="preserve">DATE </w:t>
            </w:r>
            <w:r w:rsidR="00E57446" w:rsidRPr="000F7813">
              <w:rPr>
                <w:rFonts w:cs="Arial"/>
                <w:szCs w:val="22"/>
              </w:rPr>
              <w:t>OF ARGUMENT</w:t>
            </w:r>
            <w:r w:rsidRPr="000F7813">
              <w:rPr>
                <w:rFonts w:cs="Arial"/>
                <w:szCs w:val="22"/>
              </w:rPr>
              <w:t>:</w:t>
            </w:r>
          </w:p>
        </w:tc>
        <w:tc>
          <w:tcPr>
            <w:tcW w:w="3935" w:type="dxa"/>
          </w:tcPr>
          <w:p w14:paraId="34C95147" w14:textId="718A46F5" w:rsidR="009D35B5" w:rsidRPr="000F7813" w:rsidRDefault="00494337" w:rsidP="00A25AB4">
            <w:pPr>
              <w:tabs>
                <w:tab w:val="right" w:pos="0"/>
                <w:tab w:val="left" w:pos="4253"/>
              </w:tabs>
              <w:spacing w:before="120" w:after="120"/>
              <w:jc w:val="right"/>
              <w:rPr>
                <w:rFonts w:cs="Arial"/>
                <w:szCs w:val="22"/>
              </w:rPr>
            </w:pPr>
            <w:r>
              <w:rPr>
                <w:rFonts w:cs="Arial"/>
                <w:szCs w:val="22"/>
              </w:rPr>
              <w:t>28 AUGUST 2023</w:t>
            </w:r>
            <w:r w:rsidR="00E41B67">
              <w:rPr>
                <w:rFonts w:cs="Arial"/>
                <w:szCs w:val="22"/>
              </w:rPr>
              <w:t xml:space="preserve"> (additional written argument filed by applicants on</w:t>
            </w:r>
            <w:r w:rsidR="006C1EDF">
              <w:rPr>
                <w:rFonts w:cs="Arial"/>
                <w:szCs w:val="22"/>
              </w:rPr>
              <w:t xml:space="preserve"> 5 September 2023)</w:t>
            </w:r>
          </w:p>
        </w:tc>
      </w:tr>
      <w:tr w:rsidR="00A25AB4" w:rsidRPr="000F7813" w14:paraId="5ECDFF3A" w14:textId="77777777" w:rsidTr="00615F6B">
        <w:tc>
          <w:tcPr>
            <w:tcW w:w="4678" w:type="dxa"/>
          </w:tcPr>
          <w:p w14:paraId="1DF2AE9E" w14:textId="1FC539A4" w:rsidR="00A25AB4" w:rsidRPr="000F7813" w:rsidRDefault="00A25AB4" w:rsidP="00A25AB4">
            <w:pPr>
              <w:tabs>
                <w:tab w:val="right" w:pos="0"/>
                <w:tab w:val="left" w:pos="4253"/>
              </w:tabs>
              <w:spacing w:before="120" w:after="120"/>
              <w:rPr>
                <w:rFonts w:cs="Arial"/>
                <w:szCs w:val="22"/>
              </w:rPr>
            </w:pPr>
            <w:r w:rsidRPr="000F7813">
              <w:rPr>
                <w:rFonts w:cs="Arial"/>
                <w:szCs w:val="22"/>
              </w:rPr>
              <w:t>DATE OF JUDGMENT:</w:t>
            </w:r>
          </w:p>
        </w:tc>
        <w:tc>
          <w:tcPr>
            <w:tcW w:w="3935" w:type="dxa"/>
          </w:tcPr>
          <w:p w14:paraId="02219E99" w14:textId="0DE02FE7" w:rsidR="00A25AB4" w:rsidRPr="000F7813" w:rsidRDefault="00E41B67" w:rsidP="00A25AB4">
            <w:pPr>
              <w:tabs>
                <w:tab w:val="right" w:pos="0"/>
                <w:tab w:val="left" w:pos="4253"/>
              </w:tabs>
              <w:spacing w:before="120" w:after="120"/>
              <w:jc w:val="right"/>
              <w:rPr>
                <w:rFonts w:cs="Arial"/>
                <w:szCs w:val="22"/>
              </w:rPr>
            </w:pPr>
            <w:r>
              <w:rPr>
                <w:rFonts w:cs="Arial"/>
                <w:szCs w:val="22"/>
              </w:rPr>
              <w:t>7</w:t>
            </w:r>
            <w:r w:rsidR="00F44250">
              <w:rPr>
                <w:rFonts w:cs="Arial"/>
                <w:szCs w:val="22"/>
              </w:rPr>
              <w:t xml:space="preserve"> </w:t>
            </w:r>
            <w:r w:rsidR="00751D8C">
              <w:rPr>
                <w:rFonts w:cs="Arial"/>
                <w:szCs w:val="22"/>
              </w:rPr>
              <w:t xml:space="preserve">SEPTEMBER </w:t>
            </w:r>
            <w:r w:rsidR="00A25AB4" w:rsidRPr="000F7813">
              <w:rPr>
                <w:rFonts w:cs="Arial"/>
                <w:szCs w:val="22"/>
              </w:rPr>
              <w:t>2023</w:t>
            </w:r>
          </w:p>
        </w:tc>
      </w:tr>
    </w:tbl>
    <w:p w14:paraId="1BD8F4EB" w14:textId="491B3C8F" w:rsidR="00A402F6" w:rsidRPr="000F7813" w:rsidRDefault="00A402F6" w:rsidP="00C428AB">
      <w:pPr>
        <w:widowControl w:val="0"/>
        <w:spacing w:before="480" w:after="480" w:line="360" w:lineRule="auto"/>
        <w:jc w:val="both"/>
        <w:rPr>
          <w:rFonts w:cs="Arial"/>
          <w:szCs w:val="22"/>
        </w:rPr>
      </w:pPr>
    </w:p>
    <w:sectPr w:rsidR="00A402F6" w:rsidRPr="000F7813"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47A83" w14:textId="77777777" w:rsidR="00036865" w:rsidRDefault="00036865">
      <w:r>
        <w:separator/>
      </w:r>
    </w:p>
  </w:endnote>
  <w:endnote w:type="continuationSeparator" w:id="0">
    <w:p w14:paraId="16C16977" w14:textId="77777777" w:rsidR="00036865" w:rsidRDefault="0003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27628" w14:textId="77777777" w:rsidR="00036865" w:rsidRDefault="00036865">
      <w:r>
        <w:separator/>
      </w:r>
    </w:p>
  </w:footnote>
  <w:footnote w:type="continuationSeparator" w:id="0">
    <w:p w14:paraId="3E2E9C17" w14:textId="77777777" w:rsidR="00036865" w:rsidRDefault="00036865">
      <w:r>
        <w:continuationSeparator/>
      </w:r>
    </w:p>
  </w:footnote>
  <w:footnote w:id="1">
    <w:p w14:paraId="142708F1" w14:textId="77777777" w:rsidR="00686C3F" w:rsidRDefault="00686C3F" w:rsidP="00686C3F">
      <w:pPr>
        <w:pStyle w:val="FootnoteText"/>
      </w:pPr>
      <w:r>
        <w:rPr>
          <w:rStyle w:val="FootnoteReference"/>
        </w:rPr>
        <w:footnoteRef/>
      </w:r>
      <w:r>
        <w:t xml:space="preserve"> </w:t>
      </w:r>
      <w:r>
        <w:tab/>
      </w:r>
      <w:proofErr w:type="spellStart"/>
      <w:r>
        <w:t>Caselines</w:t>
      </w:r>
      <w:proofErr w:type="spellEnd"/>
      <w:r>
        <w:t xml:space="preserve"> 01-126.</w:t>
      </w:r>
    </w:p>
  </w:footnote>
  <w:footnote w:id="2">
    <w:p w14:paraId="24FF2527" w14:textId="77777777" w:rsidR="008F6436" w:rsidRDefault="008F6436" w:rsidP="008F6436">
      <w:pPr>
        <w:pStyle w:val="FootnoteText"/>
      </w:pPr>
      <w:r>
        <w:rPr>
          <w:rStyle w:val="FootnoteReference"/>
        </w:rPr>
        <w:footnoteRef/>
      </w:r>
      <w:r>
        <w:t xml:space="preserve"> </w:t>
      </w:r>
      <w:r>
        <w:tab/>
        <w:t xml:space="preserve">See Van </w:t>
      </w:r>
      <w:proofErr w:type="spellStart"/>
      <w:r>
        <w:t>Loggerenberg</w:t>
      </w:r>
      <w:proofErr w:type="spellEnd"/>
      <w:r>
        <w:t xml:space="preserve"> </w:t>
      </w:r>
      <w:r>
        <w:rPr>
          <w:i/>
          <w:iCs/>
        </w:rPr>
        <w:t xml:space="preserve">Erasmus: Superior Court Practice </w:t>
      </w:r>
      <w:r w:rsidRPr="00AD05E9">
        <w:t>RS 20, 2022, D1-8</w:t>
      </w:r>
      <w:r>
        <w:t xml:space="preserve">6D to 89 and </w:t>
      </w:r>
      <w:proofErr w:type="spellStart"/>
      <w:r w:rsidRPr="00AD05E9">
        <w:rPr>
          <w:i/>
          <w:iCs/>
        </w:rPr>
        <w:t>Afgri</w:t>
      </w:r>
      <w:proofErr w:type="spellEnd"/>
      <w:r w:rsidRPr="00AD05E9">
        <w:rPr>
          <w:i/>
          <w:iCs/>
        </w:rPr>
        <w:t xml:space="preserve"> Grain Marketing (Pty) Ltd v Trustees for the time being of </w:t>
      </w:r>
      <w:proofErr w:type="spellStart"/>
      <w:r w:rsidRPr="00AD05E9">
        <w:rPr>
          <w:i/>
          <w:iCs/>
        </w:rPr>
        <w:t>Copenship</w:t>
      </w:r>
      <w:proofErr w:type="spellEnd"/>
      <w:r w:rsidRPr="00AD05E9">
        <w:rPr>
          <w:i/>
          <w:iCs/>
        </w:rPr>
        <w:t xml:space="preserve"> Bulkers A/S (in liquidation)</w:t>
      </w:r>
      <w:r w:rsidRPr="00AD05E9">
        <w:t xml:space="preserve"> </w:t>
      </w:r>
      <w:r>
        <w:t>[</w:t>
      </w:r>
      <w:r w:rsidRPr="00AD05E9">
        <w:t>2019] 3 All SA 321 (SCA)</w:t>
      </w:r>
      <w:r>
        <w:t xml:space="preserve"> paras 12 to 14.</w:t>
      </w:r>
    </w:p>
  </w:footnote>
  <w:footnote w:id="3">
    <w:p w14:paraId="513ABE0D" w14:textId="03FC33D8" w:rsidR="000426C0" w:rsidRPr="000426C0" w:rsidRDefault="000426C0">
      <w:pPr>
        <w:pStyle w:val="FootnoteText"/>
        <w:rPr>
          <w:lang w:val="en-GB"/>
        </w:rPr>
      </w:pPr>
      <w:r>
        <w:rPr>
          <w:rStyle w:val="FootnoteReference"/>
        </w:rPr>
        <w:footnoteRef/>
      </w:r>
      <w:r>
        <w:t xml:space="preserve"> </w:t>
      </w:r>
      <w:r>
        <w:rPr>
          <w:lang w:val="en-GB"/>
        </w:rPr>
        <w:tab/>
      </w:r>
      <w:r>
        <w:rPr>
          <w:rFonts w:cs="Arial"/>
          <w:bCs/>
          <w:szCs w:val="22"/>
        </w:rPr>
        <w:t>The second respondent now makes common cause with the applicants.</w:t>
      </w:r>
    </w:p>
  </w:footnote>
  <w:footnote w:id="4">
    <w:p w14:paraId="07010FD2" w14:textId="7E0B02EF" w:rsidR="00494337" w:rsidRDefault="00494337">
      <w:pPr>
        <w:pStyle w:val="FootnoteText"/>
      </w:pPr>
      <w:r>
        <w:rPr>
          <w:rStyle w:val="FootnoteReference"/>
        </w:rPr>
        <w:footnoteRef/>
      </w:r>
      <w:r>
        <w:t xml:space="preserve"> </w:t>
      </w:r>
      <w:r>
        <w:tab/>
      </w:r>
      <w:proofErr w:type="spellStart"/>
      <w:r>
        <w:t>Caselines</w:t>
      </w:r>
      <w:proofErr w:type="spellEnd"/>
      <w:r>
        <w:t xml:space="preserve"> 01-25.</w:t>
      </w:r>
      <w:r w:rsidR="00A31D70">
        <w:t xml:space="preserve"> </w:t>
      </w:r>
      <w:r w:rsidR="00A31D70" w:rsidRPr="00EC692F">
        <w:rPr>
          <w:rFonts w:cs="Arial"/>
          <w:bCs/>
          <w:szCs w:val="22"/>
          <w:lang w:val="en-US"/>
        </w:rPr>
        <w:t>The agreement provides for arbitration in terms of the expedited rules of the</w:t>
      </w:r>
      <w:r w:rsidR="00A31D70">
        <w:rPr>
          <w:rFonts w:cs="Arial"/>
          <w:bCs/>
          <w:szCs w:val="22"/>
          <w:lang w:val="en-US"/>
        </w:rPr>
        <w:t xml:space="preserve"> </w:t>
      </w:r>
      <w:r w:rsidR="00A31D70" w:rsidRPr="00EC692F">
        <w:rPr>
          <w:rFonts w:cs="Arial"/>
          <w:bCs/>
          <w:szCs w:val="22"/>
          <w:lang w:val="en-US"/>
        </w:rPr>
        <w:t>Arbitration Foundation of</w:t>
      </w:r>
      <w:r w:rsidR="00A31D70">
        <w:rPr>
          <w:rFonts w:cs="Arial"/>
          <w:bCs/>
          <w:szCs w:val="22"/>
          <w:lang w:val="en-US"/>
        </w:rPr>
        <w:t xml:space="preserve"> </w:t>
      </w:r>
      <w:r w:rsidR="00A31D70" w:rsidRPr="00EC692F">
        <w:rPr>
          <w:rFonts w:cs="Arial"/>
          <w:bCs/>
          <w:szCs w:val="22"/>
          <w:lang w:val="en-US"/>
        </w:rPr>
        <w:t>Southern Africa in cl</w:t>
      </w:r>
      <w:r w:rsidR="00A31D70">
        <w:rPr>
          <w:rFonts w:cs="Arial"/>
          <w:bCs/>
          <w:szCs w:val="22"/>
          <w:lang w:val="en-US"/>
        </w:rPr>
        <w:t>au</w:t>
      </w:r>
      <w:r w:rsidR="00A31D70" w:rsidRPr="00EC692F">
        <w:rPr>
          <w:rFonts w:cs="Arial"/>
          <w:bCs/>
          <w:szCs w:val="22"/>
          <w:lang w:val="en-US"/>
        </w:rPr>
        <w:t xml:space="preserve">se 24. The clause contains the </w:t>
      </w:r>
      <w:r w:rsidR="00A31D70">
        <w:rPr>
          <w:rFonts w:cs="Arial"/>
          <w:bCs/>
          <w:szCs w:val="22"/>
          <w:lang w:val="en-US"/>
        </w:rPr>
        <w:t>‘usual’</w:t>
      </w:r>
      <w:r w:rsidR="00A31D70" w:rsidRPr="00EC692F">
        <w:rPr>
          <w:rFonts w:cs="Arial"/>
          <w:bCs/>
          <w:szCs w:val="22"/>
          <w:lang w:val="en-US"/>
        </w:rPr>
        <w:t xml:space="preserve"> proviso that the arbitration clause does not preclude any party from access to court for interim relief in respect of urgent matters</w:t>
      </w:r>
      <w:r w:rsidR="00A31D70">
        <w:rPr>
          <w:rFonts w:cs="Arial"/>
          <w:bCs/>
          <w:szCs w:val="22"/>
          <w:lang w:val="en-US"/>
        </w:rPr>
        <w:t>,</w:t>
      </w:r>
      <w:r w:rsidR="00A31D70" w:rsidRPr="00EC692F">
        <w:rPr>
          <w:rFonts w:cs="Arial"/>
          <w:bCs/>
          <w:szCs w:val="22"/>
          <w:lang w:val="en-US"/>
        </w:rPr>
        <w:t xml:space="preserve"> </w:t>
      </w:r>
      <w:r w:rsidR="00A31D70">
        <w:rPr>
          <w:rFonts w:cs="Arial"/>
          <w:bCs/>
          <w:szCs w:val="22"/>
          <w:lang w:val="en-US"/>
        </w:rPr>
        <w:t>and</w:t>
      </w:r>
      <w:r w:rsidR="00A31D70" w:rsidRPr="00EC692F">
        <w:rPr>
          <w:rFonts w:cs="Arial"/>
          <w:bCs/>
          <w:szCs w:val="22"/>
          <w:lang w:val="en-US"/>
        </w:rPr>
        <w:t xml:space="preserve"> there is a second proviso in terms of which the parties shall have the right to approach the </w:t>
      </w:r>
      <w:r w:rsidR="00A31D70">
        <w:rPr>
          <w:rFonts w:cs="Arial"/>
          <w:bCs/>
          <w:szCs w:val="22"/>
          <w:lang w:val="en-US"/>
        </w:rPr>
        <w:t>High Court</w:t>
      </w:r>
      <w:r w:rsidR="00A31D70" w:rsidRPr="00EC692F">
        <w:rPr>
          <w:rFonts w:cs="Arial"/>
          <w:bCs/>
          <w:szCs w:val="22"/>
          <w:lang w:val="en-US"/>
        </w:rPr>
        <w:t xml:space="preserve"> in the ordinary course in order to utilize the provisions of rule 6 and rule 8</w:t>
      </w:r>
      <w:r w:rsidR="00A31D70">
        <w:rPr>
          <w:rFonts w:cs="Arial"/>
          <w:bCs/>
          <w:szCs w:val="22"/>
          <w:lang w:val="en-US"/>
        </w:rPr>
        <w:t>.</w:t>
      </w:r>
    </w:p>
  </w:footnote>
  <w:footnote w:id="5">
    <w:p w14:paraId="4E4458E0" w14:textId="15F9811D" w:rsidR="00494337" w:rsidRDefault="00494337">
      <w:pPr>
        <w:pStyle w:val="FootnoteText"/>
      </w:pPr>
      <w:r>
        <w:rPr>
          <w:rStyle w:val="FootnoteReference"/>
        </w:rPr>
        <w:footnoteRef/>
      </w:r>
      <w:r>
        <w:t xml:space="preserve"> </w:t>
      </w:r>
      <w:r>
        <w:tab/>
      </w:r>
      <w:proofErr w:type="spellStart"/>
      <w:r>
        <w:t>Caselines</w:t>
      </w:r>
      <w:proofErr w:type="spellEnd"/>
      <w:r>
        <w:t xml:space="preserve"> 01-82.</w:t>
      </w:r>
    </w:p>
  </w:footnote>
  <w:footnote w:id="6">
    <w:p w14:paraId="558B60C0" w14:textId="77777777" w:rsidR="00205E72" w:rsidRDefault="00205E72" w:rsidP="00205E72">
      <w:pPr>
        <w:pStyle w:val="FootnoteText"/>
      </w:pPr>
      <w:r>
        <w:rPr>
          <w:rStyle w:val="FootnoteReference"/>
        </w:rPr>
        <w:footnoteRef/>
      </w:r>
      <w:r>
        <w:t xml:space="preserve"> </w:t>
      </w:r>
      <w:r>
        <w:tab/>
        <w:t xml:space="preserve">Clause 2.2.2, </w:t>
      </w:r>
      <w:proofErr w:type="spellStart"/>
      <w:r>
        <w:t>Caselines</w:t>
      </w:r>
      <w:proofErr w:type="spellEnd"/>
      <w:r>
        <w:t xml:space="preserve"> 01-29.</w:t>
      </w:r>
    </w:p>
  </w:footnote>
  <w:footnote w:id="7">
    <w:p w14:paraId="179C375F" w14:textId="77777777" w:rsidR="00060AF8" w:rsidRDefault="00060AF8" w:rsidP="00060AF8">
      <w:pPr>
        <w:pStyle w:val="FootnoteText"/>
      </w:pPr>
      <w:r>
        <w:rPr>
          <w:rStyle w:val="FootnoteReference"/>
        </w:rPr>
        <w:footnoteRef/>
      </w:r>
      <w:r>
        <w:t xml:space="preserve"> </w:t>
      </w:r>
      <w:r>
        <w:tab/>
      </w:r>
      <w:proofErr w:type="spellStart"/>
      <w:r>
        <w:t>Caselines</w:t>
      </w:r>
      <w:proofErr w:type="spellEnd"/>
      <w:r>
        <w:t xml:space="preserve"> 01-13.</w:t>
      </w:r>
    </w:p>
  </w:footnote>
  <w:footnote w:id="8">
    <w:p w14:paraId="36BE4C4F" w14:textId="4E0070C7" w:rsidR="0029196F" w:rsidRDefault="0029196F">
      <w:pPr>
        <w:pStyle w:val="FootnoteText"/>
      </w:pPr>
      <w:r>
        <w:rPr>
          <w:rStyle w:val="FootnoteReference"/>
        </w:rPr>
        <w:footnoteRef/>
      </w:r>
      <w:r>
        <w:t xml:space="preserve"> </w:t>
      </w:r>
      <w:r>
        <w:tab/>
        <w:t xml:space="preserve">Clause 3, </w:t>
      </w:r>
      <w:proofErr w:type="spellStart"/>
      <w:r>
        <w:t>Caselines</w:t>
      </w:r>
      <w:proofErr w:type="spellEnd"/>
      <w:r>
        <w:t xml:space="preserve"> 01-33</w:t>
      </w:r>
      <w:r w:rsidR="00A07164">
        <w:t xml:space="preserve"> and clause 6, </w:t>
      </w:r>
      <w:proofErr w:type="spellStart"/>
      <w:r w:rsidR="00A07164">
        <w:t>Caselines</w:t>
      </w:r>
      <w:proofErr w:type="spellEnd"/>
      <w:r w:rsidR="00A07164">
        <w:t xml:space="preserve"> 01-38</w:t>
      </w:r>
      <w:r>
        <w:t>.</w:t>
      </w:r>
    </w:p>
  </w:footnote>
  <w:footnote w:id="9">
    <w:p w14:paraId="4E4D5599" w14:textId="77777777" w:rsidR="0029196F" w:rsidRDefault="0029196F" w:rsidP="0029196F">
      <w:pPr>
        <w:pStyle w:val="FootnoteText"/>
      </w:pPr>
      <w:r>
        <w:rPr>
          <w:rStyle w:val="FootnoteReference"/>
        </w:rPr>
        <w:footnoteRef/>
      </w:r>
      <w:r>
        <w:t xml:space="preserve"> </w:t>
      </w:r>
      <w:r>
        <w:tab/>
        <w:t xml:space="preserve">Clause 2.2.4, </w:t>
      </w:r>
      <w:proofErr w:type="spellStart"/>
      <w:r>
        <w:t>Caselines</w:t>
      </w:r>
      <w:proofErr w:type="spellEnd"/>
      <w:r>
        <w:t xml:space="preserve"> 01-29.</w:t>
      </w:r>
    </w:p>
  </w:footnote>
  <w:footnote w:id="10">
    <w:p w14:paraId="367A1798" w14:textId="1BF513BC" w:rsidR="0029196F" w:rsidRDefault="0029196F">
      <w:pPr>
        <w:pStyle w:val="FootnoteText"/>
      </w:pPr>
      <w:r>
        <w:rPr>
          <w:rStyle w:val="FootnoteReference"/>
        </w:rPr>
        <w:footnoteRef/>
      </w:r>
      <w:r>
        <w:t xml:space="preserve"> </w:t>
      </w:r>
      <w:r>
        <w:tab/>
        <w:t xml:space="preserve">Clause 2.2.33, </w:t>
      </w:r>
      <w:proofErr w:type="spellStart"/>
      <w:r>
        <w:t>Caselines</w:t>
      </w:r>
      <w:proofErr w:type="spellEnd"/>
      <w:r>
        <w:t xml:space="preserve"> 01-32.</w:t>
      </w:r>
    </w:p>
  </w:footnote>
  <w:footnote w:id="11">
    <w:p w14:paraId="4073E05E" w14:textId="77777777" w:rsidR="00787202" w:rsidRDefault="00787202" w:rsidP="00787202">
      <w:pPr>
        <w:pStyle w:val="FootnoteText"/>
      </w:pPr>
      <w:r>
        <w:rPr>
          <w:rStyle w:val="FootnoteReference"/>
        </w:rPr>
        <w:footnoteRef/>
      </w:r>
      <w:r>
        <w:t xml:space="preserve"> </w:t>
      </w:r>
      <w:r>
        <w:tab/>
        <w:t xml:space="preserve">Clause 3.3, read with clause 2.2.38, </w:t>
      </w:r>
      <w:proofErr w:type="spellStart"/>
      <w:r>
        <w:t>Caselines</w:t>
      </w:r>
      <w:proofErr w:type="spellEnd"/>
      <w:r>
        <w:t xml:space="preserve"> 01-33 and clause 8.1, </w:t>
      </w:r>
      <w:proofErr w:type="spellStart"/>
      <w:r>
        <w:t>Caselines</w:t>
      </w:r>
      <w:proofErr w:type="spellEnd"/>
      <w:r>
        <w:t xml:space="preserve"> 01-40.</w:t>
      </w:r>
    </w:p>
  </w:footnote>
  <w:footnote w:id="12">
    <w:p w14:paraId="06E1A939" w14:textId="6D1E84EA" w:rsidR="0029196F" w:rsidRDefault="0029196F">
      <w:pPr>
        <w:pStyle w:val="FootnoteText"/>
      </w:pPr>
      <w:r>
        <w:rPr>
          <w:rStyle w:val="FootnoteReference"/>
        </w:rPr>
        <w:footnoteRef/>
      </w:r>
      <w:r>
        <w:t xml:space="preserve"> </w:t>
      </w:r>
      <w:r>
        <w:tab/>
        <w:t>Clause</w:t>
      </w:r>
      <w:r w:rsidR="003959D1">
        <w:t xml:space="preserve"> </w:t>
      </w:r>
      <w:r>
        <w:t xml:space="preserve">3.2, </w:t>
      </w:r>
      <w:proofErr w:type="spellStart"/>
      <w:r>
        <w:t>Caselines</w:t>
      </w:r>
      <w:proofErr w:type="spellEnd"/>
      <w:r>
        <w:t xml:space="preserve"> 01-3</w:t>
      </w:r>
      <w:r w:rsidR="003959D1">
        <w:t>3</w:t>
      </w:r>
      <w:r>
        <w:t>.</w:t>
      </w:r>
    </w:p>
  </w:footnote>
  <w:footnote w:id="13">
    <w:p w14:paraId="20EDADA6" w14:textId="5D19452E" w:rsidR="00C50180" w:rsidRDefault="00C50180">
      <w:pPr>
        <w:pStyle w:val="FootnoteText"/>
      </w:pPr>
      <w:r>
        <w:rPr>
          <w:rStyle w:val="FootnoteReference"/>
        </w:rPr>
        <w:footnoteRef/>
      </w:r>
      <w:r>
        <w:t xml:space="preserve"> </w:t>
      </w:r>
      <w:r>
        <w:tab/>
        <w:t xml:space="preserve">Clause 9, </w:t>
      </w:r>
      <w:proofErr w:type="spellStart"/>
      <w:r>
        <w:t>Caselines</w:t>
      </w:r>
      <w:proofErr w:type="spellEnd"/>
      <w:r>
        <w:t xml:space="preserve"> 01-41.</w:t>
      </w:r>
      <w:r w:rsidR="00E95C5F">
        <w:t xml:space="preserve"> These liabilities are referred to as retained liabilities.</w:t>
      </w:r>
    </w:p>
  </w:footnote>
  <w:footnote w:id="14">
    <w:p w14:paraId="39E84309" w14:textId="6385E59C" w:rsidR="003959D1" w:rsidRDefault="003959D1">
      <w:pPr>
        <w:pStyle w:val="FootnoteText"/>
      </w:pPr>
      <w:r>
        <w:rPr>
          <w:rStyle w:val="FootnoteReference"/>
        </w:rPr>
        <w:footnoteRef/>
      </w:r>
      <w:r>
        <w:t xml:space="preserve"> </w:t>
      </w:r>
      <w:r>
        <w:tab/>
        <w:t xml:space="preserve">Clause 2.2.7, </w:t>
      </w:r>
      <w:proofErr w:type="spellStart"/>
      <w:r>
        <w:t>Caselines</w:t>
      </w:r>
      <w:proofErr w:type="spellEnd"/>
      <w:r>
        <w:t xml:space="preserve"> 01-29.</w:t>
      </w:r>
    </w:p>
  </w:footnote>
  <w:footnote w:id="15">
    <w:p w14:paraId="7B2951C7" w14:textId="20FDF3ED" w:rsidR="003959D1" w:rsidRDefault="003959D1">
      <w:pPr>
        <w:pStyle w:val="FootnoteText"/>
      </w:pPr>
      <w:r>
        <w:rPr>
          <w:rStyle w:val="FootnoteReference"/>
        </w:rPr>
        <w:footnoteRef/>
      </w:r>
      <w:r>
        <w:t xml:space="preserve"> </w:t>
      </w:r>
      <w:r>
        <w:tab/>
        <w:t xml:space="preserve">Clause 5 as amended, </w:t>
      </w:r>
      <w:proofErr w:type="spellStart"/>
      <w:r>
        <w:t>Caselines</w:t>
      </w:r>
      <w:proofErr w:type="spellEnd"/>
      <w:r>
        <w:t xml:space="preserve"> 01</w:t>
      </w:r>
      <w:r w:rsidR="00A07164">
        <w:t>-36 and 01-85.</w:t>
      </w:r>
    </w:p>
  </w:footnote>
  <w:footnote w:id="16">
    <w:p w14:paraId="04995BB2" w14:textId="3692E7A8" w:rsidR="0004508D" w:rsidRPr="0004508D" w:rsidRDefault="0004508D">
      <w:pPr>
        <w:pStyle w:val="FootnoteText"/>
        <w:rPr>
          <w:lang w:val="en-GB"/>
        </w:rPr>
      </w:pPr>
      <w:r>
        <w:rPr>
          <w:rStyle w:val="FootnoteReference"/>
        </w:rPr>
        <w:footnoteRef/>
      </w:r>
      <w:r>
        <w:t xml:space="preserve"> </w:t>
      </w:r>
      <w:r>
        <w:rPr>
          <w:lang w:val="en-GB"/>
        </w:rPr>
        <w:tab/>
        <w:t xml:space="preserve">Clause 20, </w:t>
      </w:r>
      <w:proofErr w:type="spellStart"/>
      <w:r>
        <w:rPr>
          <w:lang w:val="en-GB"/>
        </w:rPr>
        <w:t>Caselines</w:t>
      </w:r>
      <w:proofErr w:type="spellEnd"/>
      <w:r>
        <w:rPr>
          <w:lang w:val="en-GB"/>
        </w:rPr>
        <w:t xml:space="preserve"> 01-53.</w:t>
      </w:r>
    </w:p>
  </w:footnote>
  <w:footnote w:id="17">
    <w:p w14:paraId="19B20821" w14:textId="2DEDA551" w:rsidR="00A07164" w:rsidRDefault="00A07164">
      <w:pPr>
        <w:pStyle w:val="FootnoteText"/>
      </w:pPr>
      <w:r>
        <w:rPr>
          <w:rStyle w:val="FootnoteReference"/>
        </w:rPr>
        <w:footnoteRef/>
      </w:r>
      <w:r>
        <w:t xml:space="preserve"> </w:t>
      </w:r>
      <w:r>
        <w:tab/>
        <w:t xml:space="preserve">Clause 7.1, </w:t>
      </w:r>
      <w:proofErr w:type="spellStart"/>
      <w:r>
        <w:t>Caselines</w:t>
      </w:r>
      <w:proofErr w:type="spellEnd"/>
      <w:r>
        <w:t xml:space="preserve"> 01-38.</w:t>
      </w:r>
    </w:p>
  </w:footnote>
  <w:footnote w:id="18">
    <w:p w14:paraId="0D7346F4" w14:textId="304E3B54" w:rsidR="00E52F6E" w:rsidRDefault="00E52F6E">
      <w:pPr>
        <w:pStyle w:val="FootnoteText"/>
      </w:pPr>
      <w:r>
        <w:rPr>
          <w:rStyle w:val="FootnoteReference"/>
        </w:rPr>
        <w:footnoteRef/>
      </w:r>
      <w:r>
        <w:t xml:space="preserve"> </w:t>
      </w:r>
      <w:r>
        <w:tab/>
        <w:t>I</w:t>
      </w:r>
      <w:r w:rsidR="00787202">
        <w:t xml:space="preserve">n other words, </w:t>
      </w:r>
      <w:r>
        <w:t>$309,056 per month.</w:t>
      </w:r>
    </w:p>
  </w:footnote>
  <w:footnote w:id="19">
    <w:p w14:paraId="5CFAC95C" w14:textId="23EC6284" w:rsidR="00A07164" w:rsidRDefault="00A07164">
      <w:pPr>
        <w:pStyle w:val="FootnoteText"/>
      </w:pPr>
      <w:r>
        <w:rPr>
          <w:rStyle w:val="FootnoteReference"/>
        </w:rPr>
        <w:footnoteRef/>
      </w:r>
      <w:r>
        <w:t xml:space="preserve"> </w:t>
      </w:r>
      <w:r>
        <w:tab/>
        <w:t xml:space="preserve">Clause 7.2, </w:t>
      </w:r>
      <w:proofErr w:type="spellStart"/>
      <w:r>
        <w:t>Caselines</w:t>
      </w:r>
      <w:proofErr w:type="spellEnd"/>
      <w:r>
        <w:t xml:space="preserve"> 01-39.</w:t>
      </w:r>
    </w:p>
  </w:footnote>
  <w:footnote w:id="20">
    <w:p w14:paraId="5443718A" w14:textId="137CC50F" w:rsidR="00E52F6E" w:rsidRDefault="00E52F6E">
      <w:pPr>
        <w:pStyle w:val="FootnoteText"/>
      </w:pPr>
      <w:r>
        <w:rPr>
          <w:rStyle w:val="FootnoteReference"/>
        </w:rPr>
        <w:footnoteRef/>
      </w:r>
      <w:r>
        <w:t xml:space="preserve"> </w:t>
      </w:r>
      <w:r>
        <w:tab/>
        <w:t xml:space="preserve">Clause 7.8, </w:t>
      </w:r>
      <w:proofErr w:type="spellStart"/>
      <w:r>
        <w:t>Caselines</w:t>
      </w:r>
      <w:proofErr w:type="spellEnd"/>
      <w:r>
        <w:t xml:space="preserve"> 01-40.</w:t>
      </w:r>
    </w:p>
  </w:footnote>
  <w:footnote w:id="21">
    <w:p w14:paraId="7646367F" w14:textId="3681D42A" w:rsidR="00F65A5D" w:rsidRPr="00F65A5D" w:rsidRDefault="00F65A5D">
      <w:pPr>
        <w:pStyle w:val="FootnoteText"/>
        <w:rPr>
          <w:lang w:val="en-GB"/>
        </w:rPr>
      </w:pPr>
      <w:r>
        <w:rPr>
          <w:rStyle w:val="FootnoteReference"/>
        </w:rPr>
        <w:footnoteRef/>
      </w:r>
      <w:r>
        <w:t xml:space="preserve"> </w:t>
      </w:r>
      <w:r>
        <w:rPr>
          <w:lang w:val="en-GB"/>
        </w:rPr>
        <w:tab/>
        <w:t xml:space="preserve">Para 31 of founding affidavit, </w:t>
      </w:r>
      <w:proofErr w:type="spellStart"/>
      <w:r>
        <w:rPr>
          <w:lang w:val="en-GB"/>
        </w:rPr>
        <w:t>Caselines</w:t>
      </w:r>
      <w:proofErr w:type="spellEnd"/>
      <w:r>
        <w:rPr>
          <w:lang w:val="en-GB"/>
        </w:rPr>
        <w:t xml:space="preserve"> 01-102</w:t>
      </w:r>
      <w:r w:rsidR="00E704E0">
        <w:rPr>
          <w:lang w:val="en-GB"/>
        </w:rPr>
        <w:t xml:space="preserve"> and 01-141.</w:t>
      </w:r>
    </w:p>
  </w:footnote>
  <w:footnote w:id="22">
    <w:p w14:paraId="6D7C6E0C" w14:textId="51C0B860" w:rsidR="00CB5B24" w:rsidRDefault="00CB5B24">
      <w:pPr>
        <w:pStyle w:val="FootnoteText"/>
      </w:pPr>
      <w:r>
        <w:rPr>
          <w:rStyle w:val="FootnoteReference"/>
        </w:rPr>
        <w:footnoteRef/>
      </w:r>
      <w:r>
        <w:t xml:space="preserve"> </w:t>
      </w:r>
      <w:r>
        <w:tab/>
        <w:t xml:space="preserve">Clause 25, </w:t>
      </w:r>
      <w:proofErr w:type="spellStart"/>
      <w:r>
        <w:t>Caselines</w:t>
      </w:r>
      <w:proofErr w:type="spellEnd"/>
      <w:r>
        <w:t xml:space="preserve"> 01-59.</w:t>
      </w:r>
    </w:p>
  </w:footnote>
  <w:footnote w:id="23">
    <w:p w14:paraId="1D83296B" w14:textId="456F2B9C" w:rsidR="000B39D7" w:rsidRDefault="000B39D7">
      <w:pPr>
        <w:pStyle w:val="FootnoteText"/>
      </w:pPr>
      <w:r>
        <w:rPr>
          <w:rStyle w:val="FootnoteReference"/>
        </w:rPr>
        <w:footnoteRef/>
      </w:r>
      <w:r>
        <w:t xml:space="preserve"> </w:t>
      </w:r>
      <w:r>
        <w:tab/>
      </w:r>
      <w:proofErr w:type="spellStart"/>
      <w:r>
        <w:t>Caselines</w:t>
      </w:r>
      <w:proofErr w:type="spellEnd"/>
      <w:r>
        <w:t xml:space="preserve"> 01-8</w:t>
      </w:r>
      <w:r w:rsidR="00BF1C99">
        <w:t>7.</w:t>
      </w:r>
    </w:p>
  </w:footnote>
  <w:footnote w:id="24">
    <w:p w14:paraId="46702762" w14:textId="0107785E" w:rsidR="005F7E15" w:rsidRDefault="005F7E15">
      <w:pPr>
        <w:pStyle w:val="FootnoteText"/>
      </w:pPr>
      <w:r>
        <w:rPr>
          <w:rStyle w:val="FootnoteReference"/>
        </w:rPr>
        <w:footnoteRef/>
      </w:r>
      <w:r>
        <w:t xml:space="preserve"> </w:t>
      </w:r>
      <w:r>
        <w:tab/>
      </w:r>
      <w:proofErr w:type="spellStart"/>
      <w:r>
        <w:t>Caselines</w:t>
      </w:r>
      <w:proofErr w:type="spellEnd"/>
      <w:r>
        <w:t xml:space="preserve"> 01-</w:t>
      </w:r>
      <w:r>
        <w:rPr>
          <w:lang w:val="en-US"/>
        </w:rPr>
        <w:t>16.</w:t>
      </w:r>
    </w:p>
  </w:footnote>
  <w:footnote w:id="25">
    <w:p w14:paraId="59B720EC" w14:textId="5A2000E9" w:rsidR="00BF1C99" w:rsidRDefault="00BF1C99">
      <w:pPr>
        <w:pStyle w:val="FootnoteText"/>
      </w:pPr>
      <w:r>
        <w:rPr>
          <w:rStyle w:val="FootnoteReference"/>
        </w:rPr>
        <w:footnoteRef/>
      </w:r>
      <w:r>
        <w:t xml:space="preserve"> </w:t>
      </w:r>
      <w:r>
        <w:tab/>
      </w:r>
      <w:proofErr w:type="spellStart"/>
      <w:r>
        <w:t>Caselines</w:t>
      </w:r>
      <w:proofErr w:type="spellEnd"/>
      <w:r w:rsidR="008E2D8C">
        <w:t xml:space="preserve"> 01-90.</w:t>
      </w:r>
    </w:p>
  </w:footnote>
  <w:footnote w:id="26">
    <w:p w14:paraId="1405B490" w14:textId="28290651" w:rsidR="005F7E15" w:rsidRDefault="005F7E15">
      <w:pPr>
        <w:pStyle w:val="FootnoteText"/>
      </w:pPr>
      <w:r>
        <w:rPr>
          <w:rStyle w:val="FootnoteReference"/>
        </w:rPr>
        <w:footnoteRef/>
      </w:r>
      <w:r>
        <w:t xml:space="preserve"> </w:t>
      </w:r>
      <w:r>
        <w:tab/>
        <w:t xml:space="preserve">Para 29 of founding affidavit, </w:t>
      </w:r>
      <w:proofErr w:type="spellStart"/>
      <w:r>
        <w:t>Caselines</w:t>
      </w:r>
      <w:proofErr w:type="spellEnd"/>
      <w:r>
        <w:t xml:space="preserve"> 01-16.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011A4EAF"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355CCC">
      <w:rPr>
        <w:rFonts w:cs="Arial"/>
        <w:noProof/>
        <w:sz w:val="20"/>
        <w:szCs w:val="20"/>
        <w:lang w:val="en-GB"/>
      </w:rPr>
      <w:t>8</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1">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5"/>
  </w:num>
  <w:num w:numId="4">
    <w:abstractNumId w:val="8"/>
  </w:num>
  <w:num w:numId="5">
    <w:abstractNumId w:val="14"/>
  </w:num>
  <w:num w:numId="6">
    <w:abstractNumId w:val="12"/>
  </w:num>
  <w:num w:numId="7">
    <w:abstractNumId w:val="0"/>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6"/>
  </w:num>
  <w:num w:numId="12">
    <w:abstractNumId w:val="5"/>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3"/>
  </w:num>
  <w:num w:numId="14">
    <w:abstractNumId w:val="11"/>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36865"/>
    <w:rsid w:val="00040CD3"/>
    <w:rsid w:val="000426C0"/>
    <w:rsid w:val="00042D0E"/>
    <w:rsid w:val="0004508D"/>
    <w:rsid w:val="00047F26"/>
    <w:rsid w:val="00050086"/>
    <w:rsid w:val="000504F1"/>
    <w:rsid w:val="00051A2B"/>
    <w:rsid w:val="0005282E"/>
    <w:rsid w:val="000528B3"/>
    <w:rsid w:val="000550EB"/>
    <w:rsid w:val="0005636C"/>
    <w:rsid w:val="00060AF8"/>
    <w:rsid w:val="00063F7B"/>
    <w:rsid w:val="00066971"/>
    <w:rsid w:val="00072105"/>
    <w:rsid w:val="000737E1"/>
    <w:rsid w:val="00073E30"/>
    <w:rsid w:val="00077D11"/>
    <w:rsid w:val="00081716"/>
    <w:rsid w:val="00082EDC"/>
    <w:rsid w:val="000833BB"/>
    <w:rsid w:val="000835BE"/>
    <w:rsid w:val="00085288"/>
    <w:rsid w:val="00087AE6"/>
    <w:rsid w:val="000906B5"/>
    <w:rsid w:val="00090FFC"/>
    <w:rsid w:val="00092591"/>
    <w:rsid w:val="0009429D"/>
    <w:rsid w:val="0009488C"/>
    <w:rsid w:val="0009540B"/>
    <w:rsid w:val="000956E5"/>
    <w:rsid w:val="00096A67"/>
    <w:rsid w:val="00097968"/>
    <w:rsid w:val="000A6AD8"/>
    <w:rsid w:val="000B21DA"/>
    <w:rsid w:val="000B39D7"/>
    <w:rsid w:val="000C7A3D"/>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430D"/>
    <w:rsid w:val="000F59F8"/>
    <w:rsid w:val="000F7813"/>
    <w:rsid w:val="00101890"/>
    <w:rsid w:val="001025B5"/>
    <w:rsid w:val="00104142"/>
    <w:rsid w:val="00105F97"/>
    <w:rsid w:val="00107D26"/>
    <w:rsid w:val="00107D90"/>
    <w:rsid w:val="001114D8"/>
    <w:rsid w:val="001142D1"/>
    <w:rsid w:val="00120C79"/>
    <w:rsid w:val="00120FB1"/>
    <w:rsid w:val="00130253"/>
    <w:rsid w:val="00130C4A"/>
    <w:rsid w:val="00133E81"/>
    <w:rsid w:val="001342B3"/>
    <w:rsid w:val="00140CED"/>
    <w:rsid w:val="00141AD1"/>
    <w:rsid w:val="0014628D"/>
    <w:rsid w:val="00147FF5"/>
    <w:rsid w:val="00151DA9"/>
    <w:rsid w:val="00152899"/>
    <w:rsid w:val="00154961"/>
    <w:rsid w:val="00155A21"/>
    <w:rsid w:val="00161057"/>
    <w:rsid w:val="0016589D"/>
    <w:rsid w:val="001671C1"/>
    <w:rsid w:val="00171182"/>
    <w:rsid w:val="0017124B"/>
    <w:rsid w:val="00171B40"/>
    <w:rsid w:val="00171D7F"/>
    <w:rsid w:val="00172763"/>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E14"/>
    <w:rsid w:val="001A2608"/>
    <w:rsid w:val="001A5145"/>
    <w:rsid w:val="001A522A"/>
    <w:rsid w:val="001A7904"/>
    <w:rsid w:val="001B1550"/>
    <w:rsid w:val="001B1D39"/>
    <w:rsid w:val="001B35C2"/>
    <w:rsid w:val="001B4217"/>
    <w:rsid w:val="001B4812"/>
    <w:rsid w:val="001B4893"/>
    <w:rsid w:val="001B5D3E"/>
    <w:rsid w:val="001B606B"/>
    <w:rsid w:val="001B7889"/>
    <w:rsid w:val="001C0755"/>
    <w:rsid w:val="001C2371"/>
    <w:rsid w:val="001C2741"/>
    <w:rsid w:val="001C33E6"/>
    <w:rsid w:val="001C608F"/>
    <w:rsid w:val="001C7048"/>
    <w:rsid w:val="001D3CC2"/>
    <w:rsid w:val="001E0529"/>
    <w:rsid w:val="001E2EED"/>
    <w:rsid w:val="001E44D1"/>
    <w:rsid w:val="001E4691"/>
    <w:rsid w:val="001E518E"/>
    <w:rsid w:val="001F09D1"/>
    <w:rsid w:val="001F0A29"/>
    <w:rsid w:val="001F0CE5"/>
    <w:rsid w:val="001F3DBD"/>
    <w:rsid w:val="001F648A"/>
    <w:rsid w:val="001F6F43"/>
    <w:rsid w:val="00200B96"/>
    <w:rsid w:val="00201620"/>
    <w:rsid w:val="00203DA2"/>
    <w:rsid w:val="0020474A"/>
    <w:rsid w:val="00205392"/>
    <w:rsid w:val="00205E72"/>
    <w:rsid w:val="00206919"/>
    <w:rsid w:val="002104BF"/>
    <w:rsid w:val="002108B6"/>
    <w:rsid w:val="00211F49"/>
    <w:rsid w:val="00213738"/>
    <w:rsid w:val="00214877"/>
    <w:rsid w:val="00215824"/>
    <w:rsid w:val="00216BC8"/>
    <w:rsid w:val="002175BA"/>
    <w:rsid w:val="0022218D"/>
    <w:rsid w:val="00226926"/>
    <w:rsid w:val="002302E3"/>
    <w:rsid w:val="00232528"/>
    <w:rsid w:val="00235D20"/>
    <w:rsid w:val="00236E47"/>
    <w:rsid w:val="00237806"/>
    <w:rsid w:val="00237FF9"/>
    <w:rsid w:val="0024012B"/>
    <w:rsid w:val="00243D2F"/>
    <w:rsid w:val="00244FB9"/>
    <w:rsid w:val="00250164"/>
    <w:rsid w:val="00251668"/>
    <w:rsid w:val="002535F0"/>
    <w:rsid w:val="00253F38"/>
    <w:rsid w:val="00253F72"/>
    <w:rsid w:val="00260B0A"/>
    <w:rsid w:val="002625C5"/>
    <w:rsid w:val="00262819"/>
    <w:rsid w:val="00263A96"/>
    <w:rsid w:val="00272B77"/>
    <w:rsid w:val="0027600C"/>
    <w:rsid w:val="00285040"/>
    <w:rsid w:val="00285062"/>
    <w:rsid w:val="0029196F"/>
    <w:rsid w:val="00292E3E"/>
    <w:rsid w:val="0029369B"/>
    <w:rsid w:val="00293C02"/>
    <w:rsid w:val="0029605B"/>
    <w:rsid w:val="00296DAF"/>
    <w:rsid w:val="002976B8"/>
    <w:rsid w:val="002A030C"/>
    <w:rsid w:val="002A4B7B"/>
    <w:rsid w:val="002B0355"/>
    <w:rsid w:val="002B05EA"/>
    <w:rsid w:val="002B12D6"/>
    <w:rsid w:val="002B528D"/>
    <w:rsid w:val="002C15AC"/>
    <w:rsid w:val="002C2E80"/>
    <w:rsid w:val="002C4687"/>
    <w:rsid w:val="002D2842"/>
    <w:rsid w:val="002D47B3"/>
    <w:rsid w:val="002E0E37"/>
    <w:rsid w:val="002E3586"/>
    <w:rsid w:val="002E5B57"/>
    <w:rsid w:val="002E612C"/>
    <w:rsid w:val="002E6CD7"/>
    <w:rsid w:val="002F1C4D"/>
    <w:rsid w:val="002F2881"/>
    <w:rsid w:val="002F41F8"/>
    <w:rsid w:val="002F508A"/>
    <w:rsid w:val="002F72D3"/>
    <w:rsid w:val="00302290"/>
    <w:rsid w:val="003023F9"/>
    <w:rsid w:val="00302C31"/>
    <w:rsid w:val="00303919"/>
    <w:rsid w:val="003047C2"/>
    <w:rsid w:val="0030653F"/>
    <w:rsid w:val="00306B41"/>
    <w:rsid w:val="003102C8"/>
    <w:rsid w:val="0031117B"/>
    <w:rsid w:val="00312EBC"/>
    <w:rsid w:val="00313056"/>
    <w:rsid w:val="00321DF8"/>
    <w:rsid w:val="00323058"/>
    <w:rsid w:val="003312BF"/>
    <w:rsid w:val="003313A2"/>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5CCC"/>
    <w:rsid w:val="00357081"/>
    <w:rsid w:val="00357D35"/>
    <w:rsid w:val="0036253D"/>
    <w:rsid w:val="00363FCD"/>
    <w:rsid w:val="00364C43"/>
    <w:rsid w:val="00364E6A"/>
    <w:rsid w:val="00364E80"/>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40EC"/>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845"/>
    <w:rsid w:val="003B11F4"/>
    <w:rsid w:val="003B1882"/>
    <w:rsid w:val="003B4100"/>
    <w:rsid w:val="003B6C02"/>
    <w:rsid w:val="003B75AD"/>
    <w:rsid w:val="003C067B"/>
    <w:rsid w:val="003C0ED8"/>
    <w:rsid w:val="003C1221"/>
    <w:rsid w:val="003C1488"/>
    <w:rsid w:val="003C1A16"/>
    <w:rsid w:val="003C1E91"/>
    <w:rsid w:val="003C5536"/>
    <w:rsid w:val="003C7FCC"/>
    <w:rsid w:val="003D1202"/>
    <w:rsid w:val="003D19C3"/>
    <w:rsid w:val="003D36F9"/>
    <w:rsid w:val="003D77F1"/>
    <w:rsid w:val="003D7970"/>
    <w:rsid w:val="003E0159"/>
    <w:rsid w:val="003E449A"/>
    <w:rsid w:val="003E4A33"/>
    <w:rsid w:val="003E54E1"/>
    <w:rsid w:val="003E724B"/>
    <w:rsid w:val="003E7A60"/>
    <w:rsid w:val="003F1F49"/>
    <w:rsid w:val="003F4801"/>
    <w:rsid w:val="003F7448"/>
    <w:rsid w:val="00404A52"/>
    <w:rsid w:val="00407F28"/>
    <w:rsid w:val="00410BA9"/>
    <w:rsid w:val="0041100A"/>
    <w:rsid w:val="004131C5"/>
    <w:rsid w:val="0041363D"/>
    <w:rsid w:val="00413D9B"/>
    <w:rsid w:val="0042161A"/>
    <w:rsid w:val="0042423E"/>
    <w:rsid w:val="00424BA6"/>
    <w:rsid w:val="004274E7"/>
    <w:rsid w:val="00431ABD"/>
    <w:rsid w:val="004339E6"/>
    <w:rsid w:val="00434796"/>
    <w:rsid w:val="0043683A"/>
    <w:rsid w:val="00437EB1"/>
    <w:rsid w:val="00441422"/>
    <w:rsid w:val="00444ED6"/>
    <w:rsid w:val="00445DCB"/>
    <w:rsid w:val="00447235"/>
    <w:rsid w:val="004479C3"/>
    <w:rsid w:val="0045044C"/>
    <w:rsid w:val="00460495"/>
    <w:rsid w:val="00460EEA"/>
    <w:rsid w:val="004630B6"/>
    <w:rsid w:val="00463106"/>
    <w:rsid w:val="00466A30"/>
    <w:rsid w:val="00467F5B"/>
    <w:rsid w:val="00474607"/>
    <w:rsid w:val="00474910"/>
    <w:rsid w:val="004749AF"/>
    <w:rsid w:val="00475410"/>
    <w:rsid w:val="00475E80"/>
    <w:rsid w:val="004774FF"/>
    <w:rsid w:val="0048285C"/>
    <w:rsid w:val="00483F21"/>
    <w:rsid w:val="00484116"/>
    <w:rsid w:val="00484163"/>
    <w:rsid w:val="0048424E"/>
    <w:rsid w:val="00484F8A"/>
    <w:rsid w:val="00486F42"/>
    <w:rsid w:val="004873ED"/>
    <w:rsid w:val="00487D14"/>
    <w:rsid w:val="0049165E"/>
    <w:rsid w:val="004923A9"/>
    <w:rsid w:val="00494337"/>
    <w:rsid w:val="00495F7C"/>
    <w:rsid w:val="004976D5"/>
    <w:rsid w:val="004A11D9"/>
    <w:rsid w:val="004A1E3F"/>
    <w:rsid w:val="004A2C7E"/>
    <w:rsid w:val="004A5056"/>
    <w:rsid w:val="004A6625"/>
    <w:rsid w:val="004A69D6"/>
    <w:rsid w:val="004A70AB"/>
    <w:rsid w:val="004A7DFE"/>
    <w:rsid w:val="004B085D"/>
    <w:rsid w:val="004B0DBA"/>
    <w:rsid w:val="004B21D9"/>
    <w:rsid w:val="004B255A"/>
    <w:rsid w:val="004B3CA9"/>
    <w:rsid w:val="004C0CE3"/>
    <w:rsid w:val="004C368B"/>
    <w:rsid w:val="004D1A31"/>
    <w:rsid w:val="004D1A91"/>
    <w:rsid w:val="004D262A"/>
    <w:rsid w:val="004D2C6F"/>
    <w:rsid w:val="004D2E01"/>
    <w:rsid w:val="004D3237"/>
    <w:rsid w:val="004D4E89"/>
    <w:rsid w:val="004D635C"/>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4B53"/>
    <w:rsid w:val="00505FF7"/>
    <w:rsid w:val="0051015D"/>
    <w:rsid w:val="0051292D"/>
    <w:rsid w:val="00514426"/>
    <w:rsid w:val="0051442D"/>
    <w:rsid w:val="00515FD8"/>
    <w:rsid w:val="0051622D"/>
    <w:rsid w:val="00517A09"/>
    <w:rsid w:val="005207B2"/>
    <w:rsid w:val="005219EB"/>
    <w:rsid w:val="005262C2"/>
    <w:rsid w:val="005263F0"/>
    <w:rsid w:val="0052705A"/>
    <w:rsid w:val="00537126"/>
    <w:rsid w:val="00537A72"/>
    <w:rsid w:val="005405F8"/>
    <w:rsid w:val="00542EAE"/>
    <w:rsid w:val="00546878"/>
    <w:rsid w:val="005509BE"/>
    <w:rsid w:val="00560E18"/>
    <w:rsid w:val="005615BB"/>
    <w:rsid w:val="005621E7"/>
    <w:rsid w:val="00562B7E"/>
    <w:rsid w:val="00563355"/>
    <w:rsid w:val="00571E81"/>
    <w:rsid w:val="00573FF9"/>
    <w:rsid w:val="005755B7"/>
    <w:rsid w:val="00576B16"/>
    <w:rsid w:val="00577427"/>
    <w:rsid w:val="005808E5"/>
    <w:rsid w:val="005875A9"/>
    <w:rsid w:val="005949BC"/>
    <w:rsid w:val="005971D5"/>
    <w:rsid w:val="005A313A"/>
    <w:rsid w:val="005A35EB"/>
    <w:rsid w:val="005A5582"/>
    <w:rsid w:val="005A680F"/>
    <w:rsid w:val="005A70F0"/>
    <w:rsid w:val="005A747A"/>
    <w:rsid w:val="005B07CB"/>
    <w:rsid w:val="005B2FF9"/>
    <w:rsid w:val="005B380D"/>
    <w:rsid w:val="005B3F1C"/>
    <w:rsid w:val="005B696E"/>
    <w:rsid w:val="005B6D81"/>
    <w:rsid w:val="005B7767"/>
    <w:rsid w:val="005B7DD3"/>
    <w:rsid w:val="005C1E41"/>
    <w:rsid w:val="005C7FC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602F"/>
    <w:rsid w:val="005F7E15"/>
    <w:rsid w:val="00602403"/>
    <w:rsid w:val="006041A4"/>
    <w:rsid w:val="00610873"/>
    <w:rsid w:val="006109EC"/>
    <w:rsid w:val="00610F53"/>
    <w:rsid w:val="00611D8A"/>
    <w:rsid w:val="006122AB"/>
    <w:rsid w:val="0061430D"/>
    <w:rsid w:val="006150CE"/>
    <w:rsid w:val="00615F6B"/>
    <w:rsid w:val="006165F4"/>
    <w:rsid w:val="006245EC"/>
    <w:rsid w:val="00626ABB"/>
    <w:rsid w:val="006309D5"/>
    <w:rsid w:val="006376C5"/>
    <w:rsid w:val="006407E9"/>
    <w:rsid w:val="00641F4F"/>
    <w:rsid w:val="00642664"/>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30E1"/>
    <w:rsid w:val="00666D4D"/>
    <w:rsid w:val="00672205"/>
    <w:rsid w:val="00672E95"/>
    <w:rsid w:val="0067508C"/>
    <w:rsid w:val="006762B3"/>
    <w:rsid w:val="00677059"/>
    <w:rsid w:val="00680072"/>
    <w:rsid w:val="00680421"/>
    <w:rsid w:val="00681B06"/>
    <w:rsid w:val="006858DA"/>
    <w:rsid w:val="00686C3F"/>
    <w:rsid w:val="006902F1"/>
    <w:rsid w:val="006918E9"/>
    <w:rsid w:val="00692A13"/>
    <w:rsid w:val="006951CE"/>
    <w:rsid w:val="00695B2C"/>
    <w:rsid w:val="006A1F2C"/>
    <w:rsid w:val="006A3B6B"/>
    <w:rsid w:val="006A438B"/>
    <w:rsid w:val="006A4F20"/>
    <w:rsid w:val="006A6039"/>
    <w:rsid w:val="006B1E87"/>
    <w:rsid w:val="006B514A"/>
    <w:rsid w:val="006C1EA3"/>
    <w:rsid w:val="006C1EDF"/>
    <w:rsid w:val="006C2AB0"/>
    <w:rsid w:val="006C2B5F"/>
    <w:rsid w:val="006C31B7"/>
    <w:rsid w:val="006C4213"/>
    <w:rsid w:val="006C43D7"/>
    <w:rsid w:val="006C49F6"/>
    <w:rsid w:val="006C53ED"/>
    <w:rsid w:val="006C5694"/>
    <w:rsid w:val="006D11AD"/>
    <w:rsid w:val="006D193A"/>
    <w:rsid w:val="006D25DD"/>
    <w:rsid w:val="006D29AA"/>
    <w:rsid w:val="006D4128"/>
    <w:rsid w:val="006D4C1B"/>
    <w:rsid w:val="006D5E45"/>
    <w:rsid w:val="006D5E57"/>
    <w:rsid w:val="006E0B4D"/>
    <w:rsid w:val="006E2083"/>
    <w:rsid w:val="006E2725"/>
    <w:rsid w:val="006E3064"/>
    <w:rsid w:val="006E405E"/>
    <w:rsid w:val="006E68E6"/>
    <w:rsid w:val="006E73D0"/>
    <w:rsid w:val="006F042A"/>
    <w:rsid w:val="006F0C74"/>
    <w:rsid w:val="006F1875"/>
    <w:rsid w:val="006F2187"/>
    <w:rsid w:val="006F25E5"/>
    <w:rsid w:val="006F2FCE"/>
    <w:rsid w:val="006F36B9"/>
    <w:rsid w:val="006F415C"/>
    <w:rsid w:val="006F489F"/>
    <w:rsid w:val="00700C86"/>
    <w:rsid w:val="0070560F"/>
    <w:rsid w:val="007112CA"/>
    <w:rsid w:val="007202BD"/>
    <w:rsid w:val="007205BF"/>
    <w:rsid w:val="00721AE9"/>
    <w:rsid w:val="007237D1"/>
    <w:rsid w:val="007241D4"/>
    <w:rsid w:val="00724D82"/>
    <w:rsid w:val="00730BF2"/>
    <w:rsid w:val="00732A6F"/>
    <w:rsid w:val="007351A5"/>
    <w:rsid w:val="0074214D"/>
    <w:rsid w:val="00742764"/>
    <w:rsid w:val="00745456"/>
    <w:rsid w:val="00746E92"/>
    <w:rsid w:val="00750950"/>
    <w:rsid w:val="00751452"/>
    <w:rsid w:val="0075156A"/>
    <w:rsid w:val="00751D8C"/>
    <w:rsid w:val="00751F90"/>
    <w:rsid w:val="00752EF6"/>
    <w:rsid w:val="00754BDD"/>
    <w:rsid w:val="007619C5"/>
    <w:rsid w:val="00761B26"/>
    <w:rsid w:val="00761C35"/>
    <w:rsid w:val="00762178"/>
    <w:rsid w:val="00765F62"/>
    <w:rsid w:val="00766026"/>
    <w:rsid w:val="00772025"/>
    <w:rsid w:val="007726C0"/>
    <w:rsid w:val="00775AB7"/>
    <w:rsid w:val="00776B34"/>
    <w:rsid w:val="00781088"/>
    <w:rsid w:val="00781AA0"/>
    <w:rsid w:val="00781CF7"/>
    <w:rsid w:val="00781D24"/>
    <w:rsid w:val="00782DE8"/>
    <w:rsid w:val="00786D45"/>
    <w:rsid w:val="00787202"/>
    <w:rsid w:val="00792E10"/>
    <w:rsid w:val="0079383D"/>
    <w:rsid w:val="007A006B"/>
    <w:rsid w:val="007A1D60"/>
    <w:rsid w:val="007A5BDB"/>
    <w:rsid w:val="007B165A"/>
    <w:rsid w:val="007B2DAD"/>
    <w:rsid w:val="007B2DF7"/>
    <w:rsid w:val="007B7246"/>
    <w:rsid w:val="007B78C2"/>
    <w:rsid w:val="007C23FF"/>
    <w:rsid w:val="007C25B0"/>
    <w:rsid w:val="007C416B"/>
    <w:rsid w:val="007C4CB7"/>
    <w:rsid w:val="007C5008"/>
    <w:rsid w:val="007C6046"/>
    <w:rsid w:val="007C658B"/>
    <w:rsid w:val="007D1E79"/>
    <w:rsid w:val="007D27CF"/>
    <w:rsid w:val="007D4DAF"/>
    <w:rsid w:val="007E1175"/>
    <w:rsid w:val="007E220A"/>
    <w:rsid w:val="007E468A"/>
    <w:rsid w:val="007E54E5"/>
    <w:rsid w:val="007E58FC"/>
    <w:rsid w:val="007E7463"/>
    <w:rsid w:val="007F07D4"/>
    <w:rsid w:val="007F1517"/>
    <w:rsid w:val="007F207F"/>
    <w:rsid w:val="007F5B91"/>
    <w:rsid w:val="007F7DAA"/>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3453"/>
    <w:rsid w:val="0084184E"/>
    <w:rsid w:val="00841C01"/>
    <w:rsid w:val="00843EFD"/>
    <w:rsid w:val="008443A9"/>
    <w:rsid w:val="008469B3"/>
    <w:rsid w:val="00847539"/>
    <w:rsid w:val="008535CA"/>
    <w:rsid w:val="00856FA8"/>
    <w:rsid w:val="00856FF2"/>
    <w:rsid w:val="008578F4"/>
    <w:rsid w:val="00860576"/>
    <w:rsid w:val="0086688C"/>
    <w:rsid w:val="008674AA"/>
    <w:rsid w:val="008675CC"/>
    <w:rsid w:val="0087609B"/>
    <w:rsid w:val="00880850"/>
    <w:rsid w:val="0088094C"/>
    <w:rsid w:val="00881004"/>
    <w:rsid w:val="00882C40"/>
    <w:rsid w:val="00885973"/>
    <w:rsid w:val="0089145D"/>
    <w:rsid w:val="00891F55"/>
    <w:rsid w:val="00892908"/>
    <w:rsid w:val="00893C08"/>
    <w:rsid w:val="008942FC"/>
    <w:rsid w:val="0089562F"/>
    <w:rsid w:val="008957BF"/>
    <w:rsid w:val="00895BE0"/>
    <w:rsid w:val="0089629F"/>
    <w:rsid w:val="008A082A"/>
    <w:rsid w:val="008A389B"/>
    <w:rsid w:val="008A4DF4"/>
    <w:rsid w:val="008B0950"/>
    <w:rsid w:val="008B1DA9"/>
    <w:rsid w:val="008B23D4"/>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CD"/>
    <w:rsid w:val="008E2D8C"/>
    <w:rsid w:val="008E53BA"/>
    <w:rsid w:val="008E7E5E"/>
    <w:rsid w:val="008E7F87"/>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3A4A"/>
    <w:rsid w:val="00914A6E"/>
    <w:rsid w:val="0091544C"/>
    <w:rsid w:val="00921D03"/>
    <w:rsid w:val="00925CD2"/>
    <w:rsid w:val="00932559"/>
    <w:rsid w:val="00933065"/>
    <w:rsid w:val="00933569"/>
    <w:rsid w:val="009365B1"/>
    <w:rsid w:val="0093799C"/>
    <w:rsid w:val="009422A1"/>
    <w:rsid w:val="00943484"/>
    <w:rsid w:val="00944804"/>
    <w:rsid w:val="009449FB"/>
    <w:rsid w:val="0094634F"/>
    <w:rsid w:val="009473D8"/>
    <w:rsid w:val="00947F51"/>
    <w:rsid w:val="00954386"/>
    <w:rsid w:val="00957513"/>
    <w:rsid w:val="00960ADF"/>
    <w:rsid w:val="009623DA"/>
    <w:rsid w:val="00963A0C"/>
    <w:rsid w:val="009661B5"/>
    <w:rsid w:val="009725C0"/>
    <w:rsid w:val="009729BD"/>
    <w:rsid w:val="00974A92"/>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793E"/>
    <w:rsid w:val="009C1EA6"/>
    <w:rsid w:val="009C37B9"/>
    <w:rsid w:val="009C38E7"/>
    <w:rsid w:val="009D31FA"/>
    <w:rsid w:val="009D32BD"/>
    <w:rsid w:val="009D33F1"/>
    <w:rsid w:val="009D35B5"/>
    <w:rsid w:val="009D3771"/>
    <w:rsid w:val="009D37BD"/>
    <w:rsid w:val="009D4486"/>
    <w:rsid w:val="009D7128"/>
    <w:rsid w:val="009D7613"/>
    <w:rsid w:val="009E21DE"/>
    <w:rsid w:val="009E6174"/>
    <w:rsid w:val="009F1DC7"/>
    <w:rsid w:val="009F211E"/>
    <w:rsid w:val="009F2572"/>
    <w:rsid w:val="009F294E"/>
    <w:rsid w:val="009F30F1"/>
    <w:rsid w:val="009F37C7"/>
    <w:rsid w:val="009F50AB"/>
    <w:rsid w:val="00A005F6"/>
    <w:rsid w:val="00A03986"/>
    <w:rsid w:val="00A0424F"/>
    <w:rsid w:val="00A051FB"/>
    <w:rsid w:val="00A07164"/>
    <w:rsid w:val="00A10039"/>
    <w:rsid w:val="00A100BA"/>
    <w:rsid w:val="00A103FF"/>
    <w:rsid w:val="00A121B5"/>
    <w:rsid w:val="00A16C6E"/>
    <w:rsid w:val="00A17DB2"/>
    <w:rsid w:val="00A22A14"/>
    <w:rsid w:val="00A23A49"/>
    <w:rsid w:val="00A25AB4"/>
    <w:rsid w:val="00A26214"/>
    <w:rsid w:val="00A26566"/>
    <w:rsid w:val="00A27A51"/>
    <w:rsid w:val="00A31837"/>
    <w:rsid w:val="00A31D70"/>
    <w:rsid w:val="00A33018"/>
    <w:rsid w:val="00A3310D"/>
    <w:rsid w:val="00A33960"/>
    <w:rsid w:val="00A35CE6"/>
    <w:rsid w:val="00A37BA4"/>
    <w:rsid w:val="00A402F6"/>
    <w:rsid w:val="00A42167"/>
    <w:rsid w:val="00A434B9"/>
    <w:rsid w:val="00A43739"/>
    <w:rsid w:val="00A444DD"/>
    <w:rsid w:val="00A47150"/>
    <w:rsid w:val="00A471EF"/>
    <w:rsid w:val="00A47466"/>
    <w:rsid w:val="00A47815"/>
    <w:rsid w:val="00A47A18"/>
    <w:rsid w:val="00A47A3D"/>
    <w:rsid w:val="00A47CD6"/>
    <w:rsid w:val="00A539CB"/>
    <w:rsid w:val="00A57DA7"/>
    <w:rsid w:val="00A60542"/>
    <w:rsid w:val="00A63709"/>
    <w:rsid w:val="00A643AB"/>
    <w:rsid w:val="00A649E6"/>
    <w:rsid w:val="00A660AF"/>
    <w:rsid w:val="00A7021C"/>
    <w:rsid w:val="00A70814"/>
    <w:rsid w:val="00A70A95"/>
    <w:rsid w:val="00A70BDA"/>
    <w:rsid w:val="00A740B6"/>
    <w:rsid w:val="00A7621E"/>
    <w:rsid w:val="00A817D5"/>
    <w:rsid w:val="00A841B2"/>
    <w:rsid w:val="00A84F01"/>
    <w:rsid w:val="00A9029A"/>
    <w:rsid w:val="00A91332"/>
    <w:rsid w:val="00A93351"/>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63F"/>
    <w:rsid w:val="00AF3E4F"/>
    <w:rsid w:val="00AF71E5"/>
    <w:rsid w:val="00B00DA5"/>
    <w:rsid w:val="00B0366D"/>
    <w:rsid w:val="00B071FF"/>
    <w:rsid w:val="00B110BC"/>
    <w:rsid w:val="00B11505"/>
    <w:rsid w:val="00B11DC2"/>
    <w:rsid w:val="00B15142"/>
    <w:rsid w:val="00B16F69"/>
    <w:rsid w:val="00B1789D"/>
    <w:rsid w:val="00B207DD"/>
    <w:rsid w:val="00B21CA9"/>
    <w:rsid w:val="00B223FE"/>
    <w:rsid w:val="00B25E76"/>
    <w:rsid w:val="00B3161A"/>
    <w:rsid w:val="00B3208F"/>
    <w:rsid w:val="00B3260E"/>
    <w:rsid w:val="00B36F2F"/>
    <w:rsid w:val="00B413BD"/>
    <w:rsid w:val="00B42807"/>
    <w:rsid w:val="00B428A6"/>
    <w:rsid w:val="00B43340"/>
    <w:rsid w:val="00B4461C"/>
    <w:rsid w:val="00B46D68"/>
    <w:rsid w:val="00B53913"/>
    <w:rsid w:val="00B554D4"/>
    <w:rsid w:val="00B5572D"/>
    <w:rsid w:val="00B55F3A"/>
    <w:rsid w:val="00B56906"/>
    <w:rsid w:val="00B569F1"/>
    <w:rsid w:val="00B6007E"/>
    <w:rsid w:val="00B61484"/>
    <w:rsid w:val="00B6179E"/>
    <w:rsid w:val="00B62B08"/>
    <w:rsid w:val="00B71CB5"/>
    <w:rsid w:val="00B71F16"/>
    <w:rsid w:val="00B72922"/>
    <w:rsid w:val="00B72A13"/>
    <w:rsid w:val="00B72ADA"/>
    <w:rsid w:val="00B7473A"/>
    <w:rsid w:val="00B74A39"/>
    <w:rsid w:val="00B75819"/>
    <w:rsid w:val="00B75CDA"/>
    <w:rsid w:val="00B81526"/>
    <w:rsid w:val="00B819E4"/>
    <w:rsid w:val="00B84042"/>
    <w:rsid w:val="00B84DD5"/>
    <w:rsid w:val="00B903CC"/>
    <w:rsid w:val="00B9165A"/>
    <w:rsid w:val="00B91F7E"/>
    <w:rsid w:val="00B924B4"/>
    <w:rsid w:val="00B9487E"/>
    <w:rsid w:val="00B95910"/>
    <w:rsid w:val="00B9692A"/>
    <w:rsid w:val="00BA0848"/>
    <w:rsid w:val="00BA29E7"/>
    <w:rsid w:val="00BA33AF"/>
    <w:rsid w:val="00BA3A4C"/>
    <w:rsid w:val="00BA61FA"/>
    <w:rsid w:val="00BA67FC"/>
    <w:rsid w:val="00BB0F20"/>
    <w:rsid w:val="00BB17D2"/>
    <w:rsid w:val="00BB2328"/>
    <w:rsid w:val="00BB3264"/>
    <w:rsid w:val="00BB50D7"/>
    <w:rsid w:val="00BB7F08"/>
    <w:rsid w:val="00BC0623"/>
    <w:rsid w:val="00BC35CD"/>
    <w:rsid w:val="00BC3C54"/>
    <w:rsid w:val="00BC415B"/>
    <w:rsid w:val="00BC5B96"/>
    <w:rsid w:val="00BD2C66"/>
    <w:rsid w:val="00BD2CDE"/>
    <w:rsid w:val="00BD3D16"/>
    <w:rsid w:val="00BD41CF"/>
    <w:rsid w:val="00BD75F3"/>
    <w:rsid w:val="00BE0164"/>
    <w:rsid w:val="00BE12BD"/>
    <w:rsid w:val="00BE2ED7"/>
    <w:rsid w:val="00BE3498"/>
    <w:rsid w:val="00BE6AB8"/>
    <w:rsid w:val="00BF040B"/>
    <w:rsid w:val="00BF086D"/>
    <w:rsid w:val="00BF1C99"/>
    <w:rsid w:val="00BF2167"/>
    <w:rsid w:val="00BF43BC"/>
    <w:rsid w:val="00BF4DDA"/>
    <w:rsid w:val="00BF55C7"/>
    <w:rsid w:val="00BF7ED8"/>
    <w:rsid w:val="00C00A14"/>
    <w:rsid w:val="00C0222C"/>
    <w:rsid w:val="00C04139"/>
    <w:rsid w:val="00C0476F"/>
    <w:rsid w:val="00C0572E"/>
    <w:rsid w:val="00C1108E"/>
    <w:rsid w:val="00C14A51"/>
    <w:rsid w:val="00C14B1A"/>
    <w:rsid w:val="00C15C65"/>
    <w:rsid w:val="00C17853"/>
    <w:rsid w:val="00C17EE4"/>
    <w:rsid w:val="00C21656"/>
    <w:rsid w:val="00C21B3D"/>
    <w:rsid w:val="00C24267"/>
    <w:rsid w:val="00C243E6"/>
    <w:rsid w:val="00C26FA6"/>
    <w:rsid w:val="00C2788D"/>
    <w:rsid w:val="00C31D37"/>
    <w:rsid w:val="00C33398"/>
    <w:rsid w:val="00C34388"/>
    <w:rsid w:val="00C34C5B"/>
    <w:rsid w:val="00C361F6"/>
    <w:rsid w:val="00C3669A"/>
    <w:rsid w:val="00C371D5"/>
    <w:rsid w:val="00C423E3"/>
    <w:rsid w:val="00C428AB"/>
    <w:rsid w:val="00C44BAC"/>
    <w:rsid w:val="00C45626"/>
    <w:rsid w:val="00C458AF"/>
    <w:rsid w:val="00C460A0"/>
    <w:rsid w:val="00C46244"/>
    <w:rsid w:val="00C4720D"/>
    <w:rsid w:val="00C47768"/>
    <w:rsid w:val="00C50068"/>
    <w:rsid w:val="00C50180"/>
    <w:rsid w:val="00C51C4B"/>
    <w:rsid w:val="00C51EE9"/>
    <w:rsid w:val="00C539A5"/>
    <w:rsid w:val="00C53DFA"/>
    <w:rsid w:val="00C549F4"/>
    <w:rsid w:val="00C60DD4"/>
    <w:rsid w:val="00C60F27"/>
    <w:rsid w:val="00C610F2"/>
    <w:rsid w:val="00C61B5E"/>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5B7F"/>
    <w:rsid w:val="00C86AEA"/>
    <w:rsid w:val="00C875AE"/>
    <w:rsid w:val="00C90CE6"/>
    <w:rsid w:val="00C93030"/>
    <w:rsid w:val="00C9310B"/>
    <w:rsid w:val="00C937FB"/>
    <w:rsid w:val="00CA0F98"/>
    <w:rsid w:val="00CA2964"/>
    <w:rsid w:val="00CA696D"/>
    <w:rsid w:val="00CA6B5A"/>
    <w:rsid w:val="00CB1536"/>
    <w:rsid w:val="00CB3907"/>
    <w:rsid w:val="00CB3B51"/>
    <w:rsid w:val="00CB46F0"/>
    <w:rsid w:val="00CB5B24"/>
    <w:rsid w:val="00CB6167"/>
    <w:rsid w:val="00CC0C54"/>
    <w:rsid w:val="00CC1016"/>
    <w:rsid w:val="00CC32A0"/>
    <w:rsid w:val="00CC3829"/>
    <w:rsid w:val="00CC585C"/>
    <w:rsid w:val="00CD0D1D"/>
    <w:rsid w:val="00CD1673"/>
    <w:rsid w:val="00CD1721"/>
    <w:rsid w:val="00CD4DDC"/>
    <w:rsid w:val="00CD6592"/>
    <w:rsid w:val="00CE0808"/>
    <w:rsid w:val="00CE2E22"/>
    <w:rsid w:val="00CE35B4"/>
    <w:rsid w:val="00CE6301"/>
    <w:rsid w:val="00CF06D4"/>
    <w:rsid w:val="00CF2008"/>
    <w:rsid w:val="00CF2496"/>
    <w:rsid w:val="00CF3649"/>
    <w:rsid w:val="00CF4188"/>
    <w:rsid w:val="00CF4E9E"/>
    <w:rsid w:val="00CF52CE"/>
    <w:rsid w:val="00CF7848"/>
    <w:rsid w:val="00D00B84"/>
    <w:rsid w:val="00D058FC"/>
    <w:rsid w:val="00D06213"/>
    <w:rsid w:val="00D073D1"/>
    <w:rsid w:val="00D10010"/>
    <w:rsid w:val="00D11510"/>
    <w:rsid w:val="00D116EE"/>
    <w:rsid w:val="00D12BB7"/>
    <w:rsid w:val="00D159D4"/>
    <w:rsid w:val="00D15C79"/>
    <w:rsid w:val="00D1641A"/>
    <w:rsid w:val="00D20E16"/>
    <w:rsid w:val="00D21601"/>
    <w:rsid w:val="00D2164A"/>
    <w:rsid w:val="00D21AA7"/>
    <w:rsid w:val="00D22F1C"/>
    <w:rsid w:val="00D23D75"/>
    <w:rsid w:val="00D256F0"/>
    <w:rsid w:val="00D26D4B"/>
    <w:rsid w:val="00D31882"/>
    <w:rsid w:val="00D31BAB"/>
    <w:rsid w:val="00D31D27"/>
    <w:rsid w:val="00D32109"/>
    <w:rsid w:val="00D336A4"/>
    <w:rsid w:val="00D34AFB"/>
    <w:rsid w:val="00D352EE"/>
    <w:rsid w:val="00D35A03"/>
    <w:rsid w:val="00D37377"/>
    <w:rsid w:val="00D41830"/>
    <w:rsid w:val="00D45B8C"/>
    <w:rsid w:val="00D56058"/>
    <w:rsid w:val="00D567E0"/>
    <w:rsid w:val="00D56A09"/>
    <w:rsid w:val="00D57976"/>
    <w:rsid w:val="00D61F2D"/>
    <w:rsid w:val="00D630DE"/>
    <w:rsid w:val="00D63DBC"/>
    <w:rsid w:val="00D645C6"/>
    <w:rsid w:val="00D6548A"/>
    <w:rsid w:val="00D65571"/>
    <w:rsid w:val="00D65905"/>
    <w:rsid w:val="00D65A71"/>
    <w:rsid w:val="00D67355"/>
    <w:rsid w:val="00D712C3"/>
    <w:rsid w:val="00D71B03"/>
    <w:rsid w:val="00D7327A"/>
    <w:rsid w:val="00D74EC8"/>
    <w:rsid w:val="00D76F23"/>
    <w:rsid w:val="00D81AC9"/>
    <w:rsid w:val="00D858CC"/>
    <w:rsid w:val="00D9086C"/>
    <w:rsid w:val="00D922E1"/>
    <w:rsid w:val="00D92C84"/>
    <w:rsid w:val="00D93AAA"/>
    <w:rsid w:val="00D93ECC"/>
    <w:rsid w:val="00D94745"/>
    <w:rsid w:val="00D94921"/>
    <w:rsid w:val="00D95DFF"/>
    <w:rsid w:val="00D963D5"/>
    <w:rsid w:val="00D96C96"/>
    <w:rsid w:val="00DA41B2"/>
    <w:rsid w:val="00DA5D06"/>
    <w:rsid w:val="00DA62C4"/>
    <w:rsid w:val="00DA7B20"/>
    <w:rsid w:val="00DB049D"/>
    <w:rsid w:val="00DB473D"/>
    <w:rsid w:val="00DB5727"/>
    <w:rsid w:val="00DB68CC"/>
    <w:rsid w:val="00DC2E38"/>
    <w:rsid w:val="00DC2FBF"/>
    <w:rsid w:val="00DC52BC"/>
    <w:rsid w:val="00DC60C2"/>
    <w:rsid w:val="00DC621D"/>
    <w:rsid w:val="00DC6A98"/>
    <w:rsid w:val="00DC6EF8"/>
    <w:rsid w:val="00DC7245"/>
    <w:rsid w:val="00DC730A"/>
    <w:rsid w:val="00DC7A0C"/>
    <w:rsid w:val="00DD12FC"/>
    <w:rsid w:val="00DD1ED6"/>
    <w:rsid w:val="00DD2B0D"/>
    <w:rsid w:val="00DE130A"/>
    <w:rsid w:val="00DE1F21"/>
    <w:rsid w:val="00DE3369"/>
    <w:rsid w:val="00DE33DB"/>
    <w:rsid w:val="00DE38B2"/>
    <w:rsid w:val="00DF2C9A"/>
    <w:rsid w:val="00DF5291"/>
    <w:rsid w:val="00DF6AC1"/>
    <w:rsid w:val="00E010C4"/>
    <w:rsid w:val="00E03EBC"/>
    <w:rsid w:val="00E05572"/>
    <w:rsid w:val="00E06927"/>
    <w:rsid w:val="00E06AB6"/>
    <w:rsid w:val="00E10D04"/>
    <w:rsid w:val="00E1217F"/>
    <w:rsid w:val="00E16292"/>
    <w:rsid w:val="00E166FD"/>
    <w:rsid w:val="00E17143"/>
    <w:rsid w:val="00E20294"/>
    <w:rsid w:val="00E221E9"/>
    <w:rsid w:val="00E25706"/>
    <w:rsid w:val="00E25F47"/>
    <w:rsid w:val="00E264BB"/>
    <w:rsid w:val="00E267F5"/>
    <w:rsid w:val="00E276DF"/>
    <w:rsid w:val="00E30596"/>
    <w:rsid w:val="00E31FF9"/>
    <w:rsid w:val="00E33434"/>
    <w:rsid w:val="00E33B23"/>
    <w:rsid w:val="00E37B1B"/>
    <w:rsid w:val="00E417B9"/>
    <w:rsid w:val="00E41B67"/>
    <w:rsid w:val="00E43C23"/>
    <w:rsid w:val="00E4477A"/>
    <w:rsid w:val="00E45160"/>
    <w:rsid w:val="00E45E6A"/>
    <w:rsid w:val="00E50A42"/>
    <w:rsid w:val="00E52F6E"/>
    <w:rsid w:val="00E54FA5"/>
    <w:rsid w:val="00E56D64"/>
    <w:rsid w:val="00E57446"/>
    <w:rsid w:val="00E61081"/>
    <w:rsid w:val="00E61788"/>
    <w:rsid w:val="00E65B18"/>
    <w:rsid w:val="00E65B9D"/>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E21F2"/>
    <w:rsid w:val="00EE55F9"/>
    <w:rsid w:val="00EE62A5"/>
    <w:rsid w:val="00EE63DE"/>
    <w:rsid w:val="00EE64F9"/>
    <w:rsid w:val="00EF00EA"/>
    <w:rsid w:val="00EF0CBA"/>
    <w:rsid w:val="00EF34E1"/>
    <w:rsid w:val="00EF3688"/>
    <w:rsid w:val="00EF36A0"/>
    <w:rsid w:val="00EF6CC3"/>
    <w:rsid w:val="00F00D0F"/>
    <w:rsid w:val="00F0109E"/>
    <w:rsid w:val="00F03A0B"/>
    <w:rsid w:val="00F11454"/>
    <w:rsid w:val="00F12E5A"/>
    <w:rsid w:val="00F2125A"/>
    <w:rsid w:val="00F221FC"/>
    <w:rsid w:val="00F24025"/>
    <w:rsid w:val="00F322F5"/>
    <w:rsid w:val="00F35033"/>
    <w:rsid w:val="00F35CAE"/>
    <w:rsid w:val="00F36EE7"/>
    <w:rsid w:val="00F4192F"/>
    <w:rsid w:val="00F41B64"/>
    <w:rsid w:val="00F41D9D"/>
    <w:rsid w:val="00F44250"/>
    <w:rsid w:val="00F4468A"/>
    <w:rsid w:val="00F47653"/>
    <w:rsid w:val="00F47EFB"/>
    <w:rsid w:val="00F505CE"/>
    <w:rsid w:val="00F5169E"/>
    <w:rsid w:val="00F51C0B"/>
    <w:rsid w:val="00F57AFC"/>
    <w:rsid w:val="00F627E4"/>
    <w:rsid w:val="00F6494D"/>
    <w:rsid w:val="00F65A5D"/>
    <w:rsid w:val="00F65DBD"/>
    <w:rsid w:val="00F669B9"/>
    <w:rsid w:val="00F67D80"/>
    <w:rsid w:val="00F773E6"/>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202F"/>
    <w:rsid w:val="00F92AA4"/>
    <w:rsid w:val="00FA2519"/>
    <w:rsid w:val="00FA625E"/>
    <w:rsid w:val="00FA6B1E"/>
    <w:rsid w:val="00FB4165"/>
    <w:rsid w:val="00FB59A0"/>
    <w:rsid w:val="00FC1484"/>
    <w:rsid w:val="00FC1792"/>
    <w:rsid w:val="00FC42BD"/>
    <w:rsid w:val="00FD2E9B"/>
    <w:rsid w:val="00FD378D"/>
    <w:rsid w:val="00FD41A2"/>
    <w:rsid w:val="00FE065B"/>
    <w:rsid w:val="00FE06D8"/>
    <w:rsid w:val="00FE17D2"/>
    <w:rsid w:val="00FE2BF0"/>
    <w:rsid w:val="00FE43C6"/>
    <w:rsid w:val="00FE7835"/>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4C5185BA-A775-4610-B2F9-5591E17B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CED8-919B-47CB-8981-D61F383F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8</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Mokone</cp:lastModifiedBy>
  <cp:revision>2</cp:revision>
  <cp:lastPrinted>2023-09-07T06:41:00Z</cp:lastPrinted>
  <dcterms:created xsi:type="dcterms:W3CDTF">2023-09-07T09:03:00Z</dcterms:created>
  <dcterms:modified xsi:type="dcterms:W3CDTF">2023-09-07T09:03:00Z</dcterms:modified>
</cp:coreProperties>
</file>