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D4D4" w14:textId="77777777" w:rsidR="004466A8" w:rsidRDefault="004466A8" w:rsidP="004466A8">
      <w:pPr>
        <w:pStyle w:val="LegalTitle"/>
        <w:spacing w:after="120" w:line="360" w:lineRule="auto"/>
        <w:rPr>
          <w:u w:val="single"/>
        </w:rPr>
      </w:pPr>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227F7827"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63BAD5DF">
                <wp:simplePos x="0" y="0"/>
                <wp:positionH relativeFrom="column">
                  <wp:posOffset>25400</wp:posOffset>
                </wp:positionH>
                <wp:positionV relativeFrom="paragraph">
                  <wp:posOffset>278130</wp:posOffset>
                </wp:positionV>
                <wp:extent cx="3379305" cy="1758950"/>
                <wp:effectExtent l="0" t="0" r="1206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305" cy="175895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4925757A" w:rsidR="00B621CF" w:rsidRPr="0038792A" w:rsidRDefault="007E2115" w:rsidP="007E2115">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16DA20B5" w:rsidR="00B621CF" w:rsidRPr="0038792A" w:rsidRDefault="007E2115" w:rsidP="007E2115">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8A46C43" w:rsidR="00B621CF" w:rsidRDefault="007E2115" w:rsidP="007E211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4F6389A5" w:rsidR="00B621CF" w:rsidRDefault="007E2115" w:rsidP="007E2115">
                            <w:pPr>
                              <w:tabs>
                                <w:tab w:val="left" w:pos="900"/>
                              </w:tabs>
                              <w:ind w:left="900" w:hanging="720"/>
                              <w:rPr>
                                <w:rFonts w:ascii="Century Gothic" w:hAnsi="Century Gothic"/>
                                <w:sz w:val="20"/>
                                <w:szCs w:val="20"/>
                              </w:rPr>
                            </w:pPr>
                            <w:r>
                              <w:rPr>
                                <w:rFonts w:ascii="Century Gothic" w:hAnsi="Century Gothic"/>
                                <w:sz w:val="20"/>
                                <w:szCs w:val="20"/>
                              </w:rPr>
                              <w:t>(4)</w:t>
                            </w:r>
                            <w:r>
                              <w:rPr>
                                <w:rFonts w:ascii="Century Gothic" w:hAnsi="Century Gothic"/>
                                <w:sz w:val="20"/>
                                <w:szCs w:val="20"/>
                              </w:rPr>
                              <w:tab/>
                            </w:r>
                            <w:r w:rsidR="00C57DE4" w:rsidRPr="00117E26">
                              <w:rPr>
                                <w:rFonts w:ascii="Century Gothic" w:hAnsi="Century Gothic"/>
                                <w:sz w:val="20"/>
                                <w:szCs w:val="20"/>
                              </w:rPr>
                              <w:t>Date:</w:t>
                            </w:r>
                            <w:r w:rsidR="003E6AAF" w:rsidRPr="00117E26">
                              <w:rPr>
                                <w:rFonts w:ascii="Century Gothic" w:hAnsi="Century Gothic"/>
                                <w:sz w:val="20"/>
                                <w:szCs w:val="20"/>
                              </w:rPr>
                              <w:t>04</w:t>
                            </w:r>
                            <w:r w:rsidR="00C57DE4" w:rsidRPr="00117E26">
                              <w:rPr>
                                <w:rFonts w:ascii="Century Gothic" w:hAnsi="Century Gothic"/>
                                <w:sz w:val="20"/>
                                <w:szCs w:val="20"/>
                              </w:rPr>
                              <w:t xml:space="preserve"> </w:t>
                            </w:r>
                            <w:r w:rsidR="003E6AAF" w:rsidRPr="00117E26">
                              <w:rPr>
                                <w:rFonts w:ascii="Century Gothic" w:hAnsi="Century Gothic"/>
                                <w:sz w:val="20"/>
                                <w:szCs w:val="20"/>
                              </w:rPr>
                              <w:t>September</w:t>
                            </w:r>
                            <w:r w:rsidR="00117E26" w:rsidRPr="00117E26">
                              <w:rPr>
                                <w:rFonts w:ascii="Century Gothic" w:hAnsi="Century Gothic"/>
                                <w:sz w:val="20"/>
                                <w:szCs w:val="20"/>
                              </w:rPr>
                              <w:t xml:space="preserve">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59D7528B" w14:textId="77777777" w:rsidR="000A0B46" w:rsidRPr="00117E26" w:rsidRDefault="000A0B46" w:rsidP="000A0B46">
                            <w:pPr>
                              <w:ind w:left="900"/>
                              <w:rPr>
                                <w:rFonts w:ascii="Century Gothic" w:hAnsi="Century Gothic"/>
                                <w:sz w:val="20"/>
                                <w:szCs w:val="20"/>
                              </w:rPr>
                            </w:pPr>
                          </w:p>
                          <w:p w14:paraId="248EFA67" w14:textId="4E03B17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942AF9">
                              <w:rPr>
                                <w:rFonts w:ascii="Century Gothic" w:hAnsi="Century Gothic"/>
                                <w:b/>
                                <w:i/>
                                <w:sz w:val="22"/>
                                <w:szCs w:val="22"/>
                                <w:u w:val="single"/>
                              </w:rPr>
                              <w:t>0</w:t>
                            </w:r>
                            <w:r w:rsidR="009B2AE8">
                              <w:rPr>
                                <w:rFonts w:ascii="Century Gothic" w:hAnsi="Century Gothic"/>
                                <w:b/>
                                <w:i/>
                                <w:sz w:val="22"/>
                                <w:szCs w:val="22"/>
                                <w:u w:val="single"/>
                              </w:rPr>
                              <w:t>8</w:t>
                            </w:r>
                            <w:r w:rsidR="00D55D63">
                              <w:rPr>
                                <w:rFonts w:ascii="Century Gothic" w:hAnsi="Century Gothic"/>
                                <w:b/>
                                <w:i/>
                                <w:sz w:val="22"/>
                                <w:szCs w:val="22"/>
                                <w:u w:val="single"/>
                              </w:rPr>
                              <w:t>.09.</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1E3002">
                              <w:rPr>
                                <w:rFonts w:ascii="Century Gothic" w:hAnsi="Century Gothic"/>
                                <w:b/>
                                <w:i/>
                                <w:sz w:val="22"/>
                                <w:szCs w:val="22"/>
                                <w:u w:val="single"/>
                              </w:rPr>
                              <w:t>3</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2pt;margin-top:21.9pt;width:266.1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4925757A" w:rsidR="00B621CF" w:rsidRPr="0038792A" w:rsidRDefault="007E2115" w:rsidP="007E2115">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16DA20B5" w:rsidR="00B621CF" w:rsidRPr="0038792A" w:rsidRDefault="007E2115" w:rsidP="007E2115">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8A46C43" w:rsidR="00B621CF" w:rsidRDefault="007E2115" w:rsidP="007E211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4F6389A5" w:rsidR="00B621CF" w:rsidRDefault="007E2115" w:rsidP="007E2115">
                      <w:pPr>
                        <w:tabs>
                          <w:tab w:val="left" w:pos="900"/>
                        </w:tabs>
                        <w:ind w:left="900" w:hanging="720"/>
                        <w:rPr>
                          <w:rFonts w:ascii="Century Gothic" w:hAnsi="Century Gothic"/>
                          <w:sz w:val="20"/>
                          <w:szCs w:val="20"/>
                        </w:rPr>
                      </w:pPr>
                      <w:r>
                        <w:rPr>
                          <w:rFonts w:ascii="Century Gothic" w:hAnsi="Century Gothic"/>
                          <w:sz w:val="20"/>
                          <w:szCs w:val="20"/>
                        </w:rPr>
                        <w:t>(4)</w:t>
                      </w:r>
                      <w:r>
                        <w:rPr>
                          <w:rFonts w:ascii="Century Gothic" w:hAnsi="Century Gothic"/>
                          <w:sz w:val="20"/>
                          <w:szCs w:val="20"/>
                        </w:rPr>
                        <w:tab/>
                      </w:r>
                      <w:r w:rsidR="00C57DE4" w:rsidRPr="00117E26">
                        <w:rPr>
                          <w:rFonts w:ascii="Century Gothic" w:hAnsi="Century Gothic"/>
                          <w:sz w:val="20"/>
                          <w:szCs w:val="20"/>
                        </w:rPr>
                        <w:t>Date:</w:t>
                      </w:r>
                      <w:r w:rsidR="003E6AAF" w:rsidRPr="00117E26">
                        <w:rPr>
                          <w:rFonts w:ascii="Century Gothic" w:hAnsi="Century Gothic"/>
                          <w:sz w:val="20"/>
                          <w:szCs w:val="20"/>
                        </w:rPr>
                        <w:t>04</w:t>
                      </w:r>
                      <w:r w:rsidR="00C57DE4" w:rsidRPr="00117E26">
                        <w:rPr>
                          <w:rFonts w:ascii="Century Gothic" w:hAnsi="Century Gothic"/>
                          <w:sz w:val="20"/>
                          <w:szCs w:val="20"/>
                        </w:rPr>
                        <w:t xml:space="preserve"> </w:t>
                      </w:r>
                      <w:r w:rsidR="003E6AAF" w:rsidRPr="00117E26">
                        <w:rPr>
                          <w:rFonts w:ascii="Century Gothic" w:hAnsi="Century Gothic"/>
                          <w:sz w:val="20"/>
                          <w:szCs w:val="20"/>
                        </w:rPr>
                        <w:t>September</w:t>
                      </w:r>
                      <w:r w:rsidR="00117E26" w:rsidRPr="00117E26">
                        <w:rPr>
                          <w:rFonts w:ascii="Century Gothic" w:hAnsi="Century Gothic"/>
                          <w:sz w:val="20"/>
                          <w:szCs w:val="20"/>
                        </w:rPr>
                        <w:t xml:space="preserve">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59D7528B" w14:textId="77777777" w:rsidR="000A0B46" w:rsidRPr="00117E26" w:rsidRDefault="000A0B46" w:rsidP="000A0B46">
                      <w:pPr>
                        <w:ind w:left="900"/>
                        <w:rPr>
                          <w:rFonts w:ascii="Century Gothic" w:hAnsi="Century Gothic"/>
                          <w:sz w:val="20"/>
                          <w:szCs w:val="20"/>
                        </w:rPr>
                      </w:pPr>
                    </w:p>
                    <w:p w14:paraId="248EFA67" w14:textId="4E03B17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942AF9">
                        <w:rPr>
                          <w:rFonts w:ascii="Century Gothic" w:hAnsi="Century Gothic"/>
                          <w:b/>
                          <w:i/>
                          <w:sz w:val="22"/>
                          <w:szCs w:val="22"/>
                          <w:u w:val="single"/>
                        </w:rPr>
                        <w:t>0</w:t>
                      </w:r>
                      <w:r w:rsidR="009B2AE8">
                        <w:rPr>
                          <w:rFonts w:ascii="Century Gothic" w:hAnsi="Century Gothic"/>
                          <w:b/>
                          <w:i/>
                          <w:sz w:val="22"/>
                          <w:szCs w:val="22"/>
                          <w:u w:val="single"/>
                        </w:rPr>
                        <w:t>8</w:t>
                      </w:r>
                      <w:r w:rsidR="00D55D63">
                        <w:rPr>
                          <w:rFonts w:ascii="Century Gothic" w:hAnsi="Century Gothic"/>
                          <w:b/>
                          <w:i/>
                          <w:sz w:val="22"/>
                          <w:szCs w:val="22"/>
                          <w:u w:val="single"/>
                        </w:rPr>
                        <w:t>.09.</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1E3002">
                        <w:rPr>
                          <w:rFonts w:ascii="Century Gothic" w:hAnsi="Century Gothic"/>
                          <w:b/>
                          <w:i/>
                          <w:sz w:val="22"/>
                          <w:szCs w:val="22"/>
                          <w:u w:val="single"/>
                        </w:rPr>
                        <w:t>3</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00E200FC">
        <w:rPr>
          <w:rFonts w:cs="Arial"/>
          <w:u w:val="single"/>
        </w:rPr>
        <w:t>J</w:t>
      </w:r>
      <w:r w:rsidRPr="00034996">
        <w:rPr>
          <w:rFonts w:cs="Arial"/>
          <w:u w:val="single"/>
        </w:rPr>
        <w:t>O</w:t>
      </w:r>
      <w:r w:rsidR="00E200FC">
        <w:rPr>
          <w:rFonts w:cs="Arial"/>
          <w:u w:val="single"/>
        </w:rPr>
        <w:t>H</w:t>
      </w:r>
      <w:r w:rsidRPr="00034996">
        <w:rPr>
          <w:rFonts w:cs="Arial"/>
          <w:u w:val="single"/>
        </w:rPr>
        <w:t>A</w:t>
      </w:r>
      <w:r w:rsidR="00E200FC">
        <w:rPr>
          <w:rFonts w:cs="Arial"/>
          <w:u w:val="single"/>
        </w:rPr>
        <w:t>NNESBURG</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50CECF01" w14:textId="77777777" w:rsidR="009B2AE8" w:rsidRDefault="00310AC5" w:rsidP="00310AC5">
      <w:pPr>
        <w:pStyle w:val="LegalNormal"/>
        <w:rPr>
          <w:b/>
        </w:rPr>
      </w:pPr>
      <w:r>
        <w:rPr>
          <w:b/>
        </w:rPr>
        <w:t xml:space="preserve">                                                                                                    </w:t>
      </w:r>
      <w:r w:rsidR="001F4034">
        <w:rPr>
          <w:b/>
        </w:rPr>
        <w:t xml:space="preserve"> </w:t>
      </w:r>
    </w:p>
    <w:p w14:paraId="43854107" w14:textId="424B5195" w:rsidR="00117E26" w:rsidRPr="009B2AE8" w:rsidRDefault="009B2AE8" w:rsidP="00310AC5">
      <w:pPr>
        <w:pStyle w:val="LegalNormal"/>
        <w:rPr>
          <w:b/>
        </w:rPr>
      </w:pPr>
      <w:r>
        <w:rPr>
          <w:b/>
        </w:rPr>
        <w:t xml:space="preserve">                                                                                                  </w:t>
      </w:r>
      <w:r w:rsidR="00310AC5" w:rsidRPr="00310AC5">
        <w:rPr>
          <w:b/>
        </w:rPr>
        <w:t>CASE</w:t>
      </w:r>
      <w:r w:rsidR="001F4034">
        <w:rPr>
          <w:b/>
        </w:rPr>
        <w:t xml:space="preserve"> </w:t>
      </w:r>
      <w:r w:rsidR="00310AC5" w:rsidRPr="00310AC5">
        <w:rPr>
          <w:b/>
        </w:rPr>
        <w:t>NO</w:t>
      </w:r>
      <w:r w:rsidR="001F4034">
        <w:rPr>
          <w:b/>
        </w:rPr>
        <w:t xml:space="preserve">. </w:t>
      </w:r>
      <w:r w:rsidR="006417E4">
        <w:rPr>
          <w:b/>
        </w:rPr>
        <w:t>A</w:t>
      </w:r>
      <w:r w:rsidR="003E6AAF">
        <w:rPr>
          <w:b/>
        </w:rPr>
        <w:t>3</w:t>
      </w:r>
      <w:r w:rsidR="006417E4">
        <w:rPr>
          <w:b/>
        </w:rPr>
        <w:t>086</w:t>
      </w:r>
      <w:r w:rsidR="002621C1">
        <w:rPr>
          <w:b/>
        </w:rPr>
        <w:t>/</w:t>
      </w:r>
      <w:r w:rsidR="001F4034">
        <w:rPr>
          <w:b/>
        </w:rPr>
        <w:t>20</w:t>
      </w:r>
      <w:r w:rsidR="002621C1">
        <w:rPr>
          <w:b/>
        </w:rPr>
        <w:t>1</w:t>
      </w:r>
      <w:r w:rsidR="006417E4">
        <w:rPr>
          <w:b/>
        </w:rPr>
        <w:t>9</w:t>
      </w:r>
    </w:p>
    <w:p w14:paraId="4689B533" w14:textId="75B889A4" w:rsidR="00310AC5" w:rsidRPr="00310AC5" w:rsidRDefault="00310AC5" w:rsidP="00310AC5">
      <w:pPr>
        <w:pStyle w:val="LegalNormal"/>
        <w:rPr>
          <w:b/>
        </w:rPr>
      </w:pPr>
      <w:r w:rsidRPr="00310AC5">
        <w:t>In the matter between:</w:t>
      </w:r>
    </w:p>
    <w:p w14:paraId="2BF936AD" w14:textId="41447424" w:rsidR="00310AC5" w:rsidRDefault="001E3002" w:rsidP="00B852AA">
      <w:pPr>
        <w:pStyle w:val="LegalNormal"/>
        <w:rPr>
          <w:bCs/>
        </w:rPr>
      </w:pPr>
      <w:r>
        <w:rPr>
          <w:b/>
        </w:rPr>
        <w:t>J</w:t>
      </w:r>
      <w:r w:rsidR="002A4941">
        <w:rPr>
          <w:b/>
        </w:rPr>
        <w:t xml:space="preserve"> </w:t>
      </w:r>
      <w:r w:rsidR="00B52205">
        <w:rPr>
          <w:b/>
        </w:rPr>
        <w:t>D</w:t>
      </w:r>
      <w:r w:rsidR="005131A8">
        <w:rPr>
          <w:b/>
        </w:rPr>
        <w:t xml:space="preserve"> G</w:t>
      </w:r>
      <w:r w:rsidR="002A4941">
        <w:rPr>
          <w:b/>
        </w:rPr>
        <w:t xml:space="preserve"> T</w:t>
      </w:r>
      <w:r w:rsidR="005131A8">
        <w:rPr>
          <w:b/>
        </w:rPr>
        <w:t>R</w:t>
      </w:r>
      <w:r w:rsidR="002A4941">
        <w:rPr>
          <w:b/>
        </w:rPr>
        <w:t>ADING</w:t>
      </w:r>
      <w:r w:rsidR="000324B4">
        <w:rPr>
          <w:b/>
        </w:rPr>
        <w:t xml:space="preserve"> (PTY) LTD</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0E0ECB">
        <w:rPr>
          <w:bCs/>
          <w:vertAlign w:val="superscript"/>
        </w:rPr>
        <w:tab/>
      </w:r>
      <w:r w:rsidR="00380224">
        <w:rPr>
          <w:bCs/>
          <w:vertAlign w:val="superscript"/>
        </w:rPr>
        <w:t xml:space="preserve"> </w:t>
      </w:r>
      <w:r w:rsidR="005E6BFC">
        <w:rPr>
          <w:bCs/>
          <w:vertAlign w:val="superscript"/>
        </w:rPr>
        <w:t xml:space="preserve"> </w:t>
      </w:r>
      <w:r w:rsidR="00744AB5">
        <w:rPr>
          <w:bCs/>
          <w:vertAlign w:val="superscript"/>
        </w:rPr>
        <w:tab/>
        <w:t xml:space="preserve"> </w:t>
      </w:r>
      <w:r w:rsidR="00380224">
        <w:rPr>
          <w:bCs/>
          <w:vertAlign w:val="superscript"/>
        </w:rPr>
        <w:t xml:space="preserve"> </w:t>
      </w:r>
      <w:r w:rsidR="000324B4">
        <w:rPr>
          <w:bCs/>
        </w:rPr>
        <w:t>Appl</w:t>
      </w:r>
      <w:r w:rsidR="00744AB5">
        <w:rPr>
          <w:bCs/>
        </w:rPr>
        <w:t>i</w:t>
      </w:r>
      <w:r w:rsidR="000324B4">
        <w:rPr>
          <w:bCs/>
        </w:rPr>
        <w:t>cant</w:t>
      </w:r>
    </w:p>
    <w:p w14:paraId="12B359D3" w14:textId="77777777" w:rsidR="00310AC5" w:rsidRPr="00310AC5" w:rsidRDefault="00310AC5" w:rsidP="00B852AA">
      <w:pPr>
        <w:pStyle w:val="LegalNormal"/>
      </w:pPr>
      <w:r w:rsidRPr="00310AC5">
        <w:t>And</w:t>
      </w:r>
    </w:p>
    <w:p w14:paraId="3E8ED2E4" w14:textId="08278A07" w:rsidR="006A778B" w:rsidRDefault="000324B4" w:rsidP="00777E99">
      <w:pPr>
        <w:pStyle w:val="LegalNormal"/>
        <w:spacing w:line="240" w:lineRule="auto"/>
        <w:rPr>
          <w:b/>
        </w:rPr>
      </w:pPr>
      <w:r>
        <w:rPr>
          <w:b/>
        </w:rPr>
        <w:t>B</w:t>
      </w:r>
      <w:r w:rsidR="006A778B">
        <w:rPr>
          <w:b/>
        </w:rPr>
        <w:t>L</w:t>
      </w:r>
      <w:r>
        <w:rPr>
          <w:b/>
        </w:rPr>
        <w:t>ACK SASH TRUST</w:t>
      </w:r>
      <w:r w:rsidR="009F031D">
        <w:rPr>
          <w:b/>
        </w:rPr>
        <w:tab/>
      </w:r>
      <w:r w:rsidR="009F031D">
        <w:rPr>
          <w:b/>
        </w:rPr>
        <w:tab/>
      </w:r>
      <w:r w:rsidR="009F031D">
        <w:rPr>
          <w:b/>
        </w:rPr>
        <w:tab/>
      </w:r>
      <w:r w:rsidR="009F031D">
        <w:rPr>
          <w:b/>
        </w:rPr>
        <w:tab/>
      </w:r>
      <w:r w:rsidR="009F031D">
        <w:rPr>
          <w:b/>
        </w:rPr>
        <w:tab/>
      </w:r>
      <w:r w:rsidR="009F031D">
        <w:rPr>
          <w:b/>
        </w:rPr>
        <w:tab/>
      </w:r>
      <w:r w:rsidR="009F031D">
        <w:rPr>
          <w:b/>
        </w:rPr>
        <w:tab/>
      </w:r>
      <w:r w:rsidR="007C3283">
        <w:rPr>
          <w:b/>
        </w:rPr>
        <w:t xml:space="preserve">  </w:t>
      </w:r>
      <w:r w:rsidR="009F031D" w:rsidRPr="009F031D">
        <w:rPr>
          <w:bCs/>
        </w:rPr>
        <w:t>1</w:t>
      </w:r>
      <w:r w:rsidR="009F031D" w:rsidRPr="009F031D">
        <w:rPr>
          <w:bCs/>
          <w:vertAlign w:val="superscript"/>
        </w:rPr>
        <w:t>st</w:t>
      </w:r>
      <w:r w:rsidR="009F031D" w:rsidRPr="009F031D">
        <w:rPr>
          <w:bCs/>
        </w:rPr>
        <w:t xml:space="preserve"> </w:t>
      </w:r>
      <w:r w:rsidR="00FE5B73">
        <w:rPr>
          <w:bCs/>
        </w:rPr>
        <w:t>R</w:t>
      </w:r>
      <w:r w:rsidR="009F031D" w:rsidRPr="009F031D">
        <w:rPr>
          <w:bCs/>
        </w:rPr>
        <w:t>e</w:t>
      </w:r>
      <w:r w:rsidR="00FE5B73">
        <w:rPr>
          <w:bCs/>
        </w:rPr>
        <w:t>spo</w:t>
      </w:r>
      <w:r w:rsidR="007C3283">
        <w:rPr>
          <w:bCs/>
        </w:rPr>
        <w:t>n</w:t>
      </w:r>
      <w:r w:rsidR="009F031D" w:rsidRPr="009F031D">
        <w:rPr>
          <w:bCs/>
        </w:rPr>
        <w:t>d</w:t>
      </w:r>
      <w:r w:rsidR="007C3283">
        <w:rPr>
          <w:bCs/>
        </w:rPr>
        <w:t>e</w:t>
      </w:r>
      <w:r w:rsidR="009F031D" w:rsidRPr="009F031D">
        <w:rPr>
          <w:bCs/>
        </w:rPr>
        <w:t>nt</w:t>
      </w:r>
    </w:p>
    <w:p w14:paraId="0589B85E" w14:textId="6948BE19" w:rsidR="00310AC5" w:rsidRDefault="00B36C37" w:rsidP="00777E99">
      <w:pPr>
        <w:pStyle w:val="LegalNormal"/>
        <w:spacing w:line="240" w:lineRule="auto"/>
        <w:rPr>
          <w:bCs/>
        </w:rPr>
      </w:pPr>
      <w:r>
        <w:rPr>
          <w:b/>
        </w:rPr>
        <w:t>N</w:t>
      </w:r>
      <w:r w:rsidR="001936EE">
        <w:rPr>
          <w:b/>
        </w:rPr>
        <w:t>A</w:t>
      </w:r>
      <w:r w:rsidR="005E6BFC">
        <w:rPr>
          <w:b/>
        </w:rPr>
        <w:t>T</w:t>
      </w:r>
      <w:r>
        <w:rPr>
          <w:b/>
        </w:rPr>
        <w:t>IONAL CR</w:t>
      </w:r>
      <w:r w:rsidR="00FE5B73">
        <w:rPr>
          <w:b/>
        </w:rPr>
        <w:t xml:space="preserve">EDIT </w:t>
      </w:r>
      <w:r>
        <w:rPr>
          <w:b/>
        </w:rPr>
        <w:t>RE</w:t>
      </w:r>
      <w:r w:rsidR="00FE5B73">
        <w:rPr>
          <w:b/>
        </w:rPr>
        <w:t>G</w:t>
      </w:r>
      <w:r>
        <w:rPr>
          <w:b/>
        </w:rPr>
        <w:t>U</w:t>
      </w:r>
      <w:r w:rsidR="00FE5B73">
        <w:rPr>
          <w:b/>
        </w:rPr>
        <w:t>LATOR</w:t>
      </w:r>
      <w:r w:rsidR="00576B53">
        <w:rPr>
          <w:b/>
        </w:rPr>
        <w:tab/>
      </w:r>
      <w:r w:rsidR="00B852AA">
        <w:rPr>
          <w:bCs/>
        </w:rPr>
        <w:tab/>
      </w:r>
      <w:r w:rsidR="00906392">
        <w:rPr>
          <w:bCs/>
        </w:rPr>
        <w:t xml:space="preserve">        </w:t>
      </w:r>
      <w:r w:rsidR="007C3283">
        <w:rPr>
          <w:bCs/>
        </w:rPr>
        <w:tab/>
      </w:r>
      <w:r w:rsidR="007C3283">
        <w:rPr>
          <w:bCs/>
        </w:rPr>
        <w:tab/>
      </w:r>
      <w:r w:rsidR="007C3283">
        <w:rPr>
          <w:bCs/>
        </w:rPr>
        <w:tab/>
      </w:r>
      <w:r w:rsidR="00906392">
        <w:rPr>
          <w:bCs/>
        </w:rPr>
        <w:t xml:space="preserve">  </w:t>
      </w:r>
      <w:r w:rsidR="009F031D">
        <w:rPr>
          <w:bCs/>
        </w:rPr>
        <w:t>2</w:t>
      </w:r>
      <w:r w:rsidR="009F031D" w:rsidRPr="009F031D">
        <w:rPr>
          <w:bCs/>
          <w:vertAlign w:val="superscript"/>
        </w:rPr>
        <w:t>nd</w:t>
      </w:r>
      <w:r w:rsidR="009F031D">
        <w:rPr>
          <w:bCs/>
        </w:rPr>
        <w:t xml:space="preserve"> </w:t>
      </w:r>
      <w:r w:rsidR="007C3283">
        <w:rPr>
          <w:bCs/>
        </w:rPr>
        <w:t>R</w:t>
      </w:r>
      <w:r w:rsidR="00576B53">
        <w:rPr>
          <w:bCs/>
        </w:rPr>
        <w:t>e</w:t>
      </w:r>
      <w:r w:rsidR="007C3283">
        <w:rPr>
          <w:bCs/>
        </w:rPr>
        <w:t>spo</w:t>
      </w:r>
      <w:r w:rsidR="00576B53">
        <w:rPr>
          <w:bCs/>
        </w:rPr>
        <w:t>n</w:t>
      </w:r>
      <w:r w:rsidR="00CD6083">
        <w:rPr>
          <w:bCs/>
        </w:rPr>
        <w:t>d</w:t>
      </w:r>
      <w:r w:rsidR="007C3283">
        <w:rPr>
          <w:bCs/>
        </w:rPr>
        <w:t>e</w:t>
      </w:r>
      <w:r w:rsidR="00CD6083">
        <w:rPr>
          <w:bCs/>
        </w:rPr>
        <w:t>n</w:t>
      </w:r>
      <w:r w:rsidR="00576B53">
        <w:rPr>
          <w:bCs/>
        </w:rPr>
        <w:t>t</w:t>
      </w:r>
    </w:p>
    <w:p w14:paraId="61294541" w14:textId="3739FDAF" w:rsidR="00B07D40" w:rsidRDefault="00B07D40" w:rsidP="00777E99">
      <w:pPr>
        <w:pStyle w:val="LegalNormal"/>
        <w:spacing w:line="600" w:lineRule="auto"/>
        <w:rPr>
          <w:bCs/>
        </w:rPr>
      </w:pPr>
      <w:r w:rsidRPr="00B07D40">
        <w:rPr>
          <w:b/>
        </w:rPr>
        <w:t>NATIONAL CONSUMER TRIBUNAL</w:t>
      </w:r>
      <w:r>
        <w:rPr>
          <w:bCs/>
        </w:rPr>
        <w:tab/>
      </w:r>
      <w:r>
        <w:rPr>
          <w:bCs/>
        </w:rPr>
        <w:tab/>
      </w:r>
      <w:r>
        <w:rPr>
          <w:bCs/>
        </w:rPr>
        <w:tab/>
      </w:r>
      <w:r>
        <w:rPr>
          <w:bCs/>
        </w:rPr>
        <w:tab/>
      </w:r>
      <w:r>
        <w:rPr>
          <w:bCs/>
        </w:rPr>
        <w:tab/>
        <w:t xml:space="preserve">   3</w:t>
      </w:r>
      <w:r w:rsidRPr="00B07D40">
        <w:rPr>
          <w:bCs/>
          <w:vertAlign w:val="superscript"/>
        </w:rPr>
        <w:t>rd</w:t>
      </w:r>
      <w:r>
        <w:rPr>
          <w:bCs/>
        </w:rPr>
        <w:t xml:space="preserve"> Respondent</w:t>
      </w:r>
    </w:p>
    <w:p w14:paraId="30F62846" w14:textId="0008E2FF" w:rsidR="00B07D40" w:rsidRDefault="0093451C" w:rsidP="00777E99">
      <w:pPr>
        <w:pStyle w:val="LegalNormal"/>
        <w:spacing w:line="600" w:lineRule="auto"/>
        <w:rPr>
          <w:bCs/>
        </w:rPr>
      </w:pPr>
      <w:r>
        <w:rPr>
          <w:bCs/>
        </w:rPr>
        <w:lastRenderedPageBreak/>
        <w:t>In Re:</w:t>
      </w:r>
    </w:p>
    <w:p w14:paraId="3FEBB507" w14:textId="0D0BC5C6" w:rsidR="0093451C" w:rsidRDefault="0093451C" w:rsidP="00D026D9">
      <w:pPr>
        <w:pStyle w:val="LegalNormal"/>
        <w:spacing w:line="240" w:lineRule="auto"/>
        <w:rPr>
          <w:bCs/>
        </w:rPr>
      </w:pPr>
      <w:r w:rsidRPr="00777E99">
        <w:rPr>
          <w:b/>
        </w:rPr>
        <w:t>THE NATIONAL CREDIT REGULATOR</w:t>
      </w:r>
      <w:r>
        <w:rPr>
          <w:bCs/>
        </w:rPr>
        <w:tab/>
      </w:r>
      <w:r>
        <w:rPr>
          <w:bCs/>
        </w:rPr>
        <w:tab/>
      </w:r>
      <w:r>
        <w:rPr>
          <w:bCs/>
        </w:rPr>
        <w:tab/>
      </w:r>
      <w:r>
        <w:rPr>
          <w:bCs/>
        </w:rPr>
        <w:tab/>
      </w:r>
      <w:r>
        <w:rPr>
          <w:bCs/>
        </w:rPr>
        <w:tab/>
      </w:r>
      <w:r w:rsidR="009303F9">
        <w:rPr>
          <w:bCs/>
        </w:rPr>
        <w:t>Appellant</w:t>
      </w:r>
    </w:p>
    <w:p w14:paraId="21A2F96B" w14:textId="7E4D683F" w:rsidR="00777E99" w:rsidRDefault="00777E99" w:rsidP="00D026D9">
      <w:pPr>
        <w:pStyle w:val="LegalNormal"/>
        <w:spacing w:line="240" w:lineRule="auto"/>
        <w:rPr>
          <w:bCs/>
        </w:rPr>
      </w:pPr>
      <w:r>
        <w:rPr>
          <w:bCs/>
        </w:rPr>
        <w:t>And</w:t>
      </w:r>
    </w:p>
    <w:p w14:paraId="0F613A79" w14:textId="77777777" w:rsidR="00F51083" w:rsidRDefault="00AF17F6" w:rsidP="00B404BD">
      <w:pPr>
        <w:pStyle w:val="LegalNormal"/>
        <w:spacing w:line="240" w:lineRule="auto"/>
        <w:rPr>
          <w:b/>
        </w:rPr>
      </w:pPr>
      <w:r>
        <w:rPr>
          <w:b/>
        </w:rPr>
        <w:t>JDG TRADING (PTY) LTD</w:t>
      </w:r>
      <w:r>
        <w:rPr>
          <w:b/>
        </w:rPr>
        <w:tab/>
      </w:r>
      <w:r>
        <w:rPr>
          <w:b/>
        </w:rPr>
        <w:tab/>
      </w:r>
      <w:r>
        <w:rPr>
          <w:b/>
        </w:rPr>
        <w:tab/>
      </w:r>
      <w:r>
        <w:rPr>
          <w:b/>
        </w:rPr>
        <w:tab/>
      </w:r>
      <w:r>
        <w:rPr>
          <w:b/>
        </w:rPr>
        <w:tab/>
      </w:r>
      <w:r>
        <w:rPr>
          <w:b/>
        </w:rPr>
        <w:tab/>
      </w:r>
      <w:r>
        <w:rPr>
          <w:b/>
        </w:rPr>
        <w:tab/>
      </w:r>
      <w:r w:rsidR="00D21CCE">
        <w:rPr>
          <w:b/>
        </w:rPr>
        <w:t xml:space="preserve">  </w:t>
      </w:r>
      <w:r w:rsidR="00D21CCE" w:rsidRPr="00D21CCE">
        <w:rPr>
          <w:bCs/>
        </w:rPr>
        <w:t>1</w:t>
      </w:r>
      <w:r w:rsidR="00D21CCE" w:rsidRPr="00D21CCE">
        <w:rPr>
          <w:bCs/>
          <w:vertAlign w:val="superscript"/>
        </w:rPr>
        <w:t>st</w:t>
      </w:r>
      <w:r w:rsidR="00D21CCE" w:rsidRPr="00D21CCE">
        <w:rPr>
          <w:bCs/>
        </w:rPr>
        <w:t xml:space="preserve"> Respondent</w:t>
      </w:r>
      <w:r w:rsidR="00310AC5" w:rsidRPr="00310AC5">
        <w:rPr>
          <w:b/>
        </w:rPr>
        <w:tab/>
      </w:r>
    </w:p>
    <w:p w14:paraId="10A1C864" w14:textId="083AF800" w:rsidR="00310AC5" w:rsidRDefault="00F51083" w:rsidP="00B404BD">
      <w:pPr>
        <w:pStyle w:val="LegalNormal"/>
        <w:spacing w:line="240" w:lineRule="auto"/>
        <w:rPr>
          <w:b/>
        </w:rPr>
      </w:pPr>
      <w:r>
        <w:rPr>
          <w:b/>
        </w:rPr>
        <w:t>THE NATIONAL CONSUMER TRIBUNAL</w:t>
      </w:r>
      <w:r>
        <w:rPr>
          <w:b/>
        </w:rPr>
        <w:tab/>
      </w:r>
      <w:r>
        <w:rPr>
          <w:b/>
        </w:rPr>
        <w:tab/>
      </w:r>
      <w:r>
        <w:rPr>
          <w:b/>
        </w:rPr>
        <w:tab/>
      </w:r>
      <w:r w:rsidR="00205B4F">
        <w:rPr>
          <w:b/>
        </w:rPr>
        <w:t xml:space="preserve">          </w:t>
      </w:r>
      <w:r>
        <w:rPr>
          <w:b/>
        </w:rPr>
        <w:tab/>
      </w:r>
      <w:r w:rsidRPr="00F51083">
        <w:rPr>
          <w:bCs/>
        </w:rPr>
        <w:t>2</w:t>
      </w:r>
      <w:r w:rsidRPr="00F51083">
        <w:rPr>
          <w:bCs/>
          <w:vertAlign w:val="superscript"/>
        </w:rPr>
        <w:t>nd</w:t>
      </w:r>
      <w:r w:rsidRPr="00F51083">
        <w:rPr>
          <w:bCs/>
        </w:rPr>
        <w:t xml:space="preserve"> Respondent</w:t>
      </w:r>
      <w:r w:rsidR="00310AC5">
        <w:rPr>
          <w:b/>
        </w:rPr>
        <w:t xml:space="preserve"> </w:t>
      </w:r>
    </w:p>
    <w:p w14:paraId="14C8ACE7" w14:textId="3196CEDF" w:rsidR="00F51083" w:rsidRDefault="00214117" w:rsidP="00B404BD">
      <w:pPr>
        <w:pStyle w:val="LegalNormal"/>
        <w:spacing w:line="240" w:lineRule="auto"/>
        <w:rPr>
          <w:bCs/>
        </w:rPr>
      </w:pPr>
      <w:r>
        <w:rPr>
          <w:b/>
        </w:rPr>
        <w:t>THE BLACK SASH TRUST</w:t>
      </w:r>
      <w:r>
        <w:rPr>
          <w:b/>
        </w:rPr>
        <w:tab/>
      </w:r>
      <w:r>
        <w:rPr>
          <w:b/>
        </w:rPr>
        <w:tab/>
      </w:r>
      <w:r>
        <w:rPr>
          <w:b/>
        </w:rPr>
        <w:tab/>
      </w:r>
      <w:r>
        <w:rPr>
          <w:b/>
        </w:rPr>
        <w:tab/>
      </w:r>
      <w:r>
        <w:rPr>
          <w:b/>
        </w:rPr>
        <w:tab/>
      </w:r>
      <w:r>
        <w:rPr>
          <w:b/>
        </w:rPr>
        <w:tab/>
      </w:r>
      <w:r w:rsidRPr="00B404BD">
        <w:rPr>
          <w:bCs/>
        </w:rPr>
        <w:t>3</w:t>
      </w:r>
      <w:r w:rsidRPr="00B404BD">
        <w:rPr>
          <w:bCs/>
          <w:vertAlign w:val="superscript"/>
        </w:rPr>
        <w:t>rd</w:t>
      </w:r>
      <w:r w:rsidRPr="00B404BD">
        <w:rPr>
          <w:bCs/>
        </w:rPr>
        <w:t xml:space="preserve"> Respondent</w:t>
      </w:r>
    </w:p>
    <w:p w14:paraId="33FAEEB3" w14:textId="77777777" w:rsidR="00B404BD" w:rsidRPr="00310AC5" w:rsidRDefault="00B404BD" w:rsidP="00B404BD">
      <w:pPr>
        <w:pStyle w:val="LegalNormal"/>
        <w:spacing w:line="240" w:lineRule="auto"/>
        <w:rPr>
          <w:b/>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6A3D5E9C" w:rsidR="00310AC5" w:rsidRPr="00310AC5" w:rsidRDefault="007E2115" w:rsidP="007E2115">
      <w:pPr>
        <w:pStyle w:val="LegalNormal"/>
        <w:ind w:left="720" w:hanging="360"/>
        <w:rPr>
          <w:b/>
        </w:rPr>
      </w:pPr>
      <w:r w:rsidRPr="00310AC5">
        <w:rPr>
          <w:b/>
        </w:rPr>
        <w:t>A.</w:t>
      </w:r>
      <w:r w:rsidRPr="00310AC5">
        <w:rPr>
          <w:b/>
        </w:rPr>
        <w:tab/>
      </w:r>
      <w:r w:rsidR="00310AC5" w:rsidRPr="00310AC5">
        <w:rPr>
          <w:b/>
        </w:rPr>
        <w:t>INTRODUCTION</w:t>
      </w:r>
    </w:p>
    <w:p w14:paraId="34E9CA30" w14:textId="1DFF67C9" w:rsidR="003E480F" w:rsidRDefault="007E2115" w:rsidP="007E2115">
      <w:pPr>
        <w:pStyle w:val="LegalNormal"/>
        <w:tabs>
          <w:tab w:val="left" w:pos="927"/>
        </w:tabs>
        <w:ind w:left="927" w:hanging="567"/>
        <w:rPr>
          <w:lang w:val="en-US"/>
        </w:rPr>
      </w:pPr>
      <w:r>
        <w:rPr>
          <w:sz w:val="28"/>
          <w:szCs w:val="28"/>
          <w:lang w:val="en-US"/>
        </w:rPr>
        <w:t>[1</w:t>
      </w:r>
      <w:bookmarkStart w:id="0" w:name="_GoBack"/>
      <w:bookmarkEnd w:id="0"/>
      <w:r>
        <w:rPr>
          <w:sz w:val="28"/>
          <w:szCs w:val="28"/>
          <w:lang w:val="en-US"/>
        </w:rPr>
        <w:t>]</w:t>
      </w:r>
      <w:r>
        <w:rPr>
          <w:sz w:val="28"/>
          <w:szCs w:val="28"/>
          <w:lang w:val="en-US"/>
        </w:rPr>
        <w:tab/>
      </w:r>
      <w:r w:rsidR="003535D0" w:rsidRPr="003535D0">
        <w:rPr>
          <w:lang w:val="en-US"/>
        </w:rPr>
        <w:t>Th</w:t>
      </w:r>
      <w:r w:rsidR="00837799">
        <w:rPr>
          <w:lang w:val="en-US"/>
        </w:rPr>
        <w:t>is is a</w:t>
      </w:r>
      <w:r w:rsidR="00C262B6">
        <w:rPr>
          <w:lang w:val="en-US"/>
        </w:rPr>
        <w:t xml:space="preserve">n </w:t>
      </w:r>
      <w:r w:rsidR="0088611C">
        <w:rPr>
          <w:lang w:val="en-US"/>
        </w:rPr>
        <w:t xml:space="preserve">interlocutory application in terms of Rule 30 of the Uniform Rules </w:t>
      </w:r>
      <w:r w:rsidR="00466E4F">
        <w:rPr>
          <w:lang w:val="en-US"/>
        </w:rPr>
        <w:t>to disallow and strike out a further replying affidavit</w:t>
      </w:r>
      <w:r w:rsidR="003E480F">
        <w:rPr>
          <w:lang w:val="en-US"/>
        </w:rPr>
        <w:t xml:space="preserve"> filed by the BST, an amicus in the main application.</w:t>
      </w:r>
    </w:p>
    <w:p w14:paraId="3A2876AB" w14:textId="49C17702" w:rsidR="00E20690" w:rsidRPr="003E480F" w:rsidRDefault="007E2115" w:rsidP="007E2115">
      <w:pPr>
        <w:pStyle w:val="LegalNormal"/>
        <w:ind w:left="720" w:hanging="360"/>
        <w:rPr>
          <w:b/>
          <w:bCs/>
          <w:lang w:val="en-US"/>
        </w:rPr>
      </w:pPr>
      <w:r w:rsidRPr="003E480F">
        <w:rPr>
          <w:b/>
          <w:bCs/>
          <w:lang w:val="en-US"/>
        </w:rPr>
        <w:t>B.</w:t>
      </w:r>
      <w:r w:rsidRPr="003E480F">
        <w:rPr>
          <w:b/>
          <w:bCs/>
          <w:lang w:val="en-US"/>
        </w:rPr>
        <w:tab/>
      </w:r>
      <w:r w:rsidR="0006413D">
        <w:rPr>
          <w:b/>
          <w:bCs/>
          <w:lang w:val="en-US"/>
        </w:rPr>
        <w:t>BACKGROUND CTO T</w:t>
      </w:r>
      <w:r w:rsidR="003E480F" w:rsidRPr="003E480F">
        <w:rPr>
          <w:b/>
          <w:bCs/>
          <w:lang w:val="en-US"/>
        </w:rPr>
        <w:t>HE ISSUES</w:t>
      </w:r>
      <w:r w:rsidR="00837799" w:rsidRPr="003E480F">
        <w:rPr>
          <w:b/>
          <w:bCs/>
          <w:lang w:val="en-US"/>
        </w:rPr>
        <w:t xml:space="preserve"> </w:t>
      </w:r>
    </w:p>
    <w:p w14:paraId="4FE92B03" w14:textId="11C83C64" w:rsidR="00111A06" w:rsidRDefault="007E2115" w:rsidP="007E2115">
      <w:pPr>
        <w:pStyle w:val="LegalNormal"/>
        <w:tabs>
          <w:tab w:val="left" w:pos="927"/>
        </w:tabs>
        <w:ind w:left="927" w:hanging="567"/>
        <w:rPr>
          <w:lang w:val="en-US"/>
        </w:rPr>
      </w:pPr>
      <w:r>
        <w:rPr>
          <w:sz w:val="28"/>
          <w:szCs w:val="28"/>
          <w:lang w:val="en-US"/>
        </w:rPr>
        <w:t>[2]</w:t>
      </w:r>
      <w:r>
        <w:rPr>
          <w:sz w:val="28"/>
          <w:szCs w:val="28"/>
          <w:lang w:val="en-US"/>
        </w:rPr>
        <w:tab/>
      </w:r>
      <w:r w:rsidR="00A6751F">
        <w:rPr>
          <w:lang w:val="en-US"/>
        </w:rPr>
        <w:t xml:space="preserve">The </w:t>
      </w:r>
      <w:r w:rsidR="00876739">
        <w:rPr>
          <w:lang w:val="en-US"/>
        </w:rPr>
        <w:t>application arises in the context of an appeal which</w:t>
      </w:r>
      <w:r w:rsidR="008824D6">
        <w:rPr>
          <w:lang w:val="en-US"/>
        </w:rPr>
        <w:t xml:space="preserve"> the National Credit Regulator (“NCR”) is prosecuting against the</w:t>
      </w:r>
      <w:r w:rsidR="004376E6">
        <w:rPr>
          <w:lang w:val="en-US"/>
        </w:rPr>
        <w:t xml:space="preserve"> applicant (“JDG”) in terms of</w:t>
      </w:r>
      <w:r w:rsidR="004A646F">
        <w:rPr>
          <w:lang w:val="en-US"/>
        </w:rPr>
        <w:t xml:space="preserve"> </w:t>
      </w:r>
      <w:r w:rsidR="004A646F">
        <w:rPr>
          <w:lang w:val="en-US"/>
        </w:rPr>
        <w:lastRenderedPageBreak/>
        <w:t xml:space="preserve">section 148 of the National Credit Act, </w:t>
      </w:r>
      <w:r w:rsidR="005A2557">
        <w:rPr>
          <w:lang w:val="en-US"/>
        </w:rPr>
        <w:t>34 of 2005 (“the NCA”)</w:t>
      </w:r>
      <w:r w:rsidR="00E10FB8">
        <w:rPr>
          <w:lang w:val="en-US"/>
        </w:rPr>
        <w:t xml:space="preserve"> which provides an automatic right o</w:t>
      </w:r>
      <w:r w:rsidR="0018022F">
        <w:rPr>
          <w:lang w:val="en-US"/>
        </w:rPr>
        <w:t>f appeal to this court.</w:t>
      </w:r>
    </w:p>
    <w:p w14:paraId="341AD581" w14:textId="14D385FF" w:rsidR="0018022F" w:rsidRDefault="007E2115" w:rsidP="007E2115">
      <w:pPr>
        <w:pStyle w:val="LegalNormal"/>
        <w:tabs>
          <w:tab w:val="left" w:pos="927"/>
        </w:tabs>
        <w:ind w:left="927" w:hanging="567"/>
        <w:rPr>
          <w:lang w:val="en-US"/>
        </w:rPr>
      </w:pPr>
      <w:r>
        <w:rPr>
          <w:sz w:val="28"/>
          <w:szCs w:val="28"/>
          <w:lang w:val="en-US"/>
        </w:rPr>
        <w:t>[3]</w:t>
      </w:r>
      <w:r>
        <w:rPr>
          <w:sz w:val="28"/>
          <w:szCs w:val="28"/>
          <w:lang w:val="en-US"/>
        </w:rPr>
        <w:tab/>
      </w:r>
      <w:r w:rsidR="0018022F">
        <w:rPr>
          <w:lang w:val="en-US"/>
        </w:rPr>
        <w:t xml:space="preserve">Briefly, </w:t>
      </w:r>
      <w:r w:rsidR="0076015D">
        <w:rPr>
          <w:lang w:val="en-US"/>
        </w:rPr>
        <w:t>the NCR referred a complaint against</w:t>
      </w:r>
      <w:r w:rsidR="00D0036C">
        <w:rPr>
          <w:lang w:val="en-US"/>
        </w:rPr>
        <w:t xml:space="preserve"> JDG </w:t>
      </w:r>
      <w:r w:rsidR="0076015D">
        <w:rPr>
          <w:lang w:val="en-US"/>
        </w:rPr>
        <w:t>to</w:t>
      </w:r>
      <w:r w:rsidR="00D0036C">
        <w:rPr>
          <w:lang w:val="en-US"/>
        </w:rPr>
        <w:t xml:space="preserve"> the tribunal in 2015</w:t>
      </w:r>
      <w:r w:rsidR="00347E94">
        <w:rPr>
          <w:lang w:val="en-US"/>
        </w:rPr>
        <w:t>. The matter was finally heard and determined in favour of JDG on 8 July 2019</w:t>
      </w:r>
      <w:r w:rsidR="00A176CD">
        <w:rPr>
          <w:lang w:val="en-US"/>
        </w:rPr>
        <w:t>.</w:t>
      </w:r>
    </w:p>
    <w:p w14:paraId="6DE895AC" w14:textId="4FAC01F2" w:rsidR="0035444C" w:rsidRDefault="007E2115" w:rsidP="007E2115">
      <w:pPr>
        <w:pStyle w:val="LegalNormal"/>
        <w:tabs>
          <w:tab w:val="left" w:pos="927"/>
        </w:tabs>
        <w:ind w:left="927" w:hanging="567"/>
        <w:rPr>
          <w:lang w:val="en-ZA"/>
        </w:rPr>
      </w:pPr>
      <w:r>
        <w:rPr>
          <w:sz w:val="28"/>
          <w:szCs w:val="28"/>
          <w:lang w:val="en-ZA"/>
        </w:rPr>
        <w:t>[4]</w:t>
      </w:r>
      <w:r>
        <w:rPr>
          <w:sz w:val="28"/>
          <w:szCs w:val="28"/>
          <w:lang w:val="en-ZA"/>
        </w:rPr>
        <w:tab/>
      </w:r>
      <w:r w:rsidR="00A176CD">
        <w:rPr>
          <w:lang w:val="en-US"/>
        </w:rPr>
        <w:t>The complaint revolves around the fact that JDG offers</w:t>
      </w:r>
      <w:r w:rsidR="000006E3">
        <w:rPr>
          <w:lang w:val="en-US"/>
        </w:rPr>
        <w:t xml:space="preserve"> a packaged</w:t>
      </w:r>
      <w:r w:rsidR="005648FF">
        <w:rPr>
          <w:lang w:val="en-US"/>
        </w:rPr>
        <w:t xml:space="preserve"> insurance product </w:t>
      </w:r>
      <w:r w:rsidR="0035444C" w:rsidRPr="0035444C">
        <w:rPr>
          <w:lang w:val="en-ZA"/>
        </w:rPr>
        <w:t xml:space="preserve">which responds to the </w:t>
      </w:r>
      <w:r w:rsidR="0013492B" w:rsidRPr="0035444C">
        <w:rPr>
          <w:lang w:val="en-ZA"/>
        </w:rPr>
        <w:t>consumer’s</w:t>
      </w:r>
      <w:r w:rsidR="0035444C" w:rsidRPr="0035444C">
        <w:rPr>
          <w:lang w:val="en-ZA"/>
        </w:rPr>
        <w:t xml:space="preserve"> needs, as circumstances dictate. The insurance product is sold as a "package" or a "bundle" to a wide spectrum of consumers, which allows for cross-subsidization and therefore makes the bundle of insurance products more affordable. In fact, the bundle of insurance is more affordable for consumers than securing any of the individual elements of the insurance package would be. The NCR considers this to be "unreasonable".</w:t>
      </w:r>
    </w:p>
    <w:p w14:paraId="3EE9B2AD" w14:textId="561A729E" w:rsidR="0013492B" w:rsidRPr="0035444C" w:rsidRDefault="007E2115" w:rsidP="007E2115">
      <w:pPr>
        <w:pStyle w:val="LegalNormal"/>
        <w:tabs>
          <w:tab w:val="left" w:pos="927"/>
        </w:tabs>
        <w:ind w:left="927" w:hanging="567"/>
        <w:rPr>
          <w:lang w:val="en-ZA"/>
        </w:rPr>
      </w:pPr>
      <w:r w:rsidRPr="0035444C">
        <w:rPr>
          <w:sz w:val="28"/>
          <w:szCs w:val="28"/>
          <w:lang w:val="en-ZA"/>
        </w:rPr>
        <w:t>[5]</w:t>
      </w:r>
      <w:r w:rsidRPr="0035444C">
        <w:rPr>
          <w:sz w:val="28"/>
          <w:szCs w:val="28"/>
          <w:lang w:val="en-ZA"/>
        </w:rPr>
        <w:tab/>
      </w:r>
      <w:r w:rsidR="006B7447" w:rsidRPr="006B7447">
        <w:t xml:space="preserve">Following the appeal and the exchange of heads of argument between the NCR and JDG, the First Respondent ("BST") sought to intervene as an </w:t>
      </w:r>
      <w:r w:rsidR="006B7447" w:rsidRPr="00F22E10">
        <w:rPr>
          <w:i/>
          <w:iCs/>
        </w:rPr>
        <w:t>amicus</w:t>
      </w:r>
      <w:r w:rsidR="006B7447" w:rsidRPr="006B7447">
        <w:t xml:space="preserve"> and also sought to adduce further evidence before the Court of appeal. JDG did not oppose BST's application to intervene as amicus, but it opposed the application to adduce additional evidence.</w:t>
      </w:r>
    </w:p>
    <w:p w14:paraId="7ED8E1F8" w14:textId="27327760" w:rsidR="00A176CD" w:rsidRPr="00E84A7A" w:rsidRDefault="007E2115" w:rsidP="007E2115">
      <w:pPr>
        <w:pStyle w:val="LegalNormal"/>
        <w:tabs>
          <w:tab w:val="left" w:pos="927"/>
        </w:tabs>
        <w:ind w:left="927" w:hanging="567"/>
        <w:rPr>
          <w:lang w:val="en-US"/>
        </w:rPr>
      </w:pPr>
      <w:r w:rsidRPr="00E84A7A">
        <w:rPr>
          <w:sz w:val="28"/>
          <w:szCs w:val="28"/>
          <w:lang w:val="en-US"/>
        </w:rPr>
        <w:t>[6]</w:t>
      </w:r>
      <w:r w:rsidRPr="00E84A7A">
        <w:rPr>
          <w:sz w:val="28"/>
          <w:szCs w:val="28"/>
          <w:lang w:val="en-US"/>
        </w:rPr>
        <w:tab/>
      </w:r>
      <w:r w:rsidR="00C62387" w:rsidRPr="00C62387">
        <w:t>That opposed application culminated in the judgment and order of Her Ladyship Madam Justice Mia ("Mia J") dated 20 April 2021. The judgment and order handed down by Mia J permitted the BST to adduce certain evidence on appeal.</w:t>
      </w:r>
    </w:p>
    <w:p w14:paraId="12EE3FB4" w14:textId="1B1F9F64" w:rsidR="00E84A7A" w:rsidRPr="00A015ED" w:rsidRDefault="007E2115" w:rsidP="007E2115">
      <w:pPr>
        <w:pStyle w:val="LegalNormal"/>
        <w:tabs>
          <w:tab w:val="left" w:pos="927"/>
        </w:tabs>
        <w:ind w:left="927" w:hanging="567"/>
        <w:rPr>
          <w:lang w:val="en-US"/>
        </w:rPr>
      </w:pPr>
      <w:r w:rsidRPr="00A015ED">
        <w:rPr>
          <w:sz w:val="28"/>
          <w:szCs w:val="28"/>
          <w:lang w:val="en-US"/>
        </w:rPr>
        <w:lastRenderedPageBreak/>
        <w:t>[7]</w:t>
      </w:r>
      <w:r w:rsidRPr="00A015ED">
        <w:rPr>
          <w:sz w:val="28"/>
          <w:szCs w:val="28"/>
          <w:lang w:val="en-US"/>
        </w:rPr>
        <w:tab/>
      </w:r>
      <w:r w:rsidR="00E84A7A" w:rsidRPr="00E84A7A">
        <w:t>When BST was invited to adduce the evidence contemplated in the order of Mia J, it confirmed that it had already done so, and that the evidence it wished to adduce is the expert evidence contained in the report of Professor Harris, which was</w:t>
      </w:r>
      <w:r w:rsidR="00BA6D36">
        <w:t xml:space="preserve"> </w:t>
      </w:r>
      <w:r w:rsidR="00BA6D36" w:rsidRPr="00BA6D36">
        <w:t>attached to its original papers in the application for leave to adduce additional evidence on appeal.</w:t>
      </w:r>
    </w:p>
    <w:p w14:paraId="3333664F" w14:textId="2466E9AF" w:rsidR="005C7442" w:rsidRPr="005C7442" w:rsidRDefault="007E2115" w:rsidP="007E2115">
      <w:pPr>
        <w:pStyle w:val="LegalNormal"/>
        <w:tabs>
          <w:tab w:val="left" w:pos="927"/>
        </w:tabs>
        <w:ind w:left="927" w:hanging="567"/>
        <w:rPr>
          <w:lang w:val="en-US"/>
        </w:rPr>
      </w:pPr>
      <w:r w:rsidRPr="005C7442">
        <w:rPr>
          <w:sz w:val="28"/>
          <w:szCs w:val="28"/>
          <w:lang w:val="en-US"/>
        </w:rPr>
        <w:t>[8]</w:t>
      </w:r>
      <w:r w:rsidRPr="005C7442">
        <w:rPr>
          <w:sz w:val="28"/>
          <w:szCs w:val="28"/>
          <w:lang w:val="en-US"/>
        </w:rPr>
        <w:tab/>
      </w:r>
      <w:r w:rsidR="00A015ED">
        <w:t>The applicant asserts that a</w:t>
      </w:r>
      <w:r w:rsidR="00A015ED" w:rsidRPr="00A015ED">
        <w:t>lthough Professor Harris</w:t>
      </w:r>
      <w:r w:rsidR="005C7442">
        <w:t>’s e</w:t>
      </w:r>
      <w:r w:rsidR="00A015ED" w:rsidRPr="00A015ED">
        <w:t xml:space="preserve">vidence was throughout billed as expert evidence, it contains various factual assertions and assumptions which did not form part of the evidence </w:t>
      </w:r>
      <w:r w:rsidR="00205B4F">
        <w:t>before the Tribunal, were</w:t>
      </w:r>
      <w:r w:rsidR="00A015ED" w:rsidRPr="00A015ED">
        <w:t xml:space="preserve"> therefore not considered by the Tribunal and which JDG had no opportunity to address. The unfairness and inappropriateness of introducing that evidence on appeal is manifest. </w:t>
      </w:r>
    </w:p>
    <w:p w14:paraId="08D114CA" w14:textId="3FD9DFAE" w:rsidR="00A015ED" w:rsidRPr="001A77B7" w:rsidRDefault="007E2115" w:rsidP="007E2115">
      <w:pPr>
        <w:pStyle w:val="LegalNormal"/>
        <w:tabs>
          <w:tab w:val="left" w:pos="927"/>
        </w:tabs>
        <w:ind w:left="927" w:hanging="567"/>
        <w:rPr>
          <w:lang w:val="en-US"/>
        </w:rPr>
      </w:pPr>
      <w:r w:rsidRPr="001A77B7">
        <w:rPr>
          <w:sz w:val="28"/>
          <w:szCs w:val="28"/>
          <w:lang w:val="en-US"/>
        </w:rPr>
        <w:t>[9]</w:t>
      </w:r>
      <w:r w:rsidRPr="001A77B7">
        <w:rPr>
          <w:sz w:val="28"/>
          <w:szCs w:val="28"/>
          <w:lang w:val="en-US"/>
        </w:rPr>
        <w:tab/>
      </w:r>
      <w:r w:rsidR="00A015ED" w:rsidRPr="00A015ED">
        <w:t>Moreover, certain of Professor Harris'</w:t>
      </w:r>
      <w:r w:rsidR="005C7442">
        <w:t xml:space="preserve">s </w:t>
      </w:r>
      <w:r w:rsidR="00C83DD3">
        <w:t>“</w:t>
      </w:r>
      <w:r w:rsidR="00A015ED" w:rsidRPr="00A015ED">
        <w:t>factual</w:t>
      </w:r>
      <w:r w:rsidR="00C83DD3">
        <w:t>”</w:t>
      </w:r>
      <w:r w:rsidR="00A015ED" w:rsidRPr="00A015ED">
        <w:t xml:space="preserve"> assertions are unfounded and plainly incorrect and therefore required a response from JDG, which was now faced with the incorrect factual averments for the first time. On that basis, JDG proceeded to respond to the report delivered by Professor Harris. It did so by the delivery of the affidavit of Mr Charl </w:t>
      </w:r>
      <w:r w:rsidR="00C83DD3" w:rsidRPr="00A015ED">
        <w:t>van</w:t>
      </w:r>
      <w:r w:rsidR="00A015ED" w:rsidRPr="00A015ED">
        <w:t xml:space="preserve"> Der Walt in which he, on behalf of JDG, responded to certain factual allegations (and assumptions) contained in Prof Harris'</w:t>
      </w:r>
      <w:r w:rsidR="00C83DD3">
        <w:t>s</w:t>
      </w:r>
      <w:r w:rsidR="002E1AF2">
        <w:t xml:space="preserve"> r</w:t>
      </w:r>
      <w:r w:rsidR="00A015ED" w:rsidRPr="00A015ED">
        <w:t xml:space="preserve">eport. Attached to Mr Van Der Walt's affidavit is the affidavit (and report) of Mr Alexander Roux (the head of the Actuarial Control Function, Abacus Life Limited) who dealt with the </w:t>
      </w:r>
      <w:r w:rsidR="00A015ED" w:rsidRPr="002530CE">
        <w:rPr>
          <w:i/>
          <w:iCs/>
        </w:rPr>
        <w:t>actuarial assumptions</w:t>
      </w:r>
      <w:r w:rsidR="00A015ED" w:rsidRPr="00A015ED">
        <w:t xml:space="preserve"> and arguments raised in Prof </w:t>
      </w:r>
      <w:r w:rsidR="002E1AF2" w:rsidRPr="00A015ED">
        <w:t>Harris’</w:t>
      </w:r>
      <w:r w:rsidR="002E1AF2">
        <w:t>s</w:t>
      </w:r>
      <w:r w:rsidR="002E1AF2" w:rsidRPr="00A015ED">
        <w:t xml:space="preserve"> </w:t>
      </w:r>
      <w:r w:rsidR="002E1AF2">
        <w:t>re</w:t>
      </w:r>
      <w:r w:rsidR="002E1AF2" w:rsidRPr="00A015ED">
        <w:t>port</w:t>
      </w:r>
      <w:r w:rsidR="00A015ED" w:rsidRPr="00A015ED">
        <w:t>.</w:t>
      </w:r>
    </w:p>
    <w:p w14:paraId="0803D5C1" w14:textId="5926C82A" w:rsidR="001A77B7" w:rsidRPr="00FC59E1" w:rsidRDefault="007E2115" w:rsidP="007E2115">
      <w:pPr>
        <w:pStyle w:val="LegalNormal"/>
        <w:ind w:left="720" w:hanging="360"/>
        <w:rPr>
          <w:b/>
          <w:bCs/>
          <w:lang w:val="en-US"/>
        </w:rPr>
      </w:pPr>
      <w:r w:rsidRPr="00FC59E1">
        <w:rPr>
          <w:b/>
          <w:bCs/>
          <w:lang w:val="en-US"/>
        </w:rPr>
        <w:lastRenderedPageBreak/>
        <w:t>C.</w:t>
      </w:r>
      <w:r w:rsidRPr="00FC59E1">
        <w:rPr>
          <w:b/>
          <w:bCs/>
          <w:lang w:val="en-US"/>
        </w:rPr>
        <w:tab/>
      </w:r>
      <w:r w:rsidR="007B672F" w:rsidRPr="00FC59E1">
        <w:rPr>
          <w:b/>
          <w:bCs/>
          <w:lang w:val="en-US"/>
        </w:rPr>
        <w:t>THE ISSUES IN DISPUTE</w:t>
      </w:r>
    </w:p>
    <w:p w14:paraId="6A01F081" w14:textId="3AFEB9B2" w:rsidR="00E75AA3" w:rsidRPr="008F6EBE" w:rsidRDefault="007E2115" w:rsidP="007E2115">
      <w:pPr>
        <w:pStyle w:val="LegalNormal"/>
        <w:tabs>
          <w:tab w:val="left" w:pos="927"/>
        </w:tabs>
        <w:ind w:left="927" w:hanging="567"/>
        <w:rPr>
          <w:lang w:val="en-US"/>
        </w:rPr>
      </w:pPr>
      <w:r w:rsidRPr="008F6EBE">
        <w:rPr>
          <w:sz w:val="28"/>
          <w:szCs w:val="28"/>
          <w:lang w:val="en-US"/>
        </w:rPr>
        <w:t>[10]</w:t>
      </w:r>
      <w:r w:rsidRPr="008F6EBE">
        <w:rPr>
          <w:sz w:val="28"/>
          <w:szCs w:val="28"/>
          <w:lang w:val="en-US"/>
        </w:rPr>
        <w:tab/>
      </w:r>
      <w:r w:rsidR="00E4130C" w:rsidRPr="00E4130C">
        <w:t>The delivery of the purported "Replying Affidavit" is the subject of the notice in terms of Uniform Rule 30(2)(b) (</w:t>
      </w:r>
      <w:r w:rsidR="008F6EBE">
        <w:t>“</w:t>
      </w:r>
      <w:r w:rsidR="00E4130C" w:rsidRPr="00E4130C">
        <w:t>the Notice</w:t>
      </w:r>
      <w:r w:rsidR="008F6EBE" w:rsidRPr="00E4130C">
        <w:t>”)</w:t>
      </w:r>
      <w:r w:rsidR="00E4130C" w:rsidRPr="00E4130C">
        <w:t xml:space="preserve"> and ultimately the present application.</w:t>
      </w:r>
    </w:p>
    <w:p w14:paraId="57B72572" w14:textId="50C1EF1B" w:rsidR="008F6EBE" w:rsidRPr="00AA3E59" w:rsidRDefault="007E2115" w:rsidP="007E2115">
      <w:pPr>
        <w:pStyle w:val="LegalNormal"/>
        <w:tabs>
          <w:tab w:val="left" w:pos="927"/>
        </w:tabs>
        <w:ind w:left="927" w:hanging="567"/>
        <w:rPr>
          <w:lang w:val="en-US"/>
        </w:rPr>
      </w:pPr>
      <w:r w:rsidRPr="00AA3E59">
        <w:rPr>
          <w:sz w:val="28"/>
          <w:szCs w:val="28"/>
          <w:lang w:val="en-US"/>
        </w:rPr>
        <w:t>[11]</w:t>
      </w:r>
      <w:r w:rsidRPr="00AA3E59">
        <w:rPr>
          <w:sz w:val="28"/>
          <w:szCs w:val="28"/>
          <w:lang w:val="en-US"/>
        </w:rPr>
        <w:tab/>
      </w:r>
      <w:r w:rsidR="008F6EBE" w:rsidRPr="008F6EBE">
        <w:t xml:space="preserve">The BST alleges that its entitlement to deliver the Replying Affidavit arises </w:t>
      </w:r>
      <w:r w:rsidR="00AA3E59">
        <w:t>“</w:t>
      </w:r>
      <w:r w:rsidR="008F6EBE" w:rsidRPr="008F6EBE">
        <w:t>by operation of law</w:t>
      </w:r>
      <w:r w:rsidR="00AA3E59">
        <w:t>”</w:t>
      </w:r>
      <w:r w:rsidR="008F6EBE" w:rsidRPr="008F6EBE">
        <w:t>. In addition, the BST contends that the Court which should make the determination of the admissibility of the Replying Affidavit is the appeal Court itself.</w:t>
      </w:r>
    </w:p>
    <w:p w14:paraId="5E01862C" w14:textId="5B93D0E6" w:rsidR="00AA3E59" w:rsidRPr="001C0953" w:rsidRDefault="007E2115" w:rsidP="007E2115">
      <w:pPr>
        <w:pStyle w:val="LegalNormal"/>
        <w:tabs>
          <w:tab w:val="left" w:pos="927"/>
        </w:tabs>
        <w:ind w:left="927" w:hanging="567"/>
        <w:rPr>
          <w:lang w:val="en-US"/>
        </w:rPr>
      </w:pPr>
      <w:r w:rsidRPr="001C0953">
        <w:rPr>
          <w:sz w:val="28"/>
          <w:szCs w:val="28"/>
          <w:lang w:val="en-US"/>
        </w:rPr>
        <w:t>[12]</w:t>
      </w:r>
      <w:r w:rsidRPr="001C0953">
        <w:rPr>
          <w:sz w:val="28"/>
          <w:szCs w:val="28"/>
          <w:lang w:val="en-US"/>
        </w:rPr>
        <w:tab/>
      </w:r>
      <w:r w:rsidR="001C0953" w:rsidRPr="001C0953">
        <w:t xml:space="preserve">The Applicant contends that the delivery of the Replying Affidavit constitutes an irregular </w:t>
      </w:r>
      <w:r w:rsidR="000700A3" w:rsidRPr="001C0953">
        <w:t>step,</w:t>
      </w:r>
      <w:r w:rsidR="001C0953" w:rsidRPr="001C0953">
        <w:t xml:space="preserve"> and that the BST is not permitted to deliver such additional evidence either in terms of Mia J's order, or by "operation of law".</w:t>
      </w:r>
    </w:p>
    <w:p w14:paraId="4287AC7A" w14:textId="617834F0" w:rsidR="001C0953" w:rsidRDefault="007E2115" w:rsidP="007E2115">
      <w:pPr>
        <w:pStyle w:val="LegalNormal"/>
        <w:tabs>
          <w:tab w:val="left" w:pos="927"/>
        </w:tabs>
        <w:ind w:left="927" w:hanging="567"/>
        <w:rPr>
          <w:lang w:val="en-US"/>
        </w:rPr>
      </w:pPr>
      <w:r>
        <w:rPr>
          <w:sz w:val="28"/>
          <w:szCs w:val="28"/>
          <w:lang w:val="en-US"/>
        </w:rPr>
        <w:t>[13]</w:t>
      </w:r>
      <w:r>
        <w:rPr>
          <w:sz w:val="28"/>
          <w:szCs w:val="28"/>
          <w:lang w:val="en-US"/>
        </w:rPr>
        <w:tab/>
      </w:r>
      <w:r w:rsidR="000B5DCB" w:rsidRPr="000B5DCB">
        <w:t>In the circumstances, the Applicant seeks to have the "Replying Affidavit" struck from the appeal record so that the appeal can be finalized in an orderly manner.</w:t>
      </w:r>
    </w:p>
    <w:p w14:paraId="7EDEB011" w14:textId="502974F1" w:rsidR="000700A3" w:rsidRPr="00E668FE" w:rsidRDefault="007E2115" w:rsidP="007E2115">
      <w:pPr>
        <w:pStyle w:val="LegalNormal"/>
        <w:ind w:left="720" w:hanging="360"/>
        <w:rPr>
          <w:b/>
          <w:bCs/>
          <w:lang w:val="en-US"/>
        </w:rPr>
      </w:pPr>
      <w:r w:rsidRPr="00E668FE">
        <w:rPr>
          <w:b/>
          <w:bCs/>
          <w:lang w:val="en-US"/>
        </w:rPr>
        <w:t>D.</w:t>
      </w:r>
      <w:r w:rsidRPr="00E668FE">
        <w:rPr>
          <w:b/>
          <w:bCs/>
          <w:lang w:val="en-US"/>
        </w:rPr>
        <w:tab/>
      </w:r>
      <w:r w:rsidR="00E668FE" w:rsidRPr="00E668FE">
        <w:rPr>
          <w:b/>
          <w:bCs/>
          <w:lang w:val="en-US"/>
        </w:rPr>
        <w:t>APPLICABLE LEGAL PRINCIPLES</w:t>
      </w:r>
    </w:p>
    <w:p w14:paraId="5F278870" w14:textId="15D965F7" w:rsidR="00E668FE" w:rsidRDefault="007E2115" w:rsidP="007E2115">
      <w:pPr>
        <w:pStyle w:val="LegalNormal"/>
        <w:tabs>
          <w:tab w:val="left" w:pos="927"/>
        </w:tabs>
        <w:ind w:left="927" w:hanging="567"/>
        <w:rPr>
          <w:lang w:val="en-US"/>
        </w:rPr>
      </w:pPr>
      <w:r>
        <w:rPr>
          <w:sz w:val="28"/>
          <w:szCs w:val="28"/>
          <w:lang w:val="en-US"/>
        </w:rPr>
        <w:t>[14]</w:t>
      </w:r>
      <w:r>
        <w:rPr>
          <w:sz w:val="28"/>
          <w:szCs w:val="28"/>
          <w:lang w:val="en-US"/>
        </w:rPr>
        <w:tab/>
      </w:r>
      <w:r w:rsidR="006465DB">
        <w:rPr>
          <w:lang w:val="en-US"/>
        </w:rPr>
        <w:t xml:space="preserve">The starting point </w:t>
      </w:r>
      <w:r w:rsidR="00775990">
        <w:rPr>
          <w:lang w:val="en-US"/>
        </w:rPr>
        <w:t>should be Rule 1</w:t>
      </w:r>
      <w:r w:rsidR="00D63AE1">
        <w:rPr>
          <w:lang w:val="en-US"/>
        </w:rPr>
        <w:t>6</w:t>
      </w:r>
      <w:r w:rsidR="00775990">
        <w:rPr>
          <w:lang w:val="en-US"/>
        </w:rPr>
        <w:t xml:space="preserve">A in terms </w:t>
      </w:r>
      <w:r w:rsidR="006E00F4">
        <w:rPr>
          <w:lang w:val="en-US"/>
        </w:rPr>
        <w:t xml:space="preserve">of </w:t>
      </w:r>
      <w:r w:rsidR="00775990">
        <w:rPr>
          <w:lang w:val="en-US"/>
        </w:rPr>
        <w:t>wh</w:t>
      </w:r>
      <w:r w:rsidR="006E00F4">
        <w:rPr>
          <w:lang w:val="en-US"/>
        </w:rPr>
        <w:t>ich</w:t>
      </w:r>
      <w:r w:rsidR="00775990">
        <w:rPr>
          <w:lang w:val="en-US"/>
        </w:rPr>
        <w:t xml:space="preserve"> the </w:t>
      </w:r>
      <w:r w:rsidR="00775990" w:rsidRPr="006E00F4">
        <w:rPr>
          <w:i/>
          <w:iCs/>
          <w:lang w:val="en-US"/>
        </w:rPr>
        <w:t>amic</w:t>
      </w:r>
      <w:r w:rsidR="006E00F4">
        <w:rPr>
          <w:i/>
          <w:iCs/>
          <w:lang w:val="en-US"/>
        </w:rPr>
        <w:t>i</w:t>
      </w:r>
      <w:r w:rsidR="00775990" w:rsidRPr="006E00F4">
        <w:rPr>
          <w:i/>
          <w:iCs/>
          <w:lang w:val="en-US"/>
        </w:rPr>
        <w:t xml:space="preserve"> curiae</w:t>
      </w:r>
      <w:r w:rsidR="00775990">
        <w:rPr>
          <w:lang w:val="en-US"/>
        </w:rPr>
        <w:t xml:space="preserve"> </w:t>
      </w:r>
      <w:r w:rsidR="006E00F4">
        <w:rPr>
          <w:lang w:val="en-US"/>
        </w:rPr>
        <w:t>get</w:t>
      </w:r>
      <w:r w:rsidR="00DC62A1">
        <w:rPr>
          <w:lang w:val="en-US"/>
        </w:rPr>
        <w:t xml:space="preserve"> appointed as well as applicable </w:t>
      </w:r>
      <w:r w:rsidR="00A559D3">
        <w:rPr>
          <w:lang w:val="en-US"/>
        </w:rPr>
        <w:t>case law</w:t>
      </w:r>
      <w:r w:rsidR="00ED3EC8">
        <w:rPr>
          <w:lang w:val="en-US"/>
        </w:rPr>
        <w:t>.</w:t>
      </w:r>
    </w:p>
    <w:p w14:paraId="185D6D45" w14:textId="21AD711F" w:rsidR="00D63AE1" w:rsidRPr="00D63AE1" w:rsidRDefault="007E2115" w:rsidP="007E2115">
      <w:pPr>
        <w:pStyle w:val="LegalNormal"/>
        <w:tabs>
          <w:tab w:val="left" w:pos="927"/>
        </w:tabs>
        <w:ind w:left="927" w:hanging="567"/>
        <w:rPr>
          <w:lang w:val="en-US"/>
        </w:rPr>
      </w:pPr>
      <w:r w:rsidRPr="00D63AE1">
        <w:rPr>
          <w:sz w:val="28"/>
          <w:szCs w:val="28"/>
          <w:lang w:val="en-US"/>
        </w:rPr>
        <w:lastRenderedPageBreak/>
        <w:t>[15]</w:t>
      </w:r>
      <w:r w:rsidRPr="00D63AE1">
        <w:rPr>
          <w:sz w:val="28"/>
          <w:szCs w:val="28"/>
          <w:lang w:val="en-US"/>
        </w:rPr>
        <w:tab/>
      </w:r>
      <w:r w:rsidR="00D63AE1" w:rsidRPr="00D63AE1">
        <w:rPr>
          <w:lang w:val="en-US"/>
        </w:rPr>
        <w:t xml:space="preserve">In </w:t>
      </w:r>
      <w:r w:rsidR="00D63AE1" w:rsidRPr="00A559D3">
        <w:rPr>
          <w:i/>
          <w:iCs/>
          <w:lang w:val="en-US"/>
        </w:rPr>
        <w:t>Hoffmann v South African Airways</w:t>
      </w:r>
      <w:r w:rsidR="00A559D3">
        <w:rPr>
          <w:rStyle w:val="FootnoteReference"/>
          <w:i/>
          <w:iCs/>
          <w:lang w:val="en-US"/>
        </w:rPr>
        <w:footnoteReference w:id="1"/>
      </w:r>
      <w:r w:rsidR="00D63AE1" w:rsidRPr="00D63AE1">
        <w:rPr>
          <w:lang w:val="en-US"/>
        </w:rPr>
        <w:t xml:space="preserve"> the Constitutional Court framed the role and status of an amicus curiae as follows:</w:t>
      </w:r>
    </w:p>
    <w:p w14:paraId="7C03F53D" w14:textId="43730BCC" w:rsidR="00D63AE1" w:rsidRDefault="00D63AE1" w:rsidP="00205B4F">
      <w:pPr>
        <w:pStyle w:val="LegalNormal"/>
        <w:ind w:left="1440"/>
        <w:rPr>
          <w:lang w:val="en-US"/>
        </w:rPr>
      </w:pPr>
      <w:r>
        <w:rPr>
          <w:lang w:val="en-US"/>
        </w:rPr>
        <w:t>“</w:t>
      </w:r>
      <w:r w:rsidRPr="00D63AE1">
        <w:rPr>
          <w:lang w:val="en-US"/>
        </w:rPr>
        <w:t xml:space="preserve">An </w:t>
      </w:r>
      <w:r w:rsidRPr="00D63AE1">
        <w:rPr>
          <w:i/>
          <w:iCs/>
          <w:lang w:val="en-US"/>
        </w:rPr>
        <w:t>amicus curiae</w:t>
      </w:r>
      <w:r w:rsidRPr="00D63AE1">
        <w:rPr>
          <w:lang w:val="en-US"/>
        </w:rPr>
        <w:t xml:space="preserve"> assists the Court by furnishing information or argument regarding questions of law or fact. An amicus is not a party to </w:t>
      </w:r>
      <w:r w:rsidR="00C333A4" w:rsidRPr="00D63AE1">
        <w:rPr>
          <w:lang w:val="en-US"/>
        </w:rPr>
        <w:t>litigation but</w:t>
      </w:r>
      <w:r w:rsidRPr="00D63AE1">
        <w:rPr>
          <w:lang w:val="en-US"/>
        </w:rPr>
        <w:t xml:space="preserve"> believes that the Court’s decision may affect its interest. The amicus differs from an intervening party, who has a direct interest in the outcome of the litigation and is therefore permitted to participate as a party to the matter. An amicus joins proceedings, as its name suggests, as a friend of the Court. It is unlike a party to litigation who is forced into the litigation and thus compelled to incur costs. It joins in the proceedings to assist the Court because of its expertise on or interest in the matter before the Court. It chooses the side it wishes to join unless requested by the Court to urge a particular position.</w:t>
      </w:r>
      <w:r>
        <w:rPr>
          <w:lang w:val="en-US"/>
        </w:rPr>
        <w:t>”</w:t>
      </w:r>
      <w:r w:rsidR="003F3117">
        <w:rPr>
          <w:rStyle w:val="FootnoteReference"/>
          <w:lang w:val="en-US"/>
        </w:rPr>
        <w:footnoteReference w:id="2"/>
      </w:r>
    </w:p>
    <w:p w14:paraId="17006966" w14:textId="57097A80" w:rsidR="00ED3EC8" w:rsidRDefault="007E2115" w:rsidP="007E2115">
      <w:pPr>
        <w:pStyle w:val="LegalNormal"/>
        <w:tabs>
          <w:tab w:val="left" w:pos="927"/>
        </w:tabs>
        <w:ind w:left="927" w:hanging="567"/>
        <w:rPr>
          <w:lang w:val="en-US"/>
        </w:rPr>
      </w:pPr>
      <w:r>
        <w:rPr>
          <w:sz w:val="28"/>
          <w:szCs w:val="28"/>
          <w:lang w:val="en-US"/>
        </w:rPr>
        <w:t>[16]</w:t>
      </w:r>
      <w:r>
        <w:rPr>
          <w:sz w:val="28"/>
          <w:szCs w:val="28"/>
          <w:lang w:val="en-US"/>
        </w:rPr>
        <w:tab/>
      </w:r>
      <w:r w:rsidR="002E2EA9">
        <w:rPr>
          <w:lang w:val="en-US"/>
        </w:rPr>
        <w:t xml:space="preserve">The applicant has already been admitted as an amicus </w:t>
      </w:r>
      <w:r w:rsidR="00757EF5">
        <w:rPr>
          <w:lang w:val="en-US"/>
        </w:rPr>
        <w:t>by the order of Mia J.</w:t>
      </w:r>
    </w:p>
    <w:p w14:paraId="6F54FDF5" w14:textId="73567668" w:rsidR="00297CB0" w:rsidRDefault="007E2115" w:rsidP="007E2115">
      <w:pPr>
        <w:pStyle w:val="LegalNormal"/>
        <w:tabs>
          <w:tab w:val="left" w:pos="927"/>
        </w:tabs>
        <w:ind w:left="927" w:hanging="567"/>
        <w:rPr>
          <w:lang w:val="en-US"/>
        </w:rPr>
      </w:pPr>
      <w:r>
        <w:rPr>
          <w:sz w:val="28"/>
          <w:szCs w:val="28"/>
          <w:lang w:val="en-US"/>
        </w:rPr>
        <w:lastRenderedPageBreak/>
        <w:t>[17]</w:t>
      </w:r>
      <w:r>
        <w:rPr>
          <w:sz w:val="28"/>
          <w:szCs w:val="28"/>
          <w:lang w:val="en-US"/>
        </w:rPr>
        <w:tab/>
      </w:r>
      <w:r w:rsidR="00757EF5">
        <w:rPr>
          <w:lang w:val="en-US"/>
        </w:rPr>
        <w:t xml:space="preserve">The respondent </w:t>
      </w:r>
      <w:r w:rsidR="00012179">
        <w:rPr>
          <w:lang w:val="en-US"/>
        </w:rPr>
        <w:t>alleges</w:t>
      </w:r>
      <w:r w:rsidR="00757EF5">
        <w:rPr>
          <w:lang w:val="en-US"/>
        </w:rPr>
        <w:t xml:space="preserve"> that </w:t>
      </w:r>
      <w:r w:rsidR="00004E9D">
        <w:rPr>
          <w:lang w:val="en-US"/>
        </w:rPr>
        <w:t xml:space="preserve">the applicant is bringing new </w:t>
      </w:r>
      <w:r w:rsidR="00806373">
        <w:rPr>
          <w:lang w:val="en-US"/>
        </w:rPr>
        <w:t>evidence on appeal and that this is an irregular step</w:t>
      </w:r>
      <w:r w:rsidR="00F6610D">
        <w:rPr>
          <w:lang w:val="en-US"/>
        </w:rPr>
        <w:t xml:space="preserve"> as contemplated in Rule 30 in the context of the applicant </w:t>
      </w:r>
      <w:r w:rsidR="008D55FF">
        <w:rPr>
          <w:lang w:val="en-US"/>
        </w:rPr>
        <w:t xml:space="preserve">insisting on the delivery of a “Replying </w:t>
      </w:r>
      <w:r w:rsidR="00012179">
        <w:rPr>
          <w:lang w:val="en-US"/>
        </w:rPr>
        <w:t>Affidavit”.</w:t>
      </w:r>
    </w:p>
    <w:p w14:paraId="422EBF04" w14:textId="690B58B1" w:rsidR="00012179" w:rsidRPr="003836F3" w:rsidRDefault="007E2115" w:rsidP="007E2115">
      <w:pPr>
        <w:pStyle w:val="LegalNormal"/>
        <w:ind w:left="720" w:hanging="360"/>
        <w:rPr>
          <w:b/>
          <w:bCs/>
          <w:lang w:val="en-US"/>
        </w:rPr>
      </w:pPr>
      <w:r w:rsidRPr="003836F3">
        <w:rPr>
          <w:b/>
          <w:bCs/>
          <w:lang w:val="en-US"/>
        </w:rPr>
        <w:t>E.</w:t>
      </w:r>
      <w:r w:rsidRPr="003836F3">
        <w:rPr>
          <w:b/>
          <w:bCs/>
          <w:lang w:val="en-US"/>
        </w:rPr>
        <w:tab/>
      </w:r>
      <w:r w:rsidR="003836F3" w:rsidRPr="003836F3">
        <w:rPr>
          <w:b/>
          <w:bCs/>
          <w:lang w:val="en-US"/>
        </w:rPr>
        <w:t>BACKGROUND AND CHRONOLOGY</w:t>
      </w:r>
    </w:p>
    <w:p w14:paraId="20D35416" w14:textId="7AB76785" w:rsidR="004D2D79" w:rsidRPr="004D2D79" w:rsidRDefault="007E2115" w:rsidP="007E2115">
      <w:pPr>
        <w:pStyle w:val="LegalNormal"/>
        <w:tabs>
          <w:tab w:val="left" w:pos="927"/>
        </w:tabs>
        <w:ind w:left="927" w:hanging="567"/>
        <w:rPr>
          <w:lang w:val="en-US"/>
        </w:rPr>
      </w:pPr>
      <w:r w:rsidRPr="004D2D79">
        <w:rPr>
          <w:sz w:val="28"/>
          <w:szCs w:val="28"/>
          <w:lang w:val="en-US"/>
        </w:rPr>
        <w:t>[18]</w:t>
      </w:r>
      <w:r w:rsidRPr="004D2D79">
        <w:rPr>
          <w:sz w:val="28"/>
          <w:szCs w:val="28"/>
          <w:lang w:val="en-US"/>
        </w:rPr>
        <w:tab/>
      </w:r>
      <w:r w:rsidR="004D2D79" w:rsidRPr="004D2D79">
        <w:t xml:space="preserve">This application arises in the context of an appeal which the National Credit Regulator ("the NCR") wishes to prosecute against JDG in terms of section 148 of the National Credit Act, 34 of 2005 ("the NCA"). </w:t>
      </w:r>
    </w:p>
    <w:p w14:paraId="70D48581" w14:textId="0466E6F8" w:rsidR="00012179" w:rsidRPr="00A44FCA" w:rsidRDefault="007E2115" w:rsidP="007E2115">
      <w:pPr>
        <w:pStyle w:val="LegalNormal"/>
        <w:tabs>
          <w:tab w:val="left" w:pos="927"/>
        </w:tabs>
        <w:ind w:left="927" w:hanging="567"/>
        <w:rPr>
          <w:lang w:val="en-US"/>
        </w:rPr>
      </w:pPr>
      <w:r w:rsidRPr="00A44FCA">
        <w:rPr>
          <w:sz w:val="28"/>
          <w:szCs w:val="28"/>
          <w:lang w:val="en-US"/>
        </w:rPr>
        <w:t>[19]</w:t>
      </w:r>
      <w:r w:rsidRPr="00A44FCA">
        <w:rPr>
          <w:sz w:val="28"/>
          <w:szCs w:val="28"/>
          <w:lang w:val="en-US"/>
        </w:rPr>
        <w:tab/>
      </w:r>
      <w:r w:rsidR="004D2D79" w:rsidRPr="004D2D79">
        <w:t>Section 148 allows the NCR to prosecute an appeal against the decisions of the Tribunal as of right and without first seeking leave to do so</w:t>
      </w:r>
      <w:r w:rsidR="0080039C">
        <w:rPr>
          <w:rStyle w:val="FootnoteReference"/>
        </w:rPr>
        <w:footnoteReference w:id="3"/>
      </w:r>
      <w:r w:rsidR="004D2D79" w:rsidRPr="004D2D79">
        <w:t>.</w:t>
      </w:r>
    </w:p>
    <w:p w14:paraId="4953445D" w14:textId="07A5F2F9" w:rsidR="00A44FCA" w:rsidRPr="000D4A13" w:rsidRDefault="007E2115" w:rsidP="007E2115">
      <w:pPr>
        <w:pStyle w:val="LegalNormal"/>
        <w:tabs>
          <w:tab w:val="left" w:pos="927"/>
        </w:tabs>
        <w:ind w:left="927" w:hanging="567"/>
        <w:rPr>
          <w:lang w:val="en-US"/>
        </w:rPr>
      </w:pPr>
      <w:r w:rsidRPr="000D4A13">
        <w:rPr>
          <w:sz w:val="28"/>
          <w:szCs w:val="28"/>
          <w:lang w:val="en-US"/>
        </w:rPr>
        <w:t>[20]</w:t>
      </w:r>
      <w:r w:rsidRPr="000D4A13">
        <w:rPr>
          <w:sz w:val="28"/>
          <w:szCs w:val="28"/>
          <w:lang w:val="en-US"/>
        </w:rPr>
        <w:tab/>
      </w:r>
      <w:r w:rsidR="00A44FCA">
        <w:t xml:space="preserve">This is of some </w:t>
      </w:r>
      <w:r w:rsidR="00AF1088" w:rsidRPr="00AF1088">
        <w:t xml:space="preserve">relevance, since neither the Tribunal nor any Court has determined that there are any prospects of success of overturning the Tribunal's determination. JDG is of the view that there are no prospects of success on appeal and is prejudiced by the protracted appeal process, which is occasioned in the main by the efforts of the </w:t>
      </w:r>
      <w:r w:rsidR="00AF1088" w:rsidRPr="008623F1">
        <w:rPr>
          <w:i/>
          <w:iCs/>
        </w:rPr>
        <w:t>amicus</w:t>
      </w:r>
      <w:r w:rsidR="00AF1088" w:rsidRPr="00AF1088">
        <w:t xml:space="preserve"> to participate in the appeal on the basis of entirely new evidence and on grounds never advanced by the NCR.</w:t>
      </w:r>
    </w:p>
    <w:p w14:paraId="6E394F2A" w14:textId="14D69885" w:rsidR="000D4A13" w:rsidRDefault="007E2115" w:rsidP="007E2115">
      <w:pPr>
        <w:pStyle w:val="LegalNormal"/>
        <w:tabs>
          <w:tab w:val="left" w:pos="927"/>
        </w:tabs>
        <w:ind w:left="927" w:hanging="567"/>
        <w:rPr>
          <w:lang w:val="en-US"/>
        </w:rPr>
      </w:pPr>
      <w:r>
        <w:rPr>
          <w:sz w:val="28"/>
          <w:szCs w:val="28"/>
          <w:lang w:val="en-US"/>
        </w:rPr>
        <w:lastRenderedPageBreak/>
        <w:t>[21]</w:t>
      </w:r>
      <w:r>
        <w:rPr>
          <w:sz w:val="28"/>
          <w:szCs w:val="28"/>
          <w:lang w:val="en-US"/>
        </w:rPr>
        <w:tab/>
      </w:r>
      <w:r w:rsidR="003C0626" w:rsidRPr="003C0626">
        <w:rPr>
          <w:lang w:val="en-US"/>
        </w:rPr>
        <w:t>The respondent having crossed the first</w:t>
      </w:r>
      <w:r w:rsidR="004F5244" w:rsidRPr="004F5244">
        <w:rPr>
          <w:lang w:val="en-US"/>
        </w:rPr>
        <w:t xml:space="preserve"> and the main hurdle of gaining admission as an </w:t>
      </w:r>
      <w:r w:rsidR="004F5244" w:rsidRPr="00205B4F">
        <w:rPr>
          <w:i/>
          <w:lang w:val="en-US"/>
        </w:rPr>
        <w:t>amicus</w:t>
      </w:r>
      <w:r w:rsidR="004F5244" w:rsidRPr="004F5244">
        <w:rPr>
          <w:lang w:val="en-US"/>
        </w:rPr>
        <w:t xml:space="preserve"> should be permitted</w:t>
      </w:r>
      <w:r w:rsidR="004F5244">
        <w:rPr>
          <w:lang w:val="en-US"/>
        </w:rPr>
        <w:t xml:space="preserve"> </w:t>
      </w:r>
      <w:r w:rsidR="004F5244" w:rsidRPr="004F5244">
        <w:rPr>
          <w:lang w:val="en-US"/>
        </w:rPr>
        <w:t>to make it</w:t>
      </w:r>
      <w:r w:rsidR="00596747">
        <w:rPr>
          <w:lang w:val="en-US"/>
        </w:rPr>
        <w:t>s</w:t>
      </w:r>
      <w:r w:rsidR="004F5244" w:rsidRPr="004F5244">
        <w:rPr>
          <w:lang w:val="en-US"/>
        </w:rPr>
        <w:t xml:space="preserve"> submissions as envisaged in Rule 16A</w:t>
      </w:r>
      <w:r w:rsidR="00596747">
        <w:rPr>
          <w:lang w:val="en-US"/>
        </w:rPr>
        <w:t>.</w:t>
      </w:r>
    </w:p>
    <w:p w14:paraId="60F8A168" w14:textId="04A3A3FB" w:rsidR="000165BA" w:rsidRDefault="007E2115" w:rsidP="007E2115">
      <w:pPr>
        <w:pStyle w:val="LegalNormal"/>
        <w:tabs>
          <w:tab w:val="left" w:pos="927"/>
        </w:tabs>
        <w:ind w:left="927" w:hanging="567"/>
        <w:rPr>
          <w:lang w:val="en-US"/>
        </w:rPr>
      </w:pPr>
      <w:r>
        <w:rPr>
          <w:sz w:val="28"/>
          <w:szCs w:val="28"/>
          <w:lang w:val="en-US"/>
        </w:rPr>
        <w:t>[22]</w:t>
      </w:r>
      <w:r>
        <w:rPr>
          <w:sz w:val="28"/>
          <w:szCs w:val="28"/>
          <w:lang w:val="en-US"/>
        </w:rPr>
        <w:tab/>
      </w:r>
      <w:r w:rsidR="00D9614D">
        <w:rPr>
          <w:lang w:val="en-US"/>
        </w:rPr>
        <w:t xml:space="preserve">This </w:t>
      </w:r>
      <w:r w:rsidR="00277F1A">
        <w:rPr>
          <w:lang w:val="en-US"/>
        </w:rPr>
        <w:t xml:space="preserve">opened the gate for the applicant to </w:t>
      </w:r>
      <w:r w:rsidR="00A815AE">
        <w:rPr>
          <w:lang w:val="en-US"/>
        </w:rPr>
        <w:t>make its submissions by way of affidavit</w:t>
      </w:r>
      <w:r w:rsidR="00EC7C3A">
        <w:rPr>
          <w:lang w:val="en-US"/>
        </w:rPr>
        <w:t xml:space="preserve"> before the appeal court</w:t>
      </w:r>
      <w:r w:rsidR="00C21C05">
        <w:rPr>
          <w:lang w:val="en-US"/>
        </w:rPr>
        <w:t>. It goes without saying that</w:t>
      </w:r>
      <w:r w:rsidR="00DE4879">
        <w:rPr>
          <w:lang w:val="en-US"/>
        </w:rPr>
        <w:t xml:space="preserve"> it is that court that is clothed with the capacity to determine</w:t>
      </w:r>
      <w:r w:rsidR="00DC2445">
        <w:rPr>
          <w:lang w:val="en-US"/>
        </w:rPr>
        <w:t xml:space="preserve"> whether the applicant has </w:t>
      </w:r>
      <w:r w:rsidR="00EB0F33">
        <w:rPr>
          <w:lang w:val="en-US"/>
        </w:rPr>
        <w:t>made all the necessary allegations</w:t>
      </w:r>
      <w:r w:rsidR="00E04EE5">
        <w:rPr>
          <w:lang w:val="en-US"/>
        </w:rPr>
        <w:t xml:space="preserve"> upon which it relies in its founding affidavit</w:t>
      </w:r>
      <w:r w:rsidR="00964610">
        <w:rPr>
          <w:lang w:val="en-US"/>
        </w:rPr>
        <w:t xml:space="preserve">, or if it should exercise its discretion </w:t>
      </w:r>
      <w:r w:rsidR="00891906">
        <w:rPr>
          <w:lang w:val="en-US"/>
        </w:rPr>
        <w:t xml:space="preserve">to allow new matter in a replying </w:t>
      </w:r>
      <w:r w:rsidR="00E64F16">
        <w:rPr>
          <w:lang w:val="en-US"/>
        </w:rPr>
        <w:t>affidavit.</w:t>
      </w:r>
    </w:p>
    <w:p w14:paraId="22A47578" w14:textId="1C4B024A" w:rsidR="007127E7" w:rsidRDefault="007E2115" w:rsidP="007E2115">
      <w:pPr>
        <w:pStyle w:val="LegalNormal"/>
        <w:tabs>
          <w:tab w:val="left" w:pos="927"/>
        </w:tabs>
        <w:ind w:left="927" w:hanging="567"/>
        <w:rPr>
          <w:lang w:val="en-US"/>
        </w:rPr>
      </w:pPr>
      <w:r>
        <w:rPr>
          <w:sz w:val="28"/>
          <w:szCs w:val="28"/>
          <w:lang w:val="en-US"/>
        </w:rPr>
        <w:t>[23]</w:t>
      </w:r>
      <w:r>
        <w:rPr>
          <w:sz w:val="28"/>
          <w:szCs w:val="28"/>
          <w:lang w:val="en-US"/>
        </w:rPr>
        <w:tab/>
      </w:r>
      <w:r w:rsidR="0087398B">
        <w:rPr>
          <w:lang w:val="en-US"/>
        </w:rPr>
        <w:t xml:space="preserve">It is trite that </w:t>
      </w:r>
      <w:r w:rsidR="00900920">
        <w:rPr>
          <w:lang w:val="en-US"/>
        </w:rPr>
        <w:t>a party must make out its case in motion proceedings in its founding</w:t>
      </w:r>
      <w:r w:rsidR="0063697A">
        <w:rPr>
          <w:lang w:val="en-US"/>
        </w:rPr>
        <w:t xml:space="preserve"> affidavit and that it will not generally be allowed to supplement</w:t>
      </w:r>
      <w:r w:rsidR="00C10D2C">
        <w:rPr>
          <w:lang w:val="en-US"/>
        </w:rPr>
        <w:t xml:space="preserve"> such case by adducing supporting facts</w:t>
      </w:r>
      <w:r w:rsidR="00EB0F33">
        <w:rPr>
          <w:lang w:val="en-US"/>
        </w:rPr>
        <w:t xml:space="preserve"> </w:t>
      </w:r>
      <w:r w:rsidR="0025754E">
        <w:rPr>
          <w:lang w:val="en-US"/>
        </w:rPr>
        <w:t>in its replying affidavit</w:t>
      </w:r>
      <w:r w:rsidR="000A17B2">
        <w:rPr>
          <w:lang w:val="en-US"/>
        </w:rPr>
        <w:t>.</w:t>
      </w:r>
      <w:r w:rsidR="00B2183C">
        <w:rPr>
          <w:lang w:val="en-US"/>
        </w:rPr>
        <w:t xml:space="preserve"> </w:t>
      </w:r>
      <w:r w:rsidR="000A17B2">
        <w:rPr>
          <w:lang w:val="en-US"/>
        </w:rPr>
        <w:t>I</w:t>
      </w:r>
      <w:r w:rsidR="00F56B62">
        <w:rPr>
          <w:lang w:val="en-US"/>
        </w:rPr>
        <w:t xml:space="preserve">n </w:t>
      </w:r>
      <w:r w:rsidR="00F56B62" w:rsidRPr="00E65628">
        <w:rPr>
          <w:i/>
          <w:iCs/>
          <w:lang w:val="en-US"/>
        </w:rPr>
        <w:t xml:space="preserve">Mostert and Others v </w:t>
      </w:r>
      <w:r w:rsidR="0074702C" w:rsidRPr="00E65628">
        <w:rPr>
          <w:i/>
          <w:iCs/>
          <w:lang w:val="en-US"/>
        </w:rPr>
        <w:t>FirstRand Bank t/a</w:t>
      </w:r>
      <w:r w:rsidR="00C27C95" w:rsidRPr="00E65628">
        <w:rPr>
          <w:i/>
          <w:iCs/>
          <w:lang w:val="en-US"/>
        </w:rPr>
        <w:t xml:space="preserve"> </w:t>
      </w:r>
      <w:r w:rsidR="0074702C" w:rsidRPr="00E65628">
        <w:rPr>
          <w:i/>
          <w:iCs/>
          <w:lang w:val="en-US"/>
        </w:rPr>
        <w:t>RMB Private Bank and Another</w:t>
      </w:r>
      <w:r w:rsidR="00C34CAA">
        <w:rPr>
          <w:rStyle w:val="FootnoteReference"/>
          <w:i/>
          <w:iCs/>
          <w:lang w:val="en-US"/>
        </w:rPr>
        <w:footnoteReference w:id="4"/>
      </w:r>
      <w:r w:rsidR="00C34CAA">
        <w:rPr>
          <w:i/>
          <w:iCs/>
          <w:lang w:val="en-US"/>
        </w:rPr>
        <w:t xml:space="preserve"> </w:t>
      </w:r>
      <w:r w:rsidR="000A17B2" w:rsidRPr="000A17B2">
        <w:rPr>
          <w:lang w:val="en-US"/>
        </w:rPr>
        <w:t xml:space="preserve"> </w:t>
      </w:r>
      <w:r w:rsidR="00E65628">
        <w:rPr>
          <w:lang w:val="en-US"/>
        </w:rPr>
        <w:t>t</w:t>
      </w:r>
      <w:r w:rsidR="000A17B2" w:rsidRPr="000A17B2">
        <w:rPr>
          <w:lang w:val="en-US"/>
        </w:rPr>
        <w:t>he Supreme Court of Appeal</w:t>
      </w:r>
      <w:r w:rsidR="00F46975">
        <w:rPr>
          <w:lang w:val="en-US"/>
        </w:rPr>
        <w:t xml:space="preserve"> reiterated </w:t>
      </w:r>
      <w:r w:rsidR="00921E2D">
        <w:rPr>
          <w:lang w:val="en-US"/>
        </w:rPr>
        <w:t xml:space="preserve">that, </w:t>
      </w:r>
    </w:p>
    <w:p w14:paraId="38888182" w14:textId="0EB075D0" w:rsidR="00D9614D" w:rsidRDefault="00921E2D" w:rsidP="009B2AE8">
      <w:pPr>
        <w:pStyle w:val="LegalNormal"/>
        <w:ind w:left="1440"/>
        <w:rPr>
          <w:lang w:val="en-US"/>
        </w:rPr>
      </w:pPr>
      <w:r w:rsidRPr="007127E7">
        <w:rPr>
          <w:i/>
          <w:iCs/>
          <w:lang w:val="en-US"/>
        </w:rPr>
        <w:t>“…This</w:t>
      </w:r>
      <w:r w:rsidR="00291776" w:rsidRPr="007127E7">
        <w:rPr>
          <w:i/>
          <w:iCs/>
          <w:lang w:val="en-US"/>
        </w:rPr>
        <w:t xml:space="preserve">, however, is not an </w:t>
      </w:r>
      <w:r w:rsidR="0045574B" w:rsidRPr="007127E7">
        <w:rPr>
          <w:i/>
          <w:iCs/>
          <w:lang w:val="en-US"/>
        </w:rPr>
        <w:t>absolute rule. A court may in the exercise of its discretion in ex</w:t>
      </w:r>
      <w:r w:rsidR="00F072FD" w:rsidRPr="007127E7">
        <w:rPr>
          <w:i/>
          <w:iCs/>
          <w:lang w:val="en-US"/>
        </w:rPr>
        <w:t>c</w:t>
      </w:r>
      <w:r w:rsidR="0045574B" w:rsidRPr="007127E7">
        <w:rPr>
          <w:i/>
          <w:iCs/>
          <w:lang w:val="en-US"/>
        </w:rPr>
        <w:t>e</w:t>
      </w:r>
      <w:r w:rsidR="00F072FD" w:rsidRPr="007127E7">
        <w:rPr>
          <w:i/>
          <w:iCs/>
          <w:lang w:val="en-US"/>
        </w:rPr>
        <w:t xml:space="preserve">ptional circumstances allow new matter in a </w:t>
      </w:r>
      <w:r w:rsidR="001E6C59" w:rsidRPr="007127E7">
        <w:rPr>
          <w:i/>
          <w:iCs/>
          <w:lang w:val="en-US"/>
        </w:rPr>
        <w:t>replying affidavit…”</w:t>
      </w:r>
    </w:p>
    <w:p w14:paraId="4B69DA33" w14:textId="4B97DECB" w:rsidR="000E72C8" w:rsidRDefault="007E2115" w:rsidP="007E2115">
      <w:pPr>
        <w:pStyle w:val="LegalNormal"/>
        <w:tabs>
          <w:tab w:val="left" w:pos="927"/>
        </w:tabs>
        <w:ind w:left="927" w:hanging="567"/>
        <w:rPr>
          <w:lang w:val="en-US"/>
        </w:rPr>
      </w:pPr>
      <w:r>
        <w:rPr>
          <w:sz w:val="28"/>
          <w:szCs w:val="28"/>
          <w:lang w:val="en-US"/>
        </w:rPr>
        <w:lastRenderedPageBreak/>
        <w:t>[24]</w:t>
      </w:r>
      <w:r>
        <w:rPr>
          <w:sz w:val="28"/>
          <w:szCs w:val="28"/>
          <w:lang w:val="en-US"/>
        </w:rPr>
        <w:tab/>
      </w:r>
      <w:r w:rsidR="000E72C8">
        <w:rPr>
          <w:lang w:val="en-US"/>
        </w:rPr>
        <w:t xml:space="preserve">The SCA </w:t>
      </w:r>
      <w:r w:rsidR="00050B0E">
        <w:rPr>
          <w:lang w:val="en-US"/>
        </w:rPr>
        <w:t xml:space="preserve">referred to its earlier decision in </w:t>
      </w:r>
      <w:bookmarkStart w:id="1" w:name="_Hlk144889978"/>
      <w:r w:rsidR="00CB40E0" w:rsidRPr="008F2209">
        <w:rPr>
          <w:i/>
          <w:iCs/>
          <w:lang w:val="en-US"/>
        </w:rPr>
        <w:t>Finishing Touch 163 (Pty) Ltd v BHP Billiton Energy Coal South Africa Ltd and Others</w:t>
      </w:r>
      <w:r w:rsidR="008F2209">
        <w:rPr>
          <w:rStyle w:val="FootnoteReference"/>
          <w:i/>
          <w:iCs/>
          <w:lang w:val="en-US"/>
        </w:rPr>
        <w:footnoteReference w:id="5"/>
      </w:r>
      <w:r w:rsidR="00C27FB3">
        <w:rPr>
          <w:i/>
          <w:iCs/>
          <w:lang w:val="en-US"/>
        </w:rPr>
        <w:t xml:space="preserve"> </w:t>
      </w:r>
      <w:r w:rsidR="00250D7F">
        <w:rPr>
          <w:lang w:val="en-US"/>
        </w:rPr>
        <w:t>where the respondent</w:t>
      </w:r>
      <w:r w:rsidR="00CE0585">
        <w:rPr>
          <w:lang w:val="en-US"/>
        </w:rPr>
        <w:t xml:space="preserve"> </w:t>
      </w:r>
      <w:r w:rsidR="00407203">
        <w:rPr>
          <w:lang w:val="en-US"/>
        </w:rPr>
        <w:t xml:space="preserve">in </w:t>
      </w:r>
      <w:r w:rsidR="00037361">
        <w:rPr>
          <w:lang w:val="en-US"/>
        </w:rPr>
        <w:t>the</w:t>
      </w:r>
      <w:r w:rsidR="00407203">
        <w:rPr>
          <w:lang w:val="en-US"/>
        </w:rPr>
        <w:t xml:space="preserve"> appeal raised new matter in its replying affidavit</w:t>
      </w:r>
      <w:r w:rsidR="00037361">
        <w:rPr>
          <w:lang w:val="en-US"/>
        </w:rPr>
        <w:t xml:space="preserve"> </w:t>
      </w:r>
      <w:r w:rsidR="00896E47">
        <w:rPr>
          <w:lang w:val="en-US"/>
        </w:rPr>
        <w:t>in the proceedings in the court a quo</w:t>
      </w:r>
      <w:r w:rsidR="00BC3B98">
        <w:rPr>
          <w:lang w:val="en-US"/>
        </w:rPr>
        <w:t xml:space="preserve">. </w:t>
      </w:r>
      <w:r w:rsidR="00666FDB" w:rsidRPr="00666FDB">
        <w:t>The SCA, in referring to the exceptional circumstances which may arise where a court in its discretion may allow new matter in reply, distinguished (in paras 25 – 27 of its judgment) between circumstances where new facts are brought to light in reply for the first time but were known to the applicant at the time of deposing to the founding affidavit, and a situation where facts which</w:t>
      </w:r>
      <w:r w:rsidR="00666FDB">
        <w:t xml:space="preserve"> are</w:t>
      </w:r>
      <w:r w:rsidR="00B43F27">
        <w:t xml:space="preserve"> </w:t>
      </w:r>
      <w:r w:rsidR="00666FDB" w:rsidRPr="00666FDB">
        <w:t xml:space="preserve"> alleged in the answering affidavit reveal the existence or possible existence of a further ground for the relief which the applicant seeks.</w:t>
      </w:r>
      <w:r w:rsidR="00B43F27">
        <w:rPr>
          <w:rStyle w:val="FootnoteReference"/>
        </w:rPr>
        <w:footnoteReference w:id="6"/>
      </w:r>
      <w:r w:rsidR="00666FDB" w:rsidRPr="00666FDB">
        <w:t> </w:t>
      </w:r>
      <w:bookmarkStart w:id="2" w:name="0-0-0-146667"/>
      <w:bookmarkEnd w:id="2"/>
      <w:r w:rsidR="00B43F27">
        <w:rPr>
          <w:lang w:val="en-US"/>
        </w:rPr>
        <w:t xml:space="preserve"> </w:t>
      </w:r>
    </w:p>
    <w:bookmarkEnd w:id="1"/>
    <w:p w14:paraId="5E3EBDE7" w14:textId="52E84591" w:rsidR="00596747" w:rsidRDefault="007E2115" w:rsidP="007E2115">
      <w:pPr>
        <w:pStyle w:val="LegalNormal"/>
        <w:tabs>
          <w:tab w:val="left" w:pos="927"/>
        </w:tabs>
        <w:ind w:left="927" w:hanging="567"/>
        <w:rPr>
          <w:lang w:val="en-US"/>
        </w:rPr>
      </w:pPr>
      <w:r>
        <w:rPr>
          <w:sz w:val="28"/>
          <w:szCs w:val="28"/>
          <w:lang w:val="en-US"/>
        </w:rPr>
        <w:t>[25]</w:t>
      </w:r>
      <w:r>
        <w:rPr>
          <w:sz w:val="28"/>
          <w:szCs w:val="28"/>
          <w:lang w:val="en-US"/>
        </w:rPr>
        <w:tab/>
      </w:r>
      <w:r w:rsidR="008060CF" w:rsidRPr="008060CF">
        <w:rPr>
          <w:lang w:val="en-US"/>
        </w:rPr>
        <w:t xml:space="preserve">With this application </w:t>
      </w:r>
      <w:r w:rsidR="00A55045">
        <w:rPr>
          <w:lang w:val="en-US"/>
        </w:rPr>
        <w:t xml:space="preserve">to strike out the </w:t>
      </w:r>
      <w:r w:rsidR="00FB20BD">
        <w:rPr>
          <w:lang w:val="en-US"/>
        </w:rPr>
        <w:t xml:space="preserve">entire replying affidavit, </w:t>
      </w:r>
      <w:r w:rsidR="008060CF" w:rsidRPr="008060CF">
        <w:rPr>
          <w:lang w:val="en-US"/>
        </w:rPr>
        <w:t>it appears</w:t>
      </w:r>
      <w:r w:rsidR="00FB20BD">
        <w:rPr>
          <w:lang w:val="en-US"/>
        </w:rPr>
        <w:t xml:space="preserve"> to me</w:t>
      </w:r>
      <w:r w:rsidR="00EA3077">
        <w:rPr>
          <w:lang w:val="en-US"/>
        </w:rPr>
        <w:t xml:space="preserve"> that</w:t>
      </w:r>
      <w:r w:rsidR="008060CF" w:rsidRPr="008060CF">
        <w:rPr>
          <w:lang w:val="en-US"/>
        </w:rPr>
        <w:t xml:space="preserve"> the applicant is </w:t>
      </w:r>
      <w:r w:rsidR="004D33A9" w:rsidRPr="008060CF">
        <w:rPr>
          <w:lang w:val="en-US"/>
        </w:rPr>
        <w:t>proscribing</w:t>
      </w:r>
      <w:r w:rsidR="008060CF" w:rsidRPr="008060CF">
        <w:rPr>
          <w:lang w:val="en-US"/>
        </w:rPr>
        <w:t xml:space="preserve"> </w:t>
      </w:r>
      <w:r w:rsidR="00EA3077">
        <w:rPr>
          <w:lang w:val="en-US"/>
        </w:rPr>
        <w:t xml:space="preserve">the submission of relevant evidence which arose </w:t>
      </w:r>
      <w:r w:rsidR="002135C1">
        <w:rPr>
          <w:lang w:val="en-US"/>
        </w:rPr>
        <w:t>from its answer to Professor Harris’s report</w:t>
      </w:r>
      <w:r w:rsidR="0053393A">
        <w:rPr>
          <w:lang w:val="en-US"/>
        </w:rPr>
        <w:t xml:space="preserve">. Applicant thus seeks to </w:t>
      </w:r>
      <w:r w:rsidR="008060CF" w:rsidRPr="008060CF">
        <w:rPr>
          <w:lang w:val="en-US"/>
        </w:rPr>
        <w:t>constrain</w:t>
      </w:r>
      <w:r w:rsidR="0053393A">
        <w:rPr>
          <w:lang w:val="en-US"/>
        </w:rPr>
        <w:t xml:space="preserve"> </w:t>
      </w:r>
      <w:r w:rsidR="002D6DB9" w:rsidRPr="002D6DB9">
        <w:rPr>
          <w:lang w:val="en-US"/>
        </w:rPr>
        <w:t xml:space="preserve">the </w:t>
      </w:r>
      <w:r w:rsidR="002D6DB9" w:rsidRPr="009B2AE8">
        <w:rPr>
          <w:i/>
          <w:lang w:val="en-US"/>
        </w:rPr>
        <w:t>amicus</w:t>
      </w:r>
      <w:r w:rsidR="002D6DB9" w:rsidRPr="002D6DB9">
        <w:rPr>
          <w:lang w:val="en-US"/>
        </w:rPr>
        <w:t xml:space="preserve"> from </w:t>
      </w:r>
      <w:r w:rsidR="0053393A">
        <w:rPr>
          <w:lang w:val="en-US"/>
        </w:rPr>
        <w:t>rendering</w:t>
      </w:r>
      <w:r w:rsidR="002D6DB9" w:rsidRPr="002D6DB9">
        <w:rPr>
          <w:lang w:val="en-US"/>
        </w:rPr>
        <w:t xml:space="preserve"> </w:t>
      </w:r>
      <w:r w:rsidR="000B1CEE" w:rsidRPr="002D6DB9">
        <w:rPr>
          <w:lang w:val="en-US"/>
        </w:rPr>
        <w:t>its</w:t>
      </w:r>
      <w:r w:rsidR="002D6DB9" w:rsidRPr="002D6DB9">
        <w:rPr>
          <w:lang w:val="en-US"/>
        </w:rPr>
        <w:t xml:space="preserve"> submissions fully</w:t>
      </w:r>
      <w:r w:rsidR="0053393A">
        <w:rPr>
          <w:lang w:val="en-US"/>
        </w:rPr>
        <w:t>,</w:t>
      </w:r>
      <w:r w:rsidR="002D6DB9" w:rsidRPr="002D6DB9">
        <w:rPr>
          <w:lang w:val="en-US"/>
        </w:rPr>
        <w:t xml:space="preserve"> especially </w:t>
      </w:r>
      <w:r w:rsidR="00054C94">
        <w:rPr>
          <w:lang w:val="en-US"/>
        </w:rPr>
        <w:t xml:space="preserve">having regard to </w:t>
      </w:r>
      <w:r w:rsidR="004D33A9" w:rsidRPr="002D6DB9">
        <w:rPr>
          <w:lang w:val="en-US"/>
        </w:rPr>
        <w:t>Professor</w:t>
      </w:r>
      <w:r w:rsidR="004D33A9">
        <w:rPr>
          <w:lang w:val="en-US"/>
        </w:rPr>
        <w:t xml:space="preserve"> </w:t>
      </w:r>
      <w:r w:rsidR="00D95F21">
        <w:rPr>
          <w:lang w:val="en-US"/>
        </w:rPr>
        <w:t>Harris</w:t>
      </w:r>
      <w:r w:rsidR="00054C94">
        <w:rPr>
          <w:lang w:val="en-US"/>
        </w:rPr>
        <w:t>’s report</w:t>
      </w:r>
      <w:r w:rsidR="00D95F21">
        <w:rPr>
          <w:lang w:val="en-US"/>
        </w:rPr>
        <w:t xml:space="preserve">. </w:t>
      </w:r>
    </w:p>
    <w:p w14:paraId="22EA4F32" w14:textId="6B91C966" w:rsidR="00DD0257" w:rsidRDefault="007E2115" w:rsidP="007E2115">
      <w:pPr>
        <w:pStyle w:val="LegalNormal"/>
        <w:tabs>
          <w:tab w:val="left" w:pos="927"/>
        </w:tabs>
        <w:ind w:left="927" w:hanging="567"/>
        <w:rPr>
          <w:lang w:val="en-US"/>
        </w:rPr>
      </w:pPr>
      <w:r>
        <w:rPr>
          <w:sz w:val="28"/>
          <w:szCs w:val="28"/>
          <w:lang w:val="en-US"/>
        </w:rPr>
        <w:t>[26]</w:t>
      </w:r>
      <w:r>
        <w:rPr>
          <w:sz w:val="28"/>
          <w:szCs w:val="28"/>
          <w:lang w:val="en-US"/>
        </w:rPr>
        <w:tab/>
      </w:r>
      <w:r w:rsidR="00A676F9">
        <w:rPr>
          <w:lang w:val="en-US"/>
        </w:rPr>
        <w:t xml:space="preserve">As the pending appeal is in terms of section </w:t>
      </w:r>
      <w:r w:rsidR="002546FE">
        <w:rPr>
          <w:lang w:val="en-US"/>
        </w:rPr>
        <w:t xml:space="preserve">148 of the </w:t>
      </w:r>
      <w:r w:rsidR="00FC3957">
        <w:rPr>
          <w:lang w:val="en-US"/>
        </w:rPr>
        <w:t>NCA</w:t>
      </w:r>
      <w:r w:rsidR="003D3924">
        <w:rPr>
          <w:lang w:val="en-US"/>
        </w:rPr>
        <w:t xml:space="preserve"> 34 of 2005</w:t>
      </w:r>
      <w:r w:rsidR="00EF6703">
        <w:rPr>
          <w:lang w:val="en-US"/>
        </w:rPr>
        <w:t xml:space="preserve"> (as amended)</w:t>
      </w:r>
      <w:r w:rsidR="00FC3957">
        <w:rPr>
          <w:lang w:val="en-US"/>
        </w:rPr>
        <w:t>, the</w:t>
      </w:r>
      <w:r w:rsidR="003F2D5E">
        <w:rPr>
          <w:lang w:val="en-US"/>
        </w:rPr>
        <w:t xml:space="preserve"> appeal court</w:t>
      </w:r>
      <w:r w:rsidR="002546FE">
        <w:rPr>
          <w:lang w:val="en-US"/>
        </w:rPr>
        <w:t xml:space="preserve"> is best placed to </w:t>
      </w:r>
      <w:r w:rsidR="004F7BF3">
        <w:rPr>
          <w:lang w:val="en-US"/>
        </w:rPr>
        <w:t xml:space="preserve">consider the propriety of the </w:t>
      </w:r>
      <w:r w:rsidR="004F7BF3">
        <w:rPr>
          <w:lang w:val="en-US"/>
        </w:rPr>
        <w:lastRenderedPageBreak/>
        <w:t>replying affidavit</w:t>
      </w:r>
      <w:r w:rsidR="00E6077A">
        <w:rPr>
          <w:lang w:val="en-US"/>
        </w:rPr>
        <w:t xml:space="preserve"> before it</w:t>
      </w:r>
      <w:r w:rsidR="00FC3957">
        <w:rPr>
          <w:lang w:val="en-US"/>
        </w:rPr>
        <w:t xml:space="preserve"> or otherwise</w:t>
      </w:r>
      <w:r w:rsidR="00E6077A">
        <w:rPr>
          <w:lang w:val="en-US"/>
        </w:rPr>
        <w:t xml:space="preserve">. </w:t>
      </w:r>
      <w:r w:rsidR="00FB133E">
        <w:rPr>
          <w:lang w:val="en-US"/>
        </w:rPr>
        <w:t>This application seems out of place in the context of the pending appeal.</w:t>
      </w:r>
    </w:p>
    <w:p w14:paraId="11919B2D" w14:textId="1972FE48" w:rsidR="00224DD3" w:rsidRDefault="007E2115" w:rsidP="007E2115">
      <w:pPr>
        <w:pStyle w:val="LegalNormal"/>
        <w:tabs>
          <w:tab w:val="left" w:pos="927"/>
        </w:tabs>
        <w:ind w:left="927" w:hanging="567"/>
        <w:rPr>
          <w:lang w:val="en-US"/>
        </w:rPr>
      </w:pPr>
      <w:r>
        <w:rPr>
          <w:sz w:val="28"/>
          <w:szCs w:val="28"/>
          <w:lang w:val="en-US"/>
        </w:rPr>
        <w:t>[27]</w:t>
      </w:r>
      <w:r>
        <w:rPr>
          <w:sz w:val="28"/>
          <w:szCs w:val="28"/>
          <w:lang w:val="en-US"/>
        </w:rPr>
        <w:tab/>
      </w:r>
      <w:r w:rsidR="0063384C">
        <w:rPr>
          <w:lang w:val="en-US"/>
        </w:rPr>
        <w:t>The respondent has expended scarce resources in the public interest and ought not to be rendered out of pocket as a result of defending this application.</w:t>
      </w:r>
    </w:p>
    <w:p w14:paraId="5B8F3342" w14:textId="081E9CD3" w:rsidR="00161DE4" w:rsidRDefault="007E2115" w:rsidP="007E2115">
      <w:pPr>
        <w:pStyle w:val="LegalNormal"/>
        <w:tabs>
          <w:tab w:val="left" w:pos="927"/>
        </w:tabs>
        <w:ind w:left="927" w:hanging="567"/>
        <w:rPr>
          <w:lang w:val="en-US"/>
        </w:rPr>
      </w:pPr>
      <w:r>
        <w:rPr>
          <w:sz w:val="28"/>
          <w:szCs w:val="28"/>
          <w:lang w:val="en-US"/>
        </w:rPr>
        <w:t>[28]</w:t>
      </w:r>
      <w:r>
        <w:rPr>
          <w:sz w:val="28"/>
          <w:szCs w:val="28"/>
          <w:lang w:val="en-US"/>
        </w:rPr>
        <w:tab/>
      </w:r>
      <w:r w:rsidR="00EF6703">
        <w:rPr>
          <w:lang w:val="en-US"/>
        </w:rPr>
        <w:t>In the result, I make the following order:</w:t>
      </w:r>
    </w:p>
    <w:p w14:paraId="1BF56E4E" w14:textId="63026906" w:rsidR="00310AC5" w:rsidRDefault="00EF6703" w:rsidP="009B2AE8">
      <w:pPr>
        <w:pStyle w:val="LegalNormal"/>
        <w:ind w:left="927"/>
        <w:rPr>
          <w:lang w:val="en-US"/>
        </w:rPr>
      </w:pPr>
      <w:r>
        <w:rPr>
          <w:lang w:val="en-US"/>
        </w:rPr>
        <w:t xml:space="preserve">The </w:t>
      </w:r>
      <w:r w:rsidR="004E316F">
        <w:rPr>
          <w:lang w:val="en-US"/>
        </w:rPr>
        <w:t>app</w:t>
      </w:r>
      <w:r w:rsidR="00224DD3">
        <w:rPr>
          <w:lang w:val="en-US"/>
        </w:rPr>
        <w:t>lication is dismissed with costs.</w:t>
      </w: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7D1EE846" w:rsidR="00310AC5" w:rsidRPr="00310AC5" w:rsidRDefault="00310AC5" w:rsidP="00310AC5">
      <w:pPr>
        <w:pStyle w:val="LegalNormal"/>
        <w:spacing w:after="0"/>
        <w:ind w:left="4320" w:firstLine="720"/>
      </w:pPr>
      <w:r>
        <w:t xml:space="preserve">      </w:t>
      </w:r>
      <w:r w:rsidRPr="00310AC5">
        <w:t xml:space="preserve">Gauteng Division, </w:t>
      </w:r>
      <w:r w:rsidR="00E200FC">
        <w:t>Johannesburg</w:t>
      </w:r>
    </w:p>
    <w:p w14:paraId="73FFE4B8" w14:textId="77777777" w:rsidR="00310AC5" w:rsidRPr="00310AC5" w:rsidRDefault="00310AC5" w:rsidP="00310AC5">
      <w:pPr>
        <w:pStyle w:val="LegalNormal"/>
      </w:pPr>
    </w:p>
    <w:p w14:paraId="7E0A6AA0" w14:textId="6E648D81" w:rsidR="00310AC5" w:rsidRDefault="00310AC5" w:rsidP="00310AC5">
      <w:pPr>
        <w:pStyle w:val="LegalNormal"/>
        <w:spacing w:after="0"/>
      </w:pPr>
      <w:r>
        <w:t xml:space="preserve">Date of hearing: </w:t>
      </w:r>
      <w:r w:rsidR="00942AF9">
        <w:t>04</w:t>
      </w:r>
      <w:r>
        <w:t xml:space="preserve"> </w:t>
      </w:r>
      <w:r w:rsidR="00942AF9">
        <w:t>May</w:t>
      </w:r>
      <w:r>
        <w:t xml:space="preserve"> 202</w:t>
      </w:r>
      <w:r w:rsidR="0093569F">
        <w:t>3</w:t>
      </w:r>
    </w:p>
    <w:p w14:paraId="7BE41C33" w14:textId="507F2AD5" w:rsidR="00310AC5" w:rsidRDefault="00310AC5" w:rsidP="00310AC5">
      <w:pPr>
        <w:pStyle w:val="LegalNormal"/>
        <w:spacing w:after="0"/>
      </w:pPr>
      <w:r w:rsidRPr="00310AC5">
        <w:t xml:space="preserve">Date of Judgment: </w:t>
      </w:r>
      <w:r w:rsidR="009B2AE8">
        <w:t>08</w:t>
      </w:r>
      <w:r w:rsidR="000410CB">
        <w:t xml:space="preserve"> September</w:t>
      </w:r>
      <w:r>
        <w:t xml:space="preserve"> 2023</w:t>
      </w:r>
    </w:p>
    <w:p w14:paraId="0AA0BB52" w14:textId="77777777" w:rsidR="000410CB" w:rsidRDefault="000410CB" w:rsidP="00310AC5">
      <w:pPr>
        <w:pStyle w:val="LegalNormal"/>
        <w:spacing w:after="0"/>
      </w:pPr>
    </w:p>
    <w:p w14:paraId="2E571142" w14:textId="77777777" w:rsidR="000410CB" w:rsidRPr="00310AC5" w:rsidRDefault="000410CB" w:rsidP="00310AC5">
      <w:pPr>
        <w:pStyle w:val="LegalNormal"/>
        <w:spacing w:after="0"/>
      </w:pPr>
    </w:p>
    <w:p w14:paraId="6AC03B56" w14:textId="019DA424" w:rsidR="00715E25" w:rsidRDefault="00310AC5" w:rsidP="00310AC5">
      <w:pPr>
        <w:pStyle w:val="LegalNormal"/>
        <w:spacing w:after="0"/>
      </w:pPr>
      <w:r w:rsidRPr="00310AC5">
        <w:t xml:space="preserve">On behalf of the </w:t>
      </w:r>
      <w:r w:rsidR="009303F9">
        <w:t>Applicant</w:t>
      </w:r>
      <w:r w:rsidRPr="00310AC5">
        <w:t xml:space="preserve">: Adv. </w:t>
      </w:r>
      <w:r w:rsidR="00AC6E16">
        <w:t xml:space="preserve">A. </w:t>
      </w:r>
      <w:r w:rsidR="001C3668">
        <w:t>Milanovic</w:t>
      </w:r>
      <w:r w:rsidRPr="00310AC5">
        <w:tab/>
      </w:r>
      <w:r w:rsidRPr="00310AC5">
        <w:tab/>
      </w:r>
    </w:p>
    <w:p w14:paraId="2A60D694" w14:textId="542E1044" w:rsidR="00933D4F" w:rsidRDefault="00310AC5" w:rsidP="00770B05">
      <w:pPr>
        <w:pStyle w:val="LegalNormal"/>
        <w:spacing w:after="0"/>
      </w:pPr>
      <w:r>
        <w:t xml:space="preserve"> </w:t>
      </w:r>
      <w:r w:rsidR="00770B05">
        <w:t xml:space="preserve">Attorneys for the </w:t>
      </w:r>
      <w:r w:rsidR="009954DE">
        <w:t>Ap</w:t>
      </w:r>
      <w:r w:rsidR="00B36A65">
        <w:t>plicant: Werksmans</w:t>
      </w:r>
      <w:r w:rsidR="00506074">
        <w:t xml:space="preserve"> Attorneys</w:t>
      </w:r>
    </w:p>
    <w:p w14:paraId="3690D937" w14:textId="06D73054" w:rsidR="001C609A" w:rsidRDefault="0070736B" w:rsidP="00770B05">
      <w:pPr>
        <w:pStyle w:val="LegalNormal"/>
        <w:spacing w:after="0"/>
      </w:pPr>
      <w:r>
        <w:t xml:space="preserve">Mr. </w:t>
      </w:r>
      <w:r w:rsidR="00506074">
        <w:t>Pierre Burger</w:t>
      </w:r>
      <w:r w:rsidR="004110CC">
        <w:t xml:space="preserve"> and Ms. </w:t>
      </w:r>
      <w:r w:rsidR="009E46FD">
        <w:t>Mishka</w:t>
      </w:r>
      <w:r w:rsidR="004110CC">
        <w:t xml:space="preserve"> Ramraj</w:t>
      </w:r>
    </w:p>
    <w:p w14:paraId="5E2DF1C0" w14:textId="099DF5C9" w:rsidR="00310AC5" w:rsidRDefault="000F5E7C" w:rsidP="00310AC5">
      <w:pPr>
        <w:pStyle w:val="LegalNormal"/>
        <w:spacing w:after="0"/>
      </w:pPr>
      <w:r w:rsidRPr="000F5E7C">
        <w:lastRenderedPageBreak/>
        <w:t xml:space="preserve">Email: </w:t>
      </w:r>
      <w:hyperlink r:id="rId9" w:history="1">
        <w:r w:rsidR="00B43F27" w:rsidRPr="007B388B">
          <w:rPr>
            <w:rStyle w:val="Hyperlink"/>
          </w:rPr>
          <w:t>mramraj@werksmans.com</w:t>
        </w:r>
      </w:hyperlink>
    </w:p>
    <w:p w14:paraId="7850AC8A" w14:textId="77777777" w:rsidR="00B86C21" w:rsidRPr="00310AC5" w:rsidRDefault="00B86C21" w:rsidP="00310AC5">
      <w:pPr>
        <w:pStyle w:val="LegalNormal"/>
        <w:spacing w:after="0"/>
      </w:pPr>
    </w:p>
    <w:p w14:paraId="23A03356" w14:textId="77777777" w:rsidR="00310AC5" w:rsidRPr="00310AC5" w:rsidRDefault="00310AC5" w:rsidP="00310AC5">
      <w:pPr>
        <w:pStyle w:val="LegalNormal"/>
        <w:spacing w:after="0"/>
      </w:pPr>
    </w:p>
    <w:p w14:paraId="7BB9CD8B" w14:textId="5E6AE6A1" w:rsidR="00DC152D" w:rsidRDefault="00310AC5" w:rsidP="00310AC5">
      <w:pPr>
        <w:pStyle w:val="LegalNormal"/>
        <w:spacing w:after="0"/>
      </w:pPr>
      <w:r w:rsidRPr="00310AC5">
        <w:t xml:space="preserve">On behalf of </w:t>
      </w:r>
      <w:r w:rsidR="00BD23DB">
        <w:t xml:space="preserve">the </w:t>
      </w:r>
      <w:r w:rsidR="009954DE">
        <w:t>Respondent</w:t>
      </w:r>
      <w:r w:rsidRPr="00310AC5">
        <w:t xml:space="preserve">: </w:t>
      </w:r>
      <w:r w:rsidR="0072663F">
        <w:t>Adv</w:t>
      </w:r>
      <w:r w:rsidR="00E53278">
        <w:t xml:space="preserve">. </w:t>
      </w:r>
      <w:r w:rsidR="001C3668">
        <w:t>G. Snyman</w:t>
      </w:r>
    </w:p>
    <w:p w14:paraId="040E9E19" w14:textId="1696305C" w:rsidR="00310AC5" w:rsidRDefault="00BD1E48" w:rsidP="0030600D">
      <w:pPr>
        <w:pStyle w:val="LegalNormal"/>
        <w:spacing w:after="0"/>
      </w:pPr>
      <w:r>
        <w:t>Attorney</w:t>
      </w:r>
      <w:r w:rsidR="009E7D6D">
        <w:t>s</w:t>
      </w:r>
      <w:r w:rsidR="0047436C">
        <w:t xml:space="preserve"> for the </w:t>
      </w:r>
      <w:r w:rsidR="00C262B6">
        <w:t>Respondent</w:t>
      </w:r>
      <w:r w:rsidR="00E30EF8">
        <w:t>;</w:t>
      </w:r>
      <w:r w:rsidR="00CA6D9D">
        <w:t xml:space="preserve"> </w:t>
      </w:r>
      <w:r w:rsidR="00CC774B">
        <w:t>C</w:t>
      </w:r>
      <w:r w:rsidR="00C262B6">
        <w:t xml:space="preserve">entre for </w:t>
      </w:r>
      <w:r w:rsidR="00CC774B">
        <w:t>A</w:t>
      </w:r>
      <w:r w:rsidR="00C262B6">
        <w:t xml:space="preserve">pplied </w:t>
      </w:r>
      <w:r w:rsidR="00CC774B">
        <w:t>L</w:t>
      </w:r>
      <w:r w:rsidR="00C262B6">
        <w:t xml:space="preserve">egal </w:t>
      </w:r>
      <w:r w:rsidR="00CA6D9D">
        <w:t>S</w:t>
      </w:r>
      <w:r w:rsidR="00C262B6">
        <w:t>tudies</w:t>
      </w:r>
    </w:p>
    <w:p w14:paraId="4CF889A3" w14:textId="716AE1AD" w:rsidR="00E54034" w:rsidRDefault="00E54034" w:rsidP="0030600D">
      <w:pPr>
        <w:pStyle w:val="LegalNormal"/>
        <w:spacing w:after="0"/>
      </w:pPr>
      <w:r w:rsidRPr="00E54034">
        <w:t xml:space="preserve">Per: Ms A Scher and Mr T Gabapethe Email: </w:t>
      </w:r>
      <w:hyperlink r:id="rId10" w:history="1">
        <w:r w:rsidRPr="000F7C45">
          <w:rPr>
            <w:rStyle w:val="Hyperlink"/>
          </w:rPr>
          <w:t>ariella.scher@wits.ac.za</w:t>
        </w:r>
      </w:hyperlink>
      <w:r w:rsidR="00590E6F">
        <w:t xml:space="preserve"> /</w:t>
      </w:r>
    </w:p>
    <w:p w14:paraId="2C0242E2" w14:textId="2BE6FE4F" w:rsidR="00E54034" w:rsidRDefault="00E54034" w:rsidP="0030600D">
      <w:pPr>
        <w:pStyle w:val="LegalNormal"/>
        <w:spacing w:after="0"/>
      </w:pPr>
      <w:r w:rsidRPr="00E54034">
        <w:t xml:space="preserve"> </w:t>
      </w:r>
      <w:hyperlink r:id="rId11" w:history="1">
        <w:r w:rsidR="00590E6F" w:rsidRPr="000F7C45">
          <w:rPr>
            <w:rStyle w:val="Hyperlink"/>
          </w:rPr>
          <w:t>thuto.gabaphethe@wits.ac.za</w:t>
        </w:r>
      </w:hyperlink>
    </w:p>
    <w:p w14:paraId="7755B962" w14:textId="77777777" w:rsidR="00590E6F" w:rsidRDefault="00590E6F" w:rsidP="0030600D">
      <w:pPr>
        <w:pStyle w:val="LegalNormal"/>
        <w:spacing w:after="0"/>
      </w:pPr>
    </w:p>
    <w:p w14:paraId="77C1B4A9" w14:textId="77777777" w:rsidR="001B60B6" w:rsidRDefault="001B60B6" w:rsidP="00704FE8">
      <w:pPr>
        <w:pStyle w:val="LegalNormal"/>
        <w:spacing w:after="0"/>
      </w:pPr>
    </w:p>
    <w:p w14:paraId="7194F4CD" w14:textId="77777777" w:rsidR="00310AC5" w:rsidRPr="00310AC5" w:rsidRDefault="00310AC5" w:rsidP="00310AC5">
      <w:pPr>
        <w:pStyle w:val="LegalNormal"/>
        <w:spacing w:after="0"/>
      </w:pPr>
    </w:p>
    <w:p w14:paraId="3D1AD0FD" w14:textId="19B15663" w:rsidR="00310AC5" w:rsidRPr="00310AC5" w:rsidRDefault="00310AC5" w:rsidP="00310AC5">
      <w:pPr>
        <w:pStyle w:val="LegalNormal"/>
        <w:spacing w:after="0"/>
        <w:rPr>
          <w:sz w:val="22"/>
          <w:szCs w:val="22"/>
          <w:lang w:val="en-US"/>
        </w:rPr>
      </w:pPr>
    </w:p>
    <w:p w14:paraId="0E3CA618" w14:textId="201B14AE"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CB4124">
        <w:rPr>
          <w:sz w:val="22"/>
          <w:szCs w:val="22"/>
        </w:rPr>
        <w:t>0</w:t>
      </w:r>
      <w:r w:rsidR="009B2AE8">
        <w:rPr>
          <w:sz w:val="22"/>
          <w:szCs w:val="22"/>
        </w:rPr>
        <w:t>8</w:t>
      </w:r>
      <w:r w:rsidR="00CB4124">
        <w:rPr>
          <w:sz w:val="22"/>
          <w:szCs w:val="22"/>
        </w:rPr>
        <w:t xml:space="preserve"> September</w:t>
      </w:r>
      <w:r w:rsidRPr="00CB4124">
        <w:rPr>
          <w:sz w:val="22"/>
          <w:szCs w:val="22"/>
        </w:rPr>
        <w:t xml:space="preserve"> 2023.</w:t>
      </w:r>
      <w:r>
        <w:rPr>
          <w:rFonts w:ascii="Segoe UI Semilight" w:hAnsi="Segoe UI Semilight" w:cs="Segoe UI Semilight"/>
        </w:rPr>
        <w:t xml:space="preserve">                                                                                     </w:t>
      </w:r>
    </w:p>
    <w:sectPr w:rsidR="00012A18" w:rsidSect="007732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8D3F" w14:textId="77777777" w:rsidR="00C168BC" w:rsidRDefault="00C168BC" w:rsidP="004466A8">
      <w:r>
        <w:separator/>
      </w:r>
    </w:p>
  </w:endnote>
  <w:endnote w:type="continuationSeparator" w:id="0">
    <w:p w14:paraId="42D208E8" w14:textId="77777777" w:rsidR="00C168BC" w:rsidRDefault="00C168BC"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02C2B6F0" w:rsidR="000A4529" w:rsidRDefault="000A4529">
        <w:pPr>
          <w:pStyle w:val="Footer"/>
          <w:jc w:val="center"/>
        </w:pPr>
        <w:r>
          <w:fldChar w:fldCharType="begin"/>
        </w:r>
        <w:r>
          <w:instrText xml:space="preserve"> PAGE   \* MERGEFORMAT </w:instrText>
        </w:r>
        <w:r>
          <w:fldChar w:fldCharType="separate"/>
        </w:r>
        <w:r w:rsidR="007E2115">
          <w:rPr>
            <w:noProof/>
          </w:rPr>
          <w:t>3</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0BA58" w14:textId="77777777" w:rsidR="00C168BC" w:rsidRDefault="00C168BC" w:rsidP="004466A8">
      <w:r>
        <w:separator/>
      </w:r>
    </w:p>
  </w:footnote>
  <w:footnote w:type="continuationSeparator" w:id="0">
    <w:p w14:paraId="692A1C8F" w14:textId="77777777" w:rsidR="00C168BC" w:rsidRDefault="00C168BC" w:rsidP="004466A8">
      <w:r>
        <w:continuationSeparator/>
      </w:r>
    </w:p>
  </w:footnote>
  <w:footnote w:id="1">
    <w:p w14:paraId="72B4F9FD" w14:textId="71012985" w:rsidR="00A559D3" w:rsidRPr="00A559D3" w:rsidRDefault="00A559D3">
      <w:pPr>
        <w:pStyle w:val="FootnoteText"/>
        <w:rPr>
          <w:lang w:val="en-US"/>
        </w:rPr>
      </w:pPr>
      <w:r>
        <w:rPr>
          <w:rStyle w:val="FootnoteReference"/>
        </w:rPr>
        <w:footnoteRef/>
      </w:r>
      <w:r>
        <w:t xml:space="preserve"> </w:t>
      </w:r>
      <w:r w:rsidR="00DE4EEC" w:rsidRPr="003F3117">
        <w:rPr>
          <w:i/>
          <w:iCs/>
        </w:rPr>
        <w:t>Hoffman v South African Airways</w:t>
      </w:r>
      <w:r w:rsidR="00493B3B">
        <w:t xml:space="preserve"> </w:t>
      </w:r>
      <w:r w:rsidR="003F3117">
        <w:t>2001 (1) SA 1 (CC)</w:t>
      </w:r>
      <w:r w:rsidR="00493B3B">
        <w:t xml:space="preserve"> </w:t>
      </w:r>
      <w:r w:rsidR="003B6757" w:rsidRPr="003B6757">
        <w:t>at 27H–28B; </w:t>
      </w:r>
      <w:r w:rsidR="003B6757" w:rsidRPr="003B6757">
        <w:rPr>
          <w:i/>
          <w:iCs/>
        </w:rPr>
        <w:t>In re Certain Amicus Curiae Applications: Minister of Health v Treatment Action Campaign</w:t>
      </w:r>
      <w:r w:rsidR="003B6757" w:rsidRPr="003B6757">
        <w:t> </w:t>
      </w:r>
      <w:hyperlink r:id="rId1" w:tgtFrame="main" w:history="1">
        <w:r w:rsidR="003B6757" w:rsidRPr="003B6757">
          <w:rPr>
            <w:rStyle w:val="Hyperlink"/>
          </w:rPr>
          <w:t>2002 (5) SA 713 (CC)</w:t>
        </w:r>
      </w:hyperlink>
      <w:r w:rsidR="003B6757" w:rsidRPr="003B6757">
        <w:t> at 715E–G; </w:t>
      </w:r>
      <w:r w:rsidR="003B6757" w:rsidRPr="003B6757">
        <w:rPr>
          <w:i/>
          <w:iCs/>
        </w:rPr>
        <w:t>Amardien v Registrar of Deeds</w:t>
      </w:r>
      <w:r w:rsidR="003B6757" w:rsidRPr="003B6757">
        <w:t> </w:t>
      </w:r>
      <w:hyperlink r:id="rId2" w:tgtFrame="main" w:history="1">
        <w:r w:rsidR="003B6757" w:rsidRPr="003B6757">
          <w:rPr>
            <w:rStyle w:val="Hyperlink"/>
          </w:rPr>
          <w:t>2019 (3) SA 341 (CC)</w:t>
        </w:r>
      </w:hyperlink>
      <w:r w:rsidR="003B6757" w:rsidRPr="003B6757">
        <w:t> at 361A–B.</w:t>
      </w:r>
    </w:p>
  </w:footnote>
  <w:footnote w:id="2">
    <w:p w14:paraId="372C12D7" w14:textId="13A2CA99" w:rsidR="003F3117" w:rsidRPr="003F3117" w:rsidRDefault="003F3117">
      <w:pPr>
        <w:pStyle w:val="FootnoteText"/>
        <w:rPr>
          <w:lang w:val="en-US"/>
        </w:rPr>
      </w:pPr>
      <w:r>
        <w:rPr>
          <w:rStyle w:val="FootnoteReference"/>
        </w:rPr>
        <w:footnoteRef/>
      </w:r>
      <w:r>
        <w:t xml:space="preserve"> </w:t>
      </w:r>
      <w:r>
        <w:rPr>
          <w:lang w:val="en-US"/>
        </w:rPr>
        <w:t>Erasmus – Superior Courts</w:t>
      </w:r>
      <w:r w:rsidR="00363E04">
        <w:rPr>
          <w:lang w:val="en-US"/>
        </w:rPr>
        <w:t xml:space="preserve"> RS 17, 2021, D1-166.</w:t>
      </w:r>
    </w:p>
  </w:footnote>
  <w:footnote w:id="3">
    <w:p w14:paraId="1BA65737" w14:textId="54B90F4A" w:rsidR="0080039C" w:rsidRDefault="0080039C">
      <w:pPr>
        <w:pStyle w:val="FootnoteText"/>
      </w:pPr>
      <w:r>
        <w:rPr>
          <w:rStyle w:val="FootnoteReference"/>
        </w:rPr>
        <w:footnoteRef/>
      </w:r>
      <w:r>
        <w:t xml:space="preserve"> </w:t>
      </w:r>
      <w:r w:rsidR="005179CD" w:rsidRPr="005179CD">
        <w:t>'Section 148 provides as follows: "Subject to the rules of the High Court, a participant in a hearing before a full panel of the Tribunal may</w:t>
      </w:r>
      <w:r w:rsidR="005179CD">
        <w:t xml:space="preserve"> </w:t>
      </w:r>
      <w:r w:rsidR="005179CD" w:rsidRPr="005179CD">
        <w:t>- (a) apply to the High Court to review the decision of the Tribunal in that matter; or</w:t>
      </w:r>
    </w:p>
    <w:p w14:paraId="5049F94B" w14:textId="77F24DBB" w:rsidR="00441696" w:rsidRPr="0080039C" w:rsidRDefault="00441696">
      <w:pPr>
        <w:pStyle w:val="FootnoteText"/>
        <w:rPr>
          <w:lang w:val="en-US"/>
        </w:rPr>
      </w:pPr>
      <w:r>
        <w:tab/>
      </w:r>
      <w:r>
        <w:tab/>
      </w:r>
      <w:r>
        <w:tab/>
        <w:t xml:space="preserve">            </w:t>
      </w:r>
      <w:r w:rsidRPr="00441696">
        <w:t>(b) appeal to the High Court against the decision of the Tribunal in that matter, other than a decision in terms of section 138 or section 69 (2) (b) or 73 of the Consumer Protection Act, 2008, as the case may be."</w:t>
      </w:r>
    </w:p>
  </w:footnote>
  <w:footnote w:id="4">
    <w:p w14:paraId="6F6584A2" w14:textId="30D3422B" w:rsidR="00C34CAA" w:rsidRPr="00C34CAA" w:rsidRDefault="00C34CAA">
      <w:pPr>
        <w:pStyle w:val="FootnoteText"/>
        <w:rPr>
          <w:lang w:val="en-US"/>
        </w:rPr>
      </w:pPr>
      <w:r>
        <w:rPr>
          <w:rStyle w:val="FootnoteReference"/>
        </w:rPr>
        <w:footnoteRef/>
      </w:r>
      <w:r>
        <w:t xml:space="preserve"> </w:t>
      </w:r>
      <w:r w:rsidR="00CB0050">
        <w:t>Mo</w:t>
      </w:r>
      <w:r w:rsidR="00F46975">
        <w:t xml:space="preserve">stert and Others v FirstRand t/a RMB Private Bank and Another </w:t>
      </w:r>
      <w:r w:rsidR="00CB0050">
        <w:rPr>
          <w:lang w:val="en-US"/>
        </w:rPr>
        <w:t>2018 (4) SA 443 (SCA)</w:t>
      </w:r>
    </w:p>
  </w:footnote>
  <w:footnote w:id="5">
    <w:p w14:paraId="2394EF24" w14:textId="22AC6764" w:rsidR="008F2209" w:rsidRPr="008F2209" w:rsidRDefault="008F2209">
      <w:pPr>
        <w:pStyle w:val="FootnoteText"/>
        <w:rPr>
          <w:lang w:val="en-US"/>
        </w:rPr>
      </w:pPr>
      <w:r>
        <w:rPr>
          <w:rStyle w:val="FootnoteReference"/>
        </w:rPr>
        <w:footnoteRef/>
      </w:r>
      <w:r>
        <w:t xml:space="preserve"> </w:t>
      </w:r>
      <w:r w:rsidRPr="008F2209">
        <w:t>Finishing Touch 163 (Pty) Ltd v BHP Billiton Energy Coal South Africa Ltd and Others</w:t>
      </w:r>
      <w:r>
        <w:t xml:space="preserve"> 2013</w:t>
      </w:r>
      <w:r w:rsidR="00C27FB3">
        <w:t xml:space="preserve"> (2) SA 204 (SCA)</w:t>
      </w:r>
    </w:p>
  </w:footnote>
  <w:footnote w:id="6">
    <w:p w14:paraId="255F7E78" w14:textId="0977F3C0" w:rsidR="00B43F27" w:rsidRPr="00B43F27" w:rsidRDefault="00B43F27">
      <w:pPr>
        <w:pStyle w:val="FootnoteText"/>
        <w:rPr>
          <w:lang w:val="en-US"/>
        </w:rPr>
      </w:pPr>
      <w:r>
        <w:rPr>
          <w:rStyle w:val="FootnoteReference"/>
        </w:rPr>
        <w:footnoteRef/>
      </w:r>
      <w:r>
        <w:t xml:space="preserve"> </w:t>
      </w:r>
      <w:r w:rsidR="00A55645">
        <w:rPr>
          <w:lang w:val="en-US"/>
        </w:rPr>
        <w:t xml:space="preserve">Also referred to in </w:t>
      </w:r>
      <w:r w:rsidR="00A55645" w:rsidRPr="00C61FF7">
        <w:rPr>
          <w:i/>
          <w:iCs/>
          <w:lang w:val="en-US"/>
        </w:rPr>
        <w:t xml:space="preserve">Trustees, </w:t>
      </w:r>
      <w:r w:rsidR="0046484F" w:rsidRPr="00C61FF7">
        <w:rPr>
          <w:i/>
          <w:iCs/>
          <w:lang w:val="en-US"/>
        </w:rPr>
        <w:t>Bymyam Trust v Butcher Shop &amp; Grill CC</w:t>
      </w:r>
      <w:r w:rsidR="0046484F">
        <w:rPr>
          <w:lang w:val="en-US"/>
        </w:rPr>
        <w:t xml:space="preserve"> </w:t>
      </w:r>
      <w:r w:rsidR="00AF6C02">
        <w:rPr>
          <w:lang w:val="en-US"/>
        </w:rPr>
        <w:t>2022 (2) SA 99 (WC)</w:t>
      </w:r>
      <w:r w:rsidR="00FB1B33">
        <w:rPr>
          <w:lang w:val="en-US"/>
        </w:rPr>
        <w:t xml:space="preserve">. See also </w:t>
      </w:r>
      <w:r w:rsidR="00C61FF7" w:rsidRPr="00C61FF7">
        <w:rPr>
          <w:i/>
          <w:iCs/>
        </w:rPr>
        <w:t>Shakot Investments (Pty) Ltd v Town Council of the Borough of Stanger</w:t>
      </w:r>
      <w:r w:rsidR="00C61FF7" w:rsidRPr="00C61FF7">
        <w:t> 1976 (2) SA 701 (D) at 704 – 705; </w:t>
      </w:r>
      <w:r w:rsidR="00C61FF7" w:rsidRPr="00C61FF7">
        <w:rPr>
          <w:i/>
          <w:iCs/>
        </w:rPr>
        <w:t>Shephard v Tuckers Land and Development Corporation (Pty) Ltd (1)</w:t>
      </w:r>
      <w:r w:rsidR="00C61FF7" w:rsidRPr="00C61FF7">
        <w:t> 1978 (1) SA 173 (W) at 177G.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51C0287"/>
    <w:multiLevelType w:val="multilevel"/>
    <w:tmpl w:val="91BC6F6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8"/>
  </w:num>
  <w:num w:numId="2">
    <w:abstractNumId w:val="2"/>
  </w:num>
  <w:num w:numId="3">
    <w:abstractNumId w:val="1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5"/>
  </w:num>
  <w:num w:numId="13">
    <w:abstractNumId w:val="3"/>
  </w:num>
  <w:num w:numId="14">
    <w:abstractNumId w:val="12"/>
  </w:num>
  <w:num w:numId="15">
    <w:abstractNumId w:val="9"/>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6E3"/>
    <w:rsid w:val="00000B8C"/>
    <w:rsid w:val="000017BA"/>
    <w:rsid w:val="0000452E"/>
    <w:rsid w:val="00004B2E"/>
    <w:rsid w:val="00004E9D"/>
    <w:rsid w:val="0000633E"/>
    <w:rsid w:val="00006D46"/>
    <w:rsid w:val="00007F15"/>
    <w:rsid w:val="00012179"/>
    <w:rsid w:val="00012781"/>
    <w:rsid w:val="0001286D"/>
    <w:rsid w:val="00012A18"/>
    <w:rsid w:val="00013845"/>
    <w:rsid w:val="00013F71"/>
    <w:rsid w:val="000158CB"/>
    <w:rsid w:val="00015913"/>
    <w:rsid w:val="000165BA"/>
    <w:rsid w:val="000176F3"/>
    <w:rsid w:val="000206C6"/>
    <w:rsid w:val="00023D43"/>
    <w:rsid w:val="00026395"/>
    <w:rsid w:val="00026CCB"/>
    <w:rsid w:val="000324B4"/>
    <w:rsid w:val="00032E89"/>
    <w:rsid w:val="00034996"/>
    <w:rsid w:val="00037361"/>
    <w:rsid w:val="000410CB"/>
    <w:rsid w:val="000417D8"/>
    <w:rsid w:val="00041E02"/>
    <w:rsid w:val="00041FF8"/>
    <w:rsid w:val="00042399"/>
    <w:rsid w:val="00044644"/>
    <w:rsid w:val="00044D86"/>
    <w:rsid w:val="00045AB1"/>
    <w:rsid w:val="00045BCB"/>
    <w:rsid w:val="00045F21"/>
    <w:rsid w:val="00046BC8"/>
    <w:rsid w:val="00046DD6"/>
    <w:rsid w:val="0005076C"/>
    <w:rsid w:val="00050B0E"/>
    <w:rsid w:val="00052665"/>
    <w:rsid w:val="00053B4E"/>
    <w:rsid w:val="00053F59"/>
    <w:rsid w:val="000541ED"/>
    <w:rsid w:val="00054C94"/>
    <w:rsid w:val="00056306"/>
    <w:rsid w:val="000565E0"/>
    <w:rsid w:val="0005718D"/>
    <w:rsid w:val="00063047"/>
    <w:rsid w:val="0006413D"/>
    <w:rsid w:val="000700A3"/>
    <w:rsid w:val="00070D60"/>
    <w:rsid w:val="000713CF"/>
    <w:rsid w:val="00072435"/>
    <w:rsid w:val="00075708"/>
    <w:rsid w:val="0008114E"/>
    <w:rsid w:val="00081DB4"/>
    <w:rsid w:val="000874CB"/>
    <w:rsid w:val="00092485"/>
    <w:rsid w:val="00092C48"/>
    <w:rsid w:val="000934F2"/>
    <w:rsid w:val="000956FF"/>
    <w:rsid w:val="00096022"/>
    <w:rsid w:val="000A0B46"/>
    <w:rsid w:val="000A134C"/>
    <w:rsid w:val="000A17B2"/>
    <w:rsid w:val="000A19F0"/>
    <w:rsid w:val="000A1FAF"/>
    <w:rsid w:val="000A3564"/>
    <w:rsid w:val="000A36B8"/>
    <w:rsid w:val="000A4529"/>
    <w:rsid w:val="000A59A0"/>
    <w:rsid w:val="000A5AF8"/>
    <w:rsid w:val="000A6572"/>
    <w:rsid w:val="000A678A"/>
    <w:rsid w:val="000A6E89"/>
    <w:rsid w:val="000A731F"/>
    <w:rsid w:val="000B1CEE"/>
    <w:rsid w:val="000B4699"/>
    <w:rsid w:val="000B4D56"/>
    <w:rsid w:val="000B5B3C"/>
    <w:rsid w:val="000B5DCB"/>
    <w:rsid w:val="000B5EC0"/>
    <w:rsid w:val="000C6C70"/>
    <w:rsid w:val="000D15BD"/>
    <w:rsid w:val="000D3633"/>
    <w:rsid w:val="000D4A13"/>
    <w:rsid w:val="000D4B5B"/>
    <w:rsid w:val="000D604C"/>
    <w:rsid w:val="000D72CE"/>
    <w:rsid w:val="000D78D8"/>
    <w:rsid w:val="000D7C9F"/>
    <w:rsid w:val="000E02D8"/>
    <w:rsid w:val="000E0ECB"/>
    <w:rsid w:val="000E54D2"/>
    <w:rsid w:val="000E5CF3"/>
    <w:rsid w:val="000E64E1"/>
    <w:rsid w:val="000E6743"/>
    <w:rsid w:val="000E7137"/>
    <w:rsid w:val="000E72C8"/>
    <w:rsid w:val="000F239E"/>
    <w:rsid w:val="000F4395"/>
    <w:rsid w:val="000F5E7C"/>
    <w:rsid w:val="000F5F9D"/>
    <w:rsid w:val="000F6959"/>
    <w:rsid w:val="000F69AA"/>
    <w:rsid w:val="00100B25"/>
    <w:rsid w:val="0010159A"/>
    <w:rsid w:val="00104DF9"/>
    <w:rsid w:val="00106F23"/>
    <w:rsid w:val="00111A06"/>
    <w:rsid w:val="001124E1"/>
    <w:rsid w:val="00112FF4"/>
    <w:rsid w:val="00117233"/>
    <w:rsid w:val="00117E26"/>
    <w:rsid w:val="001206E3"/>
    <w:rsid w:val="00120BD8"/>
    <w:rsid w:val="00122AF8"/>
    <w:rsid w:val="00122AFC"/>
    <w:rsid w:val="00125DDE"/>
    <w:rsid w:val="00127822"/>
    <w:rsid w:val="00127EE8"/>
    <w:rsid w:val="00131748"/>
    <w:rsid w:val="001340F0"/>
    <w:rsid w:val="001346CF"/>
    <w:rsid w:val="0013492B"/>
    <w:rsid w:val="001351A5"/>
    <w:rsid w:val="00140E2C"/>
    <w:rsid w:val="00142D20"/>
    <w:rsid w:val="00145C17"/>
    <w:rsid w:val="00150347"/>
    <w:rsid w:val="0015042C"/>
    <w:rsid w:val="00150AAA"/>
    <w:rsid w:val="001522BF"/>
    <w:rsid w:val="001525CE"/>
    <w:rsid w:val="0015309C"/>
    <w:rsid w:val="00154A98"/>
    <w:rsid w:val="00154D4D"/>
    <w:rsid w:val="00157DE0"/>
    <w:rsid w:val="00160CFF"/>
    <w:rsid w:val="00161DE4"/>
    <w:rsid w:val="00166BE2"/>
    <w:rsid w:val="00170B08"/>
    <w:rsid w:val="00174ECE"/>
    <w:rsid w:val="0018022F"/>
    <w:rsid w:val="00180C68"/>
    <w:rsid w:val="00183965"/>
    <w:rsid w:val="0018563F"/>
    <w:rsid w:val="00186FE7"/>
    <w:rsid w:val="001879AC"/>
    <w:rsid w:val="00187E92"/>
    <w:rsid w:val="001929B7"/>
    <w:rsid w:val="001936EE"/>
    <w:rsid w:val="00193E19"/>
    <w:rsid w:val="00194E30"/>
    <w:rsid w:val="001A0211"/>
    <w:rsid w:val="001A18A5"/>
    <w:rsid w:val="001A426A"/>
    <w:rsid w:val="001A5E34"/>
    <w:rsid w:val="001A77B7"/>
    <w:rsid w:val="001A7D35"/>
    <w:rsid w:val="001B154A"/>
    <w:rsid w:val="001B271A"/>
    <w:rsid w:val="001B39E5"/>
    <w:rsid w:val="001B54C1"/>
    <w:rsid w:val="001B554E"/>
    <w:rsid w:val="001B55D9"/>
    <w:rsid w:val="001B567B"/>
    <w:rsid w:val="001B60B6"/>
    <w:rsid w:val="001C0953"/>
    <w:rsid w:val="001C119B"/>
    <w:rsid w:val="001C292E"/>
    <w:rsid w:val="001C3512"/>
    <w:rsid w:val="001C3668"/>
    <w:rsid w:val="001C4A09"/>
    <w:rsid w:val="001C609A"/>
    <w:rsid w:val="001C7CBD"/>
    <w:rsid w:val="001D1352"/>
    <w:rsid w:val="001E3002"/>
    <w:rsid w:val="001E3272"/>
    <w:rsid w:val="001E5012"/>
    <w:rsid w:val="001E6C59"/>
    <w:rsid w:val="001E758B"/>
    <w:rsid w:val="001F2478"/>
    <w:rsid w:val="001F24DD"/>
    <w:rsid w:val="001F4034"/>
    <w:rsid w:val="001F5D70"/>
    <w:rsid w:val="002050FB"/>
    <w:rsid w:val="00205B4F"/>
    <w:rsid w:val="00206D30"/>
    <w:rsid w:val="00212AFF"/>
    <w:rsid w:val="00212EAB"/>
    <w:rsid w:val="002135C1"/>
    <w:rsid w:val="00213E80"/>
    <w:rsid w:val="00214117"/>
    <w:rsid w:val="002144E7"/>
    <w:rsid w:val="0021532A"/>
    <w:rsid w:val="00215340"/>
    <w:rsid w:val="00215B62"/>
    <w:rsid w:val="0021656D"/>
    <w:rsid w:val="0021755E"/>
    <w:rsid w:val="00220F3B"/>
    <w:rsid w:val="002210BF"/>
    <w:rsid w:val="00222CEF"/>
    <w:rsid w:val="00224DD3"/>
    <w:rsid w:val="00226526"/>
    <w:rsid w:val="00230814"/>
    <w:rsid w:val="00230DF1"/>
    <w:rsid w:val="00231079"/>
    <w:rsid w:val="00232A8E"/>
    <w:rsid w:val="002339B4"/>
    <w:rsid w:val="00236087"/>
    <w:rsid w:val="0024301F"/>
    <w:rsid w:val="00244BEA"/>
    <w:rsid w:val="00250D7F"/>
    <w:rsid w:val="0025116F"/>
    <w:rsid w:val="002522D6"/>
    <w:rsid w:val="002530CE"/>
    <w:rsid w:val="002539B8"/>
    <w:rsid w:val="002546FE"/>
    <w:rsid w:val="00254BE5"/>
    <w:rsid w:val="00255104"/>
    <w:rsid w:val="0025754E"/>
    <w:rsid w:val="00257B41"/>
    <w:rsid w:val="00257E56"/>
    <w:rsid w:val="002601E8"/>
    <w:rsid w:val="00260D1A"/>
    <w:rsid w:val="00261618"/>
    <w:rsid w:val="002621C1"/>
    <w:rsid w:val="00265058"/>
    <w:rsid w:val="002672A5"/>
    <w:rsid w:val="00267411"/>
    <w:rsid w:val="002705D2"/>
    <w:rsid w:val="002729D8"/>
    <w:rsid w:val="00274693"/>
    <w:rsid w:val="0027774A"/>
    <w:rsid w:val="00277F1A"/>
    <w:rsid w:val="002818B1"/>
    <w:rsid w:val="002820B5"/>
    <w:rsid w:val="00282B15"/>
    <w:rsid w:val="0028349D"/>
    <w:rsid w:val="0028363A"/>
    <w:rsid w:val="0028397B"/>
    <w:rsid w:val="002848C2"/>
    <w:rsid w:val="00286CA7"/>
    <w:rsid w:val="00291000"/>
    <w:rsid w:val="00291776"/>
    <w:rsid w:val="00292A7A"/>
    <w:rsid w:val="00294047"/>
    <w:rsid w:val="002948C9"/>
    <w:rsid w:val="002976C6"/>
    <w:rsid w:val="00297CB0"/>
    <w:rsid w:val="00297E4B"/>
    <w:rsid w:val="002A0D22"/>
    <w:rsid w:val="002A3236"/>
    <w:rsid w:val="002A40EE"/>
    <w:rsid w:val="002A452D"/>
    <w:rsid w:val="002A4941"/>
    <w:rsid w:val="002A57EF"/>
    <w:rsid w:val="002B020E"/>
    <w:rsid w:val="002B1690"/>
    <w:rsid w:val="002B5165"/>
    <w:rsid w:val="002B61A6"/>
    <w:rsid w:val="002C03EB"/>
    <w:rsid w:val="002C1526"/>
    <w:rsid w:val="002C2AB6"/>
    <w:rsid w:val="002C52AC"/>
    <w:rsid w:val="002C5803"/>
    <w:rsid w:val="002D193B"/>
    <w:rsid w:val="002D1952"/>
    <w:rsid w:val="002D285C"/>
    <w:rsid w:val="002D4AC5"/>
    <w:rsid w:val="002D4BB7"/>
    <w:rsid w:val="002D6DB9"/>
    <w:rsid w:val="002E1AF2"/>
    <w:rsid w:val="002E2D5A"/>
    <w:rsid w:val="002E2EA9"/>
    <w:rsid w:val="002E5125"/>
    <w:rsid w:val="002E69C8"/>
    <w:rsid w:val="002E7AC1"/>
    <w:rsid w:val="002F23CF"/>
    <w:rsid w:val="002F3F1A"/>
    <w:rsid w:val="002F4682"/>
    <w:rsid w:val="002F575E"/>
    <w:rsid w:val="00300CF5"/>
    <w:rsid w:val="00300CF8"/>
    <w:rsid w:val="003019DC"/>
    <w:rsid w:val="0030600D"/>
    <w:rsid w:val="003064BF"/>
    <w:rsid w:val="00310AC5"/>
    <w:rsid w:val="0031100A"/>
    <w:rsid w:val="00314226"/>
    <w:rsid w:val="00314953"/>
    <w:rsid w:val="00314B4C"/>
    <w:rsid w:val="0031678C"/>
    <w:rsid w:val="00316C65"/>
    <w:rsid w:val="003170CC"/>
    <w:rsid w:val="003175B4"/>
    <w:rsid w:val="00322A09"/>
    <w:rsid w:val="00323D51"/>
    <w:rsid w:val="00336FD1"/>
    <w:rsid w:val="00340F30"/>
    <w:rsid w:val="00341B67"/>
    <w:rsid w:val="00345192"/>
    <w:rsid w:val="00346997"/>
    <w:rsid w:val="00346C63"/>
    <w:rsid w:val="00346FC7"/>
    <w:rsid w:val="003477F2"/>
    <w:rsid w:val="00347E94"/>
    <w:rsid w:val="00350383"/>
    <w:rsid w:val="003535D0"/>
    <w:rsid w:val="0035444C"/>
    <w:rsid w:val="00354480"/>
    <w:rsid w:val="0035549B"/>
    <w:rsid w:val="00357D59"/>
    <w:rsid w:val="00360A37"/>
    <w:rsid w:val="00363E04"/>
    <w:rsid w:val="003646ED"/>
    <w:rsid w:val="00365BB3"/>
    <w:rsid w:val="003713F3"/>
    <w:rsid w:val="00373007"/>
    <w:rsid w:val="00374E4A"/>
    <w:rsid w:val="0037547B"/>
    <w:rsid w:val="00375B44"/>
    <w:rsid w:val="00380224"/>
    <w:rsid w:val="0038245A"/>
    <w:rsid w:val="00382FAE"/>
    <w:rsid w:val="003836F3"/>
    <w:rsid w:val="00383C3A"/>
    <w:rsid w:val="003856A1"/>
    <w:rsid w:val="00386526"/>
    <w:rsid w:val="00390817"/>
    <w:rsid w:val="00390B63"/>
    <w:rsid w:val="0039296B"/>
    <w:rsid w:val="00397C6C"/>
    <w:rsid w:val="003A3DC0"/>
    <w:rsid w:val="003A6A3D"/>
    <w:rsid w:val="003B0F74"/>
    <w:rsid w:val="003B18E3"/>
    <w:rsid w:val="003B1BA9"/>
    <w:rsid w:val="003B51F0"/>
    <w:rsid w:val="003B5843"/>
    <w:rsid w:val="003B6757"/>
    <w:rsid w:val="003C0626"/>
    <w:rsid w:val="003C2D48"/>
    <w:rsid w:val="003D0B82"/>
    <w:rsid w:val="003D3924"/>
    <w:rsid w:val="003D6896"/>
    <w:rsid w:val="003D7610"/>
    <w:rsid w:val="003E01E4"/>
    <w:rsid w:val="003E2D7F"/>
    <w:rsid w:val="003E480F"/>
    <w:rsid w:val="003E6AAF"/>
    <w:rsid w:val="003E7D46"/>
    <w:rsid w:val="003F10D1"/>
    <w:rsid w:val="003F2339"/>
    <w:rsid w:val="003F2D5E"/>
    <w:rsid w:val="003F3117"/>
    <w:rsid w:val="003F3614"/>
    <w:rsid w:val="00402425"/>
    <w:rsid w:val="004027B9"/>
    <w:rsid w:val="004056C4"/>
    <w:rsid w:val="00407203"/>
    <w:rsid w:val="004110CC"/>
    <w:rsid w:val="00412441"/>
    <w:rsid w:val="0042065F"/>
    <w:rsid w:val="00421BE1"/>
    <w:rsid w:val="00424638"/>
    <w:rsid w:val="004302B0"/>
    <w:rsid w:val="004347F0"/>
    <w:rsid w:val="00434981"/>
    <w:rsid w:val="004349D2"/>
    <w:rsid w:val="004376E6"/>
    <w:rsid w:val="00437EA4"/>
    <w:rsid w:val="00441696"/>
    <w:rsid w:val="0044303B"/>
    <w:rsid w:val="004438FE"/>
    <w:rsid w:val="004466A8"/>
    <w:rsid w:val="00446737"/>
    <w:rsid w:val="00447C74"/>
    <w:rsid w:val="0045041E"/>
    <w:rsid w:val="0045574B"/>
    <w:rsid w:val="00460C59"/>
    <w:rsid w:val="00460CEE"/>
    <w:rsid w:val="00461CEF"/>
    <w:rsid w:val="0046484F"/>
    <w:rsid w:val="00466E4F"/>
    <w:rsid w:val="0047086F"/>
    <w:rsid w:val="004716DD"/>
    <w:rsid w:val="00473375"/>
    <w:rsid w:val="0047436C"/>
    <w:rsid w:val="00474A1F"/>
    <w:rsid w:val="00475381"/>
    <w:rsid w:val="00476EC3"/>
    <w:rsid w:val="0047705C"/>
    <w:rsid w:val="00477A24"/>
    <w:rsid w:val="00481070"/>
    <w:rsid w:val="0048171F"/>
    <w:rsid w:val="00483920"/>
    <w:rsid w:val="00486792"/>
    <w:rsid w:val="004868DD"/>
    <w:rsid w:val="00487B5C"/>
    <w:rsid w:val="004916C9"/>
    <w:rsid w:val="004938C5"/>
    <w:rsid w:val="00493B3B"/>
    <w:rsid w:val="0049561B"/>
    <w:rsid w:val="004A1258"/>
    <w:rsid w:val="004A23A7"/>
    <w:rsid w:val="004A3DE8"/>
    <w:rsid w:val="004A417D"/>
    <w:rsid w:val="004A63F1"/>
    <w:rsid w:val="004A646F"/>
    <w:rsid w:val="004A7566"/>
    <w:rsid w:val="004B0045"/>
    <w:rsid w:val="004B182B"/>
    <w:rsid w:val="004B376D"/>
    <w:rsid w:val="004B4EC8"/>
    <w:rsid w:val="004C054F"/>
    <w:rsid w:val="004C3A65"/>
    <w:rsid w:val="004C78D1"/>
    <w:rsid w:val="004D2C2D"/>
    <w:rsid w:val="004D2D79"/>
    <w:rsid w:val="004D2F7D"/>
    <w:rsid w:val="004D33A9"/>
    <w:rsid w:val="004D4436"/>
    <w:rsid w:val="004E101C"/>
    <w:rsid w:val="004E316F"/>
    <w:rsid w:val="004E72CB"/>
    <w:rsid w:val="004F16B1"/>
    <w:rsid w:val="004F5244"/>
    <w:rsid w:val="004F7BF3"/>
    <w:rsid w:val="005018DD"/>
    <w:rsid w:val="00501C40"/>
    <w:rsid w:val="00501D7E"/>
    <w:rsid w:val="00506074"/>
    <w:rsid w:val="00506B6B"/>
    <w:rsid w:val="005127A6"/>
    <w:rsid w:val="005131A8"/>
    <w:rsid w:val="005169E8"/>
    <w:rsid w:val="005172BD"/>
    <w:rsid w:val="00517392"/>
    <w:rsid w:val="005179CD"/>
    <w:rsid w:val="00517E23"/>
    <w:rsid w:val="005201CF"/>
    <w:rsid w:val="00521645"/>
    <w:rsid w:val="00523169"/>
    <w:rsid w:val="005233B8"/>
    <w:rsid w:val="005235A5"/>
    <w:rsid w:val="00523698"/>
    <w:rsid w:val="00524AD4"/>
    <w:rsid w:val="005256DB"/>
    <w:rsid w:val="00525E79"/>
    <w:rsid w:val="00532C9A"/>
    <w:rsid w:val="0053393A"/>
    <w:rsid w:val="00541167"/>
    <w:rsid w:val="00542D2C"/>
    <w:rsid w:val="00550B3B"/>
    <w:rsid w:val="00556732"/>
    <w:rsid w:val="00557AA9"/>
    <w:rsid w:val="00557BC6"/>
    <w:rsid w:val="00557E37"/>
    <w:rsid w:val="005601D1"/>
    <w:rsid w:val="00562C83"/>
    <w:rsid w:val="005648FF"/>
    <w:rsid w:val="005664A7"/>
    <w:rsid w:val="00567DE3"/>
    <w:rsid w:val="005708AA"/>
    <w:rsid w:val="0057253E"/>
    <w:rsid w:val="005735F4"/>
    <w:rsid w:val="00574C5E"/>
    <w:rsid w:val="00575287"/>
    <w:rsid w:val="00576B53"/>
    <w:rsid w:val="005828BD"/>
    <w:rsid w:val="0059028F"/>
    <w:rsid w:val="005909E4"/>
    <w:rsid w:val="00590D8C"/>
    <w:rsid w:val="00590E6F"/>
    <w:rsid w:val="0059103D"/>
    <w:rsid w:val="00591EE2"/>
    <w:rsid w:val="00592087"/>
    <w:rsid w:val="00596747"/>
    <w:rsid w:val="00596C62"/>
    <w:rsid w:val="005A1E63"/>
    <w:rsid w:val="005A2557"/>
    <w:rsid w:val="005A651A"/>
    <w:rsid w:val="005A6757"/>
    <w:rsid w:val="005A6FDC"/>
    <w:rsid w:val="005A7CBD"/>
    <w:rsid w:val="005B1D2D"/>
    <w:rsid w:val="005B3CC3"/>
    <w:rsid w:val="005B535D"/>
    <w:rsid w:val="005B7878"/>
    <w:rsid w:val="005C0665"/>
    <w:rsid w:val="005C115A"/>
    <w:rsid w:val="005C2295"/>
    <w:rsid w:val="005C29A9"/>
    <w:rsid w:val="005C342D"/>
    <w:rsid w:val="005C3A35"/>
    <w:rsid w:val="005C7442"/>
    <w:rsid w:val="005C7688"/>
    <w:rsid w:val="005D3D9A"/>
    <w:rsid w:val="005E3212"/>
    <w:rsid w:val="005E5AB7"/>
    <w:rsid w:val="005E5BBA"/>
    <w:rsid w:val="005E6BFC"/>
    <w:rsid w:val="005F2C06"/>
    <w:rsid w:val="005F3D31"/>
    <w:rsid w:val="006002CD"/>
    <w:rsid w:val="006004A1"/>
    <w:rsid w:val="00603EBC"/>
    <w:rsid w:val="00604681"/>
    <w:rsid w:val="00605ECF"/>
    <w:rsid w:val="006070D5"/>
    <w:rsid w:val="00610FED"/>
    <w:rsid w:val="0061200C"/>
    <w:rsid w:val="006123F4"/>
    <w:rsid w:val="00613581"/>
    <w:rsid w:val="006167C7"/>
    <w:rsid w:val="00621B49"/>
    <w:rsid w:val="006238F1"/>
    <w:rsid w:val="00623A92"/>
    <w:rsid w:val="00624A79"/>
    <w:rsid w:val="00625637"/>
    <w:rsid w:val="00631257"/>
    <w:rsid w:val="00631344"/>
    <w:rsid w:val="006313A3"/>
    <w:rsid w:val="00632FEC"/>
    <w:rsid w:val="0063384C"/>
    <w:rsid w:val="0063441C"/>
    <w:rsid w:val="006345DC"/>
    <w:rsid w:val="0063697A"/>
    <w:rsid w:val="00636FF1"/>
    <w:rsid w:val="006403F2"/>
    <w:rsid w:val="00640548"/>
    <w:rsid w:val="006417E4"/>
    <w:rsid w:val="0064212A"/>
    <w:rsid w:val="00644C73"/>
    <w:rsid w:val="006465DB"/>
    <w:rsid w:val="00646CAC"/>
    <w:rsid w:val="00650256"/>
    <w:rsid w:val="006504FF"/>
    <w:rsid w:val="0065126B"/>
    <w:rsid w:val="006514A2"/>
    <w:rsid w:val="00652F65"/>
    <w:rsid w:val="006536D9"/>
    <w:rsid w:val="006555CC"/>
    <w:rsid w:val="0065766D"/>
    <w:rsid w:val="00666963"/>
    <w:rsid w:val="00666FDB"/>
    <w:rsid w:val="006727E5"/>
    <w:rsid w:val="00672B56"/>
    <w:rsid w:val="00673136"/>
    <w:rsid w:val="006739E2"/>
    <w:rsid w:val="006744D5"/>
    <w:rsid w:val="006774F1"/>
    <w:rsid w:val="00681696"/>
    <w:rsid w:val="00684C25"/>
    <w:rsid w:val="00690583"/>
    <w:rsid w:val="006934C3"/>
    <w:rsid w:val="006A003D"/>
    <w:rsid w:val="006A28A5"/>
    <w:rsid w:val="006A3147"/>
    <w:rsid w:val="006A38D3"/>
    <w:rsid w:val="006A4026"/>
    <w:rsid w:val="006A5774"/>
    <w:rsid w:val="006A6FCC"/>
    <w:rsid w:val="006A778B"/>
    <w:rsid w:val="006A782B"/>
    <w:rsid w:val="006B0FE1"/>
    <w:rsid w:val="006B10F8"/>
    <w:rsid w:val="006B2F6C"/>
    <w:rsid w:val="006B6D89"/>
    <w:rsid w:val="006B7447"/>
    <w:rsid w:val="006C03E4"/>
    <w:rsid w:val="006C1111"/>
    <w:rsid w:val="006C118A"/>
    <w:rsid w:val="006C2FFD"/>
    <w:rsid w:val="006C437A"/>
    <w:rsid w:val="006C7823"/>
    <w:rsid w:val="006C7B4E"/>
    <w:rsid w:val="006D6E5E"/>
    <w:rsid w:val="006E00F4"/>
    <w:rsid w:val="006E339E"/>
    <w:rsid w:val="006E71A2"/>
    <w:rsid w:val="006F0055"/>
    <w:rsid w:val="006F0ED8"/>
    <w:rsid w:val="006F1D3F"/>
    <w:rsid w:val="006F4484"/>
    <w:rsid w:val="006F48B1"/>
    <w:rsid w:val="006F5F46"/>
    <w:rsid w:val="006F6684"/>
    <w:rsid w:val="006F6B2B"/>
    <w:rsid w:val="006F7938"/>
    <w:rsid w:val="006F7F3F"/>
    <w:rsid w:val="00704FE8"/>
    <w:rsid w:val="0070682B"/>
    <w:rsid w:val="0070736B"/>
    <w:rsid w:val="00710BF3"/>
    <w:rsid w:val="00711712"/>
    <w:rsid w:val="007127E7"/>
    <w:rsid w:val="00712C0D"/>
    <w:rsid w:val="007145CB"/>
    <w:rsid w:val="00714A2E"/>
    <w:rsid w:val="00715868"/>
    <w:rsid w:val="00715E25"/>
    <w:rsid w:val="007235ED"/>
    <w:rsid w:val="00723E3A"/>
    <w:rsid w:val="0072663F"/>
    <w:rsid w:val="007268D9"/>
    <w:rsid w:val="00727584"/>
    <w:rsid w:val="0073006D"/>
    <w:rsid w:val="007368DE"/>
    <w:rsid w:val="00740C03"/>
    <w:rsid w:val="00740DF3"/>
    <w:rsid w:val="00744AB5"/>
    <w:rsid w:val="007450C9"/>
    <w:rsid w:val="0074702C"/>
    <w:rsid w:val="00753354"/>
    <w:rsid w:val="00755329"/>
    <w:rsid w:val="00757EF5"/>
    <w:rsid w:val="0076015D"/>
    <w:rsid w:val="007624FD"/>
    <w:rsid w:val="00765999"/>
    <w:rsid w:val="007668F9"/>
    <w:rsid w:val="00770B05"/>
    <w:rsid w:val="00771307"/>
    <w:rsid w:val="00773260"/>
    <w:rsid w:val="00774FD3"/>
    <w:rsid w:val="00775990"/>
    <w:rsid w:val="007759E1"/>
    <w:rsid w:val="00777E30"/>
    <w:rsid w:val="00777E99"/>
    <w:rsid w:val="00780B5C"/>
    <w:rsid w:val="00782174"/>
    <w:rsid w:val="00783A61"/>
    <w:rsid w:val="00787395"/>
    <w:rsid w:val="00787911"/>
    <w:rsid w:val="00790D97"/>
    <w:rsid w:val="00791DE0"/>
    <w:rsid w:val="00792293"/>
    <w:rsid w:val="00795F08"/>
    <w:rsid w:val="00795FBB"/>
    <w:rsid w:val="007A1CC0"/>
    <w:rsid w:val="007A305C"/>
    <w:rsid w:val="007A4E81"/>
    <w:rsid w:val="007A56FB"/>
    <w:rsid w:val="007B0C47"/>
    <w:rsid w:val="007B2755"/>
    <w:rsid w:val="007B3310"/>
    <w:rsid w:val="007B3F75"/>
    <w:rsid w:val="007B672F"/>
    <w:rsid w:val="007B6856"/>
    <w:rsid w:val="007B70CC"/>
    <w:rsid w:val="007B78BF"/>
    <w:rsid w:val="007C1DF0"/>
    <w:rsid w:val="007C1EAD"/>
    <w:rsid w:val="007C2044"/>
    <w:rsid w:val="007C3283"/>
    <w:rsid w:val="007C345D"/>
    <w:rsid w:val="007C46C3"/>
    <w:rsid w:val="007E0248"/>
    <w:rsid w:val="007E08AC"/>
    <w:rsid w:val="007E2115"/>
    <w:rsid w:val="007E2408"/>
    <w:rsid w:val="007E2B90"/>
    <w:rsid w:val="007E2FF7"/>
    <w:rsid w:val="007F0FA0"/>
    <w:rsid w:val="007F4A82"/>
    <w:rsid w:val="007F6BEF"/>
    <w:rsid w:val="0080039C"/>
    <w:rsid w:val="008042F7"/>
    <w:rsid w:val="0080452F"/>
    <w:rsid w:val="0080504B"/>
    <w:rsid w:val="00805C7F"/>
    <w:rsid w:val="008060CF"/>
    <w:rsid w:val="00806373"/>
    <w:rsid w:val="00807E9A"/>
    <w:rsid w:val="00814707"/>
    <w:rsid w:val="00815A14"/>
    <w:rsid w:val="00817883"/>
    <w:rsid w:val="008209E6"/>
    <w:rsid w:val="0082228A"/>
    <w:rsid w:val="008254F8"/>
    <w:rsid w:val="00825602"/>
    <w:rsid w:val="00825E38"/>
    <w:rsid w:val="00826714"/>
    <w:rsid w:val="008340B8"/>
    <w:rsid w:val="00834B24"/>
    <w:rsid w:val="0083527D"/>
    <w:rsid w:val="00837799"/>
    <w:rsid w:val="00842B88"/>
    <w:rsid w:val="00842F88"/>
    <w:rsid w:val="0085638A"/>
    <w:rsid w:val="008623F1"/>
    <w:rsid w:val="008639AE"/>
    <w:rsid w:val="00863F01"/>
    <w:rsid w:val="00864F53"/>
    <w:rsid w:val="008653EF"/>
    <w:rsid w:val="00867294"/>
    <w:rsid w:val="0087398B"/>
    <w:rsid w:val="0087606B"/>
    <w:rsid w:val="00876739"/>
    <w:rsid w:val="008824D6"/>
    <w:rsid w:val="008852F9"/>
    <w:rsid w:val="0088611C"/>
    <w:rsid w:val="008903D0"/>
    <w:rsid w:val="00891906"/>
    <w:rsid w:val="00896E47"/>
    <w:rsid w:val="008A2C2E"/>
    <w:rsid w:val="008A6A30"/>
    <w:rsid w:val="008A6D08"/>
    <w:rsid w:val="008B0311"/>
    <w:rsid w:val="008B08BC"/>
    <w:rsid w:val="008B17AB"/>
    <w:rsid w:val="008B24B0"/>
    <w:rsid w:val="008B4A76"/>
    <w:rsid w:val="008B4C0B"/>
    <w:rsid w:val="008B502E"/>
    <w:rsid w:val="008C1260"/>
    <w:rsid w:val="008C32B6"/>
    <w:rsid w:val="008C6890"/>
    <w:rsid w:val="008C7204"/>
    <w:rsid w:val="008D1EBF"/>
    <w:rsid w:val="008D421C"/>
    <w:rsid w:val="008D4472"/>
    <w:rsid w:val="008D55FF"/>
    <w:rsid w:val="008D679A"/>
    <w:rsid w:val="008D6999"/>
    <w:rsid w:val="008D7B20"/>
    <w:rsid w:val="008E18EB"/>
    <w:rsid w:val="008E2B78"/>
    <w:rsid w:val="008E63E2"/>
    <w:rsid w:val="008E6ECA"/>
    <w:rsid w:val="008E7C70"/>
    <w:rsid w:val="008F2209"/>
    <w:rsid w:val="008F4362"/>
    <w:rsid w:val="008F6C10"/>
    <w:rsid w:val="008F6EBE"/>
    <w:rsid w:val="00900920"/>
    <w:rsid w:val="00901FFB"/>
    <w:rsid w:val="00906392"/>
    <w:rsid w:val="00910139"/>
    <w:rsid w:val="00913849"/>
    <w:rsid w:val="009164E2"/>
    <w:rsid w:val="00921E2D"/>
    <w:rsid w:val="009224E2"/>
    <w:rsid w:val="00923BFC"/>
    <w:rsid w:val="00924715"/>
    <w:rsid w:val="009254FE"/>
    <w:rsid w:val="00930259"/>
    <w:rsid w:val="009303F9"/>
    <w:rsid w:val="009318BB"/>
    <w:rsid w:val="00931AF0"/>
    <w:rsid w:val="00933D4F"/>
    <w:rsid w:val="0093451C"/>
    <w:rsid w:val="0093569F"/>
    <w:rsid w:val="00936927"/>
    <w:rsid w:val="00940FDD"/>
    <w:rsid w:val="00942AF9"/>
    <w:rsid w:val="009443D9"/>
    <w:rsid w:val="00945C15"/>
    <w:rsid w:val="00947405"/>
    <w:rsid w:val="00947ECD"/>
    <w:rsid w:val="009562DC"/>
    <w:rsid w:val="009622FE"/>
    <w:rsid w:val="00962968"/>
    <w:rsid w:val="00964610"/>
    <w:rsid w:val="00964E27"/>
    <w:rsid w:val="0096505C"/>
    <w:rsid w:val="00965D44"/>
    <w:rsid w:val="00970B4B"/>
    <w:rsid w:val="009734D0"/>
    <w:rsid w:val="00973C14"/>
    <w:rsid w:val="00976D6C"/>
    <w:rsid w:val="0098020C"/>
    <w:rsid w:val="00980835"/>
    <w:rsid w:val="009843EF"/>
    <w:rsid w:val="00990A96"/>
    <w:rsid w:val="009911EB"/>
    <w:rsid w:val="00994277"/>
    <w:rsid w:val="009954DE"/>
    <w:rsid w:val="00995C9F"/>
    <w:rsid w:val="009978DA"/>
    <w:rsid w:val="009A2EEC"/>
    <w:rsid w:val="009A6958"/>
    <w:rsid w:val="009A7794"/>
    <w:rsid w:val="009B2ABA"/>
    <w:rsid w:val="009B2AE8"/>
    <w:rsid w:val="009B456F"/>
    <w:rsid w:val="009B5B0B"/>
    <w:rsid w:val="009B6EDB"/>
    <w:rsid w:val="009C03F5"/>
    <w:rsid w:val="009C147B"/>
    <w:rsid w:val="009C1DA0"/>
    <w:rsid w:val="009C2245"/>
    <w:rsid w:val="009C4E5C"/>
    <w:rsid w:val="009C639E"/>
    <w:rsid w:val="009C7E87"/>
    <w:rsid w:val="009D09F3"/>
    <w:rsid w:val="009D0DEE"/>
    <w:rsid w:val="009D7D1C"/>
    <w:rsid w:val="009E0A9A"/>
    <w:rsid w:val="009E46FD"/>
    <w:rsid w:val="009E5C15"/>
    <w:rsid w:val="009E7BED"/>
    <w:rsid w:val="009E7D6D"/>
    <w:rsid w:val="009F0162"/>
    <w:rsid w:val="009F031D"/>
    <w:rsid w:val="009F165C"/>
    <w:rsid w:val="009F20B9"/>
    <w:rsid w:val="009F4559"/>
    <w:rsid w:val="009F5582"/>
    <w:rsid w:val="00A015ED"/>
    <w:rsid w:val="00A01FB4"/>
    <w:rsid w:val="00A02DA9"/>
    <w:rsid w:val="00A04660"/>
    <w:rsid w:val="00A103D2"/>
    <w:rsid w:val="00A14807"/>
    <w:rsid w:val="00A14B1C"/>
    <w:rsid w:val="00A176CD"/>
    <w:rsid w:val="00A20FCE"/>
    <w:rsid w:val="00A21359"/>
    <w:rsid w:val="00A22190"/>
    <w:rsid w:val="00A23292"/>
    <w:rsid w:val="00A23F91"/>
    <w:rsid w:val="00A24370"/>
    <w:rsid w:val="00A259C9"/>
    <w:rsid w:val="00A30E0F"/>
    <w:rsid w:val="00A31767"/>
    <w:rsid w:val="00A337D5"/>
    <w:rsid w:val="00A34B57"/>
    <w:rsid w:val="00A34C62"/>
    <w:rsid w:val="00A3792A"/>
    <w:rsid w:val="00A37B52"/>
    <w:rsid w:val="00A41A71"/>
    <w:rsid w:val="00A4275F"/>
    <w:rsid w:val="00A43F67"/>
    <w:rsid w:val="00A44FCA"/>
    <w:rsid w:val="00A54028"/>
    <w:rsid w:val="00A55045"/>
    <w:rsid w:val="00A55645"/>
    <w:rsid w:val="00A55811"/>
    <w:rsid w:val="00A559D3"/>
    <w:rsid w:val="00A607B2"/>
    <w:rsid w:val="00A613D2"/>
    <w:rsid w:val="00A6181A"/>
    <w:rsid w:val="00A63D0A"/>
    <w:rsid w:val="00A6751F"/>
    <w:rsid w:val="00A676F9"/>
    <w:rsid w:val="00A71697"/>
    <w:rsid w:val="00A721A8"/>
    <w:rsid w:val="00A73377"/>
    <w:rsid w:val="00A7423E"/>
    <w:rsid w:val="00A74533"/>
    <w:rsid w:val="00A7459B"/>
    <w:rsid w:val="00A815AE"/>
    <w:rsid w:val="00A8196A"/>
    <w:rsid w:val="00A833AE"/>
    <w:rsid w:val="00A84192"/>
    <w:rsid w:val="00A86A82"/>
    <w:rsid w:val="00A86CF1"/>
    <w:rsid w:val="00A90321"/>
    <w:rsid w:val="00A91E25"/>
    <w:rsid w:val="00A9248C"/>
    <w:rsid w:val="00A94E59"/>
    <w:rsid w:val="00A95059"/>
    <w:rsid w:val="00A95322"/>
    <w:rsid w:val="00A978EC"/>
    <w:rsid w:val="00AA1D29"/>
    <w:rsid w:val="00AA2ACF"/>
    <w:rsid w:val="00AA3E59"/>
    <w:rsid w:val="00AA47C0"/>
    <w:rsid w:val="00AA76FF"/>
    <w:rsid w:val="00AB485A"/>
    <w:rsid w:val="00AB4FF0"/>
    <w:rsid w:val="00AB5DCD"/>
    <w:rsid w:val="00AC0233"/>
    <w:rsid w:val="00AC5259"/>
    <w:rsid w:val="00AC6E16"/>
    <w:rsid w:val="00AD18E6"/>
    <w:rsid w:val="00AD1B3A"/>
    <w:rsid w:val="00AD2F94"/>
    <w:rsid w:val="00AD45B7"/>
    <w:rsid w:val="00AD5927"/>
    <w:rsid w:val="00AD70D2"/>
    <w:rsid w:val="00AE1384"/>
    <w:rsid w:val="00AE2756"/>
    <w:rsid w:val="00AE2BAD"/>
    <w:rsid w:val="00AE2D3E"/>
    <w:rsid w:val="00AE522E"/>
    <w:rsid w:val="00AE712E"/>
    <w:rsid w:val="00AE72C1"/>
    <w:rsid w:val="00AE7C6E"/>
    <w:rsid w:val="00AF1088"/>
    <w:rsid w:val="00AF17F6"/>
    <w:rsid w:val="00AF2BA9"/>
    <w:rsid w:val="00AF3AC2"/>
    <w:rsid w:val="00AF4082"/>
    <w:rsid w:val="00AF6C02"/>
    <w:rsid w:val="00B0051E"/>
    <w:rsid w:val="00B012C7"/>
    <w:rsid w:val="00B02C59"/>
    <w:rsid w:val="00B0303C"/>
    <w:rsid w:val="00B03CDC"/>
    <w:rsid w:val="00B0734A"/>
    <w:rsid w:val="00B0739E"/>
    <w:rsid w:val="00B07D40"/>
    <w:rsid w:val="00B134B4"/>
    <w:rsid w:val="00B2183C"/>
    <w:rsid w:val="00B30725"/>
    <w:rsid w:val="00B34E44"/>
    <w:rsid w:val="00B358E3"/>
    <w:rsid w:val="00B36A65"/>
    <w:rsid w:val="00B36C37"/>
    <w:rsid w:val="00B404BD"/>
    <w:rsid w:val="00B407D6"/>
    <w:rsid w:val="00B408EC"/>
    <w:rsid w:val="00B41BF0"/>
    <w:rsid w:val="00B42483"/>
    <w:rsid w:val="00B43F27"/>
    <w:rsid w:val="00B44D55"/>
    <w:rsid w:val="00B45216"/>
    <w:rsid w:val="00B45709"/>
    <w:rsid w:val="00B46188"/>
    <w:rsid w:val="00B52205"/>
    <w:rsid w:val="00B525F5"/>
    <w:rsid w:val="00B556A5"/>
    <w:rsid w:val="00B55969"/>
    <w:rsid w:val="00B564C9"/>
    <w:rsid w:val="00B56A5B"/>
    <w:rsid w:val="00B5709E"/>
    <w:rsid w:val="00B608EA"/>
    <w:rsid w:val="00B61C56"/>
    <w:rsid w:val="00B621CF"/>
    <w:rsid w:val="00B6226F"/>
    <w:rsid w:val="00B64108"/>
    <w:rsid w:val="00B65658"/>
    <w:rsid w:val="00B66514"/>
    <w:rsid w:val="00B70A7D"/>
    <w:rsid w:val="00B741E7"/>
    <w:rsid w:val="00B77601"/>
    <w:rsid w:val="00B81379"/>
    <w:rsid w:val="00B823A5"/>
    <w:rsid w:val="00B8311D"/>
    <w:rsid w:val="00B8329F"/>
    <w:rsid w:val="00B852AA"/>
    <w:rsid w:val="00B86C21"/>
    <w:rsid w:val="00B87159"/>
    <w:rsid w:val="00B959EA"/>
    <w:rsid w:val="00B96C10"/>
    <w:rsid w:val="00BA0496"/>
    <w:rsid w:val="00BA1B29"/>
    <w:rsid w:val="00BA489B"/>
    <w:rsid w:val="00BA675B"/>
    <w:rsid w:val="00BA6D36"/>
    <w:rsid w:val="00BB2D47"/>
    <w:rsid w:val="00BB318E"/>
    <w:rsid w:val="00BB3BD9"/>
    <w:rsid w:val="00BB41CC"/>
    <w:rsid w:val="00BC0897"/>
    <w:rsid w:val="00BC0B58"/>
    <w:rsid w:val="00BC3B98"/>
    <w:rsid w:val="00BC3D7D"/>
    <w:rsid w:val="00BC5279"/>
    <w:rsid w:val="00BC540C"/>
    <w:rsid w:val="00BC69F9"/>
    <w:rsid w:val="00BC6F73"/>
    <w:rsid w:val="00BC7E29"/>
    <w:rsid w:val="00BD0BC6"/>
    <w:rsid w:val="00BD0FD5"/>
    <w:rsid w:val="00BD17CD"/>
    <w:rsid w:val="00BD1E48"/>
    <w:rsid w:val="00BD23DB"/>
    <w:rsid w:val="00BD2865"/>
    <w:rsid w:val="00BD3DD5"/>
    <w:rsid w:val="00BD4F60"/>
    <w:rsid w:val="00BD66B1"/>
    <w:rsid w:val="00BD71E4"/>
    <w:rsid w:val="00BE134A"/>
    <w:rsid w:val="00BE349C"/>
    <w:rsid w:val="00BE382D"/>
    <w:rsid w:val="00BE3E2B"/>
    <w:rsid w:val="00BE7670"/>
    <w:rsid w:val="00BF4706"/>
    <w:rsid w:val="00C04ECA"/>
    <w:rsid w:val="00C06E1D"/>
    <w:rsid w:val="00C10A4C"/>
    <w:rsid w:val="00C10D2C"/>
    <w:rsid w:val="00C1324C"/>
    <w:rsid w:val="00C14620"/>
    <w:rsid w:val="00C168BC"/>
    <w:rsid w:val="00C21815"/>
    <w:rsid w:val="00C21C05"/>
    <w:rsid w:val="00C2455E"/>
    <w:rsid w:val="00C25101"/>
    <w:rsid w:val="00C2552B"/>
    <w:rsid w:val="00C262B6"/>
    <w:rsid w:val="00C26DEE"/>
    <w:rsid w:val="00C27C95"/>
    <w:rsid w:val="00C27FB3"/>
    <w:rsid w:val="00C32D36"/>
    <w:rsid w:val="00C333A4"/>
    <w:rsid w:val="00C3434B"/>
    <w:rsid w:val="00C346DC"/>
    <w:rsid w:val="00C34CAA"/>
    <w:rsid w:val="00C36862"/>
    <w:rsid w:val="00C40A06"/>
    <w:rsid w:val="00C40DB1"/>
    <w:rsid w:val="00C41684"/>
    <w:rsid w:val="00C45376"/>
    <w:rsid w:val="00C526B4"/>
    <w:rsid w:val="00C578B2"/>
    <w:rsid w:val="00C57DE4"/>
    <w:rsid w:val="00C61FF7"/>
    <w:rsid w:val="00C62387"/>
    <w:rsid w:val="00C6239E"/>
    <w:rsid w:val="00C62517"/>
    <w:rsid w:val="00C71242"/>
    <w:rsid w:val="00C71BEA"/>
    <w:rsid w:val="00C750A9"/>
    <w:rsid w:val="00C75C76"/>
    <w:rsid w:val="00C81E32"/>
    <w:rsid w:val="00C83DD3"/>
    <w:rsid w:val="00C86611"/>
    <w:rsid w:val="00C90C84"/>
    <w:rsid w:val="00C90D85"/>
    <w:rsid w:val="00CA39B9"/>
    <w:rsid w:val="00CA4DE7"/>
    <w:rsid w:val="00CA5DE0"/>
    <w:rsid w:val="00CA6D9D"/>
    <w:rsid w:val="00CB0050"/>
    <w:rsid w:val="00CB1AA9"/>
    <w:rsid w:val="00CB1CF4"/>
    <w:rsid w:val="00CB40E0"/>
    <w:rsid w:val="00CB4124"/>
    <w:rsid w:val="00CB4863"/>
    <w:rsid w:val="00CB7AAC"/>
    <w:rsid w:val="00CB7F09"/>
    <w:rsid w:val="00CC19A4"/>
    <w:rsid w:val="00CC1B46"/>
    <w:rsid w:val="00CC2037"/>
    <w:rsid w:val="00CC296B"/>
    <w:rsid w:val="00CC2EFF"/>
    <w:rsid w:val="00CC3A7D"/>
    <w:rsid w:val="00CC3EC4"/>
    <w:rsid w:val="00CC5D0D"/>
    <w:rsid w:val="00CC6AE4"/>
    <w:rsid w:val="00CC774B"/>
    <w:rsid w:val="00CD0227"/>
    <w:rsid w:val="00CD546E"/>
    <w:rsid w:val="00CD6083"/>
    <w:rsid w:val="00CD7D31"/>
    <w:rsid w:val="00CE0585"/>
    <w:rsid w:val="00CE279A"/>
    <w:rsid w:val="00CE3C09"/>
    <w:rsid w:val="00CE75AE"/>
    <w:rsid w:val="00CE78D1"/>
    <w:rsid w:val="00CF28F0"/>
    <w:rsid w:val="00CF40E0"/>
    <w:rsid w:val="00CF47EF"/>
    <w:rsid w:val="00CF62DC"/>
    <w:rsid w:val="00CF6507"/>
    <w:rsid w:val="00CF6B77"/>
    <w:rsid w:val="00CF7B1D"/>
    <w:rsid w:val="00CF7C45"/>
    <w:rsid w:val="00D0036C"/>
    <w:rsid w:val="00D01A31"/>
    <w:rsid w:val="00D026D9"/>
    <w:rsid w:val="00D03047"/>
    <w:rsid w:val="00D03E04"/>
    <w:rsid w:val="00D04B07"/>
    <w:rsid w:val="00D04FB2"/>
    <w:rsid w:val="00D10504"/>
    <w:rsid w:val="00D11E53"/>
    <w:rsid w:val="00D16753"/>
    <w:rsid w:val="00D16D2B"/>
    <w:rsid w:val="00D20F4A"/>
    <w:rsid w:val="00D21CCE"/>
    <w:rsid w:val="00D252DE"/>
    <w:rsid w:val="00D266E5"/>
    <w:rsid w:val="00D26982"/>
    <w:rsid w:val="00D26C38"/>
    <w:rsid w:val="00D32A67"/>
    <w:rsid w:val="00D33142"/>
    <w:rsid w:val="00D3346C"/>
    <w:rsid w:val="00D4128C"/>
    <w:rsid w:val="00D42FAB"/>
    <w:rsid w:val="00D441A7"/>
    <w:rsid w:val="00D46A02"/>
    <w:rsid w:val="00D500D5"/>
    <w:rsid w:val="00D55D63"/>
    <w:rsid w:val="00D56C0A"/>
    <w:rsid w:val="00D57378"/>
    <w:rsid w:val="00D61EB7"/>
    <w:rsid w:val="00D625E7"/>
    <w:rsid w:val="00D636A4"/>
    <w:rsid w:val="00D63AE1"/>
    <w:rsid w:val="00D7014A"/>
    <w:rsid w:val="00D70AC3"/>
    <w:rsid w:val="00D71B6E"/>
    <w:rsid w:val="00D729F4"/>
    <w:rsid w:val="00D72CDE"/>
    <w:rsid w:val="00D8038F"/>
    <w:rsid w:val="00D81633"/>
    <w:rsid w:val="00D82D00"/>
    <w:rsid w:val="00D8392D"/>
    <w:rsid w:val="00D877AE"/>
    <w:rsid w:val="00D90DE2"/>
    <w:rsid w:val="00D91A19"/>
    <w:rsid w:val="00D91B11"/>
    <w:rsid w:val="00D9418C"/>
    <w:rsid w:val="00D9534E"/>
    <w:rsid w:val="00D95782"/>
    <w:rsid w:val="00D95F21"/>
    <w:rsid w:val="00D9614D"/>
    <w:rsid w:val="00DA515C"/>
    <w:rsid w:val="00DA6152"/>
    <w:rsid w:val="00DA7F1E"/>
    <w:rsid w:val="00DB0448"/>
    <w:rsid w:val="00DB0931"/>
    <w:rsid w:val="00DB0E88"/>
    <w:rsid w:val="00DB2343"/>
    <w:rsid w:val="00DB38B1"/>
    <w:rsid w:val="00DB40A5"/>
    <w:rsid w:val="00DB742D"/>
    <w:rsid w:val="00DB77EC"/>
    <w:rsid w:val="00DB7D73"/>
    <w:rsid w:val="00DC152D"/>
    <w:rsid w:val="00DC2110"/>
    <w:rsid w:val="00DC2445"/>
    <w:rsid w:val="00DC39A0"/>
    <w:rsid w:val="00DC51D2"/>
    <w:rsid w:val="00DC62A1"/>
    <w:rsid w:val="00DC657F"/>
    <w:rsid w:val="00DC691F"/>
    <w:rsid w:val="00DC6D30"/>
    <w:rsid w:val="00DC7C96"/>
    <w:rsid w:val="00DC7C9A"/>
    <w:rsid w:val="00DD0257"/>
    <w:rsid w:val="00DD1B6F"/>
    <w:rsid w:val="00DD1EA0"/>
    <w:rsid w:val="00DD2D90"/>
    <w:rsid w:val="00DD60CC"/>
    <w:rsid w:val="00DE399B"/>
    <w:rsid w:val="00DE427B"/>
    <w:rsid w:val="00DE4879"/>
    <w:rsid w:val="00DE4EEC"/>
    <w:rsid w:val="00DE5C90"/>
    <w:rsid w:val="00DF055A"/>
    <w:rsid w:val="00DF4B3D"/>
    <w:rsid w:val="00DF5CF0"/>
    <w:rsid w:val="00DF7FE1"/>
    <w:rsid w:val="00E003E7"/>
    <w:rsid w:val="00E03520"/>
    <w:rsid w:val="00E03AAF"/>
    <w:rsid w:val="00E04EE5"/>
    <w:rsid w:val="00E10FB8"/>
    <w:rsid w:val="00E1299D"/>
    <w:rsid w:val="00E135AD"/>
    <w:rsid w:val="00E15B7F"/>
    <w:rsid w:val="00E16C85"/>
    <w:rsid w:val="00E17477"/>
    <w:rsid w:val="00E200FC"/>
    <w:rsid w:val="00E20690"/>
    <w:rsid w:val="00E244F7"/>
    <w:rsid w:val="00E25806"/>
    <w:rsid w:val="00E25ACF"/>
    <w:rsid w:val="00E264B4"/>
    <w:rsid w:val="00E26AD4"/>
    <w:rsid w:val="00E30EF8"/>
    <w:rsid w:val="00E36E6E"/>
    <w:rsid w:val="00E3754F"/>
    <w:rsid w:val="00E37B95"/>
    <w:rsid w:val="00E4130C"/>
    <w:rsid w:val="00E42E34"/>
    <w:rsid w:val="00E431A9"/>
    <w:rsid w:val="00E43B34"/>
    <w:rsid w:val="00E4491E"/>
    <w:rsid w:val="00E473E0"/>
    <w:rsid w:val="00E52D9C"/>
    <w:rsid w:val="00E53278"/>
    <w:rsid w:val="00E53B5A"/>
    <w:rsid w:val="00E54034"/>
    <w:rsid w:val="00E55E33"/>
    <w:rsid w:val="00E57CC5"/>
    <w:rsid w:val="00E6077A"/>
    <w:rsid w:val="00E611B7"/>
    <w:rsid w:val="00E613C7"/>
    <w:rsid w:val="00E64F16"/>
    <w:rsid w:val="00E6549E"/>
    <w:rsid w:val="00E65628"/>
    <w:rsid w:val="00E668FE"/>
    <w:rsid w:val="00E70F4D"/>
    <w:rsid w:val="00E74C1B"/>
    <w:rsid w:val="00E75AA3"/>
    <w:rsid w:val="00E7731E"/>
    <w:rsid w:val="00E80F5C"/>
    <w:rsid w:val="00E81B28"/>
    <w:rsid w:val="00E82EA1"/>
    <w:rsid w:val="00E835B3"/>
    <w:rsid w:val="00E842CC"/>
    <w:rsid w:val="00E84A7A"/>
    <w:rsid w:val="00E86F21"/>
    <w:rsid w:val="00E9246F"/>
    <w:rsid w:val="00E92D68"/>
    <w:rsid w:val="00E94D5B"/>
    <w:rsid w:val="00E9576C"/>
    <w:rsid w:val="00E966CA"/>
    <w:rsid w:val="00EA1FCC"/>
    <w:rsid w:val="00EA3077"/>
    <w:rsid w:val="00EA375E"/>
    <w:rsid w:val="00EA3D17"/>
    <w:rsid w:val="00EA3E45"/>
    <w:rsid w:val="00EA45EA"/>
    <w:rsid w:val="00EB0F33"/>
    <w:rsid w:val="00EB1221"/>
    <w:rsid w:val="00EB2C35"/>
    <w:rsid w:val="00EB41C2"/>
    <w:rsid w:val="00EB4CFE"/>
    <w:rsid w:val="00EB5389"/>
    <w:rsid w:val="00EB5606"/>
    <w:rsid w:val="00EB6107"/>
    <w:rsid w:val="00EC0B15"/>
    <w:rsid w:val="00EC2310"/>
    <w:rsid w:val="00EC26AF"/>
    <w:rsid w:val="00EC47D2"/>
    <w:rsid w:val="00EC50DA"/>
    <w:rsid w:val="00EC518F"/>
    <w:rsid w:val="00EC6B1F"/>
    <w:rsid w:val="00EC71BC"/>
    <w:rsid w:val="00EC723D"/>
    <w:rsid w:val="00EC74DF"/>
    <w:rsid w:val="00EC75F4"/>
    <w:rsid w:val="00EC7C3A"/>
    <w:rsid w:val="00ED1917"/>
    <w:rsid w:val="00ED3EC8"/>
    <w:rsid w:val="00ED59CE"/>
    <w:rsid w:val="00ED672B"/>
    <w:rsid w:val="00ED693A"/>
    <w:rsid w:val="00ED69E2"/>
    <w:rsid w:val="00ED71A0"/>
    <w:rsid w:val="00ED7D24"/>
    <w:rsid w:val="00EE0653"/>
    <w:rsid w:val="00EE0D1B"/>
    <w:rsid w:val="00EE1706"/>
    <w:rsid w:val="00EE1EEA"/>
    <w:rsid w:val="00EE5EA9"/>
    <w:rsid w:val="00EF1B9B"/>
    <w:rsid w:val="00EF2844"/>
    <w:rsid w:val="00EF6703"/>
    <w:rsid w:val="00F04828"/>
    <w:rsid w:val="00F07058"/>
    <w:rsid w:val="00F070F7"/>
    <w:rsid w:val="00F072FD"/>
    <w:rsid w:val="00F07DD5"/>
    <w:rsid w:val="00F10DDE"/>
    <w:rsid w:val="00F111A9"/>
    <w:rsid w:val="00F12621"/>
    <w:rsid w:val="00F1291D"/>
    <w:rsid w:val="00F200E2"/>
    <w:rsid w:val="00F20CBA"/>
    <w:rsid w:val="00F21EBB"/>
    <w:rsid w:val="00F22E10"/>
    <w:rsid w:val="00F2620A"/>
    <w:rsid w:val="00F2742E"/>
    <w:rsid w:val="00F3079A"/>
    <w:rsid w:val="00F30FE6"/>
    <w:rsid w:val="00F322D6"/>
    <w:rsid w:val="00F34043"/>
    <w:rsid w:val="00F34C13"/>
    <w:rsid w:val="00F35C2A"/>
    <w:rsid w:val="00F369A0"/>
    <w:rsid w:val="00F36CEC"/>
    <w:rsid w:val="00F42C3D"/>
    <w:rsid w:val="00F43096"/>
    <w:rsid w:val="00F431DF"/>
    <w:rsid w:val="00F44384"/>
    <w:rsid w:val="00F46975"/>
    <w:rsid w:val="00F478A6"/>
    <w:rsid w:val="00F51083"/>
    <w:rsid w:val="00F513B3"/>
    <w:rsid w:val="00F51570"/>
    <w:rsid w:val="00F51ED4"/>
    <w:rsid w:val="00F52950"/>
    <w:rsid w:val="00F53E09"/>
    <w:rsid w:val="00F56B62"/>
    <w:rsid w:val="00F60480"/>
    <w:rsid w:val="00F6500B"/>
    <w:rsid w:val="00F6610D"/>
    <w:rsid w:val="00F663D1"/>
    <w:rsid w:val="00F67E61"/>
    <w:rsid w:val="00F7062A"/>
    <w:rsid w:val="00F70F4A"/>
    <w:rsid w:val="00F7157F"/>
    <w:rsid w:val="00F72691"/>
    <w:rsid w:val="00F7415E"/>
    <w:rsid w:val="00F75788"/>
    <w:rsid w:val="00F870FC"/>
    <w:rsid w:val="00F91CE3"/>
    <w:rsid w:val="00F92DB6"/>
    <w:rsid w:val="00F9429E"/>
    <w:rsid w:val="00F94E10"/>
    <w:rsid w:val="00F9593C"/>
    <w:rsid w:val="00F95986"/>
    <w:rsid w:val="00F97D6A"/>
    <w:rsid w:val="00FA0E33"/>
    <w:rsid w:val="00FA2198"/>
    <w:rsid w:val="00FA2735"/>
    <w:rsid w:val="00FA2993"/>
    <w:rsid w:val="00FA2BD2"/>
    <w:rsid w:val="00FA2BDB"/>
    <w:rsid w:val="00FA3313"/>
    <w:rsid w:val="00FA7F14"/>
    <w:rsid w:val="00FB133E"/>
    <w:rsid w:val="00FB1B33"/>
    <w:rsid w:val="00FB20BD"/>
    <w:rsid w:val="00FB2D8E"/>
    <w:rsid w:val="00FB3C65"/>
    <w:rsid w:val="00FB47B9"/>
    <w:rsid w:val="00FB5D6F"/>
    <w:rsid w:val="00FC3957"/>
    <w:rsid w:val="00FC48E1"/>
    <w:rsid w:val="00FC5466"/>
    <w:rsid w:val="00FC59E1"/>
    <w:rsid w:val="00FC5EB6"/>
    <w:rsid w:val="00FC6FB4"/>
    <w:rsid w:val="00FD57D6"/>
    <w:rsid w:val="00FD5EFA"/>
    <w:rsid w:val="00FD70B9"/>
    <w:rsid w:val="00FE0C58"/>
    <w:rsid w:val="00FE1CD1"/>
    <w:rsid w:val="00FE4221"/>
    <w:rsid w:val="00FE5B73"/>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09278752">
      <w:bodyDiv w:val="1"/>
      <w:marLeft w:val="0"/>
      <w:marRight w:val="0"/>
      <w:marTop w:val="0"/>
      <w:marBottom w:val="0"/>
      <w:divBdr>
        <w:top w:val="none" w:sz="0" w:space="0" w:color="auto"/>
        <w:left w:val="none" w:sz="0" w:space="0" w:color="auto"/>
        <w:bottom w:val="none" w:sz="0" w:space="0" w:color="auto"/>
        <w:right w:val="none" w:sz="0" w:space="0" w:color="auto"/>
      </w:divBdr>
      <w:divsChild>
        <w:div w:id="1768773107">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uto.gabaphethe@wits.ac.za" TargetMode="External"/><Relationship Id="rId5" Type="http://schemas.openxmlformats.org/officeDocument/2006/relationships/webSettings" Target="webSettings.xml"/><Relationship Id="rId10" Type="http://schemas.openxmlformats.org/officeDocument/2006/relationships/hyperlink" Target="mailto:ariella.scher@wits.ac.za" TargetMode="External"/><Relationship Id="rId4" Type="http://schemas.openxmlformats.org/officeDocument/2006/relationships/settings" Target="settings.xml"/><Relationship Id="rId9" Type="http://schemas.openxmlformats.org/officeDocument/2006/relationships/hyperlink" Target="mailto:mramraj@werksman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9v3SApg341%27%5d&amp;xhitlist_md=target-id=0-0-0-3544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2v5SApg713%27%5d&amp;xhitlist_md=target-id=0-0-0-7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D72B-E269-4CAA-9076-13A33FC3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3</cp:revision>
  <cp:lastPrinted>2023-09-08T07:51:00Z</cp:lastPrinted>
  <dcterms:created xsi:type="dcterms:W3CDTF">2023-09-08T12:39:00Z</dcterms:created>
  <dcterms:modified xsi:type="dcterms:W3CDTF">2023-09-08T12:42:00Z</dcterms:modified>
</cp:coreProperties>
</file>