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64E7" w14:textId="77777777" w:rsidR="00130522" w:rsidRPr="0045086B" w:rsidRDefault="00130522" w:rsidP="00130522">
      <w:pPr>
        <w:spacing w:after="0" w:line="360" w:lineRule="auto"/>
        <w:ind w:left="306" w:hangingChars="127" w:hanging="306"/>
        <w:jc w:val="center"/>
        <w:rPr>
          <w:rFonts w:eastAsia="Times New Roman" w:cs="Arial"/>
          <w:b/>
          <w:kern w:val="0"/>
          <w:szCs w:val="24"/>
          <w:lang w:eastAsia="en-GB"/>
          <w14:ligatures w14:val="none"/>
        </w:rPr>
      </w:pPr>
      <w:r w:rsidRPr="0045086B">
        <w:rPr>
          <w:rFonts w:eastAsia="Times New Roman" w:cs="Arial"/>
          <w:b/>
          <w:kern w:val="0"/>
          <w:szCs w:val="24"/>
          <w:lang w:eastAsia="en-GB"/>
          <w14:ligatures w14:val="none"/>
        </w:rPr>
        <w:t>REPUBLIC OF SOUTH AFRICA</w:t>
      </w:r>
    </w:p>
    <w:p w14:paraId="3617A578" w14:textId="77777777" w:rsidR="00130522" w:rsidRPr="0045086B" w:rsidRDefault="00130522" w:rsidP="00130522">
      <w:pPr>
        <w:spacing w:after="0" w:line="360" w:lineRule="auto"/>
        <w:ind w:left="306" w:hangingChars="127" w:hanging="306"/>
        <w:jc w:val="center"/>
        <w:rPr>
          <w:rFonts w:eastAsia="Times New Roman" w:cs="Arial"/>
          <w:b/>
          <w:kern w:val="0"/>
          <w:szCs w:val="24"/>
          <w:lang w:eastAsia="en-GB"/>
          <w14:ligatures w14:val="none"/>
        </w:rPr>
      </w:pPr>
      <w:r w:rsidRPr="0045086B">
        <w:rPr>
          <w:rFonts w:eastAsia="MS Mincho" w:cs="Arial"/>
          <w:b/>
          <w:noProof/>
          <w:kern w:val="0"/>
          <w:szCs w:val="24"/>
          <w:lang w:val="en-US"/>
          <w14:ligatures w14:val="none"/>
        </w:rPr>
        <w:drawing>
          <wp:inline distT="0" distB="0" distL="0" distR="0" wp14:anchorId="185F5D16" wp14:editId="1D82DF79">
            <wp:extent cx="14732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4433C53C" w14:textId="77777777" w:rsidR="00130522" w:rsidRPr="0045086B" w:rsidRDefault="00130522" w:rsidP="00130522">
      <w:pPr>
        <w:spacing w:after="0" w:line="360" w:lineRule="auto"/>
        <w:ind w:left="306" w:hangingChars="127" w:hanging="306"/>
        <w:jc w:val="center"/>
        <w:rPr>
          <w:rFonts w:eastAsia="Times New Roman" w:cs="Arial"/>
          <w:b/>
          <w:kern w:val="0"/>
          <w:szCs w:val="24"/>
          <w:lang w:eastAsia="en-GB"/>
          <w14:ligatures w14:val="none"/>
        </w:rPr>
      </w:pPr>
      <w:r w:rsidRPr="0045086B">
        <w:rPr>
          <w:rFonts w:eastAsia="Times New Roman" w:cs="Arial"/>
          <w:b/>
          <w:kern w:val="0"/>
          <w:szCs w:val="24"/>
          <w:lang w:eastAsia="en-GB"/>
          <w14:ligatures w14:val="none"/>
        </w:rPr>
        <w:t>IN THE HIGH COURT OF SOUTH AFRICA</w:t>
      </w:r>
    </w:p>
    <w:p w14:paraId="11226412" w14:textId="74C1BB83" w:rsidR="00130522" w:rsidRPr="0045086B" w:rsidRDefault="00130522" w:rsidP="00130522">
      <w:pPr>
        <w:spacing w:after="0" w:line="480" w:lineRule="auto"/>
        <w:ind w:left="306" w:hangingChars="127" w:hanging="306"/>
        <w:jc w:val="center"/>
        <w:rPr>
          <w:rFonts w:eastAsia="Times New Roman" w:cs="Arial"/>
          <w:b/>
          <w:kern w:val="0"/>
          <w:szCs w:val="24"/>
          <w:lang w:eastAsia="en-GB"/>
          <w14:ligatures w14:val="none"/>
        </w:rPr>
      </w:pPr>
      <w:r w:rsidRPr="0045086B">
        <w:rPr>
          <w:rFonts w:eastAsia="Times New Roman" w:cs="Arial"/>
          <w:b/>
          <w:kern w:val="0"/>
          <w:szCs w:val="24"/>
          <w:lang w:eastAsia="en-GB"/>
          <w14:ligatures w14:val="none"/>
        </w:rPr>
        <w:t xml:space="preserve">GAUTENG LOCAL DIVISION, </w:t>
      </w:r>
      <w:r w:rsidR="005F0034">
        <w:rPr>
          <w:rFonts w:eastAsia="Times New Roman" w:cs="Arial"/>
          <w:b/>
          <w:kern w:val="0"/>
          <w:szCs w:val="24"/>
          <w:lang w:eastAsia="en-GB"/>
          <w14:ligatures w14:val="none"/>
        </w:rPr>
        <w:t>JOHANNESBURG</w:t>
      </w:r>
    </w:p>
    <w:p w14:paraId="6F65AEC6" w14:textId="77777777" w:rsidR="00130522" w:rsidRPr="0045086B" w:rsidRDefault="00130522" w:rsidP="00130522">
      <w:pPr>
        <w:spacing w:after="0" w:line="360" w:lineRule="auto"/>
        <w:ind w:left="306" w:hangingChars="127" w:hanging="306"/>
        <w:jc w:val="center"/>
        <w:rPr>
          <w:rFonts w:eastAsia="Times New Roman" w:cs="Arial"/>
          <w:b/>
          <w:kern w:val="0"/>
          <w:szCs w:val="24"/>
          <w:lang w:eastAsia="en-GB"/>
          <w14:ligatures w14:val="none"/>
        </w:rPr>
      </w:pPr>
    </w:p>
    <w:p w14:paraId="2AEED087" w14:textId="5A07CE3C" w:rsidR="00130522" w:rsidRPr="0045086B" w:rsidRDefault="00130522" w:rsidP="00130522">
      <w:pPr>
        <w:spacing w:after="0" w:line="600" w:lineRule="auto"/>
        <w:ind w:left="306" w:hangingChars="127" w:hanging="306"/>
        <w:jc w:val="right"/>
        <w:rPr>
          <w:rFonts w:eastAsia="Times New Roman" w:cs="Arial"/>
          <w:b/>
          <w:kern w:val="0"/>
          <w:szCs w:val="24"/>
          <w:lang w:eastAsia="en-GB"/>
          <w14:ligatures w14:val="none"/>
        </w:rPr>
      </w:pPr>
      <w:r w:rsidRPr="0045086B">
        <w:rPr>
          <w:rFonts w:eastAsia="Times New Roman" w:cs="Arial"/>
          <w:b/>
          <w:kern w:val="0"/>
          <w:szCs w:val="24"/>
          <w:lang w:eastAsia="en-GB"/>
          <w14:ligatures w14:val="none"/>
        </w:rPr>
        <w:tab/>
      </w:r>
      <w:r w:rsidRPr="0045086B">
        <w:rPr>
          <w:rFonts w:eastAsia="Times New Roman" w:cs="Arial"/>
          <w:b/>
          <w:kern w:val="0"/>
          <w:szCs w:val="24"/>
          <w:lang w:eastAsia="en-GB"/>
          <w14:ligatures w14:val="none"/>
        </w:rPr>
        <w:tab/>
      </w:r>
      <w:r w:rsidRPr="0045086B">
        <w:rPr>
          <w:rFonts w:eastAsia="Times New Roman" w:cs="Arial"/>
          <w:b/>
          <w:kern w:val="0"/>
          <w:szCs w:val="24"/>
          <w:lang w:eastAsia="en-GB"/>
          <w14:ligatures w14:val="none"/>
        </w:rPr>
        <w:tab/>
        <w:t>CASE NO:</w:t>
      </w:r>
      <w:r w:rsidRPr="0045086B">
        <w:rPr>
          <w:rFonts w:eastAsia="Times New Roman" w:cs="Arial"/>
          <w:b/>
          <w:kern w:val="25"/>
          <w:szCs w:val="24"/>
          <w:lang w:val="en-GB" w:eastAsia="en-GB"/>
          <w14:ligatures w14:val="none"/>
        </w:rPr>
        <w:t xml:space="preserve"> </w:t>
      </w:r>
      <w:r w:rsidR="00C64C15">
        <w:rPr>
          <w:rFonts w:eastAsia="Times New Roman" w:cs="Arial"/>
          <w:b/>
          <w:bCs/>
          <w:kern w:val="25"/>
          <w:szCs w:val="24"/>
          <w:lang w:eastAsia="en-GB"/>
          <w14:ligatures w14:val="none"/>
        </w:rPr>
        <w:t>005599/2022</w:t>
      </w:r>
      <w:r>
        <w:rPr>
          <w:rFonts w:eastAsia="Times New Roman" w:cs="Arial"/>
          <w:b/>
          <w:bCs/>
          <w:kern w:val="25"/>
          <w:szCs w:val="24"/>
          <w:lang w:eastAsia="en-GB"/>
          <w14:ligatures w14:val="none"/>
        </w:rPr>
        <w:t xml:space="preserve"> </w:t>
      </w:r>
    </w:p>
    <w:p w14:paraId="26C2826B" w14:textId="77777777" w:rsidR="00130522" w:rsidRPr="0045086B" w:rsidRDefault="00130522" w:rsidP="00130522">
      <w:pPr>
        <w:spacing w:after="0" w:line="360" w:lineRule="auto"/>
        <w:ind w:left="305" w:hangingChars="127" w:hanging="305"/>
        <w:jc w:val="both"/>
        <w:rPr>
          <w:rFonts w:eastAsia="Times New Roman" w:cs="Arial"/>
          <w:kern w:val="0"/>
          <w:szCs w:val="24"/>
          <w:u w:val="single"/>
          <w:lang w:val="en-GB" w:eastAsia="en-GB"/>
          <w14:ligatures w14:val="none"/>
        </w:rPr>
      </w:pPr>
      <w:r w:rsidRPr="0045086B">
        <w:rPr>
          <w:rFonts w:eastAsia="MS Mincho" w:cs="Arial"/>
          <w:noProof/>
          <w:kern w:val="0"/>
          <w:szCs w:val="24"/>
          <w:lang w:val="en-US"/>
          <w14:ligatures w14:val="none"/>
        </w:rPr>
        <mc:AlternateContent>
          <mc:Choice Requires="wps">
            <w:drawing>
              <wp:anchor distT="0" distB="0" distL="114300" distR="114300" simplePos="0" relativeHeight="251659264" behindDoc="0" locked="0" layoutInCell="1" allowOverlap="1" wp14:anchorId="40C3ED90" wp14:editId="377D8787">
                <wp:simplePos x="0" y="0"/>
                <wp:positionH relativeFrom="margin">
                  <wp:align>left</wp:align>
                </wp:positionH>
                <wp:positionV relativeFrom="paragraph">
                  <wp:posOffset>6350</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612C39CF" w14:textId="77777777" w:rsidR="00130522" w:rsidRPr="004120A8" w:rsidRDefault="00130522" w:rsidP="00130522">
                            <w:pPr>
                              <w:jc w:val="center"/>
                              <w:rPr>
                                <w:rFonts w:ascii="Century Gothic" w:hAnsi="Century Gothic"/>
                                <w:b/>
                                <w:sz w:val="2"/>
                                <w:szCs w:val="18"/>
                              </w:rPr>
                            </w:pPr>
                          </w:p>
                          <w:p w14:paraId="78B2A9EA" w14:textId="41F9C5D4" w:rsidR="00130522" w:rsidRPr="004120A8" w:rsidRDefault="003D2CBF" w:rsidP="003D2CB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30522">
                              <w:rPr>
                                <w:rFonts w:ascii="Century Gothic" w:hAnsi="Century Gothic"/>
                                <w:sz w:val="18"/>
                                <w:szCs w:val="18"/>
                              </w:rPr>
                              <w:t>REPORTABLE: YES/NO</w:t>
                            </w:r>
                          </w:p>
                          <w:p w14:paraId="792D6F8A" w14:textId="01C6C82B" w:rsidR="00130522" w:rsidRPr="004120A8" w:rsidRDefault="003D2CBF" w:rsidP="003D2CB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30522" w:rsidRPr="004120A8">
                              <w:rPr>
                                <w:rFonts w:ascii="Century Gothic" w:hAnsi="Century Gothic"/>
                                <w:sz w:val="18"/>
                                <w:szCs w:val="18"/>
                              </w:rPr>
                              <w:t>O</w:t>
                            </w:r>
                            <w:r w:rsidR="00130522">
                              <w:rPr>
                                <w:rFonts w:ascii="Century Gothic" w:hAnsi="Century Gothic"/>
                                <w:sz w:val="18"/>
                                <w:szCs w:val="18"/>
                              </w:rPr>
                              <w:t>F INTEREST TO OTHER JUDGES: YES/</w:t>
                            </w:r>
                            <w:r w:rsidR="00130522" w:rsidRPr="004120A8">
                              <w:rPr>
                                <w:rFonts w:ascii="Century Gothic" w:hAnsi="Century Gothic"/>
                                <w:sz w:val="18"/>
                                <w:szCs w:val="18"/>
                              </w:rPr>
                              <w:t>NO</w:t>
                            </w:r>
                          </w:p>
                          <w:p w14:paraId="5F1CF2F3" w14:textId="589907A2" w:rsidR="00130522" w:rsidRDefault="003D2CBF" w:rsidP="003D2CBF">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130522">
                              <w:rPr>
                                <w:rFonts w:ascii="Century Gothic" w:hAnsi="Century Gothic"/>
                                <w:sz w:val="18"/>
                                <w:szCs w:val="18"/>
                              </w:rPr>
                              <w:t>REVISED: YES/NO</w:t>
                            </w:r>
                          </w:p>
                          <w:p w14:paraId="74A12AD1" w14:textId="77777777" w:rsidR="00130522" w:rsidRDefault="00130522" w:rsidP="00130522">
                            <w:pPr>
                              <w:spacing w:after="0"/>
                              <w:ind w:left="900"/>
                              <w:rPr>
                                <w:rFonts w:ascii="Century Gothic" w:hAnsi="Century Gothic"/>
                                <w:sz w:val="18"/>
                                <w:szCs w:val="18"/>
                              </w:rPr>
                            </w:pPr>
                          </w:p>
                          <w:p w14:paraId="65F48C42" w14:textId="77777777" w:rsidR="00130522" w:rsidRPr="00CE3BCB" w:rsidRDefault="00130522" w:rsidP="00130522">
                            <w:pPr>
                              <w:spacing w:after="0"/>
                              <w:ind w:left="900"/>
                              <w:rPr>
                                <w:rFonts w:ascii="Century Gothic" w:hAnsi="Century Gothic"/>
                                <w:sz w:val="18"/>
                                <w:szCs w:val="18"/>
                              </w:rPr>
                            </w:pPr>
                          </w:p>
                          <w:p w14:paraId="71B5B563" w14:textId="274F0148" w:rsidR="00130522" w:rsidRPr="004120A8" w:rsidRDefault="00130522" w:rsidP="00130522">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w:t>
                            </w:r>
                            <w:r w:rsidRPr="004120A8">
                              <w:rPr>
                                <w:rFonts w:ascii="Century Gothic" w:hAnsi="Century Gothic"/>
                                <w:b/>
                                <w:sz w:val="18"/>
                                <w:szCs w:val="18"/>
                              </w:rPr>
                              <w:t>…</w:t>
                            </w:r>
                          </w:p>
                          <w:p w14:paraId="62FC8901" w14:textId="77777777" w:rsidR="00130522" w:rsidRPr="004120A8" w:rsidRDefault="00130522" w:rsidP="00130522">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D20D6E4" w14:textId="77777777" w:rsidR="00130522" w:rsidRPr="004120A8" w:rsidRDefault="00130522" w:rsidP="0013052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ED90" id="_x0000_t202" coordsize="21600,21600" o:spt="202" path="m,l,21600r21600,l21600,xe">
                <v:stroke joinstyle="miter"/>
                <v:path gradientshapeok="t" o:connecttype="rect"/>
              </v:shapetype>
              <v:shape id="Text Box 9" o:spid="_x0000_s1026" type="#_x0000_t202" style="position:absolute;left:0;text-align:left;margin-left:0;margin-top:.5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">
                <v:textbox>
                  <w:txbxContent>
                    <w:p w14:paraId="612C39CF" w14:textId="77777777" w:rsidR="00130522" w:rsidRPr="004120A8" w:rsidRDefault="00130522" w:rsidP="00130522">
                      <w:pPr>
                        <w:jc w:val="center"/>
                        <w:rPr>
                          <w:rFonts w:ascii="Century Gothic" w:hAnsi="Century Gothic"/>
                          <w:b/>
                          <w:sz w:val="2"/>
                          <w:szCs w:val="18"/>
                        </w:rPr>
                      </w:pPr>
                    </w:p>
                    <w:p w14:paraId="78B2A9EA" w14:textId="41F9C5D4" w:rsidR="00130522" w:rsidRPr="004120A8" w:rsidRDefault="003D2CBF" w:rsidP="003D2CB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30522">
                        <w:rPr>
                          <w:rFonts w:ascii="Century Gothic" w:hAnsi="Century Gothic"/>
                          <w:sz w:val="18"/>
                          <w:szCs w:val="18"/>
                        </w:rPr>
                        <w:t>REPORTABLE: YES/NO</w:t>
                      </w:r>
                    </w:p>
                    <w:p w14:paraId="792D6F8A" w14:textId="01C6C82B" w:rsidR="00130522" w:rsidRPr="004120A8" w:rsidRDefault="003D2CBF" w:rsidP="003D2CB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30522" w:rsidRPr="004120A8">
                        <w:rPr>
                          <w:rFonts w:ascii="Century Gothic" w:hAnsi="Century Gothic"/>
                          <w:sz w:val="18"/>
                          <w:szCs w:val="18"/>
                        </w:rPr>
                        <w:t>O</w:t>
                      </w:r>
                      <w:r w:rsidR="00130522">
                        <w:rPr>
                          <w:rFonts w:ascii="Century Gothic" w:hAnsi="Century Gothic"/>
                          <w:sz w:val="18"/>
                          <w:szCs w:val="18"/>
                        </w:rPr>
                        <w:t>F INTEREST TO OTHER JUDGES: YES/</w:t>
                      </w:r>
                      <w:r w:rsidR="00130522" w:rsidRPr="004120A8">
                        <w:rPr>
                          <w:rFonts w:ascii="Century Gothic" w:hAnsi="Century Gothic"/>
                          <w:sz w:val="18"/>
                          <w:szCs w:val="18"/>
                        </w:rPr>
                        <w:t>NO</w:t>
                      </w:r>
                    </w:p>
                    <w:p w14:paraId="5F1CF2F3" w14:textId="589907A2" w:rsidR="00130522" w:rsidRDefault="003D2CBF" w:rsidP="003D2CBF">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130522">
                        <w:rPr>
                          <w:rFonts w:ascii="Century Gothic" w:hAnsi="Century Gothic"/>
                          <w:sz w:val="18"/>
                          <w:szCs w:val="18"/>
                        </w:rPr>
                        <w:t>REVISED: YES/NO</w:t>
                      </w:r>
                    </w:p>
                    <w:p w14:paraId="74A12AD1" w14:textId="77777777" w:rsidR="00130522" w:rsidRDefault="00130522" w:rsidP="00130522">
                      <w:pPr>
                        <w:spacing w:after="0"/>
                        <w:ind w:left="900"/>
                        <w:rPr>
                          <w:rFonts w:ascii="Century Gothic" w:hAnsi="Century Gothic"/>
                          <w:sz w:val="18"/>
                          <w:szCs w:val="18"/>
                        </w:rPr>
                      </w:pPr>
                    </w:p>
                    <w:p w14:paraId="65F48C42" w14:textId="77777777" w:rsidR="00130522" w:rsidRPr="00CE3BCB" w:rsidRDefault="00130522" w:rsidP="00130522">
                      <w:pPr>
                        <w:spacing w:after="0"/>
                        <w:ind w:left="900"/>
                        <w:rPr>
                          <w:rFonts w:ascii="Century Gothic" w:hAnsi="Century Gothic"/>
                          <w:sz w:val="18"/>
                          <w:szCs w:val="18"/>
                        </w:rPr>
                      </w:pPr>
                    </w:p>
                    <w:p w14:paraId="71B5B563" w14:textId="274F0148" w:rsidR="00130522" w:rsidRPr="004120A8" w:rsidRDefault="00130522" w:rsidP="00130522">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w:t>
                      </w:r>
                      <w:r w:rsidRPr="004120A8">
                        <w:rPr>
                          <w:rFonts w:ascii="Century Gothic" w:hAnsi="Century Gothic"/>
                          <w:b/>
                          <w:sz w:val="18"/>
                          <w:szCs w:val="18"/>
                        </w:rPr>
                        <w:t>…</w:t>
                      </w:r>
                    </w:p>
                    <w:p w14:paraId="62FC8901" w14:textId="77777777" w:rsidR="00130522" w:rsidRPr="004120A8" w:rsidRDefault="00130522" w:rsidP="00130522">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D20D6E4" w14:textId="77777777" w:rsidR="00130522" w:rsidRPr="004120A8" w:rsidRDefault="00130522" w:rsidP="00130522">
                      <w:pPr>
                        <w:rPr>
                          <w:rFonts w:ascii="Century Gothic" w:hAnsi="Century Gothic"/>
                          <w:b/>
                          <w:sz w:val="2"/>
                          <w:szCs w:val="18"/>
                        </w:rPr>
                      </w:pPr>
                    </w:p>
                  </w:txbxContent>
                </v:textbox>
                <w10:wrap anchorx="margin"/>
              </v:shape>
            </w:pict>
          </mc:Fallback>
        </mc:AlternateContent>
      </w:r>
    </w:p>
    <w:p w14:paraId="0F11FF44" w14:textId="77777777" w:rsidR="00130522" w:rsidRPr="0045086B" w:rsidRDefault="00130522" w:rsidP="00130522">
      <w:pPr>
        <w:spacing w:after="0" w:line="360" w:lineRule="auto"/>
        <w:ind w:left="305" w:hangingChars="127" w:hanging="305"/>
        <w:jc w:val="both"/>
        <w:rPr>
          <w:rFonts w:eastAsia="Times New Roman" w:cs="Arial"/>
          <w:kern w:val="0"/>
          <w:szCs w:val="24"/>
          <w:u w:val="single"/>
          <w:lang w:val="en-GB" w:eastAsia="en-GB"/>
          <w14:ligatures w14:val="none"/>
        </w:rPr>
      </w:pPr>
    </w:p>
    <w:p w14:paraId="407A969D" w14:textId="77777777" w:rsidR="00130522" w:rsidRPr="0045086B" w:rsidRDefault="00130522" w:rsidP="00130522">
      <w:pPr>
        <w:spacing w:after="0" w:line="360" w:lineRule="auto"/>
        <w:ind w:left="305" w:hangingChars="127" w:hanging="305"/>
        <w:jc w:val="both"/>
        <w:rPr>
          <w:rFonts w:eastAsia="Times New Roman" w:cs="Arial"/>
          <w:kern w:val="0"/>
          <w:szCs w:val="24"/>
          <w:u w:val="single"/>
          <w:lang w:val="en-GB" w:eastAsia="en-GB"/>
          <w14:ligatures w14:val="none"/>
        </w:rPr>
      </w:pPr>
    </w:p>
    <w:p w14:paraId="39F0E6BE" w14:textId="77777777" w:rsidR="00130522" w:rsidRPr="0045086B" w:rsidRDefault="00130522" w:rsidP="00130522">
      <w:pPr>
        <w:spacing w:after="0" w:line="360" w:lineRule="auto"/>
        <w:ind w:left="305" w:hangingChars="127" w:hanging="305"/>
        <w:jc w:val="both"/>
        <w:rPr>
          <w:rFonts w:eastAsia="Calibri" w:cs="Arial"/>
          <w:kern w:val="0"/>
          <w:szCs w:val="24"/>
          <w14:ligatures w14:val="none"/>
        </w:rPr>
      </w:pPr>
    </w:p>
    <w:p w14:paraId="69D0DB77" w14:textId="77777777" w:rsidR="00130522" w:rsidRDefault="00130522" w:rsidP="00130522">
      <w:pPr>
        <w:widowControl w:val="0"/>
        <w:autoSpaceDE w:val="0"/>
        <w:autoSpaceDN w:val="0"/>
        <w:adjustRightInd w:val="0"/>
        <w:spacing w:after="0" w:line="600" w:lineRule="auto"/>
        <w:jc w:val="both"/>
        <w:rPr>
          <w:rFonts w:eastAsia="MS Mincho" w:cs="Arial"/>
          <w:color w:val="1B1919"/>
          <w:kern w:val="0"/>
          <w:szCs w:val="24"/>
          <w:lang w:val="en-GB" w:eastAsia="ja-JP"/>
          <w14:ligatures w14:val="none"/>
        </w:rPr>
      </w:pPr>
    </w:p>
    <w:p w14:paraId="0C805946" w14:textId="77777777" w:rsidR="00130522" w:rsidRPr="0045086B" w:rsidRDefault="00130522" w:rsidP="00130522">
      <w:pPr>
        <w:widowControl w:val="0"/>
        <w:autoSpaceDE w:val="0"/>
        <w:autoSpaceDN w:val="0"/>
        <w:adjustRightInd w:val="0"/>
        <w:spacing w:after="0" w:line="600" w:lineRule="auto"/>
        <w:ind w:left="305" w:hangingChars="127" w:hanging="305"/>
        <w:jc w:val="both"/>
        <w:rPr>
          <w:rFonts w:eastAsia="MS Mincho" w:cs="Arial"/>
          <w:color w:val="1B1919"/>
          <w:kern w:val="0"/>
          <w:szCs w:val="24"/>
          <w:lang w:val="en-GB" w:eastAsia="ja-JP"/>
          <w14:ligatures w14:val="none"/>
        </w:rPr>
      </w:pPr>
      <w:r w:rsidRPr="0045086B">
        <w:rPr>
          <w:rFonts w:eastAsia="MS Mincho" w:cs="Arial"/>
          <w:color w:val="1B1919"/>
          <w:kern w:val="0"/>
          <w:szCs w:val="24"/>
          <w:lang w:val="en-GB" w:eastAsia="ja-JP"/>
          <w14:ligatures w14:val="none"/>
        </w:rPr>
        <w:t>In the matter between:</w:t>
      </w:r>
    </w:p>
    <w:p w14:paraId="32ED7B44" w14:textId="678CEB2A" w:rsidR="00130522" w:rsidRDefault="00C64C15" w:rsidP="00130522">
      <w:pPr>
        <w:spacing w:after="0" w:line="600" w:lineRule="auto"/>
        <w:jc w:val="both"/>
        <w:rPr>
          <w:rFonts w:cs="Arial"/>
          <w:color w:val="000000"/>
          <w:szCs w:val="24"/>
        </w:rPr>
      </w:pPr>
      <w:r>
        <w:rPr>
          <w:rFonts w:cs="Arial"/>
          <w:b/>
          <w:bCs/>
          <w:color w:val="000000"/>
          <w:szCs w:val="24"/>
        </w:rPr>
        <w:t>WBHO-LUBOCON JV</w:t>
      </w:r>
      <w:r>
        <w:rPr>
          <w:rFonts w:cs="Arial"/>
          <w:b/>
          <w:bCs/>
          <w:color w:val="000000"/>
          <w:szCs w:val="24"/>
        </w:rPr>
        <w:tab/>
      </w:r>
      <w:r>
        <w:rPr>
          <w:rFonts w:cs="Arial"/>
          <w:b/>
          <w:bCs/>
          <w:color w:val="000000"/>
          <w:szCs w:val="24"/>
        </w:rPr>
        <w:tab/>
      </w:r>
      <w:r>
        <w:rPr>
          <w:rFonts w:cs="Arial"/>
          <w:b/>
          <w:bCs/>
          <w:color w:val="000000"/>
          <w:szCs w:val="24"/>
        </w:rPr>
        <w:tab/>
      </w:r>
      <w:r w:rsidR="00130522" w:rsidRPr="00456142">
        <w:rPr>
          <w:rFonts w:cs="Arial"/>
          <w:b/>
          <w:bCs/>
          <w:color w:val="000000"/>
          <w:szCs w:val="24"/>
        </w:rPr>
        <w:tab/>
      </w:r>
      <w:r w:rsidR="00130522">
        <w:rPr>
          <w:rFonts w:cs="Arial"/>
          <w:color w:val="000000"/>
          <w:szCs w:val="24"/>
        </w:rPr>
        <w:tab/>
      </w:r>
      <w:r w:rsidR="00130522">
        <w:rPr>
          <w:rFonts w:cs="Arial"/>
          <w:color w:val="000000"/>
          <w:szCs w:val="24"/>
        </w:rPr>
        <w:tab/>
      </w:r>
      <w:r w:rsidR="00130522">
        <w:rPr>
          <w:rFonts w:cs="Arial"/>
          <w:color w:val="000000"/>
          <w:szCs w:val="24"/>
        </w:rPr>
        <w:tab/>
      </w:r>
      <w:r>
        <w:rPr>
          <w:rFonts w:cs="Arial"/>
          <w:color w:val="000000"/>
          <w:szCs w:val="24"/>
        </w:rPr>
        <w:tab/>
      </w:r>
      <w:r w:rsidR="00130522" w:rsidRPr="00B12D64">
        <w:rPr>
          <w:rFonts w:cs="Arial"/>
          <w:color w:val="000000"/>
          <w:szCs w:val="24"/>
        </w:rPr>
        <w:t xml:space="preserve">Applicant </w:t>
      </w:r>
    </w:p>
    <w:p w14:paraId="2A63D9C0" w14:textId="77777777" w:rsidR="00130522" w:rsidRDefault="00130522" w:rsidP="00130522">
      <w:pPr>
        <w:spacing w:after="0" w:line="600" w:lineRule="auto"/>
        <w:jc w:val="both"/>
        <w:rPr>
          <w:rFonts w:cs="Arial"/>
          <w:color w:val="000000"/>
          <w:szCs w:val="24"/>
        </w:rPr>
      </w:pPr>
      <w:r w:rsidRPr="00B12D64">
        <w:rPr>
          <w:rFonts w:cs="Arial"/>
          <w:color w:val="000000"/>
          <w:szCs w:val="24"/>
        </w:rPr>
        <w:t xml:space="preserve">and </w:t>
      </w:r>
    </w:p>
    <w:p w14:paraId="0DC9F2C8" w14:textId="4F196D96" w:rsidR="00130522" w:rsidRDefault="00C64C15" w:rsidP="00C64C15">
      <w:pPr>
        <w:spacing w:after="0" w:line="276" w:lineRule="auto"/>
        <w:jc w:val="both"/>
        <w:rPr>
          <w:rFonts w:cs="Arial"/>
          <w:color w:val="000000"/>
          <w:szCs w:val="24"/>
        </w:rPr>
      </w:pPr>
      <w:r>
        <w:rPr>
          <w:rFonts w:cs="Arial"/>
          <w:b/>
          <w:bCs/>
          <w:color w:val="000000"/>
          <w:szCs w:val="24"/>
        </w:rPr>
        <w:t>ESKOM HOLDINGS SOC LIMITED</w:t>
      </w:r>
      <w:r w:rsidR="00130522" w:rsidRPr="00B12D64">
        <w:rPr>
          <w:rFonts w:cs="Arial"/>
          <w:color w:val="000000"/>
          <w:szCs w:val="24"/>
        </w:rPr>
        <w:t xml:space="preserve"> </w:t>
      </w:r>
      <w:r w:rsidR="00130522">
        <w:rPr>
          <w:rFonts w:cs="Arial"/>
          <w:color w:val="000000"/>
          <w:szCs w:val="24"/>
        </w:rPr>
        <w:tab/>
      </w:r>
      <w:r>
        <w:rPr>
          <w:rFonts w:cs="Arial"/>
          <w:color w:val="000000"/>
          <w:szCs w:val="24"/>
        </w:rPr>
        <w:tab/>
      </w:r>
      <w:r w:rsidR="00130522">
        <w:rPr>
          <w:rFonts w:cs="Arial"/>
          <w:color w:val="000000"/>
          <w:szCs w:val="24"/>
        </w:rPr>
        <w:tab/>
      </w:r>
      <w:r w:rsidR="00130522">
        <w:rPr>
          <w:rFonts w:cs="Arial"/>
          <w:color w:val="000000"/>
          <w:szCs w:val="24"/>
        </w:rPr>
        <w:tab/>
      </w:r>
      <w:r w:rsidR="00130522">
        <w:rPr>
          <w:rFonts w:cs="Arial"/>
          <w:color w:val="000000"/>
          <w:szCs w:val="24"/>
        </w:rPr>
        <w:tab/>
      </w:r>
      <w:r>
        <w:rPr>
          <w:rFonts w:cs="Arial"/>
          <w:color w:val="000000"/>
          <w:szCs w:val="24"/>
        </w:rPr>
        <w:t xml:space="preserve">First </w:t>
      </w:r>
      <w:r w:rsidR="00130522" w:rsidRPr="00B12D64">
        <w:rPr>
          <w:rFonts w:cs="Arial"/>
          <w:color w:val="000000"/>
          <w:szCs w:val="24"/>
        </w:rPr>
        <w:t>Respondent</w:t>
      </w:r>
    </w:p>
    <w:p w14:paraId="685B0D1C" w14:textId="1B5D346D" w:rsidR="00C64C15" w:rsidRDefault="00C64C15" w:rsidP="00C64C15">
      <w:pPr>
        <w:spacing w:after="0" w:line="276" w:lineRule="auto"/>
        <w:jc w:val="both"/>
        <w:rPr>
          <w:rFonts w:cs="Arial"/>
          <w:color w:val="000000"/>
          <w:szCs w:val="24"/>
        </w:rPr>
      </w:pPr>
      <w:r>
        <w:rPr>
          <w:rFonts w:cs="Arial"/>
          <w:color w:val="000000"/>
          <w:szCs w:val="24"/>
        </w:rPr>
        <w:t>(REGISTRATION NUMBER: 2002/015527/30)</w:t>
      </w:r>
    </w:p>
    <w:p w14:paraId="5C9D76E6" w14:textId="77777777" w:rsidR="00C64C15" w:rsidRDefault="00C64C15" w:rsidP="00130522">
      <w:pPr>
        <w:spacing w:after="0" w:line="360" w:lineRule="auto"/>
        <w:jc w:val="both"/>
        <w:rPr>
          <w:rFonts w:cs="Arial"/>
          <w:color w:val="000000"/>
          <w:szCs w:val="24"/>
        </w:rPr>
      </w:pPr>
    </w:p>
    <w:p w14:paraId="4249BB12" w14:textId="77777777" w:rsidR="00C64C15" w:rsidRDefault="00C64C15" w:rsidP="00C64C15">
      <w:pPr>
        <w:spacing w:after="0" w:line="276" w:lineRule="auto"/>
        <w:jc w:val="both"/>
        <w:rPr>
          <w:rFonts w:cs="Arial"/>
          <w:color w:val="000000"/>
          <w:szCs w:val="24"/>
        </w:rPr>
      </w:pPr>
      <w:r w:rsidRPr="00C64C15">
        <w:rPr>
          <w:rFonts w:cs="Arial"/>
          <w:b/>
          <w:bCs/>
          <w:color w:val="000000"/>
          <w:szCs w:val="24"/>
        </w:rPr>
        <w:t>GRINAKER LTA-ENZA CONSTRUCTION</w:t>
      </w:r>
      <w:r>
        <w:rPr>
          <w:rFonts w:cs="Arial"/>
          <w:color w:val="000000"/>
          <w:szCs w:val="24"/>
        </w:rPr>
        <w:tab/>
      </w:r>
      <w:r>
        <w:rPr>
          <w:rFonts w:cs="Arial"/>
          <w:color w:val="000000"/>
          <w:szCs w:val="24"/>
        </w:rPr>
        <w:tab/>
      </w:r>
      <w:r>
        <w:rPr>
          <w:rFonts w:cs="Arial"/>
          <w:color w:val="000000"/>
          <w:szCs w:val="24"/>
        </w:rPr>
        <w:tab/>
      </w:r>
      <w:r>
        <w:rPr>
          <w:rFonts w:cs="Arial"/>
          <w:color w:val="000000"/>
          <w:szCs w:val="24"/>
        </w:rPr>
        <w:tab/>
        <w:t xml:space="preserve">Second Respondent </w:t>
      </w:r>
    </w:p>
    <w:p w14:paraId="05B868D9" w14:textId="03900417" w:rsidR="00C64C15" w:rsidRPr="00C64C15" w:rsidRDefault="00C64C15" w:rsidP="00976BBA">
      <w:pPr>
        <w:spacing w:after="0" w:line="240" w:lineRule="auto"/>
        <w:jc w:val="both"/>
        <w:rPr>
          <w:rFonts w:cs="Arial"/>
          <w:b/>
          <w:bCs/>
          <w:color w:val="000000"/>
          <w:szCs w:val="24"/>
        </w:rPr>
      </w:pPr>
      <w:r w:rsidRPr="00C64C15">
        <w:rPr>
          <w:rFonts w:cs="Arial"/>
          <w:b/>
          <w:bCs/>
          <w:color w:val="000000"/>
          <w:szCs w:val="24"/>
        </w:rPr>
        <w:t xml:space="preserve">JONIT VENTURE </w:t>
      </w:r>
    </w:p>
    <w:p w14:paraId="17739144" w14:textId="77777777" w:rsidR="00130522" w:rsidRPr="00B4400D" w:rsidRDefault="00130522" w:rsidP="00976BBA">
      <w:pPr>
        <w:pBdr>
          <w:bottom w:val="single" w:sz="12" w:space="1" w:color="auto"/>
        </w:pBdr>
        <w:spacing w:before="240" w:after="0" w:line="240" w:lineRule="auto"/>
        <w:jc w:val="both"/>
        <w:rPr>
          <w:rFonts w:cs="Arial"/>
          <w:b/>
          <w:bCs/>
          <w:kern w:val="0"/>
          <w:szCs w:val="24"/>
          <w:u w:val="single"/>
          <w:lang w:val="en-US"/>
          <w14:ligatures w14:val="none"/>
        </w:rPr>
      </w:pP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p>
    <w:p w14:paraId="4798906E" w14:textId="77777777" w:rsidR="00130522" w:rsidRPr="00B4400D" w:rsidRDefault="00130522" w:rsidP="00130522">
      <w:pPr>
        <w:pBdr>
          <w:bottom w:val="single" w:sz="12" w:space="1" w:color="auto"/>
        </w:pBdr>
        <w:spacing w:before="240" w:line="480" w:lineRule="auto"/>
        <w:jc w:val="center"/>
        <w:rPr>
          <w:rFonts w:cs="Arial"/>
          <w:b/>
          <w:bCs/>
          <w:kern w:val="0"/>
          <w:szCs w:val="24"/>
          <w:lang w:val="en-US"/>
          <w14:ligatures w14:val="none"/>
        </w:rPr>
      </w:pPr>
      <w:r w:rsidRPr="00B4400D">
        <w:rPr>
          <w:rFonts w:cs="Arial"/>
          <w:b/>
          <w:bCs/>
          <w:kern w:val="0"/>
          <w:szCs w:val="24"/>
          <w:lang w:val="en-US"/>
          <w14:ligatures w14:val="none"/>
        </w:rPr>
        <w:t>JUDGMENT</w:t>
      </w:r>
    </w:p>
    <w:p w14:paraId="02549EA2" w14:textId="63F1119E" w:rsidR="00260321" w:rsidRPr="00130522" w:rsidRDefault="00130522" w:rsidP="00D15A35">
      <w:pPr>
        <w:spacing w:before="240" w:line="480" w:lineRule="auto"/>
        <w:ind w:firstLine="720"/>
        <w:jc w:val="both"/>
        <w:rPr>
          <w:rFonts w:cs="Arial"/>
          <w:b/>
          <w:bCs/>
          <w:kern w:val="0"/>
          <w:szCs w:val="24"/>
          <w:lang w:val="en-US"/>
          <w14:ligatures w14:val="none"/>
        </w:rPr>
      </w:pPr>
      <w:r w:rsidRPr="00B4400D">
        <w:rPr>
          <w:rFonts w:cs="Arial"/>
          <w:b/>
          <w:bCs/>
          <w:kern w:val="0"/>
          <w:szCs w:val="24"/>
          <w:lang w:val="en-US"/>
          <w14:ligatures w14:val="none"/>
        </w:rPr>
        <w:t xml:space="preserve">Manoim J </w:t>
      </w:r>
    </w:p>
    <w:p w14:paraId="085E50E9" w14:textId="7C901B92" w:rsidR="00D129B3" w:rsidRPr="00260321" w:rsidRDefault="00260321" w:rsidP="00260321">
      <w:pPr>
        <w:spacing w:after="360" w:line="480" w:lineRule="auto"/>
        <w:ind w:left="720" w:hanging="720"/>
        <w:jc w:val="both"/>
        <w:rPr>
          <w:rFonts w:cs="Arial"/>
          <w:b/>
          <w:bCs/>
          <w:szCs w:val="24"/>
        </w:rPr>
      </w:pPr>
      <w:r w:rsidRPr="00260321">
        <w:rPr>
          <w:rFonts w:cs="Arial"/>
          <w:szCs w:val="24"/>
        </w:rPr>
        <w:lastRenderedPageBreak/>
        <w:t>[1]</w:t>
      </w:r>
      <w:r w:rsidRPr="00260321">
        <w:rPr>
          <w:rFonts w:cs="Arial"/>
          <w:szCs w:val="24"/>
        </w:rPr>
        <w:tab/>
      </w:r>
      <w:r w:rsidR="00D129B3" w:rsidRPr="00260321">
        <w:rPr>
          <w:rFonts w:cs="Arial"/>
          <w:szCs w:val="24"/>
        </w:rPr>
        <w:t xml:space="preserve">This case concerns whether the court should review and set aside a tender awarded by </w:t>
      </w:r>
      <w:r w:rsidR="00F15D57" w:rsidRPr="00260321">
        <w:rPr>
          <w:rFonts w:cs="Arial"/>
          <w:szCs w:val="24"/>
        </w:rPr>
        <w:t xml:space="preserve">the first respondent </w:t>
      </w:r>
      <w:r w:rsidR="00D129B3" w:rsidRPr="00260321">
        <w:rPr>
          <w:rFonts w:cs="Arial"/>
          <w:szCs w:val="24"/>
        </w:rPr>
        <w:t>Eskom</w:t>
      </w:r>
      <w:r w:rsidR="00F15D57" w:rsidRPr="00260321">
        <w:rPr>
          <w:rFonts w:cs="Arial"/>
          <w:szCs w:val="24"/>
        </w:rPr>
        <w:t xml:space="preserve"> Holdings Soc Ltd (</w:t>
      </w:r>
      <w:r>
        <w:rPr>
          <w:rFonts w:cs="Arial"/>
          <w:szCs w:val="24"/>
        </w:rPr>
        <w:t>“</w:t>
      </w:r>
      <w:r w:rsidR="00F15D57" w:rsidRPr="00260321">
        <w:rPr>
          <w:rFonts w:cs="Arial"/>
          <w:szCs w:val="24"/>
        </w:rPr>
        <w:t>Eskom</w:t>
      </w:r>
      <w:r>
        <w:rPr>
          <w:rFonts w:cs="Arial"/>
          <w:szCs w:val="24"/>
        </w:rPr>
        <w:t>”</w:t>
      </w:r>
      <w:r w:rsidR="00D36A08" w:rsidRPr="00260321">
        <w:rPr>
          <w:rFonts w:cs="Arial"/>
          <w:szCs w:val="24"/>
        </w:rPr>
        <w:t>)</w:t>
      </w:r>
      <w:r w:rsidR="007A3FBD" w:rsidRPr="00260321">
        <w:rPr>
          <w:rFonts w:cs="Arial"/>
          <w:szCs w:val="24"/>
        </w:rPr>
        <w:t xml:space="preserve"> because of a </w:t>
      </w:r>
      <w:r w:rsidR="00FF478F" w:rsidRPr="00260321">
        <w:rPr>
          <w:rFonts w:cs="Arial"/>
          <w:szCs w:val="24"/>
        </w:rPr>
        <w:t>disqualification</w:t>
      </w:r>
      <w:r w:rsidR="007A3FBD" w:rsidRPr="00260321">
        <w:rPr>
          <w:rFonts w:cs="Arial"/>
          <w:szCs w:val="24"/>
        </w:rPr>
        <w:t xml:space="preserve"> criteria </w:t>
      </w:r>
      <w:r w:rsidR="002A7350" w:rsidRPr="00260321">
        <w:rPr>
          <w:rFonts w:cs="Arial"/>
          <w:szCs w:val="24"/>
        </w:rPr>
        <w:t xml:space="preserve">to which bidders for </w:t>
      </w:r>
      <w:r w:rsidR="007A3FBD" w:rsidRPr="00260321">
        <w:rPr>
          <w:rFonts w:cs="Arial"/>
          <w:szCs w:val="24"/>
        </w:rPr>
        <w:t>the tender</w:t>
      </w:r>
      <w:r w:rsidR="002A7350" w:rsidRPr="00260321">
        <w:rPr>
          <w:rFonts w:cs="Arial"/>
          <w:szCs w:val="24"/>
        </w:rPr>
        <w:t xml:space="preserve"> were subject</w:t>
      </w:r>
      <w:r w:rsidR="007A3FBD" w:rsidRPr="00260321">
        <w:rPr>
          <w:rFonts w:cs="Arial"/>
          <w:szCs w:val="24"/>
        </w:rPr>
        <w:t>.</w:t>
      </w:r>
      <w:r w:rsidR="00D129B3" w:rsidRPr="00260321">
        <w:rPr>
          <w:rFonts w:cs="Arial"/>
          <w:szCs w:val="24"/>
        </w:rPr>
        <w:t xml:space="preserve">  The applicant</w:t>
      </w:r>
      <w:r w:rsidR="00726289" w:rsidRPr="00260321">
        <w:rPr>
          <w:rFonts w:cs="Arial"/>
          <w:szCs w:val="24"/>
        </w:rPr>
        <w:t>,</w:t>
      </w:r>
      <w:r w:rsidR="00F15D57" w:rsidRPr="00260321">
        <w:rPr>
          <w:rFonts w:cs="Arial"/>
          <w:szCs w:val="24"/>
        </w:rPr>
        <w:t xml:space="preserve"> a joint venture known as the</w:t>
      </w:r>
      <w:r w:rsidR="00D129B3" w:rsidRPr="00260321">
        <w:rPr>
          <w:rFonts w:cs="Arial"/>
          <w:szCs w:val="24"/>
        </w:rPr>
        <w:t xml:space="preserve"> WBHO</w:t>
      </w:r>
      <w:r w:rsidR="00F15D57" w:rsidRPr="00260321">
        <w:rPr>
          <w:rFonts w:cs="Arial"/>
          <w:szCs w:val="24"/>
        </w:rPr>
        <w:t>-Lubocon joint venture</w:t>
      </w:r>
      <w:r w:rsidR="00FF478F" w:rsidRPr="00260321">
        <w:rPr>
          <w:rFonts w:cs="Arial"/>
          <w:szCs w:val="24"/>
        </w:rPr>
        <w:t xml:space="preserve"> (</w:t>
      </w:r>
      <w:r>
        <w:rPr>
          <w:rFonts w:cs="Arial"/>
          <w:szCs w:val="24"/>
        </w:rPr>
        <w:t>“</w:t>
      </w:r>
      <w:r w:rsidR="00FF478F" w:rsidRPr="00260321">
        <w:rPr>
          <w:rFonts w:cs="Arial"/>
          <w:szCs w:val="24"/>
        </w:rPr>
        <w:t>WBHO</w:t>
      </w:r>
      <w:r>
        <w:rPr>
          <w:rFonts w:cs="Arial"/>
          <w:szCs w:val="24"/>
        </w:rPr>
        <w:t>”</w:t>
      </w:r>
      <w:r w:rsidR="00FF478F" w:rsidRPr="00260321">
        <w:rPr>
          <w:rFonts w:cs="Arial"/>
          <w:szCs w:val="24"/>
        </w:rPr>
        <w:t>)</w:t>
      </w:r>
      <w:r w:rsidR="00057923" w:rsidRPr="00260321">
        <w:rPr>
          <w:rFonts w:cs="Arial"/>
          <w:szCs w:val="24"/>
        </w:rPr>
        <w:t>,</w:t>
      </w:r>
      <w:r w:rsidR="00D129B3" w:rsidRPr="00260321">
        <w:rPr>
          <w:rFonts w:cs="Arial"/>
          <w:szCs w:val="24"/>
        </w:rPr>
        <w:t xml:space="preserve"> was </w:t>
      </w:r>
      <w:r w:rsidR="00045A18" w:rsidRPr="00260321">
        <w:rPr>
          <w:rFonts w:cs="Arial"/>
          <w:szCs w:val="24"/>
        </w:rPr>
        <w:t xml:space="preserve">amongst other bidders, </w:t>
      </w:r>
      <w:r w:rsidR="00D129B3" w:rsidRPr="00260321">
        <w:rPr>
          <w:rFonts w:cs="Arial"/>
          <w:szCs w:val="24"/>
        </w:rPr>
        <w:t>disqualified</w:t>
      </w:r>
      <w:r w:rsidR="00057923" w:rsidRPr="00260321">
        <w:rPr>
          <w:rFonts w:cs="Arial"/>
          <w:szCs w:val="24"/>
        </w:rPr>
        <w:t xml:space="preserve"> for not meeting this criteria</w:t>
      </w:r>
      <w:r w:rsidR="00F15D57" w:rsidRPr="00260321">
        <w:rPr>
          <w:rFonts w:cs="Arial"/>
          <w:szCs w:val="24"/>
        </w:rPr>
        <w:t>. The tender was awarded to the only bidder that qualified</w:t>
      </w:r>
      <w:r w:rsidR="00B7059B" w:rsidRPr="00260321">
        <w:rPr>
          <w:rFonts w:cs="Arial"/>
          <w:szCs w:val="24"/>
        </w:rPr>
        <w:t>;</w:t>
      </w:r>
      <w:r w:rsidR="00F15D57" w:rsidRPr="00260321">
        <w:rPr>
          <w:rFonts w:cs="Arial"/>
          <w:szCs w:val="24"/>
        </w:rPr>
        <w:t xml:space="preserve"> the second respondent</w:t>
      </w:r>
      <w:r w:rsidR="00663403" w:rsidRPr="00260321">
        <w:rPr>
          <w:rFonts w:cs="Arial"/>
          <w:szCs w:val="24"/>
        </w:rPr>
        <w:t>,</w:t>
      </w:r>
      <w:r w:rsidR="00F15D57" w:rsidRPr="00260321">
        <w:rPr>
          <w:rFonts w:cs="Arial"/>
          <w:szCs w:val="24"/>
        </w:rPr>
        <w:t xml:space="preserve"> a joint venture known as Grinaker LTA- Ezra Construction Joint Venture </w:t>
      </w:r>
      <w:r w:rsidR="00663403" w:rsidRPr="00260321">
        <w:rPr>
          <w:rFonts w:cs="Arial"/>
          <w:szCs w:val="24"/>
        </w:rPr>
        <w:t>(</w:t>
      </w:r>
      <w:r>
        <w:rPr>
          <w:rFonts w:cs="Arial"/>
          <w:szCs w:val="24"/>
        </w:rPr>
        <w:t>“</w:t>
      </w:r>
      <w:r w:rsidR="00663403" w:rsidRPr="00260321">
        <w:rPr>
          <w:rFonts w:cs="Arial"/>
          <w:szCs w:val="24"/>
        </w:rPr>
        <w:t>Grinaker</w:t>
      </w:r>
      <w:r>
        <w:rPr>
          <w:rFonts w:cs="Arial"/>
          <w:szCs w:val="24"/>
        </w:rPr>
        <w:t>”</w:t>
      </w:r>
      <w:r w:rsidR="00E2626B" w:rsidRPr="00260321">
        <w:rPr>
          <w:rFonts w:cs="Arial"/>
          <w:szCs w:val="24"/>
        </w:rPr>
        <w:t>).</w:t>
      </w:r>
      <w:r w:rsidR="00F15D57" w:rsidRPr="00260321">
        <w:rPr>
          <w:rFonts w:cs="Arial"/>
          <w:szCs w:val="24"/>
        </w:rPr>
        <w:t xml:space="preserve"> </w:t>
      </w:r>
      <w:r w:rsidR="007079E5" w:rsidRPr="00260321">
        <w:rPr>
          <w:rFonts w:cs="Arial"/>
          <w:szCs w:val="24"/>
        </w:rPr>
        <w:t>(</w:t>
      </w:r>
      <w:r w:rsidR="00F15D57" w:rsidRPr="00260321">
        <w:rPr>
          <w:rFonts w:cs="Arial"/>
          <w:szCs w:val="24"/>
        </w:rPr>
        <w:t>Grinaker did not oppose and filed no papers in these proceedings.</w:t>
      </w:r>
      <w:r w:rsidR="007079E5" w:rsidRPr="00260321">
        <w:rPr>
          <w:rFonts w:cs="Arial"/>
          <w:szCs w:val="24"/>
        </w:rPr>
        <w:t>)</w:t>
      </w:r>
      <w:r>
        <w:rPr>
          <w:rFonts w:cs="Arial"/>
          <w:szCs w:val="24"/>
        </w:rPr>
        <w:t xml:space="preserve"> </w:t>
      </w:r>
    </w:p>
    <w:p w14:paraId="74FC5AF0" w14:textId="0588897B" w:rsidR="00B7059B" w:rsidRPr="00260321" w:rsidRDefault="00260321" w:rsidP="00260321">
      <w:pPr>
        <w:spacing w:after="360" w:line="480" w:lineRule="auto"/>
        <w:ind w:left="720" w:hanging="720"/>
        <w:jc w:val="both"/>
        <w:rPr>
          <w:rFonts w:cs="Arial"/>
          <w:szCs w:val="24"/>
        </w:rPr>
      </w:pPr>
      <w:r>
        <w:rPr>
          <w:rFonts w:cs="Arial"/>
          <w:szCs w:val="24"/>
        </w:rPr>
        <w:t>[2]</w:t>
      </w:r>
      <w:r>
        <w:rPr>
          <w:rFonts w:cs="Arial"/>
          <w:szCs w:val="24"/>
        </w:rPr>
        <w:tab/>
      </w:r>
      <w:r w:rsidR="00F15D57" w:rsidRPr="00260321">
        <w:rPr>
          <w:rFonts w:cs="Arial"/>
          <w:szCs w:val="24"/>
        </w:rPr>
        <w:t xml:space="preserve">WBHO’s case is that there are two </w:t>
      </w:r>
      <w:r w:rsidR="004C3FC5" w:rsidRPr="00260321">
        <w:rPr>
          <w:rFonts w:cs="Arial"/>
          <w:szCs w:val="24"/>
        </w:rPr>
        <w:t>independent</w:t>
      </w:r>
      <w:r w:rsidR="00F15D57" w:rsidRPr="00260321">
        <w:rPr>
          <w:rFonts w:cs="Arial"/>
          <w:szCs w:val="24"/>
        </w:rPr>
        <w:t xml:space="preserve"> </w:t>
      </w:r>
      <w:r w:rsidR="000076EE" w:rsidRPr="00260321">
        <w:rPr>
          <w:rFonts w:cs="Arial"/>
          <w:szCs w:val="24"/>
        </w:rPr>
        <w:t>reasons</w:t>
      </w:r>
      <w:r w:rsidR="00F15D57" w:rsidRPr="00260321">
        <w:rPr>
          <w:rFonts w:cs="Arial"/>
          <w:szCs w:val="24"/>
        </w:rPr>
        <w:t xml:space="preserve"> for </w:t>
      </w:r>
      <w:r w:rsidR="004C3FC5" w:rsidRPr="00260321">
        <w:rPr>
          <w:rFonts w:cs="Arial"/>
          <w:szCs w:val="24"/>
        </w:rPr>
        <w:t>reviewing</w:t>
      </w:r>
      <w:r w:rsidR="00F15D57" w:rsidRPr="00260321">
        <w:rPr>
          <w:rFonts w:cs="Arial"/>
          <w:szCs w:val="24"/>
        </w:rPr>
        <w:t xml:space="preserve"> </w:t>
      </w:r>
      <w:r w:rsidR="00B91767" w:rsidRPr="00260321">
        <w:rPr>
          <w:rFonts w:cs="Arial"/>
          <w:szCs w:val="24"/>
        </w:rPr>
        <w:t xml:space="preserve">and setting aside </w:t>
      </w:r>
      <w:r w:rsidR="00F15D57" w:rsidRPr="00260321">
        <w:rPr>
          <w:rFonts w:cs="Arial"/>
          <w:szCs w:val="24"/>
        </w:rPr>
        <w:t>the award to Grinaker</w:t>
      </w:r>
      <w:r w:rsidR="00B91767" w:rsidRPr="00260321">
        <w:rPr>
          <w:rFonts w:cs="Arial"/>
          <w:szCs w:val="24"/>
        </w:rPr>
        <w:t>,</w:t>
      </w:r>
      <w:r w:rsidR="00C37CAF" w:rsidRPr="00260321">
        <w:rPr>
          <w:rFonts w:cs="Arial"/>
          <w:szCs w:val="24"/>
        </w:rPr>
        <w:t xml:space="preserve"> based on Promotion of </w:t>
      </w:r>
      <w:r w:rsidR="00ED4FEE" w:rsidRPr="00260321">
        <w:rPr>
          <w:rFonts w:cs="Arial"/>
          <w:szCs w:val="24"/>
        </w:rPr>
        <w:t>Promotion of Administrative Justice Act 3 of 2000</w:t>
      </w:r>
      <w:r w:rsidR="00D33D60" w:rsidRPr="00260321">
        <w:rPr>
          <w:rFonts w:cs="Arial"/>
          <w:szCs w:val="24"/>
        </w:rPr>
        <w:t xml:space="preserve"> (</w:t>
      </w:r>
      <w:r>
        <w:rPr>
          <w:rFonts w:cs="Arial"/>
          <w:szCs w:val="24"/>
        </w:rPr>
        <w:t>“</w:t>
      </w:r>
      <w:r w:rsidR="00D33D60" w:rsidRPr="00260321">
        <w:rPr>
          <w:rFonts w:cs="Arial"/>
          <w:szCs w:val="24"/>
        </w:rPr>
        <w:t>PAJA</w:t>
      </w:r>
      <w:r>
        <w:rPr>
          <w:rFonts w:cs="Arial"/>
          <w:szCs w:val="24"/>
        </w:rPr>
        <w:t>”</w:t>
      </w:r>
      <w:r w:rsidR="00D33D60" w:rsidRPr="00260321">
        <w:rPr>
          <w:rFonts w:cs="Arial"/>
          <w:szCs w:val="24"/>
        </w:rPr>
        <w:t>)</w:t>
      </w:r>
      <w:r w:rsidR="00F15D57" w:rsidRPr="00260321">
        <w:rPr>
          <w:rFonts w:cs="Arial"/>
          <w:szCs w:val="24"/>
        </w:rPr>
        <w:t xml:space="preserve">. The first </w:t>
      </w:r>
      <w:r w:rsidR="00A950B4" w:rsidRPr="00260321">
        <w:rPr>
          <w:rFonts w:cs="Arial"/>
          <w:szCs w:val="24"/>
        </w:rPr>
        <w:t xml:space="preserve">challenges the legality of its disqualification. </w:t>
      </w:r>
      <w:r w:rsidR="00993D55" w:rsidRPr="00260321">
        <w:rPr>
          <w:rFonts w:cs="Arial"/>
          <w:szCs w:val="24"/>
        </w:rPr>
        <w:t xml:space="preserve">Eskom </w:t>
      </w:r>
      <w:r w:rsidR="00116F8E" w:rsidRPr="00260321">
        <w:rPr>
          <w:rFonts w:cs="Arial"/>
          <w:szCs w:val="24"/>
        </w:rPr>
        <w:t xml:space="preserve">says it </w:t>
      </w:r>
      <w:r w:rsidR="00F15D57" w:rsidRPr="00260321">
        <w:rPr>
          <w:rFonts w:cs="Arial"/>
          <w:szCs w:val="24"/>
        </w:rPr>
        <w:t>disqualified</w:t>
      </w:r>
      <w:r w:rsidR="00FD4914" w:rsidRPr="00260321">
        <w:rPr>
          <w:rFonts w:cs="Arial"/>
          <w:szCs w:val="24"/>
        </w:rPr>
        <w:t xml:space="preserve"> WBHO</w:t>
      </w:r>
      <w:r w:rsidR="00F15D57" w:rsidRPr="00260321">
        <w:rPr>
          <w:rFonts w:cs="Arial"/>
          <w:szCs w:val="24"/>
        </w:rPr>
        <w:t xml:space="preserve"> because it had not provided mandatory information</w:t>
      </w:r>
      <w:r w:rsidR="005D7720" w:rsidRPr="00260321">
        <w:rPr>
          <w:rFonts w:cs="Arial"/>
          <w:szCs w:val="24"/>
        </w:rPr>
        <w:t xml:space="preserve">. But says WBHO that obligation was not made clear in the </w:t>
      </w:r>
      <w:r w:rsidR="00284F1F" w:rsidRPr="00260321">
        <w:rPr>
          <w:rFonts w:cs="Arial"/>
          <w:szCs w:val="24"/>
        </w:rPr>
        <w:t>tender,</w:t>
      </w:r>
      <w:r w:rsidR="005D7720" w:rsidRPr="00260321">
        <w:rPr>
          <w:rFonts w:cs="Arial"/>
          <w:szCs w:val="24"/>
        </w:rPr>
        <w:t xml:space="preserve"> and it would be unfair </w:t>
      </w:r>
      <w:r w:rsidR="00626D72" w:rsidRPr="00260321">
        <w:rPr>
          <w:rFonts w:cs="Arial"/>
          <w:szCs w:val="24"/>
        </w:rPr>
        <w:t xml:space="preserve">for that reason </w:t>
      </w:r>
      <w:r w:rsidR="005D7720" w:rsidRPr="00260321">
        <w:rPr>
          <w:rFonts w:cs="Arial"/>
          <w:szCs w:val="24"/>
        </w:rPr>
        <w:t>to impose it on bidders. Second</w:t>
      </w:r>
      <w:r w:rsidR="00284F1F" w:rsidRPr="00260321">
        <w:rPr>
          <w:rFonts w:cs="Arial"/>
          <w:szCs w:val="24"/>
        </w:rPr>
        <w:t>,</w:t>
      </w:r>
      <w:r w:rsidR="005D7720" w:rsidRPr="00260321">
        <w:rPr>
          <w:rFonts w:cs="Arial"/>
          <w:szCs w:val="24"/>
        </w:rPr>
        <w:t xml:space="preserve"> </w:t>
      </w:r>
      <w:r w:rsidR="0098641D" w:rsidRPr="00260321">
        <w:rPr>
          <w:rFonts w:cs="Arial"/>
          <w:szCs w:val="24"/>
        </w:rPr>
        <w:t>WBHO</w:t>
      </w:r>
      <w:r w:rsidR="005D7720" w:rsidRPr="00260321">
        <w:rPr>
          <w:rFonts w:cs="Arial"/>
          <w:szCs w:val="24"/>
        </w:rPr>
        <w:t xml:space="preserve"> says the </w:t>
      </w:r>
      <w:r w:rsidR="003326BA" w:rsidRPr="00260321">
        <w:rPr>
          <w:rFonts w:cs="Arial"/>
          <w:szCs w:val="24"/>
        </w:rPr>
        <w:t>scope</w:t>
      </w:r>
      <w:r w:rsidR="005D7720" w:rsidRPr="00260321">
        <w:rPr>
          <w:rFonts w:cs="Arial"/>
          <w:szCs w:val="24"/>
        </w:rPr>
        <w:t xml:space="preserve"> of the tender w</w:t>
      </w:r>
      <w:r w:rsidR="00C00F05" w:rsidRPr="00260321">
        <w:rPr>
          <w:rFonts w:cs="Arial"/>
          <w:szCs w:val="24"/>
        </w:rPr>
        <w:t>as</w:t>
      </w:r>
      <w:r w:rsidR="005D7720" w:rsidRPr="00260321">
        <w:rPr>
          <w:rFonts w:cs="Arial"/>
          <w:szCs w:val="24"/>
        </w:rPr>
        <w:t xml:space="preserve"> changed after the award to Grinaker</w:t>
      </w:r>
      <w:r w:rsidR="00D4111D" w:rsidRPr="00260321">
        <w:rPr>
          <w:rFonts w:cs="Arial"/>
          <w:szCs w:val="24"/>
        </w:rPr>
        <w:t xml:space="preserve"> but only the latter was </w:t>
      </w:r>
      <w:r w:rsidR="005D7720" w:rsidRPr="00260321">
        <w:rPr>
          <w:rFonts w:cs="Arial"/>
          <w:szCs w:val="24"/>
        </w:rPr>
        <w:t>given an opportunity to re-</w:t>
      </w:r>
      <w:r w:rsidR="00703DAE" w:rsidRPr="00260321">
        <w:rPr>
          <w:rFonts w:cs="Arial"/>
          <w:szCs w:val="24"/>
        </w:rPr>
        <w:t>quote</w:t>
      </w:r>
      <w:r w:rsidR="005D7720" w:rsidRPr="00260321">
        <w:rPr>
          <w:rFonts w:cs="Arial"/>
          <w:szCs w:val="24"/>
        </w:rPr>
        <w:t xml:space="preserve"> on the </w:t>
      </w:r>
      <w:r w:rsidR="00D4111D" w:rsidRPr="00260321">
        <w:rPr>
          <w:rFonts w:cs="Arial"/>
          <w:szCs w:val="24"/>
        </w:rPr>
        <w:t xml:space="preserve">revised </w:t>
      </w:r>
      <w:r w:rsidR="005D7720" w:rsidRPr="00260321">
        <w:rPr>
          <w:rFonts w:cs="Arial"/>
          <w:szCs w:val="24"/>
        </w:rPr>
        <w:t>tender. Rather</w:t>
      </w:r>
      <w:r w:rsidR="002526C2" w:rsidRPr="00260321">
        <w:rPr>
          <w:rFonts w:cs="Arial"/>
          <w:szCs w:val="24"/>
        </w:rPr>
        <w:t>,</w:t>
      </w:r>
      <w:r w:rsidR="005D7720" w:rsidRPr="00260321">
        <w:rPr>
          <w:rFonts w:cs="Arial"/>
          <w:szCs w:val="24"/>
        </w:rPr>
        <w:t xml:space="preserve"> says WBHO</w:t>
      </w:r>
      <w:r w:rsidR="002526C2" w:rsidRPr="00260321">
        <w:rPr>
          <w:rFonts w:cs="Arial"/>
          <w:szCs w:val="24"/>
        </w:rPr>
        <w:t xml:space="preserve"> what should have happened was that</w:t>
      </w:r>
      <w:r w:rsidR="005D7720" w:rsidRPr="00260321">
        <w:rPr>
          <w:rFonts w:cs="Arial"/>
          <w:szCs w:val="24"/>
        </w:rPr>
        <w:t xml:space="preserve"> the tender should have been re-opened to all</w:t>
      </w:r>
      <w:r w:rsidR="00F94B86" w:rsidRPr="00260321">
        <w:rPr>
          <w:rFonts w:cs="Arial"/>
          <w:szCs w:val="24"/>
        </w:rPr>
        <w:t>,</w:t>
      </w:r>
      <w:r w:rsidR="00503216" w:rsidRPr="00260321">
        <w:rPr>
          <w:rFonts w:cs="Arial"/>
          <w:szCs w:val="24"/>
        </w:rPr>
        <w:t xml:space="preserve"> including those initially disqualified</w:t>
      </w:r>
      <w:r w:rsidR="00B7059B" w:rsidRPr="00260321">
        <w:rPr>
          <w:rFonts w:cs="Arial"/>
          <w:szCs w:val="24"/>
        </w:rPr>
        <w:t>.</w:t>
      </w:r>
    </w:p>
    <w:p w14:paraId="064BB986" w14:textId="675B25C8" w:rsidR="00CB4793" w:rsidRPr="00260321" w:rsidRDefault="00260321" w:rsidP="00260321">
      <w:pPr>
        <w:spacing w:after="360" w:line="480" w:lineRule="auto"/>
        <w:ind w:left="720" w:hanging="720"/>
        <w:jc w:val="both"/>
        <w:rPr>
          <w:rFonts w:cs="Arial"/>
          <w:szCs w:val="24"/>
        </w:rPr>
      </w:pPr>
      <w:r>
        <w:rPr>
          <w:rFonts w:cs="Arial"/>
          <w:szCs w:val="24"/>
        </w:rPr>
        <w:t>[3]</w:t>
      </w:r>
      <w:r>
        <w:rPr>
          <w:rFonts w:cs="Arial"/>
          <w:szCs w:val="24"/>
        </w:rPr>
        <w:tab/>
      </w:r>
      <w:r w:rsidR="002733C8" w:rsidRPr="00260321">
        <w:rPr>
          <w:rFonts w:cs="Arial"/>
          <w:szCs w:val="24"/>
        </w:rPr>
        <w:t xml:space="preserve">WBHO has reformulated its relief several times but </w:t>
      </w:r>
      <w:r w:rsidR="00C954D4" w:rsidRPr="00260321">
        <w:rPr>
          <w:rFonts w:cs="Arial"/>
          <w:szCs w:val="24"/>
        </w:rPr>
        <w:t xml:space="preserve">essentially it seeks to set aside its disqualification, and the award to Grinaker. In </w:t>
      </w:r>
      <w:r w:rsidR="00600FC1" w:rsidRPr="00260321">
        <w:rPr>
          <w:rFonts w:cs="Arial"/>
          <w:szCs w:val="24"/>
        </w:rPr>
        <w:t>consequence of this relief</w:t>
      </w:r>
      <w:r w:rsidR="001565EE" w:rsidRPr="00260321">
        <w:rPr>
          <w:rFonts w:cs="Arial"/>
          <w:szCs w:val="24"/>
        </w:rPr>
        <w:t>,</w:t>
      </w:r>
      <w:r w:rsidR="00600FC1" w:rsidRPr="00260321">
        <w:rPr>
          <w:rFonts w:cs="Arial"/>
          <w:szCs w:val="24"/>
        </w:rPr>
        <w:t xml:space="preserve"> it further seeks to be awarded the tender</w:t>
      </w:r>
      <w:r w:rsidR="00595C4C" w:rsidRPr="00260321">
        <w:rPr>
          <w:rFonts w:cs="Arial"/>
          <w:szCs w:val="24"/>
        </w:rPr>
        <w:t xml:space="preserve">. In the alternative it seeks </w:t>
      </w:r>
      <w:r w:rsidR="0054049F" w:rsidRPr="00260321">
        <w:rPr>
          <w:rFonts w:cs="Arial"/>
          <w:szCs w:val="24"/>
        </w:rPr>
        <w:t xml:space="preserve">to have </w:t>
      </w:r>
      <w:r w:rsidR="00AA76DD" w:rsidRPr="00260321">
        <w:rPr>
          <w:rFonts w:cs="Arial"/>
          <w:szCs w:val="24"/>
        </w:rPr>
        <w:t>Grinaker’s,</w:t>
      </w:r>
      <w:r w:rsidR="0054049F" w:rsidRPr="00260321">
        <w:rPr>
          <w:rFonts w:cs="Arial"/>
          <w:szCs w:val="24"/>
        </w:rPr>
        <w:t xml:space="preserve"> and its </w:t>
      </w:r>
      <w:r w:rsidR="00A30A6D" w:rsidRPr="00260321">
        <w:rPr>
          <w:rFonts w:cs="Arial"/>
          <w:szCs w:val="24"/>
        </w:rPr>
        <w:t>respective tenders</w:t>
      </w:r>
      <w:r w:rsidR="005F5042" w:rsidRPr="00260321">
        <w:rPr>
          <w:rFonts w:cs="Arial"/>
          <w:szCs w:val="24"/>
        </w:rPr>
        <w:t xml:space="preserve"> re-evaluated</w:t>
      </w:r>
      <w:r w:rsidR="00C12274" w:rsidRPr="00260321">
        <w:rPr>
          <w:rFonts w:cs="Arial"/>
          <w:szCs w:val="24"/>
        </w:rPr>
        <w:t>,</w:t>
      </w:r>
      <w:r w:rsidR="005F5042" w:rsidRPr="00260321">
        <w:rPr>
          <w:rFonts w:cs="Arial"/>
          <w:szCs w:val="24"/>
        </w:rPr>
        <w:t xml:space="preserve"> once WBHO is given an </w:t>
      </w:r>
      <w:r w:rsidR="005F5042" w:rsidRPr="00260321">
        <w:rPr>
          <w:rFonts w:cs="Arial"/>
          <w:szCs w:val="24"/>
        </w:rPr>
        <w:lastRenderedPageBreak/>
        <w:t xml:space="preserve">opportunity to submit the crucial document known as the Appendix to </w:t>
      </w:r>
      <w:r w:rsidR="00C12274" w:rsidRPr="00260321">
        <w:rPr>
          <w:rFonts w:cs="Arial"/>
          <w:szCs w:val="24"/>
        </w:rPr>
        <w:t>T</w:t>
      </w:r>
      <w:r w:rsidR="005F5042" w:rsidRPr="00260321">
        <w:rPr>
          <w:rFonts w:cs="Arial"/>
          <w:szCs w:val="24"/>
        </w:rPr>
        <w:t>ender</w:t>
      </w:r>
      <w:r w:rsidR="00C12274" w:rsidRPr="00260321">
        <w:rPr>
          <w:rFonts w:cs="Arial"/>
          <w:szCs w:val="24"/>
        </w:rPr>
        <w:t>,</w:t>
      </w:r>
      <w:r w:rsidR="005F5042" w:rsidRPr="00260321">
        <w:rPr>
          <w:rFonts w:cs="Arial"/>
          <w:szCs w:val="24"/>
        </w:rPr>
        <w:t xml:space="preserve"> </w:t>
      </w:r>
      <w:r w:rsidR="00EA590F" w:rsidRPr="00260321">
        <w:rPr>
          <w:rFonts w:cs="Arial"/>
          <w:szCs w:val="24"/>
        </w:rPr>
        <w:t xml:space="preserve">the omission of which was the basis </w:t>
      </w:r>
      <w:r w:rsidR="008F5527" w:rsidRPr="00260321">
        <w:rPr>
          <w:rFonts w:cs="Arial"/>
          <w:szCs w:val="24"/>
        </w:rPr>
        <w:t>for Eskom disqualifying it</w:t>
      </w:r>
      <w:r w:rsidR="00D06B81" w:rsidRPr="00260321">
        <w:rPr>
          <w:rFonts w:cs="Arial"/>
          <w:szCs w:val="24"/>
        </w:rPr>
        <w:t xml:space="preserve">, and then </w:t>
      </w:r>
      <w:r w:rsidR="008379F2" w:rsidRPr="00260321">
        <w:rPr>
          <w:rFonts w:cs="Arial"/>
          <w:szCs w:val="24"/>
        </w:rPr>
        <w:t xml:space="preserve">for the best scoring </w:t>
      </w:r>
      <w:r w:rsidR="00D06B81" w:rsidRPr="00260321">
        <w:rPr>
          <w:rFonts w:cs="Arial"/>
          <w:szCs w:val="24"/>
        </w:rPr>
        <w:t xml:space="preserve">tender </w:t>
      </w:r>
      <w:r w:rsidR="00E34153" w:rsidRPr="00260321">
        <w:rPr>
          <w:rFonts w:cs="Arial"/>
          <w:szCs w:val="24"/>
        </w:rPr>
        <w:t xml:space="preserve">(as they were on the date of the opening of the tenders) </w:t>
      </w:r>
      <w:r w:rsidR="00304C0A" w:rsidRPr="00260321">
        <w:rPr>
          <w:rFonts w:cs="Arial"/>
          <w:szCs w:val="24"/>
        </w:rPr>
        <w:t xml:space="preserve">to </w:t>
      </w:r>
      <w:r w:rsidR="00D06B81" w:rsidRPr="00260321">
        <w:rPr>
          <w:rFonts w:cs="Arial"/>
          <w:szCs w:val="24"/>
        </w:rPr>
        <w:t>be accepted</w:t>
      </w:r>
      <w:r w:rsidR="00702494" w:rsidRPr="00260321">
        <w:rPr>
          <w:rFonts w:cs="Arial"/>
          <w:szCs w:val="24"/>
        </w:rPr>
        <w:t xml:space="preserve"> by Eskom</w:t>
      </w:r>
      <w:r w:rsidR="008F5527" w:rsidRPr="00260321">
        <w:rPr>
          <w:rFonts w:cs="Arial"/>
          <w:szCs w:val="24"/>
        </w:rPr>
        <w:t>.</w:t>
      </w:r>
    </w:p>
    <w:p w14:paraId="07BEAF93" w14:textId="4E4BFCC6" w:rsidR="00B7059B" w:rsidRPr="00260321" w:rsidRDefault="00260321" w:rsidP="00260321">
      <w:pPr>
        <w:spacing w:after="360" w:line="480" w:lineRule="auto"/>
        <w:ind w:left="720" w:hanging="720"/>
        <w:jc w:val="both"/>
        <w:rPr>
          <w:rFonts w:cs="Arial"/>
          <w:szCs w:val="24"/>
        </w:rPr>
      </w:pPr>
      <w:r>
        <w:rPr>
          <w:rFonts w:cs="Arial"/>
          <w:szCs w:val="24"/>
        </w:rPr>
        <w:t>[4]</w:t>
      </w:r>
      <w:r>
        <w:rPr>
          <w:rFonts w:cs="Arial"/>
          <w:szCs w:val="24"/>
        </w:rPr>
        <w:tab/>
      </w:r>
      <w:r w:rsidR="005D7720" w:rsidRPr="00260321">
        <w:rPr>
          <w:rFonts w:cs="Arial"/>
          <w:szCs w:val="24"/>
        </w:rPr>
        <w:t xml:space="preserve">Eskom </w:t>
      </w:r>
      <w:r w:rsidR="00D16320" w:rsidRPr="00260321">
        <w:rPr>
          <w:rFonts w:cs="Arial"/>
          <w:szCs w:val="24"/>
        </w:rPr>
        <w:t>opposes both grounds of review</w:t>
      </w:r>
      <w:r w:rsidR="00B7059B" w:rsidRPr="00260321">
        <w:rPr>
          <w:rFonts w:cs="Arial"/>
          <w:szCs w:val="24"/>
        </w:rPr>
        <w:t>. I will approach the decision by examining each ground in turn but first some background is needed</w:t>
      </w:r>
      <w:r w:rsidR="00224070">
        <w:rPr>
          <w:rFonts w:cs="Arial"/>
          <w:szCs w:val="24"/>
        </w:rPr>
        <w:t>.</w:t>
      </w:r>
    </w:p>
    <w:p w14:paraId="11FF9F6B" w14:textId="5482522C" w:rsidR="00B7059B" w:rsidRPr="00260321" w:rsidRDefault="00B7059B" w:rsidP="00260321">
      <w:pPr>
        <w:spacing w:after="360" w:line="480" w:lineRule="auto"/>
        <w:ind w:firstLine="720"/>
        <w:jc w:val="both"/>
        <w:rPr>
          <w:rFonts w:cs="Arial"/>
          <w:b/>
          <w:bCs/>
          <w:szCs w:val="24"/>
        </w:rPr>
      </w:pPr>
      <w:r w:rsidRPr="00260321">
        <w:rPr>
          <w:rFonts w:cs="Arial"/>
          <w:b/>
          <w:bCs/>
          <w:szCs w:val="24"/>
        </w:rPr>
        <w:t xml:space="preserve">Background </w:t>
      </w:r>
    </w:p>
    <w:p w14:paraId="4A31F893" w14:textId="68B0B287" w:rsidR="009B381D" w:rsidRPr="00260321" w:rsidRDefault="00260321" w:rsidP="00224070">
      <w:pPr>
        <w:spacing w:after="360" w:line="480" w:lineRule="auto"/>
        <w:ind w:left="720" w:hanging="720"/>
        <w:jc w:val="both"/>
        <w:rPr>
          <w:rFonts w:cs="Arial"/>
          <w:szCs w:val="24"/>
        </w:rPr>
      </w:pPr>
      <w:r>
        <w:rPr>
          <w:rFonts w:cs="Arial"/>
          <w:szCs w:val="24"/>
        </w:rPr>
        <w:t>[5]</w:t>
      </w:r>
      <w:r>
        <w:rPr>
          <w:rFonts w:cs="Arial"/>
          <w:szCs w:val="24"/>
        </w:rPr>
        <w:tab/>
      </w:r>
      <w:r w:rsidR="00EB7AE0" w:rsidRPr="00260321">
        <w:rPr>
          <w:rFonts w:cs="Arial"/>
          <w:szCs w:val="24"/>
        </w:rPr>
        <w:t>On 5 November 2020</w:t>
      </w:r>
      <w:r w:rsidR="00156F3B" w:rsidRPr="00260321">
        <w:rPr>
          <w:rFonts w:cs="Arial"/>
          <w:szCs w:val="24"/>
        </w:rPr>
        <w:t xml:space="preserve"> Eskom put out a tender to eight</w:t>
      </w:r>
      <w:r w:rsidR="009F53A0" w:rsidRPr="00260321">
        <w:rPr>
          <w:rFonts w:cs="Arial"/>
          <w:szCs w:val="24"/>
        </w:rPr>
        <w:t xml:space="preserve"> construction</w:t>
      </w:r>
      <w:r w:rsidR="00156F3B" w:rsidRPr="00260321">
        <w:rPr>
          <w:rFonts w:cs="Arial"/>
          <w:szCs w:val="24"/>
        </w:rPr>
        <w:t xml:space="preserve"> firms to bid on a tender to build a </w:t>
      </w:r>
      <w:r w:rsidR="001D6D4B" w:rsidRPr="00260321">
        <w:rPr>
          <w:rFonts w:cs="Arial"/>
          <w:szCs w:val="24"/>
        </w:rPr>
        <w:t>combustion waste terrace</w:t>
      </w:r>
      <w:r w:rsidR="00E836ED" w:rsidRPr="00260321">
        <w:rPr>
          <w:rFonts w:cs="Arial"/>
          <w:szCs w:val="24"/>
        </w:rPr>
        <w:t xml:space="preserve"> </w:t>
      </w:r>
      <w:r w:rsidR="00156F3B" w:rsidRPr="00260321">
        <w:rPr>
          <w:rFonts w:cs="Arial"/>
          <w:szCs w:val="24"/>
        </w:rPr>
        <w:t>at the Kusile power station</w:t>
      </w:r>
      <w:r w:rsidR="00E836ED" w:rsidRPr="00260321">
        <w:rPr>
          <w:rFonts w:cs="Arial"/>
          <w:szCs w:val="24"/>
        </w:rPr>
        <w:t xml:space="preserve"> in </w:t>
      </w:r>
      <w:r w:rsidR="00DA46C0" w:rsidRPr="00260321">
        <w:rPr>
          <w:rFonts w:cs="Arial"/>
          <w:szCs w:val="24"/>
        </w:rPr>
        <w:t>Mpumalanga</w:t>
      </w:r>
      <w:r w:rsidR="00156F3B" w:rsidRPr="00260321">
        <w:rPr>
          <w:rFonts w:cs="Arial"/>
          <w:szCs w:val="24"/>
        </w:rPr>
        <w:t>.</w:t>
      </w:r>
      <w:r w:rsidR="00301A19" w:rsidRPr="00260321">
        <w:rPr>
          <w:rStyle w:val="FootnoteReference"/>
          <w:rFonts w:cs="Arial"/>
          <w:szCs w:val="24"/>
        </w:rPr>
        <w:footnoteReference w:id="2"/>
      </w:r>
      <w:r w:rsidR="00156F3B" w:rsidRPr="00260321">
        <w:rPr>
          <w:rFonts w:cs="Arial"/>
          <w:szCs w:val="24"/>
        </w:rPr>
        <w:t xml:space="preserve"> In layperson</w:t>
      </w:r>
      <w:r w:rsidR="00944025" w:rsidRPr="00260321">
        <w:rPr>
          <w:rFonts w:cs="Arial"/>
          <w:szCs w:val="24"/>
        </w:rPr>
        <w:t>’</w:t>
      </w:r>
      <w:r w:rsidR="00156F3B" w:rsidRPr="00260321">
        <w:rPr>
          <w:rFonts w:cs="Arial"/>
          <w:szCs w:val="24"/>
        </w:rPr>
        <w:t>s term</w:t>
      </w:r>
      <w:r w:rsidR="00D4583D" w:rsidRPr="00260321">
        <w:rPr>
          <w:rFonts w:cs="Arial"/>
          <w:szCs w:val="24"/>
        </w:rPr>
        <w:t>s</w:t>
      </w:r>
      <w:r w:rsidR="00156F3B" w:rsidRPr="00260321">
        <w:rPr>
          <w:rFonts w:cs="Arial"/>
          <w:szCs w:val="24"/>
        </w:rPr>
        <w:t xml:space="preserve"> this is a structure to house the ash that </w:t>
      </w:r>
      <w:r w:rsidR="003459E3" w:rsidRPr="00260321">
        <w:rPr>
          <w:rFonts w:cs="Arial"/>
          <w:szCs w:val="24"/>
        </w:rPr>
        <w:t xml:space="preserve">is a </w:t>
      </w:r>
      <w:r w:rsidR="00156F3B" w:rsidRPr="00260321">
        <w:rPr>
          <w:rFonts w:cs="Arial"/>
          <w:szCs w:val="24"/>
        </w:rPr>
        <w:t>byproduct</w:t>
      </w:r>
      <w:r w:rsidR="00D4583D" w:rsidRPr="00260321">
        <w:rPr>
          <w:rFonts w:cs="Arial"/>
          <w:szCs w:val="24"/>
        </w:rPr>
        <w:t xml:space="preserve"> of the coal</w:t>
      </w:r>
      <w:r w:rsidR="00156F3B" w:rsidRPr="00260321">
        <w:rPr>
          <w:rFonts w:cs="Arial"/>
          <w:szCs w:val="24"/>
        </w:rPr>
        <w:t xml:space="preserve"> that is burnt at the power station. Kusile already has an existing </w:t>
      </w:r>
      <w:r w:rsidR="00BD2837" w:rsidRPr="00260321">
        <w:rPr>
          <w:rFonts w:cs="Arial"/>
          <w:szCs w:val="24"/>
        </w:rPr>
        <w:t xml:space="preserve">waste terrace </w:t>
      </w:r>
      <w:r w:rsidR="00156F3B" w:rsidRPr="00260321">
        <w:rPr>
          <w:rFonts w:cs="Arial"/>
          <w:szCs w:val="24"/>
        </w:rPr>
        <w:t>which was built at the power station by WBHO</w:t>
      </w:r>
      <w:r w:rsidR="00FB4A56" w:rsidRPr="00260321">
        <w:rPr>
          <w:rFonts w:cs="Arial"/>
          <w:szCs w:val="24"/>
        </w:rPr>
        <w:t xml:space="preserve"> and is</w:t>
      </w:r>
      <w:r w:rsidR="00156F3B" w:rsidRPr="00260321">
        <w:rPr>
          <w:rFonts w:cs="Arial"/>
          <w:szCs w:val="24"/>
        </w:rPr>
        <w:t xml:space="preserve"> know</w:t>
      </w:r>
      <w:r w:rsidR="00BA5BB4" w:rsidRPr="00260321">
        <w:rPr>
          <w:rFonts w:cs="Arial"/>
          <w:szCs w:val="24"/>
        </w:rPr>
        <w:t>n</w:t>
      </w:r>
      <w:r w:rsidR="00156F3B" w:rsidRPr="00260321">
        <w:rPr>
          <w:rFonts w:cs="Arial"/>
          <w:szCs w:val="24"/>
        </w:rPr>
        <w:t xml:space="preserve"> as </w:t>
      </w:r>
      <w:r w:rsidR="00FB36C4" w:rsidRPr="00260321">
        <w:rPr>
          <w:rFonts w:cs="Arial"/>
          <w:szCs w:val="24"/>
        </w:rPr>
        <w:t>P</w:t>
      </w:r>
      <w:r w:rsidR="00156F3B" w:rsidRPr="00260321">
        <w:rPr>
          <w:rFonts w:cs="Arial"/>
          <w:szCs w:val="24"/>
        </w:rPr>
        <w:t xml:space="preserve">hase 1. </w:t>
      </w:r>
      <w:r w:rsidR="00825D4F" w:rsidRPr="00260321">
        <w:rPr>
          <w:rFonts w:cs="Arial"/>
          <w:szCs w:val="24"/>
        </w:rPr>
        <w:t>However</w:t>
      </w:r>
      <w:r w:rsidR="009D3D98" w:rsidRPr="00260321">
        <w:rPr>
          <w:rFonts w:cs="Arial"/>
          <w:szCs w:val="24"/>
        </w:rPr>
        <w:t>,</w:t>
      </w:r>
      <w:r w:rsidR="00825D4F" w:rsidRPr="00260321">
        <w:rPr>
          <w:rFonts w:cs="Arial"/>
          <w:szCs w:val="24"/>
        </w:rPr>
        <w:t xml:space="preserve"> this structure will </w:t>
      </w:r>
      <w:r w:rsidR="003C6D2A" w:rsidRPr="00260321">
        <w:rPr>
          <w:rFonts w:cs="Arial"/>
          <w:szCs w:val="24"/>
        </w:rPr>
        <w:t>soon be filled</w:t>
      </w:r>
      <w:r w:rsidR="00057856" w:rsidRPr="00260321">
        <w:rPr>
          <w:rFonts w:cs="Arial"/>
          <w:szCs w:val="24"/>
        </w:rPr>
        <w:t xml:space="preserve"> </w:t>
      </w:r>
      <w:r w:rsidR="005078D9" w:rsidRPr="00260321">
        <w:rPr>
          <w:rFonts w:cs="Arial"/>
          <w:szCs w:val="24"/>
        </w:rPr>
        <w:t>up,</w:t>
      </w:r>
      <w:r w:rsidR="004D336C" w:rsidRPr="00260321">
        <w:rPr>
          <w:rFonts w:cs="Arial"/>
          <w:szCs w:val="24"/>
        </w:rPr>
        <w:t xml:space="preserve"> </w:t>
      </w:r>
      <w:r w:rsidR="00057856" w:rsidRPr="00260321">
        <w:rPr>
          <w:rFonts w:cs="Arial"/>
          <w:szCs w:val="24"/>
        </w:rPr>
        <w:t>so</w:t>
      </w:r>
      <w:r w:rsidR="003C6D2A" w:rsidRPr="00260321">
        <w:rPr>
          <w:rFonts w:cs="Arial"/>
          <w:szCs w:val="24"/>
        </w:rPr>
        <w:t xml:space="preserve"> a new structure</w:t>
      </w:r>
      <w:r w:rsidR="00057856" w:rsidRPr="00260321">
        <w:rPr>
          <w:rFonts w:cs="Arial"/>
          <w:szCs w:val="24"/>
        </w:rPr>
        <w:t xml:space="preserve"> </w:t>
      </w:r>
      <w:r w:rsidR="003C6D2A" w:rsidRPr="00260321">
        <w:rPr>
          <w:rFonts w:cs="Arial"/>
          <w:szCs w:val="24"/>
        </w:rPr>
        <w:t>is required</w:t>
      </w:r>
      <w:r w:rsidR="00057856" w:rsidRPr="00260321">
        <w:rPr>
          <w:rFonts w:cs="Arial"/>
          <w:szCs w:val="24"/>
        </w:rPr>
        <w:t>.</w:t>
      </w:r>
      <w:r w:rsidR="00FB36C4" w:rsidRPr="00260321">
        <w:rPr>
          <w:rFonts w:cs="Arial"/>
          <w:szCs w:val="24"/>
        </w:rPr>
        <w:t xml:space="preserve"> This is described </w:t>
      </w:r>
      <w:r w:rsidR="00A00702" w:rsidRPr="00260321">
        <w:rPr>
          <w:rFonts w:cs="Arial"/>
          <w:szCs w:val="24"/>
        </w:rPr>
        <w:t xml:space="preserve">in the tender </w:t>
      </w:r>
      <w:r w:rsidR="00FB36C4" w:rsidRPr="00260321">
        <w:rPr>
          <w:rFonts w:cs="Arial"/>
          <w:szCs w:val="24"/>
        </w:rPr>
        <w:t xml:space="preserve">as Phase </w:t>
      </w:r>
      <w:r w:rsidR="00A00702" w:rsidRPr="00260321">
        <w:rPr>
          <w:rFonts w:cs="Arial"/>
          <w:szCs w:val="24"/>
        </w:rPr>
        <w:t>2.</w:t>
      </w:r>
      <w:r w:rsidR="00156F3B" w:rsidRPr="00260321">
        <w:rPr>
          <w:rFonts w:cs="Arial"/>
          <w:szCs w:val="24"/>
        </w:rPr>
        <w:t xml:space="preserve"> </w:t>
      </w:r>
    </w:p>
    <w:p w14:paraId="3E977E7D" w14:textId="1A4E3122" w:rsidR="00156F3B" w:rsidRPr="00224070" w:rsidRDefault="00224070" w:rsidP="00224070">
      <w:pPr>
        <w:spacing w:after="360" w:line="480" w:lineRule="auto"/>
        <w:ind w:left="720" w:hanging="720"/>
        <w:jc w:val="both"/>
        <w:rPr>
          <w:rFonts w:cs="Arial"/>
          <w:szCs w:val="24"/>
        </w:rPr>
      </w:pPr>
      <w:r>
        <w:rPr>
          <w:rFonts w:cs="Arial"/>
          <w:szCs w:val="24"/>
        </w:rPr>
        <w:t>[6]</w:t>
      </w:r>
      <w:r>
        <w:rPr>
          <w:rFonts w:cs="Arial"/>
          <w:szCs w:val="24"/>
        </w:rPr>
        <w:tab/>
      </w:r>
      <w:r w:rsidR="00291912" w:rsidRPr="00224070">
        <w:rPr>
          <w:rFonts w:cs="Arial"/>
          <w:szCs w:val="24"/>
        </w:rPr>
        <w:t>Of the e</w:t>
      </w:r>
      <w:r w:rsidR="00156F3B" w:rsidRPr="00224070">
        <w:rPr>
          <w:rFonts w:cs="Arial"/>
          <w:szCs w:val="24"/>
        </w:rPr>
        <w:t xml:space="preserve">ight firms </w:t>
      </w:r>
      <w:r w:rsidR="00302D54" w:rsidRPr="00224070">
        <w:rPr>
          <w:rFonts w:cs="Arial"/>
          <w:szCs w:val="24"/>
        </w:rPr>
        <w:t xml:space="preserve">that </w:t>
      </w:r>
      <w:r w:rsidR="00156F3B" w:rsidRPr="00224070">
        <w:rPr>
          <w:rFonts w:cs="Arial"/>
          <w:szCs w:val="24"/>
        </w:rPr>
        <w:t>were invited to tender</w:t>
      </w:r>
      <w:r w:rsidR="009B381D" w:rsidRPr="00224070">
        <w:rPr>
          <w:rFonts w:cs="Arial"/>
          <w:szCs w:val="24"/>
        </w:rPr>
        <w:t xml:space="preserve"> for Phase 2</w:t>
      </w:r>
      <w:r w:rsidR="00291912" w:rsidRPr="00224070">
        <w:rPr>
          <w:rFonts w:cs="Arial"/>
          <w:szCs w:val="24"/>
        </w:rPr>
        <w:t xml:space="preserve"> only</w:t>
      </w:r>
      <w:r w:rsidR="00156F3B" w:rsidRPr="00224070">
        <w:rPr>
          <w:rFonts w:cs="Arial"/>
          <w:szCs w:val="24"/>
        </w:rPr>
        <w:t xml:space="preserve"> </w:t>
      </w:r>
      <w:r w:rsidR="00EB58B2" w:rsidRPr="00224070">
        <w:rPr>
          <w:rFonts w:cs="Arial"/>
          <w:szCs w:val="24"/>
        </w:rPr>
        <w:t>f</w:t>
      </w:r>
      <w:r w:rsidR="00156F3B" w:rsidRPr="00224070">
        <w:rPr>
          <w:rFonts w:cs="Arial"/>
          <w:szCs w:val="24"/>
        </w:rPr>
        <w:t>ive submitted bids</w:t>
      </w:r>
      <w:r w:rsidR="009B381D" w:rsidRPr="00224070">
        <w:rPr>
          <w:rFonts w:cs="Arial"/>
          <w:szCs w:val="24"/>
        </w:rPr>
        <w:t>,</w:t>
      </w:r>
      <w:r w:rsidR="00156F3B" w:rsidRPr="00224070">
        <w:rPr>
          <w:rFonts w:cs="Arial"/>
          <w:szCs w:val="24"/>
        </w:rPr>
        <w:t xml:space="preserve"> but for various reasons only that of Grinaker made its way out of the </w:t>
      </w:r>
      <w:r w:rsidR="00EB58B2" w:rsidRPr="00224070">
        <w:rPr>
          <w:rFonts w:cs="Arial"/>
          <w:szCs w:val="24"/>
        </w:rPr>
        <w:t>disqualification</w:t>
      </w:r>
      <w:r w:rsidR="00156F3B" w:rsidRPr="00224070">
        <w:rPr>
          <w:rFonts w:cs="Arial"/>
          <w:szCs w:val="24"/>
        </w:rPr>
        <w:t xml:space="preserve"> stage. None of other firms that bid has challenged the award so in this decision I am only concerned with the challenge brought by WBHO</w:t>
      </w:r>
      <w:r w:rsidR="00A803F1" w:rsidRPr="00224070">
        <w:rPr>
          <w:rFonts w:cs="Arial"/>
          <w:szCs w:val="24"/>
        </w:rPr>
        <w:t>.</w:t>
      </w:r>
    </w:p>
    <w:p w14:paraId="4A9FD890" w14:textId="3A0D511C" w:rsidR="00996419" w:rsidRPr="00224070" w:rsidRDefault="00224070" w:rsidP="00224070">
      <w:pPr>
        <w:spacing w:after="360" w:line="480" w:lineRule="auto"/>
        <w:ind w:left="720" w:hanging="720"/>
        <w:jc w:val="both"/>
        <w:rPr>
          <w:rFonts w:cs="Arial"/>
          <w:szCs w:val="24"/>
        </w:rPr>
      </w:pPr>
      <w:r>
        <w:rPr>
          <w:rFonts w:cs="Arial"/>
          <w:szCs w:val="24"/>
        </w:rPr>
        <w:lastRenderedPageBreak/>
        <w:t>[7]</w:t>
      </w:r>
      <w:r>
        <w:rPr>
          <w:rFonts w:cs="Arial"/>
          <w:szCs w:val="24"/>
        </w:rPr>
        <w:tab/>
      </w:r>
      <w:r w:rsidR="00156F3B" w:rsidRPr="00224070">
        <w:rPr>
          <w:rFonts w:cs="Arial"/>
          <w:szCs w:val="24"/>
        </w:rPr>
        <w:t xml:space="preserve">WBHO submitted its bid on </w:t>
      </w:r>
      <w:r w:rsidR="00293FCA" w:rsidRPr="00224070">
        <w:rPr>
          <w:rFonts w:cs="Arial"/>
          <w:szCs w:val="24"/>
        </w:rPr>
        <w:t xml:space="preserve">17 February 2021 </w:t>
      </w:r>
      <w:r w:rsidR="00156F3B" w:rsidRPr="00224070">
        <w:rPr>
          <w:rFonts w:cs="Arial"/>
          <w:szCs w:val="24"/>
        </w:rPr>
        <w:t xml:space="preserve">which was </w:t>
      </w:r>
      <w:r w:rsidR="00F15598" w:rsidRPr="00224070">
        <w:rPr>
          <w:rFonts w:cs="Arial"/>
          <w:szCs w:val="24"/>
        </w:rPr>
        <w:t>i</w:t>
      </w:r>
      <w:r w:rsidR="00156F3B" w:rsidRPr="00224070">
        <w:rPr>
          <w:rFonts w:cs="Arial"/>
          <w:szCs w:val="24"/>
        </w:rPr>
        <w:t xml:space="preserve">n time for the deadline. It claims it heard nothing from Eskom about the outcome </w:t>
      </w:r>
      <w:r w:rsidR="00F15598" w:rsidRPr="00224070">
        <w:rPr>
          <w:rFonts w:cs="Arial"/>
          <w:szCs w:val="24"/>
        </w:rPr>
        <w:t xml:space="preserve">of the tender </w:t>
      </w:r>
      <w:r w:rsidR="00156F3B" w:rsidRPr="00224070">
        <w:rPr>
          <w:rFonts w:cs="Arial"/>
          <w:szCs w:val="24"/>
        </w:rPr>
        <w:t>but then heard rumours that another firm had won.</w:t>
      </w:r>
      <w:r w:rsidR="006119BE" w:rsidRPr="00260321">
        <w:rPr>
          <w:rStyle w:val="FootnoteReference"/>
          <w:rFonts w:cs="Arial"/>
          <w:szCs w:val="24"/>
        </w:rPr>
        <w:footnoteReference w:id="3"/>
      </w:r>
      <w:r w:rsidR="00A803F1" w:rsidRPr="00224070">
        <w:rPr>
          <w:rFonts w:cs="Arial"/>
          <w:szCs w:val="24"/>
        </w:rPr>
        <w:t xml:space="preserve"> </w:t>
      </w:r>
      <w:r w:rsidR="00E151CB" w:rsidRPr="00224070">
        <w:rPr>
          <w:rFonts w:cs="Arial"/>
          <w:szCs w:val="24"/>
        </w:rPr>
        <w:t>Its estimator</w:t>
      </w:r>
      <w:r w:rsidR="009441B8" w:rsidRPr="00224070">
        <w:rPr>
          <w:rFonts w:cs="Arial"/>
          <w:szCs w:val="24"/>
        </w:rPr>
        <w:t xml:space="preserve"> Joe </w:t>
      </w:r>
      <w:r w:rsidR="00156F3B" w:rsidRPr="00224070">
        <w:rPr>
          <w:rFonts w:cs="Arial"/>
          <w:szCs w:val="24"/>
        </w:rPr>
        <w:t xml:space="preserve">Carter wrote to Eskom and asked for a debriefing meeting with them. This is the type of meeting where the </w:t>
      </w:r>
      <w:r w:rsidR="00996419" w:rsidRPr="00224070">
        <w:rPr>
          <w:rFonts w:cs="Arial"/>
          <w:szCs w:val="24"/>
        </w:rPr>
        <w:t>employer</w:t>
      </w:r>
      <w:r w:rsidR="00EF07DE" w:rsidRPr="00224070">
        <w:rPr>
          <w:rFonts w:cs="Arial"/>
          <w:szCs w:val="24"/>
        </w:rPr>
        <w:t>,</w:t>
      </w:r>
      <w:r w:rsidR="00996419" w:rsidRPr="00224070">
        <w:rPr>
          <w:rFonts w:cs="Arial"/>
          <w:szCs w:val="24"/>
        </w:rPr>
        <w:t xml:space="preserve"> as the bid offeror is sometimes referred to in the tender literature</w:t>
      </w:r>
      <w:r w:rsidR="00EF07DE" w:rsidRPr="00224070">
        <w:rPr>
          <w:rFonts w:cs="Arial"/>
          <w:szCs w:val="24"/>
        </w:rPr>
        <w:t>,</w:t>
      </w:r>
      <w:r w:rsidR="00996419" w:rsidRPr="00224070">
        <w:rPr>
          <w:rFonts w:cs="Arial"/>
          <w:szCs w:val="24"/>
        </w:rPr>
        <w:t xml:space="preserve"> explains to the jilted bidder what its shortcomings were. Presumably because if it bids again in the </w:t>
      </w:r>
      <w:r w:rsidR="007B56E2" w:rsidRPr="00224070">
        <w:rPr>
          <w:rFonts w:cs="Arial"/>
          <w:szCs w:val="24"/>
        </w:rPr>
        <w:t>future,</w:t>
      </w:r>
      <w:r w:rsidR="00996419" w:rsidRPr="00224070">
        <w:rPr>
          <w:rFonts w:cs="Arial"/>
          <w:szCs w:val="24"/>
        </w:rPr>
        <w:t xml:space="preserve"> it will rectify these. </w:t>
      </w:r>
    </w:p>
    <w:p w14:paraId="3BAE0127" w14:textId="015B8E7C" w:rsidR="005D7720" w:rsidRPr="00224070" w:rsidRDefault="00224070" w:rsidP="00224070">
      <w:pPr>
        <w:spacing w:after="360" w:line="480" w:lineRule="auto"/>
        <w:ind w:left="720" w:hanging="720"/>
        <w:jc w:val="both"/>
        <w:rPr>
          <w:rFonts w:cs="Arial"/>
          <w:szCs w:val="24"/>
        </w:rPr>
      </w:pPr>
      <w:r>
        <w:rPr>
          <w:rFonts w:cs="Arial"/>
          <w:szCs w:val="24"/>
        </w:rPr>
        <w:t>[8]</w:t>
      </w:r>
      <w:r>
        <w:rPr>
          <w:rFonts w:cs="Arial"/>
          <w:szCs w:val="24"/>
        </w:rPr>
        <w:tab/>
      </w:r>
      <w:r w:rsidR="00996419" w:rsidRPr="00224070">
        <w:rPr>
          <w:rFonts w:cs="Arial"/>
          <w:szCs w:val="24"/>
        </w:rPr>
        <w:t>On WBHO</w:t>
      </w:r>
      <w:r w:rsidR="005D62FA" w:rsidRPr="00224070">
        <w:rPr>
          <w:rFonts w:cs="Arial"/>
          <w:szCs w:val="24"/>
        </w:rPr>
        <w:t xml:space="preserve">’s </w:t>
      </w:r>
      <w:r w:rsidR="00996419" w:rsidRPr="00224070">
        <w:rPr>
          <w:rFonts w:cs="Arial"/>
          <w:szCs w:val="24"/>
        </w:rPr>
        <w:t>version</w:t>
      </w:r>
      <w:r w:rsidR="00F5182D" w:rsidRPr="00224070">
        <w:rPr>
          <w:rFonts w:cs="Arial"/>
          <w:szCs w:val="24"/>
        </w:rPr>
        <w:t>,</w:t>
      </w:r>
      <w:r w:rsidR="00996419" w:rsidRPr="00224070">
        <w:rPr>
          <w:rFonts w:cs="Arial"/>
          <w:szCs w:val="24"/>
        </w:rPr>
        <w:t xml:space="preserve"> the Eskom officials met with its staff </w:t>
      </w:r>
      <w:r w:rsidR="00F5182D" w:rsidRPr="00224070">
        <w:rPr>
          <w:rFonts w:cs="Arial"/>
          <w:szCs w:val="24"/>
        </w:rPr>
        <w:t>who</w:t>
      </w:r>
      <w:r w:rsidR="00996419" w:rsidRPr="00224070">
        <w:rPr>
          <w:rFonts w:cs="Arial"/>
          <w:szCs w:val="24"/>
        </w:rPr>
        <w:t xml:space="preserve"> explained that WBHO had failed to submit what is referred to as the “</w:t>
      </w:r>
      <w:r w:rsidR="00996419" w:rsidRPr="00224070">
        <w:rPr>
          <w:rFonts w:cs="Arial"/>
          <w:i/>
          <w:iCs/>
          <w:szCs w:val="24"/>
        </w:rPr>
        <w:t>FIDIC contract data</w:t>
      </w:r>
      <w:r w:rsidR="00996419" w:rsidRPr="00224070">
        <w:rPr>
          <w:rFonts w:cs="Arial"/>
          <w:szCs w:val="24"/>
        </w:rPr>
        <w:t>”.</w:t>
      </w:r>
      <w:r w:rsidR="00611BF8" w:rsidRPr="00224070">
        <w:rPr>
          <w:rFonts w:cs="Arial"/>
          <w:szCs w:val="24"/>
        </w:rPr>
        <w:t xml:space="preserve"> </w:t>
      </w:r>
      <w:r w:rsidR="006061C3" w:rsidRPr="00224070">
        <w:rPr>
          <w:rFonts w:cs="Arial"/>
          <w:szCs w:val="24"/>
        </w:rPr>
        <w:t xml:space="preserve">This was </w:t>
      </w:r>
      <w:r w:rsidR="00611BF8" w:rsidRPr="00224070">
        <w:rPr>
          <w:rFonts w:cs="Arial"/>
          <w:szCs w:val="24"/>
        </w:rPr>
        <w:t xml:space="preserve">later </w:t>
      </w:r>
      <w:r w:rsidR="006061C3" w:rsidRPr="00224070">
        <w:rPr>
          <w:rFonts w:cs="Arial"/>
          <w:szCs w:val="24"/>
        </w:rPr>
        <w:t>confirmed in a letter to WBHOs attorneys where Eskom wrot</w:t>
      </w:r>
      <w:r w:rsidR="00824565" w:rsidRPr="00224070">
        <w:rPr>
          <w:rFonts w:cs="Arial"/>
          <w:szCs w:val="24"/>
        </w:rPr>
        <w:t>e that the tender</w:t>
      </w:r>
      <w:r w:rsidR="005C276C" w:rsidRPr="00224070">
        <w:rPr>
          <w:rFonts w:cs="Arial"/>
          <w:szCs w:val="24"/>
        </w:rPr>
        <w:t xml:space="preserve">er had </w:t>
      </w:r>
      <w:r w:rsidR="005D0D4E" w:rsidRPr="00224070">
        <w:rPr>
          <w:rFonts w:cs="Arial"/>
          <w:szCs w:val="24"/>
        </w:rPr>
        <w:t>“</w:t>
      </w:r>
      <w:r w:rsidR="005C276C" w:rsidRPr="00224070">
        <w:rPr>
          <w:rFonts w:cs="Arial"/>
          <w:i/>
          <w:iCs/>
          <w:szCs w:val="24"/>
        </w:rPr>
        <w:t xml:space="preserve">been </w:t>
      </w:r>
      <w:r w:rsidR="005D0D4E" w:rsidRPr="00224070">
        <w:rPr>
          <w:rFonts w:cs="Arial"/>
          <w:i/>
          <w:iCs/>
          <w:szCs w:val="24"/>
        </w:rPr>
        <w:t xml:space="preserve">deemed </w:t>
      </w:r>
      <w:r w:rsidR="005C276C" w:rsidRPr="00224070">
        <w:rPr>
          <w:rFonts w:cs="Arial"/>
          <w:i/>
          <w:iCs/>
          <w:szCs w:val="24"/>
        </w:rPr>
        <w:t>non-compliant</w:t>
      </w:r>
      <w:r>
        <w:rPr>
          <w:rFonts w:cs="Arial"/>
          <w:i/>
          <w:iCs/>
          <w:szCs w:val="24"/>
        </w:rPr>
        <w:t>”</w:t>
      </w:r>
      <w:r w:rsidR="00D33095" w:rsidRPr="00224070">
        <w:rPr>
          <w:rFonts w:cs="Arial"/>
          <w:szCs w:val="24"/>
        </w:rPr>
        <w:t xml:space="preserve"> with the basi</w:t>
      </w:r>
      <w:r w:rsidR="002E7833" w:rsidRPr="00224070">
        <w:rPr>
          <w:rFonts w:cs="Arial"/>
          <w:szCs w:val="24"/>
        </w:rPr>
        <w:t>c</w:t>
      </w:r>
      <w:r w:rsidR="00D33095" w:rsidRPr="00224070">
        <w:rPr>
          <w:rFonts w:cs="Arial"/>
          <w:szCs w:val="24"/>
        </w:rPr>
        <w:t xml:space="preserve"> compliance requirements </w:t>
      </w:r>
      <w:r w:rsidR="00824565" w:rsidRPr="00224070">
        <w:rPr>
          <w:rFonts w:cs="Arial"/>
          <w:szCs w:val="24"/>
        </w:rPr>
        <w:t xml:space="preserve">due to the </w:t>
      </w:r>
      <w:r w:rsidR="00640BB8" w:rsidRPr="00224070">
        <w:rPr>
          <w:rFonts w:cs="Arial"/>
          <w:szCs w:val="24"/>
        </w:rPr>
        <w:t xml:space="preserve">contractors failure </w:t>
      </w:r>
      <w:r w:rsidR="00824565" w:rsidRPr="00224070">
        <w:rPr>
          <w:rFonts w:cs="Arial"/>
          <w:szCs w:val="24"/>
        </w:rPr>
        <w:t xml:space="preserve">to </w:t>
      </w:r>
      <w:r w:rsidR="00CE2731" w:rsidRPr="00224070">
        <w:rPr>
          <w:rFonts w:cs="Arial"/>
          <w:szCs w:val="24"/>
        </w:rPr>
        <w:t>submit the</w:t>
      </w:r>
      <w:r w:rsidR="00CE2731" w:rsidRPr="00224070">
        <w:rPr>
          <w:rFonts w:cs="Arial"/>
          <w:i/>
          <w:iCs/>
          <w:szCs w:val="24"/>
        </w:rPr>
        <w:t xml:space="preserve"> </w:t>
      </w:r>
      <w:r w:rsidR="00041ABE" w:rsidRPr="00224070">
        <w:rPr>
          <w:rFonts w:cs="Arial"/>
          <w:i/>
          <w:iCs/>
          <w:szCs w:val="24"/>
        </w:rPr>
        <w:t>“</w:t>
      </w:r>
      <w:r w:rsidR="00CE2731" w:rsidRPr="00224070">
        <w:rPr>
          <w:rFonts w:cs="Arial"/>
          <w:i/>
          <w:iCs/>
          <w:szCs w:val="24"/>
        </w:rPr>
        <w:t>required FIDIC contract</w:t>
      </w:r>
      <w:r w:rsidR="00996419" w:rsidRPr="00224070">
        <w:rPr>
          <w:rFonts w:cs="Arial"/>
          <w:i/>
          <w:iCs/>
          <w:szCs w:val="24"/>
        </w:rPr>
        <w:t xml:space="preserve"> </w:t>
      </w:r>
      <w:r w:rsidR="00041ABE" w:rsidRPr="00224070">
        <w:rPr>
          <w:rFonts w:cs="Arial"/>
          <w:i/>
          <w:iCs/>
          <w:szCs w:val="24"/>
        </w:rPr>
        <w:t>data”</w:t>
      </w:r>
      <w:r w:rsidR="00DE5377" w:rsidRPr="00224070">
        <w:rPr>
          <w:rFonts w:cs="Arial"/>
          <w:i/>
          <w:iCs/>
          <w:szCs w:val="24"/>
        </w:rPr>
        <w:t>.</w:t>
      </w:r>
      <w:r w:rsidR="007D120A" w:rsidRPr="00260321">
        <w:rPr>
          <w:rStyle w:val="FootnoteReference"/>
          <w:rFonts w:cs="Arial"/>
          <w:i/>
          <w:iCs/>
          <w:szCs w:val="24"/>
        </w:rPr>
        <w:footnoteReference w:id="4"/>
      </w:r>
      <w:r w:rsidR="00041ABE" w:rsidRPr="00224070">
        <w:rPr>
          <w:rFonts w:cs="Arial"/>
          <w:szCs w:val="24"/>
        </w:rPr>
        <w:t xml:space="preserve"> </w:t>
      </w:r>
      <w:r w:rsidR="00996419" w:rsidRPr="00224070">
        <w:rPr>
          <w:rFonts w:cs="Arial"/>
          <w:szCs w:val="24"/>
        </w:rPr>
        <w:t xml:space="preserve">More about this term later as the first ground of review turns on its interpretation. WBHO’s people </w:t>
      </w:r>
      <w:r w:rsidR="00057058" w:rsidRPr="00224070">
        <w:rPr>
          <w:rFonts w:cs="Arial"/>
          <w:szCs w:val="24"/>
        </w:rPr>
        <w:t xml:space="preserve">say they </w:t>
      </w:r>
      <w:r w:rsidR="00996419" w:rsidRPr="00224070">
        <w:rPr>
          <w:rFonts w:cs="Arial"/>
          <w:szCs w:val="24"/>
        </w:rPr>
        <w:t xml:space="preserve">were non-plussed. They did not know what this meant and what they should have supplied that they </w:t>
      </w:r>
      <w:r w:rsidR="00E60857" w:rsidRPr="00224070">
        <w:rPr>
          <w:rFonts w:cs="Arial"/>
          <w:szCs w:val="24"/>
        </w:rPr>
        <w:t>didn’t.</w:t>
      </w:r>
      <w:r w:rsidR="00996419" w:rsidRPr="00224070">
        <w:rPr>
          <w:rFonts w:cs="Arial"/>
          <w:szCs w:val="24"/>
        </w:rPr>
        <w:t xml:space="preserve"> This then led</w:t>
      </w:r>
      <w:r w:rsidR="00651FDF" w:rsidRPr="00224070">
        <w:rPr>
          <w:rFonts w:cs="Arial"/>
          <w:szCs w:val="24"/>
        </w:rPr>
        <w:t xml:space="preserve"> WBHO to decide on </w:t>
      </w:r>
      <w:r w:rsidR="00AA76DD" w:rsidRPr="00224070">
        <w:rPr>
          <w:rFonts w:cs="Arial"/>
          <w:szCs w:val="24"/>
        </w:rPr>
        <w:t>litigation.</w:t>
      </w:r>
      <w:r w:rsidR="00996419" w:rsidRPr="00224070">
        <w:rPr>
          <w:rFonts w:cs="Arial"/>
          <w:szCs w:val="24"/>
        </w:rPr>
        <w:t xml:space="preserve"> </w:t>
      </w:r>
    </w:p>
    <w:p w14:paraId="678E36A0" w14:textId="1FA98D5A" w:rsidR="00996419" w:rsidRPr="00DE298B" w:rsidRDefault="00DE298B" w:rsidP="00DE298B">
      <w:pPr>
        <w:spacing w:after="360" w:line="480" w:lineRule="auto"/>
        <w:ind w:left="720" w:hanging="720"/>
        <w:jc w:val="both"/>
        <w:rPr>
          <w:rFonts w:cs="Arial"/>
          <w:szCs w:val="24"/>
        </w:rPr>
      </w:pPr>
      <w:r>
        <w:rPr>
          <w:rFonts w:cs="Arial"/>
          <w:szCs w:val="24"/>
        </w:rPr>
        <w:t>[9]</w:t>
      </w:r>
      <w:r>
        <w:rPr>
          <w:rFonts w:cs="Arial"/>
          <w:szCs w:val="24"/>
        </w:rPr>
        <w:tab/>
      </w:r>
      <w:r w:rsidR="00996419" w:rsidRPr="00DE298B">
        <w:rPr>
          <w:rFonts w:cs="Arial"/>
          <w:szCs w:val="24"/>
        </w:rPr>
        <w:t xml:space="preserve">On </w:t>
      </w:r>
      <w:r w:rsidR="002625DD" w:rsidRPr="00DE298B">
        <w:rPr>
          <w:rFonts w:cs="Arial"/>
          <w:szCs w:val="24"/>
        </w:rPr>
        <w:t>8 July 2022,</w:t>
      </w:r>
      <w:r w:rsidR="00996419" w:rsidRPr="00DE298B">
        <w:rPr>
          <w:rFonts w:cs="Arial"/>
          <w:szCs w:val="24"/>
        </w:rPr>
        <w:t xml:space="preserve"> WBHO brought Part A of this notice of motion by way of an urgent application in which it sought </w:t>
      </w:r>
      <w:r w:rsidR="00034299" w:rsidRPr="00DE298B">
        <w:rPr>
          <w:rFonts w:cs="Arial"/>
          <w:szCs w:val="24"/>
        </w:rPr>
        <w:t xml:space="preserve">an interim interdict to restrain the respondents from </w:t>
      </w:r>
      <w:r w:rsidR="00B251B2" w:rsidRPr="00DE298B">
        <w:rPr>
          <w:rFonts w:cs="Arial"/>
          <w:szCs w:val="24"/>
        </w:rPr>
        <w:t xml:space="preserve">further implementing the tender </w:t>
      </w:r>
      <w:r w:rsidR="00F322D6" w:rsidRPr="00DE298B">
        <w:rPr>
          <w:rFonts w:cs="Arial"/>
          <w:szCs w:val="24"/>
        </w:rPr>
        <w:t>pending the finalisation of the review.</w:t>
      </w:r>
      <w:r w:rsidR="00996419" w:rsidRPr="00DE298B">
        <w:rPr>
          <w:rFonts w:cs="Arial"/>
          <w:szCs w:val="24"/>
        </w:rPr>
        <w:t xml:space="preserve"> Eskom filed its answer on</w:t>
      </w:r>
      <w:r w:rsidR="00EB61CB" w:rsidRPr="00DE298B">
        <w:rPr>
          <w:rFonts w:cs="Arial"/>
          <w:szCs w:val="24"/>
        </w:rPr>
        <w:t xml:space="preserve"> 14 July 2022</w:t>
      </w:r>
      <w:r w:rsidR="00996419" w:rsidRPr="00DE298B">
        <w:rPr>
          <w:rFonts w:cs="Arial"/>
          <w:szCs w:val="24"/>
        </w:rPr>
        <w:t xml:space="preserve">.  The application was never heard as an urgent matter. </w:t>
      </w:r>
      <w:r w:rsidR="00996419" w:rsidRPr="00DE298B">
        <w:rPr>
          <w:rFonts w:cs="Arial"/>
          <w:szCs w:val="24"/>
        </w:rPr>
        <w:lastRenderedPageBreak/>
        <w:t xml:space="preserve">That much is common cause but not why it was not heard. WBHO claims this was by agreement as it was not going to be able to file its reply on time. Eskom claims the withdrawal was </w:t>
      </w:r>
      <w:r w:rsidR="00C21B63" w:rsidRPr="00DE298B">
        <w:rPr>
          <w:rFonts w:cs="Arial"/>
          <w:szCs w:val="24"/>
        </w:rPr>
        <w:t>unilateral</w:t>
      </w:r>
      <w:r w:rsidR="005C54EA" w:rsidRPr="00DE298B">
        <w:rPr>
          <w:rFonts w:cs="Arial"/>
          <w:szCs w:val="24"/>
        </w:rPr>
        <w:t xml:space="preserve"> and that t</w:t>
      </w:r>
      <w:r w:rsidR="00996419" w:rsidRPr="00DE298B">
        <w:rPr>
          <w:rFonts w:cs="Arial"/>
          <w:szCs w:val="24"/>
        </w:rPr>
        <w:t xml:space="preserve">he urgency was self-created and misconceived. </w:t>
      </w:r>
    </w:p>
    <w:p w14:paraId="7620008C" w14:textId="7BC47C89" w:rsidR="0016260C" w:rsidRPr="00DE298B" w:rsidRDefault="00DE298B" w:rsidP="00DE298B">
      <w:pPr>
        <w:spacing w:after="360" w:line="480" w:lineRule="auto"/>
        <w:ind w:left="720" w:hanging="720"/>
        <w:jc w:val="both"/>
        <w:rPr>
          <w:rFonts w:cs="Arial"/>
          <w:i/>
          <w:iCs/>
          <w:szCs w:val="24"/>
        </w:rPr>
      </w:pPr>
      <w:r>
        <w:rPr>
          <w:rFonts w:cs="Arial"/>
          <w:szCs w:val="24"/>
        </w:rPr>
        <w:t>[10]</w:t>
      </w:r>
      <w:r>
        <w:rPr>
          <w:rFonts w:cs="Arial"/>
          <w:szCs w:val="24"/>
        </w:rPr>
        <w:tab/>
      </w:r>
      <w:r w:rsidR="005C54EA" w:rsidRPr="00DE298B">
        <w:rPr>
          <w:rFonts w:cs="Arial"/>
          <w:szCs w:val="24"/>
        </w:rPr>
        <w:t>Whether or not the application</w:t>
      </w:r>
      <w:r w:rsidR="0073321F" w:rsidRPr="00DE298B">
        <w:rPr>
          <w:rFonts w:cs="Arial"/>
          <w:szCs w:val="24"/>
        </w:rPr>
        <w:t xml:space="preserve"> justified urgency is not for me to consider</w:t>
      </w:r>
      <w:r w:rsidR="003B773A" w:rsidRPr="00DE298B">
        <w:rPr>
          <w:rFonts w:cs="Arial"/>
          <w:szCs w:val="24"/>
        </w:rPr>
        <w:t xml:space="preserve"> now</w:t>
      </w:r>
      <w:r w:rsidR="0073321F" w:rsidRPr="00DE298B">
        <w:rPr>
          <w:rFonts w:cs="Arial"/>
          <w:szCs w:val="24"/>
        </w:rPr>
        <w:t>. What is relevant from this early exchange of papers is that f</w:t>
      </w:r>
      <w:r w:rsidR="0083742E" w:rsidRPr="00DE298B">
        <w:rPr>
          <w:rFonts w:cs="Arial"/>
          <w:szCs w:val="24"/>
        </w:rPr>
        <w:t>or the first time in the answering affidavit</w:t>
      </w:r>
      <w:r w:rsidR="007E0A69" w:rsidRPr="00DE298B">
        <w:rPr>
          <w:rFonts w:cs="Arial"/>
          <w:szCs w:val="24"/>
        </w:rPr>
        <w:t>,</w:t>
      </w:r>
      <w:r w:rsidR="0083742E" w:rsidRPr="00DE298B">
        <w:rPr>
          <w:rFonts w:cs="Arial"/>
          <w:szCs w:val="24"/>
        </w:rPr>
        <w:t xml:space="preserve"> Eskom gave greater detail for why the </w:t>
      </w:r>
      <w:r w:rsidR="0073321F" w:rsidRPr="00DE298B">
        <w:rPr>
          <w:rFonts w:cs="Arial"/>
          <w:szCs w:val="24"/>
        </w:rPr>
        <w:t xml:space="preserve">WBHO </w:t>
      </w:r>
      <w:r w:rsidR="0083742E" w:rsidRPr="00DE298B">
        <w:rPr>
          <w:rFonts w:cs="Arial"/>
          <w:szCs w:val="24"/>
        </w:rPr>
        <w:t xml:space="preserve">bid had been disqualified. </w:t>
      </w:r>
      <w:r w:rsidR="009608AE" w:rsidRPr="00DE298B">
        <w:rPr>
          <w:rFonts w:cs="Arial"/>
          <w:szCs w:val="24"/>
        </w:rPr>
        <w:t xml:space="preserve">Eskom explained that the requirement to provide </w:t>
      </w:r>
      <w:r>
        <w:rPr>
          <w:rFonts w:cs="Arial"/>
          <w:szCs w:val="24"/>
        </w:rPr>
        <w:t>“</w:t>
      </w:r>
      <w:r w:rsidR="009608AE" w:rsidRPr="00DE298B">
        <w:rPr>
          <w:rFonts w:cs="Arial"/>
          <w:szCs w:val="24"/>
        </w:rPr>
        <w:t>FIDIC contract data</w:t>
      </w:r>
      <w:r>
        <w:rPr>
          <w:rFonts w:cs="Arial"/>
          <w:szCs w:val="24"/>
        </w:rPr>
        <w:t>”</w:t>
      </w:r>
      <w:r w:rsidR="009608AE" w:rsidRPr="00DE298B">
        <w:rPr>
          <w:rFonts w:cs="Arial"/>
          <w:szCs w:val="24"/>
        </w:rPr>
        <w:t xml:space="preserve"> meant </w:t>
      </w:r>
      <w:r w:rsidR="00B65AB0" w:rsidRPr="00DE298B">
        <w:rPr>
          <w:rFonts w:cs="Arial"/>
          <w:szCs w:val="24"/>
        </w:rPr>
        <w:t xml:space="preserve">filling in a form called the Appendix to the </w:t>
      </w:r>
      <w:r w:rsidR="00FA5D3D" w:rsidRPr="00DE298B">
        <w:rPr>
          <w:rFonts w:cs="Arial"/>
          <w:szCs w:val="24"/>
        </w:rPr>
        <w:t>T</w:t>
      </w:r>
      <w:r w:rsidR="00B65AB0" w:rsidRPr="00DE298B">
        <w:rPr>
          <w:rFonts w:cs="Arial"/>
          <w:szCs w:val="24"/>
        </w:rPr>
        <w:t>ender</w:t>
      </w:r>
      <w:r w:rsidR="00392370" w:rsidRPr="00DE298B">
        <w:rPr>
          <w:rFonts w:cs="Arial"/>
          <w:szCs w:val="24"/>
        </w:rPr>
        <w:t xml:space="preserve"> (</w:t>
      </w:r>
      <w:r>
        <w:rPr>
          <w:rFonts w:cs="Arial"/>
          <w:szCs w:val="24"/>
        </w:rPr>
        <w:t>“</w:t>
      </w:r>
      <w:r w:rsidR="00392370" w:rsidRPr="00DE298B">
        <w:rPr>
          <w:rFonts w:cs="Arial"/>
          <w:szCs w:val="24"/>
        </w:rPr>
        <w:t>Appendix</w:t>
      </w:r>
      <w:r>
        <w:rPr>
          <w:rFonts w:cs="Arial"/>
          <w:szCs w:val="24"/>
        </w:rPr>
        <w:t>”</w:t>
      </w:r>
      <w:r w:rsidR="00392370" w:rsidRPr="00DE298B">
        <w:rPr>
          <w:rFonts w:cs="Arial"/>
          <w:szCs w:val="24"/>
        </w:rPr>
        <w:t>)</w:t>
      </w:r>
      <w:r w:rsidR="00B65AB0" w:rsidRPr="00DE298B">
        <w:rPr>
          <w:rFonts w:cs="Arial"/>
          <w:szCs w:val="24"/>
        </w:rPr>
        <w:t>.</w:t>
      </w:r>
      <w:r w:rsidR="0083742E" w:rsidRPr="00DE298B">
        <w:rPr>
          <w:rFonts w:cs="Arial"/>
          <w:szCs w:val="24"/>
        </w:rPr>
        <w:t xml:space="preserve"> This document required the bidder to fill in certain information in conjunction with the rest of the bid documents </w:t>
      </w:r>
      <w:r w:rsidR="00031CAF" w:rsidRPr="00DE298B">
        <w:rPr>
          <w:rFonts w:cs="Arial"/>
          <w:szCs w:val="24"/>
        </w:rPr>
        <w:t>submitted. It is now common cause that WBHO never submitted the Appendix with its other bid documents hence this was the basis for its disqualification</w:t>
      </w:r>
      <w:r w:rsidR="0016260C" w:rsidRPr="00DE298B">
        <w:rPr>
          <w:rFonts w:cs="Arial"/>
          <w:szCs w:val="24"/>
        </w:rPr>
        <w:t>.</w:t>
      </w:r>
    </w:p>
    <w:p w14:paraId="79A00639" w14:textId="542E5D1C" w:rsidR="00085F3D" w:rsidRPr="00DE298B" w:rsidRDefault="00DE298B" w:rsidP="00DE298B">
      <w:pPr>
        <w:spacing w:after="360" w:line="480" w:lineRule="auto"/>
        <w:ind w:left="720" w:hanging="720"/>
        <w:jc w:val="both"/>
        <w:rPr>
          <w:rFonts w:cs="Arial"/>
          <w:i/>
          <w:iCs/>
          <w:szCs w:val="24"/>
        </w:rPr>
      </w:pPr>
      <w:r>
        <w:rPr>
          <w:rFonts w:cs="Arial"/>
          <w:szCs w:val="24"/>
        </w:rPr>
        <w:t>[11]</w:t>
      </w:r>
      <w:r>
        <w:rPr>
          <w:rFonts w:cs="Arial"/>
          <w:szCs w:val="24"/>
        </w:rPr>
        <w:tab/>
      </w:r>
      <w:r w:rsidR="0083742E" w:rsidRPr="00DE298B">
        <w:rPr>
          <w:rFonts w:cs="Arial"/>
          <w:szCs w:val="24"/>
        </w:rPr>
        <w:t>Later</w:t>
      </w:r>
      <w:r w:rsidR="00663A1E" w:rsidRPr="00DE298B">
        <w:rPr>
          <w:rFonts w:cs="Arial"/>
          <w:szCs w:val="24"/>
        </w:rPr>
        <w:t>,</w:t>
      </w:r>
      <w:r w:rsidR="0083742E" w:rsidRPr="00DE298B">
        <w:rPr>
          <w:rFonts w:cs="Arial"/>
          <w:szCs w:val="24"/>
        </w:rPr>
        <w:t xml:space="preserve"> when urgency was no longer pressing it, WBHO filed </w:t>
      </w:r>
      <w:r w:rsidR="006208EC" w:rsidRPr="00DE298B">
        <w:rPr>
          <w:rFonts w:cs="Arial"/>
          <w:szCs w:val="24"/>
        </w:rPr>
        <w:t>its replying affidavit. Here the person responsible for</w:t>
      </w:r>
      <w:r w:rsidR="00C55CD5" w:rsidRPr="00DE298B">
        <w:rPr>
          <w:rFonts w:cs="Arial"/>
          <w:szCs w:val="24"/>
        </w:rPr>
        <w:t xml:space="preserve"> submitting</w:t>
      </w:r>
      <w:r w:rsidR="006208EC" w:rsidRPr="00DE298B">
        <w:rPr>
          <w:rFonts w:cs="Arial"/>
          <w:szCs w:val="24"/>
        </w:rPr>
        <w:t xml:space="preserve"> its tender,</w:t>
      </w:r>
      <w:r w:rsidR="00FE0BCF" w:rsidRPr="00DE298B">
        <w:rPr>
          <w:rFonts w:cs="Arial"/>
          <w:szCs w:val="24"/>
        </w:rPr>
        <w:t xml:space="preserve"> its estimator</w:t>
      </w:r>
      <w:r w:rsidR="00C55CD5" w:rsidRPr="00DE298B">
        <w:rPr>
          <w:rFonts w:cs="Arial"/>
          <w:szCs w:val="24"/>
        </w:rPr>
        <w:t xml:space="preserve"> </w:t>
      </w:r>
      <w:r w:rsidR="000226AC" w:rsidRPr="00DE298B">
        <w:rPr>
          <w:rFonts w:cs="Arial"/>
          <w:szCs w:val="24"/>
        </w:rPr>
        <w:t>Joe</w:t>
      </w:r>
      <w:r w:rsidR="006208EC" w:rsidRPr="00DE298B">
        <w:rPr>
          <w:rFonts w:cs="Arial"/>
          <w:szCs w:val="24"/>
        </w:rPr>
        <w:t xml:space="preserve"> Carter alleged that </w:t>
      </w:r>
      <w:r w:rsidR="006940EF" w:rsidRPr="00DE298B">
        <w:rPr>
          <w:rFonts w:cs="Arial"/>
          <w:szCs w:val="24"/>
        </w:rPr>
        <w:t xml:space="preserve">Eskom </w:t>
      </w:r>
      <w:r w:rsidR="009A09D4" w:rsidRPr="00DE298B">
        <w:rPr>
          <w:rFonts w:cs="Arial"/>
          <w:szCs w:val="24"/>
        </w:rPr>
        <w:t xml:space="preserve">only downloaded </w:t>
      </w:r>
      <w:r w:rsidR="00545E1C" w:rsidRPr="00DE298B">
        <w:rPr>
          <w:rFonts w:cs="Arial"/>
          <w:szCs w:val="24"/>
        </w:rPr>
        <w:t xml:space="preserve">the Appendix </w:t>
      </w:r>
      <w:r w:rsidR="009A09D4" w:rsidRPr="00DE298B">
        <w:rPr>
          <w:rFonts w:cs="Arial"/>
          <w:szCs w:val="24"/>
        </w:rPr>
        <w:t>o</w:t>
      </w:r>
      <w:r w:rsidR="00DE12F1" w:rsidRPr="00DE298B">
        <w:rPr>
          <w:rFonts w:cs="Arial"/>
          <w:szCs w:val="24"/>
        </w:rPr>
        <w:t>n 25 January 2021. Recall</w:t>
      </w:r>
      <w:r w:rsidR="00545E1C" w:rsidRPr="00DE298B">
        <w:rPr>
          <w:rFonts w:cs="Arial"/>
          <w:szCs w:val="24"/>
        </w:rPr>
        <w:t>,</w:t>
      </w:r>
      <w:r w:rsidR="00DE12F1" w:rsidRPr="00DE298B">
        <w:rPr>
          <w:rFonts w:cs="Arial"/>
          <w:szCs w:val="24"/>
        </w:rPr>
        <w:t xml:space="preserve"> the tender was announced on </w:t>
      </w:r>
      <w:r w:rsidR="00440EB1" w:rsidRPr="00DE298B">
        <w:rPr>
          <w:rFonts w:cs="Arial"/>
          <w:szCs w:val="24"/>
        </w:rPr>
        <w:t xml:space="preserve">5 November 2020. </w:t>
      </w:r>
      <w:r w:rsidR="003A7C7D" w:rsidRPr="00DE298B">
        <w:rPr>
          <w:rFonts w:cs="Arial"/>
          <w:szCs w:val="24"/>
        </w:rPr>
        <w:t>Nevertheless</w:t>
      </w:r>
      <w:r w:rsidR="00AF3D22" w:rsidRPr="00DE298B">
        <w:rPr>
          <w:rFonts w:cs="Arial"/>
          <w:szCs w:val="24"/>
        </w:rPr>
        <w:t>,</w:t>
      </w:r>
      <w:r w:rsidR="003A7C7D" w:rsidRPr="00DE298B">
        <w:rPr>
          <w:rFonts w:cs="Arial"/>
          <w:szCs w:val="24"/>
        </w:rPr>
        <w:t xml:space="preserve"> WBHO</w:t>
      </w:r>
      <w:r w:rsidR="00BC3501" w:rsidRPr="00DE298B">
        <w:rPr>
          <w:rFonts w:cs="Arial"/>
          <w:szCs w:val="24"/>
        </w:rPr>
        <w:t xml:space="preserve"> submitted its tender only on </w:t>
      </w:r>
      <w:r w:rsidR="00E668C9" w:rsidRPr="00DE298B">
        <w:rPr>
          <w:rFonts w:cs="Arial"/>
          <w:szCs w:val="24"/>
        </w:rPr>
        <w:t>17 February 2021. Thus</w:t>
      </w:r>
      <w:r w:rsidR="00040955" w:rsidRPr="00DE298B">
        <w:rPr>
          <w:rFonts w:cs="Arial"/>
          <w:szCs w:val="24"/>
        </w:rPr>
        <w:t>,</w:t>
      </w:r>
      <w:r w:rsidR="00E668C9" w:rsidRPr="00DE298B">
        <w:rPr>
          <w:rFonts w:cs="Arial"/>
          <w:szCs w:val="24"/>
        </w:rPr>
        <w:t xml:space="preserve"> even on Carter’s version </w:t>
      </w:r>
      <w:r w:rsidR="00C2688D" w:rsidRPr="00DE298B">
        <w:rPr>
          <w:rFonts w:cs="Arial"/>
          <w:szCs w:val="24"/>
        </w:rPr>
        <w:t xml:space="preserve">it would have been available </w:t>
      </w:r>
      <w:r w:rsidR="00BC24B1" w:rsidRPr="00DE298B">
        <w:rPr>
          <w:rFonts w:cs="Arial"/>
          <w:szCs w:val="24"/>
        </w:rPr>
        <w:t xml:space="preserve">to it </w:t>
      </w:r>
      <w:r w:rsidR="00C2688D" w:rsidRPr="00DE298B">
        <w:rPr>
          <w:rFonts w:cs="Arial"/>
          <w:szCs w:val="24"/>
        </w:rPr>
        <w:t xml:space="preserve">prior to submission. </w:t>
      </w:r>
      <w:r w:rsidR="008C11D2" w:rsidRPr="00DE298B">
        <w:rPr>
          <w:rFonts w:cs="Arial"/>
          <w:szCs w:val="24"/>
        </w:rPr>
        <w:t xml:space="preserve">In explanation, </w:t>
      </w:r>
      <w:r w:rsidR="004A0161" w:rsidRPr="00DE298B">
        <w:rPr>
          <w:rFonts w:cs="Arial"/>
          <w:szCs w:val="24"/>
        </w:rPr>
        <w:t>WBHO</w:t>
      </w:r>
      <w:r w:rsidR="00440EB1" w:rsidRPr="00DE298B">
        <w:rPr>
          <w:rFonts w:cs="Arial"/>
          <w:szCs w:val="24"/>
        </w:rPr>
        <w:t xml:space="preserve"> allege</w:t>
      </w:r>
      <w:r w:rsidR="00C2688D" w:rsidRPr="00DE298B">
        <w:rPr>
          <w:rFonts w:cs="Arial"/>
          <w:szCs w:val="24"/>
        </w:rPr>
        <w:t>s that Eskom had downloaded new documents at several times since the tender was announced and Eskom never alerted WBHO</w:t>
      </w:r>
      <w:r w:rsidR="00C9361A" w:rsidRPr="00DE298B">
        <w:rPr>
          <w:rFonts w:cs="Arial"/>
          <w:szCs w:val="24"/>
        </w:rPr>
        <w:t xml:space="preserve"> to the fact </w:t>
      </w:r>
      <w:r w:rsidR="00C2688D" w:rsidRPr="00DE298B">
        <w:rPr>
          <w:rFonts w:cs="Arial"/>
          <w:szCs w:val="24"/>
        </w:rPr>
        <w:t xml:space="preserve">that the Appendix had only been </w:t>
      </w:r>
      <w:r w:rsidR="00C2688D" w:rsidRPr="00DE298B">
        <w:rPr>
          <w:rFonts w:cs="Arial"/>
          <w:szCs w:val="24"/>
        </w:rPr>
        <w:lastRenderedPageBreak/>
        <w:t>downloaded on 25 January</w:t>
      </w:r>
      <w:r w:rsidR="00DD4215" w:rsidRPr="00DE298B">
        <w:rPr>
          <w:rFonts w:cs="Arial"/>
          <w:szCs w:val="24"/>
        </w:rPr>
        <w:t xml:space="preserve"> 2021</w:t>
      </w:r>
      <w:r w:rsidR="00C2688D" w:rsidRPr="00DE298B">
        <w:rPr>
          <w:rFonts w:cs="Arial"/>
          <w:szCs w:val="24"/>
        </w:rPr>
        <w:t>.</w:t>
      </w:r>
      <w:r w:rsidR="006A6E31" w:rsidRPr="00DE298B">
        <w:rPr>
          <w:rFonts w:cs="Arial"/>
          <w:szCs w:val="24"/>
        </w:rPr>
        <w:t xml:space="preserve"> But </w:t>
      </w:r>
      <w:r w:rsidR="00045253" w:rsidRPr="00DE298B">
        <w:rPr>
          <w:rFonts w:cs="Arial"/>
          <w:szCs w:val="24"/>
        </w:rPr>
        <w:t>Conradt Meyer</w:t>
      </w:r>
      <w:r w:rsidR="008C57F7" w:rsidRPr="00DE298B">
        <w:rPr>
          <w:rFonts w:cs="Arial"/>
          <w:szCs w:val="24"/>
        </w:rPr>
        <w:t>,</w:t>
      </w:r>
      <w:r w:rsidR="00045253" w:rsidRPr="00DE298B">
        <w:rPr>
          <w:rFonts w:cs="Arial"/>
          <w:szCs w:val="24"/>
        </w:rPr>
        <w:t xml:space="preserve"> </w:t>
      </w:r>
      <w:r w:rsidR="006A6E31" w:rsidRPr="00DE298B">
        <w:rPr>
          <w:rFonts w:cs="Arial"/>
          <w:szCs w:val="24"/>
        </w:rPr>
        <w:t xml:space="preserve">WBHO’s </w:t>
      </w:r>
      <w:r w:rsidR="00EB6853" w:rsidRPr="00DE298B">
        <w:rPr>
          <w:rFonts w:cs="Arial"/>
          <w:szCs w:val="24"/>
        </w:rPr>
        <w:t>managing director of the relevant division</w:t>
      </w:r>
      <w:r w:rsidR="008C57F7" w:rsidRPr="00DE298B">
        <w:rPr>
          <w:rFonts w:cs="Arial"/>
          <w:szCs w:val="24"/>
        </w:rPr>
        <w:t>,</w:t>
      </w:r>
      <w:r w:rsidR="00EB6853" w:rsidRPr="00DE298B">
        <w:rPr>
          <w:rFonts w:cs="Arial"/>
          <w:szCs w:val="24"/>
        </w:rPr>
        <w:t xml:space="preserve"> and its </w:t>
      </w:r>
      <w:r w:rsidR="006A6E31" w:rsidRPr="00DE298B">
        <w:rPr>
          <w:rFonts w:cs="Arial"/>
          <w:szCs w:val="24"/>
        </w:rPr>
        <w:t>deponent to the replying affidavit</w:t>
      </w:r>
      <w:r w:rsidR="008C57F7" w:rsidRPr="00DE298B">
        <w:rPr>
          <w:rFonts w:cs="Arial"/>
          <w:szCs w:val="24"/>
        </w:rPr>
        <w:t>,</w:t>
      </w:r>
      <w:r w:rsidR="006A6E31" w:rsidRPr="00DE298B">
        <w:rPr>
          <w:rFonts w:cs="Arial"/>
          <w:szCs w:val="24"/>
        </w:rPr>
        <w:t xml:space="preserve"> states</w:t>
      </w:r>
      <w:r w:rsidR="00C2688D" w:rsidRPr="00DE298B">
        <w:rPr>
          <w:rFonts w:cs="Arial"/>
          <w:i/>
          <w:iCs/>
          <w:szCs w:val="24"/>
        </w:rPr>
        <w:t>:</w:t>
      </w:r>
    </w:p>
    <w:p w14:paraId="3DF3FE09" w14:textId="665E94BE" w:rsidR="00085F3D" w:rsidRPr="00260321" w:rsidRDefault="002C17A2" w:rsidP="00DE298B">
      <w:pPr>
        <w:pStyle w:val="ListParagraph"/>
        <w:spacing w:after="360" w:line="480" w:lineRule="auto"/>
        <w:ind w:left="1440"/>
        <w:jc w:val="both"/>
        <w:rPr>
          <w:rFonts w:cs="Arial"/>
          <w:i/>
          <w:iCs/>
          <w:szCs w:val="24"/>
        </w:rPr>
      </w:pPr>
      <w:r w:rsidRPr="00260321">
        <w:rPr>
          <w:rFonts w:cs="Arial"/>
          <w:i/>
          <w:iCs/>
          <w:szCs w:val="24"/>
        </w:rPr>
        <w:t>“</w:t>
      </w:r>
      <w:r w:rsidR="006700D9" w:rsidRPr="00260321">
        <w:rPr>
          <w:rFonts w:cs="Arial"/>
          <w:i/>
          <w:iCs/>
          <w:szCs w:val="24"/>
        </w:rPr>
        <w:t>If the applicant knew Eskom added the Appendix to Tender to the tender documentation it would have been a very simple exercise to complete the document and to include it in applicants bid submission.</w:t>
      </w:r>
      <w:r w:rsidRPr="00260321">
        <w:rPr>
          <w:rFonts w:cs="Arial"/>
          <w:i/>
          <w:iCs/>
          <w:szCs w:val="24"/>
        </w:rPr>
        <w:t>”</w:t>
      </w:r>
    </w:p>
    <w:p w14:paraId="0C3A65A6" w14:textId="2496DB0C" w:rsidR="00996419" w:rsidRPr="00DE298B" w:rsidRDefault="00DE298B" w:rsidP="00DE298B">
      <w:pPr>
        <w:spacing w:after="360" w:line="480" w:lineRule="auto"/>
        <w:ind w:left="720" w:hanging="720"/>
        <w:jc w:val="both"/>
        <w:rPr>
          <w:rFonts w:cs="Arial"/>
          <w:szCs w:val="24"/>
        </w:rPr>
      </w:pPr>
      <w:r>
        <w:rPr>
          <w:rFonts w:cs="Arial"/>
          <w:szCs w:val="24"/>
        </w:rPr>
        <w:t>[12]</w:t>
      </w:r>
      <w:r>
        <w:rPr>
          <w:rFonts w:cs="Arial"/>
          <w:szCs w:val="24"/>
        </w:rPr>
        <w:tab/>
      </w:r>
      <w:r w:rsidR="00C346F0" w:rsidRPr="00DE298B">
        <w:rPr>
          <w:rFonts w:cs="Arial"/>
          <w:szCs w:val="24"/>
        </w:rPr>
        <w:t>Bu</w:t>
      </w:r>
      <w:r w:rsidR="003C1E3A" w:rsidRPr="00DE298B">
        <w:rPr>
          <w:rFonts w:cs="Arial"/>
          <w:szCs w:val="24"/>
        </w:rPr>
        <w:t>t relying on the version of Carter, WBHO at this stage in its replying affidavit</w:t>
      </w:r>
      <w:r w:rsidR="008F56F2" w:rsidRPr="00DE298B">
        <w:rPr>
          <w:rFonts w:cs="Arial"/>
          <w:szCs w:val="24"/>
        </w:rPr>
        <w:t>,</w:t>
      </w:r>
      <w:r w:rsidR="003C1E3A" w:rsidRPr="00DE298B">
        <w:rPr>
          <w:rFonts w:cs="Arial"/>
          <w:szCs w:val="24"/>
        </w:rPr>
        <w:t xml:space="preserve"> confidently asserted </w:t>
      </w:r>
      <w:r w:rsidR="003A4C5A" w:rsidRPr="00DE298B">
        <w:rPr>
          <w:rFonts w:cs="Arial"/>
          <w:szCs w:val="24"/>
        </w:rPr>
        <w:t xml:space="preserve">that Carter was correct. He went as far as to </w:t>
      </w:r>
      <w:r w:rsidR="006208EC" w:rsidRPr="00DE298B">
        <w:rPr>
          <w:rFonts w:cs="Arial"/>
          <w:szCs w:val="24"/>
        </w:rPr>
        <w:t>put up screen shots</w:t>
      </w:r>
      <w:r w:rsidR="00E5739E" w:rsidRPr="00DE298B">
        <w:rPr>
          <w:rFonts w:cs="Arial"/>
          <w:szCs w:val="24"/>
        </w:rPr>
        <w:t xml:space="preserve"> from his computer </w:t>
      </w:r>
      <w:r w:rsidR="008C57F7" w:rsidRPr="00DE298B">
        <w:rPr>
          <w:rFonts w:cs="Arial"/>
          <w:szCs w:val="24"/>
        </w:rPr>
        <w:t>which he</w:t>
      </w:r>
      <w:r w:rsidR="006208EC" w:rsidRPr="00DE298B">
        <w:rPr>
          <w:rFonts w:cs="Arial"/>
          <w:szCs w:val="24"/>
        </w:rPr>
        <w:t xml:space="preserve"> said shows </w:t>
      </w:r>
      <w:r w:rsidR="00001B53" w:rsidRPr="00DE298B">
        <w:rPr>
          <w:rFonts w:cs="Arial"/>
          <w:szCs w:val="24"/>
        </w:rPr>
        <w:t xml:space="preserve">all </w:t>
      </w:r>
      <w:r w:rsidR="006208EC" w:rsidRPr="00DE298B">
        <w:rPr>
          <w:rFonts w:cs="Arial"/>
          <w:szCs w:val="24"/>
        </w:rPr>
        <w:t>the documents he downloaded</w:t>
      </w:r>
      <w:r w:rsidR="00001B53" w:rsidRPr="00DE298B">
        <w:rPr>
          <w:rFonts w:cs="Arial"/>
          <w:szCs w:val="24"/>
        </w:rPr>
        <w:t xml:space="preserve"> from the Eskom tender website</w:t>
      </w:r>
      <w:r w:rsidR="006208EC" w:rsidRPr="00DE298B">
        <w:rPr>
          <w:rFonts w:cs="Arial"/>
          <w:szCs w:val="24"/>
        </w:rPr>
        <w:t xml:space="preserve"> to complete </w:t>
      </w:r>
      <w:r w:rsidR="00274A78" w:rsidRPr="00DE298B">
        <w:rPr>
          <w:rFonts w:cs="Arial"/>
          <w:szCs w:val="24"/>
        </w:rPr>
        <w:t>WBHO’s</w:t>
      </w:r>
      <w:r w:rsidR="006208EC" w:rsidRPr="00DE298B">
        <w:rPr>
          <w:rFonts w:cs="Arial"/>
          <w:szCs w:val="24"/>
        </w:rPr>
        <w:t xml:space="preserve"> tender. None he said showed the Appendix</w:t>
      </w:r>
      <w:r w:rsidR="000C0089" w:rsidRPr="00DE298B">
        <w:rPr>
          <w:rFonts w:cs="Arial"/>
          <w:szCs w:val="24"/>
        </w:rPr>
        <w:t xml:space="preserve"> was on the website at the time</w:t>
      </w:r>
      <w:r w:rsidR="006208EC" w:rsidRPr="00DE298B">
        <w:rPr>
          <w:rFonts w:cs="Arial"/>
          <w:szCs w:val="24"/>
        </w:rPr>
        <w:t xml:space="preserve">. </w:t>
      </w:r>
    </w:p>
    <w:p w14:paraId="6489CCAC" w14:textId="68189B0E" w:rsidR="006208EC" w:rsidRPr="00DE298B" w:rsidRDefault="00DE298B" w:rsidP="00DE298B">
      <w:pPr>
        <w:spacing w:after="360" w:line="480" w:lineRule="auto"/>
        <w:ind w:left="720" w:hanging="720"/>
        <w:jc w:val="both"/>
        <w:rPr>
          <w:rFonts w:cs="Arial"/>
          <w:szCs w:val="24"/>
        </w:rPr>
      </w:pPr>
      <w:r>
        <w:rPr>
          <w:rFonts w:cs="Arial"/>
          <w:szCs w:val="24"/>
        </w:rPr>
        <w:t>[13]</w:t>
      </w:r>
      <w:r>
        <w:rPr>
          <w:rFonts w:cs="Arial"/>
          <w:szCs w:val="24"/>
        </w:rPr>
        <w:tab/>
      </w:r>
      <w:r w:rsidR="00040955" w:rsidRPr="00DE298B">
        <w:rPr>
          <w:rFonts w:cs="Arial"/>
          <w:szCs w:val="24"/>
        </w:rPr>
        <w:t xml:space="preserve">Since the filing of the </w:t>
      </w:r>
      <w:r w:rsidR="00E051BA" w:rsidRPr="00DE298B">
        <w:rPr>
          <w:rFonts w:cs="Arial"/>
          <w:szCs w:val="24"/>
        </w:rPr>
        <w:t>replying affidavit</w:t>
      </w:r>
      <w:r w:rsidR="00E06755" w:rsidRPr="00DE298B">
        <w:rPr>
          <w:rFonts w:cs="Arial"/>
          <w:szCs w:val="24"/>
        </w:rPr>
        <w:t>,</w:t>
      </w:r>
      <w:r w:rsidR="00E051BA" w:rsidRPr="00DE298B">
        <w:rPr>
          <w:rFonts w:cs="Arial"/>
          <w:szCs w:val="24"/>
        </w:rPr>
        <w:t xml:space="preserve"> s</w:t>
      </w:r>
      <w:r w:rsidR="006208EC" w:rsidRPr="00DE298B">
        <w:rPr>
          <w:rFonts w:cs="Arial"/>
          <w:szCs w:val="24"/>
        </w:rPr>
        <w:t xml:space="preserve">everal </w:t>
      </w:r>
      <w:r w:rsidR="00E051BA" w:rsidRPr="00DE298B">
        <w:rPr>
          <w:rFonts w:cs="Arial"/>
          <w:szCs w:val="24"/>
        </w:rPr>
        <w:t xml:space="preserve">supplementary </w:t>
      </w:r>
      <w:r w:rsidR="006208EC" w:rsidRPr="00DE298B">
        <w:rPr>
          <w:rFonts w:cs="Arial"/>
          <w:szCs w:val="24"/>
        </w:rPr>
        <w:t xml:space="preserve">affidavits needed to be </w:t>
      </w:r>
      <w:r w:rsidR="00BC2655" w:rsidRPr="00DE298B">
        <w:rPr>
          <w:rFonts w:cs="Arial"/>
          <w:szCs w:val="24"/>
        </w:rPr>
        <w:t>exchanged before</w:t>
      </w:r>
      <w:r w:rsidR="006208EC" w:rsidRPr="00DE298B">
        <w:rPr>
          <w:rFonts w:cs="Arial"/>
          <w:szCs w:val="24"/>
        </w:rPr>
        <w:t xml:space="preserve"> the facts on </w:t>
      </w:r>
      <w:r w:rsidR="00A2057E" w:rsidRPr="00DE298B">
        <w:rPr>
          <w:rFonts w:cs="Arial"/>
          <w:szCs w:val="24"/>
        </w:rPr>
        <w:t>when the Appendix was downloaded</w:t>
      </w:r>
      <w:r w:rsidR="00C23B65" w:rsidRPr="00DE298B">
        <w:rPr>
          <w:rFonts w:cs="Arial"/>
          <w:szCs w:val="24"/>
        </w:rPr>
        <w:t xml:space="preserve"> by Eskom</w:t>
      </w:r>
      <w:r w:rsidR="00A2057E" w:rsidRPr="00DE298B">
        <w:rPr>
          <w:rFonts w:cs="Arial"/>
          <w:szCs w:val="24"/>
        </w:rPr>
        <w:t xml:space="preserve"> to the website became </w:t>
      </w:r>
      <w:r w:rsidR="006208EC" w:rsidRPr="00DE298B">
        <w:rPr>
          <w:rFonts w:cs="Arial"/>
          <w:szCs w:val="24"/>
        </w:rPr>
        <w:t>common cause. Carter</w:t>
      </w:r>
      <w:r w:rsidR="00361320" w:rsidRPr="00DE298B">
        <w:rPr>
          <w:rFonts w:cs="Arial"/>
          <w:szCs w:val="24"/>
        </w:rPr>
        <w:t>,</w:t>
      </w:r>
      <w:r w:rsidR="006208EC" w:rsidRPr="00DE298B">
        <w:rPr>
          <w:rFonts w:cs="Arial"/>
          <w:szCs w:val="24"/>
        </w:rPr>
        <w:t xml:space="preserve"> it turns out was wrong. </w:t>
      </w:r>
      <w:r w:rsidR="002F3925" w:rsidRPr="00DE298B">
        <w:rPr>
          <w:rFonts w:cs="Arial"/>
          <w:szCs w:val="24"/>
        </w:rPr>
        <w:t>Although he alleged tha</w:t>
      </w:r>
      <w:r w:rsidR="00EC2ADB" w:rsidRPr="00DE298B">
        <w:rPr>
          <w:rFonts w:cs="Arial"/>
          <w:szCs w:val="24"/>
        </w:rPr>
        <w:t>t</w:t>
      </w:r>
      <w:r w:rsidR="002F3925" w:rsidRPr="00DE298B">
        <w:rPr>
          <w:rFonts w:cs="Arial"/>
          <w:szCs w:val="24"/>
        </w:rPr>
        <w:t xml:space="preserve"> the Appendix to tender had only been downloaded to the website</w:t>
      </w:r>
      <w:r w:rsidR="00BE4F1C" w:rsidRPr="00DE298B">
        <w:rPr>
          <w:rFonts w:cs="Arial"/>
          <w:szCs w:val="24"/>
        </w:rPr>
        <w:t>,</w:t>
      </w:r>
      <w:r w:rsidR="002F3925" w:rsidRPr="00DE298B">
        <w:rPr>
          <w:rFonts w:cs="Arial"/>
          <w:szCs w:val="24"/>
        </w:rPr>
        <w:t xml:space="preserve"> </w:t>
      </w:r>
      <w:r w:rsidR="00197016" w:rsidRPr="00DE298B">
        <w:rPr>
          <w:rFonts w:cs="Arial"/>
          <w:szCs w:val="24"/>
        </w:rPr>
        <w:t>in his estimate</w:t>
      </w:r>
      <w:r w:rsidR="00BE4F1C" w:rsidRPr="00DE298B">
        <w:rPr>
          <w:rFonts w:cs="Arial"/>
          <w:szCs w:val="24"/>
        </w:rPr>
        <w:t>,</w:t>
      </w:r>
      <w:r w:rsidR="00197016" w:rsidRPr="00DE298B">
        <w:rPr>
          <w:rFonts w:cs="Arial"/>
          <w:szCs w:val="24"/>
        </w:rPr>
        <w:t xml:space="preserve"> on 2</w:t>
      </w:r>
      <w:r w:rsidR="00662568" w:rsidRPr="00DE298B">
        <w:rPr>
          <w:rFonts w:cs="Arial"/>
          <w:szCs w:val="24"/>
        </w:rPr>
        <w:t>5 January 2021</w:t>
      </w:r>
      <w:r w:rsidR="002D5F80" w:rsidRPr="00DE298B">
        <w:rPr>
          <w:rFonts w:cs="Arial"/>
          <w:szCs w:val="24"/>
        </w:rPr>
        <w:t>,</w:t>
      </w:r>
      <w:r w:rsidR="00662568" w:rsidRPr="00DE298B">
        <w:rPr>
          <w:rFonts w:cs="Arial"/>
          <w:szCs w:val="24"/>
        </w:rPr>
        <w:t xml:space="preserve"> </w:t>
      </w:r>
      <w:r w:rsidR="00011CE3" w:rsidRPr="00DE298B">
        <w:rPr>
          <w:rFonts w:cs="Arial"/>
          <w:szCs w:val="24"/>
        </w:rPr>
        <w:t>t</w:t>
      </w:r>
      <w:r w:rsidR="006208EC" w:rsidRPr="00DE298B">
        <w:rPr>
          <w:rFonts w:cs="Arial"/>
          <w:szCs w:val="24"/>
        </w:rPr>
        <w:t xml:space="preserve">he </w:t>
      </w:r>
      <w:r w:rsidR="00B713C3" w:rsidRPr="00DE298B">
        <w:rPr>
          <w:rFonts w:cs="Arial"/>
          <w:szCs w:val="24"/>
        </w:rPr>
        <w:t xml:space="preserve">Appendix </w:t>
      </w:r>
      <w:r w:rsidR="00AE64A7" w:rsidRPr="00DE298B">
        <w:rPr>
          <w:rFonts w:cs="Arial"/>
          <w:szCs w:val="24"/>
        </w:rPr>
        <w:t>had been</w:t>
      </w:r>
      <w:r w:rsidR="006208EC" w:rsidRPr="00DE298B">
        <w:rPr>
          <w:rFonts w:cs="Arial"/>
          <w:szCs w:val="24"/>
        </w:rPr>
        <w:t xml:space="preserve"> </w:t>
      </w:r>
      <w:r w:rsidR="00993F62" w:rsidRPr="00DE298B">
        <w:rPr>
          <w:rFonts w:cs="Arial"/>
          <w:szCs w:val="24"/>
        </w:rPr>
        <w:t>downloaded</w:t>
      </w:r>
      <w:r w:rsidR="006208EC" w:rsidRPr="00DE298B">
        <w:rPr>
          <w:rFonts w:cs="Arial"/>
          <w:szCs w:val="24"/>
        </w:rPr>
        <w:t xml:space="preserve"> to the </w:t>
      </w:r>
      <w:r w:rsidR="00004D83" w:rsidRPr="00DE298B">
        <w:rPr>
          <w:rFonts w:cs="Arial"/>
          <w:szCs w:val="24"/>
        </w:rPr>
        <w:t xml:space="preserve">Eskom </w:t>
      </w:r>
      <w:r w:rsidR="006208EC" w:rsidRPr="00DE298B">
        <w:rPr>
          <w:rFonts w:cs="Arial"/>
          <w:szCs w:val="24"/>
        </w:rPr>
        <w:t>website on</w:t>
      </w:r>
      <w:r w:rsidR="00B713C3" w:rsidRPr="00DE298B">
        <w:rPr>
          <w:rFonts w:cs="Arial"/>
          <w:szCs w:val="24"/>
        </w:rPr>
        <w:t xml:space="preserve"> 5 November 2020</w:t>
      </w:r>
      <w:r w:rsidR="00361320" w:rsidRPr="00DE298B">
        <w:rPr>
          <w:rFonts w:cs="Arial"/>
          <w:szCs w:val="24"/>
        </w:rPr>
        <w:t>,</w:t>
      </w:r>
      <w:r w:rsidR="00CF78A6" w:rsidRPr="00DE298B">
        <w:rPr>
          <w:rFonts w:cs="Arial"/>
          <w:szCs w:val="24"/>
        </w:rPr>
        <w:t xml:space="preserve"> </w:t>
      </w:r>
      <w:r w:rsidR="006208EC" w:rsidRPr="00DE298B">
        <w:rPr>
          <w:rFonts w:cs="Arial"/>
          <w:szCs w:val="24"/>
        </w:rPr>
        <w:t>and thus</w:t>
      </w:r>
      <w:r w:rsidR="00004D83" w:rsidRPr="00DE298B">
        <w:rPr>
          <w:rFonts w:cs="Arial"/>
          <w:szCs w:val="24"/>
        </w:rPr>
        <w:t xml:space="preserve"> was available </w:t>
      </w:r>
      <w:r w:rsidR="006208EC" w:rsidRPr="00DE298B">
        <w:rPr>
          <w:rFonts w:cs="Arial"/>
          <w:szCs w:val="24"/>
        </w:rPr>
        <w:t xml:space="preserve">before </w:t>
      </w:r>
      <w:r w:rsidR="00361320" w:rsidRPr="00DE298B">
        <w:rPr>
          <w:rFonts w:cs="Arial"/>
          <w:szCs w:val="24"/>
        </w:rPr>
        <w:t xml:space="preserve">to WBHO to access </w:t>
      </w:r>
      <w:r w:rsidR="00AF3D22" w:rsidRPr="00DE298B">
        <w:rPr>
          <w:rFonts w:cs="Arial"/>
          <w:szCs w:val="24"/>
        </w:rPr>
        <w:t xml:space="preserve">well </w:t>
      </w:r>
      <w:r w:rsidR="00361320" w:rsidRPr="00DE298B">
        <w:rPr>
          <w:rFonts w:cs="Arial"/>
          <w:szCs w:val="24"/>
        </w:rPr>
        <w:t xml:space="preserve">before its </w:t>
      </w:r>
      <w:r w:rsidR="006208EC" w:rsidRPr="00DE298B">
        <w:rPr>
          <w:rFonts w:cs="Arial"/>
          <w:szCs w:val="24"/>
        </w:rPr>
        <w:t>tender was submitted</w:t>
      </w:r>
      <w:r w:rsidR="00213049" w:rsidRPr="00DE298B">
        <w:rPr>
          <w:rFonts w:cs="Arial"/>
          <w:szCs w:val="24"/>
        </w:rPr>
        <w:t xml:space="preserve"> on 17 February 2021</w:t>
      </w:r>
      <w:r w:rsidR="006208EC" w:rsidRPr="00DE298B">
        <w:rPr>
          <w:rFonts w:cs="Arial"/>
          <w:szCs w:val="24"/>
        </w:rPr>
        <w:t xml:space="preserve">. </w:t>
      </w:r>
      <w:r w:rsidR="004961A9" w:rsidRPr="00DE298B">
        <w:rPr>
          <w:rFonts w:cs="Arial"/>
          <w:szCs w:val="24"/>
        </w:rPr>
        <w:t>In fact</w:t>
      </w:r>
      <w:r w:rsidR="00AB45CA" w:rsidRPr="00DE298B">
        <w:rPr>
          <w:rFonts w:cs="Arial"/>
          <w:szCs w:val="24"/>
        </w:rPr>
        <w:t>,</w:t>
      </w:r>
      <w:r w:rsidR="00B15D13" w:rsidRPr="00DE298B">
        <w:rPr>
          <w:rFonts w:cs="Arial"/>
          <w:szCs w:val="24"/>
        </w:rPr>
        <w:t xml:space="preserve"> Carter downloaded all his documents the day after</w:t>
      </w:r>
      <w:r w:rsidR="00725871" w:rsidRPr="00DE298B">
        <w:rPr>
          <w:rFonts w:cs="Arial"/>
          <w:szCs w:val="24"/>
        </w:rPr>
        <w:t>,</w:t>
      </w:r>
      <w:r w:rsidR="00B15D13" w:rsidRPr="00DE298B">
        <w:rPr>
          <w:rFonts w:cs="Arial"/>
          <w:szCs w:val="24"/>
        </w:rPr>
        <w:t xml:space="preserve"> on 6 November</w:t>
      </w:r>
      <w:r w:rsidR="00725871" w:rsidRPr="00DE298B">
        <w:rPr>
          <w:rFonts w:cs="Arial"/>
          <w:szCs w:val="24"/>
        </w:rPr>
        <w:t>,</w:t>
      </w:r>
      <w:r w:rsidR="00B15D13" w:rsidRPr="00DE298B">
        <w:rPr>
          <w:rFonts w:cs="Arial"/>
          <w:szCs w:val="24"/>
        </w:rPr>
        <w:t xml:space="preserve"> but appears to have missed the Appendix. Significantly WBHO’s own IT personnel have now verified that Eskom’s version on when the Appendix was downloaded is correct thus contradictin</w:t>
      </w:r>
      <w:r w:rsidR="00725871" w:rsidRPr="00DE298B">
        <w:rPr>
          <w:rFonts w:cs="Arial"/>
          <w:szCs w:val="24"/>
        </w:rPr>
        <w:t>g</w:t>
      </w:r>
      <w:r w:rsidR="00B15D13" w:rsidRPr="00DE298B">
        <w:rPr>
          <w:rFonts w:cs="Arial"/>
          <w:szCs w:val="24"/>
        </w:rPr>
        <w:t xml:space="preserve"> Carters’ initial assertion.</w:t>
      </w:r>
    </w:p>
    <w:p w14:paraId="2E25AD17" w14:textId="76E40B16" w:rsidR="009406E8" w:rsidRPr="00DE298B" w:rsidRDefault="00DE298B" w:rsidP="00DE298B">
      <w:pPr>
        <w:spacing w:after="360" w:line="480" w:lineRule="auto"/>
        <w:ind w:left="720" w:hanging="720"/>
        <w:jc w:val="both"/>
        <w:rPr>
          <w:rFonts w:cs="Arial"/>
          <w:szCs w:val="24"/>
        </w:rPr>
      </w:pPr>
      <w:r>
        <w:rPr>
          <w:rFonts w:cs="Arial"/>
          <w:szCs w:val="24"/>
        </w:rPr>
        <w:lastRenderedPageBreak/>
        <w:t>[14]</w:t>
      </w:r>
      <w:r>
        <w:rPr>
          <w:rFonts w:cs="Arial"/>
          <w:szCs w:val="24"/>
        </w:rPr>
        <w:tab/>
      </w:r>
      <w:r w:rsidR="009406E8" w:rsidRPr="00DE298B">
        <w:rPr>
          <w:rFonts w:cs="Arial"/>
          <w:szCs w:val="24"/>
        </w:rPr>
        <w:t>Thus</w:t>
      </w:r>
      <w:r w:rsidR="00725871" w:rsidRPr="00DE298B">
        <w:rPr>
          <w:rFonts w:cs="Arial"/>
          <w:szCs w:val="24"/>
        </w:rPr>
        <w:t>,</w:t>
      </w:r>
      <w:r w:rsidR="009406E8" w:rsidRPr="00DE298B">
        <w:rPr>
          <w:rFonts w:cs="Arial"/>
          <w:szCs w:val="24"/>
        </w:rPr>
        <w:t xml:space="preserve"> the </w:t>
      </w:r>
      <w:r w:rsidR="00D85CBA" w:rsidRPr="00DE298B">
        <w:rPr>
          <w:rFonts w:cs="Arial"/>
          <w:szCs w:val="24"/>
        </w:rPr>
        <w:t xml:space="preserve">initial </w:t>
      </w:r>
      <w:r w:rsidR="009406E8" w:rsidRPr="00DE298B">
        <w:rPr>
          <w:rFonts w:cs="Arial"/>
          <w:szCs w:val="24"/>
        </w:rPr>
        <w:t xml:space="preserve">version of </w:t>
      </w:r>
      <w:r w:rsidR="008305AF" w:rsidRPr="00DE298B">
        <w:rPr>
          <w:rFonts w:cs="Arial"/>
          <w:szCs w:val="24"/>
        </w:rPr>
        <w:t>WBHO</w:t>
      </w:r>
      <w:r w:rsidR="00D85CBA" w:rsidRPr="00DE298B">
        <w:rPr>
          <w:rFonts w:cs="Arial"/>
          <w:szCs w:val="24"/>
        </w:rPr>
        <w:t xml:space="preserve"> in its founding and replying affidavits </w:t>
      </w:r>
      <w:r w:rsidR="008305AF" w:rsidRPr="00DE298B">
        <w:rPr>
          <w:rFonts w:cs="Arial"/>
          <w:szCs w:val="24"/>
        </w:rPr>
        <w:t xml:space="preserve">has been proved </w:t>
      </w:r>
      <w:r w:rsidR="009406E8" w:rsidRPr="00DE298B">
        <w:rPr>
          <w:rFonts w:cs="Arial"/>
          <w:szCs w:val="24"/>
        </w:rPr>
        <w:t xml:space="preserve">incorrect in two respects. First its allegation that there was no document </w:t>
      </w:r>
      <w:r w:rsidR="004C6D39" w:rsidRPr="00DE298B">
        <w:rPr>
          <w:rFonts w:cs="Arial"/>
          <w:szCs w:val="24"/>
        </w:rPr>
        <w:t>that existed which corresponded to the request for FIDIC contract data</w:t>
      </w:r>
      <w:r w:rsidR="00047FAD" w:rsidRPr="00DE298B">
        <w:rPr>
          <w:rFonts w:cs="Arial"/>
          <w:szCs w:val="24"/>
        </w:rPr>
        <w:t>;</w:t>
      </w:r>
      <w:r w:rsidR="004C6D39" w:rsidRPr="00DE298B">
        <w:rPr>
          <w:rFonts w:cs="Arial"/>
          <w:szCs w:val="24"/>
        </w:rPr>
        <w:t xml:space="preserve"> </w:t>
      </w:r>
      <w:r w:rsidR="00047FAD" w:rsidRPr="00DE298B">
        <w:rPr>
          <w:rFonts w:cs="Arial"/>
          <w:szCs w:val="24"/>
        </w:rPr>
        <w:t>t</w:t>
      </w:r>
      <w:r w:rsidR="004C6D39" w:rsidRPr="00DE298B">
        <w:rPr>
          <w:rFonts w:cs="Arial"/>
          <w:szCs w:val="24"/>
        </w:rPr>
        <w:t>here was</w:t>
      </w:r>
      <w:r w:rsidR="00047FAD" w:rsidRPr="00DE298B">
        <w:rPr>
          <w:rFonts w:cs="Arial"/>
          <w:szCs w:val="24"/>
        </w:rPr>
        <w:t>,</w:t>
      </w:r>
      <w:r w:rsidR="004C6D39" w:rsidRPr="00DE298B">
        <w:rPr>
          <w:rFonts w:cs="Arial"/>
          <w:szCs w:val="24"/>
        </w:rPr>
        <w:t xml:space="preserve"> it was the Appendix. Second</w:t>
      </w:r>
      <w:r w:rsidR="00047FAD" w:rsidRPr="00DE298B">
        <w:rPr>
          <w:rFonts w:cs="Arial"/>
          <w:szCs w:val="24"/>
        </w:rPr>
        <w:t>,</w:t>
      </w:r>
      <w:r w:rsidR="004C6D39" w:rsidRPr="00DE298B">
        <w:rPr>
          <w:rFonts w:cs="Arial"/>
          <w:szCs w:val="24"/>
        </w:rPr>
        <w:t xml:space="preserve"> that it had not been downloaded to the website timeously</w:t>
      </w:r>
      <w:r w:rsidR="00047FAD" w:rsidRPr="00DE298B">
        <w:rPr>
          <w:rFonts w:cs="Arial"/>
          <w:szCs w:val="24"/>
        </w:rPr>
        <w:t>;</w:t>
      </w:r>
      <w:r w:rsidR="004C6D39" w:rsidRPr="00DE298B">
        <w:rPr>
          <w:rFonts w:cs="Arial"/>
          <w:szCs w:val="24"/>
        </w:rPr>
        <w:t xml:space="preserve"> </w:t>
      </w:r>
      <w:r w:rsidR="00047FAD" w:rsidRPr="00DE298B">
        <w:rPr>
          <w:rFonts w:cs="Arial"/>
          <w:szCs w:val="24"/>
        </w:rPr>
        <w:t>i</w:t>
      </w:r>
      <w:r w:rsidR="004C6D39" w:rsidRPr="00DE298B">
        <w:rPr>
          <w:rFonts w:cs="Arial"/>
          <w:szCs w:val="24"/>
        </w:rPr>
        <w:t>t was</w:t>
      </w:r>
      <w:r w:rsidR="00047FAD" w:rsidRPr="00DE298B">
        <w:rPr>
          <w:rFonts w:cs="Arial"/>
          <w:szCs w:val="24"/>
        </w:rPr>
        <w:t>,</w:t>
      </w:r>
      <w:r w:rsidR="004C6D39" w:rsidRPr="00DE298B">
        <w:rPr>
          <w:rFonts w:cs="Arial"/>
          <w:szCs w:val="24"/>
        </w:rPr>
        <w:t xml:space="preserve"> </w:t>
      </w:r>
      <w:r w:rsidR="000620C1" w:rsidRPr="00DE298B">
        <w:rPr>
          <w:rFonts w:cs="Arial"/>
          <w:szCs w:val="24"/>
        </w:rPr>
        <w:t>on 5 November</w:t>
      </w:r>
      <w:r w:rsidR="00047FAD" w:rsidRPr="00DE298B">
        <w:rPr>
          <w:rFonts w:cs="Arial"/>
          <w:szCs w:val="24"/>
        </w:rPr>
        <w:t xml:space="preserve"> 2020</w:t>
      </w:r>
      <w:r w:rsidR="000620C1" w:rsidRPr="00DE298B">
        <w:rPr>
          <w:rFonts w:cs="Arial"/>
          <w:szCs w:val="24"/>
        </w:rPr>
        <w:t xml:space="preserve"> along with several other documents </w:t>
      </w:r>
      <w:r w:rsidR="00283CD8" w:rsidRPr="00DE298B">
        <w:rPr>
          <w:rFonts w:cs="Arial"/>
          <w:szCs w:val="24"/>
        </w:rPr>
        <w:t>thus was available to WBHO</w:t>
      </w:r>
      <w:r w:rsidR="0065451C" w:rsidRPr="00DE298B">
        <w:rPr>
          <w:rFonts w:cs="Arial"/>
          <w:szCs w:val="24"/>
        </w:rPr>
        <w:t xml:space="preserve"> to find</w:t>
      </w:r>
      <w:r w:rsidR="00283CD8" w:rsidRPr="00DE298B">
        <w:rPr>
          <w:rFonts w:cs="Arial"/>
          <w:szCs w:val="24"/>
        </w:rPr>
        <w:t xml:space="preserve"> on 6</w:t>
      </w:r>
      <w:r w:rsidR="00283CD8" w:rsidRPr="00DE298B">
        <w:rPr>
          <w:rFonts w:cs="Arial"/>
          <w:szCs w:val="24"/>
          <w:vertAlign w:val="superscript"/>
        </w:rPr>
        <w:t>th</w:t>
      </w:r>
      <w:r w:rsidR="00283CD8" w:rsidRPr="00DE298B">
        <w:rPr>
          <w:rFonts w:cs="Arial"/>
          <w:szCs w:val="24"/>
        </w:rPr>
        <w:t xml:space="preserve"> November when Carter says he performed the first download.</w:t>
      </w:r>
    </w:p>
    <w:p w14:paraId="682073B7" w14:textId="0945CB85" w:rsidR="00556A02" w:rsidRPr="00DE298B" w:rsidRDefault="00DE298B" w:rsidP="00DE298B">
      <w:pPr>
        <w:spacing w:after="360" w:line="480" w:lineRule="auto"/>
        <w:ind w:left="720" w:hanging="720"/>
        <w:jc w:val="both"/>
        <w:rPr>
          <w:rFonts w:cs="Arial"/>
          <w:szCs w:val="24"/>
        </w:rPr>
      </w:pPr>
      <w:r>
        <w:rPr>
          <w:rFonts w:cs="Arial"/>
          <w:szCs w:val="24"/>
        </w:rPr>
        <w:t>[15]</w:t>
      </w:r>
      <w:r>
        <w:rPr>
          <w:rFonts w:cs="Arial"/>
          <w:szCs w:val="24"/>
        </w:rPr>
        <w:tab/>
      </w:r>
      <w:r w:rsidR="00556A02" w:rsidRPr="00DE298B">
        <w:rPr>
          <w:rFonts w:cs="Arial"/>
          <w:szCs w:val="24"/>
        </w:rPr>
        <w:t>During the course of the exchange of papers, WBHO requested</w:t>
      </w:r>
      <w:r w:rsidR="009863B8" w:rsidRPr="00DE298B">
        <w:rPr>
          <w:rFonts w:cs="Arial"/>
          <w:szCs w:val="24"/>
        </w:rPr>
        <w:t xml:space="preserve"> and was provided with, Eskom’s </w:t>
      </w:r>
      <w:r w:rsidR="00556A02" w:rsidRPr="00DE298B">
        <w:rPr>
          <w:rFonts w:cs="Arial"/>
          <w:szCs w:val="24"/>
        </w:rPr>
        <w:t>record</w:t>
      </w:r>
      <w:r w:rsidR="00010AE7" w:rsidRPr="00DE298B">
        <w:rPr>
          <w:rFonts w:cs="Arial"/>
          <w:szCs w:val="24"/>
        </w:rPr>
        <w:t xml:space="preserve"> of</w:t>
      </w:r>
      <w:r w:rsidR="00635EC6" w:rsidRPr="00DE298B">
        <w:rPr>
          <w:rFonts w:cs="Arial"/>
          <w:szCs w:val="24"/>
        </w:rPr>
        <w:t xml:space="preserve"> how the tender was decided.</w:t>
      </w:r>
      <w:r w:rsidR="00556A02" w:rsidRPr="00DE298B">
        <w:rPr>
          <w:rFonts w:cs="Arial"/>
          <w:szCs w:val="24"/>
        </w:rPr>
        <w:t xml:space="preserve"> From these papers WBHO </w:t>
      </w:r>
      <w:r w:rsidR="00333639" w:rsidRPr="00DE298B">
        <w:rPr>
          <w:rFonts w:cs="Arial"/>
          <w:szCs w:val="24"/>
        </w:rPr>
        <w:t xml:space="preserve">has made two further points. </w:t>
      </w:r>
      <w:r w:rsidR="00F56B20" w:rsidRPr="00DE298B">
        <w:rPr>
          <w:rFonts w:cs="Arial"/>
          <w:szCs w:val="24"/>
        </w:rPr>
        <w:t>First</w:t>
      </w:r>
      <w:r w:rsidR="006446CA" w:rsidRPr="00DE298B">
        <w:rPr>
          <w:rFonts w:cs="Arial"/>
          <w:szCs w:val="24"/>
        </w:rPr>
        <w:t>,</w:t>
      </w:r>
      <w:r w:rsidR="00F56B20" w:rsidRPr="00DE298B">
        <w:rPr>
          <w:rFonts w:cs="Arial"/>
          <w:szCs w:val="24"/>
        </w:rPr>
        <w:t xml:space="preserve"> it emerged that Grinaker had</w:t>
      </w:r>
      <w:r w:rsidR="00635EC6" w:rsidRPr="00DE298B">
        <w:rPr>
          <w:rFonts w:cs="Arial"/>
          <w:szCs w:val="24"/>
        </w:rPr>
        <w:t>,</w:t>
      </w:r>
      <w:r w:rsidR="00F56B20" w:rsidRPr="00DE298B">
        <w:rPr>
          <w:rFonts w:cs="Arial"/>
          <w:szCs w:val="24"/>
        </w:rPr>
        <w:t xml:space="preserve"> after being appointed as the approved bidder</w:t>
      </w:r>
      <w:r w:rsidR="00635EC6" w:rsidRPr="00DE298B">
        <w:rPr>
          <w:rFonts w:cs="Arial"/>
          <w:szCs w:val="24"/>
        </w:rPr>
        <w:t>,</w:t>
      </w:r>
      <w:r w:rsidR="00F56B20" w:rsidRPr="00DE298B">
        <w:rPr>
          <w:rFonts w:cs="Arial"/>
          <w:szCs w:val="24"/>
        </w:rPr>
        <w:t xml:space="preserve"> been ask</w:t>
      </w:r>
      <w:r w:rsidR="006260FB" w:rsidRPr="00DE298B">
        <w:rPr>
          <w:rFonts w:cs="Arial"/>
          <w:szCs w:val="24"/>
        </w:rPr>
        <w:t>ed</w:t>
      </w:r>
      <w:r w:rsidR="00F56B20" w:rsidRPr="00DE298B">
        <w:rPr>
          <w:rFonts w:cs="Arial"/>
          <w:szCs w:val="24"/>
        </w:rPr>
        <w:t xml:space="preserve"> to requote </w:t>
      </w:r>
      <w:r w:rsidR="00D10A28" w:rsidRPr="00DE298B">
        <w:rPr>
          <w:rFonts w:cs="Arial"/>
          <w:szCs w:val="24"/>
        </w:rPr>
        <w:t xml:space="preserve">for the project based on a new </w:t>
      </w:r>
      <w:r w:rsidR="00436F46" w:rsidRPr="00DE298B">
        <w:rPr>
          <w:rFonts w:cs="Arial"/>
          <w:szCs w:val="24"/>
        </w:rPr>
        <w:t>specification</w:t>
      </w:r>
      <w:r w:rsidR="00007BCA" w:rsidRPr="00DE298B">
        <w:rPr>
          <w:rFonts w:cs="Arial"/>
          <w:szCs w:val="24"/>
        </w:rPr>
        <w:t xml:space="preserve"> for the lining of the waste facility</w:t>
      </w:r>
      <w:r w:rsidR="00D10A28" w:rsidRPr="00DE298B">
        <w:rPr>
          <w:rFonts w:cs="Arial"/>
          <w:szCs w:val="24"/>
        </w:rPr>
        <w:t xml:space="preserve">. </w:t>
      </w:r>
      <w:r w:rsidR="00E1212E" w:rsidRPr="00DE298B">
        <w:rPr>
          <w:rFonts w:cs="Arial"/>
          <w:szCs w:val="24"/>
        </w:rPr>
        <w:t>WBHO argues is that this amounted to a re-</w:t>
      </w:r>
      <w:r w:rsidR="00AE2BD0" w:rsidRPr="00DE298B">
        <w:rPr>
          <w:rFonts w:cs="Arial"/>
          <w:szCs w:val="24"/>
        </w:rPr>
        <w:t>designing</w:t>
      </w:r>
      <w:r w:rsidR="00E1212E" w:rsidRPr="00DE298B">
        <w:rPr>
          <w:rFonts w:cs="Arial"/>
          <w:szCs w:val="24"/>
        </w:rPr>
        <w:t xml:space="preserve"> of the project which meant that Eskom should have re-tendered the entire project so that each invited bidder could have requoted based on the new lower cost design </w:t>
      </w:r>
      <w:r w:rsidR="00AE2BD0" w:rsidRPr="00DE298B">
        <w:rPr>
          <w:rFonts w:cs="Arial"/>
          <w:szCs w:val="24"/>
        </w:rPr>
        <w:t>specification</w:t>
      </w:r>
      <w:r w:rsidR="00E1212E" w:rsidRPr="00DE298B">
        <w:rPr>
          <w:rFonts w:cs="Arial"/>
          <w:szCs w:val="24"/>
        </w:rPr>
        <w:t xml:space="preserve"> for the lining.</w:t>
      </w:r>
    </w:p>
    <w:p w14:paraId="22B88BBC" w14:textId="3905E2AF" w:rsidR="00E1212E" w:rsidRPr="00DE298B" w:rsidRDefault="00DE298B" w:rsidP="00DE298B">
      <w:pPr>
        <w:spacing w:after="360" w:line="480" w:lineRule="auto"/>
        <w:ind w:left="720" w:hanging="720"/>
        <w:jc w:val="both"/>
        <w:rPr>
          <w:rFonts w:cs="Arial"/>
          <w:szCs w:val="24"/>
        </w:rPr>
      </w:pPr>
      <w:r>
        <w:rPr>
          <w:rFonts w:cs="Arial"/>
          <w:szCs w:val="24"/>
        </w:rPr>
        <w:t>[16]</w:t>
      </w:r>
      <w:r>
        <w:rPr>
          <w:rFonts w:cs="Arial"/>
          <w:szCs w:val="24"/>
        </w:rPr>
        <w:tab/>
      </w:r>
      <w:r w:rsidR="00BE0DD3" w:rsidRPr="00DE298B">
        <w:rPr>
          <w:rFonts w:cs="Arial"/>
          <w:szCs w:val="24"/>
        </w:rPr>
        <w:t>Th</w:t>
      </w:r>
      <w:r w:rsidR="00C13AFE" w:rsidRPr="00DE298B">
        <w:rPr>
          <w:rFonts w:cs="Arial"/>
          <w:szCs w:val="24"/>
        </w:rPr>
        <w:t xml:space="preserve">e </w:t>
      </w:r>
      <w:r w:rsidR="00BE0DD3" w:rsidRPr="00DE298B">
        <w:rPr>
          <w:rFonts w:cs="Arial"/>
          <w:szCs w:val="24"/>
        </w:rPr>
        <w:t xml:space="preserve">failure </w:t>
      </w:r>
      <w:r w:rsidR="00C13AFE" w:rsidRPr="00DE298B">
        <w:rPr>
          <w:rFonts w:cs="Arial"/>
          <w:szCs w:val="24"/>
        </w:rPr>
        <w:t>to re</w:t>
      </w:r>
      <w:r w:rsidR="00AE2BD0" w:rsidRPr="00DE298B">
        <w:rPr>
          <w:rFonts w:cs="Arial"/>
          <w:szCs w:val="24"/>
        </w:rPr>
        <w:t>-</w:t>
      </w:r>
      <w:r w:rsidR="00C13AFE" w:rsidRPr="00DE298B">
        <w:rPr>
          <w:rFonts w:cs="Arial"/>
          <w:szCs w:val="24"/>
        </w:rPr>
        <w:t xml:space="preserve">tender constitutes WBHO </w:t>
      </w:r>
      <w:r w:rsidR="00BE0DD3" w:rsidRPr="00DE298B">
        <w:rPr>
          <w:rFonts w:cs="Arial"/>
          <w:szCs w:val="24"/>
        </w:rPr>
        <w:t>second point of review.</w:t>
      </w:r>
      <w:r w:rsidR="00BA5195" w:rsidRPr="00DE298B">
        <w:rPr>
          <w:rFonts w:cs="Arial"/>
          <w:szCs w:val="24"/>
        </w:rPr>
        <w:t xml:space="preserve"> I go on to discuss this later.</w:t>
      </w:r>
    </w:p>
    <w:p w14:paraId="37AD5F44" w14:textId="41005404" w:rsidR="00D042E1" w:rsidRPr="00DE298B" w:rsidRDefault="00DE298B" w:rsidP="00DE298B">
      <w:pPr>
        <w:spacing w:after="360" w:line="480" w:lineRule="auto"/>
        <w:ind w:left="720" w:hanging="720"/>
        <w:jc w:val="both"/>
        <w:rPr>
          <w:rFonts w:cs="Arial"/>
          <w:szCs w:val="24"/>
        </w:rPr>
      </w:pPr>
      <w:r>
        <w:rPr>
          <w:rFonts w:cs="Arial"/>
          <w:szCs w:val="24"/>
        </w:rPr>
        <w:t>[17]</w:t>
      </w:r>
      <w:r>
        <w:rPr>
          <w:rFonts w:cs="Arial"/>
          <w:szCs w:val="24"/>
        </w:rPr>
        <w:tab/>
      </w:r>
      <w:r w:rsidR="005A654C" w:rsidRPr="00DE298B">
        <w:rPr>
          <w:rFonts w:cs="Arial"/>
          <w:szCs w:val="24"/>
        </w:rPr>
        <w:t xml:space="preserve">The second fact of </w:t>
      </w:r>
      <w:r w:rsidR="00EC7179" w:rsidRPr="00DE298B">
        <w:rPr>
          <w:rFonts w:cs="Arial"/>
          <w:szCs w:val="24"/>
        </w:rPr>
        <w:t>significance</w:t>
      </w:r>
      <w:r w:rsidR="005A654C" w:rsidRPr="00DE298B">
        <w:rPr>
          <w:rFonts w:cs="Arial"/>
          <w:szCs w:val="24"/>
        </w:rPr>
        <w:t xml:space="preserve"> emerging from the record</w:t>
      </w:r>
      <w:r w:rsidR="00BA5195" w:rsidRPr="00DE298B">
        <w:rPr>
          <w:rFonts w:cs="Arial"/>
          <w:szCs w:val="24"/>
        </w:rPr>
        <w:t xml:space="preserve"> was </w:t>
      </w:r>
      <w:r w:rsidR="001026A5" w:rsidRPr="00DE298B">
        <w:rPr>
          <w:rFonts w:cs="Arial"/>
          <w:szCs w:val="24"/>
        </w:rPr>
        <w:t xml:space="preserve">how Grinaker had completed </w:t>
      </w:r>
      <w:r w:rsidR="00C562D4" w:rsidRPr="00DE298B">
        <w:rPr>
          <w:rFonts w:cs="Arial"/>
          <w:szCs w:val="24"/>
        </w:rPr>
        <w:t>the Appendix. Since the absence of this document from the WBHO</w:t>
      </w:r>
      <w:r w:rsidR="000D6751" w:rsidRPr="00DE298B">
        <w:rPr>
          <w:rFonts w:cs="Arial"/>
          <w:szCs w:val="24"/>
        </w:rPr>
        <w:t xml:space="preserve"> tender submission</w:t>
      </w:r>
      <w:r w:rsidR="00C562D4" w:rsidRPr="00DE298B">
        <w:rPr>
          <w:rFonts w:cs="Arial"/>
          <w:szCs w:val="24"/>
        </w:rPr>
        <w:t xml:space="preserve"> </w:t>
      </w:r>
      <w:r w:rsidR="00B83F63" w:rsidRPr="00DE298B">
        <w:rPr>
          <w:rFonts w:cs="Arial"/>
          <w:szCs w:val="24"/>
        </w:rPr>
        <w:t xml:space="preserve">was Eskom’s </w:t>
      </w:r>
      <w:r w:rsidR="00C5123B" w:rsidRPr="00DE298B">
        <w:rPr>
          <w:rFonts w:cs="Arial"/>
          <w:szCs w:val="24"/>
        </w:rPr>
        <w:t>justification</w:t>
      </w:r>
      <w:r w:rsidR="00B83F63" w:rsidRPr="00DE298B">
        <w:rPr>
          <w:rFonts w:cs="Arial"/>
          <w:szCs w:val="24"/>
        </w:rPr>
        <w:t xml:space="preserve"> for disqualifying </w:t>
      </w:r>
      <w:r w:rsidR="002A01DE" w:rsidRPr="00DE298B">
        <w:rPr>
          <w:rFonts w:cs="Arial"/>
          <w:szCs w:val="24"/>
        </w:rPr>
        <w:t>it,</w:t>
      </w:r>
      <w:r w:rsidR="00B83F63" w:rsidRPr="00DE298B">
        <w:rPr>
          <w:rFonts w:cs="Arial"/>
          <w:szCs w:val="24"/>
        </w:rPr>
        <w:t xml:space="preserve"> it is relevant to whether bidders were treated equally to see how Grinaker responded. </w:t>
      </w:r>
      <w:r w:rsidR="000126D9" w:rsidRPr="00DE298B">
        <w:rPr>
          <w:rFonts w:cs="Arial"/>
          <w:szCs w:val="24"/>
        </w:rPr>
        <w:t xml:space="preserve">WBHO requested the document from Eskom. Eskom in turn asked Grinaker’s attorney to </w:t>
      </w:r>
      <w:r w:rsidR="000126D9" w:rsidRPr="00DE298B">
        <w:rPr>
          <w:rFonts w:cs="Arial"/>
          <w:szCs w:val="24"/>
        </w:rPr>
        <w:lastRenderedPageBreak/>
        <w:t>provide it so that the latter could redact any confidential information from it.</w:t>
      </w:r>
      <w:r w:rsidR="00F62C0C" w:rsidRPr="00DE298B">
        <w:rPr>
          <w:rFonts w:cs="Arial"/>
          <w:szCs w:val="24"/>
        </w:rPr>
        <w:t xml:space="preserve"> But the version provided </w:t>
      </w:r>
      <w:r w:rsidR="00AF79FE" w:rsidRPr="00DE298B">
        <w:rPr>
          <w:rFonts w:cs="Arial"/>
          <w:szCs w:val="24"/>
        </w:rPr>
        <w:t xml:space="preserve">by the attorney </w:t>
      </w:r>
      <w:r w:rsidR="00F62C0C" w:rsidRPr="00DE298B">
        <w:rPr>
          <w:rFonts w:cs="Arial"/>
          <w:szCs w:val="24"/>
        </w:rPr>
        <w:t xml:space="preserve">contained several blanks </w:t>
      </w:r>
      <w:r w:rsidR="00C75AB2" w:rsidRPr="00DE298B">
        <w:rPr>
          <w:rFonts w:cs="Arial"/>
          <w:szCs w:val="24"/>
        </w:rPr>
        <w:t>where Grinaker had apparently not provided the requested information. If this was the prerequisite for valid tender</w:t>
      </w:r>
      <w:r w:rsidR="00DC5BE0" w:rsidRPr="00DE298B">
        <w:rPr>
          <w:rFonts w:cs="Arial"/>
          <w:szCs w:val="24"/>
        </w:rPr>
        <w:t>,</w:t>
      </w:r>
      <w:r w:rsidR="00C75AB2" w:rsidRPr="00DE298B">
        <w:rPr>
          <w:rFonts w:cs="Arial"/>
          <w:szCs w:val="24"/>
        </w:rPr>
        <w:t xml:space="preserve"> WBHO contended</w:t>
      </w:r>
      <w:r w:rsidR="00DC5BE0" w:rsidRPr="00DE298B">
        <w:rPr>
          <w:rFonts w:cs="Arial"/>
          <w:szCs w:val="24"/>
        </w:rPr>
        <w:t>,</w:t>
      </w:r>
      <w:r w:rsidR="00C75AB2" w:rsidRPr="00DE298B">
        <w:rPr>
          <w:rFonts w:cs="Arial"/>
          <w:szCs w:val="24"/>
        </w:rPr>
        <w:t xml:space="preserve"> then Grinaker too sho</w:t>
      </w:r>
      <w:r w:rsidR="00E26937" w:rsidRPr="00DE298B">
        <w:rPr>
          <w:rFonts w:cs="Arial"/>
          <w:szCs w:val="24"/>
        </w:rPr>
        <w:t>ul</w:t>
      </w:r>
      <w:r w:rsidR="00C75AB2" w:rsidRPr="00DE298B">
        <w:rPr>
          <w:rFonts w:cs="Arial"/>
          <w:szCs w:val="24"/>
        </w:rPr>
        <w:t>d hav</w:t>
      </w:r>
      <w:r w:rsidR="00DC5BE0" w:rsidRPr="00DE298B">
        <w:rPr>
          <w:rFonts w:cs="Arial"/>
          <w:szCs w:val="24"/>
        </w:rPr>
        <w:t>e been disqualified</w:t>
      </w:r>
      <w:r w:rsidR="00D042E1" w:rsidRPr="00DE298B">
        <w:rPr>
          <w:rFonts w:cs="Arial"/>
          <w:szCs w:val="24"/>
        </w:rPr>
        <w:t>.</w:t>
      </w:r>
    </w:p>
    <w:p w14:paraId="15ED87E0" w14:textId="2B930D5D" w:rsidR="003D7E2E" w:rsidRPr="00DE298B" w:rsidRDefault="00DE298B" w:rsidP="00DE298B">
      <w:pPr>
        <w:spacing w:after="360" w:line="480" w:lineRule="auto"/>
        <w:ind w:left="720" w:hanging="720"/>
        <w:jc w:val="both"/>
        <w:rPr>
          <w:rFonts w:cs="Arial"/>
          <w:szCs w:val="24"/>
        </w:rPr>
      </w:pPr>
      <w:r>
        <w:rPr>
          <w:rFonts w:cs="Arial"/>
          <w:szCs w:val="24"/>
        </w:rPr>
        <w:t>[18]</w:t>
      </w:r>
      <w:r>
        <w:rPr>
          <w:rFonts w:cs="Arial"/>
          <w:szCs w:val="24"/>
        </w:rPr>
        <w:tab/>
      </w:r>
      <w:r w:rsidR="00D042E1" w:rsidRPr="00DE298B">
        <w:rPr>
          <w:rFonts w:cs="Arial"/>
          <w:szCs w:val="24"/>
        </w:rPr>
        <w:t xml:space="preserve">But here another controversy emerged. When </w:t>
      </w:r>
      <w:r w:rsidR="00C753D8" w:rsidRPr="00DE298B">
        <w:rPr>
          <w:rFonts w:cs="Arial"/>
          <w:szCs w:val="24"/>
        </w:rPr>
        <w:t xml:space="preserve">Eskom </w:t>
      </w:r>
      <w:r w:rsidR="00C557BC" w:rsidRPr="00DE298B">
        <w:rPr>
          <w:rFonts w:cs="Arial"/>
          <w:szCs w:val="24"/>
        </w:rPr>
        <w:t xml:space="preserve">had this </w:t>
      </w:r>
      <w:r w:rsidR="003D575E" w:rsidRPr="00DE298B">
        <w:rPr>
          <w:rFonts w:cs="Arial"/>
          <w:szCs w:val="24"/>
        </w:rPr>
        <w:t xml:space="preserve">omission </w:t>
      </w:r>
      <w:r w:rsidR="00C557BC" w:rsidRPr="00DE298B">
        <w:rPr>
          <w:rFonts w:cs="Arial"/>
          <w:szCs w:val="24"/>
        </w:rPr>
        <w:t>pointed out</w:t>
      </w:r>
      <w:r w:rsidR="003D575E" w:rsidRPr="00DE298B">
        <w:rPr>
          <w:rFonts w:cs="Arial"/>
          <w:szCs w:val="24"/>
        </w:rPr>
        <w:t>,</w:t>
      </w:r>
      <w:r w:rsidR="00C557BC" w:rsidRPr="00DE298B">
        <w:rPr>
          <w:rFonts w:cs="Arial"/>
          <w:szCs w:val="24"/>
        </w:rPr>
        <w:t xml:space="preserve"> it filed another affidavit</w:t>
      </w:r>
      <w:r w:rsidR="0028719B" w:rsidRPr="00DE298B">
        <w:rPr>
          <w:rFonts w:cs="Arial"/>
          <w:szCs w:val="24"/>
        </w:rPr>
        <w:t>,</w:t>
      </w:r>
      <w:r w:rsidR="00C557BC" w:rsidRPr="00DE298B">
        <w:rPr>
          <w:rFonts w:cs="Arial"/>
          <w:szCs w:val="24"/>
        </w:rPr>
        <w:t xml:space="preserve"> referred to as the explanatory affidavit. </w:t>
      </w:r>
      <w:r w:rsidR="000F4910" w:rsidRPr="00DE298B">
        <w:rPr>
          <w:rFonts w:cs="Arial"/>
          <w:szCs w:val="24"/>
        </w:rPr>
        <w:t>In this affidavit</w:t>
      </w:r>
      <w:r w:rsidR="0009406A" w:rsidRPr="00DE298B">
        <w:rPr>
          <w:rFonts w:cs="Arial"/>
          <w:szCs w:val="24"/>
        </w:rPr>
        <w:t xml:space="preserve"> </w:t>
      </w:r>
      <w:r w:rsidR="00284AC7" w:rsidRPr="00DE298B">
        <w:rPr>
          <w:rFonts w:cs="Arial"/>
          <w:szCs w:val="24"/>
        </w:rPr>
        <w:t>Antonio Mammes,</w:t>
      </w:r>
      <w:r w:rsidR="0009406A" w:rsidRPr="00DE298B">
        <w:rPr>
          <w:rFonts w:cs="Arial"/>
          <w:szCs w:val="24"/>
        </w:rPr>
        <w:t xml:space="preserve"> </w:t>
      </w:r>
      <w:r w:rsidR="00B01355" w:rsidRPr="00DE298B">
        <w:rPr>
          <w:rFonts w:cs="Arial"/>
          <w:szCs w:val="24"/>
        </w:rPr>
        <w:t>a senior procurement manager at Eskom</w:t>
      </w:r>
      <w:r w:rsidR="00284AC7" w:rsidRPr="00DE298B">
        <w:rPr>
          <w:rFonts w:cs="Arial"/>
          <w:szCs w:val="24"/>
        </w:rPr>
        <w:t>,</w:t>
      </w:r>
      <w:r w:rsidR="00B01355" w:rsidRPr="00DE298B">
        <w:rPr>
          <w:rFonts w:cs="Arial"/>
          <w:szCs w:val="24"/>
        </w:rPr>
        <w:t xml:space="preserve"> </w:t>
      </w:r>
      <w:r w:rsidR="00C557BC" w:rsidRPr="00DE298B">
        <w:rPr>
          <w:rFonts w:cs="Arial"/>
          <w:szCs w:val="24"/>
        </w:rPr>
        <w:t xml:space="preserve">claims that the version sent </w:t>
      </w:r>
      <w:r w:rsidR="009321FC" w:rsidRPr="00DE298B">
        <w:rPr>
          <w:rFonts w:cs="Arial"/>
          <w:szCs w:val="24"/>
        </w:rPr>
        <w:t xml:space="preserve">that emanated </w:t>
      </w:r>
      <w:r w:rsidR="00C557BC" w:rsidRPr="00DE298B">
        <w:rPr>
          <w:rFonts w:cs="Arial"/>
          <w:szCs w:val="24"/>
        </w:rPr>
        <w:t>from Grinaker’s attorney</w:t>
      </w:r>
      <w:r w:rsidR="00284AC7" w:rsidRPr="00DE298B">
        <w:rPr>
          <w:rFonts w:cs="Arial"/>
          <w:szCs w:val="24"/>
        </w:rPr>
        <w:t>,</w:t>
      </w:r>
      <w:r w:rsidR="00C557BC" w:rsidRPr="00DE298B">
        <w:rPr>
          <w:rFonts w:cs="Arial"/>
          <w:szCs w:val="24"/>
        </w:rPr>
        <w:t xml:space="preserve"> was not the final version that Eskom had received with the tender and considered. </w:t>
      </w:r>
      <w:r w:rsidR="000F4910" w:rsidRPr="00DE298B">
        <w:rPr>
          <w:rFonts w:cs="Arial"/>
          <w:szCs w:val="24"/>
        </w:rPr>
        <w:t>He attached a</w:t>
      </w:r>
      <w:r w:rsidR="00C557BC" w:rsidRPr="00DE298B">
        <w:rPr>
          <w:rFonts w:cs="Arial"/>
          <w:szCs w:val="24"/>
        </w:rPr>
        <w:t>nother version of the Appendix from Grinaker</w:t>
      </w:r>
      <w:r w:rsidR="00E80AAC" w:rsidRPr="00DE298B">
        <w:rPr>
          <w:rFonts w:cs="Arial"/>
          <w:szCs w:val="24"/>
        </w:rPr>
        <w:t xml:space="preserve"> which he asserted was the one Eskom considered</w:t>
      </w:r>
      <w:r w:rsidR="00F3227A" w:rsidRPr="00DE298B">
        <w:rPr>
          <w:rFonts w:cs="Arial"/>
          <w:szCs w:val="24"/>
        </w:rPr>
        <w:t>.</w:t>
      </w:r>
      <w:r w:rsidR="003D575E" w:rsidRPr="00DE298B">
        <w:rPr>
          <w:rFonts w:cs="Arial"/>
          <w:szCs w:val="24"/>
        </w:rPr>
        <w:t xml:space="preserve"> This one differs from the first one supplied </w:t>
      </w:r>
      <w:r w:rsidR="00E80AAC" w:rsidRPr="00DE298B">
        <w:rPr>
          <w:rFonts w:cs="Arial"/>
          <w:szCs w:val="24"/>
        </w:rPr>
        <w:t>by Grinaker</w:t>
      </w:r>
      <w:r w:rsidR="00B97850" w:rsidRPr="00DE298B">
        <w:rPr>
          <w:rFonts w:cs="Arial"/>
          <w:szCs w:val="24"/>
        </w:rPr>
        <w:t xml:space="preserve">’s attorney, </w:t>
      </w:r>
      <w:r w:rsidR="003D575E" w:rsidRPr="00DE298B">
        <w:rPr>
          <w:rFonts w:cs="Arial"/>
          <w:szCs w:val="24"/>
        </w:rPr>
        <w:t>in that all the questions are now answered</w:t>
      </w:r>
      <w:r w:rsidR="00B97850" w:rsidRPr="00DE298B">
        <w:rPr>
          <w:rFonts w:cs="Arial"/>
          <w:szCs w:val="24"/>
        </w:rPr>
        <w:t>,</w:t>
      </w:r>
      <w:r w:rsidR="003D575E" w:rsidRPr="00DE298B">
        <w:rPr>
          <w:rFonts w:cs="Arial"/>
          <w:szCs w:val="24"/>
        </w:rPr>
        <w:t xml:space="preserve"> </w:t>
      </w:r>
      <w:r w:rsidR="002B31F0" w:rsidRPr="00DE298B">
        <w:rPr>
          <w:rFonts w:cs="Arial"/>
          <w:szCs w:val="24"/>
        </w:rPr>
        <w:t>except in one respect.</w:t>
      </w:r>
    </w:p>
    <w:p w14:paraId="2E7DCD32" w14:textId="573B3859" w:rsidR="00193FE6" w:rsidRPr="00260321" w:rsidRDefault="00193FE6" w:rsidP="00DE298B">
      <w:pPr>
        <w:pStyle w:val="ListParagraph"/>
        <w:spacing w:after="360" w:line="480" w:lineRule="auto"/>
        <w:ind w:left="360" w:firstLine="360"/>
        <w:jc w:val="both"/>
        <w:rPr>
          <w:rFonts w:cs="Arial"/>
          <w:b/>
          <w:bCs/>
          <w:szCs w:val="24"/>
        </w:rPr>
      </w:pPr>
      <w:r w:rsidRPr="00260321">
        <w:rPr>
          <w:rFonts w:cs="Arial"/>
          <w:b/>
          <w:bCs/>
          <w:szCs w:val="24"/>
        </w:rPr>
        <w:t xml:space="preserve">Was Grinaker’s tender </w:t>
      </w:r>
      <w:r w:rsidR="005A21A6" w:rsidRPr="00260321">
        <w:rPr>
          <w:rFonts w:cs="Arial"/>
          <w:b/>
          <w:bCs/>
          <w:szCs w:val="24"/>
        </w:rPr>
        <w:t>properly completed</w:t>
      </w:r>
    </w:p>
    <w:p w14:paraId="00559CEA" w14:textId="513B5711" w:rsidR="00F250B9" w:rsidRPr="00DE298B" w:rsidRDefault="00DE298B" w:rsidP="00DE298B">
      <w:pPr>
        <w:spacing w:after="360" w:line="480" w:lineRule="auto"/>
        <w:ind w:left="720" w:hanging="720"/>
        <w:jc w:val="both"/>
        <w:rPr>
          <w:rFonts w:cs="Arial"/>
          <w:szCs w:val="24"/>
        </w:rPr>
      </w:pPr>
      <w:r>
        <w:rPr>
          <w:rFonts w:cs="Arial"/>
          <w:szCs w:val="24"/>
        </w:rPr>
        <w:t>[19]</w:t>
      </w:r>
      <w:r>
        <w:rPr>
          <w:rFonts w:cs="Arial"/>
          <w:szCs w:val="24"/>
        </w:rPr>
        <w:tab/>
      </w:r>
      <w:r w:rsidR="000C7155" w:rsidRPr="00DE298B">
        <w:rPr>
          <w:rFonts w:cs="Arial"/>
          <w:szCs w:val="24"/>
        </w:rPr>
        <w:t>Although this was not advanced as a</w:t>
      </w:r>
      <w:r w:rsidR="00F250B9" w:rsidRPr="00DE298B">
        <w:rPr>
          <w:rFonts w:cs="Arial"/>
          <w:szCs w:val="24"/>
        </w:rPr>
        <w:t xml:space="preserve">n independent </w:t>
      </w:r>
      <w:r w:rsidR="000C7155" w:rsidRPr="00DE298B">
        <w:rPr>
          <w:rFonts w:cs="Arial"/>
          <w:szCs w:val="24"/>
        </w:rPr>
        <w:t xml:space="preserve">self-standing ground of review </w:t>
      </w:r>
      <w:r w:rsidR="00F250B9" w:rsidRPr="00DE298B">
        <w:rPr>
          <w:rFonts w:cs="Arial"/>
          <w:szCs w:val="24"/>
        </w:rPr>
        <w:t>in the papers</w:t>
      </w:r>
      <w:r w:rsidR="00955416" w:rsidRPr="00DE298B">
        <w:rPr>
          <w:rFonts w:cs="Arial"/>
          <w:szCs w:val="24"/>
        </w:rPr>
        <w:t>,</w:t>
      </w:r>
      <w:r w:rsidR="00F250B9" w:rsidRPr="00DE298B">
        <w:rPr>
          <w:rFonts w:cs="Arial"/>
          <w:szCs w:val="24"/>
        </w:rPr>
        <w:t xml:space="preserve"> I will deal with it as if it is. </w:t>
      </w:r>
      <w:r w:rsidR="00B9056C" w:rsidRPr="00DE298B">
        <w:rPr>
          <w:rFonts w:cs="Arial"/>
          <w:szCs w:val="24"/>
        </w:rPr>
        <w:t xml:space="preserve">Like the re-tender </w:t>
      </w:r>
      <w:r w:rsidR="0098048D" w:rsidRPr="00DE298B">
        <w:rPr>
          <w:rFonts w:cs="Arial"/>
          <w:szCs w:val="24"/>
        </w:rPr>
        <w:t>objection,</w:t>
      </w:r>
      <w:r w:rsidR="00B9056C" w:rsidRPr="00DE298B">
        <w:rPr>
          <w:rFonts w:cs="Arial"/>
          <w:szCs w:val="24"/>
        </w:rPr>
        <w:t xml:space="preserve"> it is based on the assumption that completion of the Appen</w:t>
      </w:r>
      <w:r w:rsidR="00CE00C0" w:rsidRPr="00DE298B">
        <w:rPr>
          <w:rFonts w:cs="Arial"/>
          <w:szCs w:val="24"/>
        </w:rPr>
        <w:t>dix was a mandatory returnable and hence must be considered as a third ground for review – that Eskom has acted inconsistently in the application of its own rules.</w:t>
      </w:r>
    </w:p>
    <w:p w14:paraId="0C5D1AFA" w14:textId="71ED8DB1" w:rsidR="00F250B9" w:rsidRPr="00DE298B" w:rsidRDefault="00DE298B" w:rsidP="00B949C9">
      <w:pPr>
        <w:spacing w:after="360" w:line="480" w:lineRule="auto"/>
        <w:ind w:left="720" w:hanging="720"/>
        <w:jc w:val="both"/>
        <w:rPr>
          <w:rFonts w:cs="Arial"/>
          <w:szCs w:val="24"/>
        </w:rPr>
      </w:pPr>
      <w:r>
        <w:rPr>
          <w:rFonts w:cs="Arial"/>
          <w:szCs w:val="24"/>
        </w:rPr>
        <w:t>[20]</w:t>
      </w:r>
      <w:r>
        <w:rPr>
          <w:rFonts w:cs="Arial"/>
          <w:szCs w:val="24"/>
        </w:rPr>
        <w:tab/>
      </w:r>
      <w:r w:rsidR="000E58A8" w:rsidRPr="00DE298B">
        <w:rPr>
          <w:rFonts w:cs="Arial"/>
          <w:szCs w:val="24"/>
        </w:rPr>
        <w:t xml:space="preserve">The first issue is whether Eskom has </w:t>
      </w:r>
      <w:r w:rsidR="00A774F7" w:rsidRPr="00DE298B">
        <w:rPr>
          <w:rFonts w:cs="Arial"/>
          <w:szCs w:val="24"/>
        </w:rPr>
        <w:t xml:space="preserve">provided an authentic version the Appendix attached to the Grinaker tender. This </w:t>
      </w:r>
      <w:r w:rsidR="00AE73D4" w:rsidRPr="00DE298B">
        <w:rPr>
          <w:rFonts w:cs="Arial"/>
          <w:szCs w:val="24"/>
        </w:rPr>
        <w:t xml:space="preserve">version was supplied by </w:t>
      </w:r>
      <w:r w:rsidR="00955416" w:rsidRPr="00DE298B">
        <w:rPr>
          <w:rFonts w:cs="Arial"/>
          <w:szCs w:val="24"/>
        </w:rPr>
        <w:t>Eskom</w:t>
      </w:r>
      <w:r w:rsidR="00AE73D4" w:rsidRPr="00DE298B">
        <w:rPr>
          <w:rFonts w:cs="Arial"/>
          <w:szCs w:val="24"/>
        </w:rPr>
        <w:t xml:space="preserve"> in the so-</w:t>
      </w:r>
      <w:r w:rsidR="00AE73D4" w:rsidRPr="00DE298B">
        <w:rPr>
          <w:rFonts w:cs="Arial"/>
          <w:szCs w:val="24"/>
        </w:rPr>
        <w:lastRenderedPageBreak/>
        <w:t xml:space="preserve">called </w:t>
      </w:r>
      <w:r w:rsidR="00B01EA6" w:rsidRPr="00DE298B">
        <w:rPr>
          <w:rFonts w:cs="Arial"/>
          <w:szCs w:val="24"/>
        </w:rPr>
        <w:t>explanatory affidavit</w:t>
      </w:r>
      <w:r w:rsidR="005934D5" w:rsidRPr="00DE298B">
        <w:rPr>
          <w:rFonts w:cs="Arial"/>
          <w:szCs w:val="24"/>
        </w:rPr>
        <w:t>,</w:t>
      </w:r>
      <w:r w:rsidR="00AE73D4" w:rsidRPr="00DE298B">
        <w:rPr>
          <w:rFonts w:cs="Arial"/>
          <w:szCs w:val="24"/>
        </w:rPr>
        <w:t xml:space="preserve"> which</w:t>
      </w:r>
      <w:r w:rsidR="005934D5" w:rsidRPr="00DE298B">
        <w:rPr>
          <w:rFonts w:cs="Arial"/>
          <w:szCs w:val="24"/>
        </w:rPr>
        <w:t>,</w:t>
      </w:r>
      <w:r w:rsidR="00AE73D4" w:rsidRPr="00DE298B">
        <w:rPr>
          <w:rFonts w:cs="Arial"/>
          <w:szCs w:val="24"/>
        </w:rPr>
        <w:t xml:space="preserve"> despite its name</w:t>
      </w:r>
      <w:r w:rsidR="005934D5" w:rsidRPr="00DE298B">
        <w:rPr>
          <w:rFonts w:cs="Arial"/>
          <w:szCs w:val="24"/>
        </w:rPr>
        <w:t>,</w:t>
      </w:r>
      <w:r w:rsidR="00AE73D4" w:rsidRPr="00DE298B">
        <w:rPr>
          <w:rFonts w:cs="Arial"/>
          <w:szCs w:val="24"/>
        </w:rPr>
        <w:t xml:space="preserve"> was a further supplementary answering affidavit.</w:t>
      </w:r>
    </w:p>
    <w:p w14:paraId="55080574" w14:textId="19399535" w:rsidR="00EE6F1F" w:rsidRPr="00B949C9" w:rsidRDefault="00B949C9" w:rsidP="00B949C9">
      <w:pPr>
        <w:spacing w:after="360" w:line="480" w:lineRule="auto"/>
        <w:ind w:left="720" w:hanging="720"/>
        <w:jc w:val="both"/>
        <w:rPr>
          <w:rFonts w:cs="Arial"/>
          <w:szCs w:val="24"/>
        </w:rPr>
      </w:pPr>
      <w:r>
        <w:rPr>
          <w:rFonts w:cs="Arial"/>
          <w:szCs w:val="24"/>
        </w:rPr>
        <w:t>[21]</w:t>
      </w:r>
      <w:r>
        <w:rPr>
          <w:rFonts w:cs="Arial"/>
          <w:szCs w:val="24"/>
        </w:rPr>
        <w:tab/>
      </w:r>
      <w:r w:rsidR="002B31F0" w:rsidRPr="00B949C9">
        <w:rPr>
          <w:rFonts w:cs="Arial"/>
          <w:szCs w:val="24"/>
        </w:rPr>
        <w:t xml:space="preserve">WBHO whilst not contesting the filing of this affidavit </w:t>
      </w:r>
      <w:r w:rsidR="00A46F09" w:rsidRPr="00B949C9">
        <w:rPr>
          <w:rFonts w:cs="Arial"/>
          <w:szCs w:val="24"/>
        </w:rPr>
        <w:t>urges me not to accept this version. Relying on the well</w:t>
      </w:r>
      <w:r w:rsidR="00934E9C" w:rsidRPr="00B949C9">
        <w:rPr>
          <w:rFonts w:cs="Arial"/>
          <w:szCs w:val="24"/>
        </w:rPr>
        <w:t xml:space="preserve">-known </w:t>
      </w:r>
      <w:r w:rsidR="00934E9C" w:rsidRPr="00B949C9">
        <w:rPr>
          <w:rFonts w:cs="Arial"/>
          <w:i/>
          <w:iCs/>
          <w:szCs w:val="24"/>
        </w:rPr>
        <w:t xml:space="preserve">Wightman </w:t>
      </w:r>
      <w:r w:rsidR="00934E9C" w:rsidRPr="00B949C9">
        <w:rPr>
          <w:rFonts w:cs="Arial"/>
          <w:szCs w:val="24"/>
        </w:rPr>
        <w:t xml:space="preserve">decision </w:t>
      </w:r>
      <w:r w:rsidR="00C9282A" w:rsidRPr="00B949C9">
        <w:rPr>
          <w:rFonts w:cs="Arial"/>
          <w:szCs w:val="24"/>
        </w:rPr>
        <w:t>counsel for WBHO urged me to reject this version on the basis that this mere assertion was insufficient.</w:t>
      </w:r>
      <w:r w:rsidR="00801F63" w:rsidRPr="00260321">
        <w:rPr>
          <w:rStyle w:val="FootnoteReference"/>
          <w:rFonts w:cs="Arial"/>
          <w:szCs w:val="24"/>
        </w:rPr>
        <w:footnoteReference w:id="5"/>
      </w:r>
      <w:r w:rsidR="00C9282A" w:rsidRPr="00B949C9">
        <w:rPr>
          <w:rFonts w:cs="Arial"/>
          <w:szCs w:val="24"/>
        </w:rPr>
        <w:t xml:space="preserve"> It required</w:t>
      </w:r>
      <w:r w:rsidR="005B0F42" w:rsidRPr="00B949C9">
        <w:rPr>
          <w:rFonts w:cs="Arial"/>
          <w:szCs w:val="24"/>
        </w:rPr>
        <w:t>,</w:t>
      </w:r>
      <w:r w:rsidR="00C9282A" w:rsidRPr="00B949C9">
        <w:rPr>
          <w:rFonts w:cs="Arial"/>
          <w:szCs w:val="24"/>
        </w:rPr>
        <w:t xml:space="preserve"> he argued</w:t>
      </w:r>
      <w:r w:rsidR="006D57CB" w:rsidRPr="00B949C9">
        <w:rPr>
          <w:rFonts w:cs="Arial"/>
          <w:szCs w:val="24"/>
        </w:rPr>
        <w:t>,</w:t>
      </w:r>
      <w:r w:rsidR="00C9282A" w:rsidRPr="00B949C9">
        <w:rPr>
          <w:rFonts w:cs="Arial"/>
          <w:szCs w:val="24"/>
        </w:rPr>
        <w:t xml:space="preserve"> for M</w:t>
      </w:r>
      <w:r w:rsidR="0033490B" w:rsidRPr="00B949C9">
        <w:rPr>
          <w:rFonts w:cs="Arial"/>
          <w:szCs w:val="24"/>
        </w:rPr>
        <w:t>ammes</w:t>
      </w:r>
      <w:r w:rsidR="00C9282A" w:rsidRPr="00B949C9">
        <w:rPr>
          <w:rFonts w:cs="Arial"/>
          <w:szCs w:val="24"/>
        </w:rPr>
        <w:t xml:space="preserve"> to have given more facts</w:t>
      </w:r>
      <w:r w:rsidR="00F27AFE" w:rsidRPr="00B949C9">
        <w:rPr>
          <w:rFonts w:cs="Arial"/>
          <w:szCs w:val="24"/>
        </w:rPr>
        <w:t>; wh</w:t>
      </w:r>
      <w:r w:rsidR="0033490B" w:rsidRPr="00B949C9">
        <w:rPr>
          <w:rFonts w:cs="Arial"/>
          <w:szCs w:val="24"/>
        </w:rPr>
        <w:t>y</w:t>
      </w:r>
      <w:r w:rsidR="00F27AFE" w:rsidRPr="00B949C9">
        <w:rPr>
          <w:rFonts w:cs="Arial"/>
          <w:szCs w:val="24"/>
        </w:rPr>
        <w:t xml:space="preserve"> he was the person with personal knowledge, </w:t>
      </w:r>
      <w:r w:rsidR="00C9282A" w:rsidRPr="00B949C9">
        <w:rPr>
          <w:rFonts w:cs="Arial"/>
          <w:szCs w:val="24"/>
        </w:rPr>
        <w:t>where he had extracted this version</w:t>
      </w:r>
      <w:r w:rsidR="00F27AFE" w:rsidRPr="00B949C9">
        <w:rPr>
          <w:rFonts w:cs="Arial"/>
          <w:szCs w:val="24"/>
        </w:rPr>
        <w:t>, w</w:t>
      </w:r>
      <w:r w:rsidR="00D17457" w:rsidRPr="00B949C9">
        <w:rPr>
          <w:rFonts w:cs="Arial"/>
          <w:szCs w:val="24"/>
        </w:rPr>
        <w:t xml:space="preserve">as it the one supplied at the time and where had it been retained. </w:t>
      </w:r>
    </w:p>
    <w:p w14:paraId="5DE04395" w14:textId="07635D03" w:rsidR="00E27911" w:rsidRPr="00B949C9" w:rsidRDefault="00B949C9" w:rsidP="00B949C9">
      <w:pPr>
        <w:spacing w:after="360" w:line="480" w:lineRule="auto"/>
        <w:ind w:left="720" w:hanging="720"/>
        <w:jc w:val="both"/>
        <w:rPr>
          <w:rFonts w:cs="Arial"/>
          <w:szCs w:val="24"/>
        </w:rPr>
      </w:pPr>
      <w:r>
        <w:rPr>
          <w:rFonts w:cs="Arial"/>
          <w:szCs w:val="24"/>
        </w:rPr>
        <w:t>[22]</w:t>
      </w:r>
      <w:r>
        <w:rPr>
          <w:rFonts w:cs="Arial"/>
          <w:szCs w:val="24"/>
        </w:rPr>
        <w:tab/>
      </w:r>
      <w:r w:rsidR="00EE6F1F" w:rsidRPr="00B949C9">
        <w:rPr>
          <w:rFonts w:cs="Arial"/>
          <w:szCs w:val="24"/>
        </w:rPr>
        <w:t xml:space="preserve">I </w:t>
      </w:r>
      <w:r w:rsidR="00B51953" w:rsidRPr="00B949C9">
        <w:rPr>
          <w:rFonts w:cs="Arial"/>
          <w:szCs w:val="24"/>
        </w:rPr>
        <w:t>do</w:t>
      </w:r>
      <w:r w:rsidR="00CB2254" w:rsidRPr="00B949C9">
        <w:rPr>
          <w:rFonts w:cs="Arial"/>
          <w:szCs w:val="24"/>
        </w:rPr>
        <w:t xml:space="preserve"> </w:t>
      </w:r>
      <w:r w:rsidR="00EE6F1F" w:rsidRPr="00B949C9">
        <w:rPr>
          <w:rFonts w:cs="Arial"/>
          <w:szCs w:val="24"/>
        </w:rPr>
        <w:t>not accept this approach. M</w:t>
      </w:r>
      <w:r w:rsidR="00CD4ED0" w:rsidRPr="00B949C9">
        <w:rPr>
          <w:rFonts w:cs="Arial"/>
          <w:szCs w:val="24"/>
        </w:rPr>
        <w:t>ammes</w:t>
      </w:r>
      <w:r w:rsidR="00EE6F1F" w:rsidRPr="00B949C9">
        <w:rPr>
          <w:rFonts w:cs="Arial"/>
          <w:szCs w:val="24"/>
        </w:rPr>
        <w:t xml:space="preserve"> has personal knowledge of the tender and has done all he needed to do for the purpose of motion proceedings. He relied on G</w:t>
      </w:r>
      <w:r w:rsidR="00820220" w:rsidRPr="00B949C9">
        <w:rPr>
          <w:rFonts w:cs="Arial"/>
          <w:szCs w:val="24"/>
        </w:rPr>
        <w:t>rinaker</w:t>
      </w:r>
      <w:r w:rsidR="00EE6F1F" w:rsidRPr="00B949C9">
        <w:rPr>
          <w:rFonts w:cs="Arial"/>
          <w:szCs w:val="24"/>
        </w:rPr>
        <w:t xml:space="preserve">’s </w:t>
      </w:r>
      <w:r w:rsidR="005A21A6" w:rsidRPr="00B949C9">
        <w:rPr>
          <w:rFonts w:cs="Arial"/>
          <w:szCs w:val="24"/>
        </w:rPr>
        <w:t>attorney</w:t>
      </w:r>
      <w:r w:rsidR="00EE6F1F" w:rsidRPr="00B949C9">
        <w:rPr>
          <w:rFonts w:cs="Arial"/>
          <w:szCs w:val="24"/>
        </w:rPr>
        <w:t xml:space="preserve"> to supply the </w:t>
      </w:r>
      <w:r w:rsidR="00BE1355" w:rsidRPr="00B949C9">
        <w:rPr>
          <w:rFonts w:cs="Arial"/>
          <w:szCs w:val="24"/>
        </w:rPr>
        <w:t xml:space="preserve">Appendix because he says she needed to redact </w:t>
      </w:r>
      <w:r w:rsidR="005A21A6" w:rsidRPr="00B949C9">
        <w:rPr>
          <w:rFonts w:cs="Arial"/>
          <w:szCs w:val="24"/>
        </w:rPr>
        <w:t>confidential</w:t>
      </w:r>
      <w:r w:rsidR="00BE1355" w:rsidRPr="00B949C9">
        <w:rPr>
          <w:rFonts w:cs="Arial"/>
          <w:szCs w:val="24"/>
        </w:rPr>
        <w:t xml:space="preserve"> </w:t>
      </w:r>
      <w:r w:rsidR="001B6E2C" w:rsidRPr="00B949C9">
        <w:rPr>
          <w:rFonts w:cs="Arial"/>
          <w:szCs w:val="24"/>
        </w:rPr>
        <w:t>information from it</w:t>
      </w:r>
      <w:r w:rsidR="00BE1355" w:rsidRPr="00B949C9">
        <w:rPr>
          <w:rFonts w:cs="Arial"/>
          <w:szCs w:val="24"/>
        </w:rPr>
        <w:t xml:space="preserve">. She had got </w:t>
      </w:r>
      <w:r w:rsidR="001B6E2C" w:rsidRPr="00B949C9">
        <w:rPr>
          <w:rFonts w:cs="Arial"/>
          <w:szCs w:val="24"/>
        </w:rPr>
        <w:t>the w</w:t>
      </w:r>
      <w:r w:rsidR="00BE1355" w:rsidRPr="00B949C9">
        <w:rPr>
          <w:rFonts w:cs="Arial"/>
          <w:szCs w:val="24"/>
        </w:rPr>
        <w:t xml:space="preserve">rong </w:t>
      </w:r>
      <w:r w:rsidR="001B6E2C" w:rsidRPr="00B949C9">
        <w:rPr>
          <w:rFonts w:cs="Arial"/>
          <w:szCs w:val="24"/>
        </w:rPr>
        <w:t xml:space="preserve">document </w:t>
      </w:r>
      <w:r w:rsidR="00BE1355" w:rsidRPr="00B949C9">
        <w:rPr>
          <w:rFonts w:cs="Arial"/>
          <w:szCs w:val="24"/>
        </w:rPr>
        <w:t xml:space="preserve">he contends and now he was </w:t>
      </w:r>
      <w:r w:rsidR="00D705B9" w:rsidRPr="00B949C9">
        <w:rPr>
          <w:rFonts w:cs="Arial"/>
          <w:szCs w:val="24"/>
        </w:rPr>
        <w:t>providing</w:t>
      </w:r>
      <w:r w:rsidR="00BE1355" w:rsidRPr="00B949C9">
        <w:rPr>
          <w:rFonts w:cs="Arial"/>
          <w:szCs w:val="24"/>
        </w:rPr>
        <w:t xml:space="preserve"> the correct version. </w:t>
      </w:r>
      <w:r w:rsidR="003A1E13" w:rsidRPr="00B949C9">
        <w:rPr>
          <w:rFonts w:cs="Arial"/>
          <w:szCs w:val="24"/>
        </w:rPr>
        <w:t>There was no reason for him to elaborate on this any further.</w:t>
      </w:r>
      <w:r w:rsidR="00320F87" w:rsidRPr="00B949C9">
        <w:rPr>
          <w:rFonts w:cs="Arial"/>
          <w:szCs w:val="24"/>
        </w:rPr>
        <w:t xml:space="preserve"> He is not to quote </w:t>
      </w:r>
      <w:r w:rsidR="00320F87" w:rsidRPr="00B949C9">
        <w:rPr>
          <w:rFonts w:cs="Arial"/>
          <w:i/>
          <w:iCs/>
          <w:szCs w:val="24"/>
        </w:rPr>
        <w:t>Wightman</w:t>
      </w:r>
      <w:r w:rsidR="00320F87" w:rsidRPr="00B949C9">
        <w:rPr>
          <w:rFonts w:cs="Arial"/>
          <w:szCs w:val="24"/>
        </w:rPr>
        <w:t xml:space="preserve"> resting his case on a </w:t>
      </w:r>
      <w:r w:rsidR="00DE23A3" w:rsidRPr="00B949C9">
        <w:rPr>
          <w:rFonts w:cs="Arial"/>
          <w:szCs w:val="24"/>
        </w:rPr>
        <w:t>“</w:t>
      </w:r>
      <w:r w:rsidR="00E111B8" w:rsidRPr="00B949C9">
        <w:rPr>
          <w:rFonts w:cs="Arial"/>
          <w:szCs w:val="24"/>
        </w:rPr>
        <w:t>…</w:t>
      </w:r>
      <w:r w:rsidR="00DE23A3" w:rsidRPr="00B949C9">
        <w:rPr>
          <w:rFonts w:cs="Arial"/>
          <w:i/>
          <w:iCs/>
          <w:szCs w:val="24"/>
        </w:rPr>
        <w:t>bare and ambiguous denial</w:t>
      </w:r>
      <w:r w:rsidR="00A137E9" w:rsidRPr="00B949C9">
        <w:rPr>
          <w:rFonts w:cs="Arial"/>
          <w:i/>
          <w:iCs/>
          <w:szCs w:val="24"/>
        </w:rPr>
        <w:t>.</w:t>
      </w:r>
      <w:r w:rsidR="00DE23A3" w:rsidRPr="00B949C9">
        <w:rPr>
          <w:rFonts w:cs="Arial"/>
          <w:i/>
          <w:iCs/>
          <w:szCs w:val="24"/>
        </w:rPr>
        <w:t>”</w:t>
      </w:r>
      <w:r w:rsidR="003A1E13" w:rsidRPr="00B949C9">
        <w:rPr>
          <w:rFonts w:cs="Arial"/>
          <w:szCs w:val="24"/>
        </w:rPr>
        <w:t xml:space="preserve"> For the purpose of these </w:t>
      </w:r>
      <w:r w:rsidR="00D705B9" w:rsidRPr="00B949C9">
        <w:rPr>
          <w:rFonts w:cs="Arial"/>
          <w:szCs w:val="24"/>
        </w:rPr>
        <w:t>proceedings,</w:t>
      </w:r>
      <w:r w:rsidR="003A1E13" w:rsidRPr="00B949C9">
        <w:rPr>
          <w:rFonts w:cs="Arial"/>
          <w:szCs w:val="24"/>
        </w:rPr>
        <w:t xml:space="preserve"> I must apply </w:t>
      </w:r>
      <w:r w:rsidR="003A1E13" w:rsidRPr="00B949C9">
        <w:rPr>
          <w:rFonts w:cs="Arial"/>
          <w:i/>
          <w:iCs/>
          <w:szCs w:val="24"/>
        </w:rPr>
        <w:t>Plascon Evans</w:t>
      </w:r>
      <w:r w:rsidR="003A1E13" w:rsidRPr="00B949C9">
        <w:rPr>
          <w:rFonts w:cs="Arial"/>
          <w:szCs w:val="24"/>
        </w:rPr>
        <w:t xml:space="preserve"> and accept Eskom’s version.</w:t>
      </w:r>
      <w:r w:rsidR="00E63133" w:rsidRPr="00260321">
        <w:rPr>
          <w:rStyle w:val="FootnoteReference"/>
          <w:rFonts w:cs="Arial"/>
          <w:szCs w:val="24"/>
        </w:rPr>
        <w:footnoteReference w:id="6"/>
      </w:r>
    </w:p>
    <w:p w14:paraId="6C3ACFB9" w14:textId="7CD34D4B" w:rsidR="00647C45" w:rsidRPr="00B949C9" w:rsidRDefault="00B949C9" w:rsidP="00B949C9">
      <w:pPr>
        <w:spacing w:after="360" w:line="480" w:lineRule="auto"/>
        <w:ind w:left="720" w:hanging="720"/>
        <w:jc w:val="both"/>
        <w:rPr>
          <w:rFonts w:cs="Arial"/>
          <w:szCs w:val="24"/>
        </w:rPr>
      </w:pPr>
      <w:r>
        <w:rPr>
          <w:rFonts w:cs="Arial"/>
          <w:szCs w:val="24"/>
        </w:rPr>
        <w:t>[23]</w:t>
      </w:r>
      <w:r>
        <w:rPr>
          <w:rFonts w:cs="Arial"/>
          <w:szCs w:val="24"/>
        </w:rPr>
        <w:tab/>
      </w:r>
      <w:r w:rsidR="00E27911" w:rsidRPr="00B949C9">
        <w:rPr>
          <w:rFonts w:cs="Arial"/>
          <w:szCs w:val="24"/>
        </w:rPr>
        <w:t xml:space="preserve">But WBHO further argues that even if </w:t>
      </w:r>
      <w:r w:rsidR="00E63F86" w:rsidRPr="00B949C9">
        <w:rPr>
          <w:rFonts w:cs="Arial"/>
          <w:szCs w:val="24"/>
        </w:rPr>
        <w:t>the version now supplied by M</w:t>
      </w:r>
      <w:r w:rsidR="00306655" w:rsidRPr="00B949C9">
        <w:rPr>
          <w:rFonts w:cs="Arial"/>
          <w:szCs w:val="24"/>
        </w:rPr>
        <w:t>ammes</w:t>
      </w:r>
      <w:r w:rsidR="00E63F86" w:rsidRPr="00B949C9">
        <w:rPr>
          <w:rFonts w:cs="Arial"/>
          <w:szCs w:val="24"/>
        </w:rPr>
        <w:t xml:space="preserve"> is the correct version of the Appendix</w:t>
      </w:r>
      <w:r w:rsidR="00390FEA" w:rsidRPr="00B949C9">
        <w:rPr>
          <w:rFonts w:cs="Arial"/>
          <w:szCs w:val="24"/>
        </w:rPr>
        <w:t>,</w:t>
      </w:r>
      <w:r w:rsidR="00E63F86" w:rsidRPr="00B949C9">
        <w:rPr>
          <w:rFonts w:cs="Arial"/>
          <w:szCs w:val="24"/>
        </w:rPr>
        <w:t xml:space="preserve"> it is still deficient. Although Eskom did not require that all the questions in the </w:t>
      </w:r>
      <w:r w:rsidR="00390FEA" w:rsidRPr="00B949C9">
        <w:rPr>
          <w:rFonts w:cs="Arial"/>
          <w:szCs w:val="24"/>
        </w:rPr>
        <w:t>Appendix</w:t>
      </w:r>
      <w:r w:rsidR="00E63F86" w:rsidRPr="00B949C9">
        <w:rPr>
          <w:rFonts w:cs="Arial"/>
          <w:szCs w:val="24"/>
        </w:rPr>
        <w:t xml:space="preserve"> be answered – only those indicated</w:t>
      </w:r>
      <w:r w:rsidR="002A12A0" w:rsidRPr="00B949C9">
        <w:rPr>
          <w:rFonts w:cs="Arial"/>
          <w:szCs w:val="24"/>
        </w:rPr>
        <w:t xml:space="preserve"> - </w:t>
      </w:r>
      <w:r w:rsidR="00E63F86" w:rsidRPr="00B949C9">
        <w:rPr>
          <w:rFonts w:cs="Arial"/>
          <w:szCs w:val="24"/>
        </w:rPr>
        <w:t xml:space="preserve">one of those </w:t>
      </w:r>
      <w:r w:rsidR="00385875" w:rsidRPr="00B949C9">
        <w:rPr>
          <w:rFonts w:cs="Arial"/>
          <w:szCs w:val="24"/>
        </w:rPr>
        <w:t>it needed to fill</w:t>
      </w:r>
      <w:r w:rsidR="00D51468" w:rsidRPr="00B949C9">
        <w:rPr>
          <w:rFonts w:cs="Arial"/>
          <w:szCs w:val="24"/>
        </w:rPr>
        <w:t xml:space="preserve"> in</w:t>
      </w:r>
      <w:r w:rsidR="00385875" w:rsidRPr="00B949C9">
        <w:rPr>
          <w:rFonts w:cs="Arial"/>
          <w:szCs w:val="24"/>
        </w:rPr>
        <w:t xml:space="preserve"> </w:t>
      </w:r>
      <w:r w:rsidR="00E63F86" w:rsidRPr="00B949C9">
        <w:rPr>
          <w:rFonts w:cs="Arial"/>
          <w:szCs w:val="24"/>
        </w:rPr>
        <w:t xml:space="preserve">was </w:t>
      </w:r>
      <w:r w:rsidR="00AC155B" w:rsidRPr="00B949C9">
        <w:rPr>
          <w:rFonts w:cs="Arial"/>
          <w:szCs w:val="24"/>
        </w:rPr>
        <w:t xml:space="preserve">the bidder’s </w:t>
      </w:r>
      <w:r w:rsidR="00E63F86" w:rsidRPr="00B949C9">
        <w:rPr>
          <w:rFonts w:cs="Arial"/>
          <w:szCs w:val="24"/>
        </w:rPr>
        <w:t xml:space="preserve">bank </w:t>
      </w:r>
      <w:r w:rsidR="005C470F" w:rsidRPr="00B949C9">
        <w:rPr>
          <w:rFonts w:cs="Arial"/>
          <w:szCs w:val="24"/>
        </w:rPr>
        <w:t>account details</w:t>
      </w:r>
      <w:r w:rsidR="00311D23" w:rsidRPr="00B949C9">
        <w:rPr>
          <w:rFonts w:cs="Arial"/>
          <w:szCs w:val="24"/>
        </w:rPr>
        <w:t xml:space="preserve">. </w:t>
      </w:r>
      <w:r w:rsidR="00B854DC" w:rsidRPr="00B949C9">
        <w:rPr>
          <w:rFonts w:cs="Arial"/>
          <w:szCs w:val="24"/>
        </w:rPr>
        <w:t>In answer to th</w:t>
      </w:r>
      <w:r w:rsidR="00786F88" w:rsidRPr="00B949C9">
        <w:rPr>
          <w:rFonts w:cs="Arial"/>
          <w:szCs w:val="24"/>
        </w:rPr>
        <w:t>is</w:t>
      </w:r>
      <w:r w:rsidR="00B854DC" w:rsidRPr="00B949C9">
        <w:rPr>
          <w:rFonts w:cs="Arial"/>
          <w:szCs w:val="24"/>
        </w:rPr>
        <w:t xml:space="preserve"> </w:t>
      </w:r>
      <w:r w:rsidR="00B854DC" w:rsidRPr="00B949C9">
        <w:rPr>
          <w:rFonts w:cs="Arial"/>
          <w:szCs w:val="24"/>
        </w:rPr>
        <w:lastRenderedPageBreak/>
        <w:t>question Grinaker had filled in</w:t>
      </w:r>
      <w:r w:rsidR="008D2E89" w:rsidRPr="00B949C9">
        <w:rPr>
          <w:rFonts w:cs="Arial"/>
          <w:szCs w:val="24"/>
        </w:rPr>
        <w:t>:</w:t>
      </w:r>
      <w:r w:rsidR="00B854DC" w:rsidRPr="00B949C9">
        <w:rPr>
          <w:rFonts w:cs="Arial"/>
          <w:szCs w:val="24"/>
        </w:rPr>
        <w:t xml:space="preserve"> </w:t>
      </w:r>
      <w:r w:rsidR="005C470F" w:rsidRPr="00B949C9">
        <w:rPr>
          <w:rFonts w:cs="Arial"/>
          <w:szCs w:val="24"/>
        </w:rPr>
        <w:t>“</w:t>
      </w:r>
      <w:r w:rsidR="005C470F" w:rsidRPr="00B949C9">
        <w:rPr>
          <w:rFonts w:cs="Arial"/>
          <w:i/>
          <w:iCs/>
          <w:szCs w:val="24"/>
        </w:rPr>
        <w:t>TBA</w:t>
      </w:r>
      <w:r w:rsidR="00B854DC" w:rsidRPr="00B949C9">
        <w:rPr>
          <w:rFonts w:cs="Arial"/>
          <w:i/>
          <w:iCs/>
          <w:szCs w:val="24"/>
        </w:rPr>
        <w:t xml:space="preserve"> </w:t>
      </w:r>
      <w:r w:rsidR="0007358A" w:rsidRPr="00B949C9">
        <w:rPr>
          <w:rFonts w:cs="Arial"/>
          <w:i/>
          <w:iCs/>
          <w:szCs w:val="24"/>
        </w:rPr>
        <w:t>if the tender is approved</w:t>
      </w:r>
      <w:r>
        <w:rPr>
          <w:rFonts w:cs="Arial"/>
          <w:szCs w:val="24"/>
        </w:rPr>
        <w:t>”</w:t>
      </w:r>
      <w:r w:rsidR="0037420D" w:rsidRPr="00B949C9">
        <w:rPr>
          <w:rFonts w:cs="Arial"/>
          <w:szCs w:val="24"/>
        </w:rPr>
        <w:t>. Grinaker</w:t>
      </w:r>
      <w:r w:rsidR="006138E1" w:rsidRPr="00B949C9">
        <w:rPr>
          <w:rFonts w:cs="Arial"/>
          <w:szCs w:val="24"/>
        </w:rPr>
        <w:t>, WBHO argued,</w:t>
      </w:r>
      <w:r w:rsidR="0037420D" w:rsidRPr="00B949C9">
        <w:rPr>
          <w:rFonts w:cs="Arial"/>
          <w:szCs w:val="24"/>
        </w:rPr>
        <w:t xml:space="preserve"> had </w:t>
      </w:r>
      <w:r w:rsidR="003E66BC" w:rsidRPr="00B949C9">
        <w:rPr>
          <w:rFonts w:cs="Arial"/>
          <w:szCs w:val="24"/>
        </w:rPr>
        <w:t xml:space="preserve">thus </w:t>
      </w:r>
      <w:r w:rsidR="0037420D" w:rsidRPr="00B949C9">
        <w:rPr>
          <w:rFonts w:cs="Arial"/>
          <w:szCs w:val="24"/>
        </w:rPr>
        <w:t>failed to</w:t>
      </w:r>
      <w:r w:rsidR="00E46D3F" w:rsidRPr="00B949C9">
        <w:rPr>
          <w:rFonts w:cs="Arial"/>
          <w:szCs w:val="24"/>
        </w:rPr>
        <w:t xml:space="preserve"> answer the question. H</w:t>
      </w:r>
      <w:r w:rsidR="0037420D" w:rsidRPr="00B949C9">
        <w:rPr>
          <w:rFonts w:cs="Arial"/>
          <w:szCs w:val="24"/>
        </w:rPr>
        <w:t>ence</w:t>
      </w:r>
      <w:r w:rsidR="00E46D3F" w:rsidRPr="00B949C9">
        <w:rPr>
          <w:rFonts w:cs="Arial"/>
          <w:szCs w:val="24"/>
        </w:rPr>
        <w:t>,</w:t>
      </w:r>
      <w:r w:rsidR="0037420D" w:rsidRPr="00B949C9">
        <w:rPr>
          <w:rFonts w:cs="Arial"/>
          <w:szCs w:val="24"/>
        </w:rPr>
        <w:t xml:space="preserve"> it was on Eskom’s own version</w:t>
      </w:r>
      <w:r w:rsidR="00E46D3F" w:rsidRPr="00B949C9">
        <w:rPr>
          <w:rFonts w:cs="Arial"/>
          <w:szCs w:val="24"/>
        </w:rPr>
        <w:t>,</w:t>
      </w:r>
      <w:r w:rsidR="0037420D" w:rsidRPr="00B949C9">
        <w:rPr>
          <w:rFonts w:cs="Arial"/>
          <w:szCs w:val="24"/>
        </w:rPr>
        <w:t xml:space="preserve"> non-compliant and should have been disqualified</w:t>
      </w:r>
      <w:r w:rsidR="00BE1C98" w:rsidRPr="00B949C9">
        <w:rPr>
          <w:rFonts w:cs="Arial"/>
          <w:szCs w:val="24"/>
        </w:rPr>
        <w:t>.</w:t>
      </w:r>
      <w:r w:rsidR="0037420D" w:rsidRPr="00B949C9">
        <w:rPr>
          <w:rFonts w:cs="Arial"/>
          <w:szCs w:val="24"/>
        </w:rPr>
        <w:t xml:space="preserve"> </w:t>
      </w:r>
      <w:r w:rsidR="00752B5C" w:rsidRPr="00B949C9">
        <w:rPr>
          <w:rFonts w:cs="Arial"/>
          <w:szCs w:val="24"/>
        </w:rPr>
        <w:t xml:space="preserve">But </w:t>
      </w:r>
      <w:r w:rsidR="0007358A" w:rsidRPr="00B949C9">
        <w:rPr>
          <w:rFonts w:cs="Arial"/>
          <w:szCs w:val="24"/>
        </w:rPr>
        <w:t>Eskom’s counsel argued that the question ha</w:t>
      </w:r>
      <w:r w:rsidR="00752B5C" w:rsidRPr="00B949C9">
        <w:rPr>
          <w:rFonts w:cs="Arial"/>
          <w:szCs w:val="24"/>
        </w:rPr>
        <w:t>d</w:t>
      </w:r>
      <w:r w:rsidR="0007358A" w:rsidRPr="00B949C9">
        <w:rPr>
          <w:rFonts w:cs="Arial"/>
          <w:szCs w:val="24"/>
        </w:rPr>
        <w:t xml:space="preserve"> been answered</w:t>
      </w:r>
      <w:r w:rsidR="00036E96" w:rsidRPr="00B949C9">
        <w:rPr>
          <w:rFonts w:cs="Arial"/>
          <w:szCs w:val="24"/>
        </w:rPr>
        <w:t>;</w:t>
      </w:r>
      <w:r w:rsidR="0007358A" w:rsidRPr="00B949C9">
        <w:rPr>
          <w:rFonts w:cs="Arial"/>
          <w:szCs w:val="24"/>
        </w:rPr>
        <w:t xml:space="preserve"> the only issue </w:t>
      </w:r>
      <w:r w:rsidR="00BE1C98" w:rsidRPr="00B949C9">
        <w:rPr>
          <w:rFonts w:cs="Arial"/>
          <w:szCs w:val="24"/>
        </w:rPr>
        <w:t>wa</w:t>
      </w:r>
      <w:r w:rsidR="0007358A" w:rsidRPr="00B949C9">
        <w:rPr>
          <w:rFonts w:cs="Arial"/>
          <w:szCs w:val="24"/>
        </w:rPr>
        <w:t xml:space="preserve">s whether the </w:t>
      </w:r>
      <w:r w:rsidR="00754AEA" w:rsidRPr="00B949C9">
        <w:rPr>
          <w:rFonts w:cs="Arial"/>
          <w:szCs w:val="24"/>
        </w:rPr>
        <w:t>answer should be considered sufficient.</w:t>
      </w:r>
      <w:r w:rsidR="008B2C13" w:rsidRPr="00B949C9">
        <w:rPr>
          <w:rFonts w:cs="Arial"/>
          <w:szCs w:val="24"/>
        </w:rPr>
        <w:t xml:space="preserve"> </w:t>
      </w:r>
      <w:r w:rsidR="00A137E9" w:rsidRPr="00B949C9">
        <w:rPr>
          <w:rFonts w:cs="Arial"/>
          <w:szCs w:val="24"/>
        </w:rPr>
        <w:t>I agree with this</w:t>
      </w:r>
      <w:r w:rsidR="007D611D" w:rsidRPr="00B949C9">
        <w:rPr>
          <w:rFonts w:cs="Arial"/>
          <w:szCs w:val="24"/>
        </w:rPr>
        <w:t>,</w:t>
      </w:r>
      <w:r w:rsidR="00A137E9" w:rsidRPr="00B949C9">
        <w:rPr>
          <w:rFonts w:cs="Arial"/>
          <w:szCs w:val="24"/>
        </w:rPr>
        <w:t xml:space="preserve"> </w:t>
      </w:r>
      <w:r w:rsidR="00D174A4" w:rsidRPr="00B949C9">
        <w:rPr>
          <w:rFonts w:cs="Arial"/>
          <w:szCs w:val="24"/>
        </w:rPr>
        <w:t>although</w:t>
      </w:r>
      <w:r w:rsidR="00A137E9" w:rsidRPr="00B949C9">
        <w:rPr>
          <w:rFonts w:cs="Arial"/>
          <w:szCs w:val="24"/>
        </w:rPr>
        <w:t xml:space="preserve"> </w:t>
      </w:r>
      <w:r w:rsidR="008B2C13" w:rsidRPr="00B949C9">
        <w:rPr>
          <w:rFonts w:cs="Arial"/>
          <w:szCs w:val="24"/>
        </w:rPr>
        <w:t xml:space="preserve">Eskom has not put up any explanation </w:t>
      </w:r>
      <w:r w:rsidR="00AD0004" w:rsidRPr="00B949C9">
        <w:rPr>
          <w:rFonts w:cs="Arial"/>
          <w:szCs w:val="24"/>
        </w:rPr>
        <w:t xml:space="preserve">to justify sufficiency. </w:t>
      </w:r>
    </w:p>
    <w:p w14:paraId="34CED293" w14:textId="48795DD3" w:rsidR="00F8560E" w:rsidRPr="00B949C9" w:rsidRDefault="00B949C9" w:rsidP="00B949C9">
      <w:pPr>
        <w:spacing w:after="360" w:line="480" w:lineRule="auto"/>
        <w:ind w:left="720" w:hanging="720"/>
        <w:jc w:val="both"/>
        <w:rPr>
          <w:rFonts w:cs="Arial"/>
          <w:szCs w:val="24"/>
        </w:rPr>
      </w:pPr>
      <w:r>
        <w:rPr>
          <w:rFonts w:cs="Arial"/>
          <w:szCs w:val="24"/>
        </w:rPr>
        <w:t>[24]</w:t>
      </w:r>
      <w:r>
        <w:rPr>
          <w:rFonts w:cs="Arial"/>
          <w:szCs w:val="24"/>
        </w:rPr>
        <w:tab/>
      </w:r>
      <w:r w:rsidR="00AD0004" w:rsidRPr="00B949C9">
        <w:rPr>
          <w:rFonts w:cs="Arial"/>
          <w:szCs w:val="24"/>
        </w:rPr>
        <w:t>The question then is what legal conclusion to draw from the</w:t>
      </w:r>
      <w:r w:rsidR="00487BD5" w:rsidRPr="00B949C9">
        <w:rPr>
          <w:rFonts w:cs="Arial"/>
          <w:szCs w:val="24"/>
        </w:rPr>
        <w:t xml:space="preserve"> allegedly </w:t>
      </w:r>
      <w:r w:rsidR="00AD0004" w:rsidRPr="00B949C9">
        <w:rPr>
          <w:rFonts w:cs="Arial"/>
          <w:szCs w:val="24"/>
        </w:rPr>
        <w:t>insufficient answer.</w:t>
      </w:r>
      <w:r w:rsidR="008B0F38" w:rsidRPr="00B949C9">
        <w:rPr>
          <w:rFonts w:cs="Arial"/>
          <w:szCs w:val="24"/>
        </w:rPr>
        <w:t xml:space="preserve"> Put differently</w:t>
      </w:r>
      <w:r w:rsidR="00B97CFE" w:rsidRPr="00B949C9">
        <w:rPr>
          <w:rFonts w:cs="Arial"/>
          <w:szCs w:val="24"/>
        </w:rPr>
        <w:t>,</w:t>
      </w:r>
      <w:r w:rsidR="008B0F38" w:rsidRPr="00B949C9">
        <w:rPr>
          <w:rFonts w:cs="Arial"/>
          <w:szCs w:val="24"/>
        </w:rPr>
        <w:t xml:space="preserve"> is</w:t>
      </w:r>
      <w:r w:rsidR="006D7701" w:rsidRPr="00B949C9">
        <w:rPr>
          <w:rFonts w:cs="Arial"/>
          <w:szCs w:val="24"/>
        </w:rPr>
        <w:t xml:space="preserve"> the undertaking to defer providing the </w:t>
      </w:r>
      <w:r w:rsidR="0028270E" w:rsidRPr="00B949C9">
        <w:rPr>
          <w:rFonts w:cs="Arial"/>
          <w:szCs w:val="24"/>
        </w:rPr>
        <w:t xml:space="preserve">consortium’s banking </w:t>
      </w:r>
      <w:r w:rsidR="006D7701" w:rsidRPr="00B949C9">
        <w:rPr>
          <w:rFonts w:cs="Arial"/>
          <w:szCs w:val="24"/>
        </w:rPr>
        <w:t>details</w:t>
      </w:r>
      <w:r w:rsidR="00B97CFE" w:rsidRPr="00B949C9">
        <w:rPr>
          <w:rFonts w:cs="Arial"/>
          <w:szCs w:val="24"/>
        </w:rPr>
        <w:t>,</w:t>
      </w:r>
      <w:r w:rsidR="006D7701" w:rsidRPr="00B949C9">
        <w:rPr>
          <w:rFonts w:cs="Arial"/>
          <w:szCs w:val="24"/>
        </w:rPr>
        <w:t xml:space="preserve"> </w:t>
      </w:r>
      <w:r w:rsidR="00D80730" w:rsidRPr="00B949C9">
        <w:rPr>
          <w:rFonts w:cs="Arial"/>
          <w:szCs w:val="24"/>
        </w:rPr>
        <w:t xml:space="preserve">an insufficient response </w:t>
      </w:r>
      <w:r w:rsidR="009430E0" w:rsidRPr="00B949C9">
        <w:rPr>
          <w:rFonts w:cs="Arial"/>
          <w:szCs w:val="24"/>
        </w:rPr>
        <w:t>to the question</w:t>
      </w:r>
      <w:r w:rsidR="006F314A" w:rsidRPr="00B949C9">
        <w:rPr>
          <w:rFonts w:cs="Arial"/>
          <w:szCs w:val="24"/>
        </w:rPr>
        <w:t>,</w:t>
      </w:r>
      <w:r w:rsidR="00233313" w:rsidRPr="00B949C9">
        <w:rPr>
          <w:rFonts w:cs="Arial"/>
          <w:szCs w:val="24"/>
        </w:rPr>
        <w:t xml:space="preserve"> </w:t>
      </w:r>
      <w:r w:rsidR="006F314A" w:rsidRPr="00B949C9">
        <w:rPr>
          <w:rFonts w:cs="Arial"/>
          <w:szCs w:val="24"/>
        </w:rPr>
        <w:t xml:space="preserve">so much so </w:t>
      </w:r>
      <w:r w:rsidR="00233313" w:rsidRPr="00B949C9">
        <w:rPr>
          <w:rFonts w:cs="Arial"/>
          <w:szCs w:val="24"/>
        </w:rPr>
        <w:t xml:space="preserve">as </w:t>
      </w:r>
      <w:r w:rsidR="00C47B70" w:rsidRPr="00B949C9">
        <w:rPr>
          <w:rFonts w:cs="Arial"/>
          <w:szCs w:val="24"/>
        </w:rPr>
        <w:t>to justify a conclusion that Grinaker has submitted a non</w:t>
      </w:r>
      <w:r w:rsidR="00233313" w:rsidRPr="00B949C9">
        <w:rPr>
          <w:rFonts w:cs="Arial"/>
          <w:szCs w:val="24"/>
        </w:rPr>
        <w:t>-responsive Appendix</w:t>
      </w:r>
      <w:r w:rsidR="006F314A" w:rsidRPr="00B949C9">
        <w:rPr>
          <w:rFonts w:cs="Arial"/>
          <w:szCs w:val="24"/>
        </w:rPr>
        <w:t>,</w:t>
      </w:r>
      <w:r w:rsidR="00233313" w:rsidRPr="00B949C9">
        <w:rPr>
          <w:rFonts w:cs="Arial"/>
          <w:szCs w:val="24"/>
        </w:rPr>
        <w:t xml:space="preserve"> and hence</w:t>
      </w:r>
      <w:r w:rsidR="006F314A" w:rsidRPr="00B949C9">
        <w:rPr>
          <w:rFonts w:cs="Arial"/>
          <w:szCs w:val="24"/>
        </w:rPr>
        <w:t>,</w:t>
      </w:r>
      <w:r w:rsidR="00233313" w:rsidRPr="00B949C9">
        <w:rPr>
          <w:rFonts w:cs="Arial"/>
          <w:szCs w:val="24"/>
        </w:rPr>
        <w:t xml:space="preserve"> not conformed to a mandatory requirement to provide the FIDIC contract data</w:t>
      </w:r>
      <w:r>
        <w:rPr>
          <w:rFonts w:cs="Arial"/>
          <w:szCs w:val="24"/>
        </w:rPr>
        <w:t>.</w:t>
      </w:r>
      <w:r w:rsidR="009430E0" w:rsidRPr="00B949C9">
        <w:rPr>
          <w:rFonts w:cs="Arial"/>
          <w:szCs w:val="24"/>
        </w:rPr>
        <w:t xml:space="preserve"> In my </w:t>
      </w:r>
      <w:r w:rsidR="00647C45" w:rsidRPr="00B949C9">
        <w:rPr>
          <w:rFonts w:cs="Arial"/>
          <w:szCs w:val="24"/>
        </w:rPr>
        <w:t>view in</w:t>
      </w:r>
      <w:r w:rsidR="009430E0" w:rsidRPr="00B949C9">
        <w:rPr>
          <w:rFonts w:cs="Arial"/>
          <w:szCs w:val="24"/>
        </w:rPr>
        <w:t xml:space="preserve"> the context</w:t>
      </w:r>
      <w:r w:rsidR="006733D6" w:rsidRPr="00B949C9">
        <w:rPr>
          <w:rFonts w:cs="Arial"/>
          <w:szCs w:val="24"/>
        </w:rPr>
        <w:t xml:space="preserve"> of this tender </w:t>
      </w:r>
      <w:r w:rsidR="00DB391A" w:rsidRPr="00B949C9">
        <w:rPr>
          <w:rFonts w:cs="Arial"/>
          <w:szCs w:val="24"/>
        </w:rPr>
        <w:t xml:space="preserve">one could not conclude that </w:t>
      </w:r>
      <w:r w:rsidR="00772C36" w:rsidRPr="00B949C9">
        <w:rPr>
          <w:rFonts w:cs="Arial"/>
          <w:szCs w:val="24"/>
        </w:rPr>
        <w:t>deferring</w:t>
      </w:r>
      <w:r w:rsidR="00885865" w:rsidRPr="00B949C9">
        <w:rPr>
          <w:rFonts w:cs="Arial"/>
          <w:szCs w:val="24"/>
        </w:rPr>
        <w:t xml:space="preserve"> the provision of bank account </w:t>
      </w:r>
      <w:r w:rsidR="002E6D8A" w:rsidRPr="00B949C9">
        <w:rPr>
          <w:rFonts w:cs="Arial"/>
          <w:szCs w:val="24"/>
        </w:rPr>
        <w:t>details, was</w:t>
      </w:r>
      <w:r w:rsidR="00772C36" w:rsidRPr="00B949C9">
        <w:rPr>
          <w:rFonts w:cs="Arial"/>
          <w:szCs w:val="24"/>
        </w:rPr>
        <w:t xml:space="preserve"> so material as to </w:t>
      </w:r>
      <w:r w:rsidR="00DB391A" w:rsidRPr="00B949C9">
        <w:rPr>
          <w:rFonts w:cs="Arial"/>
          <w:szCs w:val="24"/>
        </w:rPr>
        <w:t>render the Appendix submitted non-</w:t>
      </w:r>
      <w:r w:rsidR="008C69E4" w:rsidRPr="00B949C9">
        <w:rPr>
          <w:rFonts w:cs="Arial"/>
          <w:szCs w:val="24"/>
        </w:rPr>
        <w:t>responsive.</w:t>
      </w:r>
      <w:r w:rsidR="009430E0" w:rsidRPr="00B949C9">
        <w:rPr>
          <w:rFonts w:cs="Arial"/>
          <w:szCs w:val="24"/>
        </w:rPr>
        <w:t xml:space="preserve"> </w:t>
      </w:r>
      <w:r w:rsidR="00FB3B42" w:rsidRPr="00B949C9">
        <w:rPr>
          <w:rFonts w:cs="Arial"/>
          <w:szCs w:val="24"/>
        </w:rPr>
        <w:t xml:space="preserve">The purpose of the </w:t>
      </w:r>
      <w:r w:rsidR="009B10F0" w:rsidRPr="00B949C9">
        <w:rPr>
          <w:rFonts w:cs="Arial"/>
          <w:szCs w:val="24"/>
        </w:rPr>
        <w:t>A</w:t>
      </w:r>
      <w:r w:rsidR="00755A87" w:rsidRPr="00B949C9">
        <w:rPr>
          <w:rFonts w:cs="Arial"/>
          <w:szCs w:val="24"/>
        </w:rPr>
        <w:t>ppendix</w:t>
      </w:r>
      <w:r w:rsidR="00980A84" w:rsidRPr="00B949C9">
        <w:rPr>
          <w:rFonts w:cs="Arial"/>
          <w:szCs w:val="24"/>
        </w:rPr>
        <w:t xml:space="preserve"> as was explained by Eskom</w:t>
      </w:r>
      <w:r w:rsidR="00647C45" w:rsidRPr="00B949C9">
        <w:rPr>
          <w:rFonts w:cs="Arial"/>
          <w:szCs w:val="24"/>
        </w:rPr>
        <w:t>,</w:t>
      </w:r>
      <w:r w:rsidR="00980A84" w:rsidRPr="00B949C9">
        <w:rPr>
          <w:rFonts w:cs="Arial"/>
          <w:szCs w:val="24"/>
        </w:rPr>
        <w:t xml:space="preserve"> was to enable those tasked with determining the award to compare information from bidders in a </w:t>
      </w:r>
      <w:r w:rsidR="005A0332" w:rsidRPr="00B949C9">
        <w:rPr>
          <w:rFonts w:cs="Arial"/>
          <w:szCs w:val="24"/>
        </w:rPr>
        <w:t xml:space="preserve">succinct format. This was one of the objectives of the </w:t>
      </w:r>
      <w:r w:rsidR="002C2F0F" w:rsidRPr="00B949C9">
        <w:rPr>
          <w:rFonts w:cs="Arial"/>
          <w:szCs w:val="24"/>
        </w:rPr>
        <w:t>A</w:t>
      </w:r>
      <w:r w:rsidR="00755A87" w:rsidRPr="00B949C9">
        <w:rPr>
          <w:rFonts w:cs="Arial"/>
          <w:szCs w:val="24"/>
        </w:rPr>
        <w:t>ppendix</w:t>
      </w:r>
      <w:r w:rsidR="005A0332" w:rsidRPr="00B949C9">
        <w:rPr>
          <w:rFonts w:cs="Arial"/>
          <w:szCs w:val="24"/>
        </w:rPr>
        <w:t xml:space="preserve"> despite the fact that some of this information had already been supplied </w:t>
      </w:r>
      <w:r w:rsidR="00B23425" w:rsidRPr="00B949C9">
        <w:rPr>
          <w:rFonts w:cs="Arial"/>
          <w:szCs w:val="24"/>
        </w:rPr>
        <w:t>elsewhere</w:t>
      </w:r>
      <w:r w:rsidR="005A0332" w:rsidRPr="00B949C9">
        <w:rPr>
          <w:rFonts w:cs="Arial"/>
          <w:szCs w:val="24"/>
        </w:rPr>
        <w:t xml:space="preserve"> by bidders. </w:t>
      </w:r>
      <w:r w:rsidR="00B46891" w:rsidRPr="00B949C9">
        <w:rPr>
          <w:rFonts w:cs="Arial"/>
          <w:szCs w:val="24"/>
        </w:rPr>
        <w:t>But n</w:t>
      </w:r>
      <w:r w:rsidR="005A0332" w:rsidRPr="00B949C9">
        <w:rPr>
          <w:rFonts w:cs="Arial"/>
          <w:szCs w:val="24"/>
        </w:rPr>
        <w:t xml:space="preserve">ot all the information supplied </w:t>
      </w:r>
      <w:r w:rsidR="00EE6D12" w:rsidRPr="00B949C9">
        <w:rPr>
          <w:rFonts w:cs="Arial"/>
          <w:szCs w:val="24"/>
        </w:rPr>
        <w:t xml:space="preserve">serves this comparative objective. </w:t>
      </w:r>
      <w:r w:rsidR="005F388E" w:rsidRPr="00B949C9">
        <w:rPr>
          <w:rFonts w:cs="Arial"/>
          <w:szCs w:val="24"/>
        </w:rPr>
        <w:t>It is unlikely that the supply of banking information would be relevant to the comparison. Thus</w:t>
      </w:r>
      <w:r w:rsidR="00AC0DDB" w:rsidRPr="00B949C9">
        <w:rPr>
          <w:rFonts w:cs="Arial"/>
          <w:szCs w:val="24"/>
        </w:rPr>
        <w:t>,</w:t>
      </w:r>
      <w:r w:rsidR="005F388E" w:rsidRPr="00B949C9">
        <w:rPr>
          <w:rFonts w:cs="Arial"/>
          <w:szCs w:val="24"/>
        </w:rPr>
        <w:t xml:space="preserve"> the fact that G</w:t>
      </w:r>
      <w:r w:rsidR="00B23425" w:rsidRPr="00B949C9">
        <w:rPr>
          <w:rFonts w:cs="Arial"/>
          <w:szCs w:val="24"/>
        </w:rPr>
        <w:t>rinaker</w:t>
      </w:r>
      <w:r w:rsidR="005F388E" w:rsidRPr="00B949C9">
        <w:rPr>
          <w:rFonts w:cs="Arial"/>
          <w:szCs w:val="24"/>
        </w:rPr>
        <w:t xml:space="preserve"> elected to supply this information </w:t>
      </w:r>
      <w:r w:rsidR="00B23425" w:rsidRPr="00B949C9">
        <w:rPr>
          <w:rFonts w:cs="Arial"/>
          <w:szCs w:val="24"/>
        </w:rPr>
        <w:t xml:space="preserve">only </w:t>
      </w:r>
      <w:r w:rsidR="005F388E" w:rsidRPr="00B949C9">
        <w:rPr>
          <w:rFonts w:cs="Arial"/>
          <w:szCs w:val="24"/>
        </w:rPr>
        <w:t xml:space="preserve">later if it won the tender would not have been a comparative fact relevant to the assessments of the bids and hence </w:t>
      </w:r>
      <w:r w:rsidR="000851FB" w:rsidRPr="00B949C9">
        <w:rPr>
          <w:rFonts w:cs="Arial"/>
          <w:szCs w:val="24"/>
        </w:rPr>
        <w:t>despite the insufficient response would not have been a rational basis for disqualifying its bid.</w:t>
      </w:r>
    </w:p>
    <w:p w14:paraId="4A095BF6" w14:textId="7DD21F09" w:rsidR="004A382D" w:rsidRPr="00B949C9" w:rsidRDefault="00B949C9" w:rsidP="00B949C9">
      <w:pPr>
        <w:spacing w:after="360" w:line="480" w:lineRule="auto"/>
        <w:ind w:left="720" w:hanging="720"/>
        <w:jc w:val="both"/>
        <w:rPr>
          <w:rFonts w:cs="Arial"/>
          <w:szCs w:val="24"/>
        </w:rPr>
      </w:pPr>
      <w:r>
        <w:rPr>
          <w:rFonts w:cs="Arial"/>
          <w:szCs w:val="24"/>
        </w:rPr>
        <w:lastRenderedPageBreak/>
        <w:t>[25]</w:t>
      </w:r>
      <w:r>
        <w:rPr>
          <w:rFonts w:cs="Arial"/>
          <w:szCs w:val="24"/>
        </w:rPr>
        <w:tab/>
      </w:r>
      <w:r w:rsidR="00F3696E" w:rsidRPr="00B949C9">
        <w:rPr>
          <w:rFonts w:cs="Arial"/>
          <w:szCs w:val="24"/>
        </w:rPr>
        <w:t>I go on now to consider the two other grounds of review.</w:t>
      </w:r>
      <w:r w:rsidR="000B72E2" w:rsidRPr="00B949C9">
        <w:rPr>
          <w:rFonts w:cs="Arial"/>
          <w:szCs w:val="24"/>
        </w:rPr>
        <w:t xml:space="preserve"> As a point of departure</w:t>
      </w:r>
      <w:r w:rsidR="00A269C1" w:rsidRPr="00B949C9">
        <w:rPr>
          <w:rFonts w:cs="Arial"/>
          <w:szCs w:val="24"/>
        </w:rPr>
        <w:t>,</w:t>
      </w:r>
      <w:r w:rsidR="000B72E2" w:rsidRPr="00B949C9">
        <w:rPr>
          <w:rFonts w:cs="Arial"/>
          <w:szCs w:val="24"/>
        </w:rPr>
        <w:t xml:space="preserve"> the legal standard for which </w:t>
      </w:r>
      <w:r w:rsidR="000D4192" w:rsidRPr="00B949C9">
        <w:rPr>
          <w:rFonts w:cs="Arial"/>
          <w:szCs w:val="24"/>
        </w:rPr>
        <w:t xml:space="preserve">the lawfulness of a tender process </w:t>
      </w:r>
      <w:r w:rsidR="00357A6F" w:rsidRPr="00B949C9">
        <w:rPr>
          <w:rFonts w:cs="Arial"/>
          <w:szCs w:val="24"/>
        </w:rPr>
        <w:t xml:space="preserve">by a state actor such as Eskom </w:t>
      </w:r>
      <w:r w:rsidR="00BB3B30" w:rsidRPr="00B949C9">
        <w:rPr>
          <w:rFonts w:cs="Arial"/>
          <w:szCs w:val="24"/>
        </w:rPr>
        <w:t xml:space="preserve">must </w:t>
      </w:r>
      <w:r w:rsidR="00623188" w:rsidRPr="00B949C9">
        <w:rPr>
          <w:rFonts w:cs="Arial"/>
          <w:szCs w:val="24"/>
        </w:rPr>
        <w:t xml:space="preserve">be judged by is common cause. </w:t>
      </w:r>
      <w:r w:rsidR="00163D3B" w:rsidRPr="00B949C9">
        <w:rPr>
          <w:rFonts w:cs="Arial"/>
          <w:szCs w:val="24"/>
        </w:rPr>
        <w:t>Statutory</w:t>
      </w:r>
      <w:r w:rsidR="00623188" w:rsidRPr="00B949C9">
        <w:rPr>
          <w:rFonts w:cs="Arial"/>
          <w:szCs w:val="24"/>
        </w:rPr>
        <w:t xml:space="preserve"> wise</w:t>
      </w:r>
      <w:r w:rsidR="00163D3B" w:rsidRPr="00B949C9">
        <w:rPr>
          <w:rFonts w:cs="Arial"/>
          <w:szCs w:val="24"/>
        </w:rPr>
        <w:t>,</w:t>
      </w:r>
      <w:r w:rsidR="00623188" w:rsidRPr="00B949C9">
        <w:rPr>
          <w:rFonts w:cs="Arial"/>
          <w:szCs w:val="24"/>
        </w:rPr>
        <w:t xml:space="preserve"> the governing provisions are </w:t>
      </w:r>
      <w:r w:rsidR="004A382D" w:rsidRPr="00B949C9">
        <w:rPr>
          <w:rFonts w:cs="Arial"/>
          <w:szCs w:val="24"/>
        </w:rPr>
        <w:t>s</w:t>
      </w:r>
      <w:r w:rsidR="00163D3B" w:rsidRPr="00B949C9">
        <w:rPr>
          <w:rFonts w:cs="Arial"/>
          <w:szCs w:val="24"/>
        </w:rPr>
        <w:t>ection</w:t>
      </w:r>
      <w:r w:rsidR="004A382D" w:rsidRPr="00B949C9">
        <w:rPr>
          <w:rFonts w:cs="Arial"/>
          <w:szCs w:val="24"/>
        </w:rPr>
        <w:t xml:space="preserve"> 217(</w:t>
      </w:r>
      <w:r w:rsidR="00163D3B" w:rsidRPr="00B949C9">
        <w:rPr>
          <w:rFonts w:cs="Arial"/>
          <w:szCs w:val="24"/>
        </w:rPr>
        <w:t>1) of</w:t>
      </w:r>
      <w:r w:rsidR="004A382D" w:rsidRPr="00B949C9">
        <w:rPr>
          <w:rFonts w:cs="Arial"/>
          <w:szCs w:val="24"/>
        </w:rPr>
        <w:t xml:space="preserve"> the Constitution, s</w:t>
      </w:r>
      <w:r w:rsidR="00163D3B" w:rsidRPr="00B949C9">
        <w:rPr>
          <w:rFonts w:cs="Arial"/>
          <w:szCs w:val="24"/>
        </w:rPr>
        <w:t>ection</w:t>
      </w:r>
      <w:r w:rsidR="004A382D" w:rsidRPr="00B949C9">
        <w:rPr>
          <w:rFonts w:cs="Arial"/>
          <w:szCs w:val="24"/>
        </w:rPr>
        <w:t xml:space="preserve"> 51(1)(a)(iii) of the Public Finance Management Act (</w:t>
      </w:r>
      <w:r>
        <w:rPr>
          <w:rFonts w:cs="Arial"/>
          <w:szCs w:val="24"/>
        </w:rPr>
        <w:t>“</w:t>
      </w:r>
      <w:r w:rsidR="004A382D" w:rsidRPr="00B949C9">
        <w:rPr>
          <w:rFonts w:cs="Arial"/>
          <w:szCs w:val="24"/>
        </w:rPr>
        <w:t>PFMA</w:t>
      </w:r>
      <w:r>
        <w:rPr>
          <w:rFonts w:cs="Arial"/>
          <w:szCs w:val="24"/>
        </w:rPr>
        <w:t>”</w:t>
      </w:r>
      <w:r w:rsidR="004A382D" w:rsidRPr="00B949C9">
        <w:rPr>
          <w:rFonts w:cs="Arial"/>
          <w:szCs w:val="24"/>
        </w:rPr>
        <w:t>) and s</w:t>
      </w:r>
      <w:r w:rsidR="00360EE6" w:rsidRPr="00B949C9">
        <w:rPr>
          <w:rFonts w:cs="Arial"/>
          <w:szCs w:val="24"/>
        </w:rPr>
        <w:t>ection</w:t>
      </w:r>
      <w:r w:rsidR="004A382D" w:rsidRPr="00B949C9">
        <w:rPr>
          <w:rFonts w:cs="Arial"/>
          <w:szCs w:val="24"/>
        </w:rPr>
        <w:t xml:space="preserve"> 2(1)(f) of the Preferential Procurement Policy Framework Act (</w:t>
      </w:r>
      <w:r>
        <w:rPr>
          <w:rFonts w:cs="Arial"/>
          <w:szCs w:val="24"/>
        </w:rPr>
        <w:t>“</w:t>
      </w:r>
      <w:r w:rsidR="004A382D" w:rsidRPr="00B949C9">
        <w:rPr>
          <w:rFonts w:cs="Arial"/>
          <w:szCs w:val="24"/>
        </w:rPr>
        <w:t>PPPFA</w:t>
      </w:r>
      <w:r>
        <w:rPr>
          <w:rFonts w:cs="Arial"/>
          <w:szCs w:val="24"/>
        </w:rPr>
        <w:t>”</w:t>
      </w:r>
      <w:r w:rsidR="0011081E" w:rsidRPr="00B949C9">
        <w:rPr>
          <w:rFonts w:cs="Arial"/>
          <w:szCs w:val="24"/>
        </w:rPr>
        <w:t>), among</w:t>
      </w:r>
      <w:r w:rsidR="004A382D" w:rsidRPr="00B949C9">
        <w:rPr>
          <w:rFonts w:cs="Arial"/>
          <w:szCs w:val="24"/>
        </w:rPr>
        <w:t xml:space="preserve"> others. </w:t>
      </w:r>
      <w:r w:rsidR="00F13099" w:rsidRPr="00B949C9">
        <w:rPr>
          <w:rFonts w:cs="Arial"/>
          <w:szCs w:val="24"/>
        </w:rPr>
        <w:t xml:space="preserve"> The values the Constitution requires of state contractors is that </w:t>
      </w:r>
      <w:r w:rsidR="00F941FB" w:rsidRPr="00B949C9">
        <w:rPr>
          <w:rFonts w:cs="Arial"/>
          <w:szCs w:val="24"/>
        </w:rPr>
        <w:t>the</w:t>
      </w:r>
      <w:r w:rsidR="00366499" w:rsidRPr="00B949C9">
        <w:rPr>
          <w:rFonts w:cs="Arial"/>
          <w:szCs w:val="24"/>
        </w:rPr>
        <w:t>i</w:t>
      </w:r>
      <w:r w:rsidR="00F941FB" w:rsidRPr="00B949C9">
        <w:rPr>
          <w:rFonts w:cs="Arial"/>
          <w:szCs w:val="24"/>
        </w:rPr>
        <w:t xml:space="preserve">r processes are fair, equitable, </w:t>
      </w:r>
      <w:r w:rsidR="00B96E8A" w:rsidRPr="00B949C9">
        <w:rPr>
          <w:rFonts w:cs="Arial"/>
          <w:szCs w:val="24"/>
        </w:rPr>
        <w:t>competitive</w:t>
      </w:r>
      <w:r w:rsidR="006A71D3" w:rsidRPr="00B949C9">
        <w:rPr>
          <w:rFonts w:cs="Arial"/>
          <w:szCs w:val="24"/>
        </w:rPr>
        <w:t>,</w:t>
      </w:r>
      <w:r w:rsidR="00B96E8A" w:rsidRPr="00B949C9">
        <w:rPr>
          <w:rFonts w:cs="Arial"/>
          <w:szCs w:val="24"/>
        </w:rPr>
        <w:t xml:space="preserve"> and cost effective.</w:t>
      </w:r>
      <w:r w:rsidR="00B96E8A" w:rsidRPr="00260321">
        <w:rPr>
          <w:rStyle w:val="FootnoteReference"/>
          <w:rFonts w:cs="Arial"/>
          <w:szCs w:val="24"/>
        </w:rPr>
        <w:footnoteReference w:id="7"/>
      </w:r>
    </w:p>
    <w:p w14:paraId="05BDF436" w14:textId="422AE0B7" w:rsidR="00F3696E" w:rsidRPr="00B949C9" w:rsidRDefault="00B949C9" w:rsidP="00B949C9">
      <w:pPr>
        <w:spacing w:after="360" w:line="480" w:lineRule="auto"/>
        <w:ind w:left="720" w:hanging="720"/>
        <w:jc w:val="both"/>
        <w:rPr>
          <w:rFonts w:cs="Arial"/>
          <w:szCs w:val="24"/>
        </w:rPr>
      </w:pPr>
      <w:r>
        <w:rPr>
          <w:rFonts w:cs="Arial"/>
          <w:szCs w:val="24"/>
        </w:rPr>
        <w:t>[26]</w:t>
      </w:r>
      <w:r>
        <w:rPr>
          <w:rFonts w:cs="Arial"/>
          <w:szCs w:val="24"/>
        </w:rPr>
        <w:tab/>
      </w:r>
      <w:r w:rsidR="00360EE6" w:rsidRPr="00B949C9">
        <w:rPr>
          <w:rFonts w:cs="Arial"/>
          <w:szCs w:val="24"/>
        </w:rPr>
        <w:t>WBHO relies on PAJA and that is central as well to this assessment. But it ha</w:t>
      </w:r>
      <w:r w:rsidR="00C269CD" w:rsidRPr="00B949C9">
        <w:rPr>
          <w:rFonts w:cs="Arial"/>
          <w:szCs w:val="24"/>
        </w:rPr>
        <w:t>s</w:t>
      </w:r>
      <w:r w:rsidR="00360EE6" w:rsidRPr="00B949C9">
        <w:rPr>
          <w:rFonts w:cs="Arial"/>
          <w:szCs w:val="24"/>
        </w:rPr>
        <w:t xml:space="preserve"> adopted a shotgun approach to </w:t>
      </w:r>
      <w:r w:rsidR="00672E81" w:rsidRPr="00B949C9">
        <w:rPr>
          <w:rFonts w:cs="Arial"/>
          <w:szCs w:val="24"/>
        </w:rPr>
        <w:t>PAJA, contending</w:t>
      </w:r>
      <w:r w:rsidR="00082FF1" w:rsidRPr="00B949C9">
        <w:rPr>
          <w:rFonts w:cs="Arial"/>
          <w:szCs w:val="24"/>
        </w:rPr>
        <w:t xml:space="preserve"> </w:t>
      </w:r>
      <w:r w:rsidR="00360EE6" w:rsidRPr="00B949C9">
        <w:rPr>
          <w:rFonts w:cs="Arial"/>
          <w:szCs w:val="24"/>
        </w:rPr>
        <w:t xml:space="preserve">almost all of </w:t>
      </w:r>
      <w:r w:rsidR="00516B41" w:rsidRPr="00B949C9">
        <w:rPr>
          <w:rFonts w:cs="Arial"/>
          <w:szCs w:val="24"/>
        </w:rPr>
        <w:t>that statute’s</w:t>
      </w:r>
      <w:r w:rsidR="00360EE6" w:rsidRPr="00B949C9">
        <w:rPr>
          <w:rFonts w:cs="Arial"/>
          <w:szCs w:val="24"/>
        </w:rPr>
        <w:t xml:space="preserve"> review grounds </w:t>
      </w:r>
      <w:r w:rsidR="00082FF1" w:rsidRPr="00B949C9">
        <w:rPr>
          <w:rFonts w:cs="Arial"/>
          <w:szCs w:val="24"/>
        </w:rPr>
        <w:t xml:space="preserve">apply, when the case turns </w:t>
      </w:r>
      <w:r w:rsidR="005C7D3E" w:rsidRPr="00B949C9">
        <w:rPr>
          <w:rFonts w:cs="Arial"/>
          <w:szCs w:val="24"/>
        </w:rPr>
        <w:t xml:space="preserve">on </w:t>
      </w:r>
      <w:r w:rsidR="002C76CE" w:rsidRPr="00B949C9">
        <w:rPr>
          <w:rFonts w:cs="Arial"/>
          <w:szCs w:val="24"/>
        </w:rPr>
        <w:t xml:space="preserve">more narrowly on </w:t>
      </w:r>
      <w:r w:rsidR="005C7D3E" w:rsidRPr="00B949C9">
        <w:rPr>
          <w:rFonts w:cs="Arial"/>
          <w:szCs w:val="24"/>
        </w:rPr>
        <w:t xml:space="preserve">questions of fairness, </w:t>
      </w:r>
      <w:r w:rsidR="00FA652C" w:rsidRPr="00B949C9">
        <w:rPr>
          <w:rFonts w:cs="Arial"/>
          <w:szCs w:val="24"/>
        </w:rPr>
        <w:t>transparency,</w:t>
      </w:r>
      <w:r w:rsidR="005C7D3E" w:rsidRPr="00B949C9">
        <w:rPr>
          <w:rFonts w:cs="Arial"/>
          <w:szCs w:val="24"/>
        </w:rPr>
        <w:t xml:space="preserve"> and equal treatment</w:t>
      </w:r>
      <w:r w:rsidR="0011081E" w:rsidRPr="00B949C9">
        <w:rPr>
          <w:rFonts w:cs="Arial"/>
          <w:szCs w:val="24"/>
        </w:rPr>
        <w:t>,</w:t>
      </w:r>
      <w:r w:rsidR="00A563E4" w:rsidRPr="00B949C9">
        <w:rPr>
          <w:rFonts w:cs="Arial"/>
          <w:szCs w:val="24"/>
        </w:rPr>
        <w:t xml:space="preserve"> and to the extent that Eskom has given explanations </w:t>
      </w:r>
      <w:r w:rsidR="00C269CD" w:rsidRPr="00B949C9">
        <w:rPr>
          <w:rFonts w:cs="Arial"/>
          <w:szCs w:val="24"/>
        </w:rPr>
        <w:t xml:space="preserve">for its decision making, </w:t>
      </w:r>
      <w:r w:rsidR="00A563E4" w:rsidRPr="00B949C9">
        <w:rPr>
          <w:rFonts w:cs="Arial"/>
          <w:szCs w:val="24"/>
        </w:rPr>
        <w:t>whether they are rational.</w:t>
      </w:r>
    </w:p>
    <w:p w14:paraId="49B7F6F3" w14:textId="3A144965" w:rsidR="00F3696E" w:rsidRPr="00260321" w:rsidRDefault="00F3696E" w:rsidP="00B949C9">
      <w:pPr>
        <w:pStyle w:val="ListParagraph"/>
        <w:spacing w:after="360" w:line="480" w:lineRule="auto"/>
        <w:ind w:left="0" w:firstLine="720"/>
        <w:jc w:val="both"/>
        <w:rPr>
          <w:rFonts w:cs="Arial"/>
          <w:b/>
          <w:bCs/>
          <w:szCs w:val="24"/>
        </w:rPr>
      </w:pPr>
      <w:r w:rsidRPr="00260321">
        <w:rPr>
          <w:rFonts w:cs="Arial"/>
          <w:b/>
          <w:bCs/>
          <w:szCs w:val="24"/>
        </w:rPr>
        <w:t>Mandatory requirement.</w:t>
      </w:r>
    </w:p>
    <w:p w14:paraId="487C0929" w14:textId="44428BDA" w:rsidR="005A654C" w:rsidRPr="00B949C9" w:rsidRDefault="00B949C9" w:rsidP="00B949C9">
      <w:pPr>
        <w:spacing w:after="360" w:line="480" w:lineRule="auto"/>
        <w:ind w:left="720" w:hanging="720"/>
        <w:jc w:val="both"/>
        <w:rPr>
          <w:rFonts w:cs="Arial"/>
          <w:szCs w:val="24"/>
        </w:rPr>
      </w:pPr>
      <w:r>
        <w:rPr>
          <w:rFonts w:cs="Arial"/>
          <w:szCs w:val="24"/>
        </w:rPr>
        <w:t>[27]</w:t>
      </w:r>
      <w:r>
        <w:rPr>
          <w:rFonts w:cs="Arial"/>
          <w:szCs w:val="24"/>
        </w:rPr>
        <w:tab/>
      </w:r>
      <w:r w:rsidR="009B5A4C" w:rsidRPr="00B949C9">
        <w:rPr>
          <w:rFonts w:cs="Arial"/>
          <w:szCs w:val="24"/>
        </w:rPr>
        <w:t xml:space="preserve">WBHO commenced this case on the premise that Eskom had made mandatory a requirement </w:t>
      </w:r>
      <w:r w:rsidR="004762EC" w:rsidRPr="00B949C9">
        <w:rPr>
          <w:rFonts w:cs="Arial"/>
          <w:szCs w:val="24"/>
        </w:rPr>
        <w:t>that was so cryptic</w:t>
      </w:r>
      <w:r w:rsidR="008F5D09" w:rsidRPr="00B949C9">
        <w:rPr>
          <w:rFonts w:cs="Arial"/>
          <w:szCs w:val="24"/>
        </w:rPr>
        <w:t xml:space="preserve"> and</w:t>
      </w:r>
      <w:r w:rsidR="004762EC" w:rsidRPr="00B949C9">
        <w:rPr>
          <w:rFonts w:cs="Arial"/>
          <w:szCs w:val="24"/>
        </w:rPr>
        <w:t xml:space="preserve"> unclear that it was impossible to comply with. </w:t>
      </w:r>
      <w:r w:rsidR="00712ECB" w:rsidRPr="00B949C9">
        <w:rPr>
          <w:rFonts w:cs="Arial"/>
          <w:szCs w:val="24"/>
        </w:rPr>
        <w:t>The mandatory requirements were set out in the document</w:t>
      </w:r>
      <w:r w:rsidR="002347F1" w:rsidRPr="00B949C9">
        <w:rPr>
          <w:rFonts w:cs="Arial"/>
          <w:szCs w:val="24"/>
        </w:rPr>
        <w:t xml:space="preserve"> sent out to the bidders</w:t>
      </w:r>
      <w:r w:rsidR="00712ECB" w:rsidRPr="00B949C9">
        <w:rPr>
          <w:rFonts w:cs="Arial"/>
          <w:szCs w:val="24"/>
        </w:rPr>
        <w:t>.</w:t>
      </w:r>
      <w:r w:rsidR="00B83F56" w:rsidRPr="00260321">
        <w:rPr>
          <w:rStyle w:val="FootnoteReference"/>
          <w:rFonts w:cs="Arial"/>
          <w:szCs w:val="24"/>
        </w:rPr>
        <w:footnoteReference w:id="8"/>
      </w:r>
      <w:r w:rsidR="00F0129D" w:rsidRPr="00B949C9">
        <w:rPr>
          <w:rFonts w:cs="Arial"/>
          <w:szCs w:val="24"/>
        </w:rPr>
        <w:t xml:space="preserve"> The bid document stipulated that c</w:t>
      </w:r>
      <w:r w:rsidR="00712ECB" w:rsidRPr="00B949C9">
        <w:rPr>
          <w:rFonts w:cs="Arial"/>
          <w:szCs w:val="24"/>
        </w:rPr>
        <w:t xml:space="preserve">ertain requirements had to be provided with the </w:t>
      </w:r>
      <w:r w:rsidR="00712ECB" w:rsidRPr="00B949C9">
        <w:rPr>
          <w:rFonts w:cs="Arial"/>
          <w:szCs w:val="24"/>
        </w:rPr>
        <w:lastRenderedPageBreak/>
        <w:t xml:space="preserve">tender </w:t>
      </w:r>
      <w:r w:rsidR="00D35C80" w:rsidRPr="00B949C9">
        <w:rPr>
          <w:rFonts w:cs="Arial"/>
          <w:szCs w:val="24"/>
        </w:rPr>
        <w:t xml:space="preserve">and others could be provided for later. It was made clear in the tender document that a bidder would be disqualified if what were termed as the </w:t>
      </w:r>
      <w:r w:rsidR="000E7501">
        <w:rPr>
          <w:rFonts w:cs="Arial"/>
          <w:i/>
          <w:iCs/>
          <w:szCs w:val="24"/>
        </w:rPr>
        <w:t>“</w:t>
      </w:r>
      <w:r w:rsidR="00D35C80" w:rsidRPr="00B949C9">
        <w:rPr>
          <w:rFonts w:cs="Arial"/>
          <w:i/>
          <w:iCs/>
          <w:szCs w:val="24"/>
        </w:rPr>
        <w:t xml:space="preserve">mandatory </w:t>
      </w:r>
      <w:r w:rsidR="00AC4548" w:rsidRPr="00B949C9">
        <w:rPr>
          <w:rFonts w:cs="Arial"/>
          <w:i/>
          <w:iCs/>
          <w:szCs w:val="24"/>
        </w:rPr>
        <w:t>returnables</w:t>
      </w:r>
      <w:r w:rsidR="000E7501">
        <w:rPr>
          <w:rFonts w:cs="Arial"/>
          <w:i/>
          <w:iCs/>
          <w:szCs w:val="24"/>
        </w:rPr>
        <w:t>”</w:t>
      </w:r>
      <w:r w:rsidR="00D35C80" w:rsidRPr="00B949C9">
        <w:rPr>
          <w:rFonts w:cs="Arial"/>
          <w:szCs w:val="24"/>
        </w:rPr>
        <w:t xml:space="preserve"> were not completed</w:t>
      </w:r>
      <w:r w:rsidR="00DA58F2" w:rsidRPr="00B949C9">
        <w:rPr>
          <w:rFonts w:cs="Arial"/>
          <w:szCs w:val="24"/>
        </w:rPr>
        <w:t>.</w:t>
      </w:r>
      <w:r w:rsidR="00D35C80" w:rsidRPr="00B949C9">
        <w:rPr>
          <w:rFonts w:cs="Arial"/>
          <w:szCs w:val="24"/>
        </w:rPr>
        <w:t xml:space="preserve"> </w:t>
      </w:r>
      <w:r w:rsidR="00B2483B" w:rsidRPr="00B949C9">
        <w:rPr>
          <w:rFonts w:cs="Arial"/>
          <w:szCs w:val="24"/>
        </w:rPr>
        <w:t xml:space="preserve">WBHO does not dispute this. What is at issue is </w:t>
      </w:r>
      <w:r w:rsidR="00897CF9" w:rsidRPr="00B949C9">
        <w:rPr>
          <w:rFonts w:cs="Arial"/>
          <w:szCs w:val="24"/>
        </w:rPr>
        <w:t xml:space="preserve">what was meant by </w:t>
      </w:r>
      <w:r w:rsidR="001875EA" w:rsidRPr="00B949C9">
        <w:rPr>
          <w:rFonts w:cs="Arial"/>
          <w:szCs w:val="24"/>
        </w:rPr>
        <w:t xml:space="preserve">one of </w:t>
      </w:r>
      <w:r w:rsidR="00897CF9" w:rsidRPr="00B949C9">
        <w:rPr>
          <w:rFonts w:cs="Arial"/>
          <w:szCs w:val="24"/>
        </w:rPr>
        <w:t>the returnable</w:t>
      </w:r>
      <w:r w:rsidR="00D12F8F" w:rsidRPr="00B949C9">
        <w:rPr>
          <w:rFonts w:cs="Arial"/>
          <w:szCs w:val="24"/>
        </w:rPr>
        <w:t>s</w:t>
      </w:r>
      <w:r w:rsidR="00897CF9" w:rsidRPr="00B949C9">
        <w:rPr>
          <w:rFonts w:cs="Arial"/>
          <w:szCs w:val="24"/>
        </w:rPr>
        <w:t xml:space="preserve"> which w</w:t>
      </w:r>
      <w:r w:rsidR="00D12F8F" w:rsidRPr="00B949C9">
        <w:rPr>
          <w:rFonts w:cs="Arial"/>
          <w:szCs w:val="24"/>
        </w:rPr>
        <w:t>ere</w:t>
      </w:r>
      <w:r w:rsidR="00897CF9" w:rsidRPr="00B949C9">
        <w:rPr>
          <w:rFonts w:cs="Arial"/>
          <w:szCs w:val="24"/>
        </w:rPr>
        <w:t xml:space="preserve"> described as</w:t>
      </w:r>
      <w:r w:rsidR="00AC45A4" w:rsidRPr="00B949C9">
        <w:rPr>
          <w:rFonts w:cs="Arial"/>
          <w:szCs w:val="24"/>
        </w:rPr>
        <w:t xml:space="preserve"> the</w:t>
      </w:r>
      <w:r w:rsidR="00897CF9" w:rsidRPr="00B949C9">
        <w:rPr>
          <w:rFonts w:cs="Arial"/>
          <w:szCs w:val="24"/>
        </w:rPr>
        <w:t xml:space="preserve"> </w:t>
      </w:r>
      <w:r w:rsidR="00815AEA" w:rsidRPr="00B949C9">
        <w:rPr>
          <w:rFonts w:cs="Arial"/>
          <w:szCs w:val="24"/>
        </w:rPr>
        <w:t>“</w:t>
      </w:r>
      <w:r w:rsidR="00815AEA" w:rsidRPr="00B949C9">
        <w:rPr>
          <w:rFonts w:cs="Arial"/>
          <w:i/>
          <w:iCs/>
          <w:szCs w:val="24"/>
        </w:rPr>
        <w:t>completed</w:t>
      </w:r>
      <w:r w:rsidR="002348F5" w:rsidRPr="00B949C9">
        <w:rPr>
          <w:rFonts w:cs="Arial"/>
          <w:i/>
          <w:iCs/>
          <w:szCs w:val="24"/>
        </w:rPr>
        <w:t xml:space="preserve"> FI</w:t>
      </w:r>
      <w:r w:rsidR="009C0076" w:rsidRPr="00B949C9">
        <w:rPr>
          <w:rFonts w:cs="Arial"/>
          <w:i/>
          <w:iCs/>
          <w:szCs w:val="24"/>
        </w:rPr>
        <w:t>DI</w:t>
      </w:r>
      <w:r w:rsidR="002348F5" w:rsidRPr="00B949C9">
        <w:rPr>
          <w:rFonts w:cs="Arial"/>
          <w:i/>
          <w:iCs/>
          <w:szCs w:val="24"/>
        </w:rPr>
        <w:t xml:space="preserve">C schedule </w:t>
      </w:r>
      <w:r w:rsidR="002348F5" w:rsidRPr="00B949C9">
        <w:rPr>
          <w:rFonts w:cs="Arial"/>
          <w:i/>
          <w:iCs/>
          <w:szCs w:val="24"/>
          <w:u w:val="single"/>
        </w:rPr>
        <w:t>and contract data</w:t>
      </w:r>
      <w:r w:rsidR="002348F5" w:rsidRPr="00B949C9">
        <w:rPr>
          <w:rFonts w:cs="Arial"/>
          <w:szCs w:val="24"/>
        </w:rPr>
        <w:t>”.</w:t>
      </w:r>
      <w:r w:rsidR="0072084F" w:rsidRPr="00B949C9">
        <w:rPr>
          <w:rFonts w:cs="Arial"/>
          <w:szCs w:val="24"/>
        </w:rPr>
        <w:t xml:space="preserve"> (My underlining)</w:t>
      </w:r>
      <w:r w:rsidR="002348F5" w:rsidRPr="00B949C9">
        <w:rPr>
          <w:rFonts w:cs="Arial"/>
          <w:szCs w:val="24"/>
        </w:rPr>
        <w:t xml:space="preserve"> The first part of the phrase, the reference to the </w:t>
      </w:r>
      <w:r w:rsidR="000E7501">
        <w:rPr>
          <w:rFonts w:cs="Arial"/>
          <w:szCs w:val="24"/>
        </w:rPr>
        <w:t>“</w:t>
      </w:r>
      <w:r w:rsidR="004A0A3F" w:rsidRPr="00B949C9">
        <w:rPr>
          <w:rFonts w:cs="Arial"/>
          <w:szCs w:val="24"/>
        </w:rPr>
        <w:t xml:space="preserve">FIDIC </w:t>
      </w:r>
      <w:r w:rsidR="002348F5" w:rsidRPr="00B949C9">
        <w:rPr>
          <w:rFonts w:cs="Arial"/>
          <w:szCs w:val="24"/>
        </w:rPr>
        <w:t>completed schedule</w:t>
      </w:r>
      <w:r w:rsidR="000E7501">
        <w:rPr>
          <w:rFonts w:cs="Arial"/>
          <w:szCs w:val="24"/>
        </w:rPr>
        <w:t>”</w:t>
      </w:r>
      <w:r w:rsidR="002348F5" w:rsidRPr="00B949C9">
        <w:rPr>
          <w:rFonts w:cs="Arial"/>
          <w:szCs w:val="24"/>
        </w:rPr>
        <w:t xml:space="preserve"> was understood and WBHO supplied it. Both sides agree on this. </w:t>
      </w:r>
      <w:r w:rsidR="00311335" w:rsidRPr="00B949C9">
        <w:rPr>
          <w:rFonts w:cs="Arial"/>
          <w:szCs w:val="24"/>
        </w:rPr>
        <w:t xml:space="preserve">Both </w:t>
      </w:r>
      <w:r w:rsidR="004A5C36" w:rsidRPr="00B949C9">
        <w:rPr>
          <w:rFonts w:cs="Arial"/>
          <w:szCs w:val="24"/>
        </w:rPr>
        <w:t xml:space="preserve">also </w:t>
      </w:r>
      <w:r w:rsidR="00311335" w:rsidRPr="00B949C9">
        <w:rPr>
          <w:rFonts w:cs="Arial"/>
          <w:szCs w:val="24"/>
        </w:rPr>
        <w:t>understood t</w:t>
      </w:r>
      <w:r w:rsidR="002348F5" w:rsidRPr="00B949C9">
        <w:rPr>
          <w:rFonts w:cs="Arial"/>
          <w:szCs w:val="24"/>
        </w:rPr>
        <w:t xml:space="preserve">he reference to </w:t>
      </w:r>
      <w:r w:rsidR="000E7501">
        <w:rPr>
          <w:rFonts w:cs="Arial"/>
          <w:szCs w:val="24"/>
        </w:rPr>
        <w:t>“</w:t>
      </w:r>
      <w:r w:rsidR="002348F5" w:rsidRPr="00B949C9">
        <w:rPr>
          <w:rFonts w:cs="Arial"/>
          <w:szCs w:val="24"/>
        </w:rPr>
        <w:t>contract data</w:t>
      </w:r>
      <w:r w:rsidR="000E7501">
        <w:rPr>
          <w:rFonts w:cs="Arial"/>
          <w:szCs w:val="24"/>
        </w:rPr>
        <w:t>”</w:t>
      </w:r>
      <w:r w:rsidR="002348F5" w:rsidRPr="00B949C9">
        <w:rPr>
          <w:rFonts w:cs="Arial"/>
          <w:szCs w:val="24"/>
        </w:rPr>
        <w:t xml:space="preserve"> </w:t>
      </w:r>
      <w:r w:rsidR="000D7EDC" w:rsidRPr="00B949C9">
        <w:rPr>
          <w:rFonts w:cs="Arial"/>
          <w:szCs w:val="24"/>
        </w:rPr>
        <w:t xml:space="preserve">to be </w:t>
      </w:r>
      <w:r w:rsidR="00697224" w:rsidRPr="00B949C9">
        <w:rPr>
          <w:rFonts w:cs="Arial"/>
          <w:szCs w:val="24"/>
        </w:rPr>
        <w:t xml:space="preserve">qualified by the adjective </w:t>
      </w:r>
      <w:r w:rsidR="000E7501">
        <w:rPr>
          <w:rFonts w:cs="Arial"/>
          <w:szCs w:val="24"/>
        </w:rPr>
        <w:t>“</w:t>
      </w:r>
      <w:r w:rsidR="00697224" w:rsidRPr="00B949C9">
        <w:rPr>
          <w:rFonts w:cs="Arial"/>
          <w:szCs w:val="24"/>
        </w:rPr>
        <w:t>FI</w:t>
      </w:r>
      <w:r w:rsidR="00182743" w:rsidRPr="00B949C9">
        <w:rPr>
          <w:rFonts w:cs="Arial"/>
          <w:szCs w:val="24"/>
        </w:rPr>
        <w:t>DIC</w:t>
      </w:r>
      <w:r w:rsidR="000E7501">
        <w:rPr>
          <w:rFonts w:cs="Arial"/>
          <w:szCs w:val="24"/>
        </w:rPr>
        <w:t>”</w:t>
      </w:r>
      <w:r w:rsidR="00697224" w:rsidRPr="00B949C9">
        <w:rPr>
          <w:rFonts w:cs="Arial"/>
          <w:szCs w:val="24"/>
        </w:rPr>
        <w:t xml:space="preserve"> </w:t>
      </w:r>
      <w:r w:rsidR="00835E07" w:rsidRPr="00B949C9">
        <w:rPr>
          <w:rFonts w:cs="Arial"/>
          <w:szCs w:val="24"/>
        </w:rPr>
        <w:t>i.e.,</w:t>
      </w:r>
      <w:r w:rsidR="00697224" w:rsidRPr="00B949C9">
        <w:rPr>
          <w:rFonts w:cs="Arial"/>
          <w:szCs w:val="24"/>
        </w:rPr>
        <w:t xml:space="preserve"> what was meant </w:t>
      </w:r>
      <w:r w:rsidR="00D233CC" w:rsidRPr="00B949C9">
        <w:rPr>
          <w:rFonts w:cs="Arial"/>
          <w:szCs w:val="24"/>
        </w:rPr>
        <w:t>was not</w:t>
      </w:r>
      <w:r w:rsidR="00971370" w:rsidRPr="00B949C9">
        <w:rPr>
          <w:rFonts w:cs="Arial"/>
          <w:szCs w:val="24"/>
        </w:rPr>
        <w:t xml:space="preserve"> any contract data but </w:t>
      </w:r>
      <w:r w:rsidR="00971370" w:rsidRPr="00B949C9">
        <w:rPr>
          <w:rFonts w:cs="Arial"/>
          <w:i/>
          <w:iCs/>
          <w:szCs w:val="24"/>
        </w:rPr>
        <w:t>FIDIC</w:t>
      </w:r>
      <w:r w:rsidR="00971370" w:rsidRPr="00B949C9">
        <w:rPr>
          <w:rFonts w:cs="Arial"/>
          <w:szCs w:val="24"/>
        </w:rPr>
        <w:t xml:space="preserve"> </w:t>
      </w:r>
      <w:r w:rsidR="00697224" w:rsidRPr="00B949C9">
        <w:rPr>
          <w:rFonts w:cs="Arial"/>
          <w:i/>
          <w:iCs/>
          <w:szCs w:val="24"/>
        </w:rPr>
        <w:t>contract data</w:t>
      </w:r>
      <w:r w:rsidR="00697224" w:rsidRPr="00B949C9">
        <w:rPr>
          <w:rFonts w:cs="Arial"/>
          <w:szCs w:val="24"/>
        </w:rPr>
        <w:t>. The reference to FI</w:t>
      </w:r>
      <w:r w:rsidR="00D233CC" w:rsidRPr="00B949C9">
        <w:rPr>
          <w:rFonts w:cs="Arial"/>
          <w:szCs w:val="24"/>
        </w:rPr>
        <w:t>DIC</w:t>
      </w:r>
      <w:r w:rsidR="00697224" w:rsidRPr="00B949C9">
        <w:rPr>
          <w:rFonts w:cs="Arial"/>
          <w:szCs w:val="24"/>
        </w:rPr>
        <w:t xml:space="preserve"> is also </w:t>
      </w:r>
      <w:r w:rsidR="0031076E" w:rsidRPr="00B949C9">
        <w:rPr>
          <w:rFonts w:cs="Arial"/>
          <w:szCs w:val="24"/>
        </w:rPr>
        <w:t xml:space="preserve">clearly understood and is </w:t>
      </w:r>
      <w:r w:rsidR="004C1671" w:rsidRPr="00B949C9">
        <w:rPr>
          <w:rFonts w:cs="Arial"/>
          <w:szCs w:val="24"/>
        </w:rPr>
        <w:t xml:space="preserve">a </w:t>
      </w:r>
      <w:r w:rsidR="00815AEA" w:rsidRPr="00B949C9">
        <w:rPr>
          <w:rFonts w:cs="Arial"/>
          <w:szCs w:val="24"/>
        </w:rPr>
        <w:t>well-accepted</w:t>
      </w:r>
      <w:r w:rsidR="004C1671" w:rsidRPr="00B949C9">
        <w:rPr>
          <w:rFonts w:cs="Arial"/>
          <w:szCs w:val="24"/>
        </w:rPr>
        <w:t xml:space="preserve"> term</w:t>
      </w:r>
      <w:r w:rsidR="00A440DA" w:rsidRPr="00B949C9">
        <w:rPr>
          <w:rFonts w:cs="Arial"/>
          <w:szCs w:val="24"/>
        </w:rPr>
        <w:t xml:space="preserve"> used internationally </w:t>
      </w:r>
      <w:r w:rsidR="004C1671" w:rsidRPr="00B949C9">
        <w:rPr>
          <w:rFonts w:cs="Arial"/>
          <w:szCs w:val="24"/>
        </w:rPr>
        <w:t xml:space="preserve">in the building industry which references a standard form contract </w:t>
      </w:r>
      <w:r w:rsidR="00D93F82" w:rsidRPr="00B949C9">
        <w:rPr>
          <w:rFonts w:cs="Arial"/>
          <w:szCs w:val="24"/>
        </w:rPr>
        <w:t>which is then cut and pasted for specific contracts.</w:t>
      </w:r>
      <w:r w:rsidR="0088516A" w:rsidRPr="00260321">
        <w:rPr>
          <w:rStyle w:val="FootnoteReference"/>
          <w:rFonts w:cs="Arial"/>
          <w:szCs w:val="24"/>
        </w:rPr>
        <w:footnoteReference w:id="9"/>
      </w:r>
    </w:p>
    <w:p w14:paraId="77D788F6" w14:textId="04FCF90F" w:rsidR="009956DB" w:rsidRPr="000E7501" w:rsidRDefault="000E7501" w:rsidP="000E7501">
      <w:pPr>
        <w:spacing w:after="360" w:line="480" w:lineRule="auto"/>
        <w:ind w:left="720" w:hanging="720"/>
        <w:jc w:val="both"/>
        <w:rPr>
          <w:rFonts w:cs="Arial"/>
          <w:szCs w:val="24"/>
        </w:rPr>
      </w:pPr>
      <w:r>
        <w:rPr>
          <w:rFonts w:cs="Arial"/>
          <w:szCs w:val="24"/>
        </w:rPr>
        <w:t>[28]</w:t>
      </w:r>
      <w:r>
        <w:rPr>
          <w:rFonts w:cs="Arial"/>
          <w:szCs w:val="24"/>
        </w:rPr>
        <w:tab/>
      </w:r>
      <w:r w:rsidR="009956DB" w:rsidRPr="000E7501">
        <w:rPr>
          <w:rFonts w:cs="Arial"/>
          <w:szCs w:val="24"/>
        </w:rPr>
        <w:t xml:space="preserve">WBHO’s complaint is that </w:t>
      </w:r>
      <w:r w:rsidR="001B2A31" w:rsidRPr="000E7501">
        <w:rPr>
          <w:rFonts w:cs="Arial"/>
          <w:szCs w:val="24"/>
        </w:rPr>
        <w:t xml:space="preserve">the term </w:t>
      </w:r>
      <w:r w:rsidR="00D233CC" w:rsidRPr="000E7501">
        <w:rPr>
          <w:rFonts w:cs="Arial"/>
          <w:i/>
          <w:iCs/>
          <w:szCs w:val="24"/>
        </w:rPr>
        <w:t>FIDIC</w:t>
      </w:r>
      <w:r w:rsidR="009956DB" w:rsidRPr="000E7501">
        <w:rPr>
          <w:rFonts w:cs="Arial"/>
          <w:i/>
          <w:iCs/>
          <w:szCs w:val="24"/>
        </w:rPr>
        <w:t xml:space="preserve"> contract data </w:t>
      </w:r>
      <w:r w:rsidR="009956DB" w:rsidRPr="000E7501">
        <w:rPr>
          <w:rFonts w:cs="Arial"/>
          <w:szCs w:val="24"/>
        </w:rPr>
        <w:t xml:space="preserve">had no generally accepted meaning. There was no reference to such a term in the </w:t>
      </w:r>
      <w:r w:rsidR="00683CA9" w:rsidRPr="000E7501">
        <w:rPr>
          <w:rFonts w:cs="Arial"/>
          <w:szCs w:val="24"/>
        </w:rPr>
        <w:t>1999</w:t>
      </w:r>
      <w:r w:rsidR="009956DB" w:rsidRPr="000E7501">
        <w:rPr>
          <w:rFonts w:cs="Arial"/>
          <w:szCs w:val="24"/>
        </w:rPr>
        <w:t xml:space="preserve"> </w:t>
      </w:r>
      <w:r w:rsidR="00D233CC" w:rsidRPr="000E7501">
        <w:rPr>
          <w:rFonts w:cs="Arial"/>
          <w:szCs w:val="24"/>
        </w:rPr>
        <w:t>FIDIC</w:t>
      </w:r>
      <w:r w:rsidR="009956DB" w:rsidRPr="000E7501">
        <w:rPr>
          <w:rFonts w:cs="Arial"/>
          <w:szCs w:val="24"/>
        </w:rPr>
        <w:t xml:space="preserve"> red book</w:t>
      </w:r>
      <w:r w:rsidR="00603506" w:rsidRPr="000E7501">
        <w:rPr>
          <w:rFonts w:cs="Arial"/>
          <w:szCs w:val="24"/>
        </w:rPr>
        <w:t>,</w:t>
      </w:r>
      <w:r w:rsidR="009956DB" w:rsidRPr="000E7501">
        <w:rPr>
          <w:rFonts w:cs="Arial"/>
          <w:szCs w:val="24"/>
        </w:rPr>
        <w:t xml:space="preserve"> the bible of the industry</w:t>
      </w:r>
      <w:r w:rsidR="00603506" w:rsidRPr="000E7501">
        <w:rPr>
          <w:rFonts w:cs="Arial"/>
          <w:szCs w:val="24"/>
        </w:rPr>
        <w:t>,</w:t>
      </w:r>
      <w:r w:rsidR="009956DB" w:rsidRPr="000E7501">
        <w:rPr>
          <w:rFonts w:cs="Arial"/>
          <w:szCs w:val="24"/>
        </w:rPr>
        <w:t xml:space="preserve"> although it has come to have a meaning in the latest version of the book</w:t>
      </w:r>
      <w:r w:rsidR="002F62B9" w:rsidRPr="000E7501">
        <w:rPr>
          <w:rFonts w:cs="Arial"/>
          <w:szCs w:val="24"/>
        </w:rPr>
        <w:t>,</w:t>
      </w:r>
      <w:r w:rsidR="0059287A" w:rsidRPr="000E7501">
        <w:rPr>
          <w:rFonts w:cs="Arial"/>
          <w:szCs w:val="24"/>
        </w:rPr>
        <w:t xml:space="preserve"> the second edition of 2017</w:t>
      </w:r>
      <w:r w:rsidR="009956DB" w:rsidRPr="000E7501">
        <w:rPr>
          <w:rFonts w:cs="Arial"/>
          <w:szCs w:val="24"/>
        </w:rPr>
        <w:t>. Nevertheless</w:t>
      </w:r>
      <w:r w:rsidR="00815AEA" w:rsidRPr="000E7501">
        <w:rPr>
          <w:rFonts w:cs="Arial"/>
          <w:szCs w:val="24"/>
        </w:rPr>
        <w:t>,</w:t>
      </w:r>
      <w:r w:rsidR="009956DB" w:rsidRPr="000E7501">
        <w:rPr>
          <w:rFonts w:cs="Arial"/>
          <w:szCs w:val="24"/>
        </w:rPr>
        <w:t xml:space="preserve"> </w:t>
      </w:r>
      <w:r w:rsidR="00813AD8" w:rsidRPr="000E7501">
        <w:rPr>
          <w:rFonts w:cs="Arial"/>
          <w:szCs w:val="24"/>
        </w:rPr>
        <w:t xml:space="preserve">WBHO contends, </w:t>
      </w:r>
      <w:r w:rsidR="009956DB" w:rsidRPr="000E7501">
        <w:rPr>
          <w:rFonts w:cs="Arial"/>
          <w:szCs w:val="24"/>
        </w:rPr>
        <w:t xml:space="preserve">the bid documents </w:t>
      </w:r>
      <w:r w:rsidR="00BA62CC" w:rsidRPr="000E7501">
        <w:rPr>
          <w:rFonts w:cs="Arial"/>
          <w:szCs w:val="24"/>
        </w:rPr>
        <w:t xml:space="preserve">refer </w:t>
      </w:r>
      <w:r w:rsidR="00D11436" w:rsidRPr="000E7501">
        <w:rPr>
          <w:rFonts w:cs="Arial"/>
          <w:szCs w:val="24"/>
        </w:rPr>
        <w:t>specifically</w:t>
      </w:r>
      <w:r w:rsidR="00BA62CC" w:rsidRPr="000E7501">
        <w:rPr>
          <w:rFonts w:cs="Arial"/>
          <w:szCs w:val="24"/>
        </w:rPr>
        <w:t xml:space="preserve"> to the </w:t>
      </w:r>
      <w:r w:rsidR="00A07C79" w:rsidRPr="000E7501">
        <w:rPr>
          <w:rFonts w:cs="Arial"/>
          <w:szCs w:val="24"/>
        </w:rPr>
        <w:t>first edition</w:t>
      </w:r>
      <w:r w:rsidR="00717649" w:rsidRPr="000E7501">
        <w:rPr>
          <w:rFonts w:cs="Arial"/>
          <w:szCs w:val="24"/>
        </w:rPr>
        <w:t>,</w:t>
      </w:r>
      <w:r w:rsidR="00A07C79" w:rsidRPr="000E7501">
        <w:rPr>
          <w:rFonts w:cs="Arial"/>
          <w:szCs w:val="24"/>
        </w:rPr>
        <w:t xml:space="preserve"> not the second edition of the red book</w:t>
      </w:r>
      <w:r w:rsidR="00755A87" w:rsidRPr="000E7501">
        <w:rPr>
          <w:rFonts w:cs="Arial"/>
          <w:szCs w:val="24"/>
        </w:rPr>
        <w:t>.</w:t>
      </w:r>
    </w:p>
    <w:p w14:paraId="58D71EFC" w14:textId="7549B581" w:rsidR="00955ACD" w:rsidRPr="000E7501" w:rsidRDefault="000E7501" w:rsidP="000E7501">
      <w:pPr>
        <w:spacing w:after="360" w:line="480" w:lineRule="auto"/>
        <w:ind w:left="720" w:hanging="720"/>
        <w:jc w:val="both"/>
        <w:rPr>
          <w:rFonts w:cs="Arial"/>
          <w:szCs w:val="24"/>
        </w:rPr>
      </w:pPr>
      <w:r>
        <w:rPr>
          <w:rFonts w:cs="Arial"/>
          <w:szCs w:val="24"/>
        </w:rPr>
        <w:t>[29]</w:t>
      </w:r>
      <w:r>
        <w:rPr>
          <w:rFonts w:cs="Arial"/>
          <w:szCs w:val="24"/>
        </w:rPr>
        <w:tab/>
      </w:r>
      <w:r w:rsidR="0032078E" w:rsidRPr="000E7501">
        <w:rPr>
          <w:rFonts w:cs="Arial"/>
          <w:szCs w:val="24"/>
        </w:rPr>
        <w:t xml:space="preserve">WBHO </w:t>
      </w:r>
      <w:r w:rsidR="00127879" w:rsidRPr="000E7501">
        <w:rPr>
          <w:rFonts w:cs="Arial"/>
          <w:szCs w:val="24"/>
        </w:rPr>
        <w:t xml:space="preserve">raises a series </w:t>
      </w:r>
      <w:r w:rsidR="00723931" w:rsidRPr="000E7501">
        <w:rPr>
          <w:rFonts w:cs="Arial"/>
          <w:szCs w:val="24"/>
        </w:rPr>
        <w:t>of questions</w:t>
      </w:r>
      <w:r w:rsidR="0032078E" w:rsidRPr="000E7501">
        <w:rPr>
          <w:rFonts w:cs="Arial"/>
          <w:szCs w:val="24"/>
        </w:rPr>
        <w:t xml:space="preserve"> – if Eskom was referring to the </w:t>
      </w:r>
      <w:r w:rsidR="00656EF4" w:rsidRPr="000E7501">
        <w:rPr>
          <w:rFonts w:cs="Arial"/>
          <w:szCs w:val="24"/>
        </w:rPr>
        <w:t>A</w:t>
      </w:r>
      <w:r w:rsidR="00755A87" w:rsidRPr="000E7501">
        <w:rPr>
          <w:rFonts w:cs="Arial"/>
          <w:szCs w:val="24"/>
        </w:rPr>
        <w:t>ppendix</w:t>
      </w:r>
      <w:r w:rsidR="0032078E" w:rsidRPr="000E7501">
        <w:rPr>
          <w:rFonts w:cs="Arial"/>
          <w:szCs w:val="24"/>
        </w:rPr>
        <w:t xml:space="preserve"> </w:t>
      </w:r>
      <w:r w:rsidR="00FA3B6B" w:rsidRPr="000E7501">
        <w:rPr>
          <w:rFonts w:cs="Arial"/>
          <w:szCs w:val="24"/>
        </w:rPr>
        <w:t>as the mandatory returnable document</w:t>
      </w:r>
      <w:r w:rsidR="00656EF4" w:rsidRPr="000E7501">
        <w:rPr>
          <w:rFonts w:cs="Arial"/>
          <w:szCs w:val="24"/>
        </w:rPr>
        <w:t>,</w:t>
      </w:r>
      <w:r w:rsidR="00FA3B6B" w:rsidRPr="000E7501">
        <w:rPr>
          <w:rFonts w:cs="Arial"/>
          <w:szCs w:val="24"/>
        </w:rPr>
        <w:t xml:space="preserve"> why did not just say so in express terms</w:t>
      </w:r>
      <w:r w:rsidR="008D686E" w:rsidRPr="000E7501">
        <w:rPr>
          <w:rFonts w:cs="Arial"/>
          <w:szCs w:val="24"/>
        </w:rPr>
        <w:t xml:space="preserve">?  </w:t>
      </w:r>
      <w:r w:rsidR="00FA3B6B" w:rsidRPr="000E7501">
        <w:rPr>
          <w:rFonts w:cs="Arial"/>
          <w:szCs w:val="24"/>
        </w:rPr>
        <w:lastRenderedPageBreak/>
        <w:t>Why use obtuse language to make a simple point</w:t>
      </w:r>
      <w:r w:rsidR="008D686E" w:rsidRPr="000E7501">
        <w:rPr>
          <w:rFonts w:cs="Arial"/>
          <w:szCs w:val="24"/>
        </w:rPr>
        <w:t xml:space="preserve">? </w:t>
      </w:r>
      <w:r w:rsidR="00FA3B6B" w:rsidRPr="000E7501">
        <w:rPr>
          <w:rFonts w:cs="Arial"/>
          <w:szCs w:val="24"/>
        </w:rPr>
        <w:t xml:space="preserve"> Why did Eskom in its first response not </w:t>
      </w:r>
      <w:r w:rsidR="0096411E" w:rsidRPr="000E7501">
        <w:rPr>
          <w:rFonts w:cs="Arial"/>
          <w:szCs w:val="24"/>
        </w:rPr>
        <w:t>again make this clear</w:t>
      </w:r>
      <w:r w:rsidR="00723931" w:rsidRPr="000E7501">
        <w:rPr>
          <w:rFonts w:cs="Arial"/>
          <w:szCs w:val="24"/>
        </w:rPr>
        <w:t>?</w:t>
      </w:r>
      <w:r w:rsidR="0096411E" w:rsidRPr="000E7501">
        <w:rPr>
          <w:rFonts w:cs="Arial"/>
          <w:szCs w:val="24"/>
        </w:rPr>
        <w:t xml:space="preserve"> Why did this </w:t>
      </w:r>
      <w:r w:rsidR="00723931" w:rsidRPr="000E7501">
        <w:rPr>
          <w:rFonts w:cs="Arial"/>
          <w:szCs w:val="24"/>
        </w:rPr>
        <w:t xml:space="preserve">explanation </w:t>
      </w:r>
      <w:r w:rsidR="0096411E" w:rsidRPr="000E7501">
        <w:rPr>
          <w:rFonts w:cs="Arial"/>
          <w:szCs w:val="24"/>
        </w:rPr>
        <w:t>only come about in its answering affidavit</w:t>
      </w:r>
      <w:r w:rsidR="0020375E" w:rsidRPr="000E7501">
        <w:rPr>
          <w:rFonts w:cs="Arial"/>
          <w:szCs w:val="24"/>
        </w:rPr>
        <w:t>? Why did it</w:t>
      </w:r>
      <w:r w:rsidR="00C46828" w:rsidRPr="000E7501">
        <w:rPr>
          <w:rFonts w:cs="Arial"/>
          <w:szCs w:val="24"/>
        </w:rPr>
        <w:t>,</w:t>
      </w:r>
      <w:r w:rsidR="0020375E" w:rsidRPr="000E7501">
        <w:rPr>
          <w:rFonts w:cs="Arial"/>
          <w:szCs w:val="24"/>
        </w:rPr>
        <w:t xml:space="preserve"> in the answering </w:t>
      </w:r>
      <w:r w:rsidR="00730159" w:rsidRPr="000E7501">
        <w:rPr>
          <w:rFonts w:cs="Arial"/>
          <w:szCs w:val="24"/>
        </w:rPr>
        <w:t>affidavit</w:t>
      </w:r>
      <w:r w:rsidR="00C46828" w:rsidRPr="000E7501">
        <w:rPr>
          <w:rFonts w:cs="Arial"/>
          <w:szCs w:val="24"/>
        </w:rPr>
        <w:t>,</w:t>
      </w:r>
      <w:r w:rsidR="00730159" w:rsidRPr="000E7501">
        <w:rPr>
          <w:rFonts w:cs="Arial"/>
          <w:szCs w:val="24"/>
        </w:rPr>
        <w:t xml:space="preserve"> continue</w:t>
      </w:r>
      <w:r w:rsidR="0096411E" w:rsidRPr="000E7501">
        <w:rPr>
          <w:rFonts w:cs="Arial"/>
          <w:szCs w:val="24"/>
        </w:rPr>
        <w:t xml:space="preserve"> the opaqueness of the term </w:t>
      </w:r>
      <w:r>
        <w:rPr>
          <w:rFonts w:cs="Arial"/>
          <w:szCs w:val="24"/>
        </w:rPr>
        <w:t>“</w:t>
      </w:r>
      <w:r w:rsidR="0096411E" w:rsidRPr="000E7501">
        <w:rPr>
          <w:rFonts w:cs="Arial"/>
          <w:szCs w:val="24"/>
        </w:rPr>
        <w:t>contract data</w:t>
      </w:r>
      <w:r>
        <w:rPr>
          <w:rFonts w:cs="Arial"/>
          <w:szCs w:val="24"/>
        </w:rPr>
        <w:t>”</w:t>
      </w:r>
      <w:r w:rsidR="0096411E" w:rsidRPr="000E7501">
        <w:rPr>
          <w:rFonts w:cs="Arial"/>
          <w:szCs w:val="24"/>
        </w:rPr>
        <w:t xml:space="preserve"> by saying it </w:t>
      </w:r>
      <w:r w:rsidR="009A0B4C" w:rsidRPr="000E7501">
        <w:rPr>
          <w:rFonts w:cs="Arial"/>
          <w:szCs w:val="24"/>
        </w:rPr>
        <w:t>“include</w:t>
      </w:r>
      <w:r w:rsidR="009C0972" w:rsidRPr="000E7501">
        <w:rPr>
          <w:rFonts w:cs="Arial"/>
          <w:szCs w:val="24"/>
        </w:rPr>
        <w:t>d</w:t>
      </w:r>
      <w:r w:rsidR="0096411E" w:rsidRPr="000E7501">
        <w:rPr>
          <w:rFonts w:cs="Arial"/>
          <w:szCs w:val="24"/>
        </w:rPr>
        <w:t xml:space="preserve"> the </w:t>
      </w:r>
      <w:r w:rsidR="00DD6EC6" w:rsidRPr="000E7501">
        <w:rPr>
          <w:rFonts w:cs="Arial"/>
          <w:szCs w:val="24"/>
        </w:rPr>
        <w:t>A</w:t>
      </w:r>
      <w:r w:rsidR="00755A87" w:rsidRPr="000E7501">
        <w:rPr>
          <w:rFonts w:cs="Arial"/>
          <w:szCs w:val="24"/>
        </w:rPr>
        <w:t>ppendix</w:t>
      </w:r>
      <w:r w:rsidR="00A2682F" w:rsidRPr="000E7501">
        <w:rPr>
          <w:rFonts w:cs="Arial"/>
          <w:szCs w:val="24"/>
        </w:rPr>
        <w:t>”</w:t>
      </w:r>
      <w:r w:rsidR="008802DA" w:rsidRPr="000E7501">
        <w:rPr>
          <w:rFonts w:cs="Arial"/>
          <w:szCs w:val="24"/>
        </w:rPr>
        <w:t>?</w:t>
      </w:r>
      <w:r w:rsidR="0096411E" w:rsidRPr="000E7501">
        <w:rPr>
          <w:rFonts w:cs="Arial"/>
          <w:szCs w:val="24"/>
        </w:rPr>
        <w:t xml:space="preserve"> This suggests</w:t>
      </w:r>
      <w:r w:rsidR="00A34C0D" w:rsidRPr="000E7501">
        <w:rPr>
          <w:rFonts w:cs="Arial"/>
          <w:szCs w:val="24"/>
        </w:rPr>
        <w:t>,</w:t>
      </w:r>
      <w:r w:rsidR="00C8346C" w:rsidRPr="000E7501">
        <w:rPr>
          <w:rFonts w:cs="Arial"/>
          <w:szCs w:val="24"/>
        </w:rPr>
        <w:t xml:space="preserve"> </w:t>
      </w:r>
      <w:r w:rsidR="00C46828" w:rsidRPr="000E7501">
        <w:rPr>
          <w:rFonts w:cs="Arial"/>
          <w:szCs w:val="24"/>
        </w:rPr>
        <w:t xml:space="preserve">by the use of the word </w:t>
      </w:r>
      <w:r>
        <w:rPr>
          <w:rFonts w:cs="Arial"/>
          <w:szCs w:val="24"/>
        </w:rPr>
        <w:t>“</w:t>
      </w:r>
      <w:r w:rsidR="00C46828" w:rsidRPr="000E7501">
        <w:rPr>
          <w:rFonts w:cs="Arial"/>
          <w:szCs w:val="24"/>
        </w:rPr>
        <w:t>inclusion</w:t>
      </w:r>
      <w:r>
        <w:rPr>
          <w:rFonts w:cs="Arial"/>
          <w:szCs w:val="24"/>
        </w:rPr>
        <w:t>”</w:t>
      </w:r>
      <w:r w:rsidR="00C46828" w:rsidRPr="000E7501">
        <w:rPr>
          <w:rFonts w:cs="Arial"/>
          <w:szCs w:val="24"/>
        </w:rPr>
        <w:t xml:space="preserve">, </w:t>
      </w:r>
      <w:r w:rsidR="00C8346C" w:rsidRPr="000E7501">
        <w:rPr>
          <w:rFonts w:cs="Arial"/>
          <w:szCs w:val="24"/>
        </w:rPr>
        <w:t>WBHO argues</w:t>
      </w:r>
      <w:r w:rsidR="00A34C0D" w:rsidRPr="000E7501">
        <w:rPr>
          <w:rFonts w:cs="Arial"/>
          <w:szCs w:val="24"/>
        </w:rPr>
        <w:t>,</w:t>
      </w:r>
      <w:r w:rsidR="00C8346C" w:rsidRPr="000E7501">
        <w:rPr>
          <w:rFonts w:cs="Arial"/>
          <w:szCs w:val="24"/>
        </w:rPr>
        <w:t xml:space="preserve"> that</w:t>
      </w:r>
      <w:r w:rsidR="0096411E" w:rsidRPr="000E7501">
        <w:rPr>
          <w:rFonts w:cs="Arial"/>
          <w:szCs w:val="24"/>
        </w:rPr>
        <w:t xml:space="preserve"> </w:t>
      </w:r>
      <w:r w:rsidR="00FE3A1F" w:rsidRPr="000E7501">
        <w:rPr>
          <w:rFonts w:cs="Arial"/>
          <w:szCs w:val="24"/>
        </w:rPr>
        <w:t xml:space="preserve">the Appendix </w:t>
      </w:r>
      <w:r w:rsidR="0096411E" w:rsidRPr="000E7501">
        <w:rPr>
          <w:rFonts w:cs="Arial"/>
          <w:szCs w:val="24"/>
        </w:rPr>
        <w:t xml:space="preserve">was a subset of the </w:t>
      </w:r>
      <w:r w:rsidR="003169A3" w:rsidRPr="000E7501">
        <w:rPr>
          <w:rFonts w:cs="Arial"/>
          <w:szCs w:val="24"/>
        </w:rPr>
        <w:t xml:space="preserve">remaining requirement for </w:t>
      </w:r>
      <w:r w:rsidR="003169A3" w:rsidRPr="000E7501">
        <w:rPr>
          <w:rFonts w:cs="Arial"/>
          <w:i/>
          <w:iCs/>
          <w:szCs w:val="24"/>
        </w:rPr>
        <w:t>contact data</w:t>
      </w:r>
      <w:r w:rsidR="00C8346C" w:rsidRPr="000E7501">
        <w:rPr>
          <w:rFonts w:cs="Arial"/>
          <w:szCs w:val="24"/>
        </w:rPr>
        <w:t>,</w:t>
      </w:r>
      <w:r w:rsidR="003169A3" w:rsidRPr="000E7501">
        <w:rPr>
          <w:rFonts w:cs="Arial"/>
          <w:szCs w:val="24"/>
        </w:rPr>
        <w:t xml:space="preserve"> but if this was the case</w:t>
      </w:r>
      <w:r w:rsidR="00CA1C7A" w:rsidRPr="000E7501">
        <w:rPr>
          <w:rFonts w:cs="Arial"/>
          <w:szCs w:val="24"/>
        </w:rPr>
        <w:t>,</w:t>
      </w:r>
      <w:r w:rsidR="003169A3" w:rsidRPr="000E7501">
        <w:rPr>
          <w:rFonts w:cs="Arial"/>
          <w:szCs w:val="24"/>
        </w:rPr>
        <w:t xml:space="preserve"> what was the remaining data</w:t>
      </w:r>
      <w:r w:rsidR="008802DA" w:rsidRPr="000E7501">
        <w:rPr>
          <w:rFonts w:cs="Arial"/>
          <w:szCs w:val="24"/>
        </w:rPr>
        <w:t>?</w:t>
      </w:r>
      <w:r w:rsidR="003169A3" w:rsidRPr="000E7501">
        <w:rPr>
          <w:rFonts w:cs="Arial"/>
          <w:szCs w:val="24"/>
        </w:rPr>
        <w:t xml:space="preserve"> </w:t>
      </w:r>
    </w:p>
    <w:p w14:paraId="56050535" w14:textId="4B571391" w:rsidR="00937076" w:rsidRPr="000E7501" w:rsidRDefault="000E7501" w:rsidP="000E7501">
      <w:pPr>
        <w:spacing w:after="360" w:line="480" w:lineRule="auto"/>
        <w:ind w:left="720" w:hanging="720"/>
        <w:jc w:val="both"/>
        <w:rPr>
          <w:rFonts w:cs="Arial"/>
          <w:szCs w:val="24"/>
        </w:rPr>
      </w:pPr>
      <w:r>
        <w:rPr>
          <w:rFonts w:cs="Arial"/>
          <w:szCs w:val="24"/>
        </w:rPr>
        <w:t>[30]</w:t>
      </w:r>
      <w:r>
        <w:rPr>
          <w:rFonts w:cs="Arial"/>
          <w:szCs w:val="24"/>
        </w:rPr>
        <w:tab/>
      </w:r>
      <w:r w:rsidR="003169A3" w:rsidRPr="000E7501">
        <w:rPr>
          <w:rFonts w:cs="Arial"/>
          <w:szCs w:val="24"/>
        </w:rPr>
        <w:t xml:space="preserve">All these </w:t>
      </w:r>
      <w:r w:rsidR="00205B00" w:rsidRPr="000E7501">
        <w:rPr>
          <w:rFonts w:cs="Arial"/>
          <w:szCs w:val="24"/>
        </w:rPr>
        <w:t>criticisms are valid.</w:t>
      </w:r>
      <w:r w:rsidR="007F2FA8" w:rsidRPr="000E7501">
        <w:rPr>
          <w:rFonts w:cs="Arial"/>
          <w:szCs w:val="24"/>
        </w:rPr>
        <w:t xml:space="preserve"> </w:t>
      </w:r>
      <w:r w:rsidR="00E039B1" w:rsidRPr="000E7501">
        <w:rPr>
          <w:rFonts w:cs="Arial"/>
          <w:szCs w:val="24"/>
        </w:rPr>
        <w:t xml:space="preserve"> Eskom never explains why it chose to refer to the FIDIC contract data when it could have more easily referred to the Appendix</w:t>
      </w:r>
      <w:r w:rsidR="007D6F4E" w:rsidRPr="000E7501">
        <w:rPr>
          <w:rFonts w:cs="Arial"/>
          <w:szCs w:val="24"/>
        </w:rPr>
        <w:t xml:space="preserve"> if this was the information it was requesting.</w:t>
      </w:r>
      <w:r w:rsidR="005745AC" w:rsidRPr="000E7501">
        <w:rPr>
          <w:rFonts w:cs="Arial"/>
          <w:szCs w:val="24"/>
        </w:rPr>
        <w:t xml:space="preserve"> </w:t>
      </w:r>
      <w:r w:rsidR="007253BC" w:rsidRPr="000E7501">
        <w:rPr>
          <w:rFonts w:cs="Arial"/>
          <w:szCs w:val="24"/>
        </w:rPr>
        <w:t>T</w:t>
      </w:r>
      <w:r w:rsidR="007F2FA8" w:rsidRPr="000E7501">
        <w:rPr>
          <w:rFonts w:cs="Arial"/>
          <w:szCs w:val="24"/>
        </w:rPr>
        <w:t>he courts have made clear</w:t>
      </w:r>
      <w:r w:rsidR="00156F6D" w:rsidRPr="000E7501">
        <w:rPr>
          <w:rFonts w:cs="Arial"/>
          <w:szCs w:val="24"/>
        </w:rPr>
        <w:t xml:space="preserve"> in a number of </w:t>
      </w:r>
      <w:r w:rsidR="002F6751" w:rsidRPr="000E7501">
        <w:rPr>
          <w:rFonts w:cs="Arial"/>
          <w:szCs w:val="24"/>
        </w:rPr>
        <w:t>cases that</w:t>
      </w:r>
      <w:r w:rsidR="00D1220B" w:rsidRPr="000E7501">
        <w:rPr>
          <w:rFonts w:cs="Arial"/>
          <w:szCs w:val="24"/>
        </w:rPr>
        <w:t xml:space="preserve"> it is a requirement of fairness that tender documents </w:t>
      </w:r>
      <w:r w:rsidR="00EB219B" w:rsidRPr="000E7501">
        <w:rPr>
          <w:rFonts w:cs="Arial"/>
          <w:szCs w:val="24"/>
        </w:rPr>
        <w:t>must make bid requirements clear.</w:t>
      </w:r>
      <w:r w:rsidR="00223559" w:rsidRPr="000E7501">
        <w:rPr>
          <w:rFonts w:cs="Arial"/>
          <w:szCs w:val="24"/>
        </w:rPr>
        <w:t xml:space="preserve"> </w:t>
      </w:r>
      <w:r w:rsidR="00B04D66" w:rsidRPr="000E7501">
        <w:rPr>
          <w:rFonts w:cs="Arial"/>
          <w:szCs w:val="24"/>
        </w:rPr>
        <w:t xml:space="preserve"> </w:t>
      </w:r>
    </w:p>
    <w:p w14:paraId="3B6089A2" w14:textId="3EE6A74B" w:rsidR="00B108DA" w:rsidRPr="000E7501" w:rsidRDefault="000E7501" w:rsidP="000E7501">
      <w:pPr>
        <w:spacing w:after="360" w:line="480" w:lineRule="auto"/>
        <w:ind w:left="720" w:hanging="720"/>
        <w:jc w:val="both"/>
        <w:rPr>
          <w:rFonts w:cs="Arial"/>
          <w:szCs w:val="24"/>
        </w:rPr>
      </w:pPr>
      <w:r>
        <w:rPr>
          <w:rFonts w:cs="Arial"/>
          <w:szCs w:val="24"/>
        </w:rPr>
        <w:t>[31]</w:t>
      </w:r>
      <w:r>
        <w:rPr>
          <w:rFonts w:cs="Arial"/>
          <w:szCs w:val="24"/>
        </w:rPr>
        <w:tab/>
      </w:r>
      <w:r w:rsidR="002F6751" w:rsidRPr="000E7501">
        <w:rPr>
          <w:rFonts w:cs="Arial"/>
          <w:szCs w:val="24"/>
        </w:rPr>
        <w:t>Thus,</w:t>
      </w:r>
      <w:r w:rsidR="00EB219B" w:rsidRPr="000E7501">
        <w:rPr>
          <w:rFonts w:cs="Arial"/>
          <w:szCs w:val="24"/>
        </w:rPr>
        <w:t xml:space="preserve"> in </w:t>
      </w:r>
      <w:r w:rsidR="007F2FA8" w:rsidRPr="000E7501">
        <w:rPr>
          <w:rFonts w:cs="Arial"/>
          <w:i/>
          <w:iCs/>
          <w:szCs w:val="24"/>
        </w:rPr>
        <w:t>GVK Siyazama Building Contractors (Pty) Ltd</w:t>
      </w:r>
      <w:r w:rsidR="00205B00" w:rsidRPr="000E7501">
        <w:rPr>
          <w:rFonts w:cs="Arial"/>
          <w:szCs w:val="24"/>
        </w:rPr>
        <w:t xml:space="preserve"> </w:t>
      </w:r>
      <w:r w:rsidR="00EB219B" w:rsidRPr="000E7501">
        <w:rPr>
          <w:rFonts w:cs="Arial"/>
          <w:i/>
          <w:iCs/>
          <w:szCs w:val="24"/>
        </w:rPr>
        <w:t xml:space="preserve">v Minister of Public Works &amp; Others </w:t>
      </w:r>
      <w:r w:rsidR="00B108DA" w:rsidRPr="000E7501">
        <w:rPr>
          <w:rFonts w:cs="Arial"/>
          <w:szCs w:val="24"/>
        </w:rPr>
        <w:t>the court held:</w:t>
      </w:r>
    </w:p>
    <w:p w14:paraId="4679AB51" w14:textId="7B10B855" w:rsidR="007E60B0" w:rsidRPr="00260321" w:rsidRDefault="00B108DA" w:rsidP="000E7501">
      <w:pPr>
        <w:spacing w:after="360" w:line="480" w:lineRule="auto"/>
        <w:ind w:left="1440"/>
        <w:jc w:val="both"/>
        <w:rPr>
          <w:rFonts w:cs="Arial"/>
          <w:i/>
          <w:iCs/>
          <w:szCs w:val="24"/>
        </w:rPr>
      </w:pPr>
      <w:r w:rsidRPr="00260321">
        <w:rPr>
          <w:rFonts w:cs="Arial"/>
          <w:szCs w:val="24"/>
        </w:rPr>
        <w:t>“</w:t>
      </w:r>
      <w:r w:rsidR="00156F6D" w:rsidRPr="00260321">
        <w:rPr>
          <w:rFonts w:cs="Arial"/>
          <w:szCs w:val="24"/>
        </w:rPr>
        <w:t>(</w:t>
      </w:r>
      <w:r w:rsidR="00302F62" w:rsidRPr="00260321">
        <w:rPr>
          <w:rFonts w:cs="Arial"/>
          <w:szCs w:val="24"/>
        </w:rPr>
        <w:t>…)</w:t>
      </w:r>
      <w:r w:rsidRPr="00260321">
        <w:rPr>
          <w:rFonts w:cs="Arial"/>
          <w:i/>
          <w:iCs/>
          <w:szCs w:val="24"/>
        </w:rPr>
        <w:t>, tender documents which do not provide sufficiently clear information about bid requirements create confusion and thus fall short of the requirements of fairness."</w:t>
      </w:r>
      <w:r w:rsidRPr="00260321">
        <w:rPr>
          <w:rStyle w:val="FootnoteReference"/>
          <w:rFonts w:cs="Arial"/>
          <w:i/>
          <w:iCs/>
          <w:szCs w:val="24"/>
        </w:rPr>
        <w:footnoteReference w:id="10"/>
      </w:r>
    </w:p>
    <w:p w14:paraId="06BF13E6" w14:textId="7F68531F" w:rsidR="00582628" w:rsidRPr="000E7501" w:rsidRDefault="000E7501" w:rsidP="000E7501">
      <w:pPr>
        <w:spacing w:after="360" w:line="480" w:lineRule="auto"/>
        <w:ind w:left="720" w:hanging="720"/>
        <w:jc w:val="both"/>
        <w:rPr>
          <w:rFonts w:cs="Arial"/>
          <w:i/>
          <w:iCs/>
          <w:szCs w:val="24"/>
        </w:rPr>
      </w:pPr>
      <w:r>
        <w:rPr>
          <w:rFonts w:cs="Arial"/>
          <w:szCs w:val="24"/>
        </w:rPr>
        <w:t>[32]</w:t>
      </w:r>
      <w:r>
        <w:rPr>
          <w:rFonts w:cs="Arial"/>
          <w:szCs w:val="24"/>
        </w:rPr>
        <w:tab/>
      </w:r>
      <w:r w:rsidR="00302F62" w:rsidRPr="000E7501">
        <w:rPr>
          <w:rFonts w:cs="Arial"/>
          <w:szCs w:val="24"/>
        </w:rPr>
        <w:t xml:space="preserve">In </w:t>
      </w:r>
      <w:r w:rsidR="007E60B0" w:rsidRPr="000E7501">
        <w:rPr>
          <w:rFonts w:cs="Arial"/>
          <w:i/>
          <w:iCs/>
          <w:szCs w:val="24"/>
        </w:rPr>
        <w:t xml:space="preserve">Babcock Ntuthuko Engineering (Pty) Ltd v Eskom Holdings SOC Limited and Others </w:t>
      </w:r>
      <w:r w:rsidR="007E60B0" w:rsidRPr="000E7501">
        <w:rPr>
          <w:rFonts w:cs="Arial"/>
          <w:szCs w:val="24"/>
        </w:rPr>
        <w:t>Millar J held</w:t>
      </w:r>
      <w:r w:rsidR="007E60B0" w:rsidRPr="000E7501">
        <w:rPr>
          <w:rFonts w:cs="Arial"/>
          <w:i/>
          <w:iCs/>
          <w:szCs w:val="24"/>
        </w:rPr>
        <w:t>:</w:t>
      </w:r>
    </w:p>
    <w:p w14:paraId="67E0BE77" w14:textId="360CEA99" w:rsidR="007E60B0" w:rsidRPr="00260321" w:rsidRDefault="00582628" w:rsidP="000E7501">
      <w:pPr>
        <w:pStyle w:val="ListParagraph"/>
        <w:spacing w:after="360" w:line="480" w:lineRule="auto"/>
        <w:ind w:left="1440"/>
        <w:jc w:val="both"/>
        <w:rPr>
          <w:rFonts w:cs="Arial"/>
          <w:i/>
          <w:iCs/>
          <w:szCs w:val="24"/>
        </w:rPr>
      </w:pPr>
      <w:r w:rsidRPr="00260321">
        <w:rPr>
          <w:rFonts w:cs="Arial"/>
          <w:szCs w:val="24"/>
        </w:rPr>
        <w:lastRenderedPageBreak/>
        <w:t>“(…)</w:t>
      </w:r>
      <w:r w:rsidR="007E60B0" w:rsidRPr="00260321">
        <w:rPr>
          <w:rFonts w:cs="Arial"/>
          <w:i/>
          <w:iCs/>
          <w:szCs w:val="24"/>
        </w:rPr>
        <w:t xml:space="preserve">, a tender must be framed in a manner that is not ambiguous and affords all tenderers an equal opportunity to understand what the requirements of the tender are and to meet those requirements. It is inevitable that a poorly drafted and ambiguous </w:t>
      </w:r>
      <w:r w:rsidR="00E35BCD" w:rsidRPr="00260321">
        <w:rPr>
          <w:rFonts w:cs="Arial"/>
          <w:i/>
          <w:iCs/>
          <w:szCs w:val="24"/>
        </w:rPr>
        <w:t>…</w:t>
      </w:r>
      <w:r w:rsidR="007E60B0" w:rsidRPr="00260321">
        <w:rPr>
          <w:rFonts w:cs="Arial"/>
          <w:i/>
          <w:iCs/>
          <w:szCs w:val="24"/>
        </w:rPr>
        <w:t xml:space="preserve"> tender, such as the one in the present case, would be </w:t>
      </w:r>
      <w:r w:rsidR="00EE21BF" w:rsidRPr="00260321">
        <w:rPr>
          <w:rFonts w:cs="Arial"/>
          <w:i/>
          <w:iCs/>
          <w:szCs w:val="24"/>
        </w:rPr>
        <w:t>impeachable”.</w:t>
      </w:r>
      <w:r w:rsidR="005F39C8" w:rsidRPr="00260321">
        <w:rPr>
          <w:rStyle w:val="FootnoteReference"/>
          <w:rFonts w:cs="Arial"/>
          <w:i/>
          <w:iCs/>
          <w:szCs w:val="24"/>
        </w:rPr>
        <w:footnoteReference w:id="11"/>
      </w:r>
    </w:p>
    <w:p w14:paraId="641FB6A6" w14:textId="032371FE" w:rsidR="00DE5086" w:rsidRPr="000E7501" w:rsidRDefault="000E7501" w:rsidP="000E7501">
      <w:pPr>
        <w:spacing w:after="360" w:line="480" w:lineRule="auto"/>
        <w:jc w:val="both"/>
        <w:rPr>
          <w:rFonts w:cs="Arial"/>
          <w:i/>
          <w:iCs/>
          <w:szCs w:val="24"/>
        </w:rPr>
      </w:pPr>
      <w:r>
        <w:rPr>
          <w:rFonts w:cs="Arial"/>
          <w:szCs w:val="24"/>
        </w:rPr>
        <w:t>[33]</w:t>
      </w:r>
      <w:r>
        <w:rPr>
          <w:rFonts w:cs="Arial"/>
          <w:szCs w:val="24"/>
        </w:rPr>
        <w:tab/>
      </w:r>
      <w:r w:rsidR="00540B7D" w:rsidRPr="000E7501">
        <w:rPr>
          <w:rFonts w:cs="Arial"/>
          <w:szCs w:val="24"/>
        </w:rPr>
        <w:t xml:space="preserve">In </w:t>
      </w:r>
      <w:r w:rsidR="00540B7D" w:rsidRPr="000E7501">
        <w:rPr>
          <w:rFonts w:cs="Arial"/>
          <w:i/>
          <w:iCs/>
          <w:szCs w:val="24"/>
        </w:rPr>
        <w:t>AIIPay</w:t>
      </w:r>
      <w:r w:rsidR="00540B7D" w:rsidRPr="000E7501">
        <w:rPr>
          <w:rFonts w:cs="Arial"/>
          <w:szCs w:val="24"/>
        </w:rPr>
        <w:t xml:space="preserve"> the </w:t>
      </w:r>
      <w:r w:rsidR="00F77BA8" w:rsidRPr="000E7501">
        <w:rPr>
          <w:rFonts w:cs="Arial"/>
          <w:szCs w:val="24"/>
        </w:rPr>
        <w:t>Constitut</w:t>
      </w:r>
      <w:r w:rsidR="00EC6C2C" w:rsidRPr="000E7501">
        <w:rPr>
          <w:rFonts w:cs="Arial"/>
          <w:szCs w:val="24"/>
        </w:rPr>
        <w:t>i</w:t>
      </w:r>
      <w:r w:rsidR="00F77BA8" w:rsidRPr="000E7501">
        <w:rPr>
          <w:rFonts w:cs="Arial"/>
          <w:szCs w:val="24"/>
        </w:rPr>
        <w:t>onal C</w:t>
      </w:r>
      <w:r w:rsidR="00540B7D" w:rsidRPr="000E7501">
        <w:rPr>
          <w:rFonts w:cs="Arial"/>
          <w:szCs w:val="24"/>
        </w:rPr>
        <w:t xml:space="preserve">ourt </w:t>
      </w:r>
      <w:r w:rsidR="00DE5086" w:rsidRPr="000E7501">
        <w:rPr>
          <w:rFonts w:cs="Arial"/>
          <w:szCs w:val="24"/>
        </w:rPr>
        <w:t>put it most succinctly</w:t>
      </w:r>
      <w:r w:rsidR="00EC6C2C" w:rsidRPr="000E7501">
        <w:rPr>
          <w:rFonts w:cs="Arial"/>
          <w:szCs w:val="24"/>
        </w:rPr>
        <w:t>,</w:t>
      </w:r>
      <w:r w:rsidR="00DE5086" w:rsidRPr="000E7501">
        <w:rPr>
          <w:rFonts w:cs="Arial"/>
          <w:szCs w:val="24"/>
        </w:rPr>
        <w:t xml:space="preserve"> explaining that:</w:t>
      </w:r>
    </w:p>
    <w:p w14:paraId="026C90A7" w14:textId="0C43AE93" w:rsidR="00540B7D" w:rsidRPr="00260321" w:rsidRDefault="000E7501" w:rsidP="000E7501">
      <w:pPr>
        <w:pStyle w:val="ListParagraph"/>
        <w:spacing w:after="360" w:line="480" w:lineRule="auto"/>
        <w:ind w:left="1440"/>
        <w:jc w:val="both"/>
        <w:rPr>
          <w:rFonts w:cs="Arial"/>
          <w:i/>
          <w:iCs/>
          <w:szCs w:val="24"/>
        </w:rPr>
      </w:pPr>
      <w:r>
        <w:rPr>
          <w:rFonts w:cs="Arial"/>
          <w:szCs w:val="24"/>
        </w:rPr>
        <w:t>“</w:t>
      </w:r>
      <w:r w:rsidR="00506263" w:rsidRPr="000E7501">
        <w:rPr>
          <w:rFonts w:cs="Arial"/>
          <w:i/>
          <w:iCs/>
          <w:szCs w:val="24"/>
        </w:rPr>
        <w:t>T</w:t>
      </w:r>
      <w:r w:rsidR="00540B7D" w:rsidRPr="00260321">
        <w:rPr>
          <w:rFonts w:cs="Arial"/>
          <w:i/>
          <w:iCs/>
          <w:szCs w:val="24"/>
        </w:rPr>
        <w:t xml:space="preserve">he purpose of a tender is not to reward bidders who are clever enough to decipher unclear directions. It is to elicit the best solution through a process that is fair, equitable, transparent, </w:t>
      </w:r>
      <w:r w:rsidR="00F0600F" w:rsidRPr="00260321">
        <w:rPr>
          <w:rFonts w:cs="Arial"/>
          <w:i/>
          <w:iCs/>
          <w:szCs w:val="24"/>
        </w:rPr>
        <w:t>cost-effective,</w:t>
      </w:r>
      <w:r w:rsidR="00540B7D" w:rsidRPr="00260321">
        <w:rPr>
          <w:rFonts w:cs="Arial"/>
          <w:i/>
          <w:iCs/>
          <w:szCs w:val="24"/>
        </w:rPr>
        <w:t xml:space="preserve"> and competitive</w:t>
      </w:r>
      <w:r w:rsidR="00EB5ABA" w:rsidRPr="00260321">
        <w:rPr>
          <w:rFonts w:cs="Arial"/>
          <w:i/>
          <w:iCs/>
          <w:szCs w:val="24"/>
        </w:rPr>
        <w:t>.”</w:t>
      </w:r>
      <w:r w:rsidR="0024191F" w:rsidRPr="00260321">
        <w:rPr>
          <w:rStyle w:val="FootnoteReference"/>
          <w:rFonts w:cs="Arial"/>
          <w:i/>
          <w:iCs/>
          <w:szCs w:val="24"/>
        </w:rPr>
        <w:footnoteReference w:id="12"/>
      </w:r>
    </w:p>
    <w:p w14:paraId="451D02DA" w14:textId="31AC1949" w:rsidR="000B47DC" w:rsidRPr="000E7501" w:rsidRDefault="000E7501" w:rsidP="000E7501">
      <w:pPr>
        <w:spacing w:after="360" w:line="480" w:lineRule="auto"/>
        <w:ind w:left="720" w:hanging="720"/>
        <w:jc w:val="both"/>
        <w:rPr>
          <w:rFonts w:cs="Arial"/>
          <w:szCs w:val="24"/>
        </w:rPr>
      </w:pPr>
      <w:r>
        <w:rPr>
          <w:rFonts w:cs="Arial"/>
          <w:szCs w:val="24"/>
        </w:rPr>
        <w:t>[34]</w:t>
      </w:r>
      <w:r>
        <w:rPr>
          <w:rFonts w:cs="Arial"/>
          <w:szCs w:val="24"/>
        </w:rPr>
        <w:tab/>
      </w:r>
      <w:r w:rsidR="00BF4C85" w:rsidRPr="000E7501">
        <w:rPr>
          <w:rFonts w:cs="Arial"/>
          <w:szCs w:val="24"/>
        </w:rPr>
        <w:t>Eskom does not dispute that these cases set out the law</w:t>
      </w:r>
      <w:r w:rsidR="00F0600F" w:rsidRPr="000E7501">
        <w:rPr>
          <w:rFonts w:cs="Arial"/>
          <w:szCs w:val="24"/>
        </w:rPr>
        <w:t xml:space="preserve"> on what is required of </w:t>
      </w:r>
      <w:r w:rsidR="00880E0E" w:rsidRPr="000E7501">
        <w:rPr>
          <w:rFonts w:cs="Arial"/>
          <w:szCs w:val="24"/>
        </w:rPr>
        <w:t xml:space="preserve">a fair </w:t>
      </w:r>
      <w:r w:rsidR="00F0600F" w:rsidRPr="000E7501">
        <w:rPr>
          <w:rFonts w:cs="Arial"/>
          <w:szCs w:val="24"/>
        </w:rPr>
        <w:t>tender specification</w:t>
      </w:r>
      <w:r w:rsidR="00BF4C85" w:rsidRPr="000E7501">
        <w:rPr>
          <w:rFonts w:cs="Arial"/>
          <w:szCs w:val="24"/>
        </w:rPr>
        <w:t xml:space="preserve">. But it argues that reliance on the linguistic aspect of the case is a red herring. The real issue </w:t>
      </w:r>
      <w:r w:rsidR="00CD6CA7" w:rsidRPr="000E7501">
        <w:rPr>
          <w:rFonts w:cs="Arial"/>
          <w:szCs w:val="24"/>
        </w:rPr>
        <w:t xml:space="preserve">is how </w:t>
      </w:r>
      <w:r w:rsidR="00823493" w:rsidRPr="000E7501">
        <w:rPr>
          <w:rFonts w:cs="Arial"/>
          <w:szCs w:val="24"/>
        </w:rPr>
        <w:t>WBHO approached the completion of its tender documents and why it did not follow the instructions it was meant to.</w:t>
      </w:r>
    </w:p>
    <w:p w14:paraId="731DACC6" w14:textId="456AC617" w:rsidR="00523223" w:rsidRPr="000E7501" w:rsidRDefault="000E7501" w:rsidP="000E7501">
      <w:pPr>
        <w:spacing w:after="360" w:line="480" w:lineRule="auto"/>
        <w:ind w:left="720" w:hanging="720"/>
        <w:jc w:val="both"/>
        <w:rPr>
          <w:rFonts w:cs="Arial"/>
          <w:szCs w:val="24"/>
        </w:rPr>
      </w:pPr>
      <w:r>
        <w:rPr>
          <w:rFonts w:cs="Arial"/>
          <w:szCs w:val="24"/>
        </w:rPr>
        <w:t>[35]</w:t>
      </w:r>
      <w:r>
        <w:rPr>
          <w:rFonts w:cs="Arial"/>
          <w:szCs w:val="24"/>
        </w:rPr>
        <w:tab/>
      </w:r>
      <w:r w:rsidRPr="000E7501">
        <w:rPr>
          <w:rFonts w:cs="Arial"/>
          <w:szCs w:val="24"/>
        </w:rPr>
        <w:t>This place</w:t>
      </w:r>
      <w:r w:rsidR="00D83DFF" w:rsidRPr="000E7501">
        <w:rPr>
          <w:rFonts w:cs="Arial"/>
          <w:szCs w:val="24"/>
        </w:rPr>
        <w:t xml:space="preserve"> the current case in a different category to thos</w:t>
      </w:r>
      <w:r w:rsidR="00D07DF3" w:rsidRPr="000E7501">
        <w:rPr>
          <w:rFonts w:cs="Arial"/>
          <w:szCs w:val="24"/>
        </w:rPr>
        <w:t>e</w:t>
      </w:r>
      <w:r w:rsidR="00EA1A7F" w:rsidRPr="000E7501">
        <w:rPr>
          <w:rFonts w:cs="Arial"/>
          <w:szCs w:val="24"/>
        </w:rPr>
        <w:t xml:space="preserve"> of</w:t>
      </w:r>
      <w:r w:rsidR="00D07DF3" w:rsidRPr="000E7501">
        <w:rPr>
          <w:rFonts w:cs="Arial"/>
          <w:szCs w:val="24"/>
        </w:rPr>
        <w:t xml:space="preserve"> </w:t>
      </w:r>
      <w:r w:rsidR="00D07DF3" w:rsidRPr="000E7501">
        <w:rPr>
          <w:rFonts w:cs="Arial"/>
          <w:i/>
          <w:iCs/>
          <w:szCs w:val="24"/>
        </w:rPr>
        <w:t>GVK Siyazuma</w:t>
      </w:r>
      <w:r w:rsidR="00D94927" w:rsidRPr="000E7501">
        <w:rPr>
          <w:rFonts w:cs="Arial"/>
          <w:i/>
          <w:iCs/>
          <w:szCs w:val="24"/>
        </w:rPr>
        <w:t>, Allpay</w:t>
      </w:r>
      <w:r w:rsidR="00D07DF3" w:rsidRPr="000E7501">
        <w:rPr>
          <w:rFonts w:cs="Arial"/>
          <w:szCs w:val="24"/>
        </w:rPr>
        <w:t xml:space="preserve"> and </w:t>
      </w:r>
      <w:r w:rsidR="00EA1A7F" w:rsidRPr="000E7501">
        <w:rPr>
          <w:rFonts w:cs="Arial"/>
          <w:i/>
          <w:iCs/>
          <w:szCs w:val="24"/>
        </w:rPr>
        <w:t>Babcock</w:t>
      </w:r>
      <w:r w:rsidR="00EA1A7F" w:rsidRPr="000E7501">
        <w:rPr>
          <w:rFonts w:cs="Arial"/>
          <w:szCs w:val="24"/>
        </w:rPr>
        <w:t xml:space="preserve">. </w:t>
      </w:r>
      <w:r w:rsidR="007D4EAB" w:rsidRPr="000E7501">
        <w:rPr>
          <w:rFonts w:cs="Arial"/>
          <w:szCs w:val="24"/>
        </w:rPr>
        <w:t xml:space="preserve"> Eskom has made two </w:t>
      </w:r>
      <w:r w:rsidR="00523223" w:rsidRPr="000E7501">
        <w:rPr>
          <w:rFonts w:cs="Arial"/>
          <w:szCs w:val="24"/>
        </w:rPr>
        <w:t xml:space="preserve">arguments in relation to the question of sufficient </w:t>
      </w:r>
      <w:r w:rsidR="00731868" w:rsidRPr="000E7501">
        <w:rPr>
          <w:rFonts w:cs="Arial"/>
          <w:szCs w:val="24"/>
        </w:rPr>
        <w:t>clarity,</w:t>
      </w:r>
      <w:r w:rsidR="00523223" w:rsidRPr="000E7501">
        <w:rPr>
          <w:rFonts w:cs="Arial"/>
          <w:szCs w:val="24"/>
        </w:rPr>
        <w:t xml:space="preserve"> and I consider both to be correct.</w:t>
      </w:r>
    </w:p>
    <w:p w14:paraId="779A8FF2" w14:textId="3CABCDD8" w:rsidR="005932E4" w:rsidRPr="000E7501" w:rsidRDefault="000E7501" w:rsidP="000E7501">
      <w:pPr>
        <w:spacing w:after="360" w:line="480" w:lineRule="auto"/>
        <w:ind w:left="720" w:hanging="720"/>
        <w:jc w:val="both"/>
        <w:rPr>
          <w:rFonts w:cs="Arial"/>
          <w:szCs w:val="24"/>
        </w:rPr>
      </w:pPr>
      <w:r>
        <w:rPr>
          <w:rFonts w:cs="Arial"/>
          <w:szCs w:val="24"/>
        </w:rPr>
        <w:lastRenderedPageBreak/>
        <w:t>[36]</w:t>
      </w:r>
      <w:r>
        <w:rPr>
          <w:rFonts w:cs="Arial"/>
          <w:szCs w:val="24"/>
        </w:rPr>
        <w:tab/>
      </w:r>
      <w:r w:rsidR="00523223" w:rsidRPr="000E7501">
        <w:rPr>
          <w:rFonts w:cs="Arial"/>
          <w:szCs w:val="24"/>
        </w:rPr>
        <w:t>First</w:t>
      </w:r>
      <w:r w:rsidR="00E61032" w:rsidRPr="000E7501">
        <w:rPr>
          <w:rFonts w:cs="Arial"/>
          <w:szCs w:val="24"/>
        </w:rPr>
        <w:t>,</w:t>
      </w:r>
      <w:r w:rsidR="00523223" w:rsidRPr="000E7501">
        <w:rPr>
          <w:rFonts w:cs="Arial"/>
          <w:szCs w:val="24"/>
        </w:rPr>
        <w:t xml:space="preserve"> </w:t>
      </w:r>
      <w:r w:rsidR="00ED637D" w:rsidRPr="000E7501">
        <w:rPr>
          <w:rFonts w:cs="Arial"/>
          <w:szCs w:val="24"/>
        </w:rPr>
        <w:t xml:space="preserve">WBHO knew that the provision of certain information was compulsory for a bid to qualify. </w:t>
      </w:r>
      <w:r w:rsidR="005932E4" w:rsidRPr="000E7501">
        <w:rPr>
          <w:rFonts w:cs="Arial"/>
          <w:szCs w:val="24"/>
        </w:rPr>
        <w:t>The bid document states:</w:t>
      </w:r>
    </w:p>
    <w:p w14:paraId="57295D1E" w14:textId="6497E00D" w:rsidR="00D40BB1" w:rsidRPr="000E7501" w:rsidRDefault="00D40BB1" w:rsidP="000E7501">
      <w:pPr>
        <w:spacing w:after="0" w:line="480" w:lineRule="auto"/>
        <w:ind w:left="720" w:firstLine="720"/>
        <w:jc w:val="both"/>
        <w:rPr>
          <w:rFonts w:cs="Arial"/>
          <w:i/>
          <w:iCs/>
          <w:szCs w:val="24"/>
        </w:rPr>
      </w:pPr>
      <w:r w:rsidRPr="000E7501">
        <w:rPr>
          <w:rFonts w:cs="Arial"/>
          <w:i/>
          <w:iCs/>
          <w:szCs w:val="24"/>
        </w:rPr>
        <w:t>“</w:t>
      </w:r>
      <w:r w:rsidR="0050110D" w:rsidRPr="000E7501">
        <w:rPr>
          <w:rFonts w:cs="Arial"/>
          <w:i/>
          <w:iCs/>
          <w:szCs w:val="24"/>
        </w:rPr>
        <w:t>Mandatory Tender Returnables</w:t>
      </w:r>
    </w:p>
    <w:p w14:paraId="0C88320D" w14:textId="4F2D10D8" w:rsidR="000E7501" w:rsidRDefault="0050110D" w:rsidP="005D4C2B">
      <w:pPr>
        <w:pStyle w:val="ListParagraph"/>
        <w:spacing w:after="360" w:line="480" w:lineRule="auto"/>
        <w:ind w:left="1440"/>
        <w:jc w:val="both"/>
        <w:rPr>
          <w:rFonts w:cs="Arial"/>
          <w:i/>
          <w:iCs/>
          <w:szCs w:val="24"/>
        </w:rPr>
      </w:pPr>
      <w:r w:rsidRPr="00260321">
        <w:rPr>
          <w:rFonts w:cs="Arial"/>
          <w:i/>
          <w:iCs/>
          <w:szCs w:val="24"/>
        </w:rPr>
        <w:t>a) Should the supplier fail to provide any mandatory tender returnables as clearl</w:t>
      </w:r>
      <w:r w:rsidR="00717B1D" w:rsidRPr="00260321">
        <w:rPr>
          <w:rFonts w:cs="Arial"/>
          <w:i/>
          <w:iCs/>
          <w:szCs w:val="24"/>
        </w:rPr>
        <w:t xml:space="preserve">y </w:t>
      </w:r>
      <w:r w:rsidR="00C67196" w:rsidRPr="00260321">
        <w:rPr>
          <w:rFonts w:cs="Arial"/>
          <w:i/>
          <w:iCs/>
          <w:szCs w:val="24"/>
        </w:rPr>
        <w:t>specified in</w:t>
      </w:r>
      <w:r w:rsidRPr="00260321">
        <w:rPr>
          <w:rFonts w:cs="Arial"/>
          <w:i/>
          <w:iCs/>
          <w:szCs w:val="24"/>
        </w:rPr>
        <w:t xml:space="preserve"> the tender enquiry, the tender submission will be deemed non-responsive;</w:t>
      </w:r>
      <w:r w:rsidR="00D40BB1" w:rsidRPr="00260321">
        <w:rPr>
          <w:rFonts w:cs="Arial"/>
          <w:i/>
          <w:iCs/>
          <w:szCs w:val="24"/>
        </w:rPr>
        <w:t>”</w:t>
      </w:r>
      <w:r w:rsidR="005D4C2B">
        <w:rPr>
          <w:rFonts w:cs="Arial"/>
          <w:i/>
          <w:iCs/>
          <w:szCs w:val="24"/>
        </w:rPr>
        <w:t xml:space="preserve"> </w:t>
      </w:r>
    </w:p>
    <w:p w14:paraId="6C84535B" w14:textId="75490365" w:rsidR="000347A8" w:rsidRPr="005D4C2B" w:rsidRDefault="005D4C2B" w:rsidP="005D4C2B">
      <w:pPr>
        <w:spacing w:after="360" w:line="480" w:lineRule="auto"/>
        <w:ind w:left="720" w:hanging="720"/>
        <w:jc w:val="both"/>
        <w:rPr>
          <w:rFonts w:cs="Arial"/>
          <w:i/>
          <w:iCs/>
          <w:szCs w:val="24"/>
        </w:rPr>
      </w:pPr>
      <w:r w:rsidRPr="005D4C2B">
        <w:rPr>
          <w:rFonts w:cs="Arial"/>
          <w:szCs w:val="24"/>
        </w:rPr>
        <w:t>[37]</w:t>
      </w:r>
      <w:r w:rsidRPr="005D4C2B">
        <w:rPr>
          <w:rFonts w:cs="Arial"/>
          <w:szCs w:val="24"/>
        </w:rPr>
        <w:tab/>
      </w:r>
      <w:r w:rsidR="0075463D" w:rsidRPr="005D4C2B">
        <w:rPr>
          <w:rFonts w:cs="Arial"/>
          <w:szCs w:val="24"/>
        </w:rPr>
        <w:t>Second, t</w:t>
      </w:r>
      <w:r w:rsidR="00ED637D" w:rsidRPr="005D4C2B">
        <w:rPr>
          <w:rFonts w:cs="Arial"/>
          <w:szCs w:val="24"/>
        </w:rPr>
        <w:t xml:space="preserve">he phrase </w:t>
      </w:r>
      <w:r>
        <w:rPr>
          <w:rFonts w:cs="Arial"/>
          <w:szCs w:val="24"/>
        </w:rPr>
        <w:t>“</w:t>
      </w:r>
      <w:r w:rsidR="00ED637D" w:rsidRPr="005D4C2B">
        <w:rPr>
          <w:rFonts w:cs="Arial"/>
          <w:i/>
          <w:iCs/>
          <w:szCs w:val="24"/>
        </w:rPr>
        <w:t>FIDIC contract data</w:t>
      </w:r>
      <w:r>
        <w:rPr>
          <w:rFonts w:cs="Arial"/>
          <w:i/>
          <w:iCs/>
          <w:szCs w:val="24"/>
        </w:rPr>
        <w:t>”</w:t>
      </w:r>
      <w:r w:rsidR="00ED637D" w:rsidRPr="005D4C2B">
        <w:rPr>
          <w:rFonts w:cs="Arial"/>
          <w:szCs w:val="24"/>
        </w:rPr>
        <w:t xml:space="preserve"> was clearly something in addition to the </w:t>
      </w:r>
      <w:r>
        <w:rPr>
          <w:rFonts w:cs="Arial"/>
          <w:szCs w:val="24"/>
        </w:rPr>
        <w:t>“</w:t>
      </w:r>
      <w:r w:rsidR="00ED637D" w:rsidRPr="005D4C2B">
        <w:rPr>
          <w:rFonts w:cs="Arial"/>
          <w:i/>
          <w:iCs/>
          <w:szCs w:val="24"/>
        </w:rPr>
        <w:t>FIDIC schedule</w:t>
      </w:r>
      <w:r>
        <w:rPr>
          <w:rFonts w:cs="Arial"/>
          <w:i/>
          <w:iCs/>
          <w:szCs w:val="24"/>
        </w:rPr>
        <w:t>”</w:t>
      </w:r>
      <w:r w:rsidR="00ED637D" w:rsidRPr="005D4C2B">
        <w:rPr>
          <w:rFonts w:cs="Arial"/>
          <w:szCs w:val="24"/>
        </w:rPr>
        <w:t xml:space="preserve"> </w:t>
      </w:r>
      <w:r w:rsidR="00503D60" w:rsidRPr="005D4C2B">
        <w:rPr>
          <w:rFonts w:cs="Arial"/>
          <w:szCs w:val="24"/>
        </w:rPr>
        <w:t xml:space="preserve">because it was prefaced by </w:t>
      </w:r>
      <w:r w:rsidR="00BD323E" w:rsidRPr="005D4C2B">
        <w:rPr>
          <w:rFonts w:cs="Arial"/>
          <w:szCs w:val="24"/>
        </w:rPr>
        <w:t>the</w:t>
      </w:r>
      <w:r w:rsidR="00ED637D" w:rsidRPr="005D4C2B">
        <w:rPr>
          <w:rFonts w:cs="Arial"/>
          <w:szCs w:val="24"/>
        </w:rPr>
        <w:t xml:space="preserve"> word </w:t>
      </w:r>
      <w:r>
        <w:rPr>
          <w:rFonts w:cs="Arial"/>
          <w:szCs w:val="24"/>
        </w:rPr>
        <w:t>“</w:t>
      </w:r>
      <w:r w:rsidR="00ED637D" w:rsidRPr="005D4C2B">
        <w:rPr>
          <w:rFonts w:cs="Arial"/>
          <w:i/>
          <w:iCs/>
          <w:szCs w:val="24"/>
        </w:rPr>
        <w:t>and</w:t>
      </w:r>
      <w:r>
        <w:rPr>
          <w:rFonts w:cs="Arial"/>
          <w:i/>
          <w:iCs/>
          <w:szCs w:val="24"/>
        </w:rPr>
        <w:t>”</w:t>
      </w:r>
      <w:r w:rsidR="00ED637D" w:rsidRPr="005D4C2B">
        <w:rPr>
          <w:rFonts w:cs="Arial"/>
          <w:szCs w:val="24"/>
        </w:rPr>
        <w:t xml:space="preserve">. </w:t>
      </w:r>
      <w:r w:rsidR="00F463FD" w:rsidRPr="005D4C2B">
        <w:rPr>
          <w:rFonts w:cs="Arial"/>
          <w:szCs w:val="24"/>
        </w:rPr>
        <w:t>O</w:t>
      </w:r>
      <w:r w:rsidR="00ED637D" w:rsidRPr="005D4C2B">
        <w:rPr>
          <w:rFonts w:cs="Arial"/>
          <w:szCs w:val="24"/>
        </w:rPr>
        <w:t>nce this additional category of information was required</w:t>
      </w:r>
      <w:r w:rsidR="00D42567" w:rsidRPr="005D4C2B">
        <w:rPr>
          <w:rFonts w:cs="Arial"/>
          <w:szCs w:val="24"/>
        </w:rPr>
        <w:t>,</w:t>
      </w:r>
      <w:r w:rsidR="00ED637D" w:rsidRPr="005D4C2B">
        <w:rPr>
          <w:rFonts w:cs="Arial"/>
          <w:szCs w:val="24"/>
        </w:rPr>
        <w:t xml:space="preserve"> the bidder would have been on notice to provide it. If WBHO was</w:t>
      </w:r>
      <w:r w:rsidR="00F463FD" w:rsidRPr="005D4C2B">
        <w:rPr>
          <w:rFonts w:cs="Arial"/>
          <w:szCs w:val="24"/>
        </w:rPr>
        <w:t xml:space="preserve"> still</w:t>
      </w:r>
      <w:r w:rsidR="00ED637D" w:rsidRPr="005D4C2B">
        <w:rPr>
          <w:rFonts w:cs="Arial"/>
          <w:szCs w:val="24"/>
        </w:rPr>
        <w:t xml:space="preserve"> uncertain what it was it should have asked. It never did.</w:t>
      </w:r>
      <w:r w:rsidR="0013573D" w:rsidRPr="005D4C2B">
        <w:rPr>
          <w:rFonts w:cs="Arial"/>
          <w:szCs w:val="24"/>
        </w:rPr>
        <w:t xml:space="preserve"> But because Carter was unaware that the Appendix had been downloaded</w:t>
      </w:r>
      <w:r w:rsidR="000321ED" w:rsidRPr="005D4C2B">
        <w:rPr>
          <w:rFonts w:cs="Arial"/>
          <w:szCs w:val="24"/>
        </w:rPr>
        <w:t>,</w:t>
      </w:r>
      <w:r w:rsidR="0013573D" w:rsidRPr="005D4C2B">
        <w:rPr>
          <w:rFonts w:cs="Arial"/>
          <w:szCs w:val="24"/>
        </w:rPr>
        <w:t xml:space="preserve"> </w:t>
      </w:r>
      <w:r w:rsidR="002950CD" w:rsidRPr="005D4C2B">
        <w:rPr>
          <w:rFonts w:cs="Arial"/>
          <w:szCs w:val="24"/>
        </w:rPr>
        <w:t>WBHO is in no position to argue that</w:t>
      </w:r>
      <w:r w:rsidR="002475A3" w:rsidRPr="005D4C2B">
        <w:rPr>
          <w:rFonts w:cs="Arial"/>
          <w:szCs w:val="24"/>
        </w:rPr>
        <w:t xml:space="preserve"> it still would not have been aware </w:t>
      </w:r>
      <w:r w:rsidR="00402E69" w:rsidRPr="005D4C2B">
        <w:rPr>
          <w:rFonts w:cs="Arial"/>
          <w:szCs w:val="24"/>
        </w:rPr>
        <w:t>that this was the FIDIC contract data</w:t>
      </w:r>
      <w:r w:rsidR="00781EB5" w:rsidRPr="005D4C2B">
        <w:rPr>
          <w:rFonts w:cs="Arial"/>
          <w:szCs w:val="24"/>
        </w:rPr>
        <w:t>. But even if on</w:t>
      </w:r>
      <w:r w:rsidR="000347A8" w:rsidRPr="005D4C2B">
        <w:rPr>
          <w:rFonts w:cs="Arial"/>
          <w:szCs w:val="24"/>
        </w:rPr>
        <w:t>e speculates that it might still not have joined the dots</w:t>
      </w:r>
      <w:r w:rsidR="00883B22" w:rsidRPr="005D4C2B">
        <w:rPr>
          <w:rFonts w:cs="Arial"/>
          <w:szCs w:val="24"/>
        </w:rPr>
        <w:t>,</w:t>
      </w:r>
      <w:r w:rsidR="00916CD0" w:rsidRPr="005D4C2B">
        <w:rPr>
          <w:rFonts w:cs="Arial"/>
          <w:szCs w:val="24"/>
        </w:rPr>
        <w:t xml:space="preserve"> the real question is </w:t>
      </w:r>
      <w:r w:rsidR="000347A8" w:rsidRPr="005D4C2B">
        <w:rPr>
          <w:rFonts w:cs="Arial"/>
          <w:szCs w:val="24"/>
        </w:rPr>
        <w:t>was there anything about the Appendix which suggested it was not a mandatory returnable?</w:t>
      </w:r>
    </w:p>
    <w:p w14:paraId="13C3DFA1" w14:textId="6BD93704" w:rsidR="0050141F" w:rsidRPr="005D4C2B" w:rsidRDefault="005D4C2B" w:rsidP="005D4C2B">
      <w:pPr>
        <w:spacing w:after="360" w:line="480" w:lineRule="auto"/>
        <w:jc w:val="both"/>
        <w:rPr>
          <w:rFonts w:cs="Arial"/>
          <w:szCs w:val="24"/>
        </w:rPr>
      </w:pPr>
      <w:r>
        <w:rPr>
          <w:rFonts w:cs="Arial"/>
          <w:szCs w:val="24"/>
        </w:rPr>
        <w:t>[38]</w:t>
      </w:r>
      <w:r>
        <w:rPr>
          <w:rFonts w:cs="Arial"/>
          <w:szCs w:val="24"/>
        </w:rPr>
        <w:tab/>
      </w:r>
      <w:r w:rsidR="00271B0C" w:rsidRPr="005D4C2B">
        <w:rPr>
          <w:rFonts w:cs="Arial"/>
          <w:szCs w:val="24"/>
        </w:rPr>
        <w:t>There is a footnote on the first page of the Appendix which states t</w:t>
      </w:r>
      <w:r w:rsidR="006838A1" w:rsidRPr="005D4C2B">
        <w:rPr>
          <w:rFonts w:cs="Arial"/>
          <w:szCs w:val="24"/>
        </w:rPr>
        <w:t>hat</w:t>
      </w:r>
      <w:r w:rsidR="008455FA" w:rsidRPr="005D4C2B">
        <w:rPr>
          <w:rFonts w:cs="Arial"/>
          <w:szCs w:val="24"/>
        </w:rPr>
        <w:t>:</w:t>
      </w:r>
    </w:p>
    <w:p w14:paraId="07840C7C" w14:textId="33909EB8" w:rsidR="008455FA" w:rsidRPr="00260321" w:rsidRDefault="005D4C2B" w:rsidP="005D4C2B">
      <w:pPr>
        <w:pStyle w:val="ListParagraph"/>
        <w:spacing w:after="360" w:line="480" w:lineRule="auto"/>
        <w:ind w:left="1440"/>
        <w:jc w:val="both"/>
        <w:rPr>
          <w:rFonts w:cs="Arial"/>
          <w:szCs w:val="24"/>
        </w:rPr>
      </w:pPr>
      <w:r>
        <w:rPr>
          <w:rFonts w:cs="Arial"/>
          <w:i/>
          <w:iCs/>
          <w:szCs w:val="24"/>
        </w:rPr>
        <w:t>“</w:t>
      </w:r>
      <w:r w:rsidR="008455FA" w:rsidRPr="00260321">
        <w:rPr>
          <w:rFonts w:cs="Arial"/>
          <w:i/>
          <w:iCs/>
          <w:szCs w:val="24"/>
        </w:rPr>
        <w:t>Tenderers are required to insert information, if and as applicable, where items are referenced [</w:t>
      </w:r>
      <w:r w:rsidR="007846BC" w:rsidRPr="00260321">
        <w:rPr>
          <w:rFonts w:cs="Arial"/>
          <w:i/>
          <w:iCs/>
          <w:szCs w:val="24"/>
        </w:rPr>
        <w:t>*</w:t>
      </w:r>
      <w:r w:rsidR="008455FA" w:rsidRPr="00260321">
        <w:rPr>
          <w:rFonts w:cs="Arial"/>
          <w:i/>
          <w:iCs/>
          <w:szCs w:val="24"/>
        </w:rPr>
        <w:t>]"</w:t>
      </w:r>
      <w:r w:rsidR="007434D5" w:rsidRPr="00260321">
        <w:rPr>
          <w:rFonts w:cs="Arial"/>
          <w:szCs w:val="24"/>
        </w:rPr>
        <w:t>. The use of the term required is not ambiguous. It must be completed. If it must be completed it</w:t>
      </w:r>
      <w:r w:rsidR="00F2230A" w:rsidRPr="00260321">
        <w:rPr>
          <w:rFonts w:cs="Arial"/>
          <w:szCs w:val="24"/>
        </w:rPr>
        <w:t xml:space="preserve"> follows it</w:t>
      </w:r>
      <w:r w:rsidR="007434D5" w:rsidRPr="00260321">
        <w:rPr>
          <w:rFonts w:cs="Arial"/>
          <w:szCs w:val="24"/>
        </w:rPr>
        <w:t xml:space="preserve"> must be submitted.</w:t>
      </w:r>
      <w:r>
        <w:rPr>
          <w:rFonts w:cs="Arial"/>
          <w:szCs w:val="24"/>
        </w:rPr>
        <w:t>”</w:t>
      </w:r>
      <w:r w:rsidR="007434D5" w:rsidRPr="00260321">
        <w:rPr>
          <w:rFonts w:cs="Arial"/>
          <w:szCs w:val="24"/>
        </w:rPr>
        <w:t xml:space="preserve"> </w:t>
      </w:r>
    </w:p>
    <w:p w14:paraId="6CB73ABD" w14:textId="51598113" w:rsidR="00A71094" w:rsidRPr="005D4C2B" w:rsidRDefault="005D4C2B" w:rsidP="005D4C2B">
      <w:pPr>
        <w:spacing w:after="360" w:line="480" w:lineRule="auto"/>
        <w:ind w:left="720" w:hanging="720"/>
        <w:jc w:val="both"/>
        <w:rPr>
          <w:rFonts w:cs="Arial"/>
          <w:szCs w:val="24"/>
        </w:rPr>
      </w:pPr>
      <w:r>
        <w:rPr>
          <w:rFonts w:cs="Arial"/>
          <w:szCs w:val="24"/>
        </w:rPr>
        <w:lastRenderedPageBreak/>
        <w:t>[39]</w:t>
      </w:r>
      <w:r>
        <w:rPr>
          <w:rFonts w:cs="Arial"/>
          <w:szCs w:val="24"/>
        </w:rPr>
        <w:tab/>
      </w:r>
      <w:r w:rsidR="00156EF1" w:rsidRPr="005D4C2B">
        <w:rPr>
          <w:rFonts w:cs="Arial"/>
          <w:szCs w:val="24"/>
        </w:rPr>
        <w:t>The</w:t>
      </w:r>
      <w:r w:rsidR="007434D5" w:rsidRPr="005D4C2B">
        <w:rPr>
          <w:rFonts w:cs="Arial"/>
          <w:szCs w:val="24"/>
        </w:rPr>
        <w:t>n the body of the Appendix</w:t>
      </w:r>
      <w:r w:rsidR="00156EF1" w:rsidRPr="005D4C2B">
        <w:rPr>
          <w:rFonts w:cs="Arial"/>
          <w:szCs w:val="24"/>
        </w:rPr>
        <w:t xml:space="preserve"> document contains three columns. The first </w:t>
      </w:r>
      <w:r w:rsidR="00C31E73" w:rsidRPr="005D4C2B">
        <w:rPr>
          <w:rFonts w:cs="Arial"/>
          <w:szCs w:val="24"/>
        </w:rPr>
        <w:t>describes the item, the second references it to a clause number in the FIDIC Red Book’s particular conditions</w:t>
      </w:r>
      <w:r w:rsidR="004A5527" w:rsidRPr="005D4C2B">
        <w:rPr>
          <w:rFonts w:cs="Arial"/>
          <w:szCs w:val="24"/>
        </w:rPr>
        <w:t>,</w:t>
      </w:r>
      <w:r w:rsidR="00C31E73" w:rsidRPr="005D4C2B">
        <w:rPr>
          <w:rFonts w:cs="Arial"/>
          <w:szCs w:val="24"/>
        </w:rPr>
        <w:t xml:space="preserve"> whilst the third </w:t>
      </w:r>
      <w:r w:rsidR="00DB2B13" w:rsidRPr="005D4C2B">
        <w:rPr>
          <w:rFonts w:cs="Arial"/>
          <w:szCs w:val="24"/>
        </w:rPr>
        <w:t>indicates the information required.</w:t>
      </w:r>
      <w:r w:rsidR="00A0230F" w:rsidRPr="005D4C2B">
        <w:rPr>
          <w:rFonts w:cs="Arial"/>
          <w:szCs w:val="24"/>
        </w:rPr>
        <w:t xml:space="preserve"> There can be little doubt that the reader of the Appendix would have appreciated from reading its contents that t</w:t>
      </w:r>
      <w:r w:rsidR="00A71094" w:rsidRPr="005D4C2B">
        <w:rPr>
          <w:rFonts w:cs="Arial"/>
          <w:szCs w:val="24"/>
        </w:rPr>
        <w:t>his was a document that had to be submitted with the tender</w:t>
      </w:r>
      <w:r w:rsidR="000E1E9A" w:rsidRPr="005D4C2B">
        <w:rPr>
          <w:rFonts w:cs="Arial"/>
          <w:szCs w:val="24"/>
        </w:rPr>
        <w:t>,</w:t>
      </w:r>
      <w:r w:rsidR="00A71094" w:rsidRPr="005D4C2B">
        <w:rPr>
          <w:rFonts w:cs="Arial"/>
          <w:szCs w:val="24"/>
        </w:rPr>
        <w:t xml:space="preserve"> with the </w:t>
      </w:r>
      <w:r w:rsidR="00153575" w:rsidRPr="005D4C2B">
        <w:rPr>
          <w:rFonts w:cs="Arial"/>
          <w:szCs w:val="24"/>
        </w:rPr>
        <w:t>referenced items inserted.</w:t>
      </w:r>
      <w:r w:rsidR="00911492" w:rsidRPr="00260321">
        <w:rPr>
          <w:rStyle w:val="FootnoteReference"/>
          <w:rFonts w:cs="Arial"/>
          <w:szCs w:val="24"/>
        </w:rPr>
        <w:footnoteReference w:id="13"/>
      </w:r>
      <w:r w:rsidR="00153575" w:rsidRPr="005D4C2B">
        <w:rPr>
          <w:rFonts w:cs="Arial"/>
          <w:szCs w:val="24"/>
        </w:rPr>
        <w:t xml:space="preserve"> Amongst the items referenced </w:t>
      </w:r>
      <w:r w:rsidR="000E1E9A" w:rsidRPr="005D4C2B">
        <w:rPr>
          <w:rFonts w:cs="Arial"/>
          <w:szCs w:val="24"/>
        </w:rPr>
        <w:t xml:space="preserve">for completion </w:t>
      </w:r>
      <w:r w:rsidR="00153575" w:rsidRPr="005D4C2B">
        <w:rPr>
          <w:rFonts w:cs="Arial"/>
          <w:szCs w:val="24"/>
        </w:rPr>
        <w:t>were:</w:t>
      </w:r>
      <w:r w:rsidR="00D9213E" w:rsidRPr="005D4C2B">
        <w:rPr>
          <w:rFonts w:cs="Arial"/>
          <w:szCs w:val="24"/>
        </w:rPr>
        <w:t xml:space="preserve"> </w:t>
      </w:r>
    </w:p>
    <w:p w14:paraId="35F2A311" w14:textId="26384AC4" w:rsidR="003906B8" w:rsidRPr="003D2CBF" w:rsidRDefault="003D2CBF" w:rsidP="003D2CBF">
      <w:pPr>
        <w:spacing w:after="360" w:line="480" w:lineRule="auto"/>
        <w:ind w:left="1919" w:hanging="360"/>
        <w:jc w:val="both"/>
        <w:rPr>
          <w:rFonts w:cs="Arial"/>
          <w:szCs w:val="24"/>
        </w:rPr>
      </w:pPr>
      <w:r w:rsidRPr="00260321">
        <w:rPr>
          <w:rFonts w:cs="Arial"/>
          <w:szCs w:val="24"/>
        </w:rPr>
        <w:t>a.</w:t>
      </w:r>
      <w:r w:rsidRPr="00260321">
        <w:rPr>
          <w:rFonts w:cs="Arial"/>
          <w:szCs w:val="24"/>
        </w:rPr>
        <w:tab/>
      </w:r>
      <w:r w:rsidR="003906B8" w:rsidRPr="003D2CBF">
        <w:rPr>
          <w:rFonts w:cs="Arial"/>
          <w:szCs w:val="24"/>
        </w:rPr>
        <w:t>The stipulated profit percentage</w:t>
      </w:r>
    </w:p>
    <w:p w14:paraId="2B39E94E" w14:textId="258577D6" w:rsidR="003906B8" w:rsidRPr="003D2CBF" w:rsidRDefault="003D2CBF" w:rsidP="003D2CBF">
      <w:pPr>
        <w:spacing w:after="360" w:line="480" w:lineRule="auto"/>
        <w:ind w:left="1919" w:hanging="360"/>
        <w:jc w:val="both"/>
        <w:rPr>
          <w:rFonts w:cs="Arial"/>
          <w:szCs w:val="24"/>
        </w:rPr>
      </w:pPr>
      <w:r w:rsidRPr="00260321">
        <w:rPr>
          <w:rFonts w:cs="Arial"/>
          <w:szCs w:val="24"/>
        </w:rPr>
        <w:t>b.</w:t>
      </w:r>
      <w:r w:rsidRPr="00260321">
        <w:rPr>
          <w:rFonts w:cs="Arial"/>
          <w:szCs w:val="24"/>
        </w:rPr>
        <w:tab/>
      </w:r>
      <w:r w:rsidR="003906B8" w:rsidRPr="003D2CBF">
        <w:rPr>
          <w:rFonts w:cs="Arial"/>
          <w:szCs w:val="24"/>
        </w:rPr>
        <w:t>The termination profit percentage</w:t>
      </w:r>
    </w:p>
    <w:p w14:paraId="3AF68D6F" w14:textId="61DCC526" w:rsidR="00E60D63" w:rsidRPr="003D2CBF" w:rsidRDefault="003D2CBF" w:rsidP="003D2CBF">
      <w:pPr>
        <w:spacing w:after="360" w:line="480" w:lineRule="auto"/>
        <w:ind w:left="1919" w:hanging="360"/>
        <w:jc w:val="both"/>
        <w:rPr>
          <w:rFonts w:cs="Arial"/>
          <w:szCs w:val="24"/>
        </w:rPr>
      </w:pPr>
      <w:r w:rsidRPr="00260321">
        <w:rPr>
          <w:rFonts w:cs="Arial"/>
          <w:szCs w:val="24"/>
        </w:rPr>
        <w:t>c.</w:t>
      </w:r>
      <w:r w:rsidRPr="00260321">
        <w:rPr>
          <w:rFonts w:cs="Arial"/>
          <w:szCs w:val="24"/>
        </w:rPr>
        <w:tab/>
      </w:r>
      <w:r w:rsidR="00E60D63" w:rsidRPr="003D2CBF">
        <w:rPr>
          <w:rFonts w:cs="Arial"/>
          <w:szCs w:val="24"/>
        </w:rPr>
        <w:t>The percentage for adjustment of provisional sums</w:t>
      </w:r>
      <w:r w:rsidR="00446E75" w:rsidRPr="003D2CBF">
        <w:rPr>
          <w:rFonts w:cs="Arial"/>
          <w:szCs w:val="24"/>
        </w:rPr>
        <w:t>.</w:t>
      </w:r>
    </w:p>
    <w:p w14:paraId="0857914D" w14:textId="30672CD2" w:rsidR="004F51E9" w:rsidRPr="005D4C2B" w:rsidRDefault="005D4C2B" w:rsidP="005D4C2B">
      <w:pPr>
        <w:spacing w:after="360" w:line="480" w:lineRule="auto"/>
        <w:ind w:left="720" w:hanging="720"/>
        <w:jc w:val="both"/>
        <w:rPr>
          <w:rFonts w:cs="Arial"/>
          <w:szCs w:val="24"/>
        </w:rPr>
      </w:pPr>
      <w:r>
        <w:rPr>
          <w:rFonts w:cs="Arial"/>
          <w:szCs w:val="24"/>
        </w:rPr>
        <w:t>[40]</w:t>
      </w:r>
      <w:r>
        <w:rPr>
          <w:rFonts w:cs="Arial"/>
          <w:szCs w:val="24"/>
        </w:rPr>
        <w:tab/>
      </w:r>
      <w:r w:rsidR="00446E75" w:rsidRPr="005D4C2B">
        <w:rPr>
          <w:rFonts w:cs="Arial"/>
          <w:szCs w:val="24"/>
        </w:rPr>
        <w:t>Eskom says without this inf</w:t>
      </w:r>
      <w:r w:rsidR="0020268B" w:rsidRPr="005D4C2B">
        <w:rPr>
          <w:rFonts w:cs="Arial"/>
          <w:szCs w:val="24"/>
        </w:rPr>
        <w:t xml:space="preserve">ormation it is impossible to properly </w:t>
      </w:r>
      <w:r w:rsidR="003F7E9D" w:rsidRPr="005D4C2B">
        <w:rPr>
          <w:rFonts w:cs="Arial"/>
          <w:szCs w:val="24"/>
        </w:rPr>
        <w:t>assess</w:t>
      </w:r>
      <w:r w:rsidR="0020268B" w:rsidRPr="005D4C2B">
        <w:rPr>
          <w:rFonts w:cs="Arial"/>
          <w:szCs w:val="24"/>
        </w:rPr>
        <w:t xml:space="preserve"> a bid.</w:t>
      </w:r>
      <w:r w:rsidR="00367DA8" w:rsidRPr="005D4C2B">
        <w:rPr>
          <w:rFonts w:cs="Arial"/>
          <w:szCs w:val="24"/>
        </w:rPr>
        <w:t xml:space="preserve"> Carter would have known this if he had seen the Appendix. Nor </w:t>
      </w:r>
      <w:r w:rsidR="000C71A7" w:rsidRPr="005D4C2B">
        <w:rPr>
          <w:rFonts w:cs="Arial"/>
          <w:szCs w:val="24"/>
        </w:rPr>
        <w:t>would it require straining the language to conclude that these three items constitute data</w:t>
      </w:r>
      <w:r w:rsidR="00391130" w:rsidRPr="005D4C2B">
        <w:rPr>
          <w:rFonts w:cs="Arial"/>
          <w:szCs w:val="24"/>
        </w:rPr>
        <w:t xml:space="preserve"> even </w:t>
      </w:r>
      <w:r w:rsidR="000C2D86" w:rsidRPr="005D4C2B">
        <w:rPr>
          <w:rFonts w:cs="Arial"/>
          <w:szCs w:val="24"/>
        </w:rPr>
        <w:t>though</w:t>
      </w:r>
      <w:r w:rsidR="00391130" w:rsidRPr="005D4C2B">
        <w:rPr>
          <w:rFonts w:cs="Arial"/>
          <w:szCs w:val="24"/>
        </w:rPr>
        <w:t xml:space="preserve"> the Appendix is not described </w:t>
      </w:r>
      <w:r w:rsidR="000C2D86" w:rsidRPr="005D4C2B">
        <w:rPr>
          <w:rFonts w:cs="Arial"/>
          <w:szCs w:val="24"/>
        </w:rPr>
        <w:t>as the FIDC contract data</w:t>
      </w:r>
      <w:r w:rsidR="00A068D3" w:rsidRPr="005D4C2B">
        <w:rPr>
          <w:rFonts w:cs="Arial"/>
          <w:szCs w:val="24"/>
        </w:rPr>
        <w:t>. Thus</w:t>
      </w:r>
      <w:r w:rsidR="000C2D86" w:rsidRPr="005D4C2B">
        <w:rPr>
          <w:rFonts w:cs="Arial"/>
          <w:szCs w:val="24"/>
        </w:rPr>
        <w:t>,</w:t>
      </w:r>
      <w:r w:rsidR="00A068D3" w:rsidRPr="005D4C2B">
        <w:rPr>
          <w:rFonts w:cs="Arial"/>
          <w:szCs w:val="24"/>
        </w:rPr>
        <w:t xml:space="preserve"> any reasonable reader of the Appendix would have </w:t>
      </w:r>
      <w:r w:rsidR="00037C91" w:rsidRPr="005D4C2B">
        <w:rPr>
          <w:rFonts w:cs="Arial"/>
          <w:szCs w:val="24"/>
        </w:rPr>
        <w:t>understood</w:t>
      </w:r>
      <w:r w:rsidR="00A068D3" w:rsidRPr="005D4C2B">
        <w:rPr>
          <w:rFonts w:cs="Arial"/>
          <w:szCs w:val="24"/>
        </w:rPr>
        <w:t xml:space="preserve"> that its completion where indicated and submission</w:t>
      </w:r>
      <w:r w:rsidR="00037C91" w:rsidRPr="005D4C2B">
        <w:rPr>
          <w:rFonts w:cs="Arial"/>
          <w:szCs w:val="24"/>
        </w:rPr>
        <w:t>,</w:t>
      </w:r>
      <w:r w:rsidR="00A068D3" w:rsidRPr="005D4C2B">
        <w:rPr>
          <w:rFonts w:cs="Arial"/>
          <w:szCs w:val="24"/>
        </w:rPr>
        <w:t xml:space="preserve"> was part of the mandatory tender requirements even if they did not </w:t>
      </w:r>
      <w:r w:rsidR="00EA3768" w:rsidRPr="005D4C2B">
        <w:rPr>
          <w:rFonts w:cs="Arial"/>
          <w:szCs w:val="24"/>
        </w:rPr>
        <w:t xml:space="preserve">appreciate at the time that this </w:t>
      </w:r>
      <w:r w:rsidR="00043E92" w:rsidRPr="005D4C2B">
        <w:rPr>
          <w:rFonts w:cs="Arial"/>
          <w:szCs w:val="24"/>
        </w:rPr>
        <w:t>constituted the</w:t>
      </w:r>
      <w:r w:rsidR="00EA3768" w:rsidRPr="005D4C2B">
        <w:rPr>
          <w:rFonts w:cs="Arial"/>
          <w:szCs w:val="24"/>
        </w:rPr>
        <w:t xml:space="preserve"> FIDIC contract data.</w:t>
      </w:r>
      <w:r w:rsidR="00043753" w:rsidRPr="005D4C2B">
        <w:rPr>
          <w:rFonts w:cs="Arial"/>
          <w:szCs w:val="24"/>
        </w:rPr>
        <w:t xml:space="preserve"> But Eskom </w:t>
      </w:r>
      <w:r w:rsidR="00043753" w:rsidRPr="005D4C2B">
        <w:rPr>
          <w:rFonts w:cs="Arial"/>
          <w:szCs w:val="24"/>
        </w:rPr>
        <w:lastRenderedPageBreak/>
        <w:t>goes further to assert this should have been appreciated by those in the industry.</w:t>
      </w:r>
      <w:r w:rsidR="004F51E9" w:rsidRPr="005D4C2B">
        <w:rPr>
          <w:rFonts w:cs="Arial"/>
          <w:color w:val="4472C4" w:themeColor="accent1"/>
          <w:szCs w:val="24"/>
        </w:rPr>
        <w:t xml:space="preserve"> </w:t>
      </w:r>
      <w:r w:rsidR="004F51E9" w:rsidRPr="005D4C2B">
        <w:rPr>
          <w:rFonts w:cs="Arial"/>
          <w:szCs w:val="24"/>
        </w:rPr>
        <w:t>According to Eskom:</w:t>
      </w:r>
    </w:p>
    <w:p w14:paraId="7AE60CAD" w14:textId="4FB08CB2" w:rsidR="00446E75" w:rsidRPr="005D4C2B" w:rsidRDefault="00E33A4B" w:rsidP="005D4C2B">
      <w:pPr>
        <w:pStyle w:val="ListParagraph"/>
        <w:spacing w:after="360" w:line="480" w:lineRule="auto"/>
        <w:ind w:left="1440"/>
        <w:jc w:val="both"/>
        <w:rPr>
          <w:rFonts w:cs="Arial"/>
          <w:i/>
          <w:iCs/>
          <w:szCs w:val="24"/>
        </w:rPr>
      </w:pPr>
      <w:r w:rsidRPr="00260321">
        <w:rPr>
          <w:rFonts w:cs="Arial"/>
          <w:szCs w:val="24"/>
        </w:rPr>
        <w:t>“</w:t>
      </w:r>
      <w:r w:rsidR="000C2D86" w:rsidRPr="00260321">
        <w:rPr>
          <w:rFonts w:cs="Arial"/>
          <w:szCs w:val="24"/>
        </w:rPr>
        <w:t>it</w:t>
      </w:r>
      <w:r w:rsidR="000C2D86" w:rsidRPr="00260321">
        <w:rPr>
          <w:rFonts w:cs="Arial"/>
          <w:i/>
          <w:iCs/>
          <w:szCs w:val="24"/>
        </w:rPr>
        <w:t xml:space="preserve"> is</w:t>
      </w:r>
      <w:r w:rsidR="004F51E9" w:rsidRPr="00260321">
        <w:rPr>
          <w:rFonts w:cs="Arial"/>
          <w:i/>
          <w:iCs/>
          <w:szCs w:val="24"/>
        </w:rPr>
        <w:t xml:space="preserve"> a common understanding for those working with FIDIC in the industry that the Appendix to Tender contains the contract data under the FIDIC suite of contracts.”</w:t>
      </w:r>
    </w:p>
    <w:p w14:paraId="7A4D966A" w14:textId="6AFF6D1B" w:rsidR="006F31F4" w:rsidRPr="005D4C2B" w:rsidRDefault="005D4C2B" w:rsidP="005D4C2B">
      <w:pPr>
        <w:spacing w:after="360" w:line="480" w:lineRule="auto"/>
        <w:ind w:left="720" w:hanging="720"/>
        <w:jc w:val="both"/>
        <w:rPr>
          <w:rFonts w:cs="Arial"/>
          <w:szCs w:val="24"/>
        </w:rPr>
      </w:pPr>
      <w:r>
        <w:rPr>
          <w:rFonts w:cs="Arial"/>
          <w:szCs w:val="24"/>
        </w:rPr>
        <w:t>[41]</w:t>
      </w:r>
      <w:r>
        <w:rPr>
          <w:rFonts w:cs="Arial"/>
          <w:szCs w:val="24"/>
        </w:rPr>
        <w:tab/>
      </w:r>
      <w:r w:rsidR="006F31F4" w:rsidRPr="005D4C2B">
        <w:rPr>
          <w:rFonts w:cs="Arial"/>
          <w:szCs w:val="24"/>
        </w:rPr>
        <w:t>Granted WBHO says the language is used in a later FIDIC</w:t>
      </w:r>
      <w:r w:rsidR="00E71380" w:rsidRPr="005D4C2B">
        <w:rPr>
          <w:rFonts w:cs="Arial"/>
          <w:szCs w:val="24"/>
        </w:rPr>
        <w:t xml:space="preserve"> Red Book</w:t>
      </w:r>
      <w:r w:rsidR="006F31F4" w:rsidRPr="005D4C2B">
        <w:rPr>
          <w:rFonts w:cs="Arial"/>
          <w:szCs w:val="24"/>
        </w:rPr>
        <w:t xml:space="preserve"> formulation and not the one referenced in the tender.</w:t>
      </w:r>
      <w:r w:rsidR="001F18AF" w:rsidRPr="00260321">
        <w:rPr>
          <w:rStyle w:val="FootnoteReference"/>
          <w:rFonts w:cs="Arial"/>
          <w:szCs w:val="24"/>
        </w:rPr>
        <w:footnoteReference w:id="14"/>
      </w:r>
      <w:r w:rsidR="006F31F4" w:rsidRPr="005D4C2B">
        <w:rPr>
          <w:rFonts w:cs="Arial"/>
          <w:szCs w:val="24"/>
        </w:rPr>
        <w:t xml:space="preserve"> But the later formulation was in use</w:t>
      </w:r>
      <w:r w:rsidR="00284AD1" w:rsidRPr="005D4C2B">
        <w:rPr>
          <w:rFonts w:cs="Arial"/>
          <w:szCs w:val="24"/>
        </w:rPr>
        <w:t xml:space="preserve"> in the </w:t>
      </w:r>
      <w:r w:rsidR="000E4856" w:rsidRPr="005D4C2B">
        <w:rPr>
          <w:rFonts w:cs="Arial"/>
          <w:szCs w:val="24"/>
        </w:rPr>
        <w:t>industry at</w:t>
      </w:r>
      <w:r w:rsidR="006F31F4" w:rsidRPr="005D4C2B">
        <w:rPr>
          <w:rFonts w:cs="Arial"/>
          <w:szCs w:val="24"/>
        </w:rPr>
        <w:t xml:space="preserve"> the time </w:t>
      </w:r>
      <w:r w:rsidR="00030DF0" w:rsidRPr="005D4C2B">
        <w:rPr>
          <w:rFonts w:cs="Arial"/>
          <w:szCs w:val="24"/>
        </w:rPr>
        <w:t xml:space="preserve">WBHO tendered and should have been familiar </w:t>
      </w:r>
      <w:r w:rsidR="00284AD1" w:rsidRPr="005D4C2B">
        <w:rPr>
          <w:rFonts w:cs="Arial"/>
          <w:szCs w:val="24"/>
        </w:rPr>
        <w:t xml:space="preserve">to bidders. It is not a case of where the </w:t>
      </w:r>
      <w:r w:rsidR="00006B1C" w:rsidRPr="005D4C2B">
        <w:rPr>
          <w:rFonts w:cs="Arial"/>
          <w:szCs w:val="24"/>
        </w:rPr>
        <w:t xml:space="preserve">FIDIC references were contradictory and WBHO had mistakenly relied on an earlier version of the same </w:t>
      </w:r>
      <w:r w:rsidR="00585DFB" w:rsidRPr="005D4C2B">
        <w:rPr>
          <w:rFonts w:cs="Arial"/>
          <w:szCs w:val="24"/>
        </w:rPr>
        <w:t>terminology that had been given a different meaning.</w:t>
      </w:r>
      <w:r w:rsidR="000E4856" w:rsidRPr="005D4C2B">
        <w:rPr>
          <w:rFonts w:cs="Arial"/>
          <w:szCs w:val="24"/>
        </w:rPr>
        <w:t xml:space="preserve"> But in any event</w:t>
      </w:r>
      <w:r w:rsidR="001666A8" w:rsidRPr="005D4C2B">
        <w:rPr>
          <w:rFonts w:cs="Arial"/>
          <w:szCs w:val="24"/>
        </w:rPr>
        <w:t>,</w:t>
      </w:r>
      <w:r w:rsidR="000E4856" w:rsidRPr="005D4C2B">
        <w:rPr>
          <w:rFonts w:cs="Arial"/>
          <w:szCs w:val="24"/>
        </w:rPr>
        <w:t xml:space="preserve"> as I have stated</w:t>
      </w:r>
      <w:r w:rsidR="001666A8" w:rsidRPr="005D4C2B">
        <w:rPr>
          <w:rFonts w:cs="Arial"/>
          <w:szCs w:val="24"/>
        </w:rPr>
        <w:t>,</w:t>
      </w:r>
      <w:r w:rsidR="000E4856" w:rsidRPr="005D4C2B">
        <w:rPr>
          <w:rFonts w:cs="Arial"/>
          <w:szCs w:val="24"/>
        </w:rPr>
        <w:t xml:space="preserve"> the content of the Appendix was such as to alert the reader to its significance and the need for its submission as part of the bid documents</w:t>
      </w:r>
      <w:r w:rsidR="009D7777" w:rsidRPr="005D4C2B">
        <w:rPr>
          <w:rFonts w:cs="Arial"/>
          <w:szCs w:val="24"/>
        </w:rPr>
        <w:t xml:space="preserve">. </w:t>
      </w:r>
      <w:r w:rsidR="00301898" w:rsidRPr="005D4C2B">
        <w:rPr>
          <w:rFonts w:cs="Arial"/>
          <w:szCs w:val="24"/>
        </w:rPr>
        <w:t>Indeed</w:t>
      </w:r>
      <w:r w:rsidR="00B72FBD" w:rsidRPr="005D4C2B">
        <w:rPr>
          <w:rFonts w:cs="Arial"/>
          <w:szCs w:val="24"/>
        </w:rPr>
        <w:t>,</w:t>
      </w:r>
      <w:r w:rsidR="00301898" w:rsidRPr="005D4C2B">
        <w:rPr>
          <w:rFonts w:cs="Arial"/>
          <w:szCs w:val="24"/>
        </w:rPr>
        <w:t xml:space="preserve"> this point </w:t>
      </w:r>
      <w:r w:rsidR="000A466A" w:rsidRPr="005D4C2B">
        <w:rPr>
          <w:rFonts w:cs="Arial"/>
          <w:szCs w:val="24"/>
        </w:rPr>
        <w:t>wa</w:t>
      </w:r>
      <w:r w:rsidR="00301898" w:rsidRPr="005D4C2B">
        <w:rPr>
          <w:rFonts w:cs="Arial"/>
          <w:szCs w:val="24"/>
        </w:rPr>
        <w:t xml:space="preserve">s conceded by WBHO in the replying affidavit </w:t>
      </w:r>
      <w:r w:rsidR="00A25000" w:rsidRPr="005D4C2B">
        <w:rPr>
          <w:rFonts w:cs="Arial"/>
          <w:szCs w:val="24"/>
        </w:rPr>
        <w:t>(t</w:t>
      </w:r>
      <w:r w:rsidR="00301898" w:rsidRPr="005D4C2B">
        <w:rPr>
          <w:rFonts w:cs="Arial"/>
          <w:szCs w:val="24"/>
        </w:rPr>
        <w:t>hat was at the time it denied awareness of the existence of the Appendix having been downloaded at the relevant time</w:t>
      </w:r>
      <w:r w:rsidR="00A25000" w:rsidRPr="005D4C2B">
        <w:rPr>
          <w:rFonts w:cs="Arial"/>
          <w:szCs w:val="24"/>
        </w:rPr>
        <w:t>)</w:t>
      </w:r>
      <w:r w:rsidR="001E4958" w:rsidRPr="005D4C2B">
        <w:rPr>
          <w:rFonts w:cs="Arial"/>
          <w:szCs w:val="24"/>
        </w:rPr>
        <w:t>.</w:t>
      </w:r>
      <w:r w:rsidR="00544F4D" w:rsidRPr="00260321">
        <w:rPr>
          <w:rStyle w:val="FootnoteReference"/>
          <w:rFonts w:cs="Arial"/>
          <w:szCs w:val="24"/>
        </w:rPr>
        <w:footnoteReference w:id="15"/>
      </w:r>
      <w:r w:rsidR="001E4958" w:rsidRPr="005D4C2B">
        <w:rPr>
          <w:rFonts w:cs="Arial"/>
          <w:szCs w:val="24"/>
        </w:rPr>
        <w:t xml:space="preserve"> It stated that it would have completed and submitted the Appendix if it knew of its existence then</w:t>
      </w:r>
      <w:r w:rsidR="00823CCE" w:rsidRPr="005D4C2B">
        <w:rPr>
          <w:rFonts w:cs="Arial"/>
          <w:szCs w:val="24"/>
        </w:rPr>
        <w:t>.</w:t>
      </w:r>
      <w:r w:rsidR="00301898" w:rsidRPr="005D4C2B">
        <w:rPr>
          <w:rFonts w:cs="Arial"/>
          <w:szCs w:val="24"/>
        </w:rPr>
        <w:t xml:space="preserve"> </w:t>
      </w:r>
    </w:p>
    <w:p w14:paraId="58AD39C4" w14:textId="1C94F44C" w:rsidR="00664D0E" w:rsidRPr="005D4C2B" w:rsidRDefault="005D4C2B" w:rsidP="005D4C2B">
      <w:pPr>
        <w:spacing w:after="360" w:line="480" w:lineRule="auto"/>
        <w:ind w:left="720" w:hanging="720"/>
        <w:jc w:val="both"/>
        <w:rPr>
          <w:rFonts w:cs="Arial"/>
          <w:szCs w:val="24"/>
        </w:rPr>
      </w:pPr>
      <w:r>
        <w:rPr>
          <w:rFonts w:cs="Arial"/>
          <w:szCs w:val="24"/>
        </w:rPr>
        <w:t>[42]</w:t>
      </w:r>
      <w:r>
        <w:rPr>
          <w:rFonts w:cs="Arial"/>
          <w:szCs w:val="24"/>
        </w:rPr>
        <w:tab/>
      </w:r>
      <w:r w:rsidR="00CB5E40" w:rsidRPr="005D4C2B">
        <w:rPr>
          <w:rFonts w:cs="Arial"/>
          <w:szCs w:val="24"/>
        </w:rPr>
        <w:t xml:space="preserve">But </w:t>
      </w:r>
      <w:r w:rsidR="00EA3768" w:rsidRPr="005D4C2B">
        <w:rPr>
          <w:rFonts w:cs="Arial"/>
          <w:szCs w:val="24"/>
        </w:rPr>
        <w:t xml:space="preserve">the </w:t>
      </w:r>
      <w:r w:rsidR="00B829B8" w:rsidRPr="005D4C2B">
        <w:rPr>
          <w:rFonts w:cs="Arial"/>
          <w:szCs w:val="24"/>
        </w:rPr>
        <w:t>existence of this document</w:t>
      </w:r>
      <w:r w:rsidR="00CB5E40" w:rsidRPr="005D4C2B">
        <w:rPr>
          <w:rFonts w:cs="Arial"/>
          <w:szCs w:val="24"/>
        </w:rPr>
        <w:t xml:space="preserve"> was not</w:t>
      </w:r>
      <w:r w:rsidR="00B829B8" w:rsidRPr="005D4C2B">
        <w:rPr>
          <w:rFonts w:cs="Arial"/>
          <w:szCs w:val="24"/>
        </w:rPr>
        <w:t xml:space="preserve"> hidden from the bidders.</w:t>
      </w:r>
      <w:r w:rsidR="0089054A" w:rsidRPr="005D4C2B">
        <w:rPr>
          <w:rFonts w:cs="Arial"/>
          <w:szCs w:val="24"/>
        </w:rPr>
        <w:t xml:space="preserve"> </w:t>
      </w:r>
      <w:r w:rsidR="00664D0E" w:rsidRPr="005D4C2B">
        <w:rPr>
          <w:rFonts w:cs="Arial"/>
          <w:szCs w:val="24"/>
        </w:rPr>
        <w:t xml:space="preserve">According to Eskom, and this is not disputed, the tender advertisement contained a link. A bidder </w:t>
      </w:r>
      <w:r w:rsidR="00664D0E" w:rsidRPr="005D4C2B">
        <w:rPr>
          <w:rFonts w:cs="Arial"/>
          <w:szCs w:val="24"/>
        </w:rPr>
        <w:lastRenderedPageBreak/>
        <w:t>clicking on the link would be directed to a page headed “</w:t>
      </w:r>
      <w:r w:rsidR="00664D0E" w:rsidRPr="005D4C2B">
        <w:rPr>
          <w:rFonts w:cs="Arial"/>
          <w:i/>
          <w:iCs/>
          <w:szCs w:val="24"/>
        </w:rPr>
        <w:t xml:space="preserve">Drop off summary” </w:t>
      </w:r>
      <w:r w:rsidR="00664D0E" w:rsidRPr="005D4C2B">
        <w:rPr>
          <w:rFonts w:cs="Arial"/>
          <w:szCs w:val="24"/>
        </w:rPr>
        <w:t>which listed thirty separate documents that had been downloaded. One of these documents was headed ‘</w:t>
      </w:r>
      <w:r w:rsidR="00664D0E" w:rsidRPr="005D4C2B">
        <w:rPr>
          <w:rFonts w:cs="Arial"/>
          <w:i/>
          <w:iCs/>
          <w:szCs w:val="24"/>
        </w:rPr>
        <w:t>Appendix to tender’</w:t>
      </w:r>
      <w:r w:rsidR="00664D0E" w:rsidRPr="005D4C2B">
        <w:rPr>
          <w:rFonts w:cs="Arial"/>
          <w:szCs w:val="24"/>
        </w:rPr>
        <w:t xml:space="preserve">. </w:t>
      </w:r>
      <w:r w:rsidR="00750D00" w:rsidRPr="005D4C2B">
        <w:rPr>
          <w:rFonts w:cs="Arial"/>
          <w:szCs w:val="24"/>
        </w:rPr>
        <w:t xml:space="preserve"> It is now common cause that the Appendix was on the website on </w:t>
      </w:r>
      <w:r w:rsidR="000C6AC6" w:rsidRPr="005D4C2B">
        <w:rPr>
          <w:rFonts w:cs="Arial"/>
          <w:szCs w:val="24"/>
        </w:rPr>
        <w:t>5 November</w:t>
      </w:r>
      <w:r w:rsidR="00654D37" w:rsidRPr="005D4C2B">
        <w:rPr>
          <w:rFonts w:cs="Arial"/>
          <w:szCs w:val="24"/>
        </w:rPr>
        <w:t xml:space="preserve"> 2020</w:t>
      </w:r>
      <w:r w:rsidR="000C6AC6" w:rsidRPr="005D4C2B">
        <w:rPr>
          <w:rFonts w:cs="Arial"/>
          <w:szCs w:val="24"/>
        </w:rPr>
        <w:t xml:space="preserve"> and was thus available to WBHO by the </w:t>
      </w:r>
      <w:r w:rsidR="009B5C39" w:rsidRPr="005D4C2B">
        <w:rPr>
          <w:rFonts w:cs="Arial"/>
          <w:szCs w:val="24"/>
        </w:rPr>
        <w:t>6</w:t>
      </w:r>
      <w:r w:rsidR="009B5C39" w:rsidRPr="005D4C2B">
        <w:rPr>
          <w:rFonts w:cs="Arial"/>
          <w:szCs w:val="24"/>
          <w:vertAlign w:val="superscript"/>
        </w:rPr>
        <w:t>th</w:t>
      </w:r>
      <w:r w:rsidR="009B5C39" w:rsidRPr="005D4C2B">
        <w:rPr>
          <w:rFonts w:cs="Arial"/>
          <w:szCs w:val="24"/>
        </w:rPr>
        <w:t xml:space="preserve"> </w:t>
      </w:r>
      <w:r w:rsidR="00BA15A6" w:rsidRPr="005D4C2B">
        <w:rPr>
          <w:rFonts w:cs="Arial"/>
          <w:szCs w:val="24"/>
        </w:rPr>
        <w:t>November</w:t>
      </w:r>
      <w:r w:rsidR="00654D37" w:rsidRPr="005D4C2B">
        <w:rPr>
          <w:rFonts w:cs="Arial"/>
          <w:szCs w:val="24"/>
        </w:rPr>
        <w:t xml:space="preserve"> 2020</w:t>
      </w:r>
      <w:r w:rsidR="00BA15A6" w:rsidRPr="005D4C2B">
        <w:rPr>
          <w:rFonts w:cs="Arial"/>
          <w:szCs w:val="24"/>
        </w:rPr>
        <w:t>,</w:t>
      </w:r>
      <w:r w:rsidR="009B5C39" w:rsidRPr="005D4C2B">
        <w:rPr>
          <w:rFonts w:cs="Arial"/>
          <w:szCs w:val="24"/>
        </w:rPr>
        <w:t xml:space="preserve"> the day Carter says he first downloaded documents from the Eskom website. His failure </w:t>
      </w:r>
      <w:r w:rsidR="00364616" w:rsidRPr="005D4C2B">
        <w:rPr>
          <w:rFonts w:cs="Arial"/>
          <w:szCs w:val="24"/>
        </w:rPr>
        <w:t xml:space="preserve">to download the Appendix, it now accepted, was due to his own error not that of </w:t>
      </w:r>
      <w:r w:rsidR="00BA15A6" w:rsidRPr="005D4C2B">
        <w:rPr>
          <w:rFonts w:cs="Arial"/>
          <w:szCs w:val="24"/>
        </w:rPr>
        <w:t>Eskom’s.</w:t>
      </w:r>
      <w:r w:rsidR="00750D00" w:rsidRPr="005D4C2B">
        <w:rPr>
          <w:rFonts w:cs="Arial"/>
          <w:szCs w:val="24"/>
        </w:rPr>
        <w:t xml:space="preserve"> </w:t>
      </w:r>
    </w:p>
    <w:p w14:paraId="5E24033C" w14:textId="7F86C670" w:rsidR="00454CA5" w:rsidRPr="005D4C2B" w:rsidRDefault="005D4C2B" w:rsidP="005D4C2B">
      <w:pPr>
        <w:spacing w:after="360" w:line="480" w:lineRule="auto"/>
        <w:ind w:left="720" w:hanging="720"/>
        <w:jc w:val="both"/>
        <w:rPr>
          <w:rFonts w:cs="Arial"/>
          <w:szCs w:val="24"/>
        </w:rPr>
      </w:pPr>
      <w:r>
        <w:rPr>
          <w:rFonts w:cs="Arial"/>
          <w:szCs w:val="24"/>
        </w:rPr>
        <w:t>[43]</w:t>
      </w:r>
      <w:r>
        <w:rPr>
          <w:rFonts w:cs="Arial"/>
          <w:szCs w:val="24"/>
        </w:rPr>
        <w:tab/>
      </w:r>
      <w:r w:rsidR="00253C43" w:rsidRPr="005D4C2B">
        <w:rPr>
          <w:rFonts w:cs="Arial"/>
          <w:szCs w:val="24"/>
        </w:rPr>
        <w:t>To summarise the position</w:t>
      </w:r>
      <w:r w:rsidR="00165110" w:rsidRPr="005D4C2B">
        <w:rPr>
          <w:rFonts w:cs="Arial"/>
          <w:szCs w:val="24"/>
        </w:rPr>
        <w:t xml:space="preserve"> in respect of the first ground of review.</w:t>
      </w:r>
      <w:r w:rsidR="00253C43" w:rsidRPr="005D4C2B">
        <w:rPr>
          <w:rFonts w:cs="Arial"/>
          <w:szCs w:val="24"/>
        </w:rPr>
        <w:t xml:space="preserve"> </w:t>
      </w:r>
      <w:r w:rsidR="00454CA5" w:rsidRPr="005D4C2B">
        <w:rPr>
          <w:rFonts w:cs="Arial"/>
          <w:szCs w:val="24"/>
        </w:rPr>
        <w:t xml:space="preserve">WBHO’s review case was initially based on two factual misconceptions. First it alleged that there was no FIDIC </w:t>
      </w:r>
      <w:r w:rsidR="00573604" w:rsidRPr="005D4C2B">
        <w:rPr>
          <w:rFonts w:cs="Arial"/>
          <w:szCs w:val="24"/>
        </w:rPr>
        <w:t xml:space="preserve">contract </w:t>
      </w:r>
      <w:r w:rsidR="00454CA5" w:rsidRPr="005D4C2B">
        <w:rPr>
          <w:rFonts w:cs="Arial"/>
          <w:szCs w:val="24"/>
        </w:rPr>
        <w:t xml:space="preserve">data document for bidders to complete. But Eskom explained in the answering affidavit that there was such a document – it was the </w:t>
      </w:r>
      <w:r w:rsidR="00165110" w:rsidRPr="005D4C2B">
        <w:rPr>
          <w:rFonts w:cs="Arial"/>
          <w:szCs w:val="24"/>
        </w:rPr>
        <w:t>A</w:t>
      </w:r>
      <w:r w:rsidR="00454CA5" w:rsidRPr="005D4C2B">
        <w:rPr>
          <w:rFonts w:cs="Arial"/>
          <w:szCs w:val="24"/>
        </w:rPr>
        <w:t xml:space="preserve">ppendix. This then led to the second error. WBHO relying on Carter contended that even if this was the FIDIC </w:t>
      </w:r>
      <w:r w:rsidR="00573604" w:rsidRPr="005D4C2B">
        <w:rPr>
          <w:rFonts w:cs="Arial"/>
          <w:szCs w:val="24"/>
        </w:rPr>
        <w:t xml:space="preserve">contract </w:t>
      </w:r>
      <w:r w:rsidR="00454CA5" w:rsidRPr="005D4C2B">
        <w:rPr>
          <w:rFonts w:cs="Arial"/>
          <w:szCs w:val="24"/>
        </w:rPr>
        <w:t xml:space="preserve">data, the </w:t>
      </w:r>
      <w:r w:rsidR="004A0AEC" w:rsidRPr="005D4C2B">
        <w:rPr>
          <w:rFonts w:cs="Arial"/>
          <w:szCs w:val="24"/>
        </w:rPr>
        <w:t>A</w:t>
      </w:r>
      <w:r w:rsidR="00454CA5" w:rsidRPr="005D4C2B">
        <w:rPr>
          <w:rFonts w:cs="Arial"/>
          <w:szCs w:val="24"/>
        </w:rPr>
        <w:t xml:space="preserve">ppendix had never been on the website prior to WBHO submitting its bid. But this too proved false – a fact that WBHO now concedes. </w:t>
      </w:r>
    </w:p>
    <w:p w14:paraId="1BDF0DA0" w14:textId="58FC24B9" w:rsidR="0020637D" w:rsidRPr="005D4C2B" w:rsidRDefault="005D4C2B" w:rsidP="005D4C2B">
      <w:pPr>
        <w:spacing w:after="360" w:line="480" w:lineRule="auto"/>
        <w:ind w:left="720" w:hanging="720"/>
        <w:jc w:val="both"/>
        <w:rPr>
          <w:rFonts w:cs="Arial"/>
          <w:szCs w:val="24"/>
        </w:rPr>
      </w:pPr>
      <w:r>
        <w:rPr>
          <w:rFonts w:cs="Arial"/>
          <w:szCs w:val="24"/>
        </w:rPr>
        <w:t>[44]</w:t>
      </w:r>
      <w:r>
        <w:rPr>
          <w:rFonts w:cs="Arial"/>
          <w:szCs w:val="24"/>
        </w:rPr>
        <w:tab/>
      </w:r>
      <w:r w:rsidR="00454CA5" w:rsidRPr="005D4C2B">
        <w:rPr>
          <w:rFonts w:cs="Arial"/>
          <w:szCs w:val="24"/>
        </w:rPr>
        <w:t>This has limited WBHO’s review case on the first point to a linguistic one.</w:t>
      </w:r>
      <w:r w:rsidR="00205D20" w:rsidRPr="005D4C2B">
        <w:rPr>
          <w:rFonts w:cs="Arial"/>
          <w:szCs w:val="24"/>
        </w:rPr>
        <w:t xml:space="preserve"> Had the Appendix not been available on the website this may have been an arguable proposition. But </w:t>
      </w:r>
      <w:r w:rsidR="0070691C" w:rsidRPr="005D4C2B">
        <w:rPr>
          <w:rFonts w:cs="Arial"/>
          <w:szCs w:val="24"/>
        </w:rPr>
        <w:t xml:space="preserve">its presence on the website and the </w:t>
      </w:r>
      <w:r w:rsidR="002514C3" w:rsidRPr="005D4C2B">
        <w:rPr>
          <w:rFonts w:cs="Arial"/>
          <w:szCs w:val="24"/>
        </w:rPr>
        <w:t>requirement</w:t>
      </w:r>
      <w:r w:rsidR="0070691C" w:rsidRPr="005D4C2B">
        <w:rPr>
          <w:rFonts w:cs="Arial"/>
          <w:szCs w:val="24"/>
        </w:rPr>
        <w:t xml:space="preserve"> for bidders to read downloaded documents, coupled with the content of the Appendix which makes its status as a mandatory returnable obvious to the reader</w:t>
      </w:r>
      <w:r w:rsidR="00A4176A" w:rsidRPr="005D4C2B">
        <w:rPr>
          <w:rFonts w:cs="Arial"/>
          <w:szCs w:val="24"/>
        </w:rPr>
        <w:t>,</w:t>
      </w:r>
      <w:r w:rsidR="0070691C" w:rsidRPr="005D4C2B">
        <w:rPr>
          <w:rFonts w:cs="Arial"/>
          <w:szCs w:val="24"/>
        </w:rPr>
        <w:t xml:space="preserve"> rem</w:t>
      </w:r>
      <w:r w:rsidR="00CF452D" w:rsidRPr="005D4C2B">
        <w:rPr>
          <w:rFonts w:cs="Arial"/>
          <w:szCs w:val="24"/>
        </w:rPr>
        <w:t>ove</w:t>
      </w:r>
      <w:r w:rsidR="002D7FE0" w:rsidRPr="005D4C2B">
        <w:rPr>
          <w:rFonts w:cs="Arial"/>
          <w:szCs w:val="24"/>
        </w:rPr>
        <w:t>s</w:t>
      </w:r>
      <w:r w:rsidR="00CF452D" w:rsidRPr="005D4C2B">
        <w:rPr>
          <w:rFonts w:cs="Arial"/>
          <w:szCs w:val="24"/>
        </w:rPr>
        <w:t xml:space="preserve"> any ambiguity.</w:t>
      </w:r>
      <w:r w:rsidR="00461DAA" w:rsidRPr="005D4C2B">
        <w:rPr>
          <w:rFonts w:cs="Arial"/>
          <w:szCs w:val="24"/>
        </w:rPr>
        <w:t xml:space="preserve"> Thus</w:t>
      </w:r>
      <w:r w:rsidR="002D7FE0" w:rsidRPr="005D4C2B">
        <w:rPr>
          <w:rFonts w:cs="Arial"/>
          <w:szCs w:val="24"/>
        </w:rPr>
        <w:t>,</w:t>
      </w:r>
      <w:r w:rsidR="00461DAA" w:rsidRPr="005D4C2B">
        <w:rPr>
          <w:rFonts w:cs="Arial"/>
          <w:szCs w:val="24"/>
        </w:rPr>
        <w:t xml:space="preserve"> each bidder had an equal opportunity to access the mandatory returnable </w:t>
      </w:r>
      <w:r w:rsidR="003810CA" w:rsidRPr="005D4C2B">
        <w:rPr>
          <w:rFonts w:cs="Arial"/>
          <w:szCs w:val="24"/>
        </w:rPr>
        <w:t xml:space="preserve">at the same time and in the words of </w:t>
      </w:r>
      <w:r w:rsidR="003810CA" w:rsidRPr="005D4C2B">
        <w:rPr>
          <w:rFonts w:cs="Arial"/>
          <w:i/>
          <w:iCs/>
          <w:szCs w:val="24"/>
        </w:rPr>
        <w:t>Allpay</w:t>
      </w:r>
      <w:r w:rsidR="003810CA" w:rsidRPr="005D4C2B">
        <w:rPr>
          <w:rFonts w:cs="Arial"/>
          <w:szCs w:val="24"/>
        </w:rPr>
        <w:t xml:space="preserve"> there was </w:t>
      </w:r>
      <w:r>
        <w:rPr>
          <w:rFonts w:cs="Arial"/>
          <w:szCs w:val="24"/>
        </w:rPr>
        <w:t>“</w:t>
      </w:r>
      <w:r w:rsidR="003810CA" w:rsidRPr="005D4C2B">
        <w:rPr>
          <w:rFonts w:cs="Arial"/>
          <w:i/>
          <w:iCs/>
          <w:szCs w:val="24"/>
        </w:rPr>
        <w:t xml:space="preserve">no burden to </w:t>
      </w:r>
      <w:r w:rsidR="003810CA" w:rsidRPr="005D4C2B">
        <w:rPr>
          <w:rFonts w:cs="Arial"/>
          <w:i/>
          <w:iCs/>
          <w:szCs w:val="24"/>
        </w:rPr>
        <w:lastRenderedPageBreak/>
        <w:t xml:space="preserve">decipher </w:t>
      </w:r>
      <w:r w:rsidR="00A17600" w:rsidRPr="005D4C2B">
        <w:rPr>
          <w:rFonts w:cs="Arial"/>
          <w:i/>
          <w:iCs/>
          <w:szCs w:val="24"/>
        </w:rPr>
        <w:t>unclear directions</w:t>
      </w:r>
      <w:r w:rsidR="00F2735C" w:rsidRPr="005D4C2B">
        <w:rPr>
          <w:rFonts w:cs="Arial"/>
          <w:i/>
          <w:iCs/>
          <w:szCs w:val="24"/>
        </w:rPr>
        <w:t>”</w:t>
      </w:r>
      <w:r w:rsidR="00F2735C" w:rsidRPr="005D4C2B">
        <w:rPr>
          <w:rFonts w:cs="Arial"/>
          <w:szCs w:val="24"/>
        </w:rPr>
        <w:t xml:space="preserve"> imposed</w:t>
      </w:r>
      <w:r w:rsidR="003810CA" w:rsidRPr="005D4C2B">
        <w:rPr>
          <w:rFonts w:cs="Arial"/>
          <w:szCs w:val="24"/>
        </w:rPr>
        <w:t xml:space="preserve"> on any bidder. The diligent bidder would have accessed the document </w:t>
      </w:r>
      <w:r w:rsidR="00D1561A" w:rsidRPr="005D4C2B">
        <w:rPr>
          <w:rFonts w:cs="Arial"/>
          <w:szCs w:val="24"/>
        </w:rPr>
        <w:t xml:space="preserve">form the website as instructed </w:t>
      </w:r>
      <w:r w:rsidR="003810CA" w:rsidRPr="005D4C2B">
        <w:rPr>
          <w:rFonts w:cs="Arial"/>
          <w:szCs w:val="24"/>
        </w:rPr>
        <w:t xml:space="preserve">and seen from its contents that it </w:t>
      </w:r>
      <w:r w:rsidR="00D1561A" w:rsidRPr="005D4C2B">
        <w:rPr>
          <w:rFonts w:cs="Arial"/>
          <w:szCs w:val="24"/>
        </w:rPr>
        <w:t>w</w:t>
      </w:r>
      <w:r w:rsidR="003810CA" w:rsidRPr="005D4C2B">
        <w:rPr>
          <w:rFonts w:cs="Arial"/>
          <w:szCs w:val="24"/>
        </w:rPr>
        <w:t xml:space="preserve">as something that it was required to complete and </w:t>
      </w:r>
      <w:r w:rsidR="00A80F08" w:rsidRPr="005D4C2B">
        <w:rPr>
          <w:rFonts w:cs="Arial"/>
          <w:szCs w:val="24"/>
        </w:rPr>
        <w:t>return.</w:t>
      </w:r>
    </w:p>
    <w:p w14:paraId="4781C587" w14:textId="2998B9AB" w:rsidR="006527A4" w:rsidRPr="005D4C2B" w:rsidRDefault="005D4C2B" w:rsidP="005D4C2B">
      <w:pPr>
        <w:spacing w:after="360" w:line="480" w:lineRule="auto"/>
        <w:ind w:left="720" w:hanging="720"/>
        <w:jc w:val="both"/>
        <w:rPr>
          <w:rFonts w:cs="Arial"/>
          <w:szCs w:val="24"/>
        </w:rPr>
      </w:pPr>
      <w:r>
        <w:rPr>
          <w:rFonts w:cs="Arial"/>
          <w:szCs w:val="24"/>
        </w:rPr>
        <w:t>[45]</w:t>
      </w:r>
      <w:r>
        <w:rPr>
          <w:rFonts w:cs="Arial"/>
          <w:szCs w:val="24"/>
        </w:rPr>
        <w:tab/>
      </w:r>
      <w:r w:rsidR="006D265B" w:rsidRPr="005D4C2B">
        <w:rPr>
          <w:rFonts w:cs="Arial"/>
          <w:szCs w:val="24"/>
        </w:rPr>
        <w:t xml:space="preserve">The tender was not </w:t>
      </w:r>
      <w:r w:rsidR="00066198" w:rsidRPr="005D4C2B">
        <w:rPr>
          <w:rFonts w:cs="Arial"/>
          <w:szCs w:val="24"/>
        </w:rPr>
        <w:t>unfair no</w:t>
      </w:r>
      <w:r w:rsidR="00715622" w:rsidRPr="005D4C2B">
        <w:rPr>
          <w:rFonts w:cs="Arial"/>
          <w:szCs w:val="24"/>
        </w:rPr>
        <w:t>r</w:t>
      </w:r>
      <w:r w:rsidR="00066198" w:rsidRPr="005D4C2B">
        <w:rPr>
          <w:rFonts w:cs="Arial"/>
          <w:szCs w:val="24"/>
        </w:rPr>
        <w:t xml:space="preserve"> was it irrational for Eskom to have acted in the way it did</w:t>
      </w:r>
      <w:r w:rsidR="003811CE" w:rsidRPr="005D4C2B">
        <w:rPr>
          <w:rFonts w:cs="Arial"/>
          <w:szCs w:val="24"/>
        </w:rPr>
        <w:t xml:space="preserve"> to disqualify WBHO</w:t>
      </w:r>
      <w:r w:rsidR="00066198" w:rsidRPr="005D4C2B">
        <w:rPr>
          <w:rFonts w:cs="Arial"/>
          <w:szCs w:val="24"/>
        </w:rPr>
        <w:t xml:space="preserve">. </w:t>
      </w:r>
      <w:r w:rsidR="00800A86" w:rsidRPr="005D4C2B">
        <w:rPr>
          <w:rFonts w:cs="Arial"/>
          <w:szCs w:val="24"/>
        </w:rPr>
        <w:t>Once it had specified that completion was mandatory it was obliged to disqualify a bidder which did not submit the completed Appendix.</w:t>
      </w:r>
      <w:r w:rsidR="00B646AD" w:rsidRPr="005D4C2B">
        <w:rPr>
          <w:rFonts w:cs="Arial"/>
          <w:szCs w:val="24"/>
        </w:rPr>
        <w:t xml:space="preserve"> This review ground fails.</w:t>
      </w:r>
    </w:p>
    <w:p w14:paraId="270622CF" w14:textId="4308E68F" w:rsidR="00A01847" w:rsidRPr="00260321" w:rsidRDefault="00A01847" w:rsidP="005D4C2B">
      <w:pPr>
        <w:pStyle w:val="ListParagraph"/>
        <w:spacing w:after="360" w:line="480" w:lineRule="auto"/>
        <w:ind w:left="360" w:firstLine="360"/>
        <w:jc w:val="both"/>
        <w:rPr>
          <w:rFonts w:cs="Arial"/>
          <w:b/>
          <w:bCs/>
          <w:szCs w:val="24"/>
        </w:rPr>
      </w:pPr>
      <w:r w:rsidRPr="00260321">
        <w:rPr>
          <w:rFonts w:cs="Arial"/>
          <w:b/>
          <w:bCs/>
          <w:szCs w:val="24"/>
        </w:rPr>
        <w:t xml:space="preserve">Second basis </w:t>
      </w:r>
    </w:p>
    <w:p w14:paraId="295F4A10" w14:textId="2F75CE6A" w:rsidR="00521494" w:rsidRPr="005D4C2B" w:rsidRDefault="005D4C2B" w:rsidP="005D4C2B">
      <w:pPr>
        <w:spacing w:after="360" w:line="480" w:lineRule="auto"/>
        <w:ind w:left="720" w:hanging="720"/>
        <w:jc w:val="both"/>
        <w:rPr>
          <w:rFonts w:cs="Arial"/>
          <w:szCs w:val="24"/>
        </w:rPr>
      </w:pPr>
      <w:r>
        <w:rPr>
          <w:rFonts w:cs="Arial"/>
          <w:szCs w:val="24"/>
        </w:rPr>
        <w:t>[46]</w:t>
      </w:r>
      <w:r>
        <w:rPr>
          <w:rFonts w:cs="Arial"/>
          <w:szCs w:val="24"/>
        </w:rPr>
        <w:tab/>
      </w:r>
      <w:r w:rsidR="005D5ABD" w:rsidRPr="005D4C2B">
        <w:rPr>
          <w:rFonts w:cs="Arial"/>
          <w:szCs w:val="24"/>
        </w:rPr>
        <w:t xml:space="preserve">The second basis of complaint is about the change in specification. This was not part of WBHO’s original </w:t>
      </w:r>
      <w:r w:rsidR="00BA12B5" w:rsidRPr="005D4C2B">
        <w:rPr>
          <w:rFonts w:cs="Arial"/>
          <w:szCs w:val="24"/>
        </w:rPr>
        <w:t xml:space="preserve">cause of action and only emerged when the record of decision making was produced. </w:t>
      </w:r>
    </w:p>
    <w:p w14:paraId="60E89EA6" w14:textId="4CD50052" w:rsidR="001719D9" w:rsidRPr="005D4C2B" w:rsidRDefault="005D4C2B" w:rsidP="005D4C2B">
      <w:pPr>
        <w:spacing w:after="360" w:line="480" w:lineRule="auto"/>
        <w:ind w:left="720" w:hanging="720"/>
        <w:jc w:val="both"/>
        <w:rPr>
          <w:rFonts w:cs="Arial"/>
          <w:szCs w:val="24"/>
        </w:rPr>
      </w:pPr>
      <w:r>
        <w:rPr>
          <w:rFonts w:cs="Arial"/>
          <w:szCs w:val="24"/>
        </w:rPr>
        <w:t>[47]</w:t>
      </w:r>
      <w:r>
        <w:rPr>
          <w:rFonts w:cs="Arial"/>
          <w:szCs w:val="24"/>
        </w:rPr>
        <w:tab/>
      </w:r>
      <w:r w:rsidR="00954D82" w:rsidRPr="005D4C2B">
        <w:rPr>
          <w:rFonts w:cs="Arial"/>
          <w:szCs w:val="24"/>
        </w:rPr>
        <w:t xml:space="preserve">What emerged </w:t>
      </w:r>
      <w:r w:rsidR="002D579E" w:rsidRPr="005D4C2B">
        <w:rPr>
          <w:rFonts w:cs="Arial"/>
          <w:szCs w:val="24"/>
        </w:rPr>
        <w:t xml:space="preserve">from the record </w:t>
      </w:r>
      <w:r w:rsidR="00954D82" w:rsidRPr="005D4C2B">
        <w:rPr>
          <w:rFonts w:cs="Arial"/>
          <w:szCs w:val="24"/>
        </w:rPr>
        <w:t>in the analysis done by Eskom’</w:t>
      </w:r>
      <w:r w:rsidR="00A80F08" w:rsidRPr="005D4C2B">
        <w:rPr>
          <w:rFonts w:cs="Arial"/>
          <w:szCs w:val="24"/>
        </w:rPr>
        <w:t>s</w:t>
      </w:r>
      <w:r w:rsidR="00954D82" w:rsidRPr="005D4C2B">
        <w:rPr>
          <w:rFonts w:cs="Arial"/>
          <w:szCs w:val="24"/>
        </w:rPr>
        <w:t xml:space="preserve"> staff is that they considered the </w:t>
      </w:r>
      <w:r w:rsidR="007C51FC" w:rsidRPr="005D4C2B">
        <w:rPr>
          <w:rFonts w:cs="Arial"/>
          <w:szCs w:val="24"/>
        </w:rPr>
        <w:t>Grinaker bid was “</w:t>
      </w:r>
      <w:r w:rsidR="008A6428" w:rsidRPr="005D4C2B">
        <w:rPr>
          <w:rFonts w:cs="Arial"/>
          <w:szCs w:val="24"/>
        </w:rPr>
        <w:t>…</w:t>
      </w:r>
      <w:r w:rsidR="007C51FC" w:rsidRPr="005D4C2B">
        <w:rPr>
          <w:rFonts w:cs="Arial"/>
          <w:szCs w:val="24"/>
        </w:rPr>
        <w:t xml:space="preserve"> </w:t>
      </w:r>
      <w:r w:rsidR="007C51FC" w:rsidRPr="005D4C2B">
        <w:rPr>
          <w:rFonts w:cs="Arial"/>
          <w:i/>
          <w:iCs/>
          <w:szCs w:val="24"/>
        </w:rPr>
        <w:t xml:space="preserve">way above the </w:t>
      </w:r>
      <w:r w:rsidR="00162A7B" w:rsidRPr="005D4C2B">
        <w:rPr>
          <w:rFonts w:cs="Arial"/>
          <w:i/>
          <w:iCs/>
          <w:szCs w:val="24"/>
        </w:rPr>
        <w:t>budget</w:t>
      </w:r>
      <w:r w:rsidR="001A0511" w:rsidRPr="005D4C2B">
        <w:rPr>
          <w:rFonts w:cs="Arial"/>
          <w:i/>
          <w:iCs/>
          <w:szCs w:val="24"/>
        </w:rPr>
        <w:t>ed</w:t>
      </w:r>
      <w:r w:rsidR="00162A7B" w:rsidRPr="005D4C2B">
        <w:rPr>
          <w:rFonts w:cs="Arial"/>
          <w:i/>
          <w:iCs/>
          <w:szCs w:val="24"/>
        </w:rPr>
        <w:t xml:space="preserve"> amount </w:t>
      </w:r>
      <w:r w:rsidR="0099319D" w:rsidRPr="005D4C2B">
        <w:rPr>
          <w:rFonts w:cs="Arial"/>
          <w:i/>
          <w:iCs/>
          <w:szCs w:val="24"/>
        </w:rPr>
        <w:t xml:space="preserve">by </w:t>
      </w:r>
      <w:r w:rsidR="0099319D" w:rsidRPr="005D4C2B">
        <w:rPr>
          <w:rFonts w:cs="Arial"/>
          <w:szCs w:val="24"/>
        </w:rPr>
        <w:t>[amount</w:t>
      </w:r>
      <w:r w:rsidR="001719D9" w:rsidRPr="005D4C2B">
        <w:rPr>
          <w:rFonts w:cs="Arial"/>
          <w:szCs w:val="24"/>
        </w:rPr>
        <w:t xml:space="preserve"> was</w:t>
      </w:r>
      <w:r w:rsidR="0099319D" w:rsidRPr="005D4C2B">
        <w:rPr>
          <w:rFonts w:cs="Arial"/>
          <w:szCs w:val="24"/>
        </w:rPr>
        <w:t xml:space="preserve"> redacted] and that </w:t>
      </w:r>
      <w:r w:rsidR="001A0511" w:rsidRPr="005D4C2B">
        <w:rPr>
          <w:rFonts w:cs="Arial"/>
          <w:szCs w:val="24"/>
        </w:rPr>
        <w:t>“</w:t>
      </w:r>
      <w:r w:rsidR="001719D9" w:rsidRPr="005D4C2B">
        <w:rPr>
          <w:rFonts w:cs="Arial"/>
          <w:szCs w:val="24"/>
        </w:rPr>
        <w:t>…</w:t>
      </w:r>
      <w:r w:rsidR="0099319D" w:rsidRPr="005D4C2B">
        <w:rPr>
          <w:rFonts w:cs="Arial"/>
          <w:i/>
          <w:iCs/>
          <w:szCs w:val="24"/>
        </w:rPr>
        <w:t>it should be renegoti</w:t>
      </w:r>
      <w:r w:rsidR="001A0511" w:rsidRPr="005D4C2B">
        <w:rPr>
          <w:rFonts w:cs="Arial"/>
          <w:i/>
          <w:iCs/>
          <w:szCs w:val="24"/>
        </w:rPr>
        <w:t>ated to a market related price</w:t>
      </w:r>
      <w:r w:rsidR="0099319D" w:rsidRPr="005D4C2B">
        <w:rPr>
          <w:rFonts w:cs="Arial"/>
          <w:szCs w:val="24"/>
        </w:rPr>
        <w:t xml:space="preserve">…” </w:t>
      </w:r>
    </w:p>
    <w:p w14:paraId="53DF12B2" w14:textId="5B281F4B" w:rsidR="00C9589E" w:rsidRPr="005D4C2B" w:rsidRDefault="005D4C2B" w:rsidP="005D4C2B">
      <w:pPr>
        <w:spacing w:after="360" w:line="480" w:lineRule="auto"/>
        <w:ind w:left="720" w:hanging="720"/>
        <w:jc w:val="both"/>
        <w:rPr>
          <w:rFonts w:cs="Arial"/>
          <w:szCs w:val="24"/>
        </w:rPr>
      </w:pPr>
      <w:r>
        <w:rPr>
          <w:rFonts w:cs="Arial"/>
          <w:szCs w:val="24"/>
        </w:rPr>
        <w:t>[48]</w:t>
      </w:r>
      <w:r>
        <w:rPr>
          <w:rFonts w:cs="Arial"/>
          <w:szCs w:val="24"/>
        </w:rPr>
        <w:tab/>
      </w:r>
      <w:r w:rsidR="009D119F" w:rsidRPr="005D4C2B">
        <w:rPr>
          <w:rFonts w:cs="Arial"/>
          <w:szCs w:val="24"/>
        </w:rPr>
        <w:t>Whether the</w:t>
      </w:r>
      <w:r w:rsidR="00562F59" w:rsidRPr="005D4C2B">
        <w:rPr>
          <w:rFonts w:cs="Arial"/>
          <w:szCs w:val="24"/>
        </w:rPr>
        <w:t>r</w:t>
      </w:r>
      <w:r w:rsidR="009D119F" w:rsidRPr="005D4C2B">
        <w:rPr>
          <w:rFonts w:cs="Arial"/>
          <w:szCs w:val="24"/>
        </w:rPr>
        <w:t>e was any connection between this proposal and what happened next is less clear. However</w:t>
      </w:r>
      <w:r w:rsidR="00562F59" w:rsidRPr="005D4C2B">
        <w:rPr>
          <w:rFonts w:cs="Arial"/>
          <w:szCs w:val="24"/>
        </w:rPr>
        <w:t>,</w:t>
      </w:r>
      <w:r w:rsidR="009D119F" w:rsidRPr="005D4C2B">
        <w:rPr>
          <w:rFonts w:cs="Arial"/>
          <w:szCs w:val="24"/>
        </w:rPr>
        <w:t xml:space="preserve"> what happened is that </w:t>
      </w:r>
      <w:r w:rsidR="00D10FAD" w:rsidRPr="005D4C2B">
        <w:rPr>
          <w:rFonts w:cs="Arial"/>
          <w:szCs w:val="24"/>
        </w:rPr>
        <w:t xml:space="preserve">Eskom received regulatory approval from </w:t>
      </w:r>
      <w:r w:rsidR="00104EFD" w:rsidRPr="005D4C2B">
        <w:rPr>
          <w:rFonts w:cs="Arial"/>
          <w:szCs w:val="24"/>
        </w:rPr>
        <w:t xml:space="preserve">the Department of </w:t>
      </w:r>
      <w:r w:rsidR="0058339A" w:rsidRPr="005D4C2B">
        <w:rPr>
          <w:rFonts w:cs="Arial"/>
          <w:szCs w:val="24"/>
        </w:rPr>
        <w:t xml:space="preserve">Forestry, Fisheries and </w:t>
      </w:r>
      <w:r w:rsidR="00104EFD" w:rsidRPr="005D4C2B">
        <w:rPr>
          <w:rFonts w:cs="Arial"/>
          <w:szCs w:val="24"/>
        </w:rPr>
        <w:t>Environment</w:t>
      </w:r>
      <w:r w:rsidR="000306C1" w:rsidRPr="005D4C2B">
        <w:rPr>
          <w:rFonts w:cs="Arial"/>
          <w:szCs w:val="24"/>
        </w:rPr>
        <w:t xml:space="preserve"> to change the liner on phase 2 from a Class A liner to a Class C liner. In less technical terms i</w:t>
      </w:r>
      <w:r w:rsidR="00AA3FEA" w:rsidRPr="005D4C2B">
        <w:rPr>
          <w:rFonts w:cs="Arial"/>
          <w:szCs w:val="24"/>
        </w:rPr>
        <w:t>t</w:t>
      </w:r>
      <w:r w:rsidR="000306C1" w:rsidRPr="005D4C2B">
        <w:rPr>
          <w:rFonts w:cs="Arial"/>
          <w:szCs w:val="24"/>
        </w:rPr>
        <w:t xml:space="preserve"> meant that </w:t>
      </w:r>
      <w:r w:rsidR="00612981" w:rsidRPr="005D4C2B">
        <w:rPr>
          <w:rFonts w:cs="Arial"/>
          <w:szCs w:val="24"/>
        </w:rPr>
        <w:t xml:space="preserve">whilst the original tender required bidders to quote on two layers of HDP lining </w:t>
      </w:r>
      <w:r w:rsidR="009D4EE3" w:rsidRPr="005D4C2B">
        <w:rPr>
          <w:rFonts w:cs="Arial"/>
          <w:szCs w:val="24"/>
        </w:rPr>
        <w:lastRenderedPageBreak/>
        <w:t>(Class A) the new specification required on</w:t>
      </w:r>
      <w:r w:rsidR="0030515E" w:rsidRPr="005D4C2B">
        <w:rPr>
          <w:rFonts w:cs="Arial"/>
          <w:szCs w:val="24"/>
        </w:rPr>
        <w:t>ly</w:t>
      </w:r>
      <w:r w:rsidR="009D4EE3" w:rsidRPr="005D4C2B">
        <w:rPr>
          <w:rFonts w:cs="Arial"/>
          <w:szCs w:val="24"/>
        </w:rPr>
        <w:t xml:space="preserve"> a single layer of lining</w:t>
      </w:r>
      <w:r w:rsidR="003B3B5A" w:rsidRPr="005D4C2B">
        <w:rPr>
          <w:rFonts w:cs="Arial"/>
          <w:szCs w:val="24"/>
        </w:rPr>
        <w:t>.</w:t>
      </w:r>
      <w:r w:rsidR="00501918" w:rsidRPr="00260321">
        <w:rPr>
          <w:rStyle w:val="FootnoteReference"/>
          <w:rFonts w:cs="Arial"/>
          <w:szCs w:val="24"/>
        </w:rPr>
        <w:footnoteReference w:id="16"/>
      </w:r>
      <w:r w:rsidR="003B3B5A" w:rsidRPr="005D4C2B">
        <w:rPr>
          <w:rFonts w:cs="Arial"/>
          <w:szCs w:val="24"/>
        </w:rPr>
        <w:t xml:space="preserve"> This would effectively reduce the associated costs</w:t>
      </w:r>
      <w:r w:rsidR="00785193" w:rsidRPr="005D4C2B">
        <w:rPr>
          <w:rFonts w:cs="Arial"/>
          <w:szCs w:val="24"/>
        </w:rPr>
        <w:t xml:space="preserve"> since less material would be required. E</w:t>
      </w:r>
      <w:r w:rsidR="00EB4B8C" w:rsidRPr="005D4C2B">
        <w:rPr>
          <w:rFonts w:cs="Arial"/>
          <w:szCs w:val="24"/>
        </w:rPr>
        <w:t>skom got Grinaker</w:t>
      </w:r>
      <w:r w:rsidR="00C33399" w:rsidRPr="005D4C2B">
        <w:rPr>
          <w:rFonts w:cs="Arial"/>
          <w:szCs w:val="24"/>
        </w:rPr>
        <w:t>, by then the chosen preferred bidder,</w:t>
      </w:r>
      <w:r w:rsidR="00EB4B8C" w:rsidRPr="005D4C2B">
        <w:rPr>
          <w:rFonts w:cs="Arial"/>
          <w:szCs w:val="24"/>
        </w:rPr>
        <w:t xml:space="preserve"> to submit a new quote based on the reduced specification. No one else was asked to </w:t>
      </w:r>
      <w:r w:rsidR="00C33399" w:rsidRPr="005D4C2B">
        <w:rPr>
          <w:rFonts w:cs="Arial"/>
          <w:szCs w:val="24"/>
        </w:rPr>
        <w:t>quote</w:t>
      </w:r>
      <w:r w:rsidR="003B3B5A" w:rsidRPr="005D4C2B">
        <w:rPr>
          <w:rFonts w:cs="Arial"/>
          <w:szCs w:val="24"/>
        </w:rPr>
        <w:t xml:space="preserve">. </w:t>
      </w:r>
      <w:r w:rsidR="00C81C86" w:rsidRPr="005D4C2B">
        <w:rPr>
          <w:rFonts w:cs="Arial"/>
          <w:szCs w:val="24"/>
        </w:rPr>
        <w:t>Grinaker’ s</w:t>
      </w:r>
      <w:r w:rsidR="003B3B5A" w:rsidRPr="005D4C2B">
        <w:rPr>
          <w:rFonts w:cs="Arial"/>
          <w:szCs w:val="24"/>
        </w:rPr>
        <w:t xml:space="preserve"> bid which had up until then been above that of WBHO’s (quoted on Class A linings) was now below it. WBHO claims that if had been asked to bid on the new specification it would still </w:t>
      </w:r>
      <w:r w:rsidR="00C9589E" w:rsidRPr="005D4C2B">
        <w:rPr>
          <w:rFonts w:cs="Arial"/>
          <w:szCs w:val="24"/>
        </w:rPr>
        <w:t>have been lower than that of Grinaker</w:t>
      </w:r>
      <w:r w:rsidR="00636785" w:rsidRPr="005D4C2B">
        <w:rPr>
          <w:rFonts w:cs="Arial"/>
          <w:szCs w:val="24"/>
        </w:rPr>
        <w:t>,</w:t>
      </w:r>
      <w:r w:rsidR="00C9589E" w:rsidRPr="005D4C2B">
        <w:rPr>
          <w:rFonts w:cs="Arial"/>
          <w:szCs w:val="24"/>
        </w:rPr>
        <w:t xml:space="preserve"> </w:t>
      </w:r>
      <w:r w:rsidR="00F159B2" w:rsidRPr="005D4C2B">
        <w:rPr>
          <w:rFonts w:cs="Arial"/>
          <w:szCs w:val="24"/>
        </w:rPr>
        <w:t xml:space="preserve">and </w:t>
      </w:r>
      <w:r w:rsidR="00C9589E" w:rsidRPr="005D4C2B">
        <w:rPr>
          <w:rFonts w:cs="Arial"/>
          <w:szCs w:val="24"/>
        </w:rPr>
        <w:t xml:space="preserve">by some </w:t>
      </w:r>
      <w:r w:rsidR="007E7F9D" w:rsidRPr="005D4C2B">
        <w:rPr>
          <w:rFonts w:cs="Arial"/>
          <w:szCs w:val="24"/>
        </w:rPr>
        <w:t>margin.</w:t>
      </w:r>
      <w:r w:rsidR="00C9589E" w:rsidRPr="005D4C2B">
        <w:rPr>
          <w:rFonts w:cs="Arial"/>
          <w:szCs w:val="24"/>
        </w:rPr>
        <w:t xml:space="preserve"> </w:t>
      </w:r>
    </w:p>
    <w:p w14:paraId="04FB625E" w14:textId="6FC04BCB" w:rsidR="003B3B5A" w:rsidRPr="005D4C2B" w:rsidRDefault="005D4C2B" w:rsidP="005D4C2B">
      <w:pPr>
        <w:spacing w:after="360" w:line="480" w:lineRule="auto"/>
        <w:ind w:left="720" w:hanging="720"/>
        <w:jc w:val="both"/>
        <w:rPr>
          <w:rFonts w:cs="Arial"/>
          <w:szCs w:val="24"/>
        </w:rPr>
      </w:pPr>
      <w:r>
        <w:rPr>
          <w:rFonts w:cs="Arial"/>
          <w:szCs w:val="24"/>
        </w:rPr>
        <w:t>[49]</w:t>
      </w:r>
      <w:r>
        <w:rPr>
          <w:rFonts w:cs="Arial"/>
          <w:szCs w:val="24"/>
        </w:rPr>
        <w:tab/>
      </w:r>
      <w:r w:rsidR="00C9589E" w:rsidRPr="005D4C2B">
        <w:rPr>
          <w:rFonts w:cs="Arial"/>
          <w:szCs w:val="24"/>
        </w:rPr>
        <w:t xml:space="preserve">But </w:t>
      </w:r>
      <w:r w:rsidR="00657EAE" w:rsidRPr="005D4C2B">
        <w:rPr>
          <w:rFonts w:cs="Arial"/>
          <w:szCs w:val="24"/>
        </w:rPr>
        <w:t xml:space="preserve">what WBHO contends is that this amounted </w:t>
      </w:r>
      <w:r w:rsidR="00694F5E" w:rsidRPr="005D4C2B">
        <w:rPr>
          <w:rFonts w:cs="Arial"/>
          <w:szCs w:val="24"/>
        </w:rPr>
        <w:t>to a</w:t>
      </w:r>
      <w:r w:rsidR="00B970AA" w:rsidRPr="005D4C2B">
        <w:rPr>
          <w:rFonts w:cs="Arial"/>
          <w:szCs w:val="24"/>
        </w:rPr>
        <w:t xml:space="preserve"> </w:t>
      </w:r>
      <w:r w:rsidR="00C46CC5" w:rsidRPr="005D4C2B">
        <w:rPr>
          <w:rFonts w:cs="Arial"/>
          <w:szCs w:val="24"/>
        </w:rPr>
        <w:t>‘</w:t>
      </w:r>
      <w:r w:rsidR="00B970AA" w:rsidRPr="005D4C2B">
        <w:rPr>
          <w:rFonts w:cs="Arial"/>
          <w:szCs w:val="24"/>
        </w:rPr>
        <w:t>major design change</w:t>
      </w:r>
      <w:r w:rsidR="00C46CC5" w:rsidRPr="005D4C2B">
        <w:rPr>
          <w:rFonts w:cs="Arial"/>
          <w:szCs w:val="24"/>
        </w:rPr>
        <w:t>’</w:t>
      </w:r>
      <w:r w:rsidR="00B970AA" w:rsidRPr="005D4C2B">
        <w:rPr>
          <w:rFonts w:cs="Arial"/>
          <w:szCs w:val="24"/>
        </w:rPr>
        <w:t xml:space="preserve"> and </w:t>
      </w:r>
      <w:r w:rsidR="00EB4444" w:rsidRPr="005D4C2B">
        <w:rPr>
          <w:rFonts w:cs="Arial"/>
          <w:szCs w:val="24"/>
        </w:rPr>
        <w:t>even worse</w:t>
      </w:r>
      <w:r w:rsidR="00636785" w:rsidRPr="005D4C2B">
        <w:rPr>
          <w:rFonts w:cs="Arial"/>
          <w:szCs w:val="24"/>
        </w:rPr>
        <w:t>,</w:t>
      </w:r>
      <w:r w:rsidR="00EB4444" w:rsidRPr="005D4C2B">
        <w:rPr>
          <w:rFonts w:cs="Arial"/>
          <w:szCs w:val="24"/>
        </w:rPr>
        <w:t xml:space="preserve"> amounted to </w:t>
      </w:r>
      <w:r w:rsidR="00636785" w:rsidRPr="005D4C2B">
        <w:rPr>
          <w:rFonts w:cs="Arial"/>
          <w:szCs w:val="24"/>
        </w:rPr>
        <w:t>‘</w:t>
      </w:r>
      <w:r w:rsidR="00EB4444" w:rsidRPr="005D4C2B">
        <w:rPr>
          <w:rFonts w:cs="Arial"/>
          <w:szCs w:val="24"/>
        </w:rPr>
        <w:t>tender manipulation</w:t>
      </w:r>
      <w:r w:rsidR="00636785" w:rsidRPr="005D4C2B">
        <w:rPr>
          <w:rFonts w:cs="Arial"/>
          <w:szCs w:val="24"/>
        </w:rPr>
        <w:t>’</w:t>
      </w:r>
      <w:r w:rsidR="00EB4444" w:rsidRPr="005D4C2B">
        <w:rPr>
          <w:rFonts w:cs="Arial"/>
          <w:szCs w:val="24"/>
        </w:rPr>
        <w:t xml:space="preserve"> designed to </w:t>
      </w:r>
      <w:r w:rsidR="001B0762" w:rsidRPr="005D4C2B">
        <w:rPr>
          <w:rFonts w:cs="Arial"/>
          <w:szCs w:val="24"/>
        </w:rPr>
        <w:t>bring the Grinaker price down so it was affordable to Eskom.</w:t>
      </w:r>
      <w:r w:rsidR="00F6363B" w:rsidRPr="005D4C2B">
        <w:rPr>
          <w:rFonts w:cs="Arial"/>
          <w:szCs w:val="24"/>
        </w:rPr>
        <w:t xml:space="preserve"> These complaints</w:t>
      </w:r>
      <w:r w:rsidR="00C46CC5" w:rsidRPr="005D4C2B">
        <w:rPr>
          <w:rFonts w:cs="Arial"/>
          <w:szCs w:val="24"/>
        </w:rPr>
        <w:t>,</w:t>
      </w:r>
      <w:r w:rsidR="00F6363B" w:rsidRPr="005D4C2B">
        <w:rPr>
          <w:rFonts w:cs="Arial"/>
          <w:szCs w:val="24"/>
        </w:rPr>
        <w:t xml:space="preserve"> although not argued in this way</w:t>
      </w:r>
      <w:r w:rsidR="00C46CC5" w:rsidRPr="005D4C2B">
        <w:rPr>
          <w:rFonts w:cs="Arial"/>
          <w:szCs w:val="24"/>
        </w:rPr>
        <w:t>,</w:t>
      </w:r>
      <w:r w:rsidR="00F6363B" w:rsidRPr="005D4C2B">
        <w:rPr>
          <w:rFonts w:cs="Arial"/>
          <w:szCs w:val="24"/>
        </w:rPr>
        <w:t xml:space="preserve"> suggests two criticisms about the design change.</w:t>
      </w:r>
    </w:p>
    <w:p w14:paraId="74E722B6" w14:textId="21298988" w:rsidR="00F6363B" w:rsidRPr="005D4C2B" w:rsidRDefault="005D4C2B" w:rsidP="005D4C2B">
      <w:pPr>
        <w:spacing w:after="360" w:line="480" w:lineRule="auto"/>
        <w:ind w:left="720" w:hanging="720"/>
        <w:jc w:val="both"/>
        <w:rPr>
          <w:rFonts w:cs="Arial"/>
          <w:szCs w:val="24"/>
        </w:rPr>
      </w:pPr>
      <w:r>
        <w:rPr>
          <w:rFonts w:cs="Arial"/>
          <w:szCs w:val="24"/>
        </w:rPr>
        <w:t>[50]</w:t>
      </w:r>
      <w:r>
        <w:rPr>
          <w:rFonts w:cs="Arial"/>
          <w:szCs w:val="24"/>
        </w:rPr>
        <w:tab/>
      </w:r>
      <w:r w:rsidR="00F6363B" w:rsidRPr="005D4C2B">
        <w:rPr>
          <w:rFonts w:cs="Arial"/>
          <w:szCs w:val="24"/>
        </w:rPr>
        <w:t xml:space="preserve">First that its scope was such that it should have </w:t>
      </w:r>
      <w:r w:rsidR="00A21A6C" w:rsidRPr="005D4C2B">
        <w:rPr>
          <w:rFonts w:cs="Arial"/>
          <w:szCs w:val="24"/>
        </w:rPr>
        <w:t xml:space="preserve">meant that the </w:t>
      </w:r>
      <w:r w:rsidR="00476B2C" w:rsidRPr="005D4C2B">
        <w:rPr>
          <w:rFonts w:cs="Arial"/>
          <w:szCs w:val="24"/>
        </w:rPr>
        <w:t xml:space="preserve">whole Phase 2 project should have been put out </w:t>
      </w:r>
      <w:r w:rsidR="001A3524" w:rsidRPr="005D4C2B">
        <w:rPr>
          <w:rFonts w:cs="Arial"/>
          <w:szCs w:val="24"/>
        </w:rPr>
        <w:t>for a</w:t>
      </w:r>
      <w:r w:rsidR="00476B2C" w:rsidRPr="005D4C2B">
        <w:rPr>
          <w:rFonts w:cs="Arial"/>
          <w:szCs w:val="24"/>
        </w:rPr>
        <w:t xml:space="preserve"> fresh tender. This argument depends on the extent of the change or </w:t>
      </w:r>
      <w:r w:rsidR="00B75BE8" w:rsidRPr="005D4C2B">
        <w:rPr>
          <w:rFonts w:cs="Arial"/>
          <w:szCs w:val="24"/>
        </w:rPr>
        <w:t xml:space="preserve">put differently </w:t>
      </w:r>
      <w:r w:rsidR="00476B2C" w:rsidRPr="005D4C2B">
        <w:rPr>
          <w:rFonts w:cs="Arial"/>
          <w:szCs w:val="24"/>
        </w:rPr>
        <w:t>is an argument about the consequences of sub</w:t>
      </w:r>
      <w:r w:rsidR="00485636" w:rsidRPr="005D4C2B">
        <w:rPr>
          <w:rFonts w:cs="Arial"/>
          <w:szCs w:val="24"/>
        </w:rPr>
        <w:t xml:space="preserve">stantiality. The second suggests bad faith – Eskom was </w:t>
      </w:r>
      <w:r w:rsidR="00534E4E" w:rsidRPr="005D4C2B">
        <w:rPr>
          <w:rFonts w:cs="Arial"/>
          <w:szCs w:val="24"/>
        </w:rPr>
        <w:t>manipulating the costs so as to bring the favoured bidder</w:t>
      </w:r>
      <w:r w:rsidR="001A3524" w:rsidRPr="005D4C2B">
        <w:rPr>
          <w:rFonts w:cs="Arial"/>
          <w:szCs w:val="24"/>
        </w:rPr>
        <w:t>, post award,</w:t>
      </w:r>
      <w:r w:rsidR="00534E4E" w:rsidRPr="005D4C2B">
        <w:rPr>
          <w:rFonts w:cs="Arial"/>
          <w:szCs w:val="24"/>
        </w:rPr>
        <w:t xml:space="preserve"> in line with a market related price.</w:t>
      </w:r>
    </w:p>
    <w:p w14:paraId="7EB6F89E" w14:textId="03C2137C" w:rsidR="00B20BBE" w:rsidRPr="005D4C2B" w:rsidRDefault="005D4C2B" w:rsidP="005D4C2B">
      <w:pPr>
        <w:spacing w:after="360" w:line="480" w:lineRule="auto"/>
        <w:ind w:left="720" w:hanging="720"/>
        <w:jc w:val="both"/>
        <w:rPr>
          <w:rFonts w:cs="Arial"/>
          <w:szCs w:val="24"/>
        </w:rPr>
      </w:pPr>
      <w:r>
        <w:rPr>
          <w:rFonts w:cs="Arial"/>
          <w:szCs w:val="24"/>
        </w:rPr>
        <w:lastRenderedPageBreak/>
        <w:t>[51]</w:t>
      </w:r>
      <w:r>
        <w:rPr>
          <w:rFonts w:cs="Arial"/>
          <w:szCs w:val="24"/>
        </w:rPr>
        <w:tab/>
      </w:r>
      <w:r w:rsidR="00B20BBE" w:rsidRPr="005D4C2B">
        <w:rPr>
          <w:rFonts w:cs="Arial"/>
          <w:szCs w:val="24"/>
        </w:rPr>
        <w:t xml:space="preserve">The argument around substantiality required WBHO to establish that the character of the tender had changed so materially from what was originally advertised that fairness </w:t>
      </w:r>
      <w:r w:rsidR="003D5627" w:rsidRPr="005D4C2B">
        <w:rPr>
          <w:rFonts w:cs="Arial"/>
          <w:szCs w:val="24"/>
        </w:rPr>
        <w:t>required</w:t>
      </w:r>
      <w:r w:rsidR="00B20BBE" w:rsidRPr="005D4C2B">
        <w:rPr>
          <w:rFonts w:cs="Arial"/>
          <w:szCs w:val="24"/>
        </w:rPr>
        <w:t xml:space="preserve"> it be </w:t>
      </w:r>
      <w:r w:rsidR="00E128A2" w:rsidRPr="005D4C2B">
        <w:rPr>
          <w:rFonts w:cs="Arial"/>
          <w:szCs w:val="24"/>
        </w:rPr>
        <w:t>put up for a new bid or that all those invited should be permitted to re-tender based on the new specifications. However</w:t>
      </w:r>
      <w:r w:rsidR="003D5627" w:rsidRPr="005D4C2B">
        <w:rPr>
          <w:rFonts w:cs="Arial"/>
          <w:szCs w:val="24"/>
        </w:rPr>
        <w:t>,</w:t>
      </w:r>
      <w:r w:rsidR="00E128A2" w:rsidRPr="005D4C2B">
        <w:rPr>
          <w:rFonts w:cs="Arial"/>
          <w:szCs w:val="24"/>
        </w:rPr>
        <w:t xml:space="preserve"> it was for WBHO as the applicant to make out its case on this aspect</w:t>
      </w:r>
      <w:r w:rsidR="00863DEE" w:rsidRPr="005D4C2B">
        <w:rPr>
          <w:rFonts w:cs="Arial"/>
          <w:szCs w:val="24"/>
        </w:rPr>
        <w:t xml:space="preserve"> both on the facts and on the law</w:t>
      </w:r>
      <w:r w:rsidR="00E128A2" w:rsidRPr="005D4C2B">
        <w:rPr>
          <w:rFonts w:cs="Arial"/>
          <w:szCs w:val="24"/>
        </w:rPr>
        <w:t>. I was not given any factual basis for doing so. WBHO’s factual case here amounted to no more than repeating what Eskom stated about the difference</w:t>
      </w:r>
      <w:r w:rsidR="0041728E" w:rsidRPr="005D4C2B">
        <w:rPr>
          <w:rFonts w:cs="Arial"/>
          <w:szCs w:val="24"/>
        </w:rPr>
        <w:t xml:space="preserve"> between the two </w:t>
      </w:r>
      <w:r w:rsidR="00DD02A5" w:rsidRPr="005D4C2B">
        <w:rPr>
          <w:rFonts w:cs="Arial"/>
          <w:szCs w:val="24"/>
        </w:rPr>
        <w:t>specifications.</w:t>
      </w:r>
      <w:r w:rsidR="00863DEE" w:rsidRPr="005D4C2B">
        <w:rPr>
          <w:rFonts w:cs="Arial"/>
          <w:szCs w:val="24"/>
        </w:rPr>
        <w:t xml:space="preserve"> The fact that WBHO could so confidently state what its new bid price </w:t>
      </w:r>
      <w:r w:rsidR="00DD02A5" w:rsidRPr="005D4C2B">
        <w:rPr>
          <w:rFonts w:cs="Arial"/>
          <w:szCs w:val="24"/>
        </w:rPr>
        <w:t>would</w:t>
      </w:r>
      <w:r w:rsidR="00863DEE" w:rsidRPr="005D4C2B">
        <w:rPr>
          <w:rFonts w:cs="Arial"/>
          <w:szCs w:val="24"/>
        </w:rPr>
        <w:t xml:space="preserve"> have been had </w:t>
      </w:r>
      <w:r w:rsidR="0045613C" w:rsidRPr="005D4C2B">
        <w:rPr>
          <w:rFonts w:cs="Arial"/>
          <w:szCs w:val="24"/>
        </w:rPr>
        <w:t>it</w:t>
      </w:r>
      <w:r w:rsidR="00863DEE" w:rsidRPr="005D4C2B">
        <w:rPr>
          <w:rFonts w:cs="Arial"/>
          <w:szCs w:val="24"/>
        </w:rPr>
        <w:t xml:space="preserve"> been asked to tender on the new specifications</w:t>
      </w:r>
      <w:r w:rsidR="00A47920" w:rsidRPr="005D4C2B">
        <w:rPr>
          <w:rFonts w:cs="Arial"/>
          <w:szCs w:val="24"/>
        </w:rPr>
        <w:t>,</w:t>
      </w:r>
      <w:r w:rsidR="00863DEE" w:rsidRPr="005D4C2B">
        <w:rPr>
          <w:rFonts w:cs="Arial"/>
          <w:szCs w:val="24"/>
        </w:rPr>
        <w:t xml:space="preserve"> suggests that they were not that </w:t>
      </w:r>
      <w:r w:rsidR="00FA7D2F" w:rsidRPr="005D4C2B">
        <w:rPr>
          <w:rFonts w:cs="Arial"/>
          <w:szCs w:val="24"/>
        </w:rPr>
        <w:t>substantial</w:t>
      </w:r>
      <w:r w:rsidR="002C261D" w:rsidRPr="005D4C2B">
        <w:rPr>
          <w:rFonts w:cs="Arial"/>
          <w:szCs w:val="24"/>
        </w:rPr>
        <w:t xml:space="preserve"> technically</w:t>
      </w:r>
      <w:r w:rsidR="00FA7D2F" w:rsidRPr="005D4C2B">
        <w:rPr>
          <w:rFonts w:cs="Arial"/>
          <w:szCs w:val="24"/>
        </w:rPr>
        <w:t>.</w:t>
      </w:r>
      <w:r w:rsidR="00863DEE" w:rsidRPr="005D4C2B">
        <w:rPr>
          <w:rFonts w:cs="Arial"/>
          <w:szCs w:val="24"/>
        </w:rPr>
        <w:t xml:space="preserve"> One layer of the materials to be used as opposed to two. </w:t>
      </w:r>
      <w:r w:rsidR="00690CA1" w:rsidRPr="005D4C2B">
        <w:rPr>
          <w:rFonts w:cs="Arial"/>
          <w:szCs w:val="24"/>
        </w:rPr>
        <w:t xml:space="preserve">This does not on the face of it appear to be a substantial design change that materially could have affected the nature of the original bid. </w:t>
      </w:r>
      <w:r w:rsidR="001D145A" w:rsidRPr="005D4C2B">
        <w:rPr>
          <w:rFonts w:cs="Arial"/>
          <w:szCs w:val="24"/>
        </w:rPr>
        <w:t>It was not seeking a complete re-de</w:t>
      </w:r>
      <w:r w:rsidR="005C7668" w:rsidRPr="005D4C2B">
        <w:rPr>
          <w:rFonts w:cs="Arial"/>
          <w:szCs w:val="24"/>
        </w:rPr>
        <w:t>s</w:t>
      </w:r>
      <w:r w:rsidR="001D145A" w:rsidRPr="005D4C2B">
        <w:rPr>
          <w:rFonts w:cs="Arial"/>
          <w:szCs w:val="24"/>
        </w:rPr>
        <w:t xml:space="preserve">ign of the waste </w:t>
      </w:r>
      <w:r w:rsidR="008B3386" w:rsidRPr="005D4C2B">
        <w:rPr>
          <w:rFonts w:cs="Arial"/>
          <w:szCs w:val="24"/>
        </w:rPr>
        <w:t>facility</w:t>
      </w:r>
      <w:r w:rsidR="001D145A" w:rsidRPr="005D4C2B">
        <w:rPr>
          <w:rFonts w:cs="Arial"/>
          <w:szCs w:val="24"/>
        </w:rPr>
        <w:t xml:space="preserve"> – only </w:t>
      </w:r>
      <w:r w:rsidR="001B192D" w:rsidRPr="005D4C2B">
        <w:rPr>
          <w:rFonts w:cs="Arial"/>
          <w:szCs w:val="24"/>
        </w:rPr>
        <w:t>a reduction on the protective layer</w:t>
      </w:r>
      <w:r w:rsidR="00325B2B" w:rsidRPr="005D4C2B">
        <w:rPr>
          <w:rFonts w:cs="Arial"/>
          <w:szCs w:val="24"/>
        </w:rPr>
        <w:t>,</w:t>
      </w:r>
      <w:r w:rsidR="001D145A" w:rsidRPr="005D4C2B">
        <w:rPr>
          <w:rFonts w:cs="Arial"/>
          <w:szCs w:val="24"/>
        </w:rPr>
        <w:t xml:space="preserve"> subject to environmental approval</w:t>
      </w:r>
      <w:r w:rsidR="00325B2B" w:rsidRPr="005D4C2B">
        <w:rPr>
          <w:rFonts w:cs="Arial"/>
          <w:szCs w:val="24"/>
        </w:rPr>
        <w:t>,</w:t>
      </w:r>
      <w:r w:rsidR="001D145A" w:rsidRPr="005D4C2B">
        <w:rPr>
          <w:rFonts w:cs="Arial"/>
          <w:szCs w:val="24"/>
        </w:rPr>
        <w:t xml:space="preserve"> which it had got. </w:t>
      </w:r>
      <w:r w:rsidR="00325B2B" w:rsidRPr="005D4C2B">
        <w:rPr>
          <w:rFonts w:cs="Arial"/>
          <w:szCs w:val="24"/>
        </w:rPr>
        <w:t>Moreover</w:t>
      </w:r>
      <w:r w:rsidR="00BC2C13" w:rsidRPr="005D4C2B">
        <w:rPr>
          <w:rFonts w:cs="Arial"/>
          <w:szCs w:val="24"/>
        </w:rPr>
        <w:t>,</w:t>
      </w:r>
      <w:r w:rsidR="00325B2B" w:rsidRPr="005D4C2B">
        <w:rPr>
          <w:rFonts w:cs="Arial"/>
          <w:szCs w:val="24"/>
        </w:rPr>
        <w:t xml:space="preserve"> it led to a reduction in expense not an increase</w:t>
      </w:r>
      <w:r w:rsidR="00203D72" w:rsidRPr="005D4C2B">
        <w:rPr>
          <w:rFonts w:cs="Arial"/>
          <w:szCs w:val="24"/>
        </w:rPr>
        <w:t>.</w:t>
      </w:r>
    </w:p>
    <w:p w14:paraId="63386579" w14:textId="74BBBE0C" w:rsidR="00DB4B52" w:rsidRPr="005D4C2B" w:rsidRDefault="005D4C2B" w:rsidP="005D4C2B">
      <w:pPr>
        <w:spacing w:after="360" w:line="480" w:lineRule="auto"/>
        <w:ind w:left="720" w:hanging="720"/>
        <w:jc w:val="both"/>
        <w:rPr>
          <w:rFonts w:cs="Arial"/>
          <w:szCs w:val="24"/>
        </w:rPr>
      </w:pPr>
      <w:r>
        <w:rPr>
          <w:rFonts w:cs="Arial"/>
          <w:szCs w:val="24"/>
        </w:rPr>
        <w:t>[52]</w:t>
      </w:r>
      <w:r>
        <w:rPr>
          <w:rFonts w:cs="Arial"/>
          <w:szCs w:val="24"/>
        </w:rPr>
        <w:tab/>
      </w:r>
      <w:r w:rsidR="00DB4B52" w:rsidRPr="005D4C2B">
        <w:rPr>
          <w:rFonts w:cs="Arial"/>
          <w:szCs w:val="24"/>
        </w:rPr>
        <w:t xml:space="preserve">Nor has WBHO referred me to any case law as to when a change in design is so material as to justify </w:t>
      </w:r>
      <w:r w:rsidR="002B6738" w:rsidRPr="005D4C2B">
        <w:rPr>
          <w:rFonts w:cs="Arial"/>
          <w:szCs w:val="24"/>
        </w:rPr>
        <w:t>on the grounds of fairness</w:t>
      </w:r>
      <w:r w:rsidR="00F57902" w:rsidRPr="005D4C2B">
        <w:rPr>
          <w:rFonts w:cs="Arial"/>
          <w:szCs w:val="24"/>
        </w:rPr>
        <w:t>, transparency</w:t>
      </w:r>
      <w:r w:rsidR="00FA0C27" w:rsidRPr="005D4C2B">
        <w:rPr>
          <w:rFonts w:cs="Arial"/>
          <w:szCs w:val="24"/>
        </w:rPr>
        <w:t xml:space="preserve">, cost </w:t>
      </w:r>
      <w:r w:rsidR="00130D77" w:rsidRPr="005D4C2B">
        <w:rPr>
          <w:rFonts w:cs="Arial"/>
          <w:szCs w:val="24"/>
        </w:rPr>
        <w:t>effectiveness</w:t>
      </w:r>
      <w:r w:rsidR="00F57902" w:rsidRPr="005D4C2B">
        <w:rPr>
          <w:rFonts w:cs="Arial"/>
          <w:szCs w:val="24"/>
        </w:rPr>
        <w:t xml:space="preserve"> or equitability,</w:t>
      </w:r>
      <w:r w:rsidR="002B6738" w:rsidRPr="005D4C2B">
        <w:rPr>
          <w:rFonts w:cs="Arial"/>
          <w:szCs w:val="24"/>
        </w:rPr>
        <w:t xml:space="preserve"> that a new bid is required. </w:t>
      </w:r>
      <w:r w:rsidR="00FA2023" w:rsidRPr="005D4C2B">
        <w:rPr>
          <w:rFonts w:cs="Arial"/>
          <w:szCs w:val="24"/>
        </w:rPr>
        <w:t xml:space="preserve">Eskom makes the point that its tender documents stipulated that </w:t>
      </w:r>
      <w:r w:rsidR="008D3057" w:rsidRPr="005D4C2B">
        <w:rPr>
          <w:rFonts w:cs="Arial"/>
          <w:szCs w:val="24"/>
        </w:rPr>
        <w:t xml:space="preserve">Eskom reserved the right to engage in post tender negotiations </w:t>
      </w:r>
      <w:r w:rsidR="00D3012E" w:rsidRPr="005D4C2B">
        <w:rPr>
          <w:rFonts w:cs="Arial"/>
          <w:szCs w:val="24"/>
        </w:rPr>
        <w:t>with a preferred bidder</w:t>
      </w:r>
      <w:r w:rsidR="00F12FE7" w:rsidRPr="005D4C2B">
        <w:rPr>
          <w:rFonts w:cs="Arial"/>
          <w:szCs w:val="24"/>
        </w:rPr>
        <w:t>. According</w:t>
      </w:r>
      <w:r w:rsidR="00D45C18" w:rsidRPr="005D4C2B">
        <w:rPr>
          <w:rFonts w:cs="Arial"/>
          <w:szCs w:val="24"/>
        </w:rPr>
        <w:t xml:space="preserve"> to </w:t>
      </w:r>
      <w:r w:rsidR="00F12FE7" w:rsidRPr="005D4C2B">
        <w:rPr>
          <w:rFonts w:cs="Arial"/>
          <w:szCs w:val="24"/>
        </w:rPr>
        <w:t xml:space="preserve">the </w:t>
      </w:r>
      <w:r w:rsidR="00F53D72" w:rsidRPr="005D4C2B">
        <w:rPr>
          <w:rFonts w:cs="Arial"/>
          <w:szCs w:val="24"/>
        </w:rPr>
        <w:t>invitation</w:t>
      </w:r>
      <w:r w:rsidR="008C7638" w:rsidRPr="005D4C2B">
        <w:rPr>
          <w:rFonts w:cs="Arial"/>
          <w:szCs w:val="24"/>
        </w:rPr>
        <w:t xml:space="preserve"> to tender</w:t>
      </w:r>
      <w:r w:rsidR="00F12FE7" w:rsidRPr="005D4C2B">
        <w:rPr>
          <w:rFonts w:cs="Arial"/>
          <w:szCs w:val="24"/>
        </w:rPr>
        <w:t xml:space="preserve"> </w:t>
      </w:r>
      <w:r w:rsidR="00F53D72" w:rsidRPr="005D4C2B">
        <w:rPr>
          <w:rFonts w:cs="Arial"/>
          <w:szCs w:val="24"/>
        </w:rPr>
        <w:t>document:</w:t>
      </w:r>
    </w:p>
    <w:p w14:paraId="02B24E11" w14:textId="4B65A989" w:rsidR="00F12FE7" w:rsidRPr="00260321" w:rsidRDefault="005D4C2B" w:rsidP="005D4C2B">
      <w:pPr>
        <w:pStyle w:val="ListParagraph"/>
        <w:spacing w:after="360" w:line="480" w:lineRule="auto"/>
        <w:ind w:left="1440"/>
        <w:jc w:val="both"/>
        <w:rPr>
          <w:rFonts w:cs="Arial"/>
          <w:i/>
          <w:iCs/>
          <w:szCs w:val="24"/>
        </w:rPr>
      </w:pPr>
      <w:r>
        <w:rPr>
          <w:rFonts w:cs="Arial"/>
          <w:i/>
          <w:iCs/>
          <w:szCs w:val="24"/>
        </w:rPr>
        <w:lastRenderedPageBreak/>
        <w:t>“</w:t>
      </w:r>
      <w:r w:rsidR="008C7638" w:rsidRPr="00260321">
        <w:rPr>
          <w:rFonts w:cs="Arial"/>
          <w:i/>
          <w:iCs/>
          <w:szCs w:val="24"/>
        </w:rPr>
        <w:t>Please note: Eskom reserves the right to negotiate with preferred bidders after a competitive bidding process or price quotations; should the tendered prices not be deemed market-related</w:t>
      </w:r>
      <w:r>
        <w:rPr>
          <w:rFonts w:cs="Arial"/>
          <w:i/>
          <w:iCs/>
          <w:szCs w:val="24"/>
        </w:rPr>
        <w:t>”</w:t>
      </w:r>
      <w:r w:rsidR="008C7638" w:rsidRPr="00260321">
        <w:rPr>
          <w:rFonts w:cs="Arial"/>
          <w:i/>
          <w:iCs/>
          <w:szCs w:val="24"/>
        </w:rPr>
        <w:t>.</w:t>
      </w:r>
    </w:p>
    <w:p w14:paraId="5DD52913" w14:textId="16A65B4E" w:rsidR="00AD1891" w:rsidRPr="005D4C2B" w:rsidRDefault="005D4C2B" w:rsidP="005D4C2B">
      <w:pPr>
        <w:spacing w:after="360" w:line="480" w:lineRule="auto"/>
        <w:ind w:left="720" w:hanging="720"/>
        <w:jc w:val="both"/>
        <w:rPr>
          <w:rFonts w:cs="Arial"/>
          <w:i/>
          <w:iCs/>
          <w:szCs w:val="24"/>
        </w:rPr>
      </w:pPr>
      <w:r>
        <w:rPr>
          <w:rFonts w:cs="Arial"/>
          <w:szCs w:val="24"/>
        </w:rPr>
        <w:t>[53]</w:t>
      </w:r>
      <w:r>
        <w:rPr>
          <w:rFonts w:cs="Arial"/>
          <w:szCs w:val="24"/>
        </w:rPr>
        <w:tab/>
      </w:r>
      <w:r w:rsidR="008C7638" w:rsidRPr="005D4C2B">
        <w:rPr>
          <w:rFonts w:cs="Arial"/>
          <w:szCs w:val="24"/>
        </w:rPr>
        <w:t xml:space="preserve">This is precisely what Eskom did. It </w:t>
      </w:r>
      <w:r w:rsidR="00291143" w:rsidRPr="005D4C2B">
        <w:rPr>
          <w:rFonts w:cs="Arial"/>
          <w:szCs w:val="24"/>
        </w:rPr>
        <w:t>concluded</w:t>
      </w:r>
      <w:r w:rsidR="008C7638" w:rsidRPr="005D4C2B">
        <w:rPr>
          <w:rFonts w:cs="Arial"/>
          <w:szCs w:val="24"/>
        </w:rPr>
        <w:t xml:space="preserve"> the price</w:t>
      </w:r>
      <w:r w:rsidR="00291143" w:rsidRPr="005D4C2B">
        <w:rPr>
          <w:rFonts w:cs="Arial"/>
          <w:szCs w:val="24"/>
        </w:rPr>
        <w:t xml:space="preserve"> was</w:t>
      </w:r>
      <w:r w:rsidR="008C7638" w:rsidRPr="005D4C2B">
        <w:rPr>
          <w:rFonts w:cs="Arial"/>
          <w:szCs w:val="24"/>
        </w:rPr>
        <w:t xml:space="preserve"> not market related and it </w:t>
      </w:r>
      <w:r w:rsidR="00694F5E" w:rsidRPr="005D4C2B">
        <w:rPr>
          <w:rFonts w:cs="Arial"/>
          <w:szCs w:val="24"/>
        </w:rPr>
        <w:t>negotiated</w:t>
      </w:r>
      <w:r w:rsidR="008C7638" w:rsidRPr="005D4C2B">
        <w:rPr>
          <w:rFonts w:cs="Arial"/>
          <w:szCs w:val="24"/>
        </w:rPr>
        <w:t xml:space="preserve"> it to a lower price. Second it makes the point that the regulatory approval from the Department only came in </w:t>
      </w:r>
      <w:r w:rsidR="00B44601" w:rsidRPr="005D4C2B">
        <w:rPr>
          <w:rFonts w:cs="Arial"/>
          <w:szCs w:val="24"/>
        </w:rPr>
        <w:t xml:space="preserve">October 2021 – ten months after Grinaker had been awarded the bid. </w:t>
      </w:r>
      <w:r w:rsidR="00EC10D0" w:rsidRPr="005D4C2B">
        <w:rPr>
          <w:rFonts w:cs="Arial"/>
          <w:szCs w:val="24"/>
        </w:rPr>
        <w:t>This negates any suggestion of ten</w:t>
      </w:r>
      <w:r w:rsidR="00EA61C8" w:rsidRPr="005D4C2B">
        <w:rPr>
          <w:rFonts w:cs="Arial"/>
          <w:szCs w:val="24"/>
        </w:rPr>
        <w:t>d</w:t>
      </w:r>
      <w:r w:rsidR="00EC10D0" w:rsidRPr="005D4C2B">
        <w:rPr>
          <w:rFonts w:cs="Arial"/>
          <w:szCs w:val="24"/>
        </w:rPr>
        <w:t>er manipulation</w:t>
      </w:r>
      <w:r w:rsidR="00EA61C8" w:rsidRPr="005D4C2B">
        <w:rPr>
          <w:rFonts w:cs="Arial"/>
          <w:szCs w:val="24"/>
        </w:rPr>
        <w:t>. Eskom needed this consent in order to lower the tender specification downwards</w:t>
      </w:r>
      <w:r w:rsidR="00AD1891" w:rsidRPr="005D4C2B">
        <w:rPr>
          <w:rFonts w:cs="Arial"/>
          <w:szCs w:val="24"/>
        </w:rPr>
        <w:t xml:space="preserve"> and this was not available to it at the time of the original bid.</w:t>
      </w:r>
    </w:p>
    <w:p w14:paraId="1792A610" w14:textId="5880290B" w:rsidR="001A05DB" w:rsidRPr="005D4C2B" w:rsidRDefault="005D4C2B" w:rsidP="005D4C2B">
      <w:pPr>
        <w:spacing w:after="360" w:line="480" w:lineRule="auto"/>
        <w:jc w:val="both"/>
        <w:rPr>
          <w:rFonts w:cs="Arial"/>
          <w:i/>
          <w:iCs/>
          <w:szCs w:val="24"/>
        </w:rPr>
      </w:pPr>
      <w:r>
        <w:rPr>
          <w:rFonts w:cs="Arial"/>
          <w:szCs w:val="24"/>
        </w:rPr>
        <w:t>[54]</w:t>
      </w:r>
      <w:r>
        <w:rPr>
          <w:rFonts w:cs="Arial"/>
          <w:szCs w:val="24"/>
        </w:rPr>
        <w:tab/>
      </w:r>
      <w:r w:rsidR="00AD1891" w:rsidRPr="005D4C2B">
        <w:rPr>
          <w:rFonts w:cs="Arial"/>
          <w:szCs w:val="24"/>
        </w:rPr>
        <w:t xml:space="preserve">I find that this second </w:t>
      </w:r>
      <w:r w:rsidR="008721D9" w:rsidRPr="005D4C2B">
        <w:rPr>
          <w:rFonts w:cs="Arial"/>
          <w:szCs w:val="24"/>
        </w:rPr>
        <w:t xml:space="preserve">basis for </w:t>
      </w:r>
      <w:r w:rsidR="00221537" w:rsidRPr="005D4C2B">
        <w:rPr>
          <w:rFonts w:cs="Arial"/>
          <w:szCs w:val="24"/>
        </w:rPr>
        <w:t>review is</w:t>
      </w:r>
      <w:r w:rsidR="00FE34C5" w:rsidRPr="005D4C2B">
        <w:rPr>
          <w:rFonts w:cs="Arial"/>
          <w:szCs w:val="24"/>
        </w:rPr>
        <w:t xml:space="preserve"> </w:t>
      </w:r>
      <w:r w:rsidR="008721D9" w:rsidRPr="005D4C2B">
        <w:rPr>
          <w:rFonts w:cs="Arial"/>
          <w:szCs w:val="24"/>
        </w:rPr>
        <w:t xml:space="preserve">also </w:t>
      </w:r>
      <w:r w:rsidR="00FE34C5" w:rsidRPr="005D4C2B">
        <w:rPr>
          <w:rFonts w:cs="Arial"/>
          <w:szCs w:val="24"/>
        </w:rPr>
        <w:t>without foundation.</w:t>
      </w:r>
    </w:p>
    <w:p w14:paraId="6D2C0551" w14:textId="09B52640" w:rsidR="00AA7220" w:rsidRPr="00260321" w:rsidRDefault="00AA7220" w:rsidP="005D4C2B">
      <w:pPr>
        <w:pStyle w:val="ListParagraph"/>
        <w:spacing w:after="360" w:line="480" w:lineRule="auto"/>
        <w:ind w:left="360" w:firstLine="360"/>
        <w:jc w:val="both"/>
        <w:rPr>
          <w:rFonts w:cs="Arial"/>
          <w:b/>
          <w:bCs/>
          <w:i/>
          <w:iCs/>
          <w:szCs w:val="24"/>
        </w:rPr>
      </w:pPr>
      <w:r w:rsidRPr="00260321">
        <w:rPr>
          <w:rFonts w:cs="Arial"/>
          <w:b/>
          <w:bCs/>
          <w:szCs w:val="24"/>
        </w:rPr>
        <w:t>Was WBHO’s</w:t>
      </w:r>
      <w:r w:rsidR="008A52CB" w:rsidRPr="00260321">
        <w:rPr>
          <w:rFonts w:cs="Arial"/>
          <w:b/>
          <w:bCs/>
          <w:szCs w:val="24"/>
        </w:rPr>
        <w:t xml:space="preserve"> allegation that its</w:t>
      </w:r>
      <w:r w:rsidRPr="00260321">
        <w:rPr>
          <w:rFonts w:cs="Arial"/>
          <w:b/>
          <w:bCs/>
          <w:szCs w:val="24"/>
        </w:rPr>
        <w:t xml:space="preserve"> bid </w:t>
      </w:r>
      <w:r w:rsidR="008A52CB" w:rsidRPr="00260321">
        <w:rPr>
          <w:rFonts w:cs="Arial"/>
          <w:b/>
          <w:bCs/>
          <w:szCs w:val="24"/>
        </w:rPr>
        <w:t xml:space="preserve">was </w:t>
      </w:r>
      <w:r w:rsidRPr="00260321">
        <w:rPr>
          <w:rFonts w:cs="Arial"/>
          <w:b/>
          <w:bCs/>
          <w:szCs w:val="24"/>
        </w:rPr>
        <w:t xml:space="preserve">superior </w:t>
      </w:r>
      <w:r w:rsidR="001A05DB" w:rsidRPr="00260321">
        <w:rPr>
          <w:rFonts w:cs="Arial"/>
          <w:b/>
          <w:bCs/>
          <w:szCs w:val="24"/>
        </w:rPr>
        <w:t>to Grinaker’s</w:t>
      </w:r>
      <w:r w:rsidR="00FD019E" w:rsidRPr="00260321">
        <w:rPr>
          <w:rFonts w:cs="Arial"/>
          <w:b/>
          <w:bCs/>
          <w:szCs w:val="24"/>
        </w:rPr>
        <w:t xml:space="preserve"> relevant?</w:t>
      </w:r>
    </w:p>
    <w:p w14:paraId="52186438" w14:textId="1AFE5861" w:rsidR="001A05DB" w:rsidRPr="005D4C2B" w:rsidRDefault="005D4C2B" w:rsidP="005D4C2B">
      <w:pPr>
        <w:spacing w:after="360" w:line="480" w:lineRule="auto"/>
        <w:ind w:left="720" w:hanging="720"/>
        <w:jc w:val="both"/>
        <w:rPr>
          <w:rFonts w:cs="Arial"/>
          <w:i/>
          <w:iCs/>
          <w:szCs w:val="24"/>
        </w:rPr>
      </w:pPr>
      <w:r>
        <w:rPr>
          <w:rFonts w:cs="Arial"/>
          <w:szCs w:val="24"/>
        </w:rPr>
        <w:t>[55]</w:t>
      </w:r>
      <w:r>
        <w:rPr>
          <w:rFonts w:cs="Arial"/>
          <w:szCs w:val="24"/>
        </w:rPr>
        <w:tab/>
      </w:r>
      <w:r w:rsidR="00AA7220" w:rsidRPr="005D4C2B">
        <w:rPr>
          <w:rFonts w:cs="Arial"/>
          <w:szCs w:val="24"/>
        </w:rPr>
        <w:t>Much was made by WBHO in its papers about the fact that its bid was substa</w:t>
      </w:r>
      <w:r w:rsidR="00B809F8" w:rsidRPr="005D4C2B">
        <w:rPr>
          <w:rFonts w:cs="Arial"/>
          <w:szCs w:val="24"/>
        </w:rPr>
        <w:t>ntially lower than that of Grinaker’s</w:t>
      </w:r>
      <w:r w:rsidR="004115E4" w:rsidRPr="005D4C2B">
        <w:rPr>
          <w:rFonts w:cs="Arial"/>
          <w:szCs w:val="24"/>
        </w:rPr>
        <w:t>,</w:t>
      </w:r>
      <w:r w:rsidR="00B809F8" w:rsidRPr="005D4C2B">
        <w:rPr>
          <w:rFonts w:cs="Arial"/>
          <w:szCs w:val="24"/>
        </w:rPr>
        <w:t xml:space="preserve"> before the specification to Class C was made</w:t>
      </w:r>
      <w:r w:rsidR="004115E4" w:rsidRPr="005D4C2B">
        <w:rPr>
          <w:rFonts w:cs="Arial"/>
          <w:szCs w:val="24"/>
        </w:rPr>
        <w:t>,</w:t>
      </w:r>
      <w:r w:rsidR="00B809F8" w:rsidRPr="005D4C2B">
        <w:rPr>
          <w:rFonts w:cs="Arial"/>
          <w:szCs w:val="24"/>
        </w:rPr>
        <w:t xml:space="preserve"> and that even thereafter</w:t>
      </w:r>
      <w:r w:rsidR="004115E4" w:rsidRPr="005D4C2B">
        <w:rPr>
          <w:rFonts w:cs="Arial"/>
          <w:szCs w:val="24"/>
        </w:rPr>
        <w:t>,</w:t>
      </w:r>
      <w:r w:rsidR="00B809F8" w:rsidRPr="005D4C2B">
        <w:rPr>
          <w:rFonts w:cs="Arial"/>
          <w:szCs w:val="24"/>
        </w:rPr>
        <w:t xml:space="preserve"> its bid</w:t>
      </w:r>
      <w:r w:rsidR="004115E4" w:rsidRPr="005D4C2B">
        <w:rPr>
          <w:rFonts w:cs="Arial"/>
          <w:szCs w:val="24"/>
        </w:rPr>
        <w:t>,</w:t>
      </w:r>
      <w:r w:rsidR="00B809F8" w:rsidRPr="005D4C2B">
        <w:rPr>
          <w:rFonts w:cs="Arial"/>
          <w:szCs w:val="24"/>
        </w:rPr>
        <w:t xml:space="preserve"> if re-tendered</w:t>
      </w:r>
      <w:r w:rsidR="004115E4" w:rsidRPr="005D4C2B">
        <w:rPr>
          <w:rFonts w:cs="Arial"/>
          <w:szCs w:val="24"/>
        </w:rPr>
        <w:t>,</w:t>
      </w:r>
      <w:r w:rsidR="00B809F8" w:rsidRPr="005D4C2B">
        <w:rPr>
          <w:rFonts w:cs="Arial"/>
          <w:szCs w:val="24"/>
        </w:rPr>
        <w:t xml:space="preserve"> would have remained lower.</w:t>
      </w:r>
      <w:r w:rsidR="008A52CB" w:rsidRPr="00260321">
        <w:rPr>
          <w:rStyle w:val="FootnoteReference"/>
          <w:rFonts w:cs="Arial"/>
          <w:szCs w:val="24"/>
        </w:rPr>
        <w:footnoteReference w:id="17"/>
      </w:r>
      <w:r w:rsidR="00B809F8" w:rsidRPr="005D4C2B">
        <w:rPr>
          <w:rFonts w:cs="Arial"/>
          <w:szCs w:val="24"/>
        </w:rPr>
        <w:t xml:space="preserve"> It also suggested that as the firm that had undertaken Phase 1 it was the obvious candidate for Phase 2</w:t>
      </w:r>
      <w:r w:rsidR="003F5750" w:rsidRPr="005D4C2B">
        <w:rPr>
          <w:rFonts w:cs="Arial"/>
          <w:szCs w:val="24"/>
        </w:rPr>
        <w:t xml:space="preserve">. Further remarks about </w:t>
      </w:r>
      <w:r w:rsidR="005105C6" w:rsidRPr="005D4C2B">
        <w:rPr>
          <w:rFonts w:cs="Arial"/>
          <w:szCs w:val="24"/>
        </w:rPr>
        <w:t>Grinaker</w:t>
      </w:r>
      <w:r w:rsidR="003F5750" w:rsidRPr="005D4C2B">
        <w:rPr>
          <w:rFonts w:cs="Arial"/>
          <w:szCs w:val="24"/>
        </w:rPr>
        <w:t>’</w:t>
      </w:r>
      <w:r w:rsidR="005105C6" w:rsidRPr="005D4C2B">
        <w:rPr>
          <w:rFonts w:cs="Arial"/>
          <w:szCs w:val="24"/>
        </w:rPr>
        <w:t>s</w:t>
      </w:r>
      <w:r w:rsidR="003F5750" w:rsidRPr="005D4C2B">
        <w:rPr>
          <w:rFonts w:cs="Arial"/>
          <w:szCs w:val="24"/>
        </w:rPr>
        <w:t xml:space="preserve"> financial status were also made arising from concerns </w:t>
      </w:r>
      <w:r w:rsidR="00916943" w:rsidRPr="005D4C2B">
        <w:rPr>
          <w:rFonts w:cs="Arial"/>
          <w:szCs w:val="24"/>
        </w:rPr>
        <w:t>that emerged by Eskom itself in the record. However</w:t>
      </w:r>
      <w:r w:rsidR="005105C6" w:rsidRPr="005D4C2B">
        <w:rPr>
          <w:rFonts w:cs="Arial"/>
          <w:szCs w:val="24"/>
        </w:rPr>
        <w:t>,</w:t>
      </w:r>
      <w:r w:rsidR="00916943" w:rsidRPr="005D4C2B">
        <w:rPr>
          <w:rFonts w:cs="Arial"/>
          <w:szCs w:val="24"/>
        </w:rPr>
        <w:t xml:space="preserve"> this case does not concern whether Eskom chose the best </w:t>
      </w:r>
      <w:r w:rsidR="00C42E97" w:rsidRPr="005D4C2B">
        <w:rPr>
          <w:rFonts w:cs="Arial"/>
          <w:szCs w:val="24"/>
        </w:rPr>
        <w:t>candidate</w:t>
      </w:r>
      <w:r w:rsidR="00916943" w:rsidRPr="005D4C2B">
        <w:rPr>
          <w:rFonts w:cs="Arial"/>
          <w:szCs w:val="24"/>
        </w:rPr>
        <w:t xml:space="preserve">. It is about whether </w:t>
      </w:r>
      <w:r w:rsidR="00333112" w:rsidRPr="005D4C2B">
        <w:rPr>
          <w:rFonts w:cs="Arial"/>
          <w:szCs w:val="24"/>
        </w:rPr>
        <w:t xml:space="preserve">WBHO was incorrectly disqualified from further consideration. I found that </w:t>
      </w:r>
      <w:r w:rsidR="00333112" w:rsidRPr="005D4C2B">
        <w:rPr>
          <w:rFonts w:cs="Arial"/>
          <w:szCs w:val="24"/>
        </w:rPr>
        <w:lastRenderedPageBreak/>
        <w:t>it was not. Second</w:t>
      </w:r>
      <w:r w:rsidR="00C42E97" w:rsidRPr="005D4C2B">
        <w:rPr>
          <w:rFonts w:cs="Arial"/>
          <w:szCs w:val="24"/>
        </w:rPr>
        <w:t>,</w:t>
      </w:r>
      <w:r w:rsidR="00333112" w:rsidRPr="005D4C2B">
        <w:rPr>
          <w:rFonts w:cs="Arial"/>
          <w:szCs w:val="24"/>
        </w:rPr>
        <w:t xml:space="preserve"> whether given the scope change a new tender was required and I found that it did not. </w:t>
      </w:r>
    </w:p>
    <w:p w14:paraId="31AD337B" w14:textId="6FF982B6" w:rsidR="00FE34C5" w:rsidRPr="005D4C2B" w:rsidRDefault="00FE34C5" w:rsidP="005D4C2B">
      <w:pPr>
        <w:spacing w:after="360" w:line="480" w:lineRule="auto"/>
        <w:ind w:firstLine="720"/>
        <w:jc w:val="both"/>
        <w:rPr>
          <w:rFonts w:cs="Arial"/>
          <w:b/>
          <w:bCs/>
          <w:i/>
          <w:iCs/>
          <w:szCs w:val="24"/>
        </w:rPr>
      </w:pPr>
      <w:r w:rsidRPr="005D4C2B">
        <w:rPr>
          <w:rFonts w:cs="Arial"/>
          <w:b/>
          <w:bCs/>
          <w:szCs w:val="24"/>
        </w:rPr>
        <w:t>Costs</w:t>
      </w:r>
    </w:p>
    <w:p w14:paraId="695A1721" w14:textId="62EAE106" w:rsidR="00620463" w:rsidRPr="005D4C2B" w:rsidRDefault="005D4C2B" w:rsidP="005D4C2B">
      <w:pPr>
        <w:spacing w:after="360" w:line="480" w:lineRule="auto"/>
        <w:ind w:left="720" w:hanging="720"/>
        <w:jc w:val="both"/>
        <w:rPr>
          <w:rFonts w:cs="Arial"/>
          <w:i/>
          <w:iCs/>
          <w:szCs w:val="24"/>
        </w:rPr>
      </w:pPr>
      <w:r>
        <w:rPr>
          <w:rFonts w:cs="Arial"/>
          <w:szCs w:val="24"/>
        </w:rPr>
        <w:t>[56]</w:t>
      </w:r>
      <w:r>
        <w:rPr>
          <w:rFonts w:cs="Arial"/>
          <w:szCs w:val="24"/>
        </w:rPr>
        <w:tab/>
      </w:r>
      <w:r w:rsidR="009534BF" w:rsidRPr="005D4C2B">
        <w:rPr>
          <w:rFonts w:cs="Arial"/>
          <w:szCs w:val="24"/>
        </w:rPr>
        <w:t xml:space="preserve">This case started as an urgent application </w:t>
      </w:r>
      <w:r w:rsidR="00C81DA0" w:rsidRPr="005D4C2B">
        <w:rPr>
          <w:rFonts w:cs="Arial"/>
          <w:szCs w:val="24"/>
        </w:rPr>
        <w:t>with Part A being urgent and Part B</w:t>
      </w:r>
      <w:r w:rsidR="00C9008F" w:rsidRPr="005D4C2B">
        <w:rPr>
          <w:rFonts w:cs="Arial"/>
          <w:szCs w:val="24"/>
        </w:rPr>
        <w:t>,</w:t>
      </w:r>
      <w:r w:rsidR="00C81DA0" w:rsidRPr="005D4C2B">
        <w:rPr>
          <w:rFonts w:cs="Arial"/>
          <w:szCs w:val="24"/>
        </w:rPr>
        <w:t xml:space="preserve"> or the present application</w:t>
      </w:r>
      <w:r w:rsidR="00221537" w:rsidRPr="005D4C2B">
        <w:rPr>
          <w:rFonts w:cs="Arial"/>
          <w:szCs w:val="24"/>
        </w:rPr>
        <w:t>,</w:t>
      </w:r>
      <w:r w:rsidR="00C81DA0" w:rsidRPr="005D4C2B">
        <w:rPr>
          <w:rFonts w:cs="Arial"/>
          <w:szCs w:val="24"/>
        </w:rPr>
        <w:t xml:space="preserve"> being brought in the ordinary course. The urgent application was never heard but the pleadings got as far as the filing of the founding and answering affidavits. WBHO never filed its replying affidavit in time for the matter to be heard on the urgent roll. There is some dispute about why this happened.</w:t>
      </w:r>
      <w:r w:rsidR="000A00A2" w:rsidRPr="005D4C2B">
        <w:rPr>
          <w:rFonts w:cs="Arial"/>
          <w:szCs w:val="24"/>
        </w:rPr>
        <w:t xml:space="preserve"> But </w:t>
      </w:r>
      <w:r w:rsidR="0092249A" w:rsidRPr="005D4C2B">
        <w:rPr>
          <w:rFonts w:cs="Arial"/>
          <w:szCs w:val="24"/>
        </w:rPr>
        <w:t xml:space="preserve">I see no reason to </w:t>
      </w:r>
      <w:r w:rsidR="00C87CED" w:rsidRPr="005D4C2B">
        <w:rPr>
          <w:rFonts w:cs="Arial"/>
          <w:szCs w:val="24"/>
        </w:rPr>
        <w:t xml:space="preserve">re-enter this dispute. </w:t>
      </w:r>
    </w:p>
    <w:p w14:paraId="532E9691" w14:textId="5A2E2C85" w:rsidR="00CF4F81" w:rsidRPr="005D4C2B" w:rsidRDefault="005D4C2B" w:rsidP="005D4C2B">
      <w:pPr>
        <w:spacing w:after="360" w:line="480" w:lineRule="auto"/>
        <w:ind w:left="720" w:hanging="720"/>
        <w:jc w:val="both"/>
        <w:rPr>
          <w:rFonts w:cs="Arial"/>
          <w:i/>
          <w:iCs/>
          <w:szCs w:val="24"/>
        </w:rPr>
      </w:pPr>
      <w:r>
        <w:rPr>
          <w:rFonts w:cs="Arial"/>
          <w:szCs w:val="24"/>
        </w:rPr>
        <w:t>[57]</w:t>
      </w:r>
      <w:r>
        <w:rPr>
          <w:rFonts w:cs="Arial"/>
          <w:szCs w:val="24"/>
        </w:rPr>
        <w:tab/>
      </w:r>
      <w:r w:rsidR="00620463" w:rsidRPr="005D4C2B">
        <w:rPr>
          <w:rFonts w:cs="Arial"/>
          <w:szCs w:val="24"/>
        </w:rPr>
        <w:t>Then it is suggested that</w:t>
      </w:r>
      <w:r w:rsidR="00517002" w:rsidRPr="005D4C2B">
        <w:rPr>
          <w:rFonts w:cs="Arial"/>
          <w:szCs w:val="24"/>
        </w:rPr>
        <w:t xml:space="preserve"> punitive costs are appropriate</w:t>
      </w:r>
      <w:r w:rsidR="00620463" w:rsidRPr="005D4C2B">
        <w:rPr>
          <w:rFonts w:cs="Arial"/>
          <w:szCs w:val="24"/>
        </w:rPr>
        <w:t xml:space="preserve"> as a measure of censure </w:t>
      </w:r>
      <w:r w:rsidR="00433229" w:rsidRPr="005D4C2B">
        <w:rPr>
          <w:rFonts w:cs="Arial"/>
          <w:szCs w:val="24"/>
        </w:rPr>
        <w:t xml:space="preserve">of </w:t>
      </w:r>
      <w:r w:rsidR="00620463" w:rsidRPr="005D4C2B">
        <w:rPr>
          <w:rFonts w:cs="Arial"/>
          <w:szCs w:val="24"/>
        </w:rPr>
        <w:t>the conduct of Mr Carter who had initially denied</w:t>
      </w:r>
      <w:r w:rsidR="00631378" w:rsidRPr="005D4C2B">
        <w:rPr>
          <w:rFonts w:cs="Arial"/>
          <w:szCs w:val="24"/>
        </w:rPr>
        <w:t xml:space="preserve"> receiving the Appendix only to have his IT person</w:t>
      </w:r>
      <w:r w:rsidR="00A02028" w:rsidRPr="005D4C2B">
        <w:rPr>
          <w:rFonts w:cs="Arial"/>
          <w:szCs w:val="24"/>
        </w:rPr>
        <w:t xml:space="preserve"> point out his error</w:t>
      </w:r>
      <w:r w:rsidR="00433229" w:rsidRPr="005D4C2B">
        <w:rPr>
          <w:rFonts w:cs="Arial"/>
          <w:szCs w:val="24"/>
        </w:rPr>
        <w:t xml:space="preserve">. </w:t>
      </w:r>
      <w:r w:rsidR="00631378" w:rsidRPr="005D4C2B">
        <w:rPr>
          <w:rFonts w:cs="Arial"/>
          <w:szCs w:val="24"/>
        </w:rPr>
        <w:t xml:space="preserve">It was suggested that he had perjured himself. I am reluctant to come to that conclusion. </w:t>
      </w:r>
      <w:r w:rsidR="00716C09" w:rsidRPr="005D4C2B">
        <w:rPr>
          <w:rFonts w:cs="Arial"/>
          <w:szCs w:val="24"/>
        </w:rPr>
        <w:t>Mr Carter may have got it wrong</w:t>
      </w:r>
      <w:r w:rsidR="000C4DBC" w:rsidRPr="005D4C2B">
        <w:rPr>
          <w:rFonts w:cs="Arial"/>
          <w:szCs w:val="24"/>
        </w:rPr>
        <w:t>,</w:t>
      </w:r>
      <w:r w:rsidR="00716C09" w:rsidRPr="005D4C2B">
        <w:rPr>
          <w:rFonts w:cs="Arial"/>
          <w:szCs w:val="24"/>
        </w:rPr>
        <w:t xml:space="preserve"> but I am unable to come to the conclusion that he was in bad faith.</w:t>
      </w:r>
      <w:r w:rsidR="003E557C" w:rsidRPr="005D4C2B">
        <w:rPr>
          <w:rFonts w:cs="Arial"/>
          <w:szCs w:val="24"/>
        </w:rPr>
        <w:t xml:space="preserve"> The tender comprised voluminous documents and it is entirely reasonable that in downloading them all from the website a good faith error could have occurred. </w:t>
      </w:r>
      <w:r w:rsidR="00716C09" w:rsidRPr="005D4C2B">
        <w:rPr>
          <w:rFonts w:cs="Arial"/>
          <w:szCs w:val="24"/>
        </w:rPr>
        <w:t xml:space="preserve"> Eskom</w:t>
      </w:r>
      <w:r w:rsidR="00BB2004" w:rsidRPr="005D4C2B">
        <w:rPr>
          <w:rFonts w:cs="Arial"/>
          <w:szCs w:val="24"/>
        </w:rPr>
        <w:t xml:space="preserve"> should not be too quick to come to </w:t>
      </w:r>
      <w:r w:rsidR="002E55B2" w:rsidRPr="005D4C2B">
        <w:rPr>
          <w:rFonts w:cs="Arial"/>
          <w:szCs w:val="24"/>
        </w:rPr>
        <w:t xml:space="preserve">harsh </w:t>
      </w:r>
      <w:r w:rsidR="00BB2004" w:rsidRPr="005D4C2B">
        <w:rPr>
          <w:rFonts w:cs="Arial"/>
          <w:szCs w:val="24"/>
        </w:rPr>
        <w:t xml:space="preserve">conclusions about </w:t>
      </w:r>
      <w:r w:rsidR="00350E40" w:rsidRPr="005D4C2B">
        <w:rPr>
          <w:rFonts w:cs="Arial"/>
          <w:szCs w:val="24"/>
        </w:rPr>
        <w:t xml:space="preserve">WBHO’s </w:t>
      </w:r>
      <w:r w:rsidR="008E698F" w:rsidRPr="005D4C2B">
        <w:rPr>
          <w:rFonts w:cs="Arial"/>
          <w:szCs w:val="24"/>
        </w:rPr>
        <w:t>sloppiness -</w:t>
      </w:r>
      <w:r w:rsidR="002E55B2" w:rsidRPr="005D4C2B">
        <w:rPr>
          <w:rFonts w:cs="Arial"/>
          <w:szCs w:val="24"/>
        </w:rPr>
        <w:t xml:space="preserve"> </w:t>
      </w:r>
      <w:r w:rsidR="00C95889" w:rsidRPr="005D4C2B">
        <w:rPr>
          <w:rFonts w:cs="Arial"/>
          <w:szCs w:val="24"/>
        </w:rPr>
        <w:t>it also</w:t>
      </w:r>
      <w:r w:rsidR="00716C09" w:rsidRPr="005D4C2B">
        <w:rPr>
          <w:rFonts w:cs="Arial"/>
          <w:szCs w:val="24"/>
        </w:rPr>
        <w:t xml:space="preserve"> wasted much time in this litigation by putting up the wrong </w:t>
      </w:r>
      <w:r w:rsidR="00282C86" w:rsidRPr="005D4C2B">
        <w:rPr>
          <w:rFonts w:cs="Arial"/>
          <w:szCs w:val="24"/>
        </w:rPr>
        <w:t xml:space="preserve">version of Grinaker’s </w:t>
      </w:r>
      <w:r w:rsidR="00CF4F81" w:rsidRPr="005D4C2B">
        <w:rPr>
          <w:rFonts w:cs="Arial"/>
          <w:szCs w:val="24"/>
        </w:rPr>
        <w:t>Appendix that</w:t>
      </w:r>
      <w:r w:rsidR="00282C86" w:rsidRPr="005D4C2B">
        <w:rPr>
          <w:rFonts w:cs="Arial"/>
          <w:szCs w:val="24"/>
        </w:rPr>
        <w:t xml:space="preserve"> required further f</w:t>
      </w:r>
      <w:r w:rsidR="00B41FF9" w:rsidRPr="005D4C2B">
        <w:rPr>
          <w:rFonts w:cs="Arial"/>
          <w:szCs w:val="24"/>
        </w:rPr>
        <w:t>i</w:t>
      </w:r>
      <w:r w:rsidR="00282C86" w:rsidRPr="005D4C2B">
        <w:rPr>
          <w:rFonts w:cs="Arial"/>
          <w:szCs w:val="24"/>
        </w:rPr>
        <w:t xml:space="preserve">lings to </w:t>
      </w:r>
      <w:r w:rsidR="00B41FF9" w:rsidRPr="005D4C2B">
        <w:rPr>
          <w:rFonts w:cs="Arial"/>
          <w:szCs w:val="24"/>
        </w:rPr>
        <w:t>explain.</w:t>
      </w:r>
    </w:p>
    <w:p w14:paraId="2D568686" w14:textId="5463DBD3" w:rsidR="00B41FF9" w:rsidRPr="005D4C2B" w:rsidRDefault="005D4C2B" w:rsidP="005D4C2B">
      <w:pPr>
        <w:spacing w:after="360" w:line="480" w:lineRule="auto"/>
        <w:ind w:left="720" w:hanging="720"/>
        <w:jc w:val="both"/>
        <w:rPr>
          <w:rFonts w:cs="Arial"/>
          <w:i/>
          <w:iCs/>
          <w:szCs w:val="24"/>
        </w:rPr>
      </w:pPr>
      <w:r>
        <w:rPr>
          <w:rFonts w:cs="Arial"/>
          <w:szCs w:val="24"/>
        </w:rPr>
        <w:lastRenderedPageBreak/>
        <w:t>[58]</w:t>
      </w:r>
      <w:r>
        <w:rPr>
          <w:rFonts w:cs="Arial"/>
          <w:szCs w:val="24"/>
        </w:rPr>
        <w:tab/>
      </w:r>
      <w:r w:rsidR="00B41FF9" w:rsidRPr="005D4C2B">
        <w:rPr>
          <w:rFonts w:cs="Arial"/>
          <w:szCs w:val="24"/>
        </w:rPr>
        <w:t xml:space="preserve">Given the volume of paper that the tender and this litigation </w:t>
      </w:r>
      <w:r w:rsidR="005C2120" w:rsidRPr="005D4C2B">
        <w:rPr>
          <w:rFonts w:cs="Arial"/>
          <w:szCs w:val="24"/>
        </w:rPr>
        <w:t xml:space="preserve">entailed, </w:t>
      </w:r>
      <w:r w:rsidR="00B41FF9" w:rsidRPr="005D4C2B">
        <w:rPr>
          <w:rFonts w:cs="Arial"/>
          <w:szCs w:val="24"/>
        </w:rPr>
        <w:t xml:space="preserve">it is not surprising that </w:t>
      </w:r>
      <w:r w:rsidR="008844FD" w:rsidRPr="005D4C2B">
        <w:rPr>
          <w:rFonts w:cs="Arial"/>
          <w:szCs w:val="24"/>
        </w:rPr>
        <w:t xml:space="preserve">both parties made </w:t>
      </w:r>
      <w:r w:rsidR="00B41FF9" w:rsidRPr="005D4C2B">
        <w:rPr>
          <w:rFonts w:cs="Arial"/>
          <w:szCs w:val="24"/>
        </w:rPr>
        <w:t xml:space="preserve">mistakes. </w:t>
      </w:r>
      <w:r w:rsidR="00E70CF2" w:rsidRPr="005D4C2B">
        <w:rPr>
          <w:rFonts w:cs="Arial"/>
          <w:szCs w:val="24"/>
        </w:rPr>
        <w:t>Carelessness and lack of attention to detail does not</w:t>
      </w:r>
      <w:r w:rsidR="008844FD" w:rsidRPr="005D4C2B">
        <w:rPr>
          <w:rFonts w:cs="Arial"/>
          <w:szCs w:val="24"/>
        </w:rPr>
        <w:t>,</w:t>
      </w:r>
      <w:r w:rsidR="00E70CF2" w:rsidRPr="005D4C2B">
        <w:rPr>
          <w:rFonts w:cs="Arial"/>
          <w:szCs w:val="24"/>
        </w:rPr>
        <w:t xml:space="preserve"> </w:t>
      </w:r>
      <w:r w:rsidR="00F0151A" w:rsidRPr="005D4C2B">
        <w:rPr>
          <w:rFonts w:cs="Arial"/>
          <w:szCs w:val="24"/>
        </w:rPr>
        <w:t>without more</w:t>
      </w:r>
      <w:r w:rsidR="008844FD" w:rsidRPr="005D4C2B">
        <w:rPr>
          <w:rFonts w:cs="Arial"/>
          <w:szCs w:val="24"/>
        </w:rPr>
        <w:t>,</w:t>
      </w:r>
      <w:r w:rsidR="00F0151A" w:rsidRPr="005D4C2B">
        <w:rPr>
          <w:rFonts w:cs="Arial"/>
          <w:szCs w:val="24"/>
        </w:rPr>
        <w:t xml:space="preserve"> </w:t>
      </w:r>
      <w:r w:rsidR="00E70CF2" w:rsidRPr="005D4C2B">
        <w:rPr>
          <w:rFonts w:cs="Arial"/>
          <w:szCs w:val="24"/>
        </w:rPr>
        <w:t xml:space="preserve">amount to bad faith. </w:t>
      </w:r>
    </w:p>
    <w:p w14:paraId="0BB5E135" w14:textId="0AAD8A63" w:rsidR="007F630C" w:rsidRPr="00130522" w:rsidRDefault="005D4C2B" w:rsidP="00130522">
      <w:pPr>
        <w:spacing w:after="360" w:line="480" w:lineRule="auto"/>
        <w:ind w:left="720" w:hanging="720"/>
        <w:jc w:val="both"/>
        <w:rPr>
          <w:rFonts w:cs="Arial"/>
          <w:i/>
          <w:iCs/>
          <w:szCs w:val="24"/>
        </w:rPr>
      </w:pPr>
      <w:r>
        <w:rPr>
          <w:rFonts w:cs="Arial"/>
          <w:szCs w:val="24"/>
        </w:rPr>
        <w:t>[5</w:t>
      </w:r>
      <w:bookmarkStart w:id="0" w:name="_GoBack"/>
      <w:bookmarkEnd w:id="0"/>
      <w:r>
        <w:rPr>
          <w:rFonts w:cs="Arial"/>
          <w:szCs w:val="24"/>
        </w:rPr>
        <w:t>9]</w:t>
      </w:r>
      <w:r>
        <w:rPr>
          <w:rFonts w:cs="Arial"/>
          <w:szCs w:val="24"/>
        </w:rPr>
        <w:tab/>
      </w:r>
      <w:r w:rsidR="00C87CED" w:rsidRPr="005D4C2B">
        <w:rPr>
          <w:rFonts w:cs="Arial"/>
          <w:szCs w:val="24"/>
        </w:rPr>
        <w:t xml:space="preserve">The only </w:t>
      </w:r>
      <w:r w:rsidR="0089302B" w:rsidRPr="005D4C2B">
        <w:rPr>
          <w:rFonts w:cs="Arial"/>
          <w:szCs w:val="24"/>
        </w:rPr>
        <w:t xml:space="preserve">relevance of </w:t>
      </w:r>
      <w:r w:rsidR="00C87CED" w:rsidRPr="005D4C2B">
        <w:rPr>
          <w:rFonts w:cs="Arial"/>
          <w:szCs w:val="24"/>
        </w:rPr>
        <w:t xml:space="preserve">delving into </w:t>
      </w:r>
      <w:r w:rsidR="000B0FEA" w:rsidRPr="005D4C2B">
        <w:rPr>
          <w:rFonts w:cs="Arial"/>
          <w:szCs w:val="24"/>
        </w:rPr>
        <w:t>this history of the litigation</w:t>
      </w:r>
      <w:r w:rsidR="00C87CED" w:rsidRPr="005D4C2B">
        <w:rPr>
          <w:rFonts w:cs="Arial"/>
          <w:szCs w:val="24"/>
        </w:rPr>
        <w:t xml:space="preserve"> is whether the costs should have been based on an attorney</w:t>
      </w:r>
      <w:r w:rsidR="00197017" w:rsidRPr="005D4C2B">
        <w:rPr>
          <w:rFonts w:cs="Arial"/>
          <w:szCs w:val="24"/>
        </w:rPr>
        <w:t>-</w:t>
      </w:r>
      <w:r w:rsidR="00C87CED" w:rsidRPr="005D4C2B">
        <w:rPr>
          <w:rFonts w:cs="Arial"/>
          <w:szCs w:val="24"/>
        </w:rPr>
        <w:t xml:space="preserve">client or party and party scale. Given that the application is </w:t>
      </w:r>
      <w:r w:rsidR="007E687C" w:rsidRPr="005D4C2B">
        <w:rPr>
          <w:rFonts w:cs="Arial"/>
          <w:szCs w:val="24"/>
        </w:rPr>
        <w:t>unsuccessful,</w:t>
      </w:r>
      <w:r w:rsidR="00C87CED" w:rsidRPr="005D4C2B">
        <w:rPr>
          <w:rFonts w:cs="Arial"/>
          <w:szCs w:val="24"/>
        </w:rPr>
        <w:t xml:space="preserve"> </w:t>
      </w:r>
      <w:r w:rsidR="00E70CF2" w:rsidRPr="005D4C2B">
        <w:rPr>
          <w:rFonts w:cs="Arial"/>
          <w:szCs w:val="24"/>
        </w:rPr>
        <w:t xml:space="preserve">and I cannot conclude </w:t>
      </w:r>
      <w:r w:rsidR="007C0717" w:rsidRPr="005D4C2B">
        <w:rPr>
          <w:rFonts w:cs="Arial"/>
          <w:szCs w:val="24"/>
        </w:rPr>
        <w:t>that a punitive award is justified</w:t>
      </w:r>
      <w:r w:rsidR="007E687C" w:rsidRPr="005D4C2B">
        <w:rPr>
          <w:rFonts w:cs="Arial"/>
          <w:szCs w:val="24"/>
        </w:rPr>
        <w:t>,</w:t>
      </w:r>
      <w:r w:rsidR="007C0717" w:rsidRPr="005D4C2B">
        <w:rPr>
          <w:rFonts w:cs="Arial"/>
          <w:szCs w:val="24"/>
        </w:rPr>
        <w:t xml:space="preserve"> Eskom can have its costs for both the </w:t>
      </w:r>
      <w:r w:rsidR="007E687C" w:rsidRPr="005D4C2B">
        <w:rPr>
          <w:rFonts w:cs="Arial"/>
          <w:szCs w:val="24"/>
        </w:rPr>
        <w:t>urgent</w:t>
      </w:r>
      <w:r w:rsidR="007C0717" w:rsidRPr="005D4C2B">
        <w:rPr>
          <w:rFonts w:cs="Arial"/>
          <w:szCs w:val="24"/>
        </w:rPr>
        <w:t xml:space="preserve"> </w:t>
      </w:r>
      <w:r w:rsidR="007E687C" w:rsidRPr="005D4C2B">
        <w:rPr>
          <w:rFonts w:cs="Arial"/>
          <w:szCs w:val="24"/>
        </w:rPr>
        <w:t>application</w:t>
      </w:r>
      <w:r w:rsidR="007C0717" w:rsidRPr="005D4C2B">
        <w:rPr>
          <w:rFonts w:cs="Arial"/>
          <w:szCs w:val="24"/>
        </w:rPr>
        <w:t xml:space="preserve"> </w:t>
      </w:r>
      <w:r w:rsidR="000B0FEA" w:rsidRPr="005D4C2B">
        <w:rPr>
          <w:rFonts w:cs="Arial"/>
          <w:szCs w:val="24"/>
        </w:rPr>
        <w:t>(P</w:t>
      </w:r>
      <w:r w:rsidR="00130522">
        <w:rPr>
          <w:rFonts w:cs="Arial"/>
          <w:szCs w:val="24"/>
        </w:rPr>
        <w:t>art</w:t>
      </w:r>
      <w:r w:rsidR="000B0FEA" w:rsidRPr="005D4C2B">
        <w:rPr>
          <w:rFonts w:cs="Arial"/>
          <w:szCs w:val="24"/>
        </w:rPr>
        <w:t xml:space="preserve"> A) </w:t>
      </w:r>
      <w:r w:rsidR="007C0717" w:rsidRPr="005D4C2B">
        <w:rPr>
          <w:rFonts w:cs="Arial"/>
          <w:szCs w:val="24"/>
        </w:rPr>
        <w:t>and this one</w:t>
      </w:r>
      <w:r w:rsidR="000B0FEA" w:rsidRPr="005D4C2B">
        <w:rPr>
          <w:rFonts w:cs="Arial"/>
          <w:szCs w:val="24"/>
        </w:rPr>
        <w:t xml:space="preserve"> (Part B) </w:t>
      </w:r>
      <w:r w:rsidR="007C0717" w:rsidRPr="005D4C2B">
        <w:rPr>
          <w:rFonts w:cs="Arial"/>
          <w:szCs w:val="24"/>
        </w:rPr>
        <w:t xml:space="preserve">but on a party and party scale. </w:t>
      </w:r>
    </w:p>
    <w:p w14:paraId="4C4F119C" w14:textId="64F1AE12" w:rsidR="00130522" w:rsidRDefault="00130522" w:rsidP="00130522">
      <w:pPr>
        <w:spacing w:line="480" w:lineRule="auto"/>
        <w:ind w:firstLine="720"/>
        <w:jc w:val="both"/>
        <w:rPr>
          <w:rFonts w:cs="Arial"/>
          <w:b/>
          <w:kern w:val="0"/>
          <w:szCs w:val="24"/>
          <w:u w:val="single"/>
          <w14:ligatures w14:val="none"/>
        </w:rPr>
      </w:pPr>
      <w:r w:rsidRPr="00B4400D">
        <w:rPr>
          <w:rFonts w:cs="Arial"/>
          <w:b/>
          <w:kern w:val="0"/>
          <w:szCs w:val="24"/>
          <w:u w:val="single"/>
          <w14:ligatures w14:val="none"/>
        </w:rPr>
        <w:t>ORDER: -</w:t>
      </w:r>
    </w:p>
    <w:p w14:paraId="3F2B9711" w14:textId="57208941" w:rsidR="00130522" w:rsidRPr="00130522" w:rsidRDefault="00130522" w:rsidP="00130522">
      <w:pPr>
        <w:spacing w:line="480" w:lineRule="auto"/>
        <w:jc w:val="both"/>
        <w:rPr>
          <w:rFonts w:cs="Arial"/>
          <w:kern w:val="0"/>
          <w:szCs w:val="24"/>
          <w14:ligatures w14:val="none"/>
        </w:rPr>
      </w:pPr>
      <w:r w:rsidRPr="00B4400D">
        <w:rPr>
          <w:rFonts w:cs="Arial"/>
          <w:kern w:val="0"/>
          <w:szCs w:val="24"/>
          <w14:ligatures w14:val="none"/>
        </w:rPr>
        <w:t>[</w:t>
      </w:r>
      <w:r>
        <w:rPr>
          <w:rFonts w:cs="Arial"/>
          <w:kern w:val="0"/>
          <w:szCs w:val="24"/>
          <w14:ligatures w14:val="none"/>
        </w:rPr>
        <w:t>60</w:t>
      </w:r>
      <w:r w:rsidRPr="00B4400D">
        <w:rPr>
          <w:rFonts w:cs="Arial"/>
          <w:kern w:val="0"/>
          <w:szCs w:val="24"/>
          <w14:ligatures w14:val="none"/>
        </w:rPr>
        <w:t xml:space="preserve">] </w:t>
      </w:r>
      <w:r w:rsidRPr="00B4400D">
        <w:rPr>
          <w:rFonts w:cs="Arial"/>
          <w:kern w:val="0"/>
          <w:szCs w:val="24"/>
          <w14:ligatures w14:val="none"/>
        </w:rPr>
        <w:tab/>
        <w:t>In the result the following order is made:</w:t>
      </w:r>
    </w:p>
    <w:p w14:paraId="645FCD16" w14:textId="20564F6F" w:rsidR="00CE2F4F" w:rsidRPr="003D2CBF" w:rsidRDefault="003D2CBF" w:rsidP="003D2CBF">
      <w:pPr>
        <w:spacing w:after="360" w:line="480" w:lineRule="auto"/>
        <w:ind w:left="1069" w:hanging="360"/>
        <w:jc w:val="both"/>
        <w:rPr>
          <w:rFonts w:cs="Arial"/>
          <w:szCs w:val="24"/>
        </w:rPr>
      </w:pPr>
      <w:r w:rsidRPr="00260321">
        <w:rPr>
          <w:rFonts w:cs="Arial"/>
          <w:szCs w:val="24"/>
        </w:rPr>
        <w:t>1.</w:t>
      </w:r>
      <w:r w:rsidRPr="00260321">
        <w:rPr>
          <w:rFonts w:cs="Arial"/>
          <w:szCs w:val="24"/>
        </w:rPr>
        <w:tab/>
      </w:r>
      <w:r w:rsidR="00967BAF" w:rsidRPr="003D2CBF">
        <w:rPr>
          <w:rFonts w:cs="Arial"/>
          <w:szCs w:val="24"/>
        </w:rPr>
        <w:t>The application is dismissed</w:t>
      </w:r>
      <w:r w:rsidR="005B18AA" w:rsidRPr="003D2CBF">
        <w:rPr>
          <w:rFonts w:cs="Arial"/>
          <w:szCs w:val="24"/>
        </w:rPr>
        <w:t>.</w:t>
      </w:r>
      <w:r w:rsidR="00967BAF" w:rsidRPr="003D2CBF">
        <w:rPr>
          <w:rFonts w:cs="Arial"/>
          <w:szCs w:val="24"/>
        </w:rPr>
        <w:t xml:space="preserve"> </w:t>
      </w:r>
    </w:p>
    <w:p w14:paraId="00E2C7E0" w14:textId="4882BE92" w:rsidR="00130522" w:rsidRPr="003D2CBF" w:rsidRDefault="003D2CBF" w:rsidP="003D2CBF">
      <w:pPr>
        <w:spacing w:after="360" w:line="480" w:lineRule="auto"/>
        <w:ind w:left="1069" w:hanging="360"/>
        <w:jc w:val="both"/>
        <w:rPr>
          <w:rFonts w:cs="Arial"/>
          <w:szCs w:val="24"/>
        </w:rPr>
      </w:pPr>
      <w:r w:rsidRPr="00D77E36">
        <w:rPr>
          <w:rFonts w:cs="Arial"/>
          <w:szCs w:val="24"/>
        </w:rPr>
        <w:t>2.</w:t>
      </w:r>
      <w:r w:rsidRPr="00D77E36">
        <w:rPr>
          <w:rFonts w:cs="Arial"/>
          <w:szCs w:val="24"/>
        </w:rPr>
        <w:tab/>
      </w:r>
      <w:r w:rsidR="005B18AA" w:rsidRPr="003D2CBF">
        <w:rPr>
          <w:rFonts w:cs="Arial"/>
          <w:szCs w:val="24"/>
        </w:rPr>
        <w:t>WBHO is liable for Eskom’s costs for both Part A and Part B of the application</w:t>
      </w:r>
      <w:r w:rsidR="006776B2" w:rsidRPr="003D2CBF">
        <w:rPr>
          <w:rFonts w:cs="Arial"/>
          <w:szCs w:val="24"/>
        </w:rPr>
        <w:t>,</w:t>
      </w:r>
      <w:r w:rsidR="005B18AA" w:rsidRPr="003D2CBF">
        <w:rPr>
          <w:rFonts w:cs="Arial"/>
          <w:szCs w:val="24"/>
        </w:rPr>
        <w:t xml:space="preserve"> including the costs of two counsel</w:t>
      </w:r>
      <w:r w:rsidR="006776B2" w:rsidRPr="003D2CBF">
        <w:rPr>
          <w:rFonts w:cs="Arial"/>
          <w:szCs w:val="24"/>
        </w:rPr>
        <w:t>,</w:t>
      </w:r>
      <w:r w:rsidR="005B18AA" w:rsidRPr="003D2CBF">
        <w:rPr>
          <w:rFonts w:cs="Arial"/>
          <w:szCs w:val="24"/>
        </w:rPr>
        <w:t xml:space="preserve"> </w:t>
      </w:r>
      <w:r w:rsidR="00323418" w:rsidRPr="003D2CBF">
        <w:rPr>
          <w:rFonts w:cs="Arial"/>
          <w:szCs w:val="24"/>
        </w:rPr>
        <w:t>on a party and party scale.</w:t>
      </w:r>
    </w:p>
    <w:p w14:paraId="120DDA4B" w14:textId="77777777" w:rsidR="00D15A35" w:rsidRDefault="00D15A35" w:rsidP="00130522">
      <w:pPr>
        <w:spacing w:after="360" w:line="480" w:lineRule="auto"/>
        <w:jc w:val="both"/>
        <w:rPr>
          <w:rFonts w:cs="Arial"/>
          <w:szCs w:val="24"/>
        </w:rPr>
      </w:pPr>
    </w:p>
    <w:p w14:paraId="0E7C5ABA" w14:textId="77777777" w:rsidR="00130522" w:rsidRPr="00B4400D" w:rsidRDefault="00130522" w:rsidP="00130522">
      <w:pPr>
        <w:spacing w:after="0" w:line="480" w:lineRule="auto"/>
        <w:jc w:val="right"/>
        <w:rPr>
          <w:rFonts w:cs="Arial"/>
          <w:b/>
          <w:kern w:val="0"/>
          <w:szCs w:val="24"/>
          <w14:ligatures w14:val="none"/>
        </w:rPr>
      </w:pPr>
      <w:r w:rsidRPr="00B4400D">
        <w:rPr>
          <w:rFonts w:cs="Arial"/>
          <w:b/>
          <w:kern w:val="0"/>
          <w:szCs w:val="24"/>
          <w14:ligatures w14:val="none"/>
        </w:rPr>
        <w:t>_____________________________</w:t>
      </w:r>
    </w:p>
    <w:p w14:paraId="53B150F5" w14:textId="77777777" w:rsidR="00130522" w:rsidRPr="00B4400D" w:rsidRDefault="00130522" w:rsidP="00130522">
      <w:pPr>
        <w:spacing w:after="0" w:line="360" w:lineRule="auto"/>
        <w:jc w:val="right"/>
        <w:rPr>
          <w:rFonts w:cs="Arial"/>
          <w:b/>
          <w:kern w:val="0"/>
          <w:szCs w:val="24"/>
          <w14:ligatures w14:val="none"/>
        </w:rPr>
      </w:pPr>
      <w:r w:rsidRPr="00B4400D">
        <w:rPr>
          <w:rFonts w:cs="Arial"/>
          <w:b/>
          <w:kern w:val="0"/>
          <w:szCs w:val="24"/>
          <w14:ligatures w14:val="none"/>
        </w:rPr>
        <w:t>N.  MANOIM</w:t>
      </w:r>
    </w:p>
    <w:p w14:paraId="547BBA78" w14:textId="77777777" w:rsidR="00130522" w:rsidRPr="00B4400D" w:rsidRDefault="00130522" w:rsidP="00130522">
      <w:pPr>
        <w:spacing w:after="0" w:line="360" w:lineRule="auto"/>
        <w:jc w:val="right"/>
        <w:rPr>
          <w:rFonts w:cs="Arial"/>
          <w:b/>
          <w:kern w:val="0"/>
          <w:szCs w:val="24"/>
          <w14:ligatures w14:val="none"/>
        </w:rPr>
      </w:pPr>
      <w:r w:rsidRPr="00B4400D">
        <w:rPr>
          <w:rFonts w:cs="Arial"/>
          <w:b/>
          <w:kern w:val="0"/>
          <w:szCs w:val="24"/>
          <w14:ligatures w14:val="none"/>
        </w:rPr>
        <w:t>JUDGE OF THE HIGH COURT</w:t>
      </w:r>
    </w:p>
    <w:p w14:paraId="29AD63EA" w14:textId="77777777" w:rsidR="00130522" w:rsidRPr="00B4400D" w:rsidRDefault="00130522" w:rsidP="00130522">
      <w:pPr>
        <w:spacing w:after="0" w:line="360" w:lineRule="auto"/>
        <w:jc w:val="right"/>
        <w:rPr>
          <w:rFonts w:cs="Arial"/>
          <w:b/>
          <w:kern w:val="0"/>
          <w:szCs w:val="24"/>
          <w14:ligatures w14:val="none"/>
        </w:rPr>
      </w:pPr>
      <w:r w:rsidRPr="00B4400D">
        <w:rPr>
          <w:rFonts w:cs="Arial"/>
          <w:b/>
          <w:kern w:val="0"/>
          <w:szCs w:val="24"/>
          <w14:ligatures w14:val="none"/>
        </w:rPr>
        <w:t xml:space="preserve">GAUTENG DIVISION </w:t>
      </w:r>
    </w:p>
    <w:p w14:paraId="7BDEC512" w14:textId="2EB58838" w:rsidR="00130522" w:rsidRPr="0017509F" w:rsidRDefault="002E7720" w:rsidP="00130522">
      <w:pPr>
        <w:spacing w:line="600" w:lineRule="auto"/>
        <w:jc w:val="right"/>
        <w:rPr>
          <w:rFonts w:cs="Arial"/>
          <w:b/>
          <w:kern w:val="0"/>
          <w:szCs w:val="24"/>
          <w14:ligatures w14:val="none"/>
        </w:rPr>
      </w:pPr>
      <w:r>
        <w:rPr>
          <w:rFonts w:cs="Arial"/>
          <w:b/>
          <w:kern w:val="0"/>
          <w:szCs w:val="24"/>
          <w14:ligatures w14:val="none"/>
        </w:rPr>
        <w:t>JOHANNESBURG</w:t>
      </w:r>
    </w:p>
    <w:p w14:paraId="2C3B452B" w14:textId="5BA25888" w:rsidR="00130522" w:rsidRPr="00B4400D" w:rsidRDefault="00130522" w:rsidP="00130522">
      <w:pPr>
        <w:jc w:val="both"/>
        <w:rPr>
          <w:rFonts w:cs="Arial"/>
          <w:kern w:val="0"/>
          <w:szCs w:val="24"/>
          <w14:ligatures w14:val="none"/>
        </w:rPr>
      </w:pPr>
      <w:r w:rsidRPr="00B4400D">
        <w:rPr>
          <w:rFonts w:cs="Arial"/>
          <w:kern w:val="0"/>
          <w:szCs w:val="24"/>
          <w14:ligatures w14:val="none"/>
        </w:rPr>
        <w:t xml:space="preserve">Date of hearing: </w:t>
      </w:r>
      <w:r w:rsidR="005311B3">
        <w:rPr>
          <w:rFonts w:cs="Arial"/>
          <w:kern w:val="0"/>
          <w:szCs w:val="24"/>
          <w14:ligatures w14:val="none"/>
        </w:rPr>
        <w:t>11 August 2023</w:t>
      </w:r>
    </w:p>
    <w:p w14:paraId="78D93F63" w14:textId="466457DA" w:rsidR="00130522" w:rsidRPr="00B4400D" w:rsidRDefault="00130522" w:rsidP="00A0226E">
      <w:pPr>
        <w:spacing w:line="600" w:lineRule="auto"/>
        <w:jc w:val="both"/>
        <w:rPr>
          <w:rFonts w:cs="Arial"/>
          <w:kern w:val="0"/>
          <w:szCs w:val="24"/>
          <w14:ligatures w14:val="none"/>
        </w:rPr>
      </w:pPr>
      <w:r w:rsidRPr="00B4400D">
        <w:rPr>
          <w:rFonts w:cs="Arial"/>
          <w:kern w:val="0"/>
          <w:szCs w:val="24"/>
          <w14:ligatures w14:val="none"/>
        </w:rPr>
        <w:lastRenderedPageBreak/>
        <w:t xml:space="preserve">Date of judgment: </w:t>
      </w:r>
      <w:r w:rsidR="002E7720">
        <w:rPr>
          <w:rFonts w:cs="Arial"/>
          <w:kern w:val="0"/>
          <w:szCs w:val="24"/>
          <w14:ligatures w14:val="none"/>
        </w:rPr>
        <w:t>08 September</w:t>
      </w:r>
      <w:r>
        <w:rPr>
          <w:rFonts w:cs="Arial"/>
          <w:kern w:val="0"/>
          <w:szCs w:val="24"/>
          <w14:ligatures w14:val="none"/>
        </w:rPr>
        <w:t xml:space="preserve"> </w:t>
      </w:r>
      <w:r w:rsidRPr="00B4400D">
        <w:rPr>
          <w:rFonts w:cs="Arial"/>
          <w:kern w:val="0"/>
          <w:szCs w:val="24"/>
          <w14:ligatures w14:val="none"/>
        </w:rPr>
        <w:t>202</w:t>
      </w:r>
      <w:r>
        <w:rPr>
          <w:rFonts w:cs="Arial"/>
          <w:kern w:val="0"/>
          <w:szCs w:val="24"/>
          <w14:ligatures w14:val="none"/>
        </w:rPr>
        <w:t>3</w:t>
      </w:r>
    </w:p>
    <w:p w14:paraId="41619EB8" w14:textId="77777777" w:rsidR="00130522" w:rsidRPr="00B4400D" w:rsidRDefault="00130522" w:rsidP="00130522">
      <w:pPr>
        <w:spacing w:line="480" w:lineRule="auto"/>
        <w:jc w:val="both"/>
        <w:rPr>
          <w:rFonts w:cs="Arial"/>
          <w:kern w:val="0"/>
          <w:szCs w:val="24"/>
          <w14:ligatures w14:val="none"/>
        </w:rPr>
      </w:pPr>
      <w:r w:rsidRPr="00B4400D">
        <w:rPr>
          <w:rFonts w:cs="Arial"/>
          <w:kern w:val="0"/>
          <w:szCs w:val="24"/>
          <w14:ligatures w14:val="none"/>
        </w:rPr>
        <w:t>Appearances:</w:t>
      </w:r>
    </w:p>
    <w:p w14:paraId="5912C618" w14:textId="015AF7FA" w:rsidR="00130522" w:rsidRDefault="00130522" w:rsidP="00130522">
      <w:pPr>
        <w:ind w:left="4320" w:hanging="4320"/>
        <w:jc w:val="both"/>
        <w:rPr>
          <w:rFonts w:cs="Arial"/>
          <w:kern w:val="0"/>
          <w:szCs w:val="24"/>
          <w14:ligatures w14:val="none"/>
        </w:rPr>
      </w:pPr>
      <w:r w:rsidRPr="00B4400D">
        <w:rPr>
          <w:rFonts w:cs="Arial"/>
          <w:kern w:val="0"/>
          <w:szCs w:val="24"/>
          <w14:ligatures w14:val="none"/>
        </w:rPr>
        <w:t>Counsel for the A</w:t>
      </w:r>
      <w:r>
        <w:rPr>
          <w:rFonts w:cs="Arial"/>
          <w:kern w:val="0"/>
          <w:szCs w:val="24"/>
          <w14:ligatures w14:val="none"/>
        </w:rPr>
        <w:t>pplicants</w:t>
      </w:r>
      <w:r w:rsidRPr="00B4400D">
        <w:rPr>
          <w:rFonts w:cs="Arial"/>
          <w:kern w:val="0"/>
          <w:szCs w:val="24"/>
          <w14:ligatures w14:val="none"/>
        </w:rPr>
        <w:t xml:space="preserve">:   </w:t>
      </w:r>
      <w:r w:rsidRPr="00B4400D">
        <w:rPr>
          <w:rFonts w:cs="Arial"/>
          <w:kern w:val="0"/>
          <w:szCs w:val="24"/>
          <w14:ligatures w14:val="none"/>
        </w:rPr>
        <w:tab/>
      </w:r>
      <w:r w:rsidR="00F91684">
        <w:rPr>
          <w:rFonts w:cs="Arial"/>
          <w:kern w:val="0"/>
          <w:szCs w:val="24"/>
          <w14:ligatures w14:val="none"/>
        </w:rPr>
        <w:t xml:space="preserve">Adv </w:t>
      </w:r>
      <w:r w:rsidR="00E30AD5">
        <w:rPr>
          <w:rFonts w:cs="Arial"/>
          <w:kern w:val="0"/>
          <w:szCs w:val="24"/>
          <w14:ligatures w14:val="none"/>
        </w:rPr>
        <w:t xml:space="preserve">C Acker </w:t>
      </w:r>
    </w:p>
    <w:p w14:paraId="40466AF9" w14:textId="2BC3E948" w:rsidR="00130522" w:rsidRDefault="00130522" w:rsidP="00130522">
      <w:pPr>
        <w:ind w:left="4320" w:hanging="4320"/>
        <w:jc w:val="both"/>
        <w:rPr>
          <w:rFonts w:cs="Arial"/>
          <w:kern w:val="0"/>
          <w:szCs w:val="24"/>
          <w14:ligatures w14:val="none"/>
        </w:rPr>
      </w:pPr>
      <w:r>
        <w:rPr>
          <w:rFonts w:cs="Arial"/>
          <w:kern w:val="0"/>
          <w:szCs w:val="24"/>
          <w14:ligatures w14:val="none"/>
        </w:rPr>
        <w:tab/>
      </w:r>
      <w:r w:rsidR="00F91684">
        <w:rPr>
          <w:rFonts w:cs="Arial"/>
          <w:kern w:val="0"/>
          <w:szCs w:val="24"/>
          <w14:ligatures w14:val="none"/>
        </w:rPr>
        <w:t xml:space="preserve">Adv </w:t>
      </w:r>
      <w:r w:rsidR="00E30AD5">
        <w:rPr>
          <w:rFonts w:cs="Arial"/>
          <w:kern w:val="0"/>
          <w:szCs w:val="24"/>
          <w14:ligatures w14:val="none"/>
        </w:rPr>
        <w:t>MO Mudimeli</w:t>
      </w:r>
    </w:p>
    <w:p w14:paraId="6882ADA5" w14:textId="561A3979" w:rsidR="00130522" w:rsidRPr="00B4400D" w:rsidRDefault="00130522" w:rsidP="00130522">
      <w:pPr>
        <w:ind w:left="4320" w:hanging="4320"/>
        <w:jc w:val="both"/>
        <w:rPr>
          <w:rFonts w:cs="Arial"/>
          <w:kern w:val="0"/>
          <w:szCs w:val="24"/>
          <w14:ligatures w14:val="none"/>
        </w:rPr>
      </w:pPr>
      <w:r>
        <w:rPr>
          <w:rFonts w:cs="Arial"/>
          <w:kern w:val="0"/>
          <w:szCs w:val="24"/>
          <w14:ligatures w14:val="none"/>
        </w:rPr>
        <w:tab/>
      </w:r>
    </w:p>
    <w:p w14:paraId="784C6EF3" w14:textId="6DB790A2" w:rsidR="00130522" w:rsidRPr="00B4400D" w:rsidRDefault="00130522" w:rsidP="00130522">
      <w:pPr>
        <w:spacing w:line="480" w:lineRule="auto"/>
        <w:jc w:val="both"/>
        <w:rPr>
          <w:rFonts w:cs="Arial"/>
          <w:kern w:val="0"/>
          <w:szCs w:val="24"/>
          <w14:ligatures w14:val="none"/>
        </w:rPr>
      </w:pPr>
      <w:r w:rsidRPr="00B4400D">
        <w:rPr>
          <w:rFonts w:cs="Arial"/>
          <w:kern w:val="0"/>
          <w:szCs w:val="24"/>
          <w14:ligatures w14:val="none"/>
        </w:rPr>
        <w:t xml:space="preserve">Instructed by.                                      </w:t>
      </w:r>
      <w:r w:rsidRPr="00B4400D">
        <w:rPr>
          <w:rFonts w:cs="Arial"/>
          <w:kern w:val="0"/>
          <w:szCs w:val="24"/>
          <w14:ligatures w14:val="none"/>
        </w:rPr>
        <w:tab/>
      </w:r>
      <w:r w:rsidR="00D409D0">
        <w:rPr>
          <w:rFonts w:cs="Arial"/>
          <w:kern w:val="0"/>
          <w:szCs w:val="24"/>
          <w14:ligatures w14:val="none"/>
        </w:rPr>
        <w:t>Pagel Schule</w:t>
      </w:r>
      <w:r w:rsidR="00192215">
        <w:rPr>
          <w:rFonts w:cs="Arial"/>
          <w:kern w:val="0"/>
          <w:szCs w:val="24"/>
          <w14:ligatures w14:val="none"/>
        </w:rPr>
        <w:t>nburg Inc</w:t>
      </w:r>
    </w:p>
    <w:p w14:paraId="27496294" w14:textId="77777777" w:rsidR="00130522" w:rsidRPr="00B4400D" w:rsidRDefault="00130522" w:rsidP="00130522">
      <w:pPr>
        <w:jc w:val="both"/>
        <w:rPr>
          <w:rFonts w:cs="Arial"/>
          <w:kern w:val="0"/>
          <w:sz w:val="22"/>
          <w14:ligatures w14:val="none"/>
        </w:rPr>
      </w:pPr>
    </w:p>
    <w:p w14:paraId="45579CCF" w14:textId="488B3BA0" w:rsidR="00130522" w:rsidRDefault="00130522" w:rsidP="00130522">
      <w:pPr>
        <w:jc w:val="both"/>
        <w:rPr>
          <w:rFonts w:cs="Arial"/>
          <w:kern w:val="0"/>
          <w:sz w:val="22"/>
          <w14:ligatures w14:val="none"/>
        </w:rPr>
      </w:pPr>
      <w:r w:rsidRPr="00B4400D">
        <w:rPr>
          <w:rFonts w:cs="Arial"/>
          <w:kern w:val="0"/>
          <w:sz w:val="22"/>
          <w14:ligatures w14:val="none"/>
        </w:rPr>
        <w:t xml:space="preserve">Counsel for </w:t>
      </w:r>
      <w:r w:rsidR="00F91684">
        <w:rPr>
          <w:rFonts w:cs="Arial"/>
          <w:kern w:val="0"/>
          <w:sz w:val="22"/>
          <w14:ligatures w14:val="none"/>
        </w:rPr>
        <w:t xml:space="preserve">First </w:t>
      </w:r>
      <w:r w:rsidRPr="00B4400D">
        <w:rPr>
          <w:rFonts w:cs="Arial"/>
          <w:kern w:val="0"/>
          <w:sz w:val="22"/>
          <w14:ligatures w14:val="none"/>
        </w:rPr>
        <w:t xml:space="preserve">Respondent:           </w:t>
      </w:r>
      <w:r w:rsidRPr="00B4400D">
        <w:rPr>
          <w:rFonts w:cs="Arial"/>
          <w:kern w:val="0"/>
          <w:sz w:val="22"/>
          <w14:ligatures w14:val="none"/>
        </w:rPr>
        <w:tab/>
      </w:r>
      <w:r w:rsidRPr="00B4400D">
        <w:rPr>
          <w:rFonts w:cs="Arial"/>
          <w:kern w:val="0"/>
          <w:sz w:val="22"/>
          <w14:ligatures w14:val="none"/>
        </w:rPr>
        <w:tab/>
      </w:r>
      <w:r w:rsidR="00D77E36">
        <w:rPr>
          <w:rFonts w:cs="Arial"/>
          <w:kern w:val="0"/>
          <w:sz w:val="22"/>
          <w14:ligatures w14:val="none"/>
        </w:rPr>
        <w:t>Adv G.I Hulley</w:t>
      </w:r>
      <w:r>
        <w:rPr>
          <w:rFonts w:cs="Arial"/>
          <w:kern w:val="0"/>
          <w:sz w:val="22"/>
          <w14:ligatures w14:val="none"/>
        </w:rPr>
        <w:t xml:space="preserve"> SC</w:t>
      </w:r>
    </w:p>
    <w:p w14:paraId="4D279142" w14:textId="149A3125" w:rsidR="00130522" w:rsidRDefault="00130522" w:rsidP="00130522">
      <w:pPr>
        <w:jc w:val="both"/>
        <w:rPr>
          <w:rFonts w:cs="Arial"/>
          <w:kern w:val="0"/>
          <w:sz w:val="22"/>
          <w14:ligatures w14:val="none"/>
        </w:rPr>
      </w:pP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r>
      <w:r w:rsidR="00E91C94">
        <w:rPr>
          <w:rFonts w:cs="Arial"/>
          <w:kern w:val="0"/>
          <w:sz w:val="22"/>
          <w14:ligatures w14:val="none"/>
        </w:rPr>
        <w:t>Adv V.J Heideman</w:t>
      </w:r>
    </w:p>
    <w:p w14:paraId="447169FB" w14:textId="77777777" w:rsidR="00D77E36" w:rsidRPr="00B4400D" w:rsidRDefault="00D77E36" w:rsidP="00130522">
      <w:pPr>
        <w:jc w:val="both"/>
        <w:rPr>
          <w:rFonts w:cs="Arial"/>
          <w:kern w:val="0"/>
          <w:sz w:val="22"/>
          <w14:ligatures w14:val="none"/>
        </w:rPr>
      </w:pPr>
    </w:p>
    <w:p w14:paraId="16EB180E" w14:textId="1230340C" w:rsidR="00323418" w:rsidRPr="00A0226E" w:rsidRDefault="00130522" w:rsidP="00A0226E">
      <w:pPr>
        <w:spacing w:after="360" w:line="480" w:lineRule="auto"/>
        <w:jc w:val="both"/>
        <w:rPr>
          <w:rFonts w:cs="Arial"/>
          <w:szCs w:val="24"/>
        </w:rPr>
      </w:pPr>
      <w:r w:rsidRPr="00B4400D">
        <w:rPr>
          <w:rFonts w:cs="Arial"/>
          <w:kern w:val="0"/>
          <w:sz w:val="22"/>
          <w14:ligatures w14:val="none"/>
        </w:rPr>
        <w:t xml:space="preserve">Instructed by:                                 </w:t>
      </w:r>
      <w:r w:rsidRPr="00B4400D">
        <w:rPr>
          <w:rFonts w:cs="Arial"/>
          <w:kern w:val="0"/>
          <w:sz w:val="22"/>
          <w14:ligatures w14:val="none"/>
        </w:rPr>
        <w:tab/>
      </w:r>
      <w:r w:rsidRPr="00B4400D">
        <w:rPr>
          <w:rFonts w:cs="Arial"/>
          <w:kern w:val="0"/>
          <w:sz w:val="22"/>
          <w14:ligatures w14:val="none"/>
        </w:rPr>
        <w:tab/>
      </w:r>
      <w:r w:rsidR="00E91C94">
        <w:rPr>
          <w:rFonts w:cs="Arial"/>
          <w:kern w:val="0"/>
          <w:sz w:val="22"/>
          <w14:ligatures w14:val="none"/>
        </w:rPr>
        <w:t>Ledwaba Mazwai</w:t>
      </w:r>
      <w:r>
        <w:rPr>
          <w:rFonts w:cs="Arial"/>
          <w:kern w:val="0"/>
          <w:sz w:val="22"/>
          <w14:ligatures w14:val="none"/>
        </w:rPr>
        <w:t xml:space="preserve"> </w:t>
      </w:r>
    </w:p>
    <w:sectPr w:rsidR="00323418" w:rsidRPr="00A0226E" w:rsidSect="001305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CBAF" w14:textId="77777777" w:rsidR="00FF5DDE" w:rsidRDefault="00FF5DDE" w:rsidP="00887278">
      <w:pPr>
        <w:spacing w:after="0" w:line="240" w:lineRule="auto"/>
      </w:pPr>
      <w:r>
        <w:separator/>
      </w:r>
    </w:p>
  </w:endnote>
  <w:endnote w:type="continuationSeparator" w:id="0">
    <w:p w14:paraId="2C0A14F1" w14:textId="77777777" w:rsidR="00FF5DDE" w:rsidRDefault="00FF5DDE" w:rsidP="00887278">
      <w:pPr>
        <w:spacing w:after="0" w:line="240" w:lineRule="auto"/>
      </w:pPr>
      <w:r>
        <w:continuationSeparator/>
      </w:r>
    </w:p>
  </w:endnote>
  <w:endnote w:type="continuationNotice" w:id="1">
    <w:p w14:paraId="30A203FC" w14:textId="77777777" w:rsidR="00FF5DDE" w:rsidRDefault="00FF5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6E31" w14:textId="77777777" w:rsidR="00FF5DDE" w:rsidRDefault="00FF5DDE" w:rsidP="00887278">
      <w:pPr>
        <w:spacing w:after="0" w:line="240" w:lineRule="auto"/>
      </w:pPr>
      <w:r>
        <w:separator/>
      </w:r>
    </w:p>
  </w:footnote>
  <w:footnote w:type="continuationSeparator" w:id="0">
    <w:p w14:paraId="58353729" w14:textId="77777777" w:rsidR="00FF5DDE" w:rsidRDefault="00FF5DDE" w:rsidP="00887278">
      <w:pPr>
        <w:spacing w:after="0" w:line="240" w:lineRule="auto"/>
      </w:pPr>
      <w:r>
        <w:continuationSeparator/>
      </w:r>
    </w:p>
  </w:footnote>
  <w:footnote w:type="continuationNotice" w:id="1">
    <w:p w14:paraId="5800E924" w14:textId="77777777" w:rsidR="00FF5DDE" w:rsidRDefault="00FF5DDE">
      <w:pPr>
        <w:spacing w:after="0" w:line="240" w:lineRule="auto"/>
      </w:pPr>
    </w:p>
  </w:footnote>
  <w:footnote w:id="2">
    <w:p w14:paraId="490FAD23" w14:textId="44565ED6" w:rsidR="00301A19" w:rsidRPr="00301A19" w:rsidRDefault="00301A19" w:rsidP="00224070">
      <w:pPr>
        <w:pStyle w:val="FootnoteText"/>
        <w:jc w:val="both"/>
        <w:rPr>
          <w:lang w:val="en-US"/>
        </w:rPr>
      </w:pPr>
      <w:r>
        <w:rPr>
          <w:rStyle w:val="FootnoteReference"/>
        </w:rPr>
        <w:footnoteRef/>
      </w:r>
      <w:r>
        <w:t xml:space="preserve"> </w:t>
      </w:r>
      <w:r w:rsidR="001B6C98" w:rsidRPr="004517A0">
        <w:rPr>
          <w:i/>
          <w:iCs/>
        </w:rPr>
        <w:t xml:space="preserve">Eskom Holdings SOC Ltd (hereinafter "Eskom") </w:t>
      </w:r>
      <w:r w:rsidR="00B41BB7" w:rsidRPr="004517A0">
        <w:rPr>
          <w:i/>
          <w:iCs/>
        </w:rPr>
        <w:t>invites</w:t>
      </w:r>
      <w:r w:rsidR="001B6C98" w:rsidRPr="004517A0">
        <w:rPr>
          <w:i/>
          <w:iCs/>
        </w:rPr>
        <w:t xml:space="preserve"> you to submit a lender for the complete supply 'and setting to work of the Combustion Waste </w:t>
      </w:r>
      <w:r w:rsidR="004517A0" w:rsidRPr="004517A0">
        <w:rPr>
          <w:i/>
          <w:iCs/>
        </w:rPr>
        <w:t>Terrace. -</w:t>
      </w:r>
      <w:r w:rsidR="001B6C98" w:rsidRPr="004517A0">
        <w:rPr>
          <w:i/>
          <w:iCs/>
        </w:rPr>
        <w:t xml:space="preserve"> Phase 2 ("</w:t>
      </w:r>
      <w:r w:rsidR="00B41BB7" w:rsidRPr="004517A0">
        <w:rPr>
          <w:i/>
          <w:iCs/>
        </w:rPr>
        <w:t>t</w:t>
      </w:r>
      <w:r w:rsidR="001B6C98" w:rsidRPr="004517A0">
        <w:rPr>
          <w:i/>
          <w:iCs/>
        </w:rPr>
        <w:t>he Works</w:t>
      </w:r>
      <w:r w:rsidR="00043E92" w:rsidRPr="004517A0">
        <w:rPr>
          <w:i/>
          <w:iCs/>
        </w:rPr>
        <w:t>”)</w:t>
      </w:r>
      <w:r w:rsidR="001B6C98" w:rsidRPr="004517A0">
        <w:rPr>
          <w:i/>
          <w:iCs/>
        </w:rPr>
        <w:t xml:space="preserve"> for the Kusile Power Station at Emalahleni, Mpumalanga In the </w:t>
      </w:r>
      <w:r w:rsidR="00B41BB7" w:rsidRPr="004517A0">
        <w:rPr>
          <w:i/>
          <w:iCs/>
        </w:rPr>
        <w:t>Republic</w:t>
      </w:r>
      <w:r w:rsidR="001B6C98" w:rsidRPr="004517A0">
        <w:rPr>
          <w:i/>
          <w:iCs/>
        </w:rPr>
        <w:t xml:space="preserve"> of South Africa ("Kusile Power Station").</w:t>
      </w:r>
      <w:r w:rsidR="00B949C9">
        <w:rPr>
          <w:i/>
          <w:iCs/>
        </w:rPr>
        <w:t xml:space="preserve"> </w:t>
      </w:r>
      <w:r w:rsidR="001B6C98">
        <w:t>Case Lines page 01</w:t>
      </w:r>
      <w:r w:rsidR="00BC5F46">
        <w:t>-46 a document described as the invitation to tender</w:t>
      </w:r>
      <w:r w:rsidR="00B949C9">
        <w:t>.</w:t>
      </w:r>
    </w:p>
  </w:footnote>
  <w:footnote w:id="3">
    <w:p w14:paraId="0D4F1195" w14:textId="71FD457C" w:rsidR="006119BE" w:rsidRPr="006119BE" w:rsidRDefault="006119BE" w:rsidP="00DE298B">
      <w:pPr>
        <w:pStyle w:val="FootnoteText"/>
        <w:jc w:val="both"/>
        <w:rPr>
          <w:lang w:val="en-US"/>
        </w:rPr>
      </w:pPr>
      <w:r>
        <w:rPr>
          <w:rStyle w:val="FootnoteReference"/>
        </w:rPr>
        <w:footnoteRef/>
      </w:r>
      <w:r>
        <w:t xml:space="preserve"> </w:t>
      </w:r>
      <w:r>
        <w:rPr>
          <w:lang w:val="en-US"/>
        </w:rPr>
        <w:t xml:space="preserve">Eskom disputes this and says a letter was sent to WBHO informing it of the outcome. It is not clear why WBHO never </w:t>
      </w:r>
      <w:r w:rsidR="00A8229F">
        <w:rPr>
          <w:lang w:val="en-US"/>
        </w:rPr>
        <w:t>received this or if it did</w:t>
      </w:r>
      <w:r w:rsidR="00615754">
        <w:rPr>
          <w:lang w:val="en-US"/>
        </w:rPr>
        <w:t>,</w:t>
      </w:r>
      <w:r w:rsidR="00A8229F">
        <w:rPr>
          <w:lang w:val="en-US"/>
        </w:rPr>
        <w:t xml:space="preserve"> why it was not read.</w:t>
      </w:r>
    </w:p>
  </w:footnote>
  <w:footnote w:id="4">
    <w:p w14:paraId="5121A46F" w14:textId="6A0769B8" w:rsidR="007D120A" w:rsidRPr="007D120A" w:rsidRDefault="007D120A" w:rsidP="00DE298B">
      <w:pPr>
        <w:pStyle w:val="FootnoteText"/>
        <w:jc w:val="both"/>
        <w:rPr>
          <w:lang w:val="en-US"/>
        </w:rPr>
      </w:pPr>
      <w:r>
        <w:rPr>
          <w:rStyle w:val="FootnoteReference"/>
        </w:rPr>
        <w:footnoteRef/>
      </w:r>
      <w:r>
        <w:t xml:space="preserve"> </w:t>
      </w:r>
      <w:r>
        <w:rPr>
          <w:lang w:val="en-US"/>
        </w:rPr>
        <w:t xml:space="preserve">Letter dated 30 June </w:t>
      </w:r>
      <w:r w:rsidR="00A15A3A">
        <w:rPr>
          <w:lang w:val="en-US"/>
        </w:rPr>
        <w:t>2022, Caselines 01-40.</w:t>
      </w:r>
    </w:p>
  </w:footnote>
  <w:footnote w:id="5">
    <w:p w14:paraId="49F5915B" w14:textId="20FB6569" w:rsidR="00801F63" w:rsidRPr="00801F63" w:rsidRDefault="00801F63" w:rsidP="00B949C9">
      <w:pPr>
        <w:pStyle w:val="FootnoteText"/>
        <w:jc w:val="both"/>
        <w:rPr>
          <w:lang w:val="en-US"/>
        </w:rPr>
      </w:pPr>
      <w:r>
        <w:rPr>
          <w:rStyle w:val="FootnoteReference"/>
        </w:rPr>
        <w:footnoteRef/>
      </w:r>
      <w:r>
        <w:t xml:space="preserve"> </w:t>
      </w:r>
      <w:r w:rsidR="00277887" w:rsidRPr="00277887">
        <w:rPr>
          <w:i/>
          <w:iCs/>
        </w:rPr>
        <w:t>Wightman t/a JW Construction v Headfour (Pty) Ltd and Another</w:t>
      </w:r>
      <w:r w:rsidR="00277887" w:rsidRPr="00277887">
        <w:t xml:space="preserve"> </w:t>
      </w:r>
      <w:r w:rsidRPr="00801F63">
        <w:t>2008 (3) SA 371 (SCA)</w:t>
      </w:r>
      <w:r w:rsidR="00B949C9">
        <w:t>.</w:t>
      </w:r>
    </w:p>
  </w:footnote>
  <w:footnote w:id="6">
    <w:p w14:paraId="2A2A024F" w14:textId="3DD5D97E" w:rsidR="00E63133" w:rsidRPr="00E63133" w:rsidRDefault="00E63133" w:rsidP="00B949C9">
      <w:pPr>
        <w:pStyle w:val="FootnoteText"/>
        <w:jc w:val="both"/>
        <w:rPr>
          <w:lang w:val="en-US"/>
        </w:rPr>
      </w:pPr>
      <w:r>
        <w:rPr>
          <w:rStyle w:val="FootnoteReference"/>
        </w:rPr>
        <w:footnoteRef/>
      </w:r>
      <w:r>
        <w:t xml:space="preserve"> </w:t>
      </w:r>
      <w:r w:rsidRPr="00E63133">
        <w:rPr>
          <w:i/>
          <w:iCs/>
        </w:rPr>
        <w:t>Plascon-Evans Paints Ltd v Van Riebeeck Paints (Pty) Ltd</w:t>
      </w:r>
      <w:r w:rsidRPr="00E63133">
        <w:t xml:space="preserve"> 1984 (3) SA 623 (A) at 634E - 635C.</w:t>
      </w:r>
    </w:p>
  </w:footnote>
  <w:footnote w:id="7">
    <w:p w14:paraId="3FF5EA41" w14:textId="1650977A" w:rsidR="000E7501" w:rsidRPr="000E7501" w:rsidRDefault="00B96E8A" w:rsidP="000E7501">
      <w:pPr>
        <w:pStyle w:val="FootnoteText"/>
        <w:jc w:val="both"/>
        <w:rPr>
          <w:rFonts w:cs="Arial"/>
          <w:lang w:val="en-US"/>
        </w:rPr>
      </w:pPr>
      <w:r w:rsidRPr="000E7501">
        <w:rPr>
          <w:rStyle w:val="FootnoteReference"/>
          <w:rFonts w:cs="Arial"/>
        </w:rPr>
        <w:footnoteRef/>
      </w:r>
      <w:r w:rsidRPr="000E7501">
        <w:rPr>
          <w:rFonts w:cs="Arial"/>
        </w:rPr>
        <w:t xml:space="preserve"> </w:t>
      </w:r>
      <w:r w:rsidRPr="000E7501">
        <w:rPr>
          <w:rFonts w:cs="Arial"/>
          <w:lang w:val="en-US"/>
        </w:rPr>
        <w:t xml:space="preserve">Section </w:t>
      </w:r>
      <w:r w:rsidR="00375A6E" w:rsidRPr="000E7501">
        <w:rPr>
          <w:rFonts w:cs="Arial"/>
          <w:lang w:val="en-US"/>
        </w:rPr>
        <w:t>217(1) lists these.</w:t>
      </w:r>
      <w:r w:rsidR="000E7501" w:rsidRPr="000E7501">
        <w:rPr>
          <w:rFonts w:cs="Arial"/>
          <w:lang w:val="en-US"/>
        </w:rPr>
        <w:t xml:space="preserve"> </w:t>
      </w:r>
    </w:p>
  </w:footnote>
  <w:footnote w:id="8">
    <w:p w14:paraId="045D6D96" w14:textId="25946665" w:rsidR="00824E0C" w:rsidRPr="000E7501" w:rsidRDefault="00B83F56" w:rsidP="000E7501">
      <w:pPr>
        <w:pStyle w:val="NormalWeb"/>
        <w:spacing w:before="0" w:beforeAutospacing="0" w:after="0" w:afterAutospacing="0"/>
        <w:jc w:val="both"/>
        <w:rPr>
          <w:rFonts w:ascii="Arial" w:hAnsi="Arial" w:cs="Arial"/>
          <w:color w:val="FF0000"/>
          <w:sz w:val="20"/>
          <w:szCs w:val="20"/>
        </w:rPr>
      </w:pPr>
      <w:r w:rsidRPr="000E7501">
        <w:rPr>
          <w:rStyle w:val="FootnoteReference"/>
          <w:rFonts w:ascii="Arial" w:hAnsi="Arial" w:cs="Arial"/>
          <w:sz w:val="20"/>
          <w:szCs w:val="20"/>
        </w:rPr>
        <w:footnoteRef/>
      </w:r>
      <w:r w:rsidR="0007513B" w:rsidRPr="000E7501">
        <w:rPr>
          <w:rFonts w:ascii="Arial" w:hAnsi="Arial" w:cs="Arial"/>
          <w:sz w:val="20"/>
          <w:szCs w:val="20"/>
        </w:rPr>
        <w:t xml:space="preserve"> In the document the following is stated under the </w:t>
      </w:r>
      <w:r w:rsidR="00C53A25" w:rsidRPr="000E7501">
        <w:rPr>
          <w:rFonts w:ascii="Arial" w:hAnsi="Arial" w:cs="Arial"/>
          <w:sz w:val="20"/>
          <w:szCs w:val="20"/>
        </w:rPr>
        <w:t xml:space="preserve">heading </w:t>
      </w:r>
      <w:r w:rsidR="009210FA" w:rsidRPr="000E7501">
        <w:rPr>
          <w:rFonts w:ascii="Arial" w:hAnsi="Arial" w:cs="Arial"/>
          <w:sz w:val="20"/>
          <w:szCs w:val="20"/>
        </w:rPr>
        <w:t>“</w:t>
      </w:r>
      <w:r w:rsidR="00C53A25" w:rsidRPr="000E7501">
        <w:rPr>
          <w:rFonts w:ascii="Arial" w:hAnsi="Arial" w:cs="Arial"/>
          <w:i/>
          <w:iCs/>
          <w:color w:val="000000"/>
          <w:sz w:val="20"/>
          <w:szCs w:val="20"/>
        </w:rPr>
        <w:t>TENDER</w:t>
      </w:r>
      <w:r w:rsidR="00824E0C" w:rsidRPr="000E7501">
        <w:rPr>
          <w:rFonts w:ascii="Arial" w:hAnsi="Arial" w:cs="Arial"/>
          <w:i/>
          <w:iCs/>
          <w:color w:val="000000"/>
          <w:sz w:val="20"/>
          <w:szCs w:val="20"/>
        </w:rPr>
        <w:t xml:space="preserve"> RETURNABLES,</w:t>
      </w:r>
      <w:r w:rsidR="004B5361" w:rsidRPr="000E7501">
        <w:rPr>
          <w:rFonts w:ascii="Arial" w:hAnsi="Arial" w:cs="Arial"/>
          <w:i/>
          <w:iCs/>
          <w:color w:val="000000"/>
          <w:sz w:val="20"/>
          <w:szCs w:val="20"/>
        </w:rPr>
        <w:t xml:space="preserve"> </w:t>
      </w:r>
      <w:r w:rsidR="00824E0C" w:rsidRPr="000E7501">
        <w:rPr>
          <w:rFonts w:ascii="Arial" w:hAnsi="Arial" w:cs="Arial"/>
          <w:i/>
          <w:iCs/>
          <w:color w:val="000000"/>
          <w:sz w:val="20"/>
          <w:szCs w:val="20"/>
        </w:rPr>
        <w:t xml:space="preserve">The tenderer must submit the returnables set out hereunder as part of its lender. Returnables that are mandatory for evaluation will result in </w:t>
      </w:r>
      <w:r w:rsidR="009210FA" w:rsidRPr="000E7501">
        <w:rPr>
          <w:rFonts w:ascii="Arial" w:hAnsi="Arial" w:cs="Arial"/>
          <w:i/>
          <w:iCs/>
          <w:color w:val="000000"/>
          <w:sz w:val="20"/>
          <w:szCs w:val="20"/>
        </w:rPr>
        <w:t>disqualification</w:t>
      </w:r>
      <w:r w:rsidR="00824E0C" w:rsidRPr="000E7501">
        <w:rPr>
          <w:rFonts w:ascii="Arial" w:hAnsi="Arial" w:cs="Arial"/>
          <w:i/>
          <w:iCs/>
          <w:color w:val="000000"/>
          <w:sz w:val="20"/>
          <w:szCs w:val="20"/>
        </w:rPr>
        <w:t xml:space="preserve"> if not submitted at tender closing.</w:t>
      </w:r>
      <w:r w:rsidR="009210FA" w:rsidRPr="000E7501">
        <w:rPr>
          <w:rFonts w:ascii="Arial" w:hAnsi="Arial" w:cs="Arial"/>
          <w:i/>
          <w:iCs/>
          <w:color w:val="000000"/>
          <w:sz w:val="20"/>
          <w:szCs w:val="20"/>
        </w:rPr>
        <w:t>”</w:t>
      </w:r>
      <w:r w:rsidR="00990B61" w:rsidRPr="000E7501">
        <w:rPr>
          <w:rFonts w:ascii="Arial" w:hAnsi="Arial" w:cs="Arial"/>
          <w:color w:val="000000"/>
          <w:sz w:val="20"/>
          <w:szCs w:val="20"/>
        </w:rPr>
        <w:t xml:space="preserve"> </w:t>
      </w:r>
    </w:p>
    <w:p w14:paraId="69B65731" w14:textId="0F41C4CC" w:rsidR="00B83F56" w:rsidRPr="00B83F56" w:rsidRDefault="00B83F56">
      <w:pPr>
        <w:pStyle w:val="FootnoteText"/>
        <w:rPr>
          <w:lang w:val="en-US"/>
        </w:rPr>
      </w:pPr>
    </w:p>
  </w:footnote>
  <w:footnote w:id="9">
    <w:p w14:paraId="56D0E6A3" w14:textId="6D380784" w:rsidR="0088516A" w:rsidRPr="00B96053" w:rsidRDefault="0088516A" w:rsidP="000E7501">
      <w:pPr>
        <w:pStyle w:val="FootnoteText"/>
        <w:jc w:val="both"/>
        <w:rPr>
          <w:lang w:val="en-US"/>
        </w:rPr>
      </w:pPr>
      <w:r>
        <w:rPr>
          <w:rStyle w:val="FootnoteReference"/>
        </w:rPr>
        <w:footnoteRef/>
      </w:r>
      <w:r>
        <w:t xml:space="preserve"> </w:t>
      </w:r>
      <w:r w:rsidRPr="00A2682F">
        <w:t>FIDIC</w:t>
      </w:r>
      <w:r w:rsidR="00195D11" w:rsidRPr="00A2682F">
        <w:t xml:space="preserve"> is the French version of the acronym for </w:t>
      </w:r>
      <w:r w:rsidR="00F73F76" w:rsidRPr="00A2682F">
        <w:t xml:space="preserve">the </w:t>
      </w:r>
      <w:r w:rsidRPr="00A2682F">
        <w:rPr>
          <w:i/>
          <w:iCs/>
        </w:rPr>
        <w:t>Federation Internationale des Ingenieurs-Conseils</w:t>
      </w:r>
      <w:r w:rsidR="00F73F76" w:rsidRPr="00A2682F">
        <w:t>. In English this is translated as the</w:t>
      </w:r>
      <w:r w:rsidR="00F73F76" w:rsidRPr="00A2682F">
        <w:rPr>
          <w:i/>
          <w:iCs/>
        </w:rPr>
        <w:t xml:space="preserve"> International Federation of Consulting Engineers</w:t>
      </w:r>
      <w:r w:rsidR="00B96053" w:rsidRPr="00A2682F">
        <w:rPr>
          <w:i/>
          <w:iCs/>
        </w:rPr>
        <w:t xml:space="preserve">. </w:t>
      </w:r>
      <w:r w:rsidR="00B96053" w:rsidRPr="00A2682F">
        <w:t>The acronym is defined in the Eskom</w:t>
      </w:r>
      <w:r w:rsidR="00B96053">
        <w:t xml:space="preserve"> </w:t>
      </w:r>
      <w:r w:rsidR="0034141F" w:rsidRPr="0034141F">
        <w:t>Procurement and Supply Chain Management Procedure</w:t>
      </w:r>
      <w:r w:rsidR="0034141F">
        <w:t xml:space="preserve"> document.</w:t>
      </w:r>
    </w:p>
  </w:footnote>
  <w:footnote w:id="10">
    <w:p w14:paraId="6559C79A" w14:textId="241A8EE7" w:rsidR="00B108DA" w:rsidRPr="00B108DA" w:rsidRDefault="00B108DA">
      <w:pPr>
        <w:pStyle w:val="FootnoteText"/>
        <w:rPr>
          <w:lang w:val="en-US"/>
        </w:rPr>
      </w:pPr>
      <w:r>
        <w:rPr>
          <w:rStyle w:val="FootnoteReference"/>
        </w:rPr>
        <w:footnoteRef/>
      </w:r>
      <w:r>
        <w:t xml:space="preserve"> </w:t>
      </w:r>
      <w:r w:rsidRPr="00B108DA">
        <w:t>2007 JOL 20439 (D).</w:t>
      </w:r>
    </w:p>
  </w:footnote>
  <w:footnote w:id="11">
    <w:p w14:paraId="44787CB0" w14:textId="26049E94" w:rsidR="005F39C8" w:rsidRPr="005F39C8" w:rsidRDefault="005F39C8" w:rsidP="000E7501">
      <w:pPr>
        <w:pStyle w:val="FootnoteText"/>
        <w:jc w:val="both"/>
        <w:rPr>
          <w:lang w:val="en-US"/>
        </w:rPr>
      </w:pPr>
      <w:r>
        <w:rPr>
          <w:rStyle w:val="FootnoteReference"/>
        </w:rPr>
        <w:footnoteRef/>
      </w:r>
      <w:r>
        <w:t xml:space="preserve"> </w:t>
      </w:r>
      <w:r w:rsidRPr="005F39C8">
        <w:t>(64288/2021) [2022] ZAGPPHC 865 (17 November 2022) paragraph 33</w:t>
      </w:r>
      <w:r w:rsidR="000E7501">
        <w:t>.</w:t>
      </w:r>
    </w:p>
  </w:footnote>
  <w:footnote w:id="12">
    <w:p w14:paraId="3AEDC4EF" w14:textId="448F5054" w:rsidR="0024191F" w:rsidRPr="0024191F" w:rsidRDefault="0024191F" w:rsidP="000E7501">
      <w:pPr>
        <w:pStyle w:val="FootnoteText"/>
        <w:jc w:val="both"/>
        <w:rPr>
          <w:lang w:val="en-US"/>
        </w:rPr>
      </w:pPr>
      <w:r>
        <w:rPr>
          <w:rStyle w:val="FootnoteReference"/>
        </w:rPr>
        <w:footnoteRef/>
      </w:r>
      <w:r>
        <w:t xml:space="preserve"> </w:t>
      </w:r>
      <w:r w:rsidR="0038741D" w:rsidRPr="001E164F">
        <w:rPr>
          <w:i/>
          <w:iCs/>
        </w:rPr>
        <w:t xml:space="preserve">AIIPay Consolidated investments Holdings (Pty) Ltd and others v CEO, SASSA, and others </w:t>
      </w:r>
      <w:r w:rsidR="0038741D" w:rsidRPr="0038741D">
        <w:t>2014 (1) SA 604 (CC)</w:t>
      </w:r>
      <w:r w:rsidR="001E164F">
        <w:t xml:space="preserve"> paragraph 92.</w:t>
      </w:r>
    </w:p>
  </w:footnote>
  <w:footnote w:id="13">
    <w:p w14:paraId="119F1418" w14:textId="1287A9BD" w:rsidR="00911492" w:rsidRPr="00911492" w:rsidRDefault="00911492" w:rsidP="005D4C2B">
      <w:pPr>
        <w:pStyle w:val="FootnoteText"/>
        <w:jc w:val="both"/>
        <w:rPr>
          <w:lang w:val="en-US"/>
        </w:rPr>
      </w:pPr>
      <w:r>
        <w:rPr>
          <w:rStyle w:val="FootnoteReference"/>
        </w:rPr>
        <w:footnoteRef/>
      </w:r>
      <w:r>
        <w:t xml:space="preserve"> </w:t>
      </w:r>
      <w:r>
        <w:rPr>
          <w:lang w:val="en-US"/>
        </w:rPr>
        <w:t>Even the description as an ‘Appendix to the Tender” would have made its status obvious.</w:t>
      </w:r>
      <w:r w:rsidR="004D31E4">
        <w:rPr>
          <w:lang w:val="en-US"/>
        </w:rPr>
        <w:t xml:space="preserve"> Why would one submit a tender and leave out an appendix to it?</w:t>
      </w:r>
    </w:p>
  </w:footnote>
  <w:footnote w:id="14">
    <w:p w14:paraId="3161D509" w14:textId="5315694B" w:rsidR="001F18AF" w:rsidRPr="005D4C2B" w:rsidRDefault="001F18AF" w:rsidP="005D4C2B">
      <w:pPr>
        <w:pStyle w:val="FootnoteText"/>
        <w:jc w:val="both"/>
        <w:rPr>
          <w:rFonts w:cs="Arial"/>
          <w:lang w:val="en-US"/>
        </w:rPr>
      </w:pPr>
      <w:r w:rsidRPr="005D4C2B">
        <w:rPr>
          <w:rStyle w:val="FootnoteReference"/>
          <w:rFonts w:cs="Arial"/>
        </w:rPr>
        <w:footnoteRef/>
      </w:r>
      <w:r w:rsidRPr="005D4C2B">
        <w:rPr>
          <w:rFonts w:cs="Arial"/>
        </w:rPr>
        <w:t xml:space="preserve"> </w:t>
      </w:r>
      <w:r w:rsidRPr="005D4C2B">
        <w:rPr>
          <w:rFonts w:cs="Arial"/>
          <w:lang w:val="en-US"/>
        </w:rPr>
        <w:t xml:space="preserve">WBHO says that </w:t>
      </w:r>
      <w:r w:rsidR="00E03474" w:rsidRPr="005D4C2B">
        <w:rPr>
          <w:rFonts w:cs="Arial"/>
          <w:lang w:val="en-US"/>
        </w:rPr>
        <w:t>Eskom refers to the first edition of FIDIC in the tender documents (1999) whilst the reference to the Appendix is language used in the second edition (2017)</w:t>
      </w:r>
      <w:r w:rsidR="005D4C2B">
        <w:rPr>
          <w:rFonts w:cs="Arial"/>
          <w:lang w:val="en-US"/>
        </w:rPr>
        <w:t>.</w:t>
      </w:r>
    </w:p>
  </w:footnote>
  <w:footnote w:id="15">
    <w:p w14:paraId="11ABAF32" w14:textId="7F461C48" w:rsidR="00544F4D" w:rsidRPr="005D4C2B" w:rsidRDefault="00544F4D" w:rsidP="005D4C2B">
      <w:pPr>
        <w:rPr>
          <w:i/>
          <w:iCs/>
          <w:sz w:val="20"/>
          <w:szCs w:val="20"/>
        </w:rPr>
      </w:pPr>
      <w:r w:rsidRPr="005D4C2B">
        <w:rPr>
          <w:rStyle w:val="FootnoteReference"/>
          <w:rFonts w:cs="Arial"/>
          <w:sz w:val="20"/>
          <w:szCs w:val="20"/>
        </w:rPr>
        <w:footnoteRef/>
      </w:r>
      <w:r w:rsidRPr="005D4C2B">
        <w:rPr>
          <w:i/>
          <w:iCs/>
          <w:sz w:val="20"/>
          <w:szCs w:val="20"/>
        </w:rPr>
        <w:t xml:space="preserve"> “If the applicant knew Eskom added the Appendix to Tender to the tender documentation it would have</w:t>
      </w:r>
      <w:r w:rsidR="005D4C2B" w:rsidRPr="005D4C2B">
        <w:rPr>
          <w:i/>
          <w:iCs/>
          <w:sz w:val="20"/>
          <w:szCs w:val="20"/>
        </w:rPr>
        <w:t xml:space="preserve"> </w:t>
      </w:r>
      <w:r w:rsidRPr="005D4C2B">
        <w:rPr>
          <w:i/>
          <w:iCs/>
          <w:sz w:val="20"/>
          <w:szCs w:val="20"/>
        </w:rPr>
        <w:t>been a very simple exercise to complete the document and to include it in applicants bid submission.”</w:t>
      </w:r>
    </w:p>
    <w:p w14:paraId="6A37327C" w14:textId="026CDD12" w:rsidR="00544F4D" w:rsidRPr="00544F4D" w:rsidRDefault="00544F4D">
      <w:pPr>
        <w:pStyle w:val="FootnoteText"/>
        <w:rPr>
          <w:lang w:val="en-US"/>
        </w:rPr>
      </w:pPr>
    </w:p>
  </w:footnote>
  <w:footnote w:id="16">
    <w:p w14:paraId="143BDB84" w14:textId="0B2C46C7" w:rsidR="00501918" w:rsidRPr="00AB5731" w:rsidRDefault="00501918" w:rsidP="005D4C2B">
      <w:pPr>
        <w:pStyle w:val="FootnoteText"/>
        <w:jc w:val="both"/>
        <w:rPr>
          <w:i/>
          <w:iCs/>
          <w:lang w:val="en-US"/>
        </w:rPr>
      </w:pPr>
      <w:r>
        <w:rPr>
          <w:rStyle w:val="FootnoteReference"/>
        </w:rPr>
        <w:footnoteRef/>
      </w:r>
      <w:r>
        <w:t xml:space="preserve"> </w:t>
      </w:r>
      <w:r>
        <w:rPr>
          <w:lang w:val="en-US"/>
        </w:rPr>
        <w:t>In more technical terms it is described by Eskom in the relevant document in this way:</w:t>
      </w:r>
      <w:r w:rsidRPr="00501918">
        <w:t xml:space="preserve"> </w:t>
      </w:r>
      <w:r w:rsidR="00AB5731">
        <w:t>“</w:t>
      </w:r>
      <w:r w:rsidRPr="00AB5731">
        <w:rPr>
          <w:i/>
          <w:iCs/>
          <w:lang w:val="en-US"/>
        </w:rPr>
        <w:t xml:space="preserve">The change to a Class C liner resulted in the amount of HDPE liner material required reducing by approximately 50% and the Liner Leakage Detection Layer also being removed. The Leakage </w:t>
      </w:r>
      <w:r w:rsidR="00AB5731" w:rsidRPr="00AB5731">
        <w:rPr>
          <w:i/>
          <w:iCs/>
          <w:lang w:val="en-US"/>
        </w:rPr>
        <w:t>Detection</w:t>
      </w:r>
      <w:r w:rsidRPr="00AB5731">
        <w:rPr>
          <w:i/>
          <w:iCs/>
          <w:lang w:val="en-US"/>
        </w:rPr>
        <w:t xml:space="preserve"> Layer consisted of Geocells and River Sand with associated drainage piping, the removal of these items also resulted in a significant cost saving to the project."</w:t>
      </w:r>
    </w:p>
  </w:footnote>
  <w:footnote w:id="17">
    <w:p w14:paraId="3AFA1037" w14:textId="05931144" w:rsidR="008A52CB" w:rsidRPr="008A52CB" w:rsidRDefault="008A52CB" w:rsidP="005D4C2B">
      <w:pPr>
        <w:pStyle w:val="FootnoteText"/>
        <w:jc w:val="both"/>
        <w:rPr>
          <w:lang w:val="en-US"/>
        </w:rPr>
      </w:pPr>
      <w:r>
        <w:rPr>
          <w:rStyle w:val="FootnoteReference"/>
        </w:rPr>
        <w:footnoteRef/>
      </w:r>
      <w:r>
        <w:t xml:space="preserve"> Eskom denies in it papers that WBHO’s was the </w:t>
      </w:r>
      <w:r w:rsidR="00336C3C">
        <w:t xml:space="preserve">lowest bid, It suggests that it was </w:t>
      </w:r>
      <w:r w:rsidR="00EF2E39">
        <w:t>fifth ranked</w:t>
      </w:r>
      <w:r w:rsidR="001A05DB">
        <w:t xml:space="preserve"> out of the bidders, </w:t>
      </w:r>
      <w:r w:rsidR="00336C3C">
        <w:t>although it does not put up any figures to substantiate this claim whilst WBHO does.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12235"/>
      <w:docPartObj>
        <w:docPartGallery w:val="Page Numbers (Top of Page)"/>
        <w:docPartUnique/>
      </w:docPartObj>
    </w:sdtPr>
    <w:sdtEndPr>
      <w:rPr>
        <w:noProof/>
      </w:rPr>
    </w:sdtEndPr>
    <w:sdtContent>
      <w:p w14:paraId="6007AB6B" w14:textId="25934026" w:rsidR="00887278" w:rsidRDefault="00887278">
        <w:pPr>
          <w:pStyle w:val="Header"/>
          <w:jc w:val="right"/>
        </w:pPr>
        <w:r>
          <w:fldChar w:fldCharType="begin"/>
        </w:r>
        <w:r>
          <w:instrText xml:space="preserve"> PAGE   \* MERGEFORMAT </w:instrText>
        </w:r>
        <w:r>
          <w:fldChar w:fldCharType="separate"/>
        </w:r>
        <w:r w:rsidR="003D2CBF">
          <w:rPr>
            <w:noProof/>
          </w:rPr>
          <w:t>24</w:t>
        </w:r>
        <w:r>
          <w:rPr>
            <w:noProof/>
          </w:rPr>
          <w:fldChar w:fldCharType="end"/>
        </w:r>
      </w:p>
    </w:sdtContent>
  </w:sdt>
  <w:p w14:paraId="2BA80AE0" w14:textId="77777777" w:rsidR="00887278" w:rsidRDefault="0088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328D021A"/>
    <w:multiLevelType w:val="hybridMultilevel"/>
    <w:tmpl w:val="AD588EB8"/>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5AFE044A"/>
    <w:multiLevelType w:val="hybridMultilevel"/>
    <w:tmpl w:val="2976EF20"/>
    <w:lvl w:ilvl="0" w:tplc="B8A4DAD6">
      <w:start w:val="1"/>
      <w:numFmt w:val="decimal"/>
      <w:lvlText w:val="[%1]"/>
      <w:lvlJc w:val="left"/>
      <w:pPr>
        <w:ind w:left="360" w:hanging="360"/>
      </w:pPr>
      <w:rPr>
        <w:rFonts w:hint="default"/>
      </w:rPr>
    </w:lvl>
    <w:lvl w:ilvl="1" w:tplc="1C090019">
      <w:start w:val="1"/>
      <w:numFmt w:val="lowerLetter"/>
      <w:lvlText w:val="%2."/>
      <w:lvlJc w:val="left"/>
      <w:pPr>
        <w:ind w:left="1919"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B3"/>
    <w:rsid w:val="00001B53"/>
    <w:rsid w:val="00004D83"/>
    <w:rsid w:val="00005C20"/>
    <w:rsid w:val="00006B1C"/>
    <w:rsid w:val="000076EE"/>
    <w:rsid w:val="00007BCA"/>
    <w:rsid w:val="000104C5"/>
    <w:rsid w:val="00010AE7"/>
    <w:rsid w:val="00011CE3"/>
    <w:rsid w:val="000126D9"/>
    <w:rsid w:val="00020099"/>
    <w:rsid w:val="000226AC"/>
    <w:rsid w:val="00027146"/>
    <w:rsid w:val="000306C1"/>
    <w:rsid w:val="00030DF0"/>
    <w:rsid w:val="00031CAF"/>
    <w:rsid w:val="000321ED"/>
    <w:rsid w:val="00034299"/>
    <w:rsid w:val="000347A8"/>
    <w:rsid w:val="00036E96"/>
    <w:rsid w:val="00036EFD"/>
    <w:rsid w:val="00037C91"/>
    <w:rsid w:val="000407F7"/>
    <w:rsid w:val="00040955"/>
    <w:rsid w:val="00040A92"/>
    <w:rsid w:val="00041ABE"/>
    <w:rsid w:val="00043753"/>
    <w:rsid w:val="00043E92"/>
    <w:rsid w:val="00045253"/>
    <w:rsid w:val="00045A18"/>
    <w:rsid w:val="00047FAD"/>
    <w:rsid w:val="00057058"/>
    <w:rsid w:val="00057856"/>
    <w:rsid w:val="00057923"/>
    <w:rsid w:val="0006112F"/>
    <w:rsid w:val="000620C1"/>
    <w:rsid w:val="000644C3"/>
    <w:rsid w:val="00064694"/>
    <w:rsid w:val="00066198"/>
    <w:rsid w:val="00070562"/>
    <w:rsid w:val="000712F6"/>
    <w:rsid w:val="0007358A"/>
    <w:rsid w:val="0007513B"/>
    <w:rsid w:val="00082FF1"/>
    <w:rsid w:val="000851FB"/>
    <w:rsid w:val="00085F3D"/>
    <w:rsid w:val="0009406A"/>
    <w:rsid w:val="00094C39"/>
    <w:rsid w:val="000A00A2"/>
    <w:rsid w:val="000A466A"/>
    <w:rsid w:val="000A73BE"/>
    <w:rsid w:val="000B0FEA"/>
    <w:rsid w:val="000B24E8"/>
    <w:rsid w:val="000B407C"/>
    <w:rsid w:val="000B47DC"/>
    <w:rsid w:val="000B72E2"/>
    <w:rsid w:val="000C0089"/>
    <w:rsid w:val="000C2D86"/>
    <w:rsid w:val="000C4DBC"/>
    <w:rsid w:val="000C5969"/>
    <w:rsid w:val="000C6AC6"/>
    <w:rsid w:val="000C7155"/>
    <w:rsid w:val="000C71A7"/>
    <w:rsid w:val="000D4192"/>
    <w:rsid w:val="000D6751"/>
    <w:rsid w:val="000D7EDC"/>
    <w:rsid w:val="000E0226"/>
    <w:rsid w:val="000E1E9A"/>
    <w:rsid w:val="000E26DD"/>
    <w:rsid w:val="000E4856"/>
    <w:rsid w:val="000E4B9E"/>
    <w:rsid w:val="000E58A8"/>
    <w:rsid w:val="000E7501"/>
    <w:rsid w:val="000F4910"/>
    <w:rsid w:val="000F794C"/>
    <w:rsid w:val="001002F6"/>
    <w:rsid w:val="001026A5"/>
    <w:rsid w:val="00104EFD"/>
    <w:rsid w:val="0011081E"/>
    <w:rsid w:val="00116F8E"/>
    <w:rsid w:val="00127879"/>
    <w:rsid w:val="00130522"/>
    <w:rsid w:val="00130D77"/>
    <w:rsid w:val="0013573D"/>
    <w:rsid w:val="0014127D"/>
    <w:rsid w:val="001458D2"/>
    <w:rsid w:val="0015066D"/>
    <w:rsid w:val="00150DEF"/>
    <w:rsid w:val="00153575"/>
    <w:rsid w:val="00153FBA"/>
    <w:rsid w:val="001540E2"/>
    <w:rsid w:val="00154955"/>
    <w:rsid w:val="0015514C"/>
    <w:rsid w:val="001565EE"/>
    <w:rsid w:val="00156EF1"/>
    <w:rsid w:val="00156F3B"/>
    <w:rsid w:val="00156F6D"/>
    <w:rsid w:val="0016260C"/>
    <w:rsid w:val="00162A7B"/>
    <w:rsid w:val="00163D3B"/>
    <w:rsid w:val="00165110"/>
    <w:rsid w:val="001666A8"/>
    <w:rsid w:val="001719D9"/>
    <w:rsid w:val="00182743"/>
    <w:rsid w:val="00185E4D"/>
    <w:rsid w:val="001875EA"/>
    <w:rsid w:val="00190DE8"/>
    <w:rsid w:val="00192215"/>
    <w:rsid w:val="00193FE6"/>
    <w:rsid w:val="00195D11"/>
    <w:rsid w:val="00197016"/>
    <w:rsid w:val="00197017"/>
    <w:rsid w:val="0019741C"/>
    <w:rsid w:val="001A0511"/>
    <w:rsid w:val="001A05DB"/>
    <w:rsid w:val="001A3524"/>
    <w:rsid w:val="001B0762"/>
    <w:rsid w:val="001B192D"/>
    <w:rsid w:val="001B2A31"/>
    <w:rsid w:val="001B57D5"/>
    <w:rsid w:val="001B6C98"/>
    <w:rsid w:val="001B6E2C"/>
    <w:rsid w:val="001D145A"/>
    <w:rsid w:val="001D50F1"/>
    <w:rsid w:val="001D6D4B"/>
    <w:rsid w:val="001E164F"/>
    <w:rsid w:val="001E4958"/>
    <w:rsid w:val="001E4EA1"/>
    <w:rsid w:val="001F01BA"/>
    <w:rsid w:val="001F107C"/>
    <w:rsid w:val="001F18AF"/>
    <w:rsid w:val="001F7955"/>
    <w:rsid w:val="0020268B"/>
    <w:rsid w:val="0020375E"/>
    <w:rsid w:val="00203D72"/>
    <w:rsid w:val="00203E3C"/>
    <w:rsid w:val="00205B00"/>
    <w:rsid w:val="00205D20"/>
    <w:rsid w:val="0020637D"/>
    <w:rsid w:val="00213049"/>
    <w:rsid w:val="002204EC"/>
    <w:rsid w:val="00221537"/>
    <w:rsid w:val="00223559"/>
    <w:rsid w:val="00224070"/>
    <w:rsid w:val="00232EBC"/>
    <w:rsid w:val="00233313"/>
    <w:rsid w:val="002347F1"/>
    <w:rsid w:val="002348F5"/>
    <w:rsid w:val="0024191F"/>
    <w:rsid w:val="0024680D"/>
    <w:rsid w:val="00247294"/>
    <w:rsid w:val="002475A3"/>
    <w:rsid w:val="002514C3"/>
    <w:rsid w:val="002526C2"/>
    <w:rsid w:val="00253C43"/>
    <w:rsid w:val="00260321"/>
    <w:rsid w:val="002625DD"/>
    <w:rsid w:val="0026370F"/>
    <w:rsid w:val="00267D05"/>
    <w:rsid w:val="00271B0C"/>
    <w:rsid w:val="002733C8"/>
    <w:rsid w:val="00274A78"/>
    <w:rsid w:val="00276E3E"/>
    <w:rsid w:val="00277887"/>
    <w:rsid w:val="0028270E"/>
    <w:rsid w:val="00282C86"/>
    <w:rsid w:val="00283CD8"/>
    <w:rsid w:val="002843E4"/>
    <w:rsid w:val="00284AC7"/>
    <w:rsid w:val="00284AD1"/>
    <w:rsid w:val="00284F1F"/>
    <w:rsid w:val="0028719B"/>
    <w:rsid w:val="00291143"/>
    <w:rsid w:val="00291912"/>
    <w:rsid w:val="00291DC9"/>
    <w:rsid w:val="00293FCA"/>
    <w:rsid w:val="002950CD"/>
    <w:rsid w:val="002957E0"/>
    <w:rsid w:val="002A01DE"/>
    <w:rsid w:val="002A0E6E"/>
    <w:rsid w:val="002A12A0"/>
    <w:rsid w:val="002A2655"/>
    <w:rsid w:val="002A7350"/>
    <w:rsid w:val="002B31F0"/>
    <w:rsid w:val="002B3E7F"/>
    <w:rsid w:val="002B6738"/>
    <w:rsid w:val="002C17A2"/>
    <w:rsid w:val="002C261D"/>
    <w:rsid w:val="002C2F0C"/>
    <w:rsid w:val="002C2F0F"/>
    <w:rsid w:val="002C76CE"/>
    <w:rsid w:val="002D2D2B"/>
    <w:rsid w:val="002D579E"/>
    <w:rsid w:val="002D5F80"/>
    <w:rsid w:val="002D7FE0"/>
    <w:rsid w:val="002E42FF"/>
    <w:rsid w:val="002E55B2"/>
    <w:rsid w:val="002E6D8A"/>
    <w:rsid w:val="002E7720"/>
    <w:rsid w:val="002E7833"/>
    <w:rsid w:val="002F3925"/>
    <w:rsid w:val="002F62B9"/>
    <w:rsid w:val="002F6751"/>
    <w:rsid w:val="0030167A"/>
    <w:rsid w:val="00301898"/>
    <w:rsid w:val="00301A19"/>
    <w:rsid w:val="00302D54"/>
    <w:rsid w:val="00302F62"/>
    <w:rsid w:val="00304C0A"/>
    <w:rsid w:val="0030515E"/>
    <w:rsid w:val="00306655"/>
    <w:rsid w:val="0031076E"/>
    <w:rsid w:val="00311335"/>
    <w:rsid w:val="00311D23"/>
    <w:rsid w:val="003169A3"/>
    <w:rsid w:val="00317F3C"/>
    <w:rsid w:val="0032078E"/>
    <w:rsid w:val="00320F87"/>
    <w:rsid w:val="00321F14"/>
    <w:rsid w:val="00323418"/>
    <w:rsid w:val="00325B2B"/>
    <w:rsid w:val="00327075"/>
    <w:rsid w:val="00327393"/>
    <w:rsid w:val="00330970"/>
    <w:rsid w:val="003326BA"/>
    <w:rsid w:val="00333112"/>
    <w:rsid w:val="00333639"/>
    <w:rsid w:val="0033490B"/>
    <w:rsid w:val="00336C3C"/>
    <w:rsid w:val="00337D7D"/>
    <w:rsid w:val="0034141F"/>
    <w:rsid w:val="003425DF"/>
    <w:rsid w:val="003451C3"/>
    <w:rsid w:val="003459E3"/>
    <w:rsid w:val="00350E40"/>
    <w:rsid w:val="00357A6F"/>
    <w:rsid w:val="00360EE6"/>
    <w:rsid w:val="00361320"/>
    <w:rsid w:val="00364616"/>
    <w:rsid w:val="00366499"/>
    <w:rsid w:val="00367DA8"/>
    <w:rsid w:val="00370825"/>
    <w:rsid w:val="0037420D"/>
    <w:rsid w:val="00375A6E"/>
    <w:rsid w:val="003810CA"/>
    <w:rsid w:val="003811CE"/>
    <w:rsid w:val="0038563F"/>
    <w:rsid w:val="00385875"/>
    <w:rsid w:val="0038741D"/>
    <w:rsid w:val="00390102"/>
    <w:rsid w:val="003906B8"/>
    <w:rsid w:val="00390FEA"/>
    <w:rsid w:val="00391130"/>
    <w:rsid w:val="003913B3"/>
    <w:rsid w:val="00392370"/>
    <w:rsid w:val="0039285E"/>
    <w:rsid w:val="003A1E13"/>
    <w:rsid w:val="003A4C5A"/>
    <w:rsid w:val="003A6354"/>
    <w:rsid w:val="003A7C7D"/>
    <w:rsid w:val="003B1EB7"/>
    <w:rsid w:val="003B2435"/>
    <w:rsid w:val="003B3B5A"/>
    <w:rsid w:val="003B6D4A"/>
    <w:rsid w:val="003B773A"/>
    <w:rsid w:val="003B7EDE"/>
    <w:rsid w:val="003C1E3A"/>
    <w:rsid w:val="003C6D2A"/>
    <w:rsid w:val="003C7B39"/>
    <w:rsid w:val="003C7FA0"/>
    <w:rsid w:val="003D2CBF"/>
    <w:rsid w:val="003D3AA5"/>
    <w:rsid w:val="003D5627"/>
    <w:rsid w:val="003D575E"/>
    <w:rsid w:val="003D7E2E"/>
    <w:rsid w:val="003E557C"/>
    <w:rsid w:val="003E66BC"/>
    <w:rsid w:val="003F1FB4"/>
    <w:rsid w:val="003F5750"/>
    <w:rsid w:val="003F7E9D"/>
    <w:rsid w:val="0040100F"/>
    <w:rsid w:val="00402E69"/>
    <w:rsid w:val="0041155C"/>
    <w:rsid w:val="004115E4"/>
    <w:rsid w:val="004124B3"/>
    <w:rsid w:val="0041728E"/>
    <w:rsid w:val="00433229"/>
    <w:rsid w:val="00436A0B"/>
    <w:rsid w:val="00436F46"/>
    <w:rsid w:val="00440EB1"/>
    <w:rsid w:val="00445A06"/>
    <w:rsid w:val="00446DE2"/>
    <w:rsid w:val="00446E75"/>
    <w:rsid w:val="004517A0"/>
    <w:rsid w:val="00454CA5"/>
    <w:rsid w:val="0045613C"/>
    <w:rsid w:val="00457573"/>
    <w:rsid w:val="004618CC"/>
    <w:rsid w:val="00461DAA"/>
    <w:rsid w:val="00471901"/>
    <w:rsid w:val="00476020"/>
    <w:rsid w:val="004762EC"/>
    <w:rsid w:val="00476B2C"/>
    <w:rsid w:val="004810E9"/>
    <w:rsid w:val="00485636"/>
    <w:rsid w:val="00487BD5"/>
    <w:rsid w:val="004961A9"/>
    <w:rsid w:val="004A0161"/>
    <w:rsid w:val="004A0A3F"/>
    <w:rsid w:val="004A0AEC"/>
    <w:rsid w:val="004A382D"/>
    <w:rsid w:val="004A5527"/>
    <w:rsid w:val="004A5C36"/>
    <w:rsid w:val="004B0E88"/>
    <w:rsid w:val="004B5361"/>
    <w:rsid w:val="004C0DEF"/>
    <w:rsid w:val="004C1671"/>
    <w:rsid w:val="004C3FC5"/>
    <w:rsid w:val="004C43A4"/>
    <w:rsid w:val="004C6D39"/>
    <w:rsid w:val="004D31E4"/>
    <w:rsid w:val="004D336C"/>
    <w:rsid w:val="004E1B1E"/>
    <w:rsid w:val="004E6595"/>
    <w:rsid w:val="004F31D2"/>
    <w:rsid w:val="004F51E9"/>
    <w:rsid w:val="004F7763"/>
    <w:rsid w:val="0050110D"/>
    <w:rsid w:val="0050141F"/>
    <w:rsid w:val="00501918"/>
    <w:rsid w:val="00503216"/>
    <w:rsid w:val="00503D60"/>
    <w:rsid w:val="0050545F"/>
    <w:rsid w:val="00505775"/>
    <w:rsid w:val="00506263"/>
    <w:rsid w:val="005078D9"/>
    <w:rsid w:val="005105C6"/>
    <w:rsid w:val="00511D60"/>
    <w:rsid w:val="00516AC3"/>
    <w:rsid w:val="00516B41"/>
    <w:rsid w:val="00517002"/>
    <w:rsid w:val="00521494"/>
    <w:rsid w:val="00523223"/>
    <w:rsid w:val="005311B3"/>
    <w:rsid w:val="00534E4E"/>
    <w:rsid w:val="0054049F"/>
    <w:rsid w:val="00540B7D"/>
    <w:rsid w:val="00543015"/>
    <w:rsid w:val="00544F4D"/>
    <w:rsid w:val="00545E1C"/>
    <w:rsid w:val="00551218"/>
    <w:rsid w:val="00556A02"/>
    <w:rsid w:val="00562F59"/>
    <w:rsid w:val="005658F4"/>
    <w:rsid w:val="0057083B"/>
    <w:rsid w:val="00573604"/>
    <w:rsid w:val="005745AC"/>
    <w:rsid w:val="00582628"/>
    <w:rsid w:val="0058339A"/>
    <w:rsid w:val="00584022"/>
    <w:rsid w:val="00585DFB"/>
    <w:rsid w:val="00591804"/>
    <w:rsid w:val="0059287A"/>
    <w:rsid w:val="005932E4"/>
    <w:rsid w:val="005934D5"/>
    <w:rsid w:val="00595C4C"/>
    <w:rsid w:val="005A0332"/>
    <w:rsid w:val="005A17C4"/>
    <w:rsid w:val="005A20B5"/>
    <w:rsid w:val="005A21A6"/>
    <w:rsid w:val="005A2F2A"/>
    <w:rsid w:val="005A3D7C"/>
    <w:rsid w:val="005A4D8E"/>
    <w:rsid w:val="005A654C"/>
    <w:rsid w:val="005B0F42"/>
    <w:rsid w:val="005B18AA"/>
    <w:rsid w:val="005B3128"/>
    <w:rsid w:val="005C2120"/>
    <w:rsid w:val="005C276C"/>
    <w:rsid w:val="005C470F"/>
    <w:rsid w:val="005C538A"/>
    <w:rsid w:val="005C54EA"/>
    <w:rsid w:val="005C7668"/>
    <w:rsid w:val="005C7D3E"/>
    <w:rsid w:val="005D0D4E"/>
    <w:rsid w:val="005D41A9"/>
    <w:rsid w:val="005D4C2B"/>
    <w:rsid w:val="005D5ABD"/>
    <w:rsid w:val="005D60AC"/>
    <w:rsid w:val="005D62FA"/>
    <w:rsid w:val="005D7720"/>
    <w:rsid w:val="005E4D57"/>
    <w:rsid w:val="005F0034"/>
    <w:rsid w:val="005F388E"/>
    <w:rsid w:val="005F39C8"/>
    <w:rsid w:val="005F4016"/>
    <w:rsid w:val="005F5042"/>
    <w:rsid w:val="005F5D22"/>
    <w:rsid w:val="00600FC1"/>
    <w:rsid w:val="00603506"/>
    <w:rsid w:val="006061C3"/>
    <w:rsid w:val="00607D3F"/>
    <w:rsid w:val="006119BE"/>
    <w:rsid w:val="00611BF8"/>
    <w:rsid w:val="0061216B"/>
    <w:rsid w:val="00612981"/>
    <w:rsid w:val="006138E1"/>
    <w:rsid w:val="0061419C"/>
    <w:rsid w:val="00615754"/>
    <w:rsid w:val="00620463"/>
    <w:rsid w:val="006208EC"/>
    <w:rsid w:val="00622466"/>
    <w:rsid w:val="00623188"/>
    <w:rsid w:val="006260FB"/>
    <w:rsid w:val="006268C9"/>
    <w:rsid w:val="00626D72"/>
    <w:rsid w:val="00630F2F"/>
    <w:rsid w:val="00631378"/>
    <w:rsid w:val="00631831"/>
    <w:rsid w:val="00635EC6"/>
    <w:rsid w:val="00636785"/>
    <w:rsid w:val="00640BB8"/>
    <w:rsid w:val="00643437"/>
    <w:rsid w:val="006446CA"/>
    <w:rsid w:val="00647C45"/>
    <w:rsid w:val="00651FDF"/>
    <w:rsid w:val="006527A4"/>
    <w:rsid w:val="0065451C"/>
    <w:rsid w:val="00654D37"/>
    <w:rsid w:val="00656EF4"/>
    <w:rsid w:val="00657EAE"/>
    <w:rsid w:val="00662568"/>
    <w:rsid w:val="00663403"/>
    <w:rsid w:val="00663A1E"/>
    <w:rsid w:val="00664D0E"/>
    <w:rsid w:val="006700D9"/>
    <w:rsid w:val="00672E81"/>
    <w:rsid w:val="006733D6"/>
    <w:rsid w:val="00675550"/>
    <w:rsid w:val="006776B2"/>
    <w:rsid w:val="006838A1"/>
    <w:rsid w:val="00683CA9"/>
    <w:rsid w:val="00690CA1"/>
    <w:rsid w:val="006940EF"/>
    <w:rsid w:val="00694F5E"/>
    <w:rsid w:val="00696E6F"/>
    <w:rsid w:val="00697224"/>
    <w:rsid w:val="006A6045"/>
    <w:rsid w:val="006A6E31"/>
    <w:rsid w:val="006A71D3"/>
    <w:rsid w:val="006A71DB"/>
    <w:rsid w:val="006D1533"/>
    <w:rsid w:val="006D265B"/>
    <w:rsid w:val="006D33E0"/>
    <w:rsid w:val="006D57CB"/>
    <w:rsid w:val="006D61E5"/>
    <w:rsid w:val="006D7701"/>
    <w:rsid w:val="006E3CDA"/>
    <w:rsid w:val="006E4489"/>
    <w:rsid w:val="006E4E62"/>
    <w:rsid w:val="006F314A"/>
    <w:rsid w:val="006F31F4"/>
    <w:rsid w:val="006F4EFF"/>
    <w:rsid w:val="006F7A9C"/>
    <w:rsid w:val="00701950"/>
    <w:rsid w:val="00702494"/>
    <w:rsid w:val="00703DAE"/>
    <w:rsid w:val="007057A7"/>
    <w:rsid w:val="0070691C"/>
    <w:rsid w:val="00706A63"/>
    <w:rsid w:val="007079E5"/>
    <w:rsid w:val="00712ECB"/>
    <w:rsid w:val="00715622"/>
    <w:rsid w:val="00716C09"/>
    <w:rsid w:val="00717649"/>
    <w:rsid w:val="00717B1D"/>
    <w:rsid w:val="0072084F"/>
    <w:rsid w:val="00723181"/>
    <w:rsid w:val="00723931"/>
    <w:rsid w:val="007253BC"/>
    <w:rsid w:val="00725604"/>
    <w:rsid w:val="00725871"/>
    <w:rsid w:val="00726289"/>
    <w:rsid w:val="00730159"/>
    <w:rsid w:val="00731868"/>
    <w:rsid w:val="0073321F"/>
    <w:rsid w:val="00733451"/>
    <w:rsid w:val="007434D5"/>
    <w:rsid w:val="00750D00"/>
    <w:rsid w:val="0075167F"/>
    <w:rsid w:val="00752B5C"/>
    <w:rsid w:val="0075463D"/>
    <w:rsid w:val="00754AEA"/>
    <w:rsid w:val="00755A87"/>
    <w:rsid w:val="00755C79"/>
    <w:rsid w:val="007564DC"/>
    <w:rsid w:val="00766B72"/>
    <w:rsid w:val="00772C36"/>
    <w:rsid w:val="00781EB5"/>
    <w:rsid w:val="007846BC"/>
    <w:rsid w:val="00785193"/>
    <w:rsid w:val="00786F88"/>
    <w:rsid w:val="00791608"/>
    <w:rsid w:val="007932F5"/>
    <w:rsid w:val="007A3FBD"/>
    <w:rsid w:val="007A7B20"/>
    <w:rsid w:val="007B3532"/>
    <w:rsid w:val="007B4BAE"/>
    <w:rsid w:val="007B56E2"/>
    <w:rsid w:val="007C0717"/>
    <w:rsid w:val="007C10EC"/>
    <w:rsid w:val="007C4B70"/>
    <w:rsid w:val="007C51FC"/>
    <w:rsid w:val="007C62E9"/>
    <w:rsid w:val="007D120A"/>
    <w:rsid w:val="007D4EAB"/>
    <w:rsid w:val="007D5BBE"/>
    <w:rsid w:val="007D611D"/>
    <w:rsid w:val="007D6F4E"/>
    <w:rsid w:val="007E00B2"/>
    <w:rsid w:val="007E0A69"/>
    <w:rsid w:val="007E60B0"/>
    <w:rsid w:val="007E687C"/>
    <w:rsid w:val="007E68A1"/>
    <w:rsid w:val="007E7F9D"/>
    <w:rsid w:val="007F2FA8"/>
    <w:rsid w:val="007F630C"/>
    <w:rsid w:val="00800A86"/>
    <w:rsid w:val="00801F63"/>
    <w:rsid w:val="0080640F"/>
    <w:rsid w:val="00811D45"/>
    <w:rsid w:val="008129AC"/>
    <w:rsid w:val="00813AD8"/>
    <w:rsid w:val="00815AEA"/>
    <w:rsid w:val="00820220"/>
    <w:rsid w:val="008204B7"/>
    <w:rsid w:val="00823493"/>
    <w:rsid w:val="00823CCE"/>
    <w:rsid w:val="00824565"/>
    <w:rsid w:val="00824E0C"/>
    <w:rsid w:val="00825D4F"/>
    <w:rsid w:val="008305AF"/>
    <w:rsid w:val="00835E07"/>
    <w:rsid w:val="0083742E"/>
    <w:rsid w:val="008379F2"/>
    <w:rsid w:val="008455FA"/>
    <w:rsid w:val="00857D31"/>
    <w:rsid w:val="00863DEE"/>
    <w:rsid w:val="00865611"/>
    <w:rsid w:val="008721D9"/>
    <w:rsid w:val="008748D7"/>
    <w:rsid w:val="008802DA"/>
    <w:rsid w:val="00880E0E"/>
    <w:rsid w:val="00883B22"/>
    <w:rsid w:val="008844FD"/>
    <w:rsid w:val="0088516A"/>
    <w:rsid w:val="00885865"/>
    <w:rsid w:val="00887278"/>
    <w:rsid w:val="0089054A"/>
    <w:rsid w:val="0089302B"/>
    <w:rsid w:val="00897010"/>
    <w:rsid w:val="00897CF9"/>
    <w:rsid w:val="008A52CB"/>
    <w:rsid w:val="008A6428"/>
    <w:rsid w:val="008B0F38"/>
    <w:rsid w:val="008B2645"/>
    <w:rsid w:val="008B2C13"/>
    <w:rsid w:val="008B3386"/>
    <w:rsid w:val="008C076B"/>
    <w:rsid w:val="008C11D2"/>
    <w:rsid w:val="008C57F7"/>
    <w:rsid w:val="008C63A7"/>
    <w:rsid w:val="008C69E4"/>
    <w:rsid w:val="008C7638"/>
    <w:rsid w:val="008C7A40"/>
    <w:rsid w:val="008D1137"/>
    <w:rsid w:val="008D2E89"/>
    <w:rsid w:val="008D3057"/>
    <w:rsid w:val="008D32F9"/>
    <w:rsid w:val="008D686E"/>
    <w:rsid w:val="008E1434"/>
    <w:rsid w:val="008E4DD0"/>
    <w:rsid w:val="008E698F"/>
    <w:rsid w:val="008F2BE7"/>
    <w:rsid w:val="008F324C"/>
    <w:rsid w:val="008F5527"/>
    <w:rsid w:val="008F56F2"/>
    <w:rsid w:val="008F5D09"/>
    <w:rsid w:val="0090256C"/>
    <w:rsid w:val="00911492"/>
    <w:rsid w:val="0091549A"/>
    <w:rsid w:val="00916943"/>
    <w:rsid w:val="00916CD0"/>
    <w:rsid w:val="009210FA"/>
    <w:rsid w:val="0092249A"/>
    <w:rsid w:val="00930C72"/>
    <w:rsid w:val="009321FC"/>
    <w:rsid w:val="00934E9C"/>
    <w:rsid w:val="00937076"/>
    <w:rsid w:val="009406E8"/>
    <w:rsid w:val="009430E0"/>
    <w:rsid w:val="00944025"/>
    <w:rsid w:val="009441B8"/>
    <w:rsid w:val="0094705A"/>
    <w:rsid w:val="00953336"/>
    <w:rsid w:val="009534BF"/>
    <w:rsid w:val="00954D82"/>
    <w:rsid w:val="00955416"/>
    <w:rsid w:val="00955ACD"/>
    <w:rsid w:val="0095724F"/>
    <w:rsid w:val="009608AE"/>
    <w:rsid w:val="00962F28"/>
    <w:rsid w:val="0096411E"/>
    <w:rsid w:val="009657BC"/>
    <w:rsid w:val="00966ADC"/>
    <w:rsid w:val="00967BAF"/>
    <w:rsid w:val="0097007F"/>
    <w:rsid w:val="00971370"/>
    <w:rsid w:val="00976BBA"/>
    <w:rsid w:val="0098048D"/>
    <w:rsid w:val="00980A84"/>
    <w:rsid w:val="009863B8"/>
    <w:rsid w:val="0098641D"/>
    <w:rsid w:val="00990B61"/>
    <w:rsid w:val="0099319D"/>
    <w:rsid w:val="009937F4"/>
    <w:rsid w:val="00993D55"/>
    <w:rsid w:val="00993F62"/>
    <w:rsid w:val="009956DB"/>
    <w:rsid w:val="00996419"/>
    <w:rsid w:val="009A09D4"/>
    <w:rsid w:val="009A0B4C"/>
    <w:rsid w:val="009A36F3"/>
    <w:rsid w:val="009B10F0"/>
    <w:rsid w:val="009B381D"/>
    <w:rsid w:val="009B5A4C"/>
    <w:rsid w:val="009B5C39"/>
    <w:rsid w:val="009C0076"/>
    <w:rsid w:val="009C0972"/>
    <w:rsid w:val="009C7EEB"/>
    <w:rsid w:val="009C7F75"/>
    <w:rsid w:val="009D09B4"/>
    <w:rsid w:val="009D119F"/>
    <w:rsid w:val="009D3D98"/>
    <w:rsid w:val="009D4EE3"/>
    <w:rsid w:val="009D7777"/>
    <w:rsid w:val="009E3766"/>
    <w:rsid w:val="009E3CA2"/>
    <w:rsid w:val="009F53A0"/>
    <w:rsid w:val="00A00702"/>
    <w:rsid w:val="00A00CA5"/>
    <w:rsid w:val="00A01847"/>
    <w:rsid w:val="00A02028"/>
    <w:rsid w:val="00A0226E"/>
    <w:rsid w:val="00A0230F"/>
    <w:rsid w:val="00A055B1"/>
    <w:rsid w:val="00A068D3"/>
    <w:rsid w:val="00A07C79"/>
    <w:rsid w:val="00A137E9"/>
    <w:rsid w:val="00A15A3A"/>
    <w:rsid w:val="00A17600"/>
    <w:rsid w:val="00A2057E"/>
    <w:rsid w:val="00A21A6C"/>
    <w:rsid w:val="00A25000"/>
    <w:rsid w:val="00A2670B"/>
    <w:rsid w:val="00A2682F"/>
    <w:rsid w:val="00A269C1"/>
    <w:rsid w:val="00A30A6D"/>
    <w:rsid w:val="00A31404"/>
    <w:rsid w:val="00A34C0D"/>
    <w:rsid w:val="00A40BCB"/>
    <w:rsid w:val="00A4176A"/>
    <w:rsid w:val="00A43E1E"/>
    <w:rsid w:val="00A440DA"/>
    <w:rsid w:val="00A452ED"/>
    <w:rsid w:val="00A46F09"/>
    <w:rsid w:val="00A47920"/>
    <w:rsid w:val="00A50DDF"/>
    <w:rsid w:val="00A5125D"/>
    <w:rsid w:val="00A53F4A"/>
    <w:rsid w:val="00A563E4"/>
    <w:rsid w:val="00A71094"/>
    <w:rsid w:val="00A774F7"/>
    <w:rsid w:val="00A7795F"/>
    <w:rsid w:val="00A803F1"/>
    <w:rsid w:val="00A80F08"/>
    <w:rsid w:val="00A8229F"/>
    <w:rsid w:val="00A824BF"/>
    <w:rsid w:val="00A862DA"/>
    <w:rsid w:val="00A90747"/>
    <w:rsid w:val="00A950B4"/>
    <w:rsid w:val="00AA29F7"/>
    <w:rsid w:val="00AA3FEA"/>
    <w:rsid w:val="00AA7220"/>
    <w:rsid w:val="00AA76DD"/>
    <w:rsid w:val="00AB43EC"/>
    <w:rsid w:val="00AB45CA"/>
    <w:rsid w:val="00AB5731"/>
    <w:rsid w:val="00AC0DDB"/>
    <w:rsid w:val="00AC155B"/>
    <w:rsid w:val="00AC4548"/>
    <w:rsid w:val="00AC45A4"/>
    <w:rsid w:val="00AC4CB2"/>
    <w:rsid w:val="00AC7383"/>
    <w:rsid w:val="00AC7953"/>
    <w:rsid w:val="00AD0004"/>
    <w:rsid w:val="00AD1891"/>
    <w:rsid w:val="00AD1E4B"/>
    <w:rsid w:val="00AD204A"/>
    <w:rsid w:val="00AD42AF"/>
    <w:rsid w:val="00AE2BD0"/>
    <w:rsid w:val="00AE3FC7"/>
    <w:rsid w:val="00AE64A7"/>
    <w:rsid w:val="00AE73D4"/>
    <w:rsid w:val="00AF3D22"/>
    <w:rsid w:val="00AF4D58"/>
    <w:rsid w:val="00AF79FE"/>
    <w:rsid w:val="00B01355"/>
    <w:rsid w:val="00B01EA6"/>
    <w:rsid w:val="00B04D66"/>
    <w:rsid w:val="00B108DA"/>
    <w:rsid w:val="00B15D13"/>
    <w:rsid w:val="00B17913"/>
    <w:rsid w:val="00B20BBE"/>
    <w:rsid w:val="00B23425"/>
    <w:rsid w:val="00B2483B"/>
    <w:rsid w:val="00B251B2"/>
    <w:rsid w:val="00B34C7A"/>
    <w:rsid w:val="00B40CF3"/>
    <w:rsid w:val="00B41BB7"/>
    <w:rsid w:val="00B41FF9"/>
    <w:rsid w:val="00B43316"/>
    <w:rsid w:val="00B44601"/>
    <w:rsid w:val="00B46891"/>
    <w:rsid w:val="00B51953"/>
    <w:rsid w:val="00B646AD"/>
    <w:rsid w:val="00B64CF2"/>
    <w:rsid w:val="00B65423"/>
    <w:rsid w:val="00B65AB0"/>
    <w:rsid w:val="00B7059B"/>
    <w:rsid w:val="00B713C3"/>
    <w:rsid w:val="00B72FBD"/>
    <w:rsid w:val="00B73EE8"/>
    <w:rsid w:val="00B75BE8"/>
    <w:rsid w:val="00B809F8"/>
    <w:rsid w:val="00B829B8"/>
    <w:rsid w:val="00B839AF"/>
    <w:rsid w:val="00B83F56"/>
    <w:rsid w:val="00B83F63"/>
    <w:rsid w:val="00B854DC"/>
    <w:rsid w:val="00B9056C"/>
    <w:rsid w:val="00B91767"/>
    <w:rsid w:val="00B927FE"/>
    <w:rsid w:val="00B949C9"/>
    <w:rsid w:val="00B96053"/>
    <w:rsid w:val="00B96E8A"/>
    <w:rsid w:val="00B970AA"/>
    <w:rsid w:val="00B97850"/>
    <w:rsid w:val="00B97CFE"/>
    <w:rsid w:val="00BA06E4"/>
    <w:rsid w:val="00BA12B5"/>
    <w:rsid w:val="00BA15A6"/>
    <w:rsid w:val="00BA5195"/>
    <w:rsid w:val="00BA5BB4"/>
    <w:rsid w:val="00BA62CC"/>
    <w:rsid w:val="00BB2004"/>
    <w:rsid w:val="00BB3AB9"/>
    <w:rsid w:val="00BB3B30"/>
    <w:rsid w:val="00BB5726"/>
    <w:rsid w:val="00BC0BF0"/>
    <w:rsid w:val="00BC24B1"/>
    <w:rsid w:val="00BC2655"/>
    <w:rsid w:val="00BC2734"/>
    <w:rsid w:val="00BC2C13"/>
    <w:rsid w:val="00BC3501"/>
    <w:rsid w:val="00BC5F46"/>
    <w:rsid w:val="00BD2837"/>
    <w:rsid w:val="00BD323E"/>
    <w:rsid w:val="00BD7531"/>
    <w:rsid w:val="00BE0DD3"/>
    <w:rsid w:val="00BE1355"/>
    <w:rsid w:val="00BE1C98"/>
    <w:rsid w:val="00BE4F1C"/>
    <w:rsid w:val="00BF357A"/>
    <w:rsid w:val="00BF4C85"/>
    <w:rsid w:val="00C00F05"/>
    <w:rsid w:val="00C12274"/>
    <w:rsid w:val="00C13AFE"/>
    <w:rsid w:val="00C21B63"/>
    <w:rsid w:val="00C23B65"/>
    <w:rsid w:val="00C2688D"/>
    <w:rsid w:val="00C269CD"/>
    <w:rsid w:val="00C31E73"/>
    <w:rsid w:val="00C33399"/>
    <w:rsid w:val="00C346F0"/>
    <w:rsid w:val="00C34CB2"/>
    <w:rsid w:val="00C35112"/>
    <w:rsid w:val="00C37B62"/>
    <w:rsid w:val="00C37CAF"/>
    <w:rsid w:val="00C4019F"/>
    <w:rsid w:val="00C42E97"/>
    <w:rsid w:val="00C436F9"/>
    <w:rsid w:val="00C46828"/>
    <w:rsid w:val="00C46CC5"/>
    <w:rsid w:val="00C47B70"/>
    <w:rsid w:val="00C5123B"/>
    <w:rsid w:val="00C53A25"/>
    <w:rsid w:val="00C557BC"/>
    <w:rsid w:val="00C55CD5"/>
    <w:rsid w:val="00C562D4"/>
    <w:rsid w:val="00C64C15"/>
    <w:rsid w:val="00C66021"/>
    <w:rsid w:val="00C67196"/>
    <w:rsid w:val="00C753D8"/>
    <w:rsid w:val="00C75AB2"/>
    <w:rsid w:val="00C812BE"/>
    <w:rsid w:val="00C81C86"/>
    <w:rsid w:val="00C81DA0"/>
    <w:rsid w:val="00C8346C"/>
    <w:rsid w:val="00C87CED"/>
    <w:rsid w:val="00C9008F"/>
    <w:rsid w:val="00C9282A"/>
    <w:rsid w:val="00C93489"/>
    <w:rsid w:val="00C9361A"/>
    <w:rsid w:val="00C954D4"/>
    <w:rsid w:val="00C95889"/>
    <w:rsid w:val="00C9589E"/>
    <w:rsid w:val="00CA1C7A"/>
    <w:rsid w:val="00CB0DBD"/>
    <w:rsid w:val="00CB2254"/>
    <w:rsid w:val="00CB4793"/>
    <w:rsid w:val="00CB4798"/>
    <w:rsid w:val="00CB5E40"/>
    <w:rsid w:val="00CC10FD"/>
    <w:rsid w:val="00CD11A2"/>
    <w:rsid w:val="00CD4ED0"/>
    <w:rsid w:val="00CD6CA7"/>
    <w:rsid w:val="00CE00C0"/>
    <w:rsid w:val="00CE2731"/>
    <w:rsid w:val="00CE2F4F"/>
    <w:rsid w:val="00CE306B"/>
    <w:rsid w:val="00CF452D"/>
    <w:rsid w:val="00CF4F81"/>
    <w:rsid w:val="00CF5014"/>
    <w:rsid w:val="00CF78A6"/>
    <w:rsid w:val="00D042E1"/>
    <w:rsid w:val="00D04696"/>
    <w:rsid w:val="00D06B81"/>
    <w:rsid w:val="00D07152"/>
    <w:rsid w:val="00D07DF3"/>
    <w:rsid w:val="00D10A28"/>
    <w:rsid w:val="00D10FAD"/>
    <w:rsid w:val="00D11436"/>
    <w:rsid w:val="00D1220B"/>
    <w:rsid w:val="00D129B3"/>
    <w:rsid w:val="00D12F8F"/>
    <w:rsid w:val="00D1561A"/>
    <w:rsid w:val="00D15A35"/>
    <w:rsid w:val="00D16320"/>
    <w:rsid w:val="00D16B1E"/>
    <w:rsid w:val="00D17457"/>
    <w:rsid w:val="00D174A4"/>
    <w:rsid w:val="00D17822"/>
    <w:rsid w:val="00D20093"/>
    <w:rsid w:val="00D233CC"/>
    <w:rsid w:val="00D3012E"/>
    <w:rsid w:val="00D33095"/>
    <w:rsid w:val="00D33D60"/>
    <w:rsid w:val="00D35C80"/>
    <w:rsid w:val="00D368D0"/>
    <w:rsid w:val="00D36A08"/>
    <w:rsid w:val="00D409D0"/>
    <w:rsid w:val="00D40BB1"/>
    <w:rsid w:val="00D4111D"/>
    <w:rsid w:val="00D42567"/>
    <w:rsid w:val="00D4583D"/>
    <w:rsid w:val="00D45C18"/>
    <w:rsid w:val="00D51468"/>
    <w:rsid w:val="00D658EC"/>
    <w:rsid w:val="00D705B9"/>
    <w:rsid w:val="00D75D18"/>
    <w:rsid w:val="00D77E36"/>
    <w:rsid w:val="00D80730"/>
    <w:rsid w:val="00D81EDA"/>
    <w:rsid w:val="00D83DFF"/>
    <w:rsid w:val="00D85CBA"/>
    <w:rsid w:val="00D9213E"/>
    <w:rsid w:val="00D92B2D"/>
    <w:rsid w:val="00D93F82"/>
    <w:rsid w:val="00D94927"/>
    <w:rsid w:val="00DA46C0"/>
    <w:rsid w:val="00DA57B2"/>
    <w:rsid w:val="00DA58F2"/>
    <w:rsid w:val="00DB2B13"/>
    <w:rsid w:val="00DB391A"/>
    <w:rsid w:val="00DB4B52"/>
    <w:rsid w:val="00DB7A3D"/>
    <w:rsid w:val="00DC5BE0"/>
    <w:rsid w:val="00DC7D2E"/>
    <w:rsid w:val="00DD02A5"/>
    <w:rsid w:val="00DD4215"/>
    <w:rsid w:val="00DD6EC6"/>
    <w:rsid w:val="00DE12F1"/>
    <w:rsid w:val="00DE23A3"/>
    <w:rsid w:val="00DE298B"/>
    <w:rsid w:val="00DE451D"/>
    <w:rsid w:val="00DE5086"/>
    <w:rsid w:val="00DE5377"/>
    <w:rsid w:val="00DE5F89"/>
    <w:rsid w:val="00DF140A"/>
    <w:rsid w:val="00E03474"/>
    <w:rsid w:val="00E039B1"/>
    <w:rsid w:val="00E04392"/>
    <w:rsid w:val="00E051BA"/>
    <w:rsid w:val="00E06755"/>
    <w:rsid w:val="00E111B8"/>
    <w:rsid w:val="00E1212E"/>
    <w:rsid w:val="00E128A2"/>
    <w:rsid w:val="00E12F8D"/>
    <w:rsid w:val="00E137E6"/>
    <w:rsid w:val="00E151CB"/>
    <w:rsid w:val="00E246E6"/>
    <w:rsid w:val="00E261E6"/>
    <w:rsid w:val="00E2626B"/>
    <w:rsid w:val="00E26937"/>
    <w:rsid w:val="00E27911"/>
    <w:rsid w:val="00E3047F"/>
    <w:rsid w:val="00E30AD5"/>
    <w:rsid w:val="00E31AB8"/>
    <w:rsid w:val="00E32652"/>
    <w:rsid w:val="00E33A4B"/>
    <w:rsid w:val="00E34153"/>
    <w:rsid w:val="00E35BCD"/>
    <w:rsid w:val="00E37522"/>
    <w:rsid w:val="00E37C1F"/>
    <w:rsid w:val="00E46D3F"/>
    <w:rsid w:val="00E54D62"/>
    <w:rsid w:val="00E54F18"/>
    <w:rsid w:val="00E5739E"/>
    <w:rsid w:val="00E60857"/>
    <w:rsid w:val="00E60D63"/>
    <w:rsid w:val="00E61032"/>
    <w:rsid w:val="00E63133"/>
    <w:rsid w:val="00E63F86"/>
    <w:rsid w:val="00E668C9"/>
    <w:rsid w:val="00E67540"/>
    <w:rsid w:val="00E67677"/>
    <w:rsid w:val="00E70CF2"/>
    <w:rsid w:val="00E71130"/>
    <w:rsid w:val="00E71380"/>
    <w:rsid w:val="00E80538"/>
    <w:rsid w:val="00E80AAC"/>
    <w:rsid w:val="00E836ED"/>
    <w:rsid w:val="00E91C94"/>
    <w:rsid w:val="00E97ED4"/>
    <w:rsid w:val="00EA1A7F"/>
    <w:rsid w:val="00EA3768"/>
    <w:rsid w:val="00EA590F"/>
    <w:rsid w:val="00EA61C8"/>
    <w:rsid w:val="00EB219B"/>
    <w:rsid w:val="00EB3997"/>
    <w:rsid w:val="00EB4444"/>
    <w:rsid w:val="00EB4B8C"/>
    <w:rsid w:val="00EB58B2"/>
    <w:rsid w:val="00EB5ABA"/>
    <w:rsid w:val="00EB61CB"/>
    <w:rsid w:val="00EB6853"/>
    <w:rsid w:val="00EB7AE0"/>
    <w:rsid w:val="00EC0902"/>
    <w:rsid w:val="00EC10D0"/>
    <w:rsid w:val="00EC2ADB"/>
    <w:rsid w:val="00EC67E3"/>
    <w:rsid w:val="00EC6C2C"/>
    <w:rsid w:val="00EC7179"/>
    <w:rsid w:val="00ED2E29"/>
    <w:rsid w:val="00ED4FEE"/>
    <w:rsid w:val="00ED637D"/>
    <w:rsid w:val="00EE21BF"/>
    <w:rsid w:val="00EE6D12"/>
    <w:rsid w:val="00EE6F1F"/>
    <w:rsid w:val="00EF07DE"/>
    <w:rsid w:val="00EF2E39"/>
    <w:rsid w:val="00F0129D"/>
    <w:rsid w:val="00F0151A"/>
    <w:rsid w:val="00F01A0E"/>
    <w:rsid w:val="00F05F86"/>
    <w:rsid w:val="00F0600F"/>
    <w:rsid w:val="00F07FBA"/>
    <w:rsid w:val="00F118F9"/>
    <w:rsid w:val="00F11B4A"/>
    <w:rsid w:val="00F12FE7"/>
    <w:rsid w:val="00F13099"/>
    <w:rsid w:val="00F15598"/>
    <w:rsid w:val="00F159B2"/>
    <w:rsid w:val="00F15D57"/>
    <w:rsid w:val="00F2230A"/>
    <w:rsid w:val="00F250B9"/>
    <w:rsid w:val="00F26865"/>
    <w:rsid w:val="00F2735C"/>
    <w:rsid w:val="00F27AFE"/>
    <w:rsid w:val="00F3227A"/>
    <w:rsid w:val="00F322D6"/>
    <w:rsid w:val="00F363C1"/>
    <w:rsid w:val="00F36602"/>
    <w:rsid w:val="00F3696E"/>
    <w:rsid w:val="00F3699A"/>
    <w:rsid w:val="00F44F6F"/>
    <w:rsid w:val="00F460ED"/>
    <w:rsid w:val="00F463FD"/>
    <w:rsid w:val="00F5182D"/>
    <w:rsid w:val="00F53D72"/>
    <w:rsid w:val="00F56B20"/>
    <w:rsid w:val="00F5731E"/>
    <w:rsid w:val="00F57902"/>
    <w:rsid w:val="00F62C0C"/>
    <w:rsid w:val="00F6363B"/>
    <w:rsid w:val="00F64B54"/>
    <w:rsid w:val="00F659E7"/>
    <w:rsid w:val="00F6609A"/>
    <w:rsid w:val="00F72B61"/>
    <w:rsid w:val="00F73868"/>
    <w:rsid w:val="00F73F76"/>
    <w:rsid w:val="00F77BA8"/>
    <w:rsid w:val="00F8560E"/>
    <w:rsid w:val="00F91684"/>
    <w:rsid w:val="00F941FB"/>
    <w:rsid w:val="00F94B86"/>
    <w:rsid w:val="00FA0C27"/>
    <w:rsid w:val="00FA1320"/>
    <w:rsid w:val="00FA1A41"/>
    <w:rsid w:val="00FA2023"/>
    <w:rsid w:val="00FA3B6B"/>
    <w:rsid w:val="00FA57C0"/>
    <w:rsid w:val="00FA5D3D"/>
    <w:rsid w:val="00FA652C"/>
    <w:rsid w:val="00FA7D2F"/>
    <w:rsid w:val="00FB36C4"/>
    <w:rsid w:val="00FB3B42"/>
    <w:rsid w:val="00FB4A56"/>
    <w:rsid w:val="00FB4E2A"/>
    <w:rsid w:val="00FD019E"/>
    <w:rsid w:val="00FD4914"/>
    <w:rsid w:val="00FE0BCF"/>
    <w:rsid w:val="00FE34C5"/>
    <w:rsid w:val="00FE3A1F"/>
    <w:rsid w:val="00FE4B02"/>
    <w:rsid w:val="00FF34C0"/>
    <w:rsid w:val="00FF3DCD"/>
    <w:rsid w:val="00FF478F"/>
    <w:rsid w:val="00FF5DDE"/>
    <w:rsid w:val="00FF6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5DBA"/>
  <w15:chartTrackingRefBased/>
  <w15:docId w15:val="{6038640E-0A47-40E5-BBFA-BB2DD760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kern w:val="2"/>
        <w:sz w:val="24"/>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1002F6"/>
    <w:pPr>
      <w:spacing w:line="259" w:lineRule="auto"/>
    </w:pPr>
    <w:rPr>
      <w:rFonts w:cs="Arial"/>
      <w:bCs/>
      <w:iCs w:val="0"/>
    </w:rPr>
  </w:style>
  <w:style w:type="character" w:customStyle="1" w:styleId="Style1Char">
    <w:name w:val="Style1 Char"/>
    <w:basedOn w:val="IntenseQuoteChar"/>
    <w:link w:val="Style1"/>
    <w:rsid w:val="001002F6"/>
    <w:rPr>
      <w:rFonts w:ascii="Times New Roman" w:eastAsia="Times New Roman" w:hAnsi="Times New Roman" w:cs="Arial"/>
      <w:bCs/>
      <w:iCs w:val="0"/>
      <w:color w:val="000000" w:themeColor="text1"/>
      <w:szCs w:val="24"/>
      <w:lang w:val="en-US"/>
    </w:rPr>
  </w:style>
  <w:style w:type="paragraph" w:styleId="ListParagraph">
    <w:name w:val="List Paragraph"/>
    <w:basedOn w:val="Normal"/>
    <w:uiPriority w:val="34"/>
    <w:qFormat/>
    <w:rsid w:val="00D129B3"/>
    <w:pPr>
      <w:ind w:left="720"/>
      <w:contextualSpacing/>
    </w:pPr>
  </w:style>
  <w:style w:type="paragraph" w:styleId="Header">
    <w:name w:val="header"/>
    <w:basedOn w:val="Normal"/>
    <w:link w:val="HeaderChar"/>
    <w:uiPriority w:val="99"/>
    <w:unhideWhenUsed/>
    <w:rsid w:val="0088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78"/>
  </w:style>
  <w:style w:type="paragraph" w:styleId="Footer">
    <w:name w:val="footer"/>
    <w:basedOn w:val="Normal"/>
    <w:link w:val="FooterChar"/>
    <w:uiPriority w:val="99"/>
    <w:unhideWhenUsed/>
    <w:rsid w:val="00887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78"/>
  </w:style>
  <w:style w:type="paragraph" w:styleId="FootnoteText">
    <w:name w:val="footnote text"/>
    <w:basedOn w:val="Normal"/>
    <w:link w:val="FootnoteTextChar"/>
    <w:uiPriority w:val="99"/>
    <w:semiHidden/>
    <w:unhideWhenUsed/>
    <w:rsid w:val="007D1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20A"/>
    <w:rPr>
      <w:sz w:val="20"/>
      <w:szCs w:val="20"/>
    </w:rPr>
  </w:style>
  <w:style w:type="character" w:styleId="FootnoteReference">
    <w:name w:val="footnote reference"/>
    <w:basedOn w:val="DefaultParagraphFont"/>
    <w:uiPriority w:val="99"/>
    <w:semiHidden/>
    <w:unhideWhenUsed/>
    <w:rsid w:val="007D120A"/>
    <w:rPr>
      <w:vertAlign w:val="superscript"/>
    </w:rPr>
  </w:style>
  <w:style w:type="paragraph" w:styleId="NormalWeb">
    <w:name w:val="Normal (Web)"/>
    <w:basedOn w:val="Normal"/>
    <w:uiPriority w:val="99"/>
    <w:semiHidden/>
    <w:unhideWhenUsed/>
    <w:rsid w:val="00824E0C"/>
    <w:pPr>
      <w:spacing w:before="100" w:beforeAutospacing="1" w:after="100" w:afterAutospacing="1" w:line="240" w:lineRule="auto"/>
    </w:pPr>
    <w:rPr>
      <w:rFonts w:ascii="Times New Roman" w:eastAsia="Times New Roman" w:hAnsi="Times New Roman" w:cs="Times New Roman"/>
      <w:kern w:val="0"/>
      <w:szCs w:val="24"/>
      <w:lang w:eastAsia="en-ZA"/>
      <w14:ligatures w14:val="none"/>
    </w:rPr>
  </w:style>
  <w:style w:type="character" w:styleId="Hyperlink">
    <w:name w:val="Hyperlink"/>
    <w:basedOn w:val="DefaultParagraphFont"/>
    <w:uiPriority w:val="99"/>
    <w:semiHidden/>
    <w:unhideWhenUsed/>
    <w:rsid w:val="004B0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033">
      <w:bodyDiv w:val="1"/>
      <w:marLeft w:val="0"/>
      <w:marRight w:val="0"/>
      <w:marTop w:val="0"/>
      <w:marBottom w:val="0"/>
      <w:divBdr>
        <w:top w:val="none" w:sz="0" w:space="0" w:color="auto"/>
        <w:left w:val="none" w:sz="0" w:space="0" w:color="auto"/>
        <w:bottom w:val="none" w:sz="0" w:space="0" w:color="auto"/>
        <w:right w:val="none" w:sz="0" w:space="0" w:color="auto"/>
      </w:divBdr>
    </w:div>
    <w:div w:id="131487120">
      <w:bodyDiv w:val="1"/>
      <w:marLeft w:val="0"/>
      <w:marRight w:val="0"/>
      <w:marTop w:val="0"/>
      <w:marBottom w:val="0"/>
      <w:divBdr>
        <w:top w:val="none" w:sz="0" w:space="0" w:color="auto"/>
        <w:left w:val="none" w:sz="0" w:space="0" w:color="auto"/>
        <w:bottom w:val="none" w:sz="0" w:space="0" w:color="auto"/>
        <w:right w:val="none" w:sz="0" w:space="0" w:color="auto"/>
      </w:divBdr>
    </w:div>
    <w:div w:id="805507687">
      <w:bodyDiv w:val="1"/>
      <w:marLeft w:val="0"/>
      <w:marRight w:val="0"/>
      <w:marTop w:val="0"/>
      <w:marBottom w:val="0"/>
      <w:divBdr>
        <w:top w:val="none" w:sz="0" w:space="0" w:color="auto"/>
        <w:left w:val="none" w:sz="0" w:space="0" w:color="auto"/>
        <w:bottom w:val="none" w:sz="0" w:space="0" w:color="auto"/>
        <w:right w:val="none" w:sz="0" w:space="0" w:color="auto"/>
      </w:divBdr>
    </w:div>
    <w:div w:id="1511025053">
      <w:bodyDiv w:val="1"/>
      <w:marLeft w:val="0"/>
      <w:marRight w:val="0"/>
      <w:marTop w:val="0"/>
      <w:marBottom w:val="0"/>
      <w:divBdr>
        <w:top w:val="none" w:sz="0" w:space="0" w:color="auto"/>
        <w:left w:val="none" w:sz="0" w:space="0" w:color="auto"/>
        <w:bottom w:val="none" w:sz="0" w:space="0" w:color="auto"/>
        <w:right w:val="none" w:sz="0" w:space="0" w:color="auto"/>
      </w:divBdr>
    </w:div>
    <w:div w:id="1820071644">
      <w:bodyDiv w:val="1"/>
      <w:marLeft w:val="0"/>
      <w:marRight w:val="0"/>
      <w:marTop w:val="0"/>
      <w:marBottom w:val="0"/>
      <w:divBdr>
        <w:top w:val="none" w:sz="0" w:space="0" w:color="auto"/>
        <w:left w:val="none" w:sz="0" w:space="0" w:color="auto"/>
        <w:bottom w:val="none" w:sz="0" w:space="0" w:color="auto"/>
        <w:right w:val="none" w:sz="0" w:space="0" w:color="auto"/>
      </w:divBdr>
    </w:div>
    <w:div w:id="19349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6231-05FD-457C-96C6-86FC8053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3</cp:revision>
  <dcterms:created xsi:type="dcterms:W3CDTF">2023-09-11T13:47:00Z</dcterms:created>
  <dcterms:modified xsi:type="dcterms:W3CDTF">2023-09-11T13:50:00Z</dcterms:modified>
</cp:coreProperties>
</file>