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AB6D5" w14:textId="77777777" w:rsidR="00D35BE7" w:rsidRDefault="00D35BE7" w:rsidP="00D35BE7">
      <w:pPr>
        <w:pStyle w:val="Heading6"/>
        <w:spacing w:after="0" w:line="360" w:lineRule="auto"/>
        <w:jc w:val="center"/>
        <w:rPr>
          <w:b/>
        </w:rPr>
      </w:pPr>
    </w:p>
    <w:p w14:paraId="327504DD" w14:textId="77777777" w:rsidR="00D35BE7" w:rsidRPr="00005DA6" w:rsidRDefault="00D35BE7" w:rsidP="00D35BE7">
      <w:pPr>
        <w:pStyle w:val="Heading6"/>
        <w:spacing w:after="0" w:line="360" w:lineRule="auto"/>
        <w:jc w:val="center"/>
        <w:rPr>
          <w:b/>
        </w:rPr>
      </w:pPr>
      <w:r w:rsidRPr="00005DA6">
        <w:rPr>
          <w:b/>
        </w:rPr>
        <w:t xml:space="preserve">IN THE </w:t>
      </w:r>
      <w:r>
        <w:rPr>
          <w:b/>
        </w:rPr>
        <w:t>HIGH COURT OF SOUTH AFRICA</w:t>
      </w:r>
    </w:p>
    <w:p w14:paraId="4E4852F3" w14:textId="77777777" w:rsidR="00D35BE7" w:rsidRPr="00B00377" w:rsidRDefault="00D35BE7" w:rsidP="00D35BE7">
      <w:pPr>
        <w:spacing w:after="120" w:line="360" w:lineRule="auto"/>
        <w:jc w:val="center"/>
        <w:rPr>
          <w:b/>
        </w:rPr>
      </w:pPr>
      <w:r w:rsidRPr="00B00377">
        <w:rPr>
          <w:b/>
        </w:rPr>
        <w:t>(</w:t>
      </w:r>
      <w:r>
        <w:rPr>
          <w:b/>
        </w:rPr>
        <w:t>GAUTENG LOCAL DIVISION, JOHANNESBURG</w:t>
      </w:r>
      <w:r w:rsidRPr="00B00377">
        <w:rPr>
          <w:b/>
        </w:rPr>
        <w:t>)</w:t>
      </w:r>
    </w:p>
    <w:p w14:paraId="47A304C0" w14:textId="268A399A" w:rsidR="00D35BE7" w:rsidRPr="00FE211E" w:rsidRDefault="00D35BE7" w:rsidP="00D35BE7">
      <w:pPr>
        <w:pStyle w:val="Heading9"/>
        <w:spacing w:after="0" w:line="360" w:lineRule="auto"/>
        <w:rPr>
          <w:b/>
          <w:u w:val="none"/>
          <w:lang w:val="en-GB"/>
        </w:rPr>
      </w:pPr>
      <w:r w:rsidRPr="00FE211E">
        <w:rPr>
          <w:b/>
          <w:u w:val="none"/>
          <w:lang w:val="en-GB"/>
        </w:rPr>
        <w:t xml:space="preserve">CASE NO: </w:t>
      </w:r>
      <w:r w:rsidRPr="00FE211E">
        <w:rPr>
          <w:b/>
          <w:lang w:val="en-GB"/>
        </w:rPr>
        <w:t>20</w:t>
      </w:r>
      <w:r w:rsidR="008D608C" w:rsidRPr="00FE211E">
        <w:rPr>
          <w:b/>
          <w:lang w:val="en-GB"/>
        </w:rPr>
        <w:t>21/56009</w:t>
      </w:r>
    </w:p>
    <w:p w14:paraId="53FA16BC" w14:textId="77777777" w:rsidR="00D35BE7" w:rsidRDefault="00D35BE7" w:rsidP="00D35BE7">
      <w:r>
        <w:rPr>
          <w:noProof/>
          <w:lang w:val="en-US" w:eastAsia="en-US"/>
        </w:rPr>
        <mc:AlternateContent>
          <mc:Choice Requires="wps">
            <w:drawing>
              <wp:anchor distT="0" distB="0" distL="114300" distR="114300" simplePos="0" relativeHeight="251659264" behindDoc="0" locked="0" layoutInCell="1" allowOverlap="1" wp14:anchorId="46304DE5" wp14:editId="462924A2">
                <wp:simplePos x="0" y="0"/>
                <wp:positionH relativeFrom="column">
                  <wp:posOffset>0</wp:posOffset>
                </wp:positionH>
                <wp:positionV relativeFrom="paragraph">
                  <wp:posOffset>-635</wp:posOffset>
                </wp:positionV>
                <wp:extent cx="3100647" cy="1785446"/>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3100647" cy="1785446"/>
                        </a:xfrm>
                        <a:prstGeom prst="rect">
                          <a:avLst/>
                        </a:prstGeom>
                        <a:solidFill>
                          <a:schemeClr val="lt1"/>
                        </a:solidFill>
                        <a:ln w="6350">
                          <a:noFill/>
                        </a:ln>
                      </wps:spPr>
                      <wps:txbx>
                        <w:txbxContent>
                          <w:p w14:paraId="58BCE825" w14:textId="77777777" w:rsidR="00D35BE7" w:rsidRDefault="00D35BE7" w:rsidP="00D35BE7">
                            <w:pPr>
                              <w:pBdr>
                                <w:top w:val="single" w:sz="4" w:space="1" w:color="auto"/>
                                <w:left w:val="single" w:sz="4" w:space="4" w:color="auto"/>
                                <w:bottom w:val="single" w:sz="4" w:space="1" w:color="auto"/>
                                <w:right w:val="single" w:sz="4" w:space="4" w:color="auto"/>
                              </w:pBdr>
                              <w:spacing w:before="120" w:after="0" w:line="240" w:lineRule="auto"/>
                            </w:pPr>
                            <w:r>
                              <w:t xml:space="preserve">Reportable: </w:t>
                            </w:r>
                            <w:r w:rsidRPr="000C1248">
                              <w:rPr>
                                <w:strike/>
                              </w:rPr>
                              <w:t>Yes</w:t>
                            </w:r>
                            <w:r>
                              <w:t xml:space="preserve"> / No</w:t>
                            </w:r>
                          </w:p>
                          <w:p w14:paraId="6222ADF4" w14:textId="77777777" w:rsidR="00D35BE7" w:rsidRDefault="00D35BE7" w:rsidP="00D35BE7">
                            <w:pPr>
                              <w:pBdr>
                                <w:top w:val="single" w:sz="4" w:space="1" w:color="auto"/>
                                <w:left w:val="single" w:sz="4" w:space="4" w:color="auto"/>
                                <w:bottom w:val="single" w:sz="4" w:space="1" w:color="auto"/>
                                <w:right w:val="single" w:sz="4" w:space="4" w:color="auto"/>
                              </w:pBdr>
                              <w:spacing w:before="120" w:after="0" w:line="240" w:lineRule="auto"/>
                            </w:pPr>
                            <w:r>
                              <w:t xml:space="preserve">Of interest to other judges: </w:t>
                            </w:r>
                            <w:r w:rsidRPr="000C1248">
                              <w:rPr>
                                <w:strike/>
                              </w:rPr>
                              <w:t>Yes</w:t>
                            </w:r>
                            <w:r>
                              <w:t xml:space="preserve"> / No</w:t>
                            </w:r>
                          </w:p>
                          <w:p w14:paraId="677853A9" w14:textId="4480364D" w:rsidR="00D35BE7" w:rsidRDefault="00D35BE7" w:rsidP="00D35BE7">
                            <w:pPr>
                              <w:pBdr>
                                <w:top w:val="single" w:sz="4" w:space="1" w:color="auto"/>
                                <w:left w:val="single" w:sz="4" w:space="4" w:color="auto"/>
                                <w:bottom w:val="single" w:sz="4" w:space="1" w:color="auto"/>
                                <w:right w:val="single" w:sz="4" w:space="4" w:color="auto"/>
                              </w:pBdr>
                              <w:spacing w:before="120" w:after="0" w:line="240" w:lineRule="auto"/>
                            </w:pPr>
                            <w:r>
                              <w:t>Revised</w:t>
                            </w:r>
                            <w:r w:rsidR="00FE211E">
                              <w:t>: No</w:t>
                            </w:r>
                          </w:p>
                          <w:p w14:paraId="0E2E7B6D" w14:textId="77777777" w:rsidR="00D35BE7" w:rsidRDefault="00D35BE7" w:rsidP="00D35BE7">
                            <w:pPr>
                              <w:pBdr>
                                <w:top w:val="single" w:sz="4" w:space="1" w:color="auto"/>
                                <w:left w:val="single" w:sz="4" w:space="4" w:color="auto"/>
                                <w:bottom w:val="single" w:sz="4" w:space="1" w:color="auto"/>
                                <w:right w:val="single" w:sz="4" w:space="4" w:color="auto"/>
                              </w:pBdr>
                              <w:spacing w:before="120" w:after="0" w:line="240" w:lineRule="auto"/>
                            </w:pPr>
                          </w:p>
                          <w:p w14:paraId="2841AFD5" w14:textId="03BBE318" w:rsidR="00D35BE7" w:rsidRDefault="00D35BE7" w:rsidP="00D35BE7">
                            <w:pPr>
                              <w:pBdr>
                                <w:top w:val="single" w:sz="4" w:space="1" w:color="auto"/>
                                <w:left w:val="single" w:sz="4" w:space="4" w:color="auto"/>
                                <w:bottom w:val="single" w:sz="4" w:space="1" w:color="auto"/>
                                <w:right w:val="single" w:sz="4" w:space="4" w:color="auto"/>
                              </w:pBdr>
                              <w:spacing w:before="120" w:after="0" w:line="240" w:lineRule="auto"/>
                            </w:pPr>
                            <w:r>
                              <w:t>____________</w:t>
                            </w:r>
                            <w:r w:rsidR="00DA1E7B">
                              <w:t>___</w:t>
                            </w:r>
                          </w:p>
                          <w:p w14:paraId="7B0350CC" w14:textId="771338C5" w:rsidR="00D35BE7" w:rsidRDefault="00D35BE7" w:rsidP="00D35BE7">
                            <w:pPr>
                              <w:pBdr>
                                <w:top w:val="single" w:sz="4" w:space="1" w:color="auto"/>
                                <w:left w:val="single" w:sz="4" w:space="4" w:color="auto"/>
                                <w:bottom w:val="single" w:sz="4" w:space="1" w:color="auto"/>
                                <w:right w:val="single" w:sz="4" w:space="4" w:color="auto"/>
                              </w:pBdr>
                              <w:spacing w:before="120" w:after="0" w:line="240" w:lineRule="auto"/>
                            </w:pPr>
                            <w:r>
                              <w:t>A B Bishop</w:t>
                            </w:r>
                            <w:r w:rsidR="00DA1E7B">
                              <w:tab/>
                              <w:t xml:space="preserve">           </w:t>
                            </w:r>
                            <w:r w:rsidR="00DA1E7B" w:rsidRPr="00FE211E">
                              <w:t>4 September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46304DE5" id="_x0000_t202" coordsize="21600,21600" o:spt="202" path="m,l,21600r21600,l21600,xe">
                <v:stroke joinstyle="miter"/>
                <v:path gradientshapeok="t" o:connecttype="rect"/>
              </v:shapetype>
              <v:shape id="Text Box 2" o:spid="_x0000_s1026" type="#_x0000_t202" style="position:absolute;left:0;text-align:left;margin-left:0;margin-top:-.05pt;width:244.15pt;height:1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" fillcolor="white [3201]" stroked="f" strokeweight=".5pt">
                <v:textbox>
                  <w:txbxContent>
                    <w:p w14:paraId="58BCE825" w14:textId="77777777" w:rsidR="00D35BE7" w:rsidRDefault="00D35BE7" w:rsidP="00D35BE7">
                      <w:pPr>
                        <w:pBdr>
                          <w:top w:val="single" w:sz="4" w:space="1" w:color="auto"/>
                          <w:left w:val="single" w:sz="4" w:space="4" w:color="auto"/>
                          <w:bottom w:val="single" w:sz="4" w:space="1" w:color="auto"/>
                          <w:right w:val="single" w:sz="4" w:space="4" w:color="auto"/>
                        </w:pBdr>
                        <w:spacing w:before="120" w:after="0" w:line="240" w:lineRule="auto"/>
                      </w:pPr>
                      <w:r>
                        <w:t xml:space="preserve">Reportable: </w:t>
                      </w:r>
                      <w:r w:rsidRPr="000C1248">
                        <w:rPr>
                          <w:strike/>
                        </w:rPr>
                        <w:t>Yes</w:t>
                      </w:r>
                      <w:r>
                        <w:t xml:space="preserve"> / No</w:t>
                      </w:r>
                    </w:p>
                    <w:p w14:paraId="6222ADF4" w14:textId="77777777" w:rsidR="00D35BE7" w:rsidRDefault="00D35BE7" w:rsidP="00D35BE7">
                      <w:pPr>
                        <w:pBdr>
                          <w:top w:val="single" w:sz="4" w:space="1" w:color="auto"/>
                          <w:left w:val="single" w:sz="4" w:space="4" w:color="auto"/>
                          <w:bottom w:val="single" w:sz="4" w:space="1" w:color="auto"/>
                          <w:right w:val="single" w:sz="4" w:space="4" w:color="auto"/>
                        </w:pBdr>
                        <w:spacing w:before="120" w:after="0" w:line="240" w:lineRule="auto"/>
                      </w:pPr>
                      <w:r>
                        <w:t xml:space="preserve">Of interest to other judges: </w:t>
                      </w:r>
                      <w:r w:rsidRPr="000C1248">
                        <w:rPr>
                          <w:strike/>
                        </w:rPr>
                        <w:t>Yes</w:t>
                      </w:r>
                      <w:r>
                        <w:t xml:space="preserve"> / No</w:t>
                      </w:r>
                    </w:p>
                    <w:p w14:paraId="677853A9" w14:textId="4480364D" w:rsidR="00D35BE7" w:rsidRDefault="00D35BE7" w:rsidP="00D35BE7">
                      <w:pPr>
                        <w:pBdr>
                          <w:top w:val="single" w:sz="4" w:space="1" w:color="auto"/>
                          <w:left w:val="single" w:sz="4" w:space="4" w:color="auto"/>
                          <w:bottom w:val="single" w:sz="4" w:space="1" w:color="auto"/>
                          <w:right w:val="single" w:sz="4" w:space="4" w:color="auto"/>
                        </w:pBdr>
                        <w:spacing w:before="120" w:after="0" w:line="240" w:lineRule="auto"/>
                      </w:pPr>
                      <w:r>
                        <w:t>Revised</w:t>
                      </w:r>
                      <w:r w:rsidR="00FE211E">
                        <w:t>: No</w:t>
                      </w:r>
                    </w:p>
                    <w:p w14:paraId="0E2E7B6D" w14:textId="77777777" w:rsidR="00D35BE7" w:rsidRDefault="00D35BE7" w:rsidP="00D35BE7">
                      <w:pPr>
                        <w:pBdr>
                          <w:top w:val="single" w:sz="4" w:space="1" w:color="auto"/>
                          <w:left w:val="single" w:sz="4" w:space="4" w:color="auto"/>
                          <w:bottom w:val="single" w:sz="4" w:space="1" w:color="auto"/>
                          <w:right w:val="single" w:sz="4" w:space="4" w:color="auto"/>
                        </w:pBdr>
                        <w:spacing w:before="120" w:after="0" w:line="240" w:lineRule="auto"/>
                      </w:pPr>
                    </w:p>
                    <w:p w14:paraId="2841AFD5" w14:textId="03BBE318" w:rsidR="00D35BE7" w:rsidRDefault="00D35BE7" w:rsidP="00D35BE7">
                      <w:pPr>
                        <w:pBdr>
                          <w:top w:val="single" w:sz="4" w:space="1" w:color="auto"/>
                          <w:left w:val="single" w:sz="4" w:space="4" w:color="auto"/>
                          <w:bottom w:val="single" w:sz="4" w:space="1" w:color="auto"/>
                          <w:right w:val="single" w:sz="4" w:space="4" w:color="auto"/>
                        </w:pBdr>
                        <w:spacing w:before="120" w:after="0" w:line="240" w:lineRule="auto"/>
                      </w:pPr>
                      <w:r>
                        <w:t>____________</w:t>
                      </w:r>
                      <w:r w:rsidR="00DA1E7B">
                        <w:t>___</w:t>
                      </w:r>
                    </w:p>
                    <w:p w14:paraId="7B0350CC" w14:textId="771338C5" w:rsidR="00D35BE7" w:rsidRDefault="00D35BE7" w:rsidP="00D35BE7">
                      <w:pPr>
                        <w:pBdr>
                          <w:top w:val="single" w:sz="4" w:space="1" w:color="auto"/>
                          <w:left w:val="single" w:sz="4" w:space="4" w:color="auto"/>
                          <w:bottom w:val="single" w:sz="4" w:space="1" w:color="auto"/>
                          <w:right w:val="single" w:sz="4" w:space="4" w:color="auto"/>
                        </w:pBdr>
                        <w:spacing w:before="120" w:after="0" w:line="240" w:lineRule="auto"/>
                      </w:pPr>
                      <w:r>
                        <w:t>A B Bishop</w:t>
                      </w:r>
                      <w:r w:rsidR="00DA1E7B">
                        <w:tab/>
                        <w:t xml:space="preserve">           </w:t>
                      </w:r>
                      <w:r w:rsidR="00DA1E7B" w:rsidRPr="00FE211E">
                        <w:t>4 September 2023</w:t>
                      </w:r>
                    </w:p>
                  </w:txbxContent>
                </v:textbox>
              </v:shape>
            </w:pict>
          </mc:Fallback>
        </mc:AlternateContent>
      </w:r>
    </w:p>
    <w:p w14:paraId="3C471419" w14:textId="77777777" w:rsidR="00D35BE7" w:rsidRDefault="00D35BE7" w:rsidP="00D35BE7"/>
    <w:p w14:paraId="0DDAC8D8" w14:textId="77777777" w:rsidR="00D35BE7" w:rsidRPr="00374AA9" w:rsidRDefault="00D35BE7" w:rsidP="00D35BE7"/>
    <w:p w14:paraId="1D57BE11" w14:textId="77777777" w:rsidR="00D35BE7" w:rsidRPr="004C1FC6" w:rsidRDefault="00D35BE7" w:rsidP="00D35BE7">
      <w:pPr>
        <w:spacing w:after="0" w:line="360" w:lineRule="auto"/>
        <w:jc w:val="left"/>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289"/>
      </w:tblGrid>
      <w:tr w:rsidR="00D35BE7" w:rsidRPr="004C1FC6" w14:paraId="4204287B" w14:textId="77777777" w:rsidTr="00AE289D">
        <w:tc>
          <w:tcPr>
            <w:tcW w:w="6521" w:type="dxa"/>
            <w:tcBorders>
              <w:top w:val="nil"/>
              <w:left w:val="nil"/>
              <w:bottom w:val="nil"/>
              <w:right w:val="nil"/>
            </w:tcBorders>
          </w:tcPr>
          <w:p w14:paraId="4A236379" w14:textId="77777777" w:rsidR="00D35BE7" w:rsidRPr="00B20130" w:rsidRDefault="00D35BE7" w:rsidP="00AE289D">
            <w:pPr>
              <w:spacing w:after="0"/>
              <w:jc w:val="left"/>
              <w:rPr>
                <w:bCs/>
              </w:rPr>
            </w:pPr>
            <w:r>
              <w:rPr>
                <w:bCs/>
              </w:rPr>
              <w:t>In the matter between:</w:t>
            </w:r>
          </w:p>
        </w:tc>
        <w:tc>
          <w:tcPr>
            <w:tcW w:w="2289" w:type="dxa"/>
            <w:tcBorders>
              <w:top w:val="nil"/>
              <w:left w:val="nil"/>
              <w:bottom w:val="nil"/>
              <w:right w:val="nil"/>
            </w:tcBorders>
          </w:tcPr>
          <w:p w14:paraId="4AABF5DE" w14:textId="77777777" w:rsidR="00D35BE7" w:rsidRPr="004C1FC6" w:rsidRDefault="00D35BE7" w:rsidP="00AE289D">
            <w:pPr>
              <w:spacing w:after="0"/>
              <w:jc w:val="right"/>
            </w:pPr>
          </w:p>
        </w:tc>
      </w:tr>
      <w:tr w:rsidR="00D35BE7" w:rsidRPr="004C1FC6" w14:paraId="34A81960" w14:textId="77777777" w:rsidTr="00AE289D">
        <w:tc>
          <w:tcPr>
            <w:tcW w:w="6521" w:type="dxa"/>
            <w:tcBorders>
              <w:top w:val="nil"/>
              <w:left w:val="nil"/>
              <w:bottom w:val="nil"/>
              <w:right w:val="nil"/>
            </w:tcBorders>
          </w:tcPr>
          <w:p w14:paraId="3491C090" w14:textId="3B7C6256" w:rsidR="00D35BE7" w:rsidRPr="00B00377" w:rsidRDefault="008D608C" w:rsidP="00AE289D">
            <w:pPr>
              <w:spacing w:after="0"/>
              <w:jc w:val="left"/>
              <w:rPr>
                <w:b/>
              </w:rPr>
            </w:pPr>
            <w:r>
              <w:rPr>
                <w:b/>
              </w:rPr>
              <w:t>MOONGATE 125</w:t>
            </w:r>
            <w:r w:rsidR="00D35BE7">
              <w:rPr>
                <w:b/>
              </w:rPr>
              <w:t xml:space="preserve"> (PTY) LTD</w:t>
            </w:r>
          </w:p>
        </w:tc>
        <w:tc>
          <w:tcPr>
            <w:tcW w:w="2289" w:type="dxa"/>
            <w:tcBorders>
              <w:top w:val="nil"/>
              <w:left w:val="nil"/>
              <w:bottom w:val="nil"/>
              <w:right w:val="nil"/>
            </w:tcBorders>
          </w:tcPr>
          <w:p w14:paraId="569531E6" w14:textId="77777777" w:rsidR="00D35BE7" w:rsidRPr="004C1FC6" w:rsidRDefault="00D35BE7" w:rsidP="00AE289D">
            <w:pPr>
              <w:spacing w:after="0"/>
              <w:jc w:val="right"/>
            </w:pPr>
            <w:r>
              <w:t>Applicant</w:t>
            </w:r>
          </w:p>
        </w:tc>
      </w:tr>
      <w:tr w:rsidR="00D35BE7" w:rsidRPr="004C1FC6" w14:paraId="217ABDFD" w14:textId="77777777" w:rsidTr="00AE289D">
        <w:tc>
          <w:tcPr>
            <w:tcW w:w="6521" w:type="dxa"/>
            <w:tcBorders>
              <w:top w:val="nil"/>
              <w:left w:val="nil"/>
              <w:bottom w:val="nil"/>
              <w:right w:val="nil"/>
            </w:tcBorders>
          </w:tcPr>
          <w:p w14:paraId="2FE24308" w14:textId="77777777" w:rsidR="00D35BE7" w:rsidRPr="004C1FC6" w:rsidRDefault="00D35BE7" w:rsidP="00AE289D">
            <w:pPr>
              <w:spacing w:after="0"/>
              <w:jc w:val="left"/>
            </w:pPr>
            <w:r w:rsidRPr="004C1FC6">
              <w:t>and</w:t>
            </w:r>
          </w:p>
        </w:tc>
        <w:tc>
          <w:tcPr>
            <w:tcW w:w="2289" w:type="dxa"/>
            <w:tcBorders>
              <w:top w:val="nil"/>
              <w:left w:val="nil"/>
              <w:bottom w:val="nil"/>
              <w:right w:val="nil"/>
            </w:tcBorders>
          </w:tcPr>
          <w:p w14:paraId="16324481" w14:textId="77777777" w:rsidR="00D35BE7" w:rsidRPr="004C1FC6" w:rsidRDefault="00D35BE7" w:rsidP="00AE289D">
            <w:pPr>
              <w:spacing w:after="0"/>
              <w:jc w:val="right"/>
            </w:pPr>
          </w:p>
        </w:tc>
      </w:tr>
      <w:tr w:rsidR="00D35BE7" w:rsidRPr="004C1FC6" w14:paraId="78FAC5D5" w14:textId="77777777" w:rsidTr="00AE289D">
        <w:tc>
          <w:tcPr>
            <w:tcW w:w="6521" w:type="dxa"/>
            <w:tcBorders>
              <w:top w:val="nil"/>
              <w:left w:val="nil"/>
              <w:bottom w:val="nil"/>
              <w:right w:val="nil"/>
            </w:tcBorders>
          </w:tcPr>
          <w:p w14:paraId="7CD7646E" w14:textId="35E40265" w:rsidR="00D35BE7" w:rsidRPr="00B00377" w:rsidRDefault="008D608C" w:rsidP="00AE289D">
            <w:pPr>
              <w:spacing w:after="0"/>
              <w:jc w:val="left"/>
              <w:rPr>
                <w:b/>
              </w:rPr>
            </w:pPr>
            <w:r>
              <w:rPr>
                <w:b/>
              </w:rPr>
              <w:t xml:space="preserve">SONICA BURGER </w:t>
            </w:r>
          </w:p>
        </w:tc>
        <w:tc>
          <w:tcPr>
            <w:tcW w:w="2289" w:type="dxa"/>
            <w:tcBorders>
              <w:top w:val="nil"/>
              <w:left w:val="nil"/>
              <w:bottom w:val="nil"/>
              <w:right w:val="nil"/>
            </w:tcBorders>
          </w:tcPr>
          <w:p w14:paraId="6E34C1C6" w14:textId="77777777" w:rsidR="00D35BE7" w:rsidRPr="004C1FC6" w:rsidRDefault="00D35BE7" w:rsidP="00AE289D">
            <w:pPr>
              <w:spacing w:after="0"/>
              <w:jc w:val="right"/>
            </w:pPr>
            <w:r>
              <w:t>Respondent</w:t>
            </w:r>
          </w:p>
        </w:tc>
      </w:tr>
    </w:tbl>
    <w:p w14:paraId="4E2211A9" w14:textId="77777777" w:rsidR="00D35BE7" w:rsidRPr="004C1FC6" w:rsidRDefault="00D35BE7" w:rsidP="00D35BE7">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1"/>
      </w:tblGrid>
      <w:tr w:rsidR="00D35BE7" w:rsidRPr="004C1FC6" w14:paraId="526150C9" w14:textId="77777777" w:rsidTr="00AE289D">
        <w:tc>
          <w:tcPr>
            <w:tcW w:w="8811" w:type="dxa"/>
            <w:tcBorders>
              <w:top w:val="single" w:sz="4" w:space="0" w:color="auto"/>
              <w:left w:val="nil"/>
              <w:bottom w:val="single" w:sz="4" w:space="0" w:color="auto"/>
              <w:right w:val="nil"/>
            </w:tcBorders>
          </w:tcPr>
          <w:p w14:paraId="0C0C63E7" w14:textId="77777777" w:rsidR="00D35BE7" w:rsidRPr="00B00377" w:rsidRDefault="00D35BE7" w:rsidP="00AE289D">
            <w:pPr>
              <w:spacing w:before="360" w:after="360" w:line="240" w:lineRule="auto"/>
              <w:jc w:val="center"/>
              <w:rPr>
                <w:b/>
              </w:rPr>
            </w:pPr>
            <w:r>
              <w:rPr>
                <w:b/>
              </w:rPr>
              <w:t>JUDGMENT</w:t>
            </w:r>
          </w:p>
        </w:tc>
      </w:tr>
    </w:tbl>
    <w:p w14:paraId="7A650DE0" w14:textId="77777777" w:rsidR="00D35BE7" w:rsidRDefault="00D35BE7" w:rsidP="00D35BE7">
      <w:pPr>
        <w:spacing w:line="240" w:lineRule="auto"/>
        <w:jc w:val="left"/>
      </w:pPr>
    </w:p>
    <w:p w14:paraId="11D248EF" w14:textId="7AA8DCFF" w:rsidR="00D35BE7" w:rsidRDefault="00D35BE7" w:rsidP="00D35BE7">
      <w:r w:rsidRPr="00CB30CC">
        <w:rPr>
          <w:b/>
          <w:u w:val="single"/>
        </w:rPr>
        <w:t>BISHOP AJ</w:t>
      </w:r>
      <w:r>
        <w:t>:</w:t>
      </w:r>
    </w:p>
    <w:p w14:paraId="2CD18EB3" w14:textId="7A7E25CA" w:rsidR="00D35BE7" w:rsidRPr="008224E6" w:rsidRDefault="009733CC" w:rsidP="009733CC">
      <w:pPr>
        <w:pStyle w:val="Indent"/>
        <w:numPr>
          <w:ilvl w:val="0"/>
          <w:numId w:val="0"/>
        </w:numPr>
        <w:ind w:left="851" w:hanging="851"/>
        <w:rPr>
          <w:b/>
        </w:rPr>
      </w:pPr>
      <w:r w:rsidRPr="008224E6">
        <w:rPr>
          <w:szCs w:val="25"/>
        </w:rPr>
        <w:t>[1]</w:t>
      </w:r>
      <w:r w:rsidRPr="008224E6">
        <w:rPr>
          <w:szCs w:val="25"/>
        </w:rPr>
        <w:tab/>
      </w:r>
      <w:r w:rsidR="00D35BE7">
        <w:t xml:space="preserve">On </w:t>
      </w:r>
      <w:r w:rsidR="008D608C">
        <w:t>5 August</w:t>
      </w:r>
      <w:r w:rsidR="00D35BE7">
        <w:t xml:space="preserve"> 2019, M</w:t>
      </w:r>
      <w:r w:rsidR="008D608C">
        <w:t>oongate 125</w:t>
      </w:r>
      <w:r w:rsidR="00D35BE7">
        <w:t xml:space="preserve"> (Pty) Ltd</w:t>
      </w:r>
      <w:r w:rsidR="008D608C">
        <w:t xml:space="preserve">, the applicant, and Ms Sonica Burger, the respondent, entered into a written lease </w:t>
      </w:r>
      <w:r w:rsidR="008D608C">
        <w:lastRenderedPageBreak/>
        <w:t>agreement for the property known as 796 Castello River Estate, Mulbarton Road, Lonehill , Johannesburg, in terms whereof Ms Burger rented the property from Moongate for the</w:t>
      </w:r>
      <w:r w:rsidR="008224E6">
        <w:t xml:space="preserve"> initial period of</w:t>
      </w:r>
      <w:r w:rsidR="008D608C">
        <w:t xml:space="preserve"> 1</w:t>
      </w:r>
      <w:r w:rsidR="008224E6">
        <w:t> </w:t>
      </w:r>
      <w:r w:rsidR="008D608C">
        <w:t>September</w:t>
      </w:r>
      <w:r w:rsidR="008224E6">
        <w:t> </w:t>
      </w:r>
      <w:r w:rsidR="008D608C">
        <w:t>2019 to 31 August 2020 at a monthly rental of R32 000 and ancillary expenses.  </w:t>
      </w:r>
      <w:r w:rsidR="008224E6">
        <w:t xml:space="preserve">This agreement thereafter extended on a month-to-month basis </w:t>
      </w:r>
      <w:r w:rsidR="00572D61">
        <w:t>until</w:t>
      </w:r>
      <w:r w:rsidR="008224E6">
        <w:t xml:space="preserve"> cancelled by either party on 20 business days’ notice to the other.  </w:t>
      </w:r>
      <w:r w:rsidR="008224E6">
        <w:rPr>
          <w:rStyle w:val="FootnoteReference"/>
        </w:rPr>
        <w:footnoteReference w:id="1"/>
      </w:r>
      <w:r w:rsidR="008224E6">
        <w:t xml:space="preserve">  </w:t>
      </w:r>
    </w:p>
    <w:p w14:paraId="43790EE2" w14:textId="38B1079F" w:rsidR="009650BC" w:rsidRPr="009650BC" w:rsidRDefault="009733CC" w:rsidP="009733CC">
      <w:pPr>
        <w:pStyle w:val="Indent"/>
        <w:numPr>
          <w:ilvl w:val="0"/>
          <w:numId w:val="0"/>
        </w:numPr>
        <w:ind w:left="851" w:hanging="851"/>
        <w:rPr>
          <w:b/>
        </w:rPr>
      </w:pPr>
      <w:r w:rsidRPr="009650BC">
        <w:rPr>
          <w:szCs w:val="25"/>
        </w:rPr>
        <w:t>[</w:t>
      </w:r>
      <w:bookmarkStart w:id="0" w:name="_GoBack"/>
      <w:bookmarkEnd w:id="0"/>
      <w:r w:rsidRPr="009650BC">
        <w:rPr>
          <w:szCs w:val="25"/>
        </w:rPr>
        <w:t>2]</w:t>
      </w:r>
      <w:r w:rsidRPr="009650BC">
        <w:rPr>
          <w:szCs w:val="25"/>
        </w:rPr>
        <w:tab/>
      </w:r>
      <w:r w:rsidR="008224E6">
        <w:t xml:space="preserve">Ms Burger </w:t>
      </w:r>
      <w:r w:rsidR="00AD4CED">
        <w:t>disputed that such a lease had been concluded on the basis that “… the purported lease agreement was concluded at a time when the applicant was in deregistration, which rendered the lease relied upon by the applicant … void”.  </w:t>
      </w:r>
      <w:r w:rsidR="00AD4CED">
        <w:rPr>
          <w:rStyle w:val="FootnoteReference"/>
        </w:rPr>
        <w:footnoteReference w:id="2"/>
      </w:r>
      <w:r w:rsidR="00AD4CED">
        <w:t xml:space="preserve">  Attached to Moongate’s founding affidavit was a printout of an electronic record of its corporate status as at 25 October 2021,  </w:t>
      </w:r>
      <w:r w:rsidR="00AD4CED">
        <w:rPr>
          <w:rStyle w:val="FootnoteReference"/>
        </w:rPr>
        <w:footnoteReference w:id="3"/>
      </w:r>
      <w:r w:rsidR="00AD4CED">
        <w:t xml:space="preserve">  which </w:t>
      </w:r>
      <w:r w:rsidR="009650BC">
        <w:t>document was not challenged by Ms Burger.  </w:t>
      </w:r>
      <w:r w:rsidR="009650BC">
        <w:rPr>
          <w:rStyle w:val="FootnoteReference"/>
        </w:rPr>
        <w:footnoteReference w:id="4"/>
      </w:r>
    </w:p>
    <w:p w14:paraId="07ADDD00" w14:textId="2D29D3D9" w:rsidR="008224E6" w:rsidRPr="009650BC" w:rsidRDefault="009733CC" w:rsidP="009733CC">
      <w:pPr>
        <w:pStyle w:val="Indent"/>
        <w:numPr>
          <w:ilvl w:val="0"/>
          <w:numId w:val="0"/>
        </w:numPr>
        <w:ind w:left="851" w:hanging="851"/>
        <w:rPr>
          <w:b/>
        </w:rPr>
      </w:pPr>
      <w:r w:rsidRPr="009650BC">
        <w:rPr>
          <w:szCs w:val="25"/>
        </w:rPr>
        <w:t>[3]</w:t>
      </w:r>
      <w:r w:rsidRPr="009650BC">
        <w:rPr>
          <w:szCs w:val="25"/>
        </w:rPr>
        <w:tab/>
      </w:r>
      <w:r w:rsidR="009650BC">
        <w:t xml:space="preserve">This printout </w:t>
      </w:r>
      <w:r w:rsidR="00AD4CED">
        <w:t>reflected that Moongate was at that time “in business”.  </w:t>
      </w:r>
      <w:r w:rsidR="00AD4CED">
        <w:rPr>
          <w:rStyle w:val="FootnoteReference"/>
        </w:rPr>
        <w:footnoteReference w:id="5"/>
      </w:r>
      <w:r w:rsidR="00AD4CED">
        <w:t>   </w:t>
      </w:r>
      <w:r w:rsidR="009650BC">
        <w:t xml:space="preserve">It also reflected that as at 26 September 2020, </w:t>
      </w:r>
      <w:r w:rsidR="00B81E67">
        <w:t xml:space="preserve">a </w:t>
      </w:r>
      <w:r w:rsidR="009650BC">
        <w:t xml:space="preserve">year after the written lease had been entered into, Moongate was “in [the] process of deregistration” for failing to make payment of an annual </w:t>
      </w:r>
      <w:r w:rsidR="009650BC">
        <w:lastRenderedPageBreak/>
        <w:t xml:space="preserve">return, a situation that was remedied by 6 November 2020.  </w:t>
      </w:r>
    </w:p>
    <w:p w14:paraId="01632B96" w14:textId="466F0BF0" w:rsidR="009650BC" w:rsidRPr="00D1233D" w:rsidRDefault="009733CC" w:rsidP="009733CC">
      <w:pPr>
        <w:pStyle w:val="Indent"/>
        <w:numPr>
          <w:ilvl w:val="0"/>
          <w:numId w:val="0"/>
        </w:numPr>
        <w:ind w:left="851" w:hanging="851"/>
        <w:rPr>
          <w:b/>
        </w:rPr>
      </w:pPr>
      <w:r w:rsidRPr="00D1233D">
        <w:rPr>
          <w:szCs w:val="25"/>
        </w:rPr>
        <w:t>[4]</w:t>
      </w:r>
      <w:r w:rsidRPr="00D1233D">
        <w:rPr>
          <w:szCs w:val="25"/>
        </w:rPr>
        <w:tab/>
      </w:r>
      <w:r w:rsidR="00D1233D">
        <w:t>In terms of s 82(3)(a) of t</w:t>
      </w:r>
      <w:r w:rsidR="009650BC">
        <w:t>he Companies Act 71 of 2008</w:t>
      </w:r>
      <w:r w:rsidR="00D1233D">
        <w:t xml:space="preserve">, the Companies and Intellectual Property Commission may remove a company from the companies register only if the company (i) has failed to file an annual return in terms of s 33 for two or more years in succession and (ii) on demand by the commission, it has failed to (a) give satisfactory reasons for the failure to file the required annual returns, </w:t>
      </w:r>
      <w:r w:rsidR="00B81E67">
        <w:t xml:space="preserve">or </w:t>
      </w:r>
      <w:r w:rsidR="00D1233D">
        <w:t>(b) show satisfactory cause for the company to remain registered.</w:t>
      </w:r>
    </w:p>
    <w:p w14:paraId="5FD024CD" w14:textId="67691C49" w:rsidR="00D1233D" w:rsidRPr="00D1233D" w:rsidRDefault="009733CC" w:rsidP="009733CC">
      <w:pPr>
        <w:pStyle w:val="Indent"/>
        <w:numPr>
          <w:ilvl w:val="0"/>
          <w:numId w:val="0"/>
        </w:numPr>
        <w:ind w:left="851" w:hanging="851"/>
        <w:rPr>
          <w:b/>
        </w:rPr>
      </w:pPr>
      <w:r w:rsidRPr="00D1233D">
        <w:rPr>
          <w:szCs w:val="25"/>
        </w:rPr>
        <w:t>[5]</w:t>
      </w:r>
      <w:r w:rsidRPr="00D1233D">
        <w:rPr>
          <w:szCs w:val="25"/>
        </w:rPr>
        <w:tab/>
      </w:r>
      <w:r w:rsidR="00D1233D">
        <w:t>The obligation by Moongate in terms of s 33</w:t>
      </w:r>
      <w:r w:rsidR="00811C45">
        <w:t>(1)</w:t>
      </w:r>
      <w:r w:rsidR="00D1233D">
        <w:t xml:space="preserve"> was </w:t>
      </w:r>
      <w:r w:rsidR="00811C45">
        <w:t>to file an annual return in the prescribed form with the prescribed fee and within the prescribed period after the end of the anniversary the date of its incorporation.</w:t>
      </w:r>
    </w:p>
    <w:p w14:paraId="38900F16" w14:textId="7ABAB2C5" w:rsidR="00811C45" w:rsidRPr="00811C45" w:rsidRDefault="009733CC" w:rsidP="009733CC">
      <w:pPr>
        <w:pStyle w:val="Indent"/>
        <w:numPr>
          <w:ilvl w:val="0"/>
          <w:numId w:val="0"/>
        </w:numPr>
        <w:ind w:left="851" w:hanging="851"/>
        <w:rPr>
          <w:b/>
        </w:rPr>
      </w:pPr>
      <w:r w:rsidRPr="00811C45">
        <w:rPr>
          <w:szCs w:val="25"/>
        </w:rPr>
        <w:t>[6]</w:t>
      </w:r>
      <w:r w:rsidRPr="00811C45">
        <w:rPr>
          <w:szCs w:val="25"/>
        </w:rPr>
        <w:tab/>
      </w:r>
      <w:r w:rsidR="00D1233D">
        <w:t xml:space="preserve">As I read the printout, it </w:t>
      </w:r>
      <w:r w:rsidR="00811C45">
        <w:t xml:space="preserve">signifies that as at 26 September 2020 Moongate had been in breach of its obligations in terms of s 33(1) for at least two consecutive years and that the commission was in the process of </w:t>
      </w:r>
      <w:r w:rsidR="00D1233D">
        <w:t>exercis</w:t>
      </w:r>
      <w:r w:rsidR="00811C45">
        <w:t xml:space="preserve">ing its right in terms of s 82(3)(a).  The commission is not permitted to deregister a company unless that company has been afforded an opportunity to (a) give satisfactory reasons for the failure to file the required annual returns, </w:t>
      </w:r>
      <w:r w:rsidR="00B81E67">
        <w:t xml:space="preserve">or </w:t>
      </w:r>
      <w:r w:rsidR="00811C45">
        <w:t xml:space="preserve">(b) show satisfactory cause for the company to remain registered.  </w:t>
      </w:r>
    </w:p>
    <w:p w14:paraId="4545313E" w14:textId="0EF8D2C6" w:rsidR="00D1233D" w:rsidRPr="00811C45" w:rsidRDefault="009733CC" w:rsidP="009733CC">
      <w:pPr>
        <w:pStyle w:val="Indent"/>
        <w:numPr>
          <w:ilvl w:val="0"/>
          <w:numId w:val="0"/>
        </w:numPr>
        <w:ind w:left="851" w:hanging="851"/>
        <w:rPr>
          <w:b/>
        </w:rPr>
      </w:pPr>
      <w:r w:rsidRPr="00811C45">
        <w:rPr>
          <w:szCs w:val="25"/>
        </w:rPr>
        <w:lastRenderedPageBreak/>
        <w:t>[7]</w:t>
      </w:r>
      <w:r w:rsidRPr="00811C45">
        <w:rPr>
          <w:szCs w:val="25"/>
        </w:rPr>
        <w:tab/>
      </w:r>
      <w:r w:rsidR="00811C45">
        <w:t>Where the printout records that as at 6 November 2020 there had been a cancellation of the deregistration process, I read this to mean that Moongate had either (a) given satisfactory reasons for the failure to file the required annual returns, or (b) shown satisfactory cause for the company to remain registered, and hence the deregistration process had been cancelled.</w:t>
      </w:r>
      <w:r w:rsidR="00D1233D">
        <w:t xml:space="preserve"> </w:t>
      </w:r>
    </w:p>
    <w:p w14:paraId="4CAC0D03" w14:textId="3E3EEC37" w:rsidR="00811C45" w:rsidRPr="005A40E8" w:rsidRDefault="009733CC" w:rsidP="009733CC">
      <w:pPr>
        <w:pStyle w:val="Indent"/>
        <w:numPr>
          <w:ilvl w:val="0"/>
          <w:numId w:val="0"/>
        </w:numPr>
        <w:ind w:left="851" w:hanging="851"/>
        <w:rPr>
          <w:b/>
        </w:rPr>
      </w:pPr>
      <w:r w:rsidRPr="005A40E8">
        <w:rPr>
          <w:szCs w:val="25"/>
        </w:rPr>
        <w:t>[8]</w:t>
      </w:r>
      <w:r w:rsidRPr="005A40E8">
        <w:rPr>
          <w:szCs w:val="25"/>
        </w:rPr>
        <w:tab/>
      </w:r>
      <w:r w:rsidR="00811C45">
        <w:t xml:space="preserve">In terms of s 83(1), a company is only dissolved when its name is in fact removed from the companies register.  There is no evidence that Moongate had in fact had its name removed from the companies register </w:t>
      </w:r>
      <w:r w:rsidR="005A40E8">
        <w:t>(that is, been deregistered)</w:t>
      </w:r>
      <w:r w:rsidR="00B81E67">
        <w:t xml:space="preserve"> and, therefore, there is no proof that it had been dissolved</w:t>
      </w:r>
      <w:r w:rsidR="005A40E8">
        <w:t>.  The printout confirms quite the opposite.  In my view, there was no change in the status of the company at any material time.  The commencement of the deregistration process by the commissioner did not affect its status to contract with Ms Burger nor did it affect the status of the written lease agreement, which had been in existence since 5 August 2019.</w:t>
      </w:r>
      <w:r w:rsidR="00B81E67">
        <w:t xml:space="preserve">  Only where if it had been proven that Moongate had been dissolved would this point taken by Ms Burger have had merit.</w:t>
      </w:r>
    </w:p>
    <w:p w14:paraId="2708393A" w14:textId="3BB8DE8F" w:rsidR="005A40E8" w:rsidRPr="005A40E8" w:rsidRDefault="009733CC" w:rsidP="009733CC">
      <w:pPr>
        <w:pStyle w:val="Indent"/>
        <w:numPr>
          <w:ilvl w:val="0"/>
          <w:numId w:val="0"/>
        </w:numPr>
        <w:ind w:left="851" w:hanging="851"/>
        <w:rPr>
          <w:b/>
        </w:rPr>
      </w:pPr>
      <w:r w:rsidRPr="005A40E8">
        <w:rPr>
          <w:szCs w:val="25"/>
        </w:rPr>
        <w:t>[9]</w:t>
      </w:r>
      <w:r w:rsidRPr="005A40E8">
        <w:rPr>
          <w:szCs w:val="25"/>
        </w:rPr>
        <w:tab/>
      </w:r>
      <w:r w:rsidR="005A40E8">
        <w:t xml:space="preserve">The submission made on behalf of Moongate that it “was not deregistered and … was merely in danger of being deregistered and </w:t>
      </w:r>
      <w:r w:rsidR="005A40E8">
        <w:lastRenderedPageBreak/>
        <w:t>remains registered”  </w:t>
      </w:r>
      <w:r w:rsidR="005A40E8">
        <w:rPr>
          <w:rStyle w:val="FootnoteReference"/>
        </w:rPr>
        <w:footnoteReference w:id="6"/>
      </w:r>
      <w:r w:rsidR="005A40E8">
        <w:t>  is correct.  The contention to the contrary by Ms Burger is unsustainable and fails.  There was a valid lease agreement</w:t>
      </w:r>
      <w:r w:rsidR="003F188E">
        <w:t xml:space="preserve"> concluded and it remained valid throughout the deregistration process from 26 September 2020 to 6 November 2020.</w:t>
      </w:r>
    </w:p>
    <w:p w14:paraId="54E1AD78" w14:textId="28D62E3F" w:rsidR="005A40E8" w:rsidRDefault="009733CC" w:rsidP="009733CC">
      <w:pPr>
        <w:pStyle w:val="Indent"/>
        <w:numPr>
          <w:ilvl w:val="0"/>
          <w:numId w:val="0"/>
        </w:numPr>
        <w:ind w:left="851" w:hanging="851"/>
        <w:rPr>
          <w:bCs/>
        </w:rPr>
      </w:pPr>
      <w:r>
        <w:rPr>
          <w:bCs/>
          <w:szCs w:val="25"/>
        </w:rPr>
        <w:t>[10]</w:t>
      </w:r>
      <w:r>
        <w:rPr>
          <w:bCs/>
          <w:szCs w:val="25"/>
        </w:rPr>
        <w:tab/>
      </w:r>
      <w:r w:rsidR="006B2AE5" w:rsidRPr="006B2AE5">
        <w:rPr>
          <w:bCs/>
        </w:rPr>
        <w:t xml:space="preserve">When the </w:t>
      </w:r>
      <w:r w:rsidR="006B2AE5">
        <w:rPr>
          <w:bCs/>
        </w:rPr>
        <w:t>initial period of the lease expired, it continued on a month-to-month basis.  </w:t>
      </w:r>
      <w:r w:rsidR="006B2AE5">
        <w:rPr>
          <w:rStyle w:val="FootnoteReference"/>
          <w:bCs/>
        </w:rPr>
        <w:footnoteReference w:id="7"/>
      </w:r>
      <w:r w:rsidR="006B2AE5">
        <w:rPr>
          <w:bCs/>
        </w:rPr>
        <w:t xml:space="preserve">  </w:t>
      </w:r>
      <w:r w:rsidR="000A39B2">
        <w:rPr>
          <w:bCs/>
        </w:rPr>
        <w:t>Ms Burger denies that this is so, because the lease, so she contends, was void as a result of Moongate being deregistered at the time that it was entered into.  </w:t>
      </w:r>
      <w:r w:rsidR="000A39B2">
        <w:rPr>
          <w:rStyle w:val="FootnoteReference"/>
          <w:bCs/>
        </w:rPr>
        <w:footnoteReference w:id="8"/>
      </w:r>
      <w:r w:rsidR="000A39B2">
        <w:rPr>
          <w:bCs/>
        </w:rPr>
        <w:t>  I have already found that this contention of hers concerning the lease is unsustainable.  In the result, her denial of the month-to-month extension of the written lease must also fail.</w:t>
      </w:r>
    </w:p>
    <w:p w14:paraId="7D149A8A" w14:textId="3D19FB9B" w:rsidR="00A85D1D" w:rsidRDefault="009733CC" w:rsidP="009733CC">
      <w:pPr>
        <w:pStyle w:val="Indent"/>
        <w:numPr>
          <w:ilvl w:val="0"/>
          <w:numId w:val="0"/>
        </w:numPr>
        <w:ind w:left="851" w:hanging="851"/>
        <w:rPr>
          <w:bCs/>
        </w:rPr>
      </w:pPr>
      <w:r>
        <w:rPr>
          <w:bCs/>
          <w:szCs w:val="25"/>
        </w:rPr>
        <w:t>[11]</w:t>
      </w:r>
      <w:r>
        <w:rPr>
          <w:bCs/>
          <w:szCs w:val="25"/>
        </w:rPr>
        <w:tab/>
      </w:r>
      <w:r w:rsidR="00717A88">
        <w:rPr>
          <w:bCs/>
        </w:rPr>
        <w:t>On 27 September 2021, Moongate’s attorneys sent a letter to Ms Burger, wherein it was alleged that as at 1 September 2021 she was in arrears in the amount of R666 944,33.  </w:t>
      </w:r>
      <w:r w:rsidR="00717A88">
        <w:rPr>
          <w:rStyle w:val="FootnoteReference"/>
          <w:bCs/>
        </w:rPr>
        <w:footnoteReference w:id="9"/>
      </w:r>
      <w:r w:rsidR="00717A88">
        <w:rPr>
          <w:bCs/>
        </w:rPr>
        <w:t>  Ms Burger did not deny receipt of this letter but contended that the amount could not be owing because of her contention that the lease was void as a result of Moongate’s deregistration at the time of concluding the lease.  </w:t>
      </w:r>
      <w:r w:rsidR="00717A88">
        <w:rPr>
          <w:rStyle w:val="FootnoteReference"/>
          <w:bCs/>
        </w:rPr>
        <w:footnoteReference w:id="10"/>
      </w:r>
      <w:r w:rsidR="00717A88">
        <w:rPr>
          <w:bCs/>
        </w:rPr>
        <w:t xml:space="preserve">  I have dealt with the unsustainability of Ms Burger’s argument on the lease </w:t>
      </w:r>
      <w:r w:rsidR="00717A88">
        <w:rPr>
          <w:bCs/>
        </w:rPr>
        <w:lastRenderedPageBreak/>
        <w:t xml:space="preserve">being void.  </w:t>
      </w:r>
    </w:p>
    <w:p w14:paraId="4739B2B7" w14:textId="4C2185E2" w:rsidR="00A85D1D" w:rsidRDefault="009733CC" w:rsidP="009733CC">
      <w:pPr>
        <w:pStyle w:val="Indent"/>
        <w:numPr>
          <w:ilvl w:val="0"/>
          <w:numId w:val="0"/>
        </w:numPr>
        <w:ind w:left="851" w:hanging="851"/>
        <w:rPr>
          <w:bCs/>
        </w:rPr>
      </w:pPr>
      <w:r>
        <w:rPr>
          <w:bCs/>
          <w:szCs w:val="25"/>
        </w:rPr>
        <w:t>[12]</w:t>
      </w:r>
      <w:r>
        <w:rPr>
          <w:bCs/>
          <w:szCs w:val="25"/>
        </w:rPr>
        <w:tab/>
      </w:r>
      <w:r w:rsidR="00A85D1D">
        <w:rPr>
          <w:bCs/>
        </w:rPr>
        <w:t>The statement of the account for Ms Burger was produced by Moongate</w:t>
      </w:r>
      <w:r w:rsidR="00A57256">
        <w:rPr>
          <w:bCs/>
        </w:rPr>
        <w:t>.</w:t>
      </w:r>
      <w:r w:rsidR="00A85D1D">
        <w:rPr>
          <w:bCs/>
        </w:rPr>
        <w:t>  </w:t>
      </w:r>
      <w:r w:rsidR="00A85D1D">
        <w:rPr>
          <w:rStyle w:val="FootnoteReference"/>
          <w:bCs/>
        </w:rPr>
        <w:footnoteReference w:id="11"/>
      </w:r>
      <w:r w:rsidR="00A85D1D">
        <w:rPr>
          <w:bCs/>
        </w:rPr>
        <w:t xml:space="preserve">  </w:t>
      </w:r>
      <w:r w:rsidR="00A57256">
        <w:rPr>
          <w:bCs/>
        </w:rPr>
        <w:t>It was</w:t>
      </w:r>
      <w:r w:rsidR="00A85D1D">
        <w:rPr>
          <w:bCs/>
        </w:rPr>
        <w:t xml:space="preserve"> not seriously challenged.  </w:t>
      </w:r>
      <w:r w:rsidR="00A85D1D">
        <w:rPr>
          <w:rStyle w:val="FootnoteReference"/>
          <w:bCs/>
        </w:rPr>
        <w:footnoteReference w:id="12"/>
      </w:r>
      <w:r w:rsidR="00A85D1D">
        <w:rPr>
          <w:bCs/>
        </w:rPr>
        <w:t xml:space="preserve">  Ms Burger contended that she had paid certain amounts </w:t>
      </w:r>
      <w:r w:rsidR="009F540E">
        <w:rPr>
          <w:bCs/>
        </w:rPr>
        <w:t xml:space="preserve">between 5 September 2020 and 11 December 2020, </w:t>
      </w:r>
      <w:r w:rsidR="00A57256">
        <w:rPr>
          <w:bCs/>
        </w:rPr>
        <w:t>which total</w:t>
      </w:r>
      <w:r w:rsidR="009F540E">
        <w:rPr>
          <w:bCs/>
        </w:rPr>
        <w:t xml:space="preserve"> some R85</w:t>
      </w:r>
      <w:r w:rsidR="00A57256">
        <w:rPr>
          <w:bCs/>
        </w:rPr>
        <w:t> </w:t>
      </w:r>
      <w:r w:rsidR="009F540E">
        <w:rPr>
          <w:bCs/>
        </w:rPr>
        <w:t>611</w:t>
      </w:r>
      <w:r w:rsidR="00A57256">
        <w:rPr>
          <w:bCs/>
        </w:rPr>
        <w:t>,</w:t>
      </w:r>
      <w:r w:rsidR="009F540E">
        <w:rPr>
          <w:bCs/>
        </w:rPr>
        <w:t>81.  </w:t>
      </w:r>
      <w:r w:rsidR="009F540E">
        <w:rPr>
          <w:rStyle w:val="FootnoteReference"/>
          <w:bCs/>
        </w:rPr>
        <w:footnoteReference w:id="13"/>
      </w:r>
      <w:r w:rsidR="009F540E">
        <w:rPr>
          <w:bCs/>
        </w:rPr>
        <w:t xml:space="preserve">  But, as Moongate correctly pointed out, all of these payments ha</w:t>
      </w:r>
      <w:r w:rsidR="00A57256">
        <w:rPr>
          <w:bCs/>
        </w:rPr>
        <w:t>d</w:t>
      </w:r>
      <w:r w:rsidR="009F540E">
        <w:rPr>
          <w:bCs/>
        </w:rPr>
        <w:t xml:space="preserve"> been accounted for </w:t>
      </w:r>
      <w:r w:rsidR="00A57256">
        <w:rPr>
          <w:bCs/>
        </w:rPr>
        <w:t>i</w:t>
      </w:r>
      <w:r w:rsidR="009F540E">
        <w:rPr>
          <w:bCs/>
        </w:rPr>
        <w:t>n the statement.  </w:t>
      </w:r>
      <w:r w:rsidR="009F540E">
        <w:rPr>
          <w:rStyle w:val="FootnoteReference"/>
          <w:bCs/>
        </w:rPr>
        <w:footnoteReference w:id="14"/>
      </w:r>
      <w:r w:rsidR="009F540E">
        <w:rPr>
          <w:bCs/>
        </w:rPr>
        <w:t>  Certain subsequent payments made by Ms Burger were also acknowledged by Moongate,  </w:t>
      </w:r>
      <w:r w:rsidR="009F540E">
        <w:rPr>
          <w:rStyle w:val="FootnoteReference"/>
          <w:bCs/>
        </w:rPr>
        <w:footnoteReference w:id="15"/>
      </w:r>
      <w:r w:rsidR="009F540E">
        <w:rPr>
          <w:bCs/>
        </w:rPr>
        <w:t>  which payments are undisputed.</w:t>
      </w:r>
      <w:r w:rsidR="00E315E8">
        <w:rPr>
          <w:bCs/>
        </w:rPr>
        <w:t>  </w:t>
      </w:r>
      <w:r w:rsidR="00E315E8">
        <w:rPr>
          <w:rStyle w:val="FootnoteReference"/>
          <w:bCs/>
        </w:rPr>
        <w:footnoteReference w:id="16"/>
      </w:r>
    </w:p>
    <w:p w14:paraId="2468E793" w14:textId="1DAB351E" w:rsidR="00E315E8" w:rsidRPr="00E315E8" w:rsidRDefault="009733CC" w:rsidP="009733CC">
      <w:pPr>
        <w:pStyle w:val="Indent"/>
        <w:numPr>
          <w:ilvl w:val="0"/>
          <w:numId w:val="0"/>
        </w:numPr>
        <w:ind w:left="851" w:hanging="851"/>
        <w:rPr>
          <w:bCs/>
        </w:rPr>
      </w:pPr>
      <w:r w:rsidRPr="00E315E8">
        <w:rPr>
          <w:bCs/>
          <w:szCs w:val="25"/>
        </w:rPr>
        <w:t>[13]</w:t>
      </w:r>
      <w:r w:rsidRPr="00E315E8">
        <w:rPr>
          <w:bCs/>
          <w:szCs w:val="25"/>
        </w:rPr>
        <w:tab/>
      </w:r>
      <w:r w:rsidR="00717A88">
        <w:rPr>
          <w:bCs/>
        </w:rPr>
        <w:t xml:space="preserve">This renders </w:t>
      </w:r>
      <w:r w:rsidR="00E315E8">
        <w:rPr>
          <w:bCs/>
        </w:rPr>
        <w:t>Ms Burger’s</w:t>
      </w:r>
      <w:r w:rsidR="00717A88">
        <w:rPr>
          <w:bCs/>
        </w:rPr>
        <w:t xml:space="preserve"> denial of the </w:t>
      </w:r>
      <w:r w:rsidR="00717A88" w:rsidRPr="00A85D1D">
        <w:rPr>
          <w:bCs/>
          <w:i/>
          <w:iCs/>
        </w:rPr>
        <w:t>quantum</w:t>
      </w:r>
      <w:r w:rsidR="00717A88">
        <w:rPr>
          <w:bCs/>
        </w:rPr>
        <w:t xml:space="preserve"> </w:t>
      </w:r>
      <w:r w:rsidR="00E315E8">
        <w:rPr>
          <w:bCs/>
        </w:rPr>
        <w:t>owing by her no</w:t>
      </w:r>
      <w:r w:rsidR="00717A88">
        <w:rPr>
          <w:bCs/>
        </w:rPr>
        <w:t xml:space="preserve"> more than a ba</w:t>
      </w:r>
      <w:r w:rsidR="00E315E8">
        <w:rPr>
          <w:bCs/>
        </w:rPr>
        <w:t>re</w:t>
      </w:r>
      <w:r w:rsidR="00717A88">
        <w:rPr>
          <w:bCs/>
        </w:rPr>
        <w:t xml:space="preserve"> denial, which is </w:t>
      </w:r>
      <w:r w:rsidR="00A85D1D" w:rsidRPr="00BC39AE">
        <w:rPr>
          <w:rFonts w:cs="Arial"/>
          <w:color w:val="000000"/>
          <w:szCs w:val="25"/>
        </w:rPr>
        <w:t xml:space="preserve">clearly untenable </w:t>
      </w:r>
      <w:r w:rsidR="00A85D1D">
        <w:rPr>
          <w:rFonts w:cs="Arial"/>
          <w:color w:val="000000"/>
          <w:szCs w:val="25"/>
        </w:rPr>
        <w:t>in the light of the statement of the lease account</w:t>
      </w:r>
      <w:r w:rsidR="00E315E8">
        <w:rPr>
          <w:rFonts w:cs="Arial"/>
          <w:color w:val="000000"/>
          <w:szCs w:val="25"/>
        </w:rPr>
        <w:t xml:space="preserve">.  The statement has not been challenged, except on the basis of the lease agreement being void, which challenge I have held fails.  </w:t>
      </w:r>
    </w:p>
    <w:p w14:paraId="0C598D34" w14:textId="0731D453" w:rsidR="00E315E8" w:rsidRPr="00E315E8" w:rsidRDefault="009733CC" w:rsidP="009733CC">
      <w:pPr>
        <w:pStyle w:val="Indent"/>
        <w:numPr>
          <w:ilvl w:val="0"/>
          <w:numId w:val="0"/>
        </w:numPr>
        <w:ind w:left="851" w:hanging="851"/>
        <w:rPr>
          <w:bCs/>
        </w:rPr>
      </w:pPr>
      <w:r w:rsidRPr="00E315E8">
        <w:rPr>
          <w:bCs/>
          <w:szCs w:val="25"/>
        </w:rPr>
        <w:t>[14]</w:t>
      </w:r>
      <w:r w:rsidRPr="00E315E8">
        <w:rPr>
          <w:bCs/>
          <w:szCs w:val="25"/>
        </w:rPr>
        <w:tab/>
      </w:r>
      <w:r w:rsidR="00E315E8">
        <w:rPr>
          <w:rFonts w:cs="Arial"/>
          <w:color w:val="000000"/>
          <w:szCs w:val="25"/>
        </w:rPr>
        <w:t xml:space="preserve">I am justified in these circumstances in concluding that: </w:t>
      </w:r>
    </w:p>
    <w:p w14:paraId="5ED62667" w14:textId="2513E480" w:rsidR="00E315E8" w:rsidRPr="00E315E8" w:rsidRDefault="009733CC" w:rsidP="009733CC">
      <w:pPr>
        <w:pStyle w:val="Indent"/>
        <w:numPr>
          <w:ilvl w:val="0"/>
          <w:numId w:val="0"/>
        </w:numPr>
        <w:tabs>
          <w:tab w:val="left" w:pos="1701"/>
        </w:tabs>
        <w:ind w:left="1701" w:hanging="851"/>
        <w:rPr>
          <w:bCs/>
        </w:rPr>
      </w:pPr>
      <w:r w:rsidRPr="00E315E8">
        <w:rPr>
          <w:bCs/>
        </w:rPr>
        <w:t>[14.1]</w:t>
      </w:r>
      <w:r w:rsidRPr="00E315E8">
        <w:rPr>
          <w:bCs/>
        </w:rPr>
        <w:tab/>
      </w:r>
      <w:r w:rsidR="00E315E8">
        <w:rPr>
          <w:rFonts w:cs="Arial"/>
          <w:color w:val="000000"/>
          <w:szCs w:val="25"/>
        </w:rPr>
        <w:t xml:space="preserve">the statement may be relied upon; </w:t>
      </w:r>
    </w:p>
    <w:p w14:paraId="7EB74970" w14:textId="1CCDFA9C" w:rsidR="00E315E8" w:rsidRPr="00E315E8" w:rsidRDefault="009733CC" w:rsidP="009733CC">
      <w:pPr>
        <w:pStyle w:val="Indent"/>
        <w:numPr>
          <w:ilvl w:val="0"/>
          <w:numId w:val="0"/>
        </w:numPr>
        <w:tabs>
          <w:tab w:val="left" w:pos="1701"/>
        </w:tabs>
        <w:ind w:left="1701" w:hanging="851"/>
        <w:rPr>
          <w:bCs/>
        </w:rPr>
      </w:pPr>
      <w:r w:rsidRPr="00E315E8">
        <w:rPr>
          <w:bCs/>
        </w:rPr>
        <w:lastRenderedPageBreak/>
        <w:t>[14.2]</w:t>
      </w:r>
      <w:r w:rsidRPr="00E315E8">
        <w:rPr>
          <w:bCs/>
        </w:rPr>
        <w:tab/>
      </w:r>
      <w:r w:rsidR="00E315E8">
        <w:rPr>
          <w:rFonts w:cs="Arial"/>
          <w:color w:val="000000"/>
          <w:szCs w:val="25"/>
        </w:rPr>
        <w:t xml:space="preserve">Ms Burger’s denial of her liability for the </w:t>
      </w:r>
      <w:r w:rsidR="00E315E8" w:rsidRPr="00E315E8">
        <w:rPr>
          <w:rFonts w:cs="Arial"/>
          <w:i/>
          <w:iCs/>
          <w:color w:val="000000"/>
          <w:szCs w:val="25"/>
        </w:rPr>
        <w:t>quantum</w:t>
      </w:r>
      <w:r w:rsidR="00E315E8">
        <w:rPr>
          <w:rFonts w:cs="Arial"/>
          <w:color w:val="000000"/>
          <w:szCs w:val="25"/>
        </w:rPr>
        <w:t xml:space="preserve"> of outstanding rental, as set out in the statement, is only a bare denial; and</w:t>
      </w:r>
    </w:p>
    <w:p w14:paraId="171656FD" w14:textId="32A270CB" w:rsidR="000A39B2" w:rsidRPr="00E315E8" w:rsidRDefault="009733CC" w:rsidP="009733CC">
      <w:pPr>
        <w:pStyle w:val="Indent"/>
        <w:numPr>
          <w:ilvl w:val="0"/>
          <w:numId w:val="0"/>
        </w:numPr>
        <w:tabs>
          <w:tab w:val="left" w:pos="1701"/>
        </w:tabs>
        <w:ind w:left="1701" w:hanging="851"/>
        <w:rPr>
          <w:bCs/>
        </w:rPr>
      </w:pPr>
      <w:r w:rsidRPr="00E315E8">
        <w:rPr>
          <w:bCs/>
        </w:rPr>
        <w:t>[14.3]</w:t>
      </w:r>
      <w:r w:rsidRPr="00E315E8">
        <w:rPr>
          <w:bCs/>
        </w:rPr>
        <w:tab/>
      </w:r>
      <w:r w:rsidR="00E315E8">
        <w:rPr>
          <w:rFonts w:cs="Arial"/>
          <w:color w:val="000000"/>
          <w:szCs w:val="25"/>
        </w:rPr>
        <w:t xml:space="preserve">I may </w:t>
      </w:r>
      <w:r w:rsidR="00A85D1D" w:rsidRPr="00BC39AE">
        <w:rPr>
          <w:rFonts w:cs="Arial"/>
          <w:color w:val="000000"/>
          <w:szCs w:val="25"/>
        </w:rPr>
        <w:t xml:space="preserve">reject </w:t>
      </w:r>
      <w:r w:rsidR="00E315E8">
        <w:rPr>
          <w:rFonts w:cs="Arial"/>
          <w:color w:val="000000"/>
          <w:szCs w:val="25"/>
        </w:rPr>
        <w:t xml:space="preserve">Ms Burger’s </w:t>
      </w:r>
      <w:r w:rsidR="00A57256">
        <w:rPr>
          <w:rFonts w:cs="Arial"/>
          <w:color w:val="000000"/>
          <w:szCs w:val="25"/>
        </w:rPr>
        <w:t xml:space="preserve">general </w:t>
      </w:r>
      <w:r w:rsidR="00E315E8">
        <w:rPr>
          <w:rFonts w:cs="Arial"/>
          <w:color w:val="000000"/>
          <w:szCs w:val="25"/>
        </w:rPr>
        <w:t xml:space="preserve">denial of her liability </w:t>
      </w:r>
      <w:r w:rsidR="00A85D1D" w:rsidRPr="00BC39AE">
        <w:rPr>
          <w:rFonts w:cs="Arial"/>
          <w:color w:val="000000"/>
          <w:szCs w:val="25"/>
        </w:rPr>
        <w:t>merely on the papers (</w:t>
      </w:r>
      <w:r w:rsidR="00A85D1D" w:rsidRPr="00E315E8">
        <w:rPr>
          <w:rFonts w:cs="Arial"/>
          <w:color w:val="000000"/>
          <w:szCs w:val="25"/>
        </w:rPr>
        <w:t>compare</w:t>
      </w:r>
      <w:r w:rsidR="00A85D1D" w:rsidRPr="00BC39AE">
        <w:rPr>
          <w:rFonts w:cs="Arial"/>
          <w:i/>
          <w:iCs/>
          <w:color w:val="000000"/>
          <w:szCs w:val="25"/>
        </w:rPr>
        <w:t xml:space="preserve"> </w:t>
      </w:r>
      <w:r w:rsidR="00A85D1D" w:rsidRPr="00BC39AE">
        <w:rPr>
          <w:rFonts w:cs="Arial"/>
          <w:b/>
          <w:bCs/>
          <w:i/>
          <w:iCs/>
          <w:color w:val="000000"/>
          <w:szCs w:val="25"/>
        </w:rPr>
        <w:t>Plascon-Evans Paints Ltd v  van Riebeeck Paints (Pty) Ltd</w:t>
      </w:r>
      <w:r w:rsidR="00A85D1D" w:rsidRPr="00BC39AE">
        <w:rPr>
          <w:rFonts w:cs="Arial"/>
          <w:i/>
          <w:iCs/>
          <w:color w:val="000000"/>
          <w:szCs w:val="25"/>
        </w:rPr>
        <w:t xml:space="preserve"> </w:t>
      </w:r>
      <w:r w:rsidR="00A85D1D" w:rsidRPr="00E315E8">
        <w:rPr>
          <w:rFonts w:cs="Arial"/>
          <w:color w:val="000000"/>
          <w:szCs w:val="25"/>
        </w:rPr>
        <w:t>1984 (3) SA 623 (A), 635C</w:t>
      </w:r>
      <w:r w:rsidR="00A85D1D" w:rsidRPr="00BC39AE">
        <w:rPr>
          <w:rFonts w:cs="Arial"/>
          <w:color w:val="000000"/>
          <w:szCs w:val="25"/>
        </w:rPr>
        <w:t>)</w:t>
      </w:r>
      <w:r w:rsidR="00E315E8">
        <w:rPr>
          <w:rFonts w:cs="Arial"/>
          <w:color w:val="000000"/>
          <w:szCs w:val="25"/>
        </w:rPr>
        <w:t>.</w:t>
      </w:r>
    </w:p>
    <w:p w14:paraId="19AE9DE9" w14:textId="2AC3BFD1" w:rsidR="00E315E8" w:rsidRDefault="009733CC" w:rsidP="009733CC">
      <w:pPr>
        <w:pStyle w:val="Indent"/>
        <w:numPr>
          <w:ilvl w:val="0"/>
          <w:numId w:val="0"/>
        </w:numPr>
        <w:ind w:left="850" w:hanging="850"/>
      </w:pPr>
      <w:r>
        <w:rPr>
          <w:szCs w:val="25"/>
        </w:rPr>
        <w:t>[15]</w:t>
      </w:r>
      <w:r>
        <w:rPr>
          <w:szCs w:val="25"/>
        </w:rPr>
        <w:tab/>
      </w:r>
      <w:r w:rsidR="00E315E8">
        <w:t xml:space="preserve">I do so reject her denial </w:t>
      </w:r>
      <w:r w:rsidR="00A57256">
        <w:t>of her liability on the basis that her denial is</w:t>
      </w:r>
      <w:r w:rsidR="00E315E8">
        <w:t xml:space="preserve"> untenable.  While Moongate’s attorney’s letter claimed that Ms Burger was indebted to Moongate as at 1 September 2020 in the amount of </w:t>
      </w:r>
      <w:r w:rsidR="00E315E8">
        <w:rPr>
          <w:bCs/>
        </w:rPr>
        <w:t>R666 944,33, the statement indicates that Ms Burger’s indebtedness was in the amount of R616 972,93 as at 1 September 2020.  I find that Ms Burger’s indebtedness was in the amount of R616 972,93, and not R666 944,32</w:t>
      </w:r>
      <w:r w:rsidR="00A57256">
        <w:rPr>
          <w:bCs/>
        </w:rPr>
        <w:t>, as at 1 September 2021.</w:t>
      </w:r>
    </w:p>
    <w:p w14:paraId="7941BB2A" w14:textId="24A00A9C" w:rsidR="00E315E8" w:rsidRDefault="009733CC" w:rsidP="009733CC">
      <w:pPr>
        <w:pStyle w:val="Indent"/>
        <w:numPr>
          <w:ilvl w:val="0"/>
          <w:numId w:val="0"/>
        </w:numPr>
        <w:ind w:left="850" w:hanging="850"/>
      </w:pPr>
      <w:r>
        <w:rPr>
          <w:szCs w:val="25"/>
        </w:rPr>
        <w:t>[16]</w:t>
      </w:r>
      <w:r>
        <w:rPr>
          <w:szCs w:val="25"/>
        </w:rPr>
        <w:tab/>
      </w:r>
      <w:r w:rsidR="00EA08D1">
        <w:t xml:space="preserve">Being significantly indebted to Moongate, in the letter </w:t>
      </w:r>
      <w:r w:rsidR="009010D0">
        <w:t xml:space="preserve">of its attorney </w:t>
      </w:r>
      <w:r w:rsidR="00EA08D1">
        <w:t>of 27 September 2021</w:t>
      </w:r>
      <w:r w:rsidR="009010D0">
        <w:t>,</w:t>
      </w:r>
      <w:r w:rsidR="00EA08D1">
        <w:t xml:space="preserve"> </w:t>
      </w:r>
      <w:r w:rsidR="009010D0">
        <w:t>Moongate gave Ms Burger 20 business days to settle the outstanding indebtedness to Moongate.  </w:t>
      </w:r>
      <w:r w:rsidR="009010D0">
        <w:rPr>
          <w:rStyle w:val="FootnoteReference"/>
        </w:rPr>
        <w:footnoteReference w:id="17"/>
      </w:r>
      <w:r w:rsidR="009010D0">
        <w:t xml:space="preserve">  The letter also served to give Ms Burger one calendar month’s notice to vacate the premises; that is, she was to vacate by 31 October 2021.  </w:t>
      </w:r>
      <w:r w:rsidR="009010D0">
        <w:rPr>
          <w:rStyle w:val="FootnoteReference"/>
        </w:rPr>
        <w:footnoteReference w:id="18"/>
      </w:r>
      <w:r w:rsidR="006A05B9">
        <w:t xml:space="preserve">  Ms Burger’s denial of these allegations is based on nothing more than a reference yet again to her failed contention that the lease was void.  </w:t>
      </w:r>
      <w:r w:rsidR="006A05B9">
        <w:lastRenderedPageBreak/>
        <w:t>Her denial is therefore no more than a bare denial, which I am entitled to reject on the papers.  </w:t>
      </w:r>
      <w:r w:rsidR="006A05B9">
        <w:rPr>
          <w:rStyle w:val="FootnoteReference"/>
        </w:rPr>
        <w:footnoteReference w:id="19"/>
      </w:r>
      <w:r w:rsidR="006A05B9">
        <w:t xml:space="preserve">  I do so reject it.</w:t>
      </w:r>
    </w:p>
    <w:p w14:paraId="6D4B46EA" w14:textId="5438DDC1" w:rsidR="006A05B9" w:rsidRDefault="009733CC" w:rsidP="009733CC">
      <w:pPr>
        <w:pStyle w:val="Indent"/>
        <w:numPr>
          <w:ilvl w:val="0"/>
          <w:numId w:val="0"/>
        </w:numPr>
        <w:ind w:left="850" w:hanging="850"/>
      </w:pPr>
      <w:r>
        <w:rPr>
          <w:szCs w:val="25"/>
        </w:rPr>
        <w:t>[17]</w:t>
      </w:r>
      <w:r>
        <w:rPr>
          <w:szCs w:val="25"/>
        </w:rPr>
        <w:tab/>
      </w:r>
      <w:r w:rsidR="00984A20">
        <w:t xml:space="preserve">Ms Burger’s denial of receipt of the letter from Moongate’s attorneys may be rejected for another reason.  On 7 October 2021, </w:t>
      </w:r>
      <w:r w:rsidR="00A57256">
        <w:t>Moongate’s attorneys</w:t>
      </w:r>
      <w:r w:rsidR="00984A20">
        <w:t xml:space="preserve"> received a letter from Feenstra Inc,  </w:t>
      </w:r>
      <w:r w:rsidR="00984A20">
        <w:rPr>
          <w:rStyle w:val="FootnoteReference"/>
        </w:rPr>
        <w:footnoteReference w:id="20"/>
      </w:r>
      <w:r w:rsidR="00984A20">
        <w:t>  wherein they acknowledged receipt of Moongate’s attorneys’ letter of 27 September</w:t>
      </w:r>
      <w:r w:rsidR="00A57256">
        <w:t> </w:t>
      </w:r>
      <w:r w:rsidR="00984A20">
        <w:t>2021.  </w:t>
      </w:r>
      <w:r w:rsidR="00984A20">
        <w:rPr>
          <w:rStyle w:val="FootnoteReference"/>
        </w:rPr>
        <w:footnoteReference w:id="21"/>
      </w:r>
      <w:r w:rsidR="00984A20">
        <w:t>  In this letter, Mr Feenstra on behalf of his firm, indicated that his firm acted in various matters for Ms Burger’s mother, Ms Bianca Swart, who was due to receive R5 000 000,00 from Mikron Holdings (HK) Ltd</w:t>
      </w:r>
      <w:r w:rsidR="00024837">
        <w:t>, purportedly a company in Hong Kong, by 15 December 2021.  </w:t>
      </w:r>
      <w:r w:rsidR="00024837">
        <w:rPr>
          <w:rStyle w:val="FootnoteReference"/>
        </w:rPr>
        <w:footnoteReference w:id="22"/>
      </w:r>
      <w:r w:rsidR="00024837">
        <w:t xml:space="preserve">  He attached a letter purporting to be from Mikron, where this payment was promised.  </w:t>
      </w:r>
      <w:r w:rsidR="00024837">
        <w:rPr>
          <w:rStyle w:val="FootnoteReference"/>
        </w:rPr>
        <w:footnoteReference w:id="23"/>
      </w:r>
      <w:r w:rsidR="00024837">
        <w:t>  Mr Feenstra went on to assure Moongate’s attorney that Ms Swart would settle Ms Burger’s indebtedness to Moongate as soon as the funds had been received from Mikron and he called for a statement setting out how the amount was calculated.  </w:t>
      </w:r>
      <w:r w:rsidR="00024837">
        <w:rPr>
          <w:rStyle w:val="FootnoteReference"/>
        </w:rPr>
        <w:footnoteReference w:id="24"/>
      </w:r>
    </w:p>
    <w:p w14:paraId="4B9D81FB" w14:textId="0685C08F" w:rsidR="00A57256" w:rsidRDefault="009733CC" w:rsidP="009733CC">
      <w:pPr>
        <w:pStyle w:val="Indent"/>
        <w:numPr>
          <w:ilvl w:val="0"/>
          <w:numId w:val="0"/>
        </w:numPr>
        <w:ind w:left="850" w:hanging="850"/>
      </w:pPr>
      <w:r>
        <w:rPr>
          <w:szCs w:val="25"/>
        </w:rPr>
        <w:t>[18]</w:t>
      </w:r>
      <w:r>
        <w:rPr>
          <w:szCs w:val="25"/>
        </w:rPr>
        <w:tab/>
      </w:r>
      <w:r w:rsidR="00A57256">
        <w:t xml:space="preserve">This letter gives rise to the inference that after receipt of Moongate’s attorneys’ letter of 27 September 2021, Ms Burger gave the letter to </w:t>
      </w:r>
      <w:r w:rsidR="00A57256">
        <w:lastRenderedPageBreak/>
        <w:t>her mother, Ms Swart, who in turn gave it to her attorneys, Feenstra Inc.</w:t>
      </w:r>
    </w:p>
    <w:p w14:paraId="7FCBF6B2" w14:textId="138C4026" w:rsidR="009A0F48" w:rsidRDefault="009733CC" w:rsidP="009733CC">
      <w:pPr>
        <w:pStyle w:val="Indent"/>
        <w:numPr>
          <w:ilvl w:val="0"/>
          <w:numId w:val="0"/>
        </w:numPr>
        <w:ind w:left="850" w:hanging="850"/>
      </w:pPr>
      <w:r>
        <w:rPr>
          <w:szCs w:val="25"/>
        </w:rPr>
        <w:t>[19]</w:t>
      </w:r>
      <w:r>
        <w:rPr>
          <w:szCs w:val="25"/>
        </w:rPr>
        <w:tab/>
      </w:r>
      <w:r w:rsidR="00FF7438">
        <w:t xml:space="preserve">The allegations </w:t>
      </w:r>
      <w:r w:rsidR="00A57256">
        <w:t xml:space="preserve">made by Mr Feenstra in his firm’s letter were admitted by </w:t>
      </w:r>
      <w:r w:rsidR="00FF7438">
        <w:t>Ms Burger,</w:t>
      </w:r>
      <w:r w:rsidR="00A57256">
        <w:t xml:space="preserve"> who </w:t>
      </w:r>
      <w:r w:rsidR="00FF7438">
        <w:t>add</w:t>
      </w:r>
      <w:r w:rsidR="00A57256">
        <w:t>ed</w:t>
      </w:r>
      <w:r w:rsidR="00FF7438">
        <w:t xml:space="preserve"> that the payment from Mikron did not materialise.  </w:t>
      </w:r>
      <w:r w:rsidR="00FF7438">
        <w:rPr>
          <w:rStyle w:val="FootnoteReference"/>
        </w:rPr>
        <w:footnoteReference w:id="25"/>
      </w:r>
      <w:r w:rsidR="00FF7438">
        <w:t xml:space="preserve">  Moongate’s attorneys responded </w:t>
      </w:r>
      <w:r w:rsidR="00A57256">
        <w:t xml:space="preserve">to Feenstra Inc </w:t>
      </w:r>
      <w:r w:rsidR="00FF7438">
        <w:t>that Moongate was not prepared to wait and would proceed with an eviction application.  </w:t>
      </w:r>
      <w:r w:rsidR="00FF7438">
        <w:rPr>
          <w:rStyle w:val="FootnoteReference"/>
        </w:rPr>
        <w:footnoteReference w:id="26"/>
      </w:r>
      <w:r w:rsidR="00FF7438">
        <w:t xml:space="preserve">  They added that as at </w:t>
      </w:r>
      <w:r w:rsidR="0071609B">
        <w:t>7 October 2021</w:t>
      </w:r>
      <w:r w:rsidR="00FF7438">
        <w:t xml:space="preserve">, Ms Burger was indebted to Moongate in the amount of R710 082,03 and </w:t>
      </w:r>
      <w:r w:rsidR="0071609B">
        <w:t xml:space="preserve">they provided </w:t>
      </w:r>
      <w:r w:rsidR="00FF7438">
        <w:t xml:space="preserve">an updated statement </w:t>
      </w:r>
      <w:r w:rsidR="0071609B">
        <w:t>with their letter</w:t>
      </w:r>
      <w:r w:rsidR="00FF7438">
        <w:t xml:space="preserve">.  </w:t>
      </w:r>
      <w:r w:rsidR="00FF7438">
        <w:rPr>
          <w:rStyle w:val="FootnoteReference"/>
        </w:rPr>
        <w:footnoteReference w:id="27"/>
      </w:r>
      <w:r w:rsidR="00EA5E55">
        <w:t xml:space="preserve">  Also attached to this latter was a copy of the </w:t>
      </w:r>
      <w:r w:rsidR="0071609B">
        <w:t>previous</w:t>
      </w:r>
      <w:r w:rsidR="00EA5E55">
        <w:t xml:space="preserve"> statement</w:t>
      </w:r>
      <w:r w:rsidR="0071609B">
        <w:t>, which ran</w:t>
      </w:r>
      <w:r w:rsidR="00EA5E55">
        <w:t xml:space="preserve"> up until 1</w:t>
      </w:r>
      <w:r w:rsidR="0071609B">
        <w:t> </w:t>
      </w:r>
      <w:r w:rsidR="00EA5E55">
        <w:t>September</w:t>
      </w:r>
      <w:r w:rsidR="0071609B">
        <w:t> </w:t>
      </w:r>
      <w:r w:rsidR="00EA5E55">
        <w:t>2021.  </w:t>
      </w:r>
      <w:r w:rsidR="00EA5E55">
        <w:rPr>
          <w:rStyle w:val="FootnoteReference"/>
        </w:rPr>
        <w:footnoteReference w:id="28"/>
      </w:r>
      <w:r w:rsidR="00EA5E55">
        <w:t xml:space="preserve">  It is apparent when reading the original statement with the updated statement that the latter follows on from the former.  </w:t>
      </w:r>
      <w:r w:rsidR="009A0F48">
        <w:t xml:space="preserve">Also, when reading the two in </w:t>
      </w:r>
      <w:r w:rsidR="0071609B">
        <w:t>conjunction</w:t>
      </w:r>
      <w:r w:rsidR="009A0F48">
        <w:t xml:space="preserve"> with one another, it is apparent that:</w:t>
      </w:r>
    </w:p>
    <w:p w14:paraId="2EFB791A" w14:textId="7A4A6832" w:rsidR="009A0F48" w:rsidRPr="009A0F48" w:rsidRDefault="009733CC" w:rsidP="009733CC">
      <w:pPr>
        <w:pStyle w:val="Indent"/>
        <w:numPr>
          <w:ilvl w:val="0"/>
          <w:numId w:val="0"/>
        </w:numPr>
        <w:tabs>
          <w:tab w:val="left" w:pos="1701"/>
        </w:tabs>
        <w:ind w:left="1701" w:hanging="851"/>
      </w:pPr>
      <w:r w:rsidRPr="009A0F48">
        <w:t>[19.1]</w:t>
      </w:r>
      <w:r w:rsidRPr="009A0F48">
        <w:tab/>
      </w:r>
      <w:r w:rsidR="009A0F48">
        <w:t xml:space="preserve">the amount of </w:t>
      </w:r>
      <w:r w:rsidR="009A0F48">
        <w:rPr>
          <w:bCs/>
        </w:rPr>
        <w:t>R616 972,93 was owed as at 1 September 2021;</w:t>
      </w:r>
    </w:p>
    <w:p w14:paraId="5B96D4B2" w14:textId="4EED2251" w:rsidR="009A0F48" w:rsidRPr="009A0F48" w:rsidRDefault="009733CC" w:rsidP="009733CC">
      <w:pPr>
        <w:pStyle w:val="Indent"/>
        <w:numPr>
          <w:ilvl w:val="0"/>
          <w:numId w:val="0"/>
        </w:numPr>
        <w:tabs>
          <w:tab w:val="left" w:pos="1701"/>
        </w:tabs>
        <w:ind w:left="1701" w:hanging="851"/>
      </w:pPr>
      <w:r w:rsidRPr="009A0F48">
        <w:t>[19.2]</w:t>
      </w:r>
      <w:r w:rsidRPr="009A0F48">
        <w:tab/>
      </w:r>
      <w:r w:rsidR="009A0F48">
        <w:rPr>
          <w:bCs/>
        </w:rPr>
        <w:t xml:space="preserve">the amount of R666 944,32 was owed by the end of September 2021; and </w:t>
      </w:r>
    </w:p>
    <w:p w14:paraId="536D1783" w14:textId="0952F77D" w:rsidR="00024837" w:rsidRDefault="009733CC" w:rsidP="009733CC">
      <w:pPr>
        <w:pStyle w:val="Indent"/>
        <w:numPr>
          <w:ilvl w:val="0"/>
          <w:numId w:val="0"/>
        </w:numPr>
        <w:tabs>
          <w:tab w:val="left" w:pos="1701"/>
        </w:tabs>
        <w:ind w:left="1701" w:hanging="851"/>
      </w:pPr>
      <w:r>
        <w:lastRenderedPageBreak/>
        <w:t>[19.3]</w:t>
      </w:r>
      <w:r>
        <w:tab/>
      </w:r>
      <w:r w:rsidR="009A0F48">
        <w:rPr>
          <w:bCs/>
        </w:rPr>
        <w:t xml:space="preserve">the amount of </w:t>
      </w:r>
      <w:r w:rsidR="009A0F48">
        <w:t>R710 082,03 was owed as at 1 October 2021.</w:t>
      </w:r>
    </w:p>
    <w:p w14:paraId="1DB36462" w14:textId="37065761" w:rsidR="009A0F48" w:rsidRDefault="009733CC" w:rsidP="009733CC">
      <w:pPr>
        <w:pStyle w:val="Indent"/>
        <w:numPr>
          <w:ilvl w:val="0"/>
          <w:numId w:val="0"/>
        </w:numPr>
        <w:ind w:left="850" w:hanging="850"/>
      </w:pPr>
      <w:r>
        <w:rPr>
          <w:szCs w:val="25"/>
        </w:rPr>
        <w:t>[20]</w:t>
      </w:r>
      <w:r>
        <w:rPr>
          <w:szCs w:val="25"/>
        </w:rPr>
        <w:tab/>
      </w:r>
      <w:r w:rsidR="0071609B">
        <w:t xml:space="preserve">Faced with this predicament, it is said that Ms Burger wrote </w:t>
      </w:r>
      <w:r w:rsidR="00A57256">
        <w:t xml:space="preserve">to Moongate </w:t>
      </w:r>
      <w:r w:rsidR="0071609B">
        <w:t>on 28 October 2021, tendering R10 000,00 per month as rental to be paid by her until February 2022 and that Ms Swart would assist with arrears.  </w:t>
      </w:r>
      <w:r w:rsidR="0071609B">
        <w:rPr>
          <w:rStyle w:val="FootnoteReference"/>
        </w:rPr>
        <w:footnoteReference w:id="29"/>
      </w:r>
      <w:r w:rsidR="0071609B">
        <w:t xml:space="preserve">  Regrettably, this letter of Ms Swart, although said to be annexure FA9 to the founding affidavit, was not uploaded as part of the annexures on CaseLines.  Nothing turns on this, however, as these allegations were admitted</w:t>
      </w:r>
      <w:r w:rsidR="00A57256">
        <w:t xml:space="preserve"> by Ms Burger</w:t>
      </w:r>
      <w:r w:rsidR="0071609B">
        <w:t xml:space="preserve">, subject to </w:t>
      </w:r>
      <w:r w:rsidR="00A57256">
        <w:t>her</w:t>
      </w:r>
      <w:r w:rsidR="0071609B">
        <w:t xml:space="preserve"> repeating her contention that the lease agreement was void.  </w:t>
      </w:r>
      <w:r w:rsidR="0071609B">
        <w:rPr>
          <w:rStyle w:val="FootnoteReference"/>
        </w:rPr>
        <w:footnoteReference w:id="30"/>
      </w:r>
      <w:r w:rsidR="0071609B">
        <w:t xml:space="preserve">  It was also said that Moongate did not accept this tender,</w:t>
      </w:r>
      <w:r w:rsidR="00ED6C9F">
        <w:t>  </w:t>
      </w:r>
      <w:r w:rsidR="00ED6C9F">
        <w:rPr>
          <w:rStyle w:val="FootnoteReference"/>
        </w:rPr>
        <w:footnoteReference w:id="31"/>
      </w:r>
      <w:r w:rsidR="00ED6C9F">
        <w:t> </w:t>
      </w:r>
      <w:r w:rsidR="0071609B">
        <w:t xml:space="preserve"> which has also been admitted </w:t>
      </w:r>
      <w:r w:rsidR="00DA15E9">
        <w:t xml:space="preserve">by her </w:t>
      </w:r>
      <w:r w:rsidR="0071609B">
        <w:t>subject to the same rider.</w:t>
      </w:r>
      <w:r w:rsidR="00ED6C9F">
        <w:t>  </w:t>
      </w:r>
      <w:r w:rsidR="00ED6C9F">
        <w:rPr>
          <w:rStyle w:val="FootnoteReference"/>
        </w:rPr>
        <w:footnoteReference w:id="32"/>
      </w:r>
    </w:p>
    <w:p w14:paraId="55739C13" w14:textId="7AB619BD" w:rsidR="00ED6C9F" w:rsidRDefault="009733CC" w:rsidP="009733CC">
      <w:pPr>
        <w:pStyle w:val="Indent"/>
        <w:numPr>
          <w:ilvl w:val="0"/>
          <w:numId w:val="0"/>
        </w:numPr>
        <w:ind w:left="850" w:hanging="850"/>
      </w:pPr>
      <w:r>
        <w:rPr>
          <w:szCs w:val="25"/>
        </w:rPr>
        <w:t>[21]</w:t>
      </w:r>
      <w:r>
        <w:rPr>
          <w:szCs w:val="25"/>
        </w:rPr>
        <w:tab/>
      </w:r>
      <w:r w:rsidR="00ED6C9F">
        <w:t>At the time of bringing this application, it was said on behalf of Moongate that Ms Burger was in arrears in the amount of R748 692,31.</w:t>
      </w:r>
      <w:r w:rsidR="00DA15E9">
        <w:t>  </w:t>
      </w:r>
      <w:r w:rsidR="00DA15E9">
        <w:rPr>
          <w:rStyle w:val="FootnoteReference"/>
        </w:rPr>
        <w:footnoteReference w:id="33"/>
      </w:r>
      <w:r w:rsidR="00ED6C9F">
        <w:t xml:space="preserve">  Ms Burger met this with a bare denial </w:t>
      </w:r>
      <w:r w:rsidR="0022697D">
        <w:t>coupled with</w:t>
      </w:r>
      <w:r w:rsidR="00ED6C9F">
        <w:t xml:space="preserve"> </w:t>
      </w:r>
      <w:r w:rsidR="0022697D">
        <w:t xml:space="preserve">a further </w:t>
      </w:r>
      <w:r w:rsidR="00ED6C9F">
        <w:t>reference to her contention that the lease agreement was void.</w:t>
      </w:r>
      <w:r w:rsidR="0022697D">
        <w:t>  </w:t>
      </w:r>
      <w:r w:rsidR="0022697D">
        <w:rPr>
          <w:rStyle w:val="FootnoteReference"/>
        </w:rPr>
        <w:footnoteReference w:id="34"/>
      </w:r>
      <w:r w:rsidR="00ED6C9F">
        <w:t xml:space="preserve">  I reject this denial of her</w:t>
      </w:r>
      <w:r w:rsidR="0022697D">
        <w:t>s</w:t>
      </w:r>
      <w:r w:rsidR="00ED6C9F">
        <w:t xml:space="preserve"> also, as being untenable.  </w:t>
      </w:r>
      <w:r w:rsidR="00ED6C9F">
        <w:rPr>
          <w:rStyle w:val="FootnoteReference"/>
        </w:rPr>
        <w:footnoteReference w:id="35"/>
      </w:r>
      <w:r w:rsidR="00ED6C9F">
        <w:t>  Ms</w:t>
      </w:r>
      <w:r w:rsidR="0022697D">
        <w:t> </w:t>
      </w:r>
      <w:r w:rsidR="00ED6C9F">
        <w:t>Burger made no serious endeavour to disprove the amount owing</w:t>
      </w:r>
      <w:r w:rsidR="0022697D">
        <w:t xml:space="preserve"> by her</w:t>
      </w:r>
      <w:r w:rsidR="00ED6C9F">
        <w:t xml:space="preserve">, </w:t>
      </w:r>
      <w:r w:rsidR="0022697D">
        <w:t xml:space="preserve">whether </w:t>
      </w:r>
      <w:r w:rsidR="00ED6C9F">
        <w:t xml:space="preserve">by demonstrating that the statements </w:t>
      </w:r>
      <w:r w:rsidR="00ED6C9F">
        <w:lastRenderedPageBreak/>
        <w:t>were materially incorrect or that she had made payment of a substantial amount of some R700 000,00 after 1 October 2021.   As she herself had conceded, the source of anticipated funds from Mikron did not materialise.  It is impossible from the evidence presented as a whole to infer that Ms Burger had settled the outstanding amount.</w:t>
      </w:r>
    </w:p>
    <w:p w14:paraId="544EBDF1" w14:textId="78FC1B74" w:rsidR="00ED6C9F" w:rsidRDefault="009733CC" w:rsidP="009733CC">
      <w:pPr>
        <w:pStyle w:val="Indent"/>
        <w:numPr>
          <w:ilvl w:val="0"/>
          <w:numId w:val="0"/>
        </w:numPr>
        <w:ind w:left="850" w:hanging="850"/>
      </w:pPr>
      <w:r>
        <w:rPr>
          <w:szCs w:val="25"/>
        </w:rPr>
        <w:t>[22]</w:t>
      </w:r>
      <w:r>
        <w:rPr>
          <w:szCs w:val="25"/>
        </w:rPr>
        <w:tab/>
      </w:r>
      <w:r w:rsidR="00ED6C9F">
        <w:t xml:space="preserve">The termination of the lease, once the initial period had expired and it was on a month-to-month basis, could be </w:t>
      </w:r>
      <w:r w:rsidR="0022697D">
        <w:t>achieved</w:t>
      </w:r>
      <w:r w:rsidR="00ED6C9F">
        <w:t xml:space="preserve"> by either party </w:t>
      </w:r>
      <w:r w:rsidR="0022697D">
        <w:t>by giving</w:t>
      </w:r>
      <w:r w:rsidR="00ED6C9F">
        <w:t xml:space="preserve"> 20 business days’ notice to the other party.  </w:t>
      </w:r>
      <w:r w:rsidR="00ED6C9F">
        <w:rPr>
          <w:rStyle w:val="FootnoteReference"/>
        </w:rPr>
        <w:footnoteReference w:id="36"/>
      </w:r>
      <w:r w:rsidR="00F144A3">
        <w:t xml:space="preserve">  Twenty business days is equivalent to 28 days’ notice</w:t>
      </w:r>
      <w:r w:rsidR="0022697D">
        <w:t>, there having been no public holidays in October 2021</w:t>
      </w:r>
      <w:r w:rsidR="00F144A3">
        <w:t>.  By affording Ms Burger one month’s notice of termination in the letter of its attorneys of 27 September 2021,  </w:t>
      </w:r>
      <w:r w:rsidR="00F144A3">
        <w:rPr>
          <w:rStyle w:val="FootnoteReference"/>
        </w:rPr>
        <w:footnoteReference w:id="37"/>
      </w:r>
      <w:r w:rsidR="00F144A3">
        <w:t>  Moongate had given Ms Burger more than adequate notice.  Nothing turns on the fact that Moongate’s attorney employed the language of a calendar month’s notice as opposed to 20 business days’ notice.</w:t>
      </w:r>
    </w:p>
    <w:p w14:paraId="7CC3D4BB" w14:textId="0BBD51E9" w:rsidR="00F144A3" w:rsidRDefault="009733CC" w:rsidP="009733CC">
      <w:pPr>
        <w:pStyle w:val="Indent"/>
        <w:numPr>
          <w:ilvl w:val="0"/>
          <w:numId w:val="0"/>
        </w:numPr>
        <w:ind w:left="850" w:hanging="850"/>
      </w:pPr>
      <w:r>
        <w:rPr>
          <w:szCs w:val="25"/>
        </w:rPr>
        <w:t>[23]</w:t>
      </w:r>
      <w:r>
        <w:rPr>
          <w:szCs w:val="25"/>
        </w:rPr>
        <w:tab/>
      </w:r>
      <w:r w:rsidR="00F144A3">
        <w:t>On 31 October 2021, the lease agreement terminate</w:t>
      </w:r>
      <w:r w:rsidR="00596891">
        <w:t>d</w:t>
      </w:r>
      <w:r w:rsidR="00F144A3">
        <w:t xml:space="preserve"> and Ms Burger had no right to remain in occupation of the property.</w:t>
      </w:r>
    </w:p>
    <w:p w14:paraId="461A3012" w14:textId="250D5687" w:rsidR="00121086" w:rsidRDefault="009733CC" w:rsidP="009733CC">
      <w:pPr>
        <w:pStyle w:val="Indent"/>
        <w:numPr>
          <w:ilvl w:val="0"/>
          <w:numId w:val="0"/>
        </w:numPr>
        <w:ind w:left="850" w:hanging="850"/>
      </w:pPr>
      <w:r>
        <w:rPr>
          <w:szCs w:val="25"/>
        </w:rPr>
        <w:t>[24]</w:t>
      </w:r>
      <w:r>
        <w:rPr>
          <w:szCs w:val="25"/>
        </w:rPr>
        <w:tab/>
      </w:r>
      <w:r w:rsidR="006D6EE8">
        <w:t>Shortly before the hearing of this matter</w:t>
      </w:r>
      <w:r w:rsidR="0022697D">
        <w:t>,</w:t>
      </w:r>
      <w:r w:rsidR="006D6EE8">
        <w:t xml:space="preserve"> I had the opportunity to read the papers in preparation for the hearing.  I</w:t>
      </w:r>
      <w:r w:rsidR="0022697D">
        <w:t>t</w:t>
      </w:r>
      <w:r w:rsidR="006D6EE8">
        <w:t xml:space="preserve"> was not clear to me </w:t>
      </w:r>
      <w:r w:rsidR="006D6EE8">
        <w:lastRenderedPageBreak/>
        <w:t>whether the matter had been enrolled to deal with the interlocutory issue of compelling Ms Burger to file her practice</w:t>
      </w:r>
      <w:r w:rsidR="0022697D">
        <w:t xml:space="preserve"> note</w:t>
      </w:r>
      <w:r w:rsidR="006D6EE8">
        <w:t>, heads of argument and list of authorities</w:t>
      </w:r>
      <w:r w:rsidR="00121086">
        <w:t>;</w:t>
      </w:r>
      <w:r w:rsidR="006D6EE8">
        <w:t xml:space="preserve"> or whether </w:t>
      </w:r>
      <w:r w:rsidR="00121086">
        <w:t>the matter had been enrolled to have the merits of the main application decided.</w:t>
      </w:r>
    </w:p>
    <w:p w14:paraId="2B2DE1F5" w14:textId="54859E0E" w:rsidR="00DB62AA" w:rsidRDefault="009733CC" w:rsidP="009733CC">
      <w:pPr>
        <w:pStyle w:val="Indent"/>
        <w:numPr>
          <w:ilvl w:val="0"/>
          <w:numId w:val="0"/>
        </w:numPr>
        <w:ind w:left="850" w:hanging="850"/>
      </w:pPr>
      <w:r>
        <w:rPr>
          <w:szCs w:val="25"/>
        </w:rPr>
        <w:t>[25]</w:t>
      </w:r>
      <w:r>
        <w:rPr>
          <w:szCs w:val="25"/>
        </w:rPr>
        <w:tab/>
      </w:r>
      <w:r w:rsidR="00DB62AA">
        <w:t>The</w:t>
      </w:r>
      <w:r w:rsidR="00121086">
        <w:t xml:space="preserve"> registrar </w:t>
      </w:r>
      <w:r w:rsidR="00DB62AA">
        <w:t xml:space="preserve">assisting me </w:t>
      </w:r>
      <w:r w:rsidR="00121086">
        <w:t>addressed an email at my instance to the parties’ representatives.  M</w:t>
      </w:r>
      <w:r w:rsidR="00DB62AA">
        <w:t>s</w:t>
      </w:r>
      <w:r w:rsidR="00121086">
        <w:t xml:space="preserve"> Chey Ramalho of Moongate’s attorneys responded by email advising that (i) the matter had been set down for the determination of the merits and (ii) Ms Burger, her husband, Mr Howard Burger, her daughter, Ms Tanika Du Plessis</w:t>
      </w:r>
      <w:r w:rsidR="0022697D">
        <w:t>,</w:t>
      </w:r>
      <w:r w:rsidR="00121086">
        <w:t xml:space="preserve"> and her mother, Ms Swart, had vacated the premises and that Moongate would only be seeking the money orders.  </w:t>
      </w:r>
    </w:p>
    <w:p w14:paraId="11B84B67" w14:textId="7BC1CA95" w:rsidR="00DB62AA" w:rsidRDefault="009733CC" w:rsidP="009733CC">
      <w:pPr>
        <w:pStyle w:val="Indent"/>
        <w:numPr>
          <w:ilvl w:val="0"/>
          <w:numId w:val="0"/>
        </w:numPr>
        <w:ind w:left="850" w:hanging="850"/>
      </w:pPr>
      <w:r>
        <w:rPr>
          <w:szCs w:val="25"/>
        </w:rPr>
        <w:t>[26]</w:t>
      </w:r>
      <w:r>
        <w:rPr>
          <w:szCs w:val="25"/>
        </w:rPr>
        <w:tab/>
      </w:r>
      <w:r w:rsidR="00121086">
        <w:t xml:space="preserve">A further email was sent </w:t>
      </w:r>
      <w:r w:rsidR="00DB62AA">
        <w:t xml:space="preserve">by the registrar </w:t>
      </w:r>
      <w:r w:rsidR="00121086">
        <w:t>to both attorneys, specifically calling upon Ms</w:t>
      </w:r>
      <w:r w:rsidR="00DB62AA">
        <w:t> </w:t>
      </w:r>
      <w:r w:rsidR="00121086">
        <w:t xml:space="preserve">Burger’s attorneys to confirm that they agreed with what Moongate’s attorneys had advised </w:t>
      </w:r>
      <w:r w:rsidR="0022697D">
        <w:t>was the situation</w:t>
      </w:r>
      <w:r w:rsidR="00121086">
        <w:t>.  A response was received via email from Mr Hans Badenhorst of Ms Burger’s attorneys, in which he advised that the property had indeed been vacated and that it was only the money claim that required determination.  A further allocation was made and the parties were advised that the matter would be heard at 10h00 in open court on 1 November 2022.</w:t>
      </w:r>
      <w:r w:rsidR="008A3DA5">
        <w:t xml:space="preserve">  Mr Badenhorst confirmed this allocated time and date by way of email.  </w:t>
      </w:r>
    </w:p>
    <w:p w14:paraId="516BC43F" w14:textId="3DA4F117" w:rsidR="00121086" w:rsidRDefault="009733CC" w:rsidP="009733CC">
      <w:pPr>
        <w:pStyle w:val="Indent"/>
        <w:numPr>
          <w:ilvl w:val="0"/>
          <w:numId w:val="0"/>
        </w:numPr>
        <w:ind w:left="850" w:hanging="850"/>
      </w:pPr>
      <w:r>
        <w:rPr>
          <w:szCs w:val="25"/>
        </w:rPr>
        <w:lastRenderedPageBreak/>
        <w:t>[27]</w:t>
      </w:r>
      <w:r>
        <w:rPr>
          <w:szCs w:val="25"/>
        </w:rPr>
        <w:tab/>
      </w:r>
      <w:r w:rsidR="008A3DA5">
        <w:t xml:space="preserve">Later the same day, Ms Burger’s attorneys withdrew as </w:t>
      </w:r>
      <w:r w:rsidR="0022697D">
        <w:t>her</w:t>
      </w:r>
      <w:r w:rsidR="008A3DA5">
        <w:t xml:space="preserve"> attorneys.</w:t>
      </w:r>
      <w:r w:rsidR="00DB62AA">
        <w:t xml:space="preserve">  A notice of withdrawal was emailed to the registrar.  Another email was sent to Ms Burger’s attorneys that same day asking that they upload the notice of withdrawal onto CaseLines and provide proof of service of the notice of withdrawal on Moongate’s attorneys and proof of sending of the notice of withdrawal to Ms Burger.</w:t>
      </w:r>
    </w:p>
    <w:p w14:paraId="620F6727" w14:textId="46C98FF8" w:rsidR="00ED6C9F" w:rsidRDefault="009733CC" w:rsidP="009733CC">
      <w:pPr>
        <w:pStyle w:val="Indent"/>
        <w:numPr>
          <w:ilvl w:val="0"/>
          <w:numId w:val="0"/>
        </w:numPr>
        <w:ind w:left="850" w:hanging="850"/>
      </w:pPr>
      <w:r>
        <w:rPr>
          <w:szCs w:val="25"/>
        </w:rPr>
        <w:t>[28]</w:t>
      </w:r>
      <w:r>
        <w:rPr>
          <w:szCs w:val="25"/>
        </w:rPr>
        <w:tab/>
      </w:r>
      <w:r w:rsidR="00DB62AA">
        <w:t>Ms Burger’s attorneys duly did so.  The notice of withdrawal</w:t>
      </w:r>
      <w:r w:rsidR="00C24549">
        <w:t xml:space="preserve"> was uploaded onto CaseLines;  </w:t>
      </w:r>
      <w:r w:rsidR="00C24549">
        <w:rPr>
          <w:rStyle w:val="FootnoteReference"/>
        </w:rPr>
        <w:footnoteReference w:id="38"/>
      </w:r>
      <w:r w:rsidR="00C24549">
        <w:t>  it</w:t>
      </w:r>
      <w:r w:rsidR="00DB62AA">
        <w:t xml:space="preserve"> </w:t>
      </w:r>
      <w:r w:rsidR="0022697D">
        <w:t>had been</w:t>
      </w:r>
      <w:r w:rsidR="00DB62AA">
        <w:t xml:space="preserve"> served </w:t>
      </w:r>
      <w:r w:rsidR="00C24549">
        <w:t xml:space="preserve">by Ms Burger’s attorneys </w:t>
      </w:r>
      <w:r w:rsidR="00DB62AA">
        <w:t xml:space="preserve">via email on Ms Ramalho of Moongate’s attorneys </w:t>
      </w:r>
      <w:r w:rsidR="00C24549">
        <w:t>at 16h52 on 31 October 202</w:t>
      </w:r>
      <w:r w:rsidR="00D432D6">
        <w:t>2</w:t>
      </w:r>
      <w:r w:rsidR="00C24549">
        <w:t>;  </w:t>
      </w:r>
      <w:r w:rsidR="00C24549">
        <w:rPr>
          <w:rStyle w:val="FootnoteReference"/>
        </w:rPr>
        <w:footnoteReference w:id="39"/>
      </w:r>
      <w:r w:rsidR="00C24549">
        <w:t>  whereafter</w:t>
      </w:r>
      <w:r w:rsidR="00DB62AA">
        <w:t xml:space="preserve"> </w:t>
      </w:r>
      <w:r w:rsidR="00C24549">
        <w:t>it</w:t>
      </w:r>
      <w:r w:rsidR="00DB62AA">
        <w:t xml:space="preserve"> was sent </w:t>
      </w:r>
      <w:r w:rsidR="00C24549">
        <w:t xml:space="preserve">at 16h59 </w:t>
      </w:r>
      <w:r w:rsidR="00DB62AA">
        <w:t xml:space="preserve">by email to </w:t>
      </w:r>
      <w:r w:rsidR="00C24549">
        <w:t>both Ms Burger and Ms Swart.  </w:t>
      </w:r>
      <w:r w:rsidR="00C24549">
        <w:rPr>
          <w:rStyle w:val="FootnoteReference"/>
        </w:rPr>
        <w:footnoteReference w:id="40"/>
      </w:r>
    </w:p>
    <w:p w14:paraId="38FF4777" w14:textId="4CE9F785" w:rsidR="00C24549" w:rsidRDefault="009733CC" w:rsidP="009733CC">
      <w:pPr>
        <w:pStyle w:val="Indent"/>
        <w:numPr>
          <w:ilvl w:val="0"/>
          <w:numId w:val="0"/>
        </w:numPr>
        <w:ind w:left="850" w:hanging="850"/>
      </w:pPr>
      <w:r>
        <w:rPr>
          <w:szCs w:val="25"/>
        </w:rPr>
        <w:t>[29]</w:t>
      </w:r>
      <w:r>
        <w:rPr>
          <w:szCs w:val="25"/>
        </w:rPr>
        <w:tab/>
      </w:r>
      <w:r w:rsidR="00C24549">
        <w:t xml:space="preserve">On 1 November 2021, the matter was called at the allocated time and Ms Kabelo of Moongate’s attorneys appeared on behalf of Moongate.  She moved for an order in terms of the draft order that had been uploaded onto CaseLines that day.  </w:t>
      </w:r>
    </w:p>
    <w:p w14:paraId="75706E93" w14:textId="110A22E9" w:rsidR="00BB0006" w:rsidRDefault="009733CC" w:rsidP="009733CC">
      <w:pPr>
        <w:pStyle w:val="Indent"/>
        <w:numPr>
          <w:ilvl w:val="0"/>
          <w:numId w:val="0"/>
        </w:numPr>
        <w:ind w:left="850" w:hanging="850"/>
      </w:pPr>
      <w:r>
        <w:rPr>
          <w:szCs w:val="25"/>
        </w:rPr>
        <w:t>[30]</w:t>
      </w:r>
      <w:r>
        <w:rPr>
          <w:szCs w:val="25"/>
        </w:rPr>
        <w:tab/>
      </w:r>
      <w:r w:rsidR="00C24549">
        <w:t xml:space="preserve">I am satisfied that Moongate has made out a case for the money order sought, together with interest thereon.  The question of costs remains.  This is patently a case where Ms Burger has strung Moongate along for a protracted period, knowing full well that she was significantly </w:t>
      </w:r>
      <w:r w:rsidR="00C24549">
        <w:lastRenderedPageBreak/>
        <w:t xml:space="preserve">indebted to it for the rental and other amounts owed in terms of the lease.  </w:t>
      </w:r>
    </w:p>
    <w:p w14:paraId="38042A0E" w14:textId="2DF7A88E" w:rsidR="00C24549" w:rsidRDefault="009733CC" w:rsidP="009733CC">
      <w:pPr>
        <w:pStyle w:val="Indent"/>
        <w:numPr>
          <w:ilvl w:val="0"/>
          <w:numId w:val="0"/>
        </w:numPr>
        <w:ind w:left="850" w:hanging="850"/>
      </w:pPr>
      <w:r>
        <w:rPr>
          <w:szCs w:val="25"/>
        </w:rPr>
        <w:t>[31]</w:t>
      </w:r>
      <w:r>
        <w:rPr>
          <w:szCs w:val="25"/>
        </w:rPr>
        <w:tab/>
      </w:r>
      <w:r w:rsidR="00BB0006">
        <w:t>She put up the flimsiest of defences in her answering papers.  There was her contention that the lease was void because Moongate had been deregistered when it concluded the written lease.  I have dealt with this above.  She challenged Moongate’s assertion in its founding papers that it was the owner of the property, relying on a printout of electronic data which reflected this.  </w:t>
      </w:r>
      <w:r w:rsidR="00BB0006">
        <w:rPr>
          <w:rStyle w:val="FootnoteReference"/>
        </w:rPr>
        <w:footnoteReference w:id="41"/>
      </w:r>
      <w:r w:rsidR="00BB0006">
        <w:t xml:space="preserve">  She contended that on an evidentiary basis this was insufficient and that only a title deed would suffice.  </w:t>
      </w:r>
      <w:r w:rsidR="00BB0006">
        <w:rPr>
          <w:rStyle w:val="FootnoteReference"/>
        </w:rPr>
        <w:footnoteReference w:id="42"/>
      </w:r>
      <w:r w:rsidR="00BB0006">
        <w:t xml:space="preserve">  She presented no evidence, nor </w:t>
      </w:r>
      <w:r w:rsidR="0022697D">
        <w:t xml:space="preserve">did she </w:t>
      </w:r>
      <w:r w:rsidR="00BB0006">
        <w:t xml:space="preserve">even make a suggestion, </w:t>
      </w:r>
      <w:r w:rsidR="0022697D">
        <w:t>as to</w:t>
      </w:r>
      <w:r w:rsidR="00BB0006">
        <w:t xml:space="preserve"> whom the owner of the property might be if not Moongate.  In reply, Moongate provided the title deed.  </w:t>
      </w:r>
      <w:r w:rsidR="00BB0006">
        <w:rPr>
          <w:rStyle w:val="FootnoteReference"/>
        </w:rPr>
        <w:footnoteReference w:id="43"/>
      </w:r>
      <w:r w:rsidR="00BB0006">
        <w:t>  This caused unnecessary additional costs to be incurred.  Ms Burger raised non-joinder of the other inhabitants of the property as an issue.  </w:t>
      </w:r>
      <w:r w:rsidR="00BB0006">
        <w:rPr>
          <w:rStyle w:val="FootnoteReference"/>
        </w:rPr>
        <w:footnoteReference w:id="44"/>
      </w:r>
      <w:r w:rsidR="00BB0006">
        <w:t xml:space="preserve">  This point, although badly taken, in my view, </w:t>
      </w:r>
      <w:r w:rsidR="003A4E6D">
        <w:t>was rendered irrelevant when Ms Burger, Mr Burger, Ms Du Plessis and Ms Swart all moved out of the property.  A similarly badly taken point was the failure to serve the application on the municipality,  </w:t>
      </w:r>
      <w:r w:rsidR="003A4E6D">
        <w:rPr>
          <w:rStyle w:val="FootnoteReference"/>
        </w:rPr>
        <w:footnoteReference w:id="45"/>
      </w:r>
      <w:r w:rsidR="003A4E6D">
        <w:t>  which was also rendered moot when the</w:t>
      </w:r>
      <w:r w:rsidR="0022697D">
        <w:t xml:space="preserve"> property was vacated</w:t>
      </w:r>
      <w:r w:rsidR="003A4E6D">
        <w:t>.</w:t>
      </w:r>
    </w:p>
    <w:p w14:paraId="6222F83F" w14:textId="589D84AC" w:rsidR="003A4E6D" w:rsidRDefault="009733CC" w:rsidP="009733CC">
      <w:pPr>
        <w:pStyle w:val="Indent"/>
        <w:numPr>
          <w:ilvl w:val="0"/>
          <w:numId w:val="0"/>
        </w:numPr>
        <w:ind w:left="850" w:hanging="850"/>
      </w:pPr>
      <w:r>
        <w:rPr>
          <w:szCs w:val="25"/>
        </w:rPr>
        <w:lastRenderedPageBreak/>
        <w:t>[32]</w:t>
      </w:r>
      <w:r>
        <w:rPr>
          <w:szCs w:val="25"/>
        </w:rPr>
        <w:tab/>
      </w:r>
      <w:r w:rsidR="003A4E6D">
        <w:t xml:space="preserve">In short, there were no genuine disputes properly raised in the answering papers.  Ms Burger’s ploy was to delay Moongate in obtaining a final order, even requiring it to compel her to provide her practice note, heads of argument and list of authorities, </w:t>
      </w:r>
      <w:r w:rsidR="0022697D">
        <w:t>before</w:t>
      </w:r>
      <w:r w:rsidR="003A4E6D">
        <w:t xml:space="preserve"> the matter could proceed.  I take a particularly dim view of all of these stalling tactics.  </w:t>
      </w:r>
    </w:p>
    <w:p w14:paraId="565D528E" w14:textId="123A10A7" w:rsidR="003A4E6D" w:rsidRDefault="009733CC" w:rsidP="009733CC">
      <w:pPr>
        <w:pStyle w:val="Indent"/>
        <w:numPr>
          <w:ilvl w:val="0"/>
          <w:numId w:val="0"/>
        </w:numPr>
        <w:ind w:left="850" w:hanging="850"/>
      </w:pPr>
      <w:r>
        <w:rPr>
          <w:szCs w:val="25"/>
        </w:rPr>
        <w:t>[33]</w:t>
      </w:r>
      <w:r>
        <w:rPr>
          <w:szCs w:val="25"/>
        </w:rPr>
        <w:tab/>
      </w:r>
      <w:r w:rsidR="003A4E6D">
        <w:t>In terms of clause 28.1 of the lease agreement, Ms Burger is obliged to pay on demand to Moongate all legal costs as between attorney and own client incurred by Moongate in respect of any legal steps taken in terms of the lease agreement.  </w:t>
      </w:r>
      <w:r w:rsidR="003A4E6D">
        <w:rPr>
          <w:rStyle w:val="FootnoteReference"/>
        </w:rPr>
        <w:footnoteReference w:id="46"/>
      </w:r>
      <w:r w:rsidR="003A4E6D">
        <w:t xml:space="preserve">  I can find no reason why this part of their agreement should not be enforced by me.  Moongate </w:t>
      </w:r>
      <w:r w:rsidR="0022697D">
        <w:t>h</w:t>
      </w:r>
      <w:r w:rsidR="003A4E6D">
        <w:t>as sought the costs on the scale as between attorney and client.  </w:t>
      </w:r>
      <w:r w:rsidR="003A4E6D">
        <w:rPr>
          <w:rStyle w:val="FootnoteReference"/>
        </w:rPr>
        <w:footnoteReference w:id="47"/>
      </w:r>
      <w:r w:rsidR="003A4E6D">
        <w:t>  I am inclined to grant such costs.</w:t>
      </w:r>
    </w:p>
    <w:p w14:paraId="4EEA162E" w14:textId="3D318006" w:rsidR="003A4E6D" w:rsidRDefault="009733CC" w:rsidP="009733CC">
      <w:pPr>
        <w:pStyle w:val="Indent"/>
        <w:numPr>
          <w:ilvl w:val="0"/>
          <w:numId w:val="0"/>
        </w:numPr>
        <w:ind w:left="850" w:hanging="850"/>
      </w:pPr>
      <w:r>
        <w:rPr>
          <w:szCs w:val="25"/>
        </w:rPr>
        <w:t>[34]</w:t>
      </w:r>
      <w:r>
        <w:rPr>
          <w:szCs w:val="25"/>
        </w:rPr>
        <w:tab/>
      </w:r>
      <w:r w:rsidR="003A4E6D">
        <w:t>In the result, I make the following order:</w:t>
      </w:r>
    </w:p>
    <w:p w14:paraId="44885CC3" w14:textId="65F9DA1D" w:rsidR="003A4E6D" w:rsidRDefault="009733CC" w:rsidP="009733CC">
      <w:pPr>
        <w:pStyle w:val="Indent"/>
        <w:numPr>
          <w:ilvl w:val="0"/>
          <w:numId w:val="0"/>
        </w:numPr>
        <w:tabs>
          <w:tab w:val="left" w:pos="1701"/>
        </w:tabs>
        <w:ind w:left="1701" w:hanging="851"/>
      </w:pPr>
      <w:r>
        <w:t>[34.1]</w:t>
      </w:r>
      <w:r>
        <w:tab/>
      </w:r>
      <w:r w:rsidR="003A4E6D">
        <w:t>the respondent, Ms Sonica Burger, is</w:t>
      </w:r>
      <w:r w:rsidR="00D432D6">
        <w:t xml:space="preserve"> forthwith</w:t>
      </w:r>
      <w:r w:rsidR="003A4E6D">
        <w:t xml:space="preserve"> to make payment to the applicant, Moongate </w:t>
      </w:r>
      <w:r w:rsidR="00D432D6">
        <w:t xml:space="preserve">125 (Pty) Ltd, of the amount of R748 892,31, together with interest thereupon at 7% </w:t>
      </w:r>
      <w:r w:rsidR="00D432D6" w:rsidRPr="00A37365">
        <w:rPr>
          <w:i/>
          <w:iCs/>
        </w:rPr>
        <w:t>per annum</w:t>
      </w:r>
      <w:r w:rsidR="00D432D6">
        <w:t xml:space="preserve"> from 1 November 2021 to date of payment; and</w:t>
      </w:r>
    </w:p>
    <w:p w14:paraId="142EC966" w14:textId="65E38F35" w:rsidR="00D432D6" w:rsidRPr="006B2AE5" w:rsidRDefault="009733CC" w:rsidP="009733CC">
      <w:pPr>
        <w:pStyle w:val="Indent"/>
        <w:numPr>
          <w:ilvl w:val="0"/>
          <w:numId w:val="0"/>
        </w:numPr>
        <w:tabs>
          <w:tab w:val="left" w:pos="1701"/>
        </w:tabs>
        <w:ind w:left="1701" w:hanging="851"/>
      </w:pPr>
      <w:r w:rsidRPr="006B2AE5">
        <w:lastRenderedPageBreak/>
        <w:t>[34.2]</w:t>
      </w:r>
      <w:r w:rsidRPr="006B2AE5">
        <w:tab/>
      </w:r>
      <w:r w:rsidR="00D432D6">
        <w:t>the respondent is to pay the costs of this application on the scale as between attorney and client.</w:t>
      </w:r>
    </w:p>
    <w:p w14:paraId="59CA67B2" w14:textId="77777777" w:rsidR="00D432D6" w:rsidRDefault="00D432D6" w:rsidP="00D35BE7">
      <w:pPr>
        <w:pStyle w:val="Indent"/>
        <w:numPr>
          <w:ilvl w:val="0"/>
          <w:numId w:val="0"/>
        </w:numPr>
        <w:spacing w:after="0" w:line="240" w:lineRule="auto"/>
        <w:ind w:left="850" w:hanging="850"/>
        <w:jc w:val="right"/>
        <w:rPr>
          <w:b/>
        </w:rPr>
      </w:pPr>
    </w:p>
    <w:p w14:paraId="213E0688" w14:textId="77777777" w:rsidR="00D432D6" w:rsidRDefault="00D432D6" w:rsidP="00D35BE7">
      <w:pPr>
        <w:pStyle w:val="Indent"/>
        <w:numPr>
          <w:ilvl w:val="0"/>
          <w:numId w:val="0"/>
        </w:numPr>
        <w:spacing w:after="0" w:line="240" w:lineRule="auto"/>
        <w:ind w:left="850" w:hanging="850"/>
        <w:jc w:val="right"/>
        <w:rPr>
          <w:b/>
        </w:rPr>
      </w:pPr>
    </w:p>
    <w:p w14:paraId="40C6C1AF" w14:textId="0F9A1D25" w:rsidR="00D432D6" w:rsidRPr="00DA1E7B" w:rsidRDefault="00DA1E7B" w:rsidP="00D35BE7">
      <w:pPr>
        <w:pStyle w:val="Indent"/>
        <w:numPr>
          <w:ilvl w:val="0"/>
          <w:numId w:val="0"/>
        </w:numPr>
        <w:spacing w:after="0" w:line="240" w:lineRule="auto"/>
        <w:ind w:left="850" w:hanging="850"/>
        <w:jc w:val="right"/>
      </w:pPr>
      <w:r w:rsidRPr="00DA1E7B">
        <w:t>___________________________</w:t>
      </w:r>
    </w:p>
    <w:p w14:paraId="7E5C4064" w14:textId="638D5A1C" w:rsidR="00D35BE7" w:rsidRDefault="00D35BE7" w:rsidP="00D35BE7">
      <w:pPr>
        <w:pStyle w:val="Indent"/>
        <w:numPr>
          <w:ilvl w:val="0"/>
          <w:numId w:val="0"/>
        </w:numPr>
        <w:spacing w:after="0" w:line="240" w:lineRule="auto"/>
        <w:ind w:left="850" w:hanging="850"/>
        <w:jc w:val="right"/>
        <w:rPr>
          <w:b/>
        </w:rPr>
      </w:pPr>
      <w:r>
        <w:rPr>
          <w:b/>
        </w:rPr>
        <w:t>ANTHONY BISHOP</w:t>
      </w:r>
    </w:p>
    <w:p w14:paraId="341F3497" w14:textId="77777777" w:rsidR="00D35BE7" w:rsidRPr="00A50B11" w:rsidRDefault="00D35BE7" w:rsidP="00D35BE7">
      <w:pPr>
        <w:pStyle w:val="Indent"/>
        <w:numPr>
          <w:ilvl w:val="0"/>
          <w:numId w:val="0"/>
        </w:numPr>
        <w:spacing w:after="0" w:line="240" w:lineRule="auto"/>
        <w:ind w:left="850" w:hanging="850"/>
        <w:jc w:val="right"/>
      </w:pPr>
      <w:r w:rsidRPr="00A50B11">
        <w:t>Acting Judge of the High Court</w:t>
      </w:r>
    </w:p>
    <w:p w14:paraId="2C314CDD" w14:textId="77777777" w:rsidR="00D35BE7" w:rsidRPr="00A50B11" w:rsidRDefault="00D35BE7" w:rsidP="00D35BE7">
      <w:pPr>
        <w:pStyle w:val="Indent"/>
        <w:numPr>
          <w:ilvl w:val="0"/>
          <w:numId w:val="0"/>
        </w:numPr>
        <w:spacing w:after="0" w:line="240" w:lineRule="auto"/>
        <w:ind w:left="850" w:hanging="850"/>
        <w:jc w:val="right"/>
      </w:pPr>
      <w:r w:rsidRPr="00A50B11">
        <w:t>Johannesburg</w:t>
      </w:r>
    </w:p>
    <w:p w14:paraId="4FDBBAA3" w14:textId="77777777" w:rsidR="00DA1E7B" w:rsidRDefault="00DA1E7B" w:rsidP="00DA1E7B">
      <w:pPr>
        <w:pStyle w:val="Indent"/>
        <w:numPr>
          <w:ilvl w:val="0"/>
          <w:numId w:val="0"/>
        </w:numPr>
        <w:spacing w:after="120" w:line="240" w:lineRule="auto"/>
      </w:pPr>
    </w:p>
    <w:p w14:paraId="34A9C0DA" w14:textId="77777777" w:rsidR="00DA1E7B" w:rsidRDefault="00DA1E7B" w:rsidP="00D35BE7">
      <w:pPr>
        <w:pStyle w:val="Indent"/>
        <w:numPr>
          <w:ilvl w:val="0"/>
          <w:numId w:val="0"/>
        </w:numPr>
        <w:spacing w:after="120" w:line="240" w:lineRule="auto"/>
        <w:ind w:left="850" w:hanging="850"/>
      </w:pPr>
    </w:p>
    <w:p w14:paraId="246C4956" w14:textId="77777777" w:rsidR="00DA1E7B" w:rsidRDefault="00DA1E7B" w:rsidP="00D35BE7">
      <w:pPr>
        <w:pStyle w:val="Indent"/>
        <w:numPr>
          <w:ilvl w:val="0"/>
          <w:numId w:val="0"/>
        </w:numPr>
        <w:spacing w:after="120" w:line="240" w:lineRule="auto"/>
        <w:ind w:left="850" w:hanging="850"/>
      </w:pPr>
    </w:p>
    <w:p w14:paraId="45A1857A" w14:textId="77777777" w:rsidR="00DA1E7B" w:rsidRDefault="00DA1E7B" w:rsidP="00D35BE7">
      <w:pPr>
        <w:pStyle w:val="Indent"/>
        <w:numPr>
          <w:ilvl w:val="0"/>
          <w:numId w:val="0"/>
        </w:numPr>
        <w:spacing w:after="120" w:line="240" w:lineRule="auto"/>
        <w:ind w:left="850" w:hanging="850"/>
      </w:pPr>
    </w:p>
    <w:p w14:paraId="38FB0E61" w14:textId="77777777" w:rsidR="00DA1E7B" w:rsidRDefault="00DA1E7B" w:rsidP="00D35BE7">
      <w:pPr>
        <w:pStyle w:val="Indent"/>
        <w:numPr>
          <w:ilvl w:val="0"/>
          <w:numId w:val="0"/>
        </w:numPr>
        <w:spacing w:after="120" w:line="240" w:lineRule="auto"/>
        <w:ind w:left="850" w:hanging="850"/>
      </w:pPr>
    </w:p>
    <w:p w14:paraId="0CE3C90B" w14:textId="77777777" w:rsidR="00DA1E7B" w:rsidRDefault="00DA1E7B" w:rsidP="00D35BE7">
      <w:pPr>
        <w:pStyle w:val="Indent"/>
        <w:numPr>
          <w:ilvl w:val="0"/>
          <w:numId w:val="0"/>
        </w:numPr>
        <w:spacing w:after="120" w:line="240" w:lineRule="auto"/>
        <w:ind w:left="850" w:hanging="850"/>
      </w:pPr>
    </w:p>
    <w:p w14:paraId="550AB420" w14:textId="77777777" w:rsidR="00DA1E7B" w:rsidRDefault="00DA1E7B" w:rsidP="00D35BE7">
      <w:pPr>
        <w:pStyle w:val="Indent"/>
        <w:numPr>
          <w:ilvl w:val="0"/>
          <w:numId w:val="0"/>
        </w:numPr>
        <w:spacing w:after="120" w:line="240" w:lineRule="auto"/>
        <w:ind w:left="850" w:hanging="850"/>
      </w:pPr>
    </w:p>
    <w:p w14:paraId="065F76C5" w14:textId="77777777" w:rsidR="00DA1E7B" w:rsidRDefault="00DA1E7B" w:rsidP="00D35BE7">
      <w:pPr>
        <w:pStyle w:val="Indent"/>
        <w:numPr>
          <w:ilvl w:val="0"/>
          <w:numId w:val="0"/>
        </w:numPr>
        <w:spacing w:after="120" w:line="240" w:lineRule="auto"/>
        <w:ind w:left="850" w:hanging="850"/>
      </w:pPr>
    </w:p>
    <w:p w14:paraId="42FE11E4" w14:textId="77777777" w:rsidR="00DA1E7B" w:rsidRDefault="00DA1E7B" w:rsidP="00D35BE7">
      <w:pPr>
        <w:pStyle w:val="Indent"/>
        <w:numPr>
          <w:ilvl w:val="0"/>
          <w:numId w:val="0"/>
        </w:numPr>
        <w:spacing w:after="120" w:line="240" w:lineRule="auto"/>
        <w:ind w:left="850" w:hanging="850"/>
      </w:pPr>
    </w:p>
    <w:p w14:paraId="52D52808" w14:textId="77777777" w:rsidR="00DA1E7B" w:rsidRDefault="00DA1E7B" w:rsidP="00D35BE7">
      <w:pPr>
        <w:pStyle w:val="Indent"/>
        <w:numPr>
          <w:ilvl w:val="0"/>
          <w:numId w:val="0"/>
        </w:numPr>
        <w:spacing w:after="120" w:line="240" w:lineRule="auto"/>
        <w:ind w:left="850" w:hanging="850"/>
      </w:pPr>
    </w:p>
    <w:p w14:paraId="4568EFA0" w14:textId="77777777" w:rsidR="00DA1E7B" w:rsidRDefault="00DA1E7B" w:rsidP="00D35BE7">
      <w:pPr>
        <w:pStyle w:val="Indent"/>
        <w:numPr>
          <w:ilvl w:val="0"/>
          <w:numId w:val="0"/>
        </w:numPr>
        <w:spacing w:after="120" w:line="240" w:lineRule="auto"/>
        <w:ind w:left="850" w:hanging="850"/>
      </w:pPr>
    </w:p>
    <w:p w14:paraId="3A7883D9" w14:textId="77777777" w:rsidR="00DA1E7B" w:rsidRDefault="00DA1E7B" w:rsidP="00D35BE7">
      <w:pPr>
        <w:pStyle w:val="Indent"/>
        <w:numPr>
          <w:ilvl w:val="0"/>
          <w:numId w:val="0"/>
        </w:numPr>
        <w:spacing w:after="120" w:line="240" w:lineRule="auto"/>
        <w:ind w:left="850" w:hanging="850"/>
      </w:pPr>
    </w:p>
    <w:p w14:paraId="53A3E7E6" w14:textId="77777777" w:rsidR="00DA1E7B" w:rsidRDefault="00DA1E7B" w:rsidP="00D35BE7">
      <w:pPr>
        <w:pStyle w:val="Indent"/>
        <w:numPr>
          <w:ilvl w:val="0"/>
          <w:numId w:val="0"/>
        </w:numPr>
        <w:spacing w:after="120" w:line="240" w:lineRule="auto"/>
        <w:ind w:left="850" w:hanging="850"/>
      </w:pPr>
    </w:p>
    <w:p w14:paraId="08E6B0D9" w14:textId="77777777" w:rsidR="00DA1E7B" w:rsidRDefault="00DA1E7B" w:rsidP="00D35BE7">
      <w:pPr>
        <w:pStyle w:val="Indent"/>
        <w:numPr>
          <w:ilvl w:val="0"/>
          <w:numId w:val="0"/>
        </w:numPr>
        <w:spacing w:after="120" w:line="240" w:lineRule="auto"/>
        <w:ind w:left="850" w:hanging="850"/>
      </w:pPr>
    </w:p>
    <w:p w14:paraId="4E75E9E7" w14:textId="77777777" w:rsidR="00DA1E7B" w:rsidRDefault="00DA1E7B" w:rsidP="00D35BE7">
      <w:pPr>
        <w:pStyle w:val="Indent"/>
        <w:numPr>
          <w:ilvl w:val="0"/>
          <w:numId w:val="0"/>
        </w:numPr>
        <w:spacing w:after="120" w:line="240" w:lineRule="auto"/>
        <w:ind w:left="850" w:hanging="850"/>
      </w:pPr>
    </w:p>
    <w:p w14:paraId="09376749" w14:textId="77777777" w:rsidR="00DA1E7B" w:rsidRDefault="00DA1E7B" w:rsidP="00D35BE7">
      <w:pPr>
        <w:pStyle w:val="Indent"/>
        <w:numPr>
          <w:ilvl w:val="0"/>
          <w:numId w:val="0"/>
        </w:numPr>
        <w:spacing w:after="120" w:line="240" w:lineRule="auto"/>
        <w:ind w:left="850" w:hanging="850"/>
      </w:pPr>
    </w:p>
    <w:p w14:paraId="71C55B76" w14:textId="77777777" w:rsidR="00DA1E7B" w:rsidRDefault="00DA1E7B" w:rsidP="00D35BE7">
      <w:pPr>
        <w:pStyle w:val="Indent"/>
        <w:numPr>
          <w:ilvl w:val="0"/>
          <w:numId w:val="0"/>
        </w:numPr>
        <w:spacing w:after="120" w:line="240" w:lineRule="auto"/>
        <w:ind w:left="850" w:hanging="850"/>
      </w:pPr>
    </w:p>
    <w:p w14:paraId="6E2AA31D" w14:textId="77777777" w:rsidR="00DA1E7B" w:rsidRDefault="00DA1E7B" w:rsidP="00D35BE7">
      <w:pPr>
        <w:pStyle w:val="Indent"/>
        <w:numPr>
          <w:ilvl w:val="0"/>
          <w:numId w:val="0"/>
        </w:numPr>
        <w:spacing w:after="120" w:line="240" w:lineRule="auto"/>
        <w:ind w:left="850" w:hanging="850"/>
      </w:pPr>
    </w:p>
    <w:p w14:paraId="19294510" w14:textId="77777777" w:rsidR="00DA1E7B" w:rsidRDefault="00DA1E7B" w:rsidP="00D35BE7">
      <w:pPr>
        <w:pStyle w:val="Indent"/>
        <w:numPr>
          <w:ilvl w:val="0"/>
          <w:numId w:val="0"/>
        </w:numPr>
        <w:spacing w:after="120" w:line="240" w:lineRule="auto"/>
        <w:ind w:left="850" w:hanging="850"/>
      </w:pPr>
    </w:p>
    <w:p w14:paraId="654580A7" w14:textId="77777777" w:rsidR="00DA1E7B" w:rsidRDefault="00DA1E7B" w:rsidP="00D35BE7">
      <w:pPr>
        <w:pStyle w:val="Indent"/>
        <w:numPr>
          <w:ilvl w:val="0"/>
          <w:numId w:val="0"/>
        </w:numPr>
        <w:spacing w:after="120" w:line="240" w:lineRule="auto"/>
        <w:ind w:left="850" w:hanging="850"/>
      </w:pPr>
    </w:p>
    <w:p w14:paraId="6B4260BD" w14:textId="77777777" w:rsidR="00DA1E7B" w:rsidRDefault="00DA1E7B" w:rsidP="00D35BE7">
      <w:pPr>
        <w:pStyle w:val="Indent"/>
        <w:numPr>
          <w:ilvl w:val="0"/>
          <w:numId w:val="0"/>
        </w:numPr>
        <w:spacing w:after="120" w:line="240" w:lineRule="auto"/>
        <w:ind w:left="850" w:hanging="850"/>
      </w:pPr>
    </w:p>
    <w:p w14:paraId="72B92145" w14:textId="77777777" w:rsidR="00DA1E7B" w:rsidRDefault="00DA1E7B" w:rsidP="00D35BE7">
      <w:pPr>
        <w:pStyle w:val="Indent"/>
        <w:numPr>
          <w:ilvl w:val="0"/>
          <w:numId w:val="0"/>
        </w:numPr>
        <w:spacing w:after="120" w:line="240" w:lineRule="auto"/>
        <w:ind w:left="850" w:hanging="850"/>
      </w:pPr>
    </w:p>
    <w:p w14:paraId="4A47A066" w14:textId="77777777" w:rsidR="00DA1E7B" w:rsidRDefault="00DA1E7B" w:rsidP="00D35BE7">
      <w:pPr>
        <w:pStyle w:val="Indent"/>
        <w:numPr>
          <w:ilvl w:val="0"/>
          <w:numId w:val="0"/>
        </w:numPr>
        <w:spacing w:after="120" w:line="240" w:lineRule="auto"/>
        <w:ind w:left="850" w:hanging="850"/>
      </w:pPr>
    </w:p>
    <w:p w14:paraId="33FE464E" w14:textId="77777777" w:rsidR="00DA1E7B" w:rsidRDefault="00DA1E7B" w:rsidP="00D35BE7">
      <w:pPr>
        <w:pStyle w:val="Indent"/>
        <w:numPr>
          <w:ilvl w:val="0"/>
          <w:numId w:val="0"/>
        </w:numPr>
        <w:spacing w:after="120" w:line="240" w:lineRule="auto"/>
        <w:ind w:left="850" w:hanging="850"/>
      </w:pPr>
    </w:p>
    <w:p w14:paraId="5CD29345" w14:textId="77777777" w:rsidR="00DA1E7B" w:rsidRDefault="00DA1E7B" w:rsidP="00D35BE7">
      <w:pPr>
        <w:pStyle w:val="Indent"/>
        <w:numPr>
          <w:ilvl w:val="0"/>
          <w:numId w:val="0"/>
        </w:numPr>
        <w:spacing w:after="120" w:line="240" w:lineRule="auto"/>
        <w:ind w:left="850" w:hanging="850"/>
      </w:pPr>
    </w:p>
    <w:p w14:paraId="16D8DEA8" w14:textId="007775E5" w:rsidR="00D35BE7" w:rsidRDefault="00D35BE7" w:rsidP="00DA1E7B">
      <w:pPr>
        <w:pStyle w:val="Indent"/>
        <w:numPr>
          <w:ilvl w:val="0"/>
          <w:numId w:val="0"/>
        </w:numPr>
        <w:spacing w:after="0" w:line="240" w:lineRule="auto"/>
        <w:ind w:left="850" w:hanging="850"/>
      </w:pPr>
      <w:r w:rsidRPr="00DA1E7B">
        <w:rPr>
          <w:b/>
        </w:rPr>
        <w:lastRenderedPageBreak/>
        <w:t>Heard</w:t>
      </w:r>
      <w:r>
        <w:t>:</w:t>
      </w:r>
      <w:r>
        <w:tab/>
      </w:r>
      <w:r>
        <w:tab/>
      </w:r>
      <w:r>
        <w:tab/>
      </w:r>
      <w:r>
        <w:tab/>
      </w:r>
      <w:r>
        <w:tab/>
      </w:r>
      <w:r>
        <w:tab/>
      </w:r>
      <w:r w:rsidRPr="00D432D6">
        <w:t xml:space="preserve">1 </w:t>
      </w:r>
      <w:r w:rsidR="00D432D6" w:rsidRPr="00D432D6">
        <w:t xml:space="preserve">November </w:t>
      </w:r>
      <w:r w:rsidRPr="00D432D6">
        <w:t>2022</w:t>
      </w:r>
    </w:p>
    <w:p w14:paraId="6A83FAD6" w14:textId="49E0E17B" w:rsidR="00DA1E7B" w:rsidRDefault="00DA1E7B" w:rsidP="00DA1E7B">
      <w:pPr>
        <w:pStyle w:val="Indent"/>
        <w:numPr>
          <w:ilvl w:val="0"/>
          <w:numId w:val="0"/>
        </w:numPr>
        <w:spacing w:after="0" w:line="240" w:lineRule="auto"/>
        <w:ind w:left="850" w:hanging="850"/>
      </w:pPr>
      <w:r w:rsidRPr="00DA1E7B">
        <w:rPr>
          <w:b/>
        </w:rPr>
        <w:t>Judgment</w:t>
      </w:r>
      <w:r>
        <w:t>:</w:t>
      </w:r>
      <w:r>
        <w:tab/>
      </w:r>
      <w:r>
        <w:tab/>
      </w:r>
      <w:r>
        <w:tab/>
      </w:r>
      <w:r>
        <w:tab/>
      </w:r>
      <w:r>
        <w:tab/>
        <w:t>4 September 2023</w:t>
      </w:r>
    </w:p>
    <w:p w14:paraId="401705CE" w14:textId="77777777" w:rsidR="00DA1E7B" w:rsidRDefault="00DA1E7B" w:rsidP="00DA1E7B">
      <w:pPr>
        <w:pStyle w:val="Indent"/>
        <w:numPr>
          <w:ilvl w:val="0"/>
          <w:numId w:val="0"/>
        </w:numPr>
        <w:spacing w:after="0" w:line="240" w:lineRule="auto"/>
        <w:ind w:left="850" w:hanging="850"/>
      </w:pPr>
    </w:p>
    <w:p w14:paraId="0B834841" w14:textId="46779C63" w:rsidR="00DA1E7B" w:rsidRPr="00DA1E7B" w:rsidRDefault="00DA1E7B" w:rsidP="00DA1E7B">
      <w:pPr>
        <w:pStyle w:val="Indent"/>
        <w:numPr>
          <w:ilvl w:val="0"/>
          <w:numId w:val="0"/>
        </w:numPr>
        <w:spacing w:after="0" w:line="240" w:lineRule="auto"/>
        <w:ind w:left="850" w:hanging="850"/>
        <w:rPr>
          <w:u w:val="single"/>
        </w:rPr>
      </w:pPr>
      <w:r w:rsidRPr="00DA1E7B">
        <w:rPr>
          <w:u w:val="single"/>
        </w:rPr>
        <w:t>Appearances</w:t>
      </w:r>
    </w:p>
    <w:p w14:paraId="40986F95" w14:textId="77777777" w:rsidR="00DA1E7B" w:rsidRDefault="00DA1E7B" w:rsidP="00DA1E7B">
      <w:pPr>
        <w:pStyle w:val="Indent"/>
        <w:numPr>
          <w:ilvl w:val="0"/>
          <w:numId w:val="0"/>
        </w:numPr>
        <w:spacing w:after="0" w:line="240" w:lineRule="auto"/>
        <w:ind w:left="850" w:hanging="850"/>
        <w:rPr>
          <w:b/>
        </w:rPr>
      </w:pPr>
    </w:p>
    <w:p w14:paraId="4776E211" w14:textId="792FFA0B" w:rsidR="00D35BE7" w:rsidRDefault="00DA1E7B" w:rsidP="00DA1E7B">
      <w:pPr>
        <w:pStyle w:val="Indent"/>
        <w:numPr>
          <w:ilvl w:val="0"/>
          <w:numId w:val="0"/>
        </w:numPr>
        <w:spacing w:after="0" w:line="240" w:lineRule="auto"/>
        <w:ind w:left="850" w:hanging="850"/>
      </w:pPr>
      <w:r w:rsidRPr="00DA1E7B">
        <w:rPr>
          <w:b/>
        </w:rPr>
        <w:t>For Applicant</w:t>
      </w:r>
      <w:r w:rsidR="00D35BE7" w:rsidRPr="00A50B11">
        <w:t>:</w:t>
      </w:r>
      <w:r>
        <w:tab/>
      </w:r>
      <w:r>
        <w:tab/>
      </w:r>
      <w:r w:rsidR="00D35BE7" w:rsidRPr="00A50B11">
        <w:tab/>
      </w:r>
      <w:r w:rsidR="00D35BE7">
        <w:tab/>
      </w:r>
      <w:r w:rsidR="00D432D6">
        <w:t>Ms Sekgothadi Kabelo</w:t>
      </w:r>
    </w:p>
    <w:p w14:paraId="0FD07E73" w14:textId="166155A2" w:rsidR="00DA1E7B" w:rsidRPr="00A50B11" w:rsidRDefault="00DA1E7B" w:rsidP="00DA1E7B">
      <w:pPr>
        <w:pStyle w:val="Indent"/>
        <w:numPr>
          <w:ilvl w:val="0"/>
          <w:numId w:val="0"/>
        </w:numPr>
        <w:spacing w:after="0" w:line="240" w:lineRule="auto"/>
        <w:ind w:left="850" w:hanging="850"/>
      </w:pPr>
      <w:r w:rsidRPr="00DA1E7B">
        <w:rPr>
          <w:b/>
        </w:rPr>
        <w:t>Instructed by</w:t>
      </w:r>
      <w:r w:rsidRPr="00A50B11">
        <w:t>:</w:t>
      </w:r>
      <w:r w:rsidRPr="00A50B11">
        <w:tab/>
      </w:r>
      <w:r>
        <w:tab/>
      </w:r>
      <w:r>
        <w:tab/>
      </w:r>
      <w:r>
        <w:tab/>
        <w:t>KWA Attorneys</w:t>
      </w:r>
    </w:p>
    <w:p w14:paraId="1504EE20" w14:textId="77777777" w:rsidR="00DA1E7B" w:rsidRDefault="00DA1E7B" w:rsidP="00DA1E7B">
      <w:pPr>
        <w:pStyle w:val="Indent"/>
        <w:numPr>
          <w:ilvl w:val="0"/>
          <w:numId w:val="0"/>
        </w:numPr>
        <w:spacing w:after="0" w:line="240" w:lineRule="auto"/>
        <w:ind w:left="850" w:hanging="850"/>
        <w:rPr>
          <w:b/>
        </w:rPr>
      </w:pPr>
    </w:p>
    <w:p w14:paraId="3A119312" w14:textId="75B75356" w:rsidR="00D35BE7" w:rsidRDefault="00DA1E7B" w:rsidP="00DA1E7B">
      <w:pPr>
        <w:pStyle w:val="Indent"/>
        <w:numPr>
          <w:ilvl w:val="0"/>
          <w:numId w:val="0"/>
        </w:numPr>
        <w:spacing w:after="0" w:line="240" w:lineRule="auto"/>
        <w:ind w:left="850" w:hanging="850"/>
      </w:pPr>
      <w:r w:rsidRPr="00DA1E7B">
        <w:rPr>
          <w:b/>
        </w:rPr>
        <w:t>For</w:t>
      </w:r>
      <w:r w:rsidR="00D35BE7" w:rsidRPr="00DA1E7B">
        <w:rPr>
          <w:b/>
        </w:rPr>
        <w:t xml:space="preserve"> </w:t>
      </w:r>
      <w:r w:rsidRPr="00DA1E7B">
        <w:rPr>
          <w:b/>
        </w:rPr>
        <w:t>R</w:t>
      </w:r>
      <w:r w:rsidR="00D432D6" w:rsidRPr="00DA1E7B">
        <w:rPr>
          <w:b/>
        </w:rPr>
        <w:t>espondent</w:t>
      </w:r>
      <w:r w:rsidR="00D35BE7">
        <w:t>:</w:t>
      </w:r>
      <w:r w:rsidR="00D35BE7">
        <w:tab/>
      </w:r>
      <w:r w:rsidR="00E87EAD">
        <w:tab/>
      </w:r>
      <w:r>
        <w:tab/>
      </w:r>
      <w:r>
        <w:tab/>
      </w:r>
      <w:r w:rsidR="00D432D6">
        <w:t>None</w:t>
      </w:r>
    </w:p>
    <w:p w14:paraId="058BAB87" w14:textId="471B4BD2" w:rsidR="00DA1E7B" w:rsidRDefault="00DA1E7B" w:rsidP="00DA1E7B">
      <w:pPr>
        <w:pStyle w:val="Indent"/>
        <w:numPr>
          <w:ilvl w:val="0"/>
          <w:numId w:val="0"/>
        </w:numPr>
        <w:spacing w:after="0" w:line="240" w:lineRule="auto"/>
        <w:ind w:left="4320" w:hanging="4320"/>
      </w:pPr>
      <w:r w:rsidRPr="00DA1E7B">
        <w:rPr>
          <w:b/>
        </w:rPr>
        <w:t>Instructed by</w:t>
      </w:r>
      <w:r>
        <w:t>:</w:t>
      </w:r>
      <w:r>
        <w:tab/>
        <w:t>None</w:t>
      </w:r>
    </w:p>
    <w:p w14:paraId="5ED3FC87" w14:textId="77777777" w:rsidR="00DA1E7B" w:rsidRDefault="00DA1E7B" w:rsidP="00D35BE7">
      <w:pPr>
        <w:pStyle w:val="Indent"/>
        <w:numPr>
          <w:ilvl w:val="0"/>
          <w:numId w:val="0"/>
        </w:numPr>
        <w:spacing w:after="120" w:line="240" w:lineRule="auto"/>
        <w:ind w:left="850" w:hanging="850"/>
      </w:pPr>
    </w:p>
    <w:p w14:paraId="4F43F3AD" w14:textId="77777777" w:rsidR="00D35BE7" w:rsidRDefault="00D35BE7" w:rsidP="00D35BE7"/>
    <w:p w14:paraId="7CE82164" w14:textId="77777777" w:rsidR="0010583E" w:rsidRDefault="0010583E"/>
    <w:sectPr w:rsidR="0010583E" w:rsidSect="00CC0D16">
      <w:headerReference w:type="default" r:id="rId8"/>
      <w:headerReference w:type="first" r:id="rId9"/>
      <w:pgSz w:w="11906" w:h="16838" w:code="9"/>
      <w:pgMar w:top="1429" w:right="1729" w:bottom="1429" w:left="1582" w:header="0" w:footer="720" w:gutter="0"/>
      <w:cols w:space="720"/>
      <w:titlePg/>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6B562" w14:textId="77777777" w:rsidR="007C2970" w:rsidRDefault="007C2970" w:rsidP="00D35BE7">
      <w:pPr>
        <w:spacing w:after="0" w:line="240" w:lineRule="auto"/>
      </w:pPr>
      <w:r>
        <w:separator/>
      </w:r>
    </w:p>
  </w:endnote>
  <w:endnote w:type="continuationSeparator" w:id="0">
    <w:p w14:paraId="373B582D" w14:textId="77777777" w:rsidR="007C2970" w:rsidRDefault="007C2970" w:rsidP="00D3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07922" w14:textId="77777777" w:rsidR="007C2970" w:rsidRDefault="007C2970" w:rsidP="00D35BE7">
      <w:pPr>
        <w:spacing w:after="0" w:line="240" w:lineRule="auto"/>
      </w:pPr>
      <w:r>
        <w:separator/>
      </w:r>
    </w:p>
  </w:footnote>
  <w:footnote w:type="continuationSeparator" w:id="0">
    <w:p w14:paraId="44A870FC" w14:textId="77777777" w:rsidR="007C2970" w:rsidRDefault="007C2970" w:rsidP="00D35BE7">
      <w:pPr>
        <w:spacing w:after="0" w:line="240" w:lineRule="auto"/>
      </w:pPr>
      <w:r>
        <w:continuationSeparator/>
      </w:r>
    </w:p>
  </w:footnote>
  <w:footnote w:id="1">
    <w:p w14:paraId="7DCCE0D8" w14:textId="1911FD18" w:rsidR="008224E6" w:rsidRPr="008224E6" w:rsidRDefault="008224E6">
      <w:pPr>
        <w:pStyle w:val="FootnoteText"/>
        <w:rPr>
          <w:lang w:val="en-US"/>
        </w:rPr>
      </w:pPr>
      <w:r>
        <w:rPr>
          <w:rStyle w:val="FootnoteReference"/>
        </w:rPr>
        <w:footnoteRef/>
      </w:r>
      <w:r>
        <w:t xml:space="preserve"> </w:t>
      </w:r>
      <w:r>
        <w:rPr>
          <w:lang w:val="en-US"/>
        </w:rPr>
        <w:tab/>
        <w:t>CaseLines 003-3 to 003-4, par 11 to 12, read with 003-22 to 003-33 (annexure FA4)</w:t>
      </w:r>
      <w:r w:rsidR="00AD4CED">
        <w:rPr>
          <w:lang w:val="en-US"/>
        </w:rPr>
        <w:t>.</w:t>
      </w:r>
    </w:p>
  </w:footnote>
  <w:footnote w:id="2">
    <w:p w14:paraId="2067A539" w14:textId="35AF16FF" w:rsidR="00AD4CED" w:rsidRPr="00AD4CED" w:rsidRDefault="00AD4CED">
      <w:pPr>
        <w:pStyle w:val="FootnoteText"/>
        <w:rPr>
          <w:lang w:val="en-US"/>
        </w:rPr>
      </w:pPr>
      <w:r>
        <w:rPr>
          <w:rStyle w:val="FootnoteReference"/>
        </w:rPr>
        <w:footnoteRef/>
      </w:r>
      <w:r>
        <w:t xml:space="preserve"> </w:t>
      </w:r>
      <w:r>
        <w:rPr>
          <w:lang w:val="en-US"/>
        </w:rPr>
        <w:tab/>
        <w:t>CaseLines 010-8, par 14.1.  See also caselines 010-7, par 12.2.</w:t>
      </w:r>
    </w:p>
  </w:footnote>
  <w:footnote w:id="3">
    <w:p w14:paraId="15934915" w14:textId="173D4E25" w:rsidR="00AD4CED" w:rsidRPr="00AD4CED" w:rsidRDefault="00AD4CED">
      <w:pPr>
        <w:pStyle w:val="FootnoteText"/>
        <w:rPr>
          <w:lang w:val="en-US"/>
        </w:rPr>
      </w:pPr>
      <w:r>
        <w:rPr>
          <w:rStyle w:val="FootnoteReference"/>
        </w:rPr>
        <w:footnoteRef/>
      </w:r>
      <w:r>
        <w:t xml:space="preserve"> </w:t>
      </w:r>
      <w:r>
        <w:rPr>
          <w:lang w:val="en-US"/>
        </w:rPr>
        <w:tab/>
        <w:t>CaseLines 003-2, par 4, read with 003-11 to 003-19 (annexure FA19).</w:t>
      </w:r>
    </w:p>
  </w:footnote>
  <w:footnote w:id="4">
    <w:p w14:paraId="4F31AFE7" w14:textId="21EC0D35" w:rsidR="009650BC" w:rsidRPr="009650BC" w:rsidRDefault="009650BC">
      <w:pPr>
        <w:pStyle w:val="FootnoteText"/>
        <w:rPr>
          <w:lang w:val="en-US"/>
        </w:rPr>
      </w:pPr>
      <w:r>
        <w:rPr>
          <w:rStyle w:val="FootnoteReference"/>
        </w:rPr>
        <w:footnoteRef/>
      </w:r>
      <w:r>
        <w:t xml:space="preserve"> </w:t>
      </w:r>
      <w:r>
        <w:rPr>
          <w:lang w:val="en-US"/>
        </w:rPr>
        <w:tab/>
        <w:t>CaseLines 010-7, par 10.1.</w:t>
      </w:r>
    </w:p>
  </w:footnote>
  <w:footnote w:id="5">
    <w:p w14:paraId="3085711E" w14:textId="08F5F6DB" w:rsidR="00AD4CED" w:rsidRPr="00AD4CED" w:rsidRDefault="00AD4CED">
      <w:pPr>
        <w:pStyle w:val="FootnoteText"/>
        <w:rPr>
          <w:lang w:val="en-US"/>
        </w:rPr>
      </w:pPr>
      <w:r>
        <w:rPr>
          <w:rStyle w:val="FootnoteReference"/>
        </w:rPr>
        <w:footnoteRef/>
      </w:r>
      <w:r>
        <w:t xml:space="preserve"> </w:t>
      </w:r>
      <w:r>
        <w:rPr>
          <w:lang w:val="en-US"/>
        </w:rPr>
        <w:tab/>
        <w:t>CaseLines 00</w:t>
      </w:r>
      <w:r w:rsidR="009650BC">
        <w:rPr>
          <w:lang w:val="en-US"/>
        </w:rPr>
        <w:t>3-11.</w:t>
      </w:r>
    </w:p>
  </w:footnote>
  <w:footnote w:id="6">
    <w:p w14:paraId="430F8B5B" w14:textId="734A0608" w:rsidR="005A40E8" w:rsidRPr="005A40E8" w:rsidRDefault="005A40E8">
      <w:pPr>
        <w:pStyle w:val="FootnoteText"/>
        <w:rPr>
          <w:lang w:val="en-US"/>
        </w:rPr>
      </w:pPr>
      <w:r>
        <w:rPr>
          <w:rStyle w:val="FootnoteReference"/>
        </w:rPr>
        <w:footnoteRef/>
      </w:r>
      <w:r>
        <w:t xml:space="preserve"> </w:t>
      </w:r>
      <w:r>
        <w:rPr>
          <w:lang w:val="en-US"/>
        </w:rPr>
        <w:tab/>
        <w:t>CaseLines 013-9, par 23.  See also caselines 012-6 to 012-7, par 11.</w:t>
      </w:r>
    </w:p>
  </w:footnote>
  <w:footnote w:id="7">
    <w:p w14:paraId="79074935" w14:textId="24930C6A" w:rsidR="006B2AE5" w:rsidRPr="006B2AE5" w:rsidRDefault="006B2AE5">
      <w:pPr>
        <w:pStyle w:val="FootnoteText"/>
        <w:rPr>
          <w:lang w:val="en-US"/>
        </w:rPr>
      </w:pPr>
      <w:r>
        <w:rPr>
          <w:rStyle w:val="FootnoteReference"/>
        </w:rPr>
        <w:footnoteRef/>
      </w:r>
      <w:r>
        <w:t xml:space="preserve"> </w:t>
      </w:r>
      <w:r>
        <w:rPr>
          <w:lang w:val="en-US"/>
        </w:rPr>
        <w:tab/>
        <w:t>CaseLines 0</w:t>
      </w:r>
      <w:r w:rsidR="000A39B2">
        <w:rPr>
          <w:lang w:val="en-US"/>
        </w:rPr>
        <w:t xml:space="preserve">03-5, par 15.  </w:t>
      </w:r>
    </w:p>
  </w:footnote>
  <w:footnote w:id="8">
    <w:p w14:paraId="02451550" w14:textId="47046EAE" w:rsidR="000A39B2" w:rsidRPr="000A39B2" w:rsidRDefault="000A39B2">
      <w:pPr>
        <w:pStyle w:val="FootnoteText"/>
        <w:rPr>
          <w:lang w:val="en-US"/>
        </w:rPr>
      </w:pPr>
      <w:r>
        <w:rPr>
          <w:rStyle w:val="FootnoteReference"/>
        </w:rPr>
        <w:footnoteRef/>
      </w:r>
      <w:r>
        <w:t xml:space="preserve"> </w:t>
      </w:r>
      <w:r>
        <w:rPr>
          <w:lang w:val="en-US"/>
        </w:rPr>
        <w:tab/>
        <w:t>CaseLines 010-7, par 12.</w:t>
      </w:r>
    </w:p>
  </w:footnote>
  <w:footnote w:id="9">
    <w:p w14:paraId="14BF26E9" w14:textId="50818698" w:rsidR="00717A88" w:rsidRPr="00717A88" w:rsidRDefault="00717A88">
      <w:pPr>
        <w:pStyle w:val="FootnoteText"/>
        <w:rPr>
          <w:lang w:val="en-US"/>
        </w:rPr>
      </w:pPr>
      <w:r>
        <w:rPr>
          <w:rStyle w:val="FootnoteReference"/>
        </w:rPr>
        <w:footnoteRef/>
      </w:r>
      <w:r>
        <w:t xml:space="preserve"> </w:t>
      </w:r>
      <w:r>
        <w:rPr>
          <w:lang w:val="en-US"/>
        </w:rPr>
        <w:tab/>
        <w:t>CaseLines 003-5, par 17, as read with caselines 003-35, par 6 (of annexure FA5).</w:t>
      </w:r>
    </w:p>
  </w:footnote>
  <w:footnote w:id="10">
    <w:p w14:paraId="27E9012B" w14:textId="49AAA0F8" w:rsidR="00717A88" w:rsidRPr="00717A88" w:rsidRDefault="00717A88">
      <w:pPr>
        <w:pStyle w:val="FootnoteText"/>
        <w:rPr>
          <w:lang w:val="en-US"/>
        </w:rPr>
      </w:pPr>
      <w:r>
        <w:rPr>
          <w:rStyle w:val="FootnoteReference"/>
        </w:rPr>
        <w:footnoteRef/>
      </w:r>
      <w:r>
        <w:t xml:space="preserve"> </w:t>
      </w:r>
      <w:r>
        <w:rPr>
          <w:lang w:val="en-US"/>
        </w:rPr>
        <w:tab/>
        <w:t>CaseLines 010-10 to 010-11, par 20.</w:t>
      </w:r>
    </w:p>
  </w:footnote>
  <w:footnote w:id="11">
    <w:p w14:paraId="7F647F59" w14:textId="7E81A567" w:rsidR="00A85D1D" w:rsidRPr="00A85D1D" w:rsidRDefault="00A85D1D">
      <w:pPr>
        <w:pStyle w:val="FootnoteText"/>
        <w:rPr>
          <w:lang w:val="en-US"/>
        </w:rPr>
      </w:pPr>
      <w:r>
        <w:rPr>
          <w:rStyle w:val="FootnoteReference"/>
        </w:rPr>
        <w:footnoteRef/>
      </w:r>
      <w:r>
        <w:t xml:space="preserve"> </w:t>
      </w:r>
      <w:r>
        <w:rPr>
          <w:lang w:val="en-US"/>
        </w:rPr>
        <w:tab/>
        <w:t>CaseLines 003-5, par 17.</w:t>
      </w:r>
    </w:p>
  </w:footnote>
  <w:footnote w:id="12">
    <w:p w14:paraId="0A808C40" w14:textId="3E0648DD" w:rsidR="00A85D1D" w:rsidRPr="00A85D1D" w:rsidRDefault="00A85D1D">
      <w:pPr>
        <w:pStyle w:val="FootnoteText"/>
        <w:rPr>
          <w:lang w:val="en-US"/>
        </w:rPr>
      </w:pPr>
      <w:r>
        <w:rPr>
          <w:rStyle w:val="FootnoteReference"/>
        </w:rPr>
        <w:footnoteRef/>
      </w:r>
      <w:r>
        <w:t xml:space="preserve"> </w:t>
      </w:r>
      <w:r>
        <w:rPr>
          <w:lang w:val="en-US"/>
        </w:rPr>
        <w:tab/>
        <w:t xml:space="preserve">CaseLines 010-10 to 010-11, par 20.  </w:t>
      </w:r>
    </w:p>
  </w:footnote>
  <w:footnote w:id="13">
    <w:p w14:paraId="07B90269" w14:textId="44094336" w:rsidR="009F540E" w:rsidRPr="009F540E" w:rsidRDefault="009F540E">
      <w:pPr>
        <w:pStyle w:val="FootnoteText"/>
        <w:rPr>
          <w:lang w:val="en-US"/>
        </w:rPr>
      </w:pPr>
      <w:r>
        <w:rPr>
          <w:rStyle w:val="FootnoteReference"/>
        </w:rPr>
        <w:footnoteRef/>
      </w:r>
      <w:r>
        <w:t xml:space="preserve"> </w:t>
      </w:r>
      <w:r>
        <w:rPr>
          <w:lang w:val="en-US"/>
        </w:rPr>
        <w:tab/>
        <w:t>CaseLines 010-10, par 19.2.</w:t>
      </w:r>
    </w:p>
  </w:footnote>
  <w:footnote w:id="14">
    <w:p w14:paraId="6C9E8475" w14:textId="71D4260B" w:rsidR="009F540E" w:rsidRPr="009F540E" w:rsidRDefault="009F540E">
      <w:pPr>
        <w:pStyle w:val="FootnoteText"/>
        <w:rPr>
          <w:lang w:val="en-US"/>
        </w:rPr>
      </w:pPr>
      <w:r>
        <w:rPr>
          <w:rStyle w:val="FootnoteReference"/>
        </w:rPr>
        <w:footnoteRef/>
      </w:r>
      <w:r>
        <w:t xml:space="preserve"> </w:t>
      </w:r>
      <w:r>
        <w:rPr>
          <w:lang w:val="en-US"/>
        </w:rPr>
        <w:tab/>
        <w:t>CaseLines 012-7, par 13.  Compare caselines 003-37 to 003-38 (annexure FA6).</w:t>
      </w:r>
    </w:p>
  </w:footnote>
  <w:footnote w:id="15">
    <w:p w14:paraId="5B4D6B96" w14:textId="432CEC28" w:rsidR="009F540E" w:rsidRPr="009F540E" w:rsidRDefault="009F540E">
      <w:pPr>
        <w:pStyle w:val="FootnoteText"/>
        <w:rPr>
          <w:lang w:val="en-US"/>
        </w:rPr>
      </w:pPr>
      <w:r>
        <w:rPr>
          <w:rStyle w:val="FootnoteReference"/>
        </w:rPr>
        <w:footnoteRef/>
      </w:r>
      <w:r>
        <w:t xml:space="preserve"> </w:t>
      </w:r>
      <w:r>
        <w:rPr>
          <w:lang w:val="en-US"/>
        </w:rPr>
        <w:tab/>
        <w:t xml:space="preserve">CaseLines 003-5 and 003-6, par </w:t>
      </w:r>
      <w:r w:rsidR="00E315E8">
        <w:rPr>
          <w:lang w:val="en-US"/>
        </w:rPr>
        <w:t>18, as read with caselines 003-37 (annexure FA6).</w:t>
      </w:r>
    </w:p>
  </w:footnote>
  <w:footnote w:id="16">
    <w:p w14:paraId="42DED8AA" w14:textId="445B8DAB" w:rsidR="00E315E8" w:rsidRPr="00E315E8" w:rsidRDefault="00E315E8">
      <w:pPr>
        <w:pStyle w:val="FootnoteText"/>
        <w:rPr>
          <w:lang w:val="en-US"/>
        </w:rPr>
      </w:pPr>
      <w:r>
        <w:rPr>
          <w:rStyle w:val="FootnoteReference"/>
        </w:rPr>
        <w:footnoteRef/>
      </w:r>
      <w:r>
        <w:t xml:space="preserve"> </w:t>
      </w:r>
      <w:r>
        <w:rPr>
          <w:lang w:val="en-US"/>
        </w:rPr>
        <w:tab/>
        <w:t>Compare caseLines 010-11, par 21.</w:t>
      </w:r>
    </w:p>
  </w:footnote>
  <w:footnote w:id="17">
    <w:p w14:paraId="4F3C652E" w14:textId="723ABC71" w:rsidR="009010D0" w:rsidRPr="009010D0" w:rsidRDefault="009010D0">
      <w:pPr>
        <w:pStyle w:val="FootnoteText"/>
        <w:rPr>
          <w:lang w:val="en-US"/>
        </w:rPr>
      </w:pPr>
      <w:r>
        <w:rPr>
          <w:rStyle w:val="FootnoteReference"/>
        </w:rPr>
        <w:footnoteRef/>
      </w:r>
      <w:r>
        <w:t xml:space="preserve"> </w:t>
      </w:r>
      <w:r>
        <w:rPr>
          <w:lang w:val="en-US"/>
        </w:rPr>
        <w:tab/>
        <w:t>CaseLines 003-6, par 19, as read with caselines 003-35, par 7 (annexure FA5).</w:t>
      </w:r>
    </w:p>
  </w:footnote>
  <w:footnote w:id="18">
    <w:p w14:paraId="41EF9C44" w14:textId="4BF2D52D" w:rsidR="009010D0" w:rsidRPr="009010D0" w:rsidRDefault="009010D0">
      <w:pPr>
        <w:pStyle w:val="FootnoteText"/>
        <w:rPr>
          <w:lang w:val="en-US"/>
        </w:rPr>
      </w:pPr>
      <w:r>
        <w:rPr>
          <w:rStyle w:val="FootnoteReference"/>
        </w:rPr>
        <w:footnoteRef/>
      </w:r>
      <w:r>
        <w:t xml:space="preserve"> </w:t>
      </w:r>
      <w:r>
        <w:rPr>
          <w:lang w:val="en-US"/>
        </w:rPr>
        <w:tab/>
      </w:r>
      <w:r w:rsidR="006A05B9" w:rsidRPr="006A05B9">
        <w:rPr>
          <w:i/>
          <w:iCs/>
          <w:lang w:val="en-US"/>
        </w:rPr>
        <w:t>Ibid</w:t>
      </w:r>
      <w:r w:rsidR="006A05B9">
        <w:rPr>
          <w:lang w:val="en-US"/>
        </w:rPr>
        <w:t>.</w:t>
      </w:r>
    </w:p>
  </w:footnote>
  <w:footnote w:id="19">
    <w:p w14:paraId="137C9D33" w14:textId="7673F653" w:rsidR="006A05B9" w:rsidRPr="006A05B9" w:rsidRDefault="006A05B9" w:rsidP="006A05B9">
      <w:pPr>
        <w:pStyle w:val="FootnoteText"/>
        <w:ind w:left="851" w:hanging="851"/>
        <w:rPr>
          <w:lang w:val="en-US"/>
        </w:rPr>
      </w:pPr>
      <w:r>
        <w:rPr>
          <w:rStyle w:val="FootnoteReference"/>
        </w:rPr>
        <w:footnoteRef/>
      </w:r>
      <w:r>
        <w:t xml:space="preserve"> </w:t>
      </w:r>
      <w:r>
        <w:rPr>
          <w:lang w:val="en-US"/>
        </w:rPr>
        <w:tab/>
      </w:r>
      <w:r w:rsidRPr="006A05B9">
        <w:rPr>
          <w:rFonts w:cs="Arial"/>
          <w:b/>
          <w:bCs/>
          <w:i/>
          <w:iCs/>
          <w:color w:val="000000"/>
        </w:rPr>
        <w:t xml:space="preserve">Plascon-Evans </w:t>
      </w:r>
      <w:r w:rsidRPr="006A05B9">
        <w:rPr>
          <w:rFonts w:cs="Arial"/>
          <w:color w:val="000000"/>
        </w:rPr>
        <w:t>(</w:t>
      </w:r>
      <w:r w:rsidRPr="006A05B9">
        <w:rPr>
          <w:rFonts w:cs="Arial"/>
          <w:i/>
          <w:iCs/>
          <w:color w:val="000000"/>
        </w:rPr>
        <w:t>supra</w:t>
      </w:r>
      <w:r>
        <w:rPr>
          <w:rFonts w:cs="Arial"/>
          <w:color w:val="000000"/>
        </w:rPr>
        <w:t>)</w:t>
      </w:r>
      <w:r w:rsidRPr="006A05B9">
        <w:rPr>
          <w:rFonts w:cs="Arial"/>
          <w:color w:val="000000"/>
        </w:rPr>
        <w:t>, 635C</w:t>
      </w:r>
      <w:r w:rsidR="00984A20">
        <w:rPr>
          <w:rFonts w:cs="Arial"/>
          <w:color w:val="000000"/>
        </w:rPr>
        <w:t>.</w:t>
      </w:r>
    </w:p>
  </w:footnote>
  <w:footnote w:id="20">
    <w:p w14:paraId="3CDA1CB6" w14:textId="678ED1D1" w:rsidR="00984A20" w:rsidRPr="00984A20" w:rsidRDefault="00984A20">
      <w:pPr>
        <w:pStyle w:val="FootnoteText"/>
        <w:rPr>
          <w:lang w:val="en-US"/>
        </w:rPr>
      </w:pPr>
      <w:r>
        <w:rPr>
          <w:rStyle w:val="FootnoteReference"/>
        </w:rPr>
        <w:footnoteRef/>
      </w:r>
      <w:r>
        <w:t xml:space="preserve"> </w:t>
      </w:r>
      <w:r>
        <w:rPr>
          <w:lang w:val="en-US"/>
        </w:rPr>
        <w:tab/>
        <w:t>CaseLines 003-6, par 20.</w:t>
      </w:r>
    </w:p>
  </w:footnote>
  <w:footnote w:id="21">
    <w:p w14:paraId="50B44EE0" w14:textId="734ABDC4" w:rsidR="00984A20" w:rsidRPr="00984A20" w:rsidRDefault="00984A20">
      <w:pPr>
        <w:pStyle w:val="FootnoteText"/>
        <w:rPr>
          <w:lang w:val="en-US"/>
        </w:rPr>
      </w:pPr>
      <w:r>
        <w:rPr>
          <w:rStyle w:val="FootnoteReference"/>
        </w:rPr>
        <w:footnoteRef/>
      </w:r>
      <w:r>
        <w:t xml:space="preserve"> </w:t>
      </w:r>
      <w:r>
        <w:rPr>
          <w:lang w:val="en-US"/>
        </w:rPr>
        <w:tab/>
        <w:t>CaseLines 003-40, first paragraph (annexure FA7).</w:t>
      </w:r>
    </w:p>
  </w:footnote>
  <w:footnote w:id="22">
    <w:p w14:paraId="573438B5" w14:textId="77777777" w:rsidR="00024837" w:rsidRPr="00024837" w:rsidRDefault="00024837" w:rsidP="00024837">
      <w:pPr>
        <w:pStyle w:val="FootnoteText"/>
        <w:rPr>
          <w:lang w:val="en-US"/>
        </w:rPr>
      </w:pPr>
      <w:r>
        <w:rPr>
          <w:rStyle w:val="FootnoteReference"/>
        </w:rPr>
        <w:footnoteRef/>
      </w:r>
      <w:r>
        <w:t xml:space="preserve"> </w:t>
      </w:r>
      <w:r>
        <w:rPr>
          <w:lang w:val="en-US"/>
        </w:rPr>
        <w:tab/>
        <w:t>CaseLines 003-40, fourth paragraph (annexure FA7).</w:t>
      </w:r>
    </w:p>
  </w:footnote>
  <w:footnote w:id="23">
    <w:p w14:paraId="5D4BAE5A" w14:textId="61033397" w:rsidR="00024837" w:rsidRPr="00024837" w:rsidRDefault="00024837">
      <w:pPr>
        <w:pStyle w:val="FootnoteText"/>
        <w:rPr>
          <w:lang w:val="en-US"/>
        </w:rPr>
      </w:pPr>
      <w:r>
        <w:rPr>
          <w:rStyle w:val="FootnoteReference"/>
        </w:rPr>
        <w:footnoteRef/>
      </w:r>
      <w:r>
        <w:t xml:space="preserve"> </w:t>
      </w:r>
      <w:r>
        <w:rPr>
          <w:lang w:val="en-US"/>
        </w:rPr>
        <w:tab/>
        <w:t>CaseLines 003-41 (annexure to annexure FA7).</w:t>
      </w:r>
    </w:p>
  </w:footnote>
  <w:footnote w:id="24">
    <w:p w14:paraId="69E745E4" w14:textId="5E4DC779" w:rsidR="00024837" w:rsidRPr="00024837" w:rsidRDefault="00024837">
      <w:pPr>
        <w:pStyle w:val="FootnoteText"/>
        <w:rPr>
          <w:lang w:val="en-US"/>
        </w:rPr>
      </w:pPr>
      <w:r>
        <w:rPr>
          <w:rStyle w:val="FootnoteReference"/>
        </w:rPr>
        <w:footnoteRef/>
      </w:r>
      <w:r>
        <w:t xml:space="preserve"> </w:t>
      </w:r>
      <w:r>
        <w:rPr>
          <w:lang w:val="en-US"/>
        </w:rPr>
        <w:tab/>
        <w:t>CaseLines 003-40, fourth paragraph (annexure FA7).</w:t>
      </w:r>
    </w:p>
  </w:footnote>
  <w:footnote w:id="25">
    <w:p w14:paraId="6889BEEA" w14:textId="5A94CE79" w:rsidR="00FF7438" w:rsidRPr="00FF7438" w:rsidRDefault="00FF7438">
      <w:pPr>
        <w:pStyle w:val="FootnoteText"/>
        <w:rPr>
          <w:lang w:val="en-US"/>
        </w:rPr>
      </w:pPr>
      <w:r>
        <w:rPr>
          <w:rStyle w:val="FootnoteReference"/>
        </w:rPr>
        <w:footnoteRef/>
      </w:r>
      <w:r>
        <w:t xml:space="preserve"> </w:t>
      </w:r>
      <w:r>
        <w:rPr>
          <w:lang w:val="en-US"/>
        </w:rPr>
        <w:tab/>
        <w:t>CaseLines 010-11, par 23.</w:t>
      </w:r>
    </w:p>
  </w:footnote>
  <w:footnote w:id="26">
    <w:p w14:paraId="286AF3B7" w14:textId="28BC9E91" w:rsidR="00FF7438" w:rsidRPr="00FF7438" w:rsidRDefault="00FF7438">
      <w:pPr>
        <w:pStyle w:val="FootnoteText"/>
        <w:rPr>
          <w:lang w:val="en-US"/>
        </w:rPr>
      </w:pPr>
      <w:r>
        <w:rPr>
          <w:rStyle w:val="FootnoteReference"/>
        </w:rPr>
        <w:footnoteRef/>
      </w:r>
      <w:r>
        <w:t xml:space="preserve"> </w:t>
      </w:r>
      <w:r>
        <w:rPr>
          <w:lang w:val="en-US"/>
        </w:rPr>
        <w:tab/>
        <w:t>CaseLines 003-6, par 21, as read with 003-43, par 3 (annexure FA8).</w:t>
      </w:r>
    </w:p>
  </w:footnote>
  <w:footnote w:id="27">
    <w:p w14:paraId="4E0F1157" w14:textId="34123F7B" w:rsidR="00FF7438" w:rsidRPr="00FF7438" w:rsidRDefault="00FF7438" w:rsidP="00EA5E55">
      <w:pPr>
        <w:pStyle w:val="FootnoteText"/>
        <w:ind w:left="851" w:hanging="851"/>
        <w:rPr>
          <w:lang w:val="en-US"/>
        </w:rPr>
      </w:pPr>
      <w:r>
        <w:rPr>
          <w:rStyle w:val="FootnoteReference"/>
        </w:rPr>
        <w:footnoteRef/>
      </w:r>
      <w:r>
        <w:t xml:space="preserve"> </w:t>
      </w:r>
      <w:r>
        <w:rPr>
          <w:lang w:val="en-US"/>
        </w:rPr>
        <w:tab/>
        <w:t>CaseLines 003-44, par 4 (annexure FA8)</w:t>
      </w:r>
      <w:r w:rsidR="00EA5E55">
        <w:rPr>
          <w:lang w:val="en-US"/>
        </w:rPr>
        <w:t>, as read with caselines 003-45 (annexure A to annexure FA8).</w:t>
      </w:r>
    </w:p>
  </w:footnote>
  <w:footnote w:id="28">
    <w:p w14:paraId="7EE9E5B7" w14:textId="194226ED" w:rsidR="00EA5E55" w:rsidRPr="00EA5E55" w:rsidRDefault="00EA5E55" w:rsidP="00EA5E55">
      <w:pPr>
        <w:pStyle w:val="FootnoteText"/>
        <w:ind w:left="851" w:hanging="851"/>
        <w:rPr>
          <w:lang w:val="en-US"/>
        </w:rPr>
      </w:pPr>
      <w:r>
        <w:rPr>
          <w:rStyle w:val="FootnoteReference"/>
        </w:rPr>
        <w:footnoteRef/>
      </w:r>
      <w:r>
        <w:t xml:space="preserve"> </w:t>
      </w:r>
      <w:r>
        <w:rPr>
          <w:lang w:val="en-US"/>
        </w:rPr>
        <w:tab/>
        <w:t>CaseLines 003-44, par 4 (annexure FA8), as read with caselines 003-45 (annexure B to annexure FA8).</w:t>
      </w:r>
    </w:p>
  </w:footnote>
  <w:footnote w:id="29">
    <w:p w14:paraId="138837EF" w14:textId="0FC397E0" w:rsidR="0071609B" w:rsidRPr="0071609B" w:rsidRDefault="0071609B">
      <w:pPr>
        <w:pStyle w:val="FootnoteText"/>
        <w:rPr>
          <w:lang w:val="en-US"/>
        </w:rPr>
      </w:pPr>
      <w:r>
        <w:rPr>
          <w:rStyle w:val="FootnoteReference"/>
        </w:rPr>
        <w:footnoteRef/>
      </w:r>
      <w:r>
        <w:t xml:space="preserve"> </w:t>
      </w:r>
      <w:r>
        <w:rPr>
          <w:lang w:val="en-US"/>
        </w:rPr>
        <w:tab/>
        <w:t>CaseLines 003-6, par 22.</w:t>
      </w:r>
    </w:p>
  </w:footnote>
  <w:footnote w:id="30">
    <w:p w14:paraId="2FB38757" w14:textId="40319895" w:rsidR="0071609B" w:rsidRPr="0071609B" w:rsidRDefault="0071609B">
      <w:pPr>
        <w:pStyle w:val="FootnoteText"/>
        <w:rPr>
          <w:lang w:val="en-US"/>
        </w:rPr>
      </w:pPr>
      <w:r>
        <w:rPr>
          <w:rStyle w:val="FootnoteReference"/>
        </w:rPr>
        <w:footnoteRef/>
      </w:r>
      <w:r>
        <w:t xml:space="preserve"> </w:t>
      </w:r>
      <w:r>
        <w:rPr>
          <w:lang w:val="en-US"/>
        </w:rPr>
        <w:tab/>
        <w:t>CaseLines 010-12, par 25.1.</w:t>
      </w:r>
    </w:p>
  </w:footnote>
  <w:footnote w:id="31">
    <w:p w14:paraId="38424534" w14:textId="3DFECF44" w:rsidR="00ED6C9F" w:rsidRPr="00ED6C9F" w:rsidRDefault="00ED6C9F">
      <w:pPr>
        <w:pStyle w:val="FootnoteText"/>
        <w:rPr>
          <w:lang w:val="en-US"/>
        </w:rPr>
      </w:pPr>
      <w:r>
        <w:rPr>
          <w:rStyle w:val="FootnoteReference"/>
        </w:rPr>
        <w:footnoteRef/>
      </w:r>
      <w:r>
        <w:t xml:space="preserve"> </w:t>
      </w:r>
      <w:r>
        <w:rPr>
          <w:lang w:val="en-US"/>
        </w:rPr>
        <w:tab/>
        <w:t>CaseLines 003-7, par 23.</w:t>
      </w:r>
    </w:p>
  </w:footnote>
  <w:footnote w:id="32">
    <w:p w14:paraId="744282F9" w14:textId="77777777" w:rsidR="00ED6C9F" w:rsidRPr="0071609B" w:rsidRDefault="00ED6C9F" w:rsidP="00ED6C9F">
      <w:pPr>
        <w:pStyle w:val="FootnoteText"/>
        <w:rPr>
          <w:lang w:val="en-US"/>
        </w:rPr>
      </w:pPr>
      <w:r>
        <w:rPr>
          <w:rStyle w:val="FootnoteReference"/>
        </w:rPr>
        <w:footnoteRef/>
      </w:r>
      <w:r>
        <w:t xml:space="preserve"> </w:t>
      </w:r>
      <w:r>
        <w:rPr>
          <w:lang w:val="en-US"/>
        </w:rPr>
        <w:tab/>
        <w:t>CaseLines 010-12, par 25.1.</w:t>
      </w:r>
    </w:p>
  </w:footnote>
  <w:footnote w:id="33">
    <w:p w14:paraId="11767DEA" w14:textId="10809E40" w:rsidR="00DA15E9" w:rsidRPr="00DA15E9" w:rsidRDefault="00DA15E9">
      <w:pPr>
        <w:pStyle w:val="FootnoteText"/>
        <w:rPr>
          <w:lang w:val="en-US"/>
        </w:rPr>
      </w:pPr>
      <w:r>
        <w:rPr>
          <w:rStyle w:val="FootnoteReference"/>
        </w:rPr>
        <w:footnoteRef/>
      </w:r>
      <w:r>
        <w:t xml:space="preserve"> </w:t>
      </w:r>
      <w:r>
        <w:rPr>
          <w:lang w:val="en-US"/>
        </w:rPr>
        <w:tab/>
        <w:t>CaseLines 003-7, par 25.</w:t>
      </w:r>
    </w:p>
  </w:footnote>
  <w:footnote w:id="34">
    <w:p w14:paraId="0FDCBF52" w14:textId="4AE51A60" w:rsidR="0022697D" w:rsidRPr="0022697D" w:rsidRDefault="0022697D">
      <w:pPr>
        <w:pStyle w:val="FootnoteText"/>
        <w:rPr>
          <w:lang w:val="en-US"/>
        </w:rPr>
      </w:pPr>
      <w:r>
        <w:rPr>
          <w:rStyle w:val="FootnoteReference"/>
        </w:rPr>
        <w:footnoteRef/>
      </w:r>
      <w:r>
        <w:t xml:space="preserve"> </w:t>
      </w:r>
      <w:r>
        <w:rPr>
          <w:lang w:val="en-US"/>
        </w:rPr>
        <w:tab/>
        <w:t>CaseLines 010-12, par 27.</w:t>
      </w:r>
    </w:p>
  </w:footnote>
  <w:footnote w:id="35">
    <w:p w14:paraId="1FE9DD41" w14:textId="77777777" w:rsidR="00ED6C9F" w:rsidRPr="006A05B9" w:rsidRDefault="00ED6C9F" w:rsidP="00ED6C9F">
      <w:pPr>
        <w:pStyle w:val="FootnoteText"/>
        <w:ind w:left="851" w:hanging="851"/>
        <w:rPr>
          <w:lang w:val="en-US"/>
        </w:rPr>
      </w:pPr>
      <w:r>
        <w:rPr>
          <w:rStyle w:val="FootnoteReference"/>
        </w:rPr>
        <w:footnoteRef/>
      </w:r>
      <w:r>
        <w:t xml:space="preserve"> </w:t>
      </w:r>
      <w:r>
        <w:rPr>
          <w:lang w:val="en-US"/>
        </w:rPr>
        <w:tab/>
      </w:r>
      <w:r w:rsidRPr="006A05B9">
        <w:rPr>
          <w:rFonts w:cs="Arial"/>
          <w:b/>
          <w:bCs/>
          <w:i/>
          <w:iCs/>
          <w:color w:val="000000"/>
        </w:rPr>
        <w:t xml:space="preserve">Plascon-Evans </w:t>
      </w:r>
      <w:r w:rsidRPr="006A05B9">
        <w:rPr>
          <w:rFonts w:cs="Arial"/>
          <w:color w:val="000000"/>
        </w:rPr>
        <w:t>(</w:t>
      </w:r>
      <w:r w:rsidRPr="006A05B9">
        <w:rPr>
          <w:rFonts w:cs="Arial"/>
          <w:i/>
          <w:iCs/>
          <w:color w:val="000000"/>
        </w:rPr>
        <w:t>supra</w:t>
      </w:r>
      <w:r>
        <w:rPr>
          <w:rFonts w:cs="Arial"/>
          <w:color w:val="000000"/>
        </w:rPr>
        <w:t>)</w:t>
      </w:r>
      <w:r w:rsidRPr="006A05B9">
        <w:rPr>
          <w:rFonts w:cs="Arial"/>
          <w:color w:val="000000"/>
        </w:rPr>
        <w:t>, 635C</w:t>
      </w:r>
      <w:r>
        <w:rPr>
          <w:rFonts w:cs="Arial"/>
          <w:color w:val="000000"/>
        </w:rPr>
        <w:t>.</w:t>
      </w:r>
    </w:p>
  </w:footnote>
  <w:footnote w:id="36">
    <w:p w14:paraId="242B131F" w14:textId="626574A2" w:rsidR="00ED6C9F" w:rsidRPr="00ED6C9F" w:rsidRDefault="00ED6C9F">
      <w:pPr>
        <w:pStyle w:val="FootnoteText"/>
        <w:rPr>
          <w:lang w:val="en-US"/>
        </w:rPr>
      </w:pPr>
      <w:r>
        <w:rPr>
          <w:rStyle w:val="FootnoteReference"/>
        </w:rPr>
        <w:footnoteRef/>
      </w:r>
      <w:r>
        <w:t xml:space="preserve"> </w:t>
      </w:r>
      <w:r>
        <w:rPr>
          <w:lang w:val="en-US"/>
        </w:rPr>
        <w:tab/>
        <w:t>CaseLines 003-</w:t>
      </w:r>
      <w:r w:rsidR="00F144A3">
        <w:rPr>
          <w:lang w:val="en-US"/>
        </w:rPr>
        <w:t>23, cl 8.1 (annexure FA4).</w:t>
      </w:r>
    </w:p>
  </w:footnote>
  <w:footnote w:id="37">
    <w:p w14:paraId="08C22E50" w14:textId="77777777" w:rsidR="00F144A3" w:rsidRPr="009010D0" w:rsidRDefault="00F144A3" w:rsidP="00F144A3">
      <w:pPr>
        <w:pStyle w:val="FootnoteText"/>
        <w:rPr>
          <w:lang w:val="en-US"/>
        </w:rPr>
      </w:pPr>
      <w:r>
        <w:rPr>
          <w:rStyle w:val="FootnoteReference"/>
        </w:rPr>
        <w:footnoteRef/>
      </w:r>
      <w:r>
        <w:t xml:space="preserve"> </w:t>
      </w:r>
      <w:r>
        <w:rPr>
          <w:lang w:val="en-US"/>
        </w:rPr>
        <w:tab/>
        <w:t>CaseLines 003-6, par 19, as read with caselines 003-35, par 7 (annexure FA5).</w:t>
      </w:r>
    </w:p>
  </w:footnote>
  <w:footnote w:id="38">
    <w:p w14:paraId="1390A237" w14:textId="3D59F622" w:rsidR="00C24549" w:rsidRPr="00C24549" w:rsidRDefault="00C24549">
      <w:pPr>
        <w:pStyle w:val="FootnoteText"/>
        <w:rPr>
          <w:lang w:val="en-US"/>
        </w:rPr>
      </w:pPr>
      <w:r>
        <w:rPr>
          <w:rStyle w:val="FootnoteReference"/>
        </w:rPr>
        <w:footnoteRef/>
      </w:r>
      <w:r>
        <w:t xml:space="preserve"> </w:t>
      </w:r>
      <w:r>
        <w:rPr>
          <w:lang w:val="en-US"/>
        </w:rPr>
        <w:tab/>
        <w:t>CaseLines 020-1 to 020-2.</w:t>
      </w:r>
    </w:p>
  </w:footnote>
  <w:footnote w:id="39">
    <w:p w14:paraId="5037B169" w14:textId="3F44422E" w:rsidR="00C24549" w:rsidRPr="00C24549" w:rsidRDefault="00C24549">
      <w:pPr>
        <w:pStyle w:val="FootnoteText"/>
        <w:rPr>
          <w:lang w:val="en-US"/>
        </w:rPr>
      </w:pPr>
      <w:r>
        <w:rPr>
          <w:rStyle w:val="FootnoteReference"/>
        </w:rPr>
        <w:footnoteRef/>
      </w:r>
      <w:r>
        <w:t xml:space="preserve"> </w:t>
      </w:r>
      <w:r>
        <w:rPr>
          <w:lang w:val="en-US"/>
        </w:rPr>
        <w:tab/>
        <w:t>CaseLines 020-3.</w:t>
      </w:r>
    </w:p>
  </w:footnote>
  <w:footnote w:id="40">
    <w:p w14:paraId="18287132" w14:textId="024CA6FF" w:rsidR="00C24549" w:rsidRPr="00C24549" w:rsidRDefault="00C24549">
      <w:pPr>
        <w:pStyle w:val="FootnoteText"/>
        <w:rPr>
          <w:lang w:val="en-US"/>
        </w:rPr>
      </w:pPr>
      <w:r>
        <w:rPr>
          <w:rStyle w:val="FootnoteReference"/>
        </w:rPr>
        <w:footnoteRef/>
      </w:r>
      <w:r>
        <w:t xml:space="preserve"> </w:t>
      </w:r>
      <w:r>
        <w:rPr>
          <w:lang w:val="en-US"/>
        </w:rPr>
        <w:tab/>
        <w:t>CaseLines 020-4.</w:t>
      </w:r>
    </w:p>
  </w:footnote>
  <w:footnote w:id="41">
    <w:p w14:paraId="5B749FB2" w14:textId="12BBC612" w:rsidR="00BB0006" w:rsidRPr="00BB0006" w:rsidRDefault="00BB0006">
      <w:pPr>
        <w:pStyle w:val="FootnoteText"/>
        <w:rPr>
          <w:lang w:val="en-US"/>
        </w:rPr>
      </w:pPr>
      <w:r>
        <w:rPr>
          <w:rStyle w:val="FootnoteReference"/>
        </w:rPr>
        <w:footnoteRef/>
      </w:r>
      <w:r>
        <w:t xml:space="preserve"> </w:t>
      </w:r>
      <w:r>
        <w:rPr>
          <w:lang w:val="en-US"/>
        </w:rPr>
        <w:tab/>
        <w:t>CaseLines 003-3, par 8, as read with caselines 003-20 (annexure FA3).</w:t>
      </w:r>
    </w:p>
  </w:footnote>
  <w:footnote w:id="42">
    <w:p w14:paraId="2EA61E77" w14:textId="57DD42F5" w:rsidR="00BB0006" w:rsidRPr="00BB0006" w:rsidRDefault="00BB0006">
      <w:pPr>
        <w:pStyle w:val="FootnoteText"/>
        <w:rPr>
          <w:lang w:val="en-US"/>
        </w:rPr>
      </w:pPr>
      <w:r>
        <w:rPr>
          <w:rStyle w:val="FootnoteReference"/>
        </w:rPr>
        <w:footnoteRef/>
      </w:r>
      <w:r>
        <w:t xml:space="preserve"> </w:t>
      </w:r>
      <w:r>
        <w:rPr>
          <w:lang w:val="en-US"/>
        </w:rPr>
        <w:tab/>
        <w:t>CaseLines 010-7, par 12.1 and 12.3.</w:t>
      </w:r>
    </w:p>
  </w:footnote>
  <w:footnote w:id="43">
    <w:p w14:paraId="197C6394" w14:textId="5BC9DB7C" w:rsidR="00BB0006" w:rsidRPr="00BB0006" w:rsidRDefault="00BB0006">
      <w:pPr>
        <w:pStyle w:val="FootnoteText"/>
        <w:rPr>
          <w:lang w:val="en-US"/>
        </w:rPr>
      </w:pPr>
      <w:r>
        <w:rPr>
          <w:rStyle w:val="FootnoteReference"/>
        </w:rPr>
        <w:footnoteRef/>
      </w:r>
      <w:r>
        <w:t xml:space="preserve"> </w:t>
      </w:r>
      <w:r>
        <w:rPr>
          <w:lang w:val="en-US"/>
        </w:rPr>
        <w:tab/>
        <w:t>CaseLines 012-7, par 12, as read with 012-12 to 012-17 (annexure RA2).</w:t>
      </w:r>
    </w:p>
  </w:footnote>
  <w:footnote w:id="44">
    <w:p w14:paraId="58E2D23A" w14:textId="76D33391" w:rsidR="00BB0006" w:rsidRPr="00BB0006" w:rsidRDefault="00BB0006">
      <w:pPr>
        <w:pStyle w:val="FootnoteText"/>
        <w:rPr>
          <w:lang w:val="en-US"/>
        </w:rPr>
      </w:pPr>
      <w:r>
        <w:rPr>
          <w:rStyle w:val="FootnoteReference"/>
        </w:rPr>
        <w:footnoteRef/>
      </w:r>
      <w:r>
        <w:t xml:space="preserve"> </w:t>
      </w:r>
      <w:r>
        <w:rPr>
          <w:lang w:val="en-US"/>
        </w:rPr>
        <w:tab/>
        <w:t>CaseLines 010-</w:t>
      </w:r>
      <w:r w:rsidR="003A4E6D">
        <w:rPr>
          <w:lang w:val="en-US"/>
        </w:rPr>
        <w:t>5, par 4.</w:t>
      </w:r>
    </w:p>
  </w:footnote>
  <w:footnote w:id="45">
    <w:p w14:paraId="2543658C" w14:textId="3B86630A" w:rsidR="003A4E6D" w:rsidRPr="003A4E6D" w:rsidRDefault="003A4E6D">
      <w:pPr>
        <w:pStyle w:val="FootnoteText"/>
        <w:rPr>
          <w:lang w:val="en-US"/>
        </w:rPr>
      </w:pPr>
      <w:r>
        <w:rPr>
          <w:rStyle w:val="FootnoteReference"/>
        </w:rPr>
        <w:footnoteRef/>
      </w:r>
      <w:r>
        <w:t xml:space="preserve"> </w:t>
      </w:r>
      <w:r>
        <w:rPr>
          <w:lang w:val="en-US"/>
        </w:rPr>
        <w:tab/>
        <w:t>CaseLines 010-5, par 5 and 6.</w:t>
      </w:r>
    </w:p>
  </w:footnote>
  <w:footnote w:id="46">
    <w:p w14:paraId="7B778AAE" w14:textId="080383FF" w:rsidR="003A4E6D" w:rsidRPr="003A4E6D" w:rsidRDefault="003A4E6D">
      <w:pPr>
        <w:pStyle w:val="FootnoteText"/>
        <w:rPr>
          <w:lang w:val="en-US"/>
        </w:rPr>
      </w:pPr>
      <w:r>
        <w:rPr>
          <w:rStyle w:val="FootnoteReference"/>
        </w:rPr>
        <w:footnoteRef/>
      </w:r>
      <w:r>
        <w:t xml:space="preserve"> </w:t>
      </w:r>
      <w:r>
        <w:rPr>
          <w:lang w:val="en-US"/>
        </w:rPr>
        <w:tab/>
        <w:t>CaseLines 003-30, cl 28.1.</w:t>
      </w:r>
    </w:p>
  </w:footnote>
  <w:footnote w:id="47">
    <w:p w14:paraId="37610A90" w14:textId="1A9EEA8B" w:rsidR="003A4E6D" w:rsidRPr="003A4E6D" w:rsidRDefault="003A4E6D">
      <w:pPr>
        <w:pStyle w:val="FootnoteText"/>
        <w:rPr>
          <w:lang w:val="en-US"/>
        </w:rPr>
      </w:pPr>
      <w:r>
        <w:rPr>
          <w:rStyle w:val="FootnoteReference"/>
        </w:rPr>
        <w:footnoteRef/>
      </w:r>
      <w:r>
        <w:t xml:space="preserve"> </w:t>
      </w:r>
      <w:r>
        <w:rPr>
          <w:lang w:val="en-US"/>
        </w:rPr>
        <w:tab/>
        <w:t>CaseLines 001-2, par 7 and 007-6, par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56774" w14:textId="77777777" w:rsidR="00B43251" w:rsidRDefault="00806516" w:rsidP="00CC0D16">
    <w:pPr>
      <w:pStyle w:val="Header"/>
      <w:rPr>
        <w:sz w:val="20"/>
        <w:szCs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756EB25E" w14:textId="77777777" w:rsidR="00B43251" w:rsidRPr="00AA6E19" w:rsidRDefault="00B43251" w:rsidP="00CC0D16">
    <w:pPr>
      <w:pStyle w:val="Header"/>
      <w:spacing w:after="240"/>
      <w:ind w:left="-567"/>
      <w:rPr>
        <w:sz w:val="20"/>
        <w:szCs w:val="20"/>
      </w:rPr>
    </w:pPr>
  </w:p>
  <w:p w14:paraId="32BDA933" w14:textId="1E62D02D" w:rsidR="00B43251" w:rsidRDefault="00806516" w:rsidP="00CC0D16">
    <w:pPr>
      <w:pStyle w:val="Header"/>
      <w:spacing w:after="720" w:line="480" w:lineRule="auto"/>
      <w:jc w:val="center"/>
      <w:rPr>
        <w:snapToGrid w:val="0"/>
        <w:sz w:val="24"/>
      </w:rPr>
    </w:pPr>
    <w:r>
      <w:rPr>
        <w:snapToGrid w:val="0"/>
        <w:sz w:val="24"/>
      </w:rPr>
      <w:t xml:space="preserve">- </w:t>
    </w:r>
    <w:r>
      <w:rPr>
        <w:snapToGrid w:val="0"/>
        <w:sz w:val="24"/>
      </w:rPr>
      <w:fldChar w:fldCharType="begin"/>
    </w:r>
    <w:r>
      <w:rPr>
        <w:snapToGrid w:val="0"/>
        <w:sz w:val="24"/>
      </w:rPr>
      <w:instrText xml:space="preserve"> PAGE </w:instrText>
    </w:r>
    <w:r>
      <w:rPr>
        <w:snapToGrid w:val="0"/>
        <w:sz w:val="24"/>
      </w:rPr>
      <w:fldChar w:fldCharType="separate"/>
    </w:r>
    <w:r w:rsidR="009733CC">
      <w:rPr>
        <w:noProof/>
        <w:snapToGrid w:val="0"/>
        <w:sz w:val="24"/>
      </w:rPr>
      <w:t>2</w:t>
    </w:r>
    <w:r>
      <w:rPr>
        <w:snapToGrid w:val="0"/>
        <w:sz w:val="24"/>
      </w:rPr>
      <w:fldChar w:fldCharType="end"/>
    </w:r>
    <w:r>
      <w:rPr>
        <w:snapToGrid w:val="0"/>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B3552" w14:textId="77777777" w:rsidR="00B43251" w:rsidRPr="00C8686E" w:rsidRDefault="00B43251" w:rsidP="00CC0D16">
    <w:pPr>
      <w:pStyle w:val="Header"/>
      <w:rPr>
        <w:sz w:val="16"/>
        <w:szCs w:val="16"/>
      </w:rPr>
    </w:pPr>
  </w:p>
  <w:p w14:paraId="59397EB4" w14:textId="77777777" w:rsidR="00B43251" w:rsidRDefault="00B43251" w:rsidP="00CC0D16">
    <w:pPr>
      <w:pStyle w:val="Header"/>
      <w:rPr>
        <w:snapToGrid w:val="0"/>
        <w:sz w:val="16"/>
      </w:rPr>
    </w:pPr>
  </w:p>
  <w:p w14:paraId="0DBE993C" w14:textId="77777777" w:rsidR="00B43251" w:rsidRDefault="00806516" w:rsidP="00CC0D16">
    <w:pPr>
      <w:pStyle w:val="Header"/>
      <w:jc w:val="center"/>
      <w:rPr>
        <w:snapToGrid w:val="0"/>
        <w:sz w:val="16"/>
      </w:rPr>
    </w:pPr>
    <w:r w:rsidRPr="00374AA9">
      <w:rPr>
        <w:rFonts w:ascii="Times New Roman" w:hAnsi="Times New Roman" w:cs="Times New Roman"/>
        <w:noProof/>
        <w:sz w:val="24"/>
        <w:szCs w:val="24"/>
        <w:lang w:val="en-US"/>
      </w:rPr>
      <w:drawing>
        <wp:inline distT="0" distB="0" distL="0" distR="0" wp14:anchorId="123D51C1" wp14:editId="557624DD">
          <wp:extent cx="1581100" cy="1463040"/>
          <wp:effectExtent l="0" t="0" r="0" b="0"/>
          <wp:docPr id="1" name="Picture 1" descr="Description: Description: cid:image003.png@01D0DB27.E464C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D0DB27.E464C0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029" cy="14694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36541C"/>
    <w:multiLevelType w:val="multilevel"/>
    <w:tmpl w:val="D1ECC7B0"/>
    <w:lvl w:ilvl="0">
      <w:start w:val="1"/>
      <w:numFmt w:val="decimal"/>
      <w:pStyle w:val="Indent"/>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E7"/>
    <w:rsid w:val="00024837"/>
    <w:rsid w:val="000A39B2"/>
    <w:rsid w:val="0010583E"/>
    <w:rsid w:val="00121086"/>
    <w:rsid w:val="0022697D"/>
    <w:rsid w:val="003A4E6D"/>
    <w:rsid w:val="003F188E"/>
    <w:rsid w:val="00454552"/>
    <w:rsid w:val="00572D61"/>
    <w:rsid w:val="00596891"/>
    <w:rsid w:val="005A40E8"/>
    <w:rsid w:val="006A05B9"/>
    <w:rsid w:val="006B2AE5"/>
    <w:rsid w:val="006D6EE8"/>
    <w:rsid w:val="006F2421"/>
    <w:rsid w:val="006F589A"/>
    <w:rsid w:val="0071609B"/>
    <w:rsid w:val="00717A88"/>
    <w:rsid w:val="00746883"/>
    <w:rsid w:val="007C2970"/>
    <w:rsid w:val="00806516"/>
    <w:rsid w:val="00811C45"/>
    <w:rsid w:val="008224E6"/>
    <w:rsid w:val="00862718"/>
    <w:rsid w:val="008A3DA5"/>
    <w:rsid w:val="008D608C"/>
    <w:rsid w:val="009010D0"/>
    <w:rsid w:val="009650BC"/>
    <w:rsid w:val="009733CC"/>
    <w:rsid w:val="00984A20"/>
    <w:rsid w:val="009A0F48"/>
    <w:rsid w:val="009B4739"/>
    <w:rsid w:val="009F540E"/>
    <w:rsid w:val="00A37365"/>
    <w:rsid w:val="00A57256"/>
    <w:rsid w:val="00A85D1D"/>
    <w:rsid w:val="00AD4CED"/>
    <w:rsid w:val="00B1047F"/>
    <w:rsid w:val="00B43251"/>
    <w:rsid w:val="00B81E67"/>
    <w:rsid w:val="00BB0006"/>
    <w:rsid w:val="00C24549"/>
    <w:rsid w:val="00CB30CC"/>
    <w:rsid w:val="00D1233D"/>
    <w:rsid w:val="00D35BE7"/>
    <w:rsid w:val="00D432D6"/>
    <w:rsid w:val="00DA15E9"/>
    <w:rsid w:val="00DA1E7B"/>
    <w:rsid w:val="00DB62AA"/>
    <w:rsid w:val="00E315E8"/>
    <w:rsid w:val="00E87EAD"/>
    <w:rsid w:val="00EA08D1"/>
    <w:rsid w:val="00EA5E55"/>
    <w:rsid w:val="00ED6C9F"/>
    <w:rsid w:val="00F144A3"/>
    <w:rsid w:val="00FE211E"/>
    <w:rsid w:val="00FF74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ABBD"/>
  <w15:chartTrackingRefBased/>
  <w15:docId w15:val="{1AA486CA-EBC8-3A45-BE1E-29D4C9BD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BE7"/>
    <w:pPr>
      <w:widowControl w:val="0"/>
      <w:tabs>
        <w:tab w:val="left" w:pos="851"/>
        <w:tab w:val="left" w:pos="1701"/>
        <w:tab w:val="left" w:pos="2835"/>
        <w:tab w:val="left" w:pos="3969"/>
        <w:tab w:val="left" w:pos="4706"/>
      </w:tabs>
      <w:spacing w:after="480" w:line="480" w:lineRule="auto"/>
      <w:jc w:val="both"/>
    </w:pPr>
    <w:rPr>
      <w:rFonts w:ascii="Arial" w:eastAsia="Times New Roman" w:hAnsi="Arial" w:cs="Times New Roman"/>
      <w:kern w:val="25"/>
      <w:sz w:val="25"/>
      <w:szCs w:val="20"/>
      <w:lang w:val="en-GB" w:eastAsia="en-GB"/>
      <w14:ligatures w14:val="none"/>
    </w:rPr>
  </w:style>
  <w:style w:type="paragraph" w:styleId="Heading6">
    <w:name w:val="heading 6"/>
    <w:basedOn w:val="Normal"/>
    <w:next w:val="Normal"/>
    <w:link w:val="Heading6Char"/>
    <w:qFormat/>
    <w:rsid w:val="00D35BE7"/>
    <w:pPr>
      <w:keepNext/>
      <w:outlineLvl w:val="5"/>
    </w:pPr>
    <w:rPr>
      <w:u w:val="single"/>
    </w:rPr>
  </w:style>
  <w:style w:type="paragraph" w:styleId="Heading9">
    <w:name w:val="heading 9"/>
    <w:basedOn w:val="Normal"/>
    <w:next w:val="Normal"/>
    <w:link w:val="Heading9Char"/>
    <w:qFormat/>
    <w:rsid w:val="00D35BE7"/>
    <w:pPr>
      <w:keepNext/>
      <w:jc w:val="right"/>
      <w:outlineLvl w:val="8"/>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35BE7"/>
    <w:rPr>
      <w:rFonts w:ascii="Arial" w:eastAsia="Times New Roman" w:hAnsi="Arial" w:cs="Times New Roman"/>
      <w:kern w:val="25"/>
      <w:sz w:val="25"/>
      <w:szCs w:val="20"/>
      <w:u w:val="single"/>
      <w:lang w:val="en-GB" w:eastAsia="en-GB"/>
      <w14:ligatures w14:val="none"/>
    </w:rPr>
  </w:style>
  <w:style w:type="character" w:customStyle="1" w:styleId="Heading9Char">
    <w:name w:val="Heading 9 Char"/>
    <w:basedOn w:val="DefaultParagraphFont"/>
    <w:link w:val="Heading9"/>
    <w:rsid w:val="00D35BE7"/>
    <w:rPr>
      <w:rFonts w:ascii="Arial" w:eastAsia="Times New Roman" w:hAnsi="Arial" w:cs="Times New Roman"/>
      <w:kern w:val="25"/>
      <w:sz w:val="25"/>
      <w:szCs w:val="20"/>
      <w:u w:val="single"/>
      <w:lang w:val="en-US" w:eastAsia="en-GB"/>
      <w14:ligatures w14:val="none"/>
    </w:rPr>
  </w:style>
  <w:style w:type="paragraph" w:styleId="Header">
    <w:name w:val="header"/>
    <w:basedOn w:val="Normal"/>
    <w:link w:val="HeaderChar"/>
    <w:rsid w:val="00D35BE7"/>
    <w:pPr>
      <w:widowControl/>
      <w:tabs>
        <w:tab w:val="clear" w:pos="851"/>
        <w:tab w:val="center" w:pos="4320"/>
        <w:tab w:val="right" w:pos="8640"/>
      </w:tabs>
      <w:spacing w:after="0" w:line="240" w:lineRule="auto"/>
      <w:jc w:val="left"/>
    </w:pPr>
    <w:rPr>
      <w:rFonts w:cs="Arial"/>
      <w:color w:val="000000"/>
      <w:kern w:val="0"/>
      <w:sz w:val="18"/>
      <w:szCs w:val="18"/>
      <w:lang w:eastAsia="en-US"/>
    </w:rPr>
  </w:style>
  <w:style w:type="character" w:customStyle="1" w:styleId="HeaderChar">
    <w:name w:val="Header Char"/>
    <w:basedOn w:val="DefaultParagraphFont"/>
    <w:link w:val="Header"/>
    <w:rsid w:val="00D35BE7"/>
    <w:rPr>
      <w:rFonts w:ascii="Arial" w:eastAsia="Times New Roman" w:hAnsi="Arial" w:cs="Arial"/>
      <w:color w:val="000000"/>
      <w:kern w:val="0"/>
      <w:sz w:val="18"/>
      <w:szCs w:val="18"/>
      <w:lang w:val="en-GB"/>
      <w14:ligatures w14:val="none"/>
    </w:rPr>
  </w:style>
  <w:style w:type="paragraph" w:customStyle="1" w:styleId="Indent">
    <w:name w:val="Indent"/>
    <w:basedOn w:val="Normal"/>
    <w:rsid w:val="00D35BE7"/>
    <w:pPr>
      <w:numPr>
        <w:numId w:val="1"/>
      </w:numPr>
      <w:tabs>
        <w:tab w:val="clear" w:pos="850"/>
        <w:tab w:val="clear" w:pos="1701"/>
        <w:tab w:val="clear" w:pos="2835"/>
        <w:tab w:val="clear" w:pos="3969"/>
        <w:tab w:val="clear" w:pos="4706"/>
      </w:tabs>
    </w:pPr>
  </w:style>
  <w:style w:type="paragraph" w:styleId="FootnoteText">
    <w:name w:val="footnote text"/>
    <w:basedOn w:val="Normal"/>
    <w:link w:val="FootnoteTextChar"/>
    <w:uiPriority w:val="99"/>
    <w:semiHidden/>
    <w:unhideWhenUsed/>
    <w:rsid w:val="00D35BE7"/>
    <w:pPr>
      <w:spacing w:after="0" w:line="240" w:lineRule="auto"/>
    </w:pPr>
    <w:rPr>
      <w:sz w:val="20"/>
    </w:rPr>
  </w:style>
  <w:style w:type="character" w:customStyle="1" w:styleId="FootnoteTextChar">
    <w:name w:val="Footnote Text Char"/>
    <w:basedOn w:val="DefaultParagraphFont"/>
    <w:link w:val="FootnoteText"/>
    <w:uiPriority w:val="99"/>
    <w:semiHidden/>
    <w:rsid w:val="00D35BE7"/>
    <w:rPr>
      <w:rFonts w:ascii="Arial" w:eastAsia="Times New Roman" w:hAnsi="Arial" w:cs="Times New Roman"/>
      <w:kern w:val="25"/>
      <w:sz w:val="20"/>
      <w:szCs w:val="20"/>
      <w:lang w:val="en-GB" w:eastAsia="en-GB"/>
      <w14:ligatures w14:val="none"/>
    </w:rPr>
  </w:style>
  <w:style w:type="character" w:styleId="FootnoteReference">
    <w:name w:val="footnote reference"/>
    <w:basedOn w:val="DefaultParagraphFont"/>
    <w:uiPriority w:val="99"/>
    <w:semiHidden/>
    <w:unhideWhenUsed/>
    <w:rsid w:val="00D35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C302-DD8A-4C72-B5C8-CA78E657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Bishop</dc:creator>
  <cp:keywords/>
  <dc:description/>
  <cp:lastModifiedBy>Mokone</cp:lastModifiedBy>
  <cp:revision>3</cp:revision>
  <cp:lastPrinted>2023-09-01T15:23:00Z</cp:lastPrinted>
  <dcterms:created xsi:type="dcterms:W3CDTF">2023-09-11T14:04:00Z</dcterms:created>
  <dcterms:modified xsi:type="dcterms:W3CDTF">2023-09-11T14:04:00Z</dcterms:modified>
</cp:coreProperties>
</file>