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92AFA" w14:textId="77777777" w:rsidR="00633CD8" w:rsidRDefault="00633CD8" w:rsidP="00633CD8">
      <w:pPr>
        <w:pStyle w:val="LegalNormal"/>
        <w:spacing w:after="0" w:line="360" w:lineRule="auto"/>
        <w:jc w:val="center"/>
      </w:pPr>
      <w:r w:rsidRPr="00D0071D">
        <w:rPr>
          <w:noProof/>
          <w:color w:val="1F497D"/>
          <w:lang w:val="en-US" w:eastAsia="en-US"/>
        </w:rPr>
        <w:drawing>
          <wp:inline distT="0" distB="0" distL="0" distR="0" wp14:anchorId="4F9A44ED" wp14:editId="6C531C20">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1B229AAE" w14:textId="77777777" w:rsidR="00F11A88" w:rsidRDefault="00F11A88" w:rsidP="00633CD8">
      <w:pPr>
        <w:pStyle w:val="LegalTitle"/>
        <w:spacing w:after="0" w:line="360" w:lineRule="auto"/>
        <w:rPr>
          <w:u w:val="single"/>
        </w:rPr>
      </w:pPr>
    </w:p>
    <w:p w14:paraId="1994C13B" w14:textId="77777777" w:rsidR="00633CD8" w:rsidRPr="00520591" w:rsidRDefault="00633CD8" w:rsidP="00633CD8">
      <w:pPr>
        <w:pStyle w:val="LegalTitle"/>
        <w:spacing w:after="0" w:line="360" w:lineRule="auto"/>
        <w:rPr>
          <w:u w:val="single"/>
        </w:rPr>
      </w:pPr>
      <w:r w:rsidRPr="00520591">
        <w:rPr>
          <w:u w:val="single"/>
        </w:rPr>
        <w:t>IN THE HIGH COURT of south africa</w:t>
      </w:r>
    </w:p>
    <w:p w14:paraId="7AC5BADD" w14:textId="77777777" w:rsidR="00633CD8" w:rsidRDefault="00633CD8" w:rsidP="00633CD8">
      <w:pPr>
        <w:pStyle w:val="LegalTitle"/>
        <w:spacing w:after="0" w:line="360" w:lineRule="auto"/>
        <w:rPr>
          <w:u w:val="single"/>
        </w:rPr>
      </w:pPr>
      <w:r w:rsidRPr="00520591">
        <w:rPr>
          <w:u w:val="single"/>
        </w:rPr>
        <w:t xml:space="preserve">GAUTENG </w:t>
      </w:r>
      <w:r w:rsidR="008770E9">
        <w:rPr>
          <w:u w:val="single"/>
        </w:rPr>
        <w:t xml:space="preserve">LOCAL </w:t>
      </w:r>
      <w:r w:rsidRPr="00520591">
        <w:rPr>
          <w:u w:val="single"/>
        </w:rPr>
        <w:t xml:space="preserve">DIVISION, </w:t>
      </w:r>
      <w:r>
        <w:rPr>
          <w:u w:val="single"/>
        </w:rPr>
        <w:t>JOHANNESBURG</w:t>
      </w:r>
    </w:p>
    <w:p w14:paraId="0E9EA69A" w14:textId="77777777" w:rsidR="00633CD8" w:rsidRDefault="00633CD8" w:rsidP="00633CD8">
      <w:pPr>
        <w:pStyle w:val="LegalAnnexure"/>
        <w:spacing w:after="96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4B6AE445" wp14:editId="5EC41397">
                <wp:simplePos x="0" y="0"/>
                <wp:positionH relativeFrom="column">
                  <wp:posOffset>-127635</wp:posOffset>
                </wp:positionH>
                <wp:positionV relativeFrom="paragraph">
                  <wp:posOffset>173355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195CCB84" w14:textId="34CD3782" w:rsidR="00633CD8" w:rsidRDefault="009074E3" w:rsidP="009074E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17F85568" w14:textId="59E4ACFC" w:rsidR="00633CD8" w:rsidRDefault="009074E3" w:rsidP="009074E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2CF13114" w14:textId="3910F06F" w:rsidR="00633CD8" w:rsidRDefault="009074E3" w:rsidP="009074E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3BF48BE1"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E445"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">
                <v:textbox>
                  <w:txbxContent>
                    <w:p w14:paraId="195CCB84" w14:textId="34CD3782" w:rsidR="00633CD8" w:rsidRDefault="009074E3" w:rsidP="009074E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17F85568" w14:textId="59E4ACFC" w:rsidR="00633CD8" w:rsidRDefault="009074E3" w:rsidP="009074E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2CF13114" w14:textId="3910F06F" w:rsidR="00633CD8" w:rsidRDefault="009074E3" w:rsidP="009074E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3BF48BE1"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v:textbox>
              </v:shape>
            </w:pict>
          </mc:Fallback>
        </mc:AlternateContent>
      </w:r>
    </w:p>
    <w:p w14:paraId="776A0E3A" w14:textId="77777777" w:rsidR="00633CD8" w:rsidRDefault="00633CD8" w:rsidP="00633CD8">
      <w:pPr>
        <w:pStyle w:val="LegalAnnexure"/>
        <w:spacing w:after="0" w:line="360" w:lineRule="auto"/>
      </w:pPr>
    </w:p>
    <w:p w14:paraId="3AB0AE52" w14:textId="77777777" w:rsidR="0067473D" w:rsidRDefault="0067473D" w:rsidP="0067473D">
      <w:pPr>
        <w:pStyle w:val="LegalAnnexure"/>
        <w:spacing w:after="0" w:line="360" w:lineRule="auto"/>
      </w:pPr>
    </w:p>
    <w:p w14:paraId="271C6552" w14:textId="77777777" w:rsidR="0067473D" w:rsidRPr="001C6F28" w:rsidRDefault="0067473D" w:rsidP="0067473D">
      <w:pPr>
        <w:pStyle w:val="LegalAnnexure"/>
        <w:spacing w:after="0" w:line="360" w:lineRule="auto"/>
      </w:pPr>
      <w:r w:rsidRPr="00633CD8">
        <w:t xml:space="preserve"> </w:t>
      </w:r>
      <w:r>
        <w:rPr>
          <w:u w:val="single"/>
        </w:rPr>
        <w:t>CASE</w:t>
      </w:r>
      <w:r w:rsidRPr="00A84826">
        <w:rPr>
          <w:u w:val="single"/>
        </w:rPr>
        <w:t xml:space="preserve"> NO</w:t>
      </w:r>
      <w:r w:rsidRPr="002D4810">
        <w:rPr>
          <w:b w:val="0"/>
        </w:rPr>
        <w:t>:</w:t>
      </w:r>
      <w:r>
        <w:rPr>
          <w:b w:val="0"/>
        </w:rPr>
        <w:t xml:space="preserve"> 2021/25209</w:t>
      </w:r>
    </w:p>
    <w:p w14:paraId="0767B2FD" w14:textId="77777777" w:rsidR="0067473D" w:rsidRPr="0076063C" w:rsidRDefault="0067473D" w:rsidP="0067473D">
      <w:pPr>
        <w:pStyle w:val="LegalNormal"/>
        <w:spacing w:after="0" w:line="360" w:lineRule="auto"/>
        <w:jc w:val="right"/>
      </w:pPr>
      <w:r w:rsidRPr="0076063C">
        <w:rPr>
          <w:b/>
          <w:u w:val="single"/>
        </w:rPr>
        <w:t>DATE</w:t>
      </w:r>
      <w:r>
        <w:rPr>
          <w:b/>
        </w:rPr>
        <w:t xml:space="preserve">:                           </w:t>
      </w:r>
    </w:p>
    <w:p w14:paraId="304A503B" w14:textId="77777777" w:rsidR="0067473D" w:rsidRPr="00A84826" w:rsidRDefault="0067473D" w:rsidP="0067473D">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7473D" w:rsidRPr="00D905E4" w14:paraId="4F2BF076" w14:textId="77777777" w:rsidTr="00A0670F">
        <w:tc>
          <w:tcPr>
            <w:tcW w:w="6204" w:type="dxa"/>
          </w:tcPr>
          <w:p w14:paraId="2DF4A361" w14:textId="77777777" w:rsidR="0067473D" w:rsidRPr="00D905E4" w:rsidRDefault="0067473D" w:rsidP="00A0670F">
            <w:pPr>
              <w:pStyle w:val="Title"/>
              <w:rPr>
                <w:b/>
                <w:sz w:val="21"/>
              </w:rPr>
            </w:pPr>
            <w:r>
              <w:rPr>
                <w:b/>
                <w:sz w:val="21"/>
              </w:rPr>
              <w:t>ANCHEN VENTER</w:t>
            </w:r>
          </w:p>
        </w:tc>
        <w:tc>
          <w:tcPr>
            <w:tcW w:w="2606" w:type="dxa"/>
          </w:tcPr>
          <w:p w14:paraId="1D2C7FB4" w14:textId="77777777" w:rsidR="0067473D" w:rsidRPr="00D905E4" w:rsidRDefault="0067473D" w:rsidP="00A0670F">
            <w:pPr>
              <w:pStyle w:val="Title"/>
              <w:spacing w:line="360" w:lineRule="auto"/>
              <w:jc w:val="right"/>
              <w:rPr>
                <w:sz w:val="21"/>
              </w:rPr>
            </w:pPr>
            <w:r>
              <w:rPr>
                <w:sz w:val="21"/>
              </w:rPr>
              <w:t xml:space="preserve">First Applicant </w:t>
            </w:r>
            <w:r w:rsidRPr="00D905E4">
              <w:rPr>
                <w:sz w:val="21"/>
              </w:rPr>
              <w:t xml:space="preserve"> </w:t>
            </w:r>
          </w:p>
        </w:tc>
      </w:tr>
      <w:tr w:rsidR="0067473D" w:rsidRPr="00D905E4" w14:paraId="73140323" w14:textId="77777777" w:rsidTr="00A0670F">
        <w:tc>
          <w:tcPr>
            <w:tcW w:w="6204" w:type="dxa"/>
          </w:tcPr>
          <w:p w14:paraId="63B4B110" w14:textId="77777777" w:rsidR="0067473D" w:rsidRPr="008770E9" w:rsidRDefault="0067473D" w:rsidP="00A0670F">
            <w:pPr>
              <w:pStyle w:val="Title"/>
              <w:spacing w:line="360" w:lineRule="auto"/>
              <w:rPr>
                <w:b/>
                <w:bCs/>
                <w:sz w:val="21"/>
              </w:rPr>
            </w:pPr>
            <w:r>
              <w:rPr>
                <w:b/>
                <w:bCs/>
                <w:sz w:val="21"/>
              </w:rPr>
              <w:t>ANCHEN VENTER N.O.</w:t>
            </w:r>
          </w:p>
        </w:tc>
        <w:tc>
          <w:tcPr>
            <w:tcW w:w="2606" w:type="dxa"/>
          </w:tcPr>
          <w:p w14:paraId="25F9969E" w14:textId="77777777" w:rsidR="0067473D" w:rsidRPr="00D905E4" w:rsidRDefault="0067473D" w:rsidP="00A0670F">
            <w:pPr>
              <w:pStyle w:val="Title"/>
              <w:spacing w:line="360" w:lineRule="auto"/>
              <w:jc w:val="right"/>
              <w:rPr>
                <w:sz w:val="21"/>
              </w:rPr>
            </w:pPr>
            <w:r>
              <w:rPr>
                <w:sz w:val="21"/>
              </w:rPr>
              <w:t xml:space="preserve">Second Applicant </w:t>
            </w:r>
          </w:p>
        </w:tc>
      </w:tr>
      <w:tr w:rsidR="0067473D" w:rsidRPr="00D905E4" w14:paraId="0A9CF7DC" w14:textId="77777777" w:rsidTr="00A0670F">
        <w:tc>
          <w:tcPr>
            <w:tcW w:w="6204" w:type="dxa"/>
          </w:tcPr>
          <w:p w14:paraId="61C94A74" w14:textId="77777777" w:rsidR="0067473D" w:rsidRPr="00D905E4" w:rsidRDefault="0067473D" w:rsidP="00A0670F">
            <w:pPr>
              <w:pStyle w:val="Title"/>
              <w:spacing w:line="360" w:lineRule="auto"/>
              <w:rPr>
                <w:sz w:val="21"/>
              </w:rPr>
            </w:pPr>
          </w:p>
        </w:tc>
        <w:tc>
          <w:tcPr>
            <w:tcW w:w="2606" w:type="dxa"/>
          </w:tcPr>
          <w:p w14:paraId="023A1DFC" w14:textId="77777777" w:rsidR="0067473D" w:rsidRPr="00D905E4" w:rsidRDefault="0067473D" w:rsidP="00A0670F">
            <w:pPr>
              <w:pStyle w:val="Title"/>
              <w:spacing w:line="360" w:lineRule="auto"/>
              <w:rPr>
                <w:sz w:val="21"/>
              </w:rPr>
            </w:pPr>
          </w:p>
        </w:tc>
      </w:tr>
      <w:tr w:rsidR="0067473D" w:rsidRPr="00D905E4" w14:paraId="1C28E1E7" w14:textId="77777777" w:rsidTr="00A0670F">
        <w:tc>
          <w:tcPr>
            <w:tcW w:w="6204" w:type="dxa"/>
          </w:tcPr>
          <w:p w14:paraId="42DD65F3" w14:textId="77777777" w:rsidR="0067473D" w:rsidRPr="00D905E4" w:rsidRDefault="0067473D" w:rsidP="00A0670F">
            <w:pPr>
              <w:pStyle w:val="Title"/>
              <w:spacing w:line="360" w:lineRule="auto"/>
              <w:rPr>
                <w:sz w:val="21"/>
              </w:rPr>
            </w:pPr>
            <w:proofErr w:type="gramStart"/>
            <w:r w:rsidRPr="00D905E4">
              <w:rPr>
                <w:sz w:val="21"/>
              </w:rPr>
              <w:t>and</w:t>
            </w:r>
            <w:proofErr w:type="gramEnd"/>
          </w:p>
        </w:tc>
        <w:tc>
          <w:tcPr>
            <w:tcW w:w="2606" w:type="dxa"/>
          </w:tcPr>
          <w:p w14:paraId="429D007F" w14:textId="77777777" w:rsidR="0067473D" w:rsidRPr="00D905E4" w:rsidRDefault="0067473D" w:rsidP="00A0670F">
            <w:pPr>
              <w:pStyle w:val="Title"/>
              <w:spacing w:line="360" w:lineRule="auto"/>
              <w:rPr>
                <w:sz w:val="21"/>
              </w:rPr>
            </w:pPr>
          </w:p>
        </w:tc>
      </w:tr>
      <w:tr w:rsidR="0067473D" w:rsidRPr="00D905E4" w14:paraId="4946A548" w14:textId="77777777" w:rsidTr="00A0670F">
        <w:tc>
          <w:tcPr>
            <w:tcW w:w="6204" w:type="dxa"/>
          </w:tcPr>
          <w:p w14:paraId="676F259F" w14:textId="77777777" w:rsidR="0067473D" w:rsidRPr="00D905E4" w:rsidRDefault="0067473D" w:rsidP="00A0670F">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2E032246" w14:textId="77777777" w:rsidR="0067473D" w:rsidRPr="00D905E4" w:rsidRDefault="0067473D" w:rsidP="00A0670F">
            <w:pPr>
              <w:pStyle w:val="Title"/>
              <w:spacing w:line="360" w:lineRule="auto"/>
              <w:jc w:val="right"/>
              <w:rPr>
                <w:sz w:val="21"/>
              </w:rPr>
            </w:pPr>
          </w:p>
        </w:tc>
      </w:tr>
      <w:tr w:rsidR="0067473D" w:rsidRPr="00D905E4" w14:paraId="47397981" w14:textId="77777777" w:rsidTr="00A0670F">
        <w:tc>
          <w:tcPr>
            <w:tcW w:w="6204" w:type="dxa"/>
          </w:tcPr>
          <w:p w14:paraId="363F8A6E" w14:textId="77777777" w:rsidR="0067473D" w:rsidRPr="00D905E4" w:rsidRDefault="0067473D" w:rsidP="00A0670F">
            <w:pPr>
              <w:pStyle w:val="Title"/>
              <w:rPr>
                <w:bCs/>
                <w:sz w:val="21"/>
              </w:rPr>
            </w:pPr>
            <w:r>
              <w:rPr>
                <w:b/>
                <w:sz w:val="21"/>
              </w:rPr>
              <w:t>ASTFIN (SA) (PTY) LIMITED</w:t>
            </w:r>
          </w:p>
        </w:tc>
        <w:tc>
          <w:tcPr>
            <w:tcW w:w="2606" w:type="dxa"/>
          </w:tcPr>
          <w:p w14:paraId="3EAE7E8B" w14:textId="77777777" w:rsidR="0067473D" w:rsidRPr="00D905E4" w:rsidRDefault="0067473D" w:rsidP="00A0670F">
            <w:pPr>
              <w:pStyle w:val="Title"/>
              <w:spacing w:line="360" w:lineRule="auto"/>
              <w:jc w:val="right"/>
              <w:rPr>
                <w:sz w:val="21"/>
              </w:rPr>
            </w:pPr>
            <w:r>
              <w:rPr>
                <w:sz w:val="21"/>
              </w:rPr>
              <w:t xml:space="preserve">First </w:t>
            </w:r>
            <w:r w:rsidRPr="00D905E4">
              <w:rPr>
                <w:sz w:val="21"/>
              </w:rPr>
              <w:t>Respondent</w:t>
            </w:r>
            <w:r>
              <w:rPr>
                <w:sz w:val="21"/>
              </w:rPr>
              <w:t xml:space="preserve"> </w:t>
            </w:r>
            <w:r w:rsidRPr="00D905E4">
              <w:rPr>
                <w:sz w:val="21"/>
              </w:rPr>
              <w:t xml:space="preserve"> </w:t>
            </w:r>
          </w:p>
        </w:tc>
      </w:tr>
      <w:tr w:rsidR="0067473D" w:rsidRPr="00D905E4" w14:paraId="6BA34F45" w14:textId="77777777" w:rsidTr="00A0670F">
        <w:tc>
          <w:tcPr>
            <w:tcW w:w="6204" w:type="dxa"/>
          </w:tcPr>
          <w:p w14:paraId="02F72FFF" w14:textId="77777777" w:rsidR="0067473D" w:rsidRDefault="0067473D" w:rsidP="00A0670F">
            <w:pPr>
              <w:pStyle w:val="Title"/>
              <w:rPr>
                <w:b/>
                <w:sz w:val="21"/>
              </w:rPr>
            </w:pPr>
            <w:r>
              <w:rPr>
                <w:b/>
                <w:sz w:val="21"/>
              </w:rPr>
              <w:t>JOHANNES GEORGE VENTER</w:t>
            </w:r>
          </w:p>
        </w:tc>
        <w:tc>
          <w:tcPr>
            <w:tcW w:w="2606" w:type="dxa"/>
          </w:tcPr>
          <w:p w14:paraId="5FF8ECDA" w14:textId="77777777" w:rsidR="0067473D" w:rsidRDefault="0067473D" w:rsidP="00A0670F">
            <w:pPr>
              <w:pStyle w:val="Title"/>
              <w:spacing w:line="360" w:lineRule="auto"/>
              <w:jc w:val="right"/>
              <w:rPr>
                <w:sz w:val="21"/>
              </w:rPr>
            </w:pPr>
            <w:r>
              <w:rPr>
                <w:sz w:val="21"/>
              </w:rPr>
              <w:t xml:space="preserve">Second Respondent </w:t>
            </w:r>
          </w:p>
        </w:tc>
      </w:tr>
      <w:tr w:rsidR="0067473D" w:rsidRPr="00D905E4" w14:paraId="32AEEBAF" w14:textId="77777777" w:rsidTr="00A0670F">
        <w:tc>
          <w:tcPr>
            <w:tcW w:w="6204" w:type="dxa"/>
          </w:tcPr>
          <w:p w14:paraId="7325065F" w14:textId="77777777" w:rsidR="0067473D" w:rsidRDefault="0067473D" w:rsidP="00A0670F">
            <w:pPr>
              <w:pStyle w:val="Title"/>
              <w:rPr>
                <w:b/>
                <w:sz w:val="21"/>
              </w:rPr>
            </w:pPr>
            <w:r>
              <w:rPr>
                <w:b/>
                <w:sz w:val="21"/>
              </w:rPr>
              <w:t>JOHANNES GEORGE VENTER N.O.</w:t>
            </w:r>
          </w:p>
        </w:tc>
        <w:tc>
          <w:tcPr>
            <w:tcW w:w="2606" w:type="dxa"/>
          </w:tcPr>
          <w:p w14:paraId="6E725189" w14:textId="77777777" w:rsidR="0067473D" w:rsidRDefault="0067473D" w:rsidP="00A0670F">
            <w:pPr>
              <w:pStyle w:val="Title"/>
              <w:spacing w:line="360" w:lineRule="auto"/>
              <w:jc w:val="right"/>
              <w:rPr>
                <w:sz w:val="21"/>
              </w:rPr>
            </w:pPr>
            <w:r>
              <w:rPr>
                <w:sz w:val="21"/>
              </w:rPr>
              <w:t xml:space="preserve">Third Respondent </w:t>
            </w:r>
          </w:p>
        </w:tc>
      </w:tr>
      <w:tr w:rsidR="0067473D" w:rsidRPr="00D905E4" w14:paraId="6D851D5C" w14:textId="77777777" w:rsidTr="00A0670F">
        <w:tc>
          <w:tcPr>
            <w:tcW w:w="6204" w:type="dxa"/>
          </w:tcPr>
          <w:p w14:paraId="7B94563D" w14:textId="77777777" w:rsidR="0067473D" w:rsidRDefault="0067473D" w:rsidP="00A0670F">
            <w:pPr>
              <w:pStyle w:val="Title"/>
              <w:rPr>
                <w:b/>
                <w:sz w:val="21"/>
              </w:rPr>
            </w:pPr>
            <w:r>
              <w:rPr>
                <w:b/>
                <w:sz w:val="21"/>
              </w:rPr>
              <w:t>JONATHAN BARON N.O.</w:t>
            </w:r>
          </w:p>
        </w:tc>
        <w:tc>
          <w:tcPr>
            <w:tcW w:w="2606" w:type="dxa"/>
          </w:tcPr>
          <w:p w14:paraId="04BD4ECF" w14:textId="77777777" w:rsidR="0067473D" w:rsidRDefault="0067473D" w:rsidP="00A0670F">
            <w:pPr>
              <w:pStyle w:val="Title"/>
              <w:spacing w:line="360" w:lineRule="auto"/>
              <w:jc w:val="right"/>
              <w:rPr>
                <w:sz w:val="21"/>
              </w:rPr>
            </w:pPr>
            <w:r>
              <w:rPr>
                <w:sz w:val="21"/>
              </w:rPr>
              <w:t xml:space="preserve">Fourth Respondent </w:t>
            </w:r>
          </w:p>
        </w:tc>
      </w:tr>
      <w:tr w:rsidR="0067473D" w:rsidRPr="00D905E4" w14:paraId="2847D477" w14:textId="77777777" w:rsidTr="00A0670F">
        <w:tc>
          <w:tcPr>
            <w:tcW w:w="6204" w:type="dxa"/>
          </w:tcPr>
          <w:p w14:paraId="26C43B2C" w14:textId="77777777" w:rsidR="0067473D" w:rsidRDefault="0067473D" w:rsidP="00A0670F">
            <w:pPr>
              <w:pStyle w:val="Title"/>
              <w:rPr>
                <w:b/>
                <w:sz w:val="21"/>
              </w:rPr>
            </w:pPr>
            <w:r>
              <w:rPr>
                <w:b/>
                <w:sz w:val="21"/>
              </w:rPr>
              <w:t>SKIATHOS B2 PROPERTY INVESTMENTS CC</w:t>
            </w:r>
          </w:p>
        </w:tc>
        <w:tc>
          <w:tcPr>
            <w:tcW w:w="2606" w:type="dxa"/>
          </w:tcPr>
          <w:p w14:paraId="511EDE6D" w14:textId="77777777" w:rsidR="0067473D" w:rsidRDefault="0067473D" w:rsidP="00A0670F">
            <w:pPr>
              <w:pStyle w:val="Title"/>
              <w:spacing w:line="360" w:lineRule="auto"/>
              <w:jc w:val="right"/>
              <w:rPr>
                <w:sz w:val="21"/>
              </w:rPr>
            </w:pPr>
            <w:r>
              <w:rPr>
                <w:sz w:val="21"/>
              </w:rPr>
              <w:t xml:space="preserve">Fifth Respondent </w:t>
            </w:r>
          </w:p>
        </w:tc>
      </w:tr>
      <w:tr w:rsidR="0067473D" w:rsidRPr="00D905E4" w14:paraId="3EC3D427" w14:textId="77777777" w:rsidTr="00A0670F">
        <w:tc>
          <w:tcPr>
            <w:tcW w:w="6204" w:type="dxa"/>
          </w:tcPr>
          <w:p w14:paraId="66AE9D0A" w14:textId="77777777" w:rsidR="0067473D" w:rsidRDefault="0067473D" w:rsidP="00A0670F">
            <w:pPr>
              <w:pStyle w:val="Title"/>
              <w:rPr>
                <w:b/>
                <w:sz w:val="21"/>
              </w:rPr>
            </w:pPr>
            <w:r>
              <w:rPr>
                <w:b/>
                <w:sz w:val="21"/>
              </w:rPr>
              <w:t>NRB CAPITAL SOLUTIONS (PTY) LIMITED</w:t>
            </w:r>
          </w:p>
        </w:tc>
        <w:tc>
          <w:tcPr>
            <w:tcW w:w="2606" w:type="dxa"/>
          </w:tcPr>
          <w:p w14:paraId="53CB713B" w14:textId="77777777" w:rsidR="0067473D" w:rsidRDefault="0067473D" w:rsidP="00A0670F">
            <w:pPr>
              <w:pStyle w:val="Title"/>
              <w:spacing w:line="360" w:lineRule="auto"/>
              <w:jc w:val="right"/>
              <w:rPr>
                <w:sz w:val="21"/>
              </w:rPr>
            </w:pPr>
            <w:r>
              <w:rPr>
                <w:sz w:val="21"/>
              </w:rPr>
              <w:t xml:space="preserve">Sixth Respondent </w:t>
            </w:r>
          </w:p>
        </w:tc>
      </w:tr>
      <w:tr w:rsidR="0067473D" w:rsidRPr="00D905E4" w14:paraId="5B641E40" w14:textId="77777777" w:rsidTr="00A0670F">
        <w:tc>
          <w:tcPr>
            <w:tcW w:w="6204" w:type="dxa"/>
          </w:tcPr>
          <w:p w14:paraId="79AEAF56" w14:textId="77777777" w:rsidR="0067473D" w:rsidRDefault="0067473D" w:rsidP="00A0670F">
            <w:pPr>
              <w:pStyle w:val="Title"/>
              <w:rPr>
                <w:b/>
                <w:sz w:val="21"/>
              </w:rPr>
            </w:pPr>
            <w:r>
              <w:rPr>
                <w:b/>
                <w:sz w:val="21"/>
              </w:rPr>
              <w:t>FOREST DAWN SYSTEMS (PTY) LIMITED</w:t>
            </w:r>
          </w:p>
        </w:tc>
        <w:tc>
          <w:tcPr>
            <w:tcW w:w="2606" w:type="dxa"/>
          </w:tcPr>
          <w:p w14:paraId="3D8967E9" w14:textId="77777777" w:rsidR="0067473D" w:rsidRDefault="0067473D" w:rsidP="00A0670F">
            <w:pPr>
              <w:pStyle w:val="Title"/>
              <w:spacing w:line="360" w:lineRule="auto"/>
              <w:jc w:val="right"/>
              <w:rPr>
                <w:sz w:val="21"/>
              </w:rPr>
            </w:pPr>
            <w:r>
              <w:rPr>
                <w:sz w:val="21"/>
              </w:rPr>
              <w:t xml:space="preserve">Seventh Respondent </w:t>
            </w:r>
          </w:p>
        </w:tc>
      </w:tr>
      <w:tr w:rsidR="0067473D" w:rsidRPr="00D905E4" w14:paraId="60DEFA62" w14:textId="77777777" w:rsidTr="00A0670F">
        <w:tc>
          <w:tcPr>
            <w:tcW w:w="6204" w:type="dxa"/>
          </w:tcPr>
          <w:p w14:paraId="2AE95777" w14:textId="77777777" w:rsidR="0067473D" w:rsidRDefault="0067473D" w:rsidP="00A0670F">
            <w:pPr>
              <w:pStyle w:val="Title"/>
              <w:rPr>
                <w:b/>
                <w:sz w:val="21"/>
              </w:rPr>
            </w:pPr>
            <w:r>
              <w:rPr>
                <w:b/>
                <w:sz w:val="21"/>
              </w:rPr>
              <w:t>NRB SERVICES (PTY) LIMITED</w:t>
            </w:r>
          </w:p>
        </w:tc>
        <w:tc>
          <w:tcPr>
            <w:tcW w:w="2606" w:type="dxa"/>
          </w:tcPr>
          <w:p w14:paraId="54CD3E61" w14:textId="77777777" w:rsidR="0067473D" w:rsidRDefault="0067473D" w:rsidP="00A0670F">
            <w:pPr>
              <w:pStyle w:val="Title"/>
              <w:spacing w:line="360" w:lineRule="auto"/>
              <w:jc w:val="right"/>
              <w:rPr>
                <w:sz w:val="21"/>
              </w:rPr>
            </w:pPr>
            <w:r>
              <w:rPr>
                <w:sz w:val="21"/>
              </w:rPr>
              <w:t xml:space="preserve">Eighth Respondent </w:t>
            </w:r>
          </w:p>
        </w:tc>
      </w:tr>
      <w:tr w:rsidR="0067473D" w:rsidRPr="00D905E4" w14:paraId="65F7C7D4" w14:textId="77777777" w:rsidTr="00A0670F">
        <w:tc>
          <w:tcPr>
            <w:tcW w:w="6204" w:type="dxa"/>
          </w:tcPr>
          <w:p w14:paraId="65387810" w14:textId="77777777" w:rsidR="0067473D" w:rsidRDefault="0067473D" w:rsidP="00A0670F">
            <w:pPr>
              <w:pStyle w:val="Title"/>
              <w:rPr>
                <w:b/>
                <w:sz w:val="21"/>
              </w:rPr>
            </w:pPr>
            <w:r>
              <w:rPr>
                <w:b/>
                <w:sz w:val="21"/>
              </w:rPr>
              <w:t>SHELF INVESTMENTS NO. 32 (PTY) LIMITED</w:t>
            </w:r>
          </w:p>
        </w:tc>
        <w:tc>
          <w:tcPr>
            <w:tcW w:w="2606" w:type="dxa"/>
          </w:tcPr>
          <w:p w14:paraId="4262DE52" w14:textId="77777777" w:rsidR="0067473D" w:rsidRDefault="0067473D" w:rsidP="00A0670F">
            <w:pPr>
              <w:pStyle w:val="Title"/>
              <w:spacing w:line="360" w:lineRule="auto"/>
              <w:jc w:val="right"/>
              <w:rPr>
                <w:sz w:val="21"/>
              </w:rPr>
            </w:pPr>
            <w:r>
              <w:rPr>
                <w:sz w:val="21"/>
              </w:rPr>
              <w:t xml:space="preserve">Ninth Respondent </w:t>
            </w:r>
          </w:p>
        </w:tc>
      </w:tr>
      <w:tr w:rsidR="0067473D" w:rsidRPr="00D905E4" w14:paraId="56156EF4" w14:textId="77777777" w:rsidTr="00A0670F">
        <w:tc>
          <w:tcPr>
            <w:tcW w:w="6204" w:type="dxa"/>
          </w:tcPr>
          <w:p w14:paraId="6DB9FA43" w14:textId="77777777" w:rsidR="0067473D" w:rsidRDefault="0067473D" w:rsidP="00A0670F">
            <w:pPr>
              <w:pStyle w:val="Title"/>
              <w:rPr>
                <w:b/>
                <w:sz w:val="21"/>
              </w:rPr>
            </w:pPr>
            <w:r>
              <w:rPr>
                <w:b/>
                <w:sz w:val="21"/>
              </w:rPr>
              <w:t>NRB RENTAL SOLUTIONS (PTY) LIMITED</w:t>
            </w:r>
          </w:p>
        </w:tc>
        <w:tc>
          <w:tcPr>
            <w:tcW w:w="2606" w:type="dxa"/>
          </w:tcPr>
          <w:p w14:paraId="12C2CBE9" w14:textId="77777777" w:rsidR="0067473D" w:rsidRDefault="0067473D" w:rsidP="00A0670F">
            <w:pPr>
              <w:pStyle w:val="Title"/>
              <w:spacing w:line="360" w:lineRule="auto"/>
              <w:jc w:val="right"/>
              <w:rPr>
                <w:sz w:val="21"/>
              </w:rPr>
            </w:pPr>
            <w:r>
              <w:rPr>
                <w:sz w:val="21"/>
              </w:rPr>
              <w:t xml:space="preserve">Tenth Respondent </w:t>
            </w:r>
          </w:p>
        </w:tc>
      </w:tr>
      <w:tr w:rsidR="0067473D" w:rsidRPr="00D905E4" w14:paraId="7AD7D576" w14:textId="77777777" w:rsidTr="00A0670F">
        <w:tc>
          <w:tcPr>
            <w:tcW w:w="6204" w:type="dxa"/>
          </w:tcPr>
          <w:p w14:paraId="0F4E6128" w14:textId="77777777" w:rsidR="0067473D" w:rsidRDefault="0067473D" w:rsidP="00A0670F">
            <w:pPr>
              <w:pStyle w:val="Title"/>
              <w:rPr>
                <w:b/>
                <w:sz w:val="21"/>
              </w:rPr>
            </w:pPr>
            <w:r>
              <w:rPr>
                <w:b/>
                <w:sz w:val="21"/>
              </w:rPr>
              <w:t>SCRAP-N4 AFRICA (PTY) LIMITED</w:t>
            </w:r>
          </w:p>
        </w:tc>
        <w:tc>
          <w:tcPr>
            <w:tcW w:w="2606" w:type="dxa"/>
          </w:tcPr>
          <w:p w14:paraId="4CF1FF31" w14:textId="77777777" w:rsidR="0067473D" w:rsidRDefault="0067473D" w:rsidP="00A0670F">
            <w:pPr>
              <w:pStyle w:val="Title"/>
              <w:spacing w:line="360" w:lineRule="auto"/>
              <w:jc w:val="right"/>
              <w:rPr>
                <w:sz w:val="21"/>
              </w:rPr>
            </w:pPr>
            <w:r>
              <w:rPr>
                <w:sz w:val="21"/>
              </w:rPr>
              <w:t xml:space="preserve">Eleventh Respondent </w:t>
            </w:r>
          </w:p>
        </w:tc>
      </w:tr>
      <w:tr w:rsidR="0067473D" w:rsidRPr="00D905E4" w14:paraId="71FAD4E7" w14:textId="77777777" w:rsidTr="00A0670F">
        <w:tc>
          <w:tcPr>
            <w:tcW w:w="6204" w:type="dxa"/>
          </w:tcPr>
          <w:p w14:paraId="452507D4" w14:textId="77777777" w:rsidR="0067473D" w:rsidRDefault="0067473D" w:rsidP="00A0670F">
            <w:pPr>
              <w:pStyle w:val="Title"/>
              <w:rPr>
                <w:b/>
                <w:sz w:val="21"/>
              </w:rPr>
            </w:pPr>
            <w:r>
              <w:rPr>
                <w:b/>
                <w:sz w:val="21"/>
              </w:rPr>
              <w:t>J KWADRANT (PTY) LIMITED</w:t>
            </w:r>
          </w:p>
        </w:tc>
        <w:tc>
          <w:tcPr>
            <w:tcW w:w="2606" w:type="dxa"/>
          </w:tcPr>
          <w:p w14:paraId="38AA2283" w14:textId="77777777" w:rsidR="0067473D" w:rsidRDefault="0067473D" w:rsidP="00A0670F">
            <w:pPr>
              <w:pStyle w:val="Title"/>
              <w:spacing w:line="360" w:lineRule="auto"/>
              <w:jc w:val="right"/>
              <w:rPr>
                <w:sz w:val="21"/>
              </w:rPr>
            </w:pPr>
            <w:r>
              <w:rPr>
                <w:sz w:val="21"/>
              </w:rPr>
              <w:t xml:space="preserve">Twelfth Respondent </w:t>
            </w:r>
          </w:p>
        </w:tc>
      </w:tr>
      <w:tr w:rsidR="0067473D" w:rsidRPr="00D905E4" w14:paraId="01680534" w14:textId="77777777" w:rsidTr="00A0670F">
        <w:tc>
          <w:tcPr>
            <w:tcW w:w="6204" w:type="dxa"/>
          </w:tcPr>
          <w:p w14:paraId="3EC68F8A" w14:textId="77777777" w:rsidR="0067473D" w:rsidRDefault="0067473D" w:rsidP="00A0670F">
            <w:pPr>
              <w:pStyle w:val="Title"/>
              <w:rPr>
                <w:b/>
                <w:sz w:val="21"/>
              </w:rPr>
            </w:pPr>
            <w:r>
              <w:rPr>
                <w:b/>
                <w:sz w:val="21"/>
              </w:rPr>
              <w:t>PLANET FINANCE CORPORATION (PTY) LIMITED</w:t>
            </w:r>
          </w:p>
        </w:tc>
        <w:tc>
          <w:tcPr>
            <w:tcW w:w="2606" w:type="dxa"/>
          </w:tcPr>
          <w:p w14:paraId="627D7114" w14:textId="77777777" w:rsidR="0067473D" w:rsidRDefault="0067473D" w:rsidP="00A0670F">
            <w:pPr>
              <w:pStyle w:val="Title"/>
              <w:spacing w:line="360" w:lineRule="auto"/>
              <w:jc w:val="right"/>
              <w:rPr>
                <w:sz w:val="21"/>
              </w:rPr>
            </w:pPr>
            <w:r>
              <w:rPr>
                <w:sz w:val="21"/>
              </w:rPr>
              <w:t xml:space="preserve">Thirteenth Respondent </w:t>
            </w:r>
          </w:p>
        </w:tc>
      </w:tr>
      <w:tr w:rsidR="0067473D" w:rsidRPr="00D905E4" w14:paraId="4DF0E1C7" w14:textId="77777777" w:rsidTr="00A0670F">
        <w:tc>
          <w:tcPr>
            <w:tcW w:w="6204" w:type="dxa"/>
          </w:tcPr>
          <w:p w14:paraId="0E9C55D0" w14:textId="77777777" w:rsidR="0067473D" w:rsidRDefault="0067473D" w:rsidP="00A0670F">
            <w:pPr>
              <w:pStyle w:val="Title"/>
              <w:rPr>
                <w:b/>
                <w:sz w:val="21"/>
              </w:rPr>
            </w:pPr>
            <w:r>
              <w:rPr>
                <w:b/>
                <w:sz w:val="21"/>
              </w:rPr>
              <w:t>SOUTH AFRICAN REVENUE SERVICE</w:t>
            </w:r>
          </w:p>
        </w:tc>
        <w:tc>
          <w:tcPr>
            <w:tcW w:w="2606" w:type="dxa"/>
          </w:tcPr>
          <w:p w14:paraId="1E94CFB4" w14:textId="77777777" w:rsidR="0067473D" w:rsidRDefault="0067473D" w:rsidP="00A0670F">
            <w:pPr>
              <w:pStyle w:val="Title"/>
              <w:spacing w:line="360" w:lineRule="auto"/>
              <w:jc w:val="right"/>
              <w:rPr>
                <w:sz w:val="21"/>
              </w:rPr>
            </w:pPr>
            <w:r>
              <w:rPr>
                <w:sz w:val="21"/>
              </w:rPr>
              <w:t xml:space="preserve">Fourteenth Respondent </w:t>
            </w:r>
          </w:p>
        </w:tc>
      </w:tr>
    </w:tbl>
    <w:p w14:paraId="2D126606" w14:textId="77777777" w:rsidR="0067473D" w:rsidRPr="00D905E4" w:rsidRDefault="0067473D" w:rsidP="0067473D">
      <w:pPr>
        <w:pStyle w:val="Title"/>
        <w:rPr>
          <w:sz w:val="21"/>
        </w:rPr>
      </w:pPr>
    </w:p>
    <w:p w14:paraId="35E0C45B" w14:textId="07B69D36" w:rsidR="0067473D" w:rsidRDefault="0067473D" w:rsidP="0067473D">
      <w:pPr>
        <w:tabs>
          <w:tab w:val="left" w:pos="1418"/>
        </w:tabs>
        <w:spacing w:before="120" w:after="120"/>
        <w:rPr>
          <w:rFonts w:cs="Arial"/>
        </w:rPr>
      </w:pPr>
      <w:r>
        <w:rPr>
          <w:rFonts w:cs="Arial"/>
          <w:b/>
          <w:bCs/>
        </w:rPr>
        <w:t>Coram:</w:t>
      </w:r>
      <w:r>
        <w:rPr>
          <w:rFonts w:cs="Arial"/>
        </w:rPr>
        <w:tab/>
      </w:r>
      <w:r w:rsidR="00482BBC">
        <w:rPr>
          <w:rFonts w:cs="Arial"/>
        </w:rPr>
        <w:tab/>
      </w:r>
      <w:proofErr w:type="spellStart"/>
      <w:r w:rsidR="00482BBC">
        <w:rPr>
          <w:rFonts w:cs="Arial"/>
        </w:rPr>
        <w:t>Ternent</w:t>
      </w:r>
      <w:proofErr w:type="spellEnd"/>
      <w:r w:rsidR="00482BBC">
        <w:rPr>
          <w:rFonts w:cs="Arial"/>
        </w:rPr>
        <w:t xml:space="preserve"> AJ</w:t>
      </w:r>
    </w:p>
    <w:p w14:paraId="0AD9982D" w14:textId="49D770A3" w:rsidR="0067473D" w:rsidRDefault="0067473D" w:rsidP="0067473D">
      <w:pPr>
        <w:spacing w:after="120"/>
        <w:ind w:left="1418" w:hanging="1418"/>
        <w:rPr>
          <w:rFonts w:cs="Arial"/>
          <w:b/>
        </w:rPr>
      </w:pPr>
      <w:r>
        <w:rPr>
          <w:rFonts w:cs="Arial"/>
          <w:b/>
          <w:bCs/>
        </w:rPr>
        <w:t>Heard on</w:t>
      </w:r>
      <w:r>
        <w:rPr>
          <w:rFonts w:cs="Arial"/>
        </w:rPr>
        <w:t>:</w:t>
      </w:r>
      <w:r>
        <w:rPr>
          <w:rFonts w:cs="Arial"/>
        </w:rPr>
        <w:tab/>
      </w:r>
      <w:r w:rsidR="00055189">
        <w:rPr>
          <w:rFonts w:cs="Arial"/>
        </w:rPr>
        <w:t>9</w:t>
      </w:r>
      <w:r>
        <w:rPr>
          <w:rFonts w:cs="Arial"/>
        </w:rPr>
        <w:t xml:space="preserve"> and </w:t>
      </w:r>
      <w:r w:rsidR="00055189">
        <w:rPr>
          <w:rFonts w:cs="Arial"/>
        </w:rPr>
        <w:t xml:space="preserve">11 </w:t>
      </w:r>
      <w:r>
        <w:rPr>
          <w:rFonts w:cs="Arial"/>
        </w:rPr>
        <w:t>November 2022</w:t>
      </w:r>
    </w:p>
    <w:p w14:paraId="58AFA3E7" w14:textId="51E8550C" w:rsidR="0067473D" w:rsidRDefault="0067473D" w:rsidP="0067473D">
      <w:pPr>
        <w:tabs>
          <w:tab w:val="left" w:pos="1418"/>
        </w:tabs>
        <w:spacing w:after="120"/>
        <w:ind w:left="1418" w:hanging="1418"/>
        <w:rPr>
          <w:rFonts w:cs="Arial"/>
        </w:rPr>
      </w:pPr>
      <w:r>
        <w:rPr>
          <w:rFonts w:cs="Arial"/>
          <w:b/>
        </w:rPr>
        <w:t>Delivered:</w:t>
      </w:r>
      <w:r>
        <w:rPr>
          <w:rFonts w:cs="Arial"/>
          <w:b/>
        </w:rPr>
        <w:tab/>
      </w:r>
      <w:r w:rsidR="00482BBC">
        <w:rPr>
          <w:rFonts w:cs="Arial"/>
          <w:b/>
        </w:rPr>
        <w:t>8 September 2023</w:t>
      </w:r>
    </w:p>
    <w:p w14:paraId="652FBF8A" w14:textId="77777777" w:rsidR="0067473D" w:rsidRDefault="0067473D" w:rsidP="0067473D">
      <w:pPr>
        <w:spacing w:after="240"/>
        <w:rPr>
          <w:rFonts w:cs="Arial"/>
        </w:rPr>
      </w:pPr>
      <w:r>
        <w:rPr>
          <w:rFonts w:cs="Arial"/>
          <w:b/>
          <w:bCs/>
        </w:rPr>
        <w:t>Summary:</w:t>
      </w:r>
      <w:r>
        <w:rPr>
          <w:rFonts w:cs="Arial"/>
          <w:b/>
          <w:bCs/>
        </w:rPr>
        <w:tab/>
      </w:r>
    </w:p>
    <w:p w14:paraId="73D3FD2D" w14:textId="77777777" w:rsidR="0067473D" w:rsidRPr="00A84826" w:rsidRDefault="0067473D" w:rsidP="0067473D">
      <w:pPr>
        <w:pStyle w:val="LegalTramLines"/>
        <w:spacing w:after="240"/>
      </w:pPr>
      <w:r>
        <w:t xml:space="preserve">JUDGMENT </w:t>
      </w:r>
    </w:p>
    <w:p w14:paraId="26A4A4B4" w14:textId="77777777" w:rsidR="0067473D" w:rsidRDefault="0067473D" w:rsidP="0067473D">
      <w:pPr>
        <w:pStyle w:val="Heading1"/>
        <w:keepNext/>
        <w:numPr>
          <w:ilvl w:val="0"/>
          <w:numId w:val="0"/>
        </w:numPr>
        <w:ind w:left="862" w:hanging="862"/>
      </w:pPr>
      <w:bookmarkStart w:id="0" w:name="_Hlk81386236"/>
      <w:bookmarkStart w:id="1" w:name="_Hlk81386419"/>
      <w:r w:rsidRPr="000460FA">
        <w:rPr>
          <w:b/>
          <w:bCs/>
          <w:u w:val="single"/>
        </w:rPr>
        <w:t>TERNENT, AJ</w:t>
      </w:r>
      <w:r w:rsidRPr="005F5D78">
        <w:t>:</w:t>
      </w:r>
      <w:bookmarkEnd w:id="0"/>
    </w:p>
    <w:p w14:paraId="41C3A297" w14:textId="5FA07670" w:rsidR="00A75965" w:rsidRPr="00A75965" w:rsidRDefault="00A75965" w:rsidP="00A75965">
      <w:pPr>
        <w:pStyle w:val="Heading1"/>
        <w:numPr>
          <w:ilvl w:val="0"/>
          <w:numId w:val="0"/>
        </w:numPr>
        <w:ind w:left="862" w:hanging="862"/>
        <w:rPr>
          <w:b/>
          <w:bCs/>
          <w:u w:val="single"/>
        </w:rPr>
      </w:pPr>
      <w:bookmarkStart w:id="2" w:name="_Hlk81386187"/>
      <w:r>
        <w:rPr>
          <w:b/>
          <w:bCs/>
          <w:u w:val="single"/>
        </w:rPr>
        <w:t xml:space="preserve">THE DECLARATORY APPLICATION </w:t>
      </w:r>
    </w:p>
    <w:p w14:paraId="154F62E3" w14:textId="60ABC77D" w:rsidR="0067473D" w:rsidRDefault="009074E3" w:rsidP="009074E3">
      <w:pPr>
        <w:pStyle w:val="Heading1"/>
        <w:numPr>
          <w:ilvl w:val="0"/>
          <w:numId w:val="0"/>
        </w:numPr>
        <w:tabs>
          <w:tab w:val="left" w:pos="862"/>
        </w:tabs>
        <w:ind w:left="862" w:hanging="862"/>
      </w:pPr>
      <w:r>
        <w:t>[1</w:t>
      </w:r>
      <w:bookmarkStart w:id="3" w:name="_GoBack"/>
      <w:bookmarkEnd w:id="3"/>
      <w:r>
        <w:t>]</w:t>
      </w:r>
      <w:r>
        <w:tab/>
      </w:r>
      <w:r w:rsidR="0067473D">
        <w:t xml:space="preserve">This opposed application came before me on 9 November 2022. </w:t>
      </w:r>
      <w:r w:rsidR="004C3E5A">
        <w:t>Before</w:t>
      </w:r>
      <w:r w:rsidR="0067473D">
        <w:t xml:space="preserve"> dealing with the application, I dealt with a further application brought by the applicants (jointly referred to in this judgment as “the applicant”) against the first respondent (“</w:t>
      </w:r>
      <w:proofErr w:type="spellStart"/>
      <w:r w:rsidR="0067473D">
        <w:t>Astfin</w:t>
      </w:r>
      <w:proofErr w:type="spellEnd"/>
      <w:r w:rsidR="0067473D">
        <w:t>”)</w:t>
      </w:r>
      <w:r w:rsidR="004C3E5A">
        <w:t>,</w:t>
      </w:r>
      <w:r w:rsidR="0067473D">
        <w:t xml:space="preserve"> which came to my notice on 8 November 2022 when it was uploaded to </w:t>
      </w:r>
      <w:proofErr w:type="spellStart"/>
      <w:r w:rsidR="0067473D">
        <w:t>CaseLines</w:t>
      </w:r>
      <w:proofErr w:type="spellEnd"/>
      <w:r w:rsidR="0067473D">
        <w:t>.</w:t>
      </w:r>
      <w:r w:rsidR="00EE5541">
        <w:t xml:space="preserve"> </w:t>
      </w:r>
      <w:r w:rsidR="0067473D">
        <w:t xml:space="preserve">The applicant sought a declaratory order that the main application </w:t>
      </w:r>
      <w:bookmarkStart w:id="4" w:name="_Hlk81386320"/>
      <w:bookmarkEnd w:id="2"/>
      <w:r w:rsidR="0067473D">
        <w:t xml:space="preserve">had been settled between her and </w:t>
      </w:r>
      <w:proofErr w:type="spellStart"/>
      <w:r w:rsidR="0067473D">
        <w:t>Astfin</w:t>
      </w:r>
      <w:proofErr w:type="spellEnd"/>
      <w:r w:rsidR="0067473D">
        <w:t xml:space="preserve"> in terms of a settlement agreement</w:t>
      </w:r>
      <w:r w:rsidR="00EE5541">
        <w:t>,</w:t>
      </w:r>
      <w:r w:rsidR="0067473D">
        <w:t xml:space="preserve"> allegedly concluded between the parties on 26 October 2022</w:t>
      </w:r>
      <w:r w:rsidR="00EE5541">
        <w:t>,</w:t>
      </w:r>
      <w:r w:rsidR="0067473D">
        <w:t xml:space="preserve"> in the terms as stipulated in the Notice of Motion, namely that:</w:t>
      </w:r>
    </w:p>
    <w:p w14:paraId="35224D34" w14:textId="058470CF" w:rsidR="007A7302" w:rsidRDefault="009074E3" w:rsidP="009074E3">
      <w:pPr>
        <w:pStyle w:val="Heading2"/>
        <w:numPr>
          <w:ilvl w:val="0"/>
          <w:numId w:val="0"/>
        </w:numPr>
        <w:ind w:left="1871" w:hanging="1009"/>
      </w:pPr>
      <w:r>
        <w:t>1.1</w:t>
      </w:r>
      <w:r>
        <w:tab/>
      </w:r>
      <w:r w:rsidR="0067473D">
        <w:t xml:space="preserve">The relief against </w:t>
      </w:r>
      <w:proofErr w:type="spellStart"/>
      <w:r w:rsidR="0067473D">
        <w:t>Astfin</w:t>
      </w:r>
      <w:proofErr w:type="spellEnd"/>
      <w:r w:rsidR="0067473D">
        <w:t xml:space="preserve"> would be withdrawn;</w:t>
      </w:r>
    </w:p>
    <w:p w14:paraId="4DC44471" w14:textId="4AED1D28" w:rsidR="007A7302" w:rsidRDefault="009074E3" w:rsidP="009074E3">
      <w:pPr>
        <w:pStyle w:val="Heading2"/>
        <w:numPr>
          <w:ilvl w:val="0"/>
          <w:numId w:val="0"/>
        </w:numPr>
        <w:ind w:left="1871" w:hanging="1009"/>
      </w:pPr>
      <w:r>
        <w:t>1.2</w:t>
      </w:r>
      <w:r>
        <w:tab/>
      </w:r>
      <w:r w:rsidR="0067473D">
        <w:t>Each party would pay its own legal costs</w:t>
      </w:r>
      <w:r w:rsidR="004C3E5A">
        <w:t>,</w:t>
      </w:r>
      <w:r w:rsidR="0067473D">
        <w:t xml:space="preserve"> including the current costs order;</w:t>
      </w:r>
    </w:p>
    <w:p w14:paraId="7479A18F" w14:textId="7A5FDEA3" w:rsidR="007A7302" w:rsidRDefault="009074E3" w:rsidP="009074E3">
      <w:pPr>
        <w:pStyle w:val="Heading2"/>
        <w:numPr>
          <w:ilvl w:val="0"/>
          <w:numId w:val="0"/>
        </w:numPr>
        <w:ind w:left="1871" w:hanging="1009"/>
      </w:pPr>
      <w:r>
        <w:t>1.3</w:t>
      </w:r>
      <w:r>
        <w:tab/>
      </w:r>
      <w:r w:rsidR="0067473D">
        <w:t xml:space="preserve">The Venter Family Trust would pay the cost consultant’s </w:t>
      </w:r>
      <w:r w:rsidR="00244667">
        <w:t>fee in</w:t>
      </w:r>
      <w:r w:rsidR="0067473D">
        <w:t xml:space="preserve"> opposing the bill of costs</w:t>
      </w:r>
      <w:r w:rsidR="007A7302">
        <w:t>;</w:t>
      </w:r>
    </w:p>
    <w:p w14:paraId="7FDAF08E" w14:textId="68ED804C" w:rsidR="007A7302" w:rsidRDefault="009074E3" w:rsidP="009074E3">
      <w:pPr>
        <w:pStyle w:val="Heading2"/>
        <w:numPr>
          <w:ilvl w:val="0"/>
          <w:numId w:val="0"/>
        </w:numPr>
        <w:ind w:left="1871" w:hanging="1009"/>
      </w:pPr>
      <w:r>
        <w:t>1.4</w:t>
      </w:r>
      <w:r>
        <w:tab/>
      </w:r>
      <w:r w:rsidR="00244667">
        <w:t>The main</w:t>
      </w:r>
      <w:r w:rsidR="0067473D">
        <w:t xml:space="preserve"> application would be removed from the roll</w:t>
      </w:r>
      <w:r w:rsidR="004C3E5A">
        <w:t>,</w:t>
      </w:r>
      <w:r w:rsidR="0067473D">
        <w:t xml:space="preserve"> and</w:t>
      </w:r>
    </w:p>
    <w:p w14:paraId="259CB20E" w14:textId="05F6D246" w:rsidR="0067473D" w:rsidRPr="00B77395" w:rsidRDefault="009074E3" w:rsidP="009074E3">
      <w:pPr>
        <w:pStyle w:val="Heading2"/>
        <w:numPr>
          <w:ilvl w:val="0"/>
          <w:numId w:val="0"/>
        </w:numPr>
        <w:ind w:left="1871" w:hanging="1009"/>
      </w:pPr>
      <w:r w:rsidRPr="00B77395">
        <w:lastRenderedPageBreak/>
        <w:t>1.5</w:t>
      </w:r>
      <w:r w:rsidRPr="00B77395">
        <w:tab/>
      </w:r>
      <w:r w:rsidR="0067473D">
        <w:t>There would be a R1 000 000</w:t>
      </w:r>
      <w:proofErr w:type="gramStart"/>
      <w:r w:rsidR="0067473D">
        <w:t>,00</w:t>
      </w:r>
      <w:proofErr w:type="gramEnd"/>
      <w:r w:rsidR="0067473D">
        <w:t xml:space="preserve"> reduction on the bond cancellation amount on the Camps Bay property in favour </w:t>
      </w:r>
      <w:r w:rsidR="00244667">
        <w:t xml:space="preserve">of </w:t>
      </w:r>
      <w:proofErr w:type="spellStart"/>
      <w:r w:rsidR="00244667">
        <w:t>Astfin</w:t>
      </w:r>
      <w:proofErr w:type="spellEnd"/>
      <w:r w:rsidR="0067473D">
        <w:t>.</w:t>
      </w:r>
      <w:r w:rsidR="0067473D">
        <w:rPr>
          <w:rStyle w:val="FootnoteReference"/>
        </w:rPr>
        <w:footnoteReference w:id="1"/>
      </w:r>
    </w:p>
    <w:p w14:paraId="0767840D" w14:textId="2CB7103D" w:rsidR="0067473D" w:rsidRDefault="009074E3" w:rsidP="009074E3">
      <w:pPr>
        <w:pStyle w:val="Heading1"/>
        <w:numPr>
          <w:ilvl w:val="0"/>
          <w:numId w:val="0"/>
        </w:numPr>
        <w:tabs>
          <w:tab w:val="left" w:pos="862"/>
        </w:tabs>
        <w:ind w:left="862" w:hanging="862"/>
      </w:pPr>
      <w:r>
        <w:t>[2]</w:t>
      </w:r>
      <w:r>
        <w:tab/>
      </w:r>
      <w:proofErr w:type="spellStart"/>
      <w:r w:rsidR="0067473D">
        <w:t>Astfin</w:t>
      </w:r>
      <w:proofErr w:type="spellEnd"/>
      <w:r w:rsidR="0067473D">
        <w:t xml:space="preserve"> delivered an answering affidavit, which had been prepared overnight</w:t>
      </w:r>
      <w:r w:rsidR="00965B9F">
        <w:t>,</w:t>
      </w:r>
      <w:r w:rsidR="0067473D">
        <w:t xml:space="preserve"> opposing the declaratory relief sought.  I </w:t>
      </w:r>
      <w:r w:rsidR="004C3E5A">
        <w:t>inquired</w:t>
      </w:r>
      <w:r w:rsidR="0067473D">
        <w:t xml:space="preserve"> of the applicant’s counsel, Mr Whittington, whether the applicant sought an opportunity to deliver a replying affidavit and was informed that the applicant’s attorney, Mr E </w:t>
      </w:r>
      <w:proofErr w:type="spellStart"/>
      <w:r w:rsidR="0067473D">
        <w:t>Bihl</w:t>
      </w:r>
      <w:proofErr w:type="spellEnd"/>
      <w:r w:rsidR="0067473D">
        <w:t>, had been instructed that, and no doubt on the advice he had given, no replying affidavit would be delivered.</w:t>
      </w:r>
    </w:p>
    <w:p w14:paraId="2941ACB5" w14:textId="07B45895" w:rsidR="0067473D" w:rsidRDefault="009074E3" w:rsidP="009074E3">
      <w:pPr>
        <w:pStyle w:val="Heading1"/>
        <w:numPr>
          <w:ilvl w:val="0"/>
          <w:numId w:val="0"/>
        </w:numPr>
        <w:tabs>
          <w:tab w:val="left" w:pos="862"/>
        </w:tabs>
        <w:ind w:left="862" w:hanging="862"/>
      </w:pPr>
      <w:r>
        <w:t>[3]</w:t>
      </w:r>
      <w:r>
        <w:tab/>
      </w:r>
      <w:r w:rsidR="0067473D">
        <w:t xml:space="preserve">Having heard </w:t>
      </w:r>
      <w:r w:rsidR="004C3E5A">
        <w:t>arguments</w:t>
      </w:r>
      <w:r w:rsidR="0067473D">
        <w:t xml:space="preserve"> from counsel for </w:t>
      </w:r>
      <w:r w:rsidR="00EE5541">
        <w:t>all the</w:t>
      </w:r>
      <w:r w:rsidR="00244667">
        <w:t xml:space="preserve"> parties</w:t>
      </w:r>
      <w:r w:rsidR="0067473D">
        <w:t xml:space="preserve">, I handed down an </w:t>
      </w:r>
      <w:r w:rsidR="00244667">
        <w:t>order on</w:t>
      </w:r>
      <w:r w:rsidR="0067473D">
        <w:t xml:space="preserve"> 10 November 2022</w:t>
      </w:r>
      <w:r w:rsidR="004C3E5A">
        <w:t>,</w:t>
      </w:r>
      <w:r w:rsidR="0067473D">
        <w:t xml:space="preserve"> dismissing the application</w:t>
      </w:r>
      <w:r w:rsidR="00EE5541">
        <w:t xml:space="preserve">. I reserved </w:t>
      </w:r>
      <w:r w:rsidR="0067473D">
        <w:t xml:space="preserve">the </w:t>
      </w:r>
      <w:r w:rsidR="00EE5541">
        <w:t xml:space="preserve">costs to </w:t>
      </w:r>
      <w:r w:rsidR="0067473D">
        <w:t>be dealt with in my judgment. To the extent that I failed to record this</w:t>
      </w:r>
      <w:r w:rsidR="004C3E5A">
        <w:t>,</w:t>
      </w:r>
      <w:r w:rsidR="0067473D">
        <w:t xml:space="preserve"> </w:t>
      </w:r>
      <w:r w:rsidR="004C3E5A">
        <w:t>I also intend</w:t>
      </w:r>
      <w:r w:rsidR="0067473D">
        <w:t xml:space="preserve"> to furnish reasons for </w:t>
      </w:r>
      <w:r w:rsidR="004C3E5A">
        <w:t>dismissing</w:t>
      </w:r>
      <w:r w:rsidR="0067473D">
        <w:t xml:space="preserve"> the declaratory application. As such, the main application proceeded on 11 November 2023.  </w:t>
      </w:r>
    </w:p>
    <w:p w14:paraId="578B6841" w14:textId="370CF8DF" w:rsidR="0067473D" w:rsidRDefault="009074E3" w:rsidP="009074E3">
      <w:pPr>
        <w:pStyle w:val="Heading1"/>
        <w:numPr>
          <w:ilvl w:val="0"/>
          <w:numId w:val="0"/>
        </w:numPr>
        <w:tabs>
          <w:tab w:val="left" w:pos="862"/>
        </w:tabs>
        <w:ind w:left="862" w:hanging="862"/>
      </w:pPr>
      <w:r>
        <w:t>[4]</w:t>
      </w:r>
      <w:r>
        <w:tab/>
      </w:r>
      <w:r w:rsidR="0067473D">
        <w:t>Needless to say</w:t>
      </w:r>
      <w:r w:rsidR="004C3E5A">
        <w:t xml:space="preserve">, the applicant delivered a request for reasons in terms of Rule 49 </w:t>
      </w:r>
      <w:r w:rsidR="0067473D">
        <w:t>on 10 November 2022.</w:t>
      </w:r>
      <w:r w:rsidR="0067473D">
        <w:rPr>
          <w:rStyle w:val="FootnoteReference"/>
        </w:rPr>
        <w:footnoteReference w:id="2"/>
      </w:r>
      <w:r w:rsidR="0067473D">
        <w:t xml:space="preserve">  It was accompanied by an application for leave to appeal</w:t>
      </w:r>
      <w:r w:rsidR="0067473D">
        <w:rPr>
          <w:rStyle w:val="FootnoteReference"/>
        </w:rPr>
        <w:footnoteReference w:id="3"/>
      </w:r>
      <w:r w:rsidR="0067473D">
        <w:t xml:space="preserve"> wherein the applicant sought leave to appeal to a Full Bench.  The reasons underpinning the leave to appeal include that I erred in finding that:</w:t>
      </w:r>
    </w:p>
    <w:p w14:paraId="1A2B70EA" w14:textId="69748B32" w:rsidR="0067473D" w:rsidRDefault="009074E3" w:rsidP="009074E3">
      <w:pPr>
        <w:pStyle w:val="Heading2"/>
        <w:numPr>
          <w:ilvl w:val="0"/>
          <w:numId w:val="0"/>
        </w:numPr>
        <w:ind w:left="1871" w:hanging="1009"/>
      </w:pPr>
      <w:r>
        <w:t>4.1</w:t>
      </w:r>
      <w:r>
        <w:tab/>
      </w:r>
      <w:r w:rsidR="004C3E5A">
        <w:t>There</w:t>
      </w:r>
      <w:r w:rsidR="0067473D">
        <w:t xml:space="preserve"> was no agreement between the parties that the relief </w:t>
      </w:r>
      <w:r w:rsidR="00244667">
        <w:t xml:space="preserve">against </w:t>
      </w:r>
      <w:proofErr w:type="spellStart"/>
      <w:r w:rsidR="00244667">
        <w:t>Astfin</w:t>
      </w:r>
      <w:proofErr w:type="spellEnd"/>
      <w:r w:rsidR="0067473D">
        <w:t xml:space="preserve"> be withdrawn;</w:t>
      </w:r>
    </w:p>
    <w:p w14:paraId="0F9778AF" w14:textId="7E3C46C9" w:rsidR="0067473D" w:rsidRDefault="009074E3" w:rsidP="009074E3">
      <w:pPr>
        <w:pStyle w:val="Heading2"/>
        <w:numPr>
          <w:ilvl w:val="0"/>
          <w:numId w:val="0"/>
        </w:numPr>
        <w:ind w:left="1871" w:hanging="1009"/>
      </w:pPr>
      <w:r>
        <w:t>4.2</w:t>
      </w:r>
      <w:r>
        <w:tab/>
      </w:r>
      <w:r w:rsidR="004C3E5A">
        <w:t>There</w:t>
      </w:r>
      <w:r w:rsidR="0067473D">
        <w:t xml:space="preserve"> was no agreement between the parties that each party </w:t>
      </w:r>
      <w:r w:rsidR="004C3E5A">
        <w:lastRenderedPageBreak/>
        <w:t>was</w:t>
      </w:r>
      <w:r w:rsidR="0067473D">
        <w:t xml:space="preserve"> to pay their own legal costs;</w:t>
      </w:r>
    </w:p>
    <w:p w14:paraId="40FD837A" w14:textId="2B73381C" w:rsidR="0067473D" w:rsidRDefault="009074E3" w:rsidP="009074E3">
      <w:pPr>
        <w:pStyle w:val="Heading2"/>
        <w:numPr>
          <w:ilvl w:val="0"/>
          <w:numId w:val="0"/>
        </w:numPr>
        <w:ind w:left="1871" w:hanging="1009"/>
      </w:pPr>
      <w:r>
        <w:t>4.3</w:t>
      </w:r>
      <w:r>
        <w:tab/>
      </w:r>
      <w:r w:rsidR="004C3E5A">
        <w:t>The</w:t>
      </w:r>
      <w:r w:rsidR="0067473D">
        <w:t xml:space="preserve"> matter should proceed in the week of 7 November 2022</w:t>
      </w:r>
      <w:r w:rsidR="004C3E5A">
        <w:t>,</w:t>
      </w:r>
      <w:r w:rsidR="0067473D">
        <w:t xml:space="preserve"> when it was agreed that the matter be removed from the roll;</w:t>
      </w:r>
    </w:p>
    <w:p w14:paraId="58A9B81C" w14:textId="31F552B8" w:rsidR="0067473D" w:rsidRDefault="009074E3" w:rsidP="009074E3">
      <w:pPr>
        <w:pStyle w:val="Heading2"/>
        <w:numPr>
          <w:ilvl w:val="0"/>
          <w:numId w:val="0"/>
        </w:numPr>
        <w:ind w:left="1871" w:hanging="1009"/>
      </w:pPr>
      <w:r>
        <w:t>4.4</w:t>
      </w:r>
      <w:r>
        <w:tab/>
      </w:r>
      <w:r w:rsidR="004C3E5A">
        <w:t>The</w:t>
      </w:r>
      <w:r w:rsidR="0067473D">
        <w:t xml:space="preserve"> settlement agreement reached between the parties disposed of a major portion of the application;</w:t>
      </w:r>
    </w:p>
    <w:p w14:paraId="0208ED62" w14:textId="628F63D2" w:rsidR="0067473D" w:rsidRDefault="009074E3" w:rsidP="009074E3">
      <w:pPr>
        <w:pStyle w:val="Heading2"/>
        <w:numPr>
          <w:ilvl w:val="0"/>
          <w:numId w:val="0"/>
        </w:numPr>
        <w:ind w:left="1871" w:hanging="1009"/>
      </w:pPr>
      <w:r>
        <w:t>4.5</w:t>
      </w:r>
      <w:r>
        <w:tab/>
      </w:r>
      <w:r w:rsidR="004C3E5A">
        <w:t>I</w:t>
      </w:r>
      <w:r w:rsidR="0067473D">
        <w:t>n dismissing the application</w:t>
      </w:r>
      <w:r w:rsidR="004C3E5A">
        <w:t>,</w:t>
      </w:r>
      <w:r w:rsidR="00EE5541">
        <w:t xml:space="preserve"> which </w:t>
      </w:r>
      <w:r w:rsidR="0067473D">
        <w:t>was not just and equitable, the effect being that the second and third respondents misled the applicants</w:t>
      </w:r>
      <w:r w:rsidR="004C3E5A">
        <w:t>,</w:t>
      </w:r>
      <w:r w:rsidR="0067473D">
        <w:t xml:space="preserve"> causing the applicants not to be ready for hearing;</w:t>
      </w:r>
    </w:p>
    <w:p w14:paraId="2B876899" w14:textId="557AC975" w:rsidR="0067473D" w:rsidRDefault="009074E3" w:rsidP="009074E3">
      <w:pPr>
        <w:pStyle w:val="Heading2"/>
        <w:numPr>
          <w:ilvl w:val="0"/>
          <w:numId w:val="0"/>
        </w:numPr>
        <w:ind w:left="1871" w:hanging="1009"/>
      </w:pPr>
      <w:r>
        <w:t>4.6</w:t>
      </w:r>
      <w:r>
        <w:tab/>
      </w:r>
      <w:r w:rsidR="004C3E5A">
        <w:t>B</w:t>
      </w:r>
      <w:r w:rsidR="0067473D">
        <w:t xml:space="preserve">y not accepting the details between the applicants’ and </w:t>
      </w:r>
      <w:proofErr w:type="spellStart"/>
      <w:r w:rsidR="0067473D">
        <w:t>Astfin</w:t>
      </w:r>
      <w:proofErr w:type="spellEnd"/>
      <w:r w:rsidR="004C3E5A">
        <w:t xml:space="preserve"> </w:t>
      </w:r>
      <w:r w:rsidR="00EE5541">
        <w:t xml:space="preserve">that the application </w:t>
      </w:r>
      <w:r w:rsidR="0067473D">
        <w:t>had been settled;</w:t>
      </w:r>
      <w:r w:rsidR="00A75965">
        <w:t xml:space="preserve"> and</w:t>
      </w:r>
    </w:p>
    <w:p w14:paraId="04C47E92" w14:textId="2B181217" w:rsidR="0067473D" w:rsidRDefault="009074E3" w:rsidP="009074E3">
      <w:pPr>
        <w:pStyle w:val="Heading2"/>
        <w:numPr>
          <w:ilvl w:val="0"/>
          <w:numId w:val="0"/>
        </w:numPr>
        <w:ind w:left="1871" w:hanging="1009"/>
      </w:pPr>
      <w:r>
        <w:t>4.7</w:t>
      </w:r>
      <w:r>
        <w:tab/>
      </w:r>
      <w:r w:rsidR="004C3E5A">
        <w:t>B</w:t>
      </w:r>
      <w:r w:rsidR="0067473D">
        <w:t>y accepting that matters beyond the applicants’</w:t>
      </w:r>
      <w:r w:rsidR="001C1FF7">
        <w:t>,</w:t>
      </w:r>
      <w:r w:rsidR="0067473D">
        <w:t xml:space="preserve"> </w:t>
      </w:r>
      <w:r w:rsidR="001C1FF7">
        <w:t xml:space="preserve">and </w:t>
      </w:r>
      <w:proofErr w:type="spellStart"/>
      <w:r w:rsidR="0067473D">
        <w:t>Astfin</w:t>
      </w:r>
      <w:proofErr w:type="spellEnd"/>
      <w:r w:rsidR="0067473D">
        <w:t xml:space="preserve"> also had to form part of a settlement between them.</w:t>
      </w:r>
    </w:p>
    <w:p w14:paraId="01384803" w14:textId="598DAC4E" w:rsidR="0067473D" w:rsidRDefault="009074E3" w:rsidP="009074E3">
      <w:pPr>
        <w:pStyle w:val="Heading1"/>
        <w:numPr>
          <w:ilvl w:val="0"/>
          <w:numId w:val="0"/>
        </w:numPr>
        <w:tabs>
          <w:tab w:val="left" w:pos="862"/>
        </w:tabs>
        <w:ind w:left="862" w:hanging="862"/>
      </w:pPr>
      <w:r>
        <w:t>[5]</w:t>
      </w:r>
      <w:r>
        <w:tab/>
      </w:r>
      <w:r w:rsidR="0067473D">
        <w:t>It is not my intention to deal with the application for leave to appeal, which will</w:t>
      </w:r>
      <w:r w:rsidR="001C1FF7">
        <w:t>,</w:t>
      </w:r>
      <w:r w:rsidR="0067473D">
        <w:t xml:space="preserve"> no doubt, on the handing down of this judgment</w:t>
      </w:r>
      <w:r w:rsidR="00EE5541">
        <w:t>,</w:t>
      </w:r>
      <w:r w:rsidR="0067473D">
        <w:t xml:space="preserve"> be proceeded with by the applicant in the usual course.</w:t>
      </w:r>
    </w:p>
    <w:p w14:paraId="672F4B91" w14:textId="66796111" w:rsidR="0067473D" w:rsidRDefault="009074E3" w:rsidP="009074E3">
      <w:pPr>
        <w:pStyle w:val="Heading1"/>
        <w:numPr>
          <w:ilvl w:val="0"/>
          <w:numId w:val="0"/>
        </w:numPr>
        <w:tabs>
          <w:tab w:val="left" w:pos="862"/>
        </w:tabs>
        <w:ind w:left="862" w:hanging="862"/>
      </w:pPr>
      <w:r>
        <w:t>[6]</w:t>
      </w:r>
      <w:r>
        <w:tab/>
      </w:r>
      <w:r w:rsidR="0067473D">
        <w:t xml:space="preserve">The affidavit in support of the declaratory application is deposed to by </w:t>
      </w:r>
      <w:proofErr w:type="spellStart"/>
      <w:r w:rsidR="0067473D">
        <w:t>Bihl</w:t>
      </w:r>
      <w:proofErr w:type="spellEnd"/>
      <w:r w:rsidR="0067473D">
        <w:t xml:space="preserve">.  </w:t>
      </w:r>
      <w:proofErr w:type="spellStart"/>
      <w:r w:rsidR="0067473D">
        <w:t>Bihl</w:t>
      </w:r>
      <w:proofErr w:type="spellEnd"/>
      <w:r w:rsidR="0067473D">
        <w:t xml:space="preserve"> sets out that he negotiated the purported settlement of </w:t>
      </w:r>
      <w:r w:rsidR="00244667">
        <w:t>the main</w:t>
      </w:r>
      <w:r w:rsidR="0067473D">
        <w:t xml:space="preserve"> application on behalf of the applicant, and as such</w:t>
      </w:r>
      <w:r w:rsidR="001C1FF7">
        <w:t>,</w:t>
      </w:r>
      <w:r w:rsidR="0067473D">
        <w:t xml:space="preserve"> he has knowledge of the relevant factual matter.  In so doing</w:t>
      </w:r>
      <w:r w:rsidR="001C1FF7">
        <w:t>,</w:t>
      </w:r>
      <w:r w:rsidR="0067473D">
        <w:t xml:space="preserve"> </w:t>
      </w:r>
      <w:proofErr w:type="spellStart"/>
      <w:r w:rsidR="0067473D">
        <w:t>Bihl</w:t>
      </w:r>
      <w:proofErr w:type="spellEnd"/>
      <w:r w:rsidR="0067473D">
        <w:t xml:space="preserve"> purportedly waived any legal privilege attaching to </w:t>
      </w:r>
      <w:r w:rsidR="0067473D">
        <w:rPr>
          <w:i/>
          <w:iCs/>
        </w:rPr>
        <w:t>“the settlement negotiations and settlement itself”</w:t>
      </w:r>
      <w:r w:rsidR="0067473D">
        <w:t xml:space="preserve"> and made privileged disclosures in the affidavit</w:t>
      </w:r>
      <w:r w:rsidR="001C1FF7">
        <w:t>,</w:t>
      </w:r>
      <w:r w:rsidR="0067473D">
        <w:t xml:space="preserve"> which he contended supported the settlement.  Later, in the judgment, I will deal with whether it is appropriate for </w:t>
      </w:r>
      <w:proofErr w:type="spellStart"/>
      <w:r w:rsidR="0067473D">
        <w:t>Bihl</w:t>
      </w:r>
      <w:proofErr w:type="spellEnd"/>
      <w:r w:rsidR="0067473D">
        <w:t xml:space="preserve"> to waive the legal privilege which belongs to his client. There was no suggestion that the applicant had waived this privilege</w:t>
      </w:r>
      <w:r w:rsidR="001C1FF7">
        <w:t>,</w:t>
      </w:r>
      <w:r w:rsidR="0067473D">
        <w:t xml:space="preserve"> and there was also no confirmatory </w:t>
      </w:r>
      <w:r w:rsidR="00244667">
        <w:t>affidavit from</w:t>
      </w:r>
      <w:r w:rsidR="0067473D">
        <w:t xml:space="preserve"> her in support </w:t>
      </w:r>
      <w:r w:rsidR="0067473D">
        <w:lastRenderedPageBreak/>
        <w:t xml:space="preserve">of the waiver or </w:t>
      </w:r>
      <w:r w:rsidR="001C1FF7">
        <w:t xml:space="preserve">any affidavit </w:t>
      </w:r>
      <w:r w:rsidR="0067473D">
        <w:t xml:space="preserve">at all. </w:t>
      </w:r>
    </w:p>
    <w:p w14:paraId="1C72E786" w14:textId="08C0C605" w:rsidR="0067473D" w:rsidRDefault="009074E3" w:rsidP="009074E3">
      <w:pPr>
        <w:pStyle w:val="Heading1"/>
        <w:numPr>
          <w:ilvl w:val="0"/>
          <w:numId w:val="0"/>
        </w:numPr>
        <w:tabs>
          <w:tab w:val="left" w:pos="862"/>
        </w:tabs>
        <w:ind w:left="862" w:hanging="862"/>
      </w:pPr>
      <w:r>
        <w:t>[7]</w:t>
      </w:r>
      <w:r>
        <w:tab/>
      </w:r>
      <w:r w:rsidR="0067473D">
        <w:t xml:space="preserve">Central to the determination of this dispute is Mr Jonathan Baron.  Baron is a trustee of the Venter Trust together with the applicant and the second respondent, Mr Venter.  He is an accountant by profession and appointed auditor for </w:t>
      </w:r>
      <w:r w:rsidR="001C1FF7">
        <w:t>the Trust and the NRB Group, comprising</w:t>
      </w:r>
      <w:r w:rsidR="0067473D">
        <w:t xml:space="preserve"> the fifth to thirteenth respondents.  </w:t>
      </w:r>
      <w:r w:rsidR="001C1FF7">
        <w:t xml:space="preserve">The applicant </w:t>
      </w:r>
      <w:r w:rsidR="00F96D99">
        <w:t>alleged</w:t>
      </w:r>
      <w:r w:rsidR="0067473D">
        <w:t xml:space="preserve"> that Baron and Venter, </w:t>
      </w:r>
      <w:r w:rsidR="00244667">
        <w:t>her estranged</w:t>
      </w:r>
      <w:r w:rsidR="0067473D">
        <w:t xml:space="preserve"> husband (the</w:t>
      </w:r>
      <w:r w:rsidR="00EE5541">
        <w:t xml:space="preserve"> </w:t>
      </w:r>
      <w:proofErr w:type="spellStart"/>
      <w:r w:rsidR="00EE5541">
        <w:t>Venters</w:t>
      </w:r>
      <w:proofErr w:type="spellEnd"/>
      <w:r w:rsidR="0067473D">
        <w:t xml:space="preserve"> are currently embroiled in an acrimonious divorce), are defrauding her</w:t>
      </w:r>
      <w:r w:rsidR="001C1FF7">
        <w:t>. She</w:t>
      </w:r>
      <w:r w:rsidR="0067473D">
        <w:t xml:space="preserve"> avers that in launching the application on behalf of the Trust, she does so without authority because they seek to act adversely and not in </w:t>
      </w:r>
      <w:r w:rsidR="00F96D99">
        <w:t xml:space="preserve">the </w:t>
      </w:r>
      <w:r w:rsidR="0067473D">
        <w:t>protection of the Trust.</w:t>
      </w:r>
      <w:r w:rsidR="0067473D">
        <w:rPr>
          <w:rStyle w:val="FootnoteReference"/>
        </w:rPr>
        <w:footnoteReference w:id="4"/>
      </w:r>
    </w:p>
    <w:p w14:paraId="7F28C98E" w14:textId="09FEA306" w:rsidR="0067473D" w:rsidRDefault="009074E3" w:rsidP="009074E3">
      <w:pPr>
        <w:pStyle w:val="Heading1"/>
        <w:numPr>
          <w:ilvl w:val="0"/>
          <w:numId w:val="0"/>
        </w:numPr>
        <w:tabs>
          <w:tab w:val="left" w:pos="862"/>
        </w:tabs>
        <w:ind w:left="862" w:hanging="862"/>
      </w:pPr>
      <w:r>
        <w:t>[8]</w:t>
      </w:r>
      <w:r>
        <w:tab/>
      </w:r>
      <w:r w:rsidR="0067473D">
        <w:t xml:space="preserve">At the outset, Baron has no relationship whatsoever with </w:t>
      </w:r>
      <w:proofErr w:type="spellStart"/>
      <w:r w:rsidR="0067473D">
        <w:t>Astfin</w:t>
      </w:r>
      <w:proofErr w:type="spellEnd"/>
      <w:r w:rsidR="0067473D">
        <w:t>. He is not its employee or an independent contractor to it.  He is employed by the Trust and the NRB Group</w:t>
      </w:r>
      <w:r w:rsidR="001C1FF7">
        <w:t>, of which Venter is integral</w:t>
      </w:r>
      <w:r w:rsidR="0067473D">
        <w:t xml:space="preserve">. Yet, </w:t>
      </w:r>
      <w:proofErr w:type="spellStart"/>
      <w:r w:rsidR="0067473D">
        <w:t>Bihl</w:t>
      </w:r>
      <w:proofErr w:type="spellEnd"/>
      <w:r w:rsidR="0067473D">
        <w:t xml:space="preserve"> says</w:t>
      </w:r>
      <w:r w:rsidR="001C1FF7">
        <w:t>, “</w:t>
      </w:r>
      <w:r w:rsidR="0067473D">
        <w:rPr>
          <w:i/>
          <w:iCs/>
        </w:rPr>
        <w:t>It was at all times clear to me that Baron was representing the first respondent in the settlement negotiations as well as a representative of the second, third and fourth respondents, with the full knowledge of the first respondent</w:t>
      </w:r>
      <w:r w:rsidR="00946189">
        <w:rPr>
          <w:i/>
          <w:iCs/>
        </w:rPr>
        <w:t>…..</w:t>
      </w:r>
      <w:r w:rsidR="0067473D">
        <w:rPr>
          <w:i/>
          <w:iCs/>
        </w:rPr>
        <w:t>”</w:t>
      </w:r>
      <w:r w:rsidR="0067473D">
        <w:t>.</w:t>
      </w:r>
      <w:r w:rsidR="00946189">
        <w:rPr>
          <w:rStyle w:val="FootnoteReference"/>
        </w:rPr>
        <w:footnoteReference w:id="5"/>
      </w:r>
      <w:r w:rsidR="0067473D">
        <w:t xml:space="preserve">  </w:t>
      </w:r>
    </w:p>
    <w:p w14:paraId="5AC95089" w14:textId="77EE3F48" w:rsidR="0067473D" w:rsidRDefault="009074E3" w:rsidP="009074E3">
      <w:pPr>
        <w:pStyle w:val="Heading1"/>
        <w:numPr>
          <w:ilvl w:val="0"/>
          <w:numId w:val="0"/>
        </w:numPr>
        <w:tabs>
          <w:tab w:val="left" w:pos="862"/>
        </w:tabs>
        <w:ind w:left="862" w:hanging="862"/>
      </w:pPr>
      <w:r>
        <w:t>[9]</w:t>
      </w:r>
      <w:r>
        <w:tab/>
      </w:r>
      <w:r w:rsidR="0067473D">
        <w:t xml:space="preserve">Mr Bart De Nil, a director of and authorised to represent </w:t>
      </w:r>
      <w:proofErr w:type="spellStart"/>
      <w:r w:rsidR="00244667">
        <w:t>Astfin</w:t>
      </w:r>
      <w:proofErr w:type="spellEnd"/>
      <w:r w:rsidR="00244667">
        <w:t>, deposed</w:t>
      </w:r>
      <w:r w:rsidR="0067473D">
        <w:t xml:space="preserve"> to the opposing affidavit </w:t>
      </w:r>
      <w:r w:rsidR="00244667">
        <w:t>on its</w:t>
      </w:r>
      <w:r w:rsidR="0067473D">
        <w:t xml:space="preserve"> behalf.  He </w:t>
      </w:r>
      <w:r w:rsidR="001C1FF7">
        <w:t>unequivocally says</w:t>
      </w:r>
      <w:r w:rsidR="0067473D">
        <w:t xml:space="preserve"> that the matter is not </w:t>
      </w:r>
      <w:r w:rsidR="00244667">
        <w:t>settled</w:t>
      </w:r>
      <w:r w:rsidR="0067473D">
        <w:t xml:space="preserve"> and that Baron did not represent </w:t>
      </w:r>
      <w:proofErr w:type="spellStart"/>
      <w:r w:rsidR="0067473D">
        <w:t>Astfin</w:t>
      </w:r>
      <w:proofErr w:type="spellEnd"/>
      <w:r w:rsidR="0067473D">
        <w:t>.  He says that although he had discussions with Baron</w:t>
      </w:r>
      <w:r w:rsidR="00A75965">
        <w:t>,</w:t>
      </w:r>
      <w:r w:rsidR="0067473D">
        <w:t xml:space="preserve"> </w:t>
      </w:r>
      <w:r w:rsidR="0015019F">
        <w:t>whom</w:t>
      </w:r>
      <w:r w:rsidR="0067473D">
        <w:t xml:space="preserve"> </w:t>
      </w:r>
      <w:r w:rsidR="001C1FF7">
        <w:t>Venter had mandated</w:t>
      </w:r>
      <w:r w:rsidR="0067473D">
        <w:t xml:space="preserve"> to explore a settlement </w:t>
      </w:r>
      <w:r w:rsidR="0067473D">
        <w:rPr>
          <w:i/>
          <w:iCs/>
        </w:rPr>
        <w:t>“involving all Venter family matters</w:t>
      </w:r>
      <w:r w:rsidR="00106254">
        <w:rPr>
          <w:i/>
          <w:iCs/>
        </w:rPr>
        <w:t>,</w:t>
      </w:r>
      <w:r w:rsidR="0067473D">
        <w:rPr>
          <w:i/>
          <w:iCs/>
        </w:rPr>
        <w:t>”</w:t>
      </w:r>
      <w:r w:rsidR="001C1FF7">
        <w:t>…</w:t>
      </w:r>
      <w:r w:rsidR="0067473D">
        <w:rPr>
          <w:i/>
          <w:iCs/>
        </w:rPr>
        <w:t>“</w:t>
      </w:r>
      <w:r w:rsidR="001C1FF7">
        <w:rPr>
          <w:i/>
          <w:iCs/>
        </w:rPr>
        <w:t>[</w:t>
      </w:r>
      <w:proofErr w:type="spellStart"/>
      <w:r w:rsidR="001C1FF7">
        <w:rPr>
          <w:i/>
          <w:iCs/>
        </w:rPr>
        <w:t>i</w:t>
      </w:r>
      <w:proofErr w:type="spellEnd"/>
      <w:r w:rsidR="001C1FF7">
        <w:rPr>
          <w:i/>
          <w:iCs/>
        </w:rPr>
        <w:t>]</w:t>
      </w:r>
      <w:r w:rsidR="0067473D">
        <w:rPr>
          <w:i/>
          <w:iCs/>
        </w:rPr>
        <w:t>t should be made absolutely clear that Mr Baron was at no point authorised by the first respondent to represent it in any settlement discussions”</w:t>
      </w:r>
      <w:r w:rsidR="0067473D">
        <w:t>.</w:t>
      </w:r>
      <w:r w:rsidR="00946189" w:rsidRPr="00946189">
        <w:rPr>
          <w:rStyle w:val="FootnoteReference"/>
        </w:rPr>
        <w:t xml:space="preserve"> </w:t>
      </w:r>
      <w:r w:rsidR="00946189">
        <w:rPr>
          <w:rStyle w:val="FootnoteReference"/>
        </w:rPr>
        <w:footnoteReference w:id="6"/>
      </w:r>
    </w:p>
    <w:p w14:paraId="78236CA9" w14:textId="1BBB3508" w:rsidR="0067473D" w:rsidRDefault="009074E3" w:rsidP="009074E3">
      <w:pPr>
        <w:pStyle w:val="Heading1"/>
        <w:numPr>
          <w:ilvl w:val="0"/>
          <w:numId w:val="0"/>
        </w:numPr>
        <w:tabs>
          <w:tab w:val="left" w:pos="862"/>
        </w:tabs>
        <w:ind w:left="862" w:hanging="862"/>
      </w:pPr>
      <w:r>
        <w:t>[10]</w:t>
      </w:r>
      <w:r>
        <w:tab/>
      </w:r>
      <w:r w:rsidR="0067473D">
        <w:t xml:space="preserve">De Nil emphasises </w:t>
      </w:r>
      <w:r w:rsidR="00244667">
        <w:t>that any</w:t>
      </w:r>
      <w:r w:rsidR="0067473D">
        <w:t xml:space="preserve"> settlement </w:t>
      </w:r>
      <w:r w:rsidR="00244667">
        <w:t xml:space="preserve">involving </w:t>
      </w:r>
      <w:proofErr w:type="spellStart"/>
      <w:r w:rsidR="00244667">
        <w:t>Astfin</w:t>
      </w:r>
      <w:proofErr w:type="spellEnd"/>
      <w:r w:rsidR="0067473D">
        <w:t xml:space="preserve"> would not only be </w:t>
      </w:r>
      <w:r w:rsidR="0067473D">
        <w:lastRenderedPageBreak/>
        <w:t>limited to the main application but had to be all</w:t>
      </w:r>
      <w:r w:rsidR="001C1FF7">
        <w:t>-</w:t>
      </w:r>
      <w:r w:rsidR="0067473D">
        <w:t>encompassing.  This</w:t>
      </w:r>
      <w:r w:rsidR="00D74705">
        <w:t>,</w:t>
      </w:r>
      <w:r w:rsidR="0067473D">
        <w:t xml:space="preserve"> he says</w:t>
      </w:r>
      <w:r w:rsidR="00F96D99">
        <w:t>,</w:t>
      </w:r>
      <w:r w:rsidR="0067473D">
        <w:t xml:space="preserve"> required that an application under case number 31846/2021, also referred to as </w:t>
      </w:r>
      <w:r w:rsidR="00AF3969">
        <w:t>“</w:t>
      </w:r>
      <w:r w:rsidR="0067473D" w:rsidRPr="00AF3969">
        <w:rPr>
          <w:i/>
          <w:iCs/>
        </w:rPr>
        <w:t>the sham application</w:t>
      </w:r>
      <w:r w:rsidR="00AF3969">
        <w:t>”,</w:t>
      </w:r>
      <w:r w:rsidR="0067473D">
        <w:t xml:space="preserve"> be settled </w:t>
      </w:r>
      <w:r w:rsidR="00244667">
        <w:t>and the</w:t>
      </w:r>
      <w:r w:rsidR="0067473D">
        <w:t xml:space="preserve"> financial disputes between </w:t>
      </w:r>
      <w:proofErr w:type="spellStart"/>
      <w:r w:rsidR="0067473D">
        <w:t>Astfin</w:t>
      </w:r>
      <w:proofErr w:type="spellEnd"/>
      <w:r w:rsidR="0067473D">
        <w:t xml:space="preserve"> and the NRB Group</w:t>
      </w:r>
      <w:r w:rsidR="00F96D99">
        <w:t>,</w:t>
      </w:r>
      <w:r w:rsidR="0067473D">
        <w:t xml:space="preserve"> which for all intents and purposes is represented by Venter.  In so doing, any settlement encompassing these wide</w:t>
      </w:r>
      <w:r w:rsidR="00D74705">
        <w:t>-</w:t>
      </w:r>
      <w:r w:rsidR="0067473D">
        <w:t xml:space="preserve">ranging disputes, of necessity, would have to be reduced to writing for </w:t>
      </w:r>
      <w:proofErr w:type="spellStart"/>
      <w:r w:rsidR="0067473D">
        <w:t>Astfin’s</w:t>
      </w:r>
      <w:proofErr w:type="spellEnd"/>
      <w:r w:rsidR="0067473D">
        <w:t xml:space="preserve"> consideration together with its attorneys, namely </w:t>
      </w:r>
      <w:proofErr w:type="spellStart"/>
      <w:r w:rsidR="00D74705">
        <w:t>Mr.</w:t>
      </w:r>
      <w:proofErr w:type="spellEnd"/>
      <w:r w:rsidR="0067473D">
        <w:t xml:space="preserve"> O </w:t>
      </w:r>
      <w:proofErr w:type="spellStart"/>
      <w:r w:rsidR="0067473D">
        <w:t>Tugendhaft</w:t>
      </w:r>
      <w:proofErr w:type="spellEnd"/>
      <w:r w:rsidR="0067473D">
        <w:t xml:space="preserve"> and </w:t>
      </w:r>
      <w:proofErr w:type="spellStart"/>
      <w:r w:rsidR="00D74705">
        <w:t>Ms.</w:t>
      </w:r>
      <w:proofErr w:type="spellEnd"/>
      <w:r w:rsidR="0067473D">
        <w:t xml:space="preserve"> A Da Silva of TWB Attorneys.  He emphasises that any proposal would have had to be reduced to writing and </w:t>
      </w:r>
      <w:r w:rsidR="00244667">
        <w:t>that this</w:t>
      </w:r>
      <w:r w:rsidR="0067473D">
        <w:t xml:space="preserve"> was always a condition of any settlement in the clearest terms.  </w:t>
      </w:r>
      <w:r w:rsidR="00244667">
        <w:t>He explained</w:t>
      </w:r>
      <w:r w:rsidR="0067473D">
        <w:t xml:space="preserve"> that in settling the financial disputes</w:t>
      </w:r>
      <w:r w:rsidR="00D74705">
        <w:t>,</w:t>
      </w:r>
      <w:r w:rsidR="0067473D">
        <w:t xml:space="preserve"> there</w:t>
      </w:r>
      <w:r w:rsidR="008F21D5">
        <w:t xml:space="preserve"> are</w:t>
      </w:r>
      <w:r w:rsidR="0067473D">
        <w:t xml:space="preserve"> a suite of agreements underpinning these disputes.  All of the agreements have been attached to the </w:t>
      </w:r>
      <w:r w:rsidR="00244667">
        <w:t>voluminous main</w:t>
      </w:r>
      <w:r w:rsidR="0067473D">
        <w:t xml:space="preserve"> application and contain non-variation clauses</w:t>
      </w:r>
      <w:r w:rsidR="0067473D">
        <w:rPr>
          <w:rStyle w:val="FootnoteReference"/>
        </w:rPr>
        <w:footnoteReference w:id="7"/>
      </w:r>
      <w:r w:rsidR="0067473D">
        <w:t>.  As such, as a matter of law, any settlement which involved the rights and obligations arising from these agreements would have to be reduced to writing for it to be effective.</w:t>
      </w:r>
    </w:p>
    <w:p w14:paraId="020C87E2" w14:textId="2AE4847B" w:rsidR="0067473D" w:rsidRDefault="009074E3" w:rsidP="009074E3">
      <w:pPr>
        <w:pStyle w:val="Heading1"/>
        <w:numPr>
          <w:ilvl w:val="0"/>
          <w:numId w:val="0"/>
        </w:numPr>
        <w:tabs>
          <w:tab w:val="left" w:pos="862"/>
        </w:tabs>
        <w:ind w:left="862" w:hanging="862"/>
      </w:pPr>
      <w:r>
        <w:t>[11]</w:t>
      </w:r>
      <w:r>
        <w:tab/>
      </w:r>
      <w:r w:rsidR="0067473D">
        <w:t xml:space="preserve">No written settlement agreement or confirmatory affidavit by Baron was placed before this Court by the applicant.  </w:t>
      </w:r>
    </w:p>
    <w:p w14:paraId="236C5E09" w14:textId="3A535B5B" w:rsidR="00AF3969" w:rsidRDefault="009074E3" w:rsidP="009074E3">
      <w:pPr>
        <w:pStyle w:val="Heading1"/>
        <w:numPr>
          <w:ilvl w:val="0"/>
          <w:numId w:val="0"/>
        </w:numPr>
        <w:tabs>
          <w:tab w:val="left" w:pos="862"/>
        </w:tabs>
        <w:ind w:left="862" w:hanging="862"/>
      </w:pPr>
      <w:r>
        <w:t>[12]</w:t>
      </w:r>
      <w:r>
        <w:tab/>
      </w:r>
      <w:r w:rsidR="0067473D">
        <w:t>It is trite that the applicant must make her case out in the founding papers and that the affidavits constitute evidence in motion proceedings.</w:t>
      </w:r>
      <w:r w:rsidR="0067473D">
        <w:rPr>
          <w:rStyle w:val="FootnoteReference"/>
        </w:rPr>
        <w:footnoteReference w:id="8"/>
      </w:r>
      <w:r w:rsidR="0067473D">
        <w:t xml:space="preserve">  </w:t>
      </w:r>
    </w:p>
    <w:p w14:paraId="5A41CCC7" w14:textId="4CF050AA" w:rsidR="00A75965" w:rsidRDefault="009074E3" w:rsidP="009074E3">
      <w:pPr>
        <w:pStyle w:val="Heading1"/>
        <w:numPr>
          <w:ilvl w:val="0"/>
          <w:numId w:val="0"/>
        </w:numPr>
        <w:tabs>
          <w:tab w:val="left" w:pos="862"/>
        </w:tabs>
        <w:ind w:left="862" w:hanging="862"/>
      </w:pPr>
      <w:r>
        <w:t>[13]</w:t>
      </w:r>
      <w:r>
        <w:tab/>
      </w:r>
      <w:r w:rsidR="0067473D">
        <w:t xml:space="preserve">In seeking an order that the application has become settled, the applicant </w:t>
      </w:r>
      <w:r w:rsidR="00D74705">
        <w:t>seeks</w:t>
      </w:r>
      <w:r w:rsidR="0067473D">
        <w:t xml:space="preserve"> final relief.  Accordingly, in determining this application</w:t>
      </w:r>
      <w:r w:rsidR="00D74705">
        <w:t>,</w:t>
      </w:r>
      <w:r w:rsidR="0067473D">
        <w:t xml:space="preserve"> I am required to apply the well-known principles in the </w:t>
      </w:r>
      <w:proofErr w:type="spellStart"/>
      <w:r w:rsidR="0067473D">
        <w:rPr>
          <w:b/>
          <w:bCs/>
          <w:i/>
          <w:iCs/>
        </w:rPr>
        <w:t>Plascon</w:t>
      </w:r>
      <w:proofErr w:type="spellEnd"/>
      <w:r w:rsidR="0067473D">
        <w:rPr>
          <w:b/>
          <w:bCs/>
          <w:i/>
          <w:iCs/>
        </w:rPr>
        <w:t xml:space="preserve">-Evans Paints Ltd v Van </w:t>
      </w:r>
      <w:proofErr w:type="spellStart"/>
      <w:r w:rsidR="0067473D">
        <w:rPr>
          <w:b/>
          <w:bCs/>
          <w:i/>
          <w:iCs/>
        </w:rPr>
        <w:t>Riebeeck</w:t>
      </w:r>
      <w:proofErr w:type="spellEnd"/>
      <w:r w:rsidR="0067473D">
        <w:rPr>
          <w:b/>
          <w:bCs/>
          <w:i/>
          <w:iCs/>
        </w:rPr>
        <w:t xml:space="preserve"> Paints (Pty) Ltd </w:t>
      </w:r>
      <w:r w:rsidR="0067473D">
        <w:t>matter</w:t>
      </w:r>
      <w:r w:rsidR="0067473D">
        <w:rPr>
          <w:rStyle w:val="FootnoteReference"/>
        </w:rPr>
        <w:footnoteReference w:id="9"/>
      </w:r>
      <w:r w:rsidR="00106254">
        <w:t xml:space="preserve">, </w:t>
      </w:r>
      <w:r w:rsidR="0067473D">
        <w:t xml:space="preserve">which is also referred to in </w:t>
      </w:r>
      <w:r w:rsidR="0067473D">
        <w:rPr>
          <w:b/>
          <w:bCs/>
          <w:i/>
          <w:iCs/>
        </w:rPr>
        <w:lastRenderedPageBreak/>
        <w:t xml:space="preserve">NDPP v </w:t>
      </w:r>
      <w:proofErr w:type="spellStart"/>
      <w:r w:rsidR="0067473D">
        <w:rPr>
          <w:b/>
          <w:bCs/>
          <w:i/>
          <w:iCs/>
        </w:rPr>
        <w:t>Zuma</w:t>
      </w:r>
      <w:proofErr w:type="spellEnd"/>
      <w:r w:rsidR="00A75965">
        <w:rPr>
          <w:b/>
          <w:bCs/>
          <w:i/>
          <w:iCs/>
        </w:rPr>
        <w:t>,</w:t>
      </w:r>
      <w:r w:rsidR="0067473D" w:rsidRPr="00825EB5">
        <w:rPr>
          <w:rStyle w:val="FootnoteReference"/>
        </w:rPr>
        <w:footnoteReference w:id="10"/>
      </w:r>
      <w:r w:rsidR="00A75965">
        <w:t xml:space="preserve"> as follows:</w:t>
      </w:r>
    </w:p>
    <w:p w14:paraId="63642311" w14:textId="4001C11A" w:rsidR="00A75965" w:rsidRDefault="00A75965" w:rsidP="00A75965">
      <w:pPr>
        <w:pStyle w:val="Quotation"/>
      </w:pPr>
      <w:r>
        <w:t>[26]</w:t>
      </w:r>
      <w:r>
        <w:tab/>
        <w:t>Motion proceedings, unless concerned with interim relief, are all about the resolution of legal issues based on common cause facts,</w:t>
      </w:r>
      <w:r w:rsidR="00106254">
        <w:t xml:space="preserve"> </w:t>
      </w:r>
      <w:r>
        <w:t xml:space="preserve">unless the circumstances are special they cannot be used to resolve factual issues because they are not designed to determine probabilities. It is well established under the </w:t>
      </w:r>
      <w:proofErr w:type="spellStart"/>
      <w:r>
        <w:t>Plascon</w:t>
      </w:r>
      <w:proofErr w:type="spellEnd"/>
      <w:r>
        <w:t xml:space="preserve">-Evans Rule that where in motion proceedings disputes </w:t>
      </w:r>
      <w:r w:rsidR="00AF3969">
        <w:t>of</w:t>
      </w:r>
      <w:r>
        <w:t xml:space="preserve"> fact arise on the affidavits, a final order can be granted only if the facts averred in the applicant’s (Mr </w:t>
      </w:r>
      <w:proofErr w:type="spellStart"/>
      <w:r>
        <w:t>Zuma’s</w:t>
      </w:r>
      <w:proofErr w:type="spellEnd"/>
      <w:r>
        <w:t xml:space="preserve"> affidavits), which have been admitted by the respondent (the NDPP), together with the facts alleged by the latter, justify such order. It may be different if the respondent’s version consists of bald or </w:t>
      </w:r>
      <w:proofErr w:type="spellStart"/>
      <w:r>
        <w:t>uncreditworthy</w:t>
      </w:r>
      <w:proofErr w:type="spellEnd"/>
      <w:r>
        <w:t xml:space="preserve"> denials, raises fictitious disputes of fact, is palpably implausible, farfetched or so clearly untenable where the court is justified in rejecting them merely on the papers. The court below did not have regard to these propositions and instead decided the case on probabilities without rejecting the NDPP’s version.” </w:t>
      </w:r>
    </w:p>
    <w:p w14:paraId="35C59F93" w14:textId="78E4CB32" w:rsidR="0067473D" w:rsidRDefault="0067473D" w:rsidP="00A75965">
      <w:pPr>
        <w:pStyle w:val="Heading1"/>
        <w:numPr>
          <w:ilvl w:val="0"/>
          <w:numId w:val="0"/>
        </w:numPr>
        <w:ind w:left="862"/>
      </w:pPr>
      <w:r>
        <w:t>It is apparent that if there is a genuine dispute of fact, the Court must accept the respondents’ version.  In assessing whether or not a dispute is genuine, I must consider whether or not the allegations made in support thereof are farfetched or untenable</w:t>
      </w:r>
      <w:r w:rsidR="00106254">
        <w:t>,</w:t>
      </w:r>
      <w:r>
        <w:t xml:space="preserve"> permitting their rejection on the papers.</w:t>
      </w:r>
      <w:r>
        <w:rPr>
          <w:rStyle w:val="FootnoteReference"/>
        </w:rPr>
        <w:footnoteReference w:id="11"/>
      </w:r>
      <w:r>
        <w:t xml:space="preserve">  In assessing whether or not there is a real dispute of fact, it is necessary to satisfy the Court that the party who purports to raise the dispute, namely the first respondent, has seriously and unambiguously </w:t>
      </w:r>
      <w:r>
        <w:lastRenderedPageBreak/>
        <w:t>addressed the disputed facts in the affidavit placed before the Court.</w:t>
      </w:r>
      <w:r>
        <w:rPr>
          <w:rStyle w:val="FootnoteReference"/>
        </w:rPr>
        <w:footnoteReference w:id="12"/>
      </w:r>
      <w:r>
        <w:t xml:space="preserve">  </w:t>
      </w:r>
    </w:p>
    <w:p w14:paraId="5BDE5F83" w14:textId="518DEE00" w:rsidR="008C59AF" w:rsidRDefault="009074E3" w:rsidP="009074E3">
      <w:pPr>
        <w:pStyle w:val="Heading1"/>
        <w:numPr>
          <w:ilvl w:val="0"/>
          <w:numId w:val="0"/>
        </w:numPr>
        <w:tabs>
          <w:tab w:val="left" w:pos="862"/>
        </w:tabs>
        <w:ind w:left="862" w:hanging="862"/>
      </w:pPr>
      <w:r>
        <w:t>[14]</w:t>
      </w:r>
      <w:r>
        <w:tab/>
      </w:r>
      <w:r w:rsidR="008C59AF">
        <w:t xml:space="preserve">In ascertaining whether disputes of fact are </w:t>
      </w:r>
      <w:r w:rsidR="008C59AF" w:rsidRPr="00475029">
        <w:rPr>
          <w:i/>
        </w:rPr>
        <w:t>bona fide</w:t>
      </w:r>
      <w:r w:rsidR="00106254">
        <w:rPr>
          <w:i/>
        </w:rPr>
        <w:t>,</w:t>
      </w:r>
      <w:r w:rsidR="008C59AF">
        <w:t xml:space="preserve"> the Supreme Court of Appeal has set out the approach.</w:t>
      </w:r>
      <w:r w:rsidR="008C59AF">
        <w:rPr>
          <w:rStyle w:val="FootnoteReference"/>
        </w:rPr>
        <w:footnoteReference w:id="13"/>
      </w:r>
      <w:r w:rsidR="008C59AF">
        <w:t xml:space="preserve">  It held that:</w:t>
      </w:r>
    </w:p>
    <w:p w14:paraId="7D030445" w14:textId="77777777" w:rsidR="008C59AF" w:rsidRDefault="008C59AF" w:rsidP="008C59AF">
      <w:pPr>
        <w:ind w:left="1871" w:hanging="1871"/>
        <w:rPr>
          <w:i/>
          <w:iCs/>
        </w:rPr>
      </w:pPr>
      <w:r>
        <w:tab/>
      </w:r>
      <w:r>
        <w:tab/>
      </w:r>
      <w:r>
        <w:rPr>
          <w:i/>
          <w:iCs/>
        </w:rPr>
        <w:t>“</w:t>
      </w:r>
      <w:r w:rsidRPr="002912A7">
        <w:rPr>
          <w:i/>
          <w:iCs/>
        </w:rPr>
        <w:t>The court should be prepared to undertake an objective analysis of such disputes when required to do so. In J</w:t>
      </w:r>
      <w:r>
        <w:rPr>
          <w:i/>
          <w:iCs/>
        </w:rPr>
        <w:t> </w:t>
      </w:r>
      <w:r w:rsidRPr="002912A7">
        <w:rPr>
          <w:i/>
          <w:iCs/>
        </w:rPr>
        <w:t>W</w:t>
      </w:r>
      <w:r>
        <w:rPr>
          <w:i/>
          <w:iCs/>
        </w:rPr>
        <w:t> </w:t>
      </w:r>
      <w:r w:rsidRPr="002912A7">
        <w:rPr>
          <w:i/>
          <w:iCs/>
        </w:rPr>
        <w:t xml:space="preserve">Wightman (Pty) Ltd v </w:t>
      </w:r>
      <w:proofErr w:type="spellStart"/>
      <w:r w:rsidRPr="002912A7">
        <w:rPr>
          <w:i/>
          <w:iCs/>
        </w:rPr>
        <w:t>Headfour</w:t>
      </w:r>
      <w:proofErr w:type="spellEnd"/>
      <w:r w:rsidRPr="002912A7">
        <w:rPr>
          <w:i/>
          <w:iCs/>
        </w:rPr>
        <w:t xml:space="preserve"> (Pty) Ltd 2008 (3) SA 371</w:t>
      </w:r>
      <w:r>
        <w:rPr>
          <w:i/>
          <w:iCs/>
        </w:rPr>
        <w:t xml:space="preserve"> </w:t>
      </w:r>
      <w:r w:rsidRPr="002912A7">
        <w:rPr>
          <w:i/>
          <w:iCs/>
        </w:rPr>
        <w:t xml:space="preserve">(SCA), it was suggested how that might be done in appropriate circumstances. </w:t>
      </w:r>
      <w:r>
        <w:rPr>
          <w:i/>
          <w:iCs/>
        </w:rPr>
        <w:t>…</w:t>
      </w:r>
    </w:p>
    <w:p w14:paraId="77C7C98B" w14:textId="77777777" w:rsidR="008C59AF" w:rsidRDefault="008C59AF" w:rsidP="008C59AF">
      <w:pPr>
        <w:ind w:left="1871" w:hanging="1871"/>
        <w:rPr>
          <w:i/>
          <w:iCs/>
        </w:rPr>
      </w:pPr>
      <w:r>
        <w:rPr>
          <w:i/>
          <w:iCs/>
        </w:rPr>
        <w:tab/>
      </w:r>
      <w:r>
        <w:rPr>
          <w:i/>
          <w:iCs/>
        </w:rPr>
        <w:tab/>
      </w:r>
      <w:r w:rsidRPr="003969E9">
        <w:rPr>
          <w:i/>
          <w:iCs/>
        </w:rPr>
        <w:t>A court must always be cautious about deciding probabilities in the face of conflicts of facts in affidavits. Affidavits are settled by legal advisers with varying degrees of experience, skill and diligence and a litigant should not pay the price for an adviser’s shortcomings. Judgment on the credibility of the deponent, absent direct and obvious contradictions, should be left open. Nevertheless the courts have recognised reasons to take a stronger line to avoid injustice. In Da Mata v Otto 1972 (3) SA 858 (A) at 689D-E, the following was said</w:t>
      </w:r>
      <w:r>
        <w:rPr>
          <w:i/>
          <w:iCs/>
        </w:rPr>
        <w:t>:</w:t>
      </w:r>
    </w:p>
    <w:p w14:paraId="468BCAB6" w14:textId="77777777" w:rsidR="008C59AF" w:rsidRPr="003969E9" w:rsidRDefault="008C59AF" w:rsidP="008C59AF">
      <w:pPr>
        <w:ind w:left="1871" w:hanging="1871"/>
        <w:rPr>
          <w:i/>
          <w:iCs/>
        </w:rPr>
      </w:pPr>
      <w:r>
        <w:rPr>
          <w:i/>
          <w:iCs/>
        </w:rPr>
        <w:tab/>
      </w:r>
      <w:r>
        <w:rPr>
          <w:i/>
          <w:iCs/>
        </w:rPr>
        <w:tab/>
      </w:r>
      <w:r w:rsidRPr="003969E9">
        <w:rPr>
          <w:i/>
          <w:iCs/>
        </w:rPr>
        <w:t>‘In regard to the appellant</w:t>
      </w:r>
      <w:r>
        <w:rPr>
          <w:i/>
          <w:iCs/>
        </w:rPr>
        <w:t>’</w:t>
      </w:r>
      <w:r w:rsidRPr="003969E9">
        <w:rPr>
          <w:i/>
          <w:iCs/>
        </w:rPr>
        <w:t xml:space="preserve">s sworn statements alleging the oral agreement, it does not follow that because these allegations were not contradicted – the witness who could have disputed them had died – they should be taken as proof of the facts involved. </w:t>
      </w:r>
      <w:proofErr w:type="spellStart"/>
      <w:r w:rsidRPr="003969E9">
        <w:rPr>
          <w:i/>
          <w:iCs/>
        </w:rPr>
        <w:t>Wigmore</w:t>
      </w:r>
      <w:proofErr w:type="spellEnd"/>
      <w:r w:rsidRPr="003969E9">
        <w:rPr>
          <w:i/>
          <w:iCs/>
        </w:rPr>
        <w:t xml:space="preserve"> on Evidence, 3rd ed., vol. VII, p.</w:t>
      </w:r>
      <w:r>
        <w:rPr>
          <w:i/>
          <w:iCs/>
        </w:rPr>
        <w:t xml:space="preserve"> </w:t>
      </w:r>
      <w:r w:rsidRPr="003969E9">
        <w:rPr>
          <w:i/>
          <w:iCs/>
        </w:rPr>
        <w:t>260, states that the mere assertion of any witness does not of itself need to be believed, even though he is unimpeached in any manner, because to require such belief would be to give a quant</w:t>
      </w:r>
      <w:r>
        <w:rPr>
          <w:i/>
          <w:iCs/>
        </w:rPr>
        <w:t>it</w:t>
      </w:r>
      <w:r w:rsidRPr="003969E9">
        <w:rPr>
          <w:i/>
          <w:iCs/>
        </w:rPr>
        <w:t xml:space="preserve">ative </w:t>
      </w:r>
      <w:r w:rsidRPr="003969E9">
        <w:rPr>
          <w:i/>
          <w:iCs/>
        </w:rPr>
        <w:lastRenderedPageBreak/>
        <w:t>and impersonal measure to testimony. The learned author in this connection at p. 262 cites the following passage from a decision quoted:</w:t>
      </w:r>
    </w:p>
    <w:p w14:paraId="58B9682D" w14:textId="4E827B37" w:rsidR="008C59AF" w:rsidRPr="008C59AF" w:rsidRDefault="008C59AF" w:rsidP="008C59AF">
      <w:pPr>
        <w:ind w:left="1871" w:hanging="1871"/>
        <w:rPr>
          <w:i/>
          <w:iCs/>
        </w:rPr>
      </w:pPr>
      <w:r>
        <w:rPr>
          <w:i/>
          <w:iCs/>
        </w:rPr>
        <w:tab/>
      </w:r>
      <w:r>
        <w:rPr>
          <w:i/>
          <w:iCs/>
        </w:rPr>
        <w:tab/>
      </w:r>
      <w:r w:rsidRPr="003969E9">
        <w:rPr>
          <w:i/>
          <w:iCs/>
        </w:rPr>
        <w:t>“</w:t>
      </w:r>
      <w:proofErr w:type="gramStart"/>
      <w:r w:rsidRPr="003969E9">
        <w:rPr>
          <w:i/>
          <w:iCs/>
        </w:rPr>
        <w:t>it</w:t>
      </w:r>
      <w:proofErr w:type="gramEnd"/>
      <w:r w:rsidRPr="003969E9">
        <w:rPr>
          <w:i/>
          <w:iCs/>
        </w:rPr>
        <w:t xml:space="preserve"> is not infrequently supposed that a sworn statement is necessary proof, and that, if </w:t>
      </w:r>
      <w:proofErr w:type="spellStart"/>
      <w:r w:rsidRPr="003969E9">
        <w:rPr>
          <w:i/>
          <w:iCs/>
        </w:rPr>
        <w:t>uncontradicted</w:t>
      </w:r>
      <w:proofErr w:type="spellEnd"/>
      <w:r w:rsidRPr="003969E9">
        <w:rPr>
          <w:i/>
          <w:iCs/>
        </w:rPr>
        <w:t>, it established the fact</w:t>
      </w:r>
      <w:r>
        <w:rPr>
          <w:i/>
          <w:iCs/>
        </w:rPr>
        <w:t>s</w:t>
      </w:r>
      <w:r w:rsidRPr="003969E9">
        <w:rPr>
          <w:i/>
          <w:iCs/>
        </w:rPr>
        <w:t xml:space="preserve"> involved. Such is by no means the law. Testimony, regardless of the amount of it, which is contrary to all reasonable probabilities or conceded facts</w:t>
      </w:r>
      <w:r>
        <w:rPr>
          <w:i/>
          <w:iCs/>
        </w:rPr>
        <w:t xml:space="preserve"> - </w:t>
      </w:r>
      <w:r w:rsidRPr="003969E9">
        <w:rPr>
          <w:i/>
          <w:iCs/>
        </w:rPr>
        <w:t>testimony which no sensible man can believe</w:t>
      </w:r>
      <w:r>
        <w:rPr>
          <w:i/>
          <w:iCs/>
        </w:rPr>
        <w:t xml:space="preserve"> </w:t>
      </w:r>
      <w:r w:rsidRPr="003969E9">
        <w:rPr>
          <w:i/>
          <w:iCs/>
        </w:rPr>
        <w:t>-</w:t>
      </w:r>
      <w:r>
        <w:rPr>
          <w:i/>
          <w:iCs/>
        </w:rPr>
        <w:t xml:space="preserve"> </w:t>
      </w:r>
      <w:r w:rsidRPr="003969E9">
        <w:rPr>
          <w:i/>
          <w:iCs/>
        </w:rPr>
        <w:t>goes for nothing; while the evidence of a single witness to a fact, there being nothing to throw discredit, cannot be disregarded.”</w:t>
      </w:r>
    </w:p>
    <w:p w14:paraId="725BDF28" w14:textId="16A1A043" w:rsidR="0067473D" w:rsidRDefault="009074E3" w:rsidP="009074E3">
      <w:pPr>
        <w:pStyle w:val="Heading1"/>
        <w:numPr>
          <w:ilvl w:val="0"/>
          <w:numId w:val="0"/>
        </w:numPr>
        <w:tabs>
          <w:tab w:val="left" w:pos="862"/>
        </w:tabs>
        <w:ind w:left="862" w:hanging="862"/>
      </w:pPr>
      <w:r>
        <w:t>[15]</w:t>
      </w:r>
      <w:r>
        <w:tab/>
      </w:r>
      <w:r w:rsidR="0067473D">
        <w:t xml:space="preserve">It is clear from the order that I made that I accepted </w:t>
      </w:r>
      <w:proofErr w:type="spellStart"/>
      <w:r w:rsidR="0067473D">
        <w:t>Astfin’s</w:t>
      </w:r>
      <w:proofErr w:type="spellEnd"/>
      <w:r w:rsidR="0067473D">
        <w:t xml:space="preserve"> version in the sense that it had raised a genuine dispute of fact, which had been addressed </w:t>
      </w:r>
      <w:r w:rsidR="00106254">
        <w:t>head-on</w:t>
      </w:r>
      <w:r w:rsidR="0067473D">
        <w:t xml:space="preserve">. </w:t>
      </w:r>
      <w:r w:rsidR="00AF3969">
        <w:t xml:space="preserve"> There is merit that</w:t>
      </w:r>
      <w:r w:rsidR="008C59AF">
        <w:t>,</w:t>
      </w:r>
      <w:r w:rsidR="00AF3969">
        <w:t xml:space="preserve"> having anticipated disputes of fact prior to the launching of this application, a dismissal is warranted. I, however</w:t>
      </w:r>
      <w:r w:rsidR="00106254">
        <w:t>,</w:t>
      </w:r>
      <w:r w:rsidR="00AF3969">
        <w:t xml:space="preserve"> elected to determine this </w:t>
      </w:r>
      <w:r w:rsidR="00965B9F">
        <w:t>application</w:t>
      </w:r>
      <w:r w:rsidR="00AF3969">
        <w:t xml:space="preserve"> on the merits.</w:t>
      </w:r>
      <w:r w:rsidR="0067473D">
        <w:t xml:space="preserve">   </w:t>
      </w:r>
    </w:p>
    <w:p w14:paraId="498CF2BF" w14:textId="6DF622CA" w:rsidR="0067473D" w:rsidRDefault="009074E3" w:rsidP="009074E3">
      <w:pPr>
        <w:pStyle w:val="Heading1"/>
        <w:numPr>
          <w:ilvl w:val="0"/>
          <w:numId w:val="0"/>
        </w:numPr>
        <w:tabs>
          <w:tab w:val="left" w:pos="862"/>
        </w:tabs>
        <w:ind w:left="862" w:hanging="862"/>
      </w:pPr>
      <w:r>
        <w:t>[16]</w:t>
      </w:r>
      <w:r>
        <w:tab/>
      </w:r>
      <w:r w:rsidR="00965B9F">
        <w:t>As the</w:t>
      </w:r>
      <w:r w:rsidR="0067473D">
        <w:t xml:space="preserve"> applicant did not file a replying affidavit</w:t>
      </w:r>
      <w:r w:rsidR="00106254">
        <w:t>,</w:t>
      </w:r>
      <w:r w:rsidR="0067473D">
        <w:t xml:space="preserve"> material allegations raised</w:t>
      </w:r>
      <w:r w:rsidR="00AF3969">
        <w:t xml:space="preserve"> by </w:t>
      </w:r>
      <w:proofErr w:type="spellStart"/>
      <w:r w:rsidR="00AF3969">
        <w:t>Astfin</w:t>
      </w:r>
      <w:proofErr w:type="spellEnd"/>
      <w:r w:rsidR="00106254">
        <w:t xml:space="preserve"> </w:t>
      </w:r>
      <w:r w:rsidR="00965B9F">
        <w:t xml:space="preserve">that a settlement did not happen and, </w:t>
      </w:r>
      <w:r w:rsidR="0067473D">
        <w:t>particularly</w:t>
      </w:r>
      <w:r w:rsidR="00965B9F">
        <w:t>,</w:t>
      </w:r>
      <w:r w:rsidR="0067473D">
        <w:t xml:space="preserve"> that Baron did not represent </w:t>
      </w:r>
      <w:r w:rsidR="00AF3969">
        <w:t>it</w:t>
      </w:r>
      <w:r w:rsidR="00965B9F">
        <w:t xml:space="preserve"> were not refuted</w:t>
      </w:r>
      <w:r w:rsidR="00B456BF">
        <w:t>. T</w:t>
      </w:r>
      <w:r w:rsidR="0067473D">
        <w:t>he applicant did not seek to raise an estoppel or even proffer an affidavit by Baron.</w:t>
      </w:r>
    </w:p>
    <w:p w14:paraId="3F4974E9" w14:textId="2D0683AC" w:rsidR="0067473D" w:rsidRDefault="009074E3" w:rsidP="009074E3">
      <w:pPr>
        <w:pStyle w:val="Heading1"/>
        <w:numPr>
          <w:ilvl w:val="0"/>
          <w:numId w:val="0"/>
        </w:numPr>
        <w:tabs>
          <w:tab w:val="left" w:pos="862"/>
        </w:tabs>
        <w:ind w:left="862" w:hanging="862"/>
      </w:pPr>
      <w:r>
        <w:t>[17]</w:t>
      </w:r>
      <w:r>
        <w:tab/>
      </w:r>
      <w:r w:rsidR="0067473D">
        <w:t>Mr Whittington</w:t>
      </w:r>
      <w:r w:rsidR="00B456BF">
        <w:t>,</w:t>
      </w:r>
      <w:r w:rsidR="0067473D">
        <w:t xml:space="preserve"> for the applicant</w:t>
      </w:r>
      <w:r w:rsidR="00B456BF">
        <w:t>,</w:t>
      </w:r>
      <w:r w:rsidR="0067473D">
        <w:t xml:space="preserve"> submitted to me</w:t>
      </w:r>
      <w:r w:rsidR="00895C34">
        <w:t>,</w:t>
      </w:r>
      <w:r w:rsidR="0067473D">
        <w:t xml:space="preserve"> at the outset of his </w:t>
      </w:r>
      <w:proofErr w:type="gramStart"/>
      <w:r w:rsidR="0067473D">
        <w:t>argument</w:t>
      </w:r>
      <w:r w:rsidR="00895C34">
        <w:t>,</w:t>
      </w:r>
      <w:r w:rsidR="0067473D">
        <w:t xml:space="preserve"> that</w:t>
      </w:r>
      <w:proofErr w:type="gramEnd"/>
      <w:r w:rsidR="0067473D">
        <w:t xml:space="preserve"> </w:t>
      </w:r>
      <w:proofErr w:type="spellStart"/>
      <w:r w:rsidR="0067473D">
        <w:t>Bihl</w:t>
      </w:r>
      <w:proofErr w:type="spellEnd"/>
      <w:r w:rsidR="0067473D">
        <w:t xml:space="preserve"> had “</w:t>
      </w:r>
      <w:r w:rsidR="0067473D" w:rsidRPr="00555872">
        <w:rPr>
          <w:i/>
          <w:iCs/>
        </w:rPr>
        <w:t>assumed</w:t>
      </w:r>
      <w:r w:rsidR="0067473D">
        <w:t xml:space="preserve">” that Baron was representing </w:t>
      </w:r>
      <w:proofErr w:type="spellStart"/>
      <w:r w:rsidR="0067473D">
        <w:t>Astfin</w:t>
      </w:r>
      <w:proofErr w:type="spellEnd"/>
      <w:r w:rsidR="0067473D">
        <w:t>, Venter</w:t>
      </w:r>
      <w:r w:rsidR="00B456BF">
        <w:t>,</w:t>
      </w:r>
      <w:r w:rsidR="0067473D">
        <w:t xml:space="preserve"> personally</w:t>
      </w:r>
      <w:r w:rsidR="00B456BF">
        <w:t>,</w:t>
      </w:r>
      <w:r w:rsidR="0067473D">
        <w:t xml:space="preserve"> and the trustees of the Venter Trust. With th</w:t>
      </w:r>
      <w:r w:rsidR="00B456BF">
        <w:t>ese</w:t>
      </w:r>
      <w:r w:rsidR="0067473D">
        <w:t xml:space="preserve"> latter submission</w:t>
      </w:r>
      <w:r w:rsidR="00B456BF">
        <w:t>s</w:t>
      </w:r>
      <w:r w:rsidR="00106254">
        <w:t>,</w:t>
      </w:r>
      <w:r w:rsidR="0067473D">
        <w:t xml:space="preserve"> I have no issue. It is the former that is the subject matter of the dispute.</w:t>
      </w:r>
    </w:p>
    <w:p w14:paraId="0016DB3A" w14:textId="60A820FD" w:rsidR="0067473D" w:rsidRDefault="009074E3" w:rsidP="009074E3">
      <w:pPr>
        <w:pStyle w:val="Heading1"/>
        <w:numPr>
          <w:ilvl w:val="0"/>
          <w:numId w:val="0"/>
        </w:numPr>
        <w:tabs>
          <w:tab w:val="left" w:pos="862"/>
        </w:tabs>
        <w:ind w:left="862" w:hanging="862"/>
      </w:pPr>
      <w:r>
        <w:t>[18]</w:t>
      </w:r>
      <w:r>
        <w:tab/>
      </w:r>
      <w:r w:rsidR="0067473D">
        <w:t xml:space="preserve">In support of this assumption, </w:t>
      </w:r>
      <w:proofErr w:type="spellStart"/>
      <w:r w:rsidR="0067473D">
        <w:t>Bihl</w:t>
      </w:r>
      <w:proofErr w:type="spellEnd"/>
      <w:r w:rsidR="0067473D">
        <w:t xml:space="preserve"> says that Baron contacted him telephonically at the beginning of September 2022 with a view to settling the application </w:t>
      </w:r>
      <w:r w:rsidR="00244667">
        <w:t xml:space="preserve">with </w:t>
      </w:r>
      <w:proofErr w:type="spellStart"/>
      <w:r w:rsidR="00244667">
        <w:t>Astfin</w:t>
      </w:r>
      <w:proofErr w:type="spellEnd"/>
      <w:r w:rsidR="0067473D">
        <w:t xml:space="preserve">. </w:t>
      </w:r>
      <w:proofErr w:type="spellStart"/>
      <w:r w:rsidR="0067473D">
        <w:t>Bihl</w:t>
      </w:r>
      <w:proofErr w:type="spellEnd"/>
      <w:r w:rsidR="0067473D">
        <w:t xml:space="preserve"> says he told Baron that he would speak to </w:t>
      </w:r>
      <w:r w:rsidR="0067473D">
        <w:lastRenderedPageBreak/>
        <w:t xml:space="preserve">the applicant and revert to him. </w:t>
      </w:r>
      <w:r w:rsidR="00106254">
        <w:t xml:space="preserve">Without </w:t>
      </w:r>
      <w:proofErr w:type="spellStart"/>
      <w:r w:rsidR="007E1636">
        <w:t>Bihl</w:t>
      </w:r>
      <w:proofErr w:type="spellEnd"/>
      <w:r w:rsidR="007E1636">
        <w:t xml:space="preserve"> </w:t>
      </w:r>
      <w:r w:rsidR="00106254">
        <w:t>approaching the applicant</w:t>
      </w:r>
      <w:r w:rsidR="0067473D">
        <w:t>, an e-mail was received from Baron dated 6 September 2022.  This e-mail</w:t>
      </w:r>
      <w:r w:rsidR="007E1636">
        <w:t xml:space="preserve"> </w:t>
      </w:r>
      <w:r w:rsidR="0067473D">
        <w:t xml:space="preserve">is titled </w:t>
      </w:r>
      <w:r w:rsidR="0067473D">
        <w:rPr>
          <w:i/>
          <w:iCs/>
        </w:rPr>
        <w:t>“</w:t>
      </w:r>
      <w:proofErr w:type="spellStart"/>
      <w:r w:rsidR="0067473D">
        <w:rPr>
          <w:i/>
          <w:iCs/>
        </w:rPr>
        <w:t>Gesprek</w:t>
      </w:r>
      <w:proofErr w:type="spellEnd"/>
      <w:r w:rsidR="0067473D">
        <w:rPr>
          <w:i/>
          <w:iCs/>
        </w:rPr>
        <w:t xml:space="preserve"> ‘n week of </w:t>
      </w:r>
      <w:proofErr w:type="spellStart"/>
      <w:r w:rsidR="0067473D">
        <w:rPr>
          <w:i/>
          <w:iCs/>
        </w:rPr>
        <w:t>wat</w:t>
      </w:r>
      <w:proofErr w:type="spellEnd"/>
      <w:r w:rsidR="0067473D">
        <w:rPr>
          <w:i/>
          <w:iCs/>
        </w:rPr>
        <w:t xml:space="preserve"> </w:t>
      </w:r>
      <w:proofErr w:type="spellStart"/>
      <w:r w:rsidR="0067473D">
        <w:rPr>
          <w:i/>
          <w:iCs/>
        </w:rPr>
        <w:t>gelede</w:t>
      </w:r>
      <w:proofErr w:type="spellEnd"/>
      <w:r w:rsidR="0067473D">
        <w:rPr>
          <w:i/>
          <w:iCs/>
        </w:rPr>
        <w:t>”</w:t>
      </w:r>
      <w:r w:rsidR="0067473D">
        <w:t xml:space="preserve">.  In this e-mail Baron records </w:t>
      </w:r>
      <w:r w:rsidR="0067473D">
        <w:rPr>
          <w:i/>
          <w:iCs/>
        </w:rPr>
        <w:t>“</w:t>
      </w:r>
      <w:proofErr w:type="spellStart"/>
      <w:r w:rsidR="0067473D">
        <w:rPr>
          <w:i/>
          <w:iCs/>
        </w:rPr>
        <w:t>Ek</w:t>
      </w:r>
      <w:proofErr w:type="spellEnd"/>
      <w:r w:rsidR="0067473D">
        <w:rPr>
          <w:i/>
          <w:iCs/>
        </w:rPr>
        <w:t xml:space="preserve"> </w:t>
      </w:r>
      <w:proofErr w:type="spellStart"/>
      <w:r w:rsidR="0067473D">
        <w:rPr>
          <w:i/>
          <w:iCs/>
        </w:rPr>
        <w:t>volg</w:t>
      </w:r>
      <w:proofErr w:type="spellEnd"/>
      <w:r w:rsidR="0067473D">
        <w:rPr>
          <w:i/>
          <w:iCs/>
        </w:rPr>
        <w:t xml:space="preserve"> net op </w:t>
      </w:r>
      <w:proofErr w:type="spellStart"/>
      <w:r w:rsidR="0067473D">
        <w:rPr>
          <w:i/>
          <w:iCs/>
        </w:rPr>
        <w:t>oor</w:t>
      </w:r>
      <w:proofErr w:type="spellEnd"/>
      <w:r w:rsidR="0067473D">
        <w:rPr>
          <w:i/>
          <w:iCs/>
        </w:rPr>
        <w:t xml:space="preserve"> </w:t>
      </w:r>
      <w:proofErr w:type="spellStart"/>
      <w:r w:rsidR="0067473D">
        <w:rPr>
          <w:i/>
          <w:iCs/>
        </w:rPr>
        <w:t>ons</w:t>
      </w:r>
      <w:proofErr w:type="spellEnd"/>
      <w:r w:rsidR="0067473D">
        <w:rPr>
          <w:i/>
          <w:iCs/>
        </w:rPr>
        <w:t xml:space="preserve"> </w:t>
      </w:r>
      <w:proofErr w:type="spellStart"/>
      <w:r w:rsidR="0067473D">
        <w:rPr>
          <w:i/>
          <w:iCs/>
        </w:rPr>
        <w:t>gesprek</w:t>
      </w:r>
      <w:proofErr w:type="spellEnd"/>
      <w:r w:rsidR="0067473D">
        <w:rPr>
          <w:i/>
          <w:iCs/>
        </w:rPr>
        <w:t xml:space="preserve"> </w:t>
      </w:r>
      <w:proofErr w:type="spellStart"/>
      <w:r w:rsidR="0067473D">
        <w:rPr>
          <w:i/>
          <w:iCs/>
        </w:rPr>
        <w:t>rakende</w:t>
      </w:r>
      <w:proofErr w:type="spellEnd"/>
      <w:r w:rsidR="0067473D">
        <w:rPr>
          <w:i/>
          <w:iCs/>
        </w:rPr>
        <w:t xml:space="preserve"> </w:t>
      </w:r>
      <w:proofErr w:type="spellStart"/>
      <w:r w:rsidR="0067473D">
        <w:rPr>
          <w:i/>
          <w:iCs/>
        </w:rPr>
        <w:t>Astfin</w:t>
      </w:r>
      <w:proofErr w:type="spellEnd"/>
      <w:r w:rsidR="0067473D">
        <w:rPr>
          <w:i/>
          <w:iCs/>
        </w:rPr>
        <w:t xml:space="preserve"> se </w:t>
      </w:r>
      <w:proofErr w:type="spellStart"/>
      <w:r w:rsidR="0067473D">
        <w:rPr>
          <w:i/>
          <w:iCs/>
        </w:rPr>
        <w:t>skikking</w:t>
      </w:r>
      <w:proofErr w:type="spellEnd"/>
      <w:r w:rsidR="0067473D">
        <w:rPr>
          <w:i/>
          <w:iCs/>
        </w:rPr>
        <w:t xml:space="preserve"> </w:t>
      </w:r>
      <w:proofErr w:type="spellStart"/>
      <w:r w:rsidR="0067473D">
        <w:rPr>
          <w:i/>
          <w:iCs/>
        </w:rPr>
        <w:t>soos</w:t>
      </w:r>
      <w:proofErr w:type="spellEnd"/>
      <w:r w:rsidR="0067473D">
        <w:rPr>
          <w:i/>
          <w:iCs/>
        </w:rPr>
        <w:t xml:space="preserve"> </w:t>
      </w:r>
      <w:proofErr w:type="spellStart"/>
      <w:r w:rsidR="0067473D">
        <w:rPr>
          <w:i/>
          <w:iCs/>
        </w:rPr>
        <w:t>skyns</w:t>
      </w:r>
      <w:proofErr w:type="spellEnd"/>
      <w:r w:rsidR="0067473D">
        <w:rPr>
          <w:i/>
          <w:iCs/>
        </w:rPr>
        <w:t xml:space="preserve"> </w:t>
      </w:r>
      <w:proofErr w:type="spellStart"/>
      <w:r w:rsidR="0067473D">
        <w:rPr>
          <w:i/>
          <w:iCs/>
        </w:rPr>
        <w:t>oor</w:t>
      </w:r>
      <w:proofErr w:type="spellEnd"/>
      <w:r w:rsidR="0067473D">
        <w:rPr>
          <w:i/>
          <w:iCs/>
        </w:rPr>
        <w:t xml:space="preserve"> ‘n week </w:t>
      </w:r>
      <w:proofErr w:type="spellStart"/>
      <w:r w:rsidR="0067473D">
        <w:rPr>
          <w:i/>
          <w:iCs/>
        </w:rPr>
        <w:t>terug</w:t>
      </w:r>
      <w:proofErr w:type="spellEnd"/>
      <w:r w:rsidR="0067473D">
        <w:rPr>
          <w:i/>
          <w:iCs/>
        </w:rPr>
        <w:t xml:space="preserve">.  </w:t>
      </w:r>
      <w:proofErr w:type="spellStart"/>
      <w:r w:rsidR="0067473D">
        <w:rPr>
          <w:i/>
          <w:iCs/>
        </w:rPr>
        <w:t>Kon</w:t>
      </w:r>
      <w:proofErr w:type="spellEnd"/>
      <w:r w:rsidR="0067473D">
        <w:rPr>
          <w:i/>
          <w:iCs/>
        </w:rPr>
        <w:t xml:space="preserve"> </w:t>
      </w:r>
      <w:proofErr w:type="spellStart"/>
      <w:r w:rsidR="0067473D">
        <w:rPr>
          <w:i/>
          <w:iCs/>
        </w:rPr>
        <w:t>jy</w:t>
      </w:r>
      <w:proofErr w:type="spellEnd"/>
      <w:r w:rsidR="0067473D">
        <w:rPr>
          <w:i/>
          <w:iCs/>
        </w:rPr>
        <w:t xml:space="preserve"> </w:t>
      </w:r>
      <w:proofErr w:type="spellStart"/>
      <w:r w:rsidR="0067473D">
        <w:rPr>
          <w:i/>
          <w:iCs/>
        </w:rPr>
        <w:t>daaroor</w:t>
      </w:r>
      <w:proofErr w:type="spellEnd"/>
      <w:r w:rsidR="0067473D">
        <w:rPr>
          <w:i/>
          <w:iCs/>
        </w:rPr>
        <w:t xml:space="preserve"> dink en met </w:t>
      </w:r>
      <w:proofErr w:type="spellStart"/>
      <w:r w:rsidR="00244667">
        <w:rPr>
          <w:i/>
          <w:iCs/>
        </w:rPr>
        <w:t>dit</w:t>
      </w:r>
      <w:proofErr w:type="spellEnd"/>
      <w:r w:rsidR="00244667">
        <w:rPr>
          <w:i/>
          <w:iCs/>
        </w:rPr>
        <w:t xml:space="preserve"> </w:t>
      </w:r>
      <w:proofErr w:type="spellStart"/>
      <w:r w:rsidR="00244667">
        <w:rPr>
          <w:i/>
          <w:iCs/>
        </w:rPr>
        <w:t>jou</w:t>
      </w:r>
      <w:proofErr w:type="spellEnd"/>
      <w:r w:rsidR="0067473D">
        <w:rPr>
          <w:i/>
          <w:iCs/>
        </w:rPr>
        <w:t xml:space="preserve"> </w:t>
      </w:r>
      <w:proofErr w:type="spellStart"/>
      <w:r w:rsidR="0067473D">
        <w:rPr>
          <w:i/>
          <w:iCs/>
        </w:rPr>
        <w:t>kli</w:t>
      </w:r>
      <w:r w:rsidR="0067473D">
        <w:rPr>
          <w:rFonts w:cs="Arial"/>
          <w:i/>
          <w:iCs/>
        </w:rPr>
        <w:t>ë</w:t>
      </w:r>
      <w:r w:rsidR="0067473D">
        <w:rPr>
          <w:i/>
          <w:iCs/>
        </w:rPr>
        <w:t>nt</w:t>
      </w:r>
      <w:proofErr w:type="spellEnd"/>
      <w:r w:rsidR="0067473D">
        <w:rPr>
          <w:i/>
          <w:iCs/>
        </w:rPr>
        <w:t xml:space="preserve"> </w:t>
      </w:r>
      <w:proofErr w:type="spellStart"/>
      <w:r w:rsidR="0067473D">
        <w:rPr>
          <w:i/>
          <w:iCs/>
        </w:rPr>
        <w:t>bespreek</w:t>
      </w:r>
      <w:proofErr w:type="spellEnd"/>
      <w:r w:rsidR="0067473D">
        <w:rPr>
          <w:i/>
          <w:iCs/>
        </w:rPr>
        <w:t>?”</w:t>
      </w:r>
      <w:r w:rsidR="0067473D">
        <w:t xml:space="preserve"> </w:t>
      </w:r>
      <w:r w:rsidR="00946189">
        <w:rPr>
          <w:rStyle w:val="FootnoteReference"/>
        </w:rPr>
        <w:footnoteReference w:id="14"/>
      </w:r>
      <w:r w:rsidR="0067473D">
        <w:t xml:space="preserve"> As </w:t>
      </w:r>
      <w:proofErr w:type="spellStart"/>
      <w:r w:rsidR="0067473D">
        <w:t>Bihl</w:t>
      </w:r>
      <w:proofErr w:type="spellEnd"/>
      <w:r w:rsidR="0067473D">
        <w:t xml:space="preserve"> says this e-mail confirmed their conversation and also spoke about a potential settlement in relation to </w:t>
      </w:r>
      <w:proofErr w:type="spellStart"/>
      <w:r w:rsidR="0067473D">
        <w:t>Astfin</w:t>
      </w:r>
      <w:proofErr w:type="spellEnd"/>
      <w:r w:rsidR="0067473D">
        <w:t xml:space="preserve">. Importantly, </w:t>
      </w:r>
      <w:proofErr w:type="spellStart"/>
      <w:r w:rsidR="0067473D">
        <w:t>Bihl</w:t>
      </w:r>
      <w:proofErr w:type="spellEnd"/>
      <w:r w:rsidR="0067473D">
        <w:t xml:space="preserve"> says that he was advised that Baron was representing </w:t>
      </w:r>
      <w:proofErr w:type="spellStart"/>
      <w:r w:rsidR="0067473D">
        <w:t>Astfin</w:t>
      </w:r>
      <w:proofErr w:type="spellEnd"/>
      <w:r w:rsidR="0067473D">
        <w:t xml:space="preserve">, Venter personally as a trustee and Baron as a trustee in the potential settlement negotiations.  He says no more than that. I am uncertain as to whether he intended to state that Baron informed him of this or a third party.  For the purposes of this application, I </w:t>
      </w:r>
      <w:r w:rsidR="00895C34">
        <w:t>w</w:t>
      </w:r>
      <w:r w:rsidR="00981EF9">
        <w:t>ill</w:t>
      </w:r>
      <w:r w:rsidR="0067473D">
        <w:t xml:space="preserve"> accept that</w:t>
      </w:r>
      <w:r w:rsidR="007E1636">
        <w:t xml:space="preserve"> </w:t>
      </w:r>
      <w:r w:rsidR="00981EF9">
        <w:t xml:space="preserve">he says that Baron </w:t>
      </w:r>
      <w:r w:rsidR="0067473D">
        <w:t xml:space="preserve">informed him of his </w:t>
      </w:r>
      <w:r w:rsidR="00B456BF">
        <w:t>apparent</w:t>
      </w:r>
      <w:r w:rsidR="00895C34">
        <w:t xml:space="preserve"> </w:t>
      </w:r>
      <w:r w:rsidR="0067473D">
        <w:t xml:space="preserve">authority to represent the parties as mentioned.  </w:t>
      </w:r>
    </w:p>
    <w:p w14:paraId="07E4E59D" w14:textId="011368CD" w:rsidR="0067473D" w:rsidRDefault="009074E3" w:rsidP="009074E3">
      <w:pPr>
        <w:pStyle w:val="Heading1"/>
        <w:numPr>
          <w:ilvl w:val="0"/>
          <w:numId w:val="0"/>
        </w:numPr>
        <w:tabs>
          <w:tab w:val="left" w:pos="862"/>
        </w:tabs>
        <w:ind w:left="862" w:hanging="862"/>
      </w:pPr>
      <w:r>
        <w:t>[19]</w:t>
      </w:r>
      <w:r>
        <w:tab/>
      </w:r>
      <w:r w:rsidR="0067473D">
        <w:t>Having taken instructions</w:t>
      </w:r>
      <w:r w:rsidR="007E1636">
        <w:t>,</w:t>
      </w:r>
      <w:r w:rsidR="0067473D">
        <w:t xml:space="preserve"> </w:t>
      </w:r>
      <w:proofErr w:type="spellStart"/>
      <w:r w:rsidR="0067473D">
        <w:t>Bihl</w:t>
      </w:r>
      <w:proofErr w:type="spellEnd"/>
      <w:r w:rsidR="0067473D">
        <w:t>, on 5 October 2022,</w:t>
      </w:r>
      <w:r w:rsidR="0067473D">
        <w:rPr>
          <w:bCs/>
        </w:rPr>
        <w:t xml:space="preserve"> sent an e-mail to Baron in which he confirmed that </w:t>
      </w:r>
      <w:r w:rsidR="00B456BF">
        <w:rPr>
          <w:bCs/>
        </w:rPr>
        <w:t>the applicant</w:t>
      </w:r>
      <w:r w:rsidR="0067473D">
        <w:rPr>
          <w:bCs/>
        </w:rPr>
        <w:t xml:space="preserve"> was agreeable to separate </w:t>
      </w:r>
      <w:proofErr w:type="spellStart"/>
      <w:r w:rsidR="0067473D">
        <w:rPr>
          <w:bCs/>
        </w:rPr>
        <w:t>Astfin</w:t>
      </w:r>
      <w:proofErr w:type="spellEnd"/>
      <w:r w:rsidR="0067473D">
        <w:rPr>
          <w:bCs/>
        </w:rPr>
        <w:t xml:space="preserve"> from the proceedings, </w:t>
      </w:r>
      <w:r w:rsidR="007E1636">
        <w:rPr>
          <w:bCs/>
        </w:rPr>
        <w:t xml:space="preserve">with </w:t>
      </w:r>
      <w:r w:rsidR="0067473D">
        <w:rPr>
          <w:bCs/>
        </w:rPr>
        <w:t>each party to pay its own legal costs</w:t>
      </w:r>
      <w:r w:rsidR="007E1636">
        <w:rPr>
          <w:bCs/>
        </w:rPr>
        <w:t>,</w:t>
      </w:r>
      <w:r w:rsidR="0067473D">
        <w:rPr>
          <w:bCs/>
        </w:rPr>
        <w:t xml:space="preserve"> including an unrelated costs bill</w:t>
      </w:r>
      <w:r w:rsidR="007E1636">
        <w:rPr>
          <w:bCs/>
        </w:rPr>
        <w:t>,</w:t>
      </w:r>
      <w:r w:rsidR="0067473D">
        <w:rPr>
          <w:bCs/>
        </w:rPr>
        <w:t xml:space="preserve"> which was to be taxed that </w:t>
      </w:r>
      <w:r w:rsidR="00B456BF">
        <w:rPr>
          <w:bCs/>
        </w:rPr>
        <w:t xml:space="preserve">very </w:t>
      </w:r>
      <w:r w:rsidR="0067473D">
        <w:rPr>
          <w:bCs/>
        </w:rPr>
        <w:t xml:space="preserve">day, and that </w:t>
      </w:r>
      <w:proofErr w:type="spellStart"/>
      <w:r w:rsidR="0067473D">
        <w:rPr>
          <w:bCs/>
        </w:rPr>
        <w:t>Bih</w:t>
      </w:r>
      <w:r w:rsidR="00C46806">
        <w:rPr>
          <w:bCs/>
        </w:rPr>
        <w:t>l</w:t>
      </w:r>
      <w:proofErr w:type="spellEnd"/>
      <w:r w:rsidR="0067473D">
        <w:rPr>
          <w:bCs/>
        </w:rPr>
        <w:t xml:space="preserve"> would </w:t>
      </w:r>
      <w:r w:rsidR="0067473D">
        <w:rPr>
          <w:bCs/>
          <w:i/>
          <w:iCs/>
        </w:rPr>
        <w:t>“draw up an arrangement to handle everything and will set it up and send it to you during the week”</w:t>
      </w:r>
      <w:r w:rsidR="0067473D">
        <w:rPr>
          <w:bCs/>
        </w:rPr>
        <w:t xml:space="preserve">. </w:t>
      </w:r>
      <w:r w:rsidR="00946189">
        <w:rPr>
          <w:rStyle w:val="FootnoteReference"/>
          <w:bCs/>
        </w:rPr>
        <w:footnoteReference w:id="15"/>
      </w:r>
      <w:r w:rsidR="0067473D">
        <w:rPr>
          <w:bCs/>
        </w:rPr>
        <w:t xml:space="preserve"> This appears to me to indicate that </w:t>
      </w:r>
      <w:proofErr w:type="gramStart"/>
      <w:r w:rsidR="0067473D">
        <w:rPr>
          <w:bCs/>
        </w:rPr>
        <w:t xml:space="preserve">a </w:t>
      </w:r>
      <w:r w:rsidR="00B456BF">
        <w:rPr>
          <w:bCs/>
        </w:rPr>
        <w:t xml:space="preserve"> written</w:t>
      </w:r>
      <w:proofErr w:type="gramEnd"/>
      <w:r w:rsidR="00B456BF">
        <w:rPr>
          <w:bCs/>
        </w:rPr>
        <w:t xml:space="preserve"> </w:t>
      </w:r>
      <w:r w:rsidR="0067473D">
        <w:rPr>
          <w:bCs/>
        </w:rPr>
        <w:t xml:space="preserve">settlement agreement was going to be drawn by </w:t>
      </w:r>
      <w:proofErr w:type="spellStart"/>
      <w:r w:rsidR="0067473D">
        <w:rPr>
          <w:bCs/>
        </w:rPr>
        <w:t>Bihl</w:t>
      </w:r>
      <w:proofErr w:type="spellEnd"/>
      <w:r w:rsidR="0067473D">
        <w:rPr>
          <w:bCs/>
        </w:rPr>
        <w:t>.</w:t>
      </w:r>
    </w:p>
    <w:p w14:paraId="73496B96" w14:textId="1A6DCB0D" w:rsidR="0067473D" w:rsidRDefault="009074E3" w:rsidP="009074E3">
      <w:pPr>
        <w:pStyle w:val="Heading1"/>
        <w:numPr>
          <w:ilvl w:val="0"/>
          <w:numId w:val="0"/>
        </w:numPr>
        <w:tabs>
          <w:tab w:val="left" w:pos="862"/>
        </w:tabs>
        <w:ind w:left="862" w:hanging="862"/>
      </w:pPr>
      <w:r>
        <w:t>[20]</w:t>
      </w:r>
      <w:r>
        <w:tab/>
      </w:r>
      <w:r w:rsidR="0067473D" w:rsidRPr="00B1240C">
        <w:rPr>
          <w:bCs/>
        </w:rPr>
        <w:t>On 13 October 2022</w:t>
      </w:r>
      <w:r w:rsidR="00B456BF">
        <w:rPr>
          <w:bCs/>
        </w:rPr>
        <w:t>,</w:t>
      </w:r>
      <w:r w:rsidR="0067473D" w:rsidRPr="00B1240C">
        <w:rPr>
          <w:bCs/>
        </w:rPr>
        <w:t xml:space="preserve"> an e-mail was addressed by </w:t>
      </w:r>
      <w:proofErr w:type="spellStart"/>
      <w:r w:rsidR="0067473D" w:rsidRPr="00B1240C">
        <w:rPr>
          <w:bCs/>
        </w:rPr>
        <w:t>Bihl</w:t>
      </w:r>
      <w:proofErr w:type="spellEnd"/>
      <w:r w:rsidR="0067473D" w:rsidRPr="00B1240C">
        <w:rPr>
          <w:bCs/>
        </w:rPr>
        <w:t xml:space="preserve"> to Baron </w:t>
      </w:r>
      <w:r w:rsidR="0067473D" w:rsidRPr="008F21D5">
        <w:rPr>
          <w:bCs/>
        </w:rPr>
        <w:t xml:space="preserve">and </w:t>
      </w:r>
      <w:r w:rsidR="0067473D" w:rsidRPr="00B1240C">
        <w:rPr>
          <w:bCs/>
        </w:rPr>
        <w:t xml:space="preserve">Venter and copied to Sonja Pollock, who is </w:t>
      </w:r>
      <w:proofErr w:type="spellStart"/>
      <w:r w:rsidR="0067473D">
        <w:rPr>
          <w:bCs/>
        </w:rPr>
        <w:t>Bihl’s</w:t>
      </w:r>
      <w:proofErr w:type="spellEnd"/>
      <w:r w:rsidR="0067473D">
        <w:rPr>
          <w:bCs/>
        </w:rPr>
        <w:t xml:space="preserve"> colleague and an </w:t>
      </w:r>
      <w:r w:rsidR="0067473D" w:rsidRPr="00B1240C">
        <w:rPr>
          <w:bCs/>
        </w:rPr>
        <w:t>attorney</w:t>
      </w:r>
      <w:r w:rsidR="0067473D">
        <w:rPr>
          <w:bCs/>
        </w:rPr>
        <w:t xml:space="preserve"> in the firm</w:t>
      </w:r>
      <w:r w:rsidR="0067473D" w:rsidRPr="00B1240C">
        <w:rPr>
          <w:bCs/>
        </w:rPr>
        <w:t xml:space="preserve">. This </w:t>
      </w:r>
      <w:r w:rsidR="00244667">
        <w:rPr>
          <w:bCs/>
        </w:rPr>
        <w:t>email</w:t>
      </w:r>
      <w:r w:rsidR="0067473D" w:rsidRPr="00AF5EAC">
        <w:rPr>
          <w:rStyle w:val="FootnoteReference"/>
        </w:rPr>
        <w:footnoteReference w:id="16"/>
      </w:r>
      <w:r w:rsidR="0067473D">
        <w:t xml:space="preserve"> is written “</w:t>
      </w:r>
      <w:r w:rsidR="0067473D" w:rsidRPr="00B1240C">
        <w:rPr>
          <w:i/>
          <w:iCs/>
        </w:rPr>
        <w:t>without prejudice</w:t>
      </w:r>
      <w:r w:rsidR="0067473D">
        <w:t xml:space="preserve">”.  In the copy furnished by the applicant, paragraphs 3, 4, 5 and 7 are redacted.  </w:t>
      </w:r>
      <w:proofErr w:type="spellStart"/>
      <w:r w:rsidR="0067473D">
        <w:t>Bihl</w:t>
      </w:r>
      <w:proofErr w:type="spellEnd"/>
      <w:r w:rsidR="0067473D">
        <w:t xml:space="preserve"> says that the redacted portions of this communication are irrelevant and that the remaining disclosed paragraphs provide for the settlement for </w:t>
      </w:r>
      <w:r w:rsidR="0067473D">
        <w:lastRenderedPageBreak/>
        <w:t xml:space="preserve">which the applicant contends. </w:t>
      </w:r>
    </w:p>
    <w:p w14:paraId="62B13FC9" w14:textId="574F5B48" w:rsidR="0067473D" w:rsidRDefault="009074E3" w:rsidP="009074E3">
      <w:pPr>
        <w:pStyle w:val="Heading1"/>
        <w:numPr>
          <w:ilvl w:val="0"/>
          <w:numId w:val="0"/>
        </w:numPr>
        <w:tabs>
          <w:tab w:val="left" w:pos="862"/>
        </w:tabs>
        <w:ind w:left="862" w:hanging="862"/>
      </w:pPr>
      <w:r>
        <w:t>[21]</w:t>
      </w:r>
      <w:r>
        <w:tab/>
      </w:r>
      <w:proofErr w:type="spellStart"/>
      <w:r w:rsidR="0067473D">
        <w:t>Astfin</w:t>
      </w:r>
      <w:proofErr w:type="spellEnd"/>
      <w:r w:rsidR="0067473D">
        <w:t xml:space="preserve"> disputes that the redaction is proper.  De Nil provided an </w:t>
      </w:r>
      <w:proofErr w:type="spellStart"/>
      <w:r w:rsidR="0067473D">
        <w:t>unredacted</w:t>
      </w:r>
      <w:proofErr w:type="spellEnd"/>
      <w:r w:rsidR="0067473D">
        <w:t xml:space="preserve"> copy of this email within an e-mail trail.</w:t>
      </w:r>
      <w:r w:rsidR="0067473D">
        <w:rPr>
          <w:rStyle w:val="FootnoteReference"/>
        </w:rPr>
        <w:footnoteReference w:id="17"/>
      </w:r>
      <w:r w:rsidR="0067473D">
        <w:t xml:space="preserve">  De Nil says that the redacted paragraphs are important because, as set out in this letter, it is clear that the </w:t>
      </w:r>
      <w:r w:rsidR="0067473D" w:rsidRPr="00B1240C">
        <w:rPr>
          <w:i/>
          <w:iCs/>
        </w:rPr>
        <w:t xml:space="preserve">“exit of </w:t>
      </w:r>
      <w:proofErr w:type="spellStart"/>
      <w:r w:rsidR="0067473D" w:rsidRPr="00B1240C">
        <w:rPr>
          <w:i/>
          <w:iCs/>
        </w:rPr>
        <w:t>Astfin</w:t>
      </w:r>
      <w:proofErr w:type="spellEnd"/>
      <w:r w:rsidR="0067473D" w:rsidRPr="00B1240C">
        <w:rPr>
          <w:i/>
          <w:iCs/>
        </w:rPr>
        <w:t xml:space="preserve">” </w:t>
      </w:r>
      <w:r w:rsidR="0067473D">
        <w:t xml:space="preserve">could not simply be isolated to this application.  Instead, it contemplated that </w:t>
      </w:r>
      <w:proofErr w:type="spellStart"/>
      <w:r w:rsidR="0067473D">
        <w:t>Astfin</w:t>
      </w:r>
      <w:proofErr w:type="spellEnd"/>
      <w:r w:rsidR="0067473D">
        <w:t xml:space="preserve"> would exit </w:t>
      </w:r>
      <w:r w:rsidR="00244667">
        <w:t>from all</w:t>
      </w:r>
      <w:r w:rsidR="0067473D">
        <w:t xml:space="preserve"> the litigation i.e. the divorce litigation between the </w:t>
      </w:r>
      <w:proofErr w:type="spellStart"/>
      <w:r w:rsidR="0067473D">
        <w:t>Venters</w:t>
      </w:r>
      <w:proofErr w:type="spellEnd"/>
      <w:r w:rsidR="0067473D">
        <w:t xml:space="preserve"> and the further litigation/ disputes between Venter’s NRB Group </w:t>
      </w:r>
      <w:r w:rsidR="00244667">
        <w:t>and the</w:t>
      </w:r>
      <w:r w:rsidR="0067473D">
        <w:t xml:space="preserve"> Bi</w:t>
      </w:r>
      <w:r w:rsidR="00895C34">
        <w:t>-</w:t>
      </w:r>
      <w:r w:rsidR="0067473D">
        <w:t>Africa Group</w:t>
      </w:r>
      <w:r w:rsidR="007E1636">
        <w:t>,</w:t>
      </w:r>
      <w:r w:rsidR="0067473D">
        <w:t xml:space="preserve"> </w:t>
      </w:r>
      <w:r w:rsidR="00244667">
        <w:t>of which</w:t>
      </w:r>
      <w:r w:rsidR="0067473D">
        <w:t xml:space="preserve"> </w:t>
      </w:r>
      <w:proofErr w:type="spellStart"/>
      <w:r w:rsidR="00244667">
        <w:t>Astfin</w:t>
      </w:r>
      <w:proofErr w:type="spellEnd"/>
      <w:r w:rsidR="00244667">
        <w:t xml:space="preserve"> is</w:t>
      </w:r>
      <w:r w:rsidR="0067473D">
        <w:t xml:space="preserve"> an entity.  </w:t>
      </w:r>
    </w:p>
    <w:p w14:paraId="44E8F82E" w14:textId="0D281F8F" w:rsidR="0067473D" w:rsidRDefault="009074E3" w:rsidP="009074E3">
      <w:pPr>
        <w:pStyle w:val="Heading1"/>
        <w:numPr>
          <w:ilvl w:val="0"/>
          <w:numId w:val="0"/>
        </w:numPr>
        <w:tabs>
          <w:tab w:val="left" w:pos="862"/>
        </w:tabs>
        <w:ind w:left="862" w:hanging="862"/>
      </w:pPr>
      <w:r>
        <w:t>[22]</w:t>
      </w:r>
      <w:r>
        <w:tab/>
      </w:r>
      <w:r w:rsidR="0067473D">
        <w:t xml:space="preserve">In my view, on a simple reading of the </w:t>
      </w:r>
      <w:proofErr w:type="spellStart"/>
      <w:r w:rsidR="0067473D">
        <w:t>unredacted</w:t>
      </w:r>
      <w:proofErr w:type="spellEnd"/>
      <w:r w:rsidR="0067473D">
        <w:t xml:space="preserve"> e-mail addressed by </w:t>
      </w:r>
      <w:proofErr w:type="spellStart"/>
      <w:r w:rsidR="0067473D">
        <w:t>Bihl</w:t>
      </w:r>
      <w:proofErr w:type="spellEnd"/>
      <w:r w:rsidR="007E1636">
        <w:t>,</w:t>
      </w:r>
      <w:r w:rsidR="0067473D">
        <w:t xml:space="preserve"> it is clear in paragraph 2 that the applicant was</w:t>
      </w:r>
      <w:r w:rsidR="00B456BF">
        <w:t xml:space="preserve"> proposing or</w:t>
      </w:r>
      <w:r w:rsidR="0067473D">
        <w:t xml:space="preserve"> consenting to </w:t>
      </w:r>
      <w:r w:rsidR="00895C34">
        <w:t>settle</w:t>
      </w:r>
      <w:r w:rsidR="0067473D">
        <w:t xml:space="preserve"> with </w:t>
      </w:r>
      <w:proofErr w:type="spellStart"/>
      <w:r w:rsidR="0067473D">
        <w:t>Astfin</w:t>
      </w:r>
      <w:proofErr w:type="spellEnd"/>
      <w:r w:rsidR="0067473D">
        <w:t xml:space="preserve"> in the very same terms as those expressed by De Nil and that the letter constituted a comprehensive offer. The paragraph reads</w:t>
      </w:r>
      <w:r w:rsidR="007E1636">
        <w:t>,</w:t>
      </w:r>
      <w:r w:rsidR="0067473D">
        <w:t xml:space="preserve"> “</w:t>
      </w:r>
      <w:r w:rsidR="0067473D" w:rsidRPr="003C4110">
        <w:rPr>
          <w:i/>
          <w:iCs/>
        </w:rPr>
        <w:t xml:space="preserve">Without prejudice to our client’s rights our client consents to the exit of </w:t>
      </w:r>
      <w:proofErr w:type="spellStart"/>
      <w:r w:rsidR="0067473D" w:rsidRPr="003C4110">
        <w:rPr>
          <w:i/>
          <w:iCs/>
        </w:rPr>
        <w:t>Astfin</w:t>
      </w:r>
      <w:proofErr w:type="spellEnd"/>
      <w:r w:rsidR="0067473D" w:rsidRPr="003C4110">
        <w:rPr>
          <w:i/>
          <w:iCs/>
        </w:rPr>
        <w:t xml:space="preserve"> as set out below</w:t>
      </w:r>
      <w:r w:rsidR="0067473D">
        <w:t xml:space="preserve">.” </w:t>
      </w:r>
      <w:r w:rsidR="007E1636">
        <w:t xml:space="preserve">The word </w:t>
      </w:r>
      <w:r w:rsidR="007E1636" w:rsidRPr="007E1636">
        <w:rPr>
          <w:i/>
          <w:iCs/>
        </w:rPr>
        <w:t>“b</w:t>
      </w:r>
      <w:r w:rsidR="0067473D" w:rsidRPr="007E1636">
        <w:rPr>
          <w:i/>
          <w:iCs/>
        </w:rPr>
        <w:t>elow</w:t>
      </w:r>
      <w:r w:rsidR="007E1636" w:rsidRPr="007E1636">
        <w:rPr>
          <w:i/>
          <w:iCs/>
        </w:rPr>
        <w:t>”</w:t>
      </w:r>
      <w:r w:rsidR="0067473D">
        <w:t xml:space="preserve"> </w:t>
      </w:r>
      <w:r w:rsidR="007E1636">
        <w:t xml:space="preserve">refers to </w:t>
      </w:r>
      <w:r w:rsidR="0067473D">
        <w:t xml:space="preserve">paragraphs 3 </w:t>
      </w:r>
      <w:r w:rsidR="00244667">
        <w:t>to 8</w:t>
      </w:r>
      <w:r w:rsidR="0067473D">
        <w:t xml:space="preserve"> of the letter.</w:t>
      </w:r>
    </w:p>
    <w:p w14:paraId="3885E7B6" w14:textId="6DD48611" w:rsidR="0067473D" w:rsidRDefault="009074E3" w:rsidP="009074E3">
      <w:pPr>
        <w:pStyle w:val="Heading1"/>
        <w:numPr>
          <w:ilvl w:val="0"/>
          <w:numId w:val="0"/>
        </w:numPr>
        <w:tabs>
          <w:tab w:val="left" w:pos="862"/>
        </w:tabs>
        <w:ind w:left="862" w:hanging="862"/>
      </w:pPr>
      <w:r>
        <w:t>[23]</w:t>
      </w:r>
      <w:r>
        <w:tab/>
      </w:r>
      <w:r w:rsidR="0067473D">
        <w:t xml:space="preserve"> Paragraphs 3 to </w:t>
      </w:r>
      <w:r w:rsidR="00895C34">
        <w:t>8</w:t>
      </w:r>
      <w:r w:rsidR="00981EF9">
        <w:t xml:space="preserve"> </w:t>
      </w:r>
      <w:r w:rsidR="00895C34">
        <w:t>provide</w:t>
      </w:r>
      <w:r w:rsidR="0067473D">
        <w:t xml:space="preserve"> for an all-encompassing </w:t>
      </w:r>
      <w:r w:rsidR="00244667">
        <w:t>proposal to</w:t>
      </w:r>
      <w:r w:rsidR="0067473D">
        <w:t xml:space="preserve"> </w:t>
      </w:r>
      <w:proofErr w:type="spellStart"/>
      <w:r w:rsidR="0067473D">
        <w:t>Astfin</w:t>
      </w:r>
      <w:proofErr w:type="spellEnd"/>
      <w:r w:rsidR="0067473D">
        <w:t xml:space="preserve"> </w:t>
      </w:r>
      <w:proofErr w:type="gramStart"/>
      <w:r w:rsidR="0067473D">
        <w:t xml:space="preserve">and </w:t>
      </w:r>
      <w:r w:rsidR="00981EF9">
        <w:t xml:space="preserve"> require</w:t>
      </w:r>
      <w:proofErr w:type="gramEnd"/>
      <w:r w:rsidR="00981EF9">
        <w:t xml:space="preserve"> </w:t>
      </w:r>
      <w:r w:rsidR="0067473D">
        <w:t>that Baron and</w:t>
      </w:r>
      <w:r w:rsidR="00981EF9">
        <w:t>/or</w:t>
      </w:r>
      <w:r w:rsidR="0067473D">
        <w:t xml:space="preserve"> Venter do a number of things</w:t>
      </w:r>
      <w:r w:rsidR="00895C34">
        <w:t>, namely</w:t>
      </w:r>
      <w:r w:rsidR="0067473D">
        <w:t>:</w:t>
      </w:r>
    </w:p>
    <w:p w14:paraId="0416F348" w14:textId="65D66B05" w:rsidR="0067473D" w:rsidRDefault="009074E3" w:rsidP="009074E3">
      <w:pPr>
        <w:pStyle w:val="Heading2"/>
        <w:numPr>
          <w:ilvl w:val="0"/>
          <w:numId w:val="0"/>
        </w:numPr>
        <w:ind w:left="1871" w:hanging="1009"/>
      </w:pPr>
      <w:r>
        <w:t>23.1</w:t>
      </w:r>
      <w:r>
        <w:tab/>
      </w:r>
      <w:r w:rsidR="0067473D">
        <w:t>A recommendation that the NRB Group pay a settlement of R10 000 000</w:t>
      </w:r>
      <w:proofErr w:type="gramStart"/>
      <w:r w:rsidR="0067473D">
        <w:t>,00</w:t>
      </w:r>
      <w:proofErr w:type="gramEnd"/>
      <w:r w:rsidR="0067473D">
        <w:t xml:space="preserve"> to </w:t>
      </w:r>
      <w:proofErr w:type="spellStart"/>
      <w:r w:rsidR="0067473D">
        <w:t>Astfin</w:t>
      </w:r>
      <w:proofErr w:type="spellEnd"/>
      <w:r w:rsidR="0067473D">
        <w:t>.  It appears that in suggesting a R10 000 000</w:t>
      </w:r>
      <w:proofErr w:type="gramStart"/>
      <w:r w:rsidR="0067473D">
        <w:t>,00</w:t>
      </w:r>
      <w:proofErr w:type="gramEnd"/>
      <w:r w:rsidR="0067473D">
        <w:t xml:space="preserve"> </w:t>
      </w:r>
      <w:r w:rsidR="00244667">
        <w:t>settlement, the</w:t>
      </w:r>
      <w:r w:rsidR="0067473D">
        <w:t xml:space="preserve"> applicant believes it will result in closure so that </w:t>
      </w:r>
      <w:r w:rsidR="0067473D">
        <w:rPr>
          <w:i/>
          <w:iCs/>
        </w:rPr>
        <w:t xml:space="preserve">“It will be a full and final settlement of the disputes between </w:t>
      </w:r>
      <w:proofErr w:type="spellStart"/>
      <w:r w:rsidR="0067473D">
        <w:rPr>
          <w:i/>
          <w:iCs/>
        </w:rPr>
        <w:t>Astfin</w:t>
      </w:r>
      <w:proofErr w:type="spellEnd"/>
      <w:r w:rsidR="0067473D">
        <w:rPr>
          <w:i/>
          <w:iCs/>
        </w:rPr>
        <w:t xml:space="preserve"> and the rest of the parties”</w:t>
      </w:r>
      <w:r w:rsidR="0067473D">
        <w:t>.</w:t>
      </w:r>
    </w:p>
    <w:p w14:paraId="7F7FD38A" w14:textId="27D9B3E0" w:rsidR="0067473D" w:rsidRDefault="009074E3" w:rsidP="009074E3">
      <w:pPr>
        <w:pStyle w:val="Heading2"/>
        <w:numPr>
          <w:ilvl w:val="0"/>
          <w:numId w:val="0"/>
        </w:numPr>
        <w:ind w:left="1871" w:hanging="1009"/>
      </w:pPr>
      <w:r>
        <w:t>23.2</w:t>
      </w:r>
      <w:r>
        <w:tab/>
      </w:r>
      <w:r w:rsidR="0067473D">
        <w:t>The applicant would then consent to the cancellation of the bond over the Camps Bay property.</w:t>
      </w:r>
    </w:p>
    <w:p w14:paraId="65E352C9" w14:textId="6E50ABBF" w:rsidR="0067473D" w:rsidRDefault="009074E3" w:rsidP="009074E3">
      <w:pPr>
        <w:pStyle w:val="Heading2"/>
        <w:numPr>
          <w:ilvl w:val="0"/>
          <w:numId w:val="0"/>
        </w:numPr>
        <w:ind w:left="1871" w:hanging="1009"/>
      </w:pPr>
      <w:r>
        <w:t>23.3</w:t>
      </w:r>
      <w:r>
        <w:tab/>
      </w:r>
      <w:r w:rsidR="0067473D">
        <w:t xml:space="preserve">The proceeds of the sale of the Camps Bay property would be </w:t>
      </w:r>
      <w:r w:rsidR="0067473D">
        <w:lastRenderedPageBreak/>
        <w:t xml:space="preserve">invested in an interest-bearing account with interest to be shared between the </w:t>
      </w:r>
      <w:proofErr w:type="spellStart"/>
      <w:r w:rsidR="0067473D">
        <w:t>Venters</w:t>
      </w:r>
      <w:proofErr w:type="spellEnd"/>
      <w:r w:rsidR="0067473D">
        <w:t>.</w:t>
      </w:r>
    </w:p>
    <w:p w14:paraId="5CEBDA62" w14:textId="19550940" w:rsidR="0067473D" w:rsidRDefault="009074E3" w:rsidP="009074E3">
      <w:pPr>
        <w:pStyle w:val="Heading2"/>
        <w:numPr>
          <w:ilvl w:val="0"/>
          <w:numId w:val="0"/>
        </w:numPr>
        <w:ind w:left="1871" w:hanging="1009"/>
      </w:pPr>
      <w:r>
        <w:t>23.4</w:t>
      </w:r>
      <w:r>
        <w:tab/>
      </w:r>
      <w:r w:rsidR="0067473D">
        <w:t xml:space="preserve">The main application would then be withdrawn against </w:t>
      </w:r>
      <w:proofErr w:type="spellStart"/>
      <w:r w:rsidR="0067473D">
        <w:t>Astfin</w:t>
      </w:r>
      <w:proofErr w:type="spellEnd"/>
      <w:r w:rsidR="0067473D">
        <w:t xml:space="preserve">, </w:t>
      </w:r>
      <w:r w:rsidR="007E1636">
        <w:t xml:space="preserve">with </w:t>
      </w:r>
      <w:r w:rsidR="0067473D">
        <w:t>each party to pay its own legal costs</w:t>
      </w:r>
      <w:r w:rsidR="007E1636">
        <w:t>,</w:t>
      </w:r>
      <w:r w:rsidR="0067473D">
        <w:t xml:space="preserve"> including a current costs order.</w:t>
      </w:r>
    </w:p>
    <w:p w14:paraId="5F25DAFC" w14:textId="668BB96A" w:rsidR="0067473D" w:rsidRDefault="009074E3" w:rsidP="009074E3">
      <w:pPr>
        <w:pStyle w:val="Heading2"/>
        <w:numPr>
          <w:ilvl w:val="0"/>
          <w:numId w:val="0"/>
        </w:numPr>
        <w:ind w:left="1871" w:hanging="1009"/>
      </w:pPr>
      <w:r>
        <w:t>23.5</w:t>
      </w:r>
      <w:r>
        <w:tab/>
      </w:r>
      <w:r w:rsidR="0067473D">
        <w:t xml:space="preserve">The main application </w:t>
      </w:r>
      <w:r w:rsidR="007E1636">
        <w:t xml:space="preserve">would </w:t>
      </w:r>
      <w:r w:rsidR="0067473D">
        <w:t>be removed from the roll.</w:t>
      </w:r>
    </w:p>
    <w:p w14:paraId="4A4ED947" w14:textId="3ABFAE3A" w:rsidR="0067473D" w:rsidRDefault="009074E3" w:rsidP="009074E3">
      <w:pPr>
        <w:pStyle w:val="Heading2"/>
        <w:numPr>
          <w:ilvl w:val="0"/>
          <w:numId w:val="0"/>
        </w:numPr>
        <w:ind w:left="1871" w:hanging="1009"/>
      </w:pPr>
      <w:r>
        <w:t>23.6</w:t>
      </w:r>
      <w:r>
        <w:tab/>
      </w:r>
      <w:r w:rsidR="0067473D">
        <w:t xml:space="preserve">The unrelated bill of costs </w:t>
      </w:r>
      <w:r w:rsidR="007E1636">
        <w:t xml:space="preserve">would </w:t>
      </w:r>
      <w:r w:rsidR="0067473D">
        <w:t>be paid by the Trust.</w:t>
      </w:r>
    </w:p>
    <w:p w14:paraId="4DF24991" w14:textId="71A75047" w:rsidR="0067473D" w:rsidRDefault="009074E3" w:rsidP="009074E3">
      <w:pPr>
        <w:pStyle w:val="Heading2"/>
        <w:numPr>
          <w:ilvl w:val="0"/>
          <w:numId w:val="0"/>
        </w:numPr>
        <w:ind w:left="1871" w:hanging="1009"/>
      </w:pPr>
      <w:r>
        <w:t>23.7</w:t>
      </w:r>
      <w:r>
        <w:tab/>
      </w:r>
      <w:r w:rsidR="0067473D">
        <w:t>The application</w:t>
      </w:r>
      <w:r w:rsidR="007E1636">
        <w:t>,</w:t>
      </w:r>
      <w:r w:rsidR="0067473D">
        <w:t xml:space="preserve"> referred to as the </w:t>
      </w:r>
      <w:r w:rsidR="0067473D" w:rsidRPr="004A12A6">
        <w:rPr>
          <w:i/>
          <w:iCs/>
        </w:rPr>
        <w:t>“sham application”</w:t>
      </w:r>
      <w:r w:rsidR="0067473D">
        <w:rPr>
          <w:i/>
          <w:iCs/>
        </w:rPr>
        <w:t xml:space="preserve"> </w:t>
      </w:r>
      <w:r w:rsidR="0067473D">
        <w:t>under case number 31846/21</w:t>
      </w:r>
      <w:r w:rsidR="007E1636">
        <w:t>,</w:t>
      </w:r>
      <w:r w:rsidR="0067473D">
        <w:t xml:space="preserve"> be withdrawn against </w:t>
      </w:r>
      <w:proofErr w:type="spellStart"/>
      <w:r w:rsidR="0067473D">
        <w:t>Astfin</w:t>
      </w:r>
      <w:proofErr w:type="spellEnd"/>
      <w:r w:rsidR="0067473D">
        <w:t>, each party to pay its own legal costs.</w:t>
      </w:r>
    </w:p>
    <w:p w14:paraId="62FD122C" w14:textId="5BA20504" w:rsidR="0067473D" w:rsidRDefault="009074E3" w:rsidP="009074E3">
      <w:pPr>
        <w:pStyle w:val="Heading2"/>
        <w:numPr>
          <w:ilvl w:val="0"/>
          <w:numId w:val="0"/>
        </w:numPr>
        <w:ind w:left="1871" w:hanging="1009"/>
      </w:pPr>
      <w:r>
        <w:t>23.8</w:t>
      </w:r>
      <w:r>
        <w:tab/>
      </w:r>
      <w:r w:rsidR="0067473D">
        <w:t xml:space="preserve">The proposal did not constitute an abandonment of the applicant’s rights against the NRB Group </w:t>
      </w:r>
      <w:r w:rsidR="00244667">
        <w:t>and the</w:t>
      </w:r>
      <w:r w:rsidR="0067473D">
        <w:t xml:space="preserve"> Trust and Venter and Baron as trustees. </w:t>
      </w:r>
    </w:p>
    <w:p w14:paraId="21AEFB4D" w14:textId="6E7D653F" w:rsidR="0067473D" w:rsidRDefault="009074E3" w:rsidP="009074E3">
      <w:pPr>
        <w:pStyle w:val="Heading1"/>
        <w:numPr>
          <w:ilvl w:val="0"/>
          <w:numId w:val="0"/>
        </w:numPr>
        <w:tabs>
          <w:tab w:val="left" w:pos="862"/>
        </w:tabs>
        <w:ind w:left="862" w:hanging="862"/>
      </w:pPr>
      <w:r>
        <w:t>[24]</w:t>
      </w:r>
      <w:r>
        <w:tab/>
      </w:r>
      <w:r w:rsidR="0067473D">
        <w:t>Th</w:t>
      </w:r>
      <w:r w:rsidR="00981EF9">
        <w:t xml:space="preserve">e </w:t>
      </w:r>
      <w:proofErr w:type="spellStart"/>
      <w:r w:rsidR="00981EF9">
        <w:t>unredacted</w:t>
      </w:r>
      <w:proofErr w:type="spellEnd"/>
      <w:r w:rsidR="00981EF9">
        <w:t xml:space="preserve"> </w:t>
      </w:r>
      <w:r w:rsidR="0067473D">
        <w:t>letter affirms</w:t>
      </w:r>
      <w:r w:rsidR="00981EF9">
        <w:t>,</w:t>
      </w:r>
      <w:r w:rsidR="0067473D">
        <w:t xml:space="preserve"> to my mind</w:t>
      </w:r>
      <w:r w:rsidR="00981EF9">
        <w:t>,</w:t>
      </w:r>
      <w:r w:rsidR="0067473D">
        <w:t xml:space="preserve"> that any settlement with </w:t>
      </w:r>
      <w:proofErr w:type="spellStart"/>
      <w:r w:rsidR="0067473D">
        <w:t>Astfin</w:t>
      </w:r>
      <w:proofErr w:type="spellEnd"/>
      <w:r w:rsidR="0067473D">
        <w:t xml:space="preserve"> also envisaged the settlement of the related disputes expressly referred to therein and as contended </w:t>
      </w:r>
      <w:r w:rsidR="00895C34">
        <w:t xml:space="preserve">for </w:t>
      </w:r>
      <w:r w:rsidR="0067473D">
        <w:t>by De Nil.  As such</w:t>
      </w:r>
      <w:r w:rsidR="00B456BF">
        <w:t>,</w:t>
      </w:r>
      <w:r w:rsidR="0067473D">
        <w:t xml:space="preserve"> if an all-encompassing settlement was </w:t>
      </w:r>
      <w:r w:rsidR="00244667">
        <w:t>concluded</w:t>
      </w:r>
      <w:r w:rsidR="007E1636">
        <w:t>,</w:t>
      </w:r>
      <w:r w:rsidR="00244667">
        <w:t xml:space="preserve"> only</w:t>
      </w:r>
      <w:r w:rsidR="0067473D">
        <w:t xml:space="preserve"> one leg of it would be the resolution of this application</w:t>
      </w:r>
      <w:r w:rsidR="007E1636">
        <w:t>,</w:t>
      </w:r>
      <w:r w:rsidR="0067473D">
        <w:t xml:space="preserve"> which could then be removed from the roll.  </w:t>
      </w:r>
    </w:p>
    <w:p w14:paraId="50EB803B" w14:textId="7C4E9A2B" w:rsidR="0067473D" w:rsidRDefault="009074E3" w:rsidP="009074E3">
      <w:pPr>
        <w:pStyle w:val="Heading1"/>
        <w:numPr>
          <w:ilvl w:val="0"/>
          <w:numId w:val="0"/>
        </w:numPr>
        <w:tabs>
          <w:tab w:val="left" w:pos="862"/>
        </w:tabs>
        <w:ind w:left="862" w:hanging="862"/>
      </w:pPr>
      <w:r>
        <w:t>[25]</w:t>
      </w:r>
      <w:r>
        <w:tab/>
      </w:r>
      <w:r w:rsidR="0067473D">
        <w:t>An e-mail response</w:t>
      </w:r>
      <w:r w:rsidR="0067473D">
        <w:rPr>
          <w:rStyle w:val="FootnoteReference"/>
        </w:rPr>
        <w:footnoteReference w:id="18"/>
      </w:r>
      <w:r w:rsidR="0067473D">
        <w:t xml:space="preserve"> is then sent to </w:t>
      </w:r>
      <w:proofErr w:type="spellStart"/>
      <w:r w:rsidR="0067473D">
        <w:t>Bihl</w:t>
      </w:r>
      <w:proofErr w:type="spellEnd"/>
      <w:r w:rsidR="0067473D">
        <w:t>, Venter and Pollock</w:t>
      </w:r>
      <w:r w:rsidR="007E1636">
        <w:t>,</w:t>
      </w:r>
      <w:r w:rsidR="0067473D">
        <w:t xml:space="preserve"> who is copied again, by Baron on 13 October 2022.  In the e-mail</w:t>
      </w:r>
      <w:r w:rsidR="007E1636">
        <w:t>,</w:t>
      </w:r>
      <w:r w:rsidR="0067473D">
        <w:t xml:space="preserve"> Baron says</w:t>
      </w:r>
      <w:r w:rsidR="007E1636">
        <w:t>,</w:t>
      </w:r>
      <w:r w:rsidR="0067473D">
        <w:t xml:space="preserve"> </w:t>
      </w:r>
      <w:r w:rsidR="0067473D">
        <w:rPr>
          <w:i/>
          <w:iCs/>
        </w:rPr>
        <w:t xml:space="preserve">“we will engage with </w:t>
      </w:r>
      <w:proofErr w:type="spellStart"/>
      <w:r w:rsidR="0067473D">
        <w:rPr>
          <w:i/>
          <w:iCs/>
        </w:rPr>
        <w:t>Astfin</w:t>
      </w:r>
      <w:proofErr w:type="spellEnd"/>
      <w:r w:rsidR="0067473D">
        <w:rPr>
          <w:i/>
          <w:iCs/>
        </w:rPr>
        <w:t xml:space="preserve"> around the settlement and re-engage with you once we have an answer from them”</w:t>
      </w:r>
      <w:r w:rsidR="0067473D">
        <w:t xml:space="preserve">.  It is clear to me that Baron is referring to himself and Venter.  The </w:t>
      </w:r>
      <w:r w:rsidR="007E1636">
        <w:t>subject matter</w:t>
      </w:r>
      <w:r w:rsidR="0067473D">
        <w:t xml:space="preserve"> of that e-mail is the </w:t>
      </w:r>
      <w:r w:rsidR="00B456BF">
        <w:lastRenderedPageBreak/>
        <w:t>“</w:t>
      </w:r>
      <w:r w:rsidR="0067473D" w:rsidRPr="00B456BF">
        <w:rPr>
          <w:i/>
          <w:iCs/>
        </w:rPr>
        <w:t xml:space="preserve">Venter Family Trust:  </w:t>
      </w:r>
      <w:proofErr w:type="spellStart"/>
      <w:r w:rsidR="0067473D" w:rsidRPr="00B456BF">
        <w:rPr>
          <w:i/>
          <w:iCs/>
        </w:rPr>
        <w:t>Astfin</w:t>
      </w:r>
      <w:proofErr w:type="spellEnd"/>
      <w:r w:rsidR="0067473D" w:rsidRPr="00B456BF">
        <w:rPr>
          <w:i/>
          <w:iCs/>
        </w:rPr>
        <w:t xml:space="preserve"> Exit</w:t>
      </w:r>
      <w:r w:rsidR="00B456BF">
        <w:t>”</w:t>
      </w:r>
      <w:r w:rsidR="0067473D">
        <w:t>.</w:t>
      </w:r>
    </w:p>
    <w:p w14:paraId="75A3274E" w14:textId="05A3E9D7" w:rsidR="0067473D" w:rsidRDefault="009074E3" w:rsidP="009074E3">
      <w:pPr>
        <w:pStyle w:val="Heading1"/>
        <w:numPr>
          <w:ilvl w:val="0"/>
          <w:numId w:val="0"/>
        </w:numPr>
        <w:tabs>
          <w:tab w:val="left" w:pos="862"/>
        </w:tabs>
        <w:ind w:left="862" w:hanging="862"/>
      </w:pPr>
      <w:r>
        <w:t>[26]</w:t>
      </w:r>
      <w:r>
        <w:tab/>
      </w:r>
      <w:r w:rsidR="0067473D">
        <w:t xml:space="preserve">Notably, </w:t>
      </w:r>
      <w:proofErr w:type="spellStart"/>
      <w:r w:rsidR="0067473D">
        <w:t>Bihl</w:t>
      </w:r>
      <w:proofErr w:type="spellEnd"/>
      <w:r w:rsidR="0067473D">
        <w:t xml:space="preserve"> does not state that he knew that </w:t>
      </w:r>
      <w:proofErr w:type="spellStart"/>
      <w:r w:rsidR="0067473D">
        <w:t>Astfin</w:t>
      </w:r>
      <w:proofErr w:type="spellEnd"/>
      <w:r w:rsidR="0067473D">
        <w:t xml:space="preserve"> was aware of the potential settlement </w:t>
      </w:r>
      <w:r w:rsidR="00895C34">
        <w:t xml:space="preserve">and of the negotiations and communications that were exchanged between himself and Baron </w:t>
      </w:r>
      <w:r w:rsidR="0067473D">
        <w:t>but avers that he</w:t>
      </w:r>
      <w:r w:rsidR="00946189">
        <w:t xml:space="preserve"> </w:t>
      </w:r>
      <w:r w:rsidR="0067473D" w:rsidRPr="00C01FF9">
        <w:rPr>
          <w:i/>
          <w:iCs/>
        </w:rPr>
        <w:t>“believed”</w:t>
      </w:r>
      <w:r w:rsidR="00946189">
        <w:rPr>
          <w:i/>
          <w:iCs/>
        </w:rPr>
        <w:t xml:space="preserve"> </w:t>
      </w:r>
      <w:r w:rsidR="0067473D">
        <w:t>that it was aware of the negotiations and communications exchanged between himself and Baron.  The e-mails disclose that Venter</w:t>
      </w:r>
      <w:r w:rsidR="007E1636">
        <w:t>,</w:t>
      </w:r>
      <w:r w:rsidR="0067473D">
        <w:t xml:space="preserve"> too</w:t>
      </w:r>
      <w:r w:rsidR="007E1636">
        <w:t>,</w:t>
      </w:r>
      <w:r w:rsidR="0067473D">
        <w:t xml:space="preserve"> was aware of the proposals.</w:t>
      </w:r>
      <w:r w:rsidR="001406A8">
        <w:t xml:space="preserve"> </w:t>
      </w:r>
      <w:proofErr w:type="spellStart"/>
      <w:r w:rsidR="001406A8">
        <w:t>Bihl</w:t>
      </w:r>
      <w:proofErr w:type="spellEnd"/>
      <w:r w:rsidR="001406A8">
        <w:t xml:space="preserve"> also says that “</w:t>
      </w:r>
      <w:r w:rsidR="001406A8" w:rsidRPr="001406A8">
        <w:rPr>
          <w:i/>
          <w:iCs/>
        </w:rPr>
        <w:t xml:space="preserve">direct dealings between the trustees of the Venter Family Trust and </w:t>
      </w:r>
      <w:proofErr w:type="spellStart"/>
      <w:r w:rsidR="001406A8" w:rsidRPr="001406A8">
        <w:rPr>
          <w:i/>
          <w:iCs/>
        </w:rPr>
        <w:t>Astfin</w:t>
      </w:r>
      <w:proofErr w:type="spellEnd"/>
      <w:r w:rsidR="001406A8" w:rsidRPr="001406A8">
        <w:rPr>
          <w:i/>
          <w:iCs/>
        </w:rPr>
        <w:t xml:space="preserve"> were common, and the relationship between </w:t>
      </w:r>
      <w:proofErr w:type="spellStart"/>
      <w:r w:rsidR="001406A8" w:rsidRPr="001406A8">
        <w:rPr>
          <w:i/>
          <w:iCs/>
        </w:rPr>
        <w:t>Astfin</w:t>
      </w:r>
      <w:proofErr w:type="spellEnd"/>
      <w:r w:rsidR="001406A8" w:rsidRPr="001406A8">
        <w:rPr>
          <w:i/>
          <w:iCs/>
        </w:rPr>
        <w:t>, the Trust and Venter were at a close and personal level.</w:t>
      </w:r>
      <w:r w:rsidR="001406A8">
        <w:t>”</w:t>
      </w:r>
      <w:r w:rsidR="001406A8">
        <w:rPr>
          <w:rStyle w:val="FootnoteReference"/>
        </w:rPr>
        <w:footnoteReference w:id="19"/>
      </w:r>
      <w:r w:rsidR="0067473D">
        <w:t xml:space="preserve"> </w:t>
      </w:r>
    </w:p>
    <w:p w14:paraId="0F27CD4E" w14:textId="35547F49" w:rsidR="0067473D" w:rsidRDefault="009074E3" w:rsidP="009074E3">
      <w:pPr>
        <w:pStyle w:val="Heading1"/>
        <w:numPr>
          <w:ilvl w:val="0"/>
          <w:numId w:val="0"/>
        </w:numPr>
        <w:tabs>
          <w:tab w:val="left" w:pos="862"/>
        </w:tabs>
        <w:ind w:left="862" w:hanging="862"/>
      </w:pPr>
      <w:r>
        <w:t>[27]</w:t>
      </w:r>
      <w:r>
        <w:tab/>
      </w:r>
      <w:r w:rsidR="00895C34">
        <w:t>T</w:t>
      </w:r>
      <w:r w:rsidR="0067473D">
        <w:t xml:space="preserve">here is no suggestion or evidence that </w:t>
      </w:r>
      <w:proofErr w:type="spellStart"/>
      <w:r w:rsidR="0067473D">
        <w:t>Bihl</w:t>
      </w:r>
      <w:proofErr w:type="spellEnd"/>
      <w:r w:rsidR="001406A8">
        <w:t>, in relation to the potential settlement of this application,</w:t>
      </w:r>
      <w:r w:rsidR="0067473D">
        <w:t xml:space="preserve"> dealt directly with </w:t>
      </w:r>
      <w:proofErr w:type="spellStart"/>
      <w:r w:rsidR="00BF5430">
        <w:t>Astfin</w:t>
      </w:r>
      <w:proofErr w:type="spellEnd"/>
      <w:r w:rsidR="00BF5430">
        <w:t xml:space="preserve"> </w:t>
      </w:r>
      <w:r w:rsidR="0067473D">
        <w:t>or De Nil</w:t>
      </w:r>
      <w:r w:rsidR="00895C34">
        <w:t xml:space="preserve"> or</w:t>
      </w:r>
      <w:r w:rsidR="00BF5430">
        <w:t>, as would have been anticipated</w:t>
      </w:r>
      <w:r w:rsidR="00B456BF">
        <w:t xml:space="preserve">, </w:t>
      </w:r>
      <w:r w:rsidR="00BF5430">
        <w:t xml:space="preserve">its </w:t>
      </w:r>
      <w:r w:rsidR="00895C34">
        <w:t>legal representatives</w:t>
      </w:r>
      <w:r w:rsidR="00BF5430">
        <w:t>, TWB</w:t>
      </w:r>
      <w:r w:rsidR="0067473D">
        <w:t xml:space="preserve">. </w:t>
      </w:r>
    </w:p>
    <w:p w14:paraId="04FBE775" w14:textId="63BF19FA" w:rsidR="0067473D" w:rsidRDefault="009074E3" w:rsidP="009074E3">
      <w:pPr>
        <w:pStyle w:val="Heading1"/>
        <w:numPr>
          <w:ilvl w:val="0"/>
          <w:numId w:val="0"/>
        </w:numPr>
        <w:tabs>
          <w:tab w:val="left" w:pos="862"/>
        </w:tabs>
        <w:ind w:left="862" w:hanging="862"/>
      </w:pPr>
      <w:r>
        <w:t>[28]</w:t>
      </w:r>
      <w:r>
        <w:tab/>
      </w:r>
      <w:proofErr w:type="spellStart"/>
      <w:r w:rsidR="0067473D">
        <w:t>Bihl</w:t>
      </w:r>
      <w:proofErr w:type="spellEnd"/>
      <w:r w:rsidR="0067473D">
        <w:t xml:space="preserve"> says that there were direct dealings between Venter and Baron, as trustees of the Venter Trust, and </w:t>
      </w:r>
      <w:proofErr w:type="spellStart"/>
      <w:r w:rsidR="0067473D">
        <w:t>Astfin</w:t>
      </w:r>
      <w:proofErr w:type="spellEnd"/>
      <w:r w:rsidR="007E1636">
        <w:t>,</w:t>
      </w:r>
      <w:r w:rsidR="0067473D">
        <w:t xml:space="preserve"> which is not denied by De Nil. De Nil says that he did meet with Baron and Venter. He denies, however, the unsubstantiated statement that the relationship between </w:t>
      </w:r>
      <w:proofErr w:type="spellStart"/>
      <w:r w:rsidR="0067473D">
        <w:t>Astfin</w:t>
      </w:r>
      <w:proofErr w:type="spellEnd"/>
      <w:r w:rsidR="0067473D">
        <w:t xml:space="preserve">, the Trust and Venter </w:t>
      </w:r>
      <w:r w:rsidR="007E1636">
        <w:t>was</w:t>
      </w:r>
      <w:r w:rsidR="0067473D">
        <w:t xml:space="preserve"> at a close and personal level.  De Nil says that </w:t>
      </w:r>
      <w:proofErr w:type="spellStart"/>
      <w:r w:rsidR="0067473D">
        <w:t>Astfin</w:t>
      </w:r>
      <w:proofErr w:type="spellEnd"/>
      <w:r w:rsidR="0067473D">
        <w:t xml:space="preserve"> was not privy to the communications between </w:t>
      </w:r>
      <w:proofErr w:type="spellStart"/>
      <w:r w:rsidR="0067473D">
        <w:t>Bihl</w:t>
      </w:r>
      <w:proofErr w:type="spellEnd"/>
      <w:r w:rsidR="0067473D">
        <w:t xml:space="preserve"> and Baron at the time. None of the emails referred to above were sent to De Nil or his legal representatives. As De Nil points out</w:t>
      </w:r>
      <w:r w:rsidR="007E1636">
        <w:t>,</w:t>
      </w:r>
      <w:r w:rsidR="0067473D">
        <w:t xml:space="preserve"> there is no direct evidence that </w:t>
      </w:r>
      <w:proofErr w:type="spellStart"/>
      <w:r w:rsidR="0067473D">
        <w:t>Astfin</w:t>
      </w:r>
      <w:proofErr w:type="spellEnd"/>
      <w:r w:rsidR="0067473D">
        <w:t xml:space="preserve"> or he were involved </w:t>
      </w:r>
      <w:r w:rsidR="00B456BF">
        <w:t xml:space="preserve">in </w:t>
      </w:r>
      <w:r w:rsidR="0067473D">
        <w:t xml:space="preserve">the discussions that took place off the record between Baron and </w:t>
      </w:r>
      <w:proofErr w:type="spellStart"/>
      <w:r w:rsidR="0067473D">
        <w:t>Bihl</w:t>
      </w:r>
      <w:proofErr w:type="spellEnd"/>
      <w:r w:rsidR="0067473D">
        <w:t>.</w:t>
      </w:r>
    </w:p>
    <w:p w14:paraId="4EEB16DF" w14:textId="7B721C92" w:rsidR="0067473D" w:rsidRDefault="009074E3" w:rsidP="009074E3">
      <w:pPr>
        <w:pStyle w:val="Heading1"/>
        <w:numPr>
          <w:ilvl w:val="0"/>
          <w:numId w:val="0"/>
        </w:numPr>
        <w:tabs>
          <w:tab w:val="left" w:pos="862"/>
        </w:tabs>
        <w:ind w:left="862" w:hanging="862"/>
      </w:pPr>
      <w:r>
        <w:t>[29]</w:t>
      </w:r>
      <w:r>
        <w:tab/>
      </w:r>
      <w:r w:rsidR="0067473D">
        <w:t>In furtherance of this fact</w:t>
      </w:r>
      <w:r w:rsidR="00B456BF">
        <w:t>,</w:t>
      </w:r>
      <w:r w:rsidR="0067473D">
        <w:t xml:space="preserve"> De Nil attaches the </w:t>
      </w:r>
      <w:proofErr w:type="spellStart"/>
      <w:r w:rsidR="0067473D">
        <w:t>WhatsApp</w:t>
      </w:r>
      <w:proofErr w:type="spellEnd"/>
      <w:r w:rsidR="0067473D">
        <w:t xml:space="preserve"> communications exchanged </w:t>
      </w:r>
      <w:r w:rsidR="00895C34">
        <w:t xml:space="preserve">with </w:t>
      </w:r>
      <w:r w:rsidR="0067473D">
        <w:t>Venter</w:t>
      </w:r>
      <w:r w:rsidR="007E1636">
        <w:t>,</w:t>
      </w:r>
      <w:r w:rsidR="0067473D">
        <w:t xml:space="preserve"> reflecting their discussions on the potential settlement during the course of October 2022.  He affirms that he communicated with Venter directly and Baron</w:t>
      </w:r>
      <w:r w:rsidR="00B456BF">
        <w:t>,</w:t>
      </w:r>
      <w:r w:rsidR="0067473D">
        <w:t xml:space="preserve"> who he says had been </w:t>
      </w:r>
      <w:r w:rsidR="0067473D">
        <w:lastRenderedPageBreak/>
        <w:t xml:space="preserve">authorised to represent </w:t>
      </w:r>
      <w:r w:rsidR="00895C34">
        <w:t xml:space="preserve">Venter </w:t>
      </w:r>
      <w:r w:rsidR="0067473D">
        <w:t xml:space="preserve">i.e. in a settlement involving all </w:t>
      </w:r>
      <w:r w:rsidR="0067473D">
        <w:rPr>
          <w:i/>
          <w:iCs/>
        </w:rPr>
        <w:t>“Venter family matters”</w:t>
      </w:r>
      <w:r w:rsidR="0067473D">
        <w:t>.</w:t>
      </w:r>
      <w:r w:rsidR="001406A8">
        <w:rPr>
          <w:rStyle w:val="FootnoteReference"/>
        </w:rPr>
        <w:footnoteReference w:id="20"/>
      </w:r>
      <w:r w:rsidR="0067473D">
        <w:t xml:space="preserve">  As such, at best</w:t>
      </w:r>
      <w:r w:rsidR="007E1636">
        <w:t>,</w:t>
      </w:r>
      <w:r w:rsidR="0067473D">
        <w:t xml:space="preserve"> he says, Baron represented Venter personally, as a trustee and in the commercial transactions/ disputes. </w:t>
      </w:r>
    </w:p>
    <w:p w14:paraId="2BD938A9" w14:textId="764CCD6F" w:rsidR="0067473D" w:rsidRDefault="009074E3" w:rsidP="009074E3">
      <w:pPr>
        <w:pStyle w:val="Heading1"/>
        <w:numPr>
          <w:ilvl w:val="0"/>
          <w:numId w:val="0"/>
        </w:numPr>
        <w:tabs>
          <w:tab w:val="left" w:pos="862"/>
        </w:tabs>
        <w:ind w:left="862" w:hanging="862"/>
      </w:pPr>
      <w:r>
        <w:t>[30]</w:t>
      </w:r>
      <w:r>
        <w:tab/>
      </w:r>
      <w:r w:rsidR="0067473D">
        <w:t xml:space="preserve">The </w:t>
      </w:r>
      <w:proofErr w:type="spellStart"/>
      <w:r w:rsidR="0067473D">
        <w:t>WhatsApp</w:t>
      </w:r>
      <w:proofErr w:type="spellEnd"/>
      <w:r w:rsidR="0067473D">
        <w:t xml:space="preserve"> messages</w:t>
      </w:r>
      <w:r w:rsidR="0067473D">
        <w:rPr>
          <w:rStyle w:val="FootnoteReference"/>
        </w:rPr>
        <w:footnoteReference w:id="21"/>
      </w:r>
      <w:r w:rsidR="0067473D">
        <w:t xml:space="preserve"> commence </w:t>
      </w:r>
      <w:r w:rsidR="007E1636">
        <w:t>on</w:t>
      </w:r>
      <w:r w:rsidR="0067473D">
        <w:t xml:space="preserve"> 1 October 2022 and continue until 31 October 2022.  The exchanges are between Bi-Africa i.e. De Nil and Venter.  Again, Baron does not feature in these exchanges. The early discussions reflect Venter as the person who informs De Nil that the first applicant will withdraw this application provided the Camps Bay home sale transaction is final, i.e. that the property must be sold. De </w:t>
      </w:r>
      <w:r w:rsidR="00244667">
        <w:t>Nil affirms</w:t>
      </w:r>
      <w:r w:rsidR="0067473D">
        <w:t xml:space="preserve"> that he </w:t>
      </w:r>
      <w:r w:rsidR="00244667">
        <w:t>had discussions</w:t>
      </w:r>
      <w:r w:rsidR="0067473D">
        <w:t xml:space="preserve"> with Baron </w:t>
      </w:r>
      <w:r w:rsidR="007E1636">
        <w:t>in</w:t>
      </w:r>
      <w:r w:rsidR="0067473D">
        <w:t xml:space="preserve"> October 2022 and spoke to Venter telephonically</w:t>
      </w:r>
      <w:r w:rsidR="00BF5430">
        <w:t xml:space="preserve"> as well</w:t>
      </w:r>
      <w:r w:rsidR="0067473D">
        <w:t>.</w:t>
      </w:r>
    </w:p>
    <w:p w14:paraId="475F8875" w14:textId="7FF5084F" w:rsidR="0067473D" w:rsidRDefault="009074E3" w:rsidP="009074E3">
      <w:pPr>
        <w:pStyle w:val="Heading1"/>
        <w:numPr>
          <w:ilvl w:val="0"/>
          <w:numId w:val="0"/>
        </w:numPr>
        <w:tabs>
          <w:tab w:val="left" w:pos="862"/>
        </w:tabs>
        <w:ind w:left="862" w:hanging="862"/>
      </w:pPr>
      <w:r>
        <w:t>[31]</w:t>
      </w:r>
      <w:r>
        <w:tab/>
      </w:r>
      <w:r w:rsidR="0067473D">
        <w:t>On 26</w:t>
      </w:r>
      <w:r w:rsidR="0067473D">
        <w:rPr>
          <w:vertAlign w:val="superscript"/>
        </w:rPr>
        <w:t xml:space="preserve"> </w:t>
      </w:r>
      <w:r w:rsidR="0067473D">
        <w:t>October 2022</w:t>
      </w:r>
      <w:r w:rsidR="00B456BF">
        <w:t>,</w:t>
      </w:r>
      <w:r w:rsidR="0067473D">
        <w:t xml:space="preserve"> Baron responds to </w:t>
      </w:r>
      <w:proofErr w:type="spellStart"/>
      <w:r w:rsidR="0067473D">
        <w:t>Bihl</w:t>
      </w:r>
      <w:proofErr w:type="spellEnd"/>
      <w:r w:rsidR="0067473D">
        <w:t xml:space="preserve"> and includes Pollack again. Notably, De Nil and TWB are not included in this email. Baron does not say that he has a firm instruction to settle on behalf of </w:t>
      </w:r>
      <w:proofErr w:type="spellStart"/>
      <w:r w:rsidR="0067473D">
        <w:t>Astfin</w:t>
      </w:r>
      <w:proofErr w:type="spellEnd"/>
      <w:r w:rsidR="000E2012">
        <w:t xml:space="preserve"> but rather</w:t>
      </w:r>
      <w:r w:rsidR="007E1636">
        <w:t xml:space="preserve"> </w:t>
      </w:r>
      <w:r w:rsidR="000E2012">
        <w:t>that it is “</w:t>
      </w:r>
      <w:r w:rsidR="000E2012" w:rsidRPr="000E2012">
        <w:rPr>
          <w:i/>
          <w:iCs/>
        </w:rPr>
        <w:t>prepared to settle</w:t>
      </w:r>
      <w:r w:rsidR="000E2012">
        <w:t>”</w:t>
      </w:r>
      <w:r w:rsidR="0067473D">
        <w:t xml:space="preserve">. Baron </w:t>
      </w:r>
      <w:r w:rsidR="000E2012">
        <w:t xml:space="preserve">also </w:t>
      </w:r>
      <w:r w:rsidR="0067473D">
        <w:t xml:space="preserve">says that </w:t>
      </w:r>
      <w:r w:rsidR="00895C34">
        <w:t>“</w:t>
      </w:r>
      <w:r w:rsidR="0067473D" w:rsidRPr="00895C34">
        <w:rPr>
          <w:i/>
          <w:iCs/>
        </w:rPr>
        <w:t xml:space="preserve">detailed discussions with </w:t>
      </w:r>
      <w:proofErr w:type="spellStart"/>
      <w:r w:rsidR="0067473D" w:rsidRPr="00895C34">
        <w:rPr>
          <w:i/>
          <w:iCs/>
        </w:rPr>
        <w:t>Astfin</w:t>
      </w:r>
      <w:proofErr w:type="spellEnd"/>
      <w:r w:rsidR="0067473D" w:rsidRPr="00895C34">
        <w:rPr>
          <w:i/>
          <w:iCs/>
        </w:rPr>
        <w:t xml:space="preserve"> have been held</w:t>
      </w:r>
      <w:r w:rsidR="00895C34">
        <w:rPr>
          <w:i/>
          <w:iCs/>
        </w:rPr>
        <w:t>”</w:t>
      </w:r>
      <w:r w:rsidR="0067473D">
        <w:t>.</w:t>
      </w:r>
      <w:r w:rsidR="000E2012">
        <w:rPr>
          <w:rStyle w:val="FootnoteReference"/>
        </w:rPr>
        <w:footnoteReference w:id="22"/>
      </w:r>
      <w:r w:rsidR="0067473D">
        <w:t xml:space="preserve">  </w:t>
      </w:r>
      <w:r w:rsidR="00895C34">
        <w:t xml:space="preserve">That in and of itself indicates that the discussions could not simply have been limited to the resolution of this application. </w:t>
      </w:r>
      <w:r w:rsidR="0067473D">
        <w:t xml:space="preserve">He says that </w:t>
      </w:r>
      <w:proofErr w:type="spellStart"/>
      <w:r w:rsidR="0067473D">
        <w:t>Astfin</w:t>
      </w:r>
      <w:proofErr w:type="spellEnd"/>
      <w:r w:rsidR="0067473D">
        <w:t xml:space="preserve"> is not prepared to write off any further debt except the R1 000 000,00 offered previously (which relates to the bond which was registered in favour of </w:t>
      </w:r>
      <w:proofErr w:type="spellStart"/>
      <w:r w:rsidR="0067473D">
        <w:t>Astfin</w:t>
      </w:r>
      <w:proofErr w:type="spellEnd"/>
      <w:r w:rsidR="0067473D">
        <w:t xml:space="preserve"> in respect of the Camps Bay property and which is owned by </w:t>
      </w:r>
      <w:proofErr w:type="spellStart"/>
      <w:r w:rsidR="0067473D" w:rsidRPr="00CC17D9">
        <w:t>Skiathos</w:t>
      </w:r>
      <w:proofErr w:type="spellEnd"/>
      <w:r w:rsidR="0067473D" w:rsidRPr="00CC17D9">
        <w:t xml:space="preserve"> B2 Property Investments C</w:t>
      </w:r>
      <w:r w:rsidR="0067473D">
        <w:t xml:space="preserve">C of which the </w:t>
      </w:r>
      <w:proofErr w:type="spellStart"/>
      <w:r w:rsidR="0067473D">
        <w:t>Venters</w:t>
      </w:r>
      <w:proofErr w:type="spellEnd"/>
      <w:r w:rsidR="0067473D">
        <w:t xml:space="preserve"> are members).</w:t>
      </w:r>
      <w:r w:rsidR="000E2012">
        <w:t xml:space="preserve"> In addition, </w:t>
      </w:r>
      <w:proofErr w:type="spellStart"/>
      <w:r w:rsidR="000E2012">
        <w:t>Astfin</w:t>
      </w:r>
      <w:proofErr w:type="spellEnd"/>
      <w:r w:rsidR="000E2012">
        <w:t xml:space="preserve"> will pay </w:t>
      </w:r>
      <w:r w:rsidR="007E1636">
        <w:t>its</w:t>
      </w:r>
      <w:r w:rsidR="000E2012">
        <w:t xml:space="preserve"> own legal costs and not pursue an order. He asks for a response as soon as possible to avoid additional legal costs being incurred. </w:t>
      </w:r>
    </w:p>
    <w:p w14:paraId="3702BAE9" w14:textId="345019A8" w:rsidR="0067473D" w:rsidRDefault="009074E3" w:rsidP="009074E3">
      <w:pPr>
        <w:pStyle w:val="Heading1"/>
        <w:numPr>
          <w:ilvl w:val="0"/>
          <w:numId w:val="0"/>
        </w:numPr>
        <w:tabs>
          <w:tab w:val="left" w:pos="862"/>
        </w:tabs>
        <w:ind w:left="862" w:hanging="862"/>
      </w:pPr>
      <w:r>
        <w:t>[32]</w:t>
      </w:r>
      <w:r>
        <w:tab/>
      </w:r>
      <w:r w:rsidR="0067473D">
        <w:t xml:space="preserve">On 26 October 2022, </w:t>
      </w:r>
      <w:proofErr w:type="spellStart"/>
      <w:r w:rsidR="0067473D">
        <w:t>Bihl</w:t>
      </w:r>
      <w:proofErr w:type="spellEnd"/>
      <w:r w:rsidR="0067473D">
        <w:t xml:space="preserve"> then responds to Baron, copying in Pollock, </w:t>
      </w:r>
      <w:r w:rsidR="0067473D">
        <w:rPr>
          <w:i/>
          <w:iCs/>
        </w:rPr>
        <w:t xml:space="preserve">“I confirm that we accept the statement below and that the litigation against </w:t>
      </w:r>
      <w:proofErr w:type="spellStart"/>
      <w:r w:rsidR="0067473D">
        <w:rPr>
          <w:i/>
          <w:iCs/>
        </w:rPr>
        <w:lastRenderedPageBreak/>
        <w:t>Astfin</w:t>
      </w:r>
      <w:proofErr w:type="spellEnd"/>
      <w:r w:rsidR="0067473D">
        <w:rPr>
          <w:i/>
          <w:iCs/>
        </w:rPr>
        <w:t xml:space="preserve"> be settled as proposed.  Please proceed to arrange the necessary to give effect to this settlement”</w:t>
      </w:r>
      <w:r w:rsidR="0067473D">
        <w:t>.</w:t>
      </w:r>
      <w:r w:rsidR="001406A8">
        <w:rPr>
          <w:rStyle w:val="FootnoteReference"/>
        </w:rPr>
        <w:footnoteReference w:id="23"/>
      </w:r>
      <w:r w:rsidR="0067473D">
        <w:t xml:space="preserve">  According to </w:t>
      </w:r>
      <w:proofErr w:type="spellStart"/>
      <w:r w:rsidR="0067473D">
        <w:t>Bihl</w:t>
      </w:r>
      <w:proofErr w:type="spellEnd"/>
      <w:r w:rsidR="007E1636">
        <w:t>,</w:t>
      </w:r>
      <w:r w:rsidR="0067473D">
        <w:t xml:space="preserve"> this e-mail sealed the settlement.</w:t>
      </w:r>
      <w:r w:rsidR="00895C34">
        <w:t xml:space="preserve"> </w:t>
      </w:r>
      <w:proofErr w:type="spellStart"/>
      <w:r w:rsidR="00895C34">
        <w:t>Bihl</w:t>
      </w:r>
      <w:proofErr w:type="spellEnd"/>
      <w:r w:rsidR="00895C34">
        <w:t xml:space="preserve"> does not stipulate what he meant by “</w:t>
      </w:r>
      <w:r w:rsidR="00895C34">
        <w:rPr>
          <w:i/>
          <w:iCs/>
        </w:rPr>
        <w:t>the necessary</w:t>
      </w:r>
      <w:r w:rsidR="00895C34">
        <w:t xml:space="preserve">”. According to De Nil, at the very least, a written agreement would need to be concluded. </w:t>
      </w:r>
    </w:p>
    <w:p w14:paraId="32B6938F" w14:textId="343D7221" w:rsidR="00D647A8" w:rsidRDefault="009074E3" w:rsidP="009074E3">
      <w:pPr>
        <w:pStyle w:val="Heading1"/>
        <w:numPr>
          <w:ilvl w:val="0"/>
          <w:numId w:val="0"/>
        </w:numPr>
        <w:tabs>
          <w:tab w:val="left" w:pos="862"/>
        </w:tabs>
        <w:ind w:left="862" w:hanging="862"/>
      </w:pPr>
      <w:r>
        <w:t>[33]</w:t>
      </w:r>
      <w:r>
        <w:tab/>
      </w:r>
      <w:r w:rsidR="00D647A8">
        <w:t>Baron’s response</w:t>
      </w:r>
      <w:r w:rsidR="00B456BF">
        <w:t>,</w:t>
      </w:r>
      <w:r w:rsidR="00D647A8">
        <w:t xml:space="preserve"> on 26 October 2022</w:t>
      </w:r>
      <w:r w:rsidR="00B456BF">
        <w:t>,</w:t>
      </w:r>
      <w:r w:rsidR="00D647A8">
        <w:t xml:space="preserve"> to </w:t>
      </w:r>
      <w:proofErr w:type="spellStart"/>
      <w:r w:rsidR="00D647A8">
        <w:t>Bihl’s</w:t>
      </w:r>
      <w:proofErr w:type="spellEnd"/>
      <w:r w:rsidR="00D647A8">
        <w:t xml:space="preserve"> e-mail is not sent to De Nil but only to </w:t>
      </w:r>
      <w:proofErr w:type="spellStart"/>
      <w:r w:rsidR="00D647A8">
        <w:t>Bihl</w:t>
      </w:r>
      <w:proofErr w:type="spellEnd"/>
      <w:r w:rsidR="00D647A8">
        <w:t xml:space="preserve"> and Pollock is included.  His response is innocuous in that he states, </w:t>
      </w:r>
      <w:r w:rsidR="00D647A8">
        <w:rPr>
          <w:i/>
          <w:iCs/>
        </w:rPr>
        <w:t>“Thanks for the response, I will advise the parties as such”</w:t>
      </w:r>
      <w:r w:rsidR="00D647A8">
        <w:t>.</w:t>
      </w:r>
      <w:r w:rsidR="000E2012">
        <w:rPr>
          <w:rStyle w:val="FootnoteReference"/>
        </w:rPr>
        <w:footnoteReference w:id="24"/>
      </w:r>
      <w:r w:rsidR="00D647A8">
        <w:t xml:space="preserve"> </w:t>
      </w:r>
    </w:p>
    <w:p w14:paraId="7EC93E47" w14:textId="72F175B4" w:rsidR="0067473D" w:rsidRDefault="009074E3" w:rsidP="009074E3">
      <w:pPr>
        <w:pStyle w:val="Heading1"/>
        <w:numPr>
          <w:ilvl w:val="0"/>
          <w:numId w:val="0"/>
        </w:numPr>
        <w:tabs>
          <w:tab w:val="left" w:pos="862"/>
        </w:tabs>
        <w:ind w:left="862" w:hanging="862"/>
      </w:pPr>
      <w:r>
        <w:t>[34]</w:t>
      </w:r>
      <w:r>
        <w:tab/>
      </w:r>
      <w:r w:rsidR="00B456BF">
        <w:t xml:space="preserve">On 27 October 2022, at 08h23, </w:t>
      </w:r>
      <w:r w:rsidR="0067473D">
        <w:t>Baron</w:t>
      </w:r>
      <w:r w:rsidR="00B456BF">
        <w:t xml:space="preserve"> proceeded to </w:t>
      </w:r>
      <w:r w:rsidR="0067473D">
        <w:t>on</w:t>
      </w:r>
      <w:r w:rsidR="00D647A8">
        <w:t xml:space="preserve"> - </w:t>
      </w:r>
      <w:r w:rsidR="0067473D">
        <w:t>forward this series of e-mails to De Nil</w:t>
      </w:r>
      <w:r w:rsidR="00B456BF">
        <w:t>,</w:t>
      </w:r>
      <w:r w:rsidR="00B763AA">
        <w:t xml:space="preserve"> </w:t>
      </w:r>
      <w:r w:rsidR="0067473D">
        <w:rPr>
          <w:i/>
          <w:iCs/>
        </w:rPr>
        <w:t>“</w:t>
      </w:r>
      <w:proofErr w:type="spellStart"/>
      <w:r w:rsidR="0067473D">
        <w:rPr>
          <w:i/>
          <w:iCs/>
        </w:rPr>
        <w:t>Sien</w:t>
      </w:r>
      <w:proofErr w:type="spellEnd"/>
      <w:r w:rsidR="0067473D">
        <w:rPr>
          <w:i/>
          <w:iCs/>
        </w:rPr>
        <w:t xml:space="preserve"> </w:t>
      </w:r>
      <w:proofErr w:type="spellStart"/>
      <w:r w:rsidR="0067473D">
        <w:rPr>
          <w:i/>
          <w:iCs/>
        </w:rPr>
        <w:t>asb</w:t>
      </w:r>
      <w:proofErr w:type="spellEnd"/>
      <w:r w:rsidR="0067473D">
        <w:rPr>
          <w:i/>
          <w:iCs/>
        </w:rPr>
        <w:t xml:space="preserve"> </w:t>
      </w:r>
      <w:proofErr w:type="spellStart"/>
      <w:r w:rsidR="0067473D">
        <w:rPr>
          <w:i/>
          <w:iCs/>
        </w:rPr>
        <w:t>hieronder</w:t>
      </w:r>
      <w:proofErr w:type="spellEnd"/>
      <w:r w:rsidR="0067473D">
        <w:rPr>
          <w:i/>
          <w:iCs/>
        </w:rPr>
        <w:t xml:space="preserve"> </w:t>
      </w:r>
      <w:proofErr w:type="spellStart"/>
      <w:r w:rsidR="0067473D">
        <w:rPr>
          <w:i/>
          <w:iCs/>
        </w:rPr>
        <w:t>soos</w:t>
      </w:r>
      <w:proofErr w:type="spellEnd"/>
      <w:r w:rsidR="0067473D">
        <w:rPr>
          <w:i/>
          <w:iCs/>
        </w:rPr>
        <w:t xml:space="preserve"> </w:t>
      </w:r>
      <w:proofErr w:type="spellStart"/>
      <w:r w:rsidR="0067473D">
        <w:rPr>
          <w:i/>
          <w:iCs/>
        </w:rPr>
        <w:t>bespreek</w:t>
      </w:r>
      <w:proofErr w:type="spellEnd"/>
      <w:r w:rsidR="0067473D">
        <w:rPr>
          <w:i/>
          <w:iCs/>
        </w:rPr>
        <w:t>”</w:t>
      </w:r>
      <w:r w:rsidR="0067473D">
        <w:t xml:space="preserve">.  De Nil </w:t>
      </w:r>
      <w:r w:rsidR="00244667">
        <w:t>responds about</w:t>
      </w:r>
      <w:r w:rsidR="0067473D">
        <w:t xml:space="preserve"> half an hour later.  </w:t>
      </w:r>
      <w:r w:rsidR="00B763AA">
        <w:t>He refers to the telephone conversation with Bar</w:t>
      </w:r>
      <w:r w:rsidR="008F21D5">
        <w:t>o</w:t>
      </w:r>
      <w:r w:rsidR="00B763AA">
        <w:t xml:space="preserve">n and asserts the </w:t>
      </w:r>
      <w:proofErr w:type="spellStart"/>
      <w:r w:rsidR="00B763AA">
        <w:t>Astfin</w:t>
      </w:r>
      <w:proofErr w:type="spellEnd"/>
      <w:r w:rsidR="00B763AA">
        <w:t xml:space="preserve"> offer, “</w:t>
      </w:r>
      <w:proofErr w:type="spellStart"/>
      <w:r w:rsidR="00B763AA" w:rsidRPr="00B763AA">
        <w:rPr>
          <w:i/>
          <w:iCs/>
        </w:rPr>
        <w:t>Soos</w:t>
      </w:r>
      <w:proofErr w:type="spellEnd"/>
      <w:r w:rsidR="00B763AA" w:rsidRPr="00B763AA">
        <w:rPr>
          <w:i/>
          <w:iCs/>
        </w:rPr>
        <w:t xml:space="preserve"> </w:t>
      </w:r>
      <w:proofErr w:type="spellStart"/>
      <w:r w:rsidR="00B763AA" w:rsidRPr="00B763AA">
        <w:rPr>
          <w:i/>
          <w:iCs/>
        </w:rPr>
        <w:t>telefonies</w:t>
      </w:r>
      <w:proofErr w:type="spellEnd"/>
      <w:r w:rsidR="00B763AA" w:rsidRPr="00B763AA">
        <w:rPr>
          <w:i/>
          <w:iCs/>
        </w:rPr>
        <w:t xml:space="preserve"> </w:t>
      </w:r>
      <w:proofErr w:type="spellStart"/>
      <w:r w:rsidR="00B763AA" w:rsidRPr="00B763AA">
        <w:rPr>
          <w:i/>
          <w:iCs/>
        </w:rPr>
        <w:t>bespreek</w:t>
      </w:r>
      <w:proofErr w:type="spellEnd"/>
      <w:r w:rsidR="00B763AA" w:rsidRPr="00B763AA">
        <w:rPr>
          <w:i/>
          <w:iCs/>
        </w:rPr>
        <w:t xml:space="preserve">, </w:t>
      </w:r>
      <w:proofErr w:type="spellStart"/>
      <w:r w:rsidR="00B763AA" w:rsidRPr="00B763AA">
        <w:rPr>
          <w:i/>
          <w:iCs/>
        </w:rPr>
        <w:t>dit</w:t>
      </w:r>
      <w:proofErr w:type="spellEnd"/>
      <w:r w:rsidR="00B763AA" w:rsidRPr="00B763AA">
        <w:rPr>
          <w:i/>
          <w:iCs/>
        </w:rPr>
        <w:t xml:space="preserve"> is die offer….</w:t>
      </w:r>
      <w:r w:rsidR="00B763AA">
        <w:t xml:space="preserve">” </w:t>
      </w:r>
      <w:r w:rsidR="0067473D">
        <w:t xml:space="preserve">He unequivocally sets out that the discussion held with </w:t>
      </w:r>
      <w:r w:rsidR="00244667">
        <w:t>Baron comprised</w:t>
      </w:r>
      <w:r w:rsidR="0067473D">
        <w:t xml:space="preserve"> an </w:t>
      </w:r>
      <w:r w:rsidR="00244667">
        <w:t>offer by</w:t>
      </w:r>
      <w:r w:rsidR="0067473D">
        <w:t xml:space="preserve"> </w:t>
      </w:r>
      <w:proofErr w:type="spellStart"/>
      <w:r w:rsidR="0067473D">
        <w:t>Astfin</w:t>
      </w:r>
      <w:proofErr w:type="spellEnd"/>
      <w:r w:rsidR="0067473D">
        <w:t xml:space="preserve"> </w:t>
      </w:r>
      <w:r w:rsidR="00244667">
        <w:t>to write</w:t>
      </w:r>
      <w:r w:rsidR="0067473D">
        <w:t xml:space="preserve"> off the R1 000 000</w:t>
      </w:r>
      <w:proofErr w:type="gramStart"/>
      <w:r w:rsidR="0067473D">
        <w:t>,</w:t>
      </w:r>
      <w:r w:rsidR="00244667">
        <w:t>00</w:t>
      </w:r>
      <w:proofErr w:type="gramEnd"/>
      <w:r w:rsidR="00244667">
        <w:t xml:space="preserve"> bond</w:t>
      </w:r>
      <w:r w:rsidR="0067473D">
        <w:t>, as proposed, but importantly:</w:t>
      </w:r>
    </w:p>
    <w:p w14:paraId="09672E7F" w14:textId="77777777" w:rsidR="0067473D" w:rsidRDefault="0067473D" w:rsidP="0067473D">
      <w:pPr>
        <w:pStyle w:val="Heading1"/>
        <w:numPr>
          <w:ilvl w:val="0"/>
          <w:numId w:val="0"/>
        </w:numPr>
        <w:ind w:left="1871" w:hanging="1009"/>
        <w:rPr>
          <w:i/>
          <w:iCs/>
        </w:rPr>
      </w:pPr>
      <w:r>
        <w:tab/>
      </w:r>
      <w:r>
        <w:rPr>
          <w:i/>
          <w:iCs/>
        </w:rPr>
        <w:t>“We will also only withdraw the case, if we get a “MOU” form from all parties that are involved, that this will be a final binding agreement and that all agreements in its current undertaking will be honoured in totality</w:t>
      </w:r>
      <w:r>
        <w:t>.</w:t>
      </w:r>
    </w:p>
    <w:p w14:paraId="566F659F" w14:textId="67E9A983" w:rsidR="0067473D" w:rsidRDefault="0067473D" w:rsidP="0067473D">
      <w:pPr>
        <w:pStyle w:val="Heading1"/>
        <w:numPr>
          <w:ilvl w:val="0"/>
          <w:numId w:val="0"/>
        </w:numPr>
        <w:ind w:left="1871" w:hanging="1009"/>
        <w:rPr>
          <w:i/>
          <w:iCs/>
        </w:rPr>
      </w:pPr>
      <w:r>
        <w:rPr>
          <w:i/>
          <w:iCs/>
        </w:rPr>
        <w:tab/>
      </w:r>
      <w:proofErr w:type="spellStart"/>
      <w:r>
        <w:rPr>
          <w:i/>
          <w:iCs/>
        </w:rPr>
        <w:t>Julle</w:t>
      </w:r>
      <w:proofErr w:type="spellEnd"/>
      <w:r>
        <w:rPr>
          <w:i/>
          <w:iCs/>
        </w:rPr>
        <w:t xml:space="preserve"> </w:t>
      </w:r>
      <w:proofErr w:type="spellStart"/>
      <w:r>
        <w:rPr>
          <w:i/>
          <w:iCs/>
        </w:rPr>
        <w:t>moet</w:t>
      </w:r>
      <w:proofErr w:type="spellEnd"/>
      <w:r>
        <w:rPr>
          <w:i/>
          <w:iCs/>
        </w:rPr>
        <w:t xml:space="preserve"> </w:t>
      </w:r>
      <w:proofErr w:type="spellStart"/>
      <w:r>
        <w:rPr>
          <w:i/>
          <w:iCs/>
        </w:rPr>
        <w:t>asb</w:t>
      </w:r>
      <w:proofErr w:type="spellEnd"/>
      <w:r>
        <w:rPr>
          <w:i/>
          <w:iCs/>
        </w:rPr>
        <w:t xml:space="preserve"> </w:t>
      </w:r>
      <w:proofErr w:type="spellStart"/>
      <w:r>
        <w:rPr>
          <w:i/>
          <w:iCs/>
        </w:rPr>
        <w:t>vir</w:t>
      </w:r>
      <w:proofErr w:type="spellEnd"/>
      <w:r>
        <w:rPr>
          <w:i/>
          <w:iCs/>
        </w:rPr>
        <w:t xml:space="preserve"> </w:t>
      </w:r>
      <w:proofErr w:type="spellStart"/>
      <w:r>
        <w:rPr>
          <w:i/>
          <w:iCs/>
        </w:rPr>
        <w:t>ons</w:t>
      </w:r>
      <w:proofErr w:type="spellEnd"/>
      <w:r>
        <w:rPr>
          <w:i/>
          <w:iCs/>
        </w:rPr>
        <w:t xml:space="preserve"> ‘n MOU gee </w:t>
      </w:r>
      <w:proofErr w:type="spellStart"/>
      <w:r>
        <w:rPr>
          <w:i/>
          <w:iCs/>
        </w:rPr>
        <w:t>wat</w:t>
      </w:r>
      <w:proofErr w:type="spellEnd"/>
      <w:r>
        <w:rPr>
          <w:i/>
          <w:iCs/>
        </w:rPr>
        <w:t xml:space="preserve"> al die </w:t>
      </w:r>
      <w:proofErr w:type="spellStart"/>
      <w:r>
        <w:rPr>
          <w:i/>
          <w:iCs/>
        </w:rPr>
        <w:t>partye</w:t>
      </w:r>
      <w:proofErr w:type="spellEnd"/>
      <w:r>
        <w:rPr>
          <w:i/>
          <w:iCs/>
        </w:rPr>
        <w:t xml:space="preserve"> </w:t>
      </w:r>
      <w:proofErr w:type="spellStart"/>
      <w:r>
        <w:rPr>
          <w:i/>
          <w:iCs/>
        </w:rPr>
        <w:t>insluit</w:t>
      </w:r>
      <w:proofErr w:type="spellEnd"/>
      <w:r>
        <w:rPr>
          <w:i/>
          <w:iCs/>
        </w:rPr>
        <w:t xml:space="preserve"> </w:t>
      </w:r>
      <w:proofErr w:type="spellStart"/>
      <w:r>
        <w:rPr>
          <w:i/>
          <w:iCs/>
        </w:rPr>
        <w:t>i</w:t>
      </w:r>
      <w:r w:rsidRPr="00035850">
        <w:t>.</w:t>
      </w:r>
      <w:r>
        <w:rPr>
          <w:i/>
          <w:iCs/>
        </w:rPr>
        <w:t>e</w:t>
      </w:r>
      <w:proofErr w:type="spellEnd"/>
      <w:r>
        <w:rPr>
          <w:i/>
          <w:iCs/>
        </w:rPr>
        <w:t xml:space="preserve"> </w:t>
      </w:r>
      <w:proofErr w:type="spellStart"/>
      <w:r>
        <w:rPr>
          <w:i/>
          <w:iCs/>
        </w:rPr>
        <w:t>Anchen</w:t>
      </w:r>
      <w:proofErr w:type="spellEnd"/>
      <w:r>
        <w:rPr>
          <w:i/>
          <w:iCs/>
        </w:rPr>
        <w:t xml:space="preserve"> Venter/Jan Venter/</w:t>
      </w:r>
      <w:proofErr w:type="spellStart"/>
      <w:r>
        <w:rPr>
          <w:i/>
          <w:iCs/>
        </w:rPr>
        <w:t>Skitahos</w:t>
      </w:r>
      <w:proofErr w:type="spellEnd"/>
      <w:r>
        <w:rPr>
          <w:i/>
          <w:iCs/>
        </w:rPr>
        <w:t xml:space="preserve">/NRB Rentals etc. … </w:t>
      </w:r>
      <w:proofErr w:type="spellStart"/>
      <w:r>
        <w:rPr>
          <w:i/>
          <w:iCs/>
        </w:rPr>
        <w:t>Wat</w:t>
      </w:r>
      <w:proofErr w:type="spellEnd"/>
      <w:r>
        <w:rPr>
          <w:i/>
          <w:iCs/>
        </w:rPr>
        <w:t xml:space="preserve"> </w:t>
      </w:r>
      <w:proofErr w:type="spellStart"/>
      <w:r>
        <w:rPr>
          <w:i/>
          <w:iCs/>
        </w:rPr>
        <w:t>bogenoemde</w:t>
      </w:r>
      <w:proofErr w:type="spellEnd"/>
      <w:r>
        <w:rPr>
          <w:i/>
          <w:iCs/>
        </w:rPr>
        <w:t xml:space="preserve"> </w:t>
      </w:r>
      <w:proofErr w:type="spellStart"/>
      <w:r>
        <w:rPr>
          <w:i/>
          <w:iCs/>
        </w:rPr>
        <w:t>inkorporeer</w:t>
      </w:r>
      <w:proofErr w:type="spellEnd"/>
      <w:r>
        <w:rPr>
          <w:i/>
          <w:iCs/>
        </w:rPr>
        <w:t xml:space="preserve"> … of </w:t>
      </w:r>
      <w:proofErr w:type="spellStart"/>
      <w:proofErr w:type="gramStart"/>
      <w:r>
        <w:rPr>
          <w:i/>
          <w:iCs/>
        </w:rPr>
        <w:t>meer</w:t>
      </w:r>
      <w:proofErr w:type="spellEnd"/>
      <w:proofErr w:type="gramEnd"/>
      <w:r>
        <w:rPr>
          <w:i/>
          <w:iCs/>
        </w:rPr>
        <w:t xml:space="preserve"> as </w:t>
      </w:r>
      <w:proofErr w:type="spellStart"/>
      <w:r>
        <w:rPr>
          <w:i/>
          <w:iCs/>
        </w:rPr>
        <w:t>een</w:t>
      </w:r>
      <w:proofErr w:type="spellEnd"/>
      <w:r>
        <w:rPr>
          <w:i/>
          <w:iCs/>
        </w:rPr>
        <w:t xml:space="preserve"> </w:t>
      </w:r>
      <w:proofErr w:type="spellStart"/>
      <w:r>
        <w:rPr>
          <w:i/>
          <w:iCs/>
        </w:rPr>
        <w:t>dokument</w:t>
      </w:r>
      <w:proofErr w:type="spellEnd"/>
      <w:r>
        <w:rPr>
          <w:i/>
          <w:iCs/>
        </w:rPr>
        <w:t xml:space="preserve"> as </w:t>
      </w:r>
      <w:proofErr w:type="spellStart"/>
      <w:r>
        <w:rPr>
          <w:i/>
          <w:iCs/>
        </w:rPr>
        <w:t>julle</w:t>
      </w:r>
      <w:proofErr w:type="spellEnd"/>
      <w:r>
        <w:rPr>
          <w:i/>
          <w:iCs/>
        </w:rPr>
        <w:t xml:space="preserve"> </w:t>
      </w:r>
      <w:proofErr w:type="spellStart"/>
      <w:r>
        <w:rPr>
          <w:i/>
          <w:iCs/>
        </w:rPr>
        <w:t>dit</w:t>
      </w:r>
      <w:proofErr w:type="spellEnd"/>
      <w:r>
        <w:rPr>
          <w:i/>
          <w:iCs/>
        </w:rPr>
        <w:t xml:space="preserve"> </w:t>
      </w:r>
      <w:proofErr w:type="spellStart"/>
      <w:r>
        <w:rPr>
          <w:i/>
          <w:iCs/>
        </w:rPr>
        <w:t>nie</w:t>
      </w:r>
      <w:proofErr w:type="spellEnd"/>
      <w:r>
        <w:rPr>
          <w:i/>
          <w:iCs/>
        </w:rPr>
        <w:t xml:space="preserve"> in </w:t>
      </w:r>
      <w:proofErr w:type="spellStart"/>
      <w:r>
        <w:rPr>
          <w:i/>
          <w:iCs/>
        </w:rPr>
        <w:t>een</w:t>
      </w:r>
      <w:proofErr w:type="spellEnd"/>
      <w:r>
        <w:rPr>
          <w:i/>
          <w:iCs/>
        </w:rPr>
        <w:t xml:space="preserve"> </w:t>
      </w:r>
      <w:proofErr w:type="spellStart"/>
      <w:r>
        <w:rPr>
          <w:i/>
          <w:iCs/>
        </w:rPr>
        <w:t>dokument</w:t>
      </w:r>
      <w:proofErr w:type="spellEnd"/>
      <w:r>
        <w:rPr>
          <w:i/>
          <w:iCs/>
        </w:rPr>
        <w:t xml:space="preserve"> </w:t>
      </w:r>
      <w:proofErr w:type="spellStart"/>
      <w:r>
        <w:rPr>
          <w:i/>
          <w:iCs/>
        </w:rPr>
        <w:t>wil</w:t>
      </w:r>
      <w:proofErr w:type="spellEnd"/>
      <w:r>
        <w:rPr>
          <w:i/>
          <w:iCs/>
        </w:rPr>
        <w:t xml:space="preserve"> sit </w:t>
      </w:r>
      <w:proofErr w:type="spellStart"/>
      <w:r>
        <w:rPr>
          <w:i/>
          <w:iCs/>
        </w:rPr>
        <w:t>nie</w:t>
      </w:r>
      <w:proofErr w:type="spellEnd"/>
      <w:r>
        <w:rPr>
          <w:i/>
          <w:iCs/>
        </w:rPr>
        <w:t xml:space="preserve"> ….. </w:t>
      </w:r>
      <w:proofErr w:type="spellStart"/>
      <w:r>
        <w:rPr>
          <w:i/>
          <w:iCs/>
        </w:rPr>
        <w:t>Julle</w:t>
      </w:r>
      <w:proofErr w:type="spellEnd"/>
      <w:r>
        <w:rPr>
          <w:i/>
          <w:iCs/>
        </w:rPr>
        <w:t xml:space="preserve"> </w:t>
      </w:r>
      <w:proofErr w:type="spellStart"/>
      <w:r>
        <w:rPr>
          <w:i/>
          <w:iCs/>
        </w:rPr>
        <w:t>moet</w:t>
      </w:r>
      <w:proofErr w:type="spellEnd"/>
      <w:r>
        <w:rPr>
          <w:i/>
          <w:iCs/>
        </w:rPr>
        <w:t xml:space="preserve"> </w:t>
      </w:r>
      <w:proofErr w:type="spellStart"/>
      <w:r>
        <w:rPr>
          <w:i/>
          <w:iCs/>
        </w:rPr>
        <w:t>ons</w:t>
      </w:r>
      <w:proofErr w:type="spellEnd"/>
      <w:r>
        <w:rPr>
          <w:i/>
          <w:iCs/>
        </w:rPr>
        <w:t xml:space="preserve"> </w:t>
      </w:r>
      <w:proofErr w:type="spellStart"/>
      <w:r>
        <w:rPr>
          <w:i/>
          <w:iCs/>
        </w:rPr>
        <w:t>voorsien</w:t>
      </w:r>
      <w:proofErr w:type="spellEnd"/>
      <w:r>
        <w:rPr>
          <w:i/>
          <w:iCs/>
        </w:rPr>
        <w:t xml:space="preserve"> van ‘n </w:t>
      </w:r>
      <w:proofErr w:type="spellStart"/>
      <w:r>
        <w:rPr>
          <w:i/>
          <w:iCs/>
        </w:rPr>
        <w:t>dokument</w:t>
      </w:r>
      <w:proofErr w:type="spellEnd"/>
      <w:r>
        <w:rPr>
          <w:i/>
          <w:iCs/>
        </w:rPr>
        <w:t xml:space="preserve">, </w:t>
      </w:r>
      <w:proofErr w:type="spellStart"/>
      <w:r>
        <w:rPr>
          <w:i/>
          <w:iCs/>
        </w:rPr>
        <w:t>wat</w:t>
      </w:r>
      <w:proofErr w:type="spellEnd"/>
      <w:r>
        <w:rPr>
          <w:i/>
          <w:iCs/>
        </w:rPr>
        <w:t xml:space="preserve"> </w:t>
      </w:r>
      <w:proofErr w:type="spellStart"/>
      <w:r>
        <w:rPr>
          <w:i/>
          <w:iCs/>
        </w:rPr>
        <w:t>ons</w:t>
      </w:r>
      <w:proofErr w:type="spellEnd"/>
      <w:r>
        <w:rPr>
          <w:i/>
          <w:iCs/>
        </w:rPr>
        <w:t xml:space="preserve"> </w:t>
      </w:r>
      <w:proofErr w:type="spellStart"/>
      <w:r>
        <w:rPr>
          <w:i/>
          <w:iCs/>
        </w:rPr>
        <w:t>dan</w:t>
      </w:r>
      <w:proofErr w:type="spellEnd"/>
      <w:r>
        <w:rPr>
          <w:i/>
          <w:iCs/>
        </w:rPr>
        <w:t xml:space="preserve"> </w:t>
      </w:r>
      <w:proofErr w:type="spellStart"/>
      <w:r>
        <w:rPr>
          <w:i/>
          <w:iCs/>
        </w:rPr>
        <w:t>deur</w:t>
      </w:r>
      <w:proofErr w:type="spellEnd"/>
      <w:r>
        <w:rPr>
          <w:i/>
          <w:iCs/>
        </w:rPr>
        <w:t xml:space="preserve"> </w:t>
      </w:r>
      <w:proofErr w:type="spellStart"/>
      <w:r>
        <w:rPr>
          <w:i/>
          <w:iCs/>
        </w:rPr>
        <w:t>ons</w:t>
      </w:r>
      <w:proofErr w:type="spellEnd"/>
      <w:r>
        <w:rPr>
          <w:i/>
          <w:iCs/>
        </w:rPr>
        <w:t xml:space="preserve"> </w:t>
      </w:r>
      <w:proofErr w:type="spellStart"/>
      <w:r>
        <w:rPr>
          <w:i/>
          <w:iCs/>
        </w:rPr>
        <w:t>regspan</w:t>
      </w:r>
      <w:proofErr w:type="spellEnd"/>
      <w:r>
        <w:rPr>
          <w:i/>
          <w:iCs/>
        </w:rPr>
        <w:t xml:space="preserve"> </w:t>
      </w:r>
      <w:proofErr w:type="spellStart"/>
      <w:r>
        <w:rPr>
          <w:i/>
          <w:iCs/>
        </w:rPr>
        <w:t>sal</w:t>
      </w:r>
      <w:proofErr w:type="spellEnd"/>
      <w:r>
        <w:rPr>
          <w:i/>
          <w:iCs/>
        </w:rPr>
        <w:t xml:space="preserve"> </w:t>
      </w:r>
      <w:proofErr w:type="spellStart"/>
      <w:r>
        <w:rPr>
          <w:i/>
          <w:iCs/>
        </w:rPr>
        <w:t>laat</w:t>
      </w:r>
      <w:proofErr w:type="spellEnd"/>
      <w:r>
        <w:rPr>
          <w:i/>
          <w:iCs/>
        </w:rPr>
        <w:t xml:space="preserve"> </w:t>
      </w:r>
      <w:proofErr w:type="spellStart"/>
      <w:r>
        <w:rPr>
          <w:i/>
          <w:iCs/>
        </w:rPr>
        <w:t>nasien</w:t>
      </w:r>
      <w:proofErr w:type="spellEnd"/>
      <w:r>
        <w:rPr>
          <w:i/>
          <w:iCs/>
        </w:rPr>
        <w:t xml:space="preserve">.  </w:t>
      </w:r>
      <w:r>
        <w:rPr>
          <w:i/>
          <w:iCs/>
        </w:rPr>
        <w:lastRenderedPageBreak/>
        <w:t>R1 000 000</w:t>
      </w:r>
      <w:proofErr w:type="gramStart"/>
      <w:r>
        <w:rPr>
          <w:i/>
          <w:iCs/>
        </w:rPr>
        <w:t>,00</w:t>
      </w:r>
      <w:proofErr w:type="gramEnd"/>
      <w:r>
        <w:rPr>
          <w:i/>
          <w:iCs/>
        </w:rPr>
        <w:t xml:space="preserve"> settlement discount incorporating (everything).”</w:t>
      </w:r>
      <w:r w:rsidR="00B763AA">
        <w:rPr>
          <w:rStyle w:val="FootnoteReference"/>
          <w:i/>
          <w:iCs/>
        </w:rPr>
        <w:footnoteReference w:id="25"/>
      </w:r>
    </w:p>
    <w:p w14:paraId="0A9A7A67" w14:textId="63CE0DBA" w:rsidR="0067473D" w:rsidRDefault="009074E3" w:rsidP="009074E3">
      <w:pPr>
        <w:pStyle w:val="Heading1"/>
        <w:numPr>
          <w:ilvl w:val="0"/>
          <w:numId w:val="0"/>
        </w:numPr>
        <w:tabs>
          <w:tab w:val="left" w:pos="862"/>
        </w:tabs>
        <w:ind w:left="862" w:hanging="862"/>
      </w:pPr>
      <w:r>
        <w:t>[35]</w:t>
      </w:r>
      <w:r>
        <w:tab/>
      </w:r>
      <w:r w:rsidR="0067473D">
        <w:t xml:space="preserve">It is clear that </w:t>
      </w:r>
      <w:r w:rsidR="00895C34">
        <w:t xml:space="preserve">any settlement </w:t>
      </w:r>
      <w:r w:rsidR="0067473D">
        <w:t>required a comprehensive exit</w:t>
      </w:r>
      <w:r w:rsidR="00B456BF">
        <w:t xml:space="preserve"> involving all of the parties</w:t>
      </w:r>
      <w:r w:rsidR="0067473D">
        <w:t>.  In addition</w:t>
      </w:r>
      <w:r w:rsidR="007E1636">
        <w:t>,</w:t>
      </w:r>
      <w:r w:rsidR="0067473D">
        <w:t xml:space="preserve"> any settlement had to be reduced to writing. In fact</w:t>
      </w:r>
      <w:r w:rsidR="007E1636">
        <w:t>,</w:t>
      </w:r>
      <w:r w:rsidR="0067473D">
        <w:t xml:space="preserve"> this e</w:t>
      </w:r>
      <w:r w:rsidR="00395F01">
        <w:t>-</w:t>
      </w:r>
      <w:r w:rsidR="0067473D">
        <w:t xml:space="preserve">mail reveals that De Nil was not alive to a settlement of the matter, as contended by </w:t>
      </w:r>
      <w:proofErr w:type="spellStart"/>
      <w:r w:rsidR="0067473D">
        <w:t>Bihl</w:t>
      </w:r>
      <w:proofErr w:type="spellEnd"/>
      <w:r w:rsidR="0067473D">
        <w:t xml:space="preserve">, and believed the negotiations were ongoing. </w:t>
      </w:r>
      <w:r w:rsidR="00395F01">
        <w:t>B</w:t>
      </w:r>
      <w:r w:rsidR="00BF5430">
        <w:t>aron</w:t>
      </w:r>
      <w:r w:rsidR="00B456BF">
        <w:t xml:space="preserve"> does not tell De Nil that</w:t>
      </w:r>
      <w:r w:rsidR="00395F01">
        <w:t xml:space="preserve"> the matter is settled. </w:t>
      </w:r>
      <w:r w:rsidR="0067473D">
        <w:t xml:space="preserve">Notably, </w:t>
      </w:r>
      <w:r w:rsidR="00395F01">
        <w:t>D</w:t>
      </w:r>
      <w:r w:rsidR="0067473D">
        <w:t xml:space="preserve">e Nil sends his e-mail to Baron and Venter.  This e-mail puts paid to </w:t>
      </w:r>
      <w:proofErr w:type="spellStart"/>
      <w:r w:rsidR="0067473D">
        <w:t>Bihl’s</w:t>
      </w:r>
      <w:proofErr w:type="spellEnd"/>
      <w:r w:rsidR="0067473D">
        <w:t xml:space="preserve"> conclusion that </w:t>
      </w:r>
      <w:r w:rsidR="0067473D">
        <w:rPr>
          <w:i/>
          <w:iCs/>
        </w:rPr>
        <w:t xml:space="preserve">“It was clear to me that the involvement of </w:t>
      </w:r>
      <w:proofErr w:type="spellStart"/>
      <w:r w:rsidR="0067473D">
        <w:rPr>
          <w:i/>
          <w:iCs/>
        </w:rPr>
        <w:t>Astfin</w:t>
      </w:r>
      <w:proofErr w:type="spellEnd"/>
      <w:r w:rsidR="0067473D">
        <w:rPr>
          <w:i/>
          <w:iCs/>
        </w:rPr>
        <w:t xml:space="preserve"> had become settled, particularly as all of the relief that may relate to </w:t>
      </w:r>
      <w:proofErr w:type="spellStart"/>
      <w:r w:rsidR="0067473D">
        <w:rPr>
          <w:i/>
          <w:iCs/>
        </w:rPr>
        <w:t>Astfin</w:t>
      </w:r>
      <w:proofErr w:type="spellEnd"/>
      <w:r w:rsidR="0067473D">
        <w:rPr>
          <w:i/>
          <w:iCs/>
        </w:rPr>
        <w:t xml:space="preserve"> had become moot as a result of the settlement”</w:t>
      </w:r>
      <w:r w:rsidR="0067473D">
        <w:t>.</w:t>
      </w:r>
      <w:r w:rsidR="00B763AA">
        <w:rPr>
          <w:rStyle w:val="FootnoteReference"/>
        </w:rPr>
        <w:footnoteReference w:id="26"/>
      </w:r>
      <w:r w:rsidR="0067473D">
        <w:t xml:space="preserve"> </w:t>
      </w:r>
      <w:r w:rsidR="00BF5430">
        <w:t>T</w:t>
      </w:r>
      <w:r w:rsidR="0067473D">
        <w:t xml:space="preserve">he conclusion that all of the relief in the application had become moot is simply wrong.  I will revert to this </w:t>
      </w:r>
      <w:r w:rsidR="00BF5430">
        <w:t>below</w:t>
      </w:r>
      <w:r w:rsidR="0067473D">
        <w:t>.</w:t>
      </w:r>
    </w:p>
    <w:p w14:paraId="63567BA3" w14:textId="7F1BAD23" w:rsidR="0067473D" w:rsidRDefault="009074E3" w:rsidP="009074E3">
      <w:pPr>
        <w:pStyle w:val="Heading1"/>
        <w:numPr>
          <w:ilvl w:val="0"/>
          <w:numId w:val="0"/>
        </w:numPr>
        <w:tabs>
          <w:tab w:val="left" w:pos="862"/>
        </w:tabs>
        <w:ind w:left="862" w:hanging="862"/>
      </w:pPr>
      <w:r>
        <w:t>[36]</w:t>
      </w:r>
      <w:r>
        <w:tab/>
      </w:r>
      <w:r w:rsidR="0067473D">
        <w:t>Simultaneously</w:t>
      </w:r>
      <w:r w:rsidR="00BF5430">
        <w:t xml:space="preserve"> with the settlement negotiations,</w:t>
      </w:r>
      <w:r w:rsidR="0067473D">
        <w:t xml:space="preserve"> the main application was being prepared by all of the respondents for hearing. It was set down by </w:t>
      </w:r>
      <w:proofErr w:type="spellStart"/>
      <w:r w:rsidR="0067473D">
        <w:t>Astfin</w:t>
      </w:r>
      <w:proofErr w:type="spellEnd"/>
      <w:r w:rsidR="007E1636">
        <w:t>,</w:t>
      </w:r>
      <w:r w:rsidR="0067473D">
        <w:t xml:space="preserve"> who had compelled the applicant to deliver her replying affidavit</w:t>
      </w:r>
      <w:r w:rsidR="007E1636">
        <w:t>,</w:t>
      </w:r>
      <w:r w:rsidR="0067473D">
        <w:t xml:space="preserve"> which was due on 18 August 2021.  The order was granted on 25</w:t>
      </w:r>
      <w:r w:rsidR="0067473D">
        <w:rPr>
          <w:vertAlign w:val="superscript"/>
        </w:rPr>
        <w:t xml:space="preserve"> </w:t>
      </w:r>
      <w:r w:rsidR="0067473D">
        <w:t>May 2022.  Although heads of argument were exchanged</w:t>
      </w:r>
      <w:r w:rsidR="007E1636">
        <w:t>,</w:t>
      </w:r>
      <w:r w:rsidR="0067473D">
        <w:t xml:space="preserve"> the applicant did not comply with the Practice Directive that a joint practice note be delivered five days before the hearing date.  As a </w:t>
      </w:r>
      <w:r w:rsidR="00244667">
        <w:t xml:space="preserve">consequence, </w:t>
      </w:r>
      <w:r w:rsidR="00A156F5">
        <w:t xml:space="preserve">on 25 October 2022, </w:t>
      </w:r>
      <w:r w:rsidR="00244667">
        <w:t>TWB</w:t>
      </w:r>
      <w:r w:rsidR="0067473D">
        <w:t xml:space="preserve"> circulated a practice note requesting input from</w:t>
      </w:r>
      <w:r w:rsidR="00BF5430">
        <w:t xml:space="preserve"> </w:t>
      </w:r>
      <w:proofErr w:type="spellStart"/>
      <w:r w:rsidR="00244667">
        <w:t>Bihl</w:t>
      </w:r>
      <w:proofErr w:type="spellEnd"/>
      <w:r w:rsidR="00244667">
        <w:t xml:space="preserve"> and attorneys</w:t>
      </w:r>
      <w:r w:rsidR="0067473D">
        <w:t xml:space="preserve"> Adams &amp; Adams</w:t>
      </w:r>
      <w:r w:rsidR="007E1636">
        <w:t>,</w:t>
      </w:r>
      <w:r w:rsidR="0067473D">
        <w:t xml:space="preserve"> who represent the NRB Group.</w:t>
      </w:r>
      <w:r w:rsidR="0067473D">
        <w:rPr>
          <w:rStyle w:val="FootnoteReference"/>
        </w:rPr>
        <w:footnoteReference w:id="27"/>
      </w:r>
      <w:r w:rsidR="0067473D">
        <w:t xml:space="preserve">  The e-mail highlighted that the hearing had been set down for the week of 7 November 2022 and that the practice note would be </w:t>
      </w:r>
      <w:r w:rsidR="00244667">
        <w:t>delivered by</w:t>
      </w:r>
      <w:r w:rsidR="0067473D">
        <w:t xml:space="preserve"> 12h00 on Thursday, 27 October 2022</w:t>
      </w:r>
      <w:r w:rsidR="00A156F5">
        <w:t>,</w:t>
      </w:r>
      <w:r w:rsidR="0067473D">
        <w:t xml:space="preserve"> if the respective attorneys did not respond.  Adams &amp; Adams responded on 26 October 2022, confirming that the practice note accorded with their instructions. </w:t>
      </w:r>
      <w:proofErr w:type="spellStart"/>
      <w:r w:rsidR="0067473D">
        <w:t>Bihl</w:t>
      </w:r>
      <w:proofErr w:type="spellEnd"/>
      <w:r w:rsidR="00BF5430">
        <w:t>,</w:t>
      </w:r>
      <w:r w:rsidR="0067473D">
        <w:t xml:space="preserve"> however</w:t>
      </w:r>
      <w:r w:rsidR="00BF5430">
        <w:t>,</w:t>
      </w:r>
      <w:r w:rsidR="0067473D">
        <w:t xml:space="preserve"> did not respond that week at all. He made no mention of his discussions with Baron</w:t>
      </w:r>
      <w:r w:rsidR="00BF5430">
        <w:t>, the settlement he contends for that very day or</w:t>
      </w:r>
      <w:r w:rsidR="0067473D">
        <w:t xml:space="preserve"> that the application </w:t>
      </w:r>
      <w:r w:rsidR="0067473D">
        <w:lastRenderedPageBreak/>
        <w:t>was to be removed from the roll.</w:t>
      </w:r>
      <w:r w:rsidR="00395F01">
        <w:t xml:space="preserve"> </w:t>
      </w:r>
    </w:p>
    <w:p w14:paraId="07D1FB3A" w14:textId="06DA487E" w:rsidR="0067473D" w:rsidRDefault="009074E3" w:rsidP="009074E3">
      <w:pPr>
        <w:pStyle w:val="Heading1"/>
        <w:numPr>
          <w:ilvl w:val="0"/>
          <w:numId w:val="0"/>
        </w:numPr>
        <w:tabs>
          <w:tab w:val="left" w:pos="862"/>
        </w:tabs>
        <w:ind w:left="862" w:hanging="862"/>
      </w:pPr>
      <w:r>
        <w:t>[37]</w:t>
      </w:r>
      <w:r>
        <w:tab/>
      </w:r>
      <w:r w:rsidR="0067473D">
        <w:t>I accept that if the settlement had been concluded</w:t>
      </w:r>
      <w:r w:rsidR="007E1636">
        <w:t>,</w:t>
      </w:r>
      <w:r w:rsidR="0067473D">
        <w:t xml:space="preserve"> </w:t>
      </w:r>
      <w:proofErr w:type="spellStart"/>
      <w:r w:rsidR="0067473D">
        <w:t>Bihl</w:t>
      </w:r>
      <w:proofErr w:type="spellEnd"/>
      <w:r w:rsidR="0067473D">
        <w:t xml:space="preserve"> would have immediately</w:t>
      </w:r>
      <w:r w:rsidR="00395F01">
        <w:t xml:space="preserve"> and</w:t>
      </w:r>
      <w:r w:rsidR="00D647A8">
        <w:t>,</w:t>
      </w:r>
      <w:r w:rsidR="00395F01">
        <w:t xml:space="preserve"> at the very least</w:t>
      </w:r>
      <w:r w:rsidR="00D647A8">
        <w:t>,</w:t>
      </w:r>
      <w:r w:rsidR="0067473D">
        <w:t xml:space="preserve"> addressed correspondence to the respective attorneys</w:t>
      </w:r>
      <w:r w:rsidR="0039575D">
        <w:t xml:space="preserve"> recording the settlement reached</w:t>
      </w:r>
      <w:r w:rsidR="0067473D">
        <w:t xml:space="preserve"> </w:t>
      </w:r>
      <w:r w:rsidR="00395F01">
        <w:t xml:space="preserve">followed by </w:t>
      </w:r>
      <w:r w:rsidR="0067473D">
        <w:t xml:space="preserve">a notice of withdrawal of the application as between the applicant and </w:t>
      </w:r>
      <w:proofErr w:type="spellStart"/>
      <w:r w:rsidR="0039575D">
        <w:t>Astfin</w:t>
      </w:r>
      <w:proofErr w:type="spellEnd"/>
      <w:r w:rsidR="0039575D">
        <w:t>,</w:t>
      </w:r>
      <w:r w:rsidR="0067473D">
        <w:t xml:space="preserve"> each party to pay its own costs.  </w:t>
      </w:r>
      <w:r w:rsidR="00244667">
        <w:t>Yet, he</w:t>
      </w:r>
      <w:r w:rsidR="0067473D">
        <w:t xml:space="preserve"> did nothing. </w:t>
      </w:r>
    </w:p>
    <w:p w14:paraId="1D9F9FD6" w14:textId="06A86FEB" w:rsidR="0067473D" w:rsidRDefault="009074E3" w:rsidP="009074E3">
      <w:pPr>
        <w:pStyle w:val="Heading1"/>
        <w:numPr>
          <w:ilvl w:val="0"/>
          <w:numId w:val="0"/>
        </w:numPr>
        <w:tabs>
          <w:tab w:val="left" w:pos="862"/>
        </w:tabs>
        <w:ind w:left="862" w:hanging="862"/>
      </w:pPr>
      <w:r>
        <w:t>[38]</w:t>
      </w:r>
      <w:r>
        <w:tab/>
      </w:r>
      <w:r w:rsidR="0067473D">
        <w:t>This failure to respond</w:t>
      </w:r>
      <w:r w:rsidR="0039575D">
        <w:t xml:space="preserve"> to the proposed joint practice note</w:t>
      </w:r>
      <w:r w:rsidR="0067473D">
        <w:t xml:space="preserve"> was extraordinary given that this Court is burdened with reading papers not only in this application but in other opposed motions allocated to it</w:t>
      </w:r>
      <w:r w:rsidR="0039575D">
        <w:t>. O</w:t>
      </w:r>
      <w:r w:rsidR="0067473D">
        <w:t xml:space="preserve">ne would have thought that it would have been expedient for </w:t>
      </w:r>
      <w:proofErr w:type="spellStart"/>
      <w:r w:rsidR="0067473D">
        <w:t>Bihl</w:t>
      </w:r>
      <w:proofErr w:type="spellEnd"/>
      <w:r w:rsidR="0067473D">
        <w:t xml:space="preserve"> to communicate that the application had been </w:t>
      </w:r>
      <w:r w:rsidR="00395F01">
        <w:t>settled</w:t>
      </w:r>
      <w:r w:rsidR="0067473D">
        <w:t xml:space="preserve"> </w:t>
      </w:r>
      <w:r w:rsidR="00395F01">
        <w:t xml:space="preserve">and was </w:t>
      </w:r>
      <w:r w:rsidR="0067473D">
        <w:t>not proceeding.</w:t>
      </w:r>
      <w:r w:rsidR="00395F01">
        <w:t xml:space="preserve"> What was </w:t>
      </w:r>
      <w:proofErr w:type="spellStart"/>
      <w:r w:rsidR="00395F01">
        <w:t>Bihl</w:t>
      </w:r>
      <w:proofErr w:type="spellEnd"/>
      <w:r w:rsidR="00395F01">
        <w:t xml:space="preserve"> waiting for? </w:t>
      </w:r>
    </w:p>
    <w:p w14:paraId="0FC39E53" w14:textId="5647417E" w:rsidR="0067473D" w:rsidRDefault="009074E3" w:rsidP="009074E3">
      <w:pPr>
        <w:pStyle w:val="Heading1"/>
        <w:numPr>
          <w:ilvl w:val="0"/>
          <w:numId w:val="0"/>
        </w:numPr>
        <w:tabs>
          <w:tab w:val="left" w:pos="862"/>
        </w:tabs>
        <w:ind w:left="862" w:hanging="862"/>
      </w:pPr>
      <w:r>
        <w:t>[39]</w:t>
      </w:r>
      <w:r>
        <w:tab/>
      </w:r>
      <w:r w:rsidR="0067473D">
        <w:t xml:space="preserve">As </w:t>
      </w:r>
      <w:r w:rsidR="00B10C99">
        <w:t>of</w:t>
      </w:r>
      <w:r w:rsidR="0067473D">
        <w:t xml:space="preserve"> 26 October 2022</w:t>
      </w:r>
      <w:r w:rsidR="00B10C99">
        <w:t>,</w:t>
      </w:r>
      <w:r w:rsidR="0067473D">
        <w:t xml:space="preserve"> the only persons who apparently believed that the application had been resolved </w:t>
      </w:r>
      <w:r w:rsidR="00B10C99">
        <w:t>were</w:t>
      </w:r>
      <w:r w:rsidR="0067473D">
        <w:t xml:space="preserve"> </w:t>
      </w:r>
      <w:proofErr w:type="spellStart"/>
      <w:r w:rsidR="0067473D">
        <w:t>Bihl</w:t>
      </w:r>
      <w:proofErr w:type="spellEnd"/>
      <w:r w:rsidR="0067473D">
        <w:t xml:space="preserve"> and the applicant.  Furthermore</w:t>
      </w:r>
      <w:proofErr w:type="gramStart"/>
      <w:r w:rsidR="0067473D">
        <w:t xml:space="preserve">, </w:t>
      </w:r>
      <w:r w:rsidR="0039575D">
        <w:t xml:space="preserve"> “</w:t>
      </w:r>
      <w:proofErr w:type="gramEnd"/>
      <w:r w:rsidR="0039575D" w:rsidRPr="0039575D">
        <w:rPr>
          <w:i/>
          <w:iCs/>
        </w:rPr>
        <w:t>the necessary</w:t>
      </w:r>
      <w:r w:rsidR="0039575D">
        <w:t xml:space="preserve">”  was still to be attended to. </w:t>
      </w:r>
      <w:r w:rsidR="00395F01">
        <w:t xml:space="preserve">De Nil only heard from Baron the next day when </w:t>
      </w:r>
      <w:proofErr w:type="spellStart"/>
      <w:r w:rsidR="00395F01">
        <w:t>Bihl’s</w:t>
      </w:r>
      <w:proofErr w:type="spellEnd"/>
      <w:r w:rsidR="00395F01">
        <w:t xml:space="preserve"> e-mail was forwarded to </w:t>
      </w:r>
      <w:r w:rsidR="00244667">
        <w:t>him,</w:t>
      </w:r>
      <w:r w:rsidR="00395F01">
        <w:t xml:space="preserve"> and he responded almost immediately. </w:t>
      </w:r>
    </w:p>
    <w:p w14:paraId="5ED7DE96" w14:textId="09F6A5E7" w:rsidR="0067473D" w:rsidRDefault="009074E3" w:rsidP="009074E3">
      <w:pPr>
        <w:pStyle w:val="Heading1"/>
        <w:numPr>
          <w:ilvl w:val="0"/>
          <w:numId w:val="0"/>
        </w:numPr>
        <w:tabs>
          <w:tab w:val="left" w:pos="862"/>
        </w:tabs>
        <w:ind w:left="862" w:hanging="862"/>
      </w:pPr>
      <w:r>
        <w:t>[40]</w:t>
      </w:r>
      <w:r>
        <w:tab/>
      </w:r>
      <w:r w:rsidR="0067473D">
        <w:t>Importantly, Baron</w:t>
      </w:r>
      <w:r w:rsidR="00D647A8">
        <w:t xml:space="preserve"> is </w:t>
      </w:r>
      <w:r w:rsidR="0067473D">
        <w:t xml:space="preserve">a </w:t>
      </w:r>
      <w:r w:rsidR="00B10C99">
        <w:t xml:space="preserve">layperson </w:t>
      </w:r>
      <w:r w:rsidR="00D647A8">
        <w:t xml:space="preserve">and </w:t>
      </w:r>
      <w:r w:rsidR="0067473D">
        <w:t xml:space="preserve">would </w:t>
      </w:r>
      <w:r w:rsidR="00A2495C">
        <w:t xml:space="preserve">presumably </w:t>
      </w:r>
      <w:r w:rsidR="0067473D">
        <w:t xml:space="preserve">not know what was required </w:t>
      </w:r>
      <w:r w:rsidR="00395F01">
        <w:t xml:space="preserve">to settle. He, as a matter of fact, simply </w:t>
      </w:r>
      <w:r w:rsidR="00D647A8">
        <w:t xml:space="preserve">in </w:t>
      </w:r>
      <w:r w:rsidR="00395F01">
        <w:t>forward</w:t>
      </w:r>
      <w:r w:rsidR="00D647A8">
        <w:t>ing</w:t>
      </w:r>
      <w:r w:rsidR="00395F01">
        <w:t xml:space="preserve"> </w:t>
      </w:r>
      <w:proofErr w:type="spellStart"/>
      <w:r w:rsidR="00395F01">
        <w:t>Bihl’s</w:t>
      </w:r>
      <w:proofErr w:type="spellEnd"/>
      <w:r w:rsidR="00395F01">
        <w:t xml:space="preserve"> e-mail to De Nil</w:t>
      </w:r>
      <w:r w:rsidR="00D647A8">
        <w:t>, left him to attend to the “</w:t>
      </w:r>
      <w:r w:rsidR="00D647A8" w:rsidRPr="00A2495C">
        <w:rPr>
          <w:i/>
          <w:iCs/>
        </w:rPr>
        <w:t>necessary</w:t>
      </w:r>
      <w:r w:rsidR="00D647A8">
        <w:t>”</w:t>
      </w:r>
      <w:r w:rsidR="00395F01">
        <w:t xml:space="preserve">. </w:t>
      </w:r>
      <w:r w:rsidR="00D647A8">
        <w:t xml:space="preserve">De Nil turned to TWB, </w:t>
      </w:r>
      <w:r w:rsidR="0067473D">
        <w:t>which one would have anticipated</w:t>
      </w:r>
      <w:r w:rsidR="00D647A8">
        <w:t xml:space="preserve"> </w:t>
      </w:r>
      <w:proofErr w:type="spellStart"/>
      <w:r w:rsidR="00D647A8">
        <w:t>Bihl</w:t>
      </w:r>
      <w:proofErr w:type="spellEnd"/>
      <w:r w:rsidR="0067473D">
        <w:t xml:space="preserve"> would have done.  Accordingly, I cannot accept that it was and, as </w:t>
      </w:r>
      <w:r w:rsidR="00D647A8">
        <w:t xml:space="preserve">stated </w:t>
      </w:r>
      <w:r w:rsidR="0067473D">
        <w:t xml:space="preserve">by </w:t>
      </w:r>
      <w:proofErr w:type="spellStart"/>
      <w:r w:rsidR="0067473D">
        <w:t>Bihl</w:t>
      </w:r>
      <w:proofErr w:type="spellEnd"/>
      <w:r w:rsidR="0067473D">
        <w:t>, clear to him that this e-mail on its own confirmed that the application had become settled and would be removed from the roll of 7 November 2022.  Only one day earlier</w:t>
      </w:r>
      <w:r w:rsidR="00B10C99">
        <w:t>,</w:t>
      </w:r>
      <w:r w:rsidR="0067473D">
        <w:t xml:space="preserve"> a joint practice note had been circulated to him.  The joint practice note stipulated that the application was proceeding.  Despite same, he was not moved </w:t>
      </w:r>
      <w:r w:rsidR="00244667">
        <w:t>to contact or</w:t>
      </w:r>
      <w:r w:rsidR="0067473D">
        <w:t xml:space="preserve"> </w:t>
      </w:r>
      <w:r w:rsidR="00244667">
        <w:t>confirm the</w:t>
      </w:r>
      <w:r w:rsidR="0067473D">
        <w:t xml:space="preserve"> purported settlement with TWB and Adams &amp; Adams.  </w:t>
      </w:r>
    </w:p>
    <w:p w14:paraId="1A831083" w14:textId="03FC87E9" w:rsidR="0067473D" w:rsidRDefault="009074E3" w:rsidP="009074E3">
      <w:pPr>
        <w:pStyle w:val="Heading1"/>
        <w:numPr>
          <w:ilvl w:val="0"/>
          <w:numId w:val="0"/>
        </w:numPr>
        <w:tabs>
          <w:tab w:val="left" w:pos="862"/>
        </w:tabs>
        <w:ind w:left="862" w:hanging="862"/>
      </w:pPr>
      <w:r>
        <w:lastRenderedPageBreak/>
        <w:t>[41]</w:t>
      </w:r>
      <w:r>
        <w:tab/>
      </w:r>
      <w:r w:rsidR="00395F01">
        <w:t xml:space="preserve">I </w:t>
      </w:r>
      <w:r w:rsidR="00D647A8">
        <w:t xml:space="preserve">do not accept that the objective facts support </w:t>
      </w:r>
      <w:proofErr w:type="spellStart"/>
      <w:r w:rsidR="0067473D">
        <w:t>Bihl’s</w:t>
      </w:r>
      <w:proofErr w:type="spellEnd"/>
      <w:r w:rsidR="0067473D">
        <w:t xml:space="preserve"> insistence that Baron was representing </w:t>
      </w:r>
      <w:proofErr w:type="spellStart"/>
      <w:r w:rsidR="00244667">
        <w:t>Astfin</w:t>
      </w:r>
      <w:proofErr w:type="spellEnd"/>
      <w:r w:rsidR="0067473D">
        <w:t xml:space="preserve"> and </w:t>
      </w:r>
      <w:r w:rsidR="00D647A8">
        <w:t>a</w:t>
      </w:r>
      <w:r w:rsidR="0067473D">
        <w:t xml:space="preserve"> settlement was concluded with </w:t>
      </w:r>
      <w:proofErr w:type="spellStart"/>
      <w:r w:rsidR="0067473D">
        <w:t>Astfin</w:t>
      </w:r>
      <w:proofErr w:type="spellEnd"/>
      <w:r w:rsidR="00D647A8">
        <w:t>.</w:t>
      </w:r>
      <w:r w:rsidR="0067473D">
        <w:t xml:space="preserve"> </w:t>
      </w:r>
    </w:p>
    <w:p w14:paraId="311D3A46" w14:textId="676760E1" w:rsidR="0067473D" w:rsidRDefault="009074E3" w:rsidP="009074E3">
      <w:pPr>
        <w:pStyle w:val="Heading1"/>
        <w:numPr>
          <w:ilvl w:val="0"/>
          <w:numId w:val="0"/>
        </w:numPr>
        <w:tabs>
          <w:tab w:val="left" w:pos="862"/>
        </w:tabs>
        <w:ind w:left="862" w:hanging="862"/>
      </w:pPr>
      <w:r>
        <w:t>[42]</w:t>
      </w:r>
      <w:r>
        <w:tab/>
      </w:r>
      <w:r w:rsidR="0067473D">
        <w:t>The relief in paragraph 1</w:t>
      </w:r>
      <w:r w:rsidR="00A156F5">
        <w:t xml:space="preserve"> of the main application</w:t>
      </w:r>
      <w:r w:rsidR="0067473D">
        <w:t xml:space="preserve"> had been withdrawn. </w:t>
      </w:r>
      <w:r w:rsidR="00395F01">
        <w:t xml:space="preserve">But </w:t>
      </w:r>
      <w:r w:rsidR="0067473D">
        <w:t>the relief in paragraph</w:t>
      </w:r>
      <w:r w:rsidR="00A156F5">
        <w:t>s</w:t>
      </w:r>
      <w:r w:rsidR="0067473D">
        <w:t xml:space="preserve"> 2 </w:t>
      </w:r>
      <w:r w:rsidR="00395F01">
        <w:t xml:space="preserve">and 3 </w:t>
      </w:r>
      <w:r w:rsidR="0067473D">
        <w:t xml:space="preserve">would </w:t>
      </w:r>
      <w:r w:rsidR="00395F01">
        <w:t xml:space="preserve">also </w:t>
      </w:r>
      <w:r w:rsidR="0067473D">
        <w:t xml:space="preserve">have </w:t>
      </w:r>
      <w:r w:rsidR="00395F01">
        <w:t xml:space="preserve">to be </w:t>
      </w:r>
      <w:r w:rsidR="0067473D">
        <w:t xml:space="preserve">resolved if a settlement had been concluded.  </w:t>
      </w:r>
    </w:p>
    <w:p w14:paraId="49514A40" w14:textId="6B84F993" w:rsidR="0067473D" w:rsidRDefault="009074E3" w:rsidP="009074E3">
      <w:pPr>
        <w:pStyle w:val="Heading1"/>
        <w:numPr>
          <w:ilvl w:val="0"/>
          <w:numId w:val="0"/>
        </w:numPr>
        <w:tabs>
          <w:tab w:val="left" w:pos="862"/>
        </w:tabs>
        <w:ind w:left="862" w:hanging="862"/>
      </w:pPr>
      <w:r>
        <w:t>[43]</w:t>
      </w:r>
      <w:r>
        <w:tab/>
      </w:r>
      <w:r w:rsidR="0067473D">
        <w:t>Th</w:t>
      </w:r>
      <w:r w:rsidR="00A156F5">
        <w:t>is is compounded by the</w:t>
      </w:r>
      <w:r w:rsidR="0067473D">
        <w:t xml:space="preserve"> suggestion</w:t>
      </w:r>
      <w:r w:rsidR="00A156F5">
        <w:t xml:space="preserve"> </w:t>
      </w:r>
      <w:r w:rsidR="0067473D">
        <w:t xml:space="preserve">that the relief in paragraphs 2 and 3.1 against </w:t>
      </w:r>
      <w:proofErr w:type="spellStart"/>
      <w:r w:rsidR="0067473D">
        <w:t>Astfin</w:t>
      </w:r>
      <w:proofErr w:type="spellEnd"/>
      <w:r w:rsidR="0067473D">
        <w:t xml:space="preserve"> could also simply be withdrawn.  As De </w:t>
      </w:r>
      <w:proofErr w:type="gramStart"/>
      <w:r w:rsidR="0067473D">
        <w:t>Nil</w:t>
      </w:r>
      <w:proofErr w:type="gramEnd"/>
      <w:r w:rsidR="0067473D">
        <w:t xml:space="preserve"> points out, the relief sought that the loan agreements concluded between </w:t>
      </w:r>
      <w:proofErr w:type="spellStart"/>
      <w:r w:rsidR="00395F01">
        <w:t>Astfin</w:t>
      </w:r>
      <w:proofErr w:type="spellEnd"/>
      <w:r w:rsidR="00395F01">
        <w:t xml:space="preserve"> </w:t>
      </w:r>
      <w:r w:rsidR="0067473D">
        <w:t xml:space="preserve">and the NRB Group </w:t>
      </w:r>
      <w:r w:rsidR="00D647A8">
        <w:t xml:space="preserve">be declared </w:t>
      </w:r>
      <w:r w:rsidR="0067473D">
        <w:t xml:space="preserve">a sham and of no legal force and effect. This relief impacts </w:t>
      </w:r>
      <w:proofErr w:type="spellStart"/>
      <w:r w:rsidR="0067473D">
        <w:t>Astfin</w:t>
      </w:r>
      <w:proofErr w:type="spellEnd"/>
      <w:r w:rsidR="0067473D">
        <w:t xml:space="preserve"> directly. It is not legally sound that </w:t>
      </w:r>
      <w:proofErr w:type="spellStart"/>
      <w:r w:rsidR="0067473D">
        <w:t>Astfin</w:t>
      </w:r>
      <w:proofErr w:type="spellEnd"/>
      <w:r w:rsidR="0067473D">
        <w:t xml:space="preserve"> can exit this application when this relief remains. </w:t>
      </w:r>
      <w:proofErr w:type="spellStart"/>
      <w:r w:rsidR="006E1EB4">
        <w:t>Astfin</w:t>
      </w:r>
      <w:proofErr w:type="spellEnd"/>
      <w:r w:rsidR="006E1EB4">
        <w:t xml:space="preserve"> </w:t>
      </w:r>
      <w:r w:rsidR="0067473D">
        <w:t>is materially involve</w:t>
      </w:r>
      <w:r w:rsidR="00395F01">
        <w:t>d</w:t>
      </w:r>
      <w:r w:rsidR="0067473D">
        <w:t xml:space="preserve"> and interested in the adjudication of this contentious </w:t>
      </w:r>
      <w:r w:rsidR="006E1EB4">
        <w:t>relief</w:t>
      </w:r>
      <w:r w:rsidR="00B10C99">
        <w:t>,</w:t>
      </w:r>
      <w:r w:rsidR="0067473D">
        <w:t xml:space="preserve"> and the determination of the status of the</w:t>
      </w:r>
      <w:r w:rsidR="006E1EB4">
        <w:t>se</w:t>
      </w:r>
      <w:r w:rsidR="0067473D">
        <w:t xml:space="preserve"> agreements</w:t>
      </w:r>
      <w:r w:rsidR="00395F01">
        <w:t xml:space="preserve"> is critical to it</w:t>
      </w:r>
      <w:r w:rsidR="0067473D">
        <w:t xml:space="preserve">.  As submitted to me by </w:t>
      </w:r>
      <w:proofErr w:type="spellStart"/>
      <w:r w:rsidR="0067473D">
        <w:t>Astfin’s</w:t>
      </w:r>
      <w:proofErr w:type="spellEnd"/>
      <w:r w:rsidR="0067473D">
        <w:t xml:space="preserve"> counsel, </w:t>
      </w:r>
      <w:proofErr w:type="spellStart"/>
      <w:r w:rsidR="00B10C99">
        <w:t>Mr.</w:t>
      </w:r>
      <w:proofErr w:type="spellEnd"/>
      <w:r w:rsidR="00395F01">
        <w:t> </w:t>
      </w:r>
      <w:proofErr w:type="spellStart"/>
      <w:r w:rsidR="0067473D">
        <w:t>Kromhout</w:t>
      </w:r>
      <w:proofErr w:type="spellEnd"/>
      <w:r w:rsidR="0067473D">
        <w:t xml:space="preserve">, if it were accepted that the </w:t>
      </w:r>
      <w:r w:rsidR="00395F01">
        <w:t xml:space="preserve">matter had become settled against </w:t>
      </w:r>
      <w:proofErr w:type="spellStart"/>
      <w:r w:rsidR="00395F01">
        <w:t>Astfin</w:t>
      </w:r>
      <w:proofErr w:type="spellEnd"/>
      <w:r w:rsidR="00395F01">
        <w:t xml:space="preserve"> only, </w:t>
      </w:r>
      <w:r w:rsidR="0067473D">
        <w:t xml:space="preserve">this would have resulted in a material non-joinder as </w:t>
      </w:r>
      <w:proofErr w:type="spellStart"/>
      <w:r w:rsidR="0067473D">
        <w:t>Astfin</w:t>
      </w:r>
      <w:proofErr w:type="spellEnd"/>
      <w:r w:rsidR="0067473D">
        <w:t xml:space="preserve"> would no longer be a party to the application. It can only be excised from </w:t>
      </w:r>
      <w:r w:rsidR="00395F01">
        <w:t>the application</w:t>
      </w:r>
      <w:r w:rsidR="0067473D">
        <w:t xml:space="preserve"> if a settlement incorporated </w:t>
      </w:r>
      <w:r w:rsidR="00395F01">
        <w:t>this relief</w:t>
      </w:r>
      <w:r w:rsidR="006E1EB4">
        <w:t xml:space="preserve"> too,</w:t>
      </w:r>
      <w:r w:rsidR="00395F01">
        <w:t xml:space="preserve"> </w:t>
      </w:r>
      <w:r w:rsidR="0067473D">
        <w:t>all of which, as alluded to above, required a settlement in writing.</w:t>
      </w:r>
    </w:p>
    <w:p w14:paraId="4E9A4347" w14:textId="08B6E53D" w:rsidR="0067473D" w:rsidRDefault="009074E3" w:rsidP="009074E3">
      <w:pPr>
        <w:pStyle w:val="Heading1"/>
        <w:numPr>
          <w:ilvl w:val="0"/>
          <w:numId w:val="0"/>
        </w:numPr>
        <w:tabs>
          <w:tab w:val="left" w:pos="862"/>
        </w:tabs>
        <w:ind w:left="862" w:hanging="862"/>
      </w:pPr>
      <w:r>
        <w:t>[44]</w:t>
      </w:r>
      <w:r>
        <w:tab/>
      </w:r>
      <w:r w:rsidR="0067473D">
        <w:t xml:space="preserve"> I also do not accept that the relief in prayers 3.3 and 4 could be adjudicated without </w:t>
      </w:r>
      <w:proofErr w:type="spellStart"/>
      <w:r w:rsidR="0067473D">
        <w:t>Astfin</w:t>
      </w:r>
      <w:proofErr w:type="spellEnd"/>
      <w:r w:rsidR="0067473D">
        <w:t xml:space="preserve">, which was tied up contractually in the relief sought. </w:t>
      </w:r>
    </w:p>
    <w:p w14:paraId="0F13E652" w14:textId="5F4582C7" w:rsidR="0067473D" w:rsidRDefault="009074E3" w:rsidP="009074E3">
      <w:pPr>
        <w:pStyle w:val="Heading1"/>
        <w:numPr>
          <w:ilvl w:val="0"/>
          <w:numId w:val="0"/>
        </w:numPr>
        <w:tabs>
          <w:tab w:val="left" w:pos="862"/>
        </w:tabs>
        <w:ind w:left="862" w:hanging="862"/>
      </w:pPr>
      <w:r>
        <w:t>[45]</w:t>
      </w:r>
      <w:r>
        <w:tab/>
      </w:r>
      <w:r w:rsidR="0067473D">
        <w:t>It is</w:t>
      </w:r>
      <w:r w:rsidR="00B10C99">
        <w:t>,</w:t>
      </w:r>
      <w:r w:rsidR="0067473D">
        <w:t xml:space="preserve"> therefore</w:t>
      </w:r>
      <w:r w:rsidR="00B10C99">
        <w:t>,</w:t>
      </w:r>
      <w:r w:rsidR="0067473D">
        <w:t xml:space="preserve"> incorrect that </w:t>
      </w:r>
      <w:proofErr w:type="spellStart"/>
      <w:r w:rsidR="0067473D">
        <w:t>Astfin</w:t>
      </w:r>
      <w:proofErr w:type="spellEnd"/>
      <w:r w:rsidR="0067473D">
        <w:t xml:space="preserve"> could exit the proceedings until such time as all of these issues </w:t>
      </w:r>
      <w:r w:rsidR="00395F01">
        <w:t xml:space="preserve">in </w:t>
      </w:r>
      <w:r w:rsidR="00A156F5">
        <w:t>their</w:t>
      </w:r>
      <w:r w:rsidR="00395F01">
        <w:t xml:space="preserve"> entirety</w:t>
      </w:r>
      <w:r w:rsidR="0067473D">
        <w:t xml:space="preserve"> had been settled</w:t>
      </w:r>
      <w:r w:rsidR="00B10C99">
        <w:t>,</w:t>
      </w:r>
      <w:r w:rsidR="0067473D">
        <w:t xml:space="preserve"> </w:t>
      </w:r>
      <w:r w:rsidR="00395F01">
        <w:t xml:space="preserve">and this would have required a </w:t>
      </w:r>
      <w:r w:rsidR="0067473D">
        <w:t>written agreement as contended</w:t>
      </w:r>
      <w:r w:rsidR="00B10C99">
        <w:t xml:space="preserve"> </w:t>
      </w:r>
      <w:r w:rsidR="006E1EB4">
        <w:t xml:space="preserve">for </w:t>
      </w:r>
      <w:r w:rsidR="0067473D">
        <w:t xml:space="preserve">by De Nil.  </w:t>
      </w:r>
    </w:p>
    <w:p w14:paraId="09777E02" w14:textId="51E5283D" w:rsidR="0067473D" w:rsidRDefault="009074E3" w:rsidP="009074E3">
      <w:pPr>
        <w:pStyle w:val="Heading1"/>
        <w:numPr>
          <w:ilvl w:val="0"/>
          <w:numId w:val="0"/>
        </w:numPr>
        <w:tabs>
          <w:tab w:val="left" w:pos="862"/>
        </w:tabs>
        <w:ind w:left="862" w:hanging="862"/>
      </w:pPr>
      <w:r>
        <w:t>[46]</w:t>
      </w:r>
      <w:r>
        <w:tab/>
      </w:r>
      <w:proofErr w:type="spellStart"/>
      <w:r w:rsidR="0067473D">
        <w:t>Bihl</w:t>
      </w:r>
      <w:proofErr w:type="spellEnd"/>
      <w:r w:rsidR="0067473D">
        <w:t xml:space="preserve"> elected and/or was instructed not to deliver a replying affidavit.  </w:t>
      </w:r>
      <w:r w:rsidR="00395F01">
        <w:t xml:space="preserve">As such, he does not respond to De Nil’s e-mail response to Baron. </w:t>
      </w:r>
      <w:r w:rsidR="0067473D">
        <w:t>There is no suggestion that</w:t>
      </w:r>
      <w:r w:rsidR="00A156F5">
        <w:t>,</w:t>
      </w:r>
      <w:r w:rsidR="00217398">
        <w:t xml:space="preserve"> </w:t>
      </w:r>
      <w:r w:rsidR="0067473D">
        <w:t xml:space="preserve">as </w:t>
      </w:r>
      <w:r w:rsidR="00B10C99">
        <w:t>of</w:t>
      </w:r>
      <w:r w:rsidR="0067473D">
        <w:t xml:space="preserve"> 27 October 2022</w:t>
      </w:r>
      <w:r w:rsidR="00A156F5">
        <w:t>,</w:t>
      </w:r>
      <w:r w:rsidR="0067473D">
        <w:t xml:space="preserve"> Baron conveyed the direct and </w:t>
      </w:r>
      <w:r w:rsidR="0067473D">
        <w:lastRenderedPageBreak/>
        <w:t xml:space="preserve">clear instructions from De Nil to </w:t>
      </w:r>
      <w:proofErr w:type="spellStart"/>
      <w:r w:rsidR="0067473D">
        <w:t>Bihl</w:t>
      </w:r>
      <w:proofErr w:type="spellEnd"/>
      <w:r w:rsidR="0067473D">
        <w:t>.</w:t>
      </w:r>
      <w:r w:rsidR="00395F01">
        <w:t xml:space="preserve"> If he was representing </w:t>
      </w:r>
      <w:proofErr w:type="spellStart"/>
      <w:r w:rsidR="00395F01">
        <w:t>Astfin</w:t>
      </w:r>
      <w:proofErr w:type="spellEnd"/>
      <w:r w:rsidR="00B10C99">
        <w:t>,</w:t>
      </w:r>
      <w:r w:rsidR="00395F01">
        <w:t xml:space="preserve"> he would surely have done so. </w:t>
      </w:r>
    </w:p>
    <w:p w14:paraId="0F1460B0" w14:textId="4327333B" w:rsidR="008B7530" w:rsidRPr="008B7530" w:rsidRDefault="009074E3" w:rsidP="009074E3">
      <w:pPr>
        <w:pStyle w:val="Heading1"/>
        <w:numPr>
          <w:ilvl w:val="0"/>
          <w:numId w:val="0"/>
        </w:numPr>
        <w:tabs>
          <w:tab w:val="left" w:pos="862"/>
        </w:tabs>
        <w:ind w:left="862" w:hanging="862"/>
      </w:pPr>
      <w:r w:rsidRPr="008B7530">
        <w:t>[47]</w:t>
      </w:r>
      <w:r w:rsidRPr="008B7530">
        <w:tab/>
      </w:r>
      <w:r w:rsidR="00217398">
        <w:rPr>
          <w:bCs/>
        </w:rPr>
        <w:t xml:space="preserve">Devoid of any explanation from Baron, I cannot speculate about these emails, Baron’s alleged mandate or that a settlement had been reached. </w:t>
      </w:r>
    </w:p>
    <w:p w14:paraId="14C7B96C" w14:textId="31130EB0" w:rsidR="008B7530" w:rsidRPr="008B7530" w:rsidRDefault="009074E3" w:rsidP="009074E3">
      <w:pPr>
        <w:pStyle w:val="Heading1"/>
        <w:numPr>
          <w:ilvl w:val="0"/>
          <w:numId w:val="0"/>
        </w:numPr>
        <w:tabs>
          <w:tab w:val="left" w:pos="862"/>
        </w:tabs>
        <w:ind w:left="862" w:hanging="862"/>
      </w:pPr>
      <w:r w:rsidRPr="008B7530">
        <w:t>[48]</w:t>
      </w:r>
      <w:r w:rsidRPr="008B7530">
        <w:tab/>
      </w:r>
      <w:r w:rsidR="008B7530">
        <w:rPr>
          <w:bCs/>
        </w:rPr>
        <w:t xml:space="preserve">In PRASA v </w:t>
      </w:r>
      <w:proofErr w:type="spellStart"/>
      <w:r w:rsidR="008B7530">
        <w:rPr>
          <w:bCs/>
        </w:rPr>
        <w:t>Swifambo</w:t>
      </w:r>
      <w:proofErr w:type="spellEnd"/>
      <w:r w:rsidR="008B7530">
        <w:rPr>
          <w:bCs/>
        </w:rPr>
        <w:t xml:space="preserve"> Rail </w:t>
      </w:r>
      <w:r w:rsidR="00B10C99">
        <w:rPr>
          <w:bCs/>
        </w:rPr>
        <w:t>Agency</w:t>
      </w:r>
      <w:r w:rsidR="008B7530">
        <w:rPr>
          <w:bCs/>
        </w:rPr>
        <w:t xml:space="preserve"> </w:t>
      </w:r>
      <w:proofErr w:type="gramStart"/>
      <w:r w:rsidR="008B7530">
        <w:rPr>
          <w:bCs/>
        </w:rPr>
        <w:t>( Pty</w:t>
      </w:r>
      <w:proofErr w:type="gramEnd"/>
      <w:r w:rsidR="008B7530">
        <w:rPr>
          <w:bCs/>
        </w:rPr>
        <w:t xml:space="preserve">) Ltd </w:t>
      </w:r>
      <w:r w:rsidR="008B7530">
        <w:rPr>
          <w:rStyle w:val="FootnoteReference"/>
          <w:bCs/>
        </w:rPr>
        <w:footnoteReference w:id="28"/>
      </w:r>
      <w:r w:rsidR="008B7530">
        <w:rPr>
          <w:bCs/>
        </w:rPr>
        <w:t>, Francis J, stated:</w:t>
      </w:r>
    </w:p>
    <w:p w14:paraId="5EBC55E6" w14:textId="4309A123" w:rsidR="008B7530" w:rsidRPr="00B90CAC" w:rsidRDefault="008B7530" w:rsidP="008B7530">
      <w:pPr>
        <w:pStyle w:val="Heading1"/>
        <w:numPr>
          <w:ilvl w:val="0"/>
          <w:numId w:val="0"/>
        </w:numPr>
        <w:ind w:left="862"/>
        <w:rPr>
          <w:i/>
          <w:iCs/>
          <w:color w:val="000000" w:themeColor="text1"/>
          <w:szCs w:val="21"/>
        </w:rPr>
      </w:pPr>
      <w:r>
        <w:rPr>
          <w:bCs/>
        </w:rPr>
        <w:t xml:space="preserve"> </w:t>
      </w:r>
      <w:r w:rsidRPr="00B90CAC">
        <w:rPr>
          <w:bCs/>
          <w:color w:val="000000" w:themeColor="text1"/>
        </w:rPr>
        <w:t>“</w:t>
      </w:r>
      <w:r w:rsidRPr="00B90CAC">
        <w:rPr>
          <w:color w:val="000000" w:themeColor="text1"/>
          <w:szCs w:val="21"/>
        </w:rPr>
        <w:t>[</w:t>
      </w:r>
      <w:r w:rsidRPr="00B90CAC">
        <w:rPr>
          <w:i/>
          <w:iCs/>
          <w:color w:val="000000" w:themeColor="text1"/>
          <w:szCs w:val="21"/>
        </w:rPr>
        <w:t>21] Hearsay evidence is generally not permitted in affidavits. Once again this is not an absolute rule and there are exceptions to it. Where a deponent states that he is informed and verily believes certain facts on which he relies for the relief, he is required to set out in full the facts upon</w:t>
      </w:r>
      <w:proofErr w:type="gramStart"/>
      <w:r w:rsidRPr="00B90CAC">
        <w:rPr>
          <w:i/>
          <w:iCs/>
          <w:color w:val="000000" w:themeColor="text1"/>
          <w:szCs w:val="21"/>
        </w:rPr>
        <w:t> </w:t>
      </w:r>
      <w:r w:rsidRPr="00B90CAC">
        <w:rPr>
          <w:rStyle w:val="mc"/>
          <w:i/>
          <w:iCs/>
          <w:color w:val="000000" w:themeColor="text1"/>
          <w:szCs w:val="14"/>
          <w:shd w:val="clear" w:color="auto" w:fill="C0C0C0"/>
        </w:rPr>
        <w:t> G</w:t>
      </w:r>
      <w:proofErr w:type="gramEnd"/>
      <w:r w:rsidRPr="00B90CAC">
        <w:rPr>
          <w:rStyle w:val="mc"/>
          <w:i/>
          <w:iCs/>
          <w:color w:val="000000" w:themeColor="text1"/>
          <w:szCs w:val="14"/>
          <w:shd w:val="clear" w:color="auto" w:fill="C0C0C0"/>
        </w:rPr>
        <w:t> </w:t>
      </w:r>
      <w:r w:rsidRPr="00B90CAC">
        <w:rPr>
          <w:i/>
          <w:iCs/>
          <w:color w:val="000000" w:themeColor="text1"/>
          <w:szCs w:val="21"/>
        </w:rPr>
        <w:t> which he bases his grounds for belief and how he had obtained that information, and the court will be inclined to accept such hearsay evidence. The basis of his knowledge and belief must be disclosed, and where the general rule is sought to be avoided reasons therefor</w:t>
      </w:r>
      <w:r w:rsidR="00B10C99">
        <w:rPr>
          <w:i/>
          <w:iCs/>
          <w:color w:val="000000" w:themeColor="text1"/>
          <w:szCs w:val="21"/>
        </w:rPr>
        <w:t>e</w:t>
      </w:r>
      <w:r w:rsidRPr="00B90CAC">
        <w:rPr>
          <w:i/>
          <w:iCs/>
          <w:color w:val="000000" w:themeColor="text1"/>
          <w:szCs w:val="21"/>
        </w:rPr>
        <w:t xml:space="preserve"> must be given. Where the source and ground for the information and belief is not stated, a court may decline to accept such evidence.</w:t>
      </w:r>
    </w:p>
    <w:p w14:paraId="5E8D92F0" w14:textId="77777777" w:rsidR="008B7530" w:rsidRPr="00B90CAC" w:rsidRDefault="008B7530" w:rsidP="008B7530">
      <w:pPr>
        <w:pStyle w:val="Heading1"/>
        <w:numPr>
          <w:ilvl w:val="0"/>
          <w:numId w:val="0"/>
        </w:numPr>
        <w:ind w:left="862"/>
        <w:rPr>
          <w:i/>
          <w:iCs/>
          <w:color w:val="000000" w:themeColor="text1"/>
          <w:szCs w:val="21"/>
        </w:rPr>
      </w:pPr>
      <w:r w:rsidRPr="00B90CAC">
        <w:rPr>
          <w:i/>
          <w:iCs/>
          <w:color w:val="000000" w:themeColor="text1"/>
          <w:szCs w:val="21"/>
        </w:rPr>
        <w:t>[23] A court has a wide discretion in terms of s 3(1) of the Evidence Amendment Act to admit hearsay evidence. The legislature had enacted</w:t>
      </w:r>
      <w:proofErr w:type="gramStart"/>
      <w:r w:rsidRPr="00B90CAC">
        <w:rPr>
          <w:i/>
          <w:iCs/>
          <w:color w:val="000000" w:themeColor="text1"/>
          <w:szCs w:val="21"/>
        </w:rPr>
        <w:t> </w:t>
      </w:r>
      <w:r w:rsidRPr="00B90CAC">
        <w:rPr>
          <w:rStyle w:val="mc"/>
          <w:i/>
          <w:iCs/>
          <w:color w:val="000000" w:themeColor="text1"/>
          <w:szCs w:val="14"/>
          <w:shd w:val="clear" w:color="auto" w:fill="C0C0C0"/>
        </w:rPr>
        <w:t> C</w:t>
      </w:r>
      <w:proofErr w:type="gramEnd"/>
      <w:r w:rsidRPr="00B90CAC">
        <w:rPr>
          <w:rStyle w:val="mc"/>
          <w:i/>
          <w:iCs/>
          <w:color w:val="000000" w:themeColor="text1"/>
          <w:szCs w:val="14"/>
          <w:shd w:val="clear" w:color="auto" w:fill="C0C0C0"/>
        </w:rPr>
        <w:t> </w:t>
      </w:r>
      <w:r w:rsidRPr="00B90CAC">
        <w:rPr>
          <w:i/>
          <w:iCs/>
          <w:color w:val="000000" w:themeColor="text1"/>
          <w:szCs w:val="21"/>
        </w:rPr>
        <w:t> the provisions of s 3 to create a better and more acceptable dispensation in our law relating to the reception of hearsay evidence. The wording of s 3 makes it clear that the point of departure is that hearsay evidence is inadmissible in criminal and civil proceedings. However, because the legislature was conscious of various difficulties associated with the reception of hearsay evidence in our courts, it brought a better dispensation</w:t>
      </w:r>
      <w:proofErr w:type="gramStart"/>
      <w:r w:rsidRPr="00B90CAC">
        <w:rPr>
          <w:i/>
          <w:iCs/>
          <w:color w:val="000000" w:themeColor="text1"/>
          <w:szCs w:val="21"/>
        </w:rPr>
        <w:t> </w:t>
      </w:r>
      <w:r w:rsidRPr="00B90CAC">
        <w:rPr>
          <w:rStyle w:val="mc"/>
          <w:i/>
          <w:iCs/>
          <w:color w:val="000000" w:themeColor="text1"/>
          <w:szCs w:val="14"/>
          <w:shd w:val="clear" w:color="auto" w:fill="C0C0C0"/>
        </w:rPr>
        <w:t> D</w:t>
      </w:r>
      <w:proofErr w:type="gramEnd"/>
      <w:r w:rsidRPr="00B90CAC">
        <w:rPr>
          <w:rStyle w:val="mc"/>
          <w:i/>
          <w:iCs/>
          <w:color w:val="000000" w:themeColor="text1"/>
          <w:szCs w:val="14"/>
          <w:shd w:val="clear" w:color="auto" w:fill="C0C0C0"/>
        </w:rPr>
        <w:t> </w:t>
      </w:r>
      <w:r w:rsidRPr="00B90CAC">
        <w:rPr>
          <w:i/>
          <w:iCs/>
          <w:color w:val="000000" w:themeColor="text1"/>
          <w:szCs w:val="21"/>
        </w:rPr>
        <w:t> and created a mechanism to determine the circumstances when it would be acceptable to admit hearsay evidence.</w:t>
      </w:r>
    </w:p>
    <w:p w14:paraId="7F682564" w14:textId="7A176299" w:rsidR="008B7530" w:rsidRPr="00B90CAC" w:rsidRDefault="008B7530" w:rsidP="008B7530">
      <w:pPr>
        <w:pStyle w:val="Heading1"/>
        <w:numPr>
          <w:ilvl w:val="0"/>
          <w:numId w:val="0"/>
        </w:numPr>
        <w:ind w:left="862"/>
        <w:rPr>
          <w:i/>
          <w:iCs/>
          <w:color w:val="000000" w:themeColor="text1"/>
        </w:rPr>
      </w:pPr>
      <w:r w:rsidRPr="00B90CAC">
        <w:rPr>
          <w:i/>
          <w:iCs/>
          <w:color w:val="000000" w:themeColor="text1"/>
          <w:szCs w:val="21"/>
        </w:rPr>
        <w:t xml:space="preserve">[24] The legislature also decided that the test whether or not hearsay </w:t>
      </w:r>
      <w:r w:rsidRPr="00B90CAC">
        <w:rPr>
          <w:i/>
          <w:iCs/>
          <w:color w:val="000000" w:themeColor="text1"/>
          <w:szCs w:val="21"/>
        </w:rPr>
        <w:lastRenderedPageBreak/>
        <w:t>evidence should be admitted would be whether or not in a particular case before the court it would be in the interests of justice that such evidence</w:t>
      </w:r>
      <w:proofErr w:type="gramStart"/>
      <w:r w:rsidRPr="00B90CAC">
        <w:rPr>
          <w:i/>
          <w:iCs/>
          <w:color w:val="000000" w:themeColor="text1"/>
          <w:szCs w:val="21"/>
        </w:rPr>
        <w:t> </w:t>
      </w:r>
      <w:r w:rsidRPr="00B90CAC">
        <w:rPr>
          <w:rStyle w:val="mc"/>
          <w:i/>
          <w:iCs/>
          <w:color w:val="000000" w:themeColor="text1"/>
          <w:szCs w:val="14"/>
          <w:shd w:val="clear" w:color="auto" w:fill="C0C0C0"/>
        </w:rPr>
        <w:t> E</w:t>
      </w:r>
      <w:proofErr w:type="gramEnd"/>
      <w:r w:rsidRPr="00B90CAC">
        <w:rPr>
          <w:rStyle w:val="mc"/>
          <w:i/>
          <w:iCs/>
          <w:color w:val="000000" w:themeColor="text1"/>
          <w:szCs w:val="14"/>
          <w:shd w:val="clear" w:color="auto" w:fill="C0C0C0"/>
        </w:rPr>
        <w:t> </w:t>
      </w:r>
      <w:r w:rsidRPr="00B90CAC">
        <w:rPr>
          <w:i/>
          <w:iCs/>
          <w:color w:val="000000" w:themeColor="text1"/>
          <w:szCs w:val="21"/>
        </w:rPr>
        <w:t xml:space="preserve"> be admitted. The factors that the court should take into account are those set out in </w:t>
      </w:r>
      <w:proofErr w:type="spellStart"/>
      <w:r w:rsidRPr="00B90CAC">
        <w:rPr>
          <w:i/>
          <w:iCs/>
          <w:color w:val="000000" w:themeColor="text1"/>
          <w:szCs w:val="21"/>
        </w:rPr>
        <w:t>ss</w:t>
      </w:r>
      <w:proofErr w:type="spellEnd"/>
      <w:r w:rsidRPr="00B90CAC">
        <w:rPr>
          <w:i/>
          <w:iCs/>
          <w:color w:val="000000" w:themeColor="text1"/>
          <w:szCs w:val="21"/>
        </w:rPr>
        <w:t xml:space="preserve"> 3(1</w:t>
      </w:r>
      <w:proofErr w:type="gramStart"/>
      <w:r w:rsidRPr="00B90CAC">
        <w:rPr>
          <w:i/>
          <w:iCs/>
          <w:color w:val="000000" w:themeColor="text1"/>
          <w:szCs w:val="21"/>
        </w:rPr>
        <w:t>)(</w:t>
      </w:r>
      <w:proofErr w:type="gramEnd"/>
      <w:r w:rsidRPr="00B90CAC">
        <w:rPr>
          <w:i/>
          <w:iCs/>
          <w:color w:val="000000" w:themeColor="text1"/>
          <w:szCs w:val="21"/>
        </w:rPr>
        <w:t>c)(</w:t>
      </w:r>
      <w:proofErr w:type="spellStart"/>
      <w:r w:rsidRPr="00B90CAC">
        <w:rPr>
          <w:i/>
          <w:iCs/>
          <w:color w:val="000000" w:themeColor="text1"/>
          <w:szCs w:val="21"/>
        </w:rPr>
        <w:t>i</w:t>
      </w:r>
      <w:proofErr w:type="spellEnd"/>
      <w:r w:rsidRPr="00B90CAC">
        <w:rPr>
          <w:i/>
          <w:iCs/>
          <w:color w:val="000000" w:themeColor="text1"/>
          <w:szCs w:val="21"/>
        </w:rPr>
        <w:t>) – (vii) of the Evidence Amendment Act which includes any other factor which in the opinion of the court should be taken into account.”</w:t>
      </w:r>
    </w:p>
    <w:p w14:paraId="2BD16697" w14:textId="60B8EAC2" w:rsidR="00217398" w:rsidRDefault="009074E3" w:rsidP="009074E3">
      <w:pPr>
        <w:pStyle w:val="Heading1"/>
        <w:numPr>
          <w:ilvl w:val="0"/>
          <w:numId w:val="0"/>
        </w:numPr>
        <w:tabs>
          <w:tab w:val="left" w:pos="862"/>
        </w:tabs>
        <w:ind w:left="862" w:hanging="862"/>
      </w:pPr>
      <w:r>
        <w:t>[49]</w:t>
      </w:r>
      <w:r>
        <w:tab/>
      </w:r>
      <w:r w:rsidR="00217398">
        <w:rPr>
          <w:szCs w:val="21"/>
        </w:rPr>
        <w:t xml:space="preserve">I agree that </w:t>
      </w:r>
      <w:proofErr w:type="spellStart"/>
      <w:r w:rsidR="00217398">
        <w:rPr>
          <w:szCs w:val="21"/>
        </w:rPr>
        <w:t>Bihl</w:t>
      </w:r>
      <w:proofErr w:type="spellEnd"/>
      <w:r w:rsidR="00217398">
        <w:rPr>
          <w:szCs w:val="21"/>
        </w:rPr>
        <w:t xml:space="preserve"> has the added problem that</w:t>
      </w:r>
      <w:r w:rsidR="00B10C99">
        <w:rPr>
          <w:szCs w:val="21"/>
        </w:rPr>
        <w:t xml:space="preserve"> </w:t>
      </w:r>
      <w:r w:rsidR="00217398">
        <w:rPr>
          <w:szCs w:val="21"/>
        </w:rPr>
        <w:t>anything Baron conveyed to him</w:t>
      </w:r>
      <w:r w:rsidR="00A7694F">
        <w:rPr>
          <w:szCs w:val="21"/>
        </w:rPr>
        <w:t xml:space="preserve"> </w:t>
      </w:r>
      <w:r w:rsidR="00217398">
        <w:rPr>
          <w:szCs w:val="21"/>
        </w:rPr>
        <w:t>does constitute</w:t>
      </w:r>
      <w:r w:rsidR="008B7530">
        <w:rPr>
          <w:szCs w:val="21"/>
        </w:rPr>
        <w:t xml:space="preserve"> </w:t>
      </w:r>
      <w:r w:rsidR="00217398">
        <w:rPr>
          <w:szCs w:val="21"/>
        </w:rPr>
        <w:t>hearsay evidence, especially where final relief is sought.</w:t>
      </w:r>
      <w:r w:rsidR="008B7530">
        <w:rPr>
          <w:szCs w:val="21"/>
        </w:rPr>
        <w:t xml:space="preserve"> However, in the main</w:t>
      </w:r>
      <w:r w:rsidR="00A7694F">
        <w:rPr>
          <w:szCs w:val="21"/>
        </w:rPr>
        <w:t>,</w:t>
      </w:r>
      <w:r w:rsidR="008B7530">
        <w:rPr>
          <w:szCs w:val="21"/>
        </w:rPr>
        <w:t xml:space="preserve"> he relied on</w:t>
      </w:r>
      <w:r w:rsidR="00B90CAC">
        <w:rPr>
          <w:szCs w:val="21"/>
        </w:rPr>
        <w:t xml:space="preserve"> </w:t>
      </w:r>
      <w:r w:rsidR="008B7530">
        <w:rPr>
          <w:szCs w:val="21"/>
        </w:rPr>
        <w:t>e-mail evidence</w:t>
      </w:r>
      <w:r w:rsidR="00B10C99">
        <w:rPr>
          <w:szCs w:val="21"/>
        </w:rPr>
        <w:t>,</w:t>
      </w:r>
      <w:r w:rsidR="008B7530">
        <w:rPr>
          <w:szCs w:val="21"/>
        </w:rPr>
        <w:t xml:space="preserve"> which did not appear to </w:t>
      </w:r>
      <w:r w:rsidR="00A7694F">
        <w:rPr>
          <w:szCs w:val="21"/>
        </w:rPr>
        <w:t>be unreliable. In addition, the application was brought urgently. There was, however, no explanation why Baron did not provide a confirmatory affidavit. Even then</w:t>
      </w:r>
      <w:r w:rsidR="00B10C99">
        <w:rPr>
          <w:szCs w:val="21"/>
        </w:rPr>
        <w:t>,</w:t>
      </w:r>
      <w:r w:rsidR="00A7694F">
        <w:rPr>
          <w:szCs w:val="21"/>
        </w:rPr>
        <w:t xml:space="preserve"> I am persuaded to admit this evidence in the interests of justice. The hearsay point was not vigorously pursued in argument.</w:t>
      </w:r>
      <w:r w:rsidR="008B7530">
        <w:rPr>
          <w:szCs w:val="21"/>
        </w:rPr>
        <w:t xml:space="preserve"> </w:t>
      </w:r>
    </w:p>
    <w:p w14:paraId="4829B844" w14:textId="177438EF" w:rsidR="0067473D" w:rsidRDefault="009074E3" w:rsidP="009074E3">
      <w:pPr>
        <w:pStyle w:val="Heading1"/>
        <w:numPr>
          <w:ilvl w:val="0"/>
          <w:numId w:val="0"/>
        </w:numPr>
        <w:tabs>
          <w:tab w:val="left" w:pos="862"/>
        </w:tabs>
        <w:ind w:left="862" w:hanging="862"/>
      </w:pPr>
      <w:r>
        <w:t>[50]</w:t>
      </w:r>
      <w:r>
        <w:tab/>
      </w:r>
      <w:r w:rsidR="006300A0">
        <w:t>De Nil furnished</w:t>
      </w:r>
      <w:r w:rsidR="00A156F5">
        <w:t xml:space="preserve"> his</w:t>
      </w:r>
      <w:r w:rsidR="0067473D">
        <w:t xml:space="preserve"> </w:t>
      </w:r>
      <w:proofErr w:type="spellStart"/>
      <w:r w:rsidR="0067473D">
        <w:t>Whatsapp</w:t>
      </w:r>
      <w:proofErr w:type="spellEnd"/>
      <w:r w:rsidR="0067473D">
        <w:t xml:space="preserve"> communications </w:t>
      </w:r>
      <w:r w:rsidR="006300A0">
        <w:t xml:space="preserve">with </w:t>
      </w:r>
      <w:r w:rsidR="0067473D">
        <w:t>Venter</w:t>
      </w:r>
      <w:r w:rsidR="00B10C99">
        <w:t>,</w:t>
      </w:r>
      <w:r w:rsidR="0067473D">
        <w:t xml:space="preserve"> </w:t>
      </w:r>
      <w:r w:rsidR="006300A0">
        <w:t xml:space="preserve">which </w:t>
      </w:r>
      <w:r w:rsidR="0067473D">
        <w:t>resumed on 29</w:t>
      </w:r>
      <w:r w:rsidR="0067473D">
        <w:rPr>
          <w:vertAlign w:val="superscript"/>
        </w:rPr>
        <w:t xml:space="preserve"> </w:t>
      </w:r>
      <w:r w:rsidR="0067473D">
        <w:t xml:space="preserve">October 2022, </w:t>
      </w:r>
      <w:r w:rsidR="006300A0">
        <w:t xml:space="preserve">three </w:t>
      </w:r>
      <w:r w:rsidR="0067473D">
        <w:t xml:space="preserve">days after </w:t>
      </w:r>
      <w:proofErr w:type="spellStart"/>
      <w:r w:rsidR="0067473D">
        <w:t>Bihl</w:t>
      </w:r>
      <w:proofErr w:type="spellEnd"/>
      <w:r w:rsidR="0067473D">
        <w:t xml:space="preserve"> </w:t>
      </w:r>
      <w:r w:rsidR="00B10C99">
        <w:t>said</w:t>
      </w:r>
      <w:r w:rsidR="0067473D">
        <w:t xml:space="preserve"> the matter was settled</w:t>
      </w:r>
      <w:r w:rsidR="006300A0">
        <w:t>.</w:t>
      </w:r>
      <w:r w:rsidR="0067473D">
        <w:t xml:space="preserve"> </w:t>
      </w:r>
      <w:r w:rsidR="006300A0">
        <w:t>Th</w:t>
      </w:r>
      <w:r w:rsidR="006E1EB4">
        <w:t>ese</w:t>
      </w:r>
      <w:r w:rsidR="00B10C99">
        <w:t>,</w:t>
      </w:r>
      <w:r w:rsidR="006300A0">
        <w:t xml:space="preserve"> too</w:t>
      </w:r>
      <w:r w:rsidR="00B10C99">
        <w:t>,</w:t>
      </w:r>
      <w:r w:rsidR="006300A0">
        <w:t xml:space="preserve"> w</w:t>
      </w:r>
      <w:r w:rsidR="006E1EB4">
        <w:t>ere</w:t>
      </w:r>
      <w:r w:rsidR="006300A0">
        <w:t xml:space="preserve"> not refuted by </w:t>
      </w:r>
      <w:proofErr w:type="spellStart"/>
      <w:r w:rsidR="006300A0">
        <w:t>Bihl</w:t>
      </w:r>
      <w:proofErr w:type="spellEnd"/>
      <w:r w:rsidR="006300A0">
        <w:t xml:space="preserve">. </w:t>
      </w:r>
      <w:r w:rsidR="0067473D">
        <w:t xml:space="preserve">The </w:t>
      </w:r>
      <w:proofErr w:type="spellStart"/>
      <w:r w:rsidR="0067473D">
        <w:t>Whatsapp</w:t>
      </w:r>
      <w:proofErr w:type="spellEnd"/>
      <w:r w:rsidR="0067473D">
        <w:t xml:space="preserve"> evidence reveals that Venter</w:t>
      </w:r>
      <w:r w:rsidR="006300A0">
        <w:t xml:space="preserve"> </w:t>
      </w:r>
      <w:r w:rsidR="006E1EB4">
        <w:t>informed</w:t>
      </w:r>
      <w:r w:rsidR="006300A0">
        <w:t xml:space="preserve"> </w:t>
      </w:r>
      <w:r w:rsidR="0067473D">
        <w:t xml:space="preserve">De Nil that </w:t>
      </w:r>
      <w:r w:rsidR="006300A0">
        <w:t xml:space="preserve">TWB </w:t>
      </w:r>
      <w:r w:rsidR="0067473D">
        <w:t xml:space="preserve">should speak to </w:t>
      </w:r>
      <w:proofErr w:type="spellStart"/>
      <w:r w:rsidR="0067473D">
        <w:t>Bihl</w:t>
      </w:r>
      <w:proofErr w:type="spellEnd"/>
      <w:r w:rsidR="0067473D">
        <w:t xml:space="preserve"> as to what was required by it </w:t>
      </w:r>
      <w:r w:rsidR="006E1EB4">
        <w:t>to</w:t>
      </w:r>
      <w:r w:rsidR="0067473D">
        <w:t xml:space="preserve"> withdraw</w:t>
      </w:r>
      <w:r w:rsidR="006E1EB4">
        <w:t xml:space="preserve"> </w:t>
      </w:r>
      <w:r w:rsidR="0067473D">
        <w:t>this application and the wording so that the applicant would not bring another application in relation to the commercial litigation.  In response, De Nil</w:t>
      </w:r>
      <w:r w:rsidR="00B10C99">
        <w:t>,</w:t>
      </w:r>
      <w:r w:rsidR="0067473D">
        <w:t xml:space="preserve"> who is oblivious </w:t>
      </w:r>
      <w:r w:rsidR="006E1EB4">
        <w:t>to</w:t>
      </w:r>
      <w:r w:rsidR="0067473D">
        <w:t xml:space="preserve"> any settlement</w:t>
      </w:r>
      <w:r w:rsidR="006300A0">
        <w:t xml:space="preserve"> </w:t>
      </w:r>
      <w:r w:rsidR="006E1EB4">
        <w:t>records</w:t>
      </w:r>
      <w:r w:rsidR="00B10C99">
        <w:t>,</w:t>
      </w:r>
      <w:r w:rsidR="0067473D">
        <w:t xml:space="preserve"> </w:t>
      </w:r>
      <w:r w:rsidR="00B10C99">
        <w:t xml:space="preserve">said </w:t>
      </w:r>
      <w:r w:rsidR="0067473D">
        <w:t xml:space="preserve">that he </w:t>
      </w:r>
      <w:r w:rsidR="00B10C99">
        <w:t>would</w:t>
      </w:r>
      <w:r w:rsidR="0067473D">
        <w:t xml:space="preserve"> speak to Helen, I assume his attorney, on Monday in this regard.  </w:t>
      </w:r>
    </w:p>
    <w:p w14:paraId="038EE29F" w14:textId="4FB615EE" w:rsidR="0067473D" w:rsidRDefault="009074E3" w:rsidP="009074E3">
      <w:pPr>
        <w:pStyle w:val="Heading1"/>
        <w:numPr>
          <w:ilvl w:val="0"/>
          <w:numId w:val="0"/>
        </w:numPr>
        <w:tabs>
          <w:tab w:val="left" w:pos="862"/>
        </w:tabs>
        <w:ind w:left="862" w:hanging="862"/>
      </w:pPr>
      <w:r>
        <w:t>[51]</w:t>
      </w:r>
      <w:r>
        <w:tab/>
      </w:r>
      <w:r w:rsidR="0067473D">
        <w:t>On 31 October 2022, Venter records at 09h36:</w:t>
      </w:r>
    </w:p>
    <w:p w14:paraId="1B98A00B" w14:textId="77777777" w:rsidR="0067473D" w:rsidRDefault="0067473D" w:rsidP="0067473D">
      <w:pPr>
        <w:rPr>
          <w:i/>
          <w:iCs/>
        </w:rPr>
      </w:pPr>
      <w:r>
        <w:tab/>
      </w:r>
      <w:r>
        <w:tab/>
      </w:r>
      <w:r>
        <w:rPr>
          <w:i/>
          <w:iCs/>
        </w:rPr>
        <w:t>“2022/10/31, 09:36 – Jan Venter:</w:t>
      </w:r>
    </w:p>
    <w:p w14:paraId="494074E7" w14:textId="4A0B6CD0" w:rsidR="0067473D" w:rsidRPr="00374A10" w:rsidRDefault="0067473D" w:rsidP="0067473D">
      <w:pPr>
        <w:ind w:left="1871" w:hanging="1871"/>
        <w:rPr>
          <w:i/>
          <w:iCs/>
        </w:rPr>
      </w:pPr>
      <w:r>
        <w:rPr>
          <w:i/>
          <w:iCs/>
        </w:rPr>
        <w:tab/>
      </w:r>
      <w:r>
        <w:rPr>
          <w:i/>
          <w:iCs/>
        </w:rPr>
        <w:tab/>
        <w:t xml:space="preserve">Jammer </w:t>
      </w:r>
      <w:proofErr w:type="spellStart"/>
      <w:r>
        <w:rPr>
          <w:i/>
          <w:iCs/>
        </w:rPr>
        <w:t>pla</w:t>
      </w:r>
      <w:proofErr w:type="spellEnd"/>
      <w:r>
        <w:rPr>
          <w:i/>
          <w:iCs/>
        </w:rPr>
        <w:t xml:space="preserve">.  Emil </w:t>
      </w:r>
      <w:proofErr w:type="spellStart"/>
      <w:r>
        <w:rPr>
          <w:i/>
          <w:iCs/>
        </w:rPr>
        <w:t>s</w:t>
      </w:r>
      <w:r>
        <w:rPr>
          <w:rFonts w:cs="Arial"/>
          <w:i/>
          <w:iCs/>
        </w:rPr>
        <w:t>ê</w:t>
      </w:r>
      <w:proofErr w:type="spellEnd"/>
      <w:r>
        <w:rPr>
          <w:i/>
          <w:iCs/>
        </w:rPr>
        <w:t xml:space="preserve"> </w:t>
      </w:r>
      <w:proofErr w:type="spellStart"/>
      <w:r>
        <w:rPr>
          <w:i/>
          <w:iCs/>
        </w:rPr>
        <w:t>hy</w:t>
      </w:r>
      <w:proofErr w:type="spellEnd"/>
      <w:r>
        <w:rPr>
          <w:i/>
          <w:iCs/>
        </w:rPr>
        <w:t xml:space="preserve"> wag </w:t>
      </w:r>
      <w:proofErr w:type="spellStart"/>
      <w:r>
        <w:rPr>
          <w:i/>
          <w:iCs/>
        </w:rPr>
        <w:t>vir</w:t>
      </w:r>
      <w:proofErr w:type="spellEnd"/>
      <w:r>
        <w:rPr>
          <w:i/>
          <w:iCs/>
        </w:rPr>
        <w:t xml:space="preserve"> </w:t>
      </w:r>
      <w:proofErr w:type="spellStart"/>
      <w:r>
        <w:rPr>
          <w:i/>
          <w:iCs/>
        </w:rPr>
        <w:t>julle</w:t>
      </w:r>
      <w:proofErr w:type="spellEnd"/>
      <w:r>
        <w:rPr>
          <w:i/>
          <w:iCs/>
        </w:rPr>
        <w:t xml:space="preserve"> </w:t>
      </w:r>
      <w:proofErr w:type="spellStart"/>
      <w:proofErr w:type="gramStart"/>
      <w:r>
        <w:rPr>
          <w:i/>
          <w:iCs/>
        </w:rPr>
        <w:t>om</w:t>
      </w:r>
      <w:proofErr w:type="spellEnd"/>
      <w:proofErr w:type="gramEnd"/>
      <w:r>
        <w:rPr>
          <w:i/>
          <w:iCs/>
        </w:rPr>
        <w:t xml:space="preserve"> </w:t>
      </w:r>
      <w:proofErr w:type="spellStart"/>
      <w:r>
        <w:rPr>
          <w:i/>
          <w:iCs/>
        </w:rPr>
        <w:t>skikking</w:t>
      </w:r>
      <w:proofErr w:type="spellEnd"/>
      <w:r>
        <w:rPr>
          <w:i/>
          <w:iCs/>
        </w:rPr>
        <w:t xml:space="preserve"> </w:t>
      </w:r>
      <w:proofErr w:type="spellStart"/>
      <w:r>
        <w:rPr>
          <w:i/>
          <w:iCs/>
        </w:rPr>
        <w:t>te</w:t>
      </w:r>
      <w:proofErr w:type="spellEnd"/>
      <w:r>
        <w:rPr>
          <w:i/>
          <w:iCs/>
        </w:rPr>
        <w:t xml:space="preserve"> </w:t>
      </w:r>
      <w:proofErr w:type="spellStart"/>
      <w:r>
        <w:rPr>
          <w:i/>
          <w:iCs/>
        </w:rPr>
        <w:t>aanvaar</w:t>
      </w:r>
      <w:proofErr w:type="spellEnd"/>
      <w:r>
        <w:rPr>
          <w:i/>
          <w:iCs/>
        </w:rPr>
        <w:t xml:space="preserve">?  </w:t>
      </w:r>
      <w:proofErr w:type="spellStart"/>
      <w:r>
        <w:rPr>
          <w:i/>
          <w:iCs/>
        </w:rPr>
        <w:t>Kan</w:t>
      </w:r>
      <w:proofErr w:type="spellEnd"/>
      <w:r>
        <w:rPr>
          <w:i/>
          <w:iCs/>
        </w:rPr>
        <w:t xml:space="preserve"> </w:t>
      </w:r>
      <w:proofErr w:type="spellStart"/>
      <w:r>
        <w:rPr>
          <w:i/>
          <w:iCs/>
        </w:rPr>
        <w:t>jy</w:t>
      </w:r>
      <w:proofErr w:type="spellEnd"/>
      <w:r>
        <w:rPr>
          <w:i/>
          <w:iCs/>
        </w:rPr>
        <w:t xml:space="preserve"> </w:t>
      </w:r>
      <w:proofErr w:type="spellStart"/>
      <w:r>
        <w:rPr>
          <w:i/>
          <w:iCs/>
        </w:rPr>
        <w:t>asb</w:t>
      </w:r>
      <w:proofErr w:type="spellEnd"/>
      <w:r>
        <w:rPr>
          <w:i/>
          <w:iCs/>
        </w:rPr>
        <w:t xml:space="preserve"> </w:t>
      </w:r>
      <w:proofErr w:type="spellStart"/>
      <w:r>
        <w:rPr>
          <w:i/>
          <w:iCs/>
        </w:rPr>
        <w:t>dat</w:t>
      </w:r>
      <w:proofErr w:type="spellEnd"/>
      <w:r>
        <w:rPr>
          <w:i/>
          <w:iCs/>
        </w:rPr>
        <w:t xml:space="preserve"> </w:t>
      </w:r>
      <w:proofErr w:type="spellStart"/>
      <w:r>
        <w:rPr>
          <w:i/>
          <w:iCs/>
        </w:rPr>
        <w:t>Anabela</w:t>
      </w:r>
      <w:proofErr w:type="spellEnd"/>
      <w:r>
        <w:rPr>
          <w:i/>
          <w:iCs/>
        </w:rPr>
        <w:t xml:space="preserve"> </w:t>
      </w:r>
      <w:proofErr w:type="spellStart"/>
      <w:r>
        <w:rPr>
          <w:i/>
          <w:iCs/>
        </w:rPr>
        <w:t>hom</w:t>
      </w:r>
      <w:proofErr w:type="spellEnd"/>
      <w:r>
        <w:rPr>
          <w:i/>
          <w:iCs/>
        </w:rPr>
        <w:t xml:space="preserve"> </w:t>
      </w:r>
      <w:proofErr w:type="spellStart"/>
      <w:r>
        <w:rPr>
          <w:i/>
          <w:iCs/>
        </w:rPr>
        <w:t>bel</w:t>
      </w:r>
      <w:proofErr w:type="spellEnd"/>
      <w:r>
        <w:rPr>
          <w:i/>
          <w:iCs/>
        </w:rPr>
        <w:t xml:space="preserve"> and </w:t>
      </w:r>
      <w:proofErr w:type="spellStart"/>
      <w:r>
        <w:rPr>
          <w:i/>
          <w:iCs/>
        </w:rPr>
        <w:t>dat</w:t>
      </w:r>
      <w:proofErr w:type="spellEnd"/>
      <w:r>
        <w:rPr>
          <w:i/>
          <w:iCs/>
        </w:rPr>
        <w:t xml:space="preserve"> </w:t>
      </w:r>
      <w:proofErr w:type="spellStart"/>
      <w:r>
        <w:rPr>
          <w:i/>
          <w:iCs/>
        </w:rPr>
        <w:t>hulle</w:t>
      </w:r>
      <w:proofErr w:type="spellEnd"/>
      <w:r>
        <w:rPr>
          <w:i/>
          <w:iCs/>
        </w:rPr>
        <w:t xml:space="preserve"> </w:t>
      </w:r>
      <w:proofErr w:type="spellStart"/>
      <w:r>
        <w:rPr>
          <w:i/>
          <w:iCs/>
        </w:rPr>
        <w:t>vandag</w:t>
      </w:r>
      <w:proofErr w:type="spellEnd"/>
      <w:r>
        <w:rPr>
          <w:i/>
          <w:iCs/>
        </w:rPr>
        <w:t xml:space="preserve"> die </w:t>
      </w:r>
      <w:proofErr w:type="spellStart"/>
      <w:r>
        <w:rPr>
          <w:i/>
          <w:iCs/>
        </w:rPr>
        <w:t>saak</w:t>
      </w:r>
      <w:proofErr w:type="spellEnd"/>
      <w:r>
        <w:rPr>
          <w:i/>
          <w:iCs/>
        </w:rPr>
        <w:t xml:space="preserve"> </w:t>
      </w:r>
      <w:proofErr w:type="spellStart"/>
      <w:r>
        <w:rPr>
          <w:i/>
          <w:iCs/>
        </w:rPr>
        <w:t>terugtrek</w:t>
      </w:r>
      <w:proofErr w:type="spellEnd"/>
      <w:r>
        <w:rPr>
          <w:i/>
          <w:iCs/>
        </w:rPr>
        <w:t xml:space="preserve">. </w:t>
      </w:r>
      <w:proofErr w:type="spellStart"/>
      <w:r>
        <w:rPr>
          <w:i/>
          <w:iCs/>
        </w:rPr>
        <w:t>Ek</w:t>
      </w:r>
      <w:proofErr w:type="spellEnd"/>
      <w:r>
        <w:rPr>
          <w:i/>
          <w:iCs/>
        </w:rPr>
        <w:t xml:space="preserve"> </w:t>
      </w:r>
      <w:proofErr w:type="spellStart"/>
      <w:r>
        <w:rPr>
          <w:i/>
          <w:iCs/>
        </w:rPr>
        <w:t>gaan</w:t>
      </w:r>
      <w:proofErr w:type="spellEnd"/>
      <w:r>
        <w:rPr>
          <w:i/>
          <w:iCs/>
        </w:rPr>
        <w:t xml:space="preserve"> </w:t>
      </w:r>
      <w:proofErr w:type="spellStart"/>
      <w:r>
        <w:rPr>
          <w:i/>
          <w:iCs/>
        </w:rPr>
        <w:t>nie</w:t>
      </w:r>
      <w:proofErr w:type="spellEnd"/>
      <w:r>
        <w:rPr>
          <w:i/>
          <w:iCs/>
        </w:rPr>
        <w:t xml:space="preserve"> advocate op standby </w:t>
      </w:r>
      <w:proofErr w:type="spellStart"/>
      <w:r>
        <w:rPr>
          <w:i/>
          <w:iCs/>
        </w:rPr>
        <w:t>hou</w:t>
      </w:r>
      <w:proofErr w:type="spellEnd"/>
      <w:r>
        <w:rPr>
          <w:i/>
          <w:iCs/>
        </w:rPr>
        <w:t xml:space="preserve"> </w:t>
      </w:r>
      <w:proofErr w:type="spellStart"/>
      <w:r>
        <w:rPr>
          <w:i/>
          <w:iCs/>
        </w:rPr>
        <w:t>nie</w:t>
      </w:r>
      <w:proofErr w:type="spellEnd"/>
      <w:r>
        <w:rPr>
          <w:i/>
          <w:iCs/>
        </w:rPr>
        <w:t xml:space="preserve"> – </w:t>
      </w:r>
      <w:proofErr w:type="spellStart"/>
      <w:r w:rsidR="00A3200D">
        <w:rPr>
          <w:i/>
          <w:iCs/>
        </w:rPr>
        <w:t>D</w:t>
      </w:r>
      <w:r>
        <w:rPr>
          <w:i/>
          <w:iCs/>
        </w:rPr>
        <w:t>it</w:t>
      </w:r>
      <w:proofErr w:type="spellEnd"/>
      <w:r>
        <w:rPr>
          <w:i/>
          <w:iCs/>
        </w:rPr>
        <w:t xml:space="preserve"> is </w:t>
      </w:r>
      <w:proofErr w:type="spellStart"/>
      <w:r>
        <w:rPr>
          <w:i/>
          <w:iCs/>
        </w:rPr>
        <w:lastRenderedPageBreak/>
        <w:t>belangrik</w:t>
      </w:r>
      <w:proofErr w:type="spellEnd"/>
      <w:r>
        <w:rPr>
          <w:i/>
          <w:iCs/>
        </w:rPr>
        <w:t xml:space="preserve"> </w:t>
      </w:r>
      <w:proofErr w:type="spellStart"/>
      <w:r>
        <w:rPr>
          <w:i/>
          <w:iCs/>
        </w:rPr>
        <w:t>dat</w:t>
      </w:r>
      <w:proofErr w:type="spellEnd"/>
      <w:r>
        <w:rPr>
          <w:i/>
          <w:iCs/>
        </w:rPr>
        <w:t xml:space="preserve"> </w:t>
      </w:r>
      <w:proofErr w:type="spellStart"/>
      <w:r>
        <w:rPr>
          <w:i/>
          <w:iCs/>
        </w:rPr>
        <w:t>sy</w:t>
      </w:r>
      <w:proofErr w:type="spellEnd"/>
      <w:r>
        <w:rPr>
          <w:i/>
          <w:iCs/>
        </w:rPr>
        <w:t xml:space="preserve"> </w:t>
      </w:r>
      <w:proofErr w:type="spellStart"/>
      <w:r>
        <w:rPr>
          <w:i/>
          <w:iCs/>
        </w:rPr>
        <w:t>bevestig</w:t>
      </w:r>
      <w:proofErr w:type="spellEnd"/>
      <w:r>
        <w:rPr>
          <w:i/>
          <w:iCs/>
        </w:rPr>
        <w:t xml:space="preserve"> </w:t>
      </w:r>
      <w:proofErr w:type="spellStart"/>
      <w:r>
        <w:rPr>
          <w:i/>
          <w:iCs/>
        </w:rPr>
        <w:t>julle</w:t>
      </w:r>
      <w:proofErr w:type="spellEnd"/>
      <w:r>
        <w:rPr>
          <w:i/>
          <w:iCs/>
        </w:rPr>
        <w:t xml:space="preserve"> </w:t>
      </w:r>
      <w:proofErr w:type="spellStart"/>
      <w:r>
        <w:rPr>
          <w:i/>
          <w:iCs/>
        </w:rPr>
        <w:t>aanvaar</w:t>
      </w:r>
      <w:proofErr w:type="spellEnd"/>
      <w:r>
        <w:rPr>
          <w:i/>
          <w:iCs/>
        </w:rPr>
        <w:t xml:space="preserve"> die </w:t>
      </w:r>
      <w:proofErr w:type="spellStart"/>
      <w:r>
        <w:rPr>
          <w:i/>
          <w:iCs/>
        </w:rPr>
        <w:t>skking</w:t>
      </w:r>
      <w:proofErr w:type="spellEnd"/>
      <w:r w:rsidR="00A3200D">
        <w:rPr>
          <w:i/>
          <w:iCs/>
        </w:rPr>
        <w:t xml:space="preserve"> (sic)</w:t>
      </w:r>
      <w:r>
        <w:rPr>
          <w:i/>
          <w:iCs/>
        </w:rPr>
        <w:t xml:space="preserve"> – maar </w:t>
      </w:r>
      <w:proofErr w:type="spellStart"/>
      <w:r>
        <w:rPr>
          <w:i/>
          <w:iCs/>
        </w:rPr>
        <w:t>asb</w:t>
      </w:r>
      <w:proofErr w:type="spellEnd"/>
      <w:r>
        <w:rPr>
          <w:i/>
          <w:iCs/>
        </w:rPr>
        <w:t xml:space="preserve"> </w:t>
      </w:r>
      <w:proofErr w:type="spellStart"/>
      <w:r>
        <w:rPr>
          <w:i/>
          <w:iCs/>
        </w:rPr>
        <w:t>sy</w:t>
      </w:r>
      <w:proofErr w:type="spellEnd"/>
      <w:r>
        <w:rPr>
          <w:i/>
          <w:iCs/>
        </w:rPr>
        <w:t xml:space="preserve"> </w:t>
      </w:r>
      <w:proofErr w:type="spellStart"/>
      <w:r>
        <w:rPr>
          <w:i/>
          <w:iCs/>
        </w:rPr>
        <w:t>moet</w:t>
      </w:r>
      <w:proofErr w:type="spellEnd"/>
      <w:r>
        <w:rPr>
          <w:i/>
          <w:iCs/>
        </w:rPr>
        <w:t xml:space="preserve"> </w:t>
      </w:r>
      <w:proofErr w:type="spellStart"/>
      <w:r>
        <w:rPr>
          <w:i/>
          <w:iCs/>
        </w:rPr>
        <w:t>niks</w:t>
      </w:r>
      <w:proofErr w:type="spellEnd"/>
      <w:r>
        <w:rPr>
          <w:i/>
          <w:iCs/>
        </w:rPr>
        <w:t xml:space="preserve"> </w:t>
      </w:r>
      <w:proofErr w:type="spellStart"/>
      <w:r>
        <w:rPr>
          <w:i/>
          <w:iCs/>
        </w:rPr>
        <w:t>oor</w:t>
      </w:r>
      <w:proofErr w:type="spellEnd"/>
      <w:r>
        <w:rPr>
          <w:i/>
          <w:iCs/>
        </w:rPr>
        <w:t xml:space="preserve"> </w:t>
      </w:r>
      <w:proofErr w:type="spellStart"/>
      <w:proofErr w:type="gramStart"/>
      <w:r>
        <w:rPr>
          <w:i/>
          <w:iCs/>
        </w:rPr>
        <w:t>recource</w:t>
      </w:r>
      <w:proofErr w:type="spellEnd"/>
      <w:r w:rsidR="00C46806">
        <w:rPr>
          <w:i/>
          <w:iCs/>
        </w:rPr>
        <w:t>(</w:t>
      </w:r>
      <w:proofErr w:type="gramEnd"/>
      <w:r w:rsidR="00C46806">
        <w:rPr>
          <w:i/>
          <w:iCs/>
        </w:rPr>
        <w:t>sic)</w:t>
      </w:r>
      <w:r>
        <w:rPr>
          <w:i/>
          <w:iCs/>
        </w:rPr>
        <w:t xml:space="preserve"> </w:t>
      </w:r>
      <w:proofErr w:type="spellStart"/>
      <w:r>
        <w:rPr>
          <w:i/>
          <w:iCs/>
        </w:rPr>
        <w:t>praat</w:t>
      </w:r>
      <w:proofErr w:type="spellEnd"/>
      <w:r>
        <w:rPr>
          <w:i/>
          <w:iCs/>
        </w:rPr>
        <w:t xml:space="preserve"> </w:t>
      </w:r>
      <w:proofErr w:type="spellStart"/>
      <w:r>
        <w:rPr>
          <w:i/>
          <w:iCs/>
        </w:rPr>
        <w:t>nie</w:t>
      </w:r>
      <w:proofErr w:type="spellEnd"/>
      <w:r>
        <w:rPr>
          <w:i/>
          <w:iCs/>
        </w:rPr>
        <w:t xml:space="preserve">. </w:t>
      </w:r>
      <w:proofErr w:type="spellStart"/>
      <w:proofErr w:type="gramStart"/>
      <w:r w:rsidR="00A3200D">
        <w:rPr>
          <w:i/>
          <w:iCs/>
        </w:rPr>
        <w:t>k</w:t>
      </w:r>
      <w:r>
        <w:rPr>
          <w:i/>
          <w:iCs/>
        </w:rPr>
        <w:t>am</w:t>
      </w:r>
      <w:proofErr w:type="spellEnd"/>
      <w:proofErr w:type="gramEnd"/>
      <w:r>
        <w:rPr>
          <w:i/>
          <w:iCs/>
        </w:rPr>
        <w:t xml:space="preserve"> </w:t>
      </w:r>
      <w:r>
        <w:t xml:space="preserve">(sic) </w:t>
      </w:r>
      <w:proofErr w:type="spellStart"/>
      <w:r>
        <w:rPr>
          <w:i/>
          <w:iCs/>
        </w:rPr>
        <w:t>jy</w:t>
      </w:r>
      <w:proofErr w:type="spellEnd"/>
      <w:r>
        <w:rPr>
          <w:i/>
          <w:iCs/>
        </w:rPr>
        <w:t xml:space="preserve"> help </w:t>
      </w:r>
      <w:proofErr w:type="spellStart"/>
      <w:r>
        <w:rPr>
          <w:i/>
          <w:iCs/>
        </w:rPr>
        <w:t>dat</w:t>
      </w:r>
      <w:proofErr w:type="spellEnd"/>
      <w:r>
        <w:rPr>
          <w:i/>
          <w:iCs/>
        </w:rPr>
        <w:t xml:space="preserve"> </w:t>
      </w:r>
      <w:proofErr w:type="spellStart"/>
      <w:r>
        <w:rPr>
          <w:i/>
          <w:iCs/>
        </w:rPr>
        <w:t>dit</w:t>
      </w:r>
      <w:proofErr w:type="spellEnd"/>
      <w:r>
        <w:rPr>
          <w:i/>
          <w:iCs/>
        </w:rPr>
        <w:t xml:space="preserve"> </w:t>
      </w:r>
      <w:proofErr w:type="spellStart"/>
      <w:r>
        <w:rPr>
          <w:i/>
          <w:iCs/>
        </w:rPr>
        <w:t>vandag</w:t>
      </w:r>
      <w:proofErr w:type="spellEnd"/>
      <w:r>
        <w:rPr>
          <w:i/>
          <w:iCs/>
        </w:rPr>
        <w:t xml:space="preserve"> </w:t>
      </w:r>
      <w:proofErr w:type="spellStart"/>
      <w:r>
        <w:rPr>
          <w:i/>
          <w:iCs/>
        </w:rPr>
        <w:t>nog</w:t>
      </w:r>
      <w:proofErr w:type="spellEnd"/>
      <w:r>
        <w:rPr>
          <w:i/>
          <w:iCs/>
        </w:rPr>
        <w:t xml:space="preserve"> </w:t>
      </w:r>
      <w:proofErr w:type="spellStart"/>
      <w:r>
        <w:rPr>
          <w:i/>
          <w:iCs/>
        </w:rPr>
        <w:t>gebeur</w:t>
      </w:r>
      <w:proofErr w:type="spellEnd"/>
      <w:r>
        <w:rPr>
          <w:i/>
          <w:iCs/>
        </w:rPr>
        <w:t>.”</w:t>
      </w:r>
      <w:r w:rsidR="00A3200D">
        <w:rPr>
          <w:rStyle w:val="FootnoteReference"/>
          <w:i/>
          <w:iCs/>
        </w:rPr>
        <w:footnoteReference w:id="29"/>
      </w:r>
    </w:p>
    <w:p w14:paraId="48D19084" w14:textId="39D58758" w:rsidR="0067473D" w:rsidRDefault="009074E3" w:rsidP="009074E3">
      <w:pPr>
        <w:pStyle w:val="Heading1"/>
        <w:numPr>
          <w:ilvl w:val="0"/>
          <w:numId w:val="0"/>
        </w:numPr>
        <w:tabs>
          <w:tab w:val="left" w:pos="862"/>
        </w:tabs>
        <w:ind w:left="862" w:hanging="862"/>
      </w:pPr>
      <w:r>
        <w:t>[52]</w:t>
      </w:r>
      <w:r>
        <w:tab/>
      </w:r>
      <w:r w:rsidR="006E1EB4">
        <w:t xml:space="preserve">This </w:t>
      </w:r>
      <w:proofErr w:type="spellStart"/>
      <w:r w:rsidR="00B10C99">
        <w:t>WhatsApp</w:t>
      </w:r>
      <w:proofErr w:type="spellEnd"/>
      <w:r w:rsidR="00A156F5">
        <w:t>, as stated above,</w:t>
      </w:r>
      <w:r w:rsidR="006E1EB4">
        <w:t xml:space="preserve"> contradicts </w:t>
      </w:r>
      <w:proofErr w:type="spellStart"/>
      <w:r w:rsidR="006E1EB4">
        <w:t>Bihl’s</w:t>
      </w:r>
      <w:proofErr w:type="spellEnd"/>
      <w:r w:rsidR="006E1EB4">
        <w:t xml:space="preserve"> version that the application has been settled. </w:t>
      </w:r>
      <w:proofErr w:type="spellStart"/>
      <w:r w:rsidR="0067473D">
        <w:t>Bihl</w:t>
      </w:r>
      <w:proofErr w:type="spellEnd"/>
      <w:r w:rsidR="0067473D">
        <w:t xml:space="preserve"> </w:t>
      </w:r>
      <w:r w:rsidR="006300A0">
        <w:t xml:space="preserve">does not </w:t>
      </w:r>
      <w:r w:rsidR="006E1EB4">
        <w:t xml:space="preserve">refute </w:t>
      </w:r>
      <w:r w:rsidR="0067473D">
        <w:t xml:space="preserve">this </w:t>
      </w:r>
      <w:proofErr w:type="spellStart"/>
      <w:r w:rsidR="0067473D">
        <w:t>WhatsApp</w:t>
      </w:r>
      <w:proofErr w:type="spellEnd"/>
      <w:r w:rsidR="0067473D">
        <w:t xml:space="preserve"> or take any issue with the </w:t>
      </w:r>
      <w:proofErr w:type="spellStart"/>
      <w:r w:rsidR="00B10C99">
        <w:t>WhatsApp</w:t>
      </w:r>
      <w:proofErr w:type="spellEnd"/>
      <w:r w:rsidR="0067473D">
        <w:t xml:space="preserve"> in which he is mentioned. </w:t>
      </w:r>
      <w:r w:rsidR="00A156F5">
        <w:t xml:space="preserve">On 31 October 2022, </w:t>
      </w:r>
      <w:r w:rsidR="006300A0">
        <w:t xml:space="preserve">Venter </w:t>
      </w:r>
      <w:r w:rsidR="00B10C99">
        <w:t>said</w:t>
      </w:r>
      <w:r w:rsidR="006300A0">
        <w:t xml:space="preserve"> </w:t>
      </w:r>
      <w:r w:rsidR="006E1EB4">
        <w:t>unequivocally</w:t>
      </w:r>
      <w:r w:rsidR="00A156F5">
        <w:t xml:space="preserve"> </w:t>
      </w:r>
      <w:r w:rsidR="006E1EB4">
        <w:t xml:space="preserve">that </w:t>
      </w:r>
      <w:r w:rsidR="006300A0">
        <w:t xml:space="preserve">he understands that </w:t>
      </w:r>
      <w:proofErr w:type="spellStart"/>
      <w:r w:rsidR="006300A0">
        <w:t>Bihl</w:t>
      </w:r>
      <w:proofErr w:type="spellEnd"/>
      <w:r w:rsidR="006300A0">
        <w:t xml:space="preserve"> is waiting for a response to a potential settlement. </w:t>
      </w:r>
      <w:r w:rsidR="0067473D">
        <w:t>De Nil, as set out in his affidavit, responds,</w:t>
      </w:r>
      <w:r w:rsidR="00A156F5">
        <w:t xml:space="preserve"> </w:t>
      </w:r>
      <w:r w:rsidR="0067473D">
        <w:t xml:space="preserve">as expected, that </w:t>
      </w:r>
      <w:proofErr w:type="spellStart"/>
      <w:r w:rsidR="006300A0">
        <w:t>Bihl</w:t>
      </w:r>
      <w:proofErr w:type="spellEnd"/>
      <w:r w:rsidR="006300A0">
        <w:t xml:space="preserve"> </w:t>
      </w:r>
      <w:r w:rsidR="0067473D">
        <w:t xml:space="preserve">needs to meet with his attorney </w:t>
      </w:r>
      <w:proofErr w:type="spellStart"/>
      <w:r w:rsidR="0067473D">
        <w:t>Oshy</w:t>
      </w:r>
      <w:proofErr w:type="spellEnd"/>
      <w:r w:rsidR="0067473D">
        <w:t xml:space="preserve">, referring to </w:t>
      </w:r>
      <w:proofErr w:type="spellStart"/>
      <w:r w:rsidR="0067473D">
        <w:t>Tugendhaft</w:t>
      </w:r>
      <w:proofErr w:type="spellEnd"/>
      <w:r w:rsidR="006300A0">
        <w:t>,</w:t>
      </w:r>
      <w:r w:rsidR="0067473D">
        <w:t xml:space="preserve"> that afternoon and that he would let Venter know in due course.</w:t>
      </w:r>
    </w:p>
    <w:p w14:paraId="2AA2068D" w14:textId="0D881D37" w:rsidR="0067473D" w:rsidRDefault="009074E3" w:rsidP="009074E3">
      <w:pPr>
        <w:pStyle w:val="Heading1"/>
        <w:numPr>
          <w:ilvl w:val="0"/>
          <w:numId w:val="0"/>
        </w:numPr>
        <w:tabs>
          <w:tab w:val="left" w:pos="862"/>
        </w:tabs>
        <w:ind w:left="862" w:hanging="862"/>
      </w:pPr>
      <w:r>
        <w:t>[53]</w:t>
      </w:r>
      <w:r>
        <w:tab/>
      </w:r>
      <w:r w:rsidR="0067473D">
        <w:t xml:space="preserve"> In response Venter immediately confirmed:</w:t>
      </w:r>
    </w:p>
    <w:p w14:paraId="24E20699" w14:textId="7D61EC0D" w:rsidR="0067473D" w:rsidRDefault="0067473D" w:rsidP="0067473D">
      <w:pPr>
        <w:rPr>
          <w:i/>
          <w:iCs/>
        </w:rPr>
      </w:pPr>
      <w:r>
        <w:tab/>
      </w:r>
      <w:r>
        <w:tab/>
      </w:r>
      <w:r>
        <w:rPr>
          <w:i/>
          <w:iCs/>
        </w:rPr>
        <w:t>“22</w:t>
      </w:r>
      <w:r w:rsidR="006300A0">
        <w:rPr>
          <w:i/>
          <w:iCs/>
        </w:rPr>
        <w:t>/</w:t>
      </w:r>
      <w:r>
        <w:rPr>
          <w:i/>
          <w:iCs/>
        </w:rPr>
        <w:t>10</w:t>
      </w:r>
      <w:r w:rsidR="006300A0">
        <w:rPr>
          <w:i/>
          <w:iCs/>
        </w:rPr>
        <w:t>/</w:t>
      </w:r>
      <w:r>
        <w:rPr>
          <w:i/>
          <w:iCs/>
        </w:rPr>
        <w:t>31, 09:41 – Jan Venter:</w:t>
      </w:r>
    </w:p>
    <w:p w14:paraId="0E23D7FA" w14:textId="173DD658" w:rsidR="0067473D" w:rsidRDefault="0067473D" w:rsidP="0067473D">
      <w:pPr>
        <w:ind w:left="1871" w:hanging="1871"/>
        <w:rPr>
          <w:i/>
          <w:iCs/>
        </w:rPr>
      </w:pPr>
      <w:r>
        <w:rPr>
          <w:i/>
          <w:iCs/>
        </w:rPr>
        <w:tab/>
      </w:r>
      <w:r>
        <w:rPr>
          <w:i/>
          <w:iCs/>
        </w:rPr>
        <w:tab/>
        <w:t xml:space="preserve">Hi Jan.  </w:t>
      </w:r>
      <w:r w:rsidRPr="00FA13A5">
        <w:t>(I am told this means that he is saying Jan here)</w:t>
      </w:r>
      <w:r>
        <w:rPr>
          <w:i/>
          <w:iCs/>
        </w:rPr>
        <w:t xml:space="preserve">.  </w:t>
      </w:r>
      <w:proofErr w:type="spellStart"/>
      <w:r>
        <w:rPr>
          <w:i/>
          <w:iCs/>
        </w:rPr>
        <w:t>Daar</w:t>
      </w:r>
      <w:proofErr w:type="spellEnd"/>
      <w:r>
        <w:rPr>
          <w:i/>
          <w:iCs/>
        </w:rPr>
        <w:t xml:space="preserve"> is </w:t>
      </w:r>
      <w:proofErr w:type="spellStart"/>
      <w:r>
        <w:rPr>
          <w:i/>
          <w:iCs/>
        </w:rPr>
        <w:t>nog</w:t>
      </w:r>
      <w:proofErr w:type="spellEnd"/>
      <w:r>
        <w:rPr>
          <w:i/>
          <w:iCs/>
        </w:rPr>
        <w:t xml:space="preserve"> </w:t>
      </w:r>
      <w:proofErr w:type="gramStart"/>
      <w:r>
        <w:rPr>
          <w:i/>
          <w:iCs/>
        </w:rPr>
        <w:t>steeds</w:t>
      </w:r>
      <w:proofErr w:type="gramEnd"/>
      <w:r>
        <w:rPr>
          <w:i/>
          <w:iCs/>
        </w:rPr>
        <w:t xml:space="preserve"> </w:t>
      </w:r>
      <w:proofErr w:type="spellStart"/>
      <w:r>
        <w:rPr>
          <w:i/>
          <w:iCs/>
        </w:rPr>
        <w:t>niks</w:t>
      </w:r>
      <w:proofErr w:type="spellEnd"/>
      <w:r>
        <w:rPr>
          <w:i/>
          <w:iCs/>
        </w:rPr>
        <w:t xml:space="preserve"> </w:t>
      </w:r>
      <w:proofErr w:type="spellStart"/>
      <w:r>
        <w:rPr>
          <w:i/>
          <w:iCs/>
        </w:rPr>
        <w:t>formeel</w:t>
      </w:r>
      <w:proofErr w:type="spellEnd"/>
      <w:r>
        <w:rPr>
          <w:i/>
          <w:iCs/>
        </w:rPr>
        <w:t xml:space="preserve"> / </w:t>
      </w:r>
      <w:proofErr w:type="spellStart"/>
      <w:r>
        <w:rPr>
          <w:i/>
          <w:iCs/>
        </w:rPr>
        <w:t>opskrif</w:t>
      </w:r>
      <w:proofErr w:type="spellEnd"/>
      <w:r>
        <w:rPr>
          <w:i/>
          <w:iCs/>
        </w:rPr>
        <w:t xml:space="preserve"> </w:t>
      </w:r>
      <w:proofErr w:type="spellStart"/>
      <w:r>
        <w:rPr>
          <w:i/>
          <w:iCs/>
        </w:rPr>
        <w:t>dat</w:t>
      </w:r>
      <w:proofErr w:type="spellEnd"/>
      <w:r>
        <w:rPr>
          <w:i/>
          <w:iCs/>
        </w:rPr>
        <w:t xml:space="preserve"> die </w:t>
      </w:r>
      <w:proofErr w:type="spellStart"/>
      <w:r>
        <w:rPr>
          <w:i/>
          <w:iCs/>
        </w:rPr>
        <w:t>saak</w:t>
      </w:r>
      <w:proofErr w:type="spellEnd"/>
      <w:r>
        <w:rPr>
          <w:i/>
          <w:iCs/>
        </w:rPr>
        <w:t xml:space="preserve"> </w:t>
      </w:r>
      <w:proofErr w:type="spellStart"/>
      <w:r>
        <w:rPr>
          <w:i/>
          <w:iCs/>
        </w:rPr>
        <w:t>nie</w:t>
      </w:r>
      <w:proofErr w:type="spellEnd"/>
      <w:r>
        <w:rPr>
          <w:i/>
          <w:iCs/>
        </w:rPr>
        <w:t xml:space="preserve"> </w:t>
      </w:r>
      <w:proofErr w:type="spellStart"/>
      <w:r>
        <w:rPr>
          <w:i/>
          <w:iCs/>
        </w:rPr>
        <w:t>Maandag</w:t>
      </w:r>
      <w:proofErr w:type="spellEnd"/>
      <w:r>
        <w:rPr>
          <w:i/>
          <w:iCs/>
        </w:rPr>
        <w:t xml:space="preserve"> </w:t>
      </w:r>
      <w:proofErr w:type="spellStart"/>
      <w:r>
        <w:rPr>
          <w:i/>
          <w:iCs/>
        </w:rPr>
        <w:t>aangaan</w:t>
      </w:r>
      <w:proofErr w:type="spellEnd"/>
      <w:r>
        <w:rPr>
          <w:i/>
          <w:iCs/>
        </w:rPr>
        <w:t xml:space="preserve"> </w:t>
      </w:r>
      <w:proofErr w:type="spellStart"/>
      <w:r>
        <w:rPr>
          <w:i/>
          <w:iCs/>
        </w:rPr>
        <w:t>nie</w:t>
      </w:r>
      <w:proofErr w:type="spellEnd"/>
      <w:r>
        <w:rPr>
          <w:i/>
          <w:iCs/>
        </w:rPr>
        <w:t xml:space="preserve">.  </w:t>
      </w:r>
      <w:proofErr w:type="spellStart"/>
      <w:r>
        <w:rPr>
          <w:i/>
          <w:iCs/>
        </w:rPr>
        <w:t>Anabela</w:t>
      </w:r>
      <w:proofErr w:type="spellEnd"/>
      <w:r>
        <w:rPr>
          <w:i/>
          <w:iCs/>
        </w:rPr>
        <w:t xml:space="preserve"> </w:t>
      </w:r>
      <w:proofErr w:type="spellStart"/>
      <w:r>
        <w:rPr>
          <w:i/>
          <w:iCs/>
        </w:rPr>
        <w:t>antwoord</w:t>
      </w:r>
      <w:proofErr w:type="spellEnd"/>
      <w:r>
        <w:rPr>
          <w:i/>
          <w:iCs/>
        </w:rPr>
        <w:t xml:space="preserve"> </w:t>
      </w:r>
      <w:proofErr w:type="spellStart"/>
      <w:r>
        <w:rPr>
          <w:i/>
          <w:iCs/>
        </w:rPr>
        <w:t>nie</w:t>
      </w:r>
      <w:proofErr w:type="spellEnd"/>
      <w:r>
        <w:rPr>
          <w:i/>
          <w:iCs/>
        </w:rPr>
        <w:t xml:space="preserve"> my </w:t>
      </w:r>
      <w:proofErr w:type="spellStart"/>
      <w:r>
        <w:rPr>
          <w:i/>
          <w:iCs/>
        </w:rPr>
        <w:t>oproepe</w:t>
      </w:r>
      <w:proofErr w:type="spellEnd"/>
      <w:r>
        <w:rPr>
          <w:i/>
          <w:iCs/>
        </w:rPr>
        <w:t xml:space="preserve"> </w:t>
      </w:r>
      <w:proofErr w:type="spellStart"/>
      <w:r>
        <w:rPr>
          <w:i/>
          <w:iCs/>
        </w:rPr>
        <w:t>nie</w:t>
      </w:r>
      <w:proofErr w:type="spellEnd"/>
      <w:r>
        <w:rPr>
          <w:i/>
          <w:iCs/>
        </w:rPr>
        <w:t xml:space="preserve"> en Emil </w:t>
      </w:r>
      <w:proofErr w:type="spellStart"/>
      <w:r>
        <w:rPr>
          <w:i/>
          <w:iCs/>
        </w:rPr>
        <w:t>s</w:t>
      </w:r>
      <w:r>
        <w:rPr>
          <w:rFonts w:cs="Arial"/>
          <w:i/>
          <w:iCs/>
        </w:rPr>
        <w:t>ê</w:t>
      </w:r>
      <w:proofErr w:type="spellEnd"/>
      <w:r>
        <w:rPr>
          <w:i/>
          <w:iCs/>
        </w:rPr>
        <w:t xml:space="preserve"> </w:t>
      </w:r>
      <w:proofErr w:type="spellStart"/>
      <w:r>
        <w:rPr>
          <w:i/>
          <w:iCs/>
        </w:rPr>
        <w:t>hy</w:t>
      </w:r>
      <w:proofErr w:type="spellEnd"/>
      <w:r>
        <w:rPr>
          <w:i/>
          <w:iCs/>
        </w:rPr>
        <w:t xml:space="preserve"> wag </w:t>
      </w:r>
      <w:proofErr w:type="spellStart"/>
      <w:proofErr w:type="gramStart"/>
      <w:r>
        <w:rPr>
          <w:i/>
          <w:iCs/>
        </w:rPr>
        <w:t>om</w:t>
      </w:r>
      <w:proofErr w:type="spellEnd"/>
      <w:proofErr w:type="gramEnd"/>
      <w:r>
        <w:rPr>
          <w:i/>
          <w:iCs/>
        </w:rPr>
        <w:t xml:space="preserve"> </w:t>
      </w:r>
      <w:proofErr w:type="spellStart"/>
      <w:r>
        <w:rPr>
          <w:i/>
          <w:iCs/>
        </w:rPr>
        <w:t>te</w:t>
      </w:r>
      <w:proofErr w:type="spellEnd"/>
      <w:r>
        <w:rPr>
          <w:i/>
          <w:iCs/>
        </w:rPr>
        <w:t xml:space="preserve"> </w:t>
      </w:r>
      <w:proofErr w:type="spellStart"/>
      <w:r>
        <w:rPr>
          <w:i/>
          <w:iCs/>
        </w:rPr>
        <w:t>hoor</w:t>
      </w:r>
      <w:proofErr w:type="spellEnd"/>
      <w:r>
        <w:rPr>
          <w:i/>
          <w:iCs/>
        </w:rPr>
        <w:t xml:space="preserve"> of </w:t>
      </w:r>
      <w:proofErr w:type="spellStart"/>
      <w:r>
        <w:rPr>
          <w:i/>
          <w:iCs/>
        </w:rPr>
        <w:t>Astfin</w:t>
      </w:r>
      <w:proofErr w:type="spellEnd"/>
      <w:r>
        <w:rPr>
          <w:i/>
          <w:iCs/>
        </w:rPr>
        <w:t xml:space="preserve"> die </w:t>
      </w:r>
      <w:proofErr w:type="spellStart"/>
      <w:r>
        <w:rPr>
          <w:i/>
          <w:iCs/>
        </w:rPr>
        <w:t>skikking</w:t>
      </w:r>
      <w:proofErr w:type="spellEnd"/>
      <w:r>
        <w:rPr>
          <w:i/>
          <w:iCs/>
        </w:rPr>
        <w:t xml:space="preserve"> </w:t>
      </w:r>
      <w:proofErr w:type="spellStart"/>
      <w:r>
        <w:rPr>
          <w:i/>
          <w:iCs/>
        </w:rPr>
        <w:t>aanvaar</w:t>
      </w:r>
      <w:proofErr w:type="spellEnd"/>
      <w:r>
        <w:rPr>
          <w:i/>
          <w:iCs/>
        </w:rPr>
        <w:t xml:space="preserve">.  </w:t>
      </w:r>
      <w:proofErr w:type="spellStart"/>
      <w:r>
        <w:rPr>
          <w:i/>
          <w:iCs/>
        </w:rPr>
        <w:t>Ek</w:t>
      </w:r>
      <w:proofErr w:type="spellEnd"/>
      <w:r>
        <w:rPr>
          <w:i/>
          <w:iCs/>
        </w:rPr>
        <w:t xml:space="preserve"> </w:t>
      </w:r>
      <w:proofErr w:type="spellStart"/>
      <w:r>
        <w:rPr>
          <w:i/>
          <w:iCs/>
        </w:rPr>
        <w:t>raak</w:t>
      </w:r>
      <w:proofErr w:type="spellEnd"/>
      <w:r>
        <w:rPr>
          <w:i/>
          <w:iCs/>
        </w:rPr>
        <w:t xml:space="preserve"> </w:t>
      </w:r>
      <w:proofErr w:type="spellStart"/>
      <w:r>
        <w:rPr>
          <w:i/>
          <w:iCs/>
        </w:rPr>
        <w:t>bekommerd</w:t>
      </w:r>
      <w:proofErr w:type="spellEnd"/>
      <w:r>
        <w:rPr>
          <w:i/>
          <w:iCs/>
        </w:rPr>
        <w:t xml:space="preserve"> </w:t>
      </w:r>
      <w:proofErr w:type="spellStart"/>
      <w:r>
        <w:rPr>
          <w:i/>
          <w:iCs/>
        </w:rPr>
        <w:t>dat</w:t>
      </w:r>
      <w:proofErr w:type="spellEnd"/>
      <w:r>
        <w:rPr>
          <w:i/>
          <w:iCs/>
        </w:rPr>
        <w:t xml:space="preserve"> </w:t>
      </w:r>
      <w:proofErr w:type="spellStart"/>
      <w:r>
        <w:rPr>
          <w:i/>
          <w:iCs/>
        </w:rPr>
        <w:t>Astfin</w:t>
      </w:r>
      <w:proofErr w:type="spellEnd"/>
      <w:r>
        <w:rPr>
          <w:i/>
          <w:iCs/>
        </w:rPr>
        <w:t xml:space="preserve"> </w:t>
      </w:r>
      <w:proofErr w:type="spellStart"/>
      <w:r>
        <w:rPr>
          <w:i/>
          <w:iCs/>
        </w:rPr>
        <w:t>wel</w:t>
      </w:r>
      <w:proofErr w:type="spellEnd"/>
      <w:r>
        <w:rPr>
          <w:i/>
          <w:iCs/>
        </w:rPr>
        <w:t xml:space="preserve"> </w:t>
      </w:r>
      <w:proofErr w:type="spellStart"/>
      <w:r>
        <w:rPr>
          <w:i/>
          <w:iCs/>
        </w:rPr>
        <w:t>wil</w:t>
      </w:r>
      <w:proofErr w:type="spellEnd"/>
      <w:r>
        <w:rPr>
          <w:i/>
          <w:iCs/>
        </w:rPr>
        <w:t xml:space="preserve"> </w:t>
      </w:r>
      <w:proofErr w:type="spellStart"/>
      <w:r>
        <w:rPr>
          <w:i/>
          <w:iCs/>
        </w:rPr>
        <w:t>voortgaan</w:t>
      </w:r>
      <w:proofErr w:type="spellEnd"/>
      <w:r>
        <w:rPr>
          <w:i/>
          <w:iCs/>
        </w:rPr>
        <w:t xml:space="preserve">.  </w:t>
      </w:r>
      <w:proofErr w:type="spellStart"/>
      <w:r>
        <w:rPr>
          <w:i/>
          <w:iCs/>
        </w:rPr>
        <w:t>Ek</w:t>
      </w:r>
      <w:proofErr w:type="spellEnd"/>
      <w:r>
        <w:rPr>
          <w:i/>
          <w:iCs/>
        </w:rPr>
        <w:t xml:space="preserve"> </w:t>
      </w:r>
      <w:proofErr w:type="spellStart"/>
      <w:r>
        <w:rPr>
          <w:i/>
          <w:iCs/>
        </w:rPr>
        <w:t>stel</w:t>
      </w:r>
      <w:proofErr w:type="spellEnd"/>
      <w:r>
        <w:rPr>
          <w:i/>
          <w:iCs/>
        </w:rPr>
        <w:t xml:space="preserve"> </w:t>
      </w:r>
      <w:proofErr w:type="spellStart"/>
      <w:r>
        <w:rPr>
          <w:i/>
          <w:iCs/>
        </w:rPr>
        <w:t>voor</w:t>
      </w:r>
      <w:proofErr w:type="spellEnd"/>
      <w:r>
        <w:rPr>
          <w:i/>
          <w:iCs/>
        </w:rPr>
        <w:t xml:space="preserve"> </w:t>
      </w:r>
      <w:proofErr w:type="spellStart"/>
      <w:r>
        <w:rPr>
          <w:i/>
          <w:iCs/>
        </w:rPr>
        <w:t>dat</w:t>
      </w:r>
      <w:proofErr w:type="spellEnd"/>
      <w:r>
        <w:rPr>
          <w:i/>
          <w:iCs/>
        </w:rPr>
        <w:t xml:space="preserve"> </w:t>
      </w:r>
      <w:proofErr w:type="spellStart"/>
      <w:r>
        <w:rPr>
          <w:i/>
          <w:iCs/>
        </w:rPr>
        <w:t>ek</w:t>
      </w:r>
      <w:proofErr w:type="spellEnd"/>
      <w:r>
        <w:rPr>
          <w:i/>
          <w:iCs/>
        </w:rPr>
        <w:t xml:space="preserve"> </w:t>
      </w:r>
      <w:proofErr w:type="spellStart"/>
      <w:r>
        <w:rPr>
          <w:i/>
          <w:iCs/>
        </w:rPr>
        <w:t>Sybrand</w:t>
      </w:r>
      <w:proofErr w:type="spellEnd"/>
      <w:r>
        <w:rPr>
          <w:i/>
          <w:iCs/>
        </w:rPr>
        <w:t xml:space="preserve"> </w:t>
      </w:r>
      <w:r w:rsidR="006E1EB4">
        <w:t>[</w:t>
      </w:r>
      <w:r w:rsidRPr="00FA13A5">
        <w:t>I am advised that this is the junior counsel briefed by Venter</w:t>
      </w:r>
      <w:r w:rsidR="006E1EB4">
        <w:t>]</w:t>
      </w:r>
      <w:r>
        <w:t xml:space="preserve"> </w:t>
      </w:r>
      <w:proofErr w:type="spellStart"/>
      <w:r>
        <w:rPr>
          <w:i/>
          <w:iCs/>
        </w:rPr>
        <w:t>opdrag</w:t>
      </w:r>
      <w:proofErr w:type="spellEnd"/>
      <w:r>
        <w:rPr>
          <w:i/>
          <w:iCs/>
        </w:rPr>
        <w:t xml:space="preserve"> gee </w:t>
      </w:r>
      <w:proofErr w:type="spellStart"/>
      <w:proofErr w:type="gramStart"/>
      <w:r>
        <w:rPr>
          <w:i/>
          <w:iCs/>
        </w:rPr>
        <w:t>om</w:t>
      </w:r>
      <w:proofErr w:type="spellEnd"/>
      <w:proofErr w:type="gramEnd"/>
      <w:r>
        <w:rPr>
          <w:i/>
          <w:iCs/>
        </w:rPr>
        <w:t xml:space="preserve"> </w:t>
      </w:r>
      <w:proofErr w:type="spellStart"/>
      <w:r>
        <w:rPr>
          <w:i/>
          <w:iCs/>
        </w:rPr>
        <w:t>Maandag</w:t>
      </w:r>
      <w:proofErr w:type="spellEnd"/>
      <w:r>
        <w:rPr>
          <w:i/>
          <w:iCs/>
        </w:rPr>
        <w:t xml:space="preserve"> </w:t>
      </w:r>
      <w:proofErr w:type="spellStart"/>
      <w:r>
        <w:rPr>
          <w:i/>
          <w:iCs/>
        </w:rPr>
        <w:t>beskikbaar</w:t>
      </w:r>
      <w:proofErr w:type="spellEnd"/>
      <w:r>
        <w:rPr>
          <w:i/>
          <w:iCs/>
        </w:rPr>
        <w:t xml:space="preserve"> </w:t>
      </w:r>
      <w:proofErr w:type="spellStart"/>
      <w:r>
        <w:rPr>
          <w:i/>
          <w:iCs/>
        </w:rPr>
        <w:t>te</w:t>
      </w:r>
      <w:proofErr w:type="spellEnd"/>
      <w:r>
        <w:rPr>
          <w:i/>
          <w:iCs/>
        </w:rPr>
        <w:t xml:space="preserve"> </w:t>
      </w:r>
      <w:proofErr w:type="spellStart"/>
      <w:r>
        <w:rPr>
          <w:i/>
          <w:iCs/>
        </w:rPr>
        <w:t>wees</w:t>
      </w:r>
      <w:proofErr w:type="spellEnd"/>
      <w:r>
        <w:rPr>
          <w:i/>
          <w:iCs/>
        </w:rPr>
        <w:t xml:space="preserve"> </w:t>
      </w:r>
      <w:proofErr w:type="spellStart"/>
      <w:r>
        <w:rPr>
          <w:i/>
          <w:iCs/>
        </w:rPr>
        <w:t>indien</w:t>
      </w:r>
      <w:proofErr w:type="spellEnd"/>
      <w:r>
        <w:rPr>
          <w:i/>
          <w:iCs/>
        </w:rPr>
        <w:t xml:space="preserve"> </w:t>
      </w:r>
      <w:proofErr w:type="spellStart"/>
      <w:r>
        <w:rPr>
          <w:i/>
          <w:iCs/>
        </w:rPr>
        <w:t>daar</w:t>
      </w:r>
      <w:proofErr w:type="spellEnd"/>
      <w:r>
        <w:rPr>
          <w:i/>
          <w:iCs/>
        </w:rPr>
        <w:t xml:space="preserve"> </w:t>
      </w:r>
      <w:proofErr w:type="spellStart"/>
      <w:r>
        <w:rPr>
          <w:i/>
          <w:iCs/>
        </w:rPr>
        <w:t>enige</w:t>
      </w:r>
      <w:proofErr w:type="spellEnd"/>
      <w:r>
        <w:rPr>
          <w:i/>
          <w:iCs/>
        </w:rPr>
        <w:t xml:space="preserve"> </w:t>
      </w:r>
      <w:proofErr w:type="spellStart"/>
      <w:r>
        <w:rPr>
          <w:i/>
          <w:iCs/>
        </w:rPr>
        <w:t>probleme</w:t>
      </w:r>
      <w:proofErr w:type="spellEnd"/>
      <w:r>
        <w:rPr>
          <w:i/>
          <w:iCs/>
        </w:rPr>
        <w:t xml:space="preserve"> </w:t>
      </w:r>
      <w:proofErr w:type="spellStart"/>
      <w:r>
        <w:rPr>
          <w:i/>
          <w:iCs/>
        </w:rPr>
        <w:t>opduik</w:t>
      </w:r>
      <w:proofErr w:type="spellEnd"/>
      <w:r>
        <w:rPr>
          <w:i/>
          <w:iCs/>
        </w:rPr>
        <w:t xml:space="preserve"> en/of </w:t>
      </w:r>
      <w:proofErr w:type="spellStart"/>
      <w:r>
        <w:rPr>
          <w:i/>
          <w:iCs/>
        </w:rPr>
        <w:t>ons</w:t>
      </w:r>
      <w:proofErr w:type="spellEnd"/>
      <w:r>
        <w:rPr>
          <w:i/>
          <w:iCs/>
        </w:rPr>
        <w:t xml:space="preserve"> </w:t>
      </w:r>
      <w:proofErr w:type="spellStart"/>
      <w:r>
        <w:rPr>
          <w:i/>
          <w:iCs/>
        </w:rPr>
        <w:t>dalk</w:t>
      </w:r>
      <w:proofErr w:type="spellEnd"/>
      <w:r>
        <w:rPr>
          <w:i/>
          <w:iCs/>
        </w:rPr>
        <w:t xml:space="preserve"> die Hof </w:t>
      </w:r>
      <w:proofErr w:type="spellStart"/>
      <w:r>
        <w:rPr>
          <w:i/>
          <w:iCs/>
        </w:rPr>
        <w:t>moet</w:t>
      </w:r>
      <w:proofErr w:type="spellEnd"/>
      <w:r>
        <w:rPr>
          <w:i/>
          <w:iCs/>
        </w:rPr>
        <w:t xml:space="preserve"> </w:t>
      </w:r>
      <w:proofErr w:type="spellStart"/>
      <w:r>
        <w:rPr>
          <w:i/>
          <w:iCs/>
        </w:rPr>
        <w:t>toespreek</w:t>
      </w:r>
      <w:proofErr w:type="spellEnd"/>
      <w:r>
        <w:rPr>
          <w:i/>
          <w:iCs/>
        </w:rPr>
        <w:t xml:space="preserve"> ten </w:t>
      </w:r>
      <w:proofErr w:type="spellStart"/>
      <w:r>
        <w:rPr>
          <w:i/>
          <w:iCs/>
        </w:rPr>
        <w:t>aansien</w:t>
      </w:r>
      <w:proofErr w:type="spellEnd"/>
      <w:r>
        <w:rPr>
          <w:i/>
          <w:iCs/>
        </w:rPr>
        <w:t xml:space="preserve"> van </w:t>
      </w:r>
      <w:proofErr w:type="spellStart"/>
      <w:r>
        <w:rPr>
          <w:i/>
          <w:iCs/>
        </w:rPr>
        <w:t>jou</w:t>
      </w:r>
      <w:proofErr w:type="spellEnd"/>
      <w:r>
        <w:rPr>
          <w:i/>
          <w:iCs/>
        </w:rPr>
        <w:t xml:space="preserve"> </w:t>
      </w:r>
      <w:proofErr w:type="spellStart"/>
      <w:r>
        <w:rPr>
          <w:i/>
          <w:iCs/>
        </w:rPr>
        <w:t>posisie</w:t>
      </w:r>
      <w:proofErr w:type="spellEnd"/>
      <w:r>
        <w:rPr>
          <w:i/>
          <w:iCs/>
        </w:rPr>
        <w:t xml:space="preserve">.  </w:t>
      </w:r>
      <w:proofErr w:type="spellStart"/>
      <w:r>
        <w:rPr>
          <w:i/>
          <w:iCs/>
        </w:rPr>
        <w:t>Dit</w:t>
      </w:r>
      <w:proofErr w:type="spellEnd"/>
      <w:r>
        <w:rPr>
          <w:i/>
          <w:iCs/>
        </w:rPr>
        <w:t xml:space="preserve"> </w:t>
      </w:r>
      <w:proofErr w:type="spellStart"/>
      <w:r>
        <w:rPr>
          <w:i/>
          <w:iCs/>
        </w:rPr>
        <w:t>sal</w:t>
      </w:r>
      <w:proofErr w:type="spellEnd"/>
      <w:r>
        <w:rPr>
          <w:i/>
          <w:iCs/>
        </w:rPr>
        <w:t xml:space="preserve"> </w:t>
      </w:r>
      <w:proofErr w:type="spellStart"/>
      <w:r>
        <w:rPr>
          <w:i/>
          <w:iCs/>
        </w:rPr>
        <w:t>egter</w:t>
      </w:r>
      <w:proofErr w:type="spellEnd"/>
      <w:r>
        <w:rPr>
          <w:i/>
          <w:iCs/>
        </w:rPr>
        <w:t xml:space="preserve"> </w:t>
      </w:r>
      <w:proofErr w:type="spellStart"/>
      <w:r>
        <w:rPr>
          <w:i/>
          <w:iCs/>
        </w:rPr>
        <w:t>sy</w:t>
      </w:r>
      <w:proofErr w:type="spellEnd"/>
      <w:r>
        <w:rPr>
          <w:i/>
          <w:iCs/>
        </w:rPr>
        <w:t xml:space="preserve"> dag </w:t>
      </w:r>
      <w:proofErr w:type="spellStart"/>
      <w:r>
        <w:rPr>
          <w:i/>
          <w:iCs/>
        </w:rPr>
        <w:t>fooi</w:t>
      </w:r>
      <w:proofErr w:type="spellEnd"/>
      <w:r>
        <w:rPr>
          <w:i/>
          <w:iCs/>
        </w:rPr>
        <w:t xml:space="preserve"> (R20 k) en </w:t>
      </w:r>
      <w:proofErr w:type="spellStart"/>
      <w:r>
        <w:rPr>
          <w:i/>
          <w:iCs/>
        </w:rPr>
        <w:t>kostes</w:t>
      </w:r>
      <w:proofErr w:type="spellEnd"/>
      <w:r>
        <w:rPr>
          <w:i/>
          <w:iCs/>
        </w:rPr>
        <w:t xml:space="preserve"> </w:t>
      </w:r>
      <w:proofErr w:type="spellStart"/>
      <w:r>
        <w:rPr>
          <w:i/>
          <w:iCs/>
        </w:rPr>
        <w:t>beloop</w:t>
      </w:r>
      <w:proofErr w:type="spellEnd"/>
      <w:r>
        <w:rPr>
          <w:i/>
          <w:iCs/>
        </w:rPr>
        <w:t xml:space="preserve">.”  </w:t>
      </w:r>
    </w:p>
    <w:p w14:paraId="102154BC" w14:textId="15A8F33D" w:rsidR="0067473D" w:rsidRDefault="009074E3" w:rsidP="009074E3">
      <w:pPr>
        <w:pStyle w:val="Heading1"/>
        <w:numPr>
          <w:ilvl w:val="0"/>
          <w:numId w:val="0"/>
        </w:numPr>
        <w:tabs>
          <w:tab w:val="left" w:pos="862"/>
        </w:tabs>
        <w:ind w:left="862" w:hanging="862"/>
      </w:pPr>
      <w:r>
        <w:t>[54]</w:t>
      </w:r>
      <w:r>
        <w:tab/>
      </w:r>
      <w:r w:rsidR="0067473D">
        <w:t xml:space="preserve">Once again, Venter </w:t>
      </w:r>
      <w:r w:rsidR="00A156F5">
        <w:t>reinforces</w:t>
      </w:r>
      <w:r w:rsidR="0067473D">
        <w:t xml:space="preserve"> that Emil (referring to </w:t>
      </w:r>
      <w:proofErr w:type="spellStart"/>
      <w:r w:rsidR="0067473D">
        <w:t>Bihl</w:t>
      </w:r>
      <w:proofErr w:type="spellEnd"/>
      <w:r w:rsidR="0067473D">
        <w:t xml:space="preserve">) is waiting to hear whether or not </w:t>
      </w:r>
      <w:proofErr w:type="spellStart"/>
      <w:r w:rsidR="0067473D">
        <w:t>Astfin</w:t>
      </w:r>
      <w:proofErr w:type="spellEnd"/>
      <w:r w:rsidR="0067473D">
        <w:t xml:space="preserve"> has accepted the settlement.</w:t>
      </w:r>
      <w:r w:rsidR="006E1EB4">
        <w:t xml:space="preserve"> Again, </w:t>
      </w:r>
      <w:proofErr w:type="spellStart"/>
      <w:r w:rsidR="006E1EB4">
        <w:t>Bihl</w:t>
      </w:r>
      <w:proofErr w:type="spellEnd"/>
      <w:r w:rsidR="006E1EB4">
        <w:t xml:space="preserve"> does not refute this.</w:t>
      </w:r>
      <w:r w:rsidR="0067473D">
        <w:t xml:space="preserve"> The</w:t>
      </w:r>
      <w:r w:rsidR="00B10C99">
        <w:t xml:space="preserve"> </w:t>
      </w:r>
      <w:r w:rsidR="006B70B3">
        <w:t xml:space="preserve">next </w:t>
      </w:r>
      <w:proofErr w:type="spellStart"/>
      <w:r w:rsidR="006300A0">
        <w:t>WhatsApp</w:t>
      </w:r>
      <w:proofErr w:type="spellEnd"/>
      <w:r w:rsidR="0067473D">
        <w:t xml:space="preserve"> from Venter</w:t>
      </w:r>
      <w:r w:rsidR="006B70B3">
        <w:t>, also</w:t>
      </w:r>
      <w:r w:rsidR="0067473D">
        <w:t xml:space="preserve"> </w:t>
      </w:r>
      <w:r w:rsidR="006300A0">
        <w:t xml:space="preserve">on 31 October 2022 at </w:t>
      </w:r>
      <w:r w:rsidR="006300A0">
        <w:lastRenderedPageBreak/>
        <w:t>09:41</w:t>
      </w:r>
      <w:r w:rsidR="00B10C99">
        <w:t>,</w:t>
      </w:r>
      <w:r w:rsidR="006300A0">
        <w:t xml:space="preserve"> </w:t>
      </w:r>
      <w:r w:rsidR="0067473D">
        <w:t xml:space="preserve">suggests that </w:t>
      </w:r>
      <w:r w:rsidR="006300A0">
        <w:t xml:space="preserve">Venter remained </w:t>
      </w:r>
      <w:r w:rsidR="0067473D">
        <w:t>uncertain whether the matter had become settled</w:t>
      </w:r>
      <w:r w:rsidR="00B10C99">
        <w:t>,</w:t>
      </w:r>
      <w:r w:rsidR="0067473D">
        <w:t xml:space="preserve"> reflected with a question mark.  This uncertainty is well-founded</w:t>
      </w:r>
      <w:r w:rsidR="00B10C99">
        <w:t>,</w:t>
      </w:r>
      <w:r w:rsidR="0067473D">
        <w:t xml:space="preserve"> in my view.  De Nil confirms that his co-director, Terry Flintlock, has left the matter with the attorneys</w:t>
      </w:r>
      <w:r w:rsidR="00B10C99">
        <w:t>,</w:t>
      </w:r>
      <w:r w:rsidR="0067473D">
        <w:t xml:space="preserve"> and he has to decide, whereupon he will inform Venter. I accept that it is not attorneys who determine matters</w:t>
      </w:r>
      <w:r w:rsidR="00B10C99">
        <w:t>,</w:t>
      </w:r>
      <w:r w:rsidR="0067473D">
        <w:t xml:space="preserve"> but, needless to say, clients are guided by their attorneys</w:t>
      </w:r>
      <w:r w:rsidR="00B10C99">
        <w:t>,</w:t>
      </w:r>
      <w:r w:rsidR="0067473D">
        <w:t xml:space="preserve"> and there is nothing untoward in the wording of this </w:t>
      </w:r>
      <w:proofErr w:type="spellStart"/>
      <w:r w:rsidR="0067473D">
        <w:t>WhatsApp</w:t>
      </w:r>
      <w:proofErr w:type="spellEnd"/>
      <w:r w:rsidR="0067473D">
        <w:t>.</w:t>
      </w:r>
    </w:p>
    <w:p w14:paraId="69BC6BA3" w14:textId="06D432AE" w:rsidR="0067473D" w:rsidRDefault="009074E3" w:rsidP="009074E3">
      <w:pPr>
        <w:pStyle w:val="Heading1"/>
        <w:numPr>
          <w:ilvl w:val="0"/>
          <w:numId w:val="0"/>
        </w:numPr>
        <w:tabs>
          <w:tab w:val="left" w:pos="862"/>
        </w:tabs>
        <w:ind w:left="862" w:hanging="862"/>
      </w:pPr>
      <w:r>
        <w:t>[55]</w:t>
      </w:r>
      <w:r>
        <w:tab/>
      </w:r>
      <w:r w:rsidR="0067473D">
        <w:t xml:space="preserve">Venter again, at 11h46 on 31 October 2022, sends a </w:t>
      </w:r>
      <w:proofErr w:type="spellStart"/>
      <w:r w:rsidR="0067473D">
        <w:t>WhatsApp</w:t>
      </w:r>
      <w:proofErr w:type="spellEnd"/>
      <w:r w:rsidR="0067473D">
        <w:t xml:space="preserve"> to De Nil </w:t>
      </w:r>
      <w:r w:rsidR="006B70B3">
        <w:t xml:space="preserve">seeking </w:t>
      </w:r>
      <w:r w:rsidR="0067473D">
        <w:t xml:space="preserve">confirmation as to what has been decided by </w:t>
      </w:r>
      <w:proofErr w:type="spellStart"/>
      <w:r w:rsidR="0067473D">
        <w:t>Astfin</w:t>
      </w:r>
      <w:proofErr w:type="spellEnd"/>
      <w:r w:rsidR="00B10C99">
        <w:t>,</w:t>
      </w:r>
      <w:r w:rsidR="0067473D">
        <w:t xml:space="preserve"> more importantly because he has advocates waiting on brief. Eventually</w:t>
      </w:r>
      <w:r w:rsidR="00A156F5">
        <w:t>,</w:t>
      </w:r>
      <w:r w:rsidR="0067473D">
        <w:t xml:space="preserve"> at 14h45 that day</w:t>
      </w:r>
      <w:r w:rsidR="00A156F5">
        <w:t>,</w:t>
      </w:r>
      <w:r w:rsidR="0067473D">
        <w:t xml:space="preserve"> De Nil communicates that he has spoken to </w:t>
      </w:r>
      <w:proofErr w:type="spellStart"/>
      <w:r w:rsidR="0067473D">
        <w:t>Astfin’s</w:t>
      </w:r>
      <w:proofErr w:type="spellEnd"/>
      <w:r w:rsidR="0067473D">
        <w:t xml:space="preserve"> attorney, </w:t>
      </w:r>
      <w:proofErr w:type="spellStart"/>
      <w:r w:rsidR="0067473D">
        <w:t>Tugendhaft</w:t>
      </w:r>
      <w:proofErr w:type="spellEnd"/>
      <w:r w:rsidR="0067473D">
        <w:t xml:space="preserve"> (</w:t>
      </w:r>
      <w:r w:rsidR="00A156F5">
        <w:t>“</w:t>
      </w:r>
      <w:proofErr w:type="spellStart"/>
      <w:r w:rsidR="0067473D" w:rsidRPr="00A156F5">
        <w:rPr>
          <w:i/>
          <w:iCs/>
        </w:rPr>
        <w:t>Oshy</w:t>
      </w:r>
      <w:proofErr w:type="spellEnd"/>
      <w:r w:rsidR="00A156F5">
        <w:t>”</w:t>
      </w:r>
      <w:r w:rsidR="0067473D">
        <w:t>), and</w:t>
      </w:r>
      <w:r w:rsidR="006B70B3">
        <w:t xml:space="preserve"> </w:t>
      </w:r>
      <w:r w:rsidR="0067473D">
        <w:t xml:space="preserve">even if </w:t>
      </w:r>
      <w:r w:rsidR="006B70B3">
        <w:t>“</w:t>
      </w:r>
      <w:r w:rsidR="00A156F5">
        <w:rPr>
          <w:i/>
          <w:iCs/>
        </w:rPr>
        <w:t>t</w:t>
      </w:r>
      <w:r w:rsidR="0067473D" w:rsidRPr="006B70B3">
        <w:rPr>
          <w:i/>
          <w:iCs/>
        </w:rPr>
        <w:t>hey</w:t>
      </w:r>
      <w:r w:rsidR="006B70B3">
        <w:t>”</w:t>
      </w:r>
      <w:r w:rsidR="0067473D">
        <w:t xml:space="preserve"> were looking for a solution</w:t>
      </w:r>
      <w:r w:rsidR="00B10C99">
        <w:t>,</w:t>
      </w:r>
      <w:r w:rsidR="0067473D">
        <w:t xml:space="preserve"> there is not sufficient time and there are too many complications.  He furthermore confirms that his attorney has requested that all further communications take place between the attorneys and that the matter cannot be settled. This</w:t>
      </w:r>
      <w:r w:rsidR="00B10C99">
        <w:t>,</w:t>
      </w:r>
      <w:r w:rsidR="0067473D">
        <w:t xml:space="preserve"> to </w:t>
      </w:r>
      <w:r w:rsidR="006916B8">
        <w:t xml:space="preserve">my </w:t>
      </w:r>
      <w:r w:rsidR="0067473D">
        <w:t>mind</w:t>
      </w:r>
      <w:r w:rsidR="00B10C99">
        <w:t>,</w:t>
      </w:r>
      <w:r w:rsidR="0067473D">
        <w:t xml:space="preserve"> is sage advice</w:t>
      </w:r>
      <w:r w:rsidR="006B70B3">
        <w:t>.</w:t>
      </w:r>
      <w:r w:rsidR="0067473D">
        <w:t xml:space="preserve"> </w:t>
      </w:r>
      <w:proofErr w:type="spellStart"/>
      <w:r w:rsidR="0067473D">
        <w:t>Bihl</w:t>
      </w:r>
      <w:proofErr w:type="spellEnd"/>
      <w:r w:rsidR="006B70B3">
        <w:t xml:space="preserve"> must appreciate, as an attorney</w:t>
      </w:r>
      <w:r w:rsidR="00B10C99">
        <w:t>,</w:t>
      </w:r>
      <w:r w:rsidR="006B70B3">
        <w:t xml:space="preserve"> </w:t>
      </w:r>
      <w:proofErr w:type="gramStart"/>
      <w:r w:rsidR="006B70B3">
        <w:t xml:space="preserve">that </w:t>
      </w:r>
      <w:r w:rsidR="0067473D">
        <w:t xml:space="preserve"> </w:t>
      </w:r>
      <w:r w:rsidR="006B70B3">
        <w:t>TWB</w:t>
      </w:r>
      <w:proofErr w:type="gramEnd"/>
      <w:r w:rsidR="006B70B3">
        <w:t xml:space="preserve"> and Adams &amp; Adams should be involved</w:t>
      </w:r>
      <w:r w:rsidR="0067473D">
        <w:t xml:space="preserve"> from the </w:t>
      </w:r>
      <w:r w:rsidR="00244667">
        <w:t>outset.</w:t>
      </w:r>
      <w:r w:rsidR="0067473D">
        <w:t xml:space="preserve"> He does not explain why he did not </w:t>
      </w:r>
      <w:r w:rsidR="006B70B3">
        <w:t>involve them</w:t>
      </w:r>
      <w:r w:rsidR="0067473D">
        <w:t xml:space="preserve">. </w:t>
      </w:r>
      <w:r w:rsidR="006B70B3">
        <w:t>De Nil remains open to settlement and</w:t>
      </w:r>
      <w:r w:rsidR="0067473D">
        <w:t xml:space="preserve"> confirms that insofar as the NRB Group is concerned</w:t>
      </w:r>
      <w:r w:rsidR="00B10C99">
        <w:t>,</w:t>
      </w:r>
      <w:r w:rsidR="0067473D">
        <w:t xml:space="preserve"> discussions can be held.  </w:t>
      </w:r>
    </w:p>
    <w:p w14:paraId="7C7A4705" w14:textId="57FC584C" w:rsidR="0067473D" w:rsidRDefault="009074E3" w:rsidP="009074E3">
      <w:pPr>
        <w:pStyle w:val="Heading1"/>
        <w:numPr>
          <w:ilvl w:val="0"/>
          <w:numId w:val="0"/>
        </w:numPr>
        <w:tabs>
          <w:tab w:val="left" w:pos="862"/>
        </w:tabs>
        <w:ind w:left="862" w:hanging="862"/>
      </w:pPr>
      <w:r>
        <w:t>[56]</w:t>
      </w:r>
      <w:r>
        <w:tab/>
      </w:r>
      <w:r w:rsidR="0067473D">
        <w:t xml:space="preserve">It is clear to me from this </w:t>
      </w:r>
      <w:proofErr w:type="spellStart"/>
      <w:r w:rsidR="0067473D">
        <w:t>WhatsApp</w:t>
      </w:r>
      <w:proofErr w:type="spellEnd"/>
      <w:r w:rsidR="0067473D">
        <w:t xml:space="preserve"> exchange that </w:t>
      </w:r>
      <w:proofErr w:type="spellStart"/>
      <w:r w:rsidR="006300A0">
        <w:t>Bihl</w:t>
      </w:r>
      <w:proofErr w:type="spellEnd"/>
      <w:r w:rsidR="006300A0">
        <w:t xml:space="preserve"> </w:t>
      </w:r>
      <w:r w:rsidR="006B70B3">
        <w:t>“</w:t>
      </w:r>
      <w:r w:rsidR="006300A0" w:rsidRPr="006916B8">
        <w:rPr>
          <w:i/>
          <w:iCs/>
        </w:rPr>
        <w:t>jumped the gu</w:t>
      </w:r>
      <w:r w:rsidR="006916B8">
        <w:rPr>
          <w:i/>
          <w:iCs/>
        </w:rPr>
        <w:t>n</w:t>
      </w:r>
      <w:r w:rsidR="006B70B3" w:rsidRPr="006916B8">
        <w:rPr>
          <w:i/>
          <w:iCs/>
        </w:rPr>
        <w:t>”</w:t>
      </w:r>
      <w:r w:rsidR="006916B8">
        <w:t xml:space="preserve">. </w:t>
      </w:r>
      <w:r w:rsidR="006300A0">
        <w:t>A</w:t>
      </w:r>
      <w:r w:rsidR="0067473D">
        <w:t xml:space="preserve">ny impressions which </w:t>
      </w:r>
      <w:proofErr w:type="spellStart"/>
      <w:r w:rsidR="0067473D">
        <w:t>Bihl</w:t>
      </w:r>
      <w:proofErr w:type="spellEnd"/>
      <w:r w:rsidR="0067473D">
        <w:t xml:space="preserve"> held and formed in his dealings with Baron </w:t>
      </w:r>
      <w:r w:rsidR="006B70B3">
        <w:t>are</w:t>
      </w:r>
      <w:r w:rsidR="0067473D">
        <w:t xml:space="preserve"> not correct.  This e-mail exchange clearly demonstrates that not only did Baron not have </w:t>
      </w:r>
      <w:r w:rsidR="00B10C99">
        <w:t xml:space="preserve">the </w:t>
      </w:r>
      <w:r w:rsidR="0067473D">
        <w:t xml:space="preserve">authority to represent </w:t>
      </w:r>
      <w:proofErr w:type="spellStart"/>
      <w:r w:rsidR="0067473D">
        <w:t>Astfin</w:t>
      </w:r>
      <w:proofErr w:type="spellEnd"/>
      <w:r w:rsidR="0067473D">
        <w:t xml:space="preserve"> but that, as late as 31 October 2022, Venter</w:t>
      </w:r>
      <w:r w:rsidR="00B10C99">
        <w:t>,</w:t>
      </w:r>
      <w:r w:rsidR="0067473D">
        <w:t xml:space="preserve"> who had instructed Baron to settle matters on his behalf, did not believe that the application had been resolved particularly in relation to </w:t>
      </w:r>
      <w:proofErr w:type="spellStart"/>
      <w:r w:rsidR="0067473D">
        <w:t>Astfin</w:t>
      </w:r>
      <w:proofErr w:type="spellEnd"/>
      <w:r w:rsidR="0067473D">
        <w:t>. As such</w:t>
      </w:r>
      <w:r w:rsidR="00B10C99">
        <w:t>,</w:t>
      </w:r>
      <w:r w:rsidR="0067473D">
        <w:t xml:space="preserve"> Baron could not have conveyed this to </w:t>
      </w:r>
      <w:proofErr w:type="spellStart"/>
      <w:r w:rsidR="0067473D">
        <w:t>Bihl</w:t>
      </w:r>
      <w:proofErr w:type="spellEnd"/>
      <w:r w:rsidR="0067473D">
        <w:t xml:space="preserve"> and did not do so. </w:t>
      </w:r>
    </w:p>
    <w:p w14:paraId="252B1EAE" w14:textId="08FFCA30" w:rsidR="009B58CD" w:rsidRDefault="009074E3" w:rsidP="009074E3">
      <w:pPr>
        <w:pStyle w:val="Heading1"/>
        <w:numPr>
          <w:ilvl w:val="0"/>
          <w:numId w:val="0"/>
        </w:numPr>
        <w:tabs>
          <w:tab w:val="left" w:pos="862"/>
        </w:tabs>
        <w:ind w:left="862" w:hanging="862"/>
      </w:pPr>
      <w:r>
        <w:t>[57]</w:t>
      </w:r>
      <w:r>
        <w:tab/>
      </w:r>
      <w:r w:rsidR="0067473D">
        <w:t>Notably</w:t>
      </w:r>
      <w:r w:rsidR="00B10C99">
        <w:t>,</w:t>
      </w:r>
      <w:r w:rsidR="006B70B3">
        <w:t xml:space="preserve"> </w:t>
      </w:r>
      <w:r w:rsidR="0067473D">
        <w:t>it was only on 31 October 2022</w:t>
      </w:r>
      <w:r w:rsidR="006916B8">
        <w:t>, at 09h56,</w:t>
      </w:r>
      <w:r w:rsidR="0067473D">
        <w:t xml:space="preserve"> that Venter’s attorneys, Adams &amp; Adams, </w:t>
      </w:r>
      <w:r w:rsidR="006300A0">
        <w:t xml:space="preserve">Ms </w:t>
      </w:r>
      <w:proofErr w:type="spellStart"/>
      <w:r w:rsidR="0067473D">
        <w:t>Shani</w:t>
      </w:r>
      <w:proofErr w:type="spellEnd"/>
      <w:r w:rsidR="0067473D">
        <w:t xml:space="preserve"> van </w:t>
      </w:r>
      <w:proofErr w:type="spellStart"/>
      <w:r w:rsidR="0067473D">
        <w:t>Niekerk</w:t>
      </w:r>
      <w:proofErr w:type="spellEnd"/>
      <w:r w:rsidR="0067473D">
        <w:t xml:space="preserve">, </w:t>
      </w:r>
      <w:r w:rsidR="006B70B3">
        <w:t xml:space="preserve">received word from </w:t>
      </w:r>
      <w:proofErr w:type="spellStart"/>
      <w:r w:rsidR="0067473D">
        <w:t>Bihl</w:t>
      </w:r>
      <w:proofErr w:type="spellEnd"/>
      <w:r w:rsidR="0067473D">
        <w:t xml:space="preserve"> that the </w:t>
      </w:r>
      <w:r w:rsidR="0067473D">
        <w:lastRenderedPageBreak/>
        <w:t>matter had</w:t>
      </w:r>
      <w:r w:rsidR="006916B8">
        <w:t xml:space="preserve"> allegedly </w:t>
      </w:r>
      <w:r w:rsidR="0067473D">
        <w:t>been settled</w:t>
      </w:r>
      <w:r w:rsidR="006300A0">
        <w:t xml:space="preserve">, some three workdays later. </w:t>
      </w:r>
      <w:r w:rsidR="0067473D">
        <w:t xml:space="preserve">Van </w:t>
      </w:r>
      <w:proofErr w:type="spellStart"/>
      <w:r w:rsidR="0067473D">
        <w:t>Niekerk</w:t>
      </w:r>
      <w:proofErr w:type="spellEnd"/>
      <w:r w:rsidR="0067473D">
        <w:t xml:space="preserve"> </w:t>
      </w:r>
      <w:r w:rsidR="006300A0">
        <w:t xml:space="preserve">immediately </w:t>
      </w:r>
      <w:r w:rsidR="0067473D">
        <w:t xml:space="preserve">addressed correspondence to </w:t>
      </w:r>
      <w:proofErr w:type="spellStart"/>
      <w:r w:rsidR="0067473D">
        <w:t>Bihl</w:t>
      </w:r>
      <w:proofErr w:type="spellEnd"/>
      <w:r w:rsidR="0067473D">
        <w:t xml:space="preserve"> and </w:t>
      </w:r>
      <w:r w:rsidR="006300A0">
        <w:t xml:space="preserve">recorded </w:t>
      </w:r>
      <w:r w:rsidR="0067473D">
        <w:t xml:space="preserve">that the matter </w:t>
      </w:r>
      <w:r w:rsidR="006300A0">
        <w:t xml:space="preserve">had </w:t>
      </w:r>
      <w:r w:rsidR="0067473D">
        <w:t>not been resolved, no withdrawal of the application had been received, there was no agreement</w:t>
      </w:r>
      <w:r w:rsidR="006300A0">
        <w:t>,</w:t>
      </w:r>
      <w:r w:rsidR="0067473D">
        <w:t xml:space="preserve"> and the matter </w:t>
      </w:r>
      <w:r w:rsidR="00B10C99">
        <w:t>was</w:t>
      </w:r>
      <w:r w:rsidR="0067473D">
        <w:t xml:space="preserve"> proceeding.  She called for proof of the withdrawal of the application.  </w:t>
      </w:r>
      <w:proofErr w:type="spellStart"/>
      <w:r w:rsidR="0067473D">
        <w:t>Bihl</w:t>
      </w:r>
      <w:proofErr w:type="spellEnd"/>
      <w:r w:rsidR="006300A0">
        <w:t>,</w:t>
      </w:r>
      <w:r w:rsidR="0067473D">
        <w:t xml:space="preserve"> </w:t>
      </w:r>
      <w:r w:rsidR="006300A0">
        <w:t>who</w:t>
      </w:r>
      <w:r w:rsidR="00B10C99">
        <w:t xml:space="preserve"> </w:t>
      </w:r>
      <w:r w:rsidR="006B70B3">
        <w:t>wants this Court to accept that the matter had been settled</w:t>
      </w:r>
      <w:r w:rsidR="002205B4">
        <w:t>,</w:t>
      </w:r>
      <w:r w:rsidR="006300A0">
        <w:t xml:space="preserve"> </w:t>
      </w:r>
      <w:r w:rsidR="0067473D">
        <w:t xml:space="preserve">still does not </w:t>
      </w:r>
      <w:r w:rsidR="006300A0">
        <w:t xml:space="preserve">affirmatively </w:t>
      </w:r>
      <w:r w:rsidR="0067473D">
        <w:t>address this with the respective attorneys</w:t>
      </w:r>
      <w:r w:rsidR="00997751">
        <w:t xml:space="preserve"> or Baron</w:t>
      </w:r>
      <w:r w:rsidR="0067473D">
        <w:t xml:space="preserve">. </w:t>
      </w:r>
    </w:p>
    <w:p w14:paraId="7A037FDA" w14:textId="0F31EA8D" w:rsidR="0067473D" w:rsidRDefault="009074E3" w:rsidP="009074E3">
      <w:pPr>
        <w:pStyle w:val="Heading1"/>
        <w:numPr>
          <w:ilvl w:val="0"/>
          <w:numId w:val="0"/>
        </w:numPr>
        <w:tabs>
          <w:tab w:val="left" w:pos="862"/>
        </w:tabs>
        <w:ind w:left="862" w:hanging="862"/>
      </w:pPr>
      <w:r>
        <w:t>[58]</w:t>
      </w:r>
      <w:r>
        <w:tab/>
      </w:r>
      <w:r w:rsidR="0067473D">
        <w:t>Instead</w:t>
      </w:r>
      <w:r w:rsidR="006B70B3">
        <w:t>,</w:t>
      </w:r>
      <w:r w:rsidR="0067473D">
        <w:t xml:space="preserve"> he sends </w:t>
      </w:r>
      <w:r w:rsidR="00997751">
        <w:t xml:space="preserve">an e-mail </w:t>
      </w:r>
      <w:r w:rsidR="0067473D">
        <w:t>to Baron</w:t>
      </w:r>
      <w:r w:rsidR="00997751">
        <w:t xml:space="preserve"> at 09:59</w:t>
      </w:r>
      <w:r w:rsidR="0067473D">
        <w:t xml:space="preserve"> on 31</w:t>
      </w:r>
      <w:r w:rsidR="006300A0">
        <w:t> </w:t>
      </w:r>
      <w:r w:rsidR="0067473D">
        <w:t>October 2022. The</w:t>
      </w:r>
      <w:r w:rsidR="00997751">
        <w:t xml:space="preserve"> e-mail</w:t>
      </w:r>
      <w:r w:rsidR="0067473D">
        <w:t xml:space="preserve"> is curt. It refers</w:t>
      </w:r>
      <w:r w:rsidR="00997751">
        <w:t xml:space="preserve"> Baron </w:t>
      </w:r>
      <w:r w:rsidR="0067473D">
        <w:t xml:space="preserve">to </w:t>
      </w:r>
      <w:proofErr w:type="gramStart"/>
      <w:r w:rsidR="0067473D">
        <w:t>the</w:t>
      </w:r>
      <w:r w:rsidR="00997751">
        <w:t xml:space="preserve"> </w:t>
      </w:r>
      <w:r w:rsidR="00C064FD">
        <w:t xml:space="preserve"> Adams</w:t>
      </w:r>
      <w:proofErr w:type="gramEnd"/>
      <w:r w:rsidR="00C064FD">
        <w:t xml:space="preserve"> &amp; Adams </w:t>
      </w:r>
      <w:r w:rsidR="00997751">
        <w:t>e-mail</w:t>
      </w:r>
      <w:r w:rsidR="00C064FD">
        <w:t>,</w:t>
      </w:r>
      <w:r w:rsidR="0067473D">
        <w:t xml:space="preserve"> which was not annexed to the founding affidavit</w:t>
      </w:r>
      <w:r w:rsidR="00C064FD">
        <w:t>,</w:t>
      </w:r>
      <w:r w:rsidR="0067473D">
        <w:t xml:space="preserve"> and ask</w:t>
      </w:r>
      <w:r w:rsidR="006300A0">
        <w:t>s</w:t>
      </w:r>
      <w:r w:rsidR="0067473D">
        <w:t xml:space="preserve"> </w:t>
      </w:r>
      <w:r w:rsidR="00C064FD">
        <w:t>him</w:t>
      </w:r>
      <w:r w:rsidR="002205B4">
        <w:t xml:space="preserve"> </w:t>
      </w:r>
      <w:r w:rsidR="009B58CD">
        <w:t>for an urgent reply.</w:t>
      </w:r>
      <w:r w:rsidR="0067473D">
        <w:t xml:space="preserve"> </w:t>
      </w:r>
      <w:proofErr w:type="spellStart"/>
      <w:r w:rsidR="0067473D">
        <w:t>Bihl</w:t>
      </w:r>
      <w:proofErr w:type="spellEnd"/>
      <w:r w:rsidR="0067473D">
        <w:t xml:space="preserve"> does not take issue with Baron in clear terms</w:t>
      </w:r>
      <w:r w:rsidR="006B70B3">
        <w:t>. He does not</w:t>
      </w:r>
      <w:r w:rsidR="0067473D">
        <w:t xml:space="preserve"> assert the settlement contended for</w:t>
      </w:r>
      <w:r w:rsidR="006916B8">
        <w:t>,</w:t>
      </w:r>
      <w:r w:rsidR="0067473D">
        <w:t xml:space="preserve"> which he would have done if he knew that the matter </w:t>
      </w:r>
      <w:r w:rsidR="006300A0">
        <w:t xml:space="preserve">had </w:t>
      </w:r>
      <w:r w:rsidR="002205B4">
        <w:t xml:space="preserve">been </w:t>
      </w:r>
      <w:r w:rsidR="0067473D">
        <w:t>settled.</w:t>
      </w:r>
    </w:p>
    <w:p w14:paraId="11BEABEA" w14:textId="622DB97D" w:rsidR="00C064FD" w:rsidRDefault="009074E3" w:rsidP="009074E3">
      <w:pPr>
        <w:pStyle w:val="Heading1"/>
        <w:numPr>
          <w:ilvl w:val="0"/>
          <w:numId w:val="0"/>
        </w:numPr>
        <w:tabs>
          <w:tab w:val="left" w:pos="862"/>
        </w:tabs>
        <w:ind w:left="862" w:hanging="862"/>
      </w:pPr>
      <w:r>
        <w:t>[59]</w:t>
      </w:r>
      <w:r>
        <w:tab/>
      </w:r>
      <w:r w:rsidR="00C064FD">
        <w:t>Baron responds in an e-mail at 10:24 on 31 October 2022. He asserts</w:t>
      </w:r>
      <w:r w:rsidR="002205B4">
        <w:t xml:space="preserve">, </w:t>
      </w:r>
      <w:r w:rsidR="00C064FD">
        <w:t>“</w:t>
      </w:r>
      <w:r w:rsidR="00C064FD" w:rsidRPr="00C064FD">
        <w:rPr>
          <w:i/>
          <w:iCs/>
        </w:rPr>
        <w:t xml:space="preserve">Would you please draw up the necessary paperwork to withdraw the case from your side? </w:t>
      </w:r>
      <w:proofErr w:type="spellStart"/>
      <w:r w:rsidR="00C064FD" w:rsidRPr="00C064FD">
        <w:rPr>
          <w:i/>
          <w:iCs/>
        </w:rPr>
        <w:t>Astfin</w:t>
      </w:r>
      <w:proofErr w:type="spellEnd"/>
      <w:r w:rsidR="00C064FD" w:rsidRPr="00C064FD">
        <w:rPr>
          <w:i/>
          <w:iCs/>
        </w:rPr>
        <w:t xml:space="preserve"> agreed late last week</w:t>
      </w:r>
      <w:r w:rsidR="00C064FD">
        <w:t>.”</w:t>
      </w:r>
      <w:r w:rsidR="00C064FD">
        <w:rPr>
          <w:rStyle w:val="FootnoteReference"/>
        </w:rPr>
        <w:footnoteReference w:id="30"/>
      </w:r>
      <w:r w:rsidR="00C064FD">
        <w:t xml:space="preserve"> This email does suggest that </w:t>
      </w:r>
      <w:proofErr w:type="spellStart"/>
      <w:r w:rsidR="00C064FD">
        <w:t>Astfin</w:t>
      </w:r>
      <w:proofErr w:type="spellEnd"/>
      <w:r w:rsidR="00C064FD">
        <w:t xml:space="preserve"> has agreed to settle</w:t>
      </w:r>
      <w:r w:rsidR="002205B4">
        <w:t>,</w:t>
      </w:r>
      <w:r w:rsidR="00C064FD">
        <w:t xml:space="preserve"> but what it also does is call for </w:t>
      </w:r>
      <w:proofErr w:type="spellStart"/>
      <w:r w:rsidR="00C064FD">
        <w:t>Bihl</w:t>
      </w:r>
      <w:proofErr w:type="spellEnd"/>
      <w:r w:rsidR="00C064FD">
        <w:t xml:space="preserve"> to put something in writing.</w:t>
      </w:r>
    </w:p>
    <w:p w14:paraId="5F485383" w14:textId="02E68FF7" w:rsidR="00043A4D" w:rsidRDefault="009074E3" w:rsidP="009074E3">
      <w:pPr>
        <w:pStyle w:val="Heading1"/>
        <w:numPr>
          <w:ilvl w:val="0"/>
          <w:numId w:val="0"/>
        </w:numPr>
        <w:tabs>
          <w:tab w:val="left" w:pos="862"/>
        </w:tabs>
        <w:ind w:left="862" w:hanging="862"/>
      </w:pPr>
      <w:r>
        <w:t>[60]</w:t>
      </w:r>
      <w:r>
        <w:tab/>
      </w:r>
      <w:r w:rsidR="00C064FD">
        <w:t>On 31 October 2022</w:t>
      </w:r>
      <w:r w:rsidR="009B58CD">
        <w:t>,</w:t>
      </w:r>
      <w:r w:rsidR="00C064FD">
        <w:t xml:space="preserve"> a letter from </w:t>
      </w:r>
      <w:proofErr w:type="spellStart"/>
      <w:r w:rsidR="00C064FD">
        <w:t>Bihl</w:t>
      </w:r>
      <w:proofErr w:type="spellEnd"/>
      <w:r w:rsidR="00C064FD">
        <w:t xml:space="preserve"> is sent to TWB on </w:t>
      </w:r>
      <w:r w:rsidR="002205B4">
        <w:t>a</w:t>
      </w:r>
      <w:r w:rsidR="00C064FD">
        <w:t xml:space="preserve"> “</w:t>
      </w:r>
      <w:r w:rsidR="00C064FD" w:rsidRPr="00C064FD">
        <w:rPr>
          <w:i/>
          <w:iCs/>
        </w:rPr>
        <w:t>without prejudice</w:t>
      </w:r>
      <w:r w:rsidR="00C064FD">
        <w:t>” basis</w:t>
      </w:r>
      <w:r w:rsidR="00043A4D">
        <w:t xml:space="preserve"> via e-mail at 11:55. The letter records that “</w:t>
      </w:r>
      <w:r w:rsidR="00043A4D" w:rsidRPr="00043A4D">
        <w:rPr>
          <w:i/>
          <w:iCs/>
        </w:rPr>
        <w:t>The Venter Family trust facilitated a settlement</w:t>
      </w:r>
      <w:r w:rsidR="00043A4D">
        <w:t xml:space="preserve">” between our client and your client and sets out the terms contended for in this application. </w:t>
      </w:r>
      <w:proofErr w:type="spellStart"/>
      <w:r w:rsidR="00043A4D">
        <w:t>Bihl</w:t>
      </w:r>
      <w:proofErr w:type="spellEnd"/>
      <w:r w:rsidR="00043A4D">
        <w:t xml:space="preserve"> asks for confirmation of the settlement</w:t>
      </w:r>
      <w:r w:rsidR="002205B4">
        <w:t xml:space="preserve">, </w:t>
      </w:r>
      <w:r w:rsidR="00043A4D">
        <w:t>whereupon he says a notice of withdrawal of the application will be delivered.</w:t>
      </w:r>
      <w:r w:rsidR="00043A4D">
        <w:rPr>
          <w:rStyle w:val="FootnoteReference"/>
        </w:rPr>
        <w:footnoteReference w:id="31"/>
      </w:r>
      <w:r w:rsidR="00043A4D">
        <w:t xml:space="preserve">  Interestingly</w:t>
      </w:r>
      <w:r w:rsidR="009B58CD">
        <w:t>,</w:t>
      </w:r>
      <w:r w:rsidR="00043A4D">
        <w:t xml:space="preserve"> </w:t>
      </w:r>
      <w:proofErr w:type="spellStart"/>
      <w:r w:rsidR="00043A4D">
        <w:t>Bihl’s</w:t>
      </w:r>
      <w:proofErr w:type="spellEnd"/>
      <w:r w:rsidR="00043A4D">
        <w:t xml:space="preserve"> email does not assert positively </w:t>
      </w:r>
      <w:proofErr w:type="gramStart"/>
      <w:r w:rsidR="00043A4D">
        <w:t xml:space="preserve">that </w:t>
      </w:r>
      <w:r w:rsidR="009B58CD">
        <w:t xml:space="preserve"> Baron</w:t>
      </w:r>
      <w:proofErr w:type="gramEnd"/>
      <w:r w:rsidR="009B58CD">
        <w:t xml:space="preserve"> brokered the</w:t>
      </w:r>
      <w:r w:rsidR="00043A4D">
        <w:t xml:space="preserve"> settlement </w:t>
      </w:r>
      <w:r w:rsidR="009B58CD">
        <w:t>and the application is resolved but rather</w:t>
      </w:r>
      <w:r w:rsidR="00043A4D">
        <w:t xml:space="preserve"> seeks confirmation </w:t>
      </w:r>
      <w:r w:rsidR="009B58CD">
        <w:t xml:space="preserve">that this is so. The letter </w:t>
      </w:r>
      <w:r w:rsidR="00043A4D">
        <w:t xml:space="preserve">is also </w:t>
      </w:r>
      <w:r w:rsidR="00043A4D">
        <w:lastRenderedPageBreak/>
        <w:t>a privileged communication.</w:t>
      </w:r>
    </w:p>
    <w:p w14:paraId="57C4E474" w14:textId="721AA2DB" w:rsidR="00043A4D" w:rsidRDefault="009074E3" w:rsidP="009074E3">
      <w:pPr>
        <w:pStyle w:val="Heading1"/>
        <w:numPr>
          <w:ilvl w:val="0"/>
          <w:numId w:val="0"/>
        </w:numPr>
        <w:tabs>
          <w:tab w:val="left" w:pos="862"/>
        </w:tabs>
        <w:ind w:left="862" w:hanging="862"/>
      </w:pPr>
      <w:r>
        <w:t>[61]</w:t>
      </w:r>
      <w:r>
        <w:tab/>
      </w:r>
      <w:proofErr w:type="gramStart"/>
      <w:r w:rsidR="00043A4D">
        <w:t>TWB  sends</w:t>
      </w:r>
      <w:proofErr w:type="gramEnd"/>
      <w:r w:rsidR="00043A4D">
        <w:t xml:space="preserve"> an e-mail in reply</w:t>
      </w:r>
      <w:r w:rsidR="009B58CD">
        <w:t xml:space="preserve"> on 31 October 2022 at 12:11,</w:t>
      </w:r>
      <w:r w:rsidR="00043A4D">
        <w:t xml:space="preserve"> recording that</w:t>
      </w:r>
      <w:r w:rsidR="002205B4">
        <w:t xml:space="preserve"> </w:t>
      </w:r>
      <w:r w:rsidR="00043A4D">
        <w:t>no</w:t>
      </w:r>
      <w:r w:rsidR="002205B4">
        <w:t xml:space="preserve"> </w:t>
      </w:r>
      <w:r w:rsidR="00043A4D">
        <w:t>instructions regarding a settlement have been received and th</w:t>
      </w:r>
      <w:r w:rsidR="009B58CD">
        <w:t>e</w:t>
      </w:r>
      <w:r w:rsidR="00043A4D">
        <w:t xml:space="preserve"> application is proceeding.</w:t>
      </w:r>
      <w:r w:rsidR="00043A4D">
        <w:rPr>
          <w:rStyle w:val="FootnoteReference"/>
        </w:rPr>
        <w:footnoteReference w:id="32"/>
      </w:r>
    </w:p>
    <w:p w14:paraId="4197862B" w14:textId="06331E36" w:rsidR="00907060" w:rsidRDefault="009074E3" w:rsidP="009074E3">
      <w:pPr>
        <w:pStyle w:val="Heading1"/>
        <w:numPr>
          <w:ilvl w:val="0"/>
          <w:numId w:val="0"/>
        </w:numPr>
        <w:tabs>
          <w:tab w:val="left" w:pos="862"/>
        </w:tabs>
        <w:ind w:left="862" w:hanging="862"/>
      </w:pPr>
      <w:r>
        <w:t>[62]</w:t>
      </w:r>
      <w:r>
        <w:tab/>
      </w:r>
      <w:r w:rsidR="009B58CD">
        <w:t xml:space="preserve"> </w:t>
      </w:r>
      <w:proofErr w:type="spellStart"/>
      <w:r w:rsidR="009B58CD">
        <w:t>Bihl</w:t>
      </w:r>
      <w:proofErr w:type="spellEnd"/>
      <w:r w:rsidR="009B58CD">
        <w:t xml:space="preserve"> then again sends an e-mail to Baron</w:t>
      </w:r>
      <w:r w:rsidR="00907060">
        <w:t xml:space="preserve"> and includes Venter </w:t>
      </w:r>
      <w:r w:rsidR="009B58CD">
        <w:t>on 31</w:t>
      </w:r>
      <w:r w:rsidR="00907060">
        <w:t xml:space="preserve"> October</w:t>
      </w:r>
      <w:r w:rsidR="009B58CD">
        <w:t xml:space="preserve"> 2022 </w:t>
      </w:r>
      <w:r w:rsidR="002205B4">
        <w:t>at</w:t>
      </w:r>
      <w:r w:rsidR="009B58CD">
        <w:t xml:space="preserve"> 12:16</w:t>
      </w:r>
      <w:r w:rsidR="002205B4">
        <w:t xml:space="preserve">. </w:t>
      </w:r>
      <w:r w:rsidR="009B58CD">
        <w:t>It</w:t>
      </w:r>
      <w:r w:rsidR="002205B4">
        <w:t>,</w:t>
      </w:r>
      <w:r w:rsidR="009B58CD">
        <w:t xml:space="preserve"> too</w:t>
      </w:r>
      <w:r w:rsidR="002205B4">
        <w:t>,</w:t>
      </w:r>
      <w:r w:rsidR="009B58CD">
        <w:t xml:space="preserve"> is curt. It</w:t>
      </w:r>
      <w:r w:rsidR="00907060">
        <w:t xml:space="preserve"> refers Baron to the correspondence below and </w:t>
      </w:r>
      <w:r w:rsidR="002205B4">
        <w:t>asks</w:t>
      </w:r>
      <w:r w:rsidR="00907060">
        <w:t xml:space="preserve"> him to attend to this as a matter of urgency. The correspondence is not attached</w:t>
      </w:r>
      <w:r w:rsidR="002205B4">
        <w:t>,</w:t>
      </w:r>
      <w:r w:rsidR="00907060">
        <w:t xml:space="preserve"> but I accept that it is the TWB email of the same date.</w:t>
      </w:r>
    </w:p>
    <w:p w14:paraId="4A743360" w14:textId="04FD585A" w:rsidR="00907060" w:rsidRDefault="009074E3" w:rsidP="009074E3">
      <w:pPr>
        <w:pStyle w:val="Heading1"/>
        <w:numPr>
          <w:ilvl w:val="0"/>
          <w:numId w:val="0"/>
        </w:numPr>
        <w:tabs>
          <w:tab w:val="left" w:pos="862"/>
        </w:tabs>
        <w:ind w:left="862" w:hanging="862"/>
      </w:pPr>
      <w:r>
        <w:t>[63]</w:t>
      </w:r>
      <w:r>
        <w:tab/>
      </w:r>
      <w:r w:rsidR="00043A4D">
        <w:t>U</w:t>
      </w:r>
      <w:r w:rsidR="0067473D">
        <w:t>nsurprisingly,</w:t>
      </w:r>
      <w:r w:rsidR="006B70B3">
        <w:t xml:space="preserve"> the response from </w:t>
      </w:r>
      <w:r w:rsidR="0067473D">
        <w:t xml:space="preserve">Baron to Venter and </w:t>
      </w:r>
      <w:proofErr w:type="spellStart"/>
      <w:r w:rsidR="0067473D">
        <w:t>Bihl</w:t>
      </w:r>
      <w:proofErr w:type="spellEnd"/>
      <w:r w:rsidR="0067473D">
        <w:t xml:space="preserve"> at 12h22 </w:t>
      </w:r>
      <w:r w:rsidR="006B70B3">
        <w:t>records</w:t>
      </w:r>
      <w:r w:rsidR="002205B4">
        <w:t>,</w:t>
      </w:r>
      <w:r w:rsidR="0067473D">
        <w:t xml:space="preserve"> </w:t>
      </w:r>
      <w:r w:rsidR="0067473D" w:rsidRPr="002C7921">
        <w:rPr>
          <w:i/>
          <w:iCs/>
        </w:rPr>
        <w:t>“There is nothing I can do – you need to retract your client’s case”</w:t>
      </w:r>
      <w:r w:rsidR="0067473D">
        <w:t>.</w:t>
      </w:r>
      <w:r w:rsidR="00997751">
        <w:rPr>
          <w:rStyle w:val="FootnoteReference"/>
        </w:rPr>
        <w:footnoteReference w:id="33"/>
      </w:r>
      <w:r w:rsidR="0067473D">
        <w:t xml:space="preserve">  </w:t>
      </w:r>
    </w:p>
    <w:p w14:paraId="59256B2E" w14:textId="0AB2B603" w:rsidR="008408FE" w:rsidRDefault="009074E3" w:rsidP="009074E3">
      <w:pPr>
        <w:pStyle w:val="Heading1"/>
        <w:numPr>
          <w:ilvl w:val="0"/>
          <w:numId w:val="0"/>
        </w:numPr>
        <w:tabs>
          <w:tab w:val="left" w:pos="862"/>
        </w:tabs>
        <w:ind w:left="862" w:hanging="862"/>
      </w:pPr>
      <w:r>
        <w:t>[64]</w:t>
      </w:r>
      <w:r>
        <w:tab/>
      </w:r>
      <w:r w:rsidR="0067473D">
        <w:t>In an e-mail from Venter</w:t>
      </w:r>
      <w:r w:rsidR="006300A0">
        <w:t>,</w:t>
      </w:r>
      <w:r w:rsidR="0067473D">
        <w:t xml:space="preserve"> at 12h54</w:t>
      </w:r>
      <w:r w:rsidR="006300A0">
        <w:t>,</w:t>
      </w:r>
      <w:r w:rsidR="0067473D">
        <w:t xml:space="preserve"> Venter </w:t>
      </w:r>
      <w:r w:rsidR="006300A0">
        <w:t xml:space="preserve">tells </w:t>
      </w:r>
      <w:proofErr w:type="spellStart"/>
      <w:r w:rsidR="0067473D">
        <w:t>Bihl</w:t>
      </w:r>
      <w:proofErr w:type="spellEnd"/>
      <w:r w:rsidR="0067473D">
        <w:t xml:space="preserve"> that he is speaking to </w:t>
      </w:r>
      <w:proofErr w:type="spellStart"/>
      <w:r w:rsidR="0067473D">
        <w:t>Astfin</w:t>
      </w:r>
      <w:proofErr w:type="spellEnd"/>
      <w:r w:rsidR="0067473D">
        <w:t>, not Baron. He says De Nil made a proposal but that he asked De Nil to meet with his lawyers</w:t>
      </w:r>
      <w:r w:rsidR="008408FE">
        <w:t xml:space="preserve">, </w:t>
      </w:r>
      <w:proofErr w:type="gramStart"/>
      <w:r w:rsidR="008408FE">
        <w:t xml:space="preserve">“ </w:t>
      </w:r>
      <w:proofErr w:type="spellStart"/>
      <w:r w:rsidR="008408FE">
        <w:t>sy</w:t>
      </w:r>
      <w:proofErr w:type="spellEnd"/>
      <w:proofErr w:type="gramEnd"/>
      <w:r w:rsidR="008408FE">
        <w:t xml:space="preserve"> </w:t>
      </w:r>
      <w:proofErr w:type="spellStart"/>
      <w:r w:rsidR="008408FE">
        <w:t>Prokureurs</w:t>
      </w:r>
      <w:proofErr w:type="spellEnd"/>
      <w:r w:rsidR="008408FE">
        <w:t xml:space="preserve"> is </w:t>
      </w:r>
      <w:proofErr w:type="spellStart"/>
      <w:r w:rsidR="008408FE">
        <w:t>moelik</w:t>
      </w:r>
      <w:proofErr w:type="spellEnd"/>
      <w:r w:rsidR="008408FE">
        <w:t xml:space="preserve"> </w:t>
      </w:r>
      <w:proofErr w:type="spellStart"/>
      <w:r w:rsidR="008408FE">
        <w:t>oor</w:t>
      </w:r>
      <w:proofErr w:type="spellEnd"/>
      <w:r w:rsidR="008408FE">
        <w:t xml:space="preserve"> die </w:t>
      </w:r>
      <w:proofErr w:type="spellStart"/>
      <w:r w:rsidR="008408FE">
        <w:t>kostes</w:t>
      </w:r>
      <w:proofErr w:type="spellEnd"/>
      <w:r w:rsidR="006916B8">
        <w:t>”</w:t>
      </w:r>
      <w:r w:rsidR="008408FE">
        <w:t xml:space="preserve">, </w:t>
      </w:r>
      <w:r w:rsidR="00907060">
        <w:t>that day,</w:t>
      </w:r>
      <w:r w:rsidR="0067473D">
        <w:t xml:space="preserve"> revert by 16h00 and </w:t>
      </w:r>
      <w:r w:rsidR="0067473D" w:rsidRPr="002C7921">
        <w:rPr>
          <w:i/>
          <w:iCs/>
        </w:rPr>
        <w:t>“</w:t>
      </w:r>
      <w:proofErr w:type="spellStart"/>
      <w:r w:rsidR="00907060">
        <w:rPr>
          <w:i/>
          <w:iCs/>
        </w:rPr>
        <w:t>ppog</w:t>
      </w:r>
      <w:proofErr w:type="spellEnd"/>
      <w:r w:rsidR="00907060">
        <w:rPr>
          <w:i/>
          <w:iCs/>
        </w:rPr>
        <w:t xml:space="preserve"> (sic) </w:t>
      </w:r>
      <w:proofErr w:type="spellStart"/>
      <w:r w:rsidR="00907060">
        <w:rPr>
          <w:i/>
          <w:iCs/>
        </w:rPr>
        <w:t>om</w:t>
      </w:r>
      <w:proofErr w:type="spellEnd"/>
      <w:r w:rsidR="00907060">
        <w:rPr>
          <w:i/>
          <w:iCs/>
        </w:rPr>
        <w:t xml:space="preserve"> die settlement </w:t>
      </w:r>
      <w:proofErr w:type="spellStart"/>
      <w:r w:rsidR="00907060">
        <w:rPr>
          <w:i/>
          <w:iCs/>
        </w:rPr>
        <w:t>gemagtig</w:t>
      </w:r>
      <w:proofErr w:type="spellEnd"/>
      <w:r w:rsidR="00907060">
        <w:rPr>
          <w:i/>
          <w:iCs/>
        </w:rPr>
        <w:t xml:space="preserve"> </w:t>
      </w:r>
      <w:proofErr w:type="spellStart"/>
      <w:r w:rsidR="00907060">
        <w:rPr>
          <w:i/>
          <w:iCs/>
        </w:rPr>
        <w:t>te</w:t>
      </w:r>
      <w:proofErr w:type="spellEnd"/>
      <w:r w:rsidR="00907060">
        <w:rPr>
          <w:i/>
          <w:iCs/>
        </w:rPr>
        <w:t xml:space="preserve"> </w:t>
      </w:r>
      <w:proofErr w:type="spellStart"/>
      <w:r w:rsidR="00907060">
        <w:rPr>
          <w:i/>
          <w:iCs/>
        </w:rPr>
        <w:t>kry</w:t>
      </w:r>
      <w:proofErr w:type="spellEnd"/>
      <w:r w:rsidR="00907060">
        <w:rPr>
          <w:i/>
          <w:iCs/>
        </w:rPr>
        <w:t xml:space="preserve"> Sal </w:t>
      </w:r>
      <w:proofErr w:type="spellStart"/>
      <w:r w:rsidR="00907060">
        <w:rPr>
          <w:i/>
          <w:iCs/>
        </w:rPr>
        <w:t>jou</w:t>
      </w:r>
      <w:proofErr w:type="spellEnd"/>
      <w:r w:rsidR="00907060">
        <w:rPr>
          <w:i/>
          <w:iCs/>
        </w:rPr>
        <w:t xml:space="preserve"> en Jonathan op </w:t>
      </w:r>
      <w:proofErr w:type="spellStart"/>
      <w:r w:rsidR="00907060">
        <w:rPr>
          <w:i/>
          <w:iCs/>
        </w:rPr>
        <w:t>hoogte</w:t>
      </w:r>
      <w:proofErr w:type="spellEnd"/>
      <w:r w:rsidR="00907060">
        <w:rPr>
          <w:i/>
          <w:iCs/>
        </w:rPr>
        <w:t xml:space="preserve"> </w:t>
      </w:r>
      <w:proofErr w:type="spellStart"/>
      <w:r w:rsidR="00907060">
        <w:rPr>
          <w:i/>
          <w:iCs/>
        </w:rPr>
        <w:t>hou</w:t>
      </w:r>
      <w:proofErr w:type="spellEnd"/>
      <w:r w:rsidR="0067473D" w:rsidRPr="002C7921">
        <w:rPr>
          <w:i/>
          <w:iCs/>
        </w:rPr>
        <w:t>.</w:t>
      </w:r>
      <w:r w:rsidR="00907060">
        <w:rPr>
          <w:i/>
          <w:iCs/>
        </w:rPr>
        <w:t>”</w:t>
      </w:r>
      <w:r w:rsidR="0067473D">
        <w:t xml:space="preserve"> </w:t>
      </w:r>
      <w:r w:rsidR="00907060">
        <w:rPr>
          <w:rStyle w:val="FootnoteReference"/>
        </w:rPr>
        <w:footnoteReference w:id="34"/>
      </w:r>
      <w:r w:rsidR="0067473D">
        <w:t xml:space="preserve"> This e-mail reflects that Venter was still waiting</w:t>
      </w:r>
      <w:r w:rsidR="008408FE">
        <w:t xml:space="preserve"> to hear if a </w:t>
      </w:r>
      <w:r w:rsidR="0067473D">
        <w:t>settlement</w:t>
      </w:r>
      <w:r w:rsidR="00907060">
        <w:t xml:space="preserve"> from </w:t>
      </w:r>
      <w:proofErr w:type="spellStart"/>
      <w:r w:rsidR="00907060">
        <w:t>Astfin</w:t>
      </w:r>
      <w:proofErr w:type="spellEnd"/>
      <w:r w:rsidR="008408FE">
        <w:t xml:space="preserve"> would eventuate</w:t>
      </w:r>
      <w:r w:rsidR="0067473D">
        <w:t xml:space="preserve"> and that Baron could not have had the authority to </w:t>
      </w:r>
      <w:r w:rsidR="008408FE">
        <w:t>convey a settlement for</w:t>
      </w:r>
      <w:r w:rsidR="0067473D">
        <w:t xml:space="preserve"> </w:t>
      </w:r>
      <w:proofErr w:type="spellStart"/>
      <w:r w:rsidR="0067473D">
        <w:t>Astfin</w:t>
      </w:r>
      <w:proofErr w:type="spellEnd"/>
      <w:r w:rsidR="0067473D">
        <w:t xml:space="preserve">. </w:t>
      </w:r>
    </w:p>
    <w:p w14:paraId="734CC3E8" w14:textId="715FFE7B" w:rsidR="0067473D" w:rsidRDefault="009074E3" w:rsidP="009074E3">
      <w:pPr>
        <w:pStyle w:val="Heading1"/>
        <w:numPr>
          <w:ilvl w:val="0"/>
          <w:numId w:val="0"/>
        </w:numPr>
        <w:tabs>
          <w:tab w:val="left" w:pos="862"/>
        </w:tabs>
        <w:ind w:left="862" w:hanging="862"/>
      </w:pPr>
      <w:r>
        <w:t>[65]</w:t>
      </w:r>
      <w:r>
        <w:tab/>
      </w:r>
      <w:r w:rsidR="0067473D">
        <w:t xml:space="preserve">Venter, not Baron, then informed </w:t>
      </w:r>
      <w:proofErr w:type="spellStart"/>
      <w:r w:rsidR="0067473D">
        <w:t>Bihl</w:t>
      </w:r>
      <w:proofErr w:type="spellEnd"/>
      <w:r w:rsidR="0067473D">
        <w:t xml:space="preserve"> that the application was proceeding and that it was too late to reach an agreement</w:t>
      </w:r>
      <w:r w:rsidR="008408FE">
        <w:t xml:space="preserve"> in an e-mail dated 31 </w:t>
      </w:r>
      <w:r w:rsidR="008408FE">
        <w:lastRenderedPageBreak/>
        <w:t>October 2022 at 3:01 pm</w:t>
      </w:r>
      <w:r w:rsidR="008408FE">
        <w:rPr>
          <w:rStyle w:val="FootnoteReference"/>
        </w:rPr>
        <w:footnoteReference w:id="35"/>
      </w:r>
      <w:r w:rsidR="008408FE">
        <w:t xml:space="preserve">. </w:t>
      </w:r>
      <w:proofErr w:type="spellStart"/>
      <w:r w:rsidR="008408FE">
        <w:t>Bihl’s</w:t>
      </w:r>
      <w:proofErr w:type="spellEnd"/>
      <w:r w:rsidR="008408FE">
        <w:t xml:space="preserve"> answer</w:t>
      </w:r>
      <w:r w:rsidR="002205B4">
        <w:t xml:space="preserve"> </w:t>
      </w:r>
      <w:r w:rsidR="008408FE">
        <w:t>is to simply thank Venter. He does not assert the settlement or that Baron had misled him.</w:t>
      </w:r>
    </w:p>
    <w:p w14:paraId="630482E8" w14:textId="208A36AB" w:rsidR="0067473D" w:rsidRDefault="009074E3" w:rsidP="009074E3">
      <w:pPr>
        <w:pStyle w:val="Heading1"/>
        <w:numPr>
          <w:ilvl w:val="0"/>
          <w:numId w:val="0"/>
        </w:numPr>
        <w:tabs>
          <w:tab w:val="left" w:pos="862"/>
        </w:tabs>
        <w:ind w:left="862" w:hanging="862"/>
      </w:pPr>
      <w:r>
        <w:t>[66]</w:t>
      </w:r>
      <w:r>
        <w:tab/>
      </w:r>
      <w:r w:rsidR="0067473D">
        <w:t xml:space="preserve">It was submitted to me by Mr Whittington that it is not for </w:t>
      </w:r>
      <w:proofErr w:type="spellStart"/>
      <w:r w:rsidR="0067473D">
        <w:t>Astfin’s</w:t>
      </w:r>
      <w:proofErr w:type="spellEnd"/>
      <w:r w:rsidR="0067473D">
        <w:t xml:space="preserve"> attorney to scupper a settlement agreement and to insist that the costs remain a barrier to a settlement.  In principle, the attorneys cannot stipulate that a matter cannot be </w:t>
      </w:r>
      <w:r w:rsidR="00244667">
        <w:t>settled even</w:t>
      </w:r>
      <w:r w:rsidR="0067473D">
        <w:t xml:space="preserve"> if it is only in relation to costs</w:t>
      </w:r>
      <w:r w:rsidR="002205B4">
        <w:t>;</w:t>
      </w:r>
      <w:r w:rsidR="0067473D">
        <w:t xml:space="preserve"> it is the</w:t>
      </w:r>
      <w:r w:rsidR="005F5BF4">
        <w:t>ir</w:t>
      </w:r>
      <w:r w:rsidR="0067473D">
        <w:t xml:space="preserve"> </w:t>
      </w:r>
      <w:r w:rsidR="002205B4">
        <w:t>client's</w:t>
      </w:r>
      <w:r w:rsidR="0067473D">
        <w:t xml:space="preserve"> decision. The concern</w:t>
      </w:r>
      <w:r w:rsidR="005F5BF4">
        <w:t>,</w:t>
      </w:r>
      <w:r w:rsidR="0067473D">
        <w:t xml:space="preserve"> however</w:t>
      </w:r>
      <w:r w:rsidR="005F5BF4">
        <w:t>,</w:t>
      </w:r>
      <w:r w:rsidR="0067473D">
        <w:t xml:space="preserve"> is that this submission presupposes that </w:t>
      </w:r>
      <w:proofErr w:type="spellStart"/>
      <w:r w:rsidR="0067473D">
        <w:t>Astfin</w:t>
      </w:r>
      <w:proofErr w:type="spellEnd"/>
      <w:r w:rsidR="0067473D">
        <w:t xml:space="preserve"> had agreed to a settlement</w:t>
      </w:r>
      <w:r w:rsidR="002205B4">
        <w:t>,</w:t>
      </w:r>
      <w:r w:rsidR="0067473D">
        <w:t xml:space="preserve"> and all that was in dispute was the costs order.  It is clear from the aforesaid that it was not only the issue of the costs but also the applicant’s failure to address the remaining disputes, commercial and otherwise, involving</w:t>
      </w:r>
      <w:r w:rsidR="005F5BF4">
        <w:t xml:space="preserve"> </w:t>
      </w:r>
      <w:proofErr w:type="spellStart"/>
      <w:r w:rsidR="005F5BF4">
        <w:t>Astfin</w:t>
      </w:r>
      <w:proofErr w:type="spellEnd"/>
      <w:r w:rsidR="005F5BF4">
        <w:t xml:space="preserve"> and</w:t>
      </w:r>
      <w:r w:rsidR="0067473D">
        <w:t xml:space="preserve"> the NRB Group</w:t>
      </w:r>
      <w:r w:rsidR="006300A0">
        <w:t>. Any agreement, as a consequence</w:t>
      </w:r>
      <w:r w:rsidR="005F5BF4">
        <w:t>,</w:t>
      </w:r>
      <w:r w:rsidR="006300A0">
        <w:t xml:space="preserve"> would have to be </w:t>
      </w:r>
      <w:r w:rsidR="0067473D">
        <w:t>reduce</w:t>
      </w:r>
      <w:r w:rsidR="006300A0">
        <w:t>d</w:t>
      </w:r>
      <w:r w:rsidR="0067473D">
        <w:t xml:space="preserve"> to writing. It</w:t>
      </w:r>
      <w:r w:rsidR="006916B8">
        <w:t xml:space="preserve"> is clear </w:t>
      </w:r>
      <w:r w:rsidR="0067473D">
        <w:t xml:space="preserve">that a written agreement was </w:t>
      </w:r>
      <w:r w:rsidR="00695420">
        <w:t>required</w:t>
      </w:r>
      <w:r w:rsidR="002205B4">
        <w:t>,</w:t>
      </w:r>
      <w:r w:rsidR="00695420">
        <w:t xml:space="preserve"> particularly in light of the non-variation clauses in the loan agreements to which I was referred.</w:t>
      </w:r>
      <w:r w:rsidR="0067473D">
        <w:t xml:space="preserve">  </w:t>
      </w:r>
    </w:p>
    <w:p w14:paraId="3F1EE037" w14:textId="11987341" w:rsidR="0067473D" w:rsidRDefault="009074E3" w:rsidP="009074E3">
      <w:pPr>
        <w:pStyle w:val="Heading1"/>
        <w:numPr>
          <w:ilvl w:val="0"/>
          <w:numId w:val="0"/>
        </w:numPr>
        <w:tabs>
          <w:tab w:val="left" w:pos="862"/>
        </w:tabs>
        <w:ind w:left="862" w:hanging="862"/>
      </w:pPr>
      <w:r>
        <w:t>[67]</w:t>
      </w:r>
      <w:r>
        <w:tab/>
      </w:r>
      <w:r w:rsidR="0067473D">
        <w:t xml:space="preserve">The submission that De Nil had the authority to propose and bind </w:t>
      </w:r>
      <w:proofErr w:type="spellStart"/>
      <w:r w:rsidR="0067473D">
        <w:t>Astfin</w:t>
      </w:r>
      <w:proofErr w:type="spellEnd"/>
      <w:r w:rsidR="0067473D">
        <w:t xml:space="preserve"> to a settlement agreement is not in dispute. </w:t>
      </w:r>
      <w:r w:rsidR="00695420">
        <w:t xml:space="preserve">The </w:t>
      </w:r>
      <w:r w:rsidR="0067473D">
        <w:t xml:space="preserve">critical dispute </w:t>
      </w:r>
      <w:r w:rsidR="00695420">
        <w:t xml:space="preserve">as to </w:t>
      </w:r>
      <w:r w:rsidR="0067473D">
        <w:t>Baron</w:t>
      </w:r>
      <w:r w:rsidR="00695420">
        <w:t>’s</w:t>
      </w:r>
      <w:r w:rsidR="0067473D">
        <w:t xml:space="preserve"> authority to represent </w:t>
      </w:r>
      <w:proofErr w:type="spellStart"/>
      <w:r w:rsidR="0067473D">
        <w:t>Astfin</w:t>
      </w:r>
      <w:proofErr w:type="spellEnd"/>
      <w:r w:rsidR="00695420">
        <w:t xml:space="preserve"> </w:t>
      </w:r>
      <w:r w:rsidR="0067473D">
        <w:t xml:space="preserve">must have been foreseen by </w:t>
      </w:r>
      <w:proofErr w:type="spellStart"/>
      <w:r w:rsidR="00695420">
        <w:t>Bihl</w:t>
      </w:r>
      <w:proofErr w:type="spellEnd"/>
      <w:r w:rsidR="00695420">
        <w:t xml:space="preserve"> and the </w:t>
      </w:r>
      <w:r w:rsidR="0067473D">
        <w:t>applicant. In fact</w:t>
      </w:r>
      <w:r w:rsidR="002205B4">
        <w:t>,</w:t>
      </w:r>
      <w:r w:rsidR="0067473D">
        <w:t xml:space="preserve"> </w:t>
      </w:r>
      <w:proofErr w:type="spellStart"/>
      <w:r w:rsidR="0067473D">
        <w:t>Bihl’s</w:t>
      </w:r>
      <w:proofErr w:type="spellEnd"/>
      <w:r w:rsidR="0067473D">
        <w:t xml:space="preserve"> </w:t>
      </w:r>
      <w:r w:rsidR="00244667">
        <w:t>letter, dated</w:t>
      </w:r>
      <w:r w:rsidR="0067473D">
        <w:t xml:space="preserve"> 2 November 2022, envisages opposition to the contention that a settlement was concluded. </w:t>
      </w:r>
    </w:p>
    <w:p w14:paraId="7E3ECDCB" w14:textId="34112A81" w:rsidR="008408FE" w:rsidRDefault="009074E3" w:rsidP="009074E3">
      <w:pPr>
        <w:pStyle w:val="Heading1"/>
        <w:numPr>
          <w:ilvl w:val="0"/>
          <w:numId w:val="0"/>
        </w:numPr>
        <w:tabs>
          <w:tab w:val="left" w:pos="862"/>
        </w:tabs>
        <w:ind w:left="862" w:hanging="862"/>
      </w:pPr>
      <w:r>
        <w:t>[68]</w:t>
      </w:r>
      <w:r>
        <w:tab/>
      </w:r>
      <w:r w:rsidR="0067473D">
        <w:t xml:space="preserve">It has not been established by the applicant that Baron </w:t>
      </w:r>
      <w:r w:rsidR="00695420">
        <w:t xml:space="preserve">had </w:t>
      </w:r>
      <w:r w:rsidR="0067473D">
        <w:t>the requisite authority</w:t>
      </w:r>
      <w:r w:rsidR="005F5BF4">
        <w:t xml:space="preserve"> to represent </w:t>
      </w:r>
      <w:proofErr w:type="spellStart"/>
      <w:r w:rsidR="005F5BF4">
        <w:t>Astfin</w:t>
      </w:r>
      <w:proofErr w:type="spellEnd"/>
      <w:r w:rsidR="005F5BF4">
        <w:t xml:space="preserve"> or that a settlement was agreed </w:t>
      </w:r>
      <w:r w:rsidR="002205B4">
        <w:t xml:space="preserve">upon </w:t>
      </w:r>
      <w:r w:rsidR="005F5BF4">
        <w:t>on 26 October 2022.</w:t>
      </w:r>
      <w:r w:rsidR="0067473D">
        <w:t xml:space="preserve"> </w:t>
      </w:r>
      <w:r w:rsidR="005F5BF4">
        <w:t xml:space="preserve"> </w:t>
      </w:r>
    </w:p>
    <w:p w14:paraId="1E8C60F8" w14:textId="529B8A30" w:rsidR="0067473D" w:rsidRDefault="009074E3" w:rsidP="009074E3">
      <w:pPr>
        <w:pStyle w:val="Heading1"/>
        <w:numPr>
          <w:ilvl w:val="0"/>
          <w:numId w:val="0"/>
        </w:numPr>
        <w:tabs>
          <w:tab w:val="left" w:pos="862"/>
        </w:tabs>
        <w:ind w:left="862" w:hanging="862"/>
      </w:pPr>
      <w:r>
        <w:t>[69]</w:t>
      </w:r>
      <w:r>
        <w:tab/>
      </w:r>
      <w:r w:rsidR="005F5BF4">
        <w:t>O</w:t>
      </w:r>
      <w:r w:rsidR="0067473D">
        <w:t>n 2 November 2022</w:t>
      </w:r>
      <w:proofErr w:type="gramStart"/>
      <w:r w:rsidR="006916B8">
        <w:t>,</w:t>
      </w:r>
      <w:r w:rsidR="0067473D">
        <w:t xml:space="preserve">  </w:t>
      </w:r>
      <w:proofErr w:type="spellStart"/>
      <w:r w:rsidR="0067473D">
        <w:t>Bihl</w:t>
      </w:r>
      <w:proofErr w:type="spellEnd"/>
      <w:proofErr w:type="gramEnd"/>
      <w:r w:rsidR="0067473D">
        <w:t xml:space="preserve"> addresses a letter to TWB for the first time</w:t>
      </w:r>
      <w:r w:rsidR="008408FE">
        <w:t xml:space="preserve"> on the record</w:t>
      </w:r>
      <w:r w:rsidR="0067473D">
        <w:t>.</w:t>
      </w:r>
      <w:r w:rsidR="008408FE">
        <w:rPr>
          <w:rStyle w:val="FootnoteReference"/>
        </w:rPr>
        <w:footnoteReference w:id="36"/>
      </w:r>
      <w:r w:rsidR="0067473D">
        <w:t xml:space="preserve">  </w:t>
      </w:r>
      <w:r w:rsidR="005F5BF4">
        <w:t>Devoid of any mention of Baron and his role in the</w:t>
      </w:r>
      <w:r w:rsidR="002205B4">
        <w:t xml:space="preserve"> </w:t>
      </w:r>
      <w:r w:rsidR="005F5BF4">
        <w:t>purported settlement</w:t>
      </w:r>
      <w:r w:rsidR="006916B8">
        <w:t>,</w:t>
      </w:r>
      <w:r w:rsidR="005F5BF4">
        <w:t xml:space="preserve"> </w:t>
      </w:r>
      <w:proofErr w:type="spellStart"/>
      <w:r w:rsidR="005F5BF4">
        <w:t>Bihl</w:t>
      </w:r>
      <w:proofErr w:type="spellEnd"/>
      <w:r w:rsidR="005F5BF4">
        <w:t xml:space="preserve"> </w:t>
      </w:r>
      <w:r w:rsidR="0067473D">
        <w:t>raises the</w:t>
      </w:r>
      <w:r w:rsidR="008408FE">
        <w:t xml:space="preserve"> purported</w:t>
      </w:r>
      <w:r w:rsidR="0067473D">
        <w:t xml:space="preserve"> settlement </w:t>
      </w:r>
      <w:r w:rsidR="005F5BF4">
        <w:t>with TWB.</w:t>
      </w:r>
      <w:r w:rsidR="0067473D">
        <w:t xml:space="preserve"> This </w:t>
      </w:r>
      <w:r w:rsidR="0067473D">
        <w:lastRenderedPageBreak/>
        <w:t xml:space="preserve">application was due to be heard in the opposed court </w:t>
      </w:r>
      <w:r w:rsidR="00695420">
        <w:t xml:space="preserve">the following week, </w:t>
      </w:r>
      <w:r w:rsidR="0067473D">
        <w:t>on 7 November 2022, some three Court days later.  It is understandable</w:t>
      </w:r>
      <w:r w:rsidR="002205B4">
        <w:t>,</w:t>
      </w:r>
      <w:r w:rsidR="0067473D">
        <w:t xml:space="preserve"> therefore</w:t>
      </w:r>
      <w:r w:rsidR="002205B4">
        <w:t>,</w:t>
      </w:r>
      <w:r w:rsidR="0067473D">
        <w:t xml:space="preserve"> that </w:t>
      </w:r>
      <w:proofErr w:type="spellStart"/>
      <w:r w:rsidR="0067473D">
        <w:t>Astfin</w:t>
      </w:r>
      <w:proofErr w:type="spellEnd"/>
      <w:r w:rsidR="0067473D">
        <w:t xml:space="preserve">, who was not a party to the discussions with </w:t>
      </w:r>
      <w:proofErr w:type="spellStart"/>
      <w:r w:rsidR="0067473D">
        <w:t>Bihl</w:t>
      </w:r>
      <w:proofErr w:type="spellEnd"/>
      <w:r w:rsidR="0067473D">
        <w:t xml:space="preserve">, refused to agree to </w:t>
      </w:r>
      <w:r w:rsidR="002205B4">
        <w:t xml:space="preserve">the </w:t>
      </w:r>
      <w:r w:rsidR="0067473D">
        <w:t>removal of the application on the basis that the applicant would now proceed with</w:t>
      </w:r>
      <w:r w:rsidR="00695420">
        <w:t xml:space="preserve"> </w:t>
      </w:r>
      <w:r w:rsidR="0067473D">
        <w:t>a declaratory application and in respect of which answering affidavits would need to be filed.  TWB</w:t>
      </w:r>
      <w:r w:rsidR="002205B4">
        <w:t>,</w:t>
      </w:r>
      <w:r w:rsidR="0067473D">
        <w:t xml:space="preserve"> in a letter dated 2 November 2022 to </w:t>
      </w:r>
      <w:proofErr w:type="spellStart"/>
      <w:r w:rsidR="0067473D">
        <w:t>Bihl</w:t>
      </w:r>
      <w:proofErr w:type="spellEnd"/>
      <w:r w:rsidR="002205B4">
        <w:t>,</w:t>
      </w:r>
      <w:r w:rsidR="0067473D">
        <w:t xml:space="preserve"> affirmed that no settlement had been reached and</w:t>
      </w:r>
      <w:r w:rsidR="002205B4">
        <w:t>,</w:t>
      </w:r>
      <w:r w:rsidR="0067473D">
        <w:t xml:space="preserve"> that there was no agreement to remove the matter from the roll and </w:t>
      </w:r>
      <w:r w:rsidR="002205B4">
        <w:t xml:space="preserve">that </w:t>
      </w:r>
      <w:r w:rsidR="0067473D">
        <w:t xml:space="preserve">the main application would proceed. TWB recorded that the bringing of </w:t>
      </w:r>
      <w:r w:rsidR="00244667">
        <w:t>the declaratory</w:t>
      </w:r>
      <w:r w:rsidR="0067473D">
        <w:t xml:space="preserve"> application was not only an attempt to derail the main application but indicative of it being ill-conceived in the first instance.  </w:t>
      </w:r>
    </w:p>
    <w:p w14:paraId="2792A849" w14:textId="16D05D64" w:rsidR="00695420" w:rsidRDefault="009074E3" w:rsidP="009074E3">
      <w:pPr>
        <w:pStyle w:val="Heading1"/>
        <w:numPr>
          <w:ilvl w:val="0"/>
          <w:numId w:val="0"/>
        </w:numPr>
        <w:tabs>
          <w:tab w:val="left" w:pos="862"/>
        </w:tabs>
        <w:ind w:left="862" w:hanging="862"/>
      </w:pPr>
      <w:r>
        <w:t>[70]</w:t>
      </w:r>
      <w:r>
        <w:tab/>
      </w:r>
      <w:r w:rsidR="00244667">
        <w:t>The conclusion</w:t>
      </w:r>
      <w:r w:rsidR="0067473D">
        <w:t xml:space="preserve"> proffered by </w:t>
      </w:r>
      <w:proofErr w:type="spellStart"/>
      <w:r w:rsidR="0067473D">
        <w:t>Bihl</w:t>
      </w:r>
      <w:proofErr w:type="spellEnd"/>
      <w:r w:rsidR="0067473D">
        <w:t xml:space="preserve"> that the TWB letter patently fails to deny that De Nil had the authority to conclude the settlement agreement did not arise.  </w:t>
      </w:r>
      <w:proofErr w:type="spellStart"/>
      <w:r w:rsidR="0067473D">
        <w:t>Bihl</w:t>
      </w:r>
      <w:proofErr w:type="spellEnd"/>
      <w:r w:rsidR="0067473D">
        <w:t xml:space="preserve"> </w:t>
      </w:r>
      <w:r w:rsidR="00695420">
        <w:t xml:space="preserve">never </w:t>
      </w:r>
      <w:r w:rsidR="0067473D">
        <w:t>raise</w:t>
      </w:r>
      <w:r w:rsidR="00695420">
        <w:t>d</w:t>
      </w:r>
      <w:r w:rsidR="0067473D">
        <w:t xml:space="preserve"> with TWB the materially contested fact that Baron was authorised to represent </w:t>
      </w:r>
      <w:proofErr w:type="spellStart"/>
      <w:r w:rsidR="0067473D">
        <w:t>Astfin</w:t>
      </w:r>
      <w:proofErr w:type="spellEnd"/>
      <w:r w:rsidR="0067473D">
        <w:t xml:space="preserve">. It was not contended that De Nil or any representative of </w:t>
      </w:r>
      <w:proofErr w:type="spellStart"/>
      <w:r w:rsidR="0067473D">
        <w:t>Astfin</w:t>
      </w:r>
      <w:proofErr w:type="spellEnd"/>
      <w:r w:rsidR="0067473D">
        <w:t xml:space="preserve"> had expressly or impliedly conveyed to </w:t>
      </w:r>
      <w:proofErr w:type="spellStart"/>
      <w:r w:rsidR="0067473D">
        <w:t>Bihl</w:t>
      </w:r>
      <w:proofErr w:type="spellEnd"/>
      <w:r w:rsidR="0067473D">
        <w:t xml:space="preserve"> that Baron had any authority to represent it. </w:t>
      </w:r>
    </w:p>
    <w:p w14:paraId="0A70CC69" w14:textId="706CBE60" w:rsidR="0067473D" w:rsidRDefault="009074E3" w:rsidP="009074E3">
      <w:pPr>
        <w:pStyle w:val="Heading1"/>
        <w:numPr>
          <w:ilvl w:val="0"/>
          <w:numId w:val="0"/>
        </w:numPr>
        <w:tabs>
          <w:tab w:val="left" w:pos="862"/>
        </w:tabs>
        <w:ind w:left="862" w:hanging="862"/>
      </w:pPr>
      <w:r>
        <w:t>[71]</w:t>
      </w:r>
      <w:r>
        <w:tab/>
      </w:r>
      <w:r w:rsidR="00695420">
        <w:t>As stated above,</w:t>
      </w:r>
      <w:r w:rsidR="0067473D">
        <w:t xml:space="preserve"> the defence of an estoppel was not and could not be raised</w:t>
      </w:r>
      <w:r w:rsidR="00695420">
        <w:t xml:space="preserve"> by the applicant in reply</w:t>
      </w:r>
      <w:r w:rsidR="0067473D">
        <w:t>.</w:t>
      </w:r>
      <w:r w:rsidR="00695420">
        <w:t xml:space="preserve">  It is not surprising that a replying affidavit was not filed by </w:t>
      </w:r>
      <w:proofErr w:type="spellStart"/>
      <w:r w:rsidR="00695420">
        <w:t>Bihl</w:t>
      </w:r>
      <w:proofErr w:type="spellEnd"/>
      <w:r w:rsidR="00695420">
        <w:t xml:space="preserve">. </w:t>
      </w:r>
    </w:p>
    <w:p w14:paraId="245E821B" w14:textId="23A79E33" w:rsidR="0067473D" w:rsidRPr="007A3747" w:rsidRDefault="009074E3" w:rsidP="009074E3">
      <w:pPr>
        <w:pStyle w:val="Heading1"/>
        <w:numPr>
          <w:ilvl w:val="0"/>
          <w:numId w:val="0"/>
        </w:numPr>
        <w:tabs>
          <w:tab w:val="left" w:pos="862"/>
        </w:tabs>
        <w:ind w:left="862" w:hanging="862"/>
        <w:rPr>
          <w:rFonts w:cs="Arial"/>
          <w:i/>
          <w:iCs/>
          <w:color w:val="000000" w:themeColor="text1"/>
          <w:szCs w:val="24"/>
        </w:rPr>
      </w:pPr>
      <w:r w:rsidRPr="007A3747">
        <w:rPr>
          <w:rFonts w:cs="Arial"/>
          <w:iCs/>
          <w:color w:val="000000" w:themeColor="text1"/>
          <w:szCs w:val="24"/>
        </w:rPr>
        <w:t>[72]</w:t>
      </w:r>
      <w:r w:rsidRPr="007A3747">
        <w:rPr>
          <w:rFonts w:cs="Arial"/>
          <w:iCs/>
          <w:color w:val="000000" w:themeColor="text1"/>
          <w:szCs w:val="24"/>
        </w:rPr>
        <w:tab/>
      </w:r>
      <w:r w:rsidR="0067473D" w:rsidRPr="007A3747">
        <w:rPr>
          <w:rFonts w:cs="Arial"/>
          <w:color w:val="000000" w:themeColor="text1"/>
          <w:szCs w:val="24"/>
          <w:shd w:val="clear" w:color="auto" w:fill="FFFFFF"/>
        </w:rPr>
        <w:t xml:space="preserve">As held in </w:t>
      </w:r>
      <w:r w:rsidR="0067473D" w:rsidRPr="007A3747">
        <w:rPr>
          <w:rFonts w:cs="Arial"/>
          <w:b/>
          <w:bCs/>
          <w:color w:val="000000" w:themeColor="text1"/>
          <w:szCs w:val="24"/>
          <w:u w:val="single"/>
          <w:shd w:val="clear" w:color="auto" w:fill="FFFFFF"/>
        </w:rPr>
        <w:t>South African Eagle Insurance Co Ltd v NBS Bank Ltd</w:t>
      </w:r>
      <w:r w:rsidR="0067473D" w:rsidRPr="007A3747">
        <w:rPr>
          <w:rStyle w:val="FootnoteReference"/>
          <w:rFonts w:cs="Arial"/>
          <w:szCs w:val="24"/>
          <w:shd w:val="clear" w:color="auto" w:fill="FFFFFF"/>
        </w:rPr>
        <w:footnoteReference w:id="37"/>
      </w:r>
      <w:r w:rsidR="0067473D" w:rsidRPr="007A3747">
        <w:rPr>
          <w:rFonts w:cs="Arial"/>
          <w:color w:val="000000" w:themeColor="text1"/>
          <w:szCs w:val="24"/>
          <w:shd w:val="clear" w:color="auto" w:fill="FFFFFF"/>
        </w:rPr>
        <w:t xml:space="preserve"> </w:t>
      </w:r>
    </w:p>
    <w:p w14:paraId="58B214DB" w14:textId="77777777" w:rsidR="0067473D" w:rsidRPr="00D414B0" w:rsidRDefault="0067473D" w:rsidP="0067473D">
      <w:pPr>
        <w:pStyle w:val="Heading1"/>
        <w:numPr>
          <w:ilvl w:val="0"/>
          <w:numId w:val="0"/>
        </w:numPr>
        <w:ind w:left="864" w:firstLine="1"/>
        <w:rPr>
          <w:rFonts w:cs="Arial"/>
          <w:i/>
          <w:iCs/>
          <w:color w:val="000000" w:themeColor="text1"/>
          <w:sz w:val="22"/>
          <w:szCs w:val="22"/>
        </w:rPr>
      </w:pPr>
      <w:r w:rsidRPr="00D414B0">
        <w:rPr>
          <w:rFonts w:cs="Arial"/>
          <w:i/>
          <w:iCs/>
          <w:color w:val="000000" w:themeColor="text1"/>
          <w:sz w:val="22"/>
          <w:szCs w:val="22"/>
          <w:shd w:val="clear" w:color="auto" w:fill="FFFFFF"/>
        </w:rPr>
        <w:t>“[27] The reason for the distinction is this. Where two parties negotiate with one another directly and not through representatives they will be bound if, objectively regarded, they appear to have reached contractual consensus. That one or other of the parties did not subjectively intend to do so will not matter. The</w:t>
      </w:r>
      <w:proofErr w:type="gramStart"/>
      <w:r w:rsidRPr="00D414B0">
        <w:rPr>
          <w:rFonts w:cs="Arial"/>
          <w:i/>
          <w:iCs/>
          <w:color w:val="000000" w:themeColor="text1"/>
          <w:sz w:val="22"/>
          <w:szCs w:val="22"/>
          <w:shd w:val="clear" w:color="auto" w:fill="FFFFFF"/>
        </w:rPr>
        <w:t> </w:t>
      </w:r>
      <w:r w:rsidRPr="00D414B0">
        <w:rPr>
          <w:rStyle w:val="mc"/>
          <w:rFonts w:cs="Arial"/>
          <w:i/>
          <w:iCs/>
          <w:color w:val="000000" w:themeColor="text1"/>
          <w:sz w:val="22"/>
          <w:szCs w:val="22"/>
          <w:shd w:val="clear" w:color="auto" w:fill="C0C0C0"/>
        </w:rPr>
        <w:t> F</w:t>
      </w:r>
      <w:proofErr w:type="gramEnd"/>
      <w:r w:rsidRPr="00D414B0">
        <w:rPr>
          <w:rStyle w:val="mc"/>
          <w:rFonts w:cs="Arial"/>
          <w:i/>
          <w:iCs/>
          <w:color w:val="000000" w:themeColor="text1"/>
          <w:sz w:val="22"/>
          <w:szCs w:val="22"/>
          <w:shd w:val="clear" w:color="auto" w:fill="C0C0C0"/>
        </w:rPr>
        <w:t> </w:t>
      </w:r>
      <w:r w:rsidRPr="00D414B0">
        <w:rPr>
          <w:rFonts w:cs="Arial"/>
          <w:i/>
          <w:iCs/>
          <w:color w:val="000000" w:themeColor="text1"/>
          <w:sz w:val="22"/>
          <w:szCs w:val="22"/>
          <w:shd w:val="clear" w:color="auto" w:fill="FFFFFF"/>
        </w:rPr>
        <w:t xml:space="preserve"> objective theory of our law of contract dictates that result. Each party is entitled to rely </w:t>
      </w:r>
      <w:r w:rsidRPr="00D414B0">
        <w:rPr>
          <w:rFonts w:cs="Arial"/>
          <w:i/>
          <w:iCs/>
          <w:color w:val="000000" w:themeColor="text1"/>
          <w:sz w:val="22"/>
          <w:szCs w:val="22"/>
          <w:shd w:val="clear" w:color="auto" w:fill="FFFFFF"/>
        </w:rPr>
        <w:lastRenderedPageBreak/>
        <w:t>upon the objective manifestations of consensus which emanate from the other. And where each party is responsible for those which emanate from him or her it seems right that such should be the result. However, where one of them purports to be acting in a representative capacity but has in fact no authority to do so, the person whom he or she purports to represent can obviously </w:t>
      </w:r>
      <w:r w:rsidRPr="00D414B0">
        <w:rPr>
          <w:rStyle w:val="mc"/>
          <w:rFonts w:cs="Arial"/>
          <w:i/>
          <w:iCs/>
          <w:color w:val="000000" w:themeColor="text1"/>
          <w:sz w:val="22"/>
          <w:szCs w:val="22"/>
          <w:shd w:val="clear" w:color="auto" w:fill="C0C0C0"/>
        </w:rPr>
        <w:t> G </w:t>
      </w:r>
      <w:r w:rsidRPr="00D414B0">
        <w:rPr>
          <w:rFonts w:cs="Arial"/>
          <w:i/>
          <w:iCs/>
          <w:color w:val="000000" w:themeColor="text1"/>
          <w:sz w:val="22"/>
          <w:szCs w:val="22"/>
          <w:shd w:val="clear" w:color="auto" w:fill="FFFFFF"/>
        </w:rPr>
        <w:t> not be held bound to the contract simply because the unauthorised party claimed to be authorised. That person will only be held bound if his or her own conduct justified the other party's belief that authority existed. </w:t>
      </w:r>
      <w:r w:rsidRPr="00D414B0">
        <w:rPr>
          <w:rStyle w:val="mc"/>
          <w:rFonts w:cs="Arial"/>
          <w:i/>
          <w:iCs/>
          <w:color w:val="000000" w:themeColor="text1"/>
          <w:sz w:val="22"/>
          <w:szCs w:val="22"/>
          <w:shd w:val="clear" w:color="auto" w:fill="C0C0C0"/>
        </w:rPr>
        <w:t> H “</w:t>
      </w:r>
    </w:p>
    <w:p w14:paraId="3142FD28" w14:textId="1548C483" w:rsidR="00695420" w:rsidRDefault="009074E3" w:rsidP="009074E3">
      <w:pPr>
        <w:pStyle w:val="Heading1"/>
        <w:numPr>
          <w:ilvl w:val="0"/>
          <w:numId w:val="0"/>
        </w:numPr>
        <w:tabs>
          <w:tab w:val="left" w:pos="862"/>
        </w:tabs>
        <w:ind w:left="862" w:hanging="862"/>
      </w:pPr>
      <w:r>
        <w:t>[73]</w:t>
      </w:r>
      <w:r>
        <w:tab/>
      </w:r>
      <w:r w:rsidR="0085439D">
        <w:t>O</w:t>
      </w:r>
      <w:r w:rsidR="0067473D">
        <w:t>n the aforesaid facts</w:t>
      </w:r>
      <w:r w:rsidR="002205B4">
        <w:t>,</w:t>
      </w:r>
      <w:r w:rsidR="0067473D">
        <w:t xml:space="preserve"> </w:t>
      </w:r>
      <w:proofErr w:type="spellStart"/>
      <w:r w:rsidR="0067473D">
        <w:t>Astfin’s</w:t>
      </w:r>
      <w:proofErr w:type="spellEnd"/>
      <w:r w:rsidR="0067473D">
        <w:t xml:space="preserve"> version cannot be rejected. The applicant, in the face of the e-mails and </w:t>
      </w:r>
      <w:proofErr w:type="spellStart"/>
      <w:r w:rsidR="0067473D">
        <w:t>WhatsApp</w:t>
      </w:r>
      <w:proofErr w:type="spellEnd"/>
      <w:r w:rsidR="0067473D">
        <w:t xml:space="preserve"> communications</w:t>
      </w:r>
      <w:r w:rsidR="002205B4">
        <w:t>,</w:t>
      </w:r>
      <w:r w:rsidR="0067473D">
        <w:t xml:space="preserve"> has not established that Baron had any authority to represent </w:t>
      </w:r>
      <w:proofErr w:type="spellStart"/>
      <w:r w:rsidR="0067473D">
        <w:t>Astfin</w:t>
      </w:r>
      <w:proofErr w:type="spellEnd"/>
      <w:r w:rsidR="0085439D">
        <w:t xml:space="preserve"> or that a settlement was concluded</w:t>
      </w:r>
      <w:r w:rsidR="0067473D">
        <w:t>. The applicant must have appreciated that there would be a material dispute of fact as to whether or not the matter had been settled.  In fact, she did, and yet it was not argued that the matter should be postponed or there should be a referral to oral evidence or trial.  I am of the view that Mr Whittington did not do so because</w:t>
      </w:r>
      <w:r w:rsidR="002205B4">
        <w:t>,</w:t>
      </w:r>
      <w:r w:rsidR="0067473D">
        <w:t xml:space="preserve"> on the evidence placed before this Court</w:t>
      </w:r>
      <w:r w:rsidR="002205B4">
        <w:t>,</w:t>
      </w:r>
      <w:r w:rsidR="0067473D">
        <w:t xml:space="preserve"> there is no basis for such a referral.  </w:t>
      </w:r>
    </w:p>
    <w:p w14:paraId="42D70799" w14:textId="1B4731A8" w:rsidR="0067473D" w:rsidRDefault="009074E3" w:rsidP="009074E3">
      <w:pPr>
        <w:pStyle w:val="Heading1"/>
        <w:numPr>
          <w:ilvl w:val="0"/>
          <w:numId w:val="0"/>
        </w:numPr>
        <w:tabs>
          <w:tab w:val="left" w:pos="862"/>
        </w:tabs>
        <w:ind w:left="862" w:hanging="862"/>
      </w:pPr>
      <w:r>
        <w:t>[74]</w:t>
      </w:r>
      <w:r>
        <w:tab/>
      </w:r>
      <w:r w:rsidR="0067473D">
        <w:t xml:space="preserve">A case has not been made out </w:t>
      </w:r>
      <w:r w:rsidR="00695420">
        <w:t>by the applicant</w:t>
      </w:r>
      <w:r w:rsidR="002205B4">
        <w:t>,</w:t>
      </w:r>
      <w:r w:rsidR="00695420">
        <w:t xml:space="preserve"> </w:t>
      </w:r>
      <w:r w:rsidR="0067473D">
        <w:t>and it is trite that a party is not allowed to lead oral evidence in order to fill loopholes in its case.</w:t>
      </w:r>
      <w:r w:rsidR="0067473D">
        <w:rPr>
          <w:rStyle w:val="FootnoteReference"/>
        </w:rPr>
        <w:footnoteReference w:id="38"/>
      </w:r>
    </w:p>
    <w:p w14:paraId="4E4B63F4" w14:textId="579C1E67" w:rsidR="0067473D" w:rsidRDefault="009074E3" w:rsidP="009074E3">
      <w:pPr>
        <w:pStyle w:val="Heading1"/>
        <w:numPr>
          <w:ilvl w:val="0"/>
          <w:numId w:val="0"/>
        </w:numPr>
        <w:tabs>
          <w:tab w:val="left" w:pos="862"/>
        </w:tabs>
        <w:ind w:left="862" w:hanging="862"/>
      </w:pPr>
      <w:r>
        <w:t>[75]</w:t>
      </w:r>
      <w:r>
        <w:tab/>
      </w:r>
      <w:r w:rsidR="0067473D">
        <w:t>It is for these reasons that I made an order dismissing the application</w:t>
      </w:r>
      <w:r w:rsidR="0085439D">
        <w:t>.</w:t>
      </w:r>
      <w:r w:rsidR="0067473D">
        <w:t xml:space="preserve"> </w:t>
      </w:r>
    </w:p>
    <w:p w14:paraId="3D466CA5" w14:textId="73F6A16F" w:rsidR="0067473D" w:rsidRPr="003A3CFA" w:rsidRDefault="009074E3" w:rsidP="009074E3">
      <w:pPr>
        <w:pStyle w:val="Heading1"/>
        <w:numPr>
          <w:ilvl w:val="0"/>
          <w:numId w:val="0"/>
        </w:numPr>
        <w:tabs>
          <w:tab w:val="left" w:pos="862"/>
        </w:tabs>
        <w:ind w:left="862" w:hanging="862"/>
      </w:pPr>
      <w:r w:rsidRPr="003A3CFA">
        <w:t>[76]</w:t>
      </w:r>
      <w:r w:rsidRPr="003A3CFA">
        <w:tab/>
      </w:r>
      <w:r w:rsidR="0067473D">
        <w:t xml:space="preserve">Furthermore, I am not of the view that the unavailability of the applicant’s chosen counsel, Advocate G </w:t>
      </w:r>
      <w:proofErr w:type="spellStart"/>
      <w:r w:rsidR="0067473D">
        <w:t>Nel</w:t>
      </w:r>
      <w:proofErr w:type="spellEnd"/>
      <w:r w:rsidR="0067473D">
        <w:t xml:space="preserve"> SC, has any bearing on this matter.  The application was set down by </w:t>
      </w:r>
      <w:proofErr w:type="spellStart"/>
      <w:r w:rsidR="0067473D">
        <w:t>Astfin</w:t>
      </w:r>
      <w:proofErr w:type="spellEnd"/>
      <w:r w:rsidR="0067473D">
        <w:t xml:space="preserve"> on 26 August 2022.  If I am to accept that the application</w:t>
      </w:r>
      <w:r w:rsidR="002205B4">
        <w:t>,</w:t>
      </w:r>
      <w:r w:rsidR="0067473D">
        <w:t xml:space="preserve"> which is voluminous </w:t>
      </w:r>
      <w:r w:rsidR="002205B4">
        <w:t xml:space="preserve">and </w:t>
      </w:r>
      <w:r w:rsidR="0067473D">
        <w:t>running in excess of 2000 pages</w:t>
      </w:r>
      <w:r w:rsidR="002205B4">
        <w:t>,</w:t>
      </w:r>
      <w:r w:rsidR="0067473D">
        <w:t xml:space="preserve"> has a level of complexity and is daunting (which I do</w:t>
      </w:r>
      <w:r w:rsidR="00244667">
        <w:t>), one</w:t>
      </w:r>
      <w:r w:rsidR="0067473D">
        <w:t xml:space="preserve"> would have anticipated that either Mr </w:t>
      </w:r>
      <w:proofErr w:type="spellStart"/>
      <w:r w:rsidR="0067473D">
        <w:t>Nel</w:t>
      </w:r>
      <w:proofErr w:type="spellEnd"/>
      <w:r w:rsidR="0067473D">
        <w:t xml:space="preserve"> would have been briefed immediately and timeously,</w:t>
      </w:r>
      <w:r w:rsidR="0067473D" w:rsidRPr="006916B8">
        <w:t xml:space="preserve"> alternatively</w:t>
      </w:r>
      <w:r w:rsidR="0067473D">
        <w:t xml:space="preserve"> if he was unavailable that </w:t>
      </w:r>
      <w:proofErr w:type="spellStart"/>
      <w:r w:rsidR="0067473D">
        <w:t>Bihl</w:t>
      </w:r>
      <w:proofErr w:type="spellEnd"/>
      <w:r w:rsidR="0067473D">
        <w:t xml:space="preserve"> would have </w:t>
      </w:r>
      <w:r w:rsidR="0067473D">
        <w:lastRenderedPageBreak/>
        <w:t>advised TWB that their counsel was unavailable during the week of 7 November 2022.  None of this transpired. I cannot</w:t>
      </w:r>
      <w:r w:rsidR="002205B4">
        <w:t>,</w:t>
      </w:r>
      <w:r w:rsidR="0067473D">
        <w:t xml:space="preserve"> therefore</w:t>
      </w:r>
      <w:r w:rsidR="002205B4">
        <w:t>,</w:t>
      </w:r>
      <w:r w:rsidR="0067473D">
        <w:t xml:space="preserve"> accept that the applicants were deceived and ambushed.  Needless to say, the heads of argument in this matter were prepared by </w:t>
      </w:r>
      <w:proofErr w:type="spellStart"/>
      <w:r w:rsidR="002205B4">
        <w:t>Mr.</w:t>
      </w:r>
      <w:proofErr w:type="spellEnd"/>
      <w:r w:rsidR="0067473D">
        <w:t xml:space="preserve"> A Vorster and not </w:t>
      </w:r>
      <w:proofErr w:type="spellStart"/>
      <w:r w:rsidR="002205B4">
        <w:t>Mr.</w:t>
      </w:r>
      <w:proofErr w:type="spellEnd"/>
      <w:r w:rsidR="0067473D">
        <w:t xml:space="preserve"> </w:t>
      </w:r>
      <w:proofErr w:type="spellStart"/>
      <w:r w:rsidR="0067473D">
        <w:t>Nel</w:t>
      </w:r>
      <w:proofErr w:type="spellEnd"/>
      <w:r w:rsidR="0067473D">
        <w:t>.  Furthermore, it is trite that the non-availability of counsel is not a reason for the removal of a matter from the roll or a postponement.</w:t>
      </w:r>
      <w:r w:rsidR="0067473D" w:rsidRPr="003A3CFA">
        <w:rPr>
          <w:color w:val="000000"/>
        </w:rPr>
        <w:t xml:space="preserve"> </w:t>
      </w:r>
    </w:p>
    <w:p w14:paraId="51C2CA16" w14:textId="5AEA922D" w:rsidR="0067473D" w:rsidRPr="003A3CFA" w:rsidRDefault="009074E3" w:rsidP="009074E3">
      <w:pPr>
        <w:pStyle w:val="Heading1"/>
        <w:numPr>
          <w:ilvl w:val="0"/>
          <w:numId w:val="0"/>
        </w:numPr>
        <w:tabs>
          <w:tab w:val="left" w:pos="862"/>
        </w:tabs>
        <w:ind w:left="862" w:hanging="862"/>
      </w:pPr>
      <w:r w:rsidRPr="003A3CFA">
        <w:t>[77]</w:t>
      </w:r>
      <w:r w:rsidRPr="003A3CFA">
        <w:tab/>
      </w:r>
      <w:r w:rsidR="0067473D" w:rsidRPr="003A3CFA">
        <w:rPr>
          <w:color w:val="000000"/>
        </w:rPr>
        <w:t xml:space="preserve">As Ogilvie </w:t>
      </w:r>
      <w:r w:rsidR="00C46806" w:rsidRPr="003A3CFA">
        <w:rPr>
          <w:color w:val="000000"/>
        </w:rPr>
        <w:t>Thompson</w:t>
      </w:r>
      <w:r w:rsidR="0067473D" w:rsidRPr="003A3CFA">
        <w:rPr>
          <w:color w:val="000000"/>
        </w:rPr>
        <w:t xml:space="preserve"> J stated in </w:t>
      </w:r>
      <w:proofErr w:type="spellStart"/>
      <w:r w:rsidR="0067473D" w:rsidRPr="003A3CFA">
        <w:rPr>
          <w:b/>
          <w:bCs/>
          <w:color w:val="000000"/>
          <w:u w:val="single"/>
        </w:rPr>
        <w:t>D’Anos</w:t>
      </w:r>
      <w:proofErr w:type="spellEnd"/>
      <w:r w:rsidR="0067473D" w:rsidRPr="003A3CFA">
        <w:rPr>
          <w:b/>
          <w:bCs/>
          <w:color w:val="000000"/>
          <w:u w:val="single"/>
        </w:rPr>
        <w:t xml:space="preserve"> v </w:t>
      </w:r>
      <w:proofErr w:type="spellStart"/>
      <w:r w:rsidR="0067473D" w:rsidRPr="003A3CFA">
        <w:rPr>
          <w:b/>
          <w:bCs/>
          <w:color w:val="000000"/>
          <w:u w:val="single"/>
        </w:rPr>
        <w:t>Heylon</w:t>
      </w:r>
      <w:proofErr w:type="spellEnd"/>
      <w:r w:rsidR="0067473D" w:rsidRPr="003A3CFA">
        <w:rPr>
          <w:b/>
          <w:bCs/>
          <w:color w:val="000000"/>
          <w:u w:val="single"/>
        </w:rPr>
        <w:t xml:space="preserve"> Court (Pty) Ltd</w:t>
      </w:r>
      <w:r w:rsidR="0067473D" w:rsidRPr="003A3CFA">
        <w:rPr>
          <w:color w:val="000000"/>
        </w:rPr>
        <w:t> </w:t>
      </w:r>
      <w:r w:rsidR="0067473D">
        <w:rPr>
          <w:rStyle w:val="FootnoteReference"/>
        </w:rPr>
        <w:footnoteReference w:id="39"/>
      </w:r>
    </w:p>
    <w:p w14:paraId="38CF8728" w14:textId="2379FCE7" w:rsidR="0067473D" w:rsidRDefault="0067473D" w:rsidP="0067473D">
      <w:pPr>
        <w:pStyle w:val="NormalWeb"/>
        <w:shd w:val="clear" w:color="auto" w:fill="FFFFFF"/>
        <w:spacing w:before="144" w:beforeAutospacing="0" w:after="0" w:afterAutospacing="0" w:line="360" w:lineRule="atLeast"/>
        <w:ind w:left="1411"/>
        <w:jc w:val="both"/>
        <w:rPr>
          <w:rFonts w:ascii="Arial" w:hAnsi="Arial"/>
          <w:i/>
          <w:iCs/>
          <w:color w:val="000000"/>
          <w:sz w:val="22"/>
        </w:rPr>
      </w:pPr>
      <w:r w:rsidRPr="003A3CFA">
        <w:rPr>
          <w:rFonts w:ascii="Arial" w:hAnsi="Arial"/>
          <w:i/>
          <w:iCs/>
          <w:color w:val="000000"/>
          <w:sz w:val="22"/>
          <w:szCs w:val="27"/>
        </w:rPr>
        <w:t>“</w:t>
      </w:r>
      <w:r w:rsidRPr="003A3CFA">
        <w:rPr>
          <w:rFonts w:ascii="Arial" w:hAnsi="Arial"/>
          <w:i/>
          <w:iCs/>
          <w:color w:val="000000"/>
          <w:sz w:val="22"/>
        </w:rPr>
        <w:t>...the non-availability of counsel cannot be allowed to thwart the bringing before the Court of the matter in issue. In all but the rarest of cases, other suitable counsel will be available. The test is not the convenience of counsel; it is the reasonable convenience of the parties - and by that I mean both parties - and the requirement of getting through the Court's work which must be the dominant considerations. The availability of counsel is a subsidiary consideration. A party's predilection for a particular counsel to take his case can, in my view, seldom, if indeed ever, be regarded as a decisive objection to a date of set down which is in all other respects reasonable and acceptable to both parties.”</w:t>
      </w:r>
    </w:p>
    <w:p w14:paraId="19E7E7D0" w14:textId="77777777" w:rsidR="00BA0A3B" w:rsidRPr="003A3CFA" w:rsidRDefault="00BA0A3B" w:rsidP="0067473D">
      <w:pPr>
        <w:pStyle w:val="NormalWeb"/>
        <w:shd w:val="clear" w:color="auto" w:fill="FFFFFF"/>
        <w:spacing w:before="144" w:beforeAutospacing="0" w:after="0" w:afterAutospacing="0" w:line="360" w:lineRule="atLeast"/>
        <w:ind w:left="1411"/>
        <w:jc w:val="both"/>
        <w:rPr>
          <w:rFonts w:ascii="Arial" w:hAnsi="Arial"/>
          <w:i/>
          <w:iCs/>
          <w:color w:val="242121"/>
          <w:sz w:val="22"/>
          <w:szCs w:val="27"/>
        </w:rPr>
      </w:pPr>
    </w:p>
    <w:p w14:paraId="487FBB19" w14:textId="0621D4BA" w:rsidR="0067473D" w:rsidRDefault="009074E3" w:rsidP="009074E3">
      <w:pPr>
        <w:pStyle w:val="Heading1"/>
        <w:numPr>
          <w:ilvl w:val="0"/>
          <w:numId w:val="0"/>
        </w:numPr>
        <w:tabs>
          <w:tab w:val="left" w:pos="862"/>
        </w:tabs>
        <w:ind w:left="862" w:hanging="862"/>
      </w:pPr>
      <w:r>
        <w:t>[78]</w:t>
      </w:r>
      <w:r>
        <w:tab/>
      </w:r>
      <w:r w:rsidR="0067473D">
        <w:t>It</w:t>
      </w:r>
      <w:r w:rsidR="002205B4">
        <w:t>,</w:t>
      </w:r>
      <w:r w:rsidR="0067473D">
        <w:t xml:space="preserve"> therefore</w:t>
      </w:r>
      <w:r w:rsidR="002205B4">
        <w:t>,</w:t>
      </w:r>
      <w:r w:rsidR="0067473D">
        <w:t xml:space="preserve"> cannot be accepted that the applicant sat back from 26 August 2022 and did not ensure that she was represented </w:t>
      </w:r>
      <w:r w:rsidR="00244667">
        <w:t>by her</w:t>
      </w:r>
      <w:r w:rsidR="0067473D">
        <w:t xml:space="preserve"> counsel of choice on 7 November 2022. Needless to say, counsel was briefed in Mr Whittington</w:t>
      </w:r>
      <w:r w:rsidR="002205B4">
        <w:t>,</w:t>
      </w:r>
      <w:r w:rsidR="0067473D">
        <w:t xml:space="preserve"> who informed me that he was alive to the obligations upon him, having accepted the brief to argue the application.  </w:t>
      </w:r>
    </w:p>
    <w:p w14:paraId="673978EF" w14:textId="69809D5C" w:rsidR="0067473D" w:rsidRDefault="009074E3" w:rsidP="009074E3">
      <w:pPr>
        <w:pStyle w:val="Heading1"/>
        <w:numPr>
          <w:ilvl w:val="0"/>
          <w:numId w:val="0"/>
        </w:numPr>
        <w:tabs>
          <w:tab w:val="left" w:pos="862"/>
        </w:tabs>
        <w:ind w:left="862" w:hanging="862"/>
      </w:pPr>
      <w:r>
        <w:t>[79]</w:t>
      </w:r>
      <w:r>
        <w:tab/>
      </w:r>
      <w:r w:rsidR="0067473D">
        <w:t xml:space="preserve">To the extent that it is necessary, </w:t>
      </w:r>
      <w:r w:rsidR="002205B4">
        <w:t>Mr</w:t>
      </w:r>
      <w:r w:rsidR="0067473D">
        <w:t xml:space="preserve"> </w:t>
      </w:r>
      <w:proofErr w:type="spellStart"/>
      <w:r w:rsidR="0067473D">
        <w:t>Labuschagne</w:t>
      </w:r>
      <w:proofErr w:type="spellEnd"/>
      <w:r w:rsidR="0067473D">
        <w:t xml:space="preserve"> </w:t>
      </w:r>
      <w:r w:rsidR="00695420">
        <w:t xml:space="preserve">also submitted </w:t>
      </w:r>
      <w:r w:rsidR="0067473D">
        <w:t>that the applicant had not established that the matter had become settled on 26</w:t>
      </w:r>
      <w:r w:rsidR="0067473D">
        <w:rPr>
          <w:vertAlign w:val="superscript"/>
        </w:rPr>
        <w:t xml:space="preserve"> </w:t>
      </w:r>
      <w:r w:rsidR="0067473D">
        <w:t>October 2022 and that it was self-evident from the documentation proffered that discussions continued post that date.  Furthermore, he submitted</w:t>
      </w:r>
      <w:r w:rsidR="00695420">
        <w:t>,</w:t>
      </w:r>
      <w:r w:rsidR="0067473D">
        <w:t xml:space="preserve"> in accordance with the </w:t>
      </w:r>
      <w:proofErr w:type="spellStart"/>
      <w:r w:rsidR="0067473D">
        <w:rPr>
          <w:b/>
          <w:bCs/>
          <w:i/>
          <w:iCs/>
        </w:rPr>
        <w:t>Plascon</w:t>
      </w:r>
      <w:proofErr w:type="spellEnd"/>
      <w:r w:rsidR="0067473D">
        <w:rPr>
          <w:b/>
          <w:bCs/>
          <w:i/>
          <w:iCs/>
        </w:rPr>
        <w:t xml:space="preserve">-Evans </w:t>
      </w:r>
      <w:r w:rsidR="0067473D">
        <w:t xml:space="preserve">Rule, that as </w:t>
      </w:r>
      <w:proofErr w:type="spellStart"/>
      <w:r w:rsidR="0067473D">
        <w:t>Astfin’s</w:t>
      </w:r>
      <w:proofErr w:type="spellEnd"/>
      <w:r w:rsidR="0067473D">
        <w:t xml:space="preserve"> </w:t>
      </w:r>
      <w:r w:rsidR="0067473D">
        <w:lastRenderedPageBreak/>
        <w:t>affidavits revealed that no settlement had taken place, the application should be dismissed.</w:t>
      </w:r>
      <w:r w:rsidR="00695420">
        <w:t xml:space="preserve"> I agree with him. </w:t>
      </w:r>
    </w:p>
    <w:p w14:paraId="22E15446" w14:textId="7DA2CC32" w:rsidR="0067473D" w:rsidRDefault="009074E3" w:rsidP="009074E3">
      <w:pPr>
        <w:pStyle w:val="Heading1"/>
        <w:numPr>
          <w:ilvl w:val="0"/>
          <w:numId w:val="0"/>
        </w:numPr>
        <w:tabs>
          <w:tab w:val="left" w:pos="862"/>
        </w:tabs>
        <w:ind w:left="862" w:hanging="862"/>
      </w:pPr>
      <w:r>
        <w:t>[80]</w:t>
      </w:r>
      <w:r>
        <w:tab/>
      </w:r>
      <w:r w:rsidR="0067473D">
        <w:t>He raised as a caution</w:t>
      </w:r>
      <w:r w:rsidR="006916B8">
        <w:t xml:space="preserve"> </w:t>
      </w:r>
      <w:r w:rsidR="0067473D">
        <w:t xml:space="preserve">a point which had not been raised by </w:t>
      </w:r>
      <w:proofErr w:type="spellStart"/>
      <w:r w:rsidR="0067473D">
        <w:t>Astfin</w:t>
      </w:r>
      <w:proofErr w:type="spellEnd"/>
      <w:r w:rsidR="0067473D">
        <w:t xml:space="preserve">. He </w:t>
      </w:r>
      <w:r w:rsidR="00244667">
        <w:t>submitted to</w:t>
      </w:r>
      <w:r w:rsidR="0067473D">
        <w:t xml:space="preserve"> me that the applicant and not </w:t>
      </w:r>
      <w:proofErr w:type="spellStart"/>
      <w:r w:rsidR="0067473D">
        <w:t>Bihl</w:t>
      </w:r>
      <w:proofErr w:type="spellEnd"/>
      <w:r w:rsidR="0067473D">
        <w:t xml:space="preserve"> must waive the legal privilege attached to the </w:t>
      </w:r>
      <w:r w:rsidR="006916B8">
        <w:t>“</w:t>
      </w:r>
      <w:r w:rsidR="0067473D" w:rsidRPr="006916B8">
        <w:rPr>
          <w:i/>
          <w:iCs/>
        </w:rPr>
        <w:t>without prejudice</w:t>
      </w:r>
      <w:r w:rsidR="006916B8">
        <w:t>”</w:t>
      </w:r>
      <w:r w:rsidR="0067473D">
        <w:t xml:space="preserve"> settlement negotiations. It is undisputed that </w:t>
      </w:r>
      <w:proofErr w:type="spellStart"/>
      <w:r w:rsidR="00244667">
        <w:t>Bihl</w:t>
      </w:r>
      <w:proofErr w:type="spellEnd"/>
      <w:r w:rsidR="00244667">
        <w:t xml:space="preserve"> alone</w:t>
      </w:r>
      <w:r w:rsidR="0067473D">
        <w:t xml:space="preserve"> waived the privilege </w:t>
      </w:r>
      <w:r w:rsidR="002205B4">
        <w:t>attached</w:t>
      </w:r>
      <w:r w:rsidR="0067473D">
        <w:t xml:space="preserve"> to the settlement negotiations. He cannot do so as held in </w:t>
      </w:r>
      <w:r w:rsidR="0067473D">
        <w:rPr>
          <w:b/>
          <w:bCs/>
          <w:i/>
          <w:iCs/>
        </w:rPr>
        <w:t xml:space="preserve">Anglo American v </w:t>
      </w:r>
      <w:proofErr w:type="spellStart"/>
      <w:r w:rsidR="0067473D">
        <w:rPr>
          <w:b/>
          <w:bCs/>
          <w:i/>
          <w:iCs/>
        </w:rPr>
        <w:t>Kabwe</w:t>
      </w:r>
      <w:proofErr w:type="spellEnd"/>
      <w:r w:rsidR="0067473D" w:rsidRPr="00C63391">
        <w:rPr>
          <w:rStyle w:val="FootnoteReference"/>
        </w:rPr>
        <w:footnoteReference w:id="40"/>
      </w:r>
      <w:r w:rsidR="0067473D">
        <w:rPr>
          <w:b/>
          <w:bCs/>
          <w:i/>
          <w:iCs/>
        </w:rPr>
        <w:t xml:space="preserve"> </w:t>
      </w:r>
      <w:r w:rsidR="0067473D">
        <w:t xml:space="preserve">and </w:t>
      </w:r>
      <w:proofErr w:type="spellStart"/>
      <w:r w:rsidR="0067473D">
        <w:rPr>
          <w:b/>
          <w:bCs/>
          <w:i/>
          <w:iCs/>
        </w:rPr>
        <w:t>Contango</w:t>
      </w:r>
      <w:proofErr w:type="spellEnd"/>
      <w:r w:rsidR="0067473D">
        <w:rPr>
          <w:b/>
          <w:bCs/>
          <w:i/>
          <w:iCs/>
        </w:rPr>
        <w:t xml:space="preserve"> Trading SA and Others v Central Energy Fund SOC Ltd and Others</w:t>
      </w:r>
      <w:r w:rsidR="0067473D" w:rsidRPr="00C63391">
        <w:t>.</w:t>
      </w:r>
      <w:r w:rsidR="0067473D" w:rsidRPr="00C63391">
        <w:rPr>
          <w:rStyle w:val="FootnoteReference"/>
        </w:rPr>
        <w:footnoteReference w:id="41"/>
      </w:r>
      <w:r w:rsidR="0067473D">
        <w:t xml:space="preserve">  In so doing, all of the privileged settlement evidence that was placed before me in this affidavit would be inadmissible. The application </w:t>
      </w:r>
      <w:r w:rsidR="006916B8">
        <w:t>is</w:t>
      </w:r>
      <w:r w:rsidR="0067473D">
        <w:t xml:space="preserve"> then fatally flawed. However, </w:t>
      </w:r>
      <w:r w:rsidR="00244667">
        <w:t>as this</w:t>
      </w:r>
      <w:r w:rsidR="0067473D">
        <w:t xml:space="preserve"> point was not raised by </w:t>
      </w:r>
      <w:proofErr w:type="spellStart"/>
      <w:r w:rsidR="0067473D">
        <w:t>Astfin</w:t>
      </w:r>
      <w:proofErr w:type="spellEnd"/>
      <w:r w:rsidR="0067473D">
        <w:t xml:space="preserve">, I am </w:t>
      </w:r>
      <w:r w:rsidR="00244667">
        <w:t xml:space="preserve">inclined </w:t>
      </w:r>
      <w:r w:rsidR="002205B4">
        <w:t>not to</w:t>
      </w:r>
      <w:r w:rsidR="0067473D">
        <w:t xml:space="preserve"> take this course. In any event, the result would have been the same – a dismissal of the application.</w:t>
      </w:r>
    </w:p>
    <w:p w14:paraId="396AC70A" w14:textId="76D5A834" w:rsidR="0067473D" w:rsidRDefault="009074E3" w:rsidP="009074E3">
      <w:pPr>
        <w:pStyle w:val="Heading1"/>
        <w:numPr>
          <w:ilvl w:val="0"/>
          <w:numId w:val="0"/>
        </w:numPr>
        <w:tabs>
          <w:tab w:val="left" w:pos="862"/>
        </w:tabs>
        <w:ind w:left="862" w:hanging="862"/>
      </w:pPr>
      <w:r>
        <w:t>[81]</w:t>
      </w:r>
      <w:r>
        <w:tab/>
      </w:r>
      <w:r w:rsidR="0067473D">
        <w:t xml:space="preserve">Insofar as the costs are concerned, both </w:t>
      </w:r>
      <w:proofErr w:type="spellStart"/>
      <w:r w:rsidR="002205B4">
        <w:t>Mr.</w:t>
      </w:r>
      <w:proofErr w:type="spellEnd"/>
      <w:r w:rsidR="0067473D">
        <w:t xml:space="preserve"> </w:t>
      </w:r>
      <w:proofErr w:type="spellStart"/>
      <w:r w:rsidR="0067473D">
        <w:t>Kromhout</w:t>
      </w:r>
      <w:proofErr w:type="spellEnd"/>
      <w:r w:rsidR="0067473D">
        <w:t xml:space="preserve"> and Mr</w:t>
      </w:r>
      <w:r w:rsidR="00695420">
        <w:t> </w:t>
      </w:r>
      <w:proofErr w:type="spellStart"/>
      <w:r w:rsidR="0067473D">
        <w:t>Labuschagne</w:t>
      </w:r>
      <w:proofErr w:type="spellEnd"/>
      <w:r w:rsidR="002205B4">
        <w:t xml:space="preserve"> </w:t>
      </w:r>
      <w:r w:rsidR="0067473D">
        <w:t>moved for a costs order on the attorney</w:t>
      </w:r>
      <w:r w:rsidR="00695420">
        <w:t>/</w:t>
      </w:r>
      <w:r w:rsidR="0067473D">
        <w:t>client scale</w:t>
      </w:r>
      <w:r w:rsidR="002205B4">
        <w:t>; Mr</w:t>
      </w:r>
      <w:r w:rsidR="0067473D">
        <w:t xml:space="preserve"> </w:t>
      </w:r>
      <w:proofErr w:type="spellStart"/>
      <w:r w:rsidR="0067473D">
        <w:t>Labuschagne</w:t>
      </w:r>
      <w:proofErr w:type="spellEnd"/>
      <w:r w:rsidR="0067473D">
        <w:t xml:space="preserve"> also seeking that the costs order include his junior. Furthermore, he submitted that should I be inclined to make a costs order, given the community joint estate, the applicant, personally</w:t>
      </w:r>
      <w:r w:rsidR="006916B8">
        <w:t>,</w:t>
      </w:r>
      <w:r w:rsidR="0067473D">
        <w:t xml:space="preserve"> should be ordered to pay the costs from her portion of the joint estate in terms of section 17(3) of the Matrimonial Property Act 88 of 1984.</w:t>
      </w:r>
      <w:r w:rsidR="004110F1">
        <w:t xml:space="preserve"> </w:t>
      </w:r>
    </w:p>
    <w:p w14:paraId="25798E1F" w14:textId="61BBA5D4" w:rsidR="001741FB" w:rsidRDefault="009074E3" w:rsidP="009074E3">
      <w:pPr>
        <w:pStyle w:val="Heading1"/>
        <w:numPr>
          <w:ilvl w:val="0"/>
          <w:numId w:val="0"/>
        </w:numPr>
        <w:tabs>
          <w:tab w:val="left" w:pos="862"/>
        </w:tabs>
        <w:ind w:left="862" w:hanging="862"/>
      </w:pPr>
      <w:r>
        <w:t>[82]</w:t>
      </w:r>
      <w:r>
        <w:tab/>
      </w:r>
      <w:proofErr w:type="spellStart"/>
      <w:r w:rsidR="0018655B">
        <w:t>Mr.</w:t>
      </w:r>
      <w:proofErr w:type="spellEnd"/>
      <w:r w:rsidR="0067473D">
        <w:t xml:space="preserve"> </w:t>
      </w:r>
      <w:proofErr w:type="spellStart"/>
      <w:r w:rsidR="0067473D">
        <w:t>Kromhout</w:t>
      </w:r>
      <w:proofErr w:type="spellEnd"/>
      <w:r w:rsidR="0067473D">
        <w:t xml:space="preserve"> submitted</w:t>
      </w:r>
      <w:r w:rsidR="006916B8">
        <w:t>, in regard to costs,</w:t>
      </w:r>
      <w:r w:rsidR="0067473D">
        <w:t xml:space="preserve"> that the objective facts indicate that the matter had not </w:t>
      </w:r>
      <w:r w:rsidR="0018655B">
        <w:t xml:space="preserve">been </w:t>
      </w:r>
      <w:r w:rsidR="0067473D">
        <w:t>settled.  He sought to draw the Court’s attention to the delays occasioned in the prosecution of this application by the applicant and furthermore that it took the applicant, having been informed on 2</w:t>
      </w:r>
      <w:r w:rsidR="00E50590">
        <w:t> </w:t>
      </w:r>
      <w:r w:rsidR="0067473D">
        <w:t xml:space="preserve">November 2022 that the matter was not settled, until 8 November 2022, in the opposed court week to launch the application.  He further submitted that the applicant is well aware of the </w:t>
      </w:r>
      <w:r w:rsidR="0067473D">
        <w:lastRenderedPageBreak/>
        <w:t>commercial proceedings involving Venter and that</w:t>
      </w:r>
      <w:r w:rsidR="0018655B">
        <w:t>,</w:t>
      </w:r>
      <w:r w:rsidR="0067473D">
        <w:t xml:space="preserve"> ultimately</w:t>
      </w:r>
      <w:r w:rsidR="0018655B">
        <w:t>,</w:t>
      </w:r>
      <w:r w:rsidR="0067473D">
        <w:t xml:space="preserve"> the bringing of the application was simply a diversion and an attempt to delay the main application on its merits.  He submitted to me that the applicant had launched this application both in her personal capacity and in her capacity as a trustee despite the fact that she had no authority to represent the Trust. I refer to my findings below that</w:t>
      </w:r>
      <w:r w:rsidR="0018655B">
        <w:t>,</w:t>
      </w:r>
      <w:r w:rsidR="0067473D">
        <w:t xml:space="preserve"> indeed</w:t>
      </w:r>
      <w:r w:rsidR="0018655B">
        <w:t>,</w:t>
      </w:r>
      <w:r w:rsidR="0067473D">
        <w:t xml:space="preserve"> the</w:t>
      </w:r>
      <w:r w:rsidR="006916B8">
        <w:t xml:space="preserve"> </w:t>
      </w:r>
      <w:r w:rsidR="0067473D">
        <w:t xml:space="preserve">applicant had no </w:t>
      </w:r>
      <w:r w:rsidR="0067473D">
        <w:rPr>
          <w:i/>
          <w:iCs/>
        </w:rPr>
        <w:t xml:space="preserve">locus </w:t>
      </w:r>
      <w:proofErr w:type="spellStart"/>
      <w:r w:rsidR="0067473D">
        <w:rPr>
          <w:i/>
          <w:iCs/>
        </w:rPr>
        <w:t>standi</w:t>
      </w:r>
      <w:proofErr w:type="spellEnd"/>
      <w:r w:rsidR="0067473D">
        <w:rPr>
          <w:i/>
          <w:iCs/>
        </w:rPr>
        <w:t xml:space="preserve"> </w:t>
      </w:r>
      <w:r w:rsidR="0067473D">
        <w:t>to represent the Trust</w:t>
      </w:r>
      <w:r w:rsidR="0018655B">
        <w:t>,</w:t>
      </w:r>
      <w:r w:rsidR="0067473D">
        <w:t xml:space="preserve"> let alone bring the application in her personal capacity. In all of the circumstances, he submitted that the application was unmeritorious and that an </w:t>
      </w:r>
      <w:r w:rsidR="0018655B">
        <w:t>attorney-client</w:t>
      </w:r>
      <w:r w:rsidR="0067473D">
        <w:t xml:space="preserve"> costs order was appropriate against the applicant personally. </w:t>
      </w:r>
    </w:p>
    <w:p w14:paraId="50629AA8" w14:textId="5382F346" w:rsidR="0067473D" w:rsidRDefault="009074E3" w:rsidP="009074E3">
      <w:pPr>
        <w:pStyle w:val="Heading1"/>
        <w:numPr>
          <w:ilvl w:val="0"/>
          <w:numId w:val="0"/>
        </w:numPr>
        <w:tabs>
          <w:tab w:val="left" w:pos="862"/>
        </w:tabs>
        <w:ind w:left="862" w:hanging="862"/>
      </w:pPr>
      <w:r>
        <w:t>[83]</w:t>
      </w:r>
      <w:r>
        <w:tab/>
      </w:r>
      <w:r w:rsidR="0067473D">
        <w:t xml:space="preserve"> It was further submitted that </w:t>
      </w:r>
      <w:r w:rsidR="0085439D">
        <w:t>a</w:t>
      </w:r>
      <w:r w:rsidR="0067473D">
        <w:t xml:space="preserve"> costs order should be granted </w:t>
      </w:r>
      <w:r w:rsidR="0067473D" w:rsidRPr="00B07C0C">
        <w:rPr>
          <w:i/>
          <w:iCs/>
        </w:rPr>
        <w:t xml:space="preserve">de </w:t>
      </w:r>
      <w:proofErr w:type="spellStart"/>
      <w:r w:rsidR="0067473D" w:rsidRPr="00B07C0C">
        <w:rPr>
          <w:i/>
          <w:iCs/>
        </w:rPr>
        <w:t>bonis</w:t>
      </w:r>
      <w:proofErr w:type="spellEnd"/>
      <w:r w:rsidR="0067473D" w:rsidRPr="00B07C0C">
        <w:rPr>
          <w:i/>
          <w:iCs/>
        </w:rPr>
        <w:t xml:space="preserve"> </w:t>
      </w:r>
      <w:proofErr w:type="spellStart"/>
      <w:r w:rsidR="0067473D" w:rsidRPr="00B07C0C">
        <w:rPr>
          <w:i/>
          <w:iCs/>
        </w:rPr>
        <w:t>propriis</w:t>
      </w:r>
      <w:proofErr w:type="spellEnd"/>
      <w:r w:rsidR="0067473D">
        <w:t xml:space="preserve"> against </w:t>
      </w:r>
      <w:proofErr w:type="spellStart"/>
      <w:r w:rsidR="0067473D">
        <w:t>Bihl</w:t>
      </w:r>
      <w:proofErr w:type="spellEnd"/>
      <w:r w:rsidR="0067473D">
        <w:t xml:space="preserve">, who asserted the settlement. </w:t>
      </w:r>
    </w:p>
    <w:p w14:paraId="71D3F891" w14:textId="01A5DFAF" w:rsidR="0067473D" w:rsidRDefault="009074E3" w:rsidP="009074E3">
      <w:pPr>
        <w:pStyle w:val="Heading1"/>
        <w:numPr>
          <w:ilvl w:val="0"/>
          <w:numId w:val="0"/>
        </w:numPr>
        <w:tabs>
          <w:tab w:val="left" w:pos="862"/>
        </w:tabs>
        <w:ind w:left="862" w:hanging="862"/>
      </w:pPr>
      <w:r>
        <w:t>[84]</w:t>
      </w:r>
      <w:r>
        <w:tab/>
      </w:r>
      <w:r w:rsidR="00E50590">
        <w:t>T</w:t>
      </w:r>
      <w:r w:rsidR="0067473D">
        <w:t>his application was launched at a very late stage, only on 8 November 2022</w:t>
      </w:r>
      <w:r w:rsidR="008F1E47">
        <w:t xml:space="preserve"> and burdened this court in a busy motion roll.</w:t>
      </w:r>
      <w:r w:rsidR="0067473D">
        <w:t xml:space="preserve">  No heads were filed</w:t>
      </w:r>
      <w:r w:rsidR="0018655B">
        <w:t>,</w:t>
      </w:r>
      <w:r w:rsidR="0067473D">
        <w:t xml:space="preserve"> and </w:t>
      </w:r>
      <w:proofErr w:type="spellStart"/>
      <w:r w:rsidR="0067473D">
        <w:t>Bihl</w:t>
      </w:r>
      <w:proofErr w:type="spellEnd"/>
      <w:r w:rsidR="0067473D">
        <w:t xml:space="preserve"> </w:t>
      </w:r>
      <w:r w:rsidR="0018655B">
        <w:t>was</w:t>
      </w:r>
      <w:r w:rsidR="0067473D">
        <w:t xml:space="preserve"> not alerted that costs would be sought </w:t>
      </w:r>
      <w:r w:rsidR="0067473D" w:rsidRPr="00B07C0C">
        <w:rPr>
          <w:i/>
          <w:iCs/>
        </w:rPr>
        <w:t xml:space="preserve">de </w:t>
      </w:r>
      <w:proofErr w:type="spellStart"/>
      <w:r w:rsidR="0067473D" w:rsidRPr="00B07C0C">
        <w:rPr>
          <w:i/>
          <w:iCs/>
        </w:rPr>
        <w:t>bonis</w:t>
      </w:r>
      <w:proofErr w:type="spellEnd"/>
      <w:r w:rsidR="0067473D" w:rsidRPr="00B07C0C">
        <w:rPr>
          <w:i/>
          <w:iCs/>
        </w:rPr>
        <w:t xml:space="preserve"> </w:t>
      </w:r>
      <w:proofErr w:type="spellStart"/>
      <w:r w:rsidR="0067473D" w:rsidRPr="00B07C0C">
        <w:rPr>
          <w:i/>
          <w:iCs/>
        </w:rPr>
        <w:t>propriis</w:t>
      </w:r>
      <w:proofErr w:type="spellEnd"/>
      <w:r w:rsidR="0067473D">
        <w:t>. I</w:t>
      </w:r>
      <w:r w:rsidR="00E50590">
        <w:t>,</w:t>
      </w:r>
      <w:r w:rsidR="0067473D">
        <w:t xml:space="preserve"> accordingly, cannot allow such an order without input from </w:t>
      </w:r>
      <w:proofErr w:type="spellStart"/>
      <w:r w:rsidR="0067473D">
        <w:t>Bihl</w:t>
      </w:r>
      <w:proofErr w:type="spellEnd"/>
      <w:r w:rsidR="0067473D">
        <w:t>. I indicated to Mr Whittington that should I be inclined to do so</w:t>
      </w:r>
      <w:r w:rsidR="0018655B">
        <w:t>,</w:t>
      </w:r>
      <w:r w:rsidR="0067473D">
        <w:t xml:space="preserve"> I would afford </w:t>
      </w:r>
      <w:proofErr w:type="spellStart"/>
      <w:r w:rsidR="0067473D">
        <w:t>Bihl</w:t>
      </w:r>
      <w:proofErr w:type="spellEnd"/>
      <w:r w:rsidR="0067473D">
        <w:t xml:space="preserve"> an opportunity to deliver an affidavit in relation to such an order. </w:t>
      </w:r>
    </w:p>
    <w:p w14:paraId="66DFB0F3" w14:textId="025B3FA9" w:rsidR="00E50590" w:rsidRDefault="009074E3" w:rsidP="009074E3">
      <w:pPr>
        <w:pStyle w:val="Heading1"/>
        <w:numPr>
          <w:ilvl w:val="0"/>
          <w:numId w:val="0"/>
        </w:numPr>
        <w:tabs>
          <w:tab w:val="left" w:pos="862"/>
        </w:tabs>
        <w:ind w:left="862" w:hanging="862"/>
      </w:pPr>
      <w:r>
        <w:t>[85]</w:t>
      </w:r>
      <w:r>
        <w:tab/>
      </w:r>
      <w:r w:rsidR="0067473D">
        <w:t>As the position stands</w:t>
      </w:r>
      <w:r w:rsidR="00E50590">
        <w:t>,</w:t>
      </w:r>
      <w:r w:rsidR="0067473D">
        <w:t xml:space="preserve"> I am not inclined to grant a </w:t>
      </w:r>
      <w:r w:rsidR="0067473D" w:rsidRPr="00B07C0C">
        <w:rPr>
          <w:i/>
          <w:iCs/>
        </w:rPr>
        <w:t xml:space="preserve">de </w:t>
      </w:r>
      <w:proofErr w:type="spellStart"/>
      <w:r w:rsidR="0067473D" w:rsidRPr="00B07C0C">
        <w:rPr>
          <w:i/>
          <w:iCs/>
        </w:rPr>
        <w:t>bonis</w:t>
      </w:r>
      <w:proofErr w:type="spellEnd"/>
      <w:r w:rsidR="0067473D" w:rsidRPr="00B07C0C">
        <w:rPr>
          <w:i/>
          <w:iCs/>
        </w:rPr>
        <w:t xml:space="preserve"> </w:t>
      </w:r>
      <w:proofErr w:type="spellStart"/>
      <w:r w:rsidR="0067473D" w:rsidRPr="00B07C0C">
        <w:rPr>
          <w:i/>
          <w:iCs/>
        </w:rPr>
        <w:t>propriis</w:t>
      </w:r>
      <w:proofErr w:type="spellEnd"/>
      <w:r w:rsidR="0067473D">
        <w:t xml:space="preserve"> costs order or an order that costs be awarded on the attorney</w:t>
      </w:r>
      <w:r w:rsidR="008F1E47">
        <w:t>/</w:t>
      </w:r>
      <w:r w:rsidR="0067473D">
        <w:t xml:space="preserve">client scale.  Although the application </w:t>
      </w:r>
      <w:r w:rsidR="00E50590">
        <w:t>has f</w:t>
      </w:r>
      <w:r w:rsidR="0085439D">
        <w:t>altered</w:t>
      </w:r>
      <w:r w:rsidR="0067473D">
        <w:t xml:space="preserve">, I cannot find that </w:t>
      </w:r>
      <w:proofErr w:type="spellStart"/>
      <w:r w:rsidR="0018655B">
        <w:t>Mr.</w:t>
      </w:r>
      <w:proofErr w:type="spellEnd"/>
      <w:r w:rsidR="00E50590">
        <w:t> </w:t>
      </w:r>
      <w:proofErr w:type="spellStart"/>
      <w:r w:rsidR="0067473D">
        <w:t>Bihl</w:t>
      </w:r>
      <w:proofErr w:type="spellEnd"/>
      <w:r w:rsidR="0067473D">
        <w:t xml:space="preserve"> or the applicant acted unconscionably or in bad faith in bringing the application.  The Court is of the view that it would be appropriate to order that the costs follow the result.  I am inclined to grant an order that the costs be paid by the applicant personally and from that portion of the applicant’s half share in the joint estate in regard to Venter, the Trust and the NRB Group. </w:t>
      </w:r>
    </w:p>
    <w:p w14:paraId="6BF3D533" w14:textId="460E5F92" w:rsidR="0067473D" w:rsidRDefault="00E50590" w:rsidP="00E50590">
      <w:pPr>
        <w:pStyle w:val="Heading1"/>
        <w:numPr>
          <w:ilvl w:val="0"/>
          <w:numId w:val="0"/>
        </w:numPr>
      </w:pPr>
      <w:r>
        <w:rPr>
          <w:b/>
          <w:bCs/>
          <w:u w:val="single"/>
        </w:rPr>
        <w:t xml:space="preserve">COSTS ORDER – DECLARATORY APPLICATION </w:t>
      </w:r>
      <w:r w:rsidR="0067473D">
        <w:t xml:space="preserve"> </w:t>
      </w:r>
    </w:p>
    <w:p w14:paraId="0446EF8E" w14:textId="730783E1" w:rsidR="0067473D" w:rsidRDefault="009074E3" w:rsidP="009074E3">
      <w:pPr>
        <w:pStyle w:val="Heading1"/>
        <w:numPr>
          <w:ilvl w:val="0"/>
          <w:numId w:val="0"/>
        </w:numPr>
        <w:tabs>
          <w:tab w:val="left" w:pos="862"/>
        </w:tabs>
        <w:ind w:left="862" w:hanging="862"/>
      </w:pPr>
      <w:r>
        <w:t>[86]</w:t>
      </w:r>
      <w:r>
        <w:tab/>
      </w:r>
      <w:r w:rsidR="0067473D">
        <w:t>Having dismissed the application, I make the following costs order:</w:t>
      </w:r>
    </w:p>
    <w:p w14:paraId="2654FE27" w14:textId="647EE441" w:rsidR="007A7302" w:rsidRDefault="009074E3" w:rsidP="009074E3">
      <w:pPr>
        <w:pStyle w:val="Heading2"/>
        <w:numPr>
          <w:ilvl w:val="0"/>
          <w:numId w:val="0"/>
        </w:numPr>
        <w:ind w:left="1871" w:hanging="1009"/>
      </w:pPr>
      <w:r>
        <w:lastRenderedPageBreak/>
        <w:t>86.1</w:t>
      </w:r>
      <w:r>
        <w:tab/>
      </w:r>
      <w:r w:rsidR="0067473D">
        <w:t>The first applicant is ordered to pay the costs of the</w:t>
      </w:r>
      <w:r w:rsidR="007A7302">
        <w:t xml:space="preserve"> declaratory</w:t>
      </w:r>
      <w:r w:rsidR="0067473D">
        <w:t xml:space="preserve"> application on the party</w:t>
      </w:r>
      <w:r w:rsidR="00E50590">
        <w:t xml:space="preserve"> and</w:t>
      </w:r>
      <w:r w:rsidR="0067473D">
        <w:t xml:space="preserve"> party scale to the first respondent</w:t>
      </w:r>
      <w:r w:rsidR="007A7302">
        <w:t>.</w:t>
      </w:r>
    </w:p>
    <w:p w14:paraId="3060CEF6" w14:textId="028FDF87" w:rsidR="0067473D" w:rsidRDefault="009074E3" w:rsidP="009074E3">
      <w:pPr>
        <w:pStyle w:val="Heading2"/>
        <w:numPr>
          <w:ilvl w:val="0"/>
          <w:numId w:val="0"/>
        </w:numPr>
        <w:ind w:left="1871" w:hanging="1009"/>
      </w:pPr>
      <w:r>
        <w:t>86.2</w:t>
      </w:r>
      <w:r>
        <w:tab/>
      </w:r>
      <w:r w:rsidR="007A7302">
        <w:t xml:space="preserve">The first applicant is ordered </w:t>
      </w:r>
      <w:r w:rsidR="0067473D">
        <w:t>to</w:t>
      </w:r>
      <w:r w:rsidR="007A7302">
        <w:t xml:space="preserve"> pay the costs of the declaratory application to </w:t>
      </w:r>
      <w:r w:rsidR="0067473D">
        <w:t>the second to thirteenth respondents, such costs to be paid from her portion of the joint estate in compliance with section 17(3) of the Matrimonial Property Act 88 of 1984.</w:t>
      </w:r>
    </w:p>
    <w:p w14:paraId="0CF08BF0" w14:textId="10F78401" w:rsidR="0067473D" w:rsidRDefault="009074E3" w:rsidP="009074E3">
      <w:pPr>
        <w:pStyle w:val="Heading2"/>
        <w:numPr>
          <w:ilvl w:val="0"/>
          <w:numId w:val="0"/>
        </w:numPr>
        <w:ind w:left="1871" w:hanging="1009"/>
      </w:pPr>
      <w:r>
        <w:t>86.3</w:t>
      </w:r>
      <w:r>
        <w:tab/>
      </w:r>
      <w:r w:rsidR="0067473D">
        <w:t>Insofar as the costs are concerned in relation to the second to thirteenth respondents, these costs are to include the costs of senior and junior counsel.</w:t>
      </w:r>
    </w:p>
    <w:p w14:paraId="5DDE946D" w14:textId="57527FB2" w:rsidR="00E50590" w:rsidRPr="00E50590" w:rsidRDefault="00E50590" w:rsidP="00E50590">
      <w:pPr>
        <w:pStyle w:val="Heading1"/>
        <w:keepNext/>
        <w:widowControl/>
        <w:numPr>
          <w:ilvl w:val="0"/>
          <w:numId w:val="0"/>
        </w:numPr>
        <w:ind w:left="862" w:hanging="862"/>
        <w:rPr>
          <w:b/>
          <w:bCs/>
          <w:u w:val="single"/>
        </w:rPr>
      </w:pPr>
      <w:r>
        <w:rPr>
          <w:b/>
          <w:bCs/>
          <w:u w:val="single"/>
        </w:rPr>
        <w:t xml:space="preserve">THE MAIN APPLICATION </w:t>
      </w:r>
    </w:p>
    <w:p w14:paraId="3BF4DC13" w14:textId="2B08F04D" w:rsidR="002C5512" w:rsidRDefault="009074E3" w:rsidP="009074E3">
      <w:pPr>
        <w:pStyle w:val="Heading1"/>
        <w:numPr>
          <w:ilvl w:val="0"/>
          <w:numId w:val="0"/>
        </w:numPr>
        <w:tabs>
          <w:tab w:val="left" w:pos="862"/>
        </w:tabs>
        <w:ind w:left="862" w:hanging="862"/>
      </w:pPr>
      <w:r>
        <w:t>[87]</w:t>
      </w:r>
      <w:r>
        <w:tab/>
      </w:r>
      <w:r w:rsidR="0067473D">
        <w:t>The ma</w:t>
      </w:r>
      <w:r w:rsidR="007A7302">
        <w:t>in application,</w:t>
      </w:r>
      <w:r w:rsidR="0067473D">
        <w:t xml:space="preserve"> as indicated above</w:t>
      </w:r>
      <w:r w:rsidR="007A7302">
        <w:t>,</w:t>
      </w:r>
      <w:r w:rsidR="0067473D">
        <w:t xml:space="preserve"> then proceeded on </w:t>
      </w:r>
      <w:r w:rsidR="00055189">
        <w:t>11</w:t>
      </w:r>
      <w:r w:rsidR="0067473D">
        <w:t xml:space="preserve"> November 2023. </w:t>
      </w:r>
      <w:r w:rsidR="002C5512">
        <w:t xml:space="preserve"> I must thank</w:t>
      </w:r>
      <w:r w:rsidR="0018655B">
        <w:t xml:space="preserve"> </w:t>
      </w:r>
      <w:proofErr w:type="spellStart"/>
      <w:r w:rsidR="0018655B">
        <w:t>Mr.</w:t>
      </w:r>
      <w:proofErr w:type="spellEnd"/>
      <w:r w:rsidR="002C5512">
        <w:t xml:space="preserve"> </w:t>
      </w:r>
      <w:proofErr w:type="spellStart"/>
      <w:r w:rsidR="002C5512">
        <w:t>Labuschagne</w:t>
      </w:r>
      <w:proofErr w:type="spellEnd"/>
      <w:r w:rsidR="002C5512">
        <w:t xml:space="preserve"> S.C. and </w:t>
      </w:r>
      <w:proofErr w:type="spellStart"/>
      <w:r w:rsidR="0018655B">
        <w:t>Mr.</w:t>
      </w:r>
      <w:proofErr w:type="spellEnd"/>
      <w:r w:rsidR="002C5512">
        <w:t xml:space="preserve"> </w:t>
      </w:r>
      <w:proofErr w:type="spellStart"/>
      <w:r w:rsidR="002C5512">
        <w:t>Kromhout</w:t>
      </w:r>
      <w:proofErr w:type="spellEnd"/>
      <w:r w:rsidR="002C5512">
        <w:t xml:space="preserve"> for their very helpful heads.</w:t>
      </w:r>
    </w:p>
    <w:p w14:paraId="2698582C" w14:textId="68A55DB6" w:rsidR="007A7302" w:rsidRDefault="009074E3" w:rsidP="009074E3">
      <w:pPr>
        <w:pStyle w:val="Heading1"/>
        <w:numPr>
          <w:ilvl w:val="0"/>
          <w:numId w:val="0"/>
        </w:numPr>
        <w:tabs>
          <w:tab w:val="left" w:pos="862"/>
        </w:tabs>
        <w:ind w:left="862" w:hanging="862"/>
      </w:pPr>
      <w:r>
        <w:t>[88]</w:t>
      </w:r>
      <w:r>
        <w:tab/>
      </w:r>
      <w:r w:rsidR="0067473D">
        <w:t xml:space="preserve">At the outset of the hearing, </w:t>
      </w:r>
      <w:proofErr w:type="spellStart"/>
      <w:r w:rsidR="0018655B">
        <w:t>Mr.</w:t>
      </w:r>
      <w:proofErr w:type="spellEnd"/>
      <w:r w:rsidR="0067473D">
        <w:t xml:space="preserve"> Whittington informed</w:t>
      </w:r>
      <w:r w:rsidR="007A7302">
        <w:t xml:space="preserve"> me</w:t>
      </w:r>
      <w:r w:rsidR="0067473D">
        <w:t xml:space="preserve"> that a draft order</w:t>
      </w:r>
      <w:r w:rsidR="00E50590">
        <w:rPr>
          <w:rStyle w:val="FootnoteReference"/>
        </w:rPr>
        <w:footnoteReference w:id="42"/>
      </w:r>
      <w:r w:rsidR="0067473D">
        <w:t xml:space="preserve"> had been prepared</w:t>
      </w:r>
      <w:r w:rsidR="0018655B">
        <w:t>,</w:t>
      </w:r>
      <w:r w:rsidR="0067473D">
        <w:t xml:space="preserve"> which had been circulated</w:t>
      </w:r>
      <w:r w:rsidR="007A7302">
        <w:t xml:space="preserve"> but not discussed with </w:t>
      </w:r>
      <w:r w:rsidR="0067473D">
        <w:t>the respondent</w:t>
      </w:r>
      <w:r w:rsidR="007A7302">
        <w:t>s.</w:t>
      </w:r>
      <w:r w:rsidR="0067473D">
        <w:t xml:space="preserve"> </w:t>
      </w:r>
      <w:r w:rsidR="007A7302">
        <w:t>T</w:t>
      </w:r>
      <w:r w:rsidR="0067473D">
        <w:t xml:space="preserve">he applicant now sought that the application be referred to trial. He submitted to me that it was common </w:t>
      </w:r>
      <w:proofErr w:type="gramStart"/>
      <w:r w:rsidR="0067473D">
        <w:t>cause</w:t>
      </w:r>
      <w:proofErr w:type="gramEnd"/>
      <w:r w:rsidR="0067473D">
        <w:t xml:space="preserve"> there were material disputes of </w:t>
      </w:r>
      <w:r w:rsidR="00E50590">
        <w:t>fact,</w:t>
      </w:r>
      <w:r w:rsidR="007A7302">
        <w:t xml:space="preserve"> and a referral was appropriate.</w:t>
      </w:r>
      <w:r w:rsidR="0067473D">
        <w:t xml:space="preserve"> </w:t>
      </w:r>
      <w:r w:rsidR="007A7302">
        <w:t>I</w:t>
      </w:r>
      <w:r w:rsidR="0067473D">
        <w:t>nsofar as the court was inclined to grant the referral</w:t>
      </w:r>
      <w:r w:rsidR="007A7302">
        <w:t>,</w:t>
      </w:r>
      <w:r w:rsidR="0067473D">
        <w:t xml:space="preserve"> wasted costs had been tendered in the order.</w:t>
      </w:r>
    </w:p>
    <w:p w14:paraId="727595F8" w14:textId="0FB688A8" w:rsidR="009050CC" w:rsidRDefault="009074E3" w:rsidP="009074E3">
      <w:pPr>
        <w:pStyle w:val="Heading1"/>
        <w:numPr>
          <w:ilvl w:val="0"/>
          <w:numId w:val="0"/>
        </w:numPr>
        <w:tabs>
          <w:tab w:val="left" w:pos="862"/>
        </w:tabs>
        <w:ind w:left="862" w:hanging="862"/>
      </w:pPr>
      <w:r>
        <w:t>[89]</w:t>
      </w:r>
      <w:r>
        <w:tab/>
      </w:r>
      <w:r w:rsidR="007A7302">
        <w:t>Mr Whittington</w:t>
      </w:r>
      <w:r w:rsidR="0067473D">
        <w:t xml:space="preserve"> pre-empted</w:t>
      </w:r>
      <w:r w:rsidR="007A7302">
        <w:t xml:space="preserve"> the </w:t>
      </w:r>
      <w:r w:rsidR="0018655B">
        <w:t>respondent's</w:t>
      </w:r>
      <w:r w:rsidR="007A7302">
        <w:t xml:space="preserve"> </w:t>
      </w:r>
      <w:r w:rsidR="00E50590">
        <w:t xml:space="preserve">opposition to a referral </w:t>
      </w:r>
      <w:r w:rsidR="0067473D">
        <w:t>by stating that if it should be submitted that the dispute of fact was patently clear</w:t>
      </w:r>
      <w:r w:rsidR="007A7302">
        <w:t>,</w:t>
      </w:r>
      <w:r w:rsidR="0067473D">
        <w:t xml:space="preserve"> as referenced in the TWB letter of 16 July 2021</w:t>
      </w:r>
      <w:r w:rsidR="007A7302">
        <w:t>,</w:t>
      </w:r>
      <w:r w:rsidR="0067473D">
        <w:rPr>
          <w:rStyle w:val="FootnoteReference"/>
        </w:rPr>
        <w:footnoteReference w:id="43"/>
      </w:r>
      <w:r w:rsidR="0067473D">
        <w:t xml:space="preserve"> </w:t>
      </w:r>
      <w:r w:rsidR="007A7302">
        <w:t xml:space="preserve"> then the Court </w:t>
      </w:r>
      <w:r w:rsidR="007A7302">
        <w:lastRenderedPageBreak/>
        <w:t xml:space="preserve">must take into account that the application is not </w:t>
      </w:r>
      <w:r w:rsidR="00E50590">
        <w:t>urgent,</w:t>
      </w:r>
      <w:r w:rsidR="007A7302">
        <w:t xml:space="preserve"> and t</w:t>
      </w:r>
      <w:r w:rsidR="0067473D">
        <w:t>he draft order makes provision for an orderly progression of the matter</w:t>
      </w:r>
      <w:r w:rsidR="007A7302">
        <w:t>.</w:t>
      </w:r>
      <w:r w:rsidR="0067473D">
        <w:t xml:space="preserve"> </w:t>
      </w:r>
      <w:r w:rsidR="007A7302">
        <w:t xml:space="preserve"> Any</w:t>
      </w:r>
      <w:r w:rsidR="0067473D">
        <w:t xml:space="preserve"> inconvenience</w:t>
      </w:r>
      <w:r w:rsidR="007A7302">
        <w:t xml:space="preserve"> caused to the respondents</w:t>
      </w:r>
      <w:r w:rsidR="0067473D">
        <w:t xml:space="preserve"> has been addressed by the wasted </w:t>
      </w:r>
      <w:r w:rsidR="00E50590">
        <w:t>costs tendered</w:t>
      </w:r>
      <w:r w:rsidR="007A7302">
        <w:t xml:space="preserve"> in the draft </w:t>
      </w:r>
      <w:r w:rsidR="0067473D">
        <w:t xml:space="preserve">order. </w:t>
      </w:r>
      <w:r w:rsidR="007A7302">
        <w:t xml:space="preserve"> Further, </w:t>
      </w:r>
      <w:r w:rsidR="0067473D">
        <w:t>to the extent that a punitive costs order may be sought</w:t>
      </w:r>
      <w:r w:rsidR="007A7302">
        <w:t>, it</w:t>
      </w:r>
      <w:r w:rsidR="0067473D">
        <w:t xml:space="preserve"> is inappropriate </w:t>
      </w:r>
      <w:r w:rsidR="009050CC">
        <w:t>as</w:t>
      </w:r>
      <w:r w:rsidR="0067473D">
        <w:t xml:space="preserve"> </w:t>
      </w:r>
      <w:proofErr w:type="spellStart"/>
      <w:r w:rsidR="0067473D">
        <w:t>Bihl</w:t>
      </w:r>
      <w:proofErr w:type="spellEnd"/>
      <w:r w:rsidR="0067473D">
        <w:t xml:space="preserve"> had simply erred in not agreeing to a referral to trial. </w:t>
      </w:r>
      <w:r w:rsidR="007A7302">
        <w:t>Mr Whittington submitted</w:t>
      </w:r>
      <w:r w:rsidR="0067473D">
        <w:t xml:space="preserve"> that if a party is mistaken or wrong and </w:t>
      </w:r>
      <w:r w:rsidR="0018655B">
        <w:t>the</w:t>
      </w:r>
      <w:r w:rsidR="0067473D">
        <w:t xml:space="preserve"> application is unsuccessful</w:t>
      </w:r>
      <w:r w:rsidR="0018655B">
        <w:t>,</w:t>
      </w:r>
      <w:r w:rsidR="0067473D">
        <w:t xml:space="preserve"> it is not appropriate for an adverse costs order to be granted.</w:t>
      </w:r>
    </w:p>
    <w:p w14:paraId="6B05729E" w14:textId="0F56CB00" w:rsidR="009050CC" w:rsidRDefault="009074E3" w:rsidP="009074E3">
      <w:pPr>
        <w:pStyle w:val="Heading1"/>
        <w:numPr>
          <w:ilvl w:val="0"/>
          <w:numId w:val="0"/>
        </w:numPr>
        <w:tabs>
          <w:tab w:val="left" w:pos="862"/>
        </w:tabs>
        <w:ind w:left="862" w:hanging="862"/>
      </w:pPr>
      <w:r>
        <w:t>[90]</w:t>
      </w:r>
      <w:r>
        <w:tab/>
      </w:r>
      <w:r w:rsidR="0067473D">
        <w:t xml:space="preserve">As anticipated, both Mr </w:t>
      </w:r>
      <w:proofErr w:type="spellStart"/>
      <w:r w:rsidR="0067473D">
        <w:t>Kromhout</w:t>
      </w:r>
      <w:proofErr w:type="spellEnd"/>
      <w:r w:rsidR="0067473D">
        <w:t xml:space="preserve"> and Mr </w:t>
      </w:r>
      <w:proofErr w:type="spellStart"/>
      <w:r w:rsidR="0067473D">
        <w:t>Labuschagne</w:t>
      </w:r>
      <w:proofErr w:type="spellEnd"/>
      <w:r w:rsidR="0067473D">
        <w:t xml:space="preserve"> opposed the application for a referral.</w:t>
      </w:r>
    </w:p>
    <w:p w14:paraId="0DA6756F" w14:textId="2D757D5B" w:rsidR="009050CC" w:rsidRDefault="009074E3" w:rsidP="009074E3">
      <w:pPr>
        <w:pStyle w:val="Heading1"/>
        <w:numPr>
          <w:ilvl w:val="0"/>
          <w:numId w:val="0"/>
        </w:numPr>
        <w:tabs>
          <w:tab w:val="left" w:pos="862"/>
        </w:tabs>
        <w:ind w:left="862" w:hanging="862"/>
      </w:pPr>
      <w:r>
        <w:t>[91]</w:t>
      </w:r>
      <w:r>
        <w:tab/>
      </w:r>
      <w:r w:rsidR="0067473D">
        <w:t xml:space="preserve">In essence, </w:t>
      </w:r>
      <w:proofErr w:type="spellStart"/>
      <w:r w:rsidR="0018655B">
        <w:t>Mr.</w:t>
      </w:r>
      <w:proofErr w:type="spellEnd"/>
      <w:r w:rsidR="0067473D">
        <w:t xml:space="preserve"> </w:t>
      </w:r>
      <w:proofErr w:type="spellStart"/>
      <w:r w:rsidR="0067473D">
        <w:t>Kromhout</w:t>
      </w:r>
      <w:proofErr w:type="spellEnd"/>
      <w:r w:rsidR="0067473D">
        <w:t xml:space="preserve"> referred me to the commentary in </w:t>
      </w:r>
      <w:r w:rsidR="0067473D" w:rsidRPr="006B3F7E">
        <w:rPr>
          <w:i/>
          <w:iCs/>
        </w:rPr>
        <w:t>Erasmus</w:t>
      </w:r>
      <w:r w:rsidR="0067473D">
        <w:t xml:space="preserve"> to Rule 6</w:t>
      </w:r>
      <w:r w:rsidR="009050CC">
        <w:t>(</w:t>
      </w:r>
      <w:r w:rsidR="0067473D">
        <w:t>5</w:t>
      </w:r>
      <w:proofErr w:type="gramStart"/>
      <w:r w:rsidR="009050CC">
        <w:t>)</w:t>
      </w:r>
      <w:r w:rsidR="0067473D">
        <w:t>(</w:t>
      </w:r>
      <w:proofErr w:type="gramEnd"/>
      <w:r w:rsidR="0067473D">
        <w:t>g)</w:t>
      </w:r>
      <w:r w:rsidR="00B06958">
        <w:t>.</w:t>
      </w:r>
      <w:r w:rsidR="0067473D">
        <w:rPr>
          <w:rStyle w:val="FootnoteReference"/>
        </w:rPr>
        <w:footnoteReference w:id="44"/>
      </w:r>
      <w:r w:rsidR="0067473D">
        <w:t xml:space="preserve"> </w:t>
      </w:r>
      <w:proofErr w:type="spellStart"/>
      <w:r w:rsidR="0018655B">
        <w:t>Mr.</w:t>
      </w:r>
      <w:proofErr w:type="spellEnd"/>
      <w:r w:rsidR="0067473D">
        <w:t xml:space="preserve"> </w:t>
      </w:r>
      <w:proofErr w:type="spellStart"/>
      <w:r w:rsidR="0067473D">
        <w:t>Kromhout</w:t>
      </w:r>
      <w:proofErr w:type="spellEnd"/>
      <w:r w:rsidR="0067473D">
        <w:t xml:space="preserve"> submitted that the matter could be decided on the papers and that this</w:t>
      </w:r>
      <w:r w:rsidR="009050CC">
        <w:t xml:space="preserve"> application for a referral</w:t>
      </w:r>
      <w:r w:rsidR="0067473D">
        <w:t xml:space="preserve"> was simply an attempt “</w:t>
      </w:r>
      <w:r w:rsidR="009050CC" w:rsidRPr="00B06958">
        <w:rPr>
          <w:i/>
        </w:rPr>
        <w:t xml:space="preserve">to </w:t>
      </w:r>
      <w:r w:rsidR="0067473D" w:rsidRPr="00B06958">
        <w:rPr>
          <w:i/>
          <w:iCs/>
        </w:rPr>
        <w:t>k</w:t>
      </w:r>
      <w:r w:rsidR="0067473D">
        <w:rPr>
          <w:i/>
          <w:iCs/>
        </w:rPr>
        <w:t xml:space="preserve">ick the can down the road when there is no life in the matter whatsoever”. </w:t>
      </w:r>
      <w:proofErr w:type="spellStart"/>
      <w:r w:rsidR="0018655B">
        <w:t>Mr.</w:t>
      </w:r>
      <w:proofErr w:type="spellEnd"/>
      <w:r w:rsidR="0067473D">
        <w:t xml:space="preserve"> </w:t>
      </w:r>
      <w:proofErr w:type="spellStart"/>
      <w:r w:rsidR="0067473D">
        <w:t>Kromhout</w:t>
      </w:r>
      <w:proofErr w:type="spellEnd"/>
      <w:r w:rsidR="0067473D">
        <w:t xml:space="preserve"> </w:t>
      </w:r>
      <w:r w:rsidR="009050CC">
        <w:t>submitted</w:t>
      </w:r>
      <w:r w:rsidR="0067473D">
        <w:t xml:space="preserve"> that once a party is aware that there is a material dispute of fact, a decision for referral must be made </w:t>
      </w:r>
      <w:r w:rsidR="0067473D">
        <w:rPr>
          <w:i/>
          <w:iCs/>
        </w:rPr>
        <w:t xml:space="preserve">in </w:t>
      </w:r>
      <w:proofErr w:type="spellStart"/>
      <w:r w:rsidR="0067473D">
        <w:rPr>
          <w:i/>
          <w:iCs/>
        </w:rPr>
        <w:t>limine</w:t>
      </w:r>
      <w:proofErr w:type="spellEnd"/>
      <w:r w:rsidR="0067473D">
        <w:t xml:space="preserve"> and not only when it becomes clear that the applicant is failing to convince the </w:t>
      </w:r>
      <w:r w:rsidR="009050CC">
        <w:t>C</w:t>
      </w:r>
      <w:r w:rsidR="0067473D">
        <w:t xml:space="preserve">ourt as to the merits of the matter in the affidavit. He went on to emphasise that the warning to the applicant had been made by </w:t>
      </w:r>
      <w:proofErr w:type="spellStart"/>
      <w:r w:rsidR="0067473D">
        <w:t>Astfin’s</w:t>
      </w:r>
      <w:proofErr w:type="spellEnd"/>
      <w:r w:rsidR="0067473D">
        <w:t xml:space="preserve"> legal representatives time and time again, both in the </w:t>
      </w:r>
      <w:r w:rsidR="00E50590">
        <w:t>letter, the</w:t>
      </w:r>
      <w:r w:rsidR="0067473D">
        <w:t xml:space="preserve"> opposing </w:t>
      </w:r>
      <w:r w:rsidR="00E50590">
        <w:t>affidavit, and</w:t>
      </w:r>
      <w:r w:rsidR="009050CC">
        <w:t xml:space="preserve"> </w:t>
      </w:r>
      <w:proofErr w:type="spellStart"/>
      <w:r w:rsidR="009050CC">
        <w:t>Astfin’s</w:t>
      </w:r>
      <w:proofErr w:type="spellEnd"/>
      <w:r w:rsidR="009050CC">
        <w:t xml:space="preserve"> heads of argument</w:t>
      </w:r>
      <w:r w:rsidR="0018655B">
        <w:t>,</w:t>
      </w:r>
      <w:r w:rsidR="009050CC">
        <w:t xml:space="preserve"> </w:t>
      </w:r>
      <w:r w:rsidR="0067473D">
        <w:t xml:space="preserve">yet the applicant had pursued this application, nonetheless. This </w:t>
      </w:r>
      <w:r w:rsidR="008F1E47">
        <w:t xml:space="preserve">principle </w:t>
      </w:r>
      <w:r w:rsidR="0067473D">
        <w:t xml:space="preserve">has been affirmed </w:t>
      </w:r>
      <w:r w:rsidR="00E50590">
        <w:t xml:space="preserve">in </w:t>
      </w:r>
      <w:r w:rsidR="0018655B">
        <w:t xml:space="preserve">the </w:t>
      </w:r>
      <w:r w:rsidR="00E50590">
        <w:t>decisions</w:t>
      </w:r>
      <w:r w:rsidR="0067473D">
        <w:t xml:space="preserve"> to which I was referred</w:t>
      </w:r>
      <w:r w:rsidR="00DB777C">
        <w:t>.</w:t>
      </w:r>
      <w:r w:rsidR="0067473D">
        <w:rPr>
          <w:rStyle w:val="FootnoteReference"/>
        </w:rPr>
        <w:footnoteReference w:id="45"/>
      </w:r>
      <w:r w:rsidR="0067473D">
        <w:t xml:space="preserve"> </w:t>
      </w:r>
    </w:p>
    <w:p w14:paraId="0ADAC7B3" w14:textId="1F5C27F4" w:rsidR="009050CC" w:rsidRDefault="009074E3" w:rsidP="009074E3">
      <w:pPr>
        <w:pStyle w:val="Heading1"/>
        <w:numPr>
          <w:ilvl w:val="0"/>
          <w:numId w:val="0"/>
        </w:numPr>
        <w:tabs>
          <w:tab w:val="left" w:pos="862"/>
        </w:tabs>
        <w:ind w:left="862" w:hanging="862"/>
      </w:pPr>
      <w:r>
        <w:t>[92]</w:t>
      </w:r>
      <w:r>
        <w:tab/>
      </w:r>
      <w:r w:rsidR="0067473D">
        <w:t xml:space="preserve">Mr </w:t>
      </w:r>
      <w:proofErr w:type="spellStart"/>
      <w:r w:rsidR="00E50590">
        <w:t>Kromhout</w:t>
      </w:r>
      <w:proofErr w:type="spellEnd"/>
      <w:r w:rsidR="008F1E47">
        <w:t xml:space="preserve"> also</w:t>
      </w:r>
      <w:r w:rsidR="00E50590">
        <w:t xml:space="preserve"> submitted</w:t>
      </w:r>
      <w:r w:rsidR="009050CC">
        <w:t xml:space="preserve"> </w:t>
      </w:r>
      <w:r w:rsidR="0067473D">
        <w:t xml:space="preserve">that the court has </w:t>
      </w:r>
      <w:r w:rsidR="0018655B">
        <w:t>the</w:t>
      </w:r>
      <w:r w:rsidR="0067473D">
        <w:t xml:space="preserve"> discretion to dismiss an application when the applicant should have appreciated that a “</w:t>
      </w:r>
      <w:r w:rsidR="0067473D">
        <w:rPr>
          <w:i/>
          <w:iCs/>
        </w:rPr>
        <w:t xml:space="preserve">serious dispute of facts incapable of resolution on the papers, was bound to </w:t>
      </w:r>
      <w:r w:rsidR="0067473D">
        <w:rPr>
          <w:i/>
          <w:iCs/>
        </w:rPr>
        <w:lastRenderedPageBreak/>
        <w:t>develop</w:t>
      </w:r>
      <w:r w:rsidR="0067473D">
        <w:t>”</w:t>
      </w:r>
      <w:r w:rsidR="0067473D">
        <w:rPr>
          <w:rStyle w:val="FootnoteReference"/>
        </w:rPr>
        <w:footnoteReference w:id="46"/>
      </w:r>
      <w:r w:rsidR="0067473D">
        <w:t xml:space="preserve">. </w:t>
      </w:r>
      <w:r w:rsidR="009050CC">
        <w:t>T</w:t>
      </w:r>
      <w:r w:rsidR="0067473D">
        <w:t xml:space="preserve">he court was enjoined to dismiss the application in the face of these fundamental disputes of fact on the papers </w:t>
      </w:r>
      <w:r w:rsidR="002C5512">
        <w:t>but</w:t>
      </w:r>
      <w:r w:rsidR="009050CC">
        <w:t xml:space="preserve">, more </w:t>
      </w:r>
      <w:r w:rsidR="0067473D">
        <w:t>p</w:t>
      </w:r>
      <w:r w:rsidR="002A3920">
        <w:t>ointedly</w:t>
      </w:r>
      <w:r w:rsidR="009050CC">
        <w:t>,</w:t>
      </w:r>
      <w:r w:rsidR="0067473D">
        <w:t xml:space="preserve"> because the applicant had failed to make out a case for the relief claimed.</w:t>
      </w:r>
      <w:r w:rsidR="00DA33A7" w:rsidRPr="00DA33A7">
        <w:t xml:space="preserve"> </w:t>
      </w:r>
      <w:r w:rsidR="00DA33A7">
        <w:t>The</w:t>
      </w:r>
      <w:r w:rsidR="0018655B">
        <w:t xml:space="preserve"> </w:t>
      </w:r>
      <w:r w:rsidR="00DA33A7">
        <w:t>further submission made was that even on an unopposed basis</w:t>
      </w:r>
      <w:r w:rsidR="0018655B">
        <w:t>,</w:t>
      </w:r>
      <w:r w:rsidR="00DA33A7">
        <w:t xml:space="preserve"> a court would not have countenanced </w:t>
      </w:r>
      <w:r w:rsidR="00535932">
        <w:t>the applicant’s case</w:t>
      </w:r>
      <w:r w:rsidR="00DA33A7">
        <w:t xml:space="preserve">. </w:t>
      </w:r>
      <w:r w:rsidR="002C5512">
        <w:t>Equally</w:t>
      </w:r>
      <w:r w:rsidR="0018655B">
        <w:t>,</w:t>
      </w:r>
      <w:r w:rsidR="002C5512">
        <w:t xml:space="preserve"> therefore, there</w:t>
      </w:r>
      <w:r w:rsidR="00DA33A7">
        <w:t xml:space="preserve"> is simply no basis for a referral to oral evidence or trial as was expressly set out by </w:t>
      </w:r>
      <w:proofErr w:type="spellStart"/>
      <w:r w:rsidR="00DA33A7">
        <w:t>Astfin’s</w:t>
      </w:r>
      <w:proofErr w:type="spellEnd"/>
      <w:r w:rsidR="00DA33A7">
        <w:t xml:space="preserve"> attorneys, TWB, in the letter of 16 July 2021. </w:t>
      </w:r>
    </w:p>
    <w:p w14:paraId="27D18459" w14:textId="62EC53EA" w:rsidR="0067473D" w:rsidRDefault="009074E3" w:rsidP="009074E3">
      <w:pPr>
        <w:pStyle w:val="Heading1"/>
        <w:numPr>
          <w:ilvl w:val="0"/>
          <w:numId w:val="0"/>
        </w:numPr>
        <w:tabs>
          <w:tab w:val="left" w:pos="862"/>
        </w:tabs>
        <w:ind w:left="862" w:hanging="862"/>
      </w:pPr>
      <w:r>
        <w:t>[93]</w:t>
      </w:r>
      <w:r>
        <w:tab/>
      </w:r>
      <w:r w:rsidR="0067473D">
        <w:t xml:space="preserve">The letter specifically records: </w:t>
      </w:r>
    </w:p>
    <w:p w14:paraId="2BCF1231" w14:textId="284A1A1C" w:rsidR="0067473D" w:rsidRPr="00F23114" w:rsidRDefault="0067473D" w:rsidP="0067473D">
      <w:pPr>
        <w:pStyle w:val="Quotation"/>
        <w:rPr>
          <w:sz w:val="22"/>
          <w:szCs w:val="22"/>
        </w:rPr>
      </w:pPr>
      <w:r w:rsidRPr="00F23114">
        <w:rPr>
          <w:sz w:val="22"/>
          <w:szCs w:val="22"/>
        </w:rPr>
        <w:t>“2.</w:t>
      </w:r>
      <w:r w:rsidRPr="00F23114">
        <w:rPr>
          <w:sz w:val="22"/>
          <w:szCs w:val="22"/>
        </w:rPr>
        <w:tab/>
        <w:t>The application is an abuse of the court process. It is founded on allegations that a suite of agreements concluded by our client, are disguised</w:t>
      </w:r>
      <w:r w:rsidR="00A7694F">
        <w:rPr>
          <w:sz w:val="22"/>
          <w:szCs w:val="22"/>
        </w:rPr>
        <w:t xml:space="preserve"> sham transactions</w:t>
      </w:r>
      <w:r w:rsidRPr="00F23114">
        <w:rPr>
          <w:sz w:val="22"/>
          <w:szCs w:val="22"/>
        </w:rPr>
        <w:t xml:space="preserve">, based on frauds, fabrications and collusion on the part of our client. </w:t>
      </w:r>
    </w:p>
    <w:p w14:paraId="41F9B3B3" w14:textId="77777777" w:rsidR="0067473D" w:rsidRPr="00F23114" w:rsidRDefault="0067473D" w:rsidP="0067473D">
      <w:pPr>
        <w:pStyle w:val="Quotation"/>
        <w:rPr>
          <w:sz w:val="22"/>
          <w:szCs w:val="22"/>
        </w:rPr>
      </w:pPr>
      <w:r w:rsidRPr="00F23114">
        <w:rPr>
          <w:sz w:val="22"/>
          <w:szCs w:val="22"/>
        </w:rPr>
        <w:t>3.</w:t>
      </w:r>
      <w:r w:rsidRPr="00F23114">
        <w:rPr>
          <w:sz w:val="22"/>
          <w:szCs w:val="22"/>
        </w:rPr>
        <w:tab/>
        <w:t xml:space="preserve">Any litigant, advised by responsible attorneys, would immediately have been aware, that such serious allegations, would inevitably, give rise to serious disputes of fact, which could not be properly and appropriately ventilated in motion proceedings, but ought if at all to be brought by way of action. </w:t>
      </w:r>
    </w:p>
    <w:p w14:paraId="236FA1F6" w14:textId="77777777" w:rsidR="0067473D" w:rsidRPr="00F23114" w:rsidRDefault="0067473D" w:rsidP="0067473D">
      <w:pPr>
        <w:pStyle w:val="Quotation"/>
        <w:rPr>
          <w:sz w:val="22"/>
          <w:szCs w:val="22"/>
        </w:rPr>
      </w:pPr>
      <w:r w:rsidRPr="00F23114">
        <w:rPr>
          <w:sz w:val="22"/>
          <w:szCs w:val="22"/>
        </w:rPr>
        <w:t>4.</w:t>
      </w:r>
      <w:r w:rsidRPr="00F23114">
        <w:rPr>
          <w:sz w:val="22"/>
          <w:szCs w:val="22"/>
        </w:rPr>
        <w:tab/>
        <w:t xml:space="preserve">The allegations are also gravely defamatory of our client. All our client’s rights to claim damages for the defamation, are strictly reserved. </w:t>
      </w:r>
    </w:p>
    <w:p w14:paraId="0CA51C3C" w14:textId="77777777" w:rsidR="0067473D" w:rsidRPr="00F23114" w:rsidRDefault="0067473D" w:rsidP="0067473D">
      <w:pPr>
        <w:pStyle w:val="Quotation"/>
        <w:rPr>
          <w:sz w:val="22"/>
          <w:szCs w:val="22"/>
        </w:rPr>
      </w:pPr>
      <w:r w:rsidRPr="00F23114">
        <w:rPr>
          <w:sz w:val="22"/>
          <w:szCs w:val="22"/>
        </w:rPr>
        <w:t>5.</w:t>
      </w:r>
      <w:r w:rsidRPr="00F23114">
        <w:rPr>
          <w:sz w:val="22"/>
          <w:szCs w:val="22"/>
        </w:rPr>
        <w:tab/>
        <w:t xml:space="preserve">We accordingly invite the applicants to withdraw the application against our client with an appropriate tender of costs, failing which their persistence with the application will be an aggravating factor, and our client will seek a dismissal of the application with an appropriate punitive costs order against </w:t>
      </w:r>
      <w:r w:rsidRPr="00F23114">
        <w:rPr>
          <w:sz w:val="22"/>
          <w:szCs w:val="22"/>
        </w:rPr>
        <w:lastRenderedPageBreak/>
        <w:t>your client.</w:t>
      </w:r>
    </w:p>
    <w:p w14:paraId="3538D050" w14:textId="77777777" w:rsidR="0067473D" w:rsidRPr="006B3F7E" w:rsidRDefault="0067473D" w:rsidP="0067473D">
      <w:pPr>
        <w:pStyle w:val="Quotation"/>
      </w:pPr>
      <w:r w:rsidRPr="00F23114">
        <w:rPr>
          <w:sz w:val="22"/>
          <w:szCs w:val="22"/>
        </w:rPr>
        <w:t>6.</w:t>
      </w:r>
      <w:r w:rsidRPr="00F23114">
        <w:rPr>
          <w:sz w:val="22"/>
          <w:szCs w:val="22"/>
        </w:rPr>
        <w:tab/>
        <w:t xml:space="preserve">Should the aforementioned invitation not be accepted by your client by 17h00 on Monday, 17 July 2021, our client will deliver its answering affidavit as soon as reasonably possible. If necessary, an application for </w:t>
      </w:r>
      <w:proofErr w:type="spellStart"/>
      <w:r w:rsidRPr="00F23114">
        <w:rPr>
          <w:sz w:val="22"/>
          <w:szCs w:val="22"/>
        </w:rPr>
        <w:t>condonation</w:t>
      </w:r>
      <w:proofErr w:type="spellEnd"/>
      <w:r w:rsidRPr="00F23114">
        <w:rPr>
          <w:sz w:val="22"/>
          <w:szCs w:val="22"/>
        </w:rPr>
        <w:t xml:space="preserve"> of the late filing thereof will be brought, given the complexity of this matter and the voluminous documentation which will be dealt with in answer to your client’s founding affidavit, as also your client’s failure to respond to our Rule 35(12) notice which was served on you on 7 July 2021, and which is also delaying our ability to deal with all the convoluted allegations in the founding affidavit.”</w:t>
      </w:r>
      <w:r>
        <w:t xml:space="preserve">    </w:t>
      </w:r>
    </w:p>
    <w:p w14:paraId="5F9C4E79" w14:textId="27257453" w:rsidR="0067473D" w:rsidRDefault="009074E3" w:rsidP="009074E3">
      <w:pPr>
        <w:pStyle w:val="Heading1"/>
        <w:numPr>
          <w:ilvl w:val="0"/>
          <w:numId w:val="0"/>
        </w:numPr>
        <w:tabs>
          <w:tab w:val="left" w:pos="862"/>
        </w:tabs>
        <w:ind w:left="862" w:hanging="862"/>
      </w:pPr>
      <w:r>
        <w:t>[94]</w:t>
      </w:r>
      <w:r>
        <w:tab/>
      </w:r>
      <w:r w:rsidR="0067473D">
        <w:t>Notably, this letter was addressed prior to the delivery of the comprehensive and substantial answering affidavit</w:t>
      </w:r>
      <w:r w:rsidR="0018655B">
        <w:t>,</w:t>
      </w:r>
      <w:r w:rsidR="0067473D">
        <w:t xml:space="preserve"> which was then filed by </w:t>
      </w:r>
      <w:proofErr w:type="spellStart"/>
      <w:r w:rsidR="0067473D">
        <w:t>Astfin</w:t>
      </w:r>
      <w:proofErr w:type="spellEnd"/>
      <w:r w:rsidR="0067473D">
        <w:t xml:space="preserve">. </w:t>
      </w:r>
    </w:p>
    <w:p w14:paraId="0A7B67C1" w14:textId="77BCF58F" w:rsidR="0067473D" w:rsidRDefault="009074E3" w:rsidP="009074E3">
      <w:pPr>
        <w:pStyle w:val="Heading1"/>
        <w:numPr>
          <w:ilvl w:val="0"/>
          <w:numId w:val="0"/>
        </w:numPr>
        <w:tabs>
          <w:tab w:val="left" w:pos="862"/>
        </w:tabs>
        <w:ind w:left="862" w:hanging="862"/>
      </w:pPr>
      <w:r>
        <w:t>[95]</w:t>
      </w:r>
      <w:r>
        <w:tab/>
      </w:r>
      <w:r w:rsidR="0067473D">
        <w:t xml:space="preserve">In response, </w:t>
      </w:r>
      <w:proofErr w:type="spellStart"/>
      <w:r w:rsidR="0067473D">
        <w:t>Bihl</w:t>
      </w:r>
      <w:proofErr w:type="spellEnd"/>
      <w:r w:rsidR="0067473D">
        <w:t xml:space="preserve"> addresses a letter</w:t>
      </w:r>
      <w:r w:rsidR="0067473D">
        <w:rPr>
          <w:rStyle w:val="FootnoteReference"/>
        </w:rPr>
        <w:footnoteReference w:id="47"/>
      </w:r>
      <w:r w:rsidR="0067473D">
        <w:t xml:space="preserve"> to </w:t>
      </w:r>
      <w:proofErr w:type="spellStart"/>
      <w:proofErr w:type="gramStart"/>
      <w:r w:rsidR="0067473D">
        <w:t>Tugendhaft</w:t>
      </w:r>
      <w:proofErr w:type="spellEnd"/>
      <w:r w:rsidR="008F1E47" w:rsidRPr="008F1E47">
        <w:t xml:space="preserve"> </w:t>
      </w:r>
      <w:r w:rsidR="008F1E47">
        <w:t xml:space="preserve"> and</w:t>
      </w:r>
      <w:proofErr w:type="gramEnd"/>
      <w:r w:rsidR="008F1E47">
        <w:t xml:space="preserve"> Da Silva</w:t>
      </w:r>
      <w:r w:rsidR="009050CC">
        <w:t>, of TWB,</w:t>
      </w:r>
      <w:r w:rsidR="0067473D">
        <w:t xml:space="preserve"> some of which is redacted as it referred to settlement negotiations</w:t>
      </w:r>
      <w:r w:rsidR="009050CC">
        <w:t>,</w:t>
      </w:r>
      <w:r w:rsidR="0067473D">
        <w:t xml:space="preserve"> wherein the applicant maintains her stance and records: </w:t>
      </w:r>
    </w:p>
    <w:p w14:paraId="3B480AE4" w14:textId="77777777" w:rsidR="0067473D" w:rsidRPr="00F23114" w:rsidRDefault="0067473D" w:rsidP="0067473D">
      <w:pPr>
        <w:pStyle w:val="Quotation"/>
        <w:rPr>
          <w:sz w:val="22"/>
          <w:szCs w:val="22"/>
        </w:rPr>
      </w:pPr>
      <w:r w:rsidRPr="00F23114">
        <w:rPr>
          <w:sz w:val="22"/>
          <w:szCs w:val="22"/>
        </w:rPr>
        <w:t>“2.</w:t>
      </w:r>
      <w:r w:rsidRPr="00F23114">
        <w:rPr>
          <w:sz w:val="22"/>
          <w:szCs w:val="22"/>
        </w:rPr>
        <w:tab/>
        <w:t xml:space="preserve">We deny that the application is an abuse of process. Our client must protect her rights as set out in the notice of motion because: </w:t>
      </w:r>
    </w:p>
    <w:p w14:paraId="55D69402" w14:textId="77777777" w:rsidR="0067473D" w:rsidRPr="00F23114" w:rsidRDefault="0067473D" w:rsidP="0067473D">
      <w:pPr>
        <w:pStyle w:val="Quotation"/>
        <w:tabs>
          <w:tab w:val="clear" w:pos="3022"/>
          <w:tab w:val="left" w:pos="3402"/>
        </w:tabs>
        <w:ind w:left="3402" w:hanging="850"/>
        <w:rPr>
          <w:sz w:val="22"/>
          <w:szCs w:val="22"/>
        </w:rPr>
      </w:pPr>
      <w:r w:rsidRPr="00F23114">
        <w:rPr>
          <w:sz w:val="22"/>
          <w:szCs w:val="22"/>
        </w:rPr>
        <w:t>2.1</w:t>
      </w:r>
      <w:r w:rsidRPr="00F23114">
        <w:rPr>
          <w:sz w:val="22"/>
          <w:szCs w:val="22"/>
        </w:rPr>
        <w:tab/>
        <w:t xml:space="preserve">The documents in our client’s possession confirm that your client has been settled and your client had no right to encumber our client’s primary residence and her personal estate; </w:t>
      </w:r>
    </w:p>
    <w:p w14:paraId="23F8FFFF" w14:textId="77777777" w:rsidR="0067473D" w:rsidRPr="00F23114" w:rsidRDefault="0067473D" w:rsidP="0067473D">
      <w:pPr>
        <w:pStyle w:val="Quotation"/>
        <w:tabs>
          <w:tab w:val="clear" w:pos="2552"/>
          <w:tab w:val="left" w:pos="3402"/>
        </w:tabs>
        <w:ind w:left="3402" w:hanging="850"/>
        <w:rPr>
          <w:sz w:val="22"/>
          <w:szCs w:val="22"/>
        </w:rPr>
      </w:pPr>
      <w:r w:rsidRPr="00F23114">
        <w:rPr>
          <w:sz w:val="22"/>
          <w:szCs w:val="22"/>
        </w:rPr>
        <w:t>2.2</w:t>
      </w:r>
      <w:r w:rsidRPr="00F23114">
        <w:rPr>
          <w:sz w:val="22"/>
          <w:szCs w:val="22"/>
        </w:rPr>
        <w:tab/>
      </w:r>
      <w:r w:rsidRPr="00F23114">
        <w:rPr>
          <w:sz w:val="22"/>
          <w:szCs w:val="22"/>
        </w:rPr>
        <w:tab/>
        <w:t xml:space="preserve">Therefore, the bond registered over our client’s </w:t>
      </w:r>
      <w:r w:rsidRPr="00F23114">
        <w:rPr>
          <w:sz w:val="22"/>
          <w:szCs w:val="22"/>
        </w:rPr>
        <w:lastRenderedPageBreak/>
        <w:t xml:space="preserve">primary residence, 3 </w:t>
      </w:r>
      <w:proofErr w:type="spellStart"/>
      <w:r w:rsidRPr="00F23114">
        <w:rPr>
          <w:sz w:val="22"/>
          <w:szCs w:val="22"/>
        </w:rPr>
        <w:t>Horak</w:t>
      </w:r>
      <w:proofErr w:type="spellEnd"/>
      <w:r w:rsidRPr="00F23114">
        <w:rPr>
          <w:sz w:val="22"/>
          <w:szCs w:val="22"/>
        </w:rPr>
        <w:t xml:space="preserve"> Avenue, Camps Bay, Western Cape, in favour of your client is unlawful;  and </w:t>
      </w:r>
    </w:p>
    <w:p w14:paraId="2281A95D" w14:textId="77777777" w:rsidR="0067473D" w:rsidRPr="00F23114" w:rsidRDefault="0067473D" w:rsidP="0067473D">
      <w:pPr>
        <w:pStyle w:val="Quotation"/>
        <w:tabs>
          <w:tab w:val="clear" w:pos="2552"/>
          <w:tab w:val="left" w:pos="3402"/>
        </w:tabs>
        <w:ind w:left="3402" w:hanging="850"/>
        <w:rPr>
          <w:sz w:val="22"/>
          <w:szCs w:val="22"/>
        </w:rPr>
      </w:pPr>
      <w:r w:rsidRPr="00F23114">
        <w:rPr>
          <w:sz w:val="22"/>
          <w:szCs w:val="22"/>
        </w:rPr>
        <w:t>2.3</w:t>
      </w:r>
      <w:r w:rsidRPr="00F23114">
        <w:rPr>
          <w:sz w:val="22"/>
          <w:szCs w:val="22"/>
        </w:rPr>
        <w:tab/>
      </w:r>
      <w:r w:rsidRPr="00F23114">
        <w:rPr>
          <w:sz w:val="22"/>
          <w:szCs w:val="22"/>
        </w:rPr>
        <w:tab/>
        <w:t xml:space="preserve">Our client is personally prejudiced by the unlawful binding of the joint matrimonial estate by your client, without our client’s consent or authority. </w:t>
      </w:r>
    </w:p>
    <w:p w14:paraId="634B1273" w14:textId="77777777" w:rsidR="0067473D" w:rsidRPr="00F23114" w:rsidRDefault="0067473D" w:rsidP="0067473D">
      <w:pPr>
        <w:pStyle w:val="Quotation"/>
        <w:rPr>
          <w:sz w:val="22"/>
          <w:szCs w:val="22"/>
        </w:rPr>
      </w:pPr>
      <w:r w:rsidRPr="00F23114">
        <w:rPr>
          <w:sz w:val="22"/>
          <w:szCs w:val="22"/>
        </w:rPr>
        <w:t>3.</w:t>
      </w:r>
      <w:r w:rsidRPr="00F23114">
        <w:rPr>
          <w:sz w:val="22"/>
          <w:szCs w:val="22"/>
        </w:rPr>
        <w:tab/>
        <w:t xml:space="preserve">There is no dispute of fact for the following reasons: </w:t>
      </w:r>
    </w:p>
    <w:p w14:paraId="520FB26C" w14:textId="77777777" w:rsidR="0067473D" w:rsidRPr="00F23114" w:rsidRDefault="0067473D" w:rsidP="0067473D">
      <w:pPr>
        <w:pStyle w:val="Quotation"/>
        <w:tabs>
          <w:tab w:val="clear" w:pos="2552"/>
        </w:tabs>
        <w:ind w:left="3402" w:hanging="850"/>
        <w:rPr>
          <w:sz w:val="22"/>
          <w:szCs w:val="22"/>
        </w:rPr>
      </w:pPr>
      <w:r w:rsidRPr="00F23114">
        <w:rPr>
          <w:sz w:val="22"/>
          <w:szCs w:val="22"/>
        </w:rPr>
        <w:t>3.1</w:t>
      </w:r>
      <w:r w:rsidRPr="00F23114">
        <w:rPr>
          <w:sz w:val="22"/>
          <w:szCs w:val="22"/>
        </w:rPr>
        <w:tab/>
      </w:r>
      <w:r w:rsidRPr="00F23114">
        <w:rPr>
          <w:sz w:val="22"/>
          <w:szCs w:val="22"/>
        </w:rPr>
        <w:tab/>
        <w:t>Our client’s case is founded on documents (financial documents and statements), provided by Mr Jonathan Baron, the Accountant and Auditor of the NRB Group;</w:t>
      </w:r>
    </w:p>
    <w:p w14:paraId="3F3CC19C" w14:textId="742A3F70" w:rsidR="0067473D" w:rsidRPr="00F23114" w:rsidRDefault="0067473D" w:rsidP="0067473D">
      <w:pPr>
        <w:pStyle w:val="Quotation"/>
        <w:tabs>
          <w:tab w:val="clear" w:pos="2552"/>
        </w:tabs>
        <w:ind w:left="3402" w:hanging="850"/>
        <w:rPr>
          <w:sz w:val="22"/>
          <w:szCs w:val="22"/>
        </w:rPr>
      </w:pPr>
      <w:r w:rsidRPr="00F23114">
        <w:rPr>
          <w:sz w:val="22"/>
          <w:szCs w:val="22"/>
        </w:rPr>
        <w:t>3.2</w:t>
      </w:r>
      <w:r w:rsidRPr="00F23114">
        <w:rPr>
          <w:sz w:val="22"/>
          <w:szCs w:val="22"/>
        </w:rPr>
        <w:tab/>
      </w:r>
      <w:r w:rsidRPr="00F23114">
        <w:rPr>
          <w:sz w:val="22"/>
          <w:szCs w:val="22"/>
        </w:rPr>
        <w:tab/>
        <w:t xml:space="preserve">Contractual documents provided by </w:t>
      </w:r>
      <w:r w:rsidR="0018655B">
        <w:rPr>
          <w:sz w:val="22"/>
          <w:szCs w:val="22"/>
        </w:rPr>
        <w:t>Mr</w:t>
      </w:r>
      <w:r w:rsidRPr="00F23114">
        <w:rPr>
          <w:sz w:val="22"/>
          <w:szCs w:val="22"/>
        </w:rPr>
        <w:t xml:space="preserve"> Venter’s attorneys; </w:t>
      </w:r>
    </w:p>
    <w:p w14:paraId="18DC587D" w14:textId="77777777" w:rsidR="0067473D" w:rsidRPr="00F23114" w:rsidRDefault="0067473D" w:rsidP="0067473D">
      <w:pPr>
        <w:pStyle w:val="Quotation"/>
        <w:tabs>
          <w:tab w:val="clear" w:pos="2552"/>
        </w:tabs>
        <w:ind w:left="3402" w:hanging="850"/>
        <w:rPr>
          <w:sz w:val="22"/>
          <w:szCs w:val="22"/>
        </w:rPr>
      </w:pPr>
      <w:r w:rsidRPr="00F23114">
        <w:rPr>
          <w:sz w:val="22"/>
          <w:szCs w:val="22"/>
        </w:rPr>
        <w:t>3.3</w:t>
      </w:r>
      <w:r w:rsidRPr="00F23114">
        <w:rPr>
          <w:sz w:val="22"/>
          <w:szCs w:val="22"/>
        </w:rPr>
        <w:tab/>
      </w:r>
      <w:r w:rsidRPr="00F23114">
        <w:rPr>
          <w:sz w:val="22"/>
          <w:szCs w:val="22"/>
        </w:rPr>
        <w:tab/>
        <w:t xml:space="preserve">Mr Venter (second respondent) deposed an affidavit under oath explaining the business relationship with your client; and </w:t>
      </w:r>
    </w:p>
    <w:p w14:paraId="583B6C94" w14:textId="77777777" w:rsidR="0067473D" w:rsidRPr="00F23114" w:rsidRDefault="0067473D" w:rsidP="0067473D">
      <w:pPr>
        <w:pStyle w:val="Quotation"/>
        <w:tabs>
          <w:tab w:val="clear" w:pos="2552"/>
        </w:tabs>
        <w:ind w:left="3402" w:hanging="850"/>
        <w:rPr>
          <w:sz w:val="22"/>
          <w:szCs w:val="22"/>
        </w:rPr>
      </w:pPr>
      <w:r w:rsidRPr="00F23114">
        <w:rPr>
          <w:sz w:val="22"/>
          <w:szCs w:val="22"/>
        </w:rPr>
        <w:t>3.4</w:t>
      </w:r>
      <w:r w:rsidRPr="00F23114">
        <w:rPr>
          <w:sz w:val="22"/>
          <w:szCs w:val="22"/>
        </w:rPr>
        <w:tab/>
      </w:r>
      <w:r w:rsidRPr="00F23114">
        <w:rPr>
          <w:sz w:val="22"/>
          <w:szCs w:val="22"/>
        </w:rPr>
        <w:tab/>
        <w:t xml:space="preserve">Mr Venter’s explanation under oath is contrary to the contractual documents provided. Therefore: </w:t>
      </w:r>
    </w:p>
    <w:p w14:paraId="7AC15A4E" w14:textId="77777777" w:rsidR="0067473D" w:rsidRPr="00F23114" w:rsidRDefault="0067473D" w:rsidP="0067473D">
      <w:pPr>
        <w:pStyle w:val="Quotation"/>
        <w:tabs>
          <w:tab w:val="clear" w:pos="2552"/>
        </w:tabs>
        <w:ind w:left="4253" w:hanging="851"/>
        <w:rPr>
          <w:sz w:val="22"/>
          <w:szCs w:val="22"/>
        </w:rPr>
      </w:pPr>
      <w:r w:rsidRPr="00F23114">
        <w:rPr>
          <w:sz w:val="22"/>
          <w:szCs w:val="22"/>
        </w:rPr>
        <w:t>3.4.1</w:t>
      </w:r>
      <w:r w:rsidRPr="00F23114">
        <w:rPr>
          <w:sz w:val="22"/>
          <w:szCs w:val="22"/>
        </w:rPr>
        <w:tab/>
      </w:r>
      <w:proofErr w:type="gramStart"/>
      <w:r w:rsidRPr="00F23114">
        <w:rPr>
          <w:sz w:val="22"/>
          <w:szCs w:val="22"/>
        </w:rPr>
        <w:t>the</w:t>
      </w:r>
      <w:proofErr w:type="gramEnd"/>
      <w:r w:rsidRPr="00F23114">
        <w:rPr>
          <w:sz w:val="22"/>
          <w:szCs w:val="22"/>
        </w:rPr>
        <w:t xml:space="preserve"> defamation allegations are denied;  and </w:t>
      </w:r>
    </w:p>
    <w:p w14:paraId="66B25BCB" w14:textId="77777777" w:rsidR="0067473D" w:rsidRPr="00F23114" w:rsidRDefault="0067473D" w:rsidP="0067473D">
      <w:pPr>
        <w:pStyle w:val="Quotation"/>
        <w:tabs>
          <w:tab w:val="clear" w:pos="2552"/>
        </w:tabs>
        <w:ind w:left="4253" w:hanging="851"/>
        <w:rPr>
          <w:sz w:val="22"/>
          <w:szCs w:val="22"/>
        </w:rPr>
      </w:pPr>
      <w:r w:rsidRPr="00F23114">
        <w:rPr>
          <w:sz w:val="22"/>
          <w:szCs w:val="22"/>
        </w:rPr>
        <w:t>3.4.2</w:t>
      </w:r>
      <w:r w:rsidRPr="00F23114">
        <w:rPr>
          <w:sz w:val="22"/>
          <w:szCs w:val="22"/>
        </w:rPr>
        <w:tab/>
      </w:r>
      <w:proofErr w:type="gramStart"/>
      <w:r w:rsidRPr="00F23114">
        <w:rPr>
          <w:sz w:val="22"/>
          <w:szCs w:val="22"/>
        </w:rPr>
        <w:t>there</w:t>
      </w:r>
      <w:proofErr w:type="gramEnd"/>
      <w:r w:rsidRPr="00F23114">
        <w:rPr>
          <w:sz w:val="22"/>
          <w:szCs w:val="22"/>
        </w:rPr>
        <w:t xml:space="preserve"> is no dispute of fact on our papers.  </w:t>
      </w:r>
    </w:p>
    <w:p w14:paraId="63786584" w14:textId="77777777" w:rsidR="0067473D" w:rsidRPr="00F23114" w:rsidRDefault="0067473D" w:rsidP="0067473D">
      <w:pPr>
        <w:pStyle w:val="Quotation"/>
        <w:rPr>
          <w:sz w:val="22"/>
          <w:szCs w:val="22"/>
        </w:rPr>
      </w:pPr>
      <w:r w:rsidRPr="00F23114">
        <w:rPr>
          <w:sz w:val="22"/>
          <w:szCs w:val="22"/>
        </w:rPr>
        <w:t>4.</w:t>
      </w:r>
      <w:r w:rsidRPr="00F23114">
        <w:rPr>
          <w:sz w:val="22"/>
          <w:szCs w:val="22"/>
        </w:rPr>
        <w:tab/>
        <w:t xml:space="preserve">As a result, the allegations in your paragraph 3 are unfounded. </w:t>
      </w:r>
    </w:p>
    <w:p w14:paraId="1CDB72F0" w14:textId="77777777" w:rsidR="0067473D" w:rsidRPr="00F23114" w:rsidRDefault="0067473D" w:rsidP="0067473D">
      <w:pPr>
        <w:pStyle w:val="Quotation"/>
        <w:rPr>
          <w:sz w:val="22"/>
          <w:szCs w:val="22"/>
        </w:rPr>
      </w:pPr>
      <w:r w:rsidRPr="00F23114">
        <w:rPr>
          <w:sz w:val="22"/>
          <w:szCs w:val="22"/>
        </w:rPr>
        <w:t>5.</w:t>
      </w:r>
      <w:r w:rsidRPr="00F23114">
        <w:rPr>
          <w:sz w:val="22"/>
          <w:szCs w:val="22"/>
        </w:rPr>
        <w:tab/>
        <w:t xml:space="preserve">Our client will not be intimidated by the tone of your correspondence, which is threatening and constitutes intimidation. </w:t>
      </w:r>
    </w:p>
    <w:p w14:paraId="29D52FF0" w14:textId="77777777" w:rsidR="0067473D" w:rsidRDefault="0067473D" w:rsidP="0067473D">
      <w:pPr>
        <w:pStyle w:val="Quotation"/>
      </w:pPr>
      <w:r w:rsidRPr="00F23114">
        <w:rPr>
          <w:sz w:val="22"/>
          <w:szCs w:val="22"/>
        </w:rPr>
        <w:t>6.</w:t>
      </w:r>
      <w:r w:rsidRPr="00F23114">
        <w:rPr>
          <w:sz w:val="22"/>
          <w:szCs w:val="22"/>
        </w:rPr>
        <w:tab/>
        <w:t xml:space="preserve">We urge your client to file its papers and to be forthcoming with </w:t>
      </w:r>
      <w:r w:rsidRPr="00F23114">
        <w:rPr>
          <w:sz w:val="22"/>
          <w:szCs w:val="22"/>
        </w:rPr>
        <w:lastRenderedPageBreak/>
        <w:t>all information. We believe that the court should follow a robust approach in this matter.</w:t>
      </w:r>
      <w:r>
        <w:t xml:space="preserve">” </w:t>
      </w:r>
    </w:p>
    <w:p w14:paraId="3191F8A4" w14:textId="083BC338" w:rsidR="00DA33A7" w:rsidRDefault="009074E3" w:rsidP="009074E3">
      <w:pPr>
        <w:pStyle w:val="Heading1"/>
        <w:numPr>
          <w:ilvl w:val="0"/>
          <w:numId w:val="0"/>
        </w:numPr>
        <w:tabs>
          <w:tab w:val="left" w:pos="862"/>
        </w:tabs>
        <w:ind w:left="862" w:hanging="862"/>
      </w:pPr>
      <w:r>
        <w:t>[96]</w:t>
      </w:r>
      <w:r>
        <w:tab/>
      </w:r>
      <w:r w:rsidR="0067473D">
        <w:t xml:space="preserve">Accordingly, </w:t>
      </w:r>
      <w:r w:rsidR="009050CC">
        <w:t xml:space="preserve">on 30 July 2021, </w:t>
      </w:r>
      <w:proofErr w:type="spellStart"/>
      <w:r w:rsidR="0067473D">
        <w:t>Astfin</w:t>
      </w:r>
      <w:proofErr w:type="spellEnd"/>
      <w:r w:rsidR="0067473D">
        <w:t xml:space="preserve"> had no alternative </w:t>
      </w:r>
      <w:r w:rsidR="00E50590">
        <w:t>but to</w:t>
      </w:r>
      <w:r w:rsidR="0067473D">
        <w:t xml:space="preserve"> file its comprehensive affidavit</w:t>
      </w:r>
      <w:r w:rsidR="009050CC">
        <w:t xml:space="preserve">, some </w:t>
      </w:r>
      <w:r w:rsidR="0067473D">
        <w:t xml:space="preserve">18 months prior to the hearing of this application. </w:t>
      </w:r>
    </w:p>
    <w:p w14:paraId="47FC80EC" w14:textId="6D2D91B5" w:rsidR="00DA33A7" w:rsidRDefault="009074E3" w:rsidP="009074E3">
      <w:pPr>
        <w:pStyle w:val="Heading1"/>
        <w:numPr>
          <w:ilvl w:val="0"/>
          <w:numId w:val="0"/>
        </w:numPr>
        <w:tabs>
          <w:tab w:val="left" w:pos="862"/>
        </w:tabs>
        <w:ind w:left="862" w:hanging="862"/>
      </w:pPr>
      <w:r>
        <w:t>[97]</w:t>
      </w:r>
      <w:r>
        <w:tab/>
      </w:r>
      <w:r w:rsidR="00DA33A7">
        <w:t>“</w:t>
      </w:r>
      <w:r w:rsidR="00DA33A7">
        <w:rPr>
          <w:i/>
          <w:iCs/>
        </w:rPr>
        <w:t xml:space="preserve">In exercising its discretion under the </w:t>
      </w:r>
      <w:proofErr w:type="spellStart"/>
      <w:r w:rsidR="00DA33A7">
        <w:rPr>
          <w:i/>
          <w:iCs/>
        </w:rPr>
        <w:t>subrule</w:t>
      </w:r>
      <w:proofErr w:type="spellEnd"/>
      <w:r w:rsidR="00DA33A7">
        <w:rPr>
          <w:i/>
          <w:iCs/>
        </w:rPr>
        <w:t>, the court will to a large extent be guided by the prospects of viva voce evidence tipping the balance in favour of the applicant. If on the affidavit the probabilities are evenly balanced, the court will be more inclined to allow the hearing of oral evidence than if the balance was against the applicant. The more the scales are depressed against the applicant, the less likely the court will be to exercise its discretion in favour of the applicant. Only in rare cases will the court order the hearing of oral evidence where the preponderance of probabilities on the affidavits favour the respondent.</w:t>
      </w:r>
      <w:r w:rsidR="00DA33A7">
        <w:t>”</w:t>
      </w:r>
      <w:r w:rsidR="00DA33A7">
        <w:rPr>
          <w:rStyle w:val="FootnoteReference"/>
        </w:rPr>
        <w:footnoteReference w:id="48"/>
      </w:r>
      <w:r w:rsidR="00DA33A7">
        <w:t xml:space="preserve"> </w:t>
      </w:r>
    </w:p>
    <w:p w14:paraId="729CE05A" w14:textId="5D99B7D0" w:rsidR="0067473D" w:rsidRDefault="009074E3" w:rsidP="009074E3">
      <w:pPr>
        <w:pStyle w:val="Heading1"/>
        <w:numPr>
          <w:ilvl w:val="0"/>
          <w:numId w:val="0"/>
        </w:numPr>
        <w:tabs>
          <w:tab w:val="left" w:pos="862"/>
        </w:tabs>
        <w:ind w:left="862" w:hanging="862"/>
      </w:pPr>
      <w:r>
        <w:t>[98]</w:t>
      </w:r>
      <w:r>
        <w:tab/>
      </w:r>
      <w:r w:rsidR="0067473D">
        <w:t xml:space="preserve">As submitted by </w:t>
      </w:r>
      <w:proofErr w:type="spellStart"/>
      <w:r w:rsidR="0018655B">
        <w:t>Mr.</w:t>
      </w:r>
      <w:proofErr w:type="spellEnd"/>
      <w:r w:rsidR="0067473D">
        <w:t xml:space="preserve"> </w:t>
      </w:r>
      <w:proofErr w:type="spellStart"/>
      <w:r w:rsidR="0067473D">
        <w:t>Kromhout</w:t>
      </w:r>
      <w:proofErr w:type="spellEnd"/>
      <w:r w:rsidR="0067473D">
        <w:t xml:space="preserve">, the affidavit filed by </w:t>
      </w:r>
      <w:proofErr w:type="spellStart"/>
      <w:r w:rsidR="0067473D">
        <w:t>Astfin</w:t>
      </w:r>
      <w:proofErr w:type="spellEnd"/>
      <w:r w:rsidR="0067473D">
        <w:t xml:space="preserve"> and to which the court must turn</w:t>
      </w:r>
      <w:r w:rsidR="00E50590">
        <w:t xml:space="preserve"> in the face of the material dispute</w:t>
      </w:r>
      <w:r w:rsidR="00DA33A7">
        <w:t>s</w:t>
      </w:r>
      <w:r w:rsidR="00E50590">
        <w:t xml:space="preserve"> </w:t>
      </w:r>
      <w:r w:rsidR="00DA33A7">
        <w:t xml:space="preserve">comprehensively </w:t>
      </w:r>
      <w:r w:rsidR="00E50590">
        <w:t>provides</w:t>
      </w:r>
      <w:r w:rsidR="00C278F0">
        <w:t xml:space="preserve"> context</w:t>
      </w:r>
      <w:r w:rsidR="001716A8">
        <w:t xml:space="preserve"> and detail</w:t>
      </w:r>
      <w:r w:rsidR="00C278F0">
        <w:t xml:space="preserve"> for</w:t>
      </w:r>
      <w:r w:rsidR="0018655B">
        <w:t xml:space="preserve"> </w:t>
      </w:r>
      <w:r w:rsidR="00DA33A7">
        <w:t xml:space="preserve">the </w:t>
      </w:r>
      <w:r w:rsidR="00C278F0">
        <w:t xml:space="preserve">arm’s length commercial negotiations resulting in the </w:t>
      </w:r>
      <w:r w:rsidR="0067473D">
        <w:t xml:space="preserve">suite of agreements that were concluded </w:t>
      </w:r>
      <w:r w:rsidR="00E50590">
        <w:t xml:space="preserve">between </w:t>
      </w:r>
      <w:proofErr w:type="spellStart"/>
      <w:r w:rsidR="00E50590">
        <w:t>Astfin</w:t>
      </w:r>
      <w:proofErr w:type="spellEnd"/>
      <w:r w:rsidR="00E50590">
        <w:t xml:space="preserve"> and the NRB Group and </w:t>
      </w:r>
      <w:r w:rsidR="0067473D">
        <w:t>guarantees</w:t>
      </w:r>
      <w:r w:rsidR="00C278F0">
        <w:t xml:space="preserve"> furnished</w:t>
      </w:r>
      <w:r w:rsidR="00DA33A7">
        <w:t xml:space="preserve"> over an </w:t>
      </w:r>
      <w:r w:rsidR="0018655B">
        <w:t>eight-year</w:t>
      </w:r>
      <w:r w:rsidR="00DA33A7">
        <w:t xml:space="preserve"> period</w:t>
      </w:r>
      <w:r w:rsidR="00C278F0">
        <w:t xml:space="preserve">. </w:t>
      </w:r>
      <w:r w:rsidR="008F1E47">
        <w:t xml:space="preserve"> Yet, t</w:t>
      </w:r>
      <w:r w:rsidR="00C278F0">
        <w:t>he</w:t>
      </w:r>
      <w:r w:rsidR="0067473D">
        <w:t xml:space="preserve"> </w:t>
      </w:r>
      <w:r w:rsidR="00C278F0">
        <w:t>runaway</w:t>
      </w:r>
      <w:r w:rsidR="0067473D">
        <w:t xml:space="preserve"> train</w:t>
      </w:r>
      <w:r w:rsidR="00C278F0">
        <w:t xml:space="preserve"> </w:t>
      </w:r>
      <w:r w:rsidR="001716A8">
        <w:t xml:space="preserve">did not stop there. </w:t>
      </w:r>
      <w:r w:rsidR="00C278F0">
        <w:t>No attempt was made by t</w:t>
      </w:r>
      <w:r w:rsidR="0067473D">
        <w:t xml:space="preserve">he applicant through </w:t>
      </w:r>
      <w:proofErr w:type="spellStart"/>
      <w:r w:rsidR="0067473D">
        <w:t>Bihl</w:t>
      </w:r>
      <w:proofErr w:type="spellEnd"/>
      <w:r w:rsidR="0067473D">
        <w:t xml:space="preserve"> to contact </w:t>
      </w:r>
      <w:r w:rsidR="00C278F0">
        <w:t xml:space="preserve">TWB, </w:t>
      </w:r>
      <w:r w:rsidR="0067473D">
        <w:t>make enquiries</w:t>
      </w:r>
      <w:r w:rsidR="00C278F0">
        <w:t xml:space="preserve"> and clarify</w:t>
      </w:r>
      <w:r w:rsidR="0067473D">
        <w:t xml:space="preserve"> </w:t>
      </w:r>
      <w:r w:rsidR="00E50590">
        <w:t>any confusion in light of the serious allegations made by the applicant of fraud,</w:t>
      </w:r>
      <w:r w:rsidR="008F1E47">
        <w:t xml:space="preserve"> impugning</w:t>
      </w:r>
      <w:r w:rsidR="001716A8">
        <w:t xml:space="preserve"> </w:t>
      </w:r>
      <w:r w:rsidR="0067473D">
        <w:t>the business transactions that had been concluded</w:t>
      </w:r>
      <w:r w:rsidR="00C278F0">
        <w:t xml:space="preserve">. </w:t>
      </w:r>
      <w:r w:rsidR="0067473D">
        <w:t xml:space="preserve"> </w:t>
      </w:r>
      <w:r w:rsidR="00C278F0">
        <w:t>I</w:t>
      </w:r>
      <w:r w:rsidR="0067473D">
        <w:t xml:space="preserve">n so doing, </w:t>
      </w:r>
      <w:proofErr w:type="spellStart"/>
      <w:r w:rsidR="0067473D">
        <w:t>Astfin</w:t>
      </w:r>
      <w:proofErr w:type="spellEnd"/>
      <w:r w:rsidR="0067473D">
        <w:t xml:space="preserve"> reserved its rights to seek a punitive </w:t>
      </w:r>
      <w:r w:rsidR="0067473D">
        <w:rPr>
          <w:i/>
          <w:iCs/>
        </w:rPr>
        <w:t xml:space="preserve">de </w:t>
      </w:r>
      <w:proofErr w:type="spellStart"/>
      <w:r w:rsidR="0067473D">
        <w:rPr>
          <w:i/>
          <w:iCs/>
        </w:rPr>
        <w:t>bonis</w:t>
      </w:r>
      <w:proofErr w:type="spellEnd"/>
      <w:r w:rsidR="0067473D">
        <w:rPr>
          <w:i/>
          <w:iCs/>
        </w:rPr>
        <w:t xml:space="preserve"> </w:t>
      </w:r>
      <w:proofErr w:type="spellStart"/>
      <w:r w:rsidR="0067473D">
        <w:rPr>
          <w:i/>
          <w:iCs/>
        </w:rPr>
        <w:t>propriis</w:t>
      </w:r>
      <w:proofErr w:type="spellEnd"/>
      <w:r w:rsidR="0067473D">
        <w:rPr>
          <w:i/>
          <w:iCs/>
        </w:rPr>
        <w:t xml:space="preserve"> </w:t>
      </w:r>
      <w:r w:rsidR="0067473D">
        <w:t xml:space="preserve">costs order against </w:t>
      </w:r>
      <w:proofErr w:type="spellStart"/>
      <w:r w:rsidR="0067473D">
        <w:t>Bihl</w:t>
      </w:r>
      <w:proofErr w:type="spellEnd"/>
      <w:r w:rsidR="008F1E47">
        <w:t>,</w:t>
      </w:r>
      <w:r w:rsidR="0067473D">
        <w:t xml:space="preserve"> as set out in the answering affidavit</w:t>
      </w:r>
      <w:r w:rsidR="0067473D">
        <w:rPr>
          <w:rStyle w:val="FootnoteReference"/>
        </w:rPr>
        <w:footnoteReference w:id="49"/>
      </w:r>
      <w:r w:rsidR="0067473D">
        <w:t xml:space="preserve">. </w:t>
      </w:r>
    </w:p>
    <w:p w14:paraId="6D29068B" w14:textId="52FD61B1" w:rsidR="001716A8" w:rsidRDefault="009074E3" w:rsidP="009074E3">
      <w:pPr>
        <w:pStyle w:val="Heading1"/>
        <w:numPr>
          <w:ilvl w:val="0"/>
          <w:numId w:val="0"/>
        </w:numPr>
        <w:tabs>
          <w:tab w:val="left" w:pos="862"/>
        </w:tabs>
        <w:ind w:left="862" w:hanging="862"/>
      </w:pPr>
      <w:r>
        <w:t>[99]</w:t>
      </w:r>
      <w:r>
        <w:tab/>
      </w:r>
      <w:r w:rsidR="001716A8">
        <w:t xml:space="preserve">There is merit that the applicant should have anticipated material disputes </w:t>
      </w:r>
      <w:r w:rsidR="001716A8">
        <w:lastRenderedPageBreak/>
        <w:t>of fact arising prior to the launch of this application.</w:t>
      </w:r>
      <w:r w:rsidR="002C5512">
        <w:t xml:space="preserve"> There is also merit</w:t>
      </w:r>
      <w:r w:rsidR="0018655B">
        <w:t xml:space="preserve"> </w:t>
      </w:r>
      <w:r w:rsidR="002C5512">
        <w:t>that no case has been made out by the applicant</w:t>
      </w:r>
      <w:r w:rsidR="008C59AF">
        <w:t>.</w:t>
      </w:r>
    </w:p>
    <w:p w14:paraId="36484E7B" w14:textId="7F17E6C7" w:rsidR="002A3920" w:rsidRDefault="009074E3" w:rsidP="009074E3">
      <w:pPr>
        <w:pStyle w:val="Heading1"/>
        <w:numPr>
          <w:ilvl w:val="0"/>
          <w:numId w:val="0"/>
        </w:numPr>
        <w:tabs>
          <w:tab w:val="left" w:pos="862"/>
        </w:tabs>
        <w:ind w:left="862" w:hanging="862"/>
      </w:pPr>
      <w:r>
        <w:t>[100]</w:t>
      </w:r>
      <w:r>
        <w:tab/>
      </w:r>
      <w:r w:rsidR="002C5512">
        <w:t>T</w:t>
      </w:r>
      <w:r w:rsidR="0067473D">
        <w:t xml:space="preserve">he applicant’s founding affidavit is wholly lacking in evidence to substantiate the spurious claims which are made to the effect that </w:t>
      </w:r>
      <w:proofErr w:type="spellStart"/>
      <w:r w:rsidR="0067473D">
        <w:t>Mc</w:t>
      </w:r>
      <w:proofErr w:type="spellEnd"/>
      <w:r w:rsidR="00C278F0">
        <w:t xml:space="preserve"> </w:t>
      </w:r>
      <w:proofErr w:type="spellStart"/>
      <w:r w:rsidR="00C278F0">
        <w:t>L</w:t>
      </w:r>
      <w:r w:rsidR="0067473D">
        <w:t>intock</w:t>
      </w:r>
      <w:proofErr w:type="spellEnd"/>
      <w:r w:rsidR="0067473D">
        <w:t xml:space="preserve"> and Venter have a close friendship and that </w:t>
      </w:r>
      <w:proofErr w:type="spellStart"/>
      <w:r w:rsidR="0067473D">
        <w:t>Mc</w:t>
      </w:r>
      <w:proofErr w:type="spellEnd"/>
      <w:r w:rsidR="00C278F0">
        <w:t xml:space="preserve"> </w:t>
      </w:r>
      <w:proofErr w:type="spellStart"/>
      <w:r w:rsidR="00C278F0">
        <w:t>L</w:t>
      </w:r>
      <w:r w:rsidR="0067473D">
        <w:t>intock</w:t>
      </w:r>
      <w:proofErr w:type="spellEnd"/>
      <w:r w:rsidR="0067473D">
        <w:t xml:space="preserve"> was aiding Venter</w:t>
      </w:r>
      <w:r w:rsidR="00AE00C6">
        <w:t xml:space="preserve"> via the Bi</w:t>
      </w:r>
      <w:r w:rsidR="00E50590">
        <w:t>-</w:t>
      </w:r>
      <w:r w:rsidR="00AE00C6">
        <w:t>Africa Group</w:t>
      </w:r>
      <w:r w:rsidR="0000086A">
        <w:t xml:space="preserve">, of </w:t>
      </w:r>
      <w:r w:rsidR="00E50590">
        <w:t xml:space="preserve">which </w:t>
      </w:r>
      <w:proofErr w:type="spellStart"/>
      <w:r w:rsidR="00E50590" w:rsidRPr="0000086A">
        <w:t>Mc</w:t>
      </w:r>
      <w:r w:rsidR="0000086A">
        <w:t>Lintock</w:t>
      </w:r>
      <w:proofErr w:type="spellEnd"/>
      <w:r w:rsidR="0000086A">
        <w:t xml:space="preserve"> is chairman,</w:t>
      </w:r>
      <w:r w:rsidR="002A3920">
        <w:t xml:space="preserve"> in an elaborate scheme</w:t>
      </w:r>
      <w:r w:rsidR="0000086A">
        <w:t xml:space="preserve"> </w:t>
      </w:r>
      <w:r w:rsidR="0067473D">
        <w:t>to d</w:t>
      </w:r>
      <w:r w:rsidR="00C278F0">
        <w:t>enude</w:t>
      </w:r>
      <w:r w:rsidR="0067473D">
        <w:t xml:space="preserve"> the joint estate</w:t>
      </w:r>
      <w:r w:rsidR="00B75CF1">
        <w:t>,</w:t>
      </w:r>
      <w:r w:rsidR="00C278F0">
        <w:t xml:space="preserve"> over a </w:t>
      </w:r>
      <w:r w:rsidR="0018655B">
        <w:t>38-year</w:t>
      </w:r>
      <w:r w:rsidR="00C278F0">
        <w:t xml:space="preserve"> marriage</w:t>
      </w:r>
      <w:r w:rsidR="00B75CF1">
        <w:t>,</w:t>
      </w:r>
      <w:r w:rsidR="0067473D">
        <w:t xml:space="preserve"> </w:t>
      </w:r>
      <w:r w:rsidR="00B75CF1">
        <w:t>to</w:t>
      </w:r>
      <w:r w:rsidR="0067473D">
        <w:t xml:space="preserve"> prejudice the applicant’s claims in the divorce proceedings</w:t>
      </w:r>
      <w:r w:rsidR="002A3920">
        <w:t>.</w:t>
      </w:r>
      <w:r w:rsidR="00B75CF1" w:rsidRPr="00B75CF1">
        <w:t xml:space="preserve"> </w:t>
      </w:r>
    </w:p>
    <w:p w14:paraId="7118794C" w14:textId="770B1455" w:rsidR="002A3920" w:rsidRDefault="009074E3" w:rsidP="009074E3">
      <w:pPr>
        <w:pStyle w:val="Heading1"/>
        <w:numPr>
          <w:ilvl w:val="0"/>
          <w:numId w:val="0"/>
        </w:numPr>
        <w:tabs>
          <w:tab w:val="left" w:pos="862"/>
        </w:tabs>
        <w:ind w:left="862" w:hanging="862"/>
      </w:pPr>
      <w:r>
        <w:t>[101]</w:t>
      </w:r>
      <w:r>
        <w:tab/>
      </w:r>
      <w:r w:rsidR="002A3920">
        <w:t>NRB Rental, one of the</w:t>
      </w:r>
      <w:r w:rsidR="008F1E47">
        <w:t xml:space="preserve"> </w:t>
      </w:r>
      <w:r w:rsidR="002A3920">
        <w:t>companies in the NRB group</w:t>
      </w:r>
      <w:r w:rsidR="00B75CF1">
        <w:t>,</w:t>
      </w:r>
      <w:r w:rsidR="002A3920">
        <w:t xml:space="preserve"> buys rental agreements for automated office machines, including copiers and printers. These are </w:t>
      </w:r>
      <w:r w:rsidR="0018655B">
        <w:t xml:space="preserve">on–sold </w:t>
      </w:r>
      <w:r w:rsidR="002A3920">
        <w:t>or ceded to financial institutions for profit. NRB Rental</w:t>
      </w:r>
      <w:r w:rsidR="0018655B">
        <w:t xml:space="preserve"> </w:t>
      </w:r>
      <w:r w:rsidR="002A3920">
        <w:t>requires substantial funding to do so.</w:t>
      </w:r>
    </w:p>
    <w:p w14:paraId="3842824A" w14:textId="5BC6DCA2" w:rsidR="00B75CF1" w:rsidRDefault="009074E3" w:rsidP="009074E3">
      <w:pPr>
        <w:pStyle w:val="Heading1"/>
        <w:numPr>
          <w:ilvl w:val="0"/>
          <w:numId w:val="0"/>
        </w:numPr>
        <w:tabs>
          <w:tab w:val="left" w:pos="862"/>
        </w:tabs>
        <w:ind w:left="862" w:hanging="862"/>
      </w:pPr>
      <w:r>
        <w:t>[102]</w:t>
      </w:r>
      <w:r>
        <w:tab/>
      </w:r>
      <w:r w:rsidR="002A3920">
        <w:t xml:space="preserve">The </w:t>
      </w:r>
      <w:r w:rsidR="0018655B">
        <w:t>Bi-Africa</w:t>
      </w:r>
      <w:r w:rsidR="002A3920">
        <w:t xml:space="preserve"> Group specialises in the procurement of</w:t>
      </w:r>
      <w:r w:rsidR="002C5512">
        <w:t>,</w:t>
      </w:r>
      <w:r w:rsidR="002A3920">
        <w:t xml:space="preserve"> selling and servicing a broad range of office equipment in South Africa.  </w:t>
      </w:r>
      <w:proofErr w:type="spellStart"/>
      <w:r w:rsidR="002A3920">
        <w:t>Astfin</w:t>
      </w:r>
      <w:proofErr w:type="spellEnd"/>
      <w:r w:rsidR="002A3920">
        <w:t xml:space="preserve"> finances the acquisition of office equipment in the form of </w:t>
      </w:r>
      <w:r w:rsidR="0018655B">
        <w:t>asset-backed</w:t>
      </w:r>
      <w:r w:rsidR="002A3920">
        <w:t xml:space="preserve"> operating lease agreements. </w:t>
      </w:r>
      <w:r w:rsidR="0018655B">
        <w:t>It</w:t>
      </w:r>
      <w:r w:rsidR="002A3920">
        <w:t xml:space="preserve"> was</w:t>
      </w:r>
      <w:r w:rsidR="0018655B">
        <w:t>,</w:t>
      </w:r>
      <w:r w:rsidR="002A3920">
        <w:t xml:space="preserve"> therefore</w:t>
      </w:r>
      <w:r w:rsidR="0018655B">
        <w:t>,</w:t>
      </w:r>
      <w:r w:rsidR="002A3920">
        <w:t xml:space="preserve"> conducive for NRB Rental to look to </w:t>
      </w:r>
      <w:proofErr w:type="spellStart"/>
      <w:r w:rsidR="002A3920">
        <w:t>Astfin</w:t>
      </w:r>
      <w:proofErr w:type="spellEnd"/>
      <w:r w:rsidR="002A3920">
        <w:t xml:space="preserve"> for financing.</w:t>
      </w:r>
    </w:p>
    <w:p w14:paraId="5A57BE69" w14:textId="4359816C" w:rsidR="00B75CF1" w:rsidRDefault="009074E3" w:rsidP="009074E3">
      <w:pPr>
        <w:pStyle w:val="Heading1"/>
        <w:numPr>
          <w:ilvl w:val="0"/>
          <w:numId w:val="0"/>
        </w:numPr>
        <w:tabs>
          <w:tab w:val="left" w:pos="862"/>
        </w:tabs>
        <w:ind w:left="862" w:hanging="862"/>
      </w:pPr>
      <w:r>
        <w:t>[103]</w:t>
      </w:r>
      <w:r>
        <w:tab/>
      </w:r>
      <w:r w:rsidR="002A3920">
        <w:t xml:space="preserve"> </w:t>
      </w:r>
      <w:proofErr w:type="gramStart"/>
      <w:r w:rsidR="001716A8">
        <w:t>In</w:t>
      </w:r>
      <w:proofErr w:type="gramEnd"/>
      <w:r w:rsidR="001716A8">
        <w:t xml:space="preserve"> truth</w:t>
      </w:r>
      <w:r w:rsidR="00E50590">
        <w:t>,</w:t>
      </w:r>
      <w:r w:rsidR="00403CCF">
        <w:t xml:space="preserve"> </w:t>
      </w:r>
      <w:proofErr w:type="spellStart"/>
      <w:r w:rsidR="0000086A">
        <w:t>Astfin</w:t>
      </w:r>
      <w:proofErr w:type="spellEnd"/>
      <w:r w:rsidR="00E50590">
        <w:t>,</w:t>
      </w:r>
      <w:r w:rsidR="00403CCF">
        <w:t xml:space="preserve"> represented by </w:t>
      </w:r>
      <w:proofErr w:type="spellStart"/>
      <w:r w:rsidR="0000086A">
        <w:t>McLintock</w:t>
      </w:r>
      <w:proofErr w:type="spellEnd"/>
      <w:r w:rsidR="0018655B">
        <w:t>,</w:t>
      </w:r>
      <w:r w:rsidR="00403CCF">
        <w:t xml:space="preserve"> conclude</w:t>
      </w:r>
      <w:r w:rsidR="001716A8">
        <w:t>d</w:t>
      </w:r>
      <w:r w:rsidR="00403CCF">
        <w:t xml:space="preserve"> </w:t>
      </w:r>
      <w:r w:rsidR="0000086A">
        <w:t xml:space="preserve">loan </w:t>
      </w:r>
      <w:r w:rsidR="00403CCF">
        <w:t>agreements</w:t>
      </w:r>
      <w:r w:rsidR="0000086A">
        <w:t xml:space="preserve"> (and securities provided for)</w:t>
      </w:r>
      <w:r w:rsidR="00403CCF">
        <w:t xml:space="preserve"> commencing in 2011</w:t>
      </w:r>
      <w:r w:rsidR="00AE00C6">
        <w:t>, well before any p</w:t>
      </w:r>
      <w:r w:rsidR="001716A8">
        <w:t>otential</w:t>
      </w:r>
      <w:r w:rsidR="00AE00C6">
        <w:t xml:space="preserve"> divorce</w:t>
      </w:r>
      <w:r w:rsidR="0000086A">
        <w:t>,</w:t>
      </w:r>
      <w:r w:rsidR="00AE00C6">
        <w:t xml:space="preserve"> until June 2019</w:t>
      </w:r>
      <w:r w:rsidR="00B75CF1">
        <w:t>.</w:t>
      </w:r>
      <w:r w:rsidR="00AE00C6">
        <w:rPr>
          <w:rStyle w:val="FootnoteReference"/>
        </w:rPr>
        <w:footnoteReference w:id="50"/>
      </w:r>
      <w:r w:rsidR="00117191">
        <w:t xml:space="preserve"> </w:t>
      </w:r>
    </w:p>
    <w:p w14:paraId="0DBFBB26" w14:textId="013402BB" w:rsidR="002C5512" w:rsidRDefault="009074E3" w:rsidP="009074E3">
      <w:pPr>
        <w:pStyle w:val="Heading1"/>
        <w:numPr>
          <w:ilvl w:val="0"/>
          <w:numId w:val="0"/>
        </w:numPr>
        <w:tabs>
          <w:tab w:val="left" w:pos="862"/>
        </w:tabs>
        <w:ind w:left="862" w:hanging="862"/>
      </w:pPr>
      <w:r>
        <w:t>[104]</w:t>
      </w:r>
      <w:r>
        <w:tab/>
      </w:r>
      <w:proofErr w:type="spellStart"/>
      <w:r w:rsidR="002C5512">
        <w:t>Astfin’s</w:t>
      </w:r>
      <w:proofErr w:type="spellEnd"/>
      <w:r w:rsidR="002C5512">
        <w:t xml:space="preserve"> affidavits reveal, logically and convincingly, that </w:t>
      </w:r>
      <w:proofErr w:type="spellStart"/>
      <w:r w:rsidR="002C5512">
        <w:t>Astfin</w:t>
      </w:r>
      <w:proofErr w:type="spellEnd"/>
      <w:r w:rsidR="002C5512">
        <w:t xml:space="preserve"> had advanced R 200 312 799 to the NRB Group from 2011 to July 2021 to permit the conclusion by NRB Equity and NRB Rental of the </w:t>
      </w:r>
      <w:r w:rsidR="0018655B">
        <w:t>asset-backed</w:t>
      </w:r>
      <w:r w:rsidR="002C5512">
        <w:t xml:space="preserve"> rental agreements with their customers. The upshot of the relationship was that</w:t>
      </w:r>
      <w:r w:rsidR="008F1E47">
        <w:t>,</w:t>
      </w:r>
      <w:r w:rsidR="002C5512">
        <w:t xml:space="preserve"> in 2019</w:t>
      </w:r>
      <w:r w:rsidR="008F1E47">
        <w:t>,</w:t>
      </w:r>
      <w:r w:rsidR="002C5512">
        <w:t xml:space="preserve"> the NRB group owed </w:t>
      </w:r>
      <w:proofErr w:type="spellStart"/>
      <w:r w:rsidR="002C5512">
        <w:t>Astfin</w:t>
      </w:r>
      <w:proofErr w:type="spellEnd"/>
      <w:r w:rsidR="002C5512">
        <w:t xml:space="preserve"> R15.4 million as stipulated </w:t>
      </w:r>
      <w:r w:rsidR="002C5512">
        <w:lastRenderedPageBreak/>
        <w:t xml:space="preserve">in the 2019 restated loan agreement and </w:t>
      </w:r>
      <w:proofErr w:type="spellStart"/>
      <w:r w:rsidR="002C5512">
        <w:t>Skiathos</w:t>
      </w:r>
      <w:proofErr w:type="spellEnd"/>
      <w:r w:rsidR="002C5512">
        <w:t xml:space="preserve"> loan agreement.</w:t>
      </w:r>
    </w:p>
    <w:p w14:paraId="0757D88E" w14:textId="42C7AC91" w:rsidR="0067473D" w:rsidRDefault="009074E3" w:rsidP="009074E3">
      <w:pPr>
        <w:pStyle w:val="Heading1"/>
        <w:numPr>
          <w:ilvl w:val="0"/>
          <w:numId w:val="0"/>
        </w:numPr>
        <w:tabs>
          <w:tab w:val="left" w:pos="862"/>
        </w:tabs>
        <w:ind w:left="862" w:hanging="862"/>
      </w:pPr>
      <w:r>
        <w:t>[105]</w:t>
      </w:r>
      <w:r>
        <w:tab/>
      </w:r>
      <w:proofErr w:type="gramStart"/>
      <w:r w:rsidR="00B75CF1">
        <w:t>In</w:t>
      </w:r>
      <w:proofErr w:type="gramEnd"/>
      <w:r w:rsidR="00B75CF1">
        <w:t xml:space="preserve"> 2019</w:t>
      </w:r>
      <w:r w:rsidR="0018655B">
        <w:t>,</w:t>
      </w:r>
      <w:r w:rsidR="00B75CF1">
        <w:t xml:space="preserve"> t</w:t>
      </w:r>
      <w:r w:rsidR="00AE00C6">
        <w:t xml:space="preserve">he </w:t>
      </w:r>
      <w:r w:rsidR="00E50590">
        <w:t xml:space="preserve">business </w:t>
      </w:r>
      <w:r w:rsidR="00AE00C6">
        <w:t xml:space="preserve">relationship </w:t>
      </w:r>
      <w:r w:rsidR="00E50590">
        <w:t xml:space="preserve">between Venter and </w:t>
      </w:r>
      <w:proofErr w:type="spellStart"/>
      <w:r w:rsidR="00E50590">
        <w:t>McLintock</w:t>
      </w:r>
      <w:proofErr w:type="spellEnd"/>
      <w:r w:rsidR="00E50590">
        <w:t xml:space="preserve"> </w:t>
      </w:r>
      <w:r w:rsidR="00AE00C6">
        <w:t>soured</w:t>
      </w:r>
      <w:r w:rsidR="00B75CF1">
        <w:t>.</w:t>
      </w:r>
      <w:r w:rsidR="0000086A">
        <w:t xml:space="preserve"> </w:t>
      </w:r>
      <w:proofErr w:type="spellStart"/>
      <w:r w:rsidR="00AE00C6">
        <w:t>McLintock</w:t>
      </w:r>
      <w:proofErr w:type="spellEnd"/>
      <w:r w:rsidR="00AE00C6">
        <w:t xml:space="preserve"> </w:t>
      </w:r>
      <w:r w:rsidR="00117191">
        <w:t xml:space="preserve">determined that </w:t>
      </w:r>
      <w:r w:rsidR="00AE00C6">
        <w:t>Venter</w:t>
      </w:r>
      <w:r w:rsidR="00117191">
        <w:t xml:space="preserve"> had used approximately R20 million in loan funding</w:t>
      </w:r>
      <w:r w:rsidR="008F1E47">
        <w:t>,</w:t>
      </w:r>
      <w:r w:rsidR="00117191">
        <w:t xml:space="preserve"> advanced by </w:t>
      </w:r>
      <w:proofErr w:type="spellStart"/>
      <w:r w:rsidR="00117191">
        <w:t>Astfin</w:t>
      </w:r>
      <w:proofErr w:type="spellEnd"/>
      <w:r w:rsidR="00117191">
        <w:t xml:space="preserve"> to NRB </w:t>
      </w:r>
      <w:r w:rsidR="00244667">
        <w:t>R</w:t>
      </w:r>
      <w:r w:rsidR="00117191">
        <w:t xml:space="preserve">ental and NRB </w:t>
      </w:r>
      <w:r w:rsidR="00244667">
        <w:t>E</w:t>
      </w:r>
      <w:r w:rsidR="00117191">
        <w:t xml:space="preserve">quity, not to acquire goods and enter into rental agreements with customers for the rental of such goods, but to make loans to NRB Risk, Scrap ‘N 4 Africa (Pty) Ltd and </w:t>
      </w:r>
      <w:proofErr w:type="spellStart"/>
      <w:r w:rsidR="00117191">
        <w:t>Compu</w:t>
      </w:r>
      <w:proofErr w:type="spellEnd"/>
      <w:r w:rsidR="00DF5184">
        <w:t>-</w:t>
      </w:r>
      <w:r w:rsidR="00117191">
        <w:t>tyre CC</w:t>
      </w:r>
      <w:r w:rsidR="00AE00C6">
        <w:t xml:space="preserve">, </w:t>
      </w:r>
      <w:r w:rsidR="00117191">
        <w:t>all companies related or inter-related to Venter. This caused an immediate deterioration in the relationship</w:t>
      </w:r>
      <w:r w:rsidR="0018655B">
        <w:t>,</w:t>
      </w:r>
      <w:r w:rsidR="00117191">
        <w:t xml:space="preserve"> and a decision was taken to terminate the relationship with the NRB Group. </w:t>
      </w:r>
      <w:proofErr w:type="gramStart"/>
      <w:r w:rsidR="00AE00C6">
        <w:t>as</w:t>
      </w:r>
      <w:proofErr w:type="gramEnd"/>
      <w:r w:rsidR="00AE00C6">
        <w:t xml:space="preserve"> a consequence</w:t>
      </w:r>
      <w:r w:rsidR="00117191">
        <w:t>.</w:t>
      </w:r>
      <w:r w:rsidR="00117191">
        <w:rPr>
          <w:rStyle w:val="FootnoteReference"/>
        </w:rPr>
        <w:footnoteReference w:id="51"/>
      </w:r>
      <w:r w:rsidR="00117191">
        <w:t xml:space="preserve"> </w:t>
      </w:r>
      <w:proofErr w:type="spellStart"/>
      <w:r w:rsidR="00117191">
        <w:t>Astfin</w:t>
      </w:r>
      <w:proofErr w:type="spellEnd"/>
      <w:r w:rsidR="00117191">
        <w:t xml:space="preserve"> then sought to extricate itself from the business relationship. </w:t>
      </w:r>
      <w:proofErr w:type="spellStart"/>
      <w:r w:rsidR="0018655B">
        <w:t>McLintock</w:t>
      </w:r>
      <w:proofErr w:type="spellEnd"/>
      <w:r w:rsidR="00117191">
        <w:t xml:space="preserve"> ceased dealing with Venter</w:t>
      </w:r>
      <w:r w:rsidR="00AE00C6">
        <w:t>.</w:t>
      </w:r>
      <w:r w:rsidR="00AE00C6">
        <w:rPr>
          <w:rStyle w:val="FootnoteReference"/>
        </w:rPr>
        <w:footnoteReference w:id="52"/>
      </w:r>
      <w:r w:rsidR="00403CCF">
        <w:t xml:space="preserve">                                                                                                                                                                                                                                                                                                     </w:t>
      </w:r>
    </w:p>
    <w:p w14:paraId="5301E58E" w14:textId="03E6A800" w:rsidR="00B75CF1" w:rsidRDefault="009074E3" w:rsidP="009074E3">
      <w:pPr>
        <w:pStyle w:val="Heading1"/>
        <w:numPr>
          <w:ilvl w:val="0"/>
          <w:numId w:val="0"/>
        </w:numPr>
        <w:tabs>
          <w:tab w:val="left" w:pos="862"/>
        </w:tabs>
        <w:ind w:left="862" w:hanging="862"/>
      </w:pPr>
      <w:r>
        <w:t>[106]</w:t>
      </w:r>
      <w:r>
        <w:tab/>
      </w:r>
      <w:proofErr w:type="gramStart"/>
      <w:r w:rsidR="0067473D">
        <w:t>The</w:t>
      </w:r>
      <w:proofErr w:type="gramEnd"/>
      <w:r w:rsidR="0067473D">
        <w:t xml:space="preserve"> </w:t>
      </w:r>
      <w:r w:rsidR="00403CCF">
        <w:t>assumptions</w:t>
      </w:r>
      <w:r w:rsidR="0067473D">
        <w:t xml:space="preserve"> which the applicant s</w:t>
      </w:r>
      <w:r w:rsidR="00C278F0">
        <w:t>ought</w:t>
      </w:r>
      <w:r w:rsidR="0067473D">
        <w:t xml:space="preserve"> to </w:t>
      </w:r>
      <w:r w:rsidR="00C278F0">
        <w:t>make</w:t>
      </w:r>
      <w:r w:rsidR="00B75CF1">
        <w:t xml:space="preserve"> are</w:t>
      </w:r>
      <w:r w:rsidR="00C278F0">
        <w:t xml:space="preserve"> bald</w:t>
      </w:r>
      <w:r w:rsidR="00403CCF">
        <w:t xml:space="preserve">, </w:t>
      </w:r>
      <w:r w:rsidR="00117191">
        <w:t>illogical and</w:t>
      </w:r>
      <w:r w:rsidR="00C278F0">
        <w:t xml:space="preserve"> unsubstantiated.</w:t>
      </w:r>
      <w:r w:rsidR="0067473D">
        <w:t xml:space="preserve"> </w:t>
      </w:r>
      <w:r w:rsidR="00C278F0">
        <w:t>I</w:t>
      </w:r>
      <w:r w:rsidR="0067473D">
        <w:t xml:space="preserve">n the face of the </w:t>
      </w:r>
      <w:proofErr w:type="spellStart"/>
      <w:r w:rsidR="0067473D">
        <w:t>Astfin</w:t>
      </w:r>
      <w:proofErr w:type="spellEnd"/>
      <w:r w:rsidR="0067473D">
        <w:t xml:space="preserve"> affidavit</w:t>
      </w:r>
      <w:r w:rsidR="004347AA">
        <w:t>,</w:t>
      </w:r>
      <w:r w:rsidR="00C278F0">
        <w:t xml:space="preserve"> the applicant’s version </w:t>
      </w:r>
      <w:r w:rsidR="0067473D">
        <w:t>reveals a patent inability to understand the agreements</w:t>
      </w:r>
      <w:r w:rsidR="0067473D">
        <w:rPr>
          <w:rStyle w:val="FootnoteReference"/>
        </w:rPr>
        <w:footnoteReference w:id="53"/>
      </w:r>
      <w:r w:rsidR="0067473D">
        <w:t xml:space="preserve"> in favour of </w:t>
      </w:r>
      <w:proofErr w:type="spellStart"/>
      <w:r w:rsidR="0067473D">
        <w:t>Astfin</w:t>
      </w:r>
      <w:proofErr w:type="spellEnd"/>
      <w:r w:rsidR="0067473D">
        <w:t xml:space="preserve"> and</w:t>
      </w:r>
      <w:r w:rsidR="00403CCF">
        <w:t xml:space="preserve"> concluded by</w:t>
      </w:r>
      <w:r w:rsidR="0067473D">
        <w:t xml:space="preserve"> NRB Rental </w:t>
      </w:r>
      <w:r w:rsidR="00117191">
        <w:t>Solutions, represented</w:t>
      </w:r>
      <w:r w:rsidR="00C278F0">
        <w:t xml:space="preserve"> by Venter</w:t>
      </w:r>
      <w:r w:rsidR="0067473D">
        <w:t>.</w:t>
      </w:r>
      <w:r w:rsidR="00403CCF">
        <w:t xml:space="preserve"> In fact, the applicant concedes that this information is exclusively within Venter’s knowledge. Yet when armed with the </w:t>
      </w:r>
      <w:proofErr w:type="spellStart"/>
      <w:r w:rsidR="00403CCF">
        <w:t>Astfin</w:t>
      </w:r>
      <w:proofErr w:type="spellEnd"/>
      <w:r w:rsidR="00403CCF">
        <w:t xml:space="preserve"> affidavit, to which she</w:t>
      </w:r>
      <w:r w:rsidR="00A544C9">
        <w:t xml:space="preserve"> </w:t>
      </w:r>
      <w:r w:rsidR="00DD07E2">
        <w:t xml:space="preserve">also </w:t>
      </w:r>
      <w:r w:rsidR="00403CCF">
        <w:t xml:space="preserve">has no </w:t>
      </w:r>
      <w:r w:rsidR="00117191">
        <w:t>answer, she</w:t>
      </w:r>
      <w:r w:rsidR="0000086A">
        <w:t xml:space="preserve"> </w:t>
      </w:r>
      <w:r w:rsidR="00403CCF">
        <w:t xml:space="preserve">refused to heed the information exclusively within </w:t>
      </w:r>
      <w:proofErr w:type="spellStart"/>
      <w:r w:rsidR="00403CCF">
        <w:t>Astfin’s</w:t>
      </w:r>
      <w:proofErr w:type="spellEnd"/>
      <w:r w:rsidR="00403CCF">
        <w:t xml:space="preserve"> knowledge.</w:t>
      </w:r>
      <w:r w:rsidR="0000086A">
        <w:t xml:space="preserve"> </w:t>
      </w:r>
    </w:p>
    <w:p w14:paraId="7891A7C1" w14:textId="2BD42044" w:rsidR="00B75CF1" w:rsidRDefault="009074E3" w:rsidP="009074E3">
      <w:pPr>
        <w:pStyle w:val="Heading1"/>
        <w:numPr>
          <w:ilvl w:val="0"/>
          <w:numId w:val="0"/>
        </w:numPr>
        <w:tabs>
          <w:tab w:val="left" w:pos="862"/>
        </w:tabs>
        <w:ind w:left="862" w:hanging="862"/>
      </w:pPr>
      <w:r>
        <w:t>[107]</w:t>
      </w:r>
      <w:r>
        <w:tab/>
      </w:r>
      <w:proofErr w:type="gramStart"/>
      <w:r w:rsidR="0000086A">
        <w:t>The</w:t>
      </w:r>
      <w:proofErr w:type="gramEnd"/>
      <w:r w:rsidR="0000086A">
        <w:t xml:space="preserve"> central allegation is that these</w:t>
      </w:r>
      <w:r w:rsidR="00A03072">
        <w:t xml:space="preserve"> </w:t>
      </w:r>
      <w:r w:rsidR="0000086A">
        <w:t>loans were simulated transactions</w:t>
      </w:r>
      <w:r w:rsidR="008F1E47">
        <w:t>, described as “</w:t>
      </w:r>
      <w:r w:rsidR="008F1E47" w:rsidRPr="008F1E47">
        <w:rPr>
          <w:i/>
          <w:iCs/>
        </w:rPr>
        <w:t>shams and fraudulent</w:t>
      </w:r>
      <w:r w:rsidR="00A544C9">
        <w:rPr>
          <w:i/>
          <w:iCs/>
        </w:rPr>
        <w:t>,</w:t>
      </w:r>
      <w:r w:rsidR="008F1E47">
        <w:t>”</w:t>
      </w:r>
      <w:r w:rsidR="0000086A">
        <w:t xml:space="preserve"> </w:t>
      </w:r>
      <w:r w:rsidR="00117191">
        <w:t xml:space="preserve">hiding </w:t>
      </w:r>
      <w:proofErr w:type="spellStart"/>
      <w:r w:rsidR="00117191">
        <w:t>Astfin’s</w:t>
      </w:r>
      <w:proofErr w:type="spellEnd"/>
      <w:r w:rsidR="0000086A">
        <w:t xml:space="preserve"> acquisition of the shares in NRB Capital for R100 </w:t>
      </w:r>
      <w:r w:rsidR="00117191">
        <w:t>million and</w:t>
      </w:r>
      <w:r w:rsidR="00A26C9D">
        <w:t xml:space="preserve"> </w:t>
      </w:r>
      <w:r w:rsidR="00A544C9">
        <w:t xml:space="preserve">for </w:t>
      </w:r>
      <w:r w:rsidR="0000086A">
        <w:t xml:space="preserve">which </w:t>
      </w:r>
      <w:r w:rsidR="00A544C9">
        <w:t xml:space="preserve">the </w:t>
      </w:r>
      <w:r w:rsidR="0000086A">
        <w:t xml:space="preserve">purchase price was never paid to the Trust. </w:t>
      </w:r>
      <w:r w:rsidR="00A26C9D">
        <w:t xml:space="preserve"> </w:t>
      </w:r>
      <w:proofErr w:type="spellStart"/>
      <w:r w:rsidR="00A26C9D">
        <w:t>Astfin</w:t>
      </w:r>
      <w:proofErr w:type="spellEnd"/>
      <w:r w:rsidR="00A26C9D">
        <w:t xml:space="preserve"> denies this emphatically as a conspiracy.  </w:t>
      </w:r>
      <w:r w:rsidR="00117191">
        <w:t xml:space="preserve">De Nil and </w:t>
      </w:r>
      <w:proofErr w:type="spellStart"/>
      <w:r w:rsidR="00117191">
        <w:t>McLintock</w:t>
      </w:r>
      <w:proofErr w:type="spellEnd"/>
      <w:r w:rsidR="00117191">
        <w:t xml:space="preserve"> aver that n</w:t>
      </w:r>
      <w:r w:rsidR="00A26C9D">
        <w:t>one of the companies in the Bi</w:t>
      </w:r>
      <w:r w:rsidR="00117191">
        <w:t>-</w:t>
      </w:r>
      <w:r w:rsidR="00A26C9D">
        <w:t xml:space="preserve">Africa group purchased shares in NRB Capital. </w:t>
      </w:r>
      <w:r w:rsidR="0000086A">
        <w:t>Notably</w:t>
      </w:r>
      <w:r w:rsidR="00A26C9D">
        <w:t>,</w:t>
      </w:r>
      <w:r w:rsidR="0000086A">
        <w:t xml:space="preserve"> the applicant </w:t>
      </w:r>
      <w:r w:rsidR="0000086A">
        <w:lastRenderedPageBreak/>
        <w:t xml:space="preserve">eventually </w:t>
      </w:r>
      <w:r w:rsidR="00117191">
        <w:t>abandoned,</w:t>
      </w:r>
      <w:r w:rsidR="0000086A">
        <w:t xml:space="preserve"> upon delivering her replying affidavit,</w:t>
      </w:r>
      <w:r w:rsidR="00A26C9D">
        <w:t xml:space="preserve"> the relief sought for payment of R100 million </w:t>
      </w:r>
      <w:r w:rsidR="00117191">
        <w:t xml:space="preserve">by </w:t>
      </w:r>
      <w:proofErr w:type="spellStart"/>
      <w:r w:rsidR="00117191">
        <w:t>Astfin</w:t>
      </w:r>
      <w:proofErr w:type="spellEnd"/>
      <w:r w:rsidR="00117191">
        <w:t xml:space="preserve"> </w:t>
      </w:r>
      <w:r w:rsidR="00A26C9D">
        <w:t>to the Trust. This is</w:t>
      </w:r>
      <w:r w:rsidR="0000086A">
        <w:t xml:space="preserve"> testimony to the hollowness of these serious and </w:t>
      </w:r>
      <w:r w:rsidR="0000086A" w:rsidRPr="0000086A">
        <w:rPr>
          <w:i/>
          <w:iCs/>
        </w:rPr>
        <w:t>prima facie</w:t>
      </w:r>
      <w:r w:rsidR="0000086A">
        <w:t xml:space="preserve"> defamatory allegations</w:t>
      </w:r>
      <w:r w:rsidR="00B75CF1">
        <w:t xml:space="preserve"> and the alleged fraud.</w:t>
      </w:r>
    </w:p>
    <w:p w14:paraId="597BECD9" w14:textId="7D6F2465" w:rsidR="00403CCF" w:rsidRDefault="009074E3" w:rsidP="009074E3">
      <w:pPr>
        <w:pStyle w:val="Heading1"/>
        <w:numPr>
          <w:ilvl w:val="0"/>
          <w:numId w:val="0"/>
        </w:numPr>
        <w:tabs>
          <w:tab w:val="left" w:pos="862"/>
        </w:tabs>
        <w:ind w:left="862" w:hanging="862"/>
      </w:pPr>
      <w:r>
        <w:t>[108]</w:t>
      </w:r>
      <w:r>
        <w:tab/>
      </w:r>
      <w:r w:rsidR="00A26C9D">
        <w:t>As a consequence</w:t>
      </w:r>
      <w:r w:rsidR="00A544C9">
        <w:t>,</w:t>
      </w:r>
      <w:r w:rsidR="00A26C9D">
        <w:t xml:space="preserve"> the remaining </w:t>
      </w:r>
      <w:r w:rsidR="00117191">
        <w:t>relief premised</w:t>
      </w:r>
      <w:r w:rsidR="00A26C9D">
        <w:t xml:space="preserve"> thereon that the loan </w:t>
      </w:r>
      <w:r w:rsidR="00117191">
        <w:t>agreements and</w:t>
      </w:r>
      <w:r w:rsidR="00A26C9D">
        <w:t xml:space="preserve"> guarantees furnished</w:t>
      </w:r>
      <w:r w:rsidR="00DD07E2">
        <w:t xml:space="preserve"> in the course of the business relationship</w:t>
      </w:r>
      <w:r w:rsidR="00A26C9D">
        <w:t xml:space="preserve"> are </w:t>
      </w:r>
      <w:r w:rsidR="00117191">
        <w:t xml:space="preserve">simulated </w:t>
      </w:r>
      <w:r w:rsidR="00A26C9D">
        <w:t>shams and must be set aside hold no water either.</w:t>
      </w:r>
      <w:r w:rsidR="00B75CF1">
        <w:t xml:space="preserve"> There is no evidence</w:t>
      </w:r>
      <w:r w:rsidR="00D7391E">
        <w:t xml:space="preserve"> </w:t>
      </w:r>
      <w:r w:rsidR="00B75CF1">
        <w:t>establishing</w:t>
      </w:r>
      <w:r w:rsidR="00D7391E">
        <w:t xml:space="preserve"> </w:t>
      </w:r>
      <w:r w:rsidR="00B75CF1">
        <w:t xml:space="preserve">the fraud </w:t>
      </w:r>
      <w:r w:rsidR="00D7391E">
        <w:t>in</w:t>
      </w:r>
      <w:r w:rsidR="00B75CF1">
        <w:t xml:space="preserve"> which </w:t>
      </w:r>
      <w:proofErr w:type="spellStart"/>
      <w:r w:rsidR="00B75CF1">
        <w:t>Astfin</w:t>
      </w:r>
      <w:proofErr w:type="spellEnd"/>
      <w:r w:rsidR="00DD07E2">
        <w:t xml:space="preserve"> and </w:t>
      </w:r>
      <w:proofErr w:type="spellStart"/>
      <w:r w:rsidR="00DD07E2">
        <w:t>McLintock</w:t>
      </w:r>
      <w:proofErr w:type="spellEnd"/>
      <w:r w:rsidR="00B75CF1">
        <w:t xml:space="preserve"> </w:t>
      </w:r>
      <w:r w:rsidR="00DD07E2">
        <w:t>are</w:t>
      </w:r>
      <w:r w:rsidR="00B75CF1">
        <w:t xml:space="preserve"> alleged to have played a role.</w:t>
      </w:r>
      <w:r w:rsidR="00A26C9D">
        <w:t xml:space="preserve"> </w:t>
      </w:r>
    </w:p>
    <w:p w14:paraId="1CA30F88" w14:textId="647F29B0" w:rsidR="00A26C9D" w:rsidRDefault="009074E3" w:rsidP="009074E3">
      <w:pPr>
        <w:pStyle w:val="Heading1"/>
        <w:numPr>
          <w:ilvl w:val="0"/>
          <w:numId w:val="0"/>
        </w:numPr>
        <w:tabs>
          <w:tab w:val="left" w:pos="862"/>
        </w:tabs>
        <w:ind w:left="862" w:hanging="862"/>
      </w:pPr>
      <w:r>
        <w:t>[109]</w:t>
      </w:r>
      <w:r>
        <w:tab/>
      </w:r>
      <w:proofErr w:type="gramStart"/>
      <w:r w:rsidR="0067473D">
        <w:t>In</w:t>
      </w:r>
      <w:proofErr w:type="gramEnd"/>
      <w:r w:rsidR="0067473D">
        <w:t xml:space="preserve"> all of the circumstances,</w:t>
      </w:r>
      <w:r w:rsidR="00DF5184">
        <w:t xml:space="preserve"> I could</w:t>
      </w:r>
      <w:r w:rsidR="00D7391E">
        <w:t xml:space="preserve"> </w:t>
      </w:r>
      <w:r w:rsidR="00DD07E2">
        <w:t xml:space="preserve">simply </w:t>
      </w:r>
      <w:r w:rsidR="00DF5184">
        <w:t>dismiss the application</w:t>
      </w:r>
      <w:r w:rsidR="00D7391E">
        <w:t xml:space="preserve"> </w:t>
      </w:r>
      <w:r w:rsidR="00DF5184">
        <w:t>in the face of the material disputes of fact</w:t>
      </w:r>
      <w:r w:rsidR="00D7391E">
        <w:t>,</w:t>
      </w:r>
      <w:r w:rsidR="00DF5184">
        <w:t xml:space="preserve"> but the merits do no</w:t>
      </w:r>
      <w:r w:rsidR="000814EF">
        <w:t>t</w:t>
      </w:r>
      <w:r w:rsidR="00DF5184">
        <w:t xml:space="preserve"> favour the applicant</w:t>
      </w:r>
      <w:r w:rsidR="00B75CF1">
        <w:t xml:space="preserve">. </w:t>
      </w:r>
      <w:r w:rsidR="00DF5184">
        <w:t>T</w:t>
      </w:r>
      <w:r w:rsidR="00117191">
        <w:t xml:space="preserve">here is no need to hear </w:t>
      </w:r>
      <w:r w:rsidR="00117191" w:rsidRPr="00117191">
        <w:rPr>
          <w:i/>
          <w:iCs/>
        </w:rPr>
        <w:t>viva voce</w:t>
      </w:r>
      <w:r w:rsidR="00117191">
        <w:t xml:space="preserve"> evidence. </w:t>
      </w:r>
      <w:r w:rsidR="00DF5184">
        <w:t xml:space="preserve"> It is trite that</w:t>
      </w:r>
      <w:r w:rsidR="00D7391E">
        <w:t xml:space="preserve"> </w:t>
      </w:r>
      <w:r w:rsidR="00DF5184">
        <w:t>a party is not allowed to resort to oral evidence</w:t>
      </w:r>
      <w:r w:rsidR="00D7391E">
        <w:t xml:space="preserve"> </w:t>
      </w:r>
      <w:r w:rsidR="00DF5184">
        <w:t>where the affidavits do not present such evidence</w:t>
      </w:r>
      <w:r w:rsidR="00D7391E">
        <w:t>,</w:t>
      </w:r>
      <w:r w:rsidR="00DF5184">
        <w:t xml:space="preserve"> and there are shortcomings in the applicant’s case.</w:t>
      </w:r>
      <w:r w:rsidR="00DF5184">
        <w:rPr>
          <w:rStyle w:val="FootnoteReference"/>
        </w:rPr>
        <w:footnoteReference w:id="54"/>
      </w:r>
      <w:r w:rsidR="000814EF">
        <w:t xml:space="preserve">  </w:t>
      </w:r>
    </w:p>
    <w:p w14:paraId="7F190A1C" w14:textId="4832EB71" w:rsidR="0017387F" w:rsidRDefault="009074E3" w:rsidP="009074E3">
      <w:pPr>
        <w:pStyle w:val="Heading1"/>
        <w:numPr>
          <w:ilvl w:val="0"/>
          <w:numId w:val="0"/>
        </w:numPr>
        <w:tabs>
          <w:tab w:val="left" w:pos="862"/>
        </w:tabs>
        <w:ind w:left="862" w:hanging="862"/>
      </w:pPr>
      <w:r>
        <w:t>[110]</w:t>
      </w:r>
      <w:r>
        <w:tab/>
      </w:r>
      <w:proofErr w:type="gramStart"/>
      <w:r w:rsidR="0067473D">
        <w:t>As</w:t>
      </w:r>
      <w:proofErr w:type="gramEnd"/>
      <w:r w:rsidR="0067473D">
        <w:t xml:space="preserve"> is set out in </w:t>
      </w:r>
      <w:proofErr w:type="spellStart"/>
      <w:r w:rsidR="00D7391E">
        <w:t>Mr.</w:t>
      </w:r>
      <w:proofErr w:type="spellEnd"/>
      <w:r w:rsidR="0067473D">
        <w:t xml:space="preserve"> </w:t>
      </w:r>
      <w:proofErr w:type="spellStart"/>
      <w:r w:rsidR="0067473D">
        <w:t>Labuschagne’s</w:t>
      </w:r>
      <w:proofErr w:type="spellEnd"/>
      <w:r w:rsidR="0067473D">
        <w:t xml:space="preserve"> heads</w:t>
      </w:r>
      <w:r w:rsidR="00D7391E">
        <w:t>,</w:t>
      </w:r>
      <w:r w:rsidR="0067473D">
        <w:t xml:space="preserve"> the </w:t>
      </w:r>
      <w:r w:rsidR="009A7048">
        <w:t xml:space="preserve">answering </w:t>
      </w:r>
      <w:r w:rsidR="0067473D">
        <w:t xml:space="preserve">affidavits provide a logical explanation of the various agreements and companies with which </w:t>
      </w:r>
      <w:proofErr w:type="spellStart"/>
      <w:r w:rsidR="0067473D">
        <w:t>Astfin</w:t>
      </w:r>
      <w:proofErr w:type="spellEnd"/>
      <w:r w:rsidR="0067473D">
        <w:t xml:space="preserve"> was connected. The reasons for the loans, the </w:t>
      </w:r>
      <w:proofErr w:type="spellStart"/>
      <w:r w:rsidR="0067473D">
        <w:t>fundings</w:t>
      </w:r>
      <w:proofErr w:type="spellEnd"/>
      <w:r w:rsidR="0067473D">
        <w:t xml:space="preserve"> and the agreements </w:t>
      </w:r>
      <w:r w:rsidR="00A26C9D">
        <w:t>are</w:t>
      </w:r>
      <w:r w:rsidR="0067473D">
        <w:t xml:space="preserve"> explained in minute detail and why certain of the companies are linked with each other. It is quite clear</w:t>
      </w:r>
      <w:r w:rsidR="008F1E47">
        <w:t xml:space="preserve"> </w:t>
      </w:r>
      <w:r w:rsidR="0067473D">
        <w:t>that all of the transactions were concluded “</w:t>
      </w:r>
      <w:r w:rsidR="0067473D">
        <w:rPr>
          <w:i/>
          <w:iCs/>
        </w:rPr>
        <w:t>in the normal course of business</w:t>
      </w:r>
      <w:r w:rsidR="0017387F">
        <w:rPr>
          <w:i/>
          <w:iCs/>
        </w:rPr>
        <w:t>,</w:t>
      </w:r>
      <w:r w:rsidR="0067473D">
        <w:rPr>
          <w:i/>
          <w:iCs/>
        </w:rPr>
        <w:t xml:space="preserve"> at arm’s length</w:t>
      </w:r>
      <w:r w:rsidR="0067473D">
        <w:t xml:space="preserve">”. As </w:t>
      </w:r>
      <w:r w:rsidR="009A7048">
        <w:t>also set</w:t>
      </w:r>
      <w:r w:rsidR="0017387F">
        <w:t xml:space="preserve"> </w:t>
      </w:r>
      <w:r w:rsidR="0067473D">
        <w:t>out in his heads, “</w:t>
      </w:r>
      <w:r w:rsidR="0067473D">
        <w:rPr>
          <w:i/>
          <w:iCs/>
        </w:rPr>
        <w:t>It is clear that the version of the applicants is a misconstrued version of reality. A definite, factual and lawful basis exist regarding the nature, content, purpose and reasons for the various transactions which were entered into</w:t>
      </w:r>
      <w:r w:rsidR="0067473D">
        <w:t xml:space="preserve">”. </w:t>
      </w:r>
    </w:p>
    <w:p w14:paraId="501B7CCD" w14:textId="777114AB" w:rsidR="0067473D" w:rsidRDefault="009074E3" w:rsidP="009074E3">
      <w:pPr>
        <w:pStyle w:val="Heading1"/>
        <w:numPr>
          <w:ilvl w:val="0"/>
          <w:numId w:val="0"/>
        </w:numPr>
        <w:tabs>
          <w:tab w:val="left" w:pos="862"/>
        </w:tabs>
        <w:ind w:left="862" w:hanging="862"/>
      </w:pPr>
      <w:r>
        <w:t>[111]</w:t>
      </w:r>
      <w:r>
        <w:tab/>
      </w:r>
      <w:r w:rsidR="008F21D5">
        <w:t xml:space="preserve">There is </w:t>
      </w:r>
      <w:proofErr w:type="gramStart"/>
      <w:r w:rsidR="008F21D5">
        <w:t xml:space="preserve">no </w:t>
      </w:r>
      <w:r w:rsidR="0067473D">
        <w:t xml:space="preserve"> impropriety</w:t>
      </w:r>
      <w:proofErr w:type="gramEnd"/>
      <w:r w:rsidR="0067473D">
        <w:t xml:space="preserve"> regarding the transactions</w:t>
      </w:r>
      <w:r w:rsidR="00D7391E">
        <w:t>,</w:t>
      </w:r>
      <w:r w:rsidR="0067473D">
        <w:t xml:space="preserve"> which have all been </w:t>
      </w:r>
      <w:r w:rsidR="0067473D">
        <w:lastRenderedPageBreak/>
        <w:t>set out in great detail</w:t>
      </w:r>
      <w:r w:rsidR="000814EF">
        <w:t xml:space="preserve">. </w:t>
      </w:r>
      <w:r w:rsidR="008F1E47">
        <w:t>T</w:t>
      </w:r>
      <w:r w:rsidR="000814EF">
        <w:t xml:space="preserve">he version given by </w:t>
      </w:r>
      <w:proofErr w:type="spellStart"/>
      <w:r w:rsidR="000814EF">
        <w:t>Astfin</w:t>
      </w:r>
      <w:proofErr w:type="spellEnd"/>
      <w:r w:rsidR="000814EF">
        <w:t xml:space="preserve"> cannot be rejected and is accepted by the court in its entirety. This creates an insurmountable obstacle for the applicant. </w:t>
      </w:r>
      <w:r w:rsidR="003F0508">
        <w:t xml:space="preserve"> For these reasons</w:t>
      </w:r>
      <w:r w:rsidR="00D7391E">
        <w:t xml:space="preserve">, </w:t>
      </w:r>
      <w:r w:rsidR="003F0508">
        <w:t>I conclude that the applicant has not established that she is entitled to the declaratory orders sought in the Notice of Motion.</w:t>
      </w:r>
    </w:p>
    <w:p w14:paraId="74944E4B" w14:textId="3C572D49" w:rsidR="0017387F" w:rsidRDefault="009074E3" w:rsidP="009074E3">
      <w:pPr>
        <w:pStyle w:val="Heading1"/>
        <w:numPr>
          <w:ilvl w:val="0"/>
          <w:numId w:val="0"/>
        </w:numPr>
        <w:tabs>
          <w:tab w:val="left" w:pos="862"/>
        </w:tabs>
        <w:ind w:left="862" w:hanging="862"/>
      </w:pPr>
      <w:r>
        <w:t>[112]</w:t>
      </w:r>
      <w:r>
        <w:tab/>
      </w:r>
      <w:r w:rsidR="008F1E47">
        <w:t xml:space="preserve"> In any event, t</w:t>
      </w:r>
      <w:r w:rsidR="0017387F">
        <w:t xml:space="preserve">o bolster </w:t>
      </w:r>
      <w:r w:rsidR="009A7048">
        <w:t xml:space="preserve">this </w:t>
      </w:r>
      <w:r w:rsidR="0017387F">
        <w:t>finding</w:t>
      </w:r>
      <w:r w:rsidR="00D7391E">
        <w:t>,</w:t>
      </w:r>
      <w:r w:rsidR="000814EF">
        <w:t xml:space="preserve"> </w:t>
      </w:r>
      <w:r w:rsidR="0067473D">
        <w:t xml:space="preserve">the respective respondents’ counsel raised </w:t>
      </w:r>
      <w:r w:rsidR="009A7048">
        <w:t xml:space="preserve">a further </w:t>
      </w:r>
      <w:r w:rsidR="0067473D">
        <w:rPr>
          <w:i/>
          <w:iCs/>
        </w:rPr>
        <w:t xml:space="preserve">in </w:t>
      </w:r>
      <w:proofErr w:type="spellStart"/>
      <w:r w:rsidR="0067473D">
        <w:rPr>
          <w:i/>
          <w:iCs/>
        </w:rPr>
        <w:t>limine</w:t>
      </w:r>
      <w:proofErr w:type="spellEnd"/>
      <w:r w:rsidR="0067473D">
        <w:rPr>
          <w:i/>
          <w:iCs/>
        </w:rPr>
        <w:t xml:space="preserve"> </w:t>
      </w:r>
      <w:r w:rsidR="0067473D">
        <w:t>point</w:t>
      </w:r>
      <w:r w:rsidR="000814EF">
        <w:t xml:space="preserve">, the </w:t>
      </w:r>
      <w:r w:rsidR="000814EF" w:rsidRPr="000814EF">
        <w:rPr>
          <w:i/>
          <w:iCs/>
        </w:rPr>
        <w:t xml:space="preserve">locus </w:t>
      </w:r>
      <w:proofErr w:type="spellStart"/>
      <w:r w:rsidR="000814EF" w:rsidRPr="000814EF">
        <w:rPr>
          <w:i/>
          <w:iCs/>
        </w:rPr>
        <w:t>standi</w:t>
      </w:r>
      <w:proofErr w:type="spellEnd"/>
      <w:r w:rsidR="000814EF">
        <w:t xml:space="preserve"> point,</w:t>
      </w:r>
      <w:r w:rsidR="0067473D">
        <w:t xml:space="preserve"> which</w:t>
      </w:r>
      <w:r w:rsidR="00D7391E">
        <w:t>,</w:t>
      </w:r>
      <w:r w:rsidR="0067473D">
        <w:t xml:space="preserve"> to my mind</w:t>
      </w:r>
      <w:r w:rsidR="00D7391E">
        <w:t>,</w:t>
      </w:r>
      <w:r w:rsidR="0067473D">
        <w:t xml:space="preserve"> </w:t>
      </w:r>
      <w:r w:rsidR="009A7048">
        <w:t xml:space="preserve">is </w:t>
      </w:r>
      <w:r w:rsidR="0067473D">
        <w:t>definitive of the</w:t>
      </w:r>
      <w:r w:rsidR="0017387F">
        <w:t xml:space="preserve"> demise of the application</w:t>
      </w:r>
      <w:r w:rsidR="000814EF">
        <w:t>.</w:t>
      </w:r>
      <w:r w:rsidR="0067473D">
        <w:t xml:space="preserve"> The point raised and persisted with</w:t>
      </w:r>
      <w:r w:rsidR="000814EF">
        <w:t>,</w:t>
      </w:r>
      <w:r w:rsidR="0067473D">
        <w:t xml:space="preserve"> in the face of the application for a referral</w:t>
      </w:r>
      <w:r w:rsidR="000814EF">
        <w:t>,</w:t>
      </w:r>
      <w:r w:rsidR="0067473D">
        <w:t xml:space="preserve"> is that the applicant</w:t>
      </w:r>
      <w:r w:rsidR="0017387F">
        <w:t>, both personally and in her capacity as a trustee</w:t>
      </w:r>
      <w:r w:rsidR="00D7391E">
        <w:t>,</w:t>
      </w:r>
      <w:r w:rsidR="0067473D">
        <w:t xml:space="preserve"> did not have </w:t>
      </w:r>
      <w:r w:rsidR="0067473D">
        <w:rPr>
          <w:i/>
          <w:iCs/>
        </w:rPr>
        <w:t xml:space="preserve">locus </w:t>
      </w:r>
      <w:proofErr w:type="spellStart"/>
      <w:r w:rsidR="0067473D">
        <w:rPr>
          <w:i/>
          <w:iCs/>
        </w:rPr>
        <w:t>standi</w:t>
      </w:r>
      <w:proofErr w:type="spellEnd"/>
      <w:r w:rsidR="0067473D">
        <w:t xml:space="preserve"> to institute this application in the first instance.</w:t>
      </w:r>
    </w:p>
    <w:p w14:paraId="498FADAC" w14:textId="601C64E2" w:rsidR="0067473D" w:rsidRDefault="009074E3" w:rsidP="009074E3">
      <w:pPr>
        <w:pStyle w:val="Heading1"/>
        <w:numPr>
          <w:ilvl w:val="0"/>
          <w:numId w:val="0"/>
        </w:numPr>
        <w:tabs>
          <w:tab w:val="left" w:pos="862"/>
        </w:tabs>
        <w:ind w:left="862" w:hanging="862"/>
      </w:pPr>
      <w:r>
        <w:t>[113]</w:t>
      </w:r>
      <w:r>
        <w:tab/>
      </w:r>
      <w:proofErr w:type="gramStart"/>
      <w:r w:rsidR="0017387F">
        <w:t>The</w:t>
      </w:r>
      <w:proofErr w:type="gramEnd"/>
      <w:r w:rsidR="0017387F">
        <w:t xml:space="preserve"> applicant, </w:t>
      </w:r>
      <w:r w:rsidR="009A7048">
        <w:t>indeed,</w:t>
      </w:r>
      <w:r w:rsidR="0067473D">
        <w:t xml:space="preserve"> </w:t>
      </w:r>
      <w:r w:rsidR="0017387F">
        <w:t>brought this</w:t>
      </w:r>
      <w:r w:rsidR="0067473D">
        <w:t xml:space="preserve"> application in her personal capacity and in her capacity as a trustee of the Venter Family Trust. She pertinently states</w:t>
      </w:r>
      <w:r w:rsidR="00DB777C">
        <w:t>.</w:t>
      </w:r>
      <w:r w:rsidR="0067473D">
        <w:rPr>
          <w:rStyle w:val="FootnoteReference"/>
        </w:rPr>
        <w:footnoteReference w:id="55"/>
      </w:r>
      <w:r w:rsidR="0067473D">
        <w:t xml:space="preserve"> </w:t>
      </w:r>
    </w:p>
    <w:p w14:paraId="28067A39" w14:textId="40539FFF" w:rsidR="0067473D" w:rsidRPr="00F23114" w:rsidRDefault="0067473D" w:rsidP="0067473D">
      <w:pPr>
        <w:pStyle w:val="Quotation"/>
        <w:tabs>
          <w:tab w:val="clear" w:pos="2552"/>
        </w:tabs>
        <w:ind w:left="1843" w:firstLine="0"/>
        <w:rPr>
          <w:sz w:val="22"/>
          <w:szCs w:val="22"/>
        </w:rPr>
      </w:pPr>
      <w:r w:rsidRPr="00F23114">
        <w:rPr>
          <w:sz w:val="22"/>
          <w:szCs w:val="22"/>
        </w:rPr>
        <w:t xml:space="preserve">“I believe that the other two trustees (in this case referring to </w:t>
      </w:r>
      <w:proofErr w:type="spellStart"/>
      <w:r w:rsidR="00D7391E">
        <w:rPr>
          <w:sz w:val="22"/>
          <w:szCs w:val="22"/>
        </w:rPr>
        <w:t>Mr.</w:t>
      </w:r>
      <w:proofErr w:type="spellEnd"/>
      <w:r w:rsidRPr="00F23114">
        <w:rPr>
          <w:sz w:val="22"/>
          <w:szCs w:val="22"/>
        </w:rPr>
        <w:t xml:space="preserve"> Venter and Baron) are acting against me to defraud me and avoid liability towards me and for that reason, there is no resolution authorising me to launch this application</w:t>
      </w:r>
      <w:r w:rsidR="0017387F">
        <w:rPr>
          <w:sz w:val="22"/>
          <w:szCs w:val="22"/>
        </w:rPr>
        <w:t>,</w:t>
      </w:r>
      <w:r w:rsidRPr="00F23114">
        <w:rPr>
          <w:sz w:val="22"/>
          <w:szCs w:val="22"/>
        </w:rPr>
        <w:t xml:space="preserve"> on behalf of the Trust</w:t>
      </w:r>
      <w:r w:rsidR="0017387F">
        <w:rPr>
          <w:sz w:val="22"/>
          <w:szCs w:val="22"/>
        </w:rPr>
        <w:t>,</w:t>
      </w:r>
      <w:r w:rsidRPr="00F23114">
        <w:rPr>
          <w:sz w:val="22"/>
          <w:szCs w:val="22"/>
        </w:rPr>
        <w:t xml:space="preserve"> and it is also for this very reason that I seek the assistance from this Honourable Court to protect the Trust.”  </w:t>
      </w:r>
    </w:p>
    <w:p w14:paraId="48523ADF" w14:textId="6156F5B1" w:rsidR="0017387F" w:rsidRDefault="009074E3" w:rsidP="009074E3">
      <w:pPr>
        <w:pStyle w:val="Heading1"/>
        <w:numPr>
          <w:ilvl w:val="0"/>
          <w:numId w:val="0"/>
        </w:numPr>
        <w:tabs>
          <w:tab w:val="left" w:pos="862"/>
        </w:tabs>
        <w:ind w:left="862" w:hanging="862"/>
      </w:pPr>
      <w:r>
        <w:t>[114]</w:t>
      </w:r>
      <w:r>
        <w:tab/>
      </w:r>
      <w:proofErr w:type="gramStart"/>
      <w:r w:rsidR="0067473D">
        <w:t>As</w:t>
      </w:r>
      <w:proofErr w:type="gramEnd"/>
      <w:r w:rsidR="0067473D">
        <w:t xml:space="preserve"> submitted to me, a trust cannot be represented by one trustee. The </w:t>
      </w:r>
      <w:r w:rsidR="008F21D5">
        <w:t>t</w:t>
      </w:r>
      <w:r w:rsidR="0067473D">
        <w:t>rust is represented by all of its trustees</w:t>
      </w:r>
      <w:r w:rsidR="00D7391E">
        <w:t>,</w:t>
      </w:r>
      <w:r w:rsidR="0067473D">
        <w:t xml:space="preserve"> and all of its trustees</w:t>
      </w:r>
      <w:r w:rsidR="0017387F">
        <w:rPr>
          <w:rStyle w:val="FootnoteReference"/>
        </w:rPr>
        <w:footnoteReference w:id="56"/>
      </w:r>
      <w:r w:rsidR="0067473D">
        <w:t xml:space="preserve"> must resolve to take </w:t>
      </w:r>
      <w:r w:rsidR="00D7391E">
        <w:t>action</w:t>
      </w:r>
      <w:r w:rsidR="0067473D">
        <w:t xml:space="preserve"> on behalf of the Trust. In this instance,</w:t>
      </w:r>
      <w:r w:rsidR="008F1E47">
        <w:t xml:space="preserve"> the applicant</w:t>
      </w:r>
      <w:r w:rsidR="0067473D">
        <w:t xml:space="preserve"> </w:t>
      </w:r>
      <w:r w:rsidR="008F1E47">
        <w:t xml:space="preserve">concedes that she </w:t>
      </w:r>
      <w:r w:rsidR="0067473D">
        <w:t xml:space="preserve">acts alone. </w:t>
      </w:r>
    </w:p>
    <w:p w14:paraId="1B8BB546" w14:textId="3E9E7E10" w:rsidR="0067473D" w:rsidRDefault="009074E3" w:rsidP="009074E3">
      <w:pPr>
        <w:pStyle w:val="Heading1"/>
        <w:numPr>
          <w:ilvl w:val="0"/>
          <w:numId w:val="0"/>
        </w:numPr>
        <w:tabs>
          <w:tab w:val="left" w:pos="862"/>
        </w:tabs>
        <w:ind w:left="862" w:hanging="862"/>
      </w:pPr>
      <w:r>
        <w:t>[115]</w:t>
      </w:r>
      <w:r>
        <w:tab/>
      </w:r>
      <w:r w:rsidR="0067473D">
        <w:t xml:space="preserve">Section 12 of the Trust Property Control Act 57 of 1988 provides as </w:t>
      </w:r>
      <w:r w:rsidR="0067473D">
        <w:lastRenderedPageBreak/>
        <w:t xml:space="preserve">follows: </w:t>
      </w:r>
    </w:p>
    <w:p w14:paraId="59B60CBA" w14:textId="77777777" w:rsidR="0067473D" w:rsidRPr="00F23114" w:rsidRDefault="0067473D" w:rsidP="0067473D">
      <w:pPr>
        <w:pStyle w:val="Quotation"/>
        <w:tabs>
          <w:tab w:val="clear" w:pos="2552"/>
        </w:tabs>
        <w:ind w:left="1843" w:firstLine="0"/>
        <w:rPr>
          <w:sz w:val="22"/>
          <w:szCs w:val="22"/>
        </w:rPr>
      </w:pPr>
      <w:r w:rsidRPr="00F23114">
        <w:rPr>
          <w:sz w:val="22"/>
          <w:szCs w:val="22"/>
        </w:rPr>
        <w:t xml:space="preserve">“Trust property shall not form part of the personal estate of the trustee except insofar as </w:t>
      </w:r>
      <w:proofErr w:type="gramStart"/>
      <w:r w:rsidRPr="00F23114">
        <w:rPr>
          <w:sz w:val="22"/>
          <w:szCs w:val="22"/>
        </w:rPr>
        <w:t>he</w:t>
      </w:r>
      <w:proofErr w:type="gramEnd"/>
      <w:r w:rsidRPr="00F23114">
        <w:rPr>
          <w:sz w:val="22"/>
          <w:szCs w:val="22"/>
        </w:rPr>
        <w:t xml:space="preserve"> as the trust beneficiary is entitled to the trust property.” </w:t>
      </w:r>
    </w:p>
    <w:p w14:paraId="381334A8" w14:textId="4D367E77" w:rsidR="0067473D" w:rsidRDefault="009074E3" w:rsidP="009074E3">
      <w:pPr>
        <w:pStyle w:val="Heading1"/>
        <w:numPr>
          <w:ilvl w:val="0"/>
          <w:numId w:val="0"/>
        </w:numPr>
        <w:tabs>
          <w:tab w:val="left" w:pos="862"/>
        </w:tabs>
        <w:ind w:left="862" w:hanging="862"/>
      </w:pPr>
      <w:r>
        <w:t>[116]</w:t>
      </w:r>
      <w:r>
        <w:tab/>
      </w:r>
      <w:r w:rsidR="0067473D">
        <w:t>Furthermore,</w:t>
      </w:r>
      <w:r w:rsidR="0017387F">
        <w:t xml:space="preserve"> as stated above</w:t>
      </w:r>
      <w:r w:rsidR="009A7048">
        <w:t>,</w:t>
      </w:r>
      <w:r w:rsidR="0017387F">
        <w:t xml:space="preserve"> </w:t>
      </w:r>
      <w:r w:rsidR="0067473D">
        <w:t>the applicant</w:t>
      </w:r>
      <w:r w:rsidR="0017387F">
        <w:t xml:space="preserve"> correctly</w:t>
      </w:r>
      <w:r w:rsidR="00D7391E">
        <w:t>,</w:t>
      </w:r>
      <w:r w:rsidR="0017387F">
        <w:t xml:space="preserve"> so to my mind,</w:t>
      </w:r>
      <w:r w:rsidR="0067473D">
        <w:t xml:space="preserve"> abandon</w:t>
      </w:r>
      <w:r w:rsidR="0017387F">
        <w:t>ed</w:t>
      </w:r>
      <w:r w:rsidR="0067473D">
        <w:t xml:space="preserve"> the relief sought in paragraph 1 of the notice of motio</w:t>
      </w:r>
      <w:r w:rsidR="006C7225">
        <w:t>n</w:t>
      </w:r>
      <w:r w:rsidR="0067473D">
        <w:t xml:space="preserve"> pertain</w:t>
      </w:r>
      <w:r w:rsidR="006C7225">
        <w:t>ing</w:t>
      </w:r>
      <w:r w:rsidR="0067473D">
        <w:t xml:space="preserve"> to the Trust and in which she sought</w:t>
      </w:r>
      <w:r w:rsidR="006C7225">
        <w:t>,</w:t>
      </w:r>
      <w:r w:rsidR="0067473D">
        <w:t xml:space="preserve"> unconvincingly</w:t>
      </w:r>
      <w:r w:rsidR="006C7225">
        <w:t>, payment from</w:t>
      </w:r>
      <w:r w:rsidR="0067473D">
        <w:t xml:space="preserve"> </w:t>
      </w:r>
      <w:proofErr w:type="spellStart"/>
      <w:r w:rsidR="0067473D">
        <w:t>Astfin</w:t>
      </w:r>
      <w:proofErr w:type="spellEnd"/>
      <w:r w:rsidR="00D00483">
        <w:t xml:space="preserve"> </w:t>
      </w:r>
      <w:r w:rsidR="006C7225">
        <w:t>to</w:t>
      </w:r>
      <w:r w:rsidR="0067473D">
        <w:t xml:space="preserve"> the Venter Family Trust</w:t>
      </w:r>
      <w:r w:rsidR="006C7225">
        <w:t xml:space="preserve"> the</w:t>
      </w:r>
      <w:r w:rsidR="0067473D">
        <w:t xml:space="preserve"> sum of R100 million for its alleged acquisition of 70% of the shares in the NRB Capital Solutions (Pty) Ltd in which the Trust holds 100% of the shareholding. This relief could not be persisted with in the face of the clear denial by </w:t>
      </w:r>
      <w:proofErr w:type="spellStart"/>
      <w:r w:rsidR="009A7048">
        <w:t>Astfin</w:t>
      </w:r>
      <w:proofErr w:type="spellEnd"/>
      <w:r w:rsidR="009A7048">
        <w:t xml:space="preserve"> that</w:t>
      </w:r>
      <w:r w:rsidR="006C7225">
        <w:t xml:space="preserve"> it or companies in the Bi</w:t>
      </w:r>
      <w:r w:rsidR="00244667">
        <w:t>-</w:t>
      </w:r>
      <w:r w:rsidR="006C7225">
        <w:t xml:space="preserve">Africa Group purchased shares in </w:t>
      </w:r>
      <w:r w:rsidR="0067473D">
        <w:t>NRB Capital Solutions (Pty) Ltd</w:t>
      </w:r>
      <w:r w:rsidR="006C7225">
        <w:t>. I</w:t>
      </w:r>
      <w:r w:rsidR="0067473D">
        <w:t xml:space="preserve">nstead, on 31 August </w:t>
      </w:r>
      <w:r w:rsidR="009A7048">
        <w:t>2016</w:t>
      </w:r>
      <w:r w:rsidR="00D7391E">
        <w:t>,</w:t>
      </w:r>
      <w:r w:rsidR="009A7048">
        <w:t xml:space="preserve"> TAG</w:t>
      </w:r>
      <w:r w:rsidR="006C7225">
        <w:t>,</w:t>
      </w:r>
      <w:r w:rsidR="0067473D">
        <w:t xml:space="preserve"> a wholly owned subsidiary of Bi-Africa</w:t>
      </w:r>
      <w:r w:rsidR="006C7225">
        <w:t>,</w:t>
      </w:r>
      <w:r w:rsidR="0067473D">
        <w:t xml:space="preserve"> concluded a written sale of shares and shareholders agreement with NRB Rental in terms of which TAG acquired 900 ordinary shares comprising 45% of the issued share capital of NRB Rental from NRB Capital for a purchase price of R2 250 000.00 which purchase price was paid on 1 September 2016 by TAG to NRB Capital in cash. </w:t>
      </w:r>
    </w:p>
    <w:p w14:paraId="53D7D8E3" w14:textId="7A1D32E5" w:rsidR="0067473D" w:rsidRDefault="009074E3" w:rsidP="009074E3">
      <w:pPr>
        <w:pStyle w:val="Heading1"/>
        <w:numPr>
          <w:ilvl w:val="0"/>
          <w:numId w:val="0"/>
        </w:numPr>
        <w:tabs>
          <w:tab w:val="left" w:pos="862"/>
        </w:tabs>
        <w:ind w:left="862" w:hanging="862"/>
      </w:pPr>
      <w:r>
        <w:t>[117]</w:t>
      </w:r>
      <w:r>
        <w:tab/>
      </w:r>
      <w:r w:rsidR="0067473D">
        <w:t xml:space="preserve">In her replying affidavit, the applicant cannot dispute the business transactions which were disclosed openly and transparently in </w:t>
      </w:r>
      <w:proofErr w:type="spellStart"/>
      <w:r w:rsidR="0067473D">
        <w:t>Astfin’s</w:t>
      </w:r>
      <w:proofErr w:type="spellEnd"/>
      <w:r w:rsidR="0067473D">
        <w:t xml:space="preserve"> answering affidavit and</w:t>
      </w:r>
      <w:r w:rsidR="00D7391E">
        <w:t>,</w:t>
      </w:r>
      <w:r w:rsidR="0067473D">
        <w:t xml:space="preserve"> in fact, pointedly states that she has no knowledge of most of the paragraphs relating to these business transactions and is</w:t>
      </w:r>
      <w:r w:rsidR="00D7391E">
        <w:t>,</w:t>
      </w:r>
      <w:r w:rsidR="0067473D">
        <w:t xml:space="preserve"> therefore not in a position to respond thereto.</w:t>
      </w:r>
      <w:r w:rsidR="0067473D">
        <w:rPr>
          <w:rStyle w:val="FootnoteReference"/>
        </w:rPr>
        <w:footnoteReference w:id="57"/>
      </w:r>
      <w:r w:rsidR="0067473D">
        <w:t xml:space="preserve">   </w:t>
      </w:r>
    </w:p>
    <w:p w14:paraId="1AA85DB9" w14:textId="55495A62" w:rsidR="0067473D" w:rsidRDefault="009074E3" w:rsidP="009074E3">
      <w:pPr>
        <w:pStyle w:val="Heading1"/>
        <w:numPr>
          <w:ilvl w:val="0"/>
          <w:numId w:val="0"/>
        </w:numPr>
        <w:tabs>
          <w:tab w:val="left" w:pos="862"/>
        </w:tabs>
        <w:ind w:left="862" w:hanging="862"/>
      </w:pPr>
      <w:r>
        <w:t>[118]</w:t>
      </w:r>
      <w:r>
        <w:tab/>
      </w:r>
      <w:r w:rsidR="0067473D">
        <w:t>As also submitted to me, the applicant alleges</w:t>
      </w:r>
      <w:r w:rsidR="0067473D">
        <w:rPr>
          <w:rStyle w:val="FootnoteReference"/>
        </w:rPr>
        <w:footnoteReference w:id="58"/>
      </w:r>
      <w:r w:rsidR="0067473D">
        <w:t xml:space="preserve"> that the Trust </w:t>
      </w:r>
      <w:proofErr w:type="gramStart"/>
      <w:r w:rsidR="0067473D">
        <w:t>is  “</w:t>
      </w:r>
      <w:proofErr w:type="gramEnd"/>
      <w:r w:rsidR="0067473D">
        <w:rPr>
          <w:i/>
          <w:iCs/>
        </w:rPr>
        <w:t>a sham</w:t>
      </w:r>
      <w:r w:rsidR="0067473D">
        <w:t xml:space="preserve">”, which allegation is completely destructive of the claim for payment to the </w:t>
      </w:r>
      <w:r w:rsidR="0067473D">
        <w:lastRenderedPageBreak/>
        <w:t xml:space="preserve">Trust of R100 million being the alleged sale of shares owned by the Trust to </w:t>
      </w:r>
      <w:proofErr w:type="spellStart"/>
      <w:r w:rsidR="0067473D">
        <w:t>Astfin</w:t>
      </w:r>
      <w:proofErr w:type="spellEnd"/>
      <w:r w:rsidR="0067473D">
        <w:t>. If the Trust was a sham, it could not have concluded this transaction</w:t>
      </w:r>
      <w:r w:rsidR="00D7391E">
        <w:t>,</w:t>
      </w:r>
      <w:r w:rsidR="0067473D">
        <w:t xml:space="preserve"> and none of the trustees, let </w:t>
      </w:r>
      <w:r w:rsidR="009A7048">
        <w:t>alone the</w:t>
      </w:r>
      <w:r w:rsidR="006C7225">
        <w:t xml:space="preserve"> applicant</w:t>
      </w:r>
      <w:r w:rsidR="0067473D">
        <w:t xml:space="preserve">, could have enforced the alleged agreement of sale on behalf of the Trust. As such, it is my finding that the applicant did not have the </w:t>
      </w:r>
      <w:r w:rsidR="0067473D">
        <w:rPr>
          <w:i/>
          <w:iCs/>
        </w:rPr>
        <w:t xml:space="preserve">locus </w:t>
      </w:r>
      <w:proofErr w:type="spellStart"/>
      <w:r w:rsidR="0067473D">
        <w:rPr>
          <w:i/>
          <w:iCs/>
        </w:rPr>
        <w:t>standi</w:t>
      </w:r>
      <w:proofErr w:type="spellEnd"/>
      <w:r w:rsidR="0067473D">
        <w:t xml:space="preserve"> to claim on behalf of the Trust and</w:t>
      </w:r>
      <w:r w:rsidR="00D7391E">
        <w:t>,</w:t>
      </w:r>
      <w:r w:rsidR="0067473D">
        <w:t xml:space="preserve"> as such</w:t>
      </w:r>
      <w:r w:rsidR="00D7391E">
        <w:t>,</w:t>
      </w:r>
      <w:r w:rsidR="0067473D">
        <w:t xml:space="preserve"> should not have brought this application in such capacity. </w:t>
      </w:r>
    </w:p>
    <w:p w14:paraId="48205334" w14:textId="52384F5C" w:rsidR="0067473D" w:rsidRDefault="009074E3" w:rsidP="009074E3">
      <w:pPr>
        <w:pStyle w:val="Heading1"/>
        <w:numPr>
          <w:ilvl w:val="0"/>
          <w:numId w:val="0"/>
        </w:numPr>
        <w:tabs>
          <w:tab w:val="left" w:pos="862"/>
        </w:tabs>
        <w:ind w:left="862" w:hanging="862"/>
      </w:pPr>
      <w:r>
        <w:t>[119]</w:t>
      </w:r>
      <w:r>
        <w:tab/>
      </w:r>
      <w:r w:rsidR="006C7225">
        <w:t>Turning now to</w:t>
      </w:r>
      <w:r w:rsidR="0067473D">
        <w:t xml:space="preserve"> the remaining relief sought in the notice of motion, the applicant</w:t>
      </w:r>
      <w:r w:rsidR="00D7391E">
        <w:t>,</w:t>
      </w:r>
      <w:r w:rsidR="0067473D">
        <w:t xml:space="preserve"> </w:t>
      </w:r>
      <w:r w:rsidR="00D7391E">
        <w:t xml:space="preserve">in </w:t>
      </w:r>
      <w:r w:rsidR="0067473D">
        <w:t>her individual capacity</w:t>
      </w:r>
      <w:r w:rsidR="00D7391E">
        <w:t>,</w:t>
      </w:r>
      <w:r w:rsidR="0067473D">
        <w:t xml:space="preserve"> </w:t>
      </w:r>
      <w:r w:rsidR="006C7225">
        <w:t>seeks</w:t>
      </w:r>
      <w:r w:rsidR="0067473D">
        <w:t xml:space="preserve"> a declaratory order as follows: </w:t>
      </w:r>
    </w:p>
    <w:p w14:paraId="1B24D94B" w14:textId="77777777" w:rsidR="0067473D" w:rsidRPr="00F23114" w:rsidRDefault="0067473D" w:rsidP="0067473D">
      <w:pPr>
        <w:pStyle w:val="Quotation"/>
        <w:rPr>
          <w:sz w:val="22"/>
          <w:szCs w:val="22"/>
        </w:rPr>
      </w:pPr>
      <w:r w:rsidRPr="00F23114">
        <w:rPr>
          <w:sz w:val="22"/>
          <w:szCs w:val="22"/>
        </w:rPr>
        <w:t>“2.</w:t>
      </w:r>
      <w:r w:rsidRPr="00F23114">
        <w:rPr>
          <w:sz w:val="22"/>
          <w:szCs w:val="22"/>
        </w:rPr>
        <w:tab/>
        <w:t xml:space="preserve">That the loan agreements between the first respondent and the NRB Group which includes the fifth to thirteenth respondents be declared a sham and of no legal force and effect; and </w:t>
      </w:r>
    </w:p>
    <w:p w14:paraId="6FB0DF32" w14:textId="77777777" w:rsidR="0067473D" w:rsidRPr="00F23114" w:rsidRDefault="0067473D" w:rsidP="0067473D">
      <w:pPr>
        <w:pStyle w:val="Quotation"/>
        <w:rPr>
          <w:sz w:val="22"/>
          <w:szCs w:val="22"/>
        </w:rPr>
      </w:pPr>
      <w:r w:rsidRPr="00F23114">
        <w:rPr>
          <w:sz w:val="22"/>
          <w:szCs w:val="22"/>
        </w:rPr>
        <w:t>3.</w:t>
      </w:r>
      <w:r w:rsidRPr="00F23114">
        <w:rPr>
          <w:sz w:val="22"/>
          <w:szCs w:val="22"/>
        </w:rPr>
        <w:tab/>
        <w:t>The setting aside of:</w:t>
      </w:r>
    </w:p>
    <w:p w14:paraId="6F6F6FE8" w14:textId="77777777" w:rsidR="0067473D" w:rsidRPr="00F23114" w:rsidRDefault="0067473D" w:rsidP="0067473D">
      <w:pPr>
        <w:pStyle w:val="Quotation"/>
        <w:tabs>
          <w:tab w:val="clear" w:pos="2552"/>
          <w:tab w:val="clear" w:pos="3022"/>
          <w:tab w:val="left" w:pos="3402"/>
        </w:tabs>
        <w:ind w:left="3402" w:hanging="850"/>
        <w:rPr>
          <w:sz w:val="22"/>
          <w:szCs w:val="22"/>
        </w:rPr>
      </w:pPr>
      <w:r w:rsidRPr="00F23114">
        <w:rPr>
          <w:sz w:val="22"/>
          <w:szCs w:val="22"/>
        </w:rPr>
        <w:t>3.1</w:t>
      </w:r>
      <w:r w:rsidRPr="00F23114">
        <w:rPr>
          <w:sz w:val="22"/>
          <w:szCs w:val="22"/>
        </w:rPr>
        <w:tab/>
        <w:t>The loan agreements between the first respondent and the NRB Group;</w:t>
      </w:r>
    </w:p>
    <w:p w14:paraId="2125031B" w14:textId="77777777" w:rsidR="0067473D" w:rsidRPr="00F23114" w:rsidRDefault="0067473D" w:rsidP="0067473D">
      <w:pPr>
        <w:pStyle w:val="Quotation"/>
        <w:tabs>
          <w:tab w:val="clear" w:pos="2552"/>
          <w:tab w:val="clear" w:pos="3022"/>
          <w:tab w:val="left" w:pos="3402"/>
        </w:tabs>
        <w:ind w:left="3402" w:hanging="850"/>
        <w:rPr>
          <w:sz w:val="22"/>
          <w:szCs w:val="22"/>
        </w:rPr>
      </w:pPr>
      <w:r w:rsidRPr="00F23114">
        <w:rPr>
          <w:sz w:val="22"/>
          <w:szCs w:val="22"/>
        </w:rPr>
        <w:t>3.2</w:t>
      </w:r>
      <w:r w:rsidRPr="00F23114">
        <w:rPr>
          <w:sz w:val="22"/>
          <w:szCs w:val="22"/>
        </w:rPr>
        <w:tab/>
        <w:t xml:space="preserve">The bond registered in favour of the first respondent over </w:t>
      </w:r>
      <w:proofErr w:type="spellStart"/>
      <w:r w:rsidRPr="00F23114">
        <w:rPr>
          <w:sz w:val="22"/>
          <w:szCs w:val="22"/>
        </w:rPr>
        <w:t>Erf</w:t>
      </w:r>
      <w:proofErr w:type="spellEnd"/>
      <w:r w:rsidRPr="00F23114">
        <w:rPr>
          <w:sz w:val="22"/>
          <w:szCs w:val="22"/>
        </w:rPr>
        <w:t xml:space="preserve"> 1536 Camps Bay, City of Cape Town belonging to the fifth respondent (namely </w:t>
      </w:r>
      <w:proofErr w:type="spellStart"/>
      <w:r w:rsidRPr="00F23114">
        <w:rPr>
          <w:sz w:val="22"/>
          <w:szCs w:val="22"/>
        </w:rPr>
        <w:t>Skiathos</w:t>
      </w:r>
      <w:proofErr w:type="spellEnd"/>
      <w:r w:rsidRPr="00F23114">
        <w:rPr>
          <w:sz w:val="22"/>
          <w:szCs w:val="22"/>
        </w:rPr>
        <w:t xml:space="preserve"> B2 Property Investments CC); and </w:t>
      </w:r>
    </w:p>
    <w:p w14:paraId="23F4E4F9" w14:textId="77777777" w:rsidR="0067473D" w:rsidRPr="00F23114" w:rsidRDefault="0067473D" w:rsidP="0067473D">
      <w:pPr>
        <w:pStyle w:val="Quotation"/>
        <w:tabs>
          <w:tab w:val="clear" w:pos="2552"/>
          <w:tab w:val="clear" w:pos="3022"/>
          <w:tab w:val="left" w:pos="3402"/>
        </w:tabs>
        <w:ind w:left="3402" w:hanging="850"/>
        <w:rPr>
          <w:sz w:val="22"/>
          <w:szCs w:val="22"/>
        </w:rPr>
      </w:pPr>
      <w:r w:rsidRPr="00F23114">
        <w:rPr>
          <w:sz w:val="22"/>
          <w:szCs w:val="22"/>
        </w:rPr>
        <w:t>3.3</w:t>
      </w:r>
      <w:r w:rsidRPr="00F23114">
        <w:rPr>
          <w:sz w:val="22"/>
          <w:szCs w:val="22"/>
        </w:rPr>
        <w:tab/>
        <w:t xml:space="preserve">Any personal guarantees issued by the second respondent for the debt of the NRB Group toward the first respondent.  </w:t>
      </w:r>
    </w:p>
    <w:p w14:paraId="167C9FEA" w14:textId="40CEA262" w:rsidR="006C7225" w:rsidRDefault="009074E3" w:rsidP="009074E3">
      <w:pPr>
        <w:pStyle w:val="Heading1"/>
        <w:numPr>
          <w:ilvl w:val="0"/>
          <w:numId w:val="0"/>
        </w:numPr>
        <w:tabs>
          <w:tab w:val="left" w:pos="862"/>
        </w:tabs>
        <w:ind w:left="862" w:hanging="862"/>
      </w:pPr>
      <w:r>
        <w:t>[120]</w:t>
      </w:r>
      <w:r>
        <w:tab/>
      </w:r>
      <w:proofErr w:type="gramStart"/>
      <w:r w:rsidR="0067473D">
        <w:t>As</w:t>
      </w:r>
      <w:proofErr w:type="gramEnd"/>
      <w:r w:rsidR="0067473D">
        <w:t xml:space="preserve"> succinctly submitted to me, </w:t>
      </w:r>
      <w:proofErr w:type="spellStart"/>
      <w:r w:rsidR="0067473D">
        <w:t>Astfin</w:t>
      </w:r>
      <w:proofErr w:type="spellEnd"/>
      <w:r w:rsidR="0067473D">
        <w:t xml:space="preserve"> and the NRB Group entered into a suite of agreements</w:t>
      </w:r>
      <w:r w:rsidR="006C7225">
        <w:t>. A</w:t>
      </w:r>
      <w:r w:rsidR="0067473D">
        <w:t>s their relationship continued, new and further agreements were entered into</w:t>
      </w:r>
      <w:r w:rsidR="006C7225">
        <w:t xml:space="preserve"> </w:t>
      </w:r>
      <w:r w:rsidR="0067473D">
        <w:t xml:space="preserve">in terms of which certain security or guarantees </w:t>
      </w:r>
      <w:r w:rsidR="00D7391E">
        <w:t>were</w:t>
      </w:r>
      <w:r w:rsidR="0067473D">
        <w:t xml:space="preserve"> required and provided. The applicant has no contractual nexus to any of these agreements and</w:t>
      </w:r>
      <w:r w:rsidR="006C7225">
        <w:t>,</w:t>
      </w:r>
      <w:r w:rsidR="0067473D">
        <w:t xml:space="preserve"> accordingly</w:t>
      </w:r>
      <w:r w:rsidR="006C7225">
        <w:t>,</w:t>
      </w:r>
      <w:r w:rsidR="0067473D">
        <w:t xml:space="preserve"> as an outsider</w:t>
      </w:r>
      <w:r w:rsidR="00D7391E">
        <w:t>,</w:t>
      </w:r>
      <w:r w:rsidR="0067473D">
        <w:t xml:space="preserve"> is </w:t>
      </w:r>
      <w:r w:rsidR="0067473D">
        <w:lastRenderedPageBreak/>
        <w:t xml:space="preserve">attempting to have the agreements declared null and void in circumstances where the parties thereto are abiding </w:t>
      </w:r>
      <w:r w:rsidR="00D7391E">
        <w:t xml:space="preserve">by </w:t>
      </w:r>
      <w:r w:rsidR="0067473D">
        <w:t>the terms of the agreements. The respondents do not challenge the veracity of the agreements that they concluded with each other.</w:t>
      </w:r>
    </w:p>
    <w:p w14:paraId="36C0EF62" w14:textId="68B34799" w:rsidR="006C7225" w:rsidRDefault="009074E3" w:rsidP="009074E3">
      <w:pPr>
        <w:pStyle w:val="Heading1"/>
        <w:numPr>
          <w:ilvl w:val="0"/>
          <w:numId w:val="0"/>
        </w:numPr>
        <w:tabs>
          <w:tab w:val="left" w:pos="862"/>
        </w:tabs>
        <w:ind w:left="862" w:hanging="862"/>
      </w:pPr>
      <w:r>
        <w:t>[121]</w:t>
      </w:r>
      <w:r>
        <w:tab/>
      </w:r>
      <w:r w:rsidR="0067473D">
        <w:t xml:space="preserve">Mr </w:t>
      </w:r>
      <w:proofErr w:type="spellStart"/>
      <w:r w:rsidR="0067473D">
        <w:t>Labuschagne</w:t>
      </w:r>
      <w:proofErr w:type="spellEnd"/>
      <w:r w:rsidR="0067473D">
        <w:t xml:space="preserve"> referred me to the decision of </w:t>
      </w:r>
      <w:r w:rsidR="0067473D">
        <w:rPr>
          <w:b/>
          <w:bCs/>
          <w:i/>
          <w:iCs/>
        </w:rPr>
        <w:t xml:space="preserve">ABSA Bank </w:t>
      </w:r>
      <w:proofErr w:type="spellStart"/>
      <w:r w:rsidR="0067473D">
        <w:rPr>
          <w:b/>
          <w:bCs/>
          <w:i/>
          <w:iCs/>
        </w:rPr>
        <w:t>Bpk</w:t>
      </w:r>
      <w:proofErr w:type="spellEnd"/>
      <w:r w:rsidR="0067473D">
        <w:rPr>
          <w:b/>
          <w:bCs/>
          <w:i/>
          <w:iCs/>
        </w:rPr>
        <w:t xml:space="preserve"> v G L von Abo Farms BK </w:t>
      </w:r>
      <w:proofErr w:type="gramStart"/>
      <w:r w:rsidR="0067473D">
        <w:rPr>
          <w:b/>
          <w:bCs/>
          <w:i/>
          <w:iCs/>
        </w:rPr>
        <w:t>And</w:t>
      </w:r>
      <w:proofErr w:type="gramEnd"/>
      <w:r w:rsidR="0067473D">
        <w:rPr>
          <w:b/>
          <w:bCs/>
          <w:i/>
          <w:iCs/>
        </w:rPr>
        <w:t xml:space="preserve"> Others</w:t>
      </w:r>
      <w:r w:rsidR="0067473D" w:rsidRPr="008542ED">
        <w:rPr>
          <w:rStyle w:val="FootnoteReference"/>
        </w:rPr>
        <w:footnoteReference w:id="59"/>
      </w:r>
      <w:r w:rsidR="0067473D">
        <w:t xml:space="preserve"> in which the court </w:t>
      </w:r>
      <w:r w:rsidR="006C7225">
        <w:t>found</w:t>
      </w:r>
      <w:r w:rsidR="0067473D">
        <w:t xml:space="preserve"> that what the applicants seek</w:t>
      </w:r>
      <w:r w:rsidR="006C7225">
        <w:t>:</w:t>
      </w:r>
    </w:p>
    <w:p w14:paraId="4A90FF25" w14:textId="77777777" w:rsidR="006C7225" w:rsidRDefault="0067473D" w:rsidP="006C7225">
      <w:pPr>
        <w:pStyle w:val="Heading1"/>
        <w:numPr>
          <w:ilvl w:val="0"/>
          <w:numId w:val="0"/>
        </w:numPr>
        <w:ind w:left="862"/>
      </w:pPr>
      <w:r>
        <w:t xml:space="preserve"> “</w:t>
      </w:r>
      <w:proofErr w:type="gramStart"/>
      <w:r>
        <w:rPr>
          <w:i/>
          <w:iCs/>
        </w:rPr>
        <w:t>is</w:t>
      </w:r>
      <w:proofErr w:type="gramEnd"/>
      <w:r>
        <w:rPr>
          <w:i/>
          <w:iCs/>
        </w:rPr>
        <w:t xml:space="preserve"> </w:t>
      </w:r>
      <w:proofErr w:type="spellStart"/>
      <w:r>
        <w:rPr>
          <w:i/>
          <w:iCs/>
        </w:rPr>
        <w:t>dat</w:t>
      </w:r>
      <w:proofErr w:type="spellEnd"/>
      <w:r>
        <w:rPr>
          <w:i/>
          <w:iCs/>
        </w:rPr>
        <w:t xml:space="preserve"> die </w:t>
      </w:r>
      <w:proofErr w:type="spellStart"/>
      <w:r>
        <w:rPr>
          <w:i/>
          <w:iCs/>
        </w:rPr>
        <w:t>hof</w:t>
      </w:r>
      <w:proofErr w:type="spellEnd"/>
      <w:r>
        <w:rPr>
          <w:i/>
          <w:iCs/>
        </w:rPr>
        <w:t xml:space="preserve"> </w:t>
      </w:r>
      <w:proofErr w:type="spellStart"/>
      <w:r>
        <w:rPr>
          <w:i/>
          <w:iCs/>
        </w:rPr>
        <w:t>aan</w:t>
      </w:r>
      <w:proofErr w:type="spellEnd"/>
      <w:r>
        <w:rPr>
          <w:i/>
          <w:iCs/>
        </w:rPr>
        <w:t xml:space="preserve"> </w:t>
      </w:r>
      <w:proofErr w:type="spellStart"/>
      <w:r>
        <w:rPr>
          <w:i/>
          <w:iCs/>
        </w:rPr>
        <w:t>hulle</w:t>
      </w:r>
      <w:proofErr w:type="spellEnd"/>
      <w:r>
        <w:rPr>
          <w:i/>
          <w:iCs/>
        </w:rPr>
        <w:t xml:space="preserve"> as </w:t>
      </w:r>
      <w:proofErr w:type="spellStart"/>
      <w:r>
        <w:rPr>
          <w:i/>
          <w:iCs/>
        </w:rPr>
        <w:t>derdes</w:t>
      </w:r>
      <w:proofErr w:type="spellEnd"/>
      <w:r>
        <w:rPr>
          <w:i/>
          <w:iCs/>
        </w:rPr>
        <w:t xml:space="preserve"> ‘n </w:t>
      </w:r>
      <w:proofErr w:type="spellStart"/>
      <w:r>
        <w:rPr>
          <w:i/>
          <w:iCs/>
        </w:rPr>
        <w:t>sterker</w:t>
      </w:r>
      <w:proofErr w:type="spellEnd"/>
      <w:r>
        <w:rPr>
          <w:i/>
          <w:iCs/>
        </w:rPr>
        <w:t xml:space="preserve"> </w:t>
      </w:r>
      <w:proofErr w:type="spellStart"/>
      <w:r>
        <w:rPr>
          <w:i/>
          <w:iCs/>
        </w:rPr>
        <w:t>reg</w:t>
      </w:r>
      <w:proofErr w:type="spellEnd"/>
      <w:r>
        <w:rPr>
          <w:i/>
          <w:iCs/>
        </w:rPr>
        <w:t xml:space="preserve"> tot </w:t>
      </w:r>
      <w:proofErr w:type="spellStart"/>
      <w:r>
        <w:rPr>
          <w:i/>
          <w:iCs/>
        </w:rPr>
        <w:t>kansellasie</w:t>
      </w:r>
      <w:proofErr w:type="spellEnd"/>
      <w:r>
        <w:rPr>
          <w:i/>
          <w:iCs/>
        </w:rPr>
        <w:t xml:space="preserve"> of </w:t>
      </w:r>
      <w:proofErr w:type="spellStart"/>
      <w:r>
        <w:rPr>
          <w:i/>
          <w:iCs/>
        </w:rPr>
        <w:t>nietigverklaring</w:t>
      </w:r>
      <w:proofErr w:type="spellEnd"/>
      <w:r>
        <w:rPr>
          <w:i/>
          <w:iCs/>
        </w:rPr>
        <w:t xml:space="preserve"> van die </w:t>
      </w:r>
      <w:proofErr w:type="spellStart"/>
      <w:r>
        <w:rPr>
          <w:i/>
          <w:iCs/>
        </w:rPr>
        <w:t>ooreenkoms</w:t>
      </w:r>
      <w:proofErr w:type="spellEnd"/>
      <w:r>
        <w:rPr>
          <w:i/>
          <w:iCs/>
        </w:rPr>
        <w:t xml:space="preserve"> </w:t>
      </w:r>
      <w:proofErr w:type="spellStart"/>
      <w:r>
        <w:rPr>
          <w:i/>
          <w:iCs/>
        </w:rPr>
        <w:t>moet</w:t>
      </w:r>
      <w:proofErr w:type="spellEnd"/>
      <w:r>
        <w:rPr>
          <w:i/>
          <w:iCs/>
        </w:rPr>
        <w:t xml:space="preserve"> </w:t>
      </w:r>
      <w:proofErr w:type="spellStart"/>
      <w:r>
        <w:rPr>
          <w:i/>
          <w:iCs/>
        </w:rPr>
        <w:t>verleen</w:t>
      </w:r>
      <w:proofErr w:type="spellEnd"/>
      <w:r>
        <w:rPr>
          <w:i/>
          <w:iCs/>
        </w:rPr>
        <w:t xml:space="preserve"> as </w:t>
      </w:r>
      <w:proofErr w:type="spellStart"/>
      <w:r>
        <w:rPr>
          <w:i/>
          <w:iCs/>
        </w:rPr>
        <w:t>dit</w:t>
      </w:r>
      <w:proofErr w:type="spellEnd"/>
      <w:r>
        <w:rPr>
          <w:i/>
          <w:iCs/>
        </w:rPr>
        <w:t xml:space="preserve"> </w:t>
      </w:r>
      <w:proofErr w:type="spellStart"/>
      <w:r>
        <w:rPr>
          <w:i/>
          <w:iCs/>
        </w:rPr>
        <w:t>waarvoor</w:t>
      </w:r>
      <w:proofErr w:type="spellEnd"/>
      <w:r>
        <w:rPr>
          <w:i/>
          <w:iCs/>
        </w:rPr>
        <w:t xml:space="preserve"> die </w:t>
      </w:r>
      <w:proofErr w:type="spellStart"/>
      <w:r>
        <w:rPr>
          <w:i/>
          <w:iCs/>
        </w:rPr>
        <w:t>partye</w:t>
      </w:r>
      <w:proofErr w:type="spellEnd"/>
      <w:r>
        <w:rPr>
          <w:i/>
          <w:iCs/>
        </w:rPr>
        <w:t xml:space="preserve"> self </w:t>
      </w:r>
      <w:proofErr w:type="spellStart"/>
      <w:r>
        <w:rPr>
          <w:i/>
          <w:iCs/>
        </w:rPr>
        <w:t>daardie</w:t>
      </w:r>
      <w:proofErr w:type="spellEnd"/>
      <w:r>
        <w:rPr>
          <w:i/>
          <w:iCs/>
        </w:rPr>
        <w:t xml:space="preserve"> </w:t>
      </w:r>
      <w:proofErr w:type="spellStart"/>
      <w:r>
        <w:rPr>
          <w:i/>
          <w:iCs/>
        </w:rPr>
        <w:t>beskik</w:t>
      </w:r>
      <w:proofErr w:type="spellEnd"/>
      <w:r>
        <w:t xml:space="preserve">”. </w:t>
      </w:r>
    </w:p>
    <w:p w14:paraId="2C46CEFB" w14:textId="154A9142" w:rsidR="006C7225" w:rsidRDefault="009074E3" w:rsidP="009074E3">
      <w:pPr>
        <w:pStyle w:val="Heading1"/>
        <w:numPr>
          <w:ilvl w:val="0"/>
          <w:numId w:val="0"/>
        </w:numPr>
        <w:tabs>
          <w:tab w:val="left" w:pos="862"/>
        </w:tabs>
        <w:ind w:left="862" w:hanging="862"/>
      </w:pPr>
      <w:r>
        <w:t>[122]</w:t>
      </w:r>
      <w:r>
        <w:tab/>
      </w:r>
      <w:proofErr w:type="gramStart"/>
      <w:r w:rsidR="0067473D">
        <w:t>This</w:t>
      </w:r>
      <w:proofErr w:type="gramEnd"/>
      <w:r w:rsidR="0067473D">
        <w:t xml:space="preserve"> the court cannot do</w:t>
      </w:r>
      <w:r w:rsidR="006C7225">
        <w:t>.  As</w:t>
      </w:r>
      <w:r w:rsidR="0067473D">
        <w:t xml:space="preserve"> </w:t>
      </w:r>
      <w:r w:rsidR="006C7225">
        <w:t xml:space="preserve">explained in the </w:t>
      </w:r>
      <w:r w:rsidR="00244667">
        <w:t>judgement:</w:t>
      </w:r>
    </w:p>
    <w:p w14:paraId="716B267A" w14:textId="5836F4AB" w:rsidR="000D4AF9" w:rsidRDefault="006C7225" w:rsidP="006C7225">
      <w:pPr>
        <w:pStyle w:val="Heading1"/>
        <w:numPr>
          <w:ilvl w:val="0"/>
          <w:numId w:val="0"/>
        </w:numPr>
        <w:ind w:left="862" w:hanging="862"/>
      </w:pPr>
      <w:r>
        <w:tab/>
      </w:r>
      <w:r w:rsidR="0067473D">
        <w:t>“</w:t>
      </w:r>
      <w:proofErr w:type="spellStart"/>
      <w:r w:rsidR="0067473D">
        <w:rPr>
          <w:i/>
          <w:iCs/>
        </w:rPr>
        <w:t>Daar</w:t>
      </w:r>
      <w:proofErr w:type="spellEnd"/>
      <w:r w:rsidR="0067473D">
        <w:rPr>
          <w:i/>
          <w:iCs/>
        </w:rPr>
        <w:t xml:space="preserve"> </w:t>
      </w:r>
      <w:proofErr w:type="spellStart"/>
      <w:r w:rsidR="00244667" w:rsidRPr="006C7225">
        <w:rPr>
          <w:i/>
          <w:iCs/>
        </w:rPr>
        <w:t>bestaan</w:t>
      </w:r>
      <w:proofErr w:type="spellEnd"/>
      <w:r w:rsidR="00244667" w:rsidRPr="006C7225">
        <w:rPr>
          <w:i/>
          <w:iCs/>
        </w:rPr>
        <w:t xml:space="preserve"> </w:t>
      </w:r>
      <w:proofErr w:type="spellStart"/>
      <w:r w:rsidR="00244667" w:rsidRPr="006C7225">
        <w:rPr>
          <w:i/>
          <w:iCs/>
        </w:rPr>
        <w:t>myns</w:t>
      </w:r>
      <w:proofErr w:type="spellEnd"/>
      <w:r w:rsidRPr="006C7225">
        <w:rPr>
          <w:i/>
          <w:iCs/>
        </w:rPr>
        <w:t xml:space="preserve"> </w:t>
      </w:r>
      <w:proofErr w:type="spellStart"/>
      <w:r w:rsidRPr="006C7225">
        <w:rPr>
          <w:i/>
          <w:iCs/>
        </w:rPr>
        <w:t>insiens</w:t>
      </w:r>
      <w:proofErr w:type="spellEnd"/>
      <w:r>
        <w:rPr>
          <w:b/>
          <w:bCs/>
          <w:i/>
          <w:iCs/>
        </w:rPr>
        <w:t xml:space="preserve"> </w:t>
      </w:r>
      <w:proofErr w:type="spellStart"/>
      <w:r w:rsidR="0067473D">
        <w:rPr>
          <w:i/>
          <w:iCs/>
        </w:rPr>
        <w:t>geen</w:t>
      </w:r>
      <w:proofErr w:type="spellEnd"/>
      <w:r w:rsidR="0067473D">
        <w:rPr>
          <w:i/>
          <w:iCs/>
        </w:rPr>
        <w:t xml:space="preserve"> </w:t>
      </w:r>
      <w:proofErr w:type="spellStart"/>
      <w:r w:rsidR="0067473D">
        <w:rPr>
          <w:i/>
          <w:iCs/>
        </w:rPr>
        <w:t>be</w:t>
      </w:r>
      <w:r>
        <w:rPr>
          <w:i/>
          <w:iCs/>
        </w:rPr>
        <w:t>gi</w:t>
      </w:r>
      <w:r w:rsidR="0067473D">
        <w:rPr>
          <w:i/>
          <w:iCs/>
        </w:rPr>
        <w:t>nsel</w:t>
      </w:r>
      <w:proofErr w:type="spellEnd"/>
      <w:r w:rsidR="0067473D">
        <w:rPr>
          <w:i/>
          <w:iCs/>
        </w:rPr>
        <w:t xml:space="preserve">, </w:t>
      </w:r>
      <w:proofErr w:type="spellStart"/>
      <w:r w:rsidR="0067473D">
        <w:rPr>
          <w:i/>
          <w:iCs/>
        </w:rPr>
        <w:t>regtings</w:t>
      </w:r>
      <w:proofErr w:type="spellEnd"/>
      <w:r w:rsidR="0067473D">
        <w:rPr>
          <w:i/>
          <w:iCs/>
        </w:rPr>
        <w:t xml:space="preserve"> of </w:t>
      </w:r>
      <w:proofErr w:type="spellStart"/>
      <w:r w:rsidR="0067473D">
        <w:rPr>
          <w:i/>
          <w:iCs/>
        </w:rPr>
        <w:t>anders</w:t>
      </w:r>
      <w:r>
        <w:rPr>
          <w:i/>
          <w:iCs/>
        </w:rPr>
        <w:t>i</w:t>
      </w:r>
      <w:r w:rsidR="0067473D">
        <w:rPr>
          <w:i/>
          <w:iCs/>
        </w:rPr>
        <w:t>ns</w:t>
      </w:r>
      <w:proofErr w:type="spellEnd"/>
      <w:r w:rsidR="0067473D">
        <w:rPr>
          <w:i/>
          <w:iCs/>
        </w:rPr>
        <w:t xml:space="preserve"> </w:t>
      </w:r>
      <w:proofErr w:type="spellStart"/>
      <w:r w:rsidR="0067473D">
        <w:rPr>
          <w:i/>
          <w:iCs/>
        </w:rPr>
        <w:t>waar</w:t>
      </w:r>
      <w:proofErr w:type="spellEnd"/>
      <w:r w:rsidR="0067473D">
        <w:rPr>
          <w:i/>
          <w:iCs/>
        </w:rPr>
        <w:t xml:space="preserve"> </w:t>
      </w:r>
      <w:proofErr w:type="spellStart"/>
      <w:r w:rsidR="0067473D">
        <w:rPr>
          <w:i/>
          <w:iCs/>
        </w:rPr>
        <w:t>k</w:t>
      </w:r>
      <w:r>
        <w:rPr>
          <w:i/>
          <w:iCs/>
        </w:rPr>
        <w:t>r</w:t>
      </w:r>
      <w:r w:rsidR="0067473D">
        <w:rPr>
          <w:i/>
          <w:iCs/>
        </w:rPr>
        <w:t>agtens</w:t>
      </w:r>
      <w:proofErr w:type="spellEnd"/>
      <w:r w:rsidR="0067473D">
        <w:rPr>
          <w:i/>
          <w:iCs/>
        </w:rPr>
        <w:t xml:space="preserve"> </w:t>
      </w:r>
      <w:proofErr w:type="spellStart"/>
      <w:r w:rsidR="0067473D">
        <w:rPr>
          <w:i/>
          <w:iCs/>
        </w:rPr>
        <w:t>derdes</w:t>
      </w:r>
      <w:proofErr w:type="spellEnd"/>
      <w:r w:rsidR="0067473D">
        <w:rPr>
          <w:b/>
          <w:bCs/>
          <w:i/>
          <w:iCs/>
        </w:rPr>
        <w:t xml:space="preserve"> </w:t>
      </w:r>
      <w:r w:rsidR="0067473D">
        <w:rPr>
          <w:i/>
          <w:iCs/>
        </w:rPr>
        <w:t xml:space="preserve">‘n </w:t>
      </w:r>
      <w:proofErr w:type="spellStart"/>
      <w:r w:rsidR="0067473D">
        <w:rPr>
          <w:i/>
          <w:iCs/>
        </w:rPr>
        <w:t>sterkte</w:t>
      </w:r>
      <w:proofErr w:type="spellEnd"/>
      <w:r w:rsidR="0067473D">
        <w:rPr>
          <w:i/>
          <w:iCs/>
        </w:rPr>
        <w:t xml:space="preserve"> </w:t>
      </w:r>
      <w:proofErr w:type="spellStart"/>
      <w:r w:rsidR="0067473D">
        <w:rPr>
          <w:i/>
          <w:iCs/>
        </w:rPr>
        <w:t>reg</w:t>
      </w:r>
      <w:proofErr w:type="spellEnd"/>
      <w:r w:rsidR="0067473D">
        <w:rPr>
          <w:i/>
          <w:iCs/>
        </w:rPr>
        <w:t xml:space="preserve"> tot </w:t>
      </w:r>
      <w:proofErr w:type="spellStart"/>
      <w:r w:rsidR="0067473D">
        <w:rPr>
          <w:i/>
          <w:iCs/>
        </w:rPr>
        <w:t>kansellasie</w:t>
      </w:r>
      <w:proofErr w:type="spellEnd"/>
      <w:r w:rsidR="0067473D">
        <w:rPr>
          <w:i/>
          <w:iCs/>
        </w:rPr>
        <w:t xml:space="preserve"> van ‘n </w:t>
      </w:r>
      <w:proofErr w:type="spellStart"/>
      <w:r w:rsidR="0067473D">
        <w:rPr>
          <w:i/>
          <w:iCs/>
        </w:rPr>
        <w:t>ooreenkoms</w:t>
      </w:r>
      <w:proofErr w:type="spellEnd"/>
      <w:r w:rsidR="0067473D">
        <w:rPr>
          <w:i/>
          <w:iCs/>
        </w:rPr>
        <w:t xml:space="preserve"> </w:t>
      </w:r>
      <w:proofErr w:type="spellStart"/>
      <w:r w:rsidR="0067473D">
        <w:rPr>
          <w:i/>
          <w:iCs/>
        </w:rPr>
        <w:t>kan</w:t>
      </w:r>
      <w:proofErr w:type="spellEnd"/>
      <w:r w:rsidR="0067473D">
        <w:rPr>
          <w:i/>
          <w:iCs/>
        </w:rPr>
        <w:t xml:space="preserve"> </w:t>
      </w:r>
      <w:proofErr w:type="spellStart"/>
      <w:r w:rsidR="0067473D">
        <w:rPr>
          <w:i/>
          <w:iCs/>
        </w:rPr>
        <w:t>verwerk</w:t>
      </w:r>
      <w:proofErr w:type="spellEnd"/>
      <w:r w:rsidR="0067473D">
        <w:rPr>
          <w:i/>
          <w:iCs/>
        </w:rPr>
        <w:t xml:space="preserve"> as </w:t>
      </w:r>
      <w:proofErr w:type="spellStart"/>
      <w:r w:rsidR="0067473D">
        <w:rPr>
          <w:i/>
          <w:iCs/>
        </w:rPr>
        <w:t>dit</w:t>
      </w:r>
      <w:proofErr w:type="spellEnd"/>
      <w:r w:rsidR="0067473D">
        <w:rPr>
          <w:i/>
          <w:iCs/>
        </w:rPr>
        <w:t xml:space="preserve"> </w:t>
      </w:r>
      <w:proofErr w:type="spellStart"/>
      <w:r w:rsidR="0067473D">
        <w:rPr>
          <w:i/>
          <w:iCs/>
        </w:rPr>
        <w:t>waarvoor</w:t>
      </w:r>
      <w:proofErr w:type="spellEnd"/>
      <w:r w:rsidR="0067473D">
        <w:rPr>
          <w:i/>
          <w:iCs/>
        </w:rPr>
        <w:t xml:space="preserve"> die </w:t>
      </w:r>
      <w:proofErr w:type="spellStart"/>
      <w:r w:rsidR="0067473D">
        <w:rPr>
          <w:i/>
          <w:iCs/>
        </w:rPr>
        <w:t>kontraktereende</w:t>
      </w:r>
      <w:proofErr w:type="spellEnd"/>
      <w:r w:rsidR="0067473D">
        <w:rPr>
          <w:i/>
          <w:iCs/>
        </w:rPr>
        <w:t xml:space="preserve"> </w:t>
      </w:r>
      <w:proofErr w:type="spellStart"/>
      <w:r w:rsidR="0067473D">
        <w:rPr>
          <w:i/>
          <w:iCs/>
        </w:rPr>
        <w:t>partye</w:t>
      </w:r>
      <w:proofErr w:type="spellEnd"/>
      <w:r w:rsidR="0067473D">
        <w:rPr>
          <w:i/>
          <w:iCs/>
        </w:rPr>
        <w:t xml:space="preserve"> self </w:t>
      </w:r>
      <w:proofErr w:type="spellStart"/>
      <w:r w:rsidR="0067473D">
        <w:rPr>
          <w:i/>
          <w:iCs/>
        </w:rPr>
        <w:t>beskik</w:t>
      </w:r>
      <w:proofErr w:type="spellEnd"/>
      <w:r w:rsidR="0067473D">
        <w:rPr>
          <w:i/>
          <w:iCs/>
        </w:rPr>
        <w:t xml:space="preserve"> </w:t>
      </w:r>
      <w:proofErr w:type="spellStart"/>
      <w:r w:rsidR="0067473D">
        <w:rPr>
          <w:i/>
          <w:iCs/>
        </w:rPr>
        <w:t>nie</w:t>
      </w:r>
      <w:proofErr w:type="spellEnd"/>
      <w:r w:rsidR="0067473D">
        <w:t>”.</w:t>
      </w:r>
    </w:p>
    <w:p w14:paraId="0500E6D9" w14:textId="71243678" w:rsidR="0067473D" w:rsidRDefault="009074E3" w:rsidP="009074E3">
      <w:pPr>
        <w:pStyle w:val="Heading1"/>
        <w:numPr>
          <w:ilvl w:val="0"/>
          <w:numId w:val="0"/>
        </w:numPr>
        <w:tabs>
          <w:tab w:val="left" w:pos="862"/>
        </w:tabs>
        <w:ind w:left="862" w:hanging="862"/>
      </w:pPr>
      <w:r>
        <w:t>[123]</w:t>
      </w:r>
      <w:r>
        <w:tab/>
      </w:r>
      <w:proofErr w:type="gramStart"/>
      <w:r w:rsidR="0067473D">
        <w:t>Accordingly</w:t>
      </w:r>
      <w:proofErr w:type="gramEnd"/>
      <w:r w:rsidR="0067473D">
        <w:t>, the applicant</w:t>
      </w:r>
      <w:r w:rsidR="00D7391E">
        <w:t>,</w:t>
      </w:r>
      <w:r w:rsidR="0067473D">
        <w:t xml:space="preserve"> who is a complete stranger to the agreements</w:t>
      </w:r>
      <w:r w:rsidR="00D7391E">
        <w:t>,</w:t>
      </w:r>
      <w:r w:rsidR="0067473D">
        <w:t xml:space="preserve"> cannot impugn them. This principle </w:t>
      </w:r>
      <w:r w:rsidR="009A7048">
        <w:t>was also</w:t>
      </w:r>
      <w:r w:rsidR="000D4AF9">
        <w:t xml:space="preserve"> </w:t>
      </w:r>
      <w:r w:rsidR="0067473D">
        <w:t xml:space="preserve">followed in the decisions of </w:t>
      </w:r>
      <w:proofErr w:type="spellStart"/>
      <w:r w:rsidR="0067473D">
        <w:rPr>
          <w:b/>
          <w:bCs/>
          <w:i/>
          <w:iCs/>
        </w:rPr>
        <w:t>Letseng</w:t>
      </w:r>
      <w:proofErr w:type="spellEnd"/>
      <w:r w:rsidR="0067473D">
        <w:rPr>
          <w:b/>
          <w:bCs/>
          <w:i/>
          <w:iCs/>
        </w:rPr>
        <w:t xml:space="preserve"> Diamonds v JCI Limited and Others</w:t>
      </w:r>
      <w:r w:rsidR="0067473D" w:rsidRPr="001969F3">
        <w:rPr>
          <w:rStyle w:val="FootnoteReference"/>
        </w:rPr>
        <w:footnoteReference w:id="60"/>
      </w:r>
      <w:r w:rsidR="00D7391E">
        <w:rPr>
          <w:b/>
          <w:bCs/>
          <w:i/>
          <w:iCs/>
        </w:rPr>
        <w:t xml:space="preserve"> </w:t>
      </w:r>
      <w:r w:rsidR="000D4AF9">
        <w:t xml:space="preserve">and </w:t>
      </w:r>
      <w:proofErr w:type="spellStart"/>
      <w:r w:rsidR="0067473D">
        <w:rPr>
          <w:b/>
          <w:bCs/>
          <w:i/>
          <w:iCs/>
        </w:rPr>
        <w:t>Theodosiou</w:t>
      </w:r>
      <w:proofErr w:type="spellEnd"/>
      <w:r w:rsidR="0067473D">
        <w:rPr>
          <w:b/>
          <w:bCs/>
          <w:i/>
          <w:iCs/>
        </w:rPr>
        <w:t xml:space="preserve"> and Others v Schindler Attorneys and Others</w:t>
      </w:r>
      <w:r w:rsidR="0067473D" w:rsidRPr="001969F3">
        <w:rPr>
          <w:rStyle w:val="FootnoteReference"/>
        </w:rPr>
        <w:footnoteReference w:id="61"/>
      </w:r>
      <w:r w:rsidR="0067473D">
        <w:t xml:space="preserve">. In </w:t>
      </w:r>
      <w:r w:rsidR="009A7048">
        <w:t xml:space="preserve">these </w:t>
      </w:r>
      <w:r w:rsidR="0067473D">
        <w:t xml:space="preserve">circumstances, it is clear to the court that the applicant has no </w:t>
      </w:r>
      <w:r w:rsidR="0067473D">
        <w:rPr>
          <w:i/>
          <w:iCs/>
        </w:rPr>
        <w:t xml:space="preserve">locus </w:t>
      </w:r>
      <w:proofErr w:type="spellStart"/>
      <w:r w:rsidR="0067473D">
        <w:rPr>
          <w:i/>
          <w:iCs/>
        </w:rPr>
        <w:t>standi</w:t>
      </w:r>
      <w:proofErr w:type="spellEnd"/>
      <w:r w:rsidR="0067473D">
        <w:rPr>
          <w:i/>
          <w:iCs/>
        </w:rPr>
        <w:t xml:space="preserve"> </w:t>
      </w:r>
      <w:r w:rsidR="0067473D">
        <w:t>to request the relief which she seeks</w:t>
      </w:r>
      <w:r w:rsidR="009A7048">
        <w:t xml:space="preserve"> in her personal capacity either</w:t>
      </w:r>
      <w:r w:rsidR="0067473D">
        <w:t xml:space="preserve">. </w:t>
      </w:r>
    </w:p>
    <w:p w14:paraId="0EA4C3C3" w14:textId="4FE3CC5F" w:rsidR="0067473D" w:rsidRDefault="009074E3" w:rsidP="009074E3">
      <w:pPr>
        <w:pStyle w:val="Heading1"/>
        <w:numPr>
          <w:ilvl w:val="0"/>
          <w:numId w:val="0"/>
        </w:numPr>
        <w:tabs>
          <w:tab w:val="left" w:pos="862"/>
        </w:tabs>
        <w:ind w:left="862" w:hanging="862"/>
      </w:pPr>
      <w:r>
        <w:t>[124]</w:t>
      </w:r>
      <w:r>
        <w:tab/>
      </w:r>
      <w:r w:rsidR="0067473D">
        <w:t xml:space="preserve">In reply, Mr Whittington sought to distinguish the applicant’s entitlement </w:t>
      </w:r>
      <w:r w:rsidR="0067473D">
        <w:lastRenderedPageBreak/>
        <w:t>to at least, in her personal capacity, set aside:</w:t>
      </w:r>
    </w:p>
    <w:p w14:paraId="61F6DAC4" w14:textId="77777777" w:rsidR="0067473D" w:rsidRPr="00F23114" w:rsidRDefault="0067473D" w:rsidP="0067473D">
      <w:pPr>
        <w:pStyle w:val="Quotation"/>
        <w:rPr>
          <w:sz w:val="22"/>
          <w:szCs w:val="22"/>
        </w:rPr>
      </w:pPr>
      <w:r w:rsidRPr="00F23114">
        <w:rPr>
          <w:sz w:val="22"/>
          <w:szCs w:val="22"/>
        </w:rPr>
        <w:t xml:space="preserve">“3.3 </w:t>
      </w:r>
      <w:r w:rsidRPr="00F23114">
        <w:rPr>
          <w:sz w:val="22"/>
          <w:szCs w:val="22"/>
        </w:rPr>
        <w:tab/>
        <w:t xml:space="preserve">Any personal guarantees issued by the second respondent for the debt of the NRB Group toward the first respondent”.  </w:t>
      </w:r>
    </w:p>
    <w:p w14:paraId="24C8B140" w14:textId="697BDD40" w:rsidR="000D4AF9" w:rsidRDefault="009074E3" w:rsidP="009074E3">
      <w:pPr>
        <w:pStyle w:val="Heading1"/>
        <w:numPr>
          <w:ilvl w:val="0"/>
          <w:numId w:val="0"/>
        </w:numPr>
        <w:tabs>
          <w:tab w:val="left" w:pos="862"/>
        </w:tabs>
        <w:ind w:left="862" w:hanging="862"/>
      </w:pPr>
      <w:r>
        <w:t>[125]</w:t>
      </w:r>
      <w:r>
        <w:tab/>
      </w:r>
      <w:r w:rsidR="0067473D">
        <w:t>In this regard, Venter concluded t</w:t>
      </w:r>
      <w:r w:rsidR="000D4AF9">
        <w:t>hree</w:t>
      </w:r>
      <w:r w:rsidR="0067473D">
        <w:t xml:space="preserve"> guarantees, namely</w:t>
      </w:r>
      <w:r w:rsidR="000D4AF9">
        <w:t>:</w:t>
      </w:r>
    </w:p>
    <w:p w14:paraId="71445C5A" w14:textId="6D4E2204" w:rsidR="000D4AF9" w:rsidRDefault="009074E3" w:rsidP="009074E3">
      <w:pPr>
        <w:pStyle w:val="Heading2"/>
        <w:numPr>
          <w:ilvl w:val="0"/>
          <w:numId w:val="0"/>
        </w:numPr>
        <w:ind w:left="1871" w:hanging="1009"/>
      </w:pPr>
      <w:r>
        <w:t>125.1</w:t>
      </w:r>
      <w:r>
        <w:tab/>
      </w:r>
      <w:r w:rsidR="0067473D">
        <w:t xml:space="preserve"> </w:t>
      </w:r>
      <w:r w:rsidR="00D7391E">
        <w:t>For</w:t>
      </w:r>
      <w:r w:rsidR="0067473D">
        <w:t xml:space="preserve"> the performance of Ned Equities’ obligations in relation to the first extension agreement up to an amount of R5.5 million</w:t>
      </w:r>
      <w:r w:rsidR="000D4AF9">
        <w:t>,</w:t>
      </w:r>
      <w:r w:rsidR="0067473D">
        <w:rPr>
          <w:rStyle w:val="FootnoteReference"/>
        </w:rPr>
        <w:footnoteReference w:id="62"/>
      </w:r>
      <w:r w:rsidR="0067473D">
        <w:t xml:space="preserve"> </w:t>
      </w:r>
      <w:r w:rsidR="000D4AF9">
        <w:t xml:space="preserve"> which is </w:t>
      </w:r>
      <w:r w:rsidR="0067473D">
        <w:t>dated 20 February 2015</w:t>
      </w:r>
      <w:r w:rsidR="000D4AF9">
        <w:t>,</w:t>
      </w:r>
      <w:r w:rsidR="0067473D">
        <w:t xml:space="preserve"> in which Venter bound himself as guarantor and co-principal debtor for the repayment on demand by </w:t>
      </w:r>
      <w:proofErr w:type="spellStart"/>
      <w:r w:rsidR="0067473D">
        <w:t>Astfin</w:t>
      </w:r>
      <w:proofErr w:type="spellEnd"/>
      <w:r w:rsidR="0067473D">
        <w:t xml:space="preserve"> of certain loan facilities to NRB Equity Solutions (Pty) Ltd. </w:t>
      </w:r>
      <w:r w:rsidR="000D4AF9">
        <w:t>T</w:t>
      </w:r>
      <w:r w:rsidR="0067473D">
        <w:t>he consent</w:t>
      </w:r>
      <w:r w:rsidR="000D4AF9">
        <w:t xml:space="preserve"> signature provision</w:t>
      </w:r>
      <w:r w:rsidR="0067473D">
        <w:t xml:space="preserve"> is deleted</w:t>
      </w:r>
      <w:r w:rsidR="000D4AF9">
        <w:t xml:space="preserve"> by two </w:t>
      </w:r>
      <w:r w:rsidR="00D7391E">
        <w:t>hand-drawn</w:t>
      </w:r>
      <w:r w:rsidR="000D4AF9">
        <w:t xml:space="preserve"> lines;</w:t>
      </w:r>
      <w:r w:rsidR="0067473D">
        <w:t xml:space="preserve"> </w:t>
      </w:r>
    </w:p>
    <w:p w14:paraId="6932D8B2" w14:textId="5516F8A8" w:rsidR="000D4AF9" w:rsidRDefault="009074E3" w:rsidP="009074E3">
      <w:pPr>
        <w:pStyle w:val="Heading2"/>
        <w:numPr>
          <w:ilvl w:val="0"/>
          <w:numId w:val="0"/>
        </w:numPr>
        <w:ind w:left="1871" w:hanging="1009"/>
      </w:pPr>
      <w:r>
        <w:t>125.2</w:t>
      </w:r>
      <w:r>
        <w:tab/>
      </w:r>
      <w:r w:rsidR="00D7391E">
        <w:t>T</w:t>
      </w:r>
      <w:r w:rsidR="0067473D">
        <w:t xml:space="preserve">o </w:t>
      </w:r>
      <w:proofErr w:type="spellStart"/>
      <w:r w:rsidR="0067473D">
        <w:t>Astfin</w:t>
      </w:r>
      <w:proofErr w:type="spellEnd"/>
      <w:r w:rsidR="0067473D">
        <w:t xml:space="preserve"> in respect of certain further loan facilities to NRB Rental Solutions (Pty) Ltd</w:t>
      </w:r>
      <w:r w:rsidR="00D7391E">
        <w:t>,</w:t>
      </w:r>
      <w:r w:rsidR="0067473D">
        <w:t xml:space="preserve"> which is dated 25 March 2019</w:t>
      </w:r>
      <w:r w:rsidR="000D4AF9">
        <w:rPr>
          <w:rStyle w:val="FootnoteReference"/>
        </w:rPr>
        <w:footnoteReference w:id="63"/>
      </w:r>
      <w:r w:rsidR="0067473D">
        <w:t xml:space="preserve">. That guarantee makes no provision for signature by </w:t>
      </w:r>
      <w:r w:rsidR="009A7048">
        <w:t>the applicant</w:t>
      </w:r>
      <w:r w:rsidR="000D4AF9">
        <w:t>;</w:t>
      </w:r>
    </w:p>
    <w:p w14:paraId="7C62DEB3" w14:textId="5EB807FA" w:rsidR="00F0606C" w:rsidRDefault="009074E3" w:rsidP="009074E3">
      <w:pPr>
        <w:pStyle w:val="Heading2"/>
        <w:numPr>
          <w:ilvl w:val="0"/>
          <w:numId w:val="0"/>
        </w:numPr>
        <w:ind w:left="1871" w:hanging="1009"/>
      </w:pPr>
      <w:r>
        <w:t>125.3</w:t>
      </w:r>
      <w:r>
        <w:tab/>
      </w:r>
      <w:r w:rsidR="0067473D">
        <w:t xml:space="preserve"> </w:t>
      </w:r>
      <w:r w:rsidR="00D7391E">
        <w:t>I</w:t>
      </w:r>
      <w:r w:rsidR="0067473D">
        <w:t xml:space="preserve">n favour of </w:t>
      </w:r>
      <w:proofErr w:type="spellStart"/>
      <w:r w:rsidR="0067473D">
        <w:t>Astfin</w:t>
      </w:r>
      <w:proofErr w:type="spellEnd"/>
      <w:r w:rsidR="0067473D">
        <w:t xml:space="preserve"> to secure NRB Capital’s obligations</w:t>
      </w:r>
      <w:r w:rsidR="000D4AF9">
        <w:rPr>
          <w:rStyle w:val="FootnoteReference"/>
        </w:rPr>
        <w:footnoteReference w:id="64"/>
      </w:r>
      <w:r w:rsidR="0067473D">
        <w:t>,</w:t>
      </w:r>
      <w:r w:rsidR="000D4AF9" w:rsidRPr="000D4AF9">
        <w:t xml:space="preserve"> </w:t>
      </w:r>
      <w:r w:rsidR="000D4AF9">
        <w:t>dated 12 December 2019,</w:t>
      </w:r>
      <w:r w:rsidR="0067473D">
        <w:t xml:space="preserve"> again not signed by </w:t>
      </w:r>
      <w:r w:rsidR="009A7048">
        <w:t>the applicant</w:t>
      </w:r>
      <w:r w:rsidR="000D4AF9">
        <w:t>.</w:t>
      </w:r>
      <w:r w:rsidR="0067473D">
        <w:t xml:space="preserve"> </w:t>
      </w:r>
    </w:p>
    <w:p w14:paraId="31931294" w14:textId="10AD2D85" w:rsidR="00972E75" w:rsidRDefault="009074E3" w:rsidP="009074E3">
      <w:pPr>
        <w:pStyle w:val="Heading1"/>
        <w:numPr>
          <w:ilvl w:val="0"/>
          <w:numId w:val="0"/>
        </w:numPr>
        <w:tabs>
          <w:tab w:val="left" w:pos="862"/>
        </w:tabs>
        <w:ind w:left="862" w:hanging="862"/>
      </w:pPr>
      <w:r>
        <w:t>[126]</w:t>
      </w:r>
      <w:r>
        <w:tab/>
      </w:r>
      <w:r w:rsidR="00972E75">
        <w:t>Mr Whittington argu</w:t>
      </w:r>
      <w:r w:rsidR="008F1E47">
        <w:t>ed that</w:t>
      </w:r>
      <w:r w:rsidR="00972E75">
        <w:t xml:space="preserve"> Venter </w:t>
      </w:r>
      <w:r w:rsidR="009A7048">
        <w:t xml:space="preserve">had </w:t>
      </w:r>
      <w:r w:rsidR="00972E75">
        <w:t>not given these guarantees in the ordinary course of his profession, trade or business</w:t>
      </w:r>
      <w:r w:rsidR="00D7391E">
        <w:t>,</w:t>
      </w:r>
      <w:r w:rsidR="00972E75">
        <w:t xml:space="preserve"> and because the applicant had not co-signed the guarantee</w:t>
      </w:r>
      <w:r w:rsidR="0058617A">
        <w:t>s</w:t>
      </w:r>
      <w:r w:rsidR="00972E75">
        <w:t xml:space="preserve">, they could be set aside by her. Mr Whittington placed reliance upon section 15 of the </w:t>
      </w:r>
      <w:r w:rsidR="00972E75" w:rsidRPr="00550380">
        <w:t xml:space="preserve">Matrimonial </w:t>
      </w:r>
      <w:r w:rsidR="00972E75" w:rsidRPr="00550380">
        <w:lastRenderedPageBreak/>
        <w:t>Property Act</w:t>
      </w:r>
      <w:r w:rsidR="00972E75" w:rsidRPr="001969F3">
        <w:rPr>
          <w:rStyle w:val="FootnoteReference"/>
        </w:rPr>
        <w:footnoteReference w:id="65"/>
      </w:r>
      <w:r w:rsidR="00972E75">
        <w:t xml:space="preserve">.  This section provides: </w:t>
      </w:r>
    </w:p>
    <w:p w14:paraId="723C810B" w14:textId="77777777" w:rsidR="00972E75" w:rsidRPr="00F23114" w:rsidRDefault="00972E75" w:rsidP="00972E75">
      <w:pPr>
        <w:pStyle w:val="Quotation"/>
        <w:tabs>
          <w:tab w:val="clear" w:pos="3022"/>
        </w:tabs>
        <w:ind w:left="2410" w:hanging="425"/>
        <w:rPr>
          <w:sz w:val="22"/>
          <w:szCs w:val="22"/>
        </w:rPr>
      </w:pPr>
      <w:r w:rsidRPr="00F23114">
        <w:rPr>
          <w:sz w:val="22"/>
          <w:szCs w:val="22"/>
        </w:rPr>
        <w:t xml:space="preserve">“(1) </w:t>
      </w:r>
      <w:r w:rsidRPr="00F23114">
        <w:rPr>
          <w:sz w:val="22"/>
          <w:szCs w:val="22"/>
        </w:rPr>
        <w:tab/>
        <w:t xml:space="preserve">Subject to the provisions of subsections (2), (3) and (7), a spouse in a marriage in community of property may perform any juristic act with regard to the joint estate without the consent of the other spouse. </w:t>
      </w:r>
    </w:p>
    <w:p w14:paraId="162F7590" w14:textId="77777777" w:rsidR="00972E75" w:rsidRPr="00F23114" w:rsidRDefault="00972E75" w:rsidP="00972E75">
      <w:pPr>
        <w:pStyle w:val="Quotation"/>
        <w:tabs>
          <w:tab w:val="clear" w:pos="3022"/>
        </w:tabs>
        <w:rPr>
          <w:sz w:val="22"/>
          <w:szCs w:val="22"/>
        </w:rPr>
      </w:pPr>
      <w:r w:rsidRPr="00F23114">
        <w:rPr>
          <w:sz w:val="22"/>
          <w:szCs w:val="22"/>
        </w:rPr>
        <w:t>(2)</w:t>
      </w:r>
      <w:r w:rsidRPr="00F23114">
        <w:rPr>
          <w:sz w:val="22"/>
          <w:szCs w:val="22"/>
        </w:rPr>
        <w:tab/>
        <w:t xml:space="preserve">Such a spouse shall not, without the written consent of the other spouse … find himself a surety. </w:t>
      </w:r>
    </w:p>
    <w:p w14:paraId="35BDE4D0" w14:textId="77777777" w:rsidR="00972E75" w:rsidRPr="00F23114" w:rsidRDefault="00972E75" w:rsidP="00972E75">
      <w:pPr>
        <w:pStyle w:val="Quotation"/>
        <w:tabs>
          <w:tab w:val="clear" w:pos="2552"/>
        </w:tabs>
        <w:ind w:left="1985" w:firstLine="0"/>
        <w:rPr>
          <w:sz w:val="22"/>
          <w:szCs w:val="22"/>
        </w:rPr>
      </w:pPr>
      <w:r w:rsidRPr="00F23114">
        <w:rPr>
          <w:sz w:val="22"/>
          <w:szCs w:val="22"/>
        </w:rPr>
        <w:t xml:space="preserve">…. </w:t>
      </w:r>
    </w:p>
    <w:p w14:paraId="50FFCEB0" w14:textId="77777777" w:rsidR="00972E75" w:rsidRPr="00F23114" w:rsidRDefault="00972E75" w:rsidP="00972E75">
      <w:pPr>
        <w:pStyle w:val="Quotation"/>
        <w:tabs>
          <w:tab w:val="clear" w:pos="3022"/>
        </w:tabs>
        <w:ind w:hanging="567"/>
        <w:rPr>
          <w:sz w:val="22"/>
          <w:szCs w:val="22"/>
        </w:rPr>
      </w:pPr>
      <w:r w:rsidRPr="00F23114">
        <w:rPr>
          <w:sz w:val="22"/>
          <w:szCs w:val="22"/>
        </w:rPr>
        <w:t>(5)</w:t>
      </w:r>
      <w:r w:rsidRPr="00F23114">
        <w:rPr>
          <w:sz w:val="22"/>
          <w:szCs w:val="22"/>
        </w:rPr>
        <w:tab/>
        <w:t xml:space="preserve">The consent required for the performance of the Acts contemplated in paragraphs (a), (b), (f), (g) and (h) of subsection (2) shall be given separately in respect of each Act and shall be attested by two competent witnesses. </w:t>
      </w:r>
    </w:p>
    <w:p w14:paraId="30330D54" w14:textId="4827C5ED" w:rsidR="00972E75" w:rsidRPr="00644994" w:rsidRDefault="00972E75" w:rsidP="00644994">
      <w:pPr>
        <w:pStyle w:val="Quotation"/>
        <w:tabs>
          <w:tab w:val="clear" w:pos="3022"/>
        </w:tabs>
        <w:ind w:hanging="567"/>
        <w:rPr>
          <w:sz w:val="22"/>
          <w:szCs w:val="22"/>
        </w:rPr>
      </w:pPr>
      <w:r w:rsidRPr="00F23114">
        <w:rPr>
          <w:sz w:val="22"/>
          <w:szCs w:val="22"/>
        </w:rPr>
        <w:t>(6)</w:t>
      </w:r>
      <w:r w:rsidRPr="00F23114">
        <w:rPr>
          <w:sz w:val="22"/>
          <w:szCs w:val="22"/>
        </w:rPr>
        <w:tab/>
        <w:t xml:space="preserve">The provisions of paragraphs (b), (c), (f), (g), and (h) of subsection (2) do not apply when an Act contemplated in those paragraphs is performed by a spouse in the ordinary course of his profession, trade or business.”  </w:t>
      </w:r>
    </w:p>
    <w:p w14:paraId="711E9EFB" w14:textId="7C16C5BF" w:rsidR="0067473D" w:rsidRDefault="009074E3" w:rsidP="009074E3">
      <w:pPr>
        <w:pStyle w:val="Heading1"/>
        <w:numPr>
          <w:ilvl w:val="0"/>
          <w:numId w:val="0"/>
        </w:numPr>
        <w:tabs>
          <w:tab w:val="left" w:pos="862"/>
        </w:tabs>
        <w:ind w:left="862" w:hanging="862"/>
      </w:pPr>
      <w:r>
        <w:t>[127]</w:t>
      </w:r>
      <w:r>
        <w:tab/>
      </w:r>
      <w:r w:rsidR="0067473D">
        <w:t xml:space="preserve">However, as </w:t>
      </w:r>
      <w:r w:rsidR="009A7048">
        <w:t xml:space="preserve">submitted </w:t>
      </w:r>
      <w:r w:rsidR="0067473D">
        <w:t xml:space="preserve">by </w:t>
      </w:r>
      <w:proofErr w:type="spellStart"/>
      <w:r w:rsidR="00D7391E">
        <w:t>Mr.</w:t>
      </w:r>
      <w:proofErr w:type="spellEnd"/>
      <w:r w:rsidR="0067473D">
        <w:t xml:space="preserve"> </w:t>
      </w:r>
      <w:proofErr w:type="spellStart"/>
      <w:r w:rsidR="0067473D">
        <w:t>Kromhout</w:t>
      </w:r>
      <w:proofErr w:type="spellEnd"/>
      <w:r w:rsidR="0067473D">
        <w:t xml:space="preserve">, the decision of </w:t>
      </w:r>
      <w:proofErr w:type="spellStart"/>
      <w:r w:rsidR="0067473D">
        <w:rPr>
          <w:b/>
          <w:bCs/>
          <w:i/>
          <w:iCs/>
        </w:rPr>
        <w:t>Strydom</w:t>
      </w:r>
      <w:proofErr w:type="spellEnd"/>
      <w:r w:rsidR="0067473D">
        <w:rPr>
          <w:b/>
          <w:bCs/>
          <w:i/>
          <w:iCs/>
        </w:rPr>
        <w:t xml:space="preserve"> v Engen Petroleum Limited</w:t>
      </w:r>
      <w:r w:rsidR="0067473D" w:rsidRPr="00141C33">
        <w:rPr>
          <w:rStyle w:val="FootnoteReference"/>
        </w:rPr>
        <w:footnoteReference w:id="66"/>
      </w:r>
      <w:r w:rsidR="0067473D">
        <w:t xml:space="preserve"> </w:t>
      </w:r>
      <w:r w:rsidR="00F0606C">
        <w:t xml:space="preserve"> puts paid to this. </w:t>
      </w:r>
      <w:r w:rsidR="009A7048">
        <w:t xml:space="preserve">In this case, </w:t>
      </w:r>
      <w:r w:rsidR="00195DF9">
        <w:t>the husband</w:t>
      </w:r>
      <w:r w:rsidR="0067473D">
        <w:t xml:space="preserve"> sought to escape from a </w:t>
      </w:r>
      <w:proofErr w:type="spellStart"/>
      <w:r w:rsidR="0067473D">
        <w:t>suretyship</w:t>
      </w:r>
      <w:proofErr w:type="spellEnd"/>
      <w:r w:rsidR="0067473D">
        <w:t xml:space="preserve"> which he had given in the normal course of his profession, trade and business because his wife</w:t>
      </w:r>
      <w:r w:rsidR="00195DF9">
        <w:t xml:space="preserve">, </w:t>
      </w:r>
      <w:proofErr w:type="spellStart"/>
      <w:r w:rsidR="00D7391E">
        <w:t>Mrs.</w:t>
      </w:r>
      <w:proofErr w:type="spellEnd"/>
      <w:r w:rsidR="009A7048">
        <w:t> </w:t>
      </w:r>
      <w:proofErr w:type="spellStart"/>
      <w:r w:rsidR="00195DF9">
        <w:t>St</w:t>
      </w:r>
      <w:r w:rsidR="00281F6D">
        <w:t>r</w:t>
      </w:r>
      <w:r w:rsidR="00195DF9">
        <w:t>ydom</w:t>
      </w:r>
      <w:proofErr w:type="spellEnd"/>
      <w:r w:rsidR="009A7048">
        <w:t>,</w:t>
      </w:r>
      <w:r w:rsidR="0067473D">
        <w:t xml:space="preserve"> had not consented thereto. </w:t>
      </w:r>
      <w:r w:rsidR="00195DF9">
        <w:t>Of relevance is that</w:t>
      </w:r>
      <w:r w:rsidR="0067473D">
        <w:t xml:space="preserve"> Mrs </w:t>
      </w:r>
      <w:proofErr w:type="spellStart"/>
      <w:r w:rsidR="0067473D">
        <w:t>Strydom</w:t>
      </w:r>
      <w:proofErr w:type="spellEnd"/>
      <w:r w:rsidR="0067473D">
        <w:t xml:space="preserve"> had not been cited </w:t>
      </w:r>
      <w:r w:rsidR="00195DF9">
        <w:t>in</w:t>
      </w:r>
      <w:r w:rsidR="0067473D">
        <w:t xml:space="preserve"> the litigation</w:t>
      </w:r>
      <w:r w:rsidR="00D7391E">
        <w:t>,</w:t>
      </w:r>
      <w:r w:rsidR="0067473D">
        <w:t xml:space="preserve"> and </w:t>
      </w:r>
      <w:r w:rsidR="00195DF9">
        <w:t xml:space="preserve">it was argued that she was </w:t>
      </w:r>
      <w:r w:rsidR="00D7391E">
        <w:t>non-suited</w:t>
      </w:r>
      <w:r w:rsidR="00195DF9">
        <w:t>.  T</w:t>
      </w:r>
      <w:r w:rsidR="0067473D">
        <w:t xml:space="preserve">he court pertinently had to determine whether or not </w:t>
      </w:r>
      <w:r w:rsidR="0067473D">
        <w:lastRenderedPageBreak/>
        <w:t>she was a necessary party thereto. Wall</w:t>
      </w:r>
      <w:r w:rsidR="00195DF9">
        <w:t>is</w:t>
      </w:r>
      <w:r w:rsidR="0067473D">
        <w:t xml:space="preserve"> JA </w:t>
      </w:r>
      <w:r w:rsidR="00195DF9">
        <w:t>held</w:t>
      </w:r>
      <w:r w:rsidR="0067473D">
        <w:t xml:space="preserve"> that: </w:t>
      </w:r>
    </w:p>
    <w:p w14:paraId="3EC5E916" w14:textId="77777777" w:rsidR="0067473D" w:rsidRPr="00F23114" w:rsidRDefault="0067473D" w:rsidP="0067473D">
      <w:pPr>
        <w:pStyle w:val="Quotation"/>
        <w:tabs>
          <w:tab w:val="clear" w:pos="2552"/>
        </w:tabs>
        <w:ind w:left="2977" w:hanging="1134"/>
        <w:rPr>
          <w:sz w:val="22"/>
          <w:szCs w:val="22"/>
        </w:rPr>
      </w:pPr>
      <w:r w:rsidRPr="00F23114">
        <w:rPr>
          <w:sz w:val="22"/>
          <w:szCs w:val="22"/>
        </w:rPr>
        <w:t>[23]</w:t>
      </w:r>
      <w:r w:rsidRPr="00F23114">
        <w:rPr>
          <w:sz w:val="22"/>
          <w:szCs w:val="22"/>
        </w:rPr>
        <w:tab/>
        <w:t xml:space="preserve">Again I find myself in respectful disagreement. Joinder is necessary in the circumstances explained by Corbett J, with his customary lucidity, in United Watch and Diamond Co (Pty) Ltd and Others v </w:t>
      </w:r>
      <w:proofErr w:type="spellStart"/>
      <w:r w:rsidRPr="00F23114">
        <w:rPr>
          <w:sz w:val="22"/>
          <w:szCs w:val="22"/>
        </w:rPr>
        <w:t>Disa</w:t>
      </w:r>
      <w:proofErr w:type="spellEnd"/>
      <w:r w:rsidRPr="00F23114">
        <w:rPr>
          <w:sz w:val="22"/>
          <w:szCs w:val="22"/>
        </w:rPr>
        <w:t xml:space="preserve"> Hotels Ltd and Another. He said: </w:t>
      </w:r>
    </w:p>
    <w:p w14:paraId="498BCC08" w14:textId="2B79152D" w:rsidR="0067473D" w:rsidRPr="00F23114" w:rsidRDefault="0067473D" w:rsidP="0067473D">
      <w:pPr>
        <w:pStyle w:val="Quotation"/>
        <w:tabs>
          <w:tab w:val="clear" w:pos="2552"/>
        </w:tabs>
        <w:ind w:left="2977" w:hanging="1134"/>
        <w:rPr>
          <w:sz w:val="22"/>
          <w:szCs w:val="22"/>
        </w:rPr>
      </w:pPr>
      <w:r w:rsidRPr="00F23114">
        <w:rPr>
          <w:sz w:val="22"/>
          <w:szCs w:val="22"/>
        </w:rPr>
        <w:tab/>
        <w:t xml:space="preserve">‘It is settled law that the right of a defendant to demand the joinder of another party and the duty of the court to order such joinder or to ensure that there is a waiver of the right to be joined (and this right and this duty appear to be co-extensive) are limited to cases of joint owners, joint contractors and partners and where the other party has a direct and substantial interest in the issues involved and the order which the court might make (see Amalgamated Engineering Union v Minister of Labour, 1949 (3) SA 637 (AD); Koch and Schmidt v Alma </w:t>
      </w:r>
      <w:proofErr w:type="spellStart"/>
      <w:r w:rsidRPr="00F23114">
        <w:rPr>
          <w:sz w:val="22"/>
          <w:szCs w:val="22"/>
        </w:rPr>
        <w:t>Modehuis</w:t>
      </w:r>
      <w:proofErr w:type="spellEnd"/>
      <w:r w:rsidRPr="00F23114">
        <w:rPr>
          <w:sz w:val="22"/>
          <w:szCs w:val="22"/>
        </w:rPr>
        <w:t xml:space="preserve"> (</w:t>
      </w:r>
      <w:proofErr w:type="spellStart"/>
      <w:r w:rsidRPr="00F23114">
        <w:rPr>
          <w:sz w:val="22"/>
          <w:szCs w:val="22"/>
        </w:rPr>
        <w:t>Edms</w:t>
      </w:r>
      <w:proofErr w:type="spellEnd"/>
      <w:r w:rsidRPr="00F23114">
        <w:rPr>
          <w:sz w:val="22"/>
          <w:szCs w:val="22"/>
        </w:rPr>
        <w:t xml:space="preserve">) </w:t>
      </w:r>
      <w:proofErr w:type="spellStart"/>
      <w:r w:rsidRPr="00F23114">
        <w:rPr>
          <w:sz w:val="22"/>
          <w:szCs w:val="22"/>
        </w:rPr>
        <w:t>Bpk</w:t>
      </w:r>
      <w:proofErr w:type="spellEnd"/>
      <w:r w:rsidRPr="00F23114">
        <w:rPr>
          <w:sz w:val="22"/>
          <w:szCs w:val="22"/>
        </w:rPr>
        <w:t xml:space="preserve">, 1959 (3) SA 308 (AD)). In Henri </w:t>
      </w:r>
      <w:proofErr w:type="spellStart"/>
      <w:r w:rsidRPr="00F23114">
        <w:rPr>
          <w:sz w:val="22"/>
          <w:szCs w:val="22"/>
        </w:rPr>
        <w:t>Viljoen</w:t>
      </w:r>
      <w:proofErr w:type="spellEnd"/>
      <w:r w:rsidRPr="00F23114">
        <w:rPr>
          <w:sz w:val="22"/>
          <w:szCs w:val="22"/>
        </w:rPr>
        <w:t xml:space="preserve"> (Pty) Ltd v </w:t>
      </w:r>
      <w:proofErr w:type="spellStart"/>
      <w:r w:rsidRPr="00F23114">
        <w:rPr>
          <w:sz w:val="22"/>
          <w:szCs w:val="22"/>
        </w:rPr>
        <w:t>Awerbuch</w:t>
      </w:r>
      <w:proofErr w:type="spellEnd"/>
      <w:r w:rsidRPr="00F23114">
        <w:rPr>
          <w:sz w:val="22"/>
          <w:szCs w:val="22"/>
        </w:rPr>
        <w:t xml:space="preserve"> Brothers, 1953 (2) SA 151 (O), </w:t>
      </w:r>
      <w:proofErr w:type="spellStart"/>
      <w:r w:rsidRPr="00F23114">
        <w:rPr>
          <w:sz w:val="22"/>
          <w:szCs w:val="22"/>
        </w:rPr>
        <w:t>Horwitz</w:t>
      </w:r>
      <w:proofErr w:type="spellEnd"/>
      <w:r w:rsidRPr="00F23114">
        <w:rPr>
          <w:sz w:val="22"/>
          <w:szCs w:val="22"/>
        </w:rPr>
        <w:t xml:space="preserve"> AJP (with whom Van </w:t>
      </w:r>
      <w:proofErr w:type="spellStart"/>
      <w:r w:rsidRPr="00F23114">
        <w:rPr>
          <w:sz w:val="22"/>
          <w:szCs w:val="22"/>
        </w:rPr>
        <w:t>Blerck</w:t>
      </w:r>
      <w:proofErr w:type="spellEnd"/>
      <w:r w:rsidRPr="00F23114">
        <w:rPr>
          <w:sz w:val="22"/>
          <w:szCs w:val="22"/>
        </w:rPr>
        <w:t xml:space="preserve"> J concurred) analysed the concept of such a direct and substantial interest and after an exhaustive review of the authorities came to the conclusion that it connoted (see p.169) – </w:t>
      </w:r>
    </w:p>
    <w:p w14:paraId="131F1CFC" w14:textId="77777777" w:rsidR="0067473D" w:rsidRPr="00F23114" w:rsidRDefault="0067473D" w:rsidP="0067473D">
      <w:pPr>
        <w:pStyle w:val="Quotation"/>
        <w:tabs>
          <w:tab w:val="clear" w:pos="2552"/>
        </w:tabs>
        <w:ind w:left="2977" w:hanging="1134"/>
        <w:rPr>
          <w:sz w:val="22"/>
          <w:szCs w:val="22"/>
        </w:rPr>
      </w:pPr>
      <w:r w:rsidRPr="00F23114">
        <w:rPr>
          <w:sz w:val="22"/>
          <w:szCs w:val="22"/>
        </w:rPr>
        <w:tab/>
        <w:t xml:space="preserve">“… </w:t>
      </w:r>
      <w:proofErr w:type="gramStart"/>
      <w:r w:rsidRPr="00F23114">
        <w:rPr>
          <w:sz w:val="22"/>
          <w:szCs w:val="22"/>
        </w:rPr>
        <w:t>an</w:t>
      </w:r>
      <w:proofErr w:type="gramEnd"/>
      <w:r w:rsidRPr="00F23114">
        <w:rPr>
          <w:sz w:val="22"/>
          <w:szCs w:val="22"/>
        </w:rPr>
        <w:t xml:space="preserve"> interest in the rights which is the subject matter of the litigation and … not merely a financial interest which is only an indirect interest in such litigation. </w:t>
      </w:r>
    </w:p>
    <w:p w14:paraId="2BA7AD5D" w14:textId="77777777" w:rsidR="0067473D" w:rsidRPr="00F23114" w:rsidRDefault="0067473D" w:rsidP="0067473D">
      <w:pPr>
        <w:pStyle w:val="Quotation"/>
        <w:tabs>
          <w:tab w:val="clear" w:pos="2552"/>
        </w:tabs>
        <w:ind w:left="2977" w:hanging="1134"/>
        <w:rPr>
          <w:sz w:val="22"/>
          <w:szCs w:val="22"/>
        </w:rPr>
      </w:pPr>
      <w:r w:rsidRPr="00F23114">
        <w:rPr>
          <w:sz w:val="22"/>
          <w:szCs w:val="22"/>
        </w:rPr>
        <w:tab/>
        <w:t>This view of what constitutes a direct and substantial interest has been referred to and adopted in a number of subsequent decisions …</w:t>
      </w:r>
      <w:proofErr w:type="gramStart"/>
      <w:r w:rsidRPr="00F23114">
        <w:rPr>
          <w:sz w:val="22"/>
          <w:szCs w:val="22"/>
        </w:rPr>
        <w:t>’.</w:t>
      </w:r>
      <w:proofErr w:type="gramEnd"/>
      <w:r w:rsidRPr="00F23114">
        <w:rPr>
          <w:sz w:val="22"/>
          <w:szCs w:val="22"/>
        </w:rPr>
        <w:t xml:space="preserve">  </w:t>
      </w:r>
    </w:p>
    <w:p w14:paraId="5AB29D01" w14:textId="77777777" w:rsidR="0067473D" w:rsidRPr="00F23114" w:rsidRDefault="0067473D" w:rsidP="0067473D">
      <w:pPr>
        <w:pStyle w:val="Quotation"/>
        <w:rPr>
          <w:sz w:val="22"/>
          <w:szCs w:val="22"/>
        </w:rPr>
      </w:pPr>
      <w:r w:rsidRPr="00F23114">
        <w:rPr>
          <w:sz w:val="22"/>
          <w:szCs w:val="22"/>
        </w:rPr>
        <w:tab/>
        <w:t xml:space="preserve">Corbett J’s exposition has been cited countless times as the correct statement of our law including in judgments of this </w:t>
      </w:r>
      <w:r w:rsidRPr="00F23114">
        <w:rPr>
          <w:sz w:val="22"/>
          <w:szCs w:val="22"/>
        </w:rPr>
        <w:lastRenderedPageBreak/>
        <w:t xml:space="preserve">court. </w:t>
      </w:r>
    </w:p>
    <w:p w14:paraId="113E0F80" w14:textId="74A42797" w:rsidR="0067473D" w:rsidRPr="00F23114" w:rsidRDefault="0067473D" w:rsidP="0067473D">
      <w:pPr>
        <w:pStyle w:val="Quotation"/>
        <w:tabs>
          <w:tab w:val="clear" w:pos="2552"/>
        </w:tabs>
        <w:ind w:left="2977" w:hanging="1134"/>
        <w:rPr>
          <w:sz w:val="22"/>
          <w:szCs w:val="22"/>
        </w:rPr>
      </w:pPr>
      <w:r w:rsidRPr="00F23114">
        <w:rPr>
          <w:sz w:val="22"/>
          <w:szCs w:val="22"/>
        </w:rPr>
        <w:t>[24]</w:t>
      </w:r>
      <w:r w:rsidRPr="00F23114">
        <w:rPr>
          <w:sz w:val="22"/>
          <w:szCs w:val="22"/>
        </w:rPr>
        <w:tab/>
        <w:t xml:space="preserve">On that basis the question is whether Mrs </w:t>
      </w:r>
      <w:proofErr w:type="spellStart"/>
      <w:r w:rsidRPr="00F23114">
        <w:rPr>
          <w:sz w:val="22"/>
          <w:szCs w:val="22"/>
        </w:rPr>
        <w:t>Strydom</w:t>
      </w:r>
      <w:proofErr w:type="spellEnd"/>
      <w:r w:rsidRPr="00F23114">
        <w:rPr>
          <w:sz w:val="22"/>
          <w:szCs w:val="22"/>
        </w:rPr>
        <w:t xml:space="preserve"> has a </w:t>
      </w:r>
      <w:r w:rsidRPr="00195DF9">
        <w:rPr>
          <w:sz w:val="22"/>
          <w:szCs w:val="22"/>
          <w:u w:val="single"/>
        </w:rPr>
        <w:t>direct and substantial interest in the subject matter of the litigation</w:t>
      </w:r>
      <w:r w:rsidR="00195DF9">
        <w:rPr>
          <w:sz w:val="22"/>
          <w:szCs w:val="22"/>
          <w:u w:val="single"/>
        </w:rPr>
        <w:t>[ my emphasis]</w:t>
      </w:r>
      <w:r w:rsidRPr="00F23114">
        <w:rPr>
          <w:sz w:val="22"/>
          <w:szCs w:val="22"/>
        </w:rPr>
        <w:t xml:space="preserve">, that is, the </w:t>
      </w:r>
      <w:proofErr w:type="spellStart"/>
      <w:r w:rsidRPr="00F23114">
        <w:rPr>
          <w:sz w:val="22"/>
          <w:szCs w:val="22"/>
        </w:rPr>
        <w:t>suretyship</w:t>
      </w:r>
      <w:proofErr w:type="spellEnd"/>
      <w:r w:rsidRPr="00F23114">
        <w:rPr>
          <w:sz w:val="22"/>
          <w:szCs w:val="22"/>
        </w:rPr>
        <w:t xml:space="preserve"> and its validity or whether her interest is merely a financial interest that is only indirect and therefore does not require her joinder. The answer is clear. </w:t>
      </w:r>
      <w:r w:rsidRPr="00195DF9">
        <w:rPr>
          <w:sz w:val="22"/>
          <w:szCs w:val="22"/>
          <w:u w:val="single"/>
        </w:rPr>
        <w:t xml:space="preserve">She has no interest in the </w:t>
      </w:r>
      <w:proofErr w:type="spellStart"/>
      <w:r w:rsidRPr="00195DF9">
        <w:rPr>
          <w:sz w:val="22"/>
          <w:szCs w:val="22"/>
          <w:u w:val="single"/>
        </w:rPr>
        <w:t>suretyship</w:t>
      </w:r>
      <w:proofErr w:type="spellEnd"/>
      <w:r w:rsidRPr="00195DF9">
        <w:rPr>
          <w:sz w:val="22"/>
          <w:szCs w:val="22"/>
          <w:u w:val="single"/>
        </w:rPr>
        <w:t xml:space="preserve"> or its validity. She is not a party to it</w:t>
      </w:r>
      <w:r w:rsidR="00D7391E">
        <w:rPr>
          <w:sz w:val="22"/>
          <w:szCs w:val="22"/>
          <w:u w:val="single"/>
        </w:rPr>
        <w:t xml:space="preserve"> </w:t>
      </w:r>
      <w:r w:rsidR="00195DF9">
        <w:rPr>
          <w:sz w:val="22"/>
          <w:szCs w:val="22"/>
          <w:u w:val="single"/>
        </w:rPr>
        <w:t>[my emphasis]</w:t>
      </w:r>
      <w:r w:rsidRPr="00F23114">
        <w:rPr>
          <w:sz w:val="22"/>
          <w:szCs w:val="22"/>
        </w:rPr>
        <w:t xml:space="preserve"> and</w:t>
      </w:r>
      <w:r w:rsidR="00195DF9">
        <w:rPr>
          <w:sz w:val="22"/>
          <w:szCs w:val="22"/>
        </w:rPr>
        <w:t>,</w:t>
      </w:r>
      <w:r w:rsidR="00D7391E">
        <w:rPr>
          <w:sz w:val="22"/>
          <w:szCs w:val="22"/>
        </w:rPr>
        <w:t xml:space="preserve"> </w:t>
      </w:r>
      <w:r w:rsidRPr="00F23114">
        <w:rPr>
          <w:sz w:val="22"/>
          <w:szCs w:val="22"/>
        </w:rPr>
        <w:t xml:space="preserve">according to her husband she was opposed to its execution. The fact that he went ahead and executed it notwithstanding her disapproval is a potential source of financial prejudice to her and undoubtedly a source of matrimonial discord. However, that is not a direct and substantial interest in the issues in this case. It is an interest that exists only by virtue of the fact that she and Mr </w:t>
      </w:r>
      <w:proofErr w:type="spellStart"/>
      <w:r w:rsidRPr="00F23114">
        <w:rPr>
          <w:sz w:val="22"/>
          <w:szCs w:val="22"/>
        </w:rPr>
        <w:t>Strydom</w:t>
      </w:r>
      <w:proofErr w:type="spellEnd"/>
      <w:r w:rsidRPr="00F23114">
        <w:rPr>
          <w:sz w:val="22"/>
          <w:szCs w:val="22"/>
        </w:rPr>
        <w:t xml:space="preserve"> are married in community of property. I</w:t>
      </w:r>
      <w:r w:rsidR="00D7391E">
        <w:rPr>
          <w:sz w:val="22"/>
          <w:szCs w:val="22"/>
        </w:rPr>
        <w:t>,</w:t>
      </w:r>
      <w:r w:rsidRPr="00F23114">
        <w:rPr>
          <w:sz w:val="22"/>
          <w:szCs w:val="22"/>
        </w:rPr>
        <w:t xml:space="preserve"> accordingly</w:t>
      </w:r>
      <w:r w:rsidR="00195DF9">
        <w:rPr>
          <w:sz w:val="22"/>
          <w:szCs w:val="22"/>
        </w:rPr>
        <w:t>,</w:t>
      </w:r>
      <w:r w:rsidRPr="00F23114">
        <w:rPr>
          <w:sz w:val="22"/>
          <w:szCs w:val="22"/>
        </w:rPr>
        <w:t xml:space="preserve"> disagree with the proposition stated in paragraph 43 of my colleague’s judgment. </w:t>
      </w:r>
    </w:p>
    <w:p w14:paraId="14E556B4" w14:textId="4A5A3C24" w:rsidR="0067473D" w:rsidRDefault="0067473D" w:rsidP="0067473D">
      <w:pPr>
        <w:pStyle w:val="Quotation"/>
        <w:tabs>
          <w:tab w:val="clear" w:pos="2552"/>
        </w:tabs>
        <w:ind w:left="2977" w:hanging="1134"/>
        <w:rPr>
          <w:sz w:val="22"/>
          <w:szCs w:val="22"/>
        </w:rPr>
      </w:pPr>
      <w:r w:rsidRPr="00F23114">
        <w:rPr>
          <w:sz w:val="22"/>
          <w:szCs w:val="22"/>
        </w:rPr>
        <w:t>[25]</w:t>
      </w:r>
      <w:r w:rsidRPr="00F23114">
        <w:rPr>
          <w:sz w:val="22"/>
          <w:szCs w:val="22"/>
        </w:rPr>
        <w:tab/>
        <w:t xml:space="preserve">The consequence of my colleague’s judgment would be that in every case where the effect of a judgment, or more accurately the execution of a judgment, would be to diminish the joint estate, joinder of the spouse who was not party to the underlying transaction or dispute, would be essential in order that they could protect their interests in the joint estate. Whilst the proposition in para [43] of his judgment is in terms confined to </w:t>
      </w:r>
      <w:proofErr w:type="spellStart"/>
      <w:r w:rsidRPr="00F23114">
        <w:rPr>
          <w:sz w:val="22"/>
          <w:szCs w:val="22"/>
        </w:rPr>
        <w:t>suretyship</w:t>
      </w:r>
      <w:proofErr w:type="spellEnd"/>
      <w:r w:rsidRPr="00F23114">
        <w:rPr>
          <w:sz w:val="22"/>
          <w:szCs w:val="22"/>
        </w:rPr>
        <w:t xml:space="preserve">, I can see no reason why it would not apply in any situation where a claim against one spouse married in community of property would, if successful, detrimentally affect the joint estate. On my colleague’s reasoning, particularly that in the final sentence of para [45] of his judgment, the other spouse would have to be joined to enable them to protect the joint estate and the interest in it. Not only has that never been our law, but it would fly in the face of the </w:t>
      </w:r>
      <w:r w:rsidRPr="00F23114">
        <w:rPr>
          <w:sz w:val="22"/>
          <w:szCs w:val="22"/>
        </w:rPr>
        <w:lastRenderedPageBreak/>
        <w:t xml:space="preserve">constitutional guarantee of equality between husband and wife by forcing them to litigate together in all situations where the joint estate could be affected by the outcome of the litigation. Sections 15(5) and 17(1) of the Act make it clear that this is not a requirement. In relation to matters relating to a spouse’s profession, trade or business, that spouse is free to institute or defend litigation without obtaining the consent of their spouse. This provision would be entirely undercut </w:t>
      </w:r>
      <w:r w:rsidR="009A7048" w:rsidRPr="00F23114">
        <w:rPr>
          <w:sz w:val="22"/>
          <w:szCs w:val="22"/>
        </w:rPr>
        <w:t xml:space="preserve">by </w:t>
      </w:r>
      <w:r w:rsidR="009A7048">
        <w:rPr>
          <w:sz w:val="22"/>
          <w:szCs w:val="22"/>
        </w:rPr>
        <w:t>the</w:t>
      </w:r>
      <w:r w:rsidR="00195DF9">
        <w:rPr>
          <w:sz w:val="22"/>
          <w:szCs w:val="22"/>
        </w:rPr>
        <w:t xml:space="preserve"> </w:t>
      </w:r>
      <w:r w:rsidRPr="00F23114">
        <w:rPr>
          <w:sz w:val="22"/>
          <w:szCs w:val="22"/>
        </w:rPr>
        <w:t xml:space="preserve">requirement that the other spouse must be joined in that litigation”. </w:t>
      </w:r>
    </w:p>
    <w:p w14:paraId="29E7F4D2" w14:textId="2913EA78" w:rsidR="00644994" w:rsidRDefault="009074E3" w:rsidP="009074E3">
      <w:pPr>
        <w:pStyle w:val="Heading1"/>
        <w:numPr>
          <w:ilvl w:val="0"/>
          <w:numId w:val="0"/>
        </w:numPr>
        <w:tabs>
          <w:tab w:val="left" w:pos="862"/>
        </w:tabs>
        <w:ind w:left="862" w:hanging="862"/>
      </w:pPr>
      <w:r>
        <w:t>[128]</w:t>
      </w:r>
      <w:r>
        <w:tab/>
      </w:r>
      <w:proofErr w:type="gramStart"/>
      <w:r w:rsidR="0067473D" w:rsidRPr="00BA0A3B">
        <w:t>As</w:t>
      </w:r>
      <w:proofErr w:type="gramEnd"/>
      <w:r w:rsidR="0067473D" w:rsidRPr="00BA0A3B">
        <w:t xml:space="preserve"> a consequence, the applicant</w:t>
      </w:r>
      <w:r w:rsidR="00D7391E">
        <w:t>,</w:t>
      </w:r>
      <w:r w:rsidR="0067473D" w:rsidRPr="00BA0A3B">
        <w:t xml:space="preserve"> in her personal capacity</w:t>
      </w:r>
      <w:r w:rsidR="00D7391E">
        <w:t>,</w:t>
      </w:r>
      <w:r w:rsidR="0067473D" w:rsidRPr="00BA0A3B">
        <w:t xml:space="preserve"> </w:t>
      </w:r>
      <w:r w:rsidR="003F0508">
        <w:t>lacks</w:t>
      </w:r>
      <w:r w:rsidR="0067473D" w:rsidRPr="00BA0A3B">
        <w:t xml:space="preserve"> </w:t>
      </w:r>
      <w:r w:rsidR="003F0508">
        <w:t>the</w:t>
      </w:r>
      <w:r w:rsidR="0067473D" w:rsidRPr="00BA0A3B">
        <w:t xml:space="preserve"> </w:t>
      </w:r>
      <w:r w:rsidR="0067473D" w:rsidRPr="009A7048">
        <w:rPr>
          <w:i/>
          <w:iCs/>
        </w:rPr>
        <w:t xml:space="preserve">locus </w:t>
      </w:r>
      <w:proofErr w:type="spellStart"/>
      <w:r w:rsidR="0067473D" w:rsidRPr="009A7048">
        <w:rPr>
          <w:i/>
          <w:iCs/>
        </w:rPr>
        <w:t>standi</w:t>
      </w:r>
      <w:proofErr w:type="spellEnd"/>
      <w:r w:rsidR="0067473D" w:rsidRPr="00BA0A3B">
        <w:t xml:space="preserve"> to se</w:t>
      </w:r>
      <w:r w:rsidR="003F0508">
        <w:t xml:space="preserve">t aside the guarantees furnished </w:t>
      </w:r>
      <w:r w:rsidR="00195DF9" w:rsidRPr="00BA0A3B">
        <w:t>by Venter</w:t>
      </w:r>
      <w:r w:rsidR="003F0508">
        <w:t xml:space="preserve"> on behalf of the NRB group’s debts to </w:t>
      </w:r>
      <w:proofErr w:type="spellStart"/>
      <w:r w:rsidR="003F0508">
        <w:t>Astfin</w:t>
      </w:r>
      <w:proofErr w:type="spellEnd"/>
      <w:r w:rsidR="009A7048">
        <w:t>.</w:t>
      </w:r>
      <w:r w:rsidR="00972E75" w:rsidRPr="00972E75">
        <w:t xml:space="preserve"> </w:t>
      </w:r>
    </w:p>
    <w:p w14:paraId="3E1AE8C4" w14:textId="64D06086" w:rsidR="003F0508" w:rsidRPr="003F0508" w:rsidRDefault="009074E3" w:rsidP="009074E3">
      <w:pPr>
        <w:pStyle w:val="Heading1"/>
        <w:numPr>
          <w:ilvl w:val="0"/>
          <w:numId w:val="0"/>
        </w:numPr>
        <w:tabs>
          <w:tab w:val="left" w:pos="862"/>
        </w:tabs>
        <w:ind w:left="862" w:hanging="862"/>
        <w:rPr>
          <w:szCs w:val="24"/>
        </w:rPr>
      </w:pPr>
      <w:r w:rsidRPr="003F0508">
        <w:rPr>
          <w:szCs w:val="24"/>
        </w:rPr>
        <w:t>[129]</w:t>
      </w:r>
      <w:r w:rsidRPr="003F0508">
        <w:rPr>
          <w:szCs w:val="24"/>
        </w:rPr>
        <w:tab/>
      </w:r>
      <w:r w:rsidR="0067473D" w:rsidRPr="00BA0A3B">
        <w:t xml:space="preserve">It was further submitted to me by Mr </w:t>
      </w:r>
      <w:proofErr w:type="spellStart"/>
      <w:r w:rsidR="0067473D" w:rsidRPr="00BA0A3B">
        <w:t>Labuschagne</w:t>
      </w:r>
      <w:proofErr w:type="spellEnd"/>
      <w:r w:rsidR="0067473D" w:rsidRPr="00BA0A3B">
        <w:t xml:space="preserve"> that should I find that the applicant lacked </w:t>
      </w:r>
      <w:r w:rsidR="0067473D" w:rsidRPr="009A7048">
        <w:rPr>
          <w:i/>
          <w:iCs/>
        </w:rPr>
        <w:t xml:space="preserve">locus </w:t>
      </w:r>
      <w:proofErr w:type="spellStart"/>
      <w:r w:rsidR="0067473D" w:rsidRPr="009A7048">
        <w:rPr>
          <w:i/>
          <w:iCs/>
        </w:rPr>
        <w:t>standi</w:t>
      </w:r>
      <w:proofErr w:type="spellEnd"/>
      <w:r w:rsidR="0058617A">
        <w:rPr>
          <w:i/>
          <w:iCs/>
        </w:rPr>
        <w:t>,</w:t>
      </w:r>
      <w:r w:rsidR="0067473D" w:rsidRPr="00BA0A3B">
        <w:t xml:space="preserve"> both personally and in her capacity as a trustee to bring this application, that would mean that the application for referral to trial would also simply fail. This is, of course, correct</w:t>
      </w:r>
      <w:r w:rsidR="00D7391E">
        <w:t>,</w:t>
      </w:r>
      <w:r w:rsidR="0067473D" w:rsidRPr="00BA0A3B">
        <w:t xml:space="preserve"> and I accept that to be the position. To my mind, that is the end of the matter.</w:t>
      </w:r>
    </w:p>
    <w:p w14:paraId="3E7A5AA6" w14:textId="352B9A6F" w:rsidR="0067473D" w:rsidRPr="00EC1A1D" w:rsidRDefault="009074E3" w:rsidP="009074E3">
      <w:pPr>
        <w:pStyle w:val="Heading1"/>
        <w:numPr>
          <w:ilvl w:val="0"/>
          <w:numId w:val="0"/>
        </w:numPr>
        <w:tabs>
          <w:tab w:val="left" w:pos="862"/>
        </w:tabs>
        <w:ind w:left="862" w:hanging="862"/>
        <w:rPr>
          <w:szCs w:val="24"/>
        </w:rPr>
      </w:pPr>
      <w:r w:rsidRPr="00EC1A1D">
        <w:rPr>
          <w:szCs w:val="24"/>
        </w:rPr>
        <w:t>[130]</w:t>
      </w:r>
      <w:r w:rsidRPr="00EC1A1D">
        <w:rPr>
          <w:szCs w:val="24"/>
        </w:rPr>
        <w:tab/>
      </w:r>
      <w:r w:rsidR="0067473D" w:rsidRPr="00EC1A1D">
        <w:rPr>
          <w:szCs w:val="24"/>
        </w:rPr>
        <w:t xml:space="preserve">Even if a proper case had been made out in the founding affidavit, which </w:t>
      </w:r>
      <w:r w:rsidR="0058617A">
        <w:rPr>
          <w:szCs w:val="24"/>
        </w:rPr>
        <w:t>i</w:t>
      </w:r>
      <w:r w:rsidR="0067473D" w:rsidRPr="00EC1A1D">
        <w:rPr>
          <w:szCs w:val="24"/>
        </w:rPr>
        <w:t>s not the case, the</w:t>
      </w:r>
      <w:r w:rsidR="00195DF9">
        <w:rPr>
          <w:szCs w:val="24"/>
        </w:rPr>
        <w:t xml:space="preserve"> applicant’s</w:t>
      </w:r>
      <w:r w:rsidR="0067473D" w:rsidRPr="00EC1A1D">
        <w:rPr>
          <w:szCs w:val="24"/>
        </w:rPr>
        <w:t xml:space="preserve"> lack of </w:t>
      </w:r>
      <w:r w:rsidR="0067473D" w:rsidRPr="00EC1A1D">
        <w:rPr>
          <w:i/>
          <w:iCs/>
          <w:szCs w:val="24"/>
        </w:rPr>
        <w:t xml:space="preserve">locus </w:t>
      </w:r>
      <w:proofErr w:type="spellStart"/>
      <w:r w:rsidR="0067473D" w:rsidRPr="00EC1A1D">
        <w:rPr>
          <w:i/>
          <w:iCs/>
          <w:szCs w:val="24"/>
        </w:rPr>
        <w:t>standi</w:t>
      </w:r>
      <w:proofErr w:type="spellEnd"/>
      <w:r w:rsidR="0067473D" w:rsidRPr="00EC1A1D">
        <w:rPr>
          <w:szCs w:val="24"/>
        </w:rPr>
        <w:t xml:space="preserve"> is definitive of the application. Accordingly, the court must dismiss the application</w:t>
      </w:r>
      <w:r w:rsidR="009A7048">
        <w:rPr>
          <w:szCs w:val="24"/>
        </w:rPr>
        <w:t xml:space="preserve"> a</w:t>
      </w:r>
      <w:r w:rsidR="003F0508">
        <w:rPr>
          <w:szCs w:val="24"/>
        </w:rPr>
        <w:t>s the</w:t>
      </w:r>
      <w:r w:rsidR="009A7048">
        <w:rPr>
          <w:szCs w:val="24"/>
        </w:rPr>
        <w:t xml:space="preserve"> point </w:t>
      </w:r>
      <w:r w:rsidR="009A7048">
        <w:rPr>
          <w:i/>
          <w:iCs/>
          <w:szCs w:val="24"/>
        </w:rPr>
        <w:t xml:space="preserve">in </w:t>
      </w:r>
      <w:proofErr w:type="spellStart"/>
      <w:r w:rsidR="009A7048">
        <w:rPr>
          <w:i/>
          <w:iCs/>
          <w:szCs w:val="24"/>
        </w:rPr>
        <w:t>limine</w:t>
      </w:r>
      <w:proofErr w:type="spellEnd"/>
      <w:r w:rsidR="003F0508">
        <w:rPr>
          <w:szCs w:val="24"/>
        </w:rPr>
        <w:t xml:space="preserve"> is sound</w:t>
      </w:r>
      <w:r w:rsidR="00D7391E">
        <w:rPr>
          <w:szCs w:val="24"/>
        </w:rPr>
        <w:t>,</w:t>
      </w:r>
      <w:r w:rsidR="0058617A">
        <w:rPr>
          <w:szCs w:val="24"/>
        </w:rPr>
        <w:t xml:space="preserve"> too</w:t>
      </w:r>
      <w:r w:rsidR="003F0508">
        <w:rPr>
          <w:szCs w:val="24"/>
        </w:rPr>
        <w:t>.</w:t>
      </w:r>
    </w:p>
    <w:p w14:paraId="76F46925" w14:textId="6F29E463" w:rsidR="0067473D" w:rsidRDefault="009074E3" w:rsidP="009074E3">
      <w:pPr>
        <w:pStyle w:val="Heading1"/>
        <w:numPr>
          <w:ilvl w:val="0"/>
          <w:numId w:val="0"/>
        </w:numPr>
        <w:tabs>
          <w:tab w:val="left" w:pos="862"/>
        </w:tabs>
        <w:ind w:left="862" w:hanging="862"/>
        <w:rPr>
          <w:szCs w:val="24"/>
        </w:rPr>
      </w:pPr>
      <w:r>
        <w:rPr>
          <w:szCs w:val="24"/>
        </w:rPr>
        <w:t>[131]</w:t>
      </w:r>
      <w:r>
        <w:rPr>
          <w:szCs w:val="24"/>
        </w:rPr>
        <w:tab/>
      </w:r>
      <w:proofErr w:type="gramStart"/>
      <w:r w:rsidR="0067473D">
        <w:rPr>
          <w:szCs w:val="24"/>
        </w:rPr>
        <w:t>What</w:t>
      </w:r>
      <w:proofErr w:type="gramEnd"/>
      <w:r w:rsidR="0067473D">
        <w:rPr>
          <w:szCs w:val="24"/>
        </w:rPr>
        <w:t xml:space="preserve"> remains is a determination of the costs. Both </w:t>
      </w:r>
      <w:proofErr w:type="spellStart"/>
      <w:r w:rsidR="00D7391E">
        <w:rPr>
          <w:szCs w:val="24"/>
        </w:rPr>
        <w:t>Mr.</w:t>
      </w:r>
      <w:proofErr w:type="spellEnd"/>
      <w:r w:rsidR="0067473D">
        <w:rPr>
          <w:szCs w:val="24"/>
        </w:rPr>
        <w:t xml:space="preserve"> </w:t>
      </w:r>
      <w:proofErr w:type="spellStart"/>
      <w:r w:rsidR="0067473D">
        <w:rPr>
          <w:szCs w:val="24"/>
        </w:rPr>
        <w:t>Kromhout</w:t>
      </w:r>
      <w:proofErr w:type="spellEnd"/>
      <w:r w:rsidR="0067473D">
        <w:rPr>
          <w:szCs w:val="24"/>
        </w:rPr>
        <w:t xml:space="preserve"> and Mr </w:t>
      </w:r>
      <w:proofErr w:type="spellStart"/>
      <w:r w:rsidR="0067473D">
        <w:rPr>
          <w:szCs w:val="24"/>
        </w:rPr>
        <w:t>Labuschagne</w:t>
      </w:r>
      <w:proofErr w:type="spellEnd"/>
      <w:r w:rsidR="0067473D">
        <w:rPr>
          <w:szCs w:val="24"/>
        </w:rPr>
        <w:t xml:space="preserve"> sought to describe the application as a vexatious abuse in respect of which no case had been made and in respect of which the applicant and her legal representative, </w:t>
      </w:r>
      <w:proofErr w:type="spellStart"/>
      <w:r w:rsidR="0067473D">
        <w:rPr>
          <w:szCs w:val="24"/>
        </w:rPr>
        <w:t>Bihl</w:t>
      </w:r>
      <w:proofErr w:type="spellEnd"/>
      <w:r w:rsidR="0067473D">
        <w:rPr>
          <w:szCs w:val="24"/>
        </w:rPr>
        <w:t>, had been forewarned</w:t>
      </w:r>
      <w:r w:rsidR="0073225B">
        <w:rPr>
          <w:szCs w:val="24"/>
        </w:rPr>
        <w:t>.</w:t>
      </w:r>
      <w:r w:rsidR="0067473D">
        <w:rPr>
          <w:szCs w:val="24"/>
        </w:rPr>
        <w:t xml:space="preserve">  </w:t>
      </w:r>
      <w:proofErr w:type="spellStart"/>
      <w:r w:rsidR="0067473D">
        <w:rPr>
          <w:szCs w:val="24"/>
        </w:rPr>
        <w:t>Astfin</w:t>
      </w:r>
      <w:proofErr w:type="spellEnd"/>
      <w:r w:rsidR="0067473D">
        <w:rPr>
          <w:szCs w:val="24"/>
        </w:rPr>
        <w:t xml:space="preserve"> </w:t>
      </w:r>
      <w:r w:rsidR="006E0D56">
        <w:rPr>
          <w:szCs w:val="24"/>
        </w:rPr>
        <w:t>made</w:t>
      </w:r>
      <w:r w:rsidR="0067473D">
        <w:rPr>
          <w:szCs w:val="24"/>
        </w:rPr>
        <w:t xml:space="preserve"> an invitation to</w:t>
      </w:r>
      <w:r w:rsidR="0073225B">
        <w:rPr>
          <w:szCs w:val="24"/>
        </w:rPr>
        <w:t xml:space="preserve"> the applicant to</w:t>
      </w:r>
      <w:r w:rsidR="0067473D">
        <w:rPr>
          <w:szCs w:val="24"/>
        </w:rPr>
        <w:t xml:space="preserve"> withdraw and tender costs</w:t>
      </w:r>
      <w:r w:rsidR="006E0D56">
        <w:rPr>
          <w:szCs w:val="24"/>
        </w:rPr>
        <w:t>,</w:t>
      </w:r>
      <w:r w:rsidR="0067473D">
        <w:rPr>
          <w:szCs w:val="24"/>
        </w:rPr>
        <w:t xml:space="preserve"> in the letter referred to above</w:t>
      </w:r>
      <w:r w:rsidR="00D7391E">
        <w:rPr>
          <w:szCs w:val="24"/>
        </w:rPr>
        <w:t>,</w:t>
      </w:r>
      <w:r w:rsidR="0067473D">
        <w:rPr>
          <w:szCs w:val="24"/>
        </w:rPr>
        <w:t xml:space="preserve"> dated 16 July 2021. Punitive costs were reserved if this was not done. As already stated, the applicant failed to do so. </w:t>
      </w:r>
    </w:p>
    <w:p w14:paraId="19729E4A" w14:textId="2F47C3A9" w:rsidR="0067473D" w:rsidRDefault="009074E3" w:rsidP="009074E3">
      <w:pPr>
        <w:pStyle w:val="Heading1"/>
        <w:numPr>
          <w:ilvl w:val="0"/>
          <w:numId w:val="0"/>
        </w:numPr>
        <w:tabs>
          <w:tab w:val="left" w:pos="862"/>
        </w:tabs>
        <w:ind w:left="862" w:hanging="862"/>
        <w:rPr>
          <w:szCs w:val="24"/>
        </w:rPr>
      </w:pPr>
      <w:r>
        <w:rPr>
          <w:szCs w:val="24"/>
        </w:rPr>
        <w:lastRenderedPageBreak/>
        <w:t>[132]</w:t>
      </w:r>
      <w:r>
        <w:rPr>
          <w:szCs w:val="24"/>
        </w:rPr>
        <w:tab/>
      </w:r>
      <w:proofErr w:type="gramStart"/>
      <w:r w:rsidR="0058617A">
        <w:rPr>
          <w:szCs w:val="24"/>
        </w:rPr>
        <w:t>As</w:t>
      </w:r>
      <w:proofErr w:type="gramEnd"/>
      <w:r w:rsidR="0058617A">
        <w:rPr>
          <w:szCs w:val="24"/>
        </w:rPr>
        <w:t xml:space="preserve"> already set out above, i</w:t>
      </w:r>
      <w:r w:rsidR="0067473D">
        <w:rPr>
          <w:szCs w:val="24"/>
        </w:rPr>
        <w:t>n order to progress th</w:t>
      </w:r>
      <w:r w:rsidR="0073225B">
        <w:rPr>
          <w:szCs w:val="24"/>
        </w:rPr>
        <w:t>is application to finality</w:t>
      </w:r>
      <w:r w:rsidR="0067473D">
        <w:rPr>
          <w:szCs w:val="24"/>
        </w:rPr>
        <w:t xml:space="preserve">, </w:t>
      </w:r>
      <w:proofErr w:type="spellStart"/>
      <w:r w:rsidR="0067473D">
        <w:rPr>
          <w:szCs w:val="24"/>
        </w:rPr>
        <w:t>Astfin</w:t>
      </w:r>
      <w:proofErr w:type="spellEnd"/>
      <w:r w:rsidR="0067473D">
        <w:rPr>
          <w:szCs w:val="24"/>
        </w:rPr>
        <w:t xml:space="preserve"> having not received the applicant’s replying affidavit on 18 August 2021</w:t>
      </w:r>
      <w:r w:rsidR="0058617A">
        <w:rPr>
          <w:szCs w:val="24"/>
        </w:rPr>
        <w:t>,</w:t>
      </w:r>
      <w:r w:rsidR="0067473D">
        <w:rPr>
          <w:szCs w:val="24"/>
        </w:rPr>
        <w:t xml:space="preserve"> nor heads of argument delivered its heads of argument and practice note on 24 November 2021. It then launched </w:t>
      </w:r>
      <w:r w:rsidR="0058617A">
        <w:rPr>
          <w:szCs w:val="24"/>
        </w:rPr>
        <w:t>the</w:t>
      </w:r>
      <w:r w:rsidR="0067473D">
        <w:rPr>
          <w:szCs w:val="24"/>
        </w:rPr>
        <w:t xml:space="preserve"> interlocutory application in the face of non-compliance with demands </w:t>
      </w:r>
      <w:r w:rsidR="0073225B">
        <w:rPr>
          <w:szCs w:val="24"/>
        </w:rPr>
        <w:t>made</w:t>
      </w:r>
      <w:r w:rsidR="0058617A">
        <w:rPr>
          <w:szCs w:val="24"/>
        </w:rPr>
        <w:t>,</w:t>
      </w:r>
      <w:r w:rsidR="0073225B">
        <w:rPr>
          <w:szCs w:val="24"/>
        </w:rPr>
        <w:t xml:space="preserve"> </w:t>
      </w:r>
      <w:r w:rsidR="0067473D">
        <w:rPr>
          <w:szCs w:val="24"/>
        </w:rPr>
        <w:t>compelling the applicant to deliver</w:t>
      </w:r>
      <w:r w:rsidR="0073225B">
        <w:rPr>
          <w:szCs w:val="24"/>
        </w:rPr>
        <w:t xml:space="preserve"> her</w:t>
      </w:r>
      <w:r w:rsidR="0067473D">
        <w:rPr>
          <w:szCs w:val="24"/>
        </w:rPr>
        <w:t xml:space="preserve"> heads of argument. The application</w:t>
      </w:r>
      <w:r w:rsidR="0073225B">
        <w:rPr>
          <w:szCs w:val="24"/>
        </w:rPr>
        <w:t xml:space="preserve"> to compel</w:t>
      </w:r>
      <w:r w:rsidR="0067473D">
        <w:rPr>
          <w:szCs w:val="24"/>
        </w:rPr>
        <w:t xml:space="preserve"> was set down for 25 May 2022</w:t>
      </w:r>
      <w:r w:rsidR="0073225B">
        <w:rPr>
          <w:szCs w:val="24"/>
        </w:rPr>
        <w:t>.</w:t>
      </w:r>
      <w:r w:rsidR="0067473D">
        <w:rPr>
          <w:szCs w:val="24"/>
        </w:rPr>
        <w:t xml:space="preserve"> </w:t>
      </w:r>
      <w:r w:rsidR="0073225B">
        <w:rPr>
          <w:szCs w:val="24"/>
        </w:rPr>
        <w:t>E</w:t>
      </w:r>
      <w:r w:rsidR="0067473D">
        <w:rPr>
          <w:szCs w:val="24"/>
        </w:rPr>
        <w:t>ventually</w:t>
      </w:r>
      <w:r w:rsidR="0073225B">
        <w:rPr>
          <w:szCs w:val="24"/>
        </w:rPr>
        <w:t>,</w:t>
      </w:r>
      <w:r w:rsidR="0067473D">
        <w:rPr>
          <w:szCs w:val="24"/>
        </w:rPr>
        <w:t xml:space="preserve"> on 23 May 2022</w:t>
      </w:r>
      <w:r w:rsidR="0073225B">
        <w:rPr>
          <w:szCs w:val="24"/>
        </w:rPr>
        <w:t>,</w:t>
      </w:r>
      <w:r w:rsidR="0067473D">
        <w:rPr>
          <w:szCs w:val="24"/>
        </w:rPr>
        <w:t xml:space="preserve"> the replying affidavit was served. On 25 May 2022</w:t>
      </w:r>
      <w:r w:rsidR="00A12A40">
        <w:rPr>
          <w:szCs w:val="24"/>
        </w:rPr>
        <w:t>,</w:t>
      </w:r>
      <w:r w:rsidR="0067473D">
        <w:rPr>
          <w:szCs w:val="24"/>
        </w:rPr>
        <w:t xml:space="preserve"> an order was obtained compelling the applicant to deliver heads of argument by 7 June 2022</w:t>
      </w:r>
      <w:r w:rsidR="0073225B">
        <w:rPr>
          <w:szCs w:val="24"/>
        </w:rPr>
        <w:t xml:space="preserve">. There was compliance in </w:t>
      </w:r>
      <w:r w:rsidR="00A12A40">
        <w:rPr>
          <w:szCs w:val="24"/>
        </w:rPr>
        <w:t xml:space="preserve">the </w:t>
      </w:r>
      <w:r w:rsidR="0073225B">
        <w:rPr>
          <w:szCs w:val="24"/>
        </w:rPr>
        <w:t>face of the order.</w:t>
      </w:r>
      <w:r w:rsidR="0067473D">
        <w:rPr>
          <w:szCs w:val="24"/>
        </w:rPr>
        <w:t xml:space="preserve"> </w:t>
      </w:r>
    </w:p>
    <w:p w14:paraId="2140F151" w14:textId="63F7AA29" w:rsidR="0073225B" w:rsidRDefault="009074E3" w:rsidP="009074E3">
      <w:pPr>
        <w:pStyle w:val="Heading1"/>
        <w:numPr>
          <w:ilvl w:val="0"/>
          <w:numId w:val="0"/>
        </w:numPr>
        <w:tabs>
          <w:tab w:val="left" w:pos="862"/>
        </w:tabs>
        <w:ind w:left="862" w:hanging="862"/>
        <w:rPr>
          <w:szCs w:val="24"/>
        </w:rPr>
      </w:pPr>
      <w:r>
        <w:rPr>
          <w:szCs w:val="24"/>
        </w:rPr>
        <w:t>[133]</w:t>
      </w:r>
      <w:r>
        <w:rPr>
          <w:szCs w:val="24"/>
        </w:rPr>
        <w:tab/>
      </w:r>
      <w:r w:rsidR="0067473D">
        <w:rPr>
          <w:szCs w:val="24"/>
        </w:rPr>
        <w:t xml:space="preserve">The NRB Group </w:t>
      </w:r>
      <w:r w:rsidR="0073225B">
        <w:rPr>
          <w:szCs w:val="24"/>
        </w:rPr>
        <w:t>were also compelled under the</w:t>
      </w:r>
      <w:r w:rsidR="0067473D">
        <w:rPr>
          <w:szCs w:val="24"/>
        </w:rPr>
        <w:t xml:space="preserve"> 25 May 2022 </w:t>
      </w:r>
      <w:r w:rsidR="009A7048">
        <w:rPr>
          <w:szCs w:val="24"/>
        </w:rPr>
        <w:t xml:space="preserve">order </w:t>
      </w:r>
      <w:r w:rsidR="0067473D">
        <w:rPr>
          <w:szCs w:val="24"/>
        </w:rPr>
        <w:t xml:space="preserve">to deliver their heads of argument by 22 June 2022. This </w:t>
      </w:r>
      <w:r w:rsidR="0073225B">
        <w:rPr>
          <w:szCs w:val="24"/>
        </w:rPr>
        <w:t>was likewise done</w:t>
      </w:r>
      <w:r w:rsidR="0067473D">
        <w:rPr>
          <w:szCs w:val="24"/>
        </w:rPr>
        <w:t>.</w:t>
      </w:r>
    </w:p>
    <w:p w14:paraId="29A10E66" w14:textId="00E172A4" w:rsidR="009A7048" w:rsidRDefault="009074E3" w:rsidP="009074E3">
      <w:pPr>
        <w:pStyle w:val="Heading1"/>
        <w:numPr>
          <w:ilvl w:val="0"/>
          <w:numId w:val="0"/>
        </w:numPr>
        <w:tabs>
          <w:tab w:val="left" w:pos="862"/>
        </w:tabs>
        <w:ind w:left="862" w:hanging="862"/>
        <w:rPr>
          <w:szCs w:val="24"/>
        </w:rPr>
      </w:pPr>
      <w:r>
        <w:rPr>
          <w:szCs w:val="24"/>
        </w:rPr>
        <w:t>[134]</w:t>
      </w:r>
      <w:r>
        <w:rPr>
          <w:szCs w:val="24"/>
        </w:rPr>
        <w:tab/>
      </w:r>
      <w:proofErr w:type="gramStart"/>
      <w:r w:rsidR="009A7048">
        <w:rPr>
          <w:szCs w:val="24"/>
        </w:rPr>
        <w:t>The</w:t>
      </w:r>
      <w:proofErr w:type="gramEnd"/>
      <w:r w:rsidR="009A7048">
        <w:rPr>
          <w:szCs w:val="24"/>
        </w:rPr>
        <w:t xml:space="preserve"> replying affidavit came </w:t>
      </w:r>
      <w:r w:rsidR="00A12A40">
        <w:rPr>
          <w:szCs w:val="24"/>
        </w:rPr>
        <w:t>nine</w:t>
      </w:r>
      <w:r w:rsidR="009A7048">
        <w:rPr>
          <w:szCs w:val="24"/>
        </w:rPr>
        <w:t xml:space="preserve"> months after the answering affidavit. </w:t>
      </w:r>
    </w:p>
    <w:p w14:paraId="0D28C2E3" w14:textId="4173571B" w:rsidR="0073225B" w:rsidRDefault="009074E3" w:rsidP="009074E3">
      <w:pPr>
        <w:pStyle w:val="Heading1"/>
        <w:numPr>
          <w:ilvl w:val="0"/>
          <w:numId w:val="0"/>
        </w:numPr>
        <w:tabs>
          <w:tab w:val="left" w:pos="862"/>
        </w:tabs>
        <w:ind w:left="862" w:hanging="862"/>
        <w:rPr>
          <w:szCs w:val="24"/>
        </w:rPr>
      </w:pPr>
      <w:r>
        <w:rPr>
          <w:szCs w:val="24"/>
        </w:rPr>
        <w:t>[135]</w:t>
      </w:r>
      <w:r>
        <w:rPr>
          <w:szCs w:val="24"/>
        </w:rPr>
        <w:tab/>
      </w:r>
      <w:r w:rsidR="0067473D">
        <w:rPr>
          <w:szCs w:val="24"/>
        </w:rPr>
        <w:t>The replying affidavit</w:t>
      </w:r>
      <w:r w:rsidR="0073225B">
        <w:rPr>
          <w:szCs w:val="24"/>
        </w:rPr>
        <w:t xml:space="preserve"> </w:t>
      </w:r>
      <w:r w:rsidR="0067473D">
        <w:rPr>
          <w:szCs w:val="24"/>
        </w:rPr>
        <w:t xml:space="preserve">did </w:t>
      </w:r>
      <w:r w:rsidR="009A7048">
        <w:rPr>
          <w:szCs w:val="24"/>
        </w:rPr>
        <w:t xml:space="preserve">not </w:t>
      </w:r>
      <w:r w:rsidR="0067473D">
        <w:rPr>
          <w:szCs w:val="24"/>
        </w:rPr>
        <w:t>disturb the</w:t>
      </w:r>
      <w:r w:rsidR="0058617A">
        <w:rPr>
          <w:szCs w:val="24"/>
        </w:rPr>
        <w:t xml:space="preserve"> uncontested facts</w:t>
      </w:r>
      <w:r w:rsidR="0067473D">
        <w:rPr>
          <w:szCs w:val="24"/>
        </w:rPr>
        <w:t xml:space="preserve"> </w:t>
      </w:r>
      <w:r w:rsidR="009A7048">
        <w:rPr>
          <w:szCs w:val="24"/>
        </w:rPr>
        <w:t xml:space="preserve">flowing from </w:t>
      </w:r>
      <w:r w:rsidR="0067473D">
        <w:rPr>
          <w:szCs w:val="24"/>
        </w:rPr>
        <w:t xml:space="preserve">the </w:t>
      </w:r>
      <w:proofErr w:type="spellStart"/>
      <w:r w:rsidR="0073225B">
        <w:rPr>
          <w:szCs w:val="24"/>
        </w:rPr>
        <w:t>Astfin</w:t>
      </w:r>
      <w:proofErr w:type="spellEnd"/>
      <w:r w:rsidR="0073225B">
        <w:rPr>
          <w:szCs w:val="24"/>
        </w:rPr>
        <w:t xml:space="preserve"> </w:t>
      </w:r>
      <w:r w:rsidR="0067473D">
        <w:rPr>
          <w:szCs w:val="24"/>
        </w:rPr>
        <w:t>answering affidavit</w:t>
      </w:r>
      <w:r w:rsidR="00A12A40">
        <w:rPr>
          <w:szCs w:val="24"/>
        </w:rPr>
        <w:t>,</w:t>
      </w:r>
      <w:r w:rsidR="0067473D">
        <w:rPr>
          <w:szCs w:val="24"/>
        </w:rPr>
        <w:t xml:space="preserve"> </w:t>
      </w:r>
      <w:r w:rsidR="0073225B">
        <w:rPr>
          <w:szCs w:val="24"/>
        </w:rPr>
        <w:t xml:space="preserve">as </w:t>
      </w:r>
      <w:r w:rsidR="0067473D">
        <w:rPr>
          <w:szCs w:val="24"/>
        </w:rPr>
        <w:t xml:space="preserve">the applicant did not have any knowledge of the business transactions which were set out in extensive detail by </w:t>
      </w:r>
      <w:proofErr w:type="spellStart"/>
      <w:r w:rsidR="0067473D">
        <w:rPr>
          <w:szCs w:val="24"/>
        </w:rPr>
        <w:t>Astfin</w:t>
      </w:r>
      <w:proofErr w:type="spellEnd"/>
      <w:r w:rsidR="0067473D">
        <w:rPr>
          <w:szCs w:val="24"/>
        </w:rPr>
        <w:t xml:space="preserve">. </w:t>
      </w:r>
      <w:r w:rsidR="0073225B">
        <w:rPr>
          <w:szCs w:val="24"/>
        </w:rPr>
        <w:t>T</w:t>
      </w:r>
      <w:r w:rsidR="0067473D">
        <w:rPr>
          <w:szCs w:val="24"/>
        </w:rPr>
        <w:t xml:space="preserve">he applicant </w:t>
      </w:r>
      <w:r w:rsidR="0073225B">
        <w:rPr>
          <w:szCs w:val="24"/>
        </w:rPr>
        <w:t>abandoned</w:t>
      </w:r>
      <w:r w:rsidR="0067473D">
        <w:rPr>
          <w:szCs w:val="24"/>
        </w:rPr>
        <w:t xml:space="preserve"> </w:t>
      </w:r>
      <w:proofErr w:type="gramStart"/>
      <w:r w:rsidR="0067473D">
        <w:rPr>
          <w:szCs w:val="24"/>
        </w:rPr>
        <w:t xml:space="preserve">relief </w:t>
      </w:r>
      <w:proofErr w:type="gramEnd"/>
      <w:r w:rsidR="0067473D">
        <w:rPr>
          <w:rStyle w:val="FootnoteReference"/>
          <w:szCs w:val="24"/>
        </w:rPr>
        <w:footnoteReference w:id="67"/>
      </w:r>
      <w:r w:rsidR="009A7048">
        <w:rPr>
          <w:szCs w:val="24"/>
        </w:rPr>
        <w:t xml:space="preserve">. It </w:t>
      </w:r>
      <w:r w:rsidR="0073225B">
        <w:rPr>
          <w:szCs w:val="24"/>
        </w:rPr>
        <w:t>would have been appropriate for the application to be withdrawn as the remaining relief, to my mind, fell by the wayside as a consequence.</w:t>
      </w:r>
    </w:p>
    <w:p w14:paraId="73BE8C0E" w14:textId="28362D44" w:rsidR="00416CC3" w:rsidRDefault="009074E3" w:rsidP="009074E3">
      <w:pPr>
        <w:pStyle w:val="Heading1"/>
        <w:numPr>
          <w:ilvl w:val="0"/>
          <w:numId w:val="0"/>
        </w:numPr>
        <w:tabs>
          <w:tab w:val="left" w:pos="862"/>
        </w:tabs>
        <w:ind w:left="862" w:hanging="862"/>
        <w:rPr>
          <w:szCs w:val="24"/>
        </w:rPr>
      </w:pPr>
      <w:r>
        <w:rPr>
          <w:szCs w:val="24"/>
        </w:rPr>
        <w:t>[136]</w:t>
      </w:r>
      <w:r>
        <w:rPr>
          <w:szCs w:val="24"/>
        </w:rPr>
        <w:tab/>
      </w:r>
      <w:proofErr w:type="gramStart"/>
      <w:r w:rsidR="0067473D">
        <w:rPr>
          <w:szCs w:val="24"/>
        </w:rPr>
        <w:t>As</w:t>
      </w:r>
      <w:proofErr w:type="gramEnd"/>
      <w:r w:rsidR="0067473D">
        <w:rPr>
          <w:szCs w:val="24"/>
        </w:rPr>
        <w:t xml:space="preserve"> also</w:t>
      </w:r>
      <w:r w:rsidR="0073225B">
        <w:rPr>
          <w:szCs w:val="24"/>
        </w:rPr>
        <w:t xml:space="preserve"> submitted</w:t>
      </w:r>
      <w:r w:rsidR="0067473D">
        <w:rPr>
          <w:szCs w:val="24"/>
        </w:rPr>
        <w:t xml:space="preserve"> by </w:t>
      </w:r>
      <w:proofErr w:type="spellStart"/>
      <w:r w:rsidR="00A12A40">
        <w:rPr>
          <w:szCs w:val="24"/>
        </w:rPr>
        <w:t>Mr.</w:t>
      </w:r>
      <w:proofErr w:type="spellEnd"/>
      <w:r w:rsidR="0067473D">
        <w:rPr>
          <w:szCs w:val="24"/>
        </w:rPr>
        <w:t xml:space="preserve"> </w:t>
      </w:r>
      <w:proofErr w:type="spellStart"/>
      <w:r w:rsidR="0067473D">
        <w:rPr>
          <w:szCs w:val="24"/>
        </w:rPr>
        <w:t>Kromhout</w:t>
      </w:r>
      <w:proofErr w:type="spellEnd"/>
      <w:r w:rsidR="0067473D">
        <w:rPr>
          <w:szCs w:val="24"/>
        </w:rPr>
        <w:t xml:space="preserve">, the applicant needlessly and without foundation continued in her replying affidavit to make speculative and unfounded allegations against </w:t>
      </w:r>
      <w:r w:rsidR="00102AB7">
        <w:rPr>
          <w:szCs w:val="24"/>
        </w:rPr>
        <w:t xml:space="preserve">De Nil </w:t>
      </w:r>
      <w:r w:rsidR="0067473D">
        <w:rPr>
          <w:szCs w:val="24"/>
        </w:rPr>
        <w:t xml:space="preserve">and </w:t>
      </w:r>
      <w:r w:rsidR="00416CC3">
        <w:rPr>
          <w:szCs w:val="24"/>
        </w:rPr>
        <w:t xml:space="preserve">persisted with </w:t>
      </w:r>
      <w:r w:rsidR="0067473D">
        <w:rPr>
          <w:szCs w:val="24"/>
        </w:rPr>
        <w:t>the misguided conclusion that funds had been misappropriated</w:t>
      </w:r>
      <w:r w:rsidR="00416CC3">
        <w:rPr>
          <w:szCs w:val="24"/>
        </w:rPr>
        <w:t xml:space="preserve">, </w:t>
      </w:r>
      <w:r w:rsidR="0067473D">
        <w:rPr>
          <w:szCs w:val="24"/>
        </w:rPr>
        <w:t xml:space="preserve">which allegations </w:t>
      </w:r>
      <w:proofErr w:type="spellStart"/>
      <w:r w:rsidR="00A12A40">
        <w:t>Mr.</w:t>
      </w:r>
      <w:proofErr w:type="spellEnd"/>
      <w:r w:rsidR="00102AB7">
        <w:t> </w:t>
      </w:r>
      <w:proofErr w:type="spellStart"/>
      <w:r w:rsidR="0067473D" w:rsidRPr="00102AB7">
        <w:t>Kromhout</w:t>
      </w:r>
      <w:proofErr w:type="spellEnd"/>
      <w:r w:rsidR="0067473D">
        <w:rPr>
          <w:szCs w:val="24"/>
        </w:rPr>
        <w:t xml:space="preserve"> labelled as scandalous.</w:t>
      </w:r>
      <w:r w:rsidR="00102AB7">
        <w:rPr>
          <w:szCs w:val="24"/>
        </w:rPr>
        <w:t xml:space="preserve"> </w:t>
      </w:r>
      <w:proofErr w:type="spellStart"/>
      <w:r w:rsidR="00A12A40">
        <w:rPr>
          <w:szCs w:val="24"/>
        </w:rPr>
        <w:t>Mr.</w:t>
      </w:r>
      <w:proofErr w:type="spellEnd"/>
      <w:r w:rsidR="00102AB7">
        <w:rPr>
          <w:szCs w:val="24"/>
        </w:rPr>
        <w:t xml:space="preserve"> </w:t>
      </w:r>
      <w:proofErr w:type="spellStart"/>
      <w:r w:rsidR="00102AB7">
        <w:rPr>
          <w:szCs w:val="24"/>
        </w:rPr>
        <w:t>Kromhout</w:t>
      </w:r>
      <w:proofErr w:type="spellEnd"/>
      <w:r w:rsidR="00102AB7">
        <w:rPr>
          <w:szCs w:val="24"/>
        </w:rPr>
        <w:t xml:space="preserve"> filed supplementary heads of argument dealing with this further attack on the integrity of De Nil. </w:t>
      </w:r>
      <w:r w:rsidR="0058617A">
        <w:rPr>
          <w:szCs w:val="24"/>
        </w:rPr>
        <w:t xml:space="preserve"> Mr </w:t>
      </w:r>
      <w:proofErr w:type="spellStart"/>
      <w:r w:rsidR="0058617A">
        <w:rPr>
          <w:szCs w:val="24"/>
        </w:rPr>
        <w:t>Kromhout</w:t>
      </w:r>
      <w:proofErr w:type="spellEnd"/>
      <w:r w:rsidR="0058617A">
        <w:rPr>
          <w:szCs w:val="24"/>
        </w:rPr>
        <w:t xml:space="preserve"> persisted with the </w:t>
      </w:r>
      <w:r w:rsidR="0058617A">
        <w:rPr>
          <w:i/>
          <w:iCs/>
          <w:szCs w:val="24"/>
        </w:rPr>
        <w:t xml:space="preserve">de </w:t>
      </w:r>
      <w:proofErr w:type="spellStart"/>
      <w:r w:rsidR="0058617A">
        <w:rPr>
          <w:i/>
          <w:iCs/>
          <w:szCs w:val="24"/>
        </w:rPr>
        <w:t>bonis</w:t>
      </w:r>
      <w:proofErr w:type="spellEnd"/>
      <w:r w:rsidR="0058617A">
        <w:rPr>
          <w:i/>
          <w:iCs/>
          <w:szCs w:val="24"/>
        </w:rPr>
        <w:t xml:space="preserve"> </w:t>
      </w:r>
      <w:proofErr w:type="spellStart"/>
      <w:r w:rsidR="0058617A">
        <w:rPr>
          <w:i/>
          <w:iCs/>
          <w:szCs w:val="24"/>
        </w:rPr>
        <w:t>propiis</w:t>
      </w:r>
      <w:proofErr w:type="spellEnd"/>
      <w:r w:rsidR="0058617A">
        <w:rPr>
          <w:i/>
          <w:iCs/>
          <w:szCs w:val="24"/>
        </w:rPr>
        <w:t xml:space="preserve"> </w:t>
      </w:r>
      <w:r w:rsidR="0058617A">
        <w:rPr>
          <w:szCs w:val="24"/>
        </w:rPr>
        <w:t xml:space="preserve">costs order against </w:t>
      </w:r>
      <w:proofErr w:type="spellStart"/>
      <w:r w:rsidR="0058617A">
        <w:rPr>
          <w:szCs w:val="24"/>
        </w:rPr>
        <w:lastRenderedPageBreak/>
        <w:t>Bihl</w:t>
      </w:r>
      <w:proofErr w:type="spellEnd"/>
      <w:r w:rsidR="0058617A">
        <w:rPr>
          <w:szCs w:val="24"/>
        </w:rPr>
        <w:t>.</w:t>
      </w:r>
    </w:p>
    <w:p w14:paraId="780877F3" w14:textId="77DE5A2B" w:rsidR="0067473D" w:rsidRDefault="009074E3" w:rsidP="009074E3">
      <w:pPr>
        <w:pStyle w:val="Heading1"/>
        <w:numPr>
          <w:ilvl w:val="0"/>
          <w:numId w:val="0"/>
        </w:numPr>
        <w:tabs>
          <w:tab w:val="left" w:pos="862"/>
        </w:tabs>
        <w:ind w:left="862" w:hanging="862"/>
        <w:rPr>
          <w:szCs w:val="24"/>
        </w:rPr>
      </w:pPr>
      <w:r>
        <w:rPr>
          <w:szCs w:val="24"/>
        </w:rPr>
        <w:t>[137]</w:t>
      </w:r>
      <w:r>
        <w:rPr>
          <w:szCs w:val="24"/>
        </w:rPr>
        <w:tab/>
      </w:r>
      <w:r w:rsidR="0067473D">
        <w:rPr>
          <w:szCs w:val="24"/>
        </w:rPr>
        <w:t xml:space="preserve">Mr </w:t>
      </w:r>
      <w:proofErr w:type="spellStart"/>
      <w:r w:rsidR="0067473D">
        <w:rPr>
          <w:szCs w:val="24"/>
        </w:rPr>
        <w:t>Labuschagne</w:t>
      </w:r>
      <w:proofErr w:type="spellEnd"/>
      <w:r w:rsidR="0067473D">
        <w:rPr>
          <w:szCs w:val="24"/>
        </w:rPr>
        <w:t xml:space="preserve"> s</w:t>
      </w:r>
      <w:r w:rsidR="00416CC3">
        <w:rPr>
          <w:szCs w:val="24"/>
        </w:rPr>
        <w:t>ubmitted</w:t>
      </w:r>
      <w:r w:rsidR="0067473D">
        <w:rPr>
          <w:szCs w:val="24"/>
        </w:rPr>
        <w:t xml:space="preserve"> that the NRB Group made common cause with Mr </w:t>
      </w:r>
      <w:proofErr w:type="spellStart"/>
      <w:r w:rsidR="0067473D">
        <w:rPr>
          <w:szCs w:val="24"/>
        </w:rPr>
        <w:t>Kromhout</w:t>
      </w:r>
      <w:proofErr w:type="spellEnd"/>
      <w:r w:rsidR="0067473D">
        <w:rPr>
          <w:szCs w:val="24"/>
        </w:rPr>
        <w:t xml:space="preserve"> in relation to the costs of the application save for the formulation thereof. In this regard, because </w:t>
      </w:r>
      <w:r w:rsidR="00102AB7">
        <w:rPr>
          <w:szCs w:val="24"/>
        </w:rPr>
        <w:t>the applicant</w:t>
      </w:r>
      <w:r w:rsidR="0067473D">
        <w:rPr>
          <w:szCs w:val="24"/>
        </w:rPr>
        <w:t xml:space="preserve"> had no authority to bring the application in her capacity as a trustee, it would be inappropriate for an order to be made for costs against her in that capacity because this would mean that the Trust would be mulcted in costs where the bringing of the application was not agreed to by the Trust in any respect. As such, he contended that the costs should only be paid by the applicant</w:t>
      </w:r>
      <w:r w:rsidR="00102AB7">
        <w:rPr>
          <w:szCs w:val="24"/>
        </w:rPr>
        <w:t xml:space="preserve"> personally</w:t>
      </w:r>
      <w:r w:rsidR="0067473D">
        <w:rPr>
          <w:szCs w:val="24"/>
        </w:rPr>
        <w:t>. Furthermore, insofar as Venter</w:t>
      </w:r>
      <w:r w:rsidR="00416CC3">
        <w:rPr>
          <w:szCs w:val="24"/>
        </w:rPr>
        <w:t>’s</w:t>
      </w:r>
      <w:r w:rsidR="0058617A">
        <w:rPr>
          <w:szCs w:val="24"/>
        </w:rPr>
        <w:t xml:space="preserve"> (and the NRB Group’s)</w:t>
      </w:r>
      <w:r w:rsidR="00416CC3">
        <w:rPr>
          <w:szCs w:val="24"/>
        </w:rPr>
        <w:t xml:space="preserve"> costs are concerned</w:t>
      </w:r>
      <w:r w:rsidR="0067473D">
        <w:rPr>
          <w:szCs w:val="24"/>
        </w:rPr>
        <w:t>, it would be inappropriate for the joint estate to pay the costs</w:t>
      </w:r>
      <w:r w:rsidR="00A12A40">
        <w:rPr>
          <w:szCs w:val="24"/>
        </w:rPr>
        <w:t>,</w:t>
      </w:r>
      <w:r w:rsidR="0067473D">
        <w:rPr>
          <w:szCs w:val="24"/>
        </w:rPr>
        <w:t xml:space="preserve"> and the court should</w:t>
      </w:r>
      <w:r w:rsidR="00416CC3">
        <w:rPr>
          <w:szCs w:val="24"/>
        </w:rPr>
        <w:t>,</w:t>
      </w:r>
      <w:r w:rsidR="0067473D">
        <w:rPr>
          <w:szCs w:val="24"/>
        </w:rPr>
        <w:t xml:space="preserve"> in accordance with section 17(3) </w:t>
      </w:r>
      <w:r w:rsidR="00102AB7">
        <w:rPr>
          <w:szCs w:val="24"/>
        </w:rPr>
        <w:t xml:space="preserve">of </w:t>
      </w:r>
      <w:r w:rsidR="0067473D">
        <w:rPr>
          <w:szCs w:val="24"/>
        </w:rPr>
        <w:t xml:space="preserve">the </w:t>
      </w:r>
      <w:r w:rsidR="0067473D" w:rsidRPr="00550380">
        <w:rPr>
          <w:szCs w:val="24"/>
        </w:rPr>
        <w:t>Matrimonial Property Act</w:t>
      </w:r>
      <w:r w:rsidR="00416CC3">
        <w:rPr>
          <w:szCs w:val="24"/>
        </w:rPr>
        <w:t>,</w:t>
      </w:r>
      <w:r w:rsidR="0067473D">
        <w:rPr>
          <w:szCs w:val="24"/>
        </w:rPr>
        <w:t xml:space="preserve"> ensure that Venter was not saddled with the costs</w:t>
      </w:r>
      <w:r w:rsidR="00416CC3">
        <w:rPr>
          <w:szCs w:val="24"/>
        </w:rPr>
        <w:t>. Rather</w:t>
      </w:r>
      <w:r w:rsidR="00102AB7">
        <w:rPr>
          <w:szCs w:val="24"/>
        </w:rPr>
        <w:t>,</w:t>
      </w:r>
      <w:r w:rsidR="00416CC3">
        <w:rPr>
          <w:szCs w:val="24"/>
        </w:rPr>
        <w:t xml:space="preserve"> any order made against the applicant</w:t>
      </w:r>
      <w:r w:rsidR="0067473D">
        <w:rPr>
          <w:szCs w:val="24"/>
        </w:rPr>
        <w:t xml:space="preserve"> should come from that portion of </w:t>
      </w:r>
      <w:r w:rsidR="00102AB7">
        <w:rPr>
          <w:szCs w:val="24"/>
        </w:rPr>
        <w:t>the joint</w:t>
      </w:r>
      <w:r w:rsidR="00416CC3">
        <w:rPr>
          <w:szCs w:val="24"/>
        </w:rPr>
        <w:t xml:space="preserve"> </w:t>
      </w:r>
      <w:r w:rsidR="0067473D">
        <w:rPr>
          <w:szCs w:val="24"/>
        </w:rPr>
        <w:t>estate which belonged to</w:t>
      </w:r>
      <w:r w:rsidR="00416CC3">
        <w:rPr>
          <w:szCs w:val="24"/>
        </w:rPr>
        <w:t xml:space="preserve"> her</w:t>
      </w:r>
      <w:r w:rsidR="0067473D">
        <w:rPr>
          <w:szCs w:val="24"/>
        </w:rPr>
        <w:t xml:space="preserve">. I agree with these submissions. </w:t>
      </w:r>
    </w:p>
    <w:p w14:paraId="77EEA8EC" w14:textId="517E5DB9" w:rsidR="0067473D" w:rsidRDefault="009074E3" w:rsidP="009074E3">
      <w:pPr>
        <w:pStyle w:val="Heading1"/>
        <w:numPr>
          <w:ilvl w:val="0"/>
          <w:numId w:val="0"/>
        </w:numPr>
        <w:tabs>
          <w:tab w:val="left" w:pos="862"/>
        </w:tabs>
        <w:ind w:left="862" w:hanging="862"/>
        <w:rPr>
          <w:szCs w:val="24"/>
        </w:rPr>
      </w:pPr>
      <w:r>
        <w:rPr>
          <w:szCs w:val="24"/>
        </w:rPr>
        <w:t>[138]</w:t>
      </w:r>
      <w:r>
        <w:rPr>
          <w:szCs w:val="24"/>
        </w:rPr>
        <w:tab/>
      </w:r>
      <w:r w:rsidR="0067473D">
        <w:rPr>
          <w:szCs w:val="24"/>
        </w:rPr>
        <w:t xml:space="preserve">Mr </w:t>
      </w:r>
      <w:proofErr w:type="spellStart"/>
      <w:r w:rsidR="0067473D">
        <w:rPr>
          <w:szCs w:val="24"/>
        </w:rPr>
        <w:t>Labuschagne</w:t>
      </w:r>
      <w:proofErr w:type="spellEnd"/>
      <w:r w:rsidR="0067473D">
        <w:rPr>
          <w:szCs w:val="24"/>
        </w:rPr>
        <w:t xml:space="preserve"> also sought a </w:t>
      </w:r>
      <w:r w:rsidR="0067473D">
        <w:rPr>
          <w:i/>
          <w:iCs/>
          <w:szCs w:val="24"/>
        </w:rPr>
        <w:t xml:space="preserve">de </w:t>
      </w:r>
      <w:proofErr w:type="spellStart"/>
      <w:r w:rsidR="0067473D">
        <w:rPr>
          <w:i/>
          <w:iCs/>
          <w:szCs w:val="24"/>
        </w:rPr>
        <w:t>bonis</w:t>
      </w:r>
      <w:proofErr w:type="spellEnd"/>
      <w:r w:rsidR="0067473D">
        <w:rPr>
          <w:i/>
          <w:iCs/>
          <w:szCs w:val="24"/>
        </w:rPr>
        <w:t xml:space="preserve"> </w:t>
      </w:r>
      <w:proofErr w:type="spellStart"/>
      <w:r w:rsidR="0067473D">
        <w:rPr>
          <w:i/>
          <w:iCs/>
          <w:szCs w:val="24"/>
        </w:rPr>
        <w:t>propriis</w:t>
      </w:r>
      <w:proofErr w:type="spellEnd"/>
      <w:r w:rsidR="0067473D">
        <w:rPr>
          <w:szCs w:val="24"/>
        </w:rPr>
        <w:t xml:space="preserve"> costs order against </w:t>
      </w:r>
      <w:proofErr w:type="spellStart"/>
      <w:r w:rsidR="0067473D">
        <w:rPr>
          <w:szCs w:val="24"/>
        </w:rPr>
        <w:t>Bihl</w:t>
      </w:r>
      <w:proofErr w:type="spellEnd"/>
      <w:r w:rsidR="0067473D">
        <w:rPr>
          <w:szCs w:val="24"/>
        </w:rPr>
        <w:t>, and more particularly in relation to the allegations of fraud</w:t>
      </w:r>
      <w:r w:rsidR="00A12A40">
        <w:rPr>
          <w:szCs w:val="24"/>
        </w:rPr>
        <w:t>,</w:t>
      </w:r>
      <w:r w:rsidR="0067473D">
        <w:rPr>
          <w:szCs w:val="24"/>
        </w:rPr>
        <w:t xml:space="preserve"> which</w:t>
      </w:r>
      <w:r w:rsidR="001D1DF7">
        <w:rPr>
          <w:szCs w:val="24"/>
        </w:rPr>
        <w:t xml:space="preserve"> he correctly submitted</w:t>
      </w:r>
      <w:r w:rsidR="0067473D">
        <w:rPr>
          <w:szCs w:val="24"/>
        </w:rPr>
        <w:t xml:space="preserve"> are not permissible</w:t>
      </w:r>
      <w:r w:rsidR="001D1DF7">
        <w:rPr>
          <w:szCs w:val="24"/>
        </w:rPr>
        <w:t>,</w:t>
      </w:r>
      <w:r w:rsidR="0067473D">
        <w:rPr>
          <w:szCs w:val="24"/>
        </w:rPr>
        <w:t xml:space="preserve"> in any event</w:t>
      </w:r>
      <w:r w:rsidR="001D1DF7">
        <w:rPr>
          <w:szCs w:val="24"/>
        </w:rPr>
        <w:t>,</w:t>
      </w:r>
      <w:r w:rsidR="0067473D">
        <w:rPr>
          <w:szCs w:val="24"/>
        </w:rPr>
        <w:t xml:space="preserve"> in application proceedings as unquestionably from the outset a dispute of fact would be anticipated</w:t>
      </w:r>
      <w:r w:rsidR="00D00483">
        <w:rPr>
          <w:szCs w:val="24"/>
        </w:rPr>
        <w:t>.</w:t>
      </w:r>
      <w:r w:rsidR="00416CC3">
        <w:rPr>
          <w:rStyle w:val="FootnoteReference"/>
          <w:szCs w:val="24"/>
        </w:rPr>
        <w:footnoteReference w:id="68"/>
      </w:r>
      <w:r w:rsidR="0067473D">
        <w:rPr>
          <w:szCs w:val="24"/>
        </w:rPr>
        <w:t xml:space="preserve"> </w:t>
      </w:r>
    </w:p>
    <w:p w14:paraId="5D676945" w14:textId="52E25FB4" w:rsidR="00416CC3" w:rsidRDefault="009074E3" w:rsidP="009074E3">
      <w:pPr>
        <w:pStyle w:val="Heading1"/>
        <w:numPr>
          <w:ilvl w:val="0"/>
          <w:numId w:val="0"/>
        </w:numPr>
        <w:tabs>
          <w:tab w:val="left" w:pos="862"/>
        </w:tabs>
        <w:ind w:left="862" w:hanging="862"/>
        <w:rPr>
          <w:szCs w:val="24"/>
        </w:rPr>
      </w:pPr>
      <w:r>
        <w:rPr>
          <w:szCs w:val="24"/>
        </w:rPr>
        <w:t>[139]</w:t>
      </w:r>
      <w:r>
        <w:rPr>
          <w:szCs w:val="24"/>
        </w:rPr>
        <w:tab/>
      </w:r>
      <w:r w:rsidR="0067473D">
        <w:rPr>
          <w:szCs w:val="24"/>
        </w:rPr>
        <w:t>Mr Whittington</w:t>
      </w:r>
      <w:r w:rsidR="00416CC3">
        <w:rPr>
          <w:szCs w:val="24"/>
        </w:rPr>
        <w:t>, in reply,</w:t>
      </w:r>
      <w:r w:rsidR="0067473D">
        <w:rPr>
          <w:szCs w:val="24"/>
        </w:rPr>
        <w:t xml:space="preserve"> submitted to me that despite the fact that </w:t>
      </w:r>
      <w:r w:rsidR="0067473D">
        <w:rPr>
          <w:i/>
          <w:iCs/>
          <w:szCs w:val="24"/>
        </w:rPr>
        <w:t xml:space="preserve">de </w:t>
      </w:r>
      <w:proofErr w:type="spellStart"/>
      <w:r w:rsidR="0067473D">
        <w:rPr>
          <w:i/>
          <w:iCs/>
          <w:szCs w:val="24"/>
        </w:rPr>
        <w:t>bonis</w:t>
      </w:r>
      <w:proofErr w:type="spellEnd"/>
      <w:r w:rsidR="0067473D">
        <w:rPr>
          <w:i/>
          <w:iCs/>
          <w:szCs w:val="24"/>
        </w:rPr>
        <w:t xml:space="preserve"> </w:t>
      </w:r>
      <w:proofErr w:type="spellStart"/>
      <w:r w:rsidR="0067473D">
        <w:rPr>
          <w:i/>
          <w:iCs/>
          <w:szCs w:val="24"/>
        </w:rPr>
        <w:t>propriis</w:t>
      </w:r>
      <w:proofErr w:type="spellEnd"/>
      <w:r w:rsidR="0067473D">
        <w:rPr>
          <w:szCs w:val="24"/>
        </w:rPr>
        <w:t xml:space="preserve"> costs had been sought against </w:t>
      </w:r>
      <w:proofErr w:type="spellStart"/>
      <w:r w:rsidR="0067473D">
        <w:rPr>
          <w:szCs w:val="24"/>
        </w:rPr>
        <w:t>Bihl</w:t>
      </w:r>
      <w:proofErr w:type="spellEnd"/>
      <w:r w:rsidR="0067473D">
        <w:rPr>
          <w:szCs w:val="24"/>
        </w:rPr>
        <w:t xml:space="preserve"> in the answering affidavit</w:t>
      </w:r>
      <w:r w:rsidR="00416CC3">
        <w:rPr>
          <w:szCs w:val="24"/>
        </w:rPr>
        <w:t>s</w:t>
      </w:r>
      <w:r w:rsidR="0067473D">
        <w:rPr>
          <w:szCs w:val="24"/>
        </w:rPr>
        <w:t>, they had not been dealt with in the replying affidavit</w:t>
      </w:r>
      <w:r w:rsidR="00A12A40">
        <w:rPr>
          <w:szCs w:val="24"/>
        </w:rPr>
        <w:t>,</w:t>
      </w:r>
      <w:r w:rsidR="0067473D">
        <w:rPr>
          <w:szCs w:val="24"/>
        </w:rPr>
        <w:t xml:space="preserve"> and as such</w:t>
      </w:r>
      <w:r w:rsidR="00A12A40">
        <w:rPr>
          <w:szCs w:val="24"/>
        </w:rPr>
        <w:t>,</w:t>
      </w:r>
      <w:r w:rsidR="0067473D">
        <w:rPr>
          <w:szCs w:val="24"/>
        </w:rPr>
        <w:t xml:space="preserve"> he was hamstrung to a degree. He</w:t>
      </w:r>
      <w:r w:rsidR="00416CC3">
        <w:rPr>
          <w:szCs w:val="24"/>
        </w:rPr>
        <w:t xml:space="preserve"> alerted me to</w:t>
      </w:r>
      <w:r w:rsidR="0067473D">
        <w:rPr>
          <w:szCs w:val="24"/>
        </w:rPr>
        <w:t xml:space="preserve"> the contradictory affidavits deposed to by Venter in what is known as the “</w:t>
      </w:r>
      <w:r w:rsidR="0067473D" w:rsidRPr="00BC51BD">
        <w:rPr>
          <w:i/>
          <w:iCs/>
          <w:szCs w:val="24"/>
        </w:rPr>
        <w:t>sham application</w:t>
      </w:r>
      <w:r w:rsidR="0067473D">
        <w:rPr>
          <w:szCs w:val="24"/>
        </w:rPr>
        <w:t xml:space="preserve">” under </w:t>
      </w:r>
      <w:r w:rsidR="0067473D">
        <w:rPr>
          <w:szCs w:val="24"/>
        </w:rPr>
        <w:lastRenderedPageBreak/>
        <w:t>case number 20837/2020.</w:t>
      </w:r>
      <w:r w:rsidR="0067473D">
        <w:rPr>
          <w:rStyle w:val="FootnoteReference"/>
          <w:szCs w:val="24"/>
        </w:rPr>
        <w:footnoteReference w:id="69"/>
      </w:r>
      <w:r w:rsidR="0067473D">
        <w:rPr>
          <w:szCs w:val="24"/>
        </w:rPr>
        <w:t xml:space="preserve"> Venter deposed to an affidavit in which he stated expressly th</w:t>
      </w:r>
      <w:r w:rsidR="00416CC3">
        <w:rPr>
          <w:szCs w:val="24"/>
        </w:rPr>
        <w:t>at the</w:t>
      </w:r>
      <w:r w:rsidR="0067473D">
        <w:rPr>
          <w:szCs w:val="24"/>
        </w:rPr>
        <w:t xml:space="preserve"> </w:t>
      </w:r>
      <w:r w:rsidR="00416CC3">
        <w:rPr>
          <w:szCs w:val="24"/>
        </w:rPr>
        <w:t>loan</w:t>
      </w:r>
      <w:r w:rsidR="0067473D">
        <w:rPr>
          <w:szCs w:val="24"/>
        </w:rPr>
        <w:t xml:space="preserve"> agreements</w:t>
      </w:r>
      <w:r w:rsidR="00416CC3">
        <w:rPr>
          <w:szCs w:val="24"/>
        </w:rPr>
        <w:t xml:space="preserve"> with </w:t>
      </w:r>
      <w:proofErr w:type="spellStart"/>
      <w:r w:rsidR="00416CC3">
        <w:rPr>
          <w:szCs w:val="24"/>
        </w:rPr>
        <w:t>Astfin</w:t>
      </w:r>
      <w:proofErr w:type="spellEnd"/>
      <w:r w:rsidR="0067473D">
        <w:rPr>
          <w:szCs w:val="24"/>
        </w:rPr>
        <w:t xml:space="preserve"> created a partnership in terms of which </w:t>
      </w:r>
      <w:proofErr w:type="spellStart"/>
      <w:r w:rsidR="0067473D">
        <w:rPr>
          <w:szCs w:val="24"/>
        </w:rPr>
        <w:t>Astfin</w:t>
      </w:r>
      <w:proofErr w:type="spellEnd"/>
      <w:r w:rsidR="0067473D">
        <w:rPr>
          <w:szCs w:val="24"/>
        </w:rPr>
        <w:t xml:space="preserve"> acquired a 70% shareholding in NRB Capital and made funds available to the NRB Group to fund the transactions undertaken. This funding was substantial</w:t>
      </w:r>
      <w:r w:rsidR="00416CC3">
        <w:rPr>
          <w:szCs w:val="24"/>
        </w:rPr>
        <w:t>, he averred,</w:t>
      </w:r>
      <w:r w:rsidR="0067473D">
        <w:rPr>
          <w:szCs w:val="24"/>
        </w:rPr>
        <w:t xml:space="preserve"> and during 2019</w:t>
      </w:r>
      <w:r w:rsidR="00A12A40">
        <w:rPr>
          <w:szCs w:val="24"/>
        </w:rPr>
        <w:t>, it</w:t>
      </w:r>
      <w:r w:rsidR="0067473D">
        <w:rPr>
          <w:szCs w:val="24"/>
        </w:rPr>
        <w:t xml:space="preserve"> amounted to approximately R100 million.</w:t>
      </w:r>
    </w:p>
    <w:p w14:paraId="6CA4E63E" w14:textId="4763989B" w:rsidR="00416CC3" w:rsidRDefault="009074E3" w:rsidP="009074E3">
      <w:pPr>
        <w:pStyle w:val="Heading1"/>
        <w:numPr>
          <w:ilvl w:val="0"/>
          <w:numId w:val="0"/>
        </w:numPr>
        <w:tabs>
          <w:tab w:val="left" w:pos="862"/>
        </w:tabs>
        <w:ind w:left="862" w:hanging="862"/>
        <w:rPr>
          <w:szCs w:val="24"/>
        </w:rPr>
      </w:pPr>
      <w:r>
        <w:rPr>
          <w:szCs w:val="24"/>
        </w:rPr>
        <w:t>[140]</w:t>
      </w:r>
      <w:r>
        <w:rPr>
          <w:szCs w:val="24"/>
        </w:rPr>
        <w:tab/>
      </w:r>
      <w:r w:rsidR="0067473D">
        <w:rPr>
          <w:szCs w:val="24"/>
        </w:rPr>
        <w:t xml:space="preserve"> Notably, Venter does not deal with any of these allegations in his answering affidavit</w:t>
      </w:r>
      <w:r w:rsidR="00A12A40">
        <w:rPr>
          <w:szCs w:val="24"/>
        </w:rPr>
        <w:t>,</w:t>
      </w:r>
      <w:r w:rsidR="0067473D">
        <w:rPr>
          <w:szCs w:val="24"/>
        </w:rPr>
        <w:t xml:space="preserve"> given the </w:t>
      </w:r>
      <w:r w:rsidR="00416CC3">
        <w:rPr>
          <w:i/>
          <w:iCs/>
          <w:szCs w:val="24"/>
        </w:rPr>
        <w:t xml:space="preserve">in </w:t>
      </w:r>
      <w:proofErr w:type="spellStart"/>
      <w:r w:rsidR="00416CC3">
        <w:rPr>
          <w:i/>
          <w:iCs/>
          <w:szCs w:val="24"/>
        </w:rPr>
        <w:t>limine</w:t>
      </w:r>
      <w:proofErr w:type="spellEnd"/>
      <w:r w:rsidR="0067473D">
        <w:rPr>
          <w:i/>
          <w:iCs/>
          <w:szCs w:val="24"/>
        </w:rPr>
        <w:t xml:space="preserve"> </w:t>
      </w:r>
      <w:r w:rsidR="0067473D">
        <w:rPr>
          <w:szCs w:val="24"/>
        </w:rPr>
        <w:t>point</w:t>
      </w:r>
      <w:r w:rsidR="00416CC3">
        <w:rPr>
          <w:szCs w:val="24"/>
        </w:rPr>
        <w:t xml:space="preserve">s taken </w:t>
      </w:r>
      <w:r w:rsidR="0067473D" w:rsidRPr="00416CC3">
        <w:rPr>
          <w:szCs w:val="24"/>
        </w:rPr>
        <w:t xml:space="preserve">and </w:t>
      </w:r>
      <w:r w:rsidR="00416CC3">
        <w:rPr>
          <w:szCs w:val="24"/>
        </w:rPr>
        <w:t xml:space="preserve">proper account </w:t>
      </w:r>
      <w:r w:rsidR="00102AB7">
        <w:rPr>
          <w:szCs w:val="24"/>
        </w:rPr>
        <w:t>of</w:t>
      </w:r>
      <w:r w:rsidR="00102AB7" w:rsidRPr="00416CC3">
        <w:rPr>
          <w:szCs w:val="24"/>
        </w:rPr>
        <w:t xml:space="preserve"> the</w:t>
      </w:r>
      <w:r w:rsidR="0067473D" w:rsidRPr="00416CC3">
        <w:rPr>
          <w:szCs w:val="24"/>
        </w:rPr>
        <w:t xml:space="preserve"> business transactions which were concluded</w:t>
      </w:r>
      <w:r w:rsidR="00416CC3">
        <w:rPr>
          <w:szCs w:val="24"/>
        </w:rPr>
        <w:t xml:space="preserve"> between the NRB Group</w:t>
      </w:r>
      <w:r w:rsidR="0067473D" w:rsidRPr="00416CC3">
        <w:rPr>
          <w:szCs w:val="24"/>
        </w:rPr>
        <w:t xml:space="preserve"> </w:t>
      </w:r>
      <w:r w:rsidR="00416CC3">
        <w:rPr>
          <w:szCs w:val="24"/>
        </w:rPr>
        <w:t>and</w:t>
      </w:r>
      <w:r w:rsidR="0067473D" w:rsidRPr="00416CC3">
        <w:rPr>
          <w:szCs w:val="24"/>
        </w:rPr>
        <w:t xml:space="preserve"> </w:t>
      </w:r>
      <w:proofErr w:type="spellStart"/>
      <w:r w:rsidR="0067473D" w:rsidRPr="00416CC3">
        <w:rPr>
          <w:szCs w:val="24"/>
        </w:rPr>
        <w:t>Astfin</w:t>
      </w:r>
      <w:proofErr w:type="spellEnd"/>
      <w:r w:rsidR="0067473D" w:rsidRPr="00416CC3">
        <w:rPr>
          <w:szCs w:val="24"/>
        </w:rPr>
        <w:t xml:space="preserve">. </w:t>
      </w:r>
    </w:p>
    <w:p w14:paraId="4893A0F9" w14:textId="5A95FEFA" w:rsidR="00416CC3" w:rsidRDefault="009074E3" w:rsidP="009074E3">
      <w:pPr>
        <w:pStyle w:val="Heading1"/>
        <w:numPr>
          <w:ilvl w:val="0"/>
          <w:numId w:val="0"/>
        </w:numPr>
        <w:tabs>
          <w:tab w:val="left" w:pos="862"/>
        </w:tabs>
        <w:ind w:left="862" w:hanging="862"/>
        <w:rPr>
          <w:szCs w:val="24"/>
        </w:rPr>
      </w:pPr>
      <w:r>
        <w:rPr>
          <w:szCs w:val="24"/>
        </w:rPr>
        <w:t>[141]</w:t>
      </w:r>
      <w:r>
        <w:rPr>
          <w:szCs w:val="24"/>
        </w:rPr>
        <w:tab/>
      </w:r>
      <w:r w:rsidR="0067473D" w:rsidRPr="00416CC3">
        <w:rPr>
          <w:szCs w:val="24"/>
        </w:rPr>
        <w:t>Mr Whittington submitted that the applicant</w:t>
      </w:r>
      <w:r w:rsidR="00A12A40">
        <w:rPr>
          <w:szCs w:val="24"/>
        </w:rPr>
        <w:t>,</w:t>
      </w:r>
      <w:r w:rsidR="0067473D" w:rsidRPr="00416CC3">
        <w:rPr>
          <w:szCs w:val="24"/>
        </w:rPr>
        <w:t xml:space="preserve"> in the face of th</w:t>
      </w:r>
      <w:r w:rsidR="00416CC3">
        <w:rPr>
          <w:szCs w:val="24"/>
        </w:rPr>
        <w:t>ese averments</w:t>
      </w:r>
      <w:r w:rsidR="0058617A">
        <w:rPr>
          <w:szCs w:val="24"/>
        </w:rPr>
        <w:t xml:space="preserve"> by Venter</w:t>
      </w:r>
      <w:r w:rsidR="00416CC3">
        <w:rPr>
          <w:szCs w:val="24"/>
        </w:rPr>
        <w:t>, now established to be false,</w:t>
      </w:r>
      <w:r w:rsidR="0067473D" w:rsidRPr="00416CC3">
        <w:rPr>
          <w:szCs w:val="24"/>
        </w:rPr>
        <w:t xml:space="preserve"> genuinely believed that the Trust had been defrauded in that it had never received payment of the R100 million</w:t>
      </w:r>
      <w:r w:rsidR="00416CC3">
        <w:rPr>
          <w:szCs w:val="24"/>
        </w:rPr>
        <w:t>. She</w:t>
      </w:r>
      <w:r w:rsidR="0067473D" w:rsidRPr="00416CC3">
        <w:rPr>
          <w:szCs w:val="24"/>
        </w:rPr>
        <w:t xml:space="preserve"> genuinely believed that she could</w:t>
      </w:r>
      <w:r w:rsidR="00416CC3">
        <w:rPr>
          <w:szCs w:val="24"/>
        </w:rPr>
        <w:t xml:space="preserve"> and must</w:t>
      </w:r>
      <w:r w:rsidR="0067473D" w:rsidRPr="00416CC3">
        <w:rPr>
          <w:szCs w:val="24"/>
        </w:rPr>
        <w:t xml:space="preserve"> launch this application.</w:t>
      </w:r>
    </w:p>
    <w:p w14:paraId="19D36B7C" w14:textId="3B30CF85" w:rsidR="0067473D" w:rsidRPr="00416CC3" w:rsidRDefault="009074E3" w:rsidP="009074E3">
      <w:pPr>
        <w:pStyle w:val="Heading1"/>
        <w:numPr>
          <w:ilvl w:val="0"/>
          <w:numId w:val="0"/>
        </w:numPr>
        <w:tabs>
          <w:tab w:val="left" w:pos="862"/>
        </w:tabs>
        <w:ind w:left="862" w:hanging="862"/>
        <w:rPr>
          <w:szCs w:val="24"/>
        </w:rPr>
      </w:pPr>
      <w:r w:rsidRPr="00416CC3">
        <w:rPr>
          <w:szCs w:val="24"/>
        </w:rPr>
        <w:t>[142]</w:t>
      </w:r>
      <w:r w:rsidRPr="00416CC3">
        <w:rPr>
          <w:szCs w:val="24"/>
        </w:rPr>
        <w:tab/>
      </w:r>
      <w:r w:rsidR="0067473D" w:rsidRPr="00416CC3">
        <w:rPr>
          <w:szCs w:val="24"/>
        </w:rPr>
        <w:t xml:space="preserve">The problem that I have with this submission is that on receipt of the </w:t>
      </w:r>
      <w:proofErr w:type="spellStart"/>
      <w:r w:rsidR="0067473D" w:rsidRPr="00416CC3">
        <w:rPr>
          <w:szCs w:val="24"/>
        </w:rPr>
        <w:t>Astfin</w:t>
      </w:r>
      <w:proofErr w:type="spellEnd"/>
      <w:r w:rsidR="0067473D" w:rsidRPr="00416CC3">
        <w:rPr>
          <w:szCs w:val="24"/>
        </w:rPr>
        <w:t xml:space="preserve"> affidavit, </w:t>
      </w:r>
      <w:proofErr w:type="spellStart"/>
      <w:r w:rsidR="0067473D" w:rsidRPr="00416CC3">
        <w:rPr>
          <w:szCs w:val="24"/>
        </w:rPr>
        <w:t>Astfin</w:t>
      </w:r>
      <w:proofErr w:type="spellEnd"/>
      <w:r w:rsidR="0067473D" w:rsidRPr="00416CC3">
        <w:rPr>
          <w:szCs w:val="24"/>
        </w:rPr>
        <w:t xml:space="preserve"> </w:t>
      </w:r>
      <w:r w:rsidR="00416CC3">
        <w:rPr>
          <w:szCs w:val="24"/>
        </w:rPr>
        <w:t xml:space="preserve">resoundingly </w:t>
      </w:r>
      <w:r w:rsidR="0067473D" w:rsidRPr="00416CC3">
        <w:rPr>
          <w:szCs w:val="24"/>
        </w:rPr>
        <w:t>dismisse</w:t>
      </w:r>
      <w:r w:rsidR="00416CC3">
        <w:rPr>
          <w:szCs w:val="24"/>
        </w:rPr>
        <w:t>d</w:t>
      </w:r>
      <w:r w:rsidR="0067473D" w:rsidRPr="00416CC3">
        <w:rPr>
          <w:szCs w:val="24"/>
        </w:rPr>
        <w:t xml:space="preserve"> th</w:t>
      </w:r>
      <w:r w:rsidR="00BC312B">
        <w:rPr>
          <w:szCs w:val="24"/>
        </w:rPr>
        <w:t>e</w:t>
      </w:r>
      <w:r w:rsidR="0067473D" w:rsidRPr="00416CC3">
        <w:rPr>
          <w:szCs w:val="24"/>
        </w:rPr>
        <w:t>s</w:t>
      </w:r>
      <w:r w:rsidR="00BC312B">
        <w:rPr>
          <w:szCs w:val="24"/>
        </w:rPr>
        <w:t>e and other fallacious</w:t>
      </w:r>
      <w:r w:rsidR="0067473D" w:rsidRPr="00416CC3">
        <w:rPr>
          <w:szCs w:val="24"/>
        </w:rPr>
        <w:t xml:space="preserve"> allegation</w:t>
      </w:r>
      <w:r w:rsidR="00BC312B">
        <w:rPr>
          <w:szCs w:val="24"/>
        </w:rPr>
        <w:t>s</w:t>
      </w:r>
      <w:r w:rsidR="00416CC3">
        <w:rPr>
          <w:szCs w:val="24"/>
        </w:rPr>
        <w:t xml:space="preserve"> and provided </w:t>
      </w:r>
      <w:r w:rsidR="00BC312B">
        <w:rPr>
          <w:szCs w:val="24"/>
        </w:rPr>
        <w:t>indisputable</w:t>
      </w:r>
      <w:r w:rsidR="00416CC3">
        <w:rPr>
          <w:szCs w:val="24"/>
        </w:rPr>
        <w:t xml:space="preserve"> proof of its </w:t>
      </w:r>
      <w:r w:rsidR="00102AB7">
        <w:rPr>
          <w:szCs w:val="24"/>
        </w:rPr>
        <w:t>business relationship with the NRB Group</w:t>
      </w:r>
      <w:r w:rsidR="0067473D" w:rsidRPr="00416CC3">
        <w:rPr>
          <w:szCs w:val="24"/>
        </w:rPr>
        <w:t xml:space="preserve">. </w:t>
      </w:r>
      <w:r w:rsidR="00102AB7">
        <w:rPr>
          <w:szCs w:val="24"/>
        </w:rPr>
        <w:t>T</w:t>
      </w:r>
      <w:r w:rsidR="0067473D" w:rsidRPr="00416CC3">
        <w:rPr>
          <w:szCs w:val="24"/>
        </w:rPr>
        <w:t>he business transactions</w:t>
      </w:r>
      <w:r w:rsidR="00A12A40">
        <w:rPr>
          <w:szCs w:val="24"/>
        </w:rPr>
        <w:t>,</w:t>
      </w:r>
      <w:r w:rsidR="0067473D" w:rsidRPr="00416CC3">
        <w:rPr>
          <w:szCs w:val="24"/>
        </w:rPr>
        <w:t xml:space="preserve"> although complicated, are </w:t>
      </w:r>
      <w:r w:rsidR="00102AB7">
        <w:rPr>
          <w:szCs w:val="24"/>
        </w:rPr>
        <w:t xml:space="preserve">detailed and are </w:t>
      </w:r>
      <w:r w:rsidR="0067473D" w:rsidRPr="00416CC3">
        <w:rPr>
          <w:szCs w:val="24"/>
        </w:rPr>
        <w:t>just that. There is no</w:t>
      </w:r>
      <w:r w:rsidR="00BC312B">
        <w:rPr>
          <w:szCs w:val="24"/>
        </w:rPr>
        <w:t xml:space="preserve"> merit to the contention </w:t>
      </w:r>
      <w:r w:rsidR="0067473D" w:rsidRPr="00416CC3">
        <w:rPr>
          <w:szCs w:val="24"/>
        </w:rPr>
        <w:t xml:space="preserve">that </w:t>
      </w:r>
      <w:proofErr w:type="spellStart"/>
      <w:r w:rsidR="00102AB7">
        <w:rPr>
          <w:szCs w:val="24"/>
        </w:rPr>
        <w:t>Astfin</w:t>
      </w:r>
      <w:proofErr w:type="spellEnd"/>
      <w:r w:rsidR="00102AB7">
        <w:rPr>
          <w:szCs w:val="24"/>
        </w:rPr>
        <w:t xml:space="preserve"> never </w:t>
      </w:r>
      <w:r w:rsidR="0067473D" w:rsidRPr="00416CC3">
        <w:rPr>
          <w:szCs w:val="24"/>
        </w:rPr>
        <w:t>acquired the shareholding in NRB Holdings</w:t>
      </w:r>
      <w:r w:rsidR="00BC312B">
        <w:rPr>
          <w:szCs w:val="24"/>
        </w:rPr>
        <w:t xml:space="preserve">. Once </w:t>
      </w:r>
      <w:r w:rsidR="0067473D" w:rsidRPr="00416CC3">
        <w:rPr>
          <w:szCs w:val="24"/>
        </w:rPr>
        <w:t xml:space="preserve">the agreements attached to the founding affidavit are placed in context by </w:t>
      </w:r>
      <w:r w:rsidR="0067473D">
        <w:t>De Nil</w:t>
      </w:r>
      <w:r w:rsidR="00BC312B">
        <w:t>,</w:t>
      </w:r>
      <w:r w:rsidR="0067473D">
        <w:t xml:space="preserve"> on behalf of </w:t>
      </w:r>
      <w:proofErr w:type="spellStart"/>
      <w:r w:rsidR="0067473D">
        <w:t>Astfin</w:t>
      </w:r>
      <w:proofErr w:type="spellEnd"/>
      <w:r w:rsidR="00BC312B">
        <w:t>,</w:t>
      </w:r>
      <w:r w:rsidR="0067473D">
        <w:t xml:space="preserve"> in the answering affidavit</w:t>
      </w:r>
      <w:r w:rsidR="00BC312B">
        <w:t xml:space="preserve"> supported by </w:t>
      </w:r>
      <w:proofErr w:type="spellStart"/>
      <w:r w:rsidR="00BC312B">
        <w:t>McLintock</w:t>
      </w:r>
      <w:proofErr w:type="spellEnd"/>
      <w:r w:rsidR="00102AB7">
        <w:t>,</w:t>
      </w:r>
      <w:r w:rsidR="00BC312B">
        <w:t xml:space="preserve"> the conspiracy is exposed</w:t>
      </w:r>
      <w:r w:rsidR="0067473D">
        <w:t>. As such, I do not believe that this assists the applicant</w:t>
      </w:r>
      <w:r w:rsidR="00BC312B">
        <w:t>, who persisted</w:t>
      </w:r>
      <w:r w:rsidR="00102AB7">
        <w:t xml:space="preserve"> with the application</w:t>
      </w:r>
      <w:r w:rsidR="00BC312B">
        <w:t>.</w:t>
      </w:r>
      <w:r w:rsidR="0067473D">
        <w:t xml:space="preserve"> </w:t>
      </w:r>
    </w:p>
    <w:p w14:paraId="5ECF305D" w14:textId="1FA5EAE3" w:rsidR="0067473D" w:rsidRPr="008D60E3" w:rsidRDefault="009074E3" w:rsidP="009074E3">
      <w:pPr>
        <w:pStyle w:val="Heading1"/>
        <w:numPr>
          <w:ilvl w:val="0"/>
          <w:numId w:val="0"/>
        </w:numPr>
        <w:tabs>
          <w:tab w:val="left" w:pos="862"/>
        </w:tabs>
        <w:ind w:left="862" w:hanging="862"/>
        <w:rPr>
          <w:szCs w:val="24"/>
        </w:rPr>
      </w:pPr>
      <w:r w:rsidRPr="008D60E3">
        <w:rPr>
          <w:szCs w:val="24"/>
        </w:rPr>
        <w:t>[143]</w:t>
      </w:r>
      <w:r w:rsidRPr="008D60E3">
        <w:rPr>
          <w:szCs w:val="24"/>
        </w:rPr>
        <w:tab/>
      </w:r>
      <w:r w:rsidR="0067473D">
        <w:t>Mr Whittington</w:t>
      </w:r>
      <w:r w:rsidR="00BC312B">
        <w:t xml:space="preserve"> also submitted</w:t>
      </w:r>
      <w:r w:rsidR="0067473D">
        <w:t xml:space="preserve"> that to the extent that defamatory allegations were made</w:t>
      </w:r>
      <w:r w:rsidR="00A12A40">
        <w:t>,</w:t>
      </w:r>
      <w:r w:rsidR="0067473D">
        <w:t xml:space="preserve"> the respondents </w:t>
      </w:r>
      <w:r w:rsidR="00A12A40">
        <w:t>could</w:t>
      </w:r>
      <w:r w:rsidR="0067473D">
        <w:t xml:space="preserve"> simply institute actions in </w:t>
      </w:r>
      <w:r w:rsidR="0067473D">
        <w:lastRenderedPageBreak/>
        <w:t xml:space="preserve">which they claim damages for these defamatory allegations. I do not </w:t>
      </w:r>
      <w:r w:rsidR="00BC312B">
        <w:t>accept this submission</w:t>
      </w:r>
      <w:r w:rsidR="0067473D">
        <w:t>. It is totally within the rights of the respondents to determine whether they wish to go to the trouble and costs of launching defamation proceedings. What they seek here is a sanction in relation to what has transpired in this application</w:t>
      </w:r>
      <w:r w:rsidR="00A12A40">
        <w:t>,</w:t>
      </w:r>
      <w:r w:rsidR="0067473D">
        <w:t xml:space="preserve"> which is patently ill-founded </w:t>
      </w:r>
      <w:r w:rsidR="00102AB7">
        <w:t xml:space="preserve">and </w:t>
      </w:r>
      <w:r w:rsidR="00244667">
        <w:t>vexatious</w:t>
      </w:r>
      <w:r w:rsidR="00BC312B">
        <w:t xml:space="preserve"> and which </w:t>
      </w:r>
      <w:r w:rsidR="0067473D">
        <w:t>should have</w:t>
      </w:r>
      <w:r w:rsidR="00BC312B">
        <w:t xml:space="preserve"> been resolved</w:t>
      </w:r>
      <w:r w:rsidR="00102AB7">
        <w:t>, at the very least</w:t>
      </w:r>
      <w:r w:rsidR="00A12A40">
        <w:t>,</w:t>
      </w:r>
      <w:r w:rsidR="0067473D">
        <w:t xml:space="preserve"> when the </w:t>
      </w:r>
      <w:proofErr w:type="spellStart"/>
      <w:r w:rsidR="00BC312B">
        <w:t>Astfin</w:t>
      </w:r>
      <w:proofErr w:type="spellEnd"/>
      <w:r w:rsidR="00BC312B">
        <w:t xml:space="preserve"> </w:t>
      </w:r>
      <w:r w:rsidR="0067473D">
        <w:t xml:space="preserve">answering affidavit was delivered. </w:t>
      </w:r>
    </w:p>
    <w:p w14:paraId="6EE606DF" w14:textId="7ABF8032" w:rsidR="00817F4F" w:rsidRPr="00817F4F" w:rsidRDefault="009074E3" w:rsidP="009074E3">
      <w:pPr>
        <w:pStyle w:val="Heading1"/>
        <w:numPr>
          <w:ilvl w:val="0"/>
          <w:numId w:val="0"/>
        </w:numPr>
        <w:tabs>
          <w:tab w:val="left" w:pos="862"/>
        </w:tabs>
        <w:ind w:left="862" w:hanging="862"/>
        <w:rPr>
          <w:szCs w:val="24"/>
        </w:rPr>
      </w:pPr>
      <w:r w:rsidRPr="00817F4F">
        <w:rPr>
          <w:szCs w:val="24"/>
        </w:rPr>
        <w:t>[144]</w:t>
      </w:r>
      <w:r w:rsidRPr="00817F4F">
        <w:rPr>
          <w:szCs w:val="24"/>
        </w:rPr>
        <w:tab/>
      </w:r>
      <w:r w:rsidR="0067473D">
        <w:t xml:space="preserve">Mr Whittington </w:t>
      </w:r>
      <w:r w:rsidR="0058617A">
        <w:t>argued</w:t>
      </w:r>
      <w:r w:rsidR="0067473D">
        <w:t xml:space="preserve"> that because costs orders had been granted in the compelling application, an order herein would smack of </w:t>
      </w:r>
      <w:r w:rsidR="00BC312B">
        <w:t>“</w:t>
      </w:r>
      <w:r w:rsidR="0067473D" w:rsidRPr="00BC312B">
        <w:rPr>
          <w:i/>
          <w:iCs/>
        </w:rPr>
        <w:t>double jeopardy</w:t>
      </w:r>
      <w:r w:rsidR="00BC312B">
        <w:t>”</w:t>
      </w:r>
      <w:r w:rsidR="0067473D">
        <w:t xml:space="preserve">. I do not agree with this submission. This is a </w:t>
      </w:r>
      <w:r w:rsidR="00102AB7">
        <w:t>separate substantive</w:t>
      </w:r>
      <w:r w:rsidR="00817F4F">
        <w:t xml:space="preserve"> </w:t>
      </w:r>
      <w:r w:rsidR="0067473D">
        <w:t xml:space="preserve">application, and I must </w:t>
      </w:r>
      <w:r w:rsidR="00BC312B">
        <w:t>exercise my discretion as to the</w:t>
      </w:r>
      <w:r w:rsidR="0067473D">
        <w:t xml:space="preserve"> </w:t>
      </w:r>
      <w:r w:rsidR="00BC312B">
        <w:t>costs to be ordered</w:t>
      </w:r>
      <w:r w:rsidR="00817F4F">
        <w:t xml:space="preserve">, punitive or otherwise. </w:t>
      </w:r>
    </w:p>
    <w:p w14:paraId="4D7F4217" w14:textId="798B9426" w:rsidR="0067473D" w:rsidRPr="00E47996" w:rsidRDefault="009074E3" w:rsidP="009074E3">
      <w:pPr>
        <w:pStyle w:val="Heading1"/>
        <w:numPr>
          <w:ilvl w:val="0"/>
          <w:numId w:val="0"/>
        </w:numPr>
        <w:tabs>
          <w:tab w:val="left" w:pos="862"/>
        </w:tabs>
        <w:ind w:left="862" w:hanging="862"/>
        <w:rPr>
          <w:szCs w:val="24"/>
        </w:rPr>
      </w:pPr>
      <w:r w:rsidRPr="00E47996">
        <w:rPr>
          <w:szCs w:val="24"/>
        </w:rPr>
        <w:t>[145]</w:t>
      </w:r>
      <w:r w:rsidRPr="00E47996">
        <w:rPr>
          <w:szCs w:val="24"/>
        </w:rPr>
        <w:tab/>
      </w:r>
      <w:proofErr w:type="spellStart"/>
      <w:r w:rsidR="0067473D">
        <w:t>Mr</w:t>
      </w:r>
      <w:r w:rsidR="00A12A40">
        <w:t>.</w:t>
      </w:r>
      <w:proofErr w:type="spellEnd"/>
      <w:r w:rsidR="0067473D">
        <w:t xml:space="preserve"> Whittington </w:t>
      </w:r>
      <w:r w:rsidR="0058617A">
        <w:t>finally</w:t>
      </w:r>
      <w:r w:rsidR="00102AB7">
        <w:t xml:space="preserve"> </w:t>
      </w:r>
      <w:r w:rsidR="0067473D">
        <w:t>drew my attention to the fraught litigation</w:t>
      </w:r>
      <w:r w:rsidR="00102AB7">
        <w:rPr>
          <w:rStyle w:val="FootnoteReference"/>
        </w:rPr>
        <w:footnoteReference w:id="70"/>
      </w:r>
      <w:r w:rsidR="0067473D">
        <w:t xml:space="preserve"> over the period August 2021 to May 2022</w:t>
      </w:r>
      <w:r w:rsidR="0058617A">
        <w:t>,</w:t>
      </w:r>
      <w:r w:rsidR="0067473D">
        <w:t xml:space="preserve"> when the replying affidavit</w:t>
      </w:r>
      <w:r w:rsidR="00817F4F">
        <w:t xml:space="preserve"> in this application was eventually delivered.</w:t>
      </w:r>
      <w:r w:rsidR="0067473D">
        <w:t xml:space="preserve"> As appears from the affidavit, August 2021 was consumed with a Rule 43 application. September 2021 was consumed with the perusal of an answering affidavit in a liquidation application that had been launched and the finalisation of the Rule 43 application. October 2021 resulted in the delivery of a Rule 43 answering affidavit and financial disclosure. Simultaneously, letters were exchanged with TWB relating to the </w:t>
      </w:r>
      <w:r w:rsidR="00817F4F">
        <w:t>perceived</w:t>
      </w:r>
      <w:r w:rsidR="0067473D">
        <w:t xml:space="preserve"> discrepancies in the answering affidavits filed by the NRB Group and </w:t>
      </w:r>
      <w:proofErr w:type="spellStart"/>
      <w:r w:rsidR="0067473D">
        <w:t>Astfin</w:t>
      </w:r>
      <w:proofErr w:type="spellEnd"/>
      <w:r w:rsidR="00A12A40">
        <w:t>,</w:t>
      </w:r>
      <w:r w:rsidR="0067473D">
        <w:t xml:space="preserve"> wherein TWB again affirmed that the proceedings launched were ill-advised. In addition</w:t>
      </w:r>
      <w:r w:rsidR="00817F4F">
        <w:t>,</w:t>
      </w:r>
      <w:r w:rsidR="0067473D">
        <w:t xml:space="preserve"> it appears that a replying affidavit was being settled in the Rule 43. In November 2021, settlement discussions ensued between the </w:t>
      </w:r>
      <w:proofErr w:type="spellStart"/>
      <w:r w:rsidR="0067473D">
        <w:t>Venters</w:t>
      </w:r>
      <w:proofErr w:type="spellEnd"/>
      <w:r w:rsidR="0067473D">
        <w:t xml:space="preserve"> in the</w:t>
      </w:r>
      <w:r w:rsidR="00817F4F">
        <w:t>ir</w:t>
      </w:r>
      <w:r w:rsidR="0067473D">
        <w:t xml:space="preserve"> divorce action and in respect of which this application was also discussed. Although I am not afforded much detail, the applicant contends that the default in payment of maintenance and her medical aid claims was an issue for her. In December 2021, the applicant’s replying affidavit was filed in the Rule </w:t>
      </w:r>
      <w:r w:rsidR="0067473D">
        <w:lastRenderedPageBreak/>
        <w:t>43 application. The compelling application to deliver heads of argument was received</w:t>
      </w:r>
      <w:r w:rsidR="00A12A40">
        <w:t>,</w:t>
      </w:r>
      <w:r w:rsidR="0067473D">
        <w:t xml:space="preserve"> and settlement negotiations were ongoing. During January</w:t>
      </w:r>
      <w:r w:rsidR="00817F4F">
        <w:t xml:space="preserve"> and February</w:t>
      </w:r>
      <w:r w:rsidR="0067473D">
        <w:t xml:space="preserve"> 2022</w:t>
      </w:r>
      <w:r w:rsidR="00A12A40">
        <w:t>,</w:t>
      </w:r>
      <w:r w:rsidR="0067473D">
        <w:t xml:space="preserve"> settlement discussions</w:t>
      </w:r>
      <w:r w:rsidR="00817F4F">
        <w:t xml:space="preserve"> were ongoing</w:t>
      </w:r>
      <w:r w:rsidR="00A12A40">
        <w:t>,</w:t>
      </w:r>
      <w:r w:rsidR="0067473D">
        <w:t xml:space="preserve"> and counsel was briefed in respect of the replying affidavit. March 2022 was consumed with discovery in the divorce proceedings</w:t>
      </w:r>
      <w:r w:rsidR="00A12A40">
        <w:t>,</w:t>
      </w:r>
      <w:r w:rsidR="0067473D">
        <w:t xml:space="preserve"> and as a consequence</w:t>
      </w:r>
      <w:r w:rsidR="00A12A40">
        <w:t>,</w:t>
      </w:r>
      <w:r w:rsidR="0067473D">
        <w:t xml:space="preserve"> the replying affidavit could not be filed. Once again, the applicant</w:t>
      </w:r>
      <w:r w:rsidR="00817F4F">
        <w:t xml:space="preserve"> avers that she</w:t>
      </w:r>
      <w:r w:rsidR="0067473D">
        <w:t xml:space="preserve"> is trying to decipher and understand the answering affidavits filed in this application. </w:t>
      </w:r>
      <w:r w:rsidR="00A12A40">
        <w:t>In</w:t>
      </w:r>
      <w:r w:rsidR="0067473D">
        <w:t xml:space="preserve"> April 2022, a pre-trial conference was held in the divorce. In May 2022, a preferential hearing had to be scheduled for the Rule 43 application because of its volume</w:t>
      </w:r>
      <w:r w:rsidR="00817F4F">
        <w:t xml:space="preserve">. This explanation is given in an </w:t>
      </w:r>
      <w:r w:rsidR="00102AB7">
        <w:t>effort to</w:t>
      </w:r>
      <w:r w:rsidR="00817F4F">
        <w:t xml:space="preserve"> condone and receive </w:t>
      </w:r>
      <w:r w:rsidR="0067473D">
        <w:t>the</w:t>
      </w:r>
      <w:r w:rsidR="00A12A40">
        <w:t xml:space="preserve"> </w:t>
      </w:r>
      <w:r w:rsidR="00817F4F">
        <w:t xml:space="preserve">replying </w:t>
      </w:r>
      <w:r w:rsidR="0067473D">
        <w:t xml:space="preserve">affidavit. </w:t>
      </w:r>
    </w:p>
    <w:p w14:paraId="4FEA39CA" w14:textId="2D92F346" w:rsidR="00817F4F" w:rsidRPr="00817F4F" w:rsidRDefault="009074E3" w:rsidP="009074E3">
      <w:pPr>
        <w:pStyle w:val="Heading1"/>
        <w:numPr>
          <w:ilvl w:val="0"/>
          <w:numId w:val="0"/>
        </w:numPr>
        <w:tabs>
          <w:tab w:val="left" w:pos="862"/>
        </w:tabs>
        <w:ind w:left="862" w:hanging="862"/>
        <w:rPr>
          <w:szCs w:val="24"/>
        </w:rPr>
      </w:pPr>
      <w:r w:rsidRPr="00817F4F">
        <w:rPr>
          <w:szCs w:val="24"/>
        </w:rPr>
        <w:t>[146]</w:t>
      </w:r>
      <w:r w:rsidRPr="00817F4F">
        <w:rPr>
          <w:szCs w:val="24"/>
        </w:rPr>
        <w:tab/>
      </w:r>
      <w:r w:rsidR="0067473D">
        <w:t xml:space="preserve">Although this may well be a sufficient explanation to condone the filing of the replying affidavit, a point which </w:t>
      </w:r>
      <w:r w:rsidR="00817F4F">
        <w:t>was not</w:t>
      </w:r>
      <w:r w:rsidR="0067473D">
        <w:t xml:space="preserve"> pursued by the respondents, I do not believe that this aids the applicant when it comes to the determination of costs in this application. I accept that there is a complexity to this application, and I furthermore accept that the applicant must be guided by </w:t>
      </w:r>
      <w:proofErr w:type="spellStart"/>
      <w:r w:rsidR="00817F4F">
        <w:t>Bihl</w:t>
      </w:r>
      <w:proofErr w:type="spellEnd"/>
      <w:r w:rsidR="00817F4F">
        <w:t xml:space="preserve"> in the light thereof</w:t>
      </w:r>
      <w:r w:rsidR="0067473D">
        <w:t xml:space="preserve">. It is inexplicable to me that the application was not withdrawn and that costs were not tendered, specifically subsequent to the filing of the </w:t>
      </w:r>
      <w:proofErr w:type="spellStart"/>
      <w:r w:rsidR="0067473D">
        <w:t>Astfin</w:t>
      </w:r>
      <w:proofErr w:type="spellEnd"/>
      <w:r w:rsidR="0067473D">
        <w:t xml:space="preserve"> answering affidavit. I cannot speculate as to what was discussed between the applicant and </w:t>
      </w:r>
      <w:proofErr w:type="spellStart"/>
      <w:r w:rsidR="0067473D">
        <w:t>Bihl</w:t>
      </w:r>
      <w:proofErr w:type="spellEnd"/>
      <w:r w:rsidR="0067473D">
        <w:t xml:space="preserve"> in relation to this application. To my mind, and given the </w:t>
      </w:r>
      <w:r w:rsidR="00102AB7">
        <w:t xml:space="preserve">unsubstantiated and serious allegations of fraud and the </w:t>
      </w:r>
      <w:r w:rsidR="0067473D">
        <w:t>substantial nature of this application, much time and money ha</w:t>
      </w:r>
      <w:r w:rsidR="0058617A">
        <w:t>s</w:t>
      </w:r>
      <w:r w:rsidR="0067473D">
        <w:t xml:space="preserve"> been wasted.</w:t>
      </w:r>
      <w:r w:rsidR="00817F4F">
        <w:t xml:space="preserve"> Ultimately</w:t>
      </w:r>
      <w:r w:rsidR="00A12A40">
        <w:t>,</w:t>
      </w:r>
      <w:r w:rsidR="00817F4F">
        <w:t xml:space="preserve"> </w:t>
      </w:r>
      <w:r w:rsidR="00A31E93">
        <w:t>this application</w:t>
      </w:r>
      <w:r w:rsidR="00817F4F">
        <w:t xml:space="preserve"> was set down by </w:t>
      </w:r>
      <w:proofErr w:type="spellStart"/>
      <w:r w:rsidR="00817F4F">
        <w:t>Astfin</w:t>
      </w:r>
      <w:proofErr w:type="spellEnd"/>
      <w:r w:rsidR="00A31E93">
        <w:t>. TWB prepared the</w:t>
      </w:r>
      <w:r w:rsidR="00817F4F">
        <w:t xml:space="preserve"> practice note and</w:t>
      </w:r>
      <w:r w:rsidR="0058617A">
        <w:t>,</w:t>
      </w:r>
      <w:r w:rsidR="00817F4F">
        <w:t xml:space="preserve"> </w:t>
      </w:r>
      <w:r w:rsidR="00102AB7">
        <w:t>in addition</w:t>
      </w:r>
      <w:r w:rsidR="0058617A">
        <w:t>,</w:t>
      </w:r>
      <w:r w:rsidR="00102AB7">
        <w:t xml:space="preserve"> </w:t>
      </w:r>
      <w:r w:rsidR="00A12A40">
        <w:t>provided</w:t>
      </w:r>
      <w:r w:rsidR="00102AB7">
        <w:t xml:space="preserve"> </w:t>
      </w:r>
      <w:r w:rsidR="00817F4F">
        <w:t xml:space="preserve">the court </w:t>
      </w:r>
      <w:r w:rsidR="00A31E93">
        <w:t>with the files to aid the hearing</w:t>
      </w:r>
      <w:r w:rsidR="00817F4F">
        <w:t>.</w:t>
      </w:r>
    </w:p>
    <w:p w14:paraId="21220B13" w14:textId="4397B1F6" w:rsidR="006E0D56" w:rsidRPr="006E0D56" w:rsidRDefault="009074E3" w:rsidP="009074E3">
      <w:pPr>
        <w:pStyle w:val="Heading1"/>
        <w:numPr>
          <w:ilvl w:val="0"/>
          <w:numId w:val="0"/>
        </w:numPr>
        <w:tabs>
          <w:tab w:val="left" w:pos="862"/>
        </w:tabs>
        <w:ind w:left="862" w:hanging="862"/>
        <w:rPr>
          <w:szCs w:val="24"/>
        </w:rPr>
      </w:pPr>
      <w:r w:rsidRPr="006E0D56">
        <w:rPr>
          <w:szCs w:val="24"/>
        </w:rPr>
        <w:t>[147]</w:t>
      </w:r>
      <w:r w:rsidRPr="006E0D56">
        <w:rPr>
          <w:szCs w:val="24"/>
        </w:rPr>
        <w:tab/>
      </w:r>
      <w:proofErr w:type="gramStart"/>
      <w:r w:rsidR="0058617A">
        <w:rPr>
          <w:szCs w:val="24"/>
        </w:rPr>
        <w:t>That</w:t>
      </w:r>
      <w:proofErr w:type="gramEnd"/>
      <w:r w:rsidR="0058617A">
        <w:rPr>
          <w:szCs w:val="24"/>
        </w:rPr>
        <w:t xml:space="preserve"> said, I</w:t>
      </w:r>
      <w:r w:rsidR="00102AB7">
        <w:rPr>
          <w:szCs w:val="24"/>
        </w:rPr>
        <w:t xml:space="preserve"> am not of the view that </w:t>
      </w:r>
      <w:proofErr w:type="spellStart"/>
      <w:r w:rsidR="00102AB7">
        <w:rPr>
          <w:szCs w:val="24"/>
        </w:rPr>
        <w:t>Bihl</w:t>
      </w:r>
      <w:proofErr w:type="spellEnd"/>
      <w:r w:rsidR="00102AB7">
        <w:rPr>
          <w:szCs w:val="24"/>
        </w:rPr>
        <w:t xml:space="preserve"> should be mulcted with costs </w:t>
      </w:r>
      <w:r w:rsidR="00102AB7">
        <w:rPr>
          <w:i/>
          <w:iCs/>
          <w:szCs w:val="24"/>
        </w:rPr>
        <w:t xml:space="preserve">de </w:t>
      </w:r>
      <w:proofErr w:type="spellStart"/>
      <w:r w:rsidR="00102AB7">
        <w:rPr>
          <w:i/>
          <w:iCs/>
          <w:szCs w:val="24"/>
        </w:rPr>
        <w:t>bonis</w:t>
      </w:r>
      <w:proofErr w:type="spellEnd"/>
      <w:r w:rsidR="00102AB7">
        <w:rPr>
          <w:i/>
          <w:iCs/>
          <w:szCs w:val="24"/>
        </w:rPr>
        <w:t xml:space="preserve"> </w:t>
      </w:r>
      <w:proofErr w:type="spellStart"/>
      <w:r w:rsidR="00102AB7">
        <w:rPr>
          <w:i/>
          <w:iCs/>
          <w:szCs w:val="24"/>
        </w:rPr>
        <w:t>propriis</w:t>
      </w:r>
      <w:proofErr w:type="spellEnd"/>
      <w:r w:rsidR="00102AB7">
        <w:rPr>
          <w:szCs w:val="24"/>
        </w:rPr>
        <w:t xml:space="preserve"> on the attorney/client scale</w:t>
      </w:r>
      <w:r w:rsidR="001741FB">
        <w:rPr>
          <w:szCs w:val="24"/>
        </w:rPr>
        <w:t>.</w:t>
      </w:r>
      <w:r w:rsidR="00102AB7">
        <w:rPr>
          <w:szCs w:val="24"/>
        </w:rPr>
        <w:t xml:space="preserve"> Such costs </w:t>
      </w:r>
      <w:r w:rsidR="006E0D56">
        <w:rPr>
          <w:szCs w:val="24"/>
        </w:rPr>
        <w:t>are only awarded if there is “</w:t>
      </w:r>
      <w:r w:rsidR="006E0D56" w:rsidRPr="006E0D56">
        <w:rPr>
          <w:i/>
          <w:iCs/>
          <w:szCs w:val="24"/>
        </w:rPr>
        <w:t>negligence of a serious degree</w:t>
      </w:r>
      <w:r w:rsidR="006E0D56">
        <w:rPr>
          <w:szCs w:val="24"/>
        </w:rPr>
        <w:t xml:space="preserve">”. I cannot find that </w:t>
      </w:r>
      <w:proofErr w:type="spellStart"/>
      <w:r w:rsidR="00A12A40">
        <w:rPr>
          <w:szCs w:val="24"/>
        </w:rPr>
        <w:t>Bihl’s</w:t>
      </w:r>
      <w:proofErr w:type="spellEnd"/>
      <w:r w:rsidR="005D7462">
        <w:rPr>
          <w:szCs w:val="24"/>
        </w:rPr>
        <w:t xml:space="preserve"> conduct</w:t>
      </w:r>
      <w:r w:rsidR="006E0D56">
        <w:rPr>
          <w:szCs w:val="24"/>
        </w:rPr>
        <w:t xml:space="preserve"> fell into this category. As also submitted, “</w:t>
      </w:r>
      <w:r w:rsidR="006E0D56" w:rsidRPr="006E0D56">
        <w:rPr>
          <w:i/>
          <w:iCs/>
          <w:szCs w:val="24"/>
        </w:rPr>
        <w:t xml:space="preserve">No order will be made where the representative has acted bona fide; a mere error of judgment does not </w:t>
      </w:r>
      <w:r w:rsidR="006E0D56" w:rsidRPr="006E0D56">
        <w:rPr>
          <w:i/>
          <w:iCs/>
          <w:szCs w:val="24"/>
        </w:rPr>
        <w:lastRenderedPageBreak/>
        <w:t xml:space="preserve">warrant an order of costs de </w:t>
      </w:r>
      <w:proofErr w:type="spellStart"/>
      <w:r w:rsidR="006E0D56" w:rsidRPr="006E0D56">
        <w:rPr>
          <w:i/>
          <w:iCs/>
          <w:szCs w:val="24"/>
        </w:rPr>
        <w:t>bonis</w:t>
      </w:r>
      <w:proofErr w:type="spellEnd"/>
      <w:r w:rsidR="006E0D56" w:rsidRPr="006E0D56">
        <w:rPr>
          <w:i/>
          <w:iCs/>
          <w:szCs w:val="24"/>
        </w:rPr>
        <w:t xml:space="preserve"> </w:t>
      </w:r>
      <w:proofErr w:type="spellStart"/>
      <w:r w:rsidR="006E0D56" w:rsidRPr="006E0D56">
        <w:rPr>
          <w:i/>
          <w:iCs/>
          <w:szCs w:val="24"/>
        </w:rPr>
        <w:t>pr</w:t>
      </w:r>
      <w:r w:rsidR="006E0D56">
        <w:rPr>
          <w:i/>
          <w:iCs/>
          <w:szCs w:val="24"/>
        </w:rPr>
        <w:t>opii</w:t>
      </w:r>
      <w:r w:rsidR="006E0D56" w:rsidRPr="006E0D56">
        <w:rPr>
          <w:i/>
          <w:iCs/>
          <w:szCs w:val="24"/>
        </w:rPr>
        <w:t>s</w:t>
      </w:r>
      <w:proofErr w:type="spellEnd"/>
      <w:r w:rsidR="006E0D56">
        <w:rPr>
          <w:szCs w:val="24"/>
        </w:rPr>
        <w:t>”.</w:t>
      </w:r>
      <w:r w:rsidR="006E0D56">
        <w:rPr>
          <w:rStyle w:val="FootnoteReference"/>
          <w:szCs w:val="24"/>
        </w:rPr>
        <w:footnoteReference w:id="71"/>
      </w:r>
      <w:r w:rsidR="00102AB7">
        <w:rPr>
          <w:szCs w:val="24"/>
        </w:rPr>
        <w:t xml:space="preserve"> </w:t>
      </w:r>
      <w:proofErr w:type="spellStart"/>
      <w:r w:rsidR="00102AB7">
        <w:rPr>
          <w:szCs w:val="24"/>
        </w:rPr>
        <w:t>Bihl’s</w:t>
      </w:r>
      <w:proofErr w:type="spellEnd"/>
      <w:r w:rsidR="00102AB7">
        <w:rPr>
          <w:szCs w:val="24"/>
        </w:rPr>
        <w:t xml:space="preserve"> decisions were</w:t>
      </w:r>
      <w:r w:rsidR="00A12A40">
        <w:rPr>
          <w:szCs w:val="24"/>
        </w:rPr>
        <w:t>,</w:t>
      </w:r>
      <w:r w:rsidR="00102AB7">
        <w:rPr>
          <w:szCs w:val="24"/>
        </w:rPr>
        <w:t xml:space="preserve"> to my mind</w:t>
      </w:r>
      <w:r w:rsidR="00A12A40">
        <w:rPr>
          <w:szCs w:val="24"/>
        </w:rPr>
        <w:t>,</w:t>
      </w:r>
      <w:r w:rsidR="00102AB7">
        <w:rPr>
          <w:szCs w:val="24"/>
        </w:rPr>
        <w:t xml:space="preserve"> an error of judgment, but he remained </w:t>
      </w:r>
      <w:r w:rsidR="00102AB7">
        <w:rPr>
          <w:i/>
          <w:iCs/>
          <w:szCs w:val="24"/>
        </w:rPr>
        <w:t>bona fide</w:t>
      </w:r>
      <w:r w:rsidR="00102AB7">
        <w:rPr>
          <w:szCs w:val="24"/>
        </w:rPr>
        <w:t xml:space="preserve">. </w:t>
      </w:r>
    </w:p>
    <w:p w14:paraId="2617522F" w14:textId="17877B73" w:rsidR="0067473D" w:rsidRPr="00E47996" w:rsidRDefault="009074E3" w:rsidP="009074E3">
      <w:pPr>
        <w:pStyle w:val="Heading1"/>
        <w:numPr>
          <w:ilvl w:val="0"/>
          <w:numId w:val="0"/>
        </w:numPr>
        <w:tabs>
          <w:tab w:val="left" w:pos="862"/>
        </w:tabs>
        <w:ind w:left="862" w:hanging="862"/>
        <w:rPr>
          <w:szCs w:val="24"/>
        </w:rPr>
      </w:pPr>
      <w:r w:rsidRPr="00E47996">
        <w:rPr>
          <w:szCs w:val="24"/>
        </w:rPr>
        <w:t>[148]</w:t>
      </w:r>
      <w:r w:rsidRPr="00E47996">
        <w:rPr>
          <w:szCs w:val="24"/>
        </w:rPr>
        <w:tab/>
      </w:r>
      <w:r w:rsidR="005D7462">
        <w:t xml:space="preserve"> </w:t>
      </w:r>
      <w:r w:rsidR="0058617A">
        <w:t>However</w:t>
      </w:r>
      <w:r w:rsidR="005D7462">
        <w:t>, a</w:t>
      </w:r>
      <w:r w:rsidR="0067473D">
        <w:t xml:space="preserve">s set out in </w:t>
      </w:r>
      <w:r w:rsidR="0067473D" w:rsidRPr="00E47996">
        <w:rPr>
          <w:b/>
          <w:bCs/>
          <w:i/>
          <w:iCs/>
        </w:rPr>
        <w:t>In re: Alluvial Creek</w:t>
      </w:r>
      <w:r w:rsidR="0067473D">
        <w:rPr>
          <w:i/>
          <w:iCs/>
        </w:rPr>
        <w:t xml:space="preserve"> </w:t>
      </w:r>
      <w:r w:rsidR="0067473D">
        <w:t>decision:</w:t>
      </w:r>
      <w:r w:rsidR="0067473D">
        <w:rPr>
          <w:rStyle w:val="FootnoteReference"/>
        </w:rPr>
        <w:footnoteReference w:id="72"/>
      </w:r>
    </w:p>
    <w:p w14:paraId="67B8A924" w14:textId="0F5D1C64" w:rsidR="0067473D" w:rsidRPr="00F23114" w:rsidRDefault="0067473D" w:rsidP="0067473D">
      <w:pPr>
        <w:pStyle w:val="Quotation"/>
        <w:tabs>
          <w:tab w:val="clear" w:pos="2552"/>
        </w:tabs>
        <w:ind w:left="1843" w:firstLine="0"/>
        <w:rPr>
          <w:sz w:val="22"/>
          <w:szCs w:val="22"/>
        </w:rPr>
      </w:pPr>
      <w:r w:rsidRPr="00F23114">
        <w:rPr>
          <w:sz w:val="22"/>
          <w:szCs w:val="22"/>
        </w:rPr>
        <w:t xml:space="preserve">“An order is asked for that he pay the costs between attorney and client. Now sometimes such an order is given because of something in the conduct of a party, which the court considers should be punished, malice, misleading the court and things like that, but I think the order may also be granted without any reflection upon the party where the proceedings are vexatious, and by vexatious I mean where they have the effect of being vexatious although the intent may not have been that they should be vexatious. There are people who enter into litigation for the most upright purpose and the most firm belief in the justice of their cause, and yet whose proceedings may be regarded as vexatious when they put the other side to unnecessary trouble and expense which the other side ought not to bear. That I think is the position in the present case.”  </w:t>
      </w:r>
    </w:p>
    <w:p w14:paraId="323DC2A4" w14:textId="0EFB3C9F" w:rsidR="0067473D" w:rsidRDefault="009074E3" w:rsidP="009074E3">
      <w:pPr>
        <w:pStyle w:val="Heading1"/>
        <w:numPr>
          <w:ilvl w:val="0"/>
          <w:numId w:val="0"/>
        </w:numPr>
        <w:tabs>
          <w:tab w:val="left" w:pos="862"/>
        </w:tabs>
        <w:ind w:left="862" w:hanging="862"/>
        <w:rPr>
          <w:szCs w:val="24"/>
        </w:rPr>
      </w:pPr>
      <w:r>
        <w:rPr>
          <w:szCs w:val="24"/>
        </w:rPr>
        <w:t>[149]</w:t>
      </w:r>
      <w:r>
        <w:rPr>
          <w:szCs w:val="24"/>
        </w:rPr>
        <w:tab/>
      </w:r>
      <w:proofErr w:type="gramStart"/>
      <w:r w:rsidR="0067473D">
        <w:rPr>
          <w:szCs w:val="24"/>
        </w:rPr>
        <w:t>It</w:t>
      </w:r>
      <w:proofErr w:type="gramEnd"/>
      <w:r w:rsidR="0067473D">
        <w:rPr>
          <w:szCs w:val="24"/>
        </w:rPr>
        <w:t xml:space="preserve"> is my view that this </w:t>
      </w:r>
      <w:r w:rsidR="00A31E93">
        <w:rPr>
          <w:szCs w:val="24"/>
        </w:rPr>
        <w:t>approach</w:t>
      </w:r>
      <w:r w:rsidR="0067473D">
        <w:rPr>
          <w:szCs w:val="24"/>
        </w:rPr>
        <w:t xml:space="preserve"> is apposite in this matter. </w:t>
      </w:r>
      <w:r w:rsidR="00A31E93">
        <w:rPr>
          <w:szCs w:val="24"/>
        </w:rPr>
        <w:t xml:space="preserve">I do find that the applicant pressed on in circumstances where she not only had not made out a case but </w:t>
      </w:r>
      <w:r w:rsidR="00102AB7">
        <w:rPr>
          <w:szCs w:val="24"/>
        </w:rPr>
        <w:t>where material disputes of facts in the face of information not within her knowledge could reasonably have been anticipated.</w:t>
      </w:r>
      <w:r w:rsidR="0058617A">
        <w:rPr>
          <w:szCs w:val="24"/>
        </w:rPr>
        <w:t xml:space="preserve"> TWB was not engaged despite letters setting out emphatically the fallacy in the applicant’s reasoning. </w:t>
      </w:r>
      <w:r w:rsidR="0067473D">
        <w:rPr>
          <w:szCs w:val="24"/>
        </w:rPr>
        <w:t>In so doing, the effect</w:t>
      </w:r>
      <w:r w:rsidR="00A31E93">
        <w:rPr>
          <w:szCs w:val="24"/>
        </w:rPr>
        <w:t xml:space="preserve"> of this application is</w:t>
      </w:r>
      <w:r w:rsidR="0067473D">
        <w:rPr>
          <w:szCs w:val="24"/>
        </w:rPr>
        <w:t xml:space="preserve"> vexatious. I am</w:t>
      </w:r>
      <w:r w:rsidR="00A12A40">
        <w:rPr>
          <w:szCs w:val="24"/>
        </w:rPr>
        <w:t>,</w:t>
      </w:r>
      <w:r w:rsidR="0067473D">
        <w:rPr>
          <w:szCs w:val="24"/>
        </w:rPr>
        <w:t xml:space="preserve"> therefore</w:t>
      </w:r>
      <w:r w:rsidR="00A12A40">
        <w:rPr>
          <w:szCs w:val="24"/>
        </w:rPr>
        <w:t>,</w:t>
      </w:r>
      <w:r w:rsidR="0067473D">
        <w:rPr>
          <w:szCs w:val="24"/>
        </w:rPr>
        <w:t xml:space="preserve"> of the view that an attorney/client costs order is appropriate </w:t>
      </w:r>
      <w:r w:rsidR="0058617A">
        <w:rPr>
          <w:szCs w:val="24"/>
        </w:rPr>
        <w:t xml:space="preserve">and </w:t>
      </w:r>
      <w:r w:rsidR="0067473D">
        <w:rPr>
          <w:szCs w:val="24"/>
        </w:rPr>
        <w:t>that it should be borne by the applicant</w:t>
      </w:r>
      <w:r w:rsidR="0058617A">
        <w:rPr>
          <w:szCs w:val="24"/>
        </w:rPr>
        <w:t xml:space="preserve"> personally</w:t>
      </w:r>
      <w:r w:rsidR="0067473D">
        <w:rPr>
          <w:szCs w:val="24"/>
        </w:rPr>
        <w:t xml:space="preserve">. </w:t>
      </w:r>
    </w:p>
    <w:p w14:paraId="0660CB06" w14:textId="77777777" w:rsidR="0067473D" w:rsidRDefault="0067473D" w:rsidP="0067473D">
      <w:pPr>
        <w:pStyle w:val="Heading1"/>
        <w:numPr>
          <w:ilvl w:val="0"/>
          <w:numId w:val="0"/>
        </w:numPr>
        <w:rPr>
          <w:szCs w:val="24"/>
        </w:rPr>
      </w:pPr>
      <w:r>
        <w:rPr>
          <w:szCs w:val="24"/>
        </w:rPr>
        <w:t xml:space="preserve">As a consequence, I make an order in the following terms: </w:t>
      </w:r>
    </w:p>
    <w:p w14:paraId="4A59568F" w14:textId="767C05E6" w:rsidR="0067473D" w:rsidRDefault="009074E3" w:rsidP="009074E3">
      <w:pPr>
        <w:pStyle w:val="Heading1"/>
        <w:numPr>
          <w:ilvl w:val="0"/>
          <w:numId w:val="0"/>
        </w:numPr>
        <w:tabs>
          <w:tab w:val="left" w:pos="862"/>
        </w:tabs>
        <w:ind w:left="862" w:hanging="862"/>
      </w:pPr>
      <w:r>
        <w:lastRenderedPageBreak/>
        <w:t>[1]</w:t>
      </w:r>
      <w:r>
        <w:tab/>
      </w:r>
      <w:r w:rsidR="0067473D">
        <w:t xml:space="preserve">The application is dismissed. </w:t>
      </w:r>
    </w:p>
    <w:p w14:paraId="605A7A53" w14:textId="79A628E6" w:rsidR="0067473D" w:rsidRDefault="009074E3" w:rsidP="009074E3">
      <w:pPr>
        <w:pStyle w:val="Heading1"/>
        <w:numPr>
          <w:ilvl w:val="0"/>
          <w:numId w:val="0"/>
        </w:numPr>
        <w:tabs>
          <w:tab w:val="left" w:pos="862"/>
        </w:tabs>
        <w:ind w:left="862" w:hanging="862"/>
      </w:pPr>
      <w:r>
        <w:t>[2]</w:t>
      </w:r>
      <w:r>
        <w:tab/>
      </w:r>
      <w:r w:rsidR="0067473D">
        <w:t xml:space="preserve">The first applicant is ordered to pay the costs of the application on the attorney/client scale to the first respondent. </w:t>
      </w:r>
    </w:p>
    <w:p w14:paraId="0A139BD8" w14:textId="4B543C9D" w:rsidR="0067473D" w:rsidRDefault="009074E3" w:rsidP="009074E3">
      <w:pPr>
        <w:pStyle w:val="Heading1"/>
        <w:numPr>
          <w:ilvl w:val="0"/>
          <w:numId w:val="0"/>
        </w:numPr>
        <w:tabs>
          <w:tab w:val="left" w:pos="862"/>
        </w:tabs>
        <w:ind w:left="862" w:hanging="862"/>
      </w:pPr>
      <w:r>
        <w:t>[3]</w:t>
      </w:r>
      <w:r>
        <w:tab/>
      </w:r>
      <w:r w:rsidR="0067473D">
        <w:t xml:space="preserve">The first applicant is ordered to pay the costs of the application on the attorney/client scale to the second to thirteenth respondents, which costs are to be paid from her portion of the joint estate in compliance with section 17(3) of the </w:t>
      </w:r>
      <w:r w:rsidR="0067473D" w:rsidRPr="00550380">
        <w:t>Matrimonial Property Act 88 of 1984</w:t>
      </w:r>
      <w:r w:rsidR="0067473D">
        <w:t xml:space="preserve">. </w:t>
      </w:r>
    </w:p>
    <w:p w14:paraId="2D4E7135" w14:textId="07C929C6" w:rsidR="0067473D" w:rsidRPr="00A23865" w:rsidRDefault="009074E3" w:rsidP="009074E3">
      <w:pPr>
        <w:pStyle w:val="Heading1"/>
        <w:numPr>
          <w:ilvl w:val="0"/>
          <w:numId w:val="0"/>
        </w:numPr>
        <w:tabs>
          <w:tab w:val="left" w:pos="862"/>
        </w:tabs>
        <w:ind w:left="862" w:hanging="862"/>
      </w:pPr>
      <w:r w:rsidRPr="00A23865">
        <w:t>[4]</w:t>
      </w:r>
      <w:r w:rsidRPr="00A23865">
        <w:tab/>
      </w:r>
      <w:r w:rsidR="0067473D">
        <w:t xml:space="preserve">Insofar as the costs are concerned, in relation to the second to thirteenth respondents, the costs are to include both the costs of senior and junior counsel. </w:t>
      </w:r>
    </w:p>
    <w:p w14:paraId="3559B986" w14:textId="77777777" w:rsidR="0067473D" w:rsidRDefault="0067473D" w:rsidP="0067473D">
      <w:pPr>
        <w:keepNext/>
        <w:keepLines/>
        <w:tabs>
          <w:tab w:val="left" w:pos="0"/>
        </w:tabs>
        <w:spacing w:before="240" w:after="0" w:line="240" w:lineRule="auto"/>
        <w:jc w:val="right"/>
        <w:rPr>
          <w:b/>
          <w:u w:val="single"/>
        </w:rPr>
      </w:pPr>
    </w:p>
    <w:p w14:paraId="4E2F1728" w14:textId="77777777" w:rsidR="0067473D" w:rsidRDefault="0067473D" w:rsidP="0067473D">
      <w:pPr>
        <w:keepNext/>
        <w:keepLines/>
        <w:tabs>
          <w:tab w:val="left" w:pos="0"/>
        </w:tabs>
        <w:spacing w:before="240" w:after="0" w:line="240" w:lineRule="auto"/>
        <w:jc w:val="right"/>
        <w:rPr>
          <w:b/>
          <w:u w:val="single"/>
        </w:rPr>
      </w:pPr>
      <w:r>
        <w:rPr>
          <w:b/>
          <w:u w:val="single"/>
        </w:rPr>
        <w:t>______________________________________</w:t>
      </w:r>
    </w:p>
    <w:p w14:paraId="7F982C53" w14:textId="77777777" w:rsidR="0067473D" w:rsidRDefault="0067473D" w:rsidP="0067473D">
      <w:pPr>
        <w:keepNext/>
        <w:spacing w:after="0" w:line="240" w:lineRule="auto"/>
        <w:jc w:val="right"/>
        <w:rPr>
          <w:rFonts w:cs="Arial"/>
          <w:b/>
        </w:rPr>
      </w:pPr>
      <w:r>
        <w:rPr>
          <w:rFonts w:cs="Arial"/>
          <w:b/>
        </w:rPr>
        <w:t>P V TERNENT</w:t>
      </w:r>
    </w:p>
    <w:p w14:paraId="0BE96158" w14:textId="77777777" w:rsidR="0067473D" w:rsidRPr="0084771B" w:rsidRDefault="0067473D" w:rsidP="0067473D">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134823BF" w14:textId="739FC4B5" w:rsidR="0067473D" w:rsidRDefault="0067473D" w:rsidP="0067473D">
      <w:pPr>
        <w:spacing w:after="120"/>
        <w:jc w:val="right"/>
        <w:rPr>
          <w:rFonts w:cs="Arial"/>
          <w:i/>
        </w:rPr>
      </w:pPr>
      <w:r w:rsidRPr="0084771B">
        <w:rPr>
          <w:rFonts w:cs="Arial"/>
          <w:i/>
        </w:rPr>
        <w:t xml:space="preserve">Gauteng Division, </w:t>
      </w:r>
      <w:r>
        <w:rPr>
          <w:rFonts w:cs="Arial"/>
          <w:i/>
        </w:rPr>
        <w:t>Johannesburg</w:t>
      </w:r>
    </w:p>
    <w:p w14:paraId="534A38AE" w14:textId="616D5ED3" w:rsidR="00717B66" w:rsidRDefault="00717B66" w:rsidP="0067473D">
      <w:pPr>
        <w:spacing w:after="120"/>
        <w:jc w:val="right"/>
        <w:rPr>
          <w:rFonts w:cs="Arial"/>
          <w:i/>
        </w:rPr>
      </w:pPr>
    </w:p>
    <w:p w14:paraId="3BDBA8E8" w14:textId="558C0D6E" w:rsidR="00717B66" w:rsidRDefault="00717B66" w:rsidP="00717B6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autoSpaceDE w:val="0"/>
        <w:autoSpaceDN w:val="0"/>
        <w:adjustRightInd w:val="0"/>
        <w:spacing w:after="0" w:line="240" w:lineRule="auto"/>
        <w:rPr>
          <w:rFonts w:cs="Arial"/>
          <w:i/>
          <w:iCs/>
          <w:color w:val="242424"/>
          <w:kern w:val="0"/>
          <w:sz w:val="21"/>
          <w:szCs w:val="21"/>
          <w:lang w:val="en-GB" w:eastAsia="en-ZA"/>
        </w:rPr>
      </w:pPr>
      <w:r>
        <w:rPr>
          <w:rFonts w:cs="Arial"/>
          <w:i/>
          <w:iCs/>
          <w:color w:val="131313"/>
          <w:kern w:val="0"/>
          <w:sz w:val="21"/>
          <w:szCs w:val="21"/>
          <w:lang w:val="en-GB" w:eastAsia="en-ZA"/>
        </w:rPr>
        <w:t xml:space="preserve">Delivered: </w:t>
      </w:r>
      <w:r>
        <w:rPr>
          <w:rFonts w:cs="Arial"/>
          <w:i/>
          <w:iCs/>
          <w:color w:val="131313"/>
          <w:kern w:val="0"/>
          <w:sz w:val="21"/>
          <w:szCs w:val="21"/>
          <w:lang w:val="en-GB" w:eastAsia="en-ZA"/>
        </w:rPr>
        <w:tab/>
      </w:r>
      <w:r>
        <w:rPr>
          <w:rFonts w:cs="Arial"/>
          <w:i/>
          <w:iCs/>
          <w:color w:val="131313"/>
          <w:kern w:val="0"/>
          <w:sz w:val="21"/>
          <w:szCs w:val="21"/>
          <w:lang w:val="en-GB" w:eastAsia="en-ZA"/>
        </w:rPr>
        <w:tab/>
      </w:r>
      <w:r>
        <w:rPr>
          <w:rFonts w:cs="Arial"/>
          <w:i/>
          <w:iCs/>
          <w:color w:val="131313"/>
          <w:kern w:val="0"/>
          <w:sz w:val="21"/>
          <w:szCs w:val="21"/>
          <w:lang w:val="en-GB" w:eastAsia="en-ZA"/>
        </w:rPr>
        <w:tab/>
      </w:r>
      <w:r>
        <w:rPr>
          <w:rFonts w:cs="Arial"/>
          <w:i/>
          <w:iCs/>
          <w:color w:val="131313"/>
          <w:kern w:val="0"/>
          <w:sz w:val="21"/>
          <w:szCs w:val="21"/>
          <w:lang w:val="en-GB" w:eastAsia="en-ZA"/>
        </w:rPr>
        <w:tab/>
      </w:r>
      <w:r w:rsidR="00B06958">
        <w:rPr>
          <w:rFonts w:cs="Arial"/>
          <w:i/>
          <w:iCs/>
          <w:color w:val="131313"/>
          <w:kern w:val="0"/>
          <w:sz w:val="21"/>
          <w:szCs w:val="21"/>
          <w:lang w:val="en-GB" w:eastAsia="en-ZA"/>
        </w:rPr>
        <w:t>T</w:t>
      </w:r>
      <w:r>
        <w:rPr>
          <w:rFonts w:cs="Arial"/>
          <w:i/>
          <w:iCs/>
          <w:color w:val="242424"/>
          <w:kern w:val="0"/>
          <w:sz w:val="21"/>
          <w:szCs w:val="21"/>
          <w:lang w:val="en-GB" w:eastAsia="en-ZA"/>
        </w:rPr>
        <w:t xml:space="preserve">his </w:t>
      </w:r>
      <w:r>
        <w:rPr>
          <w:rFonts w:cs="Arial"/>
          <w:i/>
          <w:iCs/>
          <w:color w:val="131313"/>
          <w:kern w:val="0"/>
          <w:sz w:val="21"/>
          <w:szCs w:val="21"/>
          <w:lang w:val="en-GB" w:eastAsia="en-ZA"/>
        </w:rPr>
        <w:t xml:space="preserve">judgment </w:t>
      </w:r>
      <w:r>
        <w:rPr>
          <w:rFonts w:cs="Arial"/>
          <w:i/>
          <w:iCs/>
          <w:color w:val="242424"/>
          <w:kern w:val="0"/>
          <w:sz w:val="21"/>
          <w:szCs w:val="21"/>
          <w:lang w:val="en-GB" w:eastAsia="en-ZA"/>
        </w:rPr>
        <w:t xml:space="preserve">was prepared and authored by the </w:t>
      </w:r>
      <w:r>
        <w:rPr>
          <w:rFonts w:cs="Arial"/>
          <w:i/>
          <w:iCs/>
          <w:color w:val="131313"/>
          <w:kern w:val="0"/>
          <w:sz w:val="21"/>
          <w:szCs w:val="21"/>
          <w:lang w:val="en-GB" w:eastAsia="en-ZA"/>
        </w:rPr>
        <w:t xml:space="preserve">Judge </w:t>
      </w:r>
      <w:r>
        <w:rPr>
          <w:rFonts w:cs="Arial"/>
          <w:i/>
          <w:iCs/>
          <w:color w:val="242424"/>
          <w:kern w:val="0"/>
          <w:sz w:val="21"/>
          <w:szCs w:val="21"/>
          <w:lang w:val="en-GB" w:eastAsia="en-ZA"/>
        </w:rPr>
        <w:t>whose</w:t>
      </w:r>
      <w:r w:rsidR="00B06958">
        <w:rPr>
          <w:rFonts w:cs="Arial"/>
          <w:i/>
          <w:iCs/>
          <w:color w:val="242424"/>
          <w:kern w:val="0"/>
          <w:sz w:val="21"/>
          <w:szCs w:val="21"/>
          <w:lang w:val="en-GB" w:eastAsia="en-ZA"/>
        </w:rPr>
        <w:t xml:space="preserve"> </w:t>
      </w:r>
      <w:r>
        <w:rPr>
          <w:rFonts w:cs="Arial"/>
          <w:i/>
          <w:iCs/>
          <w:color w:val="242424"/>
          <w:kern w:val="0"/>
          <w:sz w:val="21"/>
          <w:szCs w:val="21"/>
          <w:lang w:val="en-GB" w:eastAsia="en-ZA"/>
        </w:rPr>
        <w:t xml:space="preserve">name is </w:t>
      </w:r>
      <w:r>
        <w:rPr>
          <w:rFonts w:cs="Arial"/>
          <w:i/>
          <w:iCs/>
          <w:color w:val="131313"/>
          <w:kern w:val="0"/>
          <w:sz w:val="21"/>
          <w:szCs w:val="21"/>
          <w:lang w:val="en-GB" w:eastAsia="en-ZA"/>
        </w:rPr>
        <w:t xml:space="preserve">reflected </w:t>
      </w:r>
      <w:r>
        <w:rPr>
          <w:rFonts w:cs="Arial"/>
          <w:i/>
          <w:iCs/>
          <w:color w:val="242424"/>
          <w:kern w:val="0"/>
          <w:sz w:val="21"/>
          <w:szCs w:val="21"/>
          <w:lang w:val="en-GB" w:eastAsia="en-ZA"/>
        </w:rPr>
        <w:t xml:space="preserve">and is handed </w:t>
      </w:r>
      <w:r>
        <w:rPr>
          <w:rFonts w:cs="Arial"/>
          <w:i/>
          <w:iCs/>
          <w:color w:val="131313"/>
          <w:kern w:val="0"/>
          <w:sz w:val="21"/>
          <w:szCs w:val="21"/>
          <w:lang w:val="en-GB" w:eastAsia="en-ZA"/>
        </w:rPr>
        <w:t xml:space="preserve">down </w:t>
      </w:r>
      <w:r>
        <w:rPr>
          <w:rFonts w:cs="Arial"/>
          <w:i/>
          <w:iCs/>
          <w:color w:val="242424"/>
          <w:kern w:val="0"/>
          <w:sz w:val="21"/>
          <w:szCs w:val="21"/>
          <w:lang w:val="en-GB" w:eastAsia="en-ZA"/>
        </w:rPr>
        <w:t xml:space="preserve">electronically by circulation to the </w:t>
      </w:r>
      <w:r>
        <w:rPr>
          <w:rFonts w:cs="Arial"/>
          <w:i/>
          <w:iCs/>
          <w:color w:val="131313"/>
          <w:kern w:val="0"/>
          <w:sz w:val="21"/>
          <w:szCs w:val="21"/>
          <w:lang w:val="en-GB" w:eastAsia="en-ZA"/>
        </w:rPr>
        <w:t xml:space="preserve">Parties/their legal </w:t>
      </w:r>
      <w:r>
        <w:rPr>
          <w:rFonts w:cs="Arial"/>
          <w:i/>
          <w:iCs/>
          <w:color w:val="242424"/>
          <w:kern w:val="0"/>
          <w:sz w:val="21"/>
          <w:szCs w:val="21"/>
          <w:lang w:val="en-GB" w:eastAsia="en-ZA"/>
        </w:rPr>
        <w:t xml:space="preserve">representatives by email and by uploading it to </w:t>
      </w:r>
      <w:r>
        <w:rPr>
          <w:rFonts w:cs="Arial"/>
          <w:i/>
          <w:iCs/>
          <w:color w:val="131313"/>
          <w:kern w:val="0"/>
          <w:sz w:val="21"/>
          <w:szCs w:val="21"/>
          <w:lang w:val="en-GB" w:eastAsia="en-ZA"/>
        </w:rPr>
        <w:t xml:space="preserve">the </w:t>
      </w:r>
      <w:r>
        <w:rPr>
          <w:rFonts w:cs="Arial"/>
          <w:i/>
          <w:iCs/>
          <w:color w:val="242424"/>
          <w:kern w:val="0"/>
          <w:sz w:val="21"/>
          <w:szCs w:val="21"/>
          <w:lang w:val="en-GB" w:eastAsia="en-ZA"/>
        </w:rPr>
        <w:t xml:space="preserve">electronic </w:t>
      </w:r>
      <w:r>
        <w:rPr>
          <w:rFonts w:cs="Arial"/>
          <w:i/>
          <w:iCs/>
          <w:color w:val="131313"/>
          <w:kern w:val="0"/>
          <w:sz w:val="21"/>
          <w:szCs w:val="21"/>
          <w:lang w:val="en-GB" w:eastAsia="en-ZA"/>
        </w:rPr>
        <w:t xml:space="preserve">file of </w:t>
      </w:r>
      <w:r>
        <w:rPr>
          <w:rFonts w:cs="Arial"/>
          <w:i/>
          <w:iCs/>
          <w:color w:val="242424"/>
          <w:kern w:val="0"/>
          <w:sz w:val="21"/>
          <w:szCs w:val="21"/>
          <w:lang w:val="en-GB" w:eastAsia="en-ZA"/>
        </w:rPr>
        <w:t xml:space="preserve">this matter on </w:t>
      </w:r>
      <w:proofErr w:type="spellStart"/>
      <w:r>
        <w:rPr>
          <w:rFonts w:cs="Arial"/>
          <w:i/>
          <w:iCs/>
          <w:color w:val="242424"/>
          <w:kern w:val="0"/>
          <w:sz w:val="21"/>
          <w:szCs w:val="21"/>
          <w:lang w:val="en-GB" w:eastAsia="en-ZA"/>
        </w:rPr>
        <w:t>CaseLines</w:t>
      </w:r>
      <w:proofErr w:type="spellEnd"/>
      <w:r>
        <w:rPr>
          <w:rFonts w:cs="Arial"/>
          <w:i/>
          <w:iCs/>
          <w:color w:val="3E3E3E"/>
          <w:kern w:val="0"/>
          <w:sz w:val="21"/>
          <w:szCs w:val="21"/>
          <w:lang w:val="en-GB" w:eastAsia="en-ZA"/>
        </w:rPr>
        <w:t xml:space="preserve">. </w:t>
      </w:r>
      <w:r>
        <w:rPr>
          <w:rFonts w:cs="Arial"/>
          <w:i/>
          <w:iCs/>
          <w:color w:val="131313"/>
          <w:kern w:val="0"/>
          <w:sz w:val="21"/>
          <w:szCs w:val="21"/>
          <w:lang w:val="en-GB" w:eastAsia="en-ZA"/>
        </w:rPr>
        <w:t xml:space="preserve">The </w:t>
      </w:r>
      <w:r>
        <w:rPr>
          <w:rFonts w:cs="Arial"/>
          <w:i/>
          <w:iCs/>
          <w:color w:val="242424"/>
          <w:kern w:val="0"/>
          <w:sz w:val="21"/>
          <w:szCs w:val="21"/>
          <w:lang w:val="en-GB" w:eastAsia="en-ZA"/>
        </w:rPr>
        <w:t xml:space="preserve">date for hand-down is deemed </w:t>
      </w:r>
      <w:r>
        <w:rPr>
          <w:rFonts w:ascii="Times New Roman" w:hAnsi="Times New Roman"/>
          <w:i/>
          <w:iCs/>
          <w:color w:val="242424"/>
          <w:kern w:val="0"/>
          <w:sz w:val="26"/>
          <w:szCs w:val="26"/>
          <w:lang w:val="en-GB" w:eastAsia="en-ZA"/>
        </w:rPr>
        <w:t xml:space="preserve">to </w:t>
      </w:r>
      <w:r>
        <w:rPr>
          <w:rFonts w:cs="Arial"/>
          <w:i/>
          <w:iCs/>
          <w:color w:val="242424"/>
          <w:kern w:val="0"/>
          <w:sz w:val="21"/>
          <w:szCs w:val="21"/>
          <w:lang w:val="en-GB" w:eastAsia="en-ZA"/>
        </w:rPr>
        <w:t xml:space="preserve">be on </w:t>
      </w:r>
      <w:r w:rsidR="00B06958">
        <w:rPr>
          <w:rFonts w:cs="Arial"/>
          <w:i/>
          <w:iCs/>
          <w:color w:val="242424"/>
          <w:kern w:val="0"/>
          <w:sz w:val="21"/>
          <w:szCs w:val="21"/>
          <w:lang w:val="en-GB" w:eastAsia="en-ZA"/>
        </w:rPr>
        <w:t xml:space="preserve">8 </w:t>
      </w:r>
      <w:r>
        <w:rPr>
          <w:rFonts w:cs="Arial"/>
          <w:i/>
          <w:iCs/>
          <w:color w:val="242424"/>
          <w:kern w:val="0"/>
          <w:sz w:val="21"/>
          <w:szCs w:val="21"/>
          <w:lang w:val="en-GB" w:eastAsia="en-ZA"/>
        </w:rPr>
        <w:t>September</w:t>
      </w:r>
      <w:r>
        <w:rPr>
          <w:rFonts w:cs="Arial"/>
          <w:i/>
          <w:iCs/>
          <w:color w:val="131313"/>
          <w:kern w:val="0"/>
          <w:sz w:val="21"/>
          <w:szCs w:val="21"/>
          <w:lang w:val="en-GB" w:eastAsia="en-ZA"/>
        </w:rPr>
        <w:t xml:space="preserve"> </w:t>
      </w:r>
      <w:r>
        <w:rPr>
          <w:rFonts w:cs="Arial"/>
          <w:i/>
          <w:iCs/>
          <w:color w:val="242424"/>
          <w:kern w:val="0"/>
          <w:sz w:val="21"/>
          <w:szCs w:val="21"/>
          <w:lang w:val="en-GB" w:eastAsia="en-ZA"/>
        </w:rPr>
        <w:t>2023.</w:t>
      </w:r>
    </w:p>
    <w:p w14:paraId="1AA1762E" w14:textId="3F3F7F2E" w:rsidR="00717B66" w:rsidRDefault="00717B66" w:rsidP="00717B6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autoSpaceDE w:val="0"/>
        <w:autoSpaceDN w:val="0"/>
        <w:adjustRightInd w:val="0"/>
        <w:spacing w:after="0" w:line="240" w:lineRule="auto"/>
        <w:rPr>
          <w:rFonts w:cs="Arial"/>
          <w:i/>
        </w:rPr>
      </w:pPr>
    </w:p>
    <w:p w14:paraId="01FED198" w14:textId="27BB6B71" w:rsidR="00717B66" w:rsidRDefault="00717B66" w:rsidP="00717B6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autoSpaceDE w:val="0"/>
        <w:autoSpaceDN w:val="0"/>
        <w:adjustRightInd w:val="0"/>
        <w:spacing w:after="0" w:line="240" w:lineRule="auto"/>
        <w:rPr>
          <w:rFonts w:cs="Arial"/>
          <w:i/>
        </w:rPr>
      </w:pPr>
    </w:p>
    <w:p w14:paraId="5C15A2DF" w14:textId="77777777" w:rsidR="00717B66" w:rsidRPr="00B47130" w:rsidRDefault="00717B66" w:rsidP="00717B6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autoSpaceDE w:val="0"/>
        <w:autoSpaceDN w:val="0"/>
        <w:adjustRightInd w:val="0"/>
        <w:spacing w:after="0" w:line="240" w:lineRule="auto"/>
        <w:rPr>
          <w:rFonts w:cs="Arial"/>
          <w:i/>
        </w:rPr>
      </w:pPr>
    </w:p>
    <w:p w14:paraId="51900165" w14:textId="77777777" w:rsidR="0067473D" w:rsidRDefault="0067473D" w:rsidP="0067473D">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7473D" w14:paraId="7E29AE00" w14:textId="77777777" w:rsidTr="00A0670F">
        <w:tc>
          <w:tcPr>
            <w:tcW w:w="3936" w:type="dxa"/>
            <w:tcMar>
              <w:top w:w="32" w:type="dxa"/>
              <w:left w:w="108" w:type="dxa"/>
              <w:bottom w:w="32" w:type="dxa"/>
              <w:right w:w="108" w:type="dxa"/>
            </w:tcMar>
            <w:vAlign w:val="center"/>
            <w:hideMark/>
          </w:tcPr>
          <w:p w14:paraId="1C926393" w14:textId="77777777" w:rsidR="0067473D" w:rsidRDefault="0067473D" w:rsidP="00A0670F">
            <w:pPr>
              <w:keepNext/>
              <w:spacing w:before="120" w:after="0" w:line="240" w:lineRule="auto"/>
              <w:rPr>
                <w:sz w:val="22"/>
                <w:szCs w:val="22"/>
              </w:rPr>
            </w:pPr>
            <w:r>
              <w:lastRenderedPageBreak/>
              <w:t>HEARD ON: </w:t>
            </w:r>
          </w:p>
        </w:tc>
        <w:tc>
          <w:tcPr>
            <w:tcW w:w="5208" w:type="dxa"/>
            <w:tcMar>
              <w:top w:w="32" w:type="dxa"/>
              <w:left w:w="108" w:type="dxa"/>
              <w:bottom w:w="32" w:type="dxa"/>
              <w:right w:w="108" w:type="dxa"/>
            </w:tcMar>
            <w:vAlign w:val="center"/>
            <w:hideMark/>
          </w:tcPr>
          <w:p w14:paraId="3702B6C0" w14:textId="085FB70B" w:rsidR="0067473D" w:rsidRDefault="00E07C69" w:rsidP="00A0670F">
            <w:pPr>
              <w:keepNext/>
              <w:spacing w:after="0" w:line="240" w:lineRule="auto"/>
              <w:rPr>
                <w:sz w:val="22"/>
                <w:szCs w:val="22"/>
              </w:rPr>
            </w:pPr>
            <w:r>
              <w:t>9</w:t>
            </w:r>
            <w:r w:rsidR="0067473D">
              <w:t xml:space="preserve"> and </w:t>
            </w:r>
            <w:r>
              <w:t>11</w:t>
            </w:r>
            <w:r w:rsidR="0067473D">
              <w:t xml:space="preserve"> November 2022</w:t>
            </w:r>
          </w:p>
        </w:tc>
      </w:tr>
      <w:tr w:rsidR="0067473D" w14:paraId="12957D1E" w14:textId="77777777" w:rsidTr="00A0670F">
        <w:tc>
          <w:tcPr>
            <w:tcW w:w="3936" w:type="dxa"/>
            <w:tcMar>
              <w:top w:w="32" w:type="dxa"/>
              <w:left w:w="108" w:type="dxa"/>
              <w:bottom w:w="32" w:type="dxa"/>
              <w:right w:w="108" w:type="dxa"/>
            </w:tcMar>
            <w:vAlign w:val="center"/>
            <w:hideMark/>
          </w:tcPr>
          <w:p w14:paraId="2005366E" w14:textId="77777777" w:rsidR="0067473D" w:rsidRDefault="0067473D" w:rsidP="00A0670F">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0305DA54" w14:textId="77777777" w:rsidR="0067473D" w:rsidRDefault="0067473D" w:rsidP="00A0670F">
            <w:pPr>
              <w:keepNext/>
              <w:spacing w:after="0" w:line="240" w:lineRule="auto"/>
            </w:pPr>
          </w:p>
        </w:tc>
      </w:tr>
      <w:tr w:rsidR="0067473D" w14:paraId="61DF5608" w14:textId="77777777" w:rsidTr="00A0670F">
        <w:tc>
          <w:tcPr>
            <w:tcW w:w="3936" w:type="dxa"/>
            <w:tcMar>
              <w:top w:w="32" w:type="dxa"/>
              <w:left w:w="108" w:type="dxa"/>
              <w:bottom w:w="32" w:type="dxa"/>
              <w:right w:w="108" w:type="dxa"/>
            </w:tcMar>
            <w:vAlign w:val="center"/>
            <w:hideMark/>
          </w:tcPr>
          <w:p w14:paraId="0BEDAF03" w14:textId="77777777" w:rsidR="0067473D" w:rsidRDefault="0067473D" w:rsidP="00A0670F">
            <w:pPr>
              <w:keepNext/>
              <w:spacing w:before="120" w:after="0" w:line="240" w:lineRule="auto"/>
              <w:ind w:right="-108"/>
              <w:jc w:val="left"/>
            </w:pPr>
            <w:r>
              <w:t>FOR FIRST AND SECOND APPLICANTS:</w:t>
            </w:r>
          </w:p>
        </w:tc>
        <w:tc>
          <w:tcPr>
            <w:tcW w:w="5208" w:type="dxa"/>
            <w:tcMar>
              <w:top w:w="32" w:type="dxa"/>
              <w:left w:w="108" w:type="dxa"/>
              <w:bottom w:w="32" w:type="dxa"/>
              <w:right w:w="108" w:type="dxa"/>
            </w:tcMar>
            <w:vAlign w:val="center"/>
            <w:hideMark/>
          </w:tcPr>
          <w:p w14:paraId="385FB8AB" w14:textId="77777777" w:rsidR="0067473D" w:rsidRDefault="0067473D" w:rsidP="00A0670F">
            <w:pPr>
              <w:keepNext/>
              <w:spacing w:after="0" w:line="240" w:lineRule="auto"/>
            </w:pPr>
            <w:r>
              <w:t>Mr D Whittington</w:t>
            </w:r>
          </w:p>
          <w:p w14:paraId="4B3C42E6" w14:textId="6890C8FD" w:rsidR="0067473D" w:rsidRDefault="0067473D" w:rsidP="00A0670F">
            <w:pPr>
              <w:keepNext/>
              <w:spacing w:after="0" w:line="240" w:lineRule="auto"/>
            </w:pPr>
            <w:r>
              <w:t xml:space="preserve">E-mail: </w:t>
            </w:r>
            <w:r w:rsidR="00F17BF1">
              <w:t>dean@deanwhittington.co.za</w:t>
            </w:r>
          </w:p>
        </w:tc>
      </w:tr>
      <w:tr w:rsidR="0067473D" w14:paraId="00D7C9F8" w14:textId="77777777" w:rsidTr="00A0670F">
        <w:tc>
          <w:tcPr>
            <w:tcW w:w="3936" w:type="dxa"/>
            <w:tcMar>
              <w:top w:w="32" w:type="dxa"/>
              <w:left w:w="108" w:type="dxa"/>
              <w:bottom w:w="32" w:type="dxa"/>
              <w:right w:w="108" w:type="dxa"/>
            </w:tcMar>
            <w:vAlign w:val="center"/>
            <w:hideMark/>
          </w:tcPr>
          <w:p w14:paraId="4FF46100" w14:textId="77777777" w:rsidR="0067473D" w:rsidRDefault="0067473D" w:rsidP="00A0670F">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6D3A0CA5" w14:textId="77777777" w:rsidR="0067473D" w:rsidRDefault="0067473D" w:rsidP="00A0670F">
            <w:pPr>
              <w:spacing w:after="0" w:line="240" w:lineRule="auto"/>
              <w:ind w:left="3022" w:hanging="3022"/>
            </w:pPr>
            <w:r>
              <w:t xml:space="preserve">Mr </w:t>
            </w:r>
            <w:proofErr w:type="spellStart"/>
            <w:r>
              <w:t>Bihl</w:t>
            </w:r>
            <w:proofErr w:type="spellEnd"/>
            <w:r>
              <w:t xml:space="preserve"> </w:t>
            </w:r>
          </w:p>
          <w:p w14:paraId="6704195D" w14:textId="77777777" w:rsidR="0067473D" w:rsidRDefault="0067473D" w:rsidP="00A0670F">
            <w:pPr>
              <w:keepNext/>
              <w:spacing w:after="0" w:line="240" w:lineRule="auto"/>
            </w:pPr>
            <w:r>
              <w:t xml:space="preserve">Erasmus </w:t>
            </w:r>
            <w:proofErr w:type="spellStart"/>
            <w:r>
              <w:t>Motaung</w:t>
            </w:r>
            <w:proofErr w:type="spellEnd"/>
            <w:r>
              <w:t xml:space="preserve"> Inc.</w:t>
            </w:r>
          </w:p>
          <w:p w14:paraId="234DF5B4" w14:textId="77777777" w:rsidR="0067473D" w:rsidRDefault="0067473D" w:rsidP="00A0670F">
            <w:pPr>
              <w:keepNext/>
              <w:spacing w:after="0" w:line="240" w:lineRule="auto"/>
              <w:rPr>
                <w:sz w:val="22"/>
                <w:szCs w:val="22"/>
              </w:rPr>
            </w:pPr>
            <w:r>
              <w:rPr>
                <w:sz w:val="22"/>
                <w:szCs w:val="22"/>
              </w:rPr>
              <w:t xml:space="preserve">E-mail: </w:t>
            </w:r>
            <w:hyperlink r:id="rId10" w:history="1">
              <w:r w:rsidRPr="006C446C">
                <w:rPr>
                  <w:rStyle w:val="Hyperlink"/>
                  <w:sz w:val="22"/>
                  <w:szCs w:val="22"/>
                </w:rPr>
                <w:t>emil@em.law. za</w:t>
              </w:r>
            </w:hyperlink>
            <w:r>
              <w:rPr>
                <w:sz w:val="22"/>
                <w:szCs w:val="22"/>
              </w:rPr>
              <w:t xml:space="preserve"> / </w:t>
            </w:r>
            <w:hyperlink r:id="rId11" w:history="1">
              <w:r w:rsidRPr="006C446C">
                <w:rPr>
                  <w:rStyle w:val="Hyperlink"/>
                  <w:sz w:val="22"/>
                  <w:szCs w:val="22"/>
                </w:rPr>
                <w:t>sonja@em.law.za</w:t>
              </w:r>
            </w:hyperlink>
            <w:r>
              <w:rPr>
                <w:sz w:val="22"/>
                <w:szCs w:val="22"/>
              </w:rPr>
              <w:t xml:space="preserve"> </w:t>
            </w:r>
          </w:p>
        </w:tc>
      </w:tr>
      <w:tr w:rsidR="0067473D" w14:paraId="4973BA66" w14:textId="77777777" w:rsidTr="00A0670F">
        <w:tc>
          <w:tcPr>
            <w:tcW w:w="3936" w:type="dxa"/>
            <w:tcMar>
              <w:top w:w="32" w:type="dxa"/>
              <w:left w:w="108" w:type="dxa"/>
              <w:bottom w:w="32" w:type="dxa"/>
              <w:right w:w="108" w:type="dxa"/>
            </w:tcMar>
            <w:vAlign w:val="center"/>
            <w:hideMark/>
          </w:tcPr>
          <w:p w14:paraId="716BDED2" w14:textId="77777777" w:rsidR="0067473D" w:rsidRDefault="0067473D" w:rsidP="00A0670F">
            <w:pPr>
              <w:keepNext/>
              <w:spacing w:before="120" w:after="0" w:line="240" w:lineRule="auto"/>
              <w:jc w:val="left"/>
              <w:rPr>
                <w:sz w:val="22"/>
                <w:szCs w:val="22"/>
              </w:rPr>
            </w:pPr>
            <w:r>
              <w:t>FOR FIRST RESPONDENT: </w:t>
            </w:r>
          </w:p>
        </w:tc>
        <w:tc>
          <w:tcPr>
            <w:tcW w:w="5208" w:type="dxa"/>
            <w:tcMar>
              <w:top w:w="32" w:type="dxa"/>
              <w:left w:w="108" w:type="dxa"/>
              <w:bottom w:w="32" w:type="dxa"/>
              <w:right w:w="108" w:type="dxa"/>
            </w:tcMar>
            <w:vAlign w:val="center"/>
            <w:hideMark/>
          </w:tcPr>
          <w:p w14:paraId="5250132D" w14:textId="77777777" w:rsidR="0067473D" w:rsidRDefault="0067473D" w:rsidP="00A0670F">
            <w:pPr>
              <w:keepNext/>
              <w:spacing w:after="0" w:line="240" w:lineRule="auto"/>
            </w:pPr>
            <w:r>
              <w:t xml:space="preserve">Mr E </w:t>
            </w:r>
            <w:proofErr w:type="spellStart"/>
            <w:r>
              <w:t>Kromhout</w:t>
            </w:r>
            <w:proofErr w:type="spellEnd"/>
          </w:p>
          <w:p w14:paraId="64FC9883" w14:textId="42699BF4" w:rsidR="0067473D" w:rsidRDefault="0067473D" w:rsidP="00A0670F">
            <w:pPr>
              <w:keepNext/>
              <w:spacing w:after="0" w:line="240" w:lineRule="auto"/>
              <w:rPr>
                <w:sz w:val="22"/>
                <w:szCs w:val="22"/>
              </w:rPr>
            </w:pPr>
            <w:r>
              <w:rPr>
                <w:szCs w:val="22"/>
              </w:rPr>
              <w:t xml:space="preserve">E-mail: </w:t>
            </w:r>
            <w:r w:rsidR="00F17BF1">
              <w:rPr>
                <w:szCs w:val="22"/>
              </w:rPr>
              <w:t>kromhot@law.co.za</w:t>
            </w:r>
          </w:p>
        </w:tc>
      </w:tr>
      <w:tr w:rsidR="0067473D" w14:paraId="022F0A91" w14:textId="77777777" w:rsidTr="00A0670F">
        <w:tc>
          <w:tcPr>
            <w:tcW w:w="3936" w:type="dxa"/>
            <w:tcMar>
              <w:top w:w="32" w:type="dxa"/>
              <w:left w:w="108" w:type="dxa"/>
              <w:bottom w:w="32" w:type="dxa"/>
              <w:right w:w="108" w:type="dxa"/>
            </w:tcMar>
            <w:vAlign w:val="center"/>
            <w:hideMark/>
          </w:tcPr>
          <w:p w14:paraId="77C2A89A" w14:textId="77777777" w:rsidR="0067473D" w:rsidRDefault="0067473D" w:rsidP="00A0670F">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01CB1C14" w14:textId="77777777" w:rsidR="0067473D" w:rsidRDefault="0067473D" w:rsidP="00A0670F">
            <w:pPr>
              <w:keepNext/>
              <w:spacing w:after="0" w:line="240" w:lineRule="auto"/>
            </w:pPr>
            <w:r>
              <w:t xml:space="preserve">TWB – </w:t>
            </w:r>
            <w:proofErr w:type="spellStart"/>
            <w:r>
              <w:t>Tugendhaft</w:t>
            </w:r>
            <w:proofErr w:type="spellEnd"/>
            <w:r>
              <w:t xml:space="preserve"> </w:t>
            </w:r>
            <w:proofErr w:type="spellStart"/>
            <w:r>
              <w:t>Wapnick</w:t>
            </w:r>
            <w:proofErr w:type="spellEnd"/>
            <w:r>
              <w:t xml:space="preserve"> </w:t>
            </w:r>
            <w:proofErr w:type="spellStart"/>
            <w:r>
              <w:t>Banchetti</w:t>
            </w:r>
            <w:proofErr w:type="spellEnd"/>
            <w:r>
              <w:t xml:space="preserve"> &amp; Partners</w:t>
            </w:r>
          </w:p>
          <w:p w14:paraId="6800CFC1" w14:textId="77777777" w:rsidR="0067473D" w:rsidRDefault="0067473D" w:rsidP="00A0670F">
            <w:pPr>
              <w:keepNext/>
              <w:spacing w:after="0" w:line="240" w:lineRule="auto"/>
              <w:rPr>
                <w:sz w:val="22"/>
                <w:szCs w:val="22"/>
              </w:rPr>
            </w:pPr>
            <w:r>
              <w:t xml:space="preserve">E-mail: </w:t>
            </w:r>
            <w:hyperlink r:id="rId12" w:history="1">
              <w:r w:rsidRPr="006C446C">
                <w:rPr>
                  <w:rStyle w:val="Hyperlink"/>
                </w:rPr>
                <w:t>oshy@twb.co.za</w:t>
              </w:r>
            </w:hyperlink>
            <w:r>
              <w:t xml:space="preserve"> / </w:t>
            </w:r>
            <w:hyperlink r:id="rId13" w:history="1">
              <w:r w:rsidRPr="006C446C">
                <w:rPr>
                  <w:rStyle w:val="Hyperlink"/>
                </w:rPr>
                <w:t>helen@twb.co.za</w:t>
              </w:r>
            </w:hyperlink>
            <w:r>
              <w:t xml:space="preserve"> / </w:t>
            </w:r>
            <w:hyperlink r:id="rId14" w:history="1">
              <w:r w:rsidRPr="006C446C">
                <w:rPr>
                  <w:rStyle w:val="Hyperlink"/>
                </w:rPr>
                <w:t>anabela@twb.co.za</w:t>
              </w:r>
            </w:hyperlink>
            <w:r>
              <w:t xml:space="preserve">  </w:t>
            </w:r>
            <w:hyperlink r:id="rId15" w:history="1">
              <w:r w:rsidRPr="006C446C">
                <w:rPr>
                  <w:rStyle w:val="Hyperlink"/>
                </w:rPr>
                <w:t xml:space="preserve">      </w:t>
              </w:r>
            </w:hyperlink>
          </w:p>
        </w:tc>
      </w:tr>
      <w:tr w:rsidR="0067473D" w14:paraId="54F4143C" w14:textId="77777777" w:rsidTr="00A0670F">
        <w:tc>
          <w:tcPr>
            <w:tcW w:w="3936" w:type="dxa"/>
            <w:tcMar>
              <w:top w:w="32" w:type="dxa"/>
              <w:left w:w="108" w:type="dxa"/>
              <w:bottom w:w="32" w:type="dxa"/>
              <w:right w:w="108" w:type="dxa"/>
            </w:tcMar>
            <w:vAlign w:val="center"/>
          </w:tcPr>
          <w:p w14:paraId="61B512EC" w14:textId="77777777" w:rsidR="0067473D" w:rsidRDefault="0067473D" w:rsidP="00A0670F">
            <w:pPr>
              <w:keepNext/>
              <w:spacing w:before="120" w:line="240" w:lineRule="auto"/>
            </w:pPr>
            <w:r>
              <w:t>FOR SECOND TO THIRTEENTH RESPONDENTS:</w:t>
            </w:r>
          </w:p>
        </w:tc>
        <w:tc>
          <w:tcPr>
            <w:tcW w:w="5208" w:type="dxa"/>
            <w:tcMar>
              <w:top w:w="32" w:type="dxa"/>
              <w:left w:w="108" w:type="dxa"/>
              <w:bottom w:w="32" w:type="dxa"/>
              <w:right w:w="108" w:type="dxa"/>
            </w:tcMar>
            <w:vAlign w:val="center"/>
          </w:tcPr>
          <w:p w14:paraId="7AA3D50E" w14:textId="77777777" w:rsidR="0067473D" w:rsidRDefault="0067473D" w:rsidP="00A0670F">
            <w:pPr>
              <w:keepNext/>
              <w:spacing w:after="0" w:line="240" w:lineRule="auto"/>
            </w:pPr>
            <w:r>
              <w:t xml:space="preserve">Mr E C </w:t>
            </w:r>
            <w:proofErr w:type="spellStart"/>
            <w:r>
              <w:t>Labuschagne</w:t>
            </w:r>
            <w:proofErr w:type="spellEnd"/>
            <w:r>
              <w:t xml:space="preserve"> SC</w:t>
            </w:r>
          </w:p>
          <w:p w14:paraId="7A316B73" w14:textId="77777777" w:rsidR="0067473D" w:rsidRDefault="0067473D" w:rsidP="00A0670F">
            <w:pPr>
              <w:keepNext/>
              <w:spacing w:after="0" w:line="240" w:lineRule="auto"/>
            </w:pPr>
            <w:r>
              <w:t xml:space="preserve">Mr  S M </w:t>
            </w:r>
            <w:proofErr w:type="spellStart"/>
            <w:r>
              <w:t>Stadler</w:t>
            </w:r>
            <w:proofErr w:type="spellEnd"/>
          </w:p>
        </w:tc>
      </w:tr>
      <w:tr w:rsidR="0067473D" w14:paraId="6B709550" w14:textId="77777777" w:rsidTr="00A0670F">
        <w:tc>
          <w:tcPr>
            <w:tcW w:w="3936" w:type="dxa"/>
            <w:tcMar>
              <w:top w:w="32" w:type="dxa"/>
              <w:left w:w="108" w:type="dxa"/>
              <w:bottom w:w="32" w:type="dxa"/>
              <w:right w:w="108" w:type="dxa"/>
            </w:tcMar>
            <w:vAlign w:val="center"/>
          </w:tcPr>
          <w:p w14:paraId="32B92C92" w14:textId="77777777" w:rsidR="0067473D" w:rsidRDefault="0067473D" w:rsidP="00A0670F">
            <w:pPr>
              <w:keepNext/>
              <w:spacing w:before="120" w:line="240" w:lineRule="auto"/>
            </w:pPr>
            <w:r>
              <w:t>INSTRUCTED BY:</w:t>
            </w:r>
          </w:p>
        </w:tc>
        <w:tc>
          <w:tcPr>
            <w:tcW w:w="5208" w:type="dxa"/>
            <w:tcMar>
              <w:top w:w="32" w:type="dxa"/>
              <w:left w:w="108" w:type="dxa"/>
              <w:bottom w:w="32" w:type="dxa"/>
              <w:right w:w="108" w:type="dxa"/>
            </w:tcMar>
            <w:vAlign w:val="center"/>
          </w:tcPr>
          <w:p w14:paraId="04EFB0AA" w14:textId="77777777" w:rsidR="0067473D" w:rsidRDefault="0067473D" w:rsidP="00A0670F">
            <w:pPr>
              <w:keepNext/>
              <w:spacing w:after="0" w:line="240" w:lineRule="auto"/>
            </w:pPr>
            <w:r>
              <w:t>Adams &amp; Adams</w:t>
            </w:r>
          </w:p>
          <w:p w14:paraId="7A591224" w14:textId="77777777" w:rsidR="0067473D" w:rsidRDefault="0067473D" w:rsidP="00A0670F">
            <w:pPr>
              <w:keepNext/>
              <w:spacing w:after="0" w:line="240" w:lineRule="auto"/>
            </w:pPr>
            <w:r>
              <w:t xml:space="preserve">Ms S Van </w:t>
            </w:r>
            <w:proofErr w:type="spellStart"/>
            <w:r>
              <w:t>Niekerk</w:t>
            </w:r>
            <w:proofErr w:type="spellEnd"/>
          </w:p>
          <w:p w14:paraId="4619EB9C" w14:textId="77777777" w:rsidR="0067473D" w:rsidRDefault="0067473D" w:rsidP="00A0670F">
            <w:pPr>
              <w:keepNext/>
              <w:spacing w:after="0" w:line="240" w:lineRule="auto"/>
            </w:pPr>
            <w:r>
              <w:t xml:space="preserve">E-mail: </w:t>
            </w:r>
            <w:hyperlink r:id="rId16" w:history="1">
              <w:r w:rsidRPr="006C446C">
                <w:rPr>
                  <w:rStyle w:val="Hyperlink"/>
                </w:rPr>
                <w:t>Shani.vanniekerk@adams.africa</w:t>
              </w:r>
            </w:hyperlink>
            <w:r>
              <w:t xml:space="preserve"> </w:t>
            </w:r>
          </w:p>
        </w:tc>
      </w:tr>
    </w:tbl>
    <w:p w14:paraId="591D0F81" w14:textId="77777777" w:rsidR="0067473D" w:rsidRPr="00964F05" w:rsidRDefault="0067473D" w:rsidP="0067473D">
      <w:pPr>
        <w:pStyle w:val="Heading2"/>
        <w:numPr>
          <w:ilvl w:val="0"/>
          <w:numId w:val="0"/>
        </w:numPr>
      </w:pPr>
    </w:p>
    <w:p w14:paraId="4AE8A200" w14:textId="77777777" w:rsidR="0067473D" w:rsidRPr="00C63391" w:rsidRDefault="0067473D" w:rsidP="0067473D">
      <w:pPr>
        <w:pStyle w:val="Heading1"/>
        <w:numPr>
          <w:ilvl w:val="0"/>
          <w:numId w:val="0"/>
        </w:numPr>
        <w:ind w:left="862"/>
      </w:pPr>
    </w:p>
    <w:p w14:paraId="599BC78B" w14:textId="77777777" w:rsidR="0067473D" w:rsidRDefault="0067473D" w:rsidP="0067473D">
      <w:pPr>
        <w:keepNext/>
        <w:keepLines/>
        <w:tabs>
          <w:tab w:val="left" w:pos="0"/>
        </w:tabs>
        <w:spacing w:before="240" w:after="0" w:line="240" w:lineRule="auto"/>
        <w:jc w:val="center"/>
        <w:rPr>
          <w:b/>
          <w:u w:val="single"/>
        </w:rPr>
      </w:pPr>
    </w:p>
    <w:bookmarkEnd w:id="1"/>
    <w:bookmarkEnd w:id="4"/>
    <w:p w14:paraId="48430EC4" w14:textId="77777777" w:rsidR="006E34E4" w:rsidRPr="00964F05" w:rsidRDefault="006E34E4" w:rsidP="006E34E4">
      <w:pPr>
        <w:pStyle w:val="Heading2"/>
        <w:numPr>
          <w:ilvl w:val="0"/>
          <w:numId w:val="0"/>
        </w:numPr>
      </w:pPr>
    </w:p>
    <w:sectPr w:rsidR="006E34E4" w:rsidRPr="00964F05" w:rsidSect="00CF7049">
      <w:headerReference w:type="even" r:id="rId17"/>
      <w:headerReference w:type="default" r:id="rId18"/>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0B091" w14:textId="77777777" w:rsidR="00BF537F" w:rsidRDefault="00BF537F" w:rsidP="00B958BA">
      <w:pPr>
        <w:pStyle w:val="Title"/>
      </w:pPr>
      <w:r>
        <w:separator/>
      </w:r>
    </w:p>
  </w:endnote>
  <w:endnote w:type="continuationSeparator" w:id="0">
    <w:p w14:paraId="36F5EE47" w14:textId="77777777" w:rsidR="00BF537F" w:rsidRDefault="00BF537F"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65AB0" w14:textId="77777777" w:rsidR="00BF537F" w:rsidRDefault="00BF537F" w:rsidP="00B958BA">
      <w:pPr>
        <w:pStyle w:val="Title"/>
      </w:pPr>
      <w:r>
        <w:separator/>
      </w:r>
    </w:p>
  </w:footnote>
  <w:footnote w:type="continuationSeparator" w:id="0">
    <w:p w14:paraId="27450306" w14:textId="77777777" w:rsidR="00BF537F" w:rsidRDefault="00BF537F" w:rsidP="00B958BA">
      <w:pPr>
        <w:pStyle w:val="Title"/>
      </w:pPr>
      <w:r>
        <w:continuationSeparator/>
      </w:r>
    </w:p>
  </w:footnote>
  <w:footnote w:id="1">
    <w:p w14:paraId="6F2B2794" w14:textId="77777777" w:rsidR="0067473D" w:rsidRDefault="0067473D" w:rsidP="0067473D">
      <w:pPr>
        <w:pStyle w:val="FootnoteText"/>
      </w:pPr>
      <w:r>
        <w:rPr>
          <w:rStyle w:val="FootnoteReference"/>
        </w:rPr>
        <w:footnoteRef/>
      </w:r>
      <w:r>
        <w:t xml:space="preserve"> </w:t>
      </w:r>
      <w:r>
        <w:tab/>
      </w:r>
      <w:proofErr w:type="spellStart"/>
      <w:r>
        <w:t>CaseLines</w:t>
      </w:r>
      <w:proofErr w:type="spellEnd"/>
      <w:r>
        <w:t>, 034-2</w:t>
      </w:r>
    </w:p>
  </w:footnote>
  <w:footnote w:id="2">
    <w:p w14:paraId="659A4303" w14:textId="77777777" w:rsidR="0067473D" w:rsidRDefault="0067473D" w:rsidP="0067473D">
      <w:pPr>
        <w:pStyle w:val="FootnoteText"/>
      </w:pPr>
      <w:r>
        <w:rPr>
          <w:rStyle w:val="FootnoteReference"/>
        </w:rPr>
        <w:footnoteRef/>
      </w:r>
      <w:r>
        <w:t xml:space="preserve"> </w:t>
      </w:r>
      <w:r>
        <w:tab/>
      </w:r>
      <w:proofErr w:type="spellStart"/>
      <w:r>
        <w:t>CaseLines</w:t>
      </w:r>
      <w:proofErr w:type="spellEnd"/>
      <w:r>
        <w:t>, 036-1 to 036-3</w:t>
      </w:r>
    </w:p>
  </w:footnote>
  <w:footnote w:id="3">
    <w:p w14:paraId="6A09B9CE" w14:textId="77777777" w:rsidR="0067473D" w:rsidRDefault="0067473D" w:rsidP="0067473D">
      <w:pPr>
        <w:pStyle w:val="FootnoteText"/>
      </w:pPr>
      <w:r>
        <w:rPr>
          <w:rStyle w:val="FootnoteReference"/>
        </w:rPr>
        <w:footnoteRef/>
      </w:r>
      <w:r>
        <w:t xml:space="preserve"> </w:t>
      </w:r>
      <w:r>
        <w:tab/>
      </w:r>
      <w:proofErr w:type="spellStart"/>
      <w:r>
        <w:t>CaseLines</w:t>
      </w:r>
      <w:proofErr w:type="spellEnd"/>
      <w:r>
        <w:t>, 037-1 to 037-4</w:t>
      </w:r>
    </w:p>
  </w:footnote>
  <w:footnote w:id="4">
    <w:p w14:paraId="122A0D5F" w14:textId="7D8FAA0E" w:rsidR="0067473D" w:rsidRDefault="0067473D" w:rsidP="0067473D">
      <w:pPr>
        <w:pStyle w:val="FootnoteText"/>
      </w:pPr>
      <w:r>
        <w:rPr>
          <w:rStyle w:val="FootnoteReference"/>
        </w:rPr>
        <w:footnoteRef/>
      </w:r>
      <w:r>
        <w:t xml:space="preserve"> </w:t>
      </w:r>
      <w:r>
        <w:tab/>
      </w:r>
      <w:proofErr w:type="spellStart"/>
      <w:r>
        <w:t>CaseLines</w:t>
      </w:r>
      <w:proofErr w:type="spellEnd"/>
      <w:r>
        <w:t xml:space="preserve"> 001-12</w:t>
      </w:r>
      <w:r w:rsidR="00067432">
        <w:t>,</w:t>
      </w:r>
      <w:r w:rsidR="00067432" w:rsidRPr="00067432">
        <w:t xml:space="preserve"> </w:t>
      </w:r>
      <w:r w:rsidR="00946189">
        <w:t>p</w:t>
      </w:r>
      <w:r w:rsidR="00067432">
        <w:t>ara 8.4</w:t>
      </w:r>
    </w:p>
  </w:footnote>
  <w:footnote w:id="5">
    <w:p w14:paraId="1489E0AC" w14:textId="0B7BD6A5" w:rsidR="00946189" w:rsidRPr="00946189" w:rsidRDefault="00946189">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034-6, para 7</w:t>
      </w:r>
    </w:p>
  </w:footnote>
  <w:footnote w:id="6">
    <w:p w14:paraId="498480F8" w14:textId="77777777" w:rsidR="00946189" w:rsidRPr="00946189" w:rsidRDefault="00946189" w:rsidP="00946189">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035-2, para 8</w:t>
      </w:r>
    </w:p>
  </w:footnote>
  <w:footnote w:id="7">
    <w:p w14:paraId="724FC0D0" w14:textId="3BFBB836" w:rsidR="0067473D" w:rsidRPr="001F3B3D" w:rsidRDefault="0067473D" w:rsidP="0067473D">
      <w:pPr>
        <w:pStyle w:val="FootnoteText"/>
        <w:rPr>
          <w:lang w:val="en-US"/>
        </w:rPr>
      </w:pPr>
      <w:r>
        <w:rPr>
          <w:rStyle w:val="FootnoteReference"/>
        </w:rPr>
        <w:footnoteRef/>
      </w:r>
      <w:r>
        <w:t xml:space="preserve"> </w:t>
      </w:r>
      <w:r>
        <w:rPr>
          <w:lang w:val="en-US"/>
        </w:rPr>
        <w:t xml:space="preserve"> </w:t>
      </w:r>
      <w:r w:rsidR="00BA0A3B">
        <w:rPr>
          <w:lang w:val="en-US"/>
        </w:rPr>
        <w:tab/>
      </w:r>
      <w:proofErr w:type="spellStart"/>
      <w:r w:rsidR="00067432">
        <w:rPr>
          <w:lang w:val="en-US"/>
        </w:rPr>
        <w:t>CaseLines</w:t>
      </w:r>
      <w:proofErr w:type="spellEnd"/>
      <w:r w:rsidR="00067432">
        <w:rPr>
          <w:lang w:val="en-US"/>
        </w:rPr>
        <w:t xml:space="preserve"> 004 – 1112, </w:t>
      </w:r>
      <w:r>
        <w:rPr>
          <w:lang w:val="en-US"/>
        </w:rPr>
        <w:t>Annexure “</w:t>
      </w:r>
      <w:r w:rsidRPr="001F3B3D">
        <w:rPr>
          <w:b/>
          <w:bCs/>
          <w:lang w:val="en-US"/>
        </w:rPr>
        <w:t>B</w:t>
      </w:r>
      <w:r>
        <w:rPr>
          <w:b/>
          <w:bCs/>
          <w:lang w:val="en-US"/>
        </w:rPr>
        <w:t>ND</w:t>
      </w:r>
      <w:r w:rsidRPr="001F3B3D">
        <w:rPr>
          <w:b/>
          <w:bCs/>
          <w:lang w:val="en-US"/>
        </w:rPr>
        <w:t>4</w:t>
      </w:r>
      <w:r>
        <w:rPr>
          <w:b/>
          <w:bCs/>
          <w:lang w:val="en-US"/>
        </w:rPr>
        <w:t>8</w:t>
      </w:r>
      <w:r>
        <w:rPr>
          <w:lang w:val="en-US"/>
        </w:rPr>
        <w:t>” Restated and Amended Loan Agreement, clause 23</w:t>
      </w:r>
      <w:r w:rsidR="00BA0A3B">
        <w:rPr>
          <w:lang w:val="en-US"/>
        </w:rPr>
        <w:t>.</w:t>
      </w:r>
      <w:r>
        <w:rPr>
          <w:lang w:val="en-US"/>
        </w:rPr>
        <w:t>5.1 as an example and also in the agreements at “</w:t>
      </w:r>
      <w:r w:rsidRPr="002A7C86">
        <w:rPr>
          <w:b/>
          <w:bCs/>
          <w:lang w:val="en-US"/>
        </w:rPr>
        <w:t>BND 47</w:t>
      </w:r>
      <w:r>
        <w:rPr>
          <w:lang w:val="en-US"/>
        </w:rPr>
        <w:t>”</w:t>
      </w:r>
      <w:r w:rsidR="00965B9F">
        <w:rPr>
          <w:lang w:val="en-US"/>
        </w:rPr>
        <w:t>,</w:t>
      </w:r>
      <w:r>
        <w:rPr>
          <w:lang w:val="en-US"/>
        </w:rPr>
        <w:t xml:space="preserve"> “</w:t>
      </w:r>
      <w:r w:rsidRPr="002A7C86">
        <w:rPr>
          <w:b/>
          <w:bCs/>
          <w:lang w:val="en-US"/>
        </w:rPr>
        <w:t>49</w:t>
      </w:r>
      <w:r>
        <w:rPr>
          <w:lang w:val="en-US"/>
        </w:rPr>
        <w:t>”, “</w:t>
      </w:r>
      <w:r w:rsidRPr="002A7C86">
        <w:rPr>
          <w:b/>
          <w:bCs/>
          <w:lang w:val="en-US"/>
        </w:rPr>
        <w:t>50</w:t>
      </w:r>
      <w:r>
        <w:rPr>
          <w:lang w:val="en-US"/>
        </w:rPr>
        <w:t>” and “</w:t>
      </w:r>
      <w:r w:rsidRPr="002A7C86">
        <w:rPr>
          <w:b/>
          <w:bCs/>
          <w:lang w:val="en-US"/>
        </w:rPr>
        <w:t>51</w:t>
      </w:r>
      <w:r>
        <w:rPr>
          <w:lang w:val="en-US"/>
        </w:rPr>
        <w:t>”</w:t>
      </w:r>
    </w:p>
  </w:footnote>
  <w:footnote w:id="8">
    <w:p w14:paraId="78A4DA74" w14:textId="77777777" w:rsidR="0067473D" w:rsidRPr="001B4598" w:rsidRDefault="0067473D" w:rsidP="0067473D">
      <w:pPr>
        <w:pStyle w:val="FootnoteText"/>
      </w:pPr>
      <w:r>
        <w:rPr>
          <w:rStyle w:val="FootnoteReference"/>
        </w:rPr>
        <w:footnoteRef/>
      </w:r>
      <w:r>
        <w:t xml:space="preserve"> </w:t>
      </w:r>
      <w:r>
        <w:tab/>
      </w:r>
      <w:r>
        <w:rPr>
          <w:b/>
          <w:bCs/>
          <w:i/>
          <w:iCs/>
        </w:rPr>
        <w:t xml:space="preserve">Minister of Land Affairs and Agriculture v D &amp; F </w:t>
      </w:r>
      <w:proofErr w:type="spellStart"/>
      <w:r>
        <w:rPr>
          <w:b/>
          <w:bCs/>
          <w:i/>
          <w:iCs/>
        </w:rPr>
        <w:t>Wevell</w:t>
      </w:r>
      <w:proofErr w:type="spellEnd"/>
      <w:r>
        <w:rPr>
          <w:b/>
          <w:bCs/>
          <w:i/>
          <w:iCs/>
        </w:rPr>
        <w:t xml:space="preserve"> Trust </w:t>
      </w:r>
      <w:r>
        <w:t xml:space="preserve">2008 (2) SA 184 (SCA);  </w:t>
      </w:r>
      <w:proofErr w:type="spellStart"/>
      <w:r w:rsidRPr="001B4598">
        <w:rPr>
          <w:b/>
          <w:bCs/>
          <w:i/>
          <w:iCs/>
        </w:rPr>
        <w:t>Swissborough</w:t>
      </w:r>
      <w:proofErr w:type="spellEnd"/>
      <w:r w:rsidRPr="001B4598">
        <w:rPr>
          <w:b/>
          <w:bCs/>
          <w:i/>
          <w:iCs/>
        </w:rPr>
        <w:t xml:space="preserve"> Diamond Mines (Pty) Ltd and Others v Government of the Republic of South Africa and Others</w:t>
      </w:r>
      <w:r>
        <w:rPr>
          <w:b/>
          <w:bCs/>
        </w:rPr>
        <w:t xml:space="preserve"> </w:t>
      </w:r>
      <w:r>
        <w:t xml:space="preserve">1999 (2) SA 279 (T) at 323G-324A quoted with approval in </w:t>
      </w:r>
      <w:r w:rsidRPr="001B4598">
        <w:rPr>
          <w:b/>
          <w:bCs/>
          <w:i/>
          <w:iCs/>
        </w:rPr>
        <w:t>National Credit Regulator v Lewis Stores</w:t>
      </w:r>
      <w:r>
        <w:rPr>
          <w:b/>
          <w:bCs/>
        </w:rPr>
        <w:t xml:space="preserve"> </w:t>
      </w:r>
      <w:r>
        <w:t>2020 (2) SA 390 (SCA), para 29</w:t>
      </w:r>
    </w:p>
  </w:footnote>
  <w:footnote w:id="9">
    <w:p w14:paraId="675D8DBF" w14:textId="77777777" w:rsidR="0067473D" w:rsidRDefault="0067473D" w:rsidP="0067473D">
      <w:pPr>
        <w:pStyle w:val="FootnoteText"/>
      </w:pPr>
      <w:r>
        <w:rPr>
          <w:rStyle w:val="FootnoteReference"/>
        </w:rPr>
        <w:footnoteRef/>
      </w:r>
      <w:r>
        <w:t xml:space="preserve"> </w:t>
      </w:r>
      <w:r>
        <w:tab/>
        <w:t>1984 (3) SA 623 (A) at 634E-635C</w:t>
      </w:r>
    </w:p>
  </w:footnote>
  <w:footnote w:id="10">
    <w:p w14:paraId="0B13D11A" w14:textId="77777777" w:rsidR="0067473D" w:rsidRDefault="0067473D" w:rsidP="0067473D">
      <w:pPr>
        <w:pStyle w:val="FootnoteText"/>
      </w:pPr>
      <w:r>
        <w:rPr>
          <w:rStyle w:val="FootnoteReference"/>
        </w:rPr>
        <w:footnoteRef/>
      </w:r>
      <w:r>
        <w:t xml:space="preserve"> </w:t>
      </w:r>
      <w:r>
        <w:tab/>
        <w:t>2009 (2) SA 277 (SCA), para 26</w:t>
      </w:r>
    </w:p>
  </w:footnote>
  <w:footnote w:id="11">
    <w:p w14:paraId="12497777" w14:textId="77777777" w:rsidR="0067473D" w:rsidRPr="00825EB5" w:rsidRDefault="0067473D" w:rsidP="0067473D">
      <w:pPr>
        <w:pStyle w:val="FootnoteText"/>
      </w:pPr>
      <w:r>
        <w:rPr>
          <w:rStyle w:val="FootnoteReference"/>
        </w:rPr>
        <w:footnoteRef/>
      </w:r>
      <w:r>
        <w:t xml:space="preserve"> </w:t>
      </w:r>
      <w:r>
        <w:tab/>
      </w:r>
      <w:r>
        <w:rPr>
          <w:b/>
          <w:bCs/>
          <w:i/>
          <w:iCs/>
        </w:rPr>
        <w:t xml:space="preserve">JW Wightman (Pty) Ltd v </w:t>
      </w:r>
      <w:proofErr w:type="spellStart"/>
      <w:r>
        <w:rPr>
          <w:b/>
          <w:bCs/>
          <w:i/>
          <w:iCs/>
        </w:rPr>
        <w:t>Headfour</w:t>
      </w:r>
      <w:proofErr w:type="spellEnd"/>
      <w:r>
        <w:rPr>
          <w:b/>
          <w:bCs/>
          <w:i/>
          <w:iCs/>
        </w:rPr>
        <w:t xml:space="preserve"> (Pty) Ltd </w:t>
      </w:r>
      <w:r>
        <w:t>2008 (3) SA 371 (SCA), para 12</w:t>
      </w:r>
    </w:p>
  </w:footnote>
  <w:footnote w:id="12">
    <w:p w14:paraId="2778B95E" w14:textId="77777777" w:rsidR="0067473D" w:rsidRPr="002912A7" w:rsidRDefault="0067473D" w:rsidP="0067473D">
      <w:pPr>
        <w:pStyle w:val="FootnoteText"/>
      </w:pPr>
      <w:r>
        <w:rPr>
          <w:rStyle w:val="FootnoteReference"/>
        </w:rPr>
        <w:footnoteRef/>
      </w:r>
      <w:r>
        <w:t xml:space="preserve"> </w:t>
      </w:r>
      <w:r>
        <w:tab/>
      </w:r>
      <w:r>
        <w:rPr>
          <w:b/>
          <w:bCs/>
          <w:i/>
          <w:iCs/>
        </w:rPr>
        <w:t xml:space="preserve">PMG Motors </w:t>
      </w:r>
      <w:proofErr w:type="spellStart"/>
      <w:r>
        <w:rPr>
          <w:b/>
          <w:bCs/>
          <w:i/>
          <w:iCs/>
        </w:rPr>
        <w:t>Kyalami</w:t>
      </w:r>
      <w:proofErr w:type="spellEnd"/>
      <w:r>
        <w:rPr>
          <w:b/>
          <w:bCs/>
          <w:i/>
          <w:iCs/>
        </w:rPr>
        <w:t xml:space="preserve"> (Pty) Ltd (In Liquidation) v FirstRand Bank Ltd, </w:t>
      </w:r>
      <w:proofErr w:type="spellStart"/>
      <w:r>
        <w:rPr>
          <w:b/>
          <w:bCs/>
          <w:i/>
          <w:iCs/>
        </w:rPr>
        <w:t>Wesbank</w:t>
      </w:r>
      <w:proofErr w:type="spellEnd"/>
      <w:r>
        <w:rPr>
          <w:b/>
          <w:bCs/>
          <w:i/>
          <w:iCs/>
        </w:rPr>
        <w:t xml:space="preserve"> Division </w:t>
      </w:r>
      <w:r>
        <w:t xml:space="preserve">2015 (1) All SA 437 (SCA);  2015 (2) SA 634 (SCA);  </w:t>
      </w:r>
      <w:r>
        <w:rPr>
          <w:b/>
          <w:bCs/>
          <w:i/>
          <w:iCs/>
        </w:rPr>
        <w:t xml:space="preserve">Wightman </w:t>
      </w:r>
      <w:r w:rsidRPr="003E0B3D">
        <w:rPr>
          <w:i/>
        </w:rPr>
        <w:t>supra</w:t>
      </w:r>
      <w:r>
        <w:t xml:space="preserve"> at para 13</w:t>
      </w:r>
    </w:p>
  </w:footnote>
  <w:footnote w:id="13">
    <w:p w14:paraId="3DE8C728" w14:textId="77777777" w:rsidR="008C59AF" w:rsidRPr="002912A7" w:rsidRDefault="008C59AF" w:rsidP="008C59AF">
      <w:pPr>
        <w:pStyle w:val="FootnoteText"/>
      </w:pPr>
      <w:r>
        <w:rPr>
          <w:rStyle w:val="FootnoteReference"/>
        </w:rPr>
        <w:footnoteRef/>
      </w:r>
      <w:r>
        <w:t xml:space="preserve"> </w:t>
      </w:r>
      <w:r>
        <w:tab/>
      </w:r>
      <w:r>
        <w:rPr>
          <w:b/>
          <w:bCs/>
          <w:i/>
          <w:iCs/>
        </w:rPr>
        <w:t xml:space="preserve">Buffalo Freight Systems (Pty) Ltd v </w:t>
      </w:r>
      <w:proofErr w:type="spellStart"/>
      <w:r>
        <w:rPr>
          <w:b/>
          <w:bCs/>
          <w:i/>
          <w:iCs/>
        </w:rPr>
        <w:t>Crestleigh</w:t>
      </w:r>
      <w:proofErr w:type="spellEnd"/>
      <w:r>
        <w:rPr>
          <w:b/>
          <w:bCs/>
          <w:i/>
          <w:iCs/>
        </w:rPr>
        <w:t xml:space="preserve"> Trading (Pty) Ltd and Another </w:t>
      </w:r>
      <w:r>
        <w:t>2011 (1) SA 8 (SCA) at paras 19 and 20</w:t>
      </w:r>
    </w:p>
  </w:footnote>
  <w:footnote w:id="14">
    <w:p w14:paraId="216F1E25" w14:textId="5BFAB021" w:rsidR="00946189" w:rsidRPr="00946189" w:rsidRDefault="00946189">
      <w:pPr>
        <w:pStyle w:val="FootnoteText"/>
        <w:rPr>
          <w:lang w:val="en-US"/>
        </w:rPr>
      </w:pPr>
      <w:r>
        <w:rPr>
          <w:rStyle w:val="FootnoteReference"/>
        </w:rPr>
        <w:footnoteRef/>
      </w:r>
      <w:r>
        <w:t xml:space="preserve"> </w:t>
      </w:r>
      <w:r>
        <w:rPr>
          <w:lang w:val="en-US"/>
        </w:rPr>
        <w:t xml:space="preserve"> </w:t>
      </w:r>
      <w:proofErr w:type="spellStart"/>
      <w:r>
        <w:rPr>
          <w:lang w:val="en-US"/>
        </w:rPr>
        <w:t>CaseLines</w:t>
      </w:r>
      <w:proofErr w:type="spellEnd"/>
      <w:r>
        <w:rPr>
          <w:lang w:val="en-US"/>
        </w:rPr>
        <w:t xml:space="preserve"> 034-21, Annexure “</w:t>
      </w:r>
      <w:r w:rsidRPr="00946189">
        <w:rPr>
          <w:b/>
          <w:bCs/>
          <w:lang w:val="en-US"/>
        </w:rPr>
        <w:t>EB1</w:t>
      </w:r>
      <w:r>
        <w:rPr>
          <w:lang w:val="en-US"/>
        </w:rPr>
        <w:t>”</w:t>
      </w:r>
    </w:p>
  </w:footnote>
  <w:footnote w:id="15">
    <w:p w14:paraId="14544662" w14:textId="77777777" w:rsidR="00946189" w:rsidRDefault="00946189" w:rsidP="00946189">
      <w:pPr>
        <w:pStyle w:val="FootnoteText"/>
      </w:pPr>
      <w:r>
        <w:rPr>
          <w:rStyle w:val="FootnoteReference"/>
        </w:rPr>
        <w:footnoteRef/>
      </w:r>
      <w:r>
        <w:t xml:space="preserve"> </w:t>
      </w:r>
      <w:proofErr w:type="spellStart"/>
      <w:r>
        <w:t>CaseLines</w:t>
      </w:r>
      <w:proofErr w:type="spellEnd"/>
      <w:r>
        <w:t xml:space="preserve"> 034-7, para 13  and </w:t>
      </w:r>
      <w:proofErr w:type="spellStart"/>
      <w:r>
        <w:t>CaseLines</w:t>
      </w:r>
      <w:proofErr w:type="spellEnd"/>
      <w:r>
        <w:t xml:space="preserve"> 034-22, </w:t>
      </w:r>
      <w:r w:rsidRPr="00BF0ACB">
        <w:t xml:space="preserve">Annexure </w:t>
      </w:r>
      <w:r w:rsidRPr="00BF0ACB">
        <w:rPr>
          <w:b/>
        </w:rPr>
        <w:t>“</w:t>
      </w:r>
      <w:r>
        <w:rPr>
          <w:b/>
        </w:rPr>
        <w:t>EB2”</w:t>
      </w:r>
      <w:r>
        <w:rPr>
          <w:bCs/>
        </w:rPr>
        <w:t xml:space="preserve"> which was translated to the Court</w:t>
      </w:r>
    </w:p>
  </w:footnote>
  <w:footnote w:id="16">
    <w:p w14:paraId="777A3A27" w14:textId="52271FE1" w:rsidR="0067473D" w:rsidRDefault="0067473D" w:rsidP="0067473D">
      <w:pPr>
        <w:pStyle w:val="FootnoteText"/>
      </w:pPr>
      <w:r>
        <w:rPr>
          <w:rStyle w:val="FootnoteReference"/>
        </w:rPr>
        <w:footnoteRef/>
      </w:r>
      <w:r>
        <w:t xml:space="preserve"> </w:t>
      </w:r>
      <w:r>
        <w:tab/>
      </w:r>
      <w:proofErr w:type="spellStart"/>
      <w:r>
        <w:t>CaseLines</w:t>
      </w:r>
      <w:proofErr w:type="spellEnd"/>
      <w:r>
        <w:t xml:space="preserve"> 034-23 to 034-25</w:t>
      </w:r>
      <w:r w:rsidR="00981EF9">
        <w:t>,</w:t>
      </w:r>
      <w:r w:rsidR="00981EF9" w:rsidRPr="00981EF9">
        <w:rPr>
          <w:bCs/>
        </w:rPr>
        <w:t xml:space="preserve"> </w:t>
      </w:r>
      <w:r w:rsidR="00981EF9" w:rsidRPr="00B1240C">
        <w:rPr>
          <w:bCs/>
        </w:rPr>
        <w:t xml:space="preserve">Annexure </w:t>
      </w:r>
      <w:r w:rsidR="00981EF9" w:rsidRPr="00B1240C">
        <w:rPr>
          <w:b/>
          <w:bCs/>
        </w:rPr>
        <w:t>“EB3”</w:t>
      </w:r>
    </w:p>
  </w:footnote>
  <w:footnote w:id="17">
    <w:p w14:paraId="2715CF8C" w14:textId="46067CCC" w:rsidR="0067473D" w:rsidRPr="00AF5EAC" w:rsidRDefault="0067473D" w:rsidP="0067473D">
      <w:pPr>
        <w:pStyle w:val="FootnoteText"/>
        <w:rPr>
          <w:bCs/>
        </w:rPr>
      </w:pPr>
      <w:r>
        <w:rPr>
          <w:rStyle w:val="FootnoteReference"/>
        </w:rPr>
        <w:footnoteRef/>
      </w:r>
      <w:r>
        <w:t xml:space="preserve"> </w:t>
      </w:r>
      <w:r>
        <w:tab/>
      </w:r>
      <w:proofErr w:type="spellStart"/>
      <w:r>
        <w:rPr>
          <w:bCs/>
        </w:rPr>
        <w:t>CaseLines</w:t>
      </w:r>
      <w:proofErr w:type="spellEnd"/>
      <w:r>
        <w:rPr>
          <w:bCs/>
        </w:rPr>
        <w:t xml:space="preserve"> 035-27 to 035-32 at 035-29 to 035-32</w:t>
      </w:r>
      <w:r w:rsidR="00981EF9">
        <w:rPr>
          <w:bCs/>
        </w:rPr>
        <w:t>,</w:t>
      </w:r>
      <w:r w:rsidR="00981EF9" w:rsidRPr="00981EF9">
        <w:t xml:space="preserve"> </w:t>
      </w:r>
      <w:r w:rsidR="00981EF9" w:rsidRPr="00BF0ACB">
        <w:t xml:space="preserve">Annexure </w:t>
      </w:r>
      <w:r w:rsidR="00981EF9" w:rsidRPr="00BF0ACB">
        <w:rPr>
          <w:b/>
        </w:rPr>
        <w:t>“</w:t>
      </w:r>
      <w:r w:rsidR="00981EF9">
        <w:rPr>
          <w:b/>
        </w:rPr>
        <w:t>BN2”</w:t>
      </w:r>
    </w:p>
  </w:footnote>
  <w:footnote w:id="18">
    <w:p w14:paraId="0AC7FE90" w14:textId="422541D0" w:rsidR="0067473D" w:rsidRPr="004A12A6" w:rsidRDefault="0067473D" w:rsidP="0067473D">
      <w:pPr>
        <w:pStyle w:val="FootnoteText"/>
        <w:rPr>
          <w:bCs/>
        </w:rPr>
      </w:pPr>
      <w:r>
        <w:rPr>
          <w:rStyle w:val="FootnoteReference"/>
        </w:rPr>
        <w:footnoteRef/>
      </w:r>
      <w:r>
        <w:t xml:space="preserve"> </w:t>
      </w:r>
      <w:r>
        <w:tab/>
      </w:r>
      <w:proofErr w:type="spellStart"/>
      <w:r>
        <w:rPr>
          <w:bCs/>
        </w:rPr>
        <w:t>CaseLines</w:t>
      </w:r>
      <w:proofErr w:type="spellEnd"/>
      <w:r>
        <w:rPr>
          <w:bCs/>
        </w:rPr>
        <w:t xml:space="preserve"> 031-26</w:t>
      </w:r>
      <w:r w:rsidR="00482BBC">
        <w:rPr>
          <w:bCs/>
        </w:rPr>
        <w:t>,</w:t>
      </w:r>
      <w:r w:rsidR="00482BBC" w:rsidRPr="00482BBC">
        <w:t xml:space="preserve"> </w:t>
      </w:r>
      <w:r w:rsidR="00482BBC" w:rsidRPr="00BF0ACB">
        <w:t xml:space="preserve">Annexure </w:t>
      </w:r>
      <w:r w:rsidR="00482BBC" w:rsidRPr="00BF0ACB">
        <w:rPr>
          <w:b/>
        </w:rPr>
        <w:t>“</w:t>
      </w:r>
      <w:r w:rsidR="00482BBC">
        <w:rPr>
          <w:b/>
        </w:rPr>
        <w:t>EB4”</w:t>
      </w:r>
    </w:p>
  </w:footnote>
  <w:footnote w:id="19">
    <w:p w14:paraId="279F7946" w14:textId="77777777" w:rsidR="001406A8" w:rsidRPr="00946189" w:rsidRDefault="001406A8" w:rsidP="001406A8">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034-9, para 18</w:t>
      </w:r>
    </w:p>
  </w:footnote>
  <w:footnote w:id="20">
    <w:p w14:paraId="5ECCD97D" w14:textId="7FBEAF8D" w:rsidR="001406A8" w:rsidRPr="001406A8" w:rsidRDefault="001406A8">
      <w:pPr>
        <w:pStyle w:val="FootnoteText"/>
        <w:rPr>
          <w:lang w:val="en-US"/>
        </w:rPr>
      </w:pPr>
      <w:r>
        <w:rPr>
          <w:rStyle w:val="FootnoteReference"/>
        </w:rPr>
        <w:footnoteRef/>
      </w:r>
      <w:r>
        <w:t xml:space="preserve"> </w:t>
      </w:r>
      <w:r>
        <w:rPr>
          <w:lang w:val="en-US"/>
        </w:rPr>
        <w:t xml:space="preserve"> </w:t>
      </w:r>
      <w:proofErr w:type="spellStart"/>
      <w:r>
        <w:rPr>
          <w:lang w:val="en-US"/>
        </w:rPr>
        <w:t>Case</w:t>
      </w:r>
      <w:r w:rsidR="007A52D6">
        <w:rPr>
          <w:lang w:val="en-US"/>
        </w:rPr>
        <w:t>L</w:t>
      </w:r>
      <w:r>
        <w:rPr>
          <w:lang w:val="en-US"/>
        </w:rPr>
        <w:t>ines</w:t>
      </w:r>
      <w:proofErr w:type="spellEnd"/>
      <w:r>
        <w:rPr>
          <w:lang w:val="en-US"/>
        </w:rPr>
        <w:t xml:space="preserve"> 035-2, para 8</w:t>
      </w:r>
    </w:p>
  </w:footnote>
  <w:footnote w:id="21">
    <w:p w14:paraId="357D7F7A" w14:textId="38AFA985" w:rsidR="0067473D" w:rsidRPr="00C01FF9" w:rsidRDefault="0067473D" w:rsidP="0067473D">
      <w:pPr>
        <w:pStyle w:val="FootnoteText"/>
        <w:rPr>
          <w:bCs/>
        </w:rPr>
      </w:pPr>
      <w:r>
        <w:rPr>
          <w:rStyle w:val="FootnoteReference"/>
        </w:rPr>
        <w:footnoteRef/>
      </w:r>
      <w:r>
        <w:t xml:space="preserve"> </w:t>
      </w:r>
      <w:r>
        <w:tab/>
      </w:r>
      <w:proofErr w:type="spellStart"/>
      <w:r>
        <w:rPr>
          <w:bCs/>
        </w:rPr>
        <w:t>CaseLines</w:t>
      </w:r>
      <w:proofErr w:type="spellEnd"/>
      <w:r>
        <w:rPr>
          <w:bCs/>
        </w:rPr>
        <w:t xml:space="preserve"> 035-26</w:t>
      </w:r>
      <w:r w:rsidR="00482BBC">
        <w:rPr>
          <w:bCs/>
        </w:rPr>
        <w:t>,</w:t>
      </w:r>
      <w:r w:rsidR="00482BBC" w:rsidRPr="00482BBC">
        <w:t xml:space="preserve"> </w:t>
      </w:r>
      <w:r w:rsidR="00482BBC" w:rsidRPr="00BF0ACB">
        <w:t xml:space="preserve">Annexure </w:t>
      </w:r>
      <w:r w:rsidR="00482BBC" w:rsidRPr="00BF0ACB">
        <w:rPr>
          <w:b/>
        </w:rPr>
        <w:t>“</w:t>
      </w:r>
      <w:r w:rsidR="00482BBC">
        <w:rPr>
          <w:b/>
        </w:rPr>
        <w:t>BN1”</w:t>
      </w:r>
    </w:p>
  </w:footnote>
  <w:footnote w:id="22">
    <w:p w14:paraId="0310608D" w14:textId="4279DD56" w:rsidR="000E2012" w:rsidRPr="000E2012" w:rsidRDefault="000E2012">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034-27, Annexure “</w:t>
      </w:r>
      <w:r w:rsidRPr="000E2012">
        <w:rPr>
          <w:b/>
          <w:bCs/>
          <w:lang w:val="en-US"/>
        </w:rPr>
        <w:t>EB5</w:t>
      </w:r>
      <w:r>
        <w:rPr>
          <w:lang w:val="en-US"/>
        </w:rPr>
        <w:t>”</w:t>
      </w:r>
    </w:p>
  </w:footnote>
  <w:footnote w:id="23">
    <w:p w14:paraId="00C7F83D" w14:textId="4B333AF3" w:rsidR="001406A8" w:rsidRPr="001406A8" w:rsidRDefault="001406A8">
      <w:pPr>
        <w:pStyle w:val="FootnoteText"/>
        <w:rPr>
          <w:lang w:val="en-US"/>
        </w:rPr>
      </w:pPr>
      <w:r>
        <w:rPr>
          <w:rStyle w:val="FootnoteReference"/>
        </w:rPr>
        <w:footnoteRef/>
      </w:r>
      <w:r>
        <w:t xml:space="preserve"> </w:t>
      </w:r>
      <w:r>
        <w:rPr>
          <w:lang w:val="en-US"/>
        </w:rPr>
        <w:t xml:space="preserve"> </w:t>
      </w:r>
      <w:proofErr w:type="spellStart"/>
      <w:r>
        <w:rPr>
          <w:lang w:val="en-US"/>
        </w:rPr>
        <w:t>CaseLines</w:t>
      </w:r>
      <w:proofErr w:type="spellEnd"/>
      <w:r>
        <w:rPr>
          <w:lang w:val="en-US"/>
        </w:rPr>
        <w:t xml:space="preserve"> 034-28, Annexure “</w:t>
      </w:r>
      <w:r w:rsidRPr="001406A8">
        <w:rPr>
          <w:b/>
          <w:bCs/>
          <w:lang w:val="en-US"/>
        </w:rPr>
        <w:t>EB6</w:t>
      </w:r>
      <w:r>
        <w:rPr>
          <w:lang w:val="en-US"/>
        </w:rPr>
        <w:t>”</w:t>
      </w:r>
    </w:p>
  </w:footnote>
  <w:footnote w:id="24">
    <w:p w14:paraId="6FF56409" w14:textId="245E1461" w:rsidR="000E2012" w:rsidRPr="000E2012" w:rsidRDefault="000E2012">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034-29, Annexure “EB7’</w:t>
      </w:r>
    </w:p>
  </w:footnote>
  <w:footnote w:id="25">
    <w:p w14:paraId="0A1904B3" w14:textId="4DD64244" w:rsidR="00B763AA" w:rsidRPr="00B763AA" w:rsidRDefault="00B763AA">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035-27, Annexure “</w:t>
      </w:r>
      <w:r w:rsidRPr="00B763AA">
        <w:rPr>
          <w:b/>
          <w:bCs/>
          <w:lang w:val="en-US"/>
        </w:rPr>
        <w:t>BN2</w:t>
      </w:r>
      <w:r>
        <w:rPr>
          <w:lang w:val="en-US"/>
        </w:rPr>
        <w:t>”</w:t>
      </w:r>
    </w:p>
  </w:footnote>
  <w:footnote w:id="26">
    <w:p w14:paraId="0DDD914C" w14:textId="20632C04" w:rsidR="00B763AA" w:rsidRPr="00B763AA" w:rsidRDefault="00B763AA">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w:t>
      </w:r>
      <w:r w:rsidR="00004487">
        <w:rPr>
          <w:lang w:val="en-US"/>
        </w:rPr>
        <w:t>034- 11, para 25</w:t>
      </w:r>
    </w:p>
  </w:footnote>
  <w:footnote w:id="27">
    <w:p w14:paraId="2A9048C2" w14:textId="2CFEF127" w:rsidR="0067473D" w:rsidRPr="0088113C" w:rsidRDefault="0067473D" w:rsidP="0067473D">
      <w:pPr>
        <w:pStyle w:val="FootnoteText"/>
        <w:rPr>
          <w:bCs/>
        </w:rPr>
      </w:pPr>
      <w:r>
        <w:rPr>
          <w:rStyle w:val="FootnoteReference"/>
        </w:rPr>
        <w:footnoteRef/>
      </w:r>
      <w:r>
        <w:t xml:space="preserve"> </w:t>
      </w:r>
      <w:r>
        <w:tab/>
      </w:r>
      <w:proofErr w:type="spellStart"/>
      <w:r>
        <w:rPr>
          <w:bCs/>
        </w:rPr>
        <w:t>CaseLines</w:t>
      </w:r>
      <w:proofErr w:type="spellEnd"/>
      <w:r>
        <w:rPr>
          <w:bCs/>
        </w:rPr>
        <w:t xml:space="preserve"> 035-33</w:t>
      </w:r>
      <w:r w:rsidR="00482BBC">
        <w:rPr>
          <w:bCs/>
        </w:rPr>
        <w:t>,</w:t>
      </w:r>
      <w:r w:rsidR="00482BBC" w:rsidRPr="00482BBC">
        <w:t xml:space="preserve"> </w:t>
      </w:r>
      <w:r w:rsidR="00482BBC" w:rsidRPr="00BF0ACB">
        <w:t xml:space="preserve">Annexure </w:t>
      </w:r>
      <w:r w:rsidR="00482BBC" w:rsidRPr="00BF0ACB">
        <w:rPr>
          <w:b/>
        </w:rPr>
        <w:t>“</w:t>
      </w:r>
      <w:r w:rsidR="00482BBC">
        <w:rPr>
          <w:b/>
        </w:rPr>
        <w:t>BN3”</w:t>
      </w:r>
    </w:p>
  </w:footnote>
  <w:footnote w:id="28">
    <w:p w14:paraId="4FD2744C" w14:textId="784AEF54" w:rsidR="008B7530" w:rsidRPr="008B7530" w:rsidRDefault="008B7530">
      <w:pPr>
        <w:pStyle w:val="FootnoteText"/>
        <w:rPr>
          <w:lang w:val="en-US"/>
        </w:rPr>
      </w:pPr>
      <w:r>
        <w:rPr>
          <w:rStyle w:val="FootnoteReference"/>
        </w:rPr>
        <w:footnoteRef/>
      </w:r>
      <w:r>
        <w:t xml:space="preserve"> </w:t>
      </w:r>
      <w:r>
        <w:rPr>
          <w:lang w:val="en-US"/>
        </w:rPr>
        <w:t>2017(6) SA 223 (GJ</w:t>
      </w:r>
    </w:p>
  </w:footnote>
  <w:footnote w:id="29">
    <w:p w14:paraId="43B09ACC" w14:textId="212027D6" w:rsidR="00A3200D" w:rsidRPr="00A3200D" w:rsidRDefault="00A3200D">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035-26, Annexure “</w:t>
      </w:r>
      <w:r w:rsidRPr="00A3200D">
        <w:rPr>
          <w:b/>
          <w:bCs/>
          <w:lang w:val="en-US"/>
        </w:rPr>
        <w:t>BN1</w:t>
      </w:r>
      <w:r>
        <w:rPr>
          <w:lang w:val="en-US"/>
        </w:rPr>
        <w:t>”</w:t>
      </w:r>
    </w:p>
  </w:footnote>
  <w:footnote w:id="30">
    <w:p w14:paraId="7BC31A5E" w14:textId="731B5136" w:rsidR="00C064FD" w:rsidRPr="00C064FD" w:rsidRDefault="00C064FD">
      <w:pPr>
        <w:pStyle w:val="FootnoteText"/>
        <w:rPr>
          <w:lang w:val="en-US"/>
        </w:rPr>
      </w:pPr>
      <w:r>
        <w:rPr>
          <w:rStyle w:val="FootnoteReference"/>
        </w:rPr>
        <w:footnoteRef/>
      </w:r>
      <w:r>
        <w:t xml:space="preserve"> </w:t>
      </w:r>
      <w:r>
        <w:rPr>
          <w:lang w:val="en-US"/>
        </w:rPr>
        <w:t xml:space="preserve"> </w:t>
      </w:r>
      <w:proofErr w:type="spellStart"/>
      <w:r>
        <w:rPr>
          <w:lang w:val="en-US"/>
        </w:rPr>
        <w:t>CaseLines</w:t>
      </w:r>
      <w:proofErr w:type="spellEnd"/>
      <w:r>
        <w:rPr>
          <w:lang w:val="en-US"/>
        </w:rPr>
        <w:t xml:space="preserve"> 034-32, Annexure “</w:t>
      </w:r>
      <w:r w:rsidRPr="00C064FD">
        <w:rPr>
          <w:b/>
          <w:bCs/>
          <w:lang w:val="en-US"/>
        </w:rPr>
        <w:t>EB10</w:t>
      </w:r>
      <w:r>
        <w:rPr>
          <w:lang w:val="en-US"/>
        </w:rPr>
        <w:t>”</w:t>
      </w:r>
    </w:p>
  </w:footnote>
  <w:footnote w:id="31">
    <w:p w14:paraId="6409A466" w14:textId="7C0CA6C6" w:rsidR="00043A4D" w:rsidRPr="00043A4D" w:rsidRDefault="00043A4D">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034-33 to 034-35, Annexures” </w:t>
      </w:r>
      <w:r w:rsidRPr="00043A4D">
        <w:rPr>
          <w:b/>
          <w:bCs/>
          <w:lang w:val="en-US"/>
        </w:rPr>
        <w:t>EB11</w:t>
      </w:r>
      <w:r>
        <w:rPr>
          <w:lang w:val="en-US"/>
        </w:rPr>
        <w:t>” and “</w:t>
      </w:r>
      <w:r w:rsidRPr="00043A4D">
        <w:rPr>
          <w:b/>
          <w:bCs/>
          <w:lang w:val="en-US"/>
        </w:rPr>
        <w:t>EB12</w:t>
      </w:r>
      <w:r>
        <w:rPr>
          <w:lang w:val="en-US"/>
        </w:rPr>
        <w:t>”</w:t>
      </w:r>
    </w:p>
  </w:footnote>
  <w:footnote w:id="32">
    <w:p w14:paraId="6872526D" w14:textId="6DFD8354" w:rsidR="00043A4D" w:rsidRPr="00043A4D" w:rsidRDefault="00043A4D">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034-35, Annexure “</w:t>
      </w:r>
      <w:r w:rsidRPr="00043A4D">
        <w:rPr>
          <w:b/>
          <w:bCs/>
          <w:lang w:val="en-US"/>
        </w:rPr>
        <w:t>EB12</w:t>
      </w:r>
      <w:r>
        <w:rPr>
          <w:lang w:val="en-US"/>
        </w:rPr>
        <w:t>”</w:t>
      </w:r>
    </w:p>
  </w:footnote>
  <w:footnote w:id="33">
    <w:p w14:paraId="6CEEB9FB" w14:textId="7AE7F481" w:rsidR="00997751" w:rsidRPr="00997751" w:rsidRDefault="00997751">
      <w:pPr>
        <w:pStyle w:val="FootnoteText"/>
        <w:rPr>
          <w:lang w:val="en-US"/>
        </w:rPr>
      </w:pPr>
      <w:r>
        <w:rPr>
          <w:rStyle w:val="FootnoteReference"/>
        </w:rPr>
        <w:footnoteRef/>
      </w:r>
      <w:r>
        <w:t xml:space="preserve"> </w:t>
      </w:r>
      <w:proofErr w:type="spellStart"/>
      <w:r w:rsidR="00907060">
        <w:t>CaseLines</w:t>
      </w:r>
      <w:proofErr w:type="spellEnd"/>
      <w:r w:rsidR="00907060">
        <w:t xml:space="preserve"> 034-36, Annexure “</w:t>
      </w:r>
      <w:r w:rsidR="00907060" w:rsidRPr="00907060">
        <w:rPr>
          <w:b/>
          <w:bCs/>
        </w:rPr>
        <w:t>EB13</w:t>
      </w:r>
      <w:r w:rsidR="00907060">
        <w:t>”</w:t>
      </w:r>
    </w:p>
  </w:footnote>
  <w:footnote w:id="34">
    <w:p w14:paraId="1D340422" w14:textId="2E6F882F" w:rsidR="00907060" w:rsidRPr="00907060" w:rsidRDefault="00907060">
      <w:pPr>
        <w:pStyle w:val="FootnoteText"/>
        <w:rPr>
          <w:lang w:val="en-US"/>
        </w:rPr>
      </w:pPr>
      <w:r>
        <w:rPr>
          <w:rStyle w:val="FootnoteReference"/>
        </w:rPr>
        <w:footnoteRef/>
      </w:r>
      <w:r>
        <w:t xml:space="preserve">  </w:t>
      </w:r>
      <w:proofErr w:type="spellStart"/>
      <w:r>
        <w:t>CaseLines</w:t>
      </w:r>
      <w:proofErr w:type="spellEnd"/>
      <w:r>
        <w:t xml:space="preserve"> 034-37, Annexure “</w:t>
      </w:r>
      <w:r w:rsidRPr="00907060">
        <w:rPr>
          <w:b/>
          <w:bCs/>
        </w:rPr>
        <w:t>EB14</w:t>
      </w:r>
      <w:r>
        <w:t>”</w:t>
      </w:r>
    </w:p>
  </w:footnote>
  <w:footnote w:id="35">
    <w:p w14:paraId="496B2441" w14:textId="412DA9DC" w:rsidR="008408FE" w:rsidRPr="008408FE" w:rsidRDefault="008408FE">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034-38, Annexure “</w:t>
      </w:r>
      <w:r w:rsidRPr="008408FE">
        <w:rPr>
          <w:b/>
          <w:bCs/>
          <w:lang w:val="en-US"/>
        </w:rPr>
        <w:t>EB15</w:t>
      </w:r>
      <w:r>
        <w:rPr>
          <w:lang w:val="en-US"/>
        </w:rPr>
        <w:t>”</w:t>
      </w:r>
    </w:p>
  </w:footnote>
  <w:footnote w:id="36">
    <w:p w14:paraId="3C071386" w14:textId="6B1CCDA0" w:rsidR="008408FE" w:rsidRPr="008408FE" w:rsidRDefault="008408FE">
      <w:pPr>
        <w:pStyle w:val="FootnoteText"/>
        <w:rPr>
          <w:lang w:val="en-US"/>
        </w:rPr>
      </w:pPr>
      <w:r>
        <w:rPr>
          <w:rStyle w:val="FootnoteReference"/>
        </w:rPr>
        <w:footnoteRef/>
      </w:r>
      <w:r>
        <w:t xml:space="preserve"> </w:t>
      </w:r>
      <w:r w:rsidR="00A2495C">
        <w:rPr>
          <w:lang w:val="en-US"/>
        </w:rPr>
        <w:t xml:space="preserve"> </w:t>
      </w:r>
      <w:proofErr w:type="spellStart"/>
      <w:r w:rsidR="00A2495C">
        <w:rPr>
          <w:lang w:val="en-US"/>
        </w:rPr>
        <w:t>CaseLines</w:t>
      </w:r>
      <w:proofErr w:type="spellEnd"/>
      <w:r w:rsidR="00A2495C">
        <w:rPr>
          <w:lang w:val="en-US"/>
        </w:rPr>
        <w:t xml:space="preserve"> 034-41, Annexure “</w:t>
      </w:r>
      <w:r w:rsidR="00A2495C" w:rsidRPr="00A2495C">
        <w:rPr>
          <w:b/>
          <w:bCs/>
          <w:lang w:val="en-US"/>
        </w:rPr>
        <w:t>EB17</w:t>
      </w:r>
      <w:r w:rsidR="00A2495C">
        <w:rPr>
          <w:lang w:val="en-US"/>
        </w:rPr>
        <w:t>”</w:t>
      </w:r>
    </w:p>
  </w:footnote>
  <w:footnote w:id="37">
    <w:p w14:paraId="7C44015B" w14:textId="77777777" w:rsidR="0067473D" w:rsidRPr="00AD6EDE" w:rsidRDefault="0067473D" w:rsidP="0067473D">
      <w:pPr>
        <w:pStyle w:val="FootnoteText"/>
        <w:rPr>
          <w:lang w:val="en-US"/>
        </w:rPr>
      </w:pPr>
      <w:r>
        <w:rPr>
          <w:rStyle w:val="FootnoteReference"/>
        </w:rPr>
        <w:footnoteRef/>
      </w:r>
      <w:r>
        <w:t xml:space="preserve"> </w:t>
      </w:r>
      <w:r>
        <w:rPr>
          <w:lang w:val="en-US"/>
        </w:rPr>
        <w:t xml:space="preserve"> 2002 (1) SA 560 (SCA) at paragraph 27</w:t>
      </w:r>
    </w:p>
  </w:footnote>
  <w:footnote w:id="38">
    <w:p w14:paraId="57F4F9D1" w14:textId="77777777" w:rsidR="0067473D" w:rsidRPr="000B0F7E" w:rsidRDefault="0067473D" w:rsidP="0067473D">
      <w:pPr>
        <w:pStyle w:val="FootnoteText"/>
      </w:pPr>
      <w:r>
        <w:rPr>
          <w:rStyle w:val="FootnoteReference"/>
        </w:rPr>
        <w:footnoteRef/>
      </w:r>
      <w:r>
        <w:t xml:space="preserve"> </w:t>
      </w:r>
      <w:r>
        <w:tab/>
      </w:r>
      <w:r>
        <w:rPr>
          <w:b/>
          <w:bCs/>
          <w:i/>
          <w:iCs/>
        </w:rPr>
        <w:t xml:space="preserve">Minister of Land Affairs and Agriculture v D &amp; F </w:t>
      </w:r>
      <w:proofErr w:type="spellStart"/>
      <w:r>
        <w:rPr>
          <w:b/>
          <w:bCs/>
          <w:i/>
          <w:iCs/>
        </w:rPr>
        <w:t>Wevell</w:t>
      </w:r>
      <w:proofErr w:type="spellEnd"/>
      <w:r>
        <w:rPr>
          <w:b/>
          <w:bCs/>
          <w:i/>
          <w:iCs/>
        </w:rPr>
        <w:t xml:space="preserve"> Trust </w:t>
      </w:r>
      <w:r>
        <w:t>2008 (2) SA 184 (SCA) at paras 57-59</w:t>
      </w:r>
    </w:p>
  </w:footnote>
  <w:footnote w:id="39">
    <w:p w14:paraId="6C20A735" w14:textId="77777777" w:rsidR="0067473D" w:rsidRPr="00D414B0" w:rsidRDefault="0067473D" w:rsidP="0067473D">
      <w:pPr>
        <w:pStyle w:val="NormalWeb"/>
        <w:shd w:val="clear" w:color="auto" w:fill="FFFFFF"/>
        <w:spacing w:before="144" w:beforeAutospacing="0" w:after="0" w:afterAutospacing="0" w:line="360" w:lineRule="atLeast"/>
        <w:rPr>
          <w:rFonts w:ascii="Arial" w:hAnsi="Arial" w:cs="Arial"/>
          <w:color w:val="242121"/>
          <w:sz w:val="27"/>
          <w:szCs w:val="27"/>
        </w:rPr>
      </w:pPr>
      <w:r w:rsidRPr="00D414B0">
        <w:rPr>
          <w:rStyle w:val="FootnoteReference"/>
          <w:rFonts w:ascii="Arial" w:hAnsi="Arial" w:cs="Arial"/>
        </w:rPr>
        <w:footnoteRef/>
      </w:r>
      <w:r w:rsidRPr="00D414B0">
        <w:rPr>
          <w:rFonts w:ascii="Arial" w:hAnsi="Arial" w:cs="Arial"/>
          <w:color w:val="000000"/>
        </w:rPr>
        <w:t xml:space="preserve"> </w:t>
      </w:r>
      <w:r w:rsidRPr="00D414B0">
        <w:rPr>
          <w:rFonts w:ascii="Arial" w:hAnsi="Arial" w:cs="Arial"/>
          <w:color w:val="000000"/>
          <w:sz w:val="20"/>
          <w:szCs w:val="20"/>
        </w:rPr>
        <w:t>1950 (1) SA 324 (C) at 335 to 336</w:t>
      </w:r>
    </w:p>
    <w:p w14:paraId="3BBB85C1" w14:textId="77777777" w:rsidR="0067473D" w:rsidRPr="00AD6EDE" w:rsidRDefault="0067473D" w:rsidP="0067473D">
      <w:pPr>
        <w:pStyle w:val="FootnoteText"/>
        <w:rPr>
          <w:color w:val="000000" w:themeColor="text1"/>
          <w:lang w:val="en-US"/>
        </w:rPr>
      </w:pPr>
    </w:p>
  </w:footnote>
  <w:footnote w:id="40">
    <w:p w14:paraId="24070D5D" w14:textId="77777777" w:rsidR="0067473D" w:rsidRDefault="0067473D" w:rsidP="0067473D">
      <w:pPr>
        <w:pStyle w:val="FootnoteText"/>
      </w:pPr>
      <w:r>
        <w:rPr>
          <w:rStyle w:val="FootnoteReference"/>
        </w:rPr>
        <w:footnoteRef/>
      </w:r>
      <w:r>
        <w:t xml:space="preserve"> </w:t>
      </w:r>
      <w:r>
        <w:tab/>
        <w:t>2021 ZAGPJHC 892 at para 33</w:t>
      </w:r>
    </w:p>
  </w:footnote>
  <w:footnote w:id="41">
    <w:p w14:paraId="3D9870DE" w14:textId="77777777" w:rsidR="0067473D" w:rsidRDefault="0067473D" w:rsidP="0067473D">
      <w:pPr>
        <w:pStyle w:val="FootnoteText"/>
      </w:pPr>
      <w:r>
        <w:rPr>
          <w:rStyle w:val="FootnoteReference"/>
        </w:rPr>
        <w:footnoteRef/>
      </w:r>
      <w:r>
        <w:t xml:space="preserve"> </w:t>
      </w:r>
      <w:r>
        <w:tab/>
        <w:t>2020 (3) SA 58 (SCA) at paras 48 and 55</w:t>
      </w:r>
    </w:p>
  </w:footnote>
  <w:footnote w:id="42">
    <w:p w14:paraId="06C20C75" w14:textId="46302387" w:rsidR="00E50590" w:rsidRDefault="00E50590">
      <w:pPr>
        <w:pStyle w:val="FootnoteText"/>
      </w:pPr>
      <w:r>
        <w:rPr>
          <w:rStyle w:val="FootnoteReference"/>
        </w:rPr>
        <w:footnoteRef/>
      </w:r>
      <w:r>
        <w:t xml:space="preserve"> </w:t>
      </w:r>
      <w:r w:rsidR="00B06958">
        <w:tab/>
      </w:r>
      <w:proofErr w:type="spellStart"/>
      <w:r>
        <w:t>CaseLines</w:t>
      </w:r>
      <w:proofErr w:type="spellEnd"/>
      <w:r>
        <w:t xml:space="preserve"> 010-43 to 010-45. </w:t>
      </w:r>
    </w:p>
  </w:footnote>
  <w:footnote w:id="43">
    <w:p w14:paraId="1C2EC473" w14:textId="024DCAC7" w:rsidR="0067473D" w:rsidRDefault="0067473D" w:rsidP="0067473D">
      <w:pPr>
        <w:pStyle w:val="FootnoteText"/>
      </w:pPr>
      <w:r>
        <w:rPr>
          <w:rStyle w:val="FootnoteReference"/>
        </w:rPr>
        <w:footnoteRef/>
      </w:r>
      <w:r>
        <w:t xml:space="preserve"> </w:t>
      </w:r>
      <w:r w:rsidR="00BA0A3B">
        <w:tab/>
      </w:r>
      <w:r w:rsidR="00B06958">
        <w:tab/>
      </w:r>
      <w:proofErr w:type="spellStart"/>
      <w:r w:rsidR="00482BBC">
        <w:t>CaseLines</w:t>
      </w:r>
      <w:proofErr w:type="spellEnd"/>
      <w:r w:rsidR="00482BBC">
        <w:t xml:space="preserve"> 004-604 to 004-605, </w:t>
      </w:r>
      <w:r>
        <w:t>Annexure “</w:t>
      </w:r>
      <w:r w:rsidRPr="0062599F">
        <w:rPr>
          <w:b/>
          <w:bCs/>
        </w:rPr>
        <w:t>BND2</w:t>
      </w:r>
      <w:r>
        <w:t xml:space="preserve">”  </w:t>
      </w:r>
    </w:p>
  </w:footnote>
  <w:footnote w:id="44">
    <w:p w14:paraId="49333469" w14:textId="36295BE8" w:rsidR="0067473D" w:rsidRDefault="0067473D" w:rsidP="0067473D">
      <w:pPr>
        <w:pStyle w:val="FootnoteText"/>
      </w:pPr>
      <w:r>
        <w:rPr>
          <w:rStyle w:val="FootnoteReference"/>
        </w:rPr>
        <w:footnoteRef/>
      </w:r>
      <w:r>
        <w:t xml:space="preserve"> </w:t>
      </w:r>
      <w:r w:rsidR="00BA0A3B">
        <w:tab/>
      </w:r>
      <w:r w:rsidR="00067432">
        <w:t xml:space="preserve"> </w:t>
      </w:r>
      <w:r w:rsidR="00067432" w:rsidRPr="00067432">
        <w:rPr>
          <w:b/>
          <w:bCs/>
        </w:rPr>
        <w:t>Erasmus</w:t>
      </w:r>
      <w:r w:rsidR="00067432">
        <w:t xml:space="preserve"> </w:t>
      </w:r>
      <w:r w:rsidR="00B06958">
        <w:tab/>
      </w:r>
      <w:r>
        <w:t xml:space="preserve">D169 to D177. </w:t>
      </w:r>
    </w:p>
  </w:footnote>
  <w:footnote w:id="45">
    <w:p w14:paraId="4C6E88AB" w14:textId="7D5A02C1" w:rsidR="0067473D" w:rsidRPr="00F162F2" w:rsidRDefault="0067473D" w:rsidP="0067473D">
      <w:pPr>
        <w:pStyle w:val="FootnoteText"/>
      </w:pPr>
      <w:r>
        <w:rPr>
          <w:rStyle w:val="FootnoteReference"/>
        </w:rPr>
        <w:footnoteRef/>
      </w:r>
      <w:r>
        <w:t xml:space="preserve"> </w:t>
      </w:r>
      <w:r w:rsidR="00BA0A3B">
        <w:tab/>
      </w:r>
      <w:r w:rsidR="00BF1C2A">
        <w:rPr>
          <w:b/>
          <w:bCs/>
          <w:i/>
          <w:iCs/>
        </w:rPr>
        <w:t xml:space="preserve">De </w:t>
      </w:r>
      <w:proofErr w:type="spellStart"/>
      <w:r w:rsidR="00BF1C2A">
        <w:rPr>
          <w:b/>
          <w:bCs/>
          <w:i/>
          <w:iCs/>
        </w:rPr>
        <w:t>Reska</w:t>
      </w:r>
      <w:proofErr w:type="spellEnd"/>
      <w:r w:rsidR="00BF1C2A">
        <w:rPr>
          <w:b/>
          <w:bCs/>
          <w:i/>
          <w:iCs/>
        </w:rPr>
        <w:t xml:space="preserve"> v Maras &amp; Others </w:t>
      </w:r>
      <w:r w:rsidR="00BF1C2A" w:rsidRPr="00BF1C2A">
        <w:t>2006(1) SA 401, paras [33] to [34</w:t>
      </w:r>
      <w:r w:rsidR="00F162F2">
        <w:t xml:space="preserve">] </w:t>
      </w:r>
    </w:p>
  </w:footnote>
  <w:footnote w:id="46">
    <w:p w14:paraId="477DF0DF" w14:textId="0128A173" w:rsidR="0067473D" w:rsidRPr="006B3F7E" w:rsidRDefault="0067473D" w:rsidP="0067473D">
      <w:pPr>
        <w:pStyle w:val="FootnoteText"/>
      </w:pPr>
      <w:r>
        <w:rPr>
          <w:rStyle w:val="FootnoteReference"/>
        </w:rPr>
        <w:footnoteRef/>
      </w:r>
      <w:r>
        <w:t xml:space="preserve"> </w:t>
      </w:r>
      <w:r w:rsidR="00BA0A3B">
        <w:tab/>
      </w:r>
      <w:r>
        <w:rPr>
          <w:b/>
          <w:bCs/>
          <w:i/>
          <w:iCs/>
        </w:rPr>
        <w:t xml:space="preserve">Erasmus </w:t>
      </w:r>
      <w:r>
        <w:t xml:space="preserve">D176. </w:t>
      </w:r>
    </w:p>
  </w:footnote>
  <w:footnote w:id="47">
    <w:p w14:paraId="04C3E545" w14:textId="709A38C8" w:rsidR="0067473D" w:rsidRDefault="0067473D" w:rsidP="0067473D">
      <w:pPr>
        <w:pStyle w:val="FootnoteText"/>
      </w:pPr>
      <w:r>
        <w:rPr>
          <w:rStyle w:val="FootnoteReference"/>
        </w:rPr>
        <w:footnoteRef/>
      </w:r>
      <w:r>
        <w:t xml:space="preserve"> </w:t>
      </w:r>
      <w:r w:rsidR="00BA0A3B">
        <w:tab/>
      </w:r>
      <w:r w:rsidR="00482BBC">
        <w:t>Case Lines</w:t>
      </w:r>
      <w:r w:rsidR="00067432">
        <w:t xml:space="preserve"> </w:t>
      </w:r>
      <w:r>
        <w:t>004 – 606 to 004 – 609</w:t>
      </w:r>
      <w:r w:rsidR="00482BBC">
        <w:t>, Annexure “</w:t>
      </w:r>
      <w:r w:rsidR="00482BBC" w:rsidRPr="00990974">
        <w:rPr>
          <w:b/>
          <w:bCs/>
        </w:rPr>
        <w:t>BND3</w:t>
      </w:r>
      <w:r w:rsidR="00482BBC">
        <w:t xml:space="preserve">” </w:t>
      </w:r>
    </w:p>
  </w:footnote>
  <w:footnote w:id="48">
    <w:p w14:paraId="3CEAB34E" w14:textId="77777777" w:rsidR="00DA33A7" w:rsidRPr="006B3F7E" w:rsidRDefault="00DA33A7" w:rsidP="00DA33A7">
      <w:pPr>
        <w:pStyle w:val="FootnoteText"/>
      </w:pPr>
      <w:r>
        <w:rPr>
          <w:rStyle w:val="FootnoteReference"/>
        </w:rPr>
        <w:footnoteRef/>
      </w:r>
      <w:r>
        <w:t xml:space="preserve"> </w:t>
      </w:r>
      <w:r>
        <w:tab/>
      </w:r>
      <w:r>
        <w:rPr>
          <w:b/>
          <w:bCs/>
          <w:i/>
          <w:iCs/>
        </w:rPr>
        <w:t xml:space="preserve">Erasmus </w:t>
      </w:r>
      <w:r>
        <w:t xml:space="preserve">D177. </w:t>
      </w:r>
    </w:p>
  </w:footnote>
  <w:footnote w:id="49">
    <w:p w14:paraId="6A3F2DC1" w14:textId="6E83B22E" w:rsidR="0067473D" w:rsidRDefault="0067473D" w:rsidP="00BA0A3B">
      <w:pPr>
        <w:pStyle w:val="FootnoteText"/>
        <w:tabs>
          <w:tab w:val="clear" w:pos="227"/>
          <w:tab w:val="left" w:pos="284"/>
        </w:tabs>
        <w:ind w:left="284" w:hanging="284"/>
      </w:pPr>
      <w:r>
        <w:rPr>
          <w:rStyle w:val="FootnoteReference"/>
        </w:rPr>
        <w:footnoteRef/>
      </w:r>
      <w:r>
        <w:t xml:space="preserve"> </w:t>
      </w:r>
      <w:r w:rsidR="00BA0A3B">
        <w:tab/>
      </w:r>
      <w:r w:rsidR="00BA0A3B">
        <w:tab/>
      </w:r>
      <w:r w:rsidR="00BA0A3B">
        <w:tab/>
      </w:r>
      <w:r w:rsidR="00067432">
        <w:t xml:space="preserve"> </w:t>
      </w:r>
      <w:proofErr w:type="spellStart"/>
      <w:r w:rsidR="00067432">
        <w:t>CaseLines</w:t>
      </w:r>
      <w:proofErr w:type="spellEnd"/>
      <w:r w:rsidR="00067432">
        <w:t xml:space="preserve"> 004 – 600 to 004 - 601</w:t>
      </w:r>
      <w:r>
        <w:t xml:space="preserve">, para 192 </w:t>
      </w:r>
    </w:p>
  </w:footnote>
  <w:footnote w:id="50">
    <w:p w14:paraId="07CF2B95" w14:textId="3ED4827E" w:rsidR="00AE00C6" w:rsidRPr="00AE00C6" w:rsidRDefault="00AE00C6" w:rsidP="00BA0A3B">
      <w:pPr>
        <w:pStyle w:val="FootnoteText"/>
        <w:tabs>
          <w:tab w:val="clear" w:pos="227"/>
          <w:tab w:val="left" w:pos="284"/>
        </w:tabs>
        <w:ind w:left="284" w:hanging="284"/>
        <w:rPr>
          <w:lang w:val="en-US"/>
        </w:rPr>
      </w:pPr>
      <w:r>
        <w:rPr>
          <w:rStyle w:val="FootnoteReference"/>
        </w:rPr>
        <w:footnoteRef/>
      </w:r>
      <w:r>
        <w:t xml:space="preserve"> </w:t>
      </w:r>
      <w:r w:rsidR="00BA0A3B">
        <w:tab/>
      </w:r>
      <w:r w:rsidR="00067432">
        <w:t xml:space="preserve"> </w:t>
      </w:r>
      <w:proofErr w:type="spellStart"/>
      <w:r w:rsidR="00067432">
        <w:t>CaseLines</w:t>
      </w:r>
      <w:proofErr w:type="spellEnd"/>
      <w:r w:rsidR="00067432">
        <w:rPr>
          <w:lang w:val="en-US"/>
        </w:rPr>
        <w:t xml:space="preserve"> 004 – 546 to 004 -560</w:t>
      </w:r>
      <w:r>
        <w:rPr>
          <w:lang w:val="en-US"/>
        </w:rPr>
        <w:t xml:space="preserve">, paras 40 to 72 </w:t>
      </w:r>
      <w:r w:rsidR="00067432">
        <w:rPr>
          <w:lang w:val="en-US"/>
        </w:rPr>
        <w:t xml:space="preserve"> </w:t>
      </w:r>
    </w:p>
  </w:footnote>
  <w:footnote w:id="51">
    <w:p w14:paraId="0B3AB33B" w14:textId="2DA5A177" w:rsidR="00117191" w:rsidRDefault="00117191">
      <w:pPr>
        <w:pStyle w:val="FootnoteText"/>
      </w:pPr>
      <w:r>
        <w:rPr>
          <w:rStyle w:val="FootnoteReference"/>
        </w:rPr>
        <w:footnoteRef/>
      </w:r>
      <w:r>
        <w:t xml:space="preserve"> </w:t>
      </w:r>
      <w:r w:rsidR="00B06958">
        <w:tab/>
      </w:r>
      <w:proofErr w:type="spellStart"/>
      <w:r>
        <w:t>CaseLines</w:t>
      </w:r>
      <w:proofErr w:type="spellEnd"/>
      <w:r>
        <w:t xml:space="preserve"> 004-560 to 004-561, para 73</w:t>
      </w:r>
    </w:p>
  </w:footnote>
  <w:footnote w:id="52">
    <w:p w14:paraId="264B70A3" w14:textId="6A58D145" w:rsidR="00AE00C6" w:rsidRPr="00AE00C6" w:rsidRDefault="00AE00C6">
      <w:pPr>
        <w:pStyle w:val="FootnoteText"/>
        <w:rPr>
          <w:lang w:val="en-US"/>
        </w:rPr>
      </w:pPr>
      <w:r>
        <w:rPr>
          <w:rStyle w:val="FootnoteReference"/>
        </w:rPr>
        <w:footnoteRef/>
      </w:r>
      <w:r>
        <w:t xml:space="preserve"> </w:t>
      </w:r>
      <w:r>
        <w:rPr>
          <w:lang w:val="en-US"/>
        </w:rPr>
        <w:t xml:space="preserve"> </w:t>
      </w:r>
      <w:proofErr w:type="spellStart"/>
      <w:r w:rsidR="00067432">
        <w:rPr>
          <w:lang w:val="en-US"/>
        </w:rPr>
        <w:t>CaseLines</w:t>
      </w:r>
      <w:proofErr w:type="spellEnd"/>
      <w:r>
        <w:rPr>
          <w:lang w:val="en-US"/>
        </w:rPr>
        <w:t xml:space="preserve"> </w:t>
      </w:r>
      <w:r w:rsidR="00067432">
        <w:rPr>
          <w:lang w:val="en-US"/>
        </w:rPr>
        <w:t xml:space="preserve">004-560 to 004-580, </w:t>
      </w:r>
      <w:r>
        <w:rPr>
          <w:lang w:val="en-US"/>
        </w:rPr>
        <w:t xml:space="preserve">73 to 107 </w:t>
      </w:r>
    </w:p>
  </w:footnote>
  <w:footnote w:id="53">
    <w:p w14:paraId="14CB2CF8" w14:textId="0857A767" w:rsidR="0067473D" w:rsidRDefault="0067473D" w:rsidP="00BA0A3B">
      <w:pPr>
        <w:pStyle w:val="FootnoteText"/>
        <w:tabs>
          <w:tab w:val="clear" w:pos="227"/>
          <w:tab w:val="left" w:pos="284"/>
        </w:tabs>
        <w:ind w:left="284" w:hanging="284"/>
      </w:pPr>
      <w:r>
        <w:rPr>
          <w:rStyle w:val="FootnoteReference"/>
        </w:rPr>
        <w:footnoteRef/>
      </w:r>
      <w:r w:rsidR="00BA0A3B">
        <w:t xml:space="preserve"> </w:t>
      </w:r>
      <w:r w:rsidR="00BA0A3B">
        <w:tab/>
      </w:r>
      <w:r>
        <w:t>The first extension agreement, the second extension agreement, the loan agreement and the</w:t>
      </w:r>
      <w:r w:rsidR="00BA0A3B">
        <w:t xml:space="preserve"> </w:t>
      </w:r>
      <w:r>
        <w:t xml:space="preserve">guarantees.  </w:t>
      </w:r>
    </w:p>
  </w:footnote>
  <w:footnote w:id="54">
    <w:p w14:paraId="77C04479" w14:textId="773E6CDA" w:rsidR="00DF5184" w:rsidRPr="00DF5184" w:rsidRDefault="00DF5184">
      <w:pPr>
        <w:pStyle w:val="FootnoteText"/>
        <w:rPr>
          <w:lang w:val="en-US"/>
        </w:rPr>
      </w:pPr>
      <w:r>
        <w:rPr>
          <w:rStyle w:val="FootnoteReference"/>
        </w:rPr>
        <w:footnoteRef/>
      </w:r>
      <w:r>
        <w:t xml:space="preserve"> </w:t>
      </w:r>
      <w:r w:rsidR="000814EF" w:rsidRPr="00BC51BD">
        <w:rPr>
          <w:b/>
          <w:bCs/>
          <w:lang w:val="en-US"/>
        </w:rPr>
        <w:t xml:space="preserve">Minister of Land Affairs and Agriculture v D &amp; F </w:t>
      </w:r>
      <w:proofErr w:type="spellStart"/>
      <w:r w:rsidR="000814EF" w:rsidRPr="00BC51BD">
        <w:rPr>
          <w:b/>
          <w:bCs/>
          <w:lang w:val="en-US"/>
        </w:rPr>
        <w:t>Wevell</w:t>
      </w:r>
      <w:proofErr w:type="spellEnd"/>
      <w:r w:rsidR="000814EF" w:rsidRPr="00BC51BD">
        <w:rPr>
          <w:b/>
          <w:bCs/>
          <w:lang w:val="en-US"/>
        </w:rPr>
        <w:t xml:space="preserve"> Trust</w:t>
      </w:r>
      <w:r w:rsidR="000814EF">
        <w:rPr>
          <w:lang w:val="en-US"/>
        </w:rPr>
        <w:t xml:space="preserve"> 2008(2) SA 184 (SCS) at paras [57] to [59]</w:t>
      </w:r>
    </w:p>
  </w:footnote>
  <w:footnote w:id="55">
    <w:p w14:paraId="5188D021" w14:textId="106A016B" w:rsidR="0067473D" w:rsidRDefault="0067473D" w:rsidP="0067473D">
      <w:pPr>
        <w:pStyle w:val="FootnoteText"/>
      </w:pPr>
      <w:r>
        <w:rPr>
          <w:rStyle w:val="FootnoteReference"/>
        </w:rPr>
        <w:footnoteRef/>
      </w:r>
      <w:r>
        <w:t xml:space="preserve"> </w:t>
      </w:r>
      <w:r w:rsidR="005E424F">
        <w:tab/>
      </w:r>
      <w:r w:rsidR="00BC51BD">
        <w:t xml:space="preserve"> </w:t>
      </w:r>
      <w:proofErr w:type="spellStart"/>
      <w:r w:rsidR="00BC51BD">
        <w:t>CaseLines</w:t>
      </w:r>
      <w:proofErr w:type="spellEnd"/>
      <w:r w:rsidR="00BC51BD">
        <w:t xml:space="preserve"> </w:t>
      </w:r>
      <w:r>
        <w:t>001 – 12</w:t>
      </w:r>
      <w:r w:rsidR="00BC51BD" w:rsidRPr="00BC51BD">
        <w:t xml:space="preserve"> </w:t>
      </w:r>
      <w:r w:rsidR="00BC51BD">
        <w:t xml:space="preserve">para 8.4  </w:t>
      </w:r>
    </w:p>
  </w:footnote>
  <w:footnote w:id="56">
    <w:p w14:paraId="3D0FDAAE" w14:textId="5DA3E644" w:rsidR="0017387F" w:rsidRPr="0017387F" w:rsidRDefault="0017387F">
      <w:pPr>
        <w:pStyle w:val="FootnoteText"/>
        <w:rPr>
          <w:lang w:val="en-US"/>
        </w:rPr>
      </w:pPr>
      <w:r>
        <w:rPr>
          <w:rStyle w:val="FootnoteReference"/>
        </w:rPr>
        <w:footnoteRef/>
      </w:r>
      <w:r>
        <w:t xml:space="preserve"> </w:t>
      </w:r>
      <w:r w:rsidR="005E424F">
        <w:tab/>
      </w:r>
      <w:r>
        <w:rPr>
          <w:lang w:val="en-US"/>
        </w:rPr>
        <w:t>Namely</w:t>
      </w:r>
      <w:r w:rsidR="008F1E47">
        <w:rPr>
          <w:lang w:val="en-US"/>
        </w:rPr>
        <w:t xml:space="preserve"> the </w:t>
      </w:r>
      <w:r>
        <w:rPr>
          <w:lang w:val="en-US"/>
        </w:rPr>
        <w:t xml:space="preserve">applicant, </w:t>
      </w:r>
      <w:r w:rsidR="007A52D6">
        <w:rPr>
          <w:lang w:val="en-US"/>
        </w:rPr>
        <w:t>Venter,</w:t>
      </w:r>
      <w:r>
        <w:rPr>
          <w:lang w:val="en-US"/>
        </w:rPr>
        <w:t xml:space="preserve"> and Baron</w:t>
      </w:r>
    </w:p>
  </w:footnote>
  <w:footnote w:id="57">
    <w:p w14:paraId="08A55802" w14:textId="73B68A70" w:rsidR="0067473D" w:rsidRDefault="0067473D" w:rsidP="0067473D">
      <w:pPr>
        <w:pStyle w:val="FootnoteText"/>
      </w:pPr>
      <w:r>
        <w:rPr>
          <w:rStyle w:val="FootnoteReference"/>
        </w:rPr>
        <w:footnoteRef/>
      </w:r>
      <w:r>
        <w:t xml:space="preserve"> </w:t>
      </w:r>
      <w:r w:rsidR="00905059">
        <w:tab/>
      </w:r>
      <w:r w:rsidR="00281F6D">
        <w:t>Case Lines</w:t>
      </w:r>
      <w:r>
        <w:t xml:space="preserve"> 005 – 16</w:t>
      </w:r>
      <w:r w:rsidR="00281F6D">
        <w:t>,</w:t>
      </w:r>
      <w:r w:rsidR="00281F6D" w:rsidRPr="00281F6D">
        <w:t xml:space="preserve"> </w:t>
      </w:r>
      <w:r w:rsidR="00281F6D">
        <w:t xml:space="preserve">para 45 </w:t>
      </w:r>
      <w:r>
        <w:t xml:space="preserve"> </w:t>
      </w:r>
    </w:p>
  </w:footnote>
  <w:footnote w:id="58">
    <w:p w14:paraId="4A2E0C48" w14:textId="2398190F" w:rsidR="0067473D" w:rsidRDefault="0067473D" w:rsidP="0067473D">
      <w:pPr>
        <w:pStyle w:val="FootnoteText"/>
      </w:pPr>
      <w:r>
        <w:rPr>
          <w:rStyle w:val="FootnoteReference"/>
        </w:rPr>
        <w:footnoteRef/>
      </w:r>
      <w:r>
        <w:t xml:space="preserve"> </w:t>
      </w:r>
      <w:r w:rsidR="00905059">
        <w:tab/>
      </w:r>
      <w:proofErr w:type="spellStart"/>
      <w:r>
        <w:t>CaseLines</w:t>
      </w:r>
      <w:proofErr w:type="spellEnd"/>
      <w:r w:rsidR="00281F6D">
        <w:t xml:space="preserve">, </w:t>
      </w:r>
      <w:r>
        <w:t>001-47</w:t>
      </w:r>
      <w:r w:rsidR="008F1E47">
        <w:t>, para 42.2.5</w:t>
      </w:r>
    </w:p>
  </w:footnote>
  <w:footnote w:id="59">
    <w:p w14:paraId="639A11E7" w14:textId="77777777" w:rsidR="0067473D" w:rsidRDefault="0067473D" w:rsidP="0067473D">
      <w:pPr>
        <w:pStyle w:val="FootnoteText"/>
      </w:pPr>
      <w:r>
        <w:rPr>
          <w:rStyle w:val="FootnoteReference"/>
        </w:rPr>
        <w:footnoteRef/>
      </w:r>
      <w:r>
        <w:t xml:space="preserve"> 1999 (3) SA 262 (O) at 274E-F</w:t>
      </w:r>
    </w:p>
  </w:footnote>
  <w:footnote w:id="60">
    <w:p w14:paraId="28ADAC67" w14:textId="36C357E8" w:rsidR="0067473D" w:rsidRDefault="0067473D" w:rsidP="0067473D">
      <w:pPr>
        <w:pStyle w:val="FootnoteText"/>
      </w:pPr>
      <w:r>
        <w:rPr>
          <w:rStyle w:val="FootnoteReference"/>
        </w:rPr>
        <w:footnoteRef/>
      </w:r>
      <w:r>
        <w:t xml:space="preserve"> </w:t>
      </w:r>
      <w:r w:rsidR="00905059">
        <w:tab/>
      </w:r>
      <w:r>
        <w:t>2009 (4) SA 58 (SCA) at 63H-I</w:t>
      </w:r>
    </w:p>
  </w:footnote>
  <w:footnote w:id="61">
    <w:p w14:paraId="29BBAAF5" w14:textId="7F10208A" w:rsidR="0067473D" w:rsidRDefault="0067473D" w:rsidP="0067473D">
      <w:pPr>
        <w:pStyle w:val="FootnoteText"/>
      </w:pPr>
      <w:r>
        <w:rPr>
          <w:rStyle w:val="FootnoteReference"/>
        </w:rPr>
        <w:footnoteRef/>
      </w:r>
      <w:r>
        <w:t xml:space="preserve"> </w:t>
      </w:r>
      <w:r w:rsidR="00905059">
        <w:tab/>
      </w:r>
      <w:r>
        <w:t>2022 (4) SA 617 (GJ) at 547</w:t>
      </w:r>
      <w:r w:rsidR="00281F6D">
        <w:t>,</w:t>
      </w:r>
      <w:r w:rsidR="00281F6D" w:rsidRPr="00281F6D">
        <w:t xml:space="preserve"> </w:t>
      </w:r>
      <w:r w:rsidR="00281F6D">
        <w:t xml:space="preserve">paragraph 36 </w:t>
      </w:r>
      <w:r>
        <w:t xml:space="preserve"> </w:t>
      </w:r>
    </w:p>
  </w:footnote>
  <w:footnote w:id="62">
    <w:p w14:paraId="1F9A540B" w14:textId="28BD565B" w:rsidR="0067473D" w:rsidRDefault="0067473D" w:rsidP="0067473D">
      <w:pPr>
        <w:pStyle w:val="FootnoteText"/>
      </w:pPr>
      <w:r>
        <w:rPr>
          <w:rStyle w:val="FootnoteReference"/>
        </w:rPr>
        <w:footnoteRef/>
      </w:r>
      <w:r>
        <w:t xml:space="preserve"> </w:t>
      </w:r>
      <w:r w:rsidR="00905059">
        <w:tab/>
      </w:r>
      <w:proofErr w:type="spellStart"/>
      <w:r w:rsidR="00281F6D">
        <w:t>CaseLines</w:t>
      </w:r>
      <w:proofErr w:type="spellEnd"/>
      <w:r w:rsidR="00281F6D">
        <w:t xml:space="preserve"> 001 – 83 to 001 – 86, </w:t>
      </w:r>
      <w:r>
        <w:t>Annexure “</w:t>
      </w:r>
      <w:r w:rsidRPr="001969F3">
        <w:rPr>
          <w:b/>
          <w:bCs/>
        </w:rPr>
        <w:t>FA5</w:t>
      </w:r>
      <w:r>
        <w:t xml:space="preserve">” </w:t>
      </w:r>
    </w:p>
  </w:footnote>
  <w:footnote w:id="63">
    <w:p w14:paraId="53BDDA28" w14:textId="5976CDD9" w:rsidR="000D4AF9" w:rsidRPr="001969F3" w:rsidRDefault="000D4AF9" w:rsidP="000D4AF9">
      <w:pPr>
        <w:pStyle w:val="FootnoteText"/>
        <w:rPr>
          <w:b/>
          <w:bCs/>
        </w:rPr>
      </w:pPr>
      <w:r>
        <w:rPr>
          <w:rStyle w:val="FootnoteReference"/>
        </w:rPr>
        <w:footnoteRef/>
      </w:r>
      <w:r>
        <w:t xml:space="preserve"> </w:t>
      </w:r>
      <w:r w:rsidR="00905059">
        <w:tab/>
      </w:r>
      <w:proofErr w:type="spellStart"/>
      <w:r w:rsidR="009A7048">
        <w:t>CaseLines</w:t>
      </w:r>
      <w:proofErr w:type="spellEnd"/>
      <w:r w:rsidR="009A7048">
        <w:t xml:space="preserve"> </w:t>
      </w:r>
      <w:r w:rsidR="009A7048" w:rsidRPr="009A7048">
        <w:t>001</w:t>
      </w:r>
      <w:r w:rsidR="00281F6D" w:rsidRPr="00281F6D">
        <w:t>-100 to 001-102</w:t>
      </w:r>
      <w:r w:rsidR="00281F6D">
        <w:rPr>
          <w:b/>
          <w:bCs/>
        </w:rPr>
        <w:t xml:space="preserve">, </w:t>
      </w:r>
      <w:r>
        <w:t>Annexure “</w:t>
      </w:r>
      <w:r w:rsidRPr="001969F3">
        <w:rPr>
          <w:b/>
          <w:bCs/>
        </w:rPr>
        <w:t>FA7</w:t>
      </w:r>
      <w:r>
        <w:t xml:space="preserve">” </w:t>
      </w:r>
    </w:p>
  </w:footnote>
  <w:footnote w:id="64">
    <w:p w14:paraId="0FA09AFF" w14:textId="4CEA8E70" w:rsidR="000D4AF9" w:rsidRDefault="000D4AF9" w:rsidP="000D4AF9">
      <w:pPr>
        <w:pStyle w:val="FootnoteText"/>
      </w:pPr>
      <w:r>
        <w:rPr>
          <w:rStyle w:val="FootnoteReference"/>
        </w:rPr>
        <w:footnoteRef/>
      </w:r>
      <w:r>
        <w:t xml:space="preserve"> </w:t>
      </w:r>
      <w:r w:rsidR="00905059">
        <w:tab/>
      </w:r>
      <w:proofErr w:type="spellStart"/>
      <w:r>
        <w:t>CaseLines</w:t>
      </w:r>
      <w:proofErr w:type="spellEnd"/>
      <w:r>
        <w:t xml:space="preserve"> 001 – 151 to 001 – 162</w:t>
      </w:r>
      <w:r w:rsidR="00281F6D">
        <w:t>,</w:t>
      </w:r>
      <w:r>
        <w:t xml:space="preserve"> </w:t>
      </w:r>
      <w:r w:rsidR="00281F6D">
        <w:t>Annexure “</w:t>
      </w:r>
      <w:r w:rsidR="00281F6D" w:rsidRPr="001969F3">
        <w:rPr>
          <w:b/>
          <w:bCs/>
        </w:rPr>
        <w:t>FA11</w:t>
      </w:r>
      <w:r w:rsidR="00281F6D">
        <w:t>”</w:t>
      </w:r>
    </w:p>
  </w:footnote>
  <w:footnote w:id="65">
    <w:p w14:paraId="7949259D" w14:textId="5D674CC2" w:rsidR="00972E75" w:rsidRDefault="00972E75" w:rsidP="00972E75">
      <w:pPr>
        <w:pStyle w:val="FootnoteText"/>
      </w:pPr>
      <w:r>
        <w:rPr>
          <w:rStyle w:val="FootnoteReference"/>
        </w:rPr>
        <w:footnoteRef/>
      </w:r>
      <w:r>
        <w:t xml:space="preserve"> </w:t>
      </w:r>
      <w:r w:rsidR="00905059">
        <w:tab/>
      </w:r>
      <w:r>
        <w:t>88 of 1984</w:t>
      </w:r>
    </w:p>
  </w:footnote>
  <w:footnote w:id="66">
    <w:p w14:paraId="75B72ED0" w14:textId="77777777" w:rsidR="0067473D" w:rsidRDefault="0067473D" w:rsidP="0067473D">
      <w:pPr>
        <w:pStyle w:val="FootnoteText"/>
      </w:pPr>
      <w:r>
        <w:rPr>
          <w:rStyle w:val="FootnoteReference"/>
        </w:rPr>
        <w:footnoteRef/>
      </w:r>
      <w:r>
        <w:t xml:space="preserve"> 2013 (2) SA 187 (SCA) </w:t>
      </w:r>
    </w:p>
  </w:footnote>
  <w:footnote w:id="67">
    <w:p w14:paraId="0F8BEADF" w14:textId="74B420D8" w:rsidR="0067473D" w:rsidRDefault="0067473D" w:rsidP="0067473D">
      <w:pPr>
        <w:pStyle w:val="FootnoteText"/>
      </w:pPr>
      <w:r>
        <w:rPr>
          <w:rStyle w:val="FootnoteReference"/>
        </w:rPr>
        <w:footnoteRef/>
      </w:r>
      <w:r>
        <w:t xml:space="preserve"> </w:t>
      </w:r>
      <w:proofErr w:type="spellStart"/>
      <w:r>
        <w:t>CaseLines</w:t>
      </w:r>
      <w:proofErr w:type="spellEnd"/>
      <w:r>
        <w:t xml:space="preserve"> 005 – 9, para 16 </w:t>
      </w:r>
    </w:p>
  </w:footnote>
  <w:footnote w:id="68">
    <w:p w14:paraId="19A8C9F3" w14:textId="020AC0A6" w:rsidR="00416CC3" w:rsidRPr="00416CC3" w:rsidRDefault="00416CC3" w:rsidP="00905059">
      <w:pPr>
        <w:pStyle w:val="FootnoteText"/>
        <w:ind w:left="228" w:hanging="228"/>
        <w:rPr>
          <w:lang w:val="en-US"/>
        </w:rPr>
      </w:pPr>
      <w:r>
        <w:rPr>
          <w:rStyle w:val="FootnoteReference"/>
        </w:rPr>
        <w:footnoteRef/>
      </w:r>
      <w:r>
        <w:t xml:space="preserve"> </w:t>
      </w:r>
      <w:r w:rsidR="00905059">
        <w:tab/>
      </w:r>
      <w:r w:rsidR="001D1DF7" w:rsidRPr="001D1DF7">
        <w:rPr>
          <w:b/>
          <w:bCs/>
        </w:rPr>
        <w:t xml:space="preserve">Commissioner for the SA Revenue Services v </w:t>
      </w:r>
      <w:proofErr w:type="spellStart"/>
      <w:r w:rsidR="001D1DF7" w:rsidRPr="001D1DF7">
        <w:rPr>
          <w:b/>
          <w:bCs/>
        </w:rPr>
        <w:t>Sassin</w:t>
      </w:r>
      <w:proofErr w:type="spellEnd"/>
      <w:r w:rsidR="001D1DF7">
        <w:t xml:space="preserve"> 2015 JDR 2293 (KZD) at paras [45] to [48]</w:t>
      </w:r>
    </w:p>
  </w:footnote>
  <w:footnote w:id="69">
    <w:p w14:paraId="05BE2E47" w14:textId="361F7D71" w:rsidR="0067473D" w:rsidRDefault="0067473D" w:rsidP="0067473D">
      <w:pPr>
        <w:pStyle w:val="FootnoteText"/>
      </w:pPr>
      <w:r>
        <w:rPr>
          <w:rStyle w:val="FootnoteReference"/>
        </w:rPr>
        <w:footnoteRef/>
      </w:r>
      <w:r>
        <w:t xml:space="preserve"> </w:t>
      </w:r>
      <w:r w:rsidR="00905059">
        <w:tab/>
      </w:r>
      <w:proofErr w:type="spellStart"/>
      <w:r w:rsidR="00644994">
        <w:t>CaseLines</w:t>
      </w:r>
      <w:proofErr w:type="spellEnd"/>
      <w:r w:rsidR="00644994">
        <w:t xml:space="preserve"> 001 – 40 to 001 – 45, </w:t>
      </w:r>
      <w:r w:rsidR="00BC51BD">
        <w:t xml:space="preserve">para 40, </w:t>
      </w:r>
      <w:r w:rsidR="00644994">
        <w:t xml:space="preserve"> </w:t>
      </w:r>
      <w:r w:rsidR="00BC51BD">
        <w:t xml:space="preserve">specifically </w:t>
      </w:r>
      <w:proofErr w:type="spellStart"/>
      <w:r w:rsidR="00BC51BD">
        <w:t>CaseLines</w:t>
      </w:r>
      <w:proofErr w:type="spellEnd"/>
      <w:r w:rsidR="00BC51BD">
        <w:t xml:space="preserve"> </w:t>
      </w:r>
      <w:r w:rsidR="00644994">
        <w:t>001 – 42</w:t>
      </w:r>
      <w:r w:rsidR="00BC51BD">
        <w:t>, para 4.4</w:t>
      </w:r>
    </w:p>
  </w:footnote>
  <w:footnote w:id="70">
    <w:p w14:paraId="11AE6089" w14:textId="0F86CD02" w:rsidR="00102AB7" w:rsidRDefault="00102AB7" w:rsidP="00102AB7">
      <w:pPr>
        <w:pStyle w:val="FootnoteText"/>
      </w:pPr>
      <w:r>
        <w:rPr>
          <w:rStyle w:val="FootnoteReference"/>
        </w:rPr>
        <w:footnoteRef/>
      </w:r>
      <w:r>
        <w:t xml:space="preserve"> </w:t>
      </w:r>
      <w:proofErr w:type="spellStart"/>
      <w:r>
        <w:t>CaseLines</w:t>
      </w:r>
      <w:proofErr w:type="spellEnd"/>
      <w:r>
        <w:t xml:space="preserve"> 005 – 24 to 005 – 34,</w:t>
      </w:r>
      <w:r w:rsidRPr="00644994">
        <w:t xml:space="preserve"> </w:t>
      </w:r>
      <w:r>
        <w:t>paras 70.3 to 70.12</w:t>
      </w:r>
    </w:p>
  </w:footnote>
  <w:footnote w:id="71">
    <w:p w14:paraId="22F73FA2" w14:textId="545A7775" w:rsidR="006E0D56" w:rsidRPr="006E0D56" w:rsidRDefault="006E0D56">
      <w:pPr>
        <w:pStyle w:val="FootnoteText"/>
        <w:rPr>
          <w:lang w:val="en-US"/>
        </w:rPr>
      </w:pPr>
      <w:r>
        <w:rPr>
          <w:rStyle w:val="FootnoteReference"/>
        </w:rPr>
        <w:footnoteRef/>
      </w:r>
      <w:r>
        <w:t xml:space="preserve"> </w:t>
      </w:r>
      <w:r w:rsidRPr="005D7462">
        <w:rPr>
          <w:b/>
          <w:bCs/>
          <w:lang w:val="en-US"/>
        </w:rPr>
        <w:t>Erasmus</w:t>
      </w:r>
      <w:r>
        <w:rPr>
          <w:lang w:val="en-US"/>
        </w:rPr>
        <w:t xml:space="preserve"> D5-30 to D5 -31; </w:t>
      </w:r>
      <w:r w:rsidRPr="005D7462">
        <w:rPr>
          <w:b/>
          <w:bCs/>
          <w:lang w:val="en-US"/>
        </w:rPr>
        <w:t>Multi-l</w:t>
      </w:r>
      <w:r w:rsidR="00B06958">
        <w:rPr>
          <w:b/>
          <w:bCs/>
          <w:lang w:val="en-US"/>
        </w:rPr>
        <w:t>i</w:t>
      </w:r>
      <w:r w:rsidRPr="005D7462">
        <w:rPr>
          <w:b/>
          <w:bCs/>
          <w:lang w:val="en-US"/>
        </w:rPr>
        <w:t xml:space="preserve">nks Telecommunications Ltd v Africa Prepaid </w:t>
      </w:r>
      <w:r w:rsidR="00102AB7" w:rsidRPr="005D7462">
        <w:rPr>
          <w:b/>
          <w:bCs/>
          <w:lang w:val="en-US"/>
        </w:rPr>
        <w:t>Services Nigeria</w:t>
      </w:r>
      <w:r w:rsidRPr="005D7462">
        <w:rPr>
          <w:b/>
          <w:bCs/>
          <w:lang w:val="en-US"/>
        </w:rPr>
        <w:t xml:space="preserve"> L</w:t>
      </w:r>
      <w:r w:rsidR="005D7462">
        <w:rPr>
          <w:b/>
          <w:bCs/>
          <w:lang w:val="en-US"/>
        </w:rPr>
        <w:t>td</w:t>
      </w:r>
      <w:r w:rsidR="005D7462">
        <w:rPr>
          <w:lang w:val="en-US"/>
        </w:rPr>
        <w:t xml:space="preserve"> 2014(3) SA 265 (GP) AT 289 A-D</w:t>
      </w:r>
    </w:p>
  </w:footnote>
  <w:footnote w:id="72">
    <w:p w14:paraId="26F773E7" w14:textId="77777777" w:rsidR="0067473D" w:rsidRDefault="0067473D" w:rsidP="0067473D">
      <w:pPr>
        <w:pStyle w:val="FootnoteText"/>
      </w:pPr>
      <w:r>
        <w:rPr>
          <w:rStyle w:val="FootnoteReference"/>
        </w:rPr>
        <w:footnoteRef/>
      </w:r>
      <w:r>
        <w:t xml:space="preserve"> 1929 (CPD) 532 at 535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AB33"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70D18310" w14:textId="77777777" w:rsidR="00853FC4" w:rsidRDefault="00853F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21655"/>
      <w:docPartObj>
        <w:docPartGallery w:val="Page Numbers (Top of Page)"/>
        <w:docPartUnique/>
      </w:docPartObj>
    </w:sdtPr>
    <w:sdtEndPr>
      <w:rPr>
        <w:noProof/>
      </w:rPr>
    </w:sdtEndPr>
    <w:sdtContent>
      <w:p w14:paraId="382E5222" w14:textId="0B8C255B" w:rsidR="00CF7049" w:rsidRDefault="00CF7049">
        <w:pPr>
          <w:pStyle w:val="Header"/>
          <w:jc w:val="right"/>
        </w:pPr>
        <w:r>
          <w:fldChar w:fldCharType="begin"/>
        </w:r>
        <w:r>
          <w:instrText xml:space="preserve"> PAGE   \* MERGEFORMAT </w:instrText>
        </w:r>
        <w:r>
          <w:fldChar w:fldCharType="separate"/>
        </w:r>
        <w:r w:rsidR="009074E3">
          <w:rPr>
            <w:noProof/>
          </w:rPr>
          <w:t>2</w:t>
        </w:r>
        <w:r>
          <w:rPr>
            <w:noProof/>
          </w:rPr>
          <w:fldChar w:fldCharType="end"/>
        </w:r>
      </w:p>
    </w:sdtContent>
  </w:sdt>
  <w:p w14:paraId="6411A722" w14:textId="77777777" w:rsidR="00853FC4" w:rsidRDefault="00853FC4">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54C3444"/>
    <w:multiLevelType w:val="multilevel"/>
    <w:tmpl w:val="562C2D44"/>
    <w:lvl w:ilvl="0">
      <w:start w:val="1"/>
      <w:numFmt w:val="decimal"/>
      <w:pStyle w:val="Heading1"/>
      <w:lvlText w:val="[%1]"/>
      <w:lvlJc w:val="left"/>
      <w:pPr>
        <w:tabs>
          <w:tab w:val="num" w:pos="862"/>
        </w:tabs>
        <w:ind w:left="862" w:hanging="862"/>
      </w:pPr>
      <w:rPr>
        <w:rFonts w:hint="default"/>
        <w:b w:val="0"/>
        <w:bCs w:val="0"/>
        <w:i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6">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2"/>
  </w:num>
  <w:num w:numId="35">
    <w:abstractNumId w:val="4"/>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6"/>
  </w:num>
  <w:num w:numId="40">
    <w:abstractNumId w:val="1"/>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086A"/>
    <w:rsid w:val="00004487"/>
    <w:rsid w:val="00006720"/>
    <w:rsid w:val="00013916"/>
    <w:rsid w:val="00016FCE"/>
    <w:rsid w:val="000206B9"/>
    <w:rsid w:val="00021572"/>
    <w:rsid w:val="0002424D"/>
    <w:rsid w:val="00024EC0"/>
    <w:rsid w:val="000269A0"/>
    <w:rsid w:val="000330AA"/>
    <w:rsid w:val="00033689"/>
    <w:rsid w:val="00035295"/>
    <w:rsid w:val="00035850"/>
    <w:rsid w:val="00040532"/>
    <w:rsid w:val="00043A4D"/>
    <w:rsid w:val="00045C2A"/>
    <w:rsid w:val="000460FA"/>
    <w:rsid w:val="0004693C"/>
    <w:rsid w:val="00055189"/>
    <w:rsid w:val="00056698"/>
    <w:rsid w:val="00060B83"/>
    <w:rsid w:val="00061834"/>
    <w:rsid w:val="00062E02"/>
    <w:rsid w:val="00064ABB"/>
    <w:rsid w:val="00067432"/>
    <w:rsid w:val="00076A3C"/>
    <w:rsid w:val="000806A3"/>
    <w:rsid w:val="000814EF"/>
    <w:rsid w:val="00081824"/>
    <w:rsid w:val="00090BBB"/>
    <w:rsid w:val="00096D51"/>
    <w:rsid w:val="000A0AE1"/>
    <w:rsid w:val="000A3B02"/>
    <w:rsid w:val="000A4A93"/>
    <w:rsid w:val="000A5255"/>
    <w:rsid w:val="000A7277"/>
    <w:rsid w:val="000B0F7E"/>
    <w:rsid w:val="000B2270"/>
    <w:rsid w:val="000B57CF"/>
    <w:rsid w:val="000C3DC6"/>
    <w:rsid w:val="000C42FC"/>
    <w:rsid w:val="000C4BAD"/>
    <w:rsid w:val="000C6E46"/>
    <w:rsid w:val="000D17F5"/>
    <w:rsid w:val="000D45A1"/>
    <w:rsid w:val="000D4AF9"/>
    <w:rsid w:val="000E2012"/>
    <w:rsid w:val="000E201A"/>
    <w:rsid w:val="000E39A7"/>
    <w:rsid w:val="000E51FA"/>
    <w:rsid w:val="000E5E70"/>
    <w:rsid w:val="000F0879"/>
    <w:rsid w:val="000F50B7"/>
    <w:rsid w:val="000F562D"/>
    <w:rsid w:val="00102AB7"/>
    <w:rsid w:val="0010300F"/>
    <w:rsid w:val="0010379E"/>
    <w:rsid w:val="00106254"/>
    <w:rsid w:val="00112B21"/>
    <w:rsid w:val="00117066"/>
    <w:rsid w:val="00117191"/>
    <w:rsid w:val="0012684E"/>
    <w:rsid w:val="00127FB4"/>
    <w:rsid w:val="001348C7"/>
    <w:rsid w:val="0013761F"/>
    <w:rsid w:val="001406A8"/>
    <w:rsid w:val="00141424"/>
    <w:rsid w:val="00141EEC"/>
    <w:rsid w:val="00142F93"/>
    <w:rsid w:val="00143DA0"/>
    <w:rsid w:val="00146808"/>
    <w:rsid w:val="0014737C"/>
    <w:rsid w:val="0015019F"/>
    <w:rsid w:val="00150259"/>
    <w:rsid w:val="00153383"/>
    <w:rsid w:val="001544EC"/>
    <w:rsid w:val="00154F2F"/>
    <w:rsid w:val="00161D1A"/>
    <w:rsid w:val="00165DA8"/>
    <w:rsid w:val="001662A9"/>
    <w:rsid w:val="001716A8"/>
    <w:rsid w:val="00171857"/>
    <w:rsid w:val="0017387F"/>
    <w:rsid w:val="0017394F"/>
    <w:rsid w:val="001740EB"/>
    <w:rsid w:val="001741FB"/>
    <w:rsid w:val="00176C16"/>
    <w:rsid w:val="0018046C"/>
    <w:rsid w:val="0018655B"/>
    <w:rsid w:val="00191E78"/>
    <w:rsid w:val="00193B63"/>
    <w:rsid w:val="00193BA1"/>
    <w:rsid w:val="00195DF9"/>
    <w:rsid w:val="00196B94"/>
    <w:rsid w:val="001A6857"/>
    <w:rsid w:val="001B3615"/>
    <w:rsid w:val="001B4598"/>
    <w:rsid w:val="001B4819"/>
    <w:rsid w:val="001B48CB"/>
    <w:rsid w:val="001C1534"/>
    <w:rsid w:val="001C1FF7"/>
    <w:rsid w:val="001C4CC1"/>
    <w:rsid w:val="001D151A"/>
    <w:rsid w:val="001D1DF7"/>
    <w:rsid w:val="001D5D9B"/>
    <w:rsid w:val="001E3056"/>
    <w:rsid w:val="001E48C8"/>
    <w:rsid w:val="001E5695"/>
    <w:rsid w:val="001E6155"/>
    <w:rsid w:val="001F3B3D"/>
    <w:rsid w:val="0020226C"/>
    <w:rsid w:val="00204CA6"/>
    <w:rsid w:val="00206B44"/>
    <w:rsid w:val="00207BCE"/>
    <w:rsid w:val="00210EF6"/>
    <w:rsid w:val="00211229"/>
    <w:rsid w:val="00212073"/>
    <w:rsid w:val="00212F35"/>
    <w:rsid w:val="00213776"/>
    <w:rsid w:val="002167A8"/>
    <w:rsid w:val="00217398"/>
    <w:rsid w:val="002205B4"/>
    <w:rsid w:val="002231BF"/>
    <w:rsid w:val="002238E5"/>
    <w:rsid w:val="00233C3C"/>
    <w:rsid w:val="00233C6D"/>
    <w:rsid w:val="00244667"/>
    <w:rsid w:val="00244807"/>
    <w:rsid w:val="00245902"/>
    <w:rsid w:val="00247B19"/>
    <w:rsid w:val="0025399F"/>
    <w:rsid w:val="0026147C"/>
    <w:rsid w:val="00264E94"/>
    <w:rsid w:val="002754D8"/>
    <w:rsid w:val="002757F0"/>
    <w:rsid w:val="002800C5"/>
    <w:rsid w:val="00281F6D"/>
    <w:rsid w:val="00283838"/>
    <w:rsid w:val="00284C8A"/>
    <w:rsid w:val="00285FB4"/>
    <w:rsid w:val="002912A7"/>
    <w:rsid w:val="00292568"/>
    <w:rsid w:val="002929B8"/>
    <w:rsid w:val="00294E30"/>
    <w:rsid w:val="002A19E4"/>
    <w:rsid w:val="002A1E37"/>
    <w:rsid w:val="002A2729"/>
    <w:rsid w:val="002A3918"/>
    <w:rsid w:val="002A3920"/>
    <w:rsid w:val="002A554A"/>
    <w:rsid w:val="002A7C86"/>
    <w:rsid w:val="002B436E"/>
    <w:rsid w:val="002C508A"/>
    <w:rsid w:val="002C5512"/>
    <w:rsid w:val="002C6134"/>
    <w:rsid w:val="002C7921"/>
    <w:rsid w:val="002E1EEC"/>
    <w:rsid w:val="002F0615"/>
    <w:rsid w:val="002F30AA"/>
    <w:rsid w:val="00300F41"/>
    <w:rsid w:val="00310029"/>
    <w:rsid w:val="00311228"/>
    <w:rsid w:val="00311DAF"/>
    <w:rsid w:val="0031638A"/>
    <w:rsid w:val="00316597"/>
    <w:rsid w:val="003202ED"/>
    <w:rsid w:val="00324245"/>
    <w:rsid w:val="0033456A"/>
    <w:rsid w:val="003366C1"/>
    <w:rsid w:val="00337192"/>
    <w:rsid w:val="00340B40"/>
    <w:rsid w:val="003414B0"/>
    <w:rsid w:val="00345C84"/>
    <w:rsid w:val="003470FF"/>
    <w:rsid w:val="003521B3"/>
    <w:rsid w:val="0035315B"/>
    <w:rsid w:val="00354DFA"/>
    <w:rsid w:val="00357F85"/>
    <w:rsid w:val="0037012A"/>
    <w:rsid w:val="0037230C"/>
    <w:rsid w:val="003724BA"/>
    <w:rsid w:val="00374A10"/>
    <w:rsid w:val="0038171B"/>
    <w:rsid w:val="00382F97"/>
    <w:rsid w:val="0039575D"/>
    <w:rsid w:val="00395E13"/>
    <w:rsid w:val="00395F01"/>
    <w:rsid w:val="003969E9"/>
    <w:rsid w:val="003A1760"/>
    <w:rsid w:val="003A3CFA"/>
    <w:rsid w:val="003A4CE2"/>
    <w:rsid w:val="003A6658"/>
    <w:rsid w:val="003A7E10"/>
    <w:rsid w:val="003B13EC"/>
    <w:rsid w:val="003B1EC4"/>
    <w:rsid w:val="003B42D5"/>
    <w:rsid w:val="003C2823"/>
    <w:rsid w:val="003C2889"/>
    <w:rsid w:val="003C3E35"/>
    <w:rsid w:val="003C4110"/>
    <w:rsid w:val="003C6767"/>
    <w:rsid w:val="003C68E4"/>
    <w:rsid w:val="003C6B86"/>
    <w:rsid w:val="003D0EF9"/>
    <w:rsid w:val="003D1F1D"/>
    <w:rsid w:val="003D30FA"/>
    <w:rsid w:val="003D5E64"/>
    <w:rsid w:val="003E2E2E"/>
    <w:rsid w:val="003E3B3D"/>
    <w:rsid w:val="003E4735"/>
    <w:rsid w:val="003E5F9A"/>
    <w:rsid w:val="003E6F1C"/>
    <w:rsid w:val="003F0508"/>
    <w:rsid w:val="003F1E6B"/>
    <w:rsid w:val="003F4D15"/>
    <w:rsid w:val="003F7203"/>
    <w:rsid w:val="004031B7"/>
    <w:rsid w:val="00403CCF"/>
    <w:rsid w:val="004110F1"/>
    <w:rsid w:val="00415AE9"/>
    <w:rsid w:val="00416CC3"/>
    <w:rsid w:val="00417C15"/>
    <w:rsid w:val="00421F93"/>
    <w:rsid w:val="00424920"/>
    <w:rsid w:val="004253C5"/>
    <w:rsid w:val="004261A0"/>
    <w:rsid w:val="00426B56"/>
    <w:rsid w:val="00427341"/>
    <w:rsid w:val="00430D78"/>
    <w:rsid w:val="004347AA"/>
    <w:rsid w:val="004363DF"/>
    <w:rsid w:val="004447F3"/>
    <w:rsid w:val="00446DF2"/>
    <w:rsid w:val="00447580"/>
    <w:rsid w:val="004521D0"/>
    <w:rsid w:val="00463B1B"/>
    <w:rsid w:val="0046533B"/>
    <w:rsid w:val="00465FDC"/>
    <w:rsid w:val="00470040"/>
    <w:rsid w:val="004706FE"/>
    <w:rsid w:val="00481C88"/>
    <w:rsid w:val="00482BBC"/>
    <w:rsid w:val="004845DF"/>
    <w:rsid w:val="00484D33"/>
    <w:rsid w:val="00484FE7"/>
    <w:rsid w:val="0049082C"/>
    <w:rsid w:val="0049324B"/>
    <w:rsid w:val="00496A2E"/>
    <w:rsid w:val="004A12A6"/>
    <w:rsid w:val="004A12D0"/>
    <w:rsid w:val="004A2102"/>
    <w:rsid w:val="004A365F"/>
    <w:rsid w:val="004A4B36"/>
    <w:rsid w:val="004B214D"/>
    <w:rsid w:val="004C24E9"/>
    <w:rsid w:val="004C3E5A"/>
    <w:rsid w:val="004C4134"/>
    <w:rsid w:val="004D671B"/>
    <w:rsid w:val="004F18B2"/>
    <w:rsid w:val="004F2C82"/>
    <w:rsid w:val="004F7A7D"/>
    <w:rsid w:val="00501216"/>
    <w:rsid w:val="00501614"/>
    <w:rsid w:val="00503E1C"/>
    <w:rsid w:val="00504A4D"/>
    <w:rsid w:val="0050502F"/>
    <w:rsid w:val="00505F6E"/>
    <w:rsid w:val="0051663B"/>
    <w:rsid w:val="00520083"/>
    <w:rsid w:val="0052278C"/>
    <w:rsid w:val="00535932"/>
    <w:rsid w:val="005361BD"/>
    <w:rsid w:val="00542D61"/>
    <w:rsid w:val="00544D79"/>
    <w:rsid w:val="00545B8F"/>
    <w:rsid w:val="00552DA5"/>
    <w:rsid w:val="005546A8"/>
    <w:rsid w:val="00554864"/>
    <w:rsid w:val="00555319"/>
    <w:rsid w:val="00555872"/>
    <w:rsid w:val="005601A9"/>
    <w:rsid w:val="00561695"/>
    <w:rsid w:val="0056639C"/>
    <w:rsid w:val="0058617A"/>
    <w:rsid w:val="00586E1D"/>
    <w:rsid w:val="005953BC"/>
    <w:rsid w:val="00597C6F"/>
    <w:rsid w:val="005A0D18"/>
    <w:rsid w:val="005A415D"/>
    <w:rsid w:val="005A5817"/>
    <w:rsid w:val="005A66C2"/>
    <w:rsid w:val="005B230A"/>
    <w:rsid w:val="005B3E15"/>
    <w:rsid w:val="005B6B8D"/>
    <w:rsid w:val="005C6062"/>
    <w:rsid w:val="005C67AC"/>
    <w:rsid w:val="005D08C4"/>
    <w:rsid w:val="005D7462"/>
    <w:rsid w:val="005E22C9"/>
    <w:rsid w:val="005E424F"/>
    <w:rsid w:val="005E4649"/>
    <w:rsid w:val="005E7DCC"/>
    <w:rsid w:val="005F3902"/>
    <w:rsid w:val="005F4A06"/>
    <w:rsid w:val="005F58FB"/>
    <w:rsid w:val="005F5BF4"/>
    <w:rsid w:val="005F5D78"/>
    <w:rsid w:val="005F5DEF"/>
    <w:rsid w:val="00601150"/>
    <w:rsid w:val="0061578A"/>
    <w:rsid w:val="006162C1"/>
    <w:rsid w:val="006211E1"/>
    <w:rsid w:val="0062734B"/>
    <w:rsid w:val="006300A0"/>
    <w:rsid w:val="00633CD8"/>
    <w:rsid w:val="00636673"/>
    <w:rsid w:val="006435B6"/>
    <w:rsid w:val="00644462"/>
    <w:rsid w:val="00644994"/>
    <w:rsid w:val="006474D2"/>
    <w:rsid w:val="0065099B"/>
    <w:rsid w:val="00660DC9"/>
    <w:rsid w:val="00662EF2"/>
    <w:rsid w:val="00664022"/>
    <w:rsid w:val="00666856"/>
    <w:rsid w:val="0067053A"/>
    <w:rsid w:val="006714D1"/>
    <w:rsid w:val="0067473D"/>
    <w:rsid w:val="00677A91"/>
    <w:rsid w:val="00682D44"/>
    <w:rsid w:val="0068303E"/>
    <w:rsid w:val="00683DBE"/>
    <w:rsid w:val="00684176"/>
    <w:rsid w:val="006844B0"/>
    <w:rsid w:val="00690157"/>
    <w:rsid w:val="00690B26"/>
    <w:rsid w:val="006916B8"/>
    <w:rsid w:val="006923FD"/>
    <w:rsid w:val="00695420"/>
    <w:rsid w:val="006A09E7"/>
    <w:rsid w:val="006A0B4E"/>
    <w:rsid w:val="006A2B3F"/>
    <w:rsid w:val="006A31BB"/>
    <w:rsid w:val="006A5E45"/>
    <w:rsid w:val="006B19F7"/>
    <w:rsid w:val="006B26A2"/>
    <w:rsid w:val="006B5704"/>
    <w:rsid w:val="006B5DAC"/>
    <w:rsid w:val="006B6D95"/>
    <w:rsid w:val="006B70B3"/>
    <w:rsid w:val="006C2652"/>
    <w:rsid w:val="006C7225"/>
    <w:rsid w:val="006D02DC"/>
    <w:rsid w:val="006D03AA"/>
    <w:rsid w:val="006D0E5D"/>
    <w:rsid w:val="006D4E2B"/>
    <w:rsid w:val="006E0D56"/>
    <w:rsid w:val="006E1EB4"/>
    <w:rsid w:val="006E1F4E"/>
    <w:rsid w:val="006E34E4"/>
    <w:rsid w:val="006E3A1B"/>
    <w:rsid w:val="006E77C0"/>
    <w:rsid w:val="006F1EF6"/>
    <w:rsid w:val="006F7C73"/>
    <w:rsid w:val="00710FD9"/>
    <w:rsid w:val="00713C91"/>
    <w:rsid w:val="00714CEA"/>
    <w:rsid w:val="007154C1"/>
    <w:rsid w:val="00716A2D"/>
    <w:rsid w:val="00717B66"/>
    <w:rsid w:val="00723EE1"/>
    <w:rsid w:val="007315DE"/>
    <w:rsid w:val="0073225B"/>
    <w:rsid w:val="00733979"/>
    <w:rsid w:val="00733E99"/>
    <w:rsid w:val="00741025"/>
    <w:rsid w:val="007425AB"/>
    <w:rsid w:val="00756B54"/>
    <w:rsid w:val="00757DB9"/>
    <w:rsid w:val="00760FFF"/>
    <w:rsid w:val="007619B3"/>
    <w:rsid w:val="00763C6D"/>
    <w:rsid w:val="00771A66"/>
    <w:rsid w:val="00772A28"/>
    <w:rsid w:val="0077321B"/>
    <w:rsid w:val="00774612"/>
    <w:rsid w:val="00775FBA"/>
    <w:rsid w:val="00776CA7"/>
    <w:rsid w:val="00776F15"/>
    <w:rsid w:val="007773AC"/>
    <w:rsid w:val="00785236"/>
    <w:rsid w:val="00792018"/>
    <w:rsid w:val="007927BD"/>
    <w:rsid w:val="00796047"/>
    <w:rsid w:val="007A04FD"/>
    <w:rsid w:val="007A2ABB"/>
    <w:rsid w:val="007A4FC5"/>
    <w:rsid w:val="007A52D6"/>
    <w:rsid w:val="007A7302"/>
    <w:rsid w:val="007B2070"/>
    <w:rsid w:val="007B7744"/>
    <w:rsid w:val="007B7DE0"/>
    <w:rsid w:val="007B7E35"/>
    <w:rsid w:val="007C0237"/>
    <w:rsid w:val="007C3EBD"/>
    <w:rsid w:val="007C7824"/>
    <w:rsid w:val="007D03A3"/>
    <w:rsid w:val="007D63CE"/>
    <w:rsid w:val="007D6CCA"/>
    <w:rsid w:val="007D7235"/>
    <w:rsid w:val="007E126A"/>
    <w:rsid w:val="007E1556"/>
    <w:rsid w:val="007E1636"/>
    <w:rsid w:val="007E7A11"/>
    <w:rsid w:val="007F39AF"/>
    <w:rsid w:val="007F446F"/>
    <w:rsid w:val="007F5466"/>
    <w:rsid w:val="008150D5"/>
    <w:rsid w:val="00817F4F"/>
    <w:rsid w:val="008255C7"/>
    <w:rsid w:val="00825EB5"/>
    <w:rsid w:val="008326F1"/>
    <w:rsid w:val="00833533"/>
    <w:rsid w:val="00833792"/>
    <w:rsid w:val="008408FE"/>
    <w:rsid w:val="00844404"/>
    <w:rsid w:val="00844EA1"/>
    <w:rsid w:val="00846E44"/>
    <w:rsid w:val="0085264E"/>
    <w:rsid w:val="00853F12"/>
    <w:rsid w:val="00853FC4"/>
    <w:rsid w:val="0085439D"/>
    <w:rsid w:val="008555DE"/>
    <w:rsid w:val="00860B9E"/>
    <w:rsid w:val="0086223F"/>
    <w:rsid w:val="0086270F"/>
    <w:rsid w:val="00864519"/>
    <w:rsid w:val="008653CC"/>
    <w:rsid w:val="00866DD4"/>
    <w:rsid w:val="00873D0F"/>
    <w:rsid w:val="008770E9"/>
    <w:rsid w:val="0088113C"/>
    <w:rsid w:val="00885048"/>
    <w:rsid w:val="00885F18"/>
    <w:rsid w:val="008923E1"/>
    <w:rsid w:val="008924CA"/>
    <w:rsid w:val="0089335F"/>
    <w:rsid w:val="00895C34"/>
    <w:rsid w:val="00895C40"/>
    <w:rsid w:val="00897206"/>
    <w:rsid w:val="008A0432"/>
    <w:rsid w:val="008A129D"/>
    <w:rsid w:val="008A2E5B"/>
    <w:rsid w:val="008A78E7"/>
    <w:rsid w:val="008A7EC7"/>
    <w:rsid w:val="008B1DDB"/>
    <w:rsid w:val="008B7530"/>
    <w:rsid w:val="008C0814"/>
    <w:rsid w:val="008C2196"/>
    <w:rsid w:val="008C4C23"/>
    <w:rsid w:val="008C59AF"/>
    <w:rsid w:val="008D2746"/>
    <w:rsid w:val="008E129B"/>
    <w:rsid w:val="008E407B"/>
    <w:rsid w:val="008F1E47"/>
    <w:rsid w:val="008F21D5"/>
    <w:rsid w:val="008F63B3"/>
    <w:rsid w:val="008F6C0F"/>
    <w:rsid w:val="00902987"/>
    <w:rsid w:val="00905059"/>
    <w:rsid w:val="009050CC"/>
    <w:rsid w:val="0090528A"/>
    <w:rsid w:val="009063E1"/>
    <w:rsid w:val="00907060"/>
    <w:rsid w:val="009074E3"/>
    <w:rsid w:val="00907BBD"/>
    <w:rsid w:val="00912C24"/>
    <w:rsid w:val="00915EBA"/>
    <w:rsid w:val="0092135E"/>
    <w:rsid w:val="00922F8F"/>
    <w:rsid w:val="0092318D"/>
    <w:rsid w:val="00937FB2"/>
    <w:rsid w:val="00946189"/>
    <w:rsid w:val="00947A8C"/>
    <w:rsid w:val="0095600B"/>
    <w:rsid w:val="00960674"/>
    <w:rsid w:val="00964991"/>
    <w:rsid w:val="00964F05"/>
    <w:rsid w:val="00965B9F"/>
    <w:rsid w:val="00965FAA"/>
    <w:rsid w:val="00972E75"/>
    <w:rsid w:val="009777C7"/>
    <w:rsid w:val="00981EF9"/>
    <w:rsid w:val="009874C6"/>
    <w:rsid w:val="00994CFE"/>
    <w:rsid w:val="00996703"/>
    <w:rsid w:val="00997751"/>
    <w:rsid w:val="009A0BD5"/>
    <w:rsid w:val="009A1259"/>
    <w:rsid w:val="009A4CDC"/>
    <w:rsid w:val="009A7048"/>
    <w:rsid w:val="009B12AD"/>
    <w:rsid w:val="009B58CD"/>
    <w:rsid w:val="009B74CE"/>
    <w:rsid w:val="009B7BD3"/>
    <w:rsid w:val="009C256C"/>
    <w:rsid w:val="009D4549"/>
    <w:rsid w:val="009E00E3"/>
    <w:rsid w:val="009E2CB7"/>
    <w:rsid w:val="009E4A43"/>
    <w:rsid w:val="009E65C0"/>
    <w:rsid w:val="009F0396"/>
    <w:rsid w:val="009F0AC2"/>
    <w:rsid w:val="009F2F16"/>
    <w:rsid w:val="00A00585"/>
    <w:rsid w:val="00A03072"/>
    <w:rsid w:val="00A03C6A"/>
    <w:rsid w:val="00A10756"/>
    <w:rsid w:val="00A124D5"/>
    <w:rsid w:val="00A12A40"/>
    <w:rsid w:val="00A156F5"/>
    <w:rsid w:val="00A15CED"/>
    <w:rsid w:val="00A15DD5"/>
    <w:rsid w:val="00A1796E"/>
    <w:rsid w:val="00A2495C"/>
    <w:rsid w:val="00A2659E"/>
    <w:rsid w:val="00A26C9D"/>
    <w:rsid w:val="00A27FA6"/>
    <w:rsid w:val="00A31E93"/>
    <w:rsid w:val="00A3200D"/>
    <w:rsid w:val="00A3251B"/>
    <w:rsid w:val="00A34D30"/>
    <w:rsid w:val="00A34EE3"/>
    <w:rsid w:val="00A36EB9"/>
    <w:rsid w:val="00A42064"/>
    <w:rsid w:val="00A424AC"/>
    <w:rsid w:val="00A433AA"/>
    <w:rsid w:val="00A50230"/>
    <w:rsid w:val="00A544C9"/>
    <w:rsid w:val="00A60DA6"/>
    <w:rsid w:val="00A629A8"/>
    <w:rsid w:val="00A7023E"/>
    <w:rsid w:val="00A70EDD"/>
    <w:rsid w:val="00A71CAA"/>
    <w:rsid w:val="00A75965"/>
    <w:rsid w:val="00A7694F"/>
    <w:rsid w:val="00A802F7"/>
    <w:rsid w:val="00A8182A"/>
    <w:rsid w:val="00A81DEE"/>
    <w:rsid w:val="00A919F7"/>
    <w:rsid w:val="00A91D4E"/>
    <w:rsid w:val="00A93999"/>
    <w:rsid w:val="00AA14E7"/>
    <w:rsid w:val="00AA282F"/>
    <w:rsid w:val="00AB65AA"/>
    <w:rsid w:val="00AC33C6"/>
    <w:rsid w:val="00AC3F61"/>
    <w:rsid w:val="00AC659C"/>
    <w:rsid w:val="00AC743C"/>
    <w:rsid w:val="00AD2B7D"/>
    <w:rsid w:val="00AD2B8A"/>
    <w:rsid w:val="00AD6EDE"/>
    <w:rsid w:val="00AD780A"/>
    <w:rsid w:val="00AE00C6"/>
    <w:rsid w:val="00AE4675"/>
    <w:rsid w:val="00AF0C2E"/>
    <w:rsid w:val="00AF1FD9"/>
    <w:rsid w:val="00AF2E72"/>
    <w:rsid w:val="00AF3969"/>
    <w:rsid w:val="00AF5EAC"/>
    <w:rsid w:val="00AF72EB"/>
    <w:rsid w:val="00B0132A"/>
    <w:rsid w:val="00B06958"/>
    <w:rsid w:val="00B10C99"/>
    <w:rsid w:val="00B1240C"/>
    <w:rsid w:val="00B17D38"/>
    <w:rsid w:val="00B21985"/>
    <w:rsid w:val="00B456BF"/>
    <w:rsid w:val="00B47130"/>
    <w:rsid w:val="00B66B19"/>
    <w:rsid w:val="00B74A6A"/>
    <w:rsid w:val="00B75CF1"/>
    <w:rsid w:val="00B763AA"/>
    <w:rsid w:val="00B77395"/>
    <w:rsid w:val="00B77DE1"/>
    <w:rsid w:val="00B82DF7"/>
    <w:rsid w:val="00B90CAC"/>
    <w:rsid w:val="00B93E5F"/>
    <w:rsid w:val="00B958BA"/>
    <w:rsid w:val="00B96E0E"/>
    <w:rsid w:val="00BA0A3B"/>
    <w:rsid w:val="00BB1870"/>
    <w:rsid w:val="00BB4FFF"/>
    <w:rsid w:val="00BC312B"/>
    <w:rsid w:val="00BC51BD"/>
    <w:rsid w:val="00BE2224"/>
    <w:rsid w:val="00BE33E3"/>
    <w:rsid w:val="00BE788A"/>
    <w:rsid w:val="00BF06A5"/>
    <w:rsid w:val="00BF1C2A"/>
    <w:rsid w:val="00BF2BEC"/>
    <w:rsid w:val="00BF34C6"/>
    <w:rsid w:val="00BF537F"/>
    <w:rsid w:val="00BF5430"/>
    <w:rsid w:val="00C01FF9"/>
    <w:rsid w:val="00C0292E"/>
    <w:rsid w:val="00C04B0E"/>
    <w:rsid w:val="00C050C9"/>
    <w:rsid w:val="00C05564"/>
    <w:rsid w:val="00C064FD"/>
    <w:rsid w:val="00C14F08"/>
    <w:rsid w:val="00C17582"/>
    <w:rsid w:val="00C240DF"/>
    <w:rsid w:val="00C24A03"/>
    <w:rsid w:val="00C25A16"/>
    <w:rsid w:val="00C278F0"/>
    <w:rsid w:val="00C34A48"/>
    <w:rsid w:val="00C35AE6"/>
    <w:rsid w:val="00C35F34"/>
    <w:rsid w:val="00C46806"/>
    <w:rsid w:val="00C55EC2"/>
    <w:rsid w:val="00C63194"/>
    <w:rsid w:val="00C63391"/>
    <w:rsid w:val="00C66445"/>
    <w:rsid w:val="00C74E36"/>
    <w:rsid w:val="00C76854"/>
    <w:rsid w:val="00C77169"/>
    <w:rsid w:val="00C77411"/>
    <w:rsid w:val="00C808A9"/>
    <w:rsid w:val="00C85248"/>
    <w:rsid w:val="00C860FB"/>
    <w:rsid w:val="00C8788C"/>
    <w:rsid w:val="00C906EC"/>
    <w:rsid w:val="00C956DF"/>
    <w:rsid w:val="00C96454"/>
    <w:rsid w:val="00CA268A"/>
    <w:rsid w:val="00CA3F3B"/>
    <w:rsid w:val="00CA78DD"/>
    <w:rsid w:val="00CB0D15"/>
    <w:rsid w:val="00CB2503"/>
    <w:rsid w:val="00CB2538"/>
    <w:rsid w:val="00CB3AFB"/>
    <w:rsid w:val="00CB4DB9"/>
    <w:rsid w:val="00CC17D9"/>
    <w:rsid w:val="00CC5BF0"/>
    <w:rsid w:val="00CD50F3"/>
    <w:rsid w:val="00CD6D6A"/>
    <w:rsid w:val="00CE6950"/>
    <w:rsid w:val="00CF2406"/>
    <w:rsid w:val="00CF2860"/>
    <w:rsid w:val="00CF3964"/>
    <w:rsid w:val="00CF7049"/>
    <w:rsid w:val="00CF7F6C"/>
    <w:rsid w:val="00D00483"/>
    <w:rsid w:val="00D10CBB"/>
    <w:rsid w:val="00D134CE"/>
    <w:rsid w:val="00D22F94"/>
    <w:rsid w:val="00D31952"/>
    <w:rsid w:val="00D31B6A"/>
    <w:rsid w:val="00D3360D"/>
    <w:rsid w:val="00D3373C"/>
    <w:rsid w:val="00D34D64"/>
    <w:rsid w:val="00D43327"/>
    <w:rsid w:val="00D52B3B"/>
    <w:rsid w:val="00D52E36"/>
    <w:rsid w:val="00D552FC"/>
    <w:rsid w:val="00D647A8"/>
    <w:rsid w:val="00D65172"/>
    <w:rsid w:val="00D70C23"/>
    <w:rsid w:val="00D7391E"/>
    <w:rsid w:val="00D74705"/>
    <w:rsid w:val="00D75DBC"/>
    <w:rsid w:val="00D80CF4"/>
    <w:rsid w:val="00D905E4"/>
    <w:rsid w:val="00D90FD8"/>
    <w:rsid w:val="00D912C4"/>
    <w:rsid w:val="00D91FB2"/>
    <w:rsid w:val="00D964BA"/>
    <w:rsid w:val="00D96639"/>
    <w:rsid w:val="00DA332F"/>
    <w:rsid w:val="00DA33A7"/>
    <w:rsid w:val="00DA4E0C"/>
    <w:rsid w:val="00DB1590"/>
    <w:rsid w:val="00DB42AA"/>
    <w:rsid w:val="00DB4489"/>
    <w:rsid w:val="00DB777C"/>
    <w:rsid w:val="00DB7D1C"/>
    <w:rsid w:val="00DC027A"/>
    <w:rsid w:val="00DC0AD9"/>
    <w:rsid w:val="00DD07E2"/>
    <w:rsid w:val="00DE0AE6"/>
    <w:rsid w:val="00DE3255"/>
    <w:rsid w:val="00DE41F0"/>
    <w:rsid w:val="00DF1EC9"/>
    <w:rsid w:val="00DF1F5C"/>
    <w:rsid w:val="00DF5184"/>
    <w:rsid w:val="00E00E1B"/>
    <w:rsid w:val="00E00F27"/>
    <w:rsid w:val="00E02A69"/>
    <w:rsid w:val="00E02B6E"/>
    <w:rsid w:val="00E02C94"/>
    <w:rsid w:val="00E05230"/>
    <w:rsid w:val="00E07C69"/>
    <w:rsid w:val="00E13867"/>
    <w:rsid w:val="00E13A1D"/>
    <w:rsid w:val="00E156EB"/>
    <w:rsid w:val="00E23510"/>
    <w:rsid w:val="00E25969"/>
    <w:rsid w:val="00E26023"/>
    <w:rsid w:val="00E303AF"/>
    <w:rsid w:val="00E3270B"/>
    <w:rsid w:val="00E34CF6"/>
    <w:rsid w:val="00E36B92"/>
    <w:rsid w:val="00E50590"/>
    <w:rsid w:val="00E50CC7"/>
    <w:rsid w:val="00E51266"/>
    <w:rsid w:val="00E53D8B"/>
    <w:rsid w:val="00E54DAA"/>
    <w:rsid w:val="00E55495"/>
    <w:rsid w:val="00E63692"/>
    <w:rsid w:val="00E63CD1"/>
    <w:rsid w:val="00E75408"/>
    <w:rsid w:val="00E77851"/>
    <w:rsid w:val="00E81456"/>
    <w:rsid w:val="00E82176"/>
    <w:rsid w:val="00E858B8"/>
    <w:rsid w:val="00E87D02"/>
    <w:rsid w:val="00E927E5"/>
    <w:rsid w:val="00E940B8"/>
    <w:rsid w:val="00E94884"/>
    <w:rsid w:val="00EA240C"/>
    <w:rsid w:val="00EA6B5D"/>
    <w:rsid w:val="00EA6CD4"/>
    <w:rsid w:val="00EA788F"/>
    <w:rsid w:val="00EB6F17"/>
    <w:rsid w:val="00ED2946"/>
    <w:rsid w:val="00EE1978"/>
    <w:rsid w:val="00EE1F1C"/>
    <w:rsid w:val="00EE5541"/>
    <w:rsid w:val="00EF2ED0"/>
    <w:rsid w:val="00EF2F5C"/>
    <w:rsid w:val="00EF45EB"/>
    <w:rsid w:val="00EF5857"/>
    <w:rsid w:val="00F04A6E"/>
    <w:rsid w:val="00F0606C"/>
    <w:rsid w:val="00F0722B"/>
    <w:rsid w:val="00F07E82"/>
    <w:rsid w:val="00F07EAE"/>
    <w:rsid w:val="00F11A88"/>
    <w:rsid w:val="00F15C35"/>
    <w:rsid w:val="00F162F2"/>
    <w:rsid w:val="00F17BF1"/>
    <w:rsid w:val="00F321E1"/>
    <w:rsid w:val="00F334D0"/>
    <w:rsid w:val="00F44665"/>
    <w:rsid w:val="00F44D75"/>
    <w:rsid w:val="00F554DB"/>
    <w:rsid w:val="00F606EA"/>
    <w:rsid w:val="00F851FE"/>
    <w:rsid w:val="00F95C27"/>
    <w:rsid w:val="00F96D99"/>
    <w:rsid w:val="00F97B1F"/>
    <w:rsid w:val="00FA13A5"/>
    <w:rsid w:val="00FA5336"/>
    <w:rsid w:val="00FB12E7"/>
    <w:rsid w:val="00FB42CF"/>
    <w:rsid w:val="00FB60F0"/>
    <w:rsid w:val="00FC4520"/>
    <w:rsid w:val="00FC48B7"/>
    <w:rsid w:val="00FC50BF"/>
    <w:rsid w:val="00FC52B8"/>
    <w:rsid w:val="00FD4554"/>
    <w:rsid w:val="00FD4C4B"/>
    <w:rsid w:val="00FE38D9"/>
    <w:rsid w:val="00FE5C07"/>
    <w:rsid w:val="00FE6896"/>
    <w:rsid w:val="00FE6E93"/>
    <w:rsid w:val="00FE7763"/>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E5498"/>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link w:val="Heading1Char"/>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tabs>
        <w:tab w:val="clear" w:pos="1871"/>
      </w:tabs>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link w:val="FootnoteTextChar"/>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paragraph" w:styleId="NormalWeb">
    <w:name w:val="Normal (Web)"/>
    <w:basedOn w:val="Normal"/>
    <w:uiPriority w:val="99"/>
    <w:unhideWhenUsed/>
    <w:rsid w:val="00AD6EDE"/>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Quotation">
    <w:name w:val="Quotation"/>
    <w:basedOn w:val="Normal"/>
    <w:link w:val="QuotationChar"/>
    <w:qFormat/>
    <w:rsid w:val="0067473D"/>
    <w:pPr>
      <w:tabs>
        <w:tab w:val="clear" w:pos="1871"/>
        <w:tab w:val="left" w:pos="2552"/>
      </w:tabs>
      <w:ind w:left="2552" w:hanging="709"/>
    </w:pPr>
    <w:rPr>
      <w:i/>
      <w:iCs/>
    </w:rPr>
  </w:style>
  <w:style w:type="character" w:customStyle="1" w:styleId="QuotationChar">
    <w:name w:val="Quotation Char"/>
    <w:basedOn w:val="DefaultParagraphFont"/>
    <w:link w:val="Quotation"/>
    <w:rsid w:val="0067473D"/>
    <w:rPr>
      <w:rFonts w:ascii="Arial" w:hAnsi="Arial"/>
      <w:i/>
      <w:iCs/>
      <w:kern w:val="25"/>
      <w:sz w:val="24"/>
      <w:lang w:eastAsia="en-US"/>
    </w:rPr>
  </w:style>
  <w:style w:type="character" w:styleId="CommentReference">
    <w:name w:val="annotation reference"/>
    <w:basedOn w:val="DefaultParagraphFont"/>
    <w:semiHidden/>
    <w:unhideWhenUsed/>
    <w:rsid w:val="0067473D"/>
    <w:rPr>
      <w:sz w:val="16"/>
      <w:szCs w:val="16"/>
    </w:rPr>
  </w:style>
  <w:style w:type="paragraph" w:styleId="CommentText">
    <w:name w:val="annotation text"/>
    <w:basedOn w:val="Normal"/>
    <w:link w:val="CommentTextChar"/>
    <w:unhideWhenUsed/>
    <w:rsid w:val="0067473D"/>
    <w:pPr>
      <w:spacing w:line="240" w:lineRule="auto"/>
    </w:pPr>
    <w:rPr>
      <w:sz w:val="20"/>
    </w:rPr>
  </w:style>
  <w:style w:type="character" w:customStyle="1" w:styleId="CommentTextChar">
    <w:name w:val="Comment Text Char"/>
    <w:basedOn w:val="DefaultParagraphFont"/>
    <w:link w:val="CommentText"/>
    <w:rsid w:val="0067473D"/>
    <w:rPr>
      <w:rFonts w:ascii="Arial" w:hAnsi="Arial"/>
      <w:kern w:val="25"/>
      <w:lang w:eastAsia="en-US"/>
    </w:rPr>
  </w:style>
  <w:style w:type="paragraph" w:styleId="BalloonText">
    <w:name w:val="Balloon Text"/>
    <w:basedOn w:val="Normal"/>
    <w:link w:val="BalloonTextChar"/>
    <w:semiHidden/>
    <w:unhideWhenUsed/>
    <w:rsid w:val="00674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473D"/>
    <w:rPr>
      <w:rFonts w:ascii="Segoe UI" w:hAnsi="Segoe UI" w:cs="Segoe UI"/>
      <w:kern w:val="25"/>
      <w:sz w:val="18"/>
      <w:szCs w:val="18"/>
      <w:lang w:eastAsia="en-US"/>
    </w:rPr>
  </w:style>
  <w:style w:type="character" w:customStyle="1" w:styleId="Heading1Char">
    <w:name w:val="Heading 1 Char"/>
    <w:basedOn w:val="DefaultParagraphFont"/>
    <w:link w:val="Heading1"/>
    <w:rsid w:val="008C59AF"/>
    <w:rPr>
      <w:rFonts w:ascii="Arial" w:hAnsi="Arial"/>
      <w:kern w:val="25"/>
      <w:sz w:val="24"/>
      <w:lang w:eastAsia="en-US"/>
    </w:rPr>
  </w:style>
  <w:style w:type="character" w:customStyle="1" w:styleId="FootnoteTextChar">
    <w:name w:val="Footnote Text Char"/>
    <w:basedOn w:val="DefaultParagraphFont"/>
    <w:link w:val="FootnoteText"/>
    <w:semiHidden/>
    <w:rsid w:val="008C59AF"/>
    <w:rPr>
      <w:rFonts w:ascii="Arial" w:hAnsi="Arial"/>
      <w:kern w:val="25"/>
      <w:lang w:eastAsia="en-US"/>
    </w:rPr>
  </w:style>
  <w:style w:type="paragraph" w:customStyle="1" w:styleId="lrquoteflindent">
    <w:name w:val="lrquoteflindent"/>
    <w:basedOn w:val="Normal"/>
    <w:rsid w:val="008B753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pageno">
    <w:name w:val="pageno"/>
    <w:basedOn w:val="Normal"/>
    <w:rsid w:val="008B753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judgecont">
    <w:name w:val="lrjudgecont"/>
    <w:basedOn w:val="Normal"/>
    <w:rsid w:val="008B753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196694755">
      <w:bodyDiv w:val="1"/>
      <w:marLeft w:val="0"/>
      <w:marRight w:val="0"/>
      <w:marTop w:val="0"/>
      <w:marBottom w:val="0"/>
      <w:divBdr>
        <w:top w:val="none" w:sz="0" w:space="0" w:color="auto"/>
        <w:left w:val="none" w:sz="0" w:space="0" w:color="auto"/>
        <w:bottom w:val="none" w:sz="0" w:space="0" w:color="auto"/>
        <w:right w:val="none" w:sz="0" w:space="0" w:color="auto"/>
      </w:divBdr>
      <w:divsChild>
        <w:div w:id="499350992">
          <w:marLeft w:val="675"/>
          <w:marRight w:val="0"/>
          <w:marTop w:val="0"/>
          <w:marBottom w:val="0"/>
          <w:divBdr>
            <w:top w:val="none" w:sz="0" w:space="0" w:color="auto"/>
            <w:left w:val="none" w:sz="0" w:space="0" w:color="auto"/>
            <w:bottom w:val="none" w:sz="0" w:space="0" w:color="auto"/>
            <w:right w:val="none" w:sz="0" w:space="0" w:color="auto"/>
          </w:divBdr>
        </w:div>
        <w:div w:id="1267427769">
          <w:marLeft w:val="675"/>
          <w:marRight w:val="0"/>
          <w:marTop w:val="0"/>
          <w:marBottom w:val="0"/>
          <w:divBdr>
            <w:top w:val="none" w:sz="0" w:space="0" w:color="auto"/>
            <w:left w:val="none" w:sz="0" w:space="0" w:color="auto"/>
            <w:bottom w:val="none" w:sz="0" w:space="0" w:color="auto"/>
            <w:right w:val="none" w:sz="0" w:space="0" w:color="auto"/>
          </w:divBdr>
        </w:div>
        <w:div w:id="2088502175">
          <w:marLeft w:val="675"/>
          <w:marRight w:val="0"/>
          <w:marTop w:val="0"/>
          <w:marBottom w:val="0"/>
          <w:divBdr>
            <w:top w:val="none" w:sz="0" w:space="0" w:color="auto"/>
            <w:left w:val="none" w:sz="0" w:space="0" w:color="auto"/>
            <w:bottom w:val="none" w:sz="0" w:space="0" w:color="auto"/>
            <w:right w:val="none" w:sz="0" w:space="0" w:color="auto"/>
          </w:divBdr>
        </w:div>
        <w:div w:id="2147039919">
          <w:marLeft w:val="1350"/>
          <w:marRight w:val="0"/>
          <w:marTop w:val="0"/>
          <w:marBottom w:val="0"/>
          <w:divBdr>
            <w:top w:val="none" w:sz="0" w:space="0" w:color="auto"/>
            <w:left w:val="none" w:sz="0" w:space="0" w:color="auto"/>
            <w:bottom w:val="none" w:sz="0" w:space="0" w:color="auto"/>
            <w:right w:val="none" w:sz="0" w:space="0" w:color="auto"/>
          </w:divBdr>
        </w:div>
        <w:div w:id="1553346043">
          <w:marLeft w:val="1350"/>
          <w:marRight w:val="0"/>
          <w:marTop w:val="0"/>
          <w:marBottom w:val="0"/>
          <w:divBdr>
            <w:top w:val="none" w:sz="0" w:space="0" w:color="auto"/>
            <w:left w:val="none" w:sz="0" w:space="0" w:color="auto"/>
            <w:bottom w:val="none" w:sz="0" w:space="0" w:color="auto"/>
            <w:right w:val="none" w:sz="0" w:space="0" w:color="auto"/>
          </w:divBdr>
        </w:div>
        <w:div w:id="238641209">
          <w:marLeft w:val="1350"/>
          <w:marRight w:val="0"/>
          <w:marTop w:val="0"/>
          <w:marBottom w:val="0"/>
          <w:divBdr>
            <w:top w:val="none" w:sz="0" w:space="0" w:color="auto"/>
            <w:left w:val="none" w:sz="0" w:space="0" w:color="auto"/>
            <w:bottom w:val="none" w:sz="0" w:space="0" w:color="auto"/>
            <w:right w:val="none" w:sz="0" w:space="0" w:color="auto"/>
          </w:divBdr>
        </w:div>
        <w:div w:id="73862437">
          <w:marLeft w:val="1350"/>
          <w:marRight w:val="0"/>
          <w:marTop w:val="0"/>
          <w:marBottom w:val="0"/>
          <w:divBdr>
            <w:top w:val="none" w:sz="0" w:space="0" w:color="auto"/>
            <w:left w:val="none" w:sz="0" w:space="0" w:color="auto"/>
            <w:bottom w:val="none" w:sz="0" w:space="0" w:color="auto"/>
            <w:right w:val="none" w:sz="0" w:space="0" w:color="auto"/>
          </w:divBdr>
        </w:div>
        <w:div w:id="1520311474">
          <w:marLeft w:val="1350"/>
          <w:marRight w:val="0"/>
          <w:marTop w:val="0"/>
          <w:marBottom w:val="0"/>
          <w:divBdr>
            <w:top w:val="none" w:sz="0" w:space="0" w:color="auto"/>
            <w:left w:val="none" w:sz="0" w:space="0" w:color="auto"/>
            <w:bottom w:val="none" w:sz="0" w:space="0" w:color="auto"/>
            <w:right w:val="none" w:sz="0" w:space="0" w:color="auto"/>
          </w:divBdr>
        </w:div>
        <w:div w:id="1853955183">
          <w:marLeft w:val="1350"/>
          <w:marRight w:val="0"/>
          <w:marTop w:val="0"/>
          <w:marBottom w:val="0"/>
          <w:divBdr>
            <w:top w:val="none" w:sz="0" w:space="0" w:color="auto"/>
            <w:left w:val="none" w:sz="0" w:space="0" w:color="auto"/>
            <w:bottom w:val="none" w:sz="0" w:space="0" w:color="auto"/>
            <w:right w:val="none" w:sz="0" w:space="0" w:color="auto"/>
          </w:divBdr>
        </w:div>
        <w:div w:id="1856461865">
          <w:marLeft w:val="1350"/>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43304356">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en@twb.co.z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hy@twb.co.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hani.vanniekerk@adams.af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ja@em.law.za" TargetMode="External"/><Relationship Id="rId5" Type="http://schemas.openxmlformats.org/officeDocument/2006/relationships/webSettings" Target="webSettings.xml"/><Relationship Id="rId15" Type="http://schemas.openxmlformats.org/officeDocument/2006/relationships/hyperlink" Target="mailto:iana@phattorneys.co.za%20%20%20%20%20%20" TargetMode="External"/><Relationship Id="rId10" Type="http://schemas.openxmlformats.org/officeDocument/2006/relationships/hyperlink" Target="mailto:emil@em.law.%20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hyperlink" Target="mailto:anabela@twb.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48266-CEB2-6349-BFB6-EB2EDAE7DE48}">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C5EC-8BCB-4A68-A427-7FAA2B33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SGHC</Template>
  <TotalTime>1</TotalTime>
  <Pages>56</Pages>
  <Words>13865</Words>
  <Characters>79032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92712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Mokone</cp:lastModifiedBy>
  <cp:revision>3</cp:revision>
  <cp:lastPrinted>2023-09-10T21:06:00Z</cp:lastPrinted>
  <dcterms:created xsi:type="dcterms:W3CDTF">2023-09-11T14:15:00Z</dcterms:created>
  <dcterms:modified xsi:type="dcterms:W3CDTF">2023-09-11T14:16:00Z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documentId_2342</vt:lpwstr>
  </property>
  <property fmtid="{D5CDD505-2E9C-101B-9397-08002B2CF9AE}" pid="3" name="grammarly_documentContext">
    <vt:lpwstr>{"goals":[],"domain":"general","emotions":[],"dialect":"british"}</vt:lpwstr>
  </property>
</Properties>
</file>