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D571" w14:textId="77777777" w:rsidR="001E2697" w:rsidRDefault="001E2697" w:rsidP="001E2697">
      <w:pPr>
        <w:spacing w:line="360" w:lineRule="auto"/>
        <w:ind w:leftChars="-38" w:left="-91"/>
        <w:jc w:val="center"/>
        <w:rPr>
          <w:rFonts w:cs="Arial"/>
          <w:b/>
        </w:rPr>
      </w:pPr>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val="en-US" w:eastAsia="en-US"/>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10419836"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913A82">
        <w:rPr>
          <w:b/>
        </w:rPr>
        <w:t>2023-</w:t>
      </w:r>
      <w:r w:rsidR="00913A82" w:rsidRPr="004C7303">
        <w:rPr>
          <w:rFonts w:cs="Arial"/>
          <w:b/>
          <w:bCs/>
        </w:rPr>
        <w:t>055949</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6A29FC">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6A29FC">
            <w:pPr>
              <w:jc w:val="both"/>
              <w:rPr>
                <w:rFonts w:cs="Arial"/>
                <w:sz w:val="16"/>
                <w:szCs w:val="16"/>
              </w:rPr>
            </w:pPr>
          </w:p>
          <w:p w14:paraId="367F2BD7" w14:textId="77777777" w:rsidR="001E2697" w:rsidRPr="008B170D" w:rsidRDefault="001E2697" w:rsidP="006A29FC">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6A29FC">
            <w:pPr>
              <w:ind w:left="180"/>
              <w:jc w:val="center"/>
              <w:rPr>
                <w:rFonts w:cs="Arial"/>
                <w:b/>
                <w:bCs/>
                <w:color w:val="FF0000"/>
                <w:sz w:val="18"/>
                <w:szCs w:val="18"/>
                <w:u w:val="single"/>
              </w:rPr>
            </w:pPr>
          </w:p>
          <w:p w14:paraId="6D072193" w14:textId="1FFE3893" w:rsidR="001E2697" w:rsidRPr="008B170D" w:rsidRDefault="001E2697" w:rsidP="006A29FC">
            <w:pPr>
              <w:spacing w:line="480" w:lineRule="auto"/>
              <w:ind w:left="180"/>
              <w:jc w:val="both"/>
              <w:rPr>
                <w:rFonts w:cs="Arial"/>
                <w:bCs/>
                <w:color w:val="FF0000"/>
                <w:sz w:val="18"/>
                <w:szCs w:val="18"/>
              </w:rPr>
            </w:pPr>
            <w:r w:rsidRPr="008B170D">
              <w:rPr>
                <w:rFonts w:cs="Arial"/>
                <w:bCs/>
                <w:color w:val="FF0000"/>
                <w:sz w:val="18"/>
                <w:szCs w:val="18"/>
              </w:rPr>
              <w:t xml:space="preserve">1.REPORTABLE:  </w:t>
            </w:r>
            <w:r w:rsidR="009E2021">
              <w:rPr>
                <w:rFonts w:cs="Arial"/>
                <w:bCs/>
                <w:color w:val="FF0000"/>
                <w:sz w:val="18"/>
                <w:szCs w:val="18"/>
              </w:rPr>
              <w:t>YES</w:t>
            </w:r>
          </w:p>
          <w:p w14:paraId="459FF77E" w14:textId="227EADC3" w:rsidR="001E2697" w:rsidRPr="008B170D" w:rsidRDefault="001E2697" w:rsidP="006A29FC">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B25B6F">
              <w:rPr>
                <w:rFonts w:cs="Arial"/>
                <w:bCs/>
                <w:color w:val="FF0000"/>
                <w:sz w:val="18"/>
                <w:szCs w:val="18"/>
              </w:rPr>
              <w:t xml:space="preserve">  </w:t>
            </w:r>
            <w:r w:rsidR="0019010A">
              <w:rPr>
                <w:rFonts w:cs="Arial"/>
                <w:bCs/>
                <w:color w:val="FF0000"/>
                <w:sz w:val="18"/>
                <w:szCs w:val="18"/>
              </w:rPr>
              <w:t>YES</w:t>
            </w:r>
            <w:r w:rsidRPr="008B170D">
              <w:rPr>
                <w:rFonts w:cs="Arial"/>
                <w:bCs/>
                <w:color w:val="FF0000"/>
                <w:sz w:val="18"/>
                <w:szCs w:val="18"/>
              </w:rPr>
              <w:t xml:space="preserve">                               </w:t>
            </w:r>
            <w:r>
              <w:rPr>
                <w:rFonts w:cs="Arial"/>
                <w:bCs/>
                <w:color w:val="FF0000"/>
                <w:sz w:val="18"/>
                <w:szCs w:val="18"/>
              </w:rPr>
              <w:t xml:space="preserve"> </w:t>
            </w:r>
          </w:p>
          <w:p w14:paraId="24E6769D" w14:textId="3BEA86B5" w:rsidR="001E2697" w:rsidRPr="008B170D" w:rsidRDefault="001E2697" w:rsidP="006A29FC">
            <w:pPr>
              <w:spacing w:line="480" w:lineRule="auto"/>
              <w:ind w:left="180"/>
              <w:jc w:val="both"/>
              <w:rPr>
                <w:rFonts w:cs="Arial"/>
                <w:bCs/>
                <w:color w:val="FF0000"/>
                <w:sz w:val="18"/>
                <w:szCs w:val="18"/>
              </w:rPr>
            </w:pPr>
            <w:r w:rsidRPr="008B170D">
              <w:rPr>
                <w:rFonts w:cs="Arial"/>
                <w:bCs/>
                <w:color w:val="FF0000"/>
                <w:sz w:val="18"/>
                <w:szCs w:val="18"/>
              </w:rPr>
              <w:t>3.REVISED</w:t>
            </w:r>
            <w:r w:rsidR="00B25B6F">
              <w:rPr>
                <w:rFonts w:cs="Arial"/>
                <w:bCs/>
                <w:color w:val="FF0000"/>
                <w:sz w:val="18"/>
                <w:szCs w:val="18"/>
              </w:rPr>
              <w:t>:</w:t>
            </w:r>
            <w:r w:rsidR="00B47C39">
              <w:rPr>
                <w:rFonts w:cs="Arial"/>
                <w:bCs/>
                <w:color w:val="FF0000"/>
                <w:sz w:val="18"/>
                <w:szCs w:val="18"/>
              </w:rPr>
              <w:t xml:space="preserve">  YES</w:t>
            </w:r>
            <w:r>
              <w:rPr>
                <w:rFonts w:cs="Arial"/>
                <w:bCs/>
                <w:color w:val="FF0000"/>
                <w:sz w:val="18"/>
                <w:szCs w:val="18"/>
              </w:rPr>
              <w:t xml:space="preserve">                                                                           </w:t>
            </w:r>
          </w:p>
          <w:p w14:paraId="386136B5" w14:textId="77777777" w:rsidR="001E2697" w:rsidRPr="008B170D" w:rsidRDefault="001E2697" w:rsidP="006A29FC">
            <w:pPr>
              <w:spacing w:line="360" w:lineRule="auto"/>
              <w:ind w:left="180"/>
              <w:jc w:val="both"/>
              <w:rPr>
                <w:rFonts w:cs="Arial"/>
                <w:bCs/>
                <w:color w:val="FF0000"/>
                <w:sz w:val="18"/>
                <w:szCs w:val="18"/>
              </w:rPr>
            </w:pPr>
          </w:p>
          <w:p w14:paraId="047C9726" w14:textId="77777777" w:rsidR="001E2697" w:rsidRPr="00F04BA1" w:rsidRDefault="001E2697" w:rsidP="006A29FC">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189105A" w14:textId="77777777" w:rsidR="001E2697" w:rsidRDefault="001E2697" w:rsidP="001E2697">
      <w:pPr>
        <w:tabs>
          <w:tab w:val="left" w:pos="-720"/>
        </w:tabs>
        <w:suppressAutoHyphens/>
        <w:rPr>
          <w:rFonts w:cs="Arial"/>
          <w:bCs/>
          <w:spacing w:val="-3"/>
        </w:rPr>
      </w:pPr>
    </w:p>
    <w:p w14:paraId="42452D94" w14:textId="77777777" w:rsidR="001E2697" w:rsidRDefault="001E2697" w:rsidP="001E2697">
      <w:pPr>
        <w:tabs>
          <w:tab w:val="left" w:pos="-720"/>
        </w:tabs>
        <w:suppressAutoHyphens/>
        <w:rPr>
          <w:rFonts w:cs="Arial"/>
          <w:bCs/>
          <w:spacing w:val="-3"/>
        </w:rPr>
      </w:pPr>
    </w:p>
    <w:p w14:paraId="72F25B48" w14:textId="77777777"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37B863CA" w14:textId="30D67CB0" w:rsidR="00695FAB" w:rsidRPr="00695FAB" w:rsidRDefault="00913A82" w:rsidP="001E2697">
      <w:pPr>
        <w:widowControl w:val="0"/>
        <w:tabs>
          <w:tab w:val="right" w:pos="9356"/>
        </w:tabs>
        <w:jc w:val="both"/>
        <w:rPr>
          <w:b/>
        </w:rPr>
      </w:pPr>
      <w:r w:rsidRPr="004C7303">
        <w:rPr>
          <w:rFonts w:eastAsia="Calibri" w:cs="Arial"/>
          <w:b/>
        </w:rPr>
        <w:t>MERRIAM MAKWENA MANAMELA</w:t>
      </w:r>
      <w:r w:rsidR="007561F6" w:rsidRPr="00695FAB">
        <w:rPr>
          <w:b/>
        </w:rPr>
        <w:tab/>
        <w:t xml:space="preserve">APPLICANT </w:t>
      </w:r>
    </w:p>
    <w:p w14:paraId="43F0543E" w14:textId="77777777" w:rsidR="00695FAB" w:rsidRPr="00695FAB" w:rsidRDefault="00695FAB" w:rsidP="001E2697">
      <w:pPr>
        <w:widowControl w:val="0"/>
        <w:tabs>
          <w:tab w:val="right" w:pos="9356"/>
        </w:tabs>
        <w:jc w:val="both"/>
        <w:rPr>
          <w:b/>
        </w:rPr>
      </w:pPr>
    </w:p>
    <w:p w14:paraId="3F23F255" w14:textId="04DBFB32" w:rsidR="00695FAB" w:rsidRPr="00695FAB" w:rsidRDefault="007561F6" w:rsidP="001E2697">
      <w:pPr>
        <w:widowControl w:val="0"/>
        <w:tabs>
          <w:tab w:val="right" w:pos="9356"/>
        </w:tabs>
        <w:jc w:val="both"/>
        <w:rPr>
          <w:b/>
        </w:rPr>
      </w:pPr>
      <w:r w:rsidRPr="00695FAB">
        <w:rPr>
          <w:b/>
        </w:rPr>
        <w:t xml:space="preserve">AND </w:t>
      </w:r>
    </w:p>
    <w:p w14:paraId="2E379343" w14:textId="77777777" w:rsidR="00695FAB" w:rsidRPr="00695FAB" w:rsidRDefault="00695FAB" w:rsidP="001E2697">
      <w:pPr>
        <w:widowControl w:val="0"/>
        <w:tabs>
          <w:tab w:val="right" w:pos="9356"/>
        </w:tabs>
        <w:jc w:val="both"/>
        <w:rPr>
          <w:b/>
        </w:rPr>
      </w:pPr>
    </w:p>
    <w:p w14:paraId="0F0AE2EE" w14:textId="18389673" w:rsidR="00340974" w:rsidRDefault="00913A82" w:rsidP="001E2697">
      <w:pPr>
        <w:widowControl w:val="0"/>
        <w:tabs>
          <w:tab w:val="right" w:pos="9356"/>
        </w:tabs>
        <w:jc w:val="both"/>
        <w:rPr>
          <w:b/>
        </w:rPr>
      </w:pPr>
      <w:r w:rsidRPr="004C7303">
        <w:rPr>
          <w:rFonts w:eastAsia="Calibri" w:cs="Arial"/>
          <w:b/>
        </w:rPr>
        <w:t>GRACE MAITE</w:t>
      </w:r>
      <w:r w:rsidR="00340974">
        <w:rPr>
          <w:b/>
        </w:rPr>
        <w:tab/>
        <w:t xml:space="preserve">RESPONDENT </w:t>
      </w:r>
    </w:p>
    <w:p w14:paraId="75BCD6EF" w14:textId="77777777" w:rsidR="00340974" w:rsidRDefault="00340974" w:rsidP="00340974">
      <w:pPr>
        <w:widowControl w:val="0"/>
        <w:tabs>
          <w:tab w:val="right" w:pos="9356"/>
        </w:tabs>
        <w:jc w:val="both"/>
        <w:rPr>
          <w:b/>
        </w:rPr>
      </w:pPr>
    </w:p>
    <w:p w14:paraId="4A6BBA1C" w14:textId="58D3CC7B" w:rsidR="001E2697" w:rsidRPr="00340974" w:rsidRDefault="00340974" w:rsidP="00340974">
      <w:pPr>
        <w:widowControl w:val="0"/>
        <w:tabs>
          <w:tab w:val="right" w:pos="9356"/>
        </w:tabs>
        <w:jc w:val="both"/>
        <w:rPr>
          <w:b/>
        </w:rPr>
      </w:pPr>
      <w:r w:rsidRPr="00340974">
        <w:rPr>
          <w:b/>
        </w:rPr>
        <w:t xml:space="preserve"> </w:t>
      </w:r>
      <w:r w:rsidRPr="00340974">
        <w:rPr>
          <w:b/>
        </w:rPr>
        <w:tab/>
      </w:r>
    </w:p>
    <w:p w14:paraId="6E14BD2F" w14:textId="174801A9" w:rsidR="002951F0" w:rsidRDefault="002951F0" w:rsidP="002951F0">
      <w:pPr>
        <w:spacing w:line="360" w:lineRule="auto"/>
        <w:jc w:val="both"/>
      </w:pPr>
      <w:r w:rsidRPr="00E9240D">
        <w:rPr>
          <w:rFonts w:cs="Arial"/>
          <w:b/>
          <w:bCs/>
          <w:lang w:eastAsia="en-US"/>
        </w:rPr>
        <w:t>Summary:</w:t>
      </w:r>
      <w:r w:rsidRPr="00E9240D">
        <w:rPr>
          <w:rFonts w:cs="Arial"/>
          <w:b/>
          <w:bCs/>
          <w:lang w:eastAsia="en-US"/>
        </w:rPr>
        <w:tab/>
      </w:r>
      <w:r w:rsidRPr="002951F0">
        <w:rPr>
          <w:rFonts w:cs="Arial"/>
          <w:bCs/>
          <w:lang w:eastAsia="en-US"/>
        </w:rPr>
        <w:t>Urgent contempt application</w:t>
      </w:r>
      <w:r>
        <w:rPr>
          <w:rFonts w:cs="Arial"/>
          <w:bCs/>
          <w:lang w:eastAsia="en-US"/>
        </w:rPr>
        <w:t xml:space="preserve"> – enrolled on urgent court roll on two occasions despite a previous </w:t>
      </w:r>
      <w:r w:rsidR="00AA2829">
        <w:rPr>
          <w:rFonts w:cs="Arial"/>
          <w:bCs/>
          <w:lang w:eastAsia="en-US"/>
        </w:rPr>
        <w:t xml:space="preserve">similar </w:t>
      </w:r>
      <w:r>
        <w:rPr>
          <w:rFonts w:cs="Arial"/>
          <w:bCs/>
          <w:lang w:eastAsia="en-US"/>
        </w:rPr>
        <w:t xml:space="preserve">contempt application being struck from the roll for lack of urgency which remains pending – </w:t>
      </w:r>
      <w:r w:rsidR="00AA2829">
        <w:rPr>
          <w:rFonts w:cs="Arial"/>
          <w:bCs/>
          <w:lang w:eastAsia="en-US"/>
        </w:rPr>
        <w:t xml:space="preserve">counter application for rescission of order on which contempt application based also pending - </w:t>
      </w:r>
      <w:r>
        <w:rPr>
          <w:rFonts w:cs="Arial"/>
          <w:bCs/>
          <w:lang w:eastAsia="en-US"/>
        </w:rPr>
        <w:t xml:space="preserve">lack of proper service – </w:t>
      </w:r>
      <w:r w:rsidR="00C461F9">
        <w:rPr>
          <w:rFonts w:cs="Arial"/>
          <w:bCs/>
          <w:lang w:eastAsia="en-US"/>
        </w:rPr>
        <w:t xml:space="preserve">contempt applications - inherent urgency – still requires factual context why particular </w:t>
      </w:r>
      <w:r w:rsidR="00AA2829">
        <w:rPr>
          <w:rFonts w:cs="Arial"/>
          <w:bCs/>
          <w:lang w:eastAsia="en-US"/>
        </w:rPr>
        <w:t xml:space="preserve">contempt </w:t>
      </w:r>
      <w:r w:rsidR="00C461F9">
        <w:rPr>
          <w:rFonts w:cs="Arial"/>
          <w:bCs/>
          <w:lang w:eastAsia="en-US"/>
        </w:rPr>
        <w:t xml:space="preserve">application is </w:t>
      </w:r>
      <w:r w:rsidR="00C461F9">
        <w:rPr>
          <w:rFonts w:cs="Arial"/>
          <w:bCs/>
          <w:lang w:eastAsia="en-US"/>
        </w:rPr>
        <w:lastRenderedPageBreak/>
        <w:t xml:space="preserve">urgent - </w:t>
      </w:r>
      <w:r>
        <w:rPr>
          <w:rFonts w:cs="Arial"/>
          <w:bCs/>
          <w:lang w:eastAsia="en-US"/>
        </w:rPr>
        <w:t xml:space="preserve">abuse of process </w:t>
      </w:r>
      <w:r w:rsidR="00C261D5">
        <w:rPr>
          <w:rFonts w:cs="Arial"/>
          <w:bCs/>
          <w:lang w:eastAsia="en-US"/>
        </w:rPr>
        <w:t xml:space="preserve">of urgent court </w:t>
      </w:r>
      <w:r>
        <w:rPr>
          <w:rFonts w:cs="Arial"/>
          <w:bCs/>
          <w:lang w:eastAsia="en-US"/>
        </w:rPr>
        <w:t xml:space="preserve">- </w:t>
      </w:r>
      <w:r w:rsidRPr="00AA2829">
        <w:rPr>
          <w:rFonts w:cs="Arial"/>
          <w:bCs/>
          <w:i/>
          <w:lang w:eastAsia="en-US"/>
        </w:rPr>
        <w:t>de bonis propriis</w:t>
      </w:r>
      <w:r>
        <w:rPr>
          <w:rFonts w:cs="Arial"/>
          <w:bCs/>
          <w:lang w:eastAsia="en-US"/>
        </w:rPr>
        <w:t xml:space="preserve"> costs order granted against applicant’s attorney of record</w:t>
      </w:r>
      <w:r w:rsidR="00CC753E">
        <w:rPr>
          <w:rFonts w:cs="Arial"/>
          <w:bCs/>
          <w:lang w:eastAsia="en-US"/>
        </w:rPr>
        <w:t xml:space="preserve"> – </w:t>
      </w:r>
      <w:r w:rsidR="0019010A">
        <w:rPr>
          <w:rFonts w:cs="Arial"/>
          <w:bCs/>
          <w:lang w:eastAsia="en-US"/>
        </w:rPr>
        <w:t xml:space="preserve">attorney and client scale - </w:t>
      </w:r>
      <w:r w:rsidR="00CC753E">
        <w:rPr>
          <w:rFonts w:cs="Arial"/>
          <w:bCs/>
          <w:lang w:eastAsia="en-US"/>
        </w:rPr>
        <w:t>disentitled to charge applicant fees</w:t>
      </w:r>
    </w:p>
    <w:p w14:paraId="2CAAAE82" w14:textId="77777777" w:rsidR="002951F0" w:rsidRDefault="002951F0" w:rsidP="002951F0">
      <w:pPr>
        <w:spacing w:after="240" w:line="360" w:lineRule="auto"/>
        <w:jc w:val="both"/>
      </w:pPr>
    </w:p>
    <w:p w14:paraId="2AF58393" w14:textId="77777777" w:rsidR="002951F0" w:rsidRDefault="002951F0" w:rsidP="002951F0">
      <w:pPr>
        <w:pStyle w:val="LegalTramLines"/>
        <w:keepNext/>
        <w:spacing w:after="360"/>
      </w:pPr>
      <w:r>
        <w:t>ORDER</w:t>
      </w:r>
    </w:p>
    <w:p w14:paraId="59AC3A19" w14:textId="77777777" w:rsidR="002951F0" w:rsidRPr="00F0105C" w:rsidRDefault="002951F0" w:rsidP="0014248C">
      <w:pPr>
        <w:spacing w:line="480" w:lineRule="auto"/>
        <w:jc w:val="both"/>
        <w:rPr>
          <w:rFonts w:cs="Arial"/>
        </w:rPr>
      </w:pPr>
      <w:r w:rsidRPr="00F0105C">
        <w:rPr>
          <w:rFonts w:cs="Arial"/>
        </w:rPr>
        <w:t>[1]</w:t>
      </w:r>
      <w:r w:rsidRPr="00F0105C">
        <w:rPr>
          <w:rFonts w:cs="Arial"/>
        </w:rPr>
        <w:tab/>
        <w:t>The applicant’s urgent contempt application dated 20 July 2023 is dismissed.</w:t>
      </w:r>
    </w:p>
    <w:p w14:paraId="3F3DC73F" w14:textId="16D7FA14" w:rsidR="002951F0" w:rsidRDefault="002951F0" w:rsidP="0014248C">
      <w:pPr>
        <w:spacing w:line="480" w:lineRule="auto"/>
        <w:ind w:left="720" w:hanging="720"/>
        <w:jc w:val="both"/>
        <w:rPr>
          <w:rFonts w:cs="Arial"/>
        </w:rPr>
      </w:pPr>
      <w:r w:rsidRPr="00F0105C">
        <w:rPr>
          <w:rFonts w:cs="Arial"/>
        </w:rPr>
        <w:t>[2]</w:t>
      </w:r>
      <w:r w:rsidRPr="00F0105C">
        <w:rPr>
          <w:rFonts w:cs="Arial"/>
        </w:rPr>
        <w:tab/>
        <w:t xml:space="preserve"> The costs of the application in [1] above, including the </w:t>
      </w:r>
      <w:r w:rsidR="00740A6F">
        <w:rPr>
          <w:rFonts w:cs="Arial"/>
        </w:rPr>
        <w:t>reserved</w:t>
      </w:r>
      <w:r w:rsidRPr="00F0105C">
        <w:rPr>
          <w:rFonts w:cs="Arial"/>
        </w:rPr>
        <w:t xml:space="preserve"> </w:t>
      </w:r>
      <w:r w:rsidR="00090D7A">
        <w:rPr>
          <w:rFonts w:cs="Arial"/>
        </w:rPr>
        <w:t xml:space="preserve">costs </w:t>
      </w:r>
      <w:r w:rsidR="00CC753E">
        <w:rPr>
          <w:rFonts w:cs="Arial"/>
        </w:rPr>
        <w:t>in the urgent court</w:t>
      </w:r>
      <w:r w:rsidR="00090D7A">
        <w:rPr>
          <w:rFonts w:cs="Arial"/>
        </w:rPr>
        <w:t xml:space="preserve"> </w:t>
      </w:r>
      <w:r w:rsidRPr="00F0105C">
        <w:rPr>
          <w:rFonts w:cs="Arial"/>
        </w:rPr>
        <w:t>on 1 August 2023 are to be borne by</w:t>
      </w:r>
      <w:r>
        <w:rPr>
          <w:rFonts w:cs="Arial"/>
        </w:rPr>
        <w:t xml:space="preserve"> </w:t>
      </w:r>
      <w:r w:rsidRPr="00F0105C">
        <w:rPr>
          <w:rFonts w:cs="Arial"/>
        </w:rPr>
        <w:t>the applicant’s attorney of record</w:t>
      </w:r>
      <w:r>
        <w:rPr>
          <w:rFonts w:cs="Arial"/>
        </w:rPr>
        <w:t>,</w:t>
      </w:r>
      <w:r w:rsidRPr="00F0105C">
        <w:rPr>
          <w:rFonts w:cs="Arial"/>
        </w:rPr>
        <w:t xml:space="preserve"> </w:t>
      </w:r>
      <w:r w:rsidR="00A21211">
        <w:rPr>
          <w:rFonts w:cs="Arial"/>
        </w:rPr>
        <w:t xml:space="preserve">Mr Vincent Seloane, </w:t>
      </w:r>
      <w:r w:rsidRPr="00F0105C">
        <w:rPr>
          <w:rFonts w:cs="Arial"/>
          <w:i/>
        </w:rPr>
        <w:t>de bonis propriis</w:t>
      </w:r>
      <w:r w:rsidR="00AA2829">
        <w:rPr>
          <w:rFonts w:cs="Arial"/>
          <w:i/>
        </w:rPr>
        <w:t xml:space="preserve">, </w:t>
      </w:r>
      <w:r w:rsidR="00AA2829">
        <w:rPr>
          <w:rFonts w:cs="Arial"/>
        </w:rPr>
        <w:t>on the scale as between attorney and client</w:t>
      </w:r>
      <w:r w:rsidRPr="00F0105C">
        <w:rPr>
          <w:rFonts w:cs="Arial"/>
        </w:rPr>
        <w:t>.</w:t>
      </w:r>
    </w:p>
    <w:p w14:paraId="40118085" w14:textId="335C355B" w:rsidR="002951F0" w:rsidRDefault="00A21211" w:rsidP="0014248C">
      <w:pPr>
        <w:spacing w:line="480" w:lineRule="auto"/>
        <w:ind w:left="720" w:hanging="650"/>
        <w:jc w:val="both"/>
        <w:rPr>
          <w:rFonts w:cs="Arial"/>
        </w:rPr>
      </w:pPr>
      <w:r>
        <w:rPr>
          <w:rFonts w:cs="Arial"/>
        </w:rPr>
        <w:t>[3]</w:t>
      </w:r>
      <w:r>
        <w:rPr>
          <w:rFonts w:cs="Arial"/>
        </w:rPr>
        <w:tab/>
        <w:t>The applicant’s attorney of record</w:t>
      </w:r>
      <w:r w:rsidR="00CC753E">
        <w:rPr>
          <w:rFonts w:cs="Arial"/>
        </w:rPr>
        <w:t>, Mr Seloane</w:t>
      </w:r>
      <w:r w:rsidR="00740A6F">
        <w:rPr>
          <w:rFonts w:cs="Arial"/>
        </w:rPr>
        <w:t>,</w:t>
      </w:r>
      <w:r>
        <w:rPr>
          <w:rFonts w:cs="Arial"/>
        </w:rPr>
        <w:t xml:space="preserve"> is directed not to present a bill, no</w:t>
      </w:r>
      <w:r w:rsidR="00C261D5">
        <w:rPr>
          <w:rFonts w:cs="Arial"/>
        </w:rPr>
        <w:t>r</w:t>
      </w:r>
      <w:r>
        <w:rPr>
          <w:rFonts w:cs="Arial"/>
        </w:rPr>
        <w:t xml:space="preserve"> to recover any fees or disbursements from the applicant in respect of any work performed in respect of the contempt application dated 20 July 2023;</w:t>
      </w:r>
    </w:p>
    <w:p w14:paraId="30E002A7" w14:textId="52B9BE62" w:rsidR="002951F0" w:rsidRDefault="002951F0" w:rsidP="0014248C">
      <w:pPr>
        <w:spacing w:line="480" w:lineRule="auto"/>
        <w:ind w:left="720" w:hanging="720"/>
        <w:jc w:val="both"/>
        <w:rPr>
          <w:rFonts w:cs="Arial"/>
        </w:rPr>
      </w:pPr>
      <w:r>
        <w:rPr>
          <w:rFonts w:cs="Arial"/>
        </w:rPr>
        <w:t>[4]</w:t>
      </w:r>
      <w:r>
        <w:rPr>
          <w:rFonts w:cs="Arial"/>
        </w:rPr>
        <w:tab/>
        <w:t xml:space="preserve">A copy of this judgment and order is to be served </w:t>
      </w:r>
      <w:r w:rsidR="00A21211">
        <w:rPr>
          <w:rFonts w:cs="Arial"/>
        </w:rPr>
        <w:t xml:space="preserve">by the applicant’s attorney of record </w:t>
      </w:r>
      <w:r>
        <w:rPr>
          <w:rFonts w:cs="Arial"/>
        </w:rPr>
        <w:t>on the applicant forthwith.</w:t>
      </w: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2052A283" w:rsidR="001E2697" w:rsidRPr="000F64D9" w:rsidRDefault="001E2697" w:rsidP="001E2697">
      <w:pPr>
        <w:pStyle w:val="Tramlines"/>
        <w:rPr>
          <w:rFonts w:cs="Arial"/>
          <w:lang w:val="en-US"/>
        </w:rPr>
      </w:pPr>
      <w:r>
        <w:rPr>
          <w:rFonts w:cs="Arial"/>
          <w:lang w:val="en-US"/>
        </w:rPr>
        <w:t>JUDG</w:t>
      </w:r>
      <w:r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2268A234" w14:textId="77777777" w:rsidR="00C261D5" w:rsidRDefault="00C261D5" w:rsidP="001E2697">
      <w:pPr>
        <w:ind w:left="1440" w:hanging="1440"/>
        <w:jc w:val="both"/>
        <w:rPr>
          <w:rFonts w:cs="Arial"/>
          <w:b/>
        </w:rPr>
      </w:pPr>
    </w:p>
    <w:p w14:paraId="19EA82BB" w14:textId="320E3A14" w:rsidR="001E2697" w:rsidRPr="003E152F" w:rsidRDefault="001E2697" w:rsidP="001E2697">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This judgment was handed down electronically by circulation to the parties’ legal representatives by e-mail</w:t>
      </w:r>
      <w:r w:rsidR="00D130FD">
        <w:rPr>
          <w:rFonts w:cs="Arial"/>
        </w:rPr>
        <w:t>, and being uploaded to the CaseLines digital system of the GLD</w:t>
      </w:r>
      <w:r w:rsidRPr="003E152F">
        <w:rPr>
          <w:rFonts w:cs="Arial"/>
        </w:rPr>
        <w:t xml:space="preserve">. The date and time for hand-down is deemed to be 10h00 on the </w:t>
      </w:r>
      <w:r w:rsidR="0019010A">
        <w:rPr>
          <w:rFonts w:cs="Arial"/>
        </w:rPr>
        <w:t>06th</w:t>
      </w:r>
      <w:r w:rsidR="00383D1C">
        <w:rPr>
          <w:rFonts w:cs="Arial"/>
        </w:rPr>
        <w:t xml:space="preserve"> </w:t>
      </w:r>
      <w:r w:rsidRPr="003E152F">
        <w:rPr>
          <w:rFonts w:cs="Arial"/>
        </w:rPr>
        <w:t xml:space="preserve">of </w:t>
      </w:r>
      <w:r w:rsidR="00525B8B">
        <w:rPr>
          <w:rFonts w:cs="Arial"/>
        </w:rPr>
        <w:t>SEPTEMBER</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210BEE89" w14:textId="1DF82FCB" w:rsidR="0039420D" w:rsidRDefault="001E2697" w:rsidP="00C261D5">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r w:rsidR="00C261D5">
        <w:rPr>
          <w:rFonts w:cs="Arial"/>
          <w:b/>
          <w:bCs/>
          <w:spacing w:val="-3"/>
        </w:rPr>
        <w:t xml:space="preserve"> </w:t>
      </w:r>
    </w:p>
    <w:p w14:paraId="554E48A0" w14:textId="77777777" w:rsidR="00C261D5" w:rsidRDefault="00C261D5" w:rsidP="00C261D5">
      <w:pPr>
        <w:tabs>
          <w:tab w:val="left" w:pos="-720"/>
        </w:tabs>
        <w:suppressAutoHyphens/>
        <w:spacing w:line="360" w:lineRule="auto"/>
        <w:jc w:val="both"/>
        <w:rPr>
          <w:lang w:val="en-US"/>
        </w:rPr>
      </w:pPr>
    </w:p>
    <w:p w14:paraId="12CD5831" w14:textId="404B597B" w:rsidR="00C461F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ind w:hanging="11"/>
        <w:textAlignment w:val="baseline"/>
        <w:rPr>
          <w:rFonts w:cs="Arial"/>
          <w:lang w:val="en-ZA"/>
        </w:rPr>
      </w:pPr>
      <w:r>
        <w:rPr>
          <w:rFonts w:cs="Arial"/>
          <w:lang w:val="en-ZA"/>
        </w:rPr>
        <w:lastRenderedPageBreak/>
        <w:t>[1]</w:t>
      </w:r>
      <w:r>
        <w:rPr>
          <w:rFonts w:cs="Arial"/>
          <w:lang w:val="en-ZA"/>
        </w:rPr>
        <w:tab/>
      </w:r>
      <w:r w:rsidR="00B47C39">
        <w:rPr>
          <w:rFonts w:cs="Arial"/>
          <w:lang w:val="en-ZA"/>
        </w:rPr>
        <w:t>The pernicious effect</w:t>
      </w:r>
      <w:r w:rsidR="00C461F9">
        <w:rPr>
          <w:rFonts w:cs="Arial"/>
          <w:lang w:val="en-ZA"/>
        </w:rPr>
        <w:t xml:space="preserve"> of legal practitioners simply disregarding the rules of court is that the very </w:t>
      </w:r>
      <w:r w:rsidR="002577D9">
        <w:rPr>
          <w:rFonts w:cs="Arial"/>
          <w:lang w:val="en-ZA"/>
        </w:rPr>
        <w:t>fabric of the R</w:t>
      </w:r>
      <w:r w:rsidR="00C461F9">
        <w:rPr>
          <w:rFonts w:cs="Arial"/>
          <w:lang w:val="en-ZA"/>
        </w:rPr>
        <w:t xml:space="preserve">ule of </w:t>
      </w:r>
      <w:r w:rsidR="002577D9">
        <w:rPr>
          <w:rFonts w:cs="Arial"/>
          <w:lang w:val="en-ZA"/>
        </w:rPr>
        <w:t>L</w:t>
      </w:r>
      <w:r w:rsidR="00C461F9">
        <w:rPr>
          <w:rFonts w:cs="Arial"/>
          <w:lang w:val="en-ZA"/>
        </w:rPr>
        <w:t>aw is being eroded.</w:t>
      </w:r>
    </w:p>
    <w:p w14:paraId="237A7F08" w14:textId="77777777" w:rsidR="00D130FD" w:rsidRDefault="00D130FD" w:rsidP="00D130FD">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ind w:left="360"/>
        <w:textAlignment w:val="baseline"/>
        <w:rPr>
          <w:rFonts w:cs="Arial"/>
          <w:lang w:val="en-ZA"/>
        </w:rPr>
      </w:pPr>
    </w:p>
    <w:p w14:paraId="5155EB2B" w14:textId="1D181787" w:rsidR="00C461F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ind w:hanging="11"/>
        <w:textAlignment w:val="baseline"/>
        <w:rPr>
          <w:rFonts w:cs="Arial"/>
          <w:lang w:val="en-ZA"/>
        </w:rPr>
      </w:pPr>
      <w:r>
        <w:rPr>
          <w:rFonts w:cs="Arial"/>
          <w:lang w:val="en-ZA"/>
        </w:rPr>
        <w:t>[2]</w:t>
      </w:r>
      <w:r>
        <w:rPr>
          <w:rFonts w:cs="Arial"/>
          <w:lang w:val="en-ZA"/>
        </w:rPr>
        <w:tab/>
      </w:r>
      <w:r w:rsidR="00C461F9">
        <w:rPr>
          <w:rFonts w:cs="Arial"/>
          <w:lang w:val="en-ZA"/>
        </w:rPr>
        <w:t xml:space="preserve">There appears to be an alarming trend that legal practitioners through apparent hubris or feigned ignorance directly ignore or flaunt their indifference </w:t>
      </w:r>
      <w:r w:rsidR="002577D9">
        <w:rPr>
          <w:rFonts w:cs="Arial"/>
          <w:lang w:val="en-ZA"/>
        </w:rPr>
        <w:t>t</w:t>
      </w:r>
      <w:r w:rsidR="00C461F9">
        <w:rPr>
          <w:rFonts w:cs="Arial"/>
          <w:lang w:val="en-ZA"/>
        </w:rPr>
        <w:t>o</w:t>
      </w:r>
      <w:r w:rsidR="002577D9">
        <w:rPr>
          <w:rFonts w:cs="Arial"/>
          <w:lang w:val="en-ZA"/>
        </w:rPr>
        <w:t>wards</w:t>
      </w:r>
      <w:r w:rsidR="00011A7C">
        <w:rPr>
          <w:rFonts w:cs="Arial"/>
          <w:lang w:val="en-ZA"/>
        </w:rPr>
        <w:t xml:space="preserve"> the rules of C</w:t>
      </w:r>
      <w:r w:rsidR="00C461F9">
        <w:rPr>
          <w:rFonts w:cs="Arial"/>
          <w:lang w:val="en-ZA"/>
        </w:rPr>
        <w:t xml:space="preserve">ourt and worse yet, </w:t>
      </w:r>
      <w:r w:rsidR="002577D9">
        <w:rPr>
          <w:rFonts w:cs="Arial"/>
          <w:lang w:val="en-ZA"/>
        </w:rPr>
        <w:t xml:space="preserve">merely </w:t>
      </w:r>
      <w:r w:rsidR="00011A7C">
        <w:rPr>
          <w:rFonts w:cs="Arial"/>
          <w:lang w:val="en-ZA"/>
        </w:rPr>
        <w:t>do not comply with C</w:t>
      </w:r>
      <w:r w:rsidR="00C461F9">
        <w:rPr>
          <w:rFonts w:cs="Arial"/>
          <w:lang w:val="en-ZA"/>
        </w:rPr>
        <w:t>ourt orders.</w:t>
      </w:r>
    </w:p>
    <w:p w14:paraId="610FC9BA" w14:textId="77777777" w:rsidR="00C461F9" w:rsidRDefault="00C461F9" w:rsidP="00C461F9">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ind w:left="360"/>
        <w:textAlignment w:val="baseline"/>
        <w:rPr>
          <w:rFonts w:cs="Arial"/>
          <w:lang w:val="en-ZA"/>
        </w:rPr>
      </w:pPr>
    </w:p>
    <w:p w14:paraId="073983DE" w14:textId="57922812" w:rsidR="00C461F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ind w:hanging="11"/>
        <w:textAlignment w:val="baseline"/>
        <w:rPr>
          <w:rFonts w:cs="Arial"/>
          <w:lang w:val="en-ZA"/>
        </w:rPr>
      </w:pPr>
      <w:r>
        <w:rPr>
          <w:rFonts w:cs="Arial"/>
          <w:lang w:val="en-ZA"/>
        </w:rPr>
        <w:t>[3]</w:t>
      </w:r>
      <w:r>
        <w:rPr>
          <w:rFonts w:cs="Arial"/>
          <w:lang w:val="en-ZA"/>
        </w:rPr>
        <w:tab/>
      </w:r>
      <w:r w:rsidR="00C461F9">
        <w:rPr>
          <w:rFonts w:cs="Arial"/>
          <w:lang w:val="en-ZA"/>
        </w:rPr>
        <w:t>As Yeats</w:t>
      </w:r>
      <w:r w:rsidR="00C461F9">
        <w:rPr>
          <w:rStyle w:val="FootnoteReference"/>
          <w:rFonts w:cs="Arial"/>
          <w:lang w:val="en-ZA"/>
        </w:rPr>
        <w:footnoteReference w:id="1"/>
      </w:r>
      <w:r w:rsidR="00C461F9">
        <w:rPr>
          <w:rFonts w:cs="Arial"/>
          <w:lang w:val="en-ZA"/>
        </w:rPr>
        <w:t xml:space="preserve"> once wrote:</w:t>
      </w:r>
    </w:p>
    <w:p w14:paraId="1DC2919B" w14:textId="77777777" w:rsidR="00C461F9" w:rsidRPr="00AF7A1E" w:rsidRDefault="00C461F9" w:rsidP="00AF7A1E">
      <w:pPr>
        <w:rPr>
          <w:rFonts w:cs="Arial"/>
        </w:rPr>
      </w:pPr>
    </w:p>
    <w:p w14:paraId="352C6A63" w14:textId="6C38C35C" w:rsidR="00525B8B" w:rsidRPr="00F60B1E" w:rsidRDefault="00C461F9" w:rsidP="00B173A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360" w:lineRule="auto"/>
        <w:ind w:left="360"/>
        <w:textAlignment w:val="baseline"/>
        <w:rPr>
          <w:rFonts w:cs="Arial"/>
          <w:i/>
          <w:sz w:val="20"/>
          <w:szCs w:val="20"/>
          <w:lang w:val="en-ZA"/>
        </w:rPr>
      </w:pPr>
      <w:r w:rsidRPr="00F60B1E">
        <w:rPr>
          <w:rFonts w:cs="Arial"/>
          <w:i/>
          <w:sz w:val="20"/>
          <w:szCs w:val="20"/>
          <w:lang w:val="en-ZA"/>
        </w:rPr>
        <w:t xml:space="preserve">“ </w:t>
      </w:r>
      <w:r w:rsidR="00B173AA" w:rsidRPr="00F60B1E">
        <w:rPr>
          <w:rFonts w:cs="Arial"/>
          <w:i/>
          <w:sz w:val="20"/>
          <w:szCs w:val="20"/>
          <w:lang w:val="en-ZA"/>
        </w:rPr>
        <w:t>T</w:t>
      </w:r>
      <w:r w:rsidRPr="00F60B1E">
        <w:rPr>
          <w:rFonts w:cs="Arial"/>
          <w:i/>
          <w:sz w:val="20"/>
          <w:szCs w:val="20"/>
          <w:lang w:val="en-ZA"/>
        </w:rPr>
        <w:t xml:space="preserve">he falcon cannot hear the falconer; </w:t>
      </w:r>
    </w:p>
    <w:p w14:paraId="383A5862" w14:textId="77777777" w:rsidR="00525B8B" w:rsidRPr="00F60B1E" w:rsidRDefault="00C461F9" w:rsidP="00B173A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360" w:lineRule="auto"/>
        <w:ind w:left="360"/>
        <w:textAlignment w:val="baseline"/>
        <w:rPr>
          <w:rFonts w:cs="Arial"/>
          <w:i/>
          <w:sz w:val="20"/>
          <w:szCs w:val="20"/>
          <w:lang w:val="en-ZA"/>
        </w:rPr>
      </w:pPr>
      <w:r w:rsidRPr="00F60B1E">
        <w:rPr>
          <w:rFonts w:cs="Arial"/>
          <w:i/>
          <w:sz w:val="20"/>
          <w:szCs w:val="20"/>
          <w:lang w:val="en-ZA"/>
        </w:rPr>
        <w:t xml:space="preserve">Things </w:t>
      </w:r>
      <w:r w:rsidR="00525B8B" w:rsidRPr="00F60B1E">
        <w:rPr>
          <w:rFonts w:cs="Arial"/>
          <w:i/>
          <w:sz w:val="20"/>
          <w:szCs w:val="20"/>
          <w:lang w:val="en-ZA"/>
        </w:rPr>
        <w:t>f</w:t>
      </w:r>
      <w:r w:rsidRPr="00F60B1E">
        <w:rPr>
          <w:rFonts w:cs="Arial"/>
          <w:i/>
          <w:sz w:val="20"/>
          <w:szCs w:val="20"/>
          <w:lang w:val="en-ZA"/>
        </w:rPr>
        <w:t xml:space="preserve">all </w:t>
      </w:r>
      <w:r w:rsidR="00525B8B" w:rsidRPr="00F60B1E">
        <w:rPr>
          <w:rFonts w:cs="Arial"/>
          <w:i/>
          <w:sz w:val="20"/>
          <w:szCs w:val="20"/>
          <w:lang w:val="en-ZA"/>
        </w:rPr>
        <w:t>a</w:t>
      </w:r>
      <w:r w:rsidRPr="00F60B1E">
        <w:rPr>
          <w:rFonts w:cs="Arial"/>
          <w:i/>
          <w:sz w:val="20"/>
          <w:szCs w:val="20"/>
          <w:lang w:val="en-ZA"/>
        </w:rPr>
        <w:t xml:space="preserve">part; the centre cannot hold; </w:t>
      </w:r>
    </w:p>
    <w:p w14:paraId="0C2DD65F" w14:textId="77777777" w:rsidR="00525B8B" w:rsidRPr="00F60B1E" w:rsidRDefault="00525B8B" w:rsidP="00B173A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360" w:lineRule="auto"/>
        <w:ind w:left="360"/>
        <w:textAlignment w:val="baseline"/>
        <w:rPr>
          <w:rFonts w:cs="Arial"/>
          <w:i/>
          <w:sz w:val="20"/>
          <w:szCs w:val="20"/>
          <w:lang w:val="en-ZA"/>
        </w:rPr>
      </w:pPr>
      <w:r w:rsidRPr="00F60B1E">
        <w:rPr>
          <w:rFonts w:cs="Arial"/>
          <w:i/>
          <w:sz w:val="20"/>
          <w:szCs w:val="20"/>
          <w:lang w:val="en-ZA"/>
        </w:rPr>
        <w:t>M</w:t>
      </w:r>
      <w:r w:rsidR="00C461F9" w:rsidRPr="00F60B1E">
        <w:rPr>
          <w:rFonts w:cs="Arial"/>
          <w:i/>
          <w:sz w:val="20"/>
          <w:szCs w:val="20"/>
          <w:lang w:val="en-ZA"/>
        </w:rPr>
        <w:t xml:space="preserve">ere anarchy is loosed upon the world, </w:t>
      </w:r>
    </w:p>
    <w:p w14:paraId="09BFD7A8" w14:textId="77777777" w:rsidR="009875DB" w:rsidRPr="00F60B1E" w:rsidRDefault="00525B8B" w:rsidP="00B173A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360" w:lineRule="auto"/>
        <w:ind w:left="360"/>
        <w:textAlignment w:val="baseline"/>
        <w:rPr>
          <w:rFonts w:cs="Arial"/>
          <w:i/>
          <w:sz w:val="20"/>
          <w:szCs w:val="20"/>
          <w:lang w:val="en-ZA"/>
        </w:rPr>
      </w:pPr>
      <w:r w:rsidRPr="00F60B1E">
        <w:rPr>
          <w:rFonts w:cs="Arial"/>
          <w:i/>
          <w:sz w:val="20"/>
          <w:szCs w:val="20"/>
          <w:lang w:val="en-ZA"/>
        </w:rPr>
        <w:t>…</w:t>
      </w:r>
    </w:p>
    <w:p w14:paraId="7C522A53" w14:textId="77777777" w:rsidR="009875DB" w:rsidRPr="00F60B1E" w:rsidRDefault="00C461F9" w:rsidP="00B173A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360" w:lineRule="auto"/>
        <w:ind w:left="360"/>
        <w:textAlignment w:val="baseline"/>
        <w:rPr>
          <w:rFonts w:cs="Arial"/>
          <w:i/>
          <w:sz w:val="20"/>
          <w:szCs w:val="20"/>
          <w:lang w:val="en-ZA"/>
        </w:rPr>
      </w:pPr>
      <w:r w:rsidRPr="00F60B1E">
        <w:rPr>
          <w:rFonts w:cs="Arial"/>
          <w:i/>
          <w:sz w:val="20"/>
          <w:szCs w:val="20"/>
          <w:lang w:val="en-ZA"/>
        </w:rPr>
        <w:t xml:space="preserve">The best all lack </w:t>
      </w:r>
      <w:r w:rsidR="009875DB" w:rsidRPr="00F60B1E">
        <w:rPr>
          <w:rFonts w:cs="Arial"/>
          <w:i/>
          <w:sz w:val="20"/>
          <w:szCs w:val="20"/>
          <w:lang w:val="en-ZA"/>
        </w:rPr>
        <w:t xml:space="preserve">all </w:t>
      </w:r>
      <w:r w:rsidRPr="00F60B1E">
        <w:rPr>
          <w:rFonts w:cs="Arial"/>
          <w:i/>
          <w:sz w:val="20"/>
          <w:szCs w:val="20"/>
          <w:lang w:val="en-ZA"/>
        </w:rPr>
        <w:t xml:space="preserve">conviction, while the worst </w:t>
      </w:r>
    </w:p>
    <w:p w14:paraId="3FA856B1" w14:textId="7E3C65BB" w:rsidR="00C461F9" w:rsidRPr="00F60B1E" w:rsidRDefault="009875DB" w:rsidP="00B173A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360" w:lineRule="auto"/>
        <w:ind w:left="360"/>
        <w:textAlignment w:val="baseline"/>
        <w:rPr>
          <w:rFonts w:cs="Arial"/>
          <w:i/>
          <w:sz w:val="20"/>
          <w:szCs w:val="20"/>
          <w:lang w:val="en-ZA"/>
        </w:rPr>
      </w:pPr>
      <w:r w:rsidRPr="00F60B1E">
        <w:rPr>
          <w:rFonts w:cs="Arial"/>
          <w:i/>
          <w:sz w:val="20"/>
          <w:szCs w:val="20"/>
          <w:lang w:val="en-ZA"/>
        </w:rPr>
        <w:t>Are</w:t>
      </w:r>
      <w:r w:rsidR="00C461F9" w:rsidRPr="00F60B1E">
        <w:rPr>
          <w:rFonts w:cs="Arial"/>
          <w:i/>
          <w:sz w:val="20"/>
          <w:szCs w:val="20"/>
          <w:lang w:val="en-ZA"/>
        </w:rPr>
        <w:t xml:space="preserve"> full of passionate intensity</w:t>
      </w:r>
      <w:r w:rsidR="00F60B1E">
        <w:rPr>
          <w:rFonts w:cs="Arial"/>
          <w:i/>
          <w:sz w:val="20"/>
          <w:szCs w:val="20"/>
          <w:lang w:val="en-ZA"/>
        </w:rPr>
        <w:t>…</w:t>
      </w:r>
      <w:r w:rsidR="00C461F9" w:rsidRPr="00F60B1E">
        <w:rPr>
          <w:rFonts w:cs="Arial"/>
          <w:i/>
          <w:sz w:val="20"/>
          <w:szCs w:val="20"/>
          <w:lang w:val="en-ZA"/>
        </w:rPr>
        <w:t>”</w:t>
      </w:r>
    </w:p>
    <w:p w14:paraId="07DBFA6D" w14:textId="77777777" w:rsidR="00C461F9" w:rsidRDefault="00C461F9" w:rsidP="00C461F9">
      <w:pPr>
        <w:pStyle w:val="ListParagraph"/>
        <w:rPr>
          <w:rFonts w:cs="Arial"/>
        </w:rPr>
      </w:pPr>
    </w:p>
    <w:p w14:paraId="3D8E689F" w14:textId="20B4EA6D" w:rsidR="00C91ADD" w:rsidRPr="00BB0574"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ind w:hanging="11"/>
        <w:textAlignment w:val="baseline"/>
        <w:rPr>
          <w:rFonts w:cs="Arial"/>
          <w:lang w:val="en-ZA"/>
        </w:rPr>
      </w:pPr>
      <w:r w:rsidRPr="00BB0574">
        <w:rPr>
          <w:rFonts w:cs="Arial"/>
          <w:lang w:val="en-ZA"/>
        </w:rPr>
        <w:t>[4]</w:t>
      </w:r>
      <w:r w:rsidRPr="00BB0574">
        <w:rPr>
          <w:rFonts w:cs="Arial"/>
          <w:lang w:val="en-ZA"/>
        </w:rPr>
        <w:tab/>
      </w:r>
      <w:r w:rsidR="00C91ADD" w:rsidRPr="00BB0574">
        <w:rPr>
          <w:rFonts w:cs="Arial"/>
        </w:rPr>
        <w:t>The</w:t>
      </w:r>
      <w:r w:rsidR="00C91ADD" w:rsidRPr="00BB0574">
        <w:rPr>
          <w:rFonts w:cs="Arial"/>
          <w:lang w:val="en-ZA"/>
        </w:rPr>
        <w:t xml:space="preserve"> Constitution affirms </w:t>
      </w:r>
      <w:r w:rsidR="005776D8">
        <w:rPr>
          <w:rFonts w:cs="Arial"/>
          <w:lang w:val="en-ZA"/>
        </w:rPr>
        <w:t>i</w:t>
      </w:r>
      <w:r w:rsidR="00C91ADD" w:rsidRPr="00BB0574">
        <w:rPr>
          <w:rFonts w:cs="Arial"/>
          <w:lang w:val="en-ZA"/>
        </w:rPr>
        <w:t>t</w:t>
      </w:r>
      <w:r w:rsidR="005776D8">
        <w:rPr>
          <w:rFonts w:cs="Arial"/>
          <w:lang w:val="en-ZA"/>
        </w:rPr>
        <w:t>s</w:t>
      </w:r>
      <w:r w:rsidR="00C91ADD" w:rsidRPr="00BB0574">
        <w:rPr>
          <w:rFonts w:cs="Arial"/>
          <w:lang w:val="en-ZA"/>
        </w:rPr>
        <w:t xml:space="preserve"> supremacy</w:t>
      </w:r>
      <w:r w:rsidR="00C91ADD" w:rsidRPr="00BB0574">
        <w:rPr>
          <w:rFonts w:cs="Arial"/>
          <w:vertAlign w:val="superscript"/>
          <w:lang w:val="en-ZA"/>
        </w:rPr>
        <w:footnoteReference w:id="2"/>
      </w:r>
      <w:r w:rsidR="00C91ADD" w:rsidRPr="00BB0574">
        <w:rPr>
          <w:rFonts w:cs="Arial"/>
          <w:lang w:val="en-ZA"/>
        </w:rPr>
        <w:t xml:space="preserve"> and the judicial authority of </w:t>
      </w:r>
      <w:r w:rsidR="00B17373">
        <w:rPr>
          <w:rFonts w:cs="Arial"/>
          <w:lang w:val="en-ZA"/>
        </w:rPr>
        <w:t>our</w:t>
      </w:r>
      <w:r w:rsidR="00011A7C">
        <w:rPr>
          <w:rFonts w:cs="Arial"/>
          <w:lang w:val="en-ZA"/>
        </w:rPr>
        <w:t xml:space="preserve"> C</w:t>
      </w:r>
      <w:r w:rsidR="00C91ADD" w:rsidRPr="00BB0574">
        <w:rPr>
          <w:rFonts w:cs="Arial"/>
          <w:lang w:val="en-ZA"/>
        </w:rPr>
        <w:t>ourts.</w:t>
      </w:r>
      <w:r w:rsidR="00C91ADD" w:rsidRPr="00BB0574">
        <w:rPr>
          <w:rFonts w:cs="Arial"/>
          <w:vertAlign w:val="superscript"/>
          <w:lang w:val="en-ZA"/>
        </w:rPr>
        <w:footnoteReference w:id="3"/>
      </w:r>
      <w:r w:rsidR="00C91ADD" w:rsidRPr="00BB0574">
        <w:rPr>
          <w:rFonts w:cs="Arial"/>
          <w:lang w:val="en-ZA"/>
        </w:rPr>
        <w:t xml:space="preserve">  To maintain these attributes of our constitutional order, judicial decisions must be implemented</w:t>
      </w:r>
      <w:r w:rsidR="00740A6F">
        <w:rPr>
          <w:rFonts w:cs="Arial"/>
          <w:lang w:val="en-ZA"/>
        </w:rPr>
        <w:t xml:space="preserve"> and j</w:t>
      </w:r>
      <w:r w:rsidR="00C91ADD" w:rsidRPr="00BB0574">
        <w:rPr>
          <w:rFonts w:cs="Arial"/>
          <w:lang w:val="en-ZA"/>
        </w:rPr>
        <w:t>udicial authority should not be impugned</w:t>
      </w:r>
      <w:r w:rsidR="00740A6F">
        <w:rPr>
          <w:rFonts w:cs="Arial"/>
          <w:lang w:val="en-ZA"/>
        </w:rPr>
        <w:t>. C</w:t>
      </w:r>
      <w:r w:rsidR="00C91ADD" w:rsidRPr="00BB0574">
        <w:rPr>
          <w:rFonts w:cs="Arial"/>
          <w:lang w:val="en-ZA"/>
        </w:rPr>
        <w:t xml:space="preserve">ourts </w:t>
      </w:r>
      <w:r w:rsidR="00740A6F">
        <w:rPr>
          <w:rFonts w:cs="Arial"/>
          <w:lang w:val="en-ZA"/>
        </w:rPr>
        <w:t>are constrained to</w:t>
      </w:r>
      <w:r w:rsidR="00C91ADD" w:rsidRPr="00BB0574">
        <w:rPr>
          <w:rFonts w:cs="Arial"/>
          <w:lang w:val="en-ZA"/>
        </w:rPr>
        <w:t xml:space="preserve"> protect their institutional authority and judgments.</w:t>
      </w:r>
    </w:p>
    <w:p w14:paraId="39BAFB6A" w14:textId="03604E9F" w:rsidR="00BB2DE6" w:rsidRPr="00BB2DE6" w:rsidRDefault="00461B64" w:rsidP="00461B64">
      <w:pPr>
        <w:pStyle w:val="1"/>
        <w:numPr>
          <w:ilvl w:val="0"/>
          <w:numId w:val="0"/>
        </w:numPr>
        <w:tabs>
          <w:tab w:val="clear" w:pos="567"/>
        </w:tabs>
        <w:rPr>
          <w:rFonts w:cs="Arial"/>
        </w:rPr>
      </w:pPr>
      <w:r w:rsidRPr="00BB2DE6">
        <w:rPr>
          <w:rFonts w:cs="Arial"/>
        </w:rPr>
        <w:t>[5]</w:t>
      </w:r>
      <w:r w:rsidRPr="00BB2DE6">
        <w:rPr>
          <w:rFonts w:cs="Arial"/>
        </w:rPr>
        <w:tab/>
      </w:r>
      <w:r w:rsidR="00BB2DE6">
        <w:rPr>
          <w:rFonts w:cs="Arial"/>
        </w:rPr>
        <w:t>I</w:t>
      </w:r>
      <w:r w:rsidR="00BB2DE6" w:rsidRPr="00BB2DE6">
        <w:rPr>
          <w:rFonts w:cs="Arial"/>
        </w:rPr>
        <w:t xml:space="preserve">n </w:t>
      </w:r>
      <w:r w:rsidR="00BB2DE6" w:rsidRPr="00BB2DE6">
        <w:rPr>
          <w:rFonts w:cs="Arial"/>
          <w:i/>
          <w:iCs/>
        </w:rPr>
        <w:t>Letsi</w:t>
      </w:r>
      <w:r w:rsidR="00BB2DE6">
        <w:rPr>
          <w:rFonts w:cs="Arial"/>
          <w:i/>
          <w:iCs/>
        </w:rPr>
        <w:t xml:space="preserve"> </w:t>
      </w:r>
      <w:r w:rsidR="00BB2DE6" w:rsidRPr="00BB2DE6">
        <w:rPr>
          <w:rFonts w:cs="Arial"/>
          <w:i/>
          <w:iCs/>
          <w:vertAlign w:val="superscript"/>
        </w:rPr>
        <w:footnoteReference w:id="4"/>
      </w:r>
      <w:r w:rsidR="00C261D5">
        <w:rPr>
          <w:rFonts w:cs="Arial"/>
          <w:i/>
          <w:iCs/>
        </w:rPr>
        <w:t>,</w:t>
      </w:r>
      <w:r w:rsidR="00BB2DE6" w:rsidRPr="00BB2DE6">
        <w:rPr>
          <w:rFonts w:cs="Arial"/>
        </w:rPr>
        <w:t xml:space="preserve"> Opperman J</w:t>
      </w:r>
      <w:r w:rsidR="00BB2DE6">
        <w:rPr>
          <w:rFonts w:cs="Arial"/>
        </w:rPr>
        <w:t xml:space="preserve"> highlighted</w:t>
      </w:r>
      <w:r w:rsidR="00BB2DE6" w:rsidRPr="00BB2DE6">
        <w:rPr>
          <w:rFonts w:cs="Arial"/>
        </w:rPr>
        <w:t xml:space="preserve"> the following apposite remarks by  Deputy Judge President </w:t>
      </w:r>
      <w:r w:rsidR="007B4548">
        <w:rPr>
          <w:rFonts w:cs="Arial"/>
        </w:rPr>
        <w:t>Sutherland</w:t>
      </w:r>
      <w:r w:rsidR="00BB2DE6" w:rsidRPr="00BB2DE6">
        <w:rPr>
          <w:rFonts w:cs="Arial"/>
        </w:rPr>
        <w:t>:</w:t>
      </w:r>
    </w:p>
    <w:p w14:paraId="5A76FF30" w14:textId="3CE13D23" w:rsidR="00BB2DE6" w:rsidRDefault="00815823" w:rsidP="00815823">
      <w:pPr>
        <w:pStyle w:val="1"/>
        <w:numPr>
          <w:ilvl w:val="0"/>
          <w:numId w:val="0"/>
        </w:numPr>
        <w:spacing w:line="240" w:lineRule="auto"/>
        <w:ind w:left="567"/>
        <w:rPr>
          <w:rFonts w:cs="Arial"/>
        </w:rPr>
      </w:pPr>
      <w:r>
        <w:rPr>
          <w:rFonts w:cs="Arial"/>
          <w:i/>
          <w:sz w:val="20"/>
          <w:szCs w:val="20"/>
        </w:rPr>
        <w:tab/>
      </w:r>
      <w:r w:rsidR="00BB2DE6" w:rsidRPr="00BB2DE6">
        <w:rPr>
          <w:rFonts w:cs="Arial"/>
          <w:i/>
          <w:sz w:val="20"/>
          <w:szCs w:val="20"/>
        </w:rPr>
        <w:t xml:space="preserve">“. . </w:t>
      </w:r>
      <w:r w:rsidR="00BB2DE6" w:rsidRPr="00BB2DE6">
        <w:rPr>
          <w:rFonts w:cs="Arial"/>
          <w:i/>
          <w:iCs/>
          <w:sz w:val="20"/>
          <w:szCs w:val="20"/>
        </w:rPr>
        <w:t>In</w:t>
      </w:r>
      <w:r w:rsidR="00BB2DE6" w:rsidRPr="00BB2DE6">
        <w:rPr>
          <w:rFonts w:cs="Arial"/>
          <w:i/>
          <w:sz w:val="20"/>
          <w:szCs w:val="20"/>
        </w:rPr>
        <w:t xml:space="preserve"> a climate of burgeoning caseloads and the unrelenting pressure on courts to deliver on the expectations of the litigating public, it is plain that the dependence of the judge on the legal practitioner is acute… The symbiotic relationship between the roles of judge and legal practitioner </w:t>
      </w:r>
      <w:r w:rsidR="00BB2DE6" w:rsidRPr="00BB2DE6">
        <w:rPr>
          <w:rFonts w:cs="Arial"/>
          <w:i/>
          <w:sz w:val="20"/>
          <w:szCs w:val="20"/>
        </w:rPr>
        <w:lastRenderedPageBreak/>
        <w:t>warrants the respect necessary to produce efficient and fair litigation… The critical imperative is that legal practitioners act ethically…</w:t>
      </w:r>
      <w:r w:rsidR="00BB2DE6" w:rsidRPr="00BB2DE6">
        <w:rPr>
          <w:rFonts w:cs="Arial"/>
        </w:rPr>
        <w:t>”</w:t>
      </w:r>
      <w:r w:rsidR="00BB2DE6" w:rsidRPr="00BB2DE6">
        <w:rPr>
          <w:rFonts w:cs="Arial"/>
          <w:vertAlign w:val="superscript"/>
        </w:rPr>
        <w:footnoteReference w:id="5"/>
      </w:r>
    </w:p>
    <w:p w14:paraId="27F3418E" w14:textId="77777777" w:rsidR="00815823" w:rsidRPr="00BB2DE6" w:rsidRDefault="00815823" w:rsidP="00815823">
      <w:pPr>
        <w:pStyle w:val="1"/>
        <w:numPr>
          <w:ilvl w:val="0"/>
          <w:numId w:val="0"/>
        </w:numPr>
        <w:spacing w:line="240" w:lineRule="auto"/>
        <w:ind w:left="567"/>
        <w:rPr>
          <w:rFonts w:cs="Arial"/>
        </w:rPr>
      </w:pPr>
    </w:p>
    <w:p w14:paraId="71245262" w14:textId="3146C780" w:rsidR="006263C1"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[6]</w:t>
      </w:r>
      <w:r>
        <w:rPr>
          <w:rFonts w:cs="Arial"/>
        </w:rPr>
        <w:tab/>
      </w:r>
      <w:r w:rsidR="00BB2DE6">
        <w:rPr>
          <w:rFonts w:cs="Arial"/>
        </w:rPr>
        <w:t>Th</w:t>
      </w:r>
      <w:r w:rsidR="007B4548">
        <w:rPr>
          <w:rFonts w:cs="Arial"/>
        </w:rPr>
        <w:t>is urgent contempt</w:t>
      </w:r>
      <w:r w:rsidR="00BB2DE6">
        <w:rPr>
          <w:rFonts w:cs="Arial"/>
        </w:rPr>
        <w:t xml:space="preserve"> application sharply brings this relationship and the duties on a legal practitioner into focus.</w:t>
      </w:r>
      <w:r w:rsidR="007C1856">
        <w:rPr>
          <w:rFonts w:cs="Arial"/>
        </w:rPr>
        <w:t xml:space="preserve"> </w:t>
      </w:r>
    </w:p>
    <w:p w14:paraId="6043A1BF" w14:textId="45ADA2AE" w:rsidR="00BB2DE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[7]</w:t>
      </w:r>
      <w:r>
        <w:rPr>
          <w:rFonts w:cs="Arial"/>
        </w:rPr>
        <w:tab/>
      </w:r>
      <w:r w:rsidR="007C1856">
        <w:rPr>
          <w:rFonts w:cs="Arial"/>
        </w:rPr>
        <w:t xml:space="preserve">It is necessary to set out the history of the litigation </w:t>
      </w:r>
      <w:r w:rsidR="00ED3E73">
        <w:rPr>
          <w:rFonts w:cs="Arial"/>
        </w:rPr>
        <w:t xml:space="preserve">between the parties </w:t>
      </w:r>
      <w:r w:rsidR="007C1856">
        <w:rPr>
          <w:rFonts w:cs="Arial"/>
        </w:rPr>
        <w:t>in some detail</w:t>
      </w:r>
      <w:r w:rsidR="006263C1">
        <w:rPr>
          <w:rFonts w:cs="Arial"/>
        </w:rPr>
        <w:t xml:space="preserve"> as it sets out the course of conduct embarked upon by the applicant’s attorney of record, Mr Vincent Seloane</w:t>
      </w:r>
      <w:r w:rsidR="007C1856">
        <w:rPr>
          <w:rFonts w:cs="Arial"/>
        </w:rPr>
        <w:t>.</w:t>
      </w:r>
      <w:r w:rsidR="002577D9">
        <w:rPr>
          <w:rFonts w:cs="Arial"/>
        </w:rPr>
        <w:t xml:space="preserve"> This history emerges from the undisputed facts in the respective parties’ affidavits. </w:t>
      </w:r>
      <w:r w:rsidR="00ED3E73">
        <w:rPr>
          <w:rFonts w:cs="Arial"/>
        </w:rPr>
        <w:t xml:space="preserve"> </w:t>
      </w:r>
    </w:p>
    <w:p w14:paraId="27C595A5" w14:textId="77D51C5A" w:rsidR="00796F6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[8]</w:t>
      </w:r>
      <w:r>
        <w:rPr>
          <w:rFonts w:cs="Arial"/>
        </w:rPr>
        <w:tab/>
      </w:r>
      <w:r w:rsidR="007C1856">
        <w:rPr>
          <w:rFonts w:cs="Arial"/>
        </w:rPr>
        <w:t xml:space="preserve">The litigation between the parties commenced </w:t>
      </w:r>
      <w:r w:rsidR="00ED3E73">
        <w:rPr>
          <w:rFonts w:cs="Arial"/>
        </w:rPr>
        <w:t xml:space="preserve">by way of a spoliation </w:t>
      </w:r>
      <w:r w:rsidR="002577D9">
        <w:rPr>
          <w:rFonts w:cs="Arial"/>
        </w:rPr>
        <w:t xml:space="preserve">application </w:t>
      </w:r>
      <w:r w:rsidR="00ED3E73">
        <w:rPr>
          <w:rFonts w:cs="Arial"/>
        </w:rPr>
        <w:t>launched by the applicant’s attorney of record</w:t>
      </w:r>
      <w:r w:rsidR="00796F69">
        <w:rPr>
          <w:rFonts w:cs="Arial"/>
        </w:rPr>
        <w:t xml:space="preserve"> over a weekend </w:t>
      </w:r>
      <w:r w:rsidR="00011A7C">
        <w:rPr>
          <w:rFonts w:cs="Arial"/>
        </w:rPr>
        <w:t xml:space="preserve">in the </w:t>
      </w:r>
      <w:r w:rsidR="00D130FD">
        <w:rPr>
          <w:rFonts w:cs="Arial"/>
        </w:rPr>
        <w:t>u</w:t>
      </w:r>
      <w:r w:rsidR="00011A7C">
        <w:rPr>
          <w:rFonts w:cs="Arial"/>
        </w:rPr>
        <w:t xml:space="preserve">rgent </w:t>
      </w:r>
      <w:r w:rsidR="00D130FD">
        <w:rPr>
          <w:rFonts w:cs="Arial"/>
        </w:rPr>
        <w:t>c</w:t>
      </w:r>
      <w:r w:rsidR="00ED3E73">
        <w:rPr>
          <w:rFonts w:cs="Arial"/>
        </w:rPr>
        <w:t>ourt, resulting in an order being granted on 10 June 2023</w:t>
      </w:r>
      <w:r w:rsidR="0026616E">
        <w:rPr>
          <w:rFonts w:cs="Arial"/>
        </w:rPr>
        <w:t xml:space="preserve"> by Shepstone AJ (“the spoliation order”)</w:t>
      </w:r>
      <w:r w:rsidR="00ED3E73">
        <w:rPr>
          <w:rFonts w:cs="Arial"/>
        </w:rPr>
        <w:t xml:space="preserve">.  </w:t>
      </w:r>
    </w:p>
    <w:p w14:paraId="354FF137" w14:textId="015A149B" w:rsidR="002577D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[9]</w:t>
      </w:r>
      <w:r>
        <w:rPr>
          <w:rFonts w:cs="Arial"/>
        </w:rPr>
        <w:tab/>
      </w:r>
      <w:r w:rsidR="00796F69">
        <w:rPr>
          <w:rFonts w:cs="Arial"/>
        </w:rPr>
        <w:t xml:space="preserve">On 15 </w:t>
      </w:r>
      <w:r w:rsidR="00ED3E73">
        <w:rPr>
          <w:rFonts w:cs="Arial"/>
        </w:rPr>
        <w:t xml:space="preserve">June 2023, </w:t>
      </w:r>
      <w:r w:rsidR="0026616E">
        <w:rPr>
          <w:rFonts w:cs="Arial"/>
        </w:rPr>
        <w:t xml:space="preserve">the applicant launched </w:t>
      </w:r>
      <w:r w:rsidR="00ED3E73">
        <w:rPr>
          <w:rFonts w:cs="Arial"/>
        </w:rPr>
        <w:t xml:space="preserve">an urgent contempt application </w:t>
      </w:r>
      <w:r w:rsidR="0026616E">
        <w:rPr>
          <w:rFonts w:cs="Arial"/>
        </w:rPr>
        <w:t xml:space="preserve">based on the respondent’s alleged </w:t>
      </w:r>
      <w:r w:rsidR="002577D9">
        <w:rPr>
          <w:rFonts w:cs="Arial"/>
        </w:rPr>
        <w:t xml:space="preserve">wilful </w:t>
      </w:r>
      <w:r w:rsidR="0026616E">
        <w:rPr>
          <w:rFonts w:cs="Arial"/>
        </w:rPr>
        <w:t>non-compliance with the</w:t>
      </w:r>
      <w:r w:rsidR="00ED3E73">
        <w:rPr>
          <w:rFonts w:cs="Arial"/>
        </w:rPr>
        <w:t xml:space="preserve"> spoliation order</w:t>
      </w:r>
      <w:r w:rsidR="00796F69">
        <w:rPr>
          <w:rFonts w:cs="Arial"/>
        </w:rPr>
        <w:t xml:space="preserve"> (“the first contempt application”)</w:t>
      </w:r>
      <w:r w:rsidR="00ED3E73">
        <w:rPr>
          <w:rFonts w:cs="Arial"/>
        </w:rPr>
        <w:t xml:space="preserve">. </w:t>
      </w:r>
    </w:p>
    <w:p w14:paraId="000C71A9" w14:textId="2206FE64" w:rsidR="002577D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[10]</w:t>
      </w:r>
      <w:r>
        <w:rPr>
          <w:rFonts w:cs="Arial"/>
        </w:rPr>
        <w:tab/>
      </w:r>
      <w:r w:rsidR="002577D9">
        <w:rPr>
          <w:rFonts w:cs="Arial"/>
        </w:rPr>
        <w:t xml:space="preserve">The applicant attempted to enroll the application on the urgent roll for 20 June 2023, but it was not enrolled by the Registrar, presumably because the applicant did not meet the requisite deadlines. </w:t>
      </w:r>
    </w:p>
    <w:p w14:paraId="5BD64342" w14:textId="0F2F3B6A" w:rsidR="00ED3E73"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[11]</w:t>
      </w:r>
      <w:r>
        <w:rPr>
          <w:rFonts w:cs="Arial"/>
        </w:rPr>
        <w:tab/>
      </w:r>
      <w:r w:rsidR="002577D9">
        <w:rPr>
          <w:rFonts w:cs="Arial"/>
        </w:rPr>
        <w:t xml:space="preserve">The application </w:t>
      </w:r>
      <w:r w:rsidR="00ED3E73">
        <w:rPr>
          <w:rFonts w:cs="Arial"/>
        </w:rPr>
        <w:t>was enrolled in the urgent court on 27 June 2023</w:t>
      </w:r>
      <w:r w:rsidR="00C461F9">
        <w:rPr>
          <w:rFonts w:cs="Arial"/>
        </w:rPr>
        <w:t>. I</w:t>
      </w:r>
      <w:r w:rsidR="00ED3E73">
        <w:rPr>
          <w:rFonts w:cs="Arial"/>
        </w:rPr>
        <w:t xml:space="preserve">t was removed from the roll as </w:t>
      </w:r>
      <w:r w:rsidR="002577D9">
        <w:rPr>
          <w:rFonts w:cs="Arial"/>
        </w:rPr>
        <w:t>Makume J</w:t>
      </w:r>
      <w:r w:rsidR="00ED3E73">
        <w:rPr>
          <w:rFonts w:cs="Arial"/>
        </w:rPr>
        <w:t xml:space="preserve"> was not satisfied that proper service </w:t>
      </w:r>
      <w:r w:rsidR="00796F69">
        <w:rPr>
          <w:rFonts w:cs="Arial"/>
        </w:rPr>
        <w:t>had been</w:t>
      </w:r>
      <w:r w:rsidR="00ED3E73">
        <w:rPr>
          <w:rFonts w:cs="Arial"/>
        </w:rPr>
        <w:t xml:space="preserve"> effected on the respondent</w:t>
      </w:r>
      <w:r w:rsidR="002577D9">
        <w:rPr>
          <w:rFonts w:cs="Arial"/>
        </w:rPr>
        <w:t xml:space="preserve"> and required service by Sheriff</w:t>
      </w:r>
      <w:r w:rsidR="0019010A">
        <w:rPr>
          <w:rFonts w:cs="Arial"/>
        </w:rPr>
        <w:t>, as is the norm</w:t>
      </w:r>
      <w:r w:rsidR="00ED3E73">
        <w:rPr>
          <w:rFonts w:cs="Arial"/>
        </w:rPr>
        <w:t xml:space="preserve">. </w:t>
      </w:r>
    </w:p>
    <w:p w14:paraId="3FB80686" w14:textId="4CE52E54" w:rsidR="00AE3FCE"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[12]</w:t>
      </w:r>
      <w:r>
        <w:rPr>
          <w:rFonts w:cs="Arial"/>
        </w:rPr>
        <w:tab/>
      </w:r>
      <w:r w:rsidR="00ED3E73">
        <w:rPr>
          <w:rFonts w:cs="Arial"/>
        </w:rPr>
        <w:t xml:space="preserve">The </w:t>
      </w:r>
      <w:r w:rsidR="00AE3FCE">
        <w:rPr>
          <w:rFonts w:cs="Arial"/>
        </w:rPr>
        <w:t xml:space="preserve">applicant again enrolled the first </w:t>
      </w:r>
      <w:r w:rsidR="00ED3E73">
        <w:rPr>
          <w:rFonts w:cs="Arial"/>
        </w:rPr>
        <w:t>contempt application</w:t>
      </w:r>
      <w:r w:rsidR="00AE3FCE">
        <w:rPr>
          <w:rFonts w:cs="Arial"/>
        </w:rPr>
        <w:t xml:space="preserve"> </w:t>
      </w:r>
      <w:r w:rsidR="00ED3E73">
        <w:rPr>
          <w:rFonts w:cs="Arial"/>
        </w:rPr>
        <w:t>on the urgent roll for 11 July 2023</w:t>
      </w:r>
      <w:r w:rsidR="00834706">
        <w:rPr>
          <w:rFonts w:cs="Arial"/>
        </w:rPr>
        <w:t>,</w:t>
      </w:r>
      <w:r w:rsidR="00ED3E73">
        <w:rPr>
          <w:rFonts w:cs="Arial"/>
        </w:rPr>
        <w:t xml:space="preserve"> </w:t>
      </w:r>
      <w:r w:rsidR="00AE3FCE">
        <w:rPr>
          <w:rFonts w:cs="Arial"/>
        </w:rPr>
        <w:t>w</w:t>
      </w:r>
      <w:r w:rsidR="002577D9">
        <w:rPr>
          <w:rFonts w:cs="Arial"/>
        </w:rPr>
        <w:t>here it w</w:t>
      </w:r>
      <w:r w:rsidR="00AE3FCE">
        <w:rPr>
          <w:rFonts w:cs="Arial"/>
        </w:rPr>
        <w:t>as heard by</w:t>
      </w:r>
      <w:r w:rsidR="00ED3E73">
        <w:rPr>
          <w:rFonts w:cs="Arial"/>
        </w:rPr>
        <w:t xml:space="preserve"> Motha J. </w:t>
      </w:r>
    </w:p>
    <w:p w14:paraId="49131367" w14:textId="4FBAD0B2" w:rsidR="002577D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[13]</w:t>
      </w:r>
      <w:r>
        <w:rPr>
          <w:rFonts w:cs="Arial"/>
        </w:rPr>
        <w:tab/>
      </w:r>
      <w:r w:rsidR="00ED3E73">
        <w:rPr>
          <w:rFonts w:cs="Arial"/>
        </w:rPr>
        <w:t xml:space="preserve">According to the undisputed facts in the affidavits filed of record, the spoliation order and the contempt application were only </w:t>
      </w:r>
      <w:r w:rsidR="00796F69">
        <w:rPr>
          <w:rFonts w:cs="Arial"/>
        </w:rPr>
        <w:t xml:space="preserve">properly </w:t>
      </w:r>
      <w:r w:rsidR="00ED3E73">
        <w:rPr>
          <w:rFonts w:cs="Arial"/>
        </w:rPr>
        <w:t>served on the respondent on 5 July 2023</w:t>
      </w:r>
      <w:r w:rsidR="00AE3FCE">
        <w:rPr>
          <w:rFonts w:cs="Arial"/>
        </w:rPr>
        <w:t>, thus after the launching of the first contempt application</w:t>
      </w:r>
      <w:r w:rsidR="00ED3E73">
        <w:rPr>
          <w:rFonts w:cs="Arial"/>
        </w:rPr>
        <w:t xml:space="preserve">. </w:t>
      </w:r>
    </w:p>
    <w:p w14:paraId="6F2D30AE" w14:textId="37082D33" w:rsidR="00ED3E73"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[14]</w:t>
      </w:r>
      <w:r>
        <w:rPr>
          <w:rFonts w:cs="Arial"/>
        </w:rPr>
        <w:tab/>
      </w:r>
      <w:r w:rsidR="00ED3E73">
        <w:rPr>
          <w:rFonts w:cs="Arial"/>
        </w:rPr>
        <w:t>The respondent</w:t>
      </w:r>
      <w:r w:rsidR="00796F69">
        <w:rPr>
          <w:rFonts w:cs="Arial"/>
        </w:rPr>
        <w:t xml:space="preserve"> </w:t>
      </w:r>
      <w:r w:rsidR="00AE3FCE">
        <w:rPr>
          <w:rFonts w:cs="Arial"/>
        </w:rPr>
        <w:t xml:space="preserve">opposed the application and </w:t>
      </w:r>
      <w:r w:rsidR="00ED3E73">
        <w:rPr>
          <w:rFonts w:cs="Arial"/>
        </w:rPr>
        <w:t>launched a counter application in two parts</w:t>
      </w:r>
      <w:r w:rsidR="00796F69">
        <w:rPr>
          <w:rFonts w:cs="Arial"/>
        </w:rPr>
        <w:t>:</w:t>
      </w:r>
      <w:r w:rsidR="00ED3E73">
        <w:rPr>
          <w:rFonts w:cs="Arial"/>
        </w:rPr>
        <w:t xml:space="preserve"> the first, seeking the stay of the execution of the spoliation order on an urgent basis; the second, seeking the rescission of the spoliation order in the normal course.</w:t>
      </w:r>
      <w:r w:rsidR="006263C1">
        <w:rPr>
          <w:rFonts w:cs="Arial"/>
        </w:rPr>
        <w:t xml:space="preserve"> </w:t>
      </w:r>
      <w:r w:rsidR="00AE3FCE">
        <w:rPr>
          <w:rFonts w:cs="Arial"/>
        </w:rPr>
        <w:t xml:space="preserve">The respondent delivered a comprehensive answering </w:t>
      </w:r>
      <w:r w:rsidR="00C461F9">
        <w:rPr>
          <w:rFonts w:cs="Arial"/>
        </w:rPr>
        <w:t xml:space="preserve">affidavit setting out </w:t>
      </w:r>
      <w:r w:rsidR="002577D9">
        <w:rPr>
          <w:rFonts w:cs="Arial"/>
        </w:rPr>
        <w:t xml:space="preserve">the grounds underpinning </w:t>
      </w:r>
      <w:r w:rsidR="00AE3FCE">
        <w:rPr>
          <w:rFonts w:cs="Arial"/>
        </w:rPr>
        <w:t xml:space="preserve">both her opposition to the allegations of contempt and why rescission of the spoliation order was being sought. On both issues, the </w:t>
      </w:r>
      <w:r w:rsidR="006263C1">
        <w:rPr>
          <w:rFonts w:cs="Arial"/>
        </w:rPr>
        <w:t>lack of proper service o</w:t>
      </w:r>
      <w:r w:rsidR="00AE3FCE">
        <w:rPr>
          <w:rFonts w:cs="Arial"/>
        </w:rPr>
        <w:t xml:space="preserve">n the respondent </w:t>
      </w:r>
      <w:r w:rsidR="002577D9">
        <w:rPr>
          <w:rFonts w:cs="Arial"/>
        </w:rPr>
        <w:t xml:space="preserve">of the various legal proceedings </w:t>
      </w:r>
      <w:r w:rsidR="00AE3FCE">
        <w:rPr>
          <w:rFonts w:cs="Arial"/>
        </w:rPr>
        <w:t>was raised</w:t>
      </w:r>
      <w:r w:rsidR="006263C1">
        <w:rPr>
          <w:rFonts w:cs="Arial"/>
        </w:rPr>
        <w:t>.</w:t>
      </w:r>
      <w:r w:rsidR="00B27F77">
        <w:rPr>
          <w:rFonts w:cs="Arial"/>
        </w:rPr>
        <w:t xml:space="preserve"> </w:t>
      </w:r>
    </w:p>
    <w:p w14:paraId="727BF5DA" w14:textId="15A005B8" w:rsidR="00DF2491"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[15]</w:t>
      </w:r>
      <w:r>
        <w:rPr>
          <w:rFonts w:cs="Arial"/>
        </w:rPr>
        <w:tab/>
      </w:r>
      <w:r w:rsidR="00ED3E73">
        <w:rPr>
          <w:rFonts w:cs="Arial"/>
        </w:rPr>
        <w:t>After hearing argument from the parties</w:t>
      </w:r>
      <w:r w:rsidR="00796F69">
        <w:rPr>
          <w:rFonts w:cs="Arial"/>
        </w:rPr>
        <w:t xml:space="preserve">, </w:t>
      </w:r>
      <w:r w:rsidR="00ED3E73">
        <w:rPr>
          <w:rFonts w:cs="Arial"/>
        </w:rPr>
        <w:t xml:space="preserve">on 13 July 2023 </w:t>
      </w:r>
      <w:r w:rsidR="002577D9">
        <w:rPr>
          <w:rFonts w:cs="Arial"/>
        </w:rPr>
        <w:t xml:space="preserve">Motha J </w:t>
      </w:r>
      <w:r w:rsidR="00796F69">
        <w:rPr>
          <w:rFonts w:cs="Arial"/>
        </w:rPr>
        <w:t xml:space="preserve">struck </w:t>
      </w:r>
      <w:r w:rsidR="00ED3E73">
        <w:rPr>
          <w:rFonts w:cs="Arial"/>
        </w:rPr>
        <w:t xml:space="preserve">the </w:t>
      </w:r>
      <w:r w:rsidR="00AE3FCE">
        <w:rPr>
          <w:rFonts w:cs="Arial"/>
        </w:rPr>
        <w:t xml:space="preserve">first </w:t>
      </w:r>
      <w:r w:rsidR="00ED3E73">
        <w:rPr>
          <w:rFonts w:cs="Arial"/>
        </w:rPr>
        <w:t>contempt applicat</w:t>
      </w:r>
      <w:r w:rsidR="006E625E">
        <w:rPr>
          <w:rFonts w:cs="Arial"/>
        </w:rPr>
        <w:t>i</w:t>
      </w:r>
      <w:r w:rsidR="00ED3E73">
        <w:rPr>
          <w:rFonts w:cs="Arial"/>
        </w:rPr>
        <w:t xml:space="preserve">on and the </w:t>
      </w:r>
      <w:r w:rsidR="000A7FA6">
        <w:rPr>
          <w:rFonts w:cs="Arial"/>
        </w:rPr>
        <w:t xml:space="preserve">respondent’s </w:t>
      </w:r>
      <w:r w:rsidR="00ED3E73">
        <w:rPr>
          <w:rFonts w:cs="Arial"/>
        </w:rPr>
        <w:t>counter application</w:t>
      </w:r>
      <w:r w:rsidR="00AE3FCE">
        <w:rPr>
          <w:rFonts w:cs="Arial"/>
        </w:rPr>
        <w:t xml:space="preserve"> </w:t>
      </w:r>
      <w:r w:rsidR="00ED3E73">
        <w:rPr>
          <w:rFonts w:cs="Arial"/>
        </w:rPr>
        <w:t>from the roll</w:t>
      </w:r>
      <w:r w:rsidR="00AE3FCE">
        <w:rPr>
          <w:rFonts w:cs="Arial"/>
        </w:rPr>
        <w:t>. C</w:t>
      </w:r>
      <w:r w:rsidR="00796F69">
        <w:rPr>
          <w:rFonts w:cs="Arial"/>
        </w:rPr>
        <w:t xml:space="preserve">osts </w:t>
      </w:r>
      <w:r w:rsidR="00AE3FCE">
        <w:rPr>
          <w:rFonts w:cs="Arial"/>
        </w:rPr>
        <w:t xml:space="preserve">were directed to be </w:t>
      </w:r>
      <w:r w:rsidR="00796F69">
        <w:rPr>
          <w:rFonts w:cs="Arial"/>
        </w:rPr>
        <w:t>in the cause</w:t>
      </w:r>
      <w:r w:rsidR="00ED3E73">
        <w:rPr>
          <w:rFonts w:cs="Arial"/>
        </w:rPr>
        <w:t xml:space="preserve">. </w:t>
      </w:r>
    </w:p>
    <w:p w14:paraId="0F25F1A2" w14:textId="204BC3B7" w:rsidR="007C185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[16]</w:t>
      </w:r>
      <w:r>
        <w:rPr>
          <w:rFonts w:cs="Arial"/>
        </w:rPr>
        <w:tab/>
      </w:r>
      <w:r w:rsidR="00DF2491">
        <w:rPr>
          <w:rFonts w:cs="Arial"/>
        </w:rPr>
        <w:t>Having struck the matter from the roll, it is clear that after due consideration</w:t>
      </w:r>
      <w:r w:rsidR="00B27F77">
        <w:rPr>
          <w:rFonts w:cs="Arial"/>
        </w:rPr>
        <w:t xml:space="preserve"> of the facts placed before </w:t>
      </w:r>
      <w:r w:rsidR="000A7FA6">
        <w:rPr>
          <w:rFonts w:cs="Arial"/>
        </w:rPr>
        <w:t>the court</w:t>
      </w:r>
      <w:r w:rsidR="00DF2491">
        <w:rPr>
          <w:rFonts w:cs="Arial"/>
        </w:rPr>
        <w:t xml:space="preserve">, Motha J exercised his discretion </w:t>
      </w:r>
      <w:r w:rsidR="00B27F77">
        <w:rPr>
          <w:rFonts w:cs="Arial"/>
        </w:rPr>
        <w:t xml:space="preserve">against </w:t>
      </w:r>
      <w:r w:rsidR="00DF2491">
        <w:rPr>
          <w:rFonts w:cs="Arial"/>
        </w:rPr>
        <w:t>hear</w:t>
      </w:r>
      <w:r w:rsidR="00B27F77">
        <w:rPr>
          <w:rFonts w:cs="Arial"/>
        </w:rPr>
        <w:t>ing</w:t>
      </w:r>
      <w:r w:rsidR="00DF2491">
        <w:rPr>
          <w:rFonts w:cs="Arial"/>
        </w:rPr>
        <w:t xml:space="preserve"> the first </w:t>
      </w:r>
      <w:r w:rsidR="00DF2491">
        <w:rPr>
          <w:rFonts w:cs="Arial"/>
        </w:rPr>
        <w:lastRenderedPageBreak/>
        <w:t>contempt application as a matter of urgency.</w:t>
      </w:r>
      <w:r w:rsidR="00B27F77">
        <w:rPr>
          <w:rFonts w:cs="Arial"/>
        </w:rPr>
        <w:t xml:space="preserve"> </w:t>
      </w:r>
      <w:r w:rsidR="000A7FA6">
        <w:rPr>
          <w:rFonts w:cs="Arial"/>
        </w:rPr>
        <w:t>It is well established that matters are struck from the urgent roll where they lack urgency.</w:t>
      </w:r>
      <w:r w:rsidR="00B27F77">
        <w:rPr>
          <w:rFonts w:cs="Arial"/>
        </w:rPr>
        <w:t xml:space="preserve"> </w:t>
      </w:r>
    </w:p>
    <w:p w14:paraId="53734106" w14:textId="373C5313" w:rsidR="007C185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[17]</w:t>
      </w:r>
      <w:r>
        <w:rPr>
          <w:rFonts w:cs="Arial"/>
        </w:rPr>
        <w:tab/>
      </w:r>
      <w:r w:rsidR="006E625E">
        <w:rPr>
          <w:rFonts w:cs="Arial"/>
        </w:rPr>
        <w:t>Both the contempt application and the respondent’s counter applications remain pending and are due to be heard in the normal course</w:t>
      </w:r>
      <w:r w:rsidR="000A7FA6">
        <w:rPr>
          <w:rFonts w:cs="Arial"/>
        </w:rPr>
        <w:t xml:space="preserve"> on the opposed motion roll</w:t>
      </w:r>
      <w:r w:rsidR="006E625E">
        <w:rPr>
          <w:rFonts w:cs="Arial"/>
        </w:rPr>
        <w:t>.</w:t>
      </w:r>
    </w:p>
    <w:p w14:paraId="761E4A42" w14:textId="0D84B5BA" w:rsidR="00DA7975"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[18]</w:t>
      </w:r>
      <w:r>
        <w:rPr>
          <w:rFonts w:cs="Arial"/>
        </w:rPr>
        <w:tab/>
      </w:r>
      <w:r w:rsidR="000A7FA6">
        <w:rPr>
          <w:rFonts w:cs="Arial"/>
        </w:rPr>
        <w:t>Shortly thereafter and o</w:t>
      </w:r>
      <w:r w:rsidR="00DA7975">
        <w:rPr>
          <w:rFonts w:cs="Arial"/>
        </w:rPr>
        <w:t xml:space="preserve">n 17 July 2023, </w:t>
      </w:r>
      <w:r w:rsidR="00AE3FCE">
        <w:rPr>
          <w:rFonts w:cs="Arial"/>
        </w:rPr>
        <w:t>the applicant’s attorney</w:t>
      </w:r>
      <w:r w:rsidR="00D02349">
        <w:rPr>
          <w:rFonts w:cs="Arial"/>
        </w:rPr>
        <w:t xml:space="preserve"> </w:t>
      </w:r>
      <w:r w:rsidR="00DA7975">
        <w:rPr>
          <w:rFonts w:cs="Arial"/>
        </w:rPr>
        <w:t>addressed a</w:t>
      </w:r>
      <w:r w:rsidR="00D02349">
        <w:rPr>
          <w:rFonts w:cs="Arial"/>
        </w:rPr>
        <w:t xml:space="preserve"> letter</w:t>
      </w:r>
      <w:r w:rsidR="00DA7975">
        <w:rPr>
          <w:rFonts w:cs="Arial"/>
        </w:rPr>
        <w:t xml:space="preserve"> to the respondent’s attorney</w:t>
      </w:r>
      <w:r w:rsidR="00D02349">
        <w:rPr>
          <w:rFonts w:cs="Arial"/>
        </w:rPr>
        <w:t>, demand</w:t>
      </w:r>
      <w:r w:rsidR="00DA7975">
        <w:rPr>
          <w:rFonts w:cs="Arial"/>
        </w:rPr>
        <w:t>ing</w:t>
      </w:r>
      <w:r w:rsidR="00D02349">
        <w:rPr>
          <w:rFonts w:cs="Arial"/>
        </w:rPr>
        <w:t xml:space="preserve"> that the respondent comply within 24 hours with the order of Shepstone </w:t>
      </w:r>
      <w:r w:rsidR="00C461F9">
        <w:rPr>
          <w:rFonts w:cs="Arial"/>
        </w:rPr>
        <w:t>A</w:t>
      </w:r>
      <w:r w:rsidR="00D02349">
        <w:rPr>
          <w:rFonts w:cs="Arial"/>
        </w:rPr>
        <w:t xml:space="preserve">J, failing which an urgent contempt application would be launched. </w:t>
      </w:r>
      <w:r w:rsidR="00B27F77">
        <w:rPr>
          <w:rFonts w:cs="Arial"/>
        </w:rPr>
        <w:t xml:space="preserve">At this juncture, the applicant was fully aware of the respondent’s defences to the contempt application and the grounds upon which rescission of the spoliation order was </w:t>
      </w:r>
      <w:r w:rsidR="00834706">
        <w:rPr>
          <w:rFonts w:cs="Arial"/>
        </w:rPr>
        <w:t xml:space="preserve">being </w:t>
      </w:r>
      <w:r w:rsidR="00B27F77">
        <w:rPr>
          <w:rFonts w:cs="Arial"/>
        </w:rPr>
        <w:t>sought.</w:t>
      </w:r>
    </w:p>
    <w:p w14:paraId="5C97CB0A" w14:textId="38D2E414" w:rsidR="00D0234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[19]</w:t>
      </w:r>
      <w:r>
        <w:rPr>
          <w:rFonts w:cs="Arial"/>
        </w:rPr>
        <w:tab/>
      </w:r>
      <w:r w:rsidR="00D02349">
        <w:rPr>
          <w:rFonts w:cs="Arial"/>
        </w:rPr>
        <w:t>In response</w:t>
      </w:r>
      <w:r w:rsidR="00C461F9">
        <w:rPr>
          <w:rFonts w:cs="Arial"/>
        </w:rPr>
        <w:t xml:space="preserve"> thereto</w:t>
      </w:r>
      <w:r w:rsidR="00D02349">
        <w:rPr>
          <w:rFonts w:cs="Arial"/>
        </w:rPr>
        <w:t xml:space="preserve">, the respondent’s attorney </w:t>
      </w:r>
      <w:r w:rsidR="00DA7975">
        <w:rPr>
          <w:rFonts w:cs="Arial"/>
        </w:rPr>
        <w:t>on 20 July 2023</w:t>
      </w:r>
      <w:r w:rsidR="000A7FA6">
        <w:rPr>
          <w:rFonts w:cs="Arial"/>
        </w:rPr>
        <w:t>,</w:t>
      </w:r>
      <w:r w:rsidR="00DA7975">
        <w:rPr>
          <w:rFonts w:cs="Arial"/>
        </w:rPr>
        <w:t xml:space="preserve"> </w:t>
      </w:r>
      <w:r w:rsidR="00D02349" w:rsidRPr="00D02349">
        <w:rPr>
          <w:rFonts w:cs="Arial"/>
          <w:i/>
        </w:rPr>
        <w:t>inter alia</w:t>
      </w:r>
      <w:r w:rsidR="00D02349">
        <w:rPr>
          <w:rFonts w:cs="Arial"/>
        </w:rPr>
        <w:t xml:space="preserve"> pointed out that the applications </w:t>
      </w:r>
      <w:r w:rsidR="00CF3AC7">
        <w:rPr>
          <w:rFonts w:cs="Arial"/>
        </w:rPr>
        <w:t xml:space="preserve">which had been struck from the </w:t>
      </w:r>
      <w:r w:rsidR="001C79D6">
        <w:rPr>
          <w:rFonts w:cs="Arial"/>
        </w:rPr>
        <w:t>u</w:t>
      </w:r>
      <w:r w:rsidR="00CF3AC7">
        <w:rPr>
          <w:rFonts w:cs="Arial"/>
        </w:rPr>
        <w:t xml:space="preserve">rgent </w:t>
      </w:r>
      <w:r w:rsidR="001C79D6">
        <w:rPr>
          <w:rFonts w:cs="Arial"/>
        </w:rPr>
        <w:t>c</w:t>
      </w:r>
      <w:r w:rsidR="00D02349">
        <w:rPr>
          <w:rFonts w:cs="Arial"/>
        </w:rPr>
        <w:t xml:space="preserve">ourt’s roll remained pending and should be heard in the normal course. </w:t>
      </w:r>
      <w:r w:rsidR="003F2CCB">
        <w:rPr>
          <w:rFonts w:cs="Arial"/>
        </w:rPr>
        <w:t xml:space="preserve">It was </w:t>
      </w:r>
      <w:r w:rsidR="007C6E81">
        <w:rPr>
          <w:rFonts w:cs="Arial"/>
        </w:rPr>
        <w:t>recorded</w:t>
      </w:r>
      <w:r w:rsidR="003F2CCB">
        <w:rPr>
          <w:rFonts w:cs="Arial"/>
        </w:rPr>
        <w:t xml:space="preserve"> that the respondent’s affidavits made it clear that she could not restore possession of the property, was not responsible for the dispossession which allegedly occurred and that portions of the spoliation order were unenforceable as the respondent was not resident on the property. The letter concluded:</w:t>
      </w:r>
    </w:p>
    <w:p w14:paraId="44A46669" w14:textId="42F2C4DE" w:rsidR="003F2CCB" w:rsidRDefault="003F2CCB" w:rsidP="003F2CCB">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r w:rsidRPr="003F2CCB">
        <w:rPr>
          <w:rFonts w:cs="Arial"/>
          <w:i/>
          <w:sz w:val="20"/>
          <w:szCs w:val="20"/>
        </w:rPr>
        <w:t>“We also record that your client has no</w:t>
      </w:r>
      <w:r w:rsidR="000A7FA6">
        <w:rPr>
          <w:rFonts w:cs="Arial"/>
          <w:i/>
          <w:sz w:val="20"/>
          <w:szCs w:val="20"/>
        </w:rPr>
        <w:t>w</w:t>
      </w:r>
      <w:r w:rsidRPr="003F2CCB">
        <w:rPr>
          <w:rFonts w:cs="Arial"/>
          <w:i/>
          <w:sz w:val="20"/>
          <w:szCs w:val="20"/>
        </w:rPr>
        <w:t xml:space="preserve"> approached this court on an urgent basis on 20 June 2023, 27 June 2023 and 13 July 2023- none of which was successful. We now caution you against approaching the court for a further urgent application as, clearly, this matter is not urgent and your client is not entitled to urgent relief”.</w:t>
      </w:r>
    </w:p>
    <w:p w14:paraId="6F9CB950" w14:textId="77777777" w:rsidR="003F2CCB" w:rsidRPr="003F2CCB" w:rsidRDefault="003F2CCB" w:rsidP="003F2CCB">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p>
    <w:p w14:paraId="293177FA" w14:textId="00AE467D" w:rsidR="00D0234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[20]</w:t>
      </w:r>
      <w:r>
        <w:rPr>
          <w:rFonts w:cs="Arial"/>
        </w:rPr>
        <w:tab/>
      </w:r>
      <w:r w:rsidR="00D02349">
        <w:rPr>
          <w:rFonts w:cs="Arial"/>
        </w:rPr>
        <w:t xml:space="preserve">In </w:t>
      </w:r>
      <w:r w:rsidR="00DA7975">
        <w:rPr>
          <w:rFonts w:cs="Arial"/>
        </w:rPr>
        <w:t>re</w:t>
      </w:r>
      <w:r w:rsidR="00D02349">
        <w:rPr>
          <w:rFonts w:cs="Arial"/>
        </w:rPr>
        <w:t>sponse</w:t>
      </w:r>
      <w:r w:rsidR="00834706">
        <w:rPr>
          <w:rFonts w:cs="Arial"/>
        </w:rPr>
        <w:t>,</w:t>
      </w:r>
      <w:r w:rsidR="00D02349">
        <w:rPr>
          <w:rFonts w:cs="Arial"/>
        </w:rPr>
        <w:t xml:space="preserve"> o</w:t>
      </w:r>
      <w:r w:rsidR="00834706">
        <w:rPr>
          <w:rFonts w:cs="Arial"/>
        </w:rPr>
        <w:t>n</w:t>
      </w:r>
      <w:r w:rsidR="006E625E">
        <w:rPr>
          <w:rFonts w:cs="Arial"/>
        </w:rPr>
        <w:t xml:space="preserve"> 20 July 2023 the respondent’s attorney </w:t>
      </w:r>
      <w:r w:rsidR="000A7FA6">
        <w:rPr>
          <w:rFonts w:cs="Arial"/>
        </w:rPr>
        <w:t>again demanded an urgent undertaking to comply with the spoliation order, failing which the</w:t>
      </w:r>
      <w:r w:rsidR="00B27F77">
        <w:rPr>
          <w:rFonts w:cs="Arial"/>
        </w:rPr>
        <w:t xml:space="preserve"> contempt application </w:t>
      </w:r>
      <w:r w:rsidR="00834706">
        <w:rPr>
          <w:rFonts w:cs="Arial"/>
        </w:rPr>
        <w:t>“</w:t>
      </w:r>
      <w:r w:rsidR="00B27F77">
        <w:rPr>
          <w:rFonts w:cs="Arial"/>
        </w:rPr>
        <w:t xml:space="preserve">would be </w:t>
      </w:r>
      <w:r w:rsidR="000A7FA6">
        <w:rPr>
          <w:rFonts w:cs="Arial"/>
        </w:rPr>
        <w:t>reinstated</w:t>
      </w:r>
      <w:r w:rsidR="00834706">
        <w:rPr>
          <w:rFonts w:cs="Arial"/>
        </w:rPr>
        <w:t>”</w:t>
      </w:r>
      <w:r w:rsidR="000A7FA6">
        <w:rPr>
          <w:rFonts w:cs="Arial"/>
        </w:rPr>
        <w:t xml:space="preserve"> on an urgent basis.</w:t>
      </w:r>
      <w:r w:rsidR="00AE2115">
        <w:rPr>
          <w:rFonts w:cs="Arial"/>
        </w:rPr>
        <w:t xml:space="preserve"> In relevant part, the letter further stated: </w:t>
      </w:r>
    </w:p>
    <w:p w14:paraId="72C3A865" w14:textId="69C96FD4" w:rsidR="006E625E" w:rsidRDefault="00D02349" w:rsidP="00D02349">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r w:rsidRPr="00D02349">
        <w:rPr>
          <w:rFonts w:cs="Arial"/>
          <w:i/>
          <w:sz w:val="20"/>
          <w:szCs w:val="20"/>
        </w:rPr>
        <w:t>“</w:t>
      </w:r>
      <w:r w:rsidR="00AE2115" w:rsidRPr="00D02349">
        <w:rPr>
          <w:rFonts w:cs="Arial"/>
          <w:i/>
          <w:sz w:val="20"/>
          <w:szCs w:val="20"/>
        </w:rPr>
        <w:t>You will also note that your client’s counter-application was also struck off the roll therefore there is no pending counter application for our client to oppose. Your client’s counter application has no merit. We are not in a position to address your client’s (sic</w:t>
      </w:r>
      <w:r w:rsidR="00DC6ED3" w:rsidRPr="00D02349">
        <w:rPr>
          <w:rFonts w:cs="Arial"/>
          <w:i/>
          <w:sz w:val="20"/>
          <w:szCs w:val="20"/>
        </w:rPr>
        <w:t>)</w:t>
      </w:r>
      <w:r w:rsidR="00AE2115" w:rsidRPr="00D02349">
        <w:rPr>
          <w:rFonts w:cs="Arial"/>
          <w:i/>
          <w:sz w:val="20"/>
          <w:szCs w:val="20"/>
        </w:rPr>
        <w:t xml:space="preserve"> regarding urgency and other points of law”.</w:t>
      </w:r>
    </w:p>
    <w:p w14:paraId="6FD403FC" w14:textId="77777777" w:rsidR="00D02349" w:rsidRPr="00D02349" w:rsidRDefault="00D02349" w:rsidP="00D02349">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p>
    <w:p w14:paraId="0A422BD2" w14:textId="7C8E7869" w:rsidR="00B27F77"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[21]</w:t>
      </w:r>
      <w:r>
        <w:rPr>
          <w:rFonts w:cs="Arial"/>
        </w:rPr>
        <w:tab/>
      </w:r>
      <w:r w:rsidR="00665987" w:rsidRPr="00F07285">
        <w:rPr>
          <w:rFonts w:cs="Arial"/>
        </w:rPr>
        <w:t>Notwithstanding the caution</w:t>
      </w:r>
      <w:r w:rsidR="00DA7975">
        <w:rPr>
          <w:rFonts w:cs="Arial"/>
        </w:rPr>
        <w:t xml:space="preserve"> from the respondent</w:t>
      </w:r>
      <w:r w:rsidR="00665987" w:rsidRPr="00F07285">
        <w:rPr>
          <w:rFonts w:cs="Arial"/>
        </w:rPr>
        <w:t xml:space="preserve">, </w:t>
      </w:r>
      <w:r w:rsidR="00DA7975">
        <w:rPr>
          <w:rFonts w:cs="Arial"/>
        </w:rPr>
        <w:t>the second</w:t>
      </w:r>
      <w:r w:rsidR="00F07285" w:rsidRPr="00F07285">
        <w:rPr>
          <w:rFonts w:cs="Arial"/>
        </w:rPr>
        <w:t xml:space="preserve"> urgent contempt</w:t>
      </w:r>
      <w:r w:rsidR="00665987" w:rsidRPr="00F07285">
        <w:rPr>
          <w:rFonts w:cs="Arial"/>
        </w:rPr>
        <w:t xml:space="preserve"> application was launched on 20 July 2023</w:t>
      </w:r>
      <w:r w:rsidR="00DA7975">
        <w:rPr>
          <w:rFonts w:cs="Arial"/>
        </w:rPr>
        <w:t>, enrolled for hearing on 1 August 2023</w:t>
      </w:r>
      <w:r w:rsidR="00665987" w:rsidRPr="00F07285">
        <w:rPr>
          <w:rFonts w:cs="Arial"/>
        </w:rPr>
        <w:t xml:space="preserve">. </w:t>
      </w:r>
      <w:r w:rsidR="00C44AAD" w:rsidRPr="00F07285">
        <w:rPr>
          <w:rFonts w:cs="Arial"/>
        </w:rPr>
        <w:t xml:space="preserve">The current proceedings concern </w:t>
      </w:r>
      <w:r w:rsidR="006E625E" w:rsidRPr="00F07285">
        <w:rPr>
          <w:rFonts w:cs="Arial"/>
        </w:rPr>
        <w:t>th</w:t>
      </w:r>
      <w:r w:rsidR="00B27F77">
        <w:rPr>
          <w:rFonts w:cs="Arial"/>
        </w:rPr>
        <w:t xml:space="preserve">e second </w:t>
      </w:r>
      <w:r w:rsidR="00C44AAD" w:rsidRPr="00F07285">
        <w:rPr>
          <w:rFonts w:cs="Arial"/>
        </w:rPr>
        <w:t>contempt application</w:t>
      </w:r>
      <w:r w:rsidR="00B17373" w:rsidRPr="00F07285">
        <w:rPr>
          <w:rFonts w:cs="Arial"/>
        </w:rPr>
        <w:t>.</w:t>
      </w:r>
      <w:r w:rsidR="00DC6ED3" w:rsidRPr="00F07285">
        <w:rPr>
          <w:rFonts w:cs="Arial"/>
        </w:rPr>
        <w:t xml:space="preserve"> </w:t>
      </w:r>
    </w:p>
    <w:p w14:paraId="56552385" w14:textId="4EB122BC" w:rsidR="008C01C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[22]</w:t>
      </w:r>
      <w:r>
        <w:rPr>
          <w:rFonts w:cs="Arial"/>
        </w:rPr>
        <w:tab/>
      </w:r>
      <w:r w:rsidR="00DC6ED3" w:rsidRPr="008C01C6">
        <w:rPr>
          <w:rFonts w:cs="Arial"/>
        </w:rPr>
        <w:t>The application</w:t>
      </w:r>
      <w:r w:rsidR="007C1856" w:rsidRPr="008C01C6">
        <w:rPr>
          <w:rFonts w:cs="Arial"/>
        </w:rPr>
        <w:t xml:space="preserve"> was enrolled for hearing </w:t>
      </w:r>
      <w:r w:rsidR="008C4F36" w:rsidRPr="008C01C6">
        <w:rPr>
          <w:rFonts w:cs="Arial"/>
        </w:rPr>
        <w:t>b</w:t>
      </w:r>
      <w:r w:rsidR="007C1856" w:rsidRPr="008C01C6">
        <w:rPr>
          <w:rFonts w:cs="Arial"/>
        </w:rPr>
        <w:t xml:space="preserve">efore Opperman J. On the eve of the hearing, </w:t>
      </w:r>
      <w:r w:rsidR="008A1DB6">
        <w:rPr>
          <w:rFonts w:cs="Arial"/>
        </w:rPr>
        <w:t>the applicant’s attorney</w:t>
      </w:r>
      <w:r w:rsidR="007C1856" w:rsidRPr="008C01C6">
        <w:rPr>
          <w:rFonts w:cs="Arial"/>
        </w:rPr>
        <w:t xml:space="preserve"> addressed a letter to Opperman J requesting a postponement due </w:t>
      </w:r>
      <w:r w:rsidR="00B35617" w:rsidRPr="008C01C6">
        <w:rPr>
          <w:rFonts w:cs="Arial"/>
        </w:rPr>
        <w:t>to</w:t>
      </w:r>
      <w:r w:rsidR="00047D92" w:rsidRPr="008C01C6">
        <w:rPr>
          <w:rFonts w:cs="Arial"/>
        </w:rPr>
        <w:t xml:space="preserve"> his </w:t>
      </w:r>
      <w:r w:rsidR="007C1856" w:rsidRPr="008C01C6">
        <w:rPr>
          <w:rFonts w:cs="Arial"/>
        </w:rPr>
        <w:t>illness</w:t>
      </w:r>
      <w:r w:rsidR="008C4F36" w:rsidRPr="008C01C6">
        <w:rPr>
          <w:rFonts w:cs="Arial"/>
        </w:rPr>
        <w:t xml:space="preserve"> and </w:t>
      </w:r>
      <w:r w:rsidR="00047D92" w:rsidRPr="008C01C6">
        <w:rPr>
          <w:rFonts w:cs="Arial"/>
        </w:rPr>
        <w:t>consequent</w:t>
      </w:r>
      <w:r w:rsidR="008C4F36" w:rsidRPr="008C01C6">
        <w:rPr>
          <w:rFonts w:cs="Arial"/>
        </w:rPr>
        <w:t xml:space="preserve"> inability to represent the applicant at the hearing</w:t>
      </w:r>
      <w:r w:rsidR="007C1856" w:rsidRPr="008C01C6">
        <w:rPr>
          <w:rFonts w:cs="Arial"/>
        </w:rPr>
        <w:t xml:space="preserve">. </w:t>
      </w:r>
    </w:p>
    <w:p w14:paraId="4EAD5E2F" w14:textId="095CF860" w:rsidR="00895C47"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[23]</w:t>
      </w:r>
      <w:r>
        <w:rPr>
          <w:rFonts w:cs="Arial"/>
        </w:rPr>
        <w:tab/>
      </w:r>
      <w:r w:rsidR="007C1856" w:rsidRPr="008C01C6">
        <w:rPr>
          <w:rFonts w:cs="Arial"/>
        </w:rPr>
        <w:t>At the hearing on 1 August 2023, the applican</w:t>
      </w:r>
      <w:r w:rsidR="008A1DB6">
        <w:rPr>
          <w:rFonts w:cs="Arial"/>
        </w:rPr>
        <w:t xml:space="preserve">t’s </w:t>
      </w:r>
      <w:r w:rsidR="000A7FA6">
        <w:rPr>
          <w:rFonts w:cs="Arial"/>
        </w:rPr>
        <w:t xml:space="preserve">attorney’s </w:t>
      </w:r>
      <w:r w:rsidR="007C1856" w:rsidRPr="008C01C6">
        <w:rPr>
          <w:rFonts w:cs="Arial"/>
        </w:rPr>
        <w:t xml:space="preserve">candidate attorney, </w:t>
      </w:r>
      <w:r w:rsidR="008A1DB6">
        <w:rPr>
          <w:rFonts w:cs="Arial"/>
        </w:rPr>
        <w:t>Mr Qakayi</w:t>
      </w:r>
      <w:r w:rsidR="000A7FA6">
        <w:rPr>
          <w:rFonts w:cs="Arial"/>
        </w:rPr>
        <w:t>, appeared and</w:t>
      </w:r>
      <w:r w:rsidR="008A1DB6">
        <w:rPr>
          <w:rFonts w:cs="Arial"/>
        </w:rPr>
        <w:t xml:space="preserve"> </w:t>
      </w:r>
      <w:r w:rsidR="008C01C6">
        <w:rPr>
          <w:rFonts w:cs="Arial"/>
        </w:rPr>
        <w:t>sought</w:t>
      </w:r>
      <w:r w:rsidR="007C1856" w:rsidRPr="008C01C6">
        <w:rPr>
          <w:rFonts w:cs="Arial"/>
        </w:rPr>
        <w:t xml:space="preserve"> a postponement of the matter to 8 August 2023.</w:t>
      </w:r>
      <w:r w:rsidR="008A1DB6">
        <w:rPr>
          <w:rFonts w:cs="Arial"/>
        </w:rPr>
        <w:t xml:space="preserve"> </w:t>
      </w:r>
      <w:r w:rsidR="007C1856" w:rsidRPr="008C01C6">
        <w:rPr>
          <w:rFonts w:cs="Arial"/>
        </w:rPr>
        <w:t xml:space="preserve"> The respondent objected to </w:t>
      </w:r>
      <w:r w:rsidR="008C01C6">
        <w:rPr>
          <w:rFonts w:cs="Arial"/>
        </w:rPr>
        <w:t>such</w:t>
      </w:r>
      <w:r w:rsidR="007C1856" w:rsidRPr="008C01C6">
        <w:rPr>
          <w:rFonts w:cs="Arial"/>
        </w:rPr>
        <w:t xml:space="preserve"> postponement and argued that the matter should be removed from the rol</w:t>
      </w:r>
      <w:r w:rsidR="00580E65" w:rsidRPr="008C01C6">
        <w:rPr>
          <w:rFonts w:cs="Arial"/>
        </w:rPr>
        <w:t xml:space="preserve">l as the matter was not urgent, having been considered and struck off </w:t>
      </w:r>
      <w:r w:rsidR="00834706">
        <w:rPr>
          <w:rFonts w:cs="Arial"/>
        </w:rPr>
        <w:t xml:space="preserve">the urgent roll </w:t>
      </w:r>
      <w:r w:rsidR="00580E65" w:rsidRPr="008C01C6">
        <w:rPr>
          <w:rFonts w:cs="Arial"/>
        </w:rPr>
        <w:t>for lack of urgency by Motha J</w:t>
      </w:r>
      <w:r w:rsidR="007C1856" w:rsidRPr="008C01C6">
        <w:rPr>
          <w:rFonts w:cs="Arial"/>
        </w:rPr>
        <w:t xml:space="preserve">. </w:t>
      </w:r>
      <w:r w:rsidR="008A1DB6">
        <w:rPr>
          <w:rFonts w:cs="Arial"/>
        </w:rPr>
        <w:t xml:space="preserve"> The applicant’s attorney did not brief counsel to attend the matter</w:t>
      </w:r>
      <w:r w:rsidR="00834706">
        <w:rPr>
          <w:rFonts w:cs="Arial"/>
        </w:rPr>
        <w:t>,</w:t>
      </w:r>
      <w:r w:rsidR="008A1DB6">
        <w:rPr>
          <w:rFonts w:cs="Arial"/>
        </w:rPr>
        <w:t xml:space="preserve"> but instead simply sent his candidate attorney</w:t>
      </w:r>
      <w:r w:rsidR="001C79D6">
        <w:rPr>
          <w:rFonts w:cs="Arial"/>
        </w:rPr>
        <w:t>,</w:t>
      </w:r>
      <w:r w:rsidR="008A1DB6">
        <w:rPr>
          <w:rFonts w:cs="Arial"/>
        </w:rPr>
        <w:t xml:space="preserve"> who he would have known had no right of appearance</w:t>
      </w:r>
      <w:r w:rsidR="000A7FA6">
        <w:rPr>
          <w:rFonts w:cs="Arial"/>
        </w:rPr>
        <w:t xml:space="preserve"> in the High Court</w:t>
      </w:r>
      <w:r w:rsidR="008A1DB6">
        <w:rPr>
          <w:rFonts w:cs="Arial"/>
        </w:rPr>
        <w:t>, to seek a postponement.</w:t>
      </w:r>
    </w:p>
    <w:p w14:paraId="6E355019" w14:textId="6A9C4DAE" w:rsidR="00B17373" w:rsidRPr="008C01C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8C01C6">
        <w:rPr>
          <w:rFonts w:cs="Arial"/>
        </w:rPr>
        <w:t>[24]</w:t>
      </w:r>
      <w:r w:rsidRPr="008C01C6">
        <w:rPr>
          <w:rFonts w:cs="Arial"/>
        </w:rPr>
        <w:tab/>
      </w:r>
      <w:r w:rsidR="007C1856" w:rsidRPr="008C01C6">
        <w:rPr>
          <w:rFonts w:cs="Arial"/>
        </w:rPr>
        <w:t xml:space="preserve">After </w:t>
      </w:r>
      <w:r w:rsidR="000A7FA6">
        <w:rPr>
          <w:rFonts w:cs="Arial"/>
        </w:rPr>
        <w:t>consideration</w:t>
      </w:r>
      <w:r w:rsidR="007C1856" w:rsidRPr="008C01C6">
        <w:rPr>
          <w:rFonts w:cs="Arial"/>
        </w:rPr>
        <w:t>, Opperman J removed the matter from the roll and reserved costs.</w:t>
      </w:r>
    </w:p>
    <w:p w14:paraId="3E1C75CD" w14:textId="2A466BA4" w:rsidR="00B35617"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[25]</w:t>
      </w:r>
      <w:r>
        <w:rPr>
          <w:rFonts w:cs="Arial"/>
        </w:rPr>
        <w:tab/>
      </w:r>
      <w:r w:rsidR="00B35617">
        <w:rPr>
          <w:rFonts w:cs="Arial"/>
        </w:rPr>
        <w:t>It was undisputed that during the course of th</w:t>
      </w:r>
      <w:r w:rsidR="000A7FA6">
        <w:rPr>
          <w:rFonts w:cs="Arial"/>
        </w:rPr>
        <w:t>os</w:t>
      </w:r>
      <w:r w:rsidR="00B35617">
        <w:rPr>
          <w:rFonts w:cs="Arial"/>
        </w:rPr>
        <w:t>e proceedings</w:t>
      </w:r>
      <w:r w:rsidR="008C01C6">
        <w:rPr>
          <w:rFonts w:cs="Arial"/>
        </w:rPr>
        <w:t>,</w:t>
      </w:r>
      <w:r w:rsidR="00B35617">
        <w:rPr>
          <w:rFonts w:cs="Arial"/>
        </w:rPr>
        <w:t xml:space="preserve"> Opperman J cautioned </w:t>
      </w:r>
      <w:r w:rsidR="008C01C6">
        <w:rPr>
          <w:rFonts w:cs="Arial"/>
        </w:rPr>
        <w:t>the applicant</w:t>
      </w:r>
      <w:r w:rsidR="0009754C">
        <w:rPr>
          <w:rFonts w:cs="Arial"/>
        </w:rPr>
        <w:t xml:space="preserve"> </w:t>
      </w:r>
      <w:r w:rsidR="00B35617">
        <w:rPr>
          <w:rFonts w:cs="Arial"/>
        </w:rPr>
        <w:t xml:space="preserve">against </w:t>
      </w:r>
      <w:r w:rsidR="008C01C6">
        <w:rPr>
          <w:rFonts w:cs="Arial"/>
        </w:rPr>
        <w:t xml:space="preserve">again </w:t>
      </w:r>
      <w:r w:rsidR="00B35617">
        <w:rPr>
          <w:rFonts w:cs="Arial"/>
        </w:rPr>
        <w:t>enrolling the application on an urgent basis</w:t>
      </w:r>
      <w:r w:rsidR="008C01C6">
        <w:rPr>
          <w:rFonts w:cs="Arial"/>
        </w:rPr>
        <w:t xml:space="preserve"> and warned that</w:t>
      </w:r>
      <w:r w:rsidR="00527CFC">
        <w:rPr>
          <w:rFonts w:cs="Arial"/>
        </w:rPr>
        <w:t xml:space="preserve"> it could result in an adverse costs order.</w:t>
      </w:r>
      <w:r w:rsidR="00580E65">
        <w:rPr>
          <w:rFonts w:cs="Arial"/>
        </w:rPr>
        <w:t xml:space="preserve"> </w:t>
      </w:r>
      <w:r w:rsidR="008C01C6">
        <w:rPr>
          <w:rFonts w:cs="Arial"/>
        </w:rPr>
        <w:t xml:space="preserve">The applicant was further </w:t>
      </w:r>
      <w:r w:rsidR="00580E65">
        <w:rPr>
          <w:rFonts w:cs="Arial"/>
        </w:rPr>
        <w:t>warned about th</w:t>
      </w:r>
      <w:r w:rsidR="00527CFC">
        <w:rPr>
          <w:rFonts w:cs="Arial"/>
        </w:rPr>
        <w:t>e</w:t>
      </w:r>
      <w:r w:rsidR="00580E65">
        <w:rPr>
          <w:rFonts w:cs="Arial"/>
        </w:rPr>
        <w:t xml:space="preserve"> </w:t>
      </w:r>
      <w:r w:rsidR="008C01C6">
        <w:rPr>
          <w:rFonts w:cs="Arial"/>
        </w:rPr>
        <w:t xml:space="preserve">proper </w:t>
      </w:r>
      <w:r w:rsidR="00580E65">
        <w:rPr>
          <w:rFonts w:cs="Arial"/>
        </w:rPr>
        <w:t>process</w:t>
      </w:r>
      <w:r w:rsidR="008C01C6">
        <w:rPr>
          <w:rFonts w:cs="Arial"/>
        </w:rPr>
        <w:t xml:space="preserve">es and </w:t>
      </w:r>
      <w:r w:rsidR="000A7FA6">
        <w:rPr>
          <w:rFonts w:cs="Arial"/>
        </w:rPr>
        <w:t xml:space="preserve">advised </w:t>
      </w:r>
      <w:r w:rsidR="008C01C6">
        <w:rPr>
          <w:rFonts w:cs="Arial"/>
        </w:rPr>
        <w:t>that</w:t>
      </w:r>
      <w:r w:rsidR="00580E65">
        <w:rPr>
          <w:rFonts w:cs="Arial"/>
        </w:rPr>
        <w:t xml:space="preserve"> the rescission application could be determined in</w:t>
      </w:r>
      <w:r w:rsidR="00527CFC">
        <w:rPr>
          <w:rFonts w:cs="Arial"/>
        </w:rPr>
        <w:t xml:space="preserve"> </w:t>
      </w:r>
      <w:r w:rsidR="00580E65">
        <w:rPr>
          <w:rFonts w:cs="Arial"/>
        </w:rPr>
        <w:t>the fullness of time.</w:t>
      </w:r>
      <w:r w:rsidR="00B35617">
        <w:rPr>
          <w:rFonts w:cs="Arial"/>
        </w:rPr>
        <w:t xml:space="preserve"> </w:t>
      </w:r>
      <w:r w:rsidR="008C4F36">
        <w:rPr>
          <w:rFonts w:cs="Arial"/>
        </w:rPr>
        <w:t>This</w:t>
      </w:r>
      <w:r w:rsidR="00B35617">
        <w:rPr>
          <w:rFonts w:cs="Arial"/>
        </w:rPr>
        <w:t xml:space="preserve"> caution was, on instruction</w:t>
      </w:r>
      <w:r w:rsidR="008C4F36">
        <w:rPr>
          <w:rFonts w:cs="Arial"/>
        </w:rPr>
        <w:t xml:space="preserve"> of Opperman J</w:t>
      </w:r>
      <w:r w:rsidR="00B35617">
        <w:rPr>
          <w:rFonts w:cs="Arial"/>
        </w:rPr>
        <w:t>, conveyed to Mr Seloane by the respondent’s counsel</w:t>
      </w:r>
      <w:r w:rsidR="00580E65">
        <w:rPr>
          <w:rFonts w:cs="Arial"/>
        </w:rPr>
        <w:t xml:space="preserve"> </w:t>
      </w:r>
      <w:r w:rsidR="000A7FA6">
        <w:rPr>
          <w:rFonts w:cs="Arial"/>
        </w:rPr>
        <w:t>by way of correspondence, the contents of which wa</w:t>
      </w:r>
      <w:r w:rsidR="00834706">
        <w:rPr>
          <w:rFonts w:cs="Arial"/>
        </w:rPr>
        <w:t>s</w:t>
      </w:r>
      <w:r w:rsidR="00580E65">
        <w:rPr>
          <w:rFonts w:cs="Arial"/>
        </w:rPr>
        <w:t xml:space="preserve"> confirmed by the candidate attorney, Mr Qakayi</w:t>
      </w:r>
      <w:r w:rsidR="00B35617">
        <w:rPr>
          <w:rFonts w:cs="Arial"/>
        </w:rPr>
        <w:t>.</w:t>
      </w:r>
    </w:p>
    <w:p w14:paraId="5AC6449D" w14:textId="047C293B" w:rsidR="008C01C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[26]</w:t>
      </w:r>
      <w:r>
        <w:rPr>
          <w:rFonts w:cs="Arial"/>
        </w:rPr>
        <w:tab/>
      </w:r>
      <w:r w:rsidR="00AF1D7B">
        <w:rPr>
          <w:rFonts w:cs="Arial"/>
        </w:rPr>
        <w:t xml:space="preserve">Undeterred, </w:t>
      </w:r>
      <w:r w:rsidR="008A1DB6">
        <w:rPr>
          <w:rFonts w:cs="Arial"/>
        </w:rPr>
        <w:t>the applicant’s attorney</w:t>
      </w:r>
      <w:r w:rsidR="00834FED" w:rsidRPr="00834FED">
        <w:rPr>
          <w:rFonts w:cs="Arial"/>
        </w:rPr>
        <w:t xml:space="preserve"> </w:t>
      </w:r>
      <w:r w:rsidR="00B35617">
        <w:rPr>
          <w:rFonts w:cs="Arial"/>
        </w:rPr>
        <w:t xml:space="preserve">however </w:t>
      </w:r>
      <w:r w:rsidR="00834FED" w:rsidRPr="00834FED">
        <w:rPr>
          <w:rFonts w:cs="Arial"/>
        </w:rPr>
        <w:t>simply re</w:t>
      </w:r>
      <w:r w:rsidR="00834706">
        <w:rPr>
          <w:rFonts w:cs="Arial"/>
        </w:rPr>
        <w:t>-</w:t>
      </w:r>
      <w:r w:rsidR="00834FED" w:rsidRPr="00834FED">
        <w:rPr>
          <w:rFonts w:cs="Arial"/>
        </w:rPr>
        <w:t xml:space="preserve">enrolled the application for hearing on </w:t>
      </w:r>
      <w:r w:rsidR="000A7FA6">
        <w:rPr>
          <w:rFonts w:cs="Arial"/>
        </w:rPr>
        <w:t xml:space="preserve">the urgent roll of </w:t>
      </w:r>
      <w:r w:rsidR="00834FED" w:rsidRPr="00834FED">
        <w:rPr>
          <w:rFonts w:cs="Arial"/>
        </w:rPr>
        <w:t xml:space="preserve">8 August 2023, </w:t>
      </w:r>
      <w:r w:rsidR="008A1DB6">
        <w:rPr>
          <w:rFonts w:cs="Arial"/>
        </w:rPr>
        <w:t xml:space="preserve">disturbingly </w:t>
      </w:r>
      <w:r w:rsidR="00834FED" w:rsidRPr="00834FED">
        <w:rPr>
          <w:rFonts w:cs="Arial"/>
        </w:rPr>
        <w:t xml:space="preserve">without notifying the respondent’s attorneys </w:t>
      </w:r>
      <w:r w:rsidR="000A7FA6">
        <w:rPr>
          <w:rFonts w:cs="Arial"/>
        </w:rPr>
        <w:t xml:space="preserve">of the enrollment </w:t>
      </w:r>
      <w:r w:rsidR="00834FED" w:rsidRPr="00834FED">
        <w:rPr>
          <w:rFonts w:cs="Arial"/>
        </w:rPr>
        <w:t>and without serving a notice of set down</w:t>
      </w:r>
      <w:r w:rsidR="00895C47">
        <w:rPr>
          <w:rFonts w:cs="Arial"/>
        </w:rPr>
        <w:t xml:space="preserve"> on them</w:t>
      </w:r>
      <w:r w:rsidR="00834FED" w:rsidRPr="00834FED">
        <w:rPr>
          <w:rFonts w:cs="Arial"/>
        </w:rPr>
        <w:t xml:space="preserve">. </w:t>
      </w:r>
    </w:p>
    <w:p w14:paraId="03229A82" w14:textId="0297614B" w:rsidR="0009754C"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[27]</w:t>
      </w:r>
      <w:r>
        <w:rPr>
          <w:rFonts w:cs="Arial"/>
        </w:rPr>
        <w:tab/>
      </w:r>
      <w:r w:rsidR="00AF1D7B">
        <w:rPr>
          <w:rFonts w:cs="Arial"/>
        </w:rPr>
        <w:t xml:space="preserve">In doing so </w:t>
      </w:r>
      <w:r w:rsidR="00327C3D">
        <w:rPr>
          <w:rFonts w:cs="Arial"/>
        </w:rPr>
        <w:t>Mr Seloane</w:t>
      </w:r>
      <w:r w:rsidR="00AF1D7B">
        <w:rPr>
          <w:rFonts w:cs="Arial"/>
        </w:rPr>
        <w:t xml:space="preserve"> effectively disregarded the decision of Opperman J not to grant the applicant the postponement </w:t>
      </w:r>
      <w:r w:rsidR="008C5EDB">
        <w:rPr>
          <w:rFonts w:cs="Arial"/>
        </w:rPr>
        <w:t xml:space="preserve">which was </w:t>
      </w:r>
      <w:r w:rsidR="00AF1D7B">
        <w:rPr>
          <w:rFonts w:cs="Arial"/>
        </w:rPr>
        <w:t>sought</w:t>
      </w:r>
      <w:r w:rsidR="008C5EDB">
        <w:rPr>
          <w:rFonts w:cs="Arial"/>
        </w:rPr>
        <w:t xml:space="preserve"> in the hearing before her</w:t>
      </w:r>
      <w:r w:rsidR="00895C47">
        <w:rPr>
          <w:rFonts w:cs="Arial"/>
        </w:rPr>
        <w:t xml:space="preserve"> and ignored her caution. </w:t>
      </w:r>
    </w:p>
    <w:p w14:paraId="399C2793" w14:textId="3E9C05CD" w:rsidR="00B35617"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[28]</w:t>
      </w:r>
      <w:r>
        <w:rPr>
          <w:rFonts w:cs="Arial"/>
        </w:rPr>
        <w:tab/>
      </w:r>
      <w:r w:rsidR="008C01C6">
        <w:rPr>
          <w:rFonts w:cs="Arial"/>
        </w:rPr>
        <w:t>T</w:t>
      </w:r>
      <w:r w:rsidR="008C5EDB">
        <w:rPr>
          <w:rFonts w:cs="Arial"/>
        </w:rPr>
        <w:t xml:space="preserve">he </w:t>
      </w:r>
      <w:r w:rsidR="0009754C">
        <w:rPr>
          <w:rFonts w:cs="Arial"/>
        </w:rPr>
        <w:t>a</w:t>
      </w:r>
      <w:r w:rsidR="008C5EDB">
        <w:rPr>
          <w:rFonts w:cs="Arial"/>
        </w:rPr>
        <w:t xml:space="preserve">pplicant’s </w:t>
      </w:r>
      <w:r w:rsidR="00B35617">
        <w:rPr>
          <w:rFonts w:cs="Arial"/>
        </w:rPr>
        <w:t xml:space="preserve">replying affidavit was </w:t>
      </w:r>
      <w:r w:rsidR="002763FA">
        <w:rPr>
          <w:rFonts w:cs="Arial"/>
        </w:rPr>
        <w:t xml:space="preserve">not delivered prior to the hearing of 1 August 2023. It was </w:t>
      </w:r>
      <w:r w:rsidR="008C5EDB">
        <w:rPr>
          <w:rFonts w:cs="Arial"/>
        </w:rPr>
        <w:t xml:space="preserve">only </w:t>
      </w:r>
      <w:r w:rsidR="00B35617">
        <w:rPr>
          <w:rFonts w:cs="Arial"/>
        </w:rPr>
        <w:t>uploaded onto the electronic platform on Monday 7 August 2023</w:t>
      </w:r>
      <w:r w:rsidR="00327C3D">
        <w:rPr>
          <w:rFonts w:cs="Arial"/>
        </w:rPr>
        <w:t>, the day before the hearing</w:t>
      </w:r>
      <w:r w:rsidR="00B35617">
        <w:rPr>
          <w:rFonts w:cs="Arial"/>
        </w:rPr>
        <w:t>. The document does not reflect that any service thereof was effected on the respondent’s attorneys.</w:t>
      </w:r>
      <w:r w:rsidR="00834FED" w:rsidRPr="00834FED">
        <w:rPr>
          <w:rFonts w:cs="Arial"/>
        </w:rPr>
        <w:t xml:space="preserve"> </w:t>
      </w:r>
    </w:p>
    <w:p w14:paraId="666F4A9E" w14:textId="499D9CFA" w:rsidR="00834FED"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[29]</w:t>
      </w:r>
      <w:r>
        <w:rPr>
          <w:rFonts w:cs="Arial"/>
        </w:rPr>
        <w:tab/>
      </w:r>
      <w:r w:rsidR="00834FED" w:rsidRPr="00834FED">
        <w:rPr>
          <w:rFonts w:cs="Arial"/>
        </w:rPr>
        <w:t>When counsel for the applicant appeared on Tuesday the 8</w:t>
      </w:r>
      <w:r w:rsidR="00834FED" w:rsidRPr="00834FED">
        <w:rPr>
          <w:rFonts w:cs="Arial"/>
          <w:vertAlign w:val="superscript"/>
        </w:rPr>
        <w:t>th</w:t>
      </w:r>
      <w:r w:rsidR="00834FED" w:rsidRPr="00834FED">
        <w:rPr>
          <w:rFonts w:cs="Arial"/>
        </w:rPr>
        <w:t xml:space="preserve"> of August</w:t>
      </w:r>
      <w:r w:rsidR="00F4658F">
        <w:rPr>
          <w:rFonts w:cs="Arial"/>
        </w:rPr>
        <w:t xml:space="preserve"> 2023</w:t>
      </w:r>
      <w:r w:rsidR="008C5EDB">
        <w:rPr>
          <w:rFonts w:cs="Arial"/>
        </w:rPr>
        <w:t>,</w:t>
      </w:r>
      <w:r w:rsidR="00834FED" w:rsidRPr="00834FED">
        <w:rPr>
          <w:rFonts w:cs="Arial"/>
        </w:rPr>
        <w:t xml:space="preserve"> </w:t>
      </w:r>
      <w:r w:rsidR="00B2166A">
        <w:rPr>
          <w:rFonts w:cs="Arial"/>
        </w:rPr>
        <w:t xml:space="preserve">it was </w:t>
      </w:r>
      <w:r w:rsidR="00834FED" w:rsidRPr="00834FED">
        <w:rPr>
          <w:rFonts w:cs="Arial"/>
        </w:rPr>
        <w:t>not br</w:t>
      </w:r>
      <w:r w:rsidR="00B2166A">
        <w:rPr>
          <w:rFonts w:cs="Arial"/>
        </w:rPr>
        <w:t>ought</w:t>
      </w:r>
      <w:r w:rsidR="00834FED" w:rsidRPr="00834FED">
        <w:rPr>
          <w:rFonts w:cs="Arial"/>
        </w:rPr>
        <w:t xml:space="preserve"> to my attention that no notice of </w:t>
      </w:r>
      <w:r w:rsidR="00F0105C" w:rsidRPr="00834FED">
        <w:rPr>
          <w:rFonts w:cs="Arial"/>
        </w:rPr>
        <w:t>set down</w:t>
      </w:r>
      <w:r w:rsidR="00834FED" w:rsidRPr="00834FED">
        <w:rPr>
          <w:rFonts w:cs="Arial"/>
        </w:rPr>
        <w:t xml:space="preserve"> had been served</w:t>
      </w:r>
      <w:r w:rsidR="00B2166A">
        <w:rPr>
          <w:rFonts w:cs="Arial"/>
        </w:rPr>
        <w:t xml:space="preserve"> on the respondent</w:t>
      </w:r>
      <w:r w:rsidR="00834FED" w:rsidRPr="00834FED">
        <w:rPr>
          <w:rFonts w:cs="Arial"/>
        </w:rPr>
        <w:t xml:space="preserve">. </w:t>
      </w:r>
      <w:r w:rsidR="00DF2491">
        <w:rPr>
          <w:rFonts w:cs="Arial"/>
        </w:rPr>
        <w:t xml:space="preserve">The respondent’s counsel was not present. </w:t>
      </w:r>
      <w:r w:rsidR="00834FED" w:rsidRPr="00834FED">
        <w:rPr>
          <w:rFonts w:cs="Arial"/>
        </w:rPr>
        <w:t xml:space="preserve">As </w:t>
      </w:r>
      <w:r w:rsidR="00B2166A">
        <w:rPr>
          <w:rFonts w:cs="Arial"/>
        </w:rPr>
        <w:t xml:space="preserve">it was clear that </w:t>
      </w:r>
      <w:r w:rsidR="00834FED" w:rsidRPr="00834FED">
        <w:rPr>
          <w:rFonts w:cs="Arial"/>
        </w:rPr>
        <w:t xml:space="preserve">the application was opposed, I instructed </w:t>
      </w:r>
      <w:r w:rsidR="00DF2491">
        <w:rPr>
          <w:rFonts w:cs="Arial"/>
        </w:rPr>
        <w:t xml:space="preserve">the applicant’s </w:t>
      </w:r>
      <w:r w:rsidR="00834FED" w:rsidRPr="00834FED">
        <w:rPr>
          <w:rFonts w:cs="Arial"/>
        </w:rPr>
        <w:t xml:space="preserve">counsel to make contact with his </w:t>
      </w:r>
      <w:r w:rsidR="00834FED" w:rsidRPr="00834FED">
        <w:rPr>
          <w:rFonts w:cs="Arial"/>
        </w:rPr>
        <w:lastRenderedPageBreak/>
        <w:t>opponent so that they could both appear in the matter</w:t>
      </w:r>
      <w:r w:rsidR="00B2166A">
        <w:rPr>
          <w:rFonts w:cs="Arial"/>
        </w:rPr>
        <w:t xml:space="preserve"> simultaneously before it could be heard</w:t>
      </w:r>
      <w:r w:rsidR="00834FED" w:rsidRPr="00834FED">
        <w:rPr>
          <w:rFonts w:cs="Arial"/>
        </w:rPr>
        <w:t xml:space="preserve">. </w:t>
      </w:r>
    </w:p>
    <w:p w14:paraId="06049F9E" w14:textId="1E9B5F24" w:rsidR="00B2166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[30]</w:t>
      </w:r>
      <w:r>
        <w:rPr>
          <w:rFonts w:cs="Arial"/>
        </w:rPr>
        <w:tab/>
      </w:r>
      <w:r w:rsidR="00834FED" w:rsidRPr="00EB3404">
        <w:rPr>
          <w:rFonts w:cs="Arial"/>
        </w:rPr>
        <w:t xml:space="preserve">When </w:t>
      </w:r>
      <w:r w:rsidR="00327C3D">
        <w:rPr>
          <w:rFonts w:cs="Arial"/>
        </w:rPr>
        <w:t xml:space="preserve">the respondent’s counsel, </w:t>
      </w:r>
      <w:r w:rsidR="00F176FF">
        <w:rPr>
          <w:rFonts w:cs="Arial"/>
        </w:rPr>
        <w:t xml:space="preserve">Adv Lindazwe, </w:t>
      </w:r>
      <w:r w:rsidR="00834FED" w:rsidRPr="00EB3404">
        <w:rPr>
          <w:rFonts w:cs="Arial"/>
        </w:rPr>
        <w:t xml:space="preserve">appeared, I was informed </w:t>
      </w:r>
      <w:r w:rsidR="00DF2491">
        <w:rPr>
          <w:rFonts w:cs="Arial"/>
        </w:rPr>
        <w:t xml:space="preserve">by her </w:t>
      </w:r>
      <w:r w:rsidR="00834FED" w:rsidRPr="00EB3404">
        <w:rPr>
          <w:rFonts w:cs="Arial"/>
        </w:rPr>
        <w:t>that</w:t>
      </w:r>
      <w:r w:rsidR="00DF2491">
        <w:rPr>
          <w:rFonts w:cs="Arial"/>
        </w:rPr>
        <w:t>,</w:t>
      </w:r>
      <w:r w:rsidR="00834FED" w:rsidRPr="00EB3404">
        <w:rPr>
          <w:rFonts w:cs="Arial"/>
        </w:rPr>
        <w:t xml:space="preserve"> had it not </w:t>
      </w:r>
      <w:r w:rsidR="00F0105C" w:rsidRPr="00EB3404">
        <w:rPr>
          <w:rFonts w:cs="Arial"/>
        </w:rPr>
        <w:t xml:space="preserve">been </w:t>
      </w:r>
      <w:r w:rsidR="00F0105C">
        <w:rPr>
          <w:rFonts w:cs="Arial"/>
        </w:rPr>
        <w:t>for</w:t>
      </w:r>
      <w:r w:rsidR="00834FED" w:rsidRPr="00EB3404">
        <w:rPr>
          <w:rFonts w:cs="Arial"/>
        </w:rPr>
        <w:t xml:space="preserve"> my instruction, the respondent would </w:t>
      </w:r>
      <w:r w:rsidR="00B2166A">
        <w:rPr>
          <w:rFonts w:cs="Arial"/>
        </w:rPr>
        <w:t xml:space="preserve">have </w:t>
      </w:r>
      <w:r w:rsidR="00834FED" w:rsidRPr="00EB3404">
        <w:rPr>
          <w:rFonts w:cs="Arial"/>
        </w:rPr>
        <w:t>be</w:t>
      </w:r>
      <w:r w:rsidR="00B2166A">
        <w:rPr>
          <w:rFonts w:cs="Arial"/>
        </w:rPr>
        <w:t>en</w:t>
      </w:r>
      <w:r w:rsidR="00834FED" w:rsidRPr="00EB3404">
        <w:rPr>
          <w:rFonts w:cs="Arial"/>
        </w:rPr>
        <w:t xml:space="preserve"> unaware that the application had been re</w:t>
      </w:r>
      <w:r w:rsidR="00DF2491">
        <w:rPr>
          <w:rFonts w:cs="Arial"/>
        </w:rPr>
        <w:t>-</w:t>
      </w:r>
      <w:r w:rsidR="00834FED" w:rsidRPr="00EB3404">
        <w:rPr>
          <w:rFonts w:cs="Arial"/>
        </w:rPr>
        <w:t>e</w:t>
      </w:r>
      <w:r w:rsidR="00CF3AC7">
        <w:rPr>
          <w:rFonts w:cs="Arial"/>
        </w:rPr>
        <w:t xml:space="preserve">nrolled on the </w:t>
      </w:r>
      <w:r w:rsidR="001C79D6">
        <w:rPr>
          <w:rFonts w:cs="Arial"/>
        </w:rPr>
        <w:t>u</w:t>
      </w:r>
      <w:r w:rsidR="00CF3AC7">
        <w:rPr>
          <w:rFonts w:cs="Arial"/>
        </w:rPr>
        <w:t xml:space="preserve">rgent </w:t>
      </w:r>
      <w:r w:rsidR="001C79D6">
        <w:rPr>
          <w:rFonts w:cs="Arial"/>
        </w:rPr>
        <w:t>c</w:t>
      </w:r>
      <w:r w:rsidR="00834FED">
        <w:rPr>
          <w:rFonts w:cs="Arial"/>
        </w:rPr>
        <w:t>ourt roll</w:t>
      </w:r>
      <w:r w:rsidR="00DF2491">
        <w:rPr>
          <w:rFonts w:cs="Arial"/>
        </w:rPr>
        <w:t xml:space="preserve"> and that no notice of set down had been served on the respondent’s attorney of record.</w:t>
      </w:r>
      <w:r w:rsidR="00834FED">
        <w:rPr>
          <w:rFonts w:cs="Arial"/>
        </w:rPr>
        <w:t xml:space="preserve"> </w:t>
      </w:r>
      <w:r w:rsidR="00895C47">
        <w:rPr>
          <w:rFonts w:cs="Arial"/>
        </w:rPr>
        <w:t>That submission was not disputed.</w:t>
      </w:r>
    </w:p>
    <w:p w14:paraId="73FEBB0B" w14:textId="513CA539" w:rsidR="00F176FF"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[31]</w:t>
      </w:r>
      <w:r>
        <w:rPr>
          <w:rFonts w:cs="Arial"/>
        </w:rPr>
        <w:tab/>
      </w:r>
      <w:r w:rsidR="00F176FF">
        <w:rPr>
          <w:rFonts w:cs="Arial"/>
        </w:rPr>
        <w:t xml:space="preserve">It is </w:t>
      </w:r>
      <w:r w:rsidR="00A706E9">
        <w:rPr>
          <w:rFonts w:cs="Arial"/>
        </w:rPr>
        <w:t xml:space="preserve">disconcerting </w:t>
      </w:r>
      <w:r w:rsidR="00F176FF">
        <w:rPr>
          <w:rFonts w:cs="Arial"/>
        </w:rPr>
        <w:t xml:space="preserve">that the applicant’s attorney believed he could blatantly </w:t>
      </w:r>
      <w:r w:rsidR="00A706E9">
        <w:rPr>
          <w:rFonts w:cs="Arial"/>
        </w:rPr>
        <w:t>exclude</w:t>
      </w:r>
      <w:r w:rsidR="00F176FF">
        <w:rPr>
          <w:rFonts w:cs="Arial"/>
        </w:rPr>
        <w:t xml:space="preserve"> the </w:t>
      </w:r>
      <w:r w:rsidR="00A706E9">
        <w:rPr>
          <w:rFonts w:cs="Arial"/>
        </w:rPr>
        <w:t>respondent from the further proceedings, given the history of the litigation.</w:t>
      </w:r>
    </w:p>
    <w:p w14:paraId="47D9B7F3" w14:textId="6CF36A29" w:rsidR="00DF2491"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[32]</w:t>
      </w:r>
      <w:r>
        <w:rPr>
          <w:rFonts w:cs="Arial"/>
        </w:rPr>
        <w:tab/>
      </w:r>
      <w:r w:rsidR="00895C47">
        <w:rPr>
          <w:rFonts w:cs="Arial"/>
        </w:rPr>
        <w:t xml:space="preserve">In the second contempt application, the following substantive relief was sought: </w:t>
      </w:r>
      <w:r w:rsidR="00B2166A">
        <w:rPr>
          <w:rFonts w:cs="Arial"/>
        </w:rPr>
        <w:t xml:space="preserve"> </w:t>
      </w:r>
    </w:p>
    <w:p w14:paraId="20A191D2" w14:textId="52DACF13" w:rsidR="00327C3D" w:rsidRDefault="00895C47" w:rsidP="008C01C6">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r w:rsidRPr="00DA7975">
        <w:rPr>
          <w:rFonts w:cs="Arial"/>
          <w:i/>
          <w:sz w:val="20"/>
          <w:szCs w:val="20"/>
        </w:rPr>
        <w:t xml:space="preserve"> </w:t>
      </w:r>
      <w:r w:rsidR="008C01C6" w:rsidRPr="00DA7975">
        <w:rPr>
          <w:rFonts w:cs="Arial"/>
          <w:i/>
          <w:sz w:val="20"/>
          <w:szCs w:val="20"/>
        </w:rPr>
        <w:t>“</w:t>
      </w:r>
      <w:r w:rsidR="008C01C6">
        <w:rPr>
          <w:rFonts w:cs="Arial"/>
          <w:i/>
          <w:sz w:val="20"/>
          <w:szCs w:val="20"/>
        </w:rPr>
        <w:t>2</w:t>
      </w:r>
      <w:r w:rsidR="00327C3D">
        <w:rPr>
          <w:rFonts w:cs="Arial"/>
          <w:i/>
          <w:sz w:val="20"/>
          <w:szCs w:val="20"/>
        </w:rPr>
        <w:t xml:space="preserve"> </w:t>
      </w:r>
      <w:r w:rsidR="008C01C6">
        <w:rPr>
          <w:rFonts w:cs="Arial"/>
          <w:i/>
          <w:sz w:val="20"/>
          <w:szCs w:val="20"/>
        </w:rPr>
        <w:t xml:space="preserve"> </w:t>
      </w:r>
      <w:r w:rsidR="008C01C6" w:rsidRPr="00DA7975">
        <w:rPr>
          <w:rFonts w:cs="Arial"/>
          <w:i/>
          <w:sz w:val="20"/>
          <w:szCs w:val="20"/>
        </w:rPr>
        <w:t xml:space="preserve">That the respondent be found to be in contempt of the court order granted by Honourable Shepstone AJ on 10 June 2023 (“the court order”); </w:t>
      </w:r>
    </w:p>
    <w:p w14:paraId="7CD4743C" w14:textId="58A551D2" w:rsidR="00327C3D" w:rsidRDefault="008C01C6" w:rsidP="008C01C6">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r>
        <w:rPr>
          <w:rFonts w:cs="Arial"/>
          <w:i/>
          <w:sz w:val="20"/>
          <w:szCs w:val="20"/>
        </w:rPr>
        <w:t>3 T</w:t>
      </w:r>
      <w:r w:rsidRPr="00DA7975">
        <w:rPr>
          <w:rFonts w:cs="Arial"/>
          <w:i/>
          <w:sz w:val="20"/>
          <w:szCs w:val="20"/>
        </w:rPr>
        <w:t xml:space="preserve">hat leave is granted to the applicant to reinstate and supplement her application of 15 June 2023; </w:t>
      </w:r>
    </w:p>
    <w:p w14:paraId="4DB31FDD" w14:textId="77777777" w:rsidR="00327C3D" w:rsidRDefault="008C01C6" w:rsidP="008C01C6">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r>
        <w:rPr>
          <w:rFonts w:cs="Arial"/>
          <w:i/>
          <w:sz w:val="20"/>
          <w:szCs w:val="20"/>
        </w:rPr>
        <w:t>4 T</w:t>
      </w:r>
      <w:r w:rsidRPr="00DA7975">
        <w:rPr>
          <w:rFonts w:cs="Arial"/>
          <w:i/>
          <w:sz w:val="20"/>
          <w:szCs w:val="20"/>
        </w:rPr>
        <w:t>hat the respondent be committed to prison for contempt of court for a period of 6 (six) moths or such period as the court deems just and equitable;</w:t>
      </w:r>
    </w:p>
    <w:p w14:paraId="2981A184" w14:textId="1DB38573" w:rsidR="00327C3D" w:rsidRDefault="008C01C6" w:rsidP="008C01C6">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r>
        <w:rPr>
          <w:rFonts w:cs="Arial"/>
          <w:i/>
          <w:sz w:val="20"/>
          <w:szCs w:val="20"/>
        </w:rPr>
        <w:t>5 T</w:t>
      </w:r>
      <w:r w:rsidRPr="00DA7975">
        <w:rPr>
          <w:rFonts w:cs="Arial"/>
          <w:i/>
          <w:sz w:val="20"/>
          <w:szCs w:val="20"/>
        </w:rPr>
        <w:t>hat a fine of R30 000 be imposed upon the respondent</w:t>
      </w:r>
      <w:r>
        <w:rPr>
          <w:rFonts w:cs="Arial"/>
          <w:i/>
          <w:sz w:val="20"/>
          <w:szCs w:val="20"/>
        </w:rPr>
        <w:t xml:space="preserve">; </w:t>
      </w:r>
    </w:p>
    <w:p w14:paraId="513614EA" w14:textId="0E077B87" w:rsidR="008C01C6" w:rsidRDefault="00437245" w:rsidP="00437245">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rPr>
          <w:rFonts w:cs="Arial"/>
          <w:i/>
          <w:sz w:val="20"/>
          <w:szCs w:val="20"/>
        </w:rPr>
      </w:pPr>
      <w:r>
        <w:rPr>
          <w:rFonts w:cs="Arial"/>
          <w:i/>
          <w:sz w:val="20"/>
          <w:szCs w:val="20"/>
        </w:rPr>
        <w:t xml:space="preserve">      </w:t>
      </w:r>
      <w:r w:rsidR="008C01C6">
        <w:rPr>
          <w:rFonts w:cs="Arial"/>
          <w:i/>
          <w:sz w:val="20"/>
          <w:szCs w:val="20"/>
        </w:rPr>
        <w:t>6 The respondent pay the costs of this application on attorney and client scale</w:t>
      </w:r>
      <w:r w:rsidR="008C01C6" w:rsidRPr="00DA7975">
        <w:rPr>
          <w:rFonts w:cs="Arial"/>
          <w:i/>
          <w:sz w:val="20"/>
          <w:szCs w:val="20"/>
        </w:rPr>
        <w:t xml:space="preserve">.”  </w:t>
      </w:r>
    </w:p>
    <w:p w14:paraId="6C1534DE" w14:textId="77777777" w:rsidR="002763FA" w:rsidRPr="00DA7975" w:rsidRDefault="002763FA" w:rsidP="008C01C6">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line="240" w:lineRule="auto"/>
        <w:ind w:left="360"/>
        <w:rPr>
          <w:rFonts w:cs="Arial"/>
          <w:i/>
          <w:sz w:val="20"/>
          <w:szCs w:val="20"/>
        </w:rPr>
      </w:pPr>
    </w:p>
    <w:p w14:paraId="22CD270E" w14:textId="37F5D4D9" w:rsidR="008C01C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[33]</w:t>
      </w:r>
      <w:r>
        <w:rPr>
          <w:rFonts w:cs="Arial"/>
        </w:rPr>
        <w:tab/>
      </w:r>
      <w:r w:rsidR="008C01C6">
        <w:rPr>
          <w:rFonts w:cs="Arial"/>
        </w:rPr>
        <w:t xml:space="preserve">In the founding affidavit, </w:t>
      </w:r>
      <w:r w:rsidR="00895C47">
        <w:rPr>
          <w:rFonts w:cs="Arial"/>
        </w:rPr>
        <w:t>u</w:t>
      </w:r>
      <w:r w:rsidR="008C01C6">
        <w:rPr>
          <w:rFonts w:cs="Arial"/>
        </w:rPr>
        <w:t>nder the heading “</w:t>
      </w:r>
      <w:r w:rsidR="008C01C6" w:rsidRPr="00AC59DB">
        <w:rPr>
          <w:rFonts w:cs="Arial"/>
          <w:i/>
        </w:rPr>
        <w:t>Leave to Supplement”</w:t>
      </w:r>
      <w:r w:rsidR="008C01C6">
        <w:rPr>
          <w:rFonts w:cs="Arial"/>
        </w:rPr>
        <w:t xml:space="preserve"> it was acknowledged that the contempt application and the respondent’s counter application to stay execution had been struck from the urgent roll on 13 July 2023. </w:t>
      </w:r>
      <w:r w:rsidR="00327C3D">
        <w:rPr>
          <w:rFonts w:cs="Arial"/>
        </w:rPr>
        <w:t>The applicant did not seek to supplement the first contempt application</w:t>
      </w:r>
      <w:r w:rsidR="00830B72">
        <w:rPr>
          <w:rFonts w:cs="Arial"/>
        </w:rPr>
        <w:t>,</w:t>
      </w:r>
      <w:r w:rsidR="00327C3D">
        <w:rPr>
          <w:rFonts w:cs="Arial"/>
        </w:rPr>
        <w:t xml:space="preserve"> but rather launched a further substantive contempt application. </w:t>
      </w:r>
      <w:r w:rsidR="008C01C6">
        <w:rPr>
          <w:rFonts w:cs="Arial"/>
        </w:rPr>
        <w:t xml:space="preserve">It was contended that </w:t>
      </w:r>
      <w:r w:rsidR="00AC59DB" w:rsidRPr="00AC59DB">
        <w:rPr>
          <w:rFonts w:cs="Arial"/>
          <w:i/>
        </w:rPr>
        <w:t>“</w:t>
      </w:r>
      <w:r w:rsidR="008C01C6" w:rsidRPr="00AC59DB">
        <w:rPr>
          <w:rFonts w:cs="Arial"/>
          <w:i/>
        </w:rPr>
        <w:t>little had changed since the court order of 10 June”</w:t>
      </w:r>
      <w:r w:rsidR="008C01C6">
        <w:rPr>
          <w:rFonts w:cs="Arial"/>
        </w:rPr>
        <w:t xml:space="preserve">, </w:t>
      </w:r>
      <w:r w:rsidR="00895C47">
        <w:rPr>
          <w:rFonts w:cs="Arial"/>
        </w:rPr>
        <w:t xml:space="preserve">that </w:t>
      </w:r>
      <w:r w:rsidR="008C01C6">
        <w:rPr>
          <w:rFonts w:cs="Arial"/>
        </w:rPr>
        <w:t xml:space="preserve">service of the order had been achieved and </w:t>
      </w:r>
      <w:r w:rsidR="00895C47">
        <w:rPr>
          <w:rFonts w:cs="Arial"/>
        </w:rPr>
        <w:t xml:space="preserve">that </w:t>
      </w:r>
      <w:r w:rsidR="008C01C6">
        <w:rPr>
          <w:rFonts w:cs="Arial"/>
        </w:rPr>
        <w:t>the resp</w:t>
      </w:r>
      <w:r w:rsidR="00CF3AC7">
        <w:rPr>
          <w:rFonts w:cs="Arial"/>
        </w:rPr>
        <w:t xml:space="preserve">ondent </w:t>
      </w:r>
      <w:r w:rsidR="00CF3AC7">
        <w:rPr>
          <w:rFonts w:cs="Arial"/>
        </w:rPr>
        <w:lastRenderedPageBreak/>
        <w:t xml:space="preserve">remained in </w:t>
      </w:r>
      <w:r w:rsidR="001C79D6">
        <w:rPr>
          <w:rFonts w:cs="Arial"/>
        </w:rPr>
        <w:t>c</w:t>
      </w:r>
      <w:r w:rsidR="00CF3AC7">
        <w:rPr>
          <w:rFonts w:cs="Arial"/>
        </w:rPr>
        <w:t xml:space="preserve">ontempt of </w:t>
      </w:r>
      <w:r w:rsidR="001C79D6">
        <w:rPr>
          <w:rFonts w:cs="Arial"/>
        </w:rPr>
        <w:t>c</w:t>
      </w:r>
      <w:r w:rsidR="008C01C6">
        <w:rPr>
          <w:rFonts w:cs="Arial"/>
        </w:rPr>
        <w:t xml:space="preserve">ourt. </w:t>
      </w:r>
      <w:r w:rsidR="00895C47">
        <w:rPr>
          <w:rFonts w:cs="Arial"/>
        </w:rPr>
        <w:t>Leave was sought to reinstate and supplement the application for contempt</w:t>
      </w:r>
      <w:r w:rsidR="00E84234">
        <w:rPr>
          <w:rFonts w:cs="Arial"/>
        </w:rPr>
        <w:t xml:space="preserve"> “</w:t>
      </w:r>
      <w:r w:rsidR="00895C47">
        <w:rPr>
          <w:rFonts w:cs="Arial"/>
        </w:rPr>
        <w:t>in the interests of justice</w:t>
      </w:r>
      <w:r w:rsidR="00E84234">
        <w:rPr>
          <w:rFonts w:cs="Arial"/>
        </w:rPr>
        <w:t>”</w:t>
      </w:r>
      <w:r w:rsidR="00895C47">
        <w:rPr>
          <w:rFonts w:cs="Arial"/>
        </w:rPr>
        <w:t xml:space="preserve">. </w:t>
      </w:r>
      <w:r w:rsidR="008C01C6">
        <w:rPr>
          <w:rFonts w:cs="Arial"/>
        </w:rPr>
        <w:t xml:space="preserve">No mention was made of the </w:t>
      </w:r>
      <w:r w:rsidR="00E84234">
        <w:rPr>
          <w:rFonts w:cs="Arial"/>
        </w:rPr>
        <w:t xml:space="preserve">respondent’s </w:t>
      </w:r>
      <w:r w:rsidR="008C01C6">
        <w:rPr>
          <w:rFonts w:cs="Arial"/>
        </w:rPr>
        <w:t>pending rescission application of the spoliation order</w:t>
      </w:r>
      <w:r w:rsidR="00E84234">
        <w:rPr>
          <w:rFonts w:cs="Arial"/>
        </w:rPr>
        <w:t xml:space="preserve"> in the founding affidavit</w:t>
      </w:r>
      <w:r w:rsidR="008C01C6">
        <w:rPr>
          <w:rFonts w:cs="Arial"/>
        </w:rPr>
        <w:t>.</w:t>
      </w:r>
    </w:p>
    <w:p w14:paraId="336019F4" w14:textId="43A8A605" w:rsidR="008C01C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[34]</w:t>
      </w:r>
      <w:r>
        <w:rPr>
          <w:rFonts w:cs="Arial"/>
        </w:rPr>
        <w:tab/>
      </w:r>
      <w:r w:rsidR="008C01C6">
        <w:rPr>
          <w:rFonts w:cs="Arial"/>
        </w:rPr>
        <w:t xml:space="preserve">To justify urgency, it was contended that the application </w:t>
      </w:r>
      <w:r w:rsidR="008C01C6" w:rsidRPr="00B27F77">
        <w:rPr>
          <w:rFonts w:cs="Arial"/>
          <w:i/>
        </w:rPr>
        <w:t>“remains urgent due to the inherent nature of contempt proceedings”</w:t>
      </w:r>
      <w:r w:rsidR="008C01C6">
        <w:rPr>
          <w:rFonts w:cs="Arial"/>
        </w:rPr>
        <w:t xml:space="preserve"> </w:t>
      </w:r>
      <w:r w:rsidR="00910193">
        <w:rPr>
          <w:rFonts w:cs="Arial"/>
        </w:rPr>
        <w:t>coupled with</w:t>
      </w:r>
      <w:r w:rsidR="008C01C6">
        <w:rPr>
          <w:rFonts w:cs="Arial"/>
        </w:rPr>
        <w:t xml:space="preserve"> the broad allegation that </w:t>
      </w:r>
      <w:r w:rsidR="00895C47">
        <w:rPr>
          <w:rFonts w:cs="Arial"/>
        </w:rPr>
        <w:t>“</w:t>
      </w:r>
      <w:r w:rsidR="008C01C6">
        <w:rPr>
          <w:rFonts w:cs="Arial"/>
        </w:rPr>
        <w:t>the applicant and her family suffer ongoing prejudice against their dignity</w:t>
      </w:r>
      <w:r w:rsidR="00895C47">
        <w:rPr>
          <w:rFonts w:cs="Arial"/>
        </w:rPr>
        <w:t>”</w:t>
      </w:r>
      <w:r w:rsidR="008C01C6">
        <w:rPr>
          <w:rFonts w:cs="Arial"/>
        </w:rPr>
        <w:t xml:space="preserve">. Reliance was also placed on the </w:t>
      </w:r>
      <w:r w:rsidR="00910193">
        <w:rPr>
          <w:rFonts w:cs="Arial"/>
        </w:rPr>
        <w:t>contention that as</w:t>
      </w:r>
      <w:r w:rsidR="008C01C6">
        <w:rPr>
          <w:rFonts w:cs="Arial"/>
        </w:rPr>
        <w:t xml:space="preserve"> the spoliation order had been obtained on an urgent basis</w:t>
      </w:r>
      <w:r w:rsidR="00895C47">
        <w:rPr>
          <w:rFonts w:cs="Arial"/>
        </w:rPr>
        <w:t xml:space="preserve"> and th</w:t>
      </w:r>
      <w:r w:rsidR="00910193">
        <w:rPr>
          <w:rFonts w:cs="Arial"/>
        </w:rPr>
        <w:t>os</w:t>
      </w:r>
      <w:r w:rsidR="00895C47">
        <w:rPr>
          <w:rFonts w:cs="Arial"/>
        </w:rPr>
        <w:t>e circumstances</w:t>
      </w:r>
      <w:r w:rsidR="00910193">
        <w:rPr>
          <w:rFonts w:cs="Arial"/>
        </w:rPr>
        <w:t xml:space="preserve"> </w:t>
      </w:r>
      <w:r w:rsidR="00895C47">
        <w:rPr>
          <w:rFonts w:cs="Arial"/>
        </w:rPr>
        <w:t>still prevail</w:t>
      </w:r>
      <w:r w:rsidR="00910193">
        <w:rPr>
          <w:rFonts w:cs="Arial"/>
        </w:rPr>
        <w:t>ed, the contempt application was urgent.</w:t>
      </w:r>
    </w:p>
    <w:p w14:paraId="08D085A1" w14:textId="39887977" w:rsidR="008C01C6"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[35]</w:t>
      </w:r>
      <w:r>
        <w:rPr>
          <w:rFonts w:cs="Arial"/>
        </w:rPr>
        <w:tab/>
      </w:r>
      <w:r w:rsidR="008C01C6">
        <w:rPr>
          <w:rFonts w:cs="Arial"/>
        </w:rPr>
        <w:t>The respondent opposed the application</w:t>
      </w:r>
      <w:r w:rsidR="008C01C6" w:rsidRPr="008C4F36">
        <w:rPr>
          <w:rFonts w:cs="Arial"/>
        </w:rPr>
        <w:t xml:space="preserve"> </w:t>
      </w:r>
      <w:r w:rsidR="008C01C6">
        <w:rPr>
          <w:rFonts w:cs="Arial"/>
        </w:rPr>
        <w:t>and attached copies of her affidavits in the first contempt application which set out her version and defences to the applica</w:t>
      </w:r>
      <w:r w:rsidR="00830B72">
        <w:rPr>
          <w:rFonts w:cs="Arial"/>
        </w:rPr>
        <w:t xml:space="preserve">tion </w:t>
      </w:r>
      <w:r w:rsidR="008C01C6">
        <w:rPr>
          <w:rFonts w:cs="Arial"/>
        </w:rPr>
        <w:t xml:space="preserve">in detail. </w:t>
      </w:r>
      <w:r w:rsidR="00910193">
        <w:rPr>
          <w:rFonts w:cs="Arial"/>
        </w:rPr>
        <w:t xml:space="preserve">Therein the respondent </w:t>
      </w:r>
      <w:r w:rsidR="00910193" w:rsidRPr="00910193">
        <w:rPr>
          <w:rFonts w:cs="Arial"/>
          <w:i/>
        </w:rPr>
        <w:t xml:space="preserve">inter alia </w:t>
      </w:r>
      <w:r w:rsidR="00910193">
        <w:rPr>
          <w:rFonts w:cs="Arial"/>
        </w:rPr>
        <w:t xml:space="preserve">contended that proper service of the spoliation application had not been effected on her. </w:t>
      </w:r>
      <w:r w:rsidR="008C01C6">
        <w:rPr>
          <w:rFonts w:cs="Arial"/>
        </w:rPr>
        <w:t xml:space="preserve">As in the first contempt application, she challenged urgency. In her affidavit, the respondent characterised the application as an abuse as it was based on exactly the same facts and grounds as the first contempt application which had been struck from the urgent roll by Motha J and accused the applicant and her legal representative of </w:t>
      </w:r>
      <w:r w:rsidR="008C01C6" w:rsidRPr="00B27F77">
        <w:rPr>
          <w:rFonts w:cs="Arial"/>
          <w:i/>
        </w:rPr>
        <w:t>mala fides</w:t>
      </w:r>
      <w:r w:rsidR="008C01C6">
        <w:rPr>
          <w:rFonts w:cs="Arial"/>
        </w:rPr>
        <w:t xml:space="preserve">. The respondent sought the dismissal of the application with a </w:t>
      </w:r>
      <w:r w:rsidR="008C01C6" w:rsidRPr="00B27F77">
        <w:rPr>
          <w:rFonts w:cs="Arial"/>
          <w:i/>
        </w:rPr>
        <w:t>de bonis propriis</w:t>
      </w:r>
      <w:r w:rsidR="008C01C6">
        <w:rPr>
          <w:rFonts w:cs="Arial"/>
        </w:rPr>
        <w:t xml:space="preserve"> costs order against Mr Seloane. </w:t>
      </w:r>
    </w:p>
    <w:p w14:paraId="239AC6BB" w14:textId="1BDAF227" w:rsidR="002763F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[36]</w:t>
      </w:r>
      <w:r>
        <w:rPr>
          <w:rFonts w:cs="Arial"/>
        </w:rPr>
        <w:tab/>
      </w:r>
      <w:r w:rsidR="002763FA">
        <w:rPr>
          <w:rFonts w:cs="Arial"/>
        </w:rPr>
        <w:t xml:space="preserve">The </w:t>
      </w:r>
      <w:r w:rsidR="00910193">
        <w:rPr>
          <w:rFonts w:cs="Arial"/>
        </w:rPr>
        <w:t xml:space="preserve">belated </w:t>
      </w:r>
      <w:r w:rsidR="002763FA">
        <w:rPr>
          <w:rFonts w:cs="Arial"/>
        </w:rPr>
        <w:t>replying affidavit of 7 August 2023 d</w:t>
      </w:r>
      <w:r w:rsidR="00AC59DB">
        <w:rPr>
          <w:rFonts w:cs="Arial"/>
        </w:rPr>
        <w:t>id</w:t>
      </w:r>
      <w:r w:rsidR="002763FA">
        <w:rPr>
          <w:rFonts w:cs="Arial"/>
        </w:rPr>
        <w:t xml:space="preserve"> not factually contribute to the determination of the issues in dispute. It </w:t>
      </w:r>
      <w:r w:rsidR="00910193">
        <w:rPr>
          <w:rFonts w:cs="Arial"/>
        </w:rPr>
        <w:t>wa</w:t>
      </w:r>
      <w:r w:rsidR="002763FA">
        <w:rPr>
          <w:rFonts w:cs="Arial"/>
        </w:rPr>
        <w:t>s argumentative, replete with dubious legal arguments and contain</w:t>
      </w:r>
      <w:r w:rsidR="00AC59DB">
        <w:rPr>
          <w:rFonts w:cs="Arial"/>
        </w:rPr>
        <w:t>ed</w:t>
      </w:r>
      <w:r w:rsidR="002763FA">
        <w:rPr>
          <w:rFonts w:cs="Arial"/>
        </w:rPr>
        <w:t xml:space="preserve"> a</w:t>
      </w:r>
      <w:r w:rsidR="00A706E9">
        <w:rPr>
          <w:rFonts w:cs="Arial"/>
        </w:rPr>
        <w:t xml:space="preserve">n unwarranted and </w:t>
      </w:r>
      <w:r w:rsidR="002763FA">
        <w:rPr>
          <w:rFonts w:cs="Arial"/>
        </w:rPr>
        <w:t xml:space="preserve">scathing attack on the respondent. </w:t>
      </w:r>
    </w:p>
    <w:p w14:paraId="44CC90FF" w14:textId="24DF0BF8" w:rsidR="00327C3D"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[37]</w:t>
      </w:r>
      <w:r>
        <w:rPr>
          <w:rFonts w:cs="Arial"/>
        </w:rPr>
        <w:tab/>
      </w:r>
      <w:r w:rsidR="00910193">
        <w:rPr>
          <w:rFonts w:cs="Arial"/>
        </w:rPr>
        <w:t>Given that</w:t>
      </w:r>
      <w:r w:rsidR="00327C3D">
        <w:rPr>
          <w:rFonts w:cs="Arial"/>
        </w:rPr>
        <w:t xml:space="preserve"> the respondent had in her answering affidavit sought costs against the applicant’s attorney </w:t>
      </w:r>
      <w:r w:rsidR="00327C3D" w:rsidRPr="00327C3D">
        <w:rPr>
          <w:rFonts w:cs="Arial"/>
          <w:i/>
        </w:rPr>
        <w:t>de bonis propriis</w:t>
      </w:r>
      <w:r w:rsidR="00327C3D">
        <w:rPr>
          <w:rFonts w:cs="Arial"/>
          <w:i/>
        </w:rPr>
        <w:t xml:space="preserve">, </w:t>
      </w:r>
      <w:r w:rsidR="00327C3D">
        <w:rPr>
          <w:rFonts w:cs="Arial"/>
        </w:rPr>
        <w:t xml:space="preserve">and no affidavit had been filed by Mr Seloane in response, I enquired from applicant’s counsel whether the attorney wanted an opportunity to deliver an affidavit dealing with </w:t>
      </w:r>
      <w:r w:rsidR="00910193">
        <w:rPr>
          <w:rFonts w:cs="Arial"/>
        </w:rPr>
        <w:t>such</w:t>
      </w:r>
      <w:r w:rsidR="00327C3D">
        <w:rPr>
          <w:rFonts w:cs="Arial"/>
        </w:rPr>
        <w:t xml:space="preserve"> issue. I was informed that Mr Seloane wanted to deliver such affidavit. Accordingly, I stood the matter down and set timelines for the delivery of such an affidavit and a response </w:t>
      </w:r>
      <w:r w:rsidR="00830B72">
        <w:rPr>
          <w:rFonts w:cs="Arial"/>
        </w:rPr>
        <w:t xml:space="preserve">thereto </w:t>
      </w:r>
      <w:r w:rsidR="00327C3D">
        <w:rPr>
          <w:rFonts w:cs="Arial"/>
        </w:rPr>
        <w:t xml:space="preserve">by the respondent.  </w:t>
      </w:r>
    </w:p>
    <w:p w14:paraId="5DF8047A" w14:textId="519A3B3A" w:rsidR="00996163"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[38]</w:t>
      </w:r>
      <w:r>
        <w:rPr>
          <w:rFonts w:cs="Arial"/>
        </w:rPr>
        <w:tab/>
      </w:r>
      <w:r w:rsidR="00E05EBB">
        <w:rPr>
          <w:rFonts w:cs="Arial"/>
        </w:rPr>
        <w:t>Mr Seloane</w:t>
      </w:r>
      <w:r w:rsidR="002763FA">
        <w:rPr>
          <w:rFonts w:cs="Arial"/>
        </w:rPr>
        <w:t xml:space="preserve">’s affidavit did not meaningfully address the </w:t>
      </w:r>
      <w:r w:rsidR="002763FA" w:rsidRPr="002763FA">
        <w:rPr>
          <w:rFonts w:cs="Arial"/>
          <w:i/>
        </w:rPr>
        <w:t>de bonis</w:t>
      </w:r>
      <w:r w:rsidR="00E05EBB" w:rsidRPr="002763FA">
        <w:rPr>
          <w:rFonts w:cs="Arial"/>
          <w:i/>
        </w:rPr>
        <w:t xml:space="preserve"> </w:t>
      </w:r>
      <w:r w:rsidR="002763FA" w:rsidRPr="002763FA">
        <w:rPr>
          <w:rFonts w:cs="Arial"/>
          <w:i/>
        </w:rPr>
        <w:t>propriis</w:t>
      </w:r>
      <w:r w:rsidR="002763FA">
        <w:rPr>
          <w:rFonts w:cs="Arial"/>
        </w:rPr>
        <w:t xml:space="preserve"> costs issue</w:t>
      </w:r>
      <w:r w:rsidR="00996163">
        <w:rPr>
          <w:rFonts w:cs="Arial"/>
        </w:rPr>
        <w:t>. I</w:t>
      </w:r>
      <w:r w:rsidR="00910193">
        <w:rPr>
          <w:rFonts w:cs="Arial"/>
        </w:rPr>
        <w:t>n challenging the respondent’s version as to why the first contempt application had been struck from the roll, i</w:t>
      </w:r>
      <w:r w:rsidR="00996163">
        <w:rPr>
          <w:rFonts w:cs="Arial"/>
        </w:rPr>
        <w:t>t was baldly contended that the respondent should have attached the order of Motha J</w:t>
      </w:r>
      <w:r w:rsidR="002763FA">
        <w:rPr>
          <w:rFonts w:cs="Arial"/>
        </w:rPr>
        <w:t xml:space="preserve">. </w:t>
      </w:r>
      <w:r w:rsidR="00996163">
        <w:rPr>
          <w:rFonts w:cs="Arial"/>
        </w:rPr>
        <w:t>On his version, the application was st</w:t>
      </w:r>
      <w:r w:rsidR="00437245">
        <w:rPr>
          <w:rFonts w:cs="Arial"/>
        </w:rPr>
        <w:t>r</w:t>
      </w:r>
      <w:r w:rsidR="00996163">
        <w:rPr>
          <w:rFonts w:cs="Arial"/>
        </w:rPr>
        <w:t xml:space="preserve">uck from the roll on the basis of “lack of knowledge” of the spoliation order. </w:t>
      </w:r>
      <w:r w:rsidR="00910193">
        <w:rPr>
          <w:rFonts w:cs="Arial"/>
        </w:rPr>
        <w:t>It is however clear that the merits of the first contempt application were not deal</w:t>
      </w:r>
      <w:r w:rsidR="00D11D56">
        <w:rPr>
          <w:rFonts w:cs="Arial"/>
        </w:rPr>
        <w:t>t</w:t>
      </w:r>
      <w:r w:rsidR="00910193">
        <w:rPr>
          <w:rFonts w:cs="Arial"/>
        </w:rPr>
        <w:t xml:space="preserve"> with or determined by Motha J.  </w:t>
      </w:r>
    </w:p>
    <w:p w14:paraId="05539520" w14:textId="06BB117A" w:rsidR="00A706E9"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[39]</w:t>
      </w:r>
      <w:r>
        <w:rPr>
          <w:rFonts w:cs="Arial"/>
        </w:rPr>
        <w:tab/>
      </w:r>
      <w:r w:rsidR="00910193">
        <w:rPr>
          <w:rFonts w:cs="Arial"/>
        </w:rPr>
        <w:t xml:space="preserve">The high water mark of the affidavit was that </w:t>
      </w:r>
      <w:r w:rsidR="00996163">
        <w:rPr>
          <w:rFonts w:cs="Arial"/>
        </w:rPr>
        <w:t>Mr Seloane</w:t>
      </w:r>
      <w:r w:rsidR="00910193">
        <w:rPr>
          <w:rFonts w:cs="Arial"/>
        </w:rPr>
        <w:t xml:space="preserve"> was apparently</w:t>
      </w:r>
      <w:r w:rsidR="002763FA">
        <w:rPr>
          <w:rFonts w:cs="Arial"/>
        </w:rPr>
        <w:t xml:space="preserve"> acting on behalf of the applicant on a </w:t>
      </w:r>
      <w:r w:rsidR="002763FA" w:rsidRPr="00AC59DB">
        <w:rPr>
          <w:rFonts w:cs="Arial"/>
          <w:i/>
        </w:rPr>
        <w:t xml:space="preserve">pro bono </w:t>
      </w:r>
      <w:r w:rsidR="002763FA">
        <w:rPr>
          <w:rFonts w:cs="Arial"/>
        </w:rPr>
        <w:t>basis and had paid expenses from his own pocket.</w:t>
      </w:r>
      <w:r w:rsidR="00A706E9">
        <w:rPr>
          <w:rFonts w:cs="Arial"/>
        </w:rPr>
        <w:t xml:space="preserve"> That is irrelevant to the present enquiry. </w:t>
      </w:r>
      <w:r w:rsidR="00910193">
        <w:rPr>
          <w:rFonts w:cs="Arial"/>
        </w:rPr>
        <w:t>Inasmuch as that explanation was proffered as a justification or excuse for his conduct, the argument does not pass muster and can never</w:t>
      </w:r>
      <w:r w:rsidR="00CF3AC7">
        <w:rPr>
          <w:rFonts w:cs="Arial"/>
        </w:rPr>
        <w:t xml:space="preserve"> justify a disregard of the Rules of C</w:t>
      </w:r>
      <w:r w:rsidR="00A706E9">
        <w:rPr>
          <w:rFonts w:cs="Arial"/>
        </w:rPr>
        <w:t>ourt.</w:t>
      </w:r>
      <w:r w:rsidR="002763FA">
        <w:rPr>
          <w:rFonts w:cs="Arial"/>
        </w:rPr>
        <w:t xml:space="preserve"> </w:t>
      </w:r>
    </w:p>
    <w:p w14:paraId="7E141853" w14:textId="224D3370" w:rsidR="00720ECC"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[40]</w:t>
      </w:r>
      <w:r>
        <w:rPr>
          <w:rFonts w:cs="Arial"/>
        </w:rPr>
        <w:tab/>
      </w:r>
      <w:r w:rsidR="00996163">
        <w:rPr>
          <w:rFonts w:cs="Arial"/>
        </w:rPr>
        <w:t xml:space="preserve">In </w:t>
      </w:r>
      <w:r w:rsidR="00AC59DB">
        <w:rPr>
          <w:rFonts w:cs="Arial"/>
        </w:rPr>
        <w:t>set</w:t>
      </w:r>
      <w:r w:rsidR="00996163">
        <w:rPr>
          <w:rFonts w:cs="Arial"/>
        </w:rPr>
        <w:t>ting</w:t>
      </w:r>
      <w:r w:rsidR="00AC59DB">
        <w:rPr>
          <w:rFonts w:cs="Arial"/>
        </w:rPr>
        <w:t xml:space="preserve"> out the history of his attempts to enroll t</w:t>
      </w:r>
      <w:r w:rsidR="00CF3AC7">
        <w:rPr>
          <w:rFonts w:cs="Arial"/>
        </w:rPr>
        <w:t xml:space="preserve">he contempt application on the </w:t>
      </w:r>
      <w:r w:rsidR="001C79D6">
        <w:rPr>
          <w:rFonts w:cs="Arial"/>
        </w:rPr>
        <w:t>u</w:t>
      </w:r>
      <w:r w:rsidR="00CF3AC7">
        <w:rPr>
          <w:rFonts w:cs="Arial"/>
        </w:rPr>
        <w:t xml:space="preserve">rgent </w:t>
      </w:r>
      <w:r w:rsidR="001C79D6">
        <w:rPr>
          <w:rFonts w:cs="Arial"/>
        </w:rPr>
        <w:t>c</w:t>
      </w:r>
      <w:r w:rsidR="00AC59DB">
        <w:rPr>
          <w:rFonts w:cs="Arial"/>
        </w:rPr>
        <w:t>ourt roll</w:t>
      </w:r>
      <w:r w:rsidR="00996163">
        <w:rPr>
          <w:rFonts w:cs="Arial"/>
        </w:rPr>
        <w:t xml:space="preserve">, it became clear that </w:t>
      </w:r>
      <w:r w:rsidR="00910193">
        <w:rPr>
          <w:rFonts w:cs="Arial"/>
        </w:rPr>
        <w:t>Mr Seloane</w:t>
      </w:r>
      <w:r w:rsidR="00996163">
        <w:rPr>
          <w:rFonts w:cs="Arial"/>
        </w:rPr>
        <w:t xml:space="preserve"> had attempted to do so without serving </w:t>
      </w:r>
      <w:r w:rsidR="00910193">
        <w:rPr>
          <w:rFonts w:cs="Arial"/>
        </w:rPr>
        <w:t>the application papers</w:t>
      </w:r>
      <w:r w:rsidR="00996163">
        <w:rPr>
          <w:rFonts w:cs="Arial"/>
        </w:rPr>
        <w:t xml:space="preserve"> on the respondent via Sheriff, until directed by M</w:t>
      </w:r>
      <w:r w:rsidR="00910193">
        <w:rPr>
          <w:rFonts w:cs="Arial"/>
        </w:rPr>
        <w:t>akume</w:t>
      </w:r>
      <w:r w:rsidR="00996163">
        <w:rPr>
          <w:rFonts w:cs="Arial"/>
        </w:rPr>
        <w:t xml:space="preserve"> J to do so on 27 June 2023.</w:t>
      </w:r>
      <w:r w:rsidR="00AC59DB">
        <w:rPr>
          <w:rFonts w:cs="Arial"/>
        </w:rPr>
        <w:t xml:space="preserve"> </w:t>
      </w:r>
    </w:p>
    <w:p w14:paraId="035AF3CB" w14:textId="39AC4E86" w:rsidR="00996163"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[41]</w:t>
      </w:r>
      <w:r>
        <w:rPr>
          <w:rFonts w:cs="Arial"/>
        </w:rPr>
        <w:tab/>
      </w:r>
      <w:r w:rsidR="00720ECC">
        <w:rPr>
          <w:rFonts w:cs="Arial"/>
        </w:rPr>
        <w:t>The argument</w:t>
      </w:r>
      <w:r w:rsidR="00AC59DB">
        <w:rPr>
          <w:rFonts w:cs="Arial"/>
        </w:rPr>
        <w:t xml:space="preserve"> that pursuant to his demand, the respondent blat</w:t>
      </w:r>
      <w:r w:rsidR="00996163">
        <w:rPr>
          <w:rFonts w:cs="Arial"/>
        </w:rPr>
        <w:t>a</w:t>
      </w:r>
      <w:r w:rsidR="00AC59DB">
        <w:rPr>
          <w:rFonts w:cs="Arial"/>
        </w:rPr>
        <w:t>n</w:t>
      </w:r>
      <w:r w:rsidR="00CF3AC7">
        <w:rPr>
          <w:rFonts w:cs="Arial"/>
        </w:rPr>
        <w:t xml:space="preserve">tly refused to comply with the </w:t>
      </w:r>
      <w:r w:rsidR="001C79D6">
        <w:rPr>
          <w:rFonts w:cs="Arial"/>
        </w:rPr>
        <w:t>c</w:t>
      </w:r>
      <w:r w:rsidR="00C0638B">
        <w:rPr>
          <w:rFonts w:cs="Arial"/>
        </w:rPr>
        <w:t>ourt o</w:t>
      </w:r>
      <w:r w:rsidR="00AC59DB">
        <w:rPr>
          <w:rFonts w:cs="Arial"/>
        </w:rPr>
        <w:t xml:space="preserve">rder, </w:t>
      </w:r>
      <w:r w:rsidR="00720ECC">
        <w:rPr>
          <w:rFonts w:cs="Arial"/>
        </w:rPr>
        <w:t>disregards the various factual disputes which already arose between the parties in the first contempt application, which still must be determined</w:t>
      </w:r>
      <w:r w:rsidR="00057EAF">
        <w:rPr>
          <w:rFonts w:cs="Arial"/>
        </w:rPr>
        <w:t xml:space="preserve"> in due course</w:t>
      </w:r>
      <w:r w:rsidR="00720ECC">
        <w:rPr>
          <w:rFonts w:cs="Arial"/>
        </w:rPr>
        <w:t>.</w:t>
      </w:r>
    </w:p>
    <w:p w14:paraId="53B94A3A" w14:textId="68A5BF64" w:rsidR="002763F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[42]</w:t>
      </w:r>
      <w:r>
        <w:rPr>
          <w:rFonts w:cs="Arial"/>
        </w:rPr>
        <w:tab/>
      </w:r>
      <w:r w:rsidR="00AC59DB">
        <w:rPr>
          <w:rFonts w:cs="Arial"/>
        </w:rPr>
        <w:t xml:space="preserve">He further </w:t>
      </w:r>
      <w:r w:rsidR="002763FA" w:rsidRPr="004A081E">
        <w:rPr>
          <w:rFonts w:cs="Arial"/>
        </w:rPr>
        <w:t xml:space="preserve">launched a </w:t>
      </w:r>
      <w:r w:rsidR="00A706E9">
        <w:rPr>
          <w:rFonts w:cs="Arial"/>
        </w:rPr>
        <w:t xml:space="preserve">further unwarranted </w:t>
      </w:r>
      <w:r w:rsidR="002763FA" w:rsidRPr="004A081E">
        <w:rPr>
          <w:rFonts w:cs="Arial"/>
        </w:rPr>
        <w:t xml:space="preserve">blistering attack </w:t>
      </w:r>
      <w:r w:rsidR="002763FA">
        <w:rPr>
          <w:rFonts w:cs="Arial"/>
        </w:rPr>
        <w:t>on</w:t>
      </w:r>
      <w:r w:rsidR="002763FA" w:rsidRPr="004A081E">
        <w:rPr>
          <w:rFonts w:cs="Arial"/>
        </w:rPr>
        <w:t xml:space="preserve"> the respondent</w:t>
      </w:r>
      <w:r w:rsidR="00AC59DB">
        <w:rPr>
          <w:rFonts w:cs="Arial"/>
        </w:rPr>
        <w:t xml:space="preserve"> and her </w:t>
      </w:r>
      <w:r w:rsidR="002763FA" w:rsidRPr="004A081E">
        <w:rPr>
          <w:rFonts w:cs="Arial"/>
        </w:rPr>
        <w:t xml:space="preserve">attorney of record and sought a </w:t>
      </w:r>
      <w:r w:rsidR="002763FA" w:rsidRPr="004A081E">
        <w:rPr>
          <w:rFonts w:cs="Arial"/>
          <w:i/>
        </w:rPr>
        <w:t>de bonis propriis</w:t>
      </w:r>
      <w:r w:rsidR="002763FA" w:rsidRPr="004A081E">
        <w:rPr>
          <w:rFonts w:cs="Arial"/>
        </w:rPr>
        <w:t xml:space="preserve"> cost order against </w:t>
      </w:r>
      <w:r w:rsidR="00AC59DB">
        <w:rPr>
          <w:rFonts w:cs="Arial"/>
        </w:rPr>
        <w:t>t</w:t>
      </w:r>
      <w:r w:rsidR="002763FA" w:rsidRPr="004A081E">
        <w:rPr>
          <w:rFonts w:cs="Arial"/>
        </w:rPr>
        <w:t>he</w:t>
      </w:r>
      <w:r w:rsidR="00AC59DB">
        <w:rPr>
          <w:rFonts w:cs="Arial"/>
        </w:rPr>
        <w:t>m</w:t>
      </w:r>
      <w:r w:rsidR="00996163">
        <w:rPr>
          <w:rFonts w:cs="Arial"/>
        </w:rPr>
        <w:t xml:space="preserve"> on the basis that the respondent continued with her disregard of the law </w:t>
      </w:r>
      <w:r w:rsidR="00830B72">
        <w:rPr>
          <w:rFonts w:cs="Arial"/>
        </w:rPr>
        <w:t>“</w:t>
      </w:r>
      <w:r w:rsidR="00996163">
        <w:rPr>
          <w:rFonts w:cs="Arial"/>
        </w:rPr>
        <w:t>by raising technical points</w:t>
      </w:r>
      <w:r w:rsidR="001243F7">
        <w:rPr>
          <w:rFonts w:cs="Arial"/>
        </w:rPr>
        <w:t>”</w:t>
      </w:r>
      <w:r w:rsidR="002763FA" w:rsidRPr="004A081E">
        <w:rPr>
          <w:rFonts w:cs="Arial"/>
        </w:rPr>
        <w:t xml:space="preserve">. </w:t>
      </w:r>
      <w:r w:rsidR="00D921A0">
        <w:rPr>
          <w:rFonts w:cs="Arial"/>
        </w:rPr>
        <w:t>Those averments were based on the pending applications</w:t>
      </w:r>
      <w:r w:rsidR="0077077E">
        <w:rPr>
          <w:rFonts w:cs="Arial"/>
        </w:rPr>
        <w:t xml:space="preserve"> and </w:t>
      </w:r>
      <w:r w:rsidR="001243F7">
        <w:rPr>
          <w:rFonts w:cs="Arial"/>
        </w:rPr>
        <w:t xml:space="preserve">again </w:t>
      </w:r>
      <w:r w:rsidR="0077077E">
        <w:rPr>
          <w:rFonts w:cs="Arial"/>
        </w:rPr>
        <w:t>disregard</w:t>
      </w:r>
      <w:r w:rsidR="00830B72">
        <w:rPr>
          <w:rFonts w:cs="Arial"/>
        </w:rPr>
        <w:t>s</w:t>
      </w:r>
      <w:r w:rsidR="0077077E">
        <w:rPr>
          <w:rFonts w:cs="Arial"/>
        </w:rPr>
        <w:t xml:space="preserve"> the substantial factual disputes between the parties on those issues</w:t>
      </w:r>
      <w:r w:rsidR="00D921A0">
        <w:rPr>
          <w:rFonts w:cs="Arial"/>
        </w:rPr>
        <w:t xml:space="preserve">. </w:t>
      </w:r>
      <w:r w:rsidR="002763FA">
        <w:rPr>
          <w:rFonts w:cs="Arial"/>
        </w:rPr>
        <w:t xml:space="preserve">No cogent grounds were advanced in support of the granting of such order. </w:t>
      </w:r>
    </w:p>
    <w:p w14:paraId="56D57E76" w14:textId="57F838BE" w:rsidR="00834FED" w:rsidRPr="001B4FC5"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1B4FC5">
        <w:rPr>
          <w:rFonts w:cs="Arial"/>
        </w:rPr>
        <w:t>[43]</w:t>
      </w:r>
      <w:r w:rsidRPr="001B4FC5">
        <w:rPr>
          <w:rFonts w:cs="Arial"/>
        </w:rPr>
        <w:tab/>
      </w:r>
      <w:r w:rsidR="00F2062A" w:rsidRPr="001B4FC5">
        <w:rPr>
          <w:rFonts w:cs="Arial"/>
        </w:rPr>
        <w:t xml:space="preserve">In the respondent’s responding affidavit, deposed to by her attorney, Ms Ehlers, the relevant events which occurred were particularised, including </w:t>
      </w:r>
      <w:r w:rsidR="00C66697" w:rsidRPr="001B4FC5">
        <w:rPr>
          <w:rFonts w:cs="Arial"/>
        </w:rPr>
        <w:t xml:space="preserve">in some detail </w:t>
      </w:r>
      <w:r w:rsidR="00F2062A" w:rsidRPr="001B4FC5">
        <w:rPr>
          <w:rFonts w:cs="Arial"/>
        </w:rPr>
        <w:t>the events which transpired before Opperman J on 1 August 2023</w:t>
      </w:r>
      <w:r w:rsidR="00FC35F0" w:rsidRPr="001B4FC5">
        <w:rPr>
          <w:rFonts w:cs="Arial"/>
        </w:rPr>
        <w:t xml:space="preserve">, </w:t>
      </w:r>
      <w:r w:rsidR="0077077E" w:rsidRPr="001B4FC5">
        <w:rPr>
          <w:rFonts w:cs="Arial"/>
        </w:rPr>
        <w:t xml:space="preserve">to </w:t>
      </w:r>
      <w:r w:rsidR="00FC35F0" w:rsidRPr="001B4FC5">
        <w:rPr>
          <w:rFonts w:cs="Arial"/>
        </w:rPr>
        <w:t>which</w:t>
      </w:r>
      <w:r w:rsidR="00F2062A" w:rsidRPr="001B4FC5">
        <w:rPr>
          <w:rFonts w:cs="Arial"/>
        </w:rPr>
        <w:t xml:space="preserve"> </w:t>
      </w:r>
      <w:r w:rsidR="00C66697" w:rsidRPr="001B4FC5">
        <w:rPr>
          <w:rFonts w:cs="Arial"/>
        </w:rPr>
        <w:t>I have already referred.</w:t>
      </w:r>
      <w:r w:rsidR="00E05EBB" w:rsidRPr="001B4FC5">
        <w:rPr>
          <w:rFonts w:cs="Arial"/>
        </w:rPr>
        <w:t xml:space="preserve"> </w:t>
      </w:r>
      <w:r w:rsidR="0009754C" w:rsidRPr="001B4FC5">
        <w:rPr>
          <w:rFonts w:cs="Arial"/>
        </w:rPr>
        <w:t>Mr Seloane did not seek any opportunity to respond to those averments and they remain</w:t>
      </w:r>
      <w:r w:rsidR="00DF2491" w:rsidRPr="001B4FC5">
        <w:rPr>
          <w:rFonts w:cs="Arial"/>
        </w:rPr>
        <w:t>ed</w:t>
      </w:r>
      <w:r w:rsidR="0009754C" w:rsidRPr="001B4FC5">
        <w:rPr>
          <w:rFonts w:cs="Arial"/>
        </w:rPr>
        <w:t xml:space="preserve"> unchallenged.</w:t>
      </w:r>
      <w:r w:rsidR="00834FED" w:rsidRPr="001B4FC5">
        <w:rPr>
          <w:rFonts w:cs="Arial"/>
        </w:rPr>
        <w:t xml:space="preserve"> </w:t>
      </w:r>
    </w:p>
    <w:p w14:paraId="544CB380" w14:textId="67F5B39B" w:rsidR="004A081E"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ind w:hanging="11"/>
        <w:rPr>
          <w:rFonts w:cs="Arial"/>
        </w:rPr>
      </w:pPr>
      <w:r>
        <w:rPr>
          <w:rFonts w:cs="Arial"/>
        </w:rPr>
        <w:t>[44]</w:t>
      </w:r>
      <w:r>
        <w:rPr>
          <w:rFonts w:cs="Arial"/>
        </w:rPr>
        <w:tab/>
      </w:r>
      <w:r w:rsidR="00834FED">
        <w:rPr>
          <w:rFonts w:cs="Arial"/>
        </w:rPr>
        <w:t>S</w:t>
      </w:r>
      <w:r w:rsidR="00834FED" w:rsidRPr="00EB3404">
        <w:rPr>
          <w:rFonts w:cs="Arial"/>
        </w:rPr>
        <w:t>ignifican</w:t>
      </w:r>
      <w:r w:rsidR="00834FED">
        <w:rPr>
          <w:rFonts w:cs="Arial"/>
        </w:rPr>
        <w:t>tly, Mr. Seloane</w:t>
      </w:r>
      <w:r w:rsidR="00834FED" w:rsidRPr="00EB3404">
        <w:rPr>
          <w:rFonts w:cs="Arial"/>
        </w:rPr>
        <w:t xml:space="preserve"> did not in his affidavit deal a</w:t>
      </w:r>
      <w:r w:rsidR="00834FED">
        <w:rPr>
          <w:rFonts w:cs="Arial"/>
        </w:rPr>
        <w:t>t all with why the notice of se</w:t>
      </w:r>
      <w:r w:rsidR="00834FED" w:rsidRPr="00EB3404">
        <w:rPr>
          <w:rFonts w:cs="Arial"/>
        </w:rPr>
        <w:t xml:space="preserve">t down </w:t>
      </w:r>
      <w:r w:rsidR="00DF2491">
        <w:rPr>
          <w:rFonts w:cs="Arial"/>
        </w:rPr>
        <w:t xml:space="preserve">for 8 August 2023 </w:t>
      </w:r>
      <w:r w:rsidR="00834FED" w:rsidRPr="00EB3404">
        <w:rPr>
          <w:rFonts w:cs="Arial"/>
        </w:rPr>
        <w:t>was not served on the respondent</w:t>
      </w:r>
      <w:r w:rsidR="00834FED">
        <w:rPr>
          <w:rFonts w:cs="Arial"/>
        </w:rPr>
        <w:t>’</w:t>
      </w:r>
      <w:r w:rsidR="00834FED" w:rsidRPr="00EB3404">
        <w:rPr>
          <w:rFonts w:cs="Arial"/>
        </w:rPr>
        <w:t>s attorneys</w:t>
      </w:r>
      <w:r w:rsidR="00DF2491">
        <w:rPr>
          <w:rFonts w:cs="Arial"/>
        </w:rPr>
        <w:t>,</w:t>
      </w:r>
      <w:r w:rsidR="00834FED" w:rsidRPr="00EB3404">
        <w:rPr>
          <w:rFonts w:cs="Arial"/>
        </w:rPr>
        <w:t xml:space="preserve"> </w:t>
      </w:r>
      <w:r w:rsidR="00DF2491">
        <w:rPr>
          <w:rFonts w:cs="Arial"/>
        </w:rPr>
        <w:t>despite such</w:t>
      </w:r>
      <w:r w:rsidR="00B2166A">
        <w:rPr>
          <w:rFonts w:cs="Arial"/>
        </w:rPr>
        <w:t xml:space="preserve"> issue ha</w:t>
      </w:r>
      <w:r w:rsidR="00DF2491">
        <w:rPr>
          <w:rFonts w:cs="Arial"/>
        </w:rPr>
        <w:t>ving</w:t>
      </w:r>
      <w:r w:rsidR="00B2166A">
        <w:rPr>
          <w:rFonts w:cs="Arial"/>
        </w:rPr>
        <w:t xml:space="preserve"> been raised </w:t>
      </w:r>
      <w:r w:rsidR="001243F7">
        <w:rPr>
          <w:rFonts w:cs="Arial"/>
        </w:rPr>
        <w:t xml:space="preserve">as a matter of concern </w:t>
      </w:r>
      <w:r w:rsidR="00B2166A">
        <w:rPr>
          <w:rFonts w:cs="Arial"/>
        </w:rPr>
        <w:t xml:space="preserve">before the matter </w:t>
      </w:r>
      <w:r w:rsidR="00830B72">
        <w:rPr>
          <w:rFonts w:cs="Arial"/>
        </w:rPr>
        <w:t xml:space="preserve">was </w:t>
      </w:r>
      <w:r w:rsidR="00B2166A">
        <w:rPr>
          <w:rFonts w:cs="Arial"/>
        </w:rPr>
        <w:t>stood down.</w:t>
      </w:r>
      <w:r w:rsidR="004A081E">
        <w:rPr>
          <w:rFonts w:cs="Arial"/>
        </w:rPr>
        <w:t xml:space="preserve"> </w:t>
      </w:r>
    </w:p>
    <w:p w14:paraId="02F79FE2" w14:textId="4AACF311" w:rsidR="001243F7"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[45]</w:t>
      </w:r>
      <w:r>
        <w:rPr>
          <w:rFonts w:cs="Arial"/>
        </w:rPr>
        <w:tab/>
      </w:r>
      <w:r w:rsidR="001243F7">
        <w:rPr>
          <w:rFonts w:cs="Arial"/>
        </w:rPr>
        <w:t xml:space="preserve">Against this backdrop it is necessary to consider the second contempt application. </w:t>
      </w:r>
      <w:r w:rsidR="00FA6B44">
        <w:rPr>
          <w:rFonts w:cs="Arial"/>
        </w:rPr>
        <w:t xml:space="preserve">Considering the </w:t>
      </w:r>
      <w:r w:rsidR="001E5124">
        <w:rPr>
          <w:rFonts w:cs="Arial"/>
        </w:rPr>
        <w:t xml:space="preserve">history of the litigation and the </w:t>
      </w:r>
      <w:r w:rsidR="00FA6B44">
        <w:rPr>
          <w:rFonts w:cs="Arial"/>
        </w:rPr>
        <w:t xml:space="preserve">facts, it is clear that the applicant manifestly failed to make out any case for urgency or why the matter was to be dealt with on the urgent roll for 8 August 2023. </w:t>
      </w:r>
    </w:p>
    <w:p w14:paraId="73A089E4" w14:textId="533F9E69" w:rsidR="00FA6B44"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[46]</w:t>
      </w:r>
      <w:r>
        <w:rPr>
          <w:rFonts w:cs="Arial"/>
        </w:rPr>
        <w:tab/>
      </w:r>
      <w:r w:rsidR="00FA6B44">
        <w:rPr>
          <w:rFonts w:cs="Arial"/>
        </w:rPr>
        <w:t>The pending rescission application of the spoliation order is destructive of any notion that th</w:t>
      </w:r>
      <w:r w:rsidR="00822067">
        <w:rPr>
          <w:rFonts w:cs="Arial"/>
        </w:rPr>
        <w:t>is</w:t>
      </w:r>
      <w:r w:rsidR="00FA6B44">
        <w:rPr>
          <w:rFonts w:cs="Arial"/>
        </w:rPr>
        <w:t xml:space="preserve"> </w:t>
      </w:r>
      <w:r w:rsidR="001112C3">
        <w:rPr>
          <w:rFonts w:cs="Arial"/>
        </w:rPr>
        <w:t xml:space="preserve">second </w:t>
      </w:r>
      <w:r w:rsidR="00FA6B44">
        <w:rPr>
          <w:rFonts w:cs="Arial"/>
        </w:rPr>
        <w:t>contempt application could be urgent.</w:t>
      </w:r>
      <w:r w:rsidR="001112C3">
        <w:rPr>
          <w:rFonts w:cs="Arial"/>
        </w:rPr>
        <w:t xml:space="preserve"> The applicant and her attorney were already forewarned of the folly of proceedi</w:t>
      </w:r>
      <w:r w:rsidR="00CF3AC7">
        <w:rPr>
          <w:rFonts w:cs="Arial"/>
        </w:rPr>
        <w:t xml:space="preserve">ng with the application in the </w:t>
      </w:r>
      <w:r w:rsidR="001C79D6">
        <w:rPr>
          <w:rFonts w:cs="Arial"/>
        </w:rPr>
        <w:t>u</w:t>
      </w:r>
      <w:r w:rsidR="00CF3AC7">
        <w:rPr>
          <w:rFonts w:cs="Arial"/>
        </w:rPr>
        <w:t xml:space="preserve">rgent </w:t>
      </w:r>
      <w:r w:rsidR="001C79D6">
        <w:rPr>
          <w:rFonts w:cs="Arial"/>
        </w:rPr>
        <w:t>c</w:t>
      </w:r>
      <w:r w:rsidR="001112C3">
        <w:rPr>
          <w:rFonts w:cs="Arial"/>
        </w:rPr>
        <w:t>ourt by Opperman J on 1 August 2023.</w:t>
      </w:r>
    </w:p>
    <w:p w14:paraId="4B448EF1" w14:textId="56F6C064" w:rsidR="001B4FC5"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[47]</w:t>
      </w:r>
      <w:r>
        <w:rPr>
          <w:rFonts w:cs="Arial"/>
        </w:rPr>
        <w:tab/>
      </w:r>
      <w:r w:rsidR="006407A4">
        <w:rPr>
          <w:rFonts w:cs="Arial"/>
        </w:rPr>
        <w:t xml:space="preserve">The applicant’s </w:t>
      </w:r>
      <w:r w:rsidR="001243F7">
        <w:rPr>
          <w:rFonts w:cs="Arial"/>
        </w:rPr>
        <w:t xml:space="preserve">broad </w:t>
      </w:r>
      <w:r w:rsidR="006407A4">
        <w:rPr>
          <w:rFonts w:cs="Arial"/>
        </w:rPr>
        <w:t xml:space="preserve">reliance on </w:t>
      </w:r>
      <w:r w:rsidR="00830B72">
        <w:rPr>
          <w:rFonts w:cs="Arial"/>
        </w:rPr>
        <w:t>“</w:t>
      </w:r>
      <w:r w:rsidR="006407A4">
        <w:rPr>
          <w:rFonts w:cs="Arial"/>
        </w:rPr>
        <w:t>contempt proceedings being inherently urgent</w:t>
      </w:r>
      <w:r w:rsidR="00830B72">
        <w:rPr>
          <w:rFonts w:cs="Arial"/>
        </w:rPr>
        <w:t>”</w:t>
      </w:r>
      <w:r w:rsidR="006407A4">
        <w:rPr>
          <w:rFonts w:cs="Arial"/>
        </w:rPr>
        <w:t xml:space="preserve"> is also misconceived. Simply because an application concerns contempt proceedings, that does not of itself justify the enrolment of </w:t>
      </w:r>
      <w:r w:rsidR="001243F7">
        <w:rPr>
          <w:rFonts w:cs="Arial"/>
        </w:rPr>
        <w:t>such</w:t>
      </w:r>
      <w:r w:rsidR="00CF3AC7">
        <w:rPr>
          <w:rFonts w:cs="Arial"/>
        </w:rPr>
        <w:t xml:space="preserve"> application on the </w:t>
      </w:r>
      <w:r w:rsidR="001C79D6">
        <w:rPr>
          <w:rFonts w:cs="Arial"/>
        </w:rPr>
        <w:t>u</w:t>
      </w:r>
      <w:r w:rsidR="00CF3AC7">
        <w:rPr>
          <w:rFonts w:cs="Arial"/>
        </w:rPr>
        <w:t xml:space="preserve">rgent </w:t>
      </w:r>
      <w:r w:rsidR="001C79D6">
        <w:rPr>
          <w:rFonts w:cs="Arial"/>
        </w:rPr>
        <w:t>c</w:t>
      </w:r>
      <w:r w:rsidR="006407A4">
        <w:rPr>
          <w:rFonts w:cs="Arial"/>
        </w:rPr>
        <w:t>ourt’s roll. As in every other urgent application, the issue of urgency must be evaluated in the context of the specific facts of the matter</w:t>
      </w:r>
      <w:r w:rsidR="001112C3">
        <w:rPr>
          <w:rFonts w:cs="Arial"/>
        </w:rPr>
        <w:t xml:space="preserve">. There must be </w:t>
      </w:r>
      <w:r w:rsidR="001B4FC5">
        <w:rPr>
          <w:rFonts w:cs="Arial"/>
        </w:rPr>
        <w:t xml:space="preserve">exact </w:t>
      </w:r>
      <w:r w:rsidR="001112C3">
        <w:rPr>
          <w:rFonts w:cs="Arial"/>
        </w:rPr>
        <w:t>compliance with the requirements of r 6(12)(b)</w:t>
      </w:r>
      <w:r w:rsidR="001243F7">
        <w:rPr>
          <w:rFonts w:cs="Arial"/>
        </w:rPr>
        <w:t xml:space="preserve"> and an applicant must</w:t>
      </w:r>
      <w:r w:rsidR="001112C3">
        <w:rPr>
          <w:rFonts w:cs="Arial"/>
        </w:rPr>
        <w:t xml:space="preserve"> explicitly </w:t>
      </w:r>
      <w:r w:rsidR="001243F7">
        <w:rPr>
          <w:rFonts w:cs="Arial"/>
        </w:rPr>
        <w:t xml:space="preserve">set out </w:t>
      </w:r>
      <w:r w:rsidR="001112C3">
        <w:rPr>
          <w:rFonts w:cs="Arial"/>
        </w:rPr>
        <w:t xml:space="preserve">the specific facts which render </w:t>
      </w:r>
      <w:r w:rsidR="001B4FC5">
        <w:rPr>
          <w:rFonts w:cs="Arial"/>
        </w:rPr>
        <w:t>such</w:t>
      </w:r>
      <w:r w:rsidR="001112C3">
        <w:rPr>
          <w:rFonts w:cs="Arial"/>
        </w:rPr>
        <w:t xml:space="preserve"> application urgent</w:t>
      </w:r>
      <w:r w:rsidR="001B4FC5">
        <w:rPr>
          <w:rFonts w:cs="Arial"/>
        </w:rPr>
        <w:t xml:space="preserve"> and why an applicant c</w:t>
      </w:r>
      <w:r w:rsidR="00830B72">
        <w:rPr>
          <w:rFonts w:cs="Arial"/>
        </w:rPr>
        <w:t xml:space="preserve">ould </w:t>
      </w:r>
      <w:r w:rsidR="001B4FC5">
        <w:rPr>
          <w:rFonts w:cs="Arial"/>
        </w:rPr>
        <w:t>not be afforded substantial redress at a hearing in due course.</w:t>
      </w:r>
    </w:p>
    <w:p w14:paraId="2765C224" w14:textId="30AF7A62" w:rsidR="001B4FC5"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[48]</w:t>
      </w:r>
      <w:r>
        <w:rPr>
          <w:rFonts w:cs="Arial"/>
        </w:rPr>
        <w:tab/>
      </w:r>
      <w:r w:rsidR="001B4FC5">
        <w:rPr>
          <w:rFonts w:cs="Arial"/>
        </w:rPr>
        <w:t>I</w:t>
      </w:r>
      <w:r w:rsidR="001112C3">
        <w:rPr>
          <w:rFonts w:cs="Arial"/>
        </w:rPr>
        <w:t xml:space="preserve">n </w:t>
      </w:r>
      <w:r w:rsidR="001B4FC5">
        <w:rPr>
          <w:rFonts w:cs="Arial"/>
        </w:rPr>
        <w:t xml:space="preserve">doing so, </w:t>
      </w:r>
      <w:r w:rsidR="006407A4">
        <w:rPr>
          <w:rFonts w:cs="Arial"/>
        </w:rPr>
        <w:t>primary facts</w:t>
      </w:r>
      <w:r w:rsidR="001B4FC5">
        <w:rPr>
          <w:rFonts w:cs="Arial"/>
        </w:rPr>
        <w:t xml:space="preserve"> must be presented</w:t>
      </w:r>
      <w:r w:rsidR="006407A4">
        <w:rPr>
          <w:rFonts w:cs="Arial"/>
        </w:rPr>
        <w:t xml:space="preserve"> rather than secondary conclusions devoid of primary facts substantiating them</w:t>
      </w:r>
      <w:r w:rsidR="001B4FC5">
        <w:rPr>
          <w:rFonts w:cs="Arial"/>
        </w:rPr>
        <w:t xml:space="preserve">. The </w:t>
      </w:r>
      <w:r w:rsidR="00FB4FE4">
        <w:rPr>
          <w:rFonts w:cs="Arial"/>
        </w:rPr>
        <w:t xml:space="preserve">mere </w:t>
      </w:r>
      <w:r w:rsidR="001B4FC5">
        <w:rPr>
          <w:rFonts w:cs="Arial"/>
        </w:rPr>
        <w:t xml:space="preserve">payment of lip service to these requirements and the bald contention that contempt proceedings are urgent, does not meet the relevant criteria. </w:t>
      </w:r>
      <w:r w:rsidR="00FB4FE4">
        <w:rPr>
          <w:rFonts w:cs="Arial"/>
        </w:rPr>
        <w:t>In the present case, no proper case for urgency was made out.</w:t>
      </w:r>
    </w:p>
    <w:p w14:paraId="56D674F1" w14:textId="271D78C9" w:rsidR="006407A4"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[49]</w:t>
      </w:r>
      <w:r>
        <w:rPr>
          <w:rFonts w:cs="Arial"/>
        </w:rPr>
        <w:tab/>
      </w:r>
      <w:r w:rsidR="006407A4">
        <w:rPr>
          <w:rFonts w:cs="Arial"/>
        </w:rPr>
        <w:t>The notion that simply because legal pro</w:t>
      </w:r>
      <w:r w:rsidR="00CF3AC7">
        <w:rPr>
          <w:rFonts w:cs="Arial"/>
        </w:rPr>
        <w:t xml:space="preserve">ceedings were commenced in the </w:t>
      </w:r>
      <w:r w:rsidR="001C79D6">
        <w:rPr>
          <w:rFonts w:cs="Arial"/>
        </w:rPr>
        <w:t>u</w:t>
      </w:r>
      <w:r w:rsidR="00CF3AC7">
        <w:rPr>
          <w:rFonts w:cs="Arial"/>
        </w:rPr>
        <w:t xml:space="preserve">rgent </w:t>
      </w:r>
      <w:r w:rsidR="001C79D6">
        <w:rPr>
          <w:rFonts w:cs="Arial"/>
        </w:rPr>
        <w:t>c</w:t>
      </w:r>
      <w:r w:rsidR="006407A4">
        <w:rPr>
          <w:rFonts w:cs="Arial"/>
        </w:rPr>
        <w:t>ourt, renders whatever follows</w:t>
      </w:r>
      <w:r w:rsidR="00FB4FE4">
        <w:rPr>
          <w:rFonts w:cs="Arial"/>
        </w:rPr>
        <w:t xml:space="preserve"> also</w:t>
      </w:r>
      <w:r w:rsidR="006407A4">
        <w:rPr>
          <w:rFonts w:cs="Arial"/>
        </w:rPr>
        <w:t xml:space="preserve"> urgent, is also misconceived</w:t>
      </w:r>
      <w:r w:rsidR="001B4FC5">
        <w:rPr>
          <w:rFonts w:cs="Arial"/>
        </w:rPr>
        <w:t xml:space="preserve">, more so where the facts relied on in the urgent </w:t>
      </w:r>
      <w:r w:rsidR="00FB4FE4">
        <w:rPr>
          <w:rFonts w:cs="Arial"/>
        </w:rPr>
        <w:t xml:space="preserve">spoliation </w:t>
      </w:r>
      <w:r w:rsidR="001B4FC5">
        <w:rPr>
          <w:rFonts w:cs="Arial"/>
        </w:rPr>
        <w:t xml:space="preserve">application </w:t>
      </w:r>
      <w:r w:rsidR="00FB4FE4">
        <w:rPr>
          <w:rFonts w:cs="Arial"/>
        </w:rPr>
        <w:t>we</w:t>
      </w:r>
      <w:r w:rsidR="00CF3AC7">
        <w:rPr>
          <w:rFonts w:cs="Arial"/>
        </w:rPr>
        <w:t>re not placed before the C</w:t>
      </w:r>
      <w:r w:rsidR="001B4FC5">
        <w:rPr>
          <w:rFonts w:cs="Arial"/>
        </w:rPr>
        <w:t>ourt</w:t>
      </w:r>
      <w:r w:rsidR="00FB4FE4">
        <w:rPr>
          <w:rFonts w:cs="Arial"/>
        </w:rPr>
        <w:t xml:space="preserve"> and are in dispute between the parties</w:t>
      </w:r>
      <w:r w:rsidR="003E4F17">
        <w:rPr>
          <w:rFonts w:cs="Arial"/>
        </w:rPr>
        <w:t>, as in the present instance</w:t>
      </w:r>
      <w:r w:rsidR="006407A4">
        <w:rPr>
          <w:rFonts w:cs="Arial"/>
        </w:rPr>
        <w:t>.</w:t>
      </w:r>
    </w:p>
    <w:p w14:paraId="1D598B32" w14:textId="5186454D" w:rsid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[50]</w:t>
      </w:r>
      <w:r>
        <w:rPr>
          <w:rFonts w:cs="Arial"/>
        </w:rPr>
        <w:tab/>
      </w:r>
      <w:r w:rsidR="00FB4FE4" w:rsidRPr="00231F0A">
        <w:rPr>
          <w:rFonts w:cs="Arial"/>
        </w:rPr>
        <w:t xml:space="preserve">For these reasons, </w:t>
      </w:r>
      <w:r w:rsidR="00FA6B44" w:rsidRPr="00231F0A">
        <w:rPr>
          <w:rFonts w:cs="Arial"/>
        </w:rPr>
        <w:t>I would have been justified in striking the application from the roll for lack of urgency.</w:t>
      </w:r>
    </w:p>
    <w:p w14:paraId="38735D45" w14:textId="69392D28" w:rsid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[51]</w:t>
      </w:r>
      <w:r>
        <w:rPr>
          <w:rFonts w:cs="Arial"/>
        </w:rPr>
        <w:tab/>
      </w:r>
      <w:r w:rsidR="00FA6B44" w:rsidRPr="00231F0A">
        <w:rPr>
          <w:rFonts w:cs="Arial"/>
        </w:rPr>
        <w:t xml:space="preserve">However, there are further issues which require consideration. </w:t>
      </w:r>
      <w:r w:rsidR="00231F0A">
        <w:rPr>
          <w:rFonts w:cs="Arial"/>
        </w:rPr>
        <w:t xml:space="preserve"> </w:t>
      </w:r>
    </w:p>
    <w:p w14:paraId="418C076E" w14:textId="13F99797" w:rsidR="0043121A" w:rsidRP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231F0A">
        <w:rPr>
          <w:rFonts w:cs="Arial"/>
        </w:rPr>
        <w:t>[52]</w:t>
      </w:r>
      <w:r w:rsidRPr="00231F0A">
        <w:rPr>
          <w:rFonts w:cs="Arial"/>
        </w:rPr>
        <w:tab/>
      </w:r>
      <w:r w:rsidR="0043121A" w:rsidRPr="00231F0A">
        <w:rPr>
          <w:rFonts w:cs="Arial"/>
        </w:rPr>
        <w:t xml:space="preserve">Considering all the facts, the second contempt application can best be described as an abuse </w:t>
      </w:r>
      <w:r w:rsidR="00CF3AC7">
        <w:rPr>
          <w:rFonts w:cs="Arial"/>
        </w:rPr>
        <w:t>of process. It is trite that a C</w:t>
      </w:r>
      <w:r w:rsidR="0043121A" w:rsidRPr="00231F0A">
        <w:rPr>
          <w:rFonts w:cs="Arial"/>
        </w:rPr>
        <w:t>ourt has the inherent jurisdiction to prevent an abuse of its process</w:t>
      </w:r>
      <w:r w:rsidR="0043121A" w:rsidRPr="00175363">
        <w:rPr>
          <w:rFonts w:eastAsia="Times New Roman" w:cs="Arial"/>
          <w:color w:val="auto"/>
          <w:kern w:val="28"/>
          <w:bdr w:val="none" w:sz="0" w:space="0" w:color="auto"/>
          <w:vertAlign w:val="superscript"/>
          <w:lang w:val="en-ZA" w:eastAsia="en-GB"/>
        </w:rPr>
        <w:footnoteReference w:id="6"/>
      </w:r>
      <w:r w:rsidR="0043121A" w:rsidRPr="00231F0A">
        <w:rPr>
          <w:rFonts w:cs="Arial"/>
        </w:rPr>
        <w:t>.</w:t>
      </w:r>
    </w:p>
    <w:p w14:paraId="40183073" w14:textId="4959C579" w:rsid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[53]</w:t>
      </w:r>
      <w:r>
        <w:rPr>
          <w:rFonts w:cs="Arial"/>
        </w:rPr>
        <w:tab/>
      </w:r>
      <w:r w:rsidR="00834FED" w:rsidRPr="00231F0A">
        <w:rPr>
          <w:rFonts w:cs="Arial"/>
        </w:rPr>
        <w:t xml:space="preserve">It is clear that the applicant </w:t>
      </w:r>
      <w:r w:rsidR="00FA6B44" w:rsidRPr="00231F0A">
        <w:rPr>
          <w:rFonts w:cs="Arial"/>
        </w:rPr>
        <w:t xml:space="preserve">and </w:t>
      </w:r>
      <w:r w:rsidR="001B4FC5" w:rsidRPr="00231F0A">
        <w:rPr>
          <w:rFonts w:cs="Arial"/>
        </w:rPr>
        <w:t>her attorney of record</w:t>
      </w:r>
      <w:r w:rsidR="00FA6B44" w:rsidRPr="00231F0A">
        <w:rPr>
          <w:rFonts w:cs="Arial"/>
        </w:rPr>
        <w:t xml:space="preserve"> </w:t>
      </w:r>
      <w:r w:rsidR="00834FED" w:rsidRPr="00231F0A">
        <w:rPr>
          <w:rFonts w:cs="Arial"/>
        </w:rPr>
        <w:t>ha</w:t>
      </w:r>
      <w:r w:rsidR="001B4FC5" w:rsidRPr="00231F0A">
        <w:rPr>
          <w:rFonts w:cs="Arial"/>
        </w:rPr>
        <w:t>ve</w:t>
      </w:r>
      <w:r w:rsidR="00834FED" w:rsidRPr="00231F0A">
        <w:rPr>
          <w:rFonts w:cs="Arial"/>
        </w:rPr>
        <w:t xml:space="preserve"> entirely misconceived </w:t>
      </w:r>
      <w:r w:rsidR="00AF1D7B" w:rsidRPr="00231F0A">
        <w:rPr>
          <w:rFonts w:cs="Arial"/>
        </w:rPr>
        <w:t xml:space="preserve">the proper procedures and </w:t>
      </w:r>
      <w:r w:rsidR="00834FED" w:rsidRPr="00231F0A">
        <w:rPr>
          <w:rFonts w:cs="Arial"/>
        </w:rPr>
        <w:t>d</w:t>
      </w:r>
      <w:r w:rsidR="00AF1D7B" w:rsidRPr="00231F0A">
        <w:rPr>
          <w:rFonts w:cs="Arial"/>
        </w:rPr>
        <w:t xml:space="preserve">ue </w:t>
      </w:r>
      <w:r w:rsidR="00834FED" w:rsidRPr="00231F0A">
        <w:rPr>
          <w:rFonts w:cs="Arial"/>
        </w:rPr>
        <w:t>legal process</w:t>
      </w:r>
      <w:r w:rsidR="00AF1D7B" w:rsidRPr="00231F0A">
        <w:rPr>
          <w:rFonts w:cs="Arial"/>
        </w:rPr>
        <w:t>.</w:t>
      </w:r>
      <w:r w:rsidR="00FA6B44" w:rsidRPr="00231F0A">
        <w:rPr>
          <w:rFonts w:cs="Arial"/>
        </w:rPr>
        <w:t xml:space="preserve"> </w:t>
      </w:r>
      <w:r w:rsidR="00231F0A" w:rsidRPr="00231F0A">
        <w:rPr>
          <w:rFonts w:cs="Arial"/>
        </w:rPr>
        <w:t>Centrally, t</w:t>
      </w:r>
      <w:r w:rsidR="00834FED" w:rsidRPr="00231F0A">
        <w:rPr>
          <w:rFonts w:cs="Arial"/>
        </w:rPr>
        <w:t xml:space="preserve">he present contempt application is one which </w:t>
      </w:r>
      <w:r w:rsidR="00AF1D7B" w:rsidRPr="00231F0A">
        <w:rPr>
          <w:rFonts w:cs="Arial"/>
        </w:rPr>
        <w:t xml:space="preserve">impermissibly </w:t>
      </w:r>
      <w:r w:rsidR="00834FED" w:rsidRPr="00231F0A">
        <w:rPr>
          <w:rFonts w:cs="Arial"/>
        </w:rPr>
        <w:t>seeks to review or appeal the decision of Motha J to strike the application from the roll.</w:t>
      </w:r>
      <w:r w:rsidR="00822067" w:rsidRPr="00231F0A">
        <w:rPr>
          <w:rFonts w:cs="Arial"/>
        </w:rPr>
        <w:t xml:space="preserve"> On this basis alone, the </w:t>
      </w:r>
      <w:r w:rsidR="00F24302" w:rsidRPr="00231F0A">
        <w:rPr>
          <w:rFonts w:cs="Arial"/>
        </w:rPr>
        <w:t>second</w:t>
      </w:r>
      <w:r w:rsidR="00822067" w:rsidRPr="00231F0A">
        <w:rPr>
          <w:rFonts w:cs="Arial"/>
        </w:rPr>
        <w:t xml:space="preserve"> contempt application should be dismissed. </w:t>
      </w:r>
    </w:p>
    <w:p w14:paraId="12F6F7AB" w14:textId="73B38748" w:rsidR="00231F0A" w:rsidRP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231F0A">
        <w:rPr>
          <w:rFonts w:cs="Arial"/>
        </w:rPr>
        <w:t>[54]</w:t>
      </w:r>
      <w:r w:rsidRPr="00231F0A">
        <w:rPr>
          <w:rFonts w:cs="Arial"/>
        </w:rPr>
        <w:tab/>
      </w:r>
      <w:r w:rsidR="00822067" w:rsidRPr="00231F0A">
        <w:rPr>
          <w:rFonts w:cs="Arial"/>
        </w:rPr>
        <w:t>It would have been open to the applicant to seek leave to supplement her papers in the first contempt application, if a proper case was made out</w:t>
      </w:r>
      <w:r w:rsidR="001B4FC5" w:rsidRPr="00231F0A">
        <w:rPr>
          <w:rFonts w:cs="Arial"/>
        </w:rPr>
        <w:t xml:space="preserve"> to do so</w:t>
      </w:r>
      <w:r w:rsidR="00822067" w:rsidRPr="00231F0A">
        <w:rPr>
          <w:rFonts w:cs="Arial"/>
        </w:rPr>
        <w:t>. Simply launching a second contempt application, whilst the first remained pending</w:t>
      </w:r>
      <w:r w:rsidR="00231F0A" w:rsidRPr="00231F0A">
        <w:rPr>
          <w:rFonts w:cs="Arial"/>
        </w:rPr>
        <w:t>,</w:t>
      </w:r>
      <w:r w:rsidR="00822067" w:rsidRPr="00231F0A">
        <w:rPr>
          <w:rFonts w:cs="Arial"/>
        </w:rPr>
        <w:t xml:space="preserve"> was an improper avenue to pursue. </w:t>
      </w:r>
    </w:p>
    <w:p w14:paraId="7B55326D" w14:textId="7C9177F2" w:rsidR="0043121A" w:rsidRP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231F0A">
        <w:rPr>
          <w:rFonts w:cs="Arial"/>
        </w:rPr>
        <w:t>[55]</w:t>
      </w:r>
      <w:r w:rsidRPr="00231F0A">
        <w:rPr>
          <w:rFonts w:cs="Arial"/>
        </w:rPr>
        <w:tab/>
      </w:r>
      <w:r w:rsidR="00ED7708">
        <w:rPr>
          <w:rFonts w:cs="Arial"/>
        </w:rPr>
        <w:t>Moreover, t</w:t>
      </w:r>
      <w:r w:rsidR="00822067" w:rsidRPr="00231F0A">
        <w:rPr>
          <w:rFonts w:cs="Arial"/>
        </w:rPr>
        <w:t>he applicant further cannot simply frustrate the pending rescission application by</w:t>
      </w:r>
      <w:r w:rsidR="00F24302" w:rsidRPr="00231F0A">
        <w:rPr>
          <w:rFonts w:cs="Arial"/>
        </w:rPr>
        <w:t xml:space="preserve"> the</w:t>
      </w:r>
      <w:r w:rsidR="00822067" w:rsidRPr="00231F0A">
        <w:rPr>
          <w:rFonts w:cs="Arial"/>
        </w:rPr>
        <w:t xml:space="preserve"> launching </w:t>
      </w:r>
      <w:r w:rsidR="00F24302" w:rsidRPr="00231F0A">
        <w:rPr>
          <w:rFonts w:cs="Arial"/>
        </w:rPr>
        <w:t xml:space="preserve">of </w:t>
      </w:r>
      <w:r w:rsidR="00822067" w:rsidRPr="00231F0A">
        <w:rPr>
          <w:rFonts w:cs="Arial"/>
        </w:rPr>
        <w:t xml:space="preserve">a fresh contempt application. Insofar as that may have been the motive for the launching of the </w:t>
      </w:r>
      <w:r w:rsidR="001B4FC5" w:rsidRPr="00231F0A">
        <w:rPr>
          <w:rFonts w:cs="Arial"/>
        </w:rPr>
        <w:t>second contempt</w:t>
      </w:r>
      <w:r w:rsidR="00231F0A">
        <w:rPr>
          <w:rFonts w:cs="Arial"/>
        </w:rPr>
        <w:t xml:space="preserve"> application</w:t>
      </w:r>
      <w:r w:rsidR="00822067" w:rsidRPr="00231F0A">
        <w:rPr>
          <w:rFonts w:cs="Arial"/>
        </w:rPr>
        <w:t xml:space="preserve">, </w:t>
      </w:r>
      <w:r w:rsidR="00F24302" w:rsidRPr="00231F0A">
        <w:rPr>
          <w:rFonts w:cs="Arial"/>
        </w:rPr>
        <w:t xml:space="preserve">as appears from the tenor of </w:t>
      </w:r>
      <w:r w:rsidR="00830B72">
        <w:rPr>
          <w:rFonts w:cs="Arial"/>
        </w:rPr>
        <w:t xml:space="preserve">the </w:t>
      </w:r>
      <w:r w:rsidR="007D5561">
        <w:rPr>
          <w:rFonts w:cs="Arial"/>
        </w:rPr>
        <w:t xml:space="preserve">applicant’s </w:t>
      </w:r>
      <w:r w:rsidR="00830B72">
        <w:rPr>
          <w:rFonts w:cs="Arial"/>
        </w:rPr>
        <w:t>attorney’s</w:t>
      </w:r>
      <w:r w:rsidR="00F24302" w:rsidRPr="00231F0A">
        <w:rPr>
          <w:rFonts w:cs="Arial"/>
        </w:rPr>
        <w:t xml:space="preserve"> correspondence to the respondent’s attorney, </w:t>
      </w:r>
      <w:r w:rsidR="00175363" w:rsidRPr="00231F0A">
        <w:rPr>
          <w:rFonts w:cs="Arial"/>
        </w:rPr>
        <w:t>that of itself con</w:t>
      </w:r>
      <w:r w:rsidR="00822067" w:rsidRPr="00231F0A">
        <w:rPr>
          <w:rFonts w:cs="Arial"/>
        </w:rPr>
        <w:t>stitute</w:t>
      </w:r>
      <w:r w:rsidR="00175363" w:rsidRPr="00231F0A">
        <w:rPr>
          <w:rFonts w:cs="Arial"/>
        </w:rPr>
        <w:t>s</w:t>
      </w:r>
      <w:r w:rsidR="00822067" w:rsidRPr="00231F0A">
        <w:rPr>
          <w:rFonts w:cs="Arial"/>
        </w:rPr>
        <w:t xml:space="preserve"> an abuse of process as </w:t>
      </w:r>
      <w:r w:rsidR="00231F0A">
        <w:rPr>
          <w:rFonts w:cs="Arial"/>
        </w:rPr>
        <w:t>the application</w:t>
      </w:r>
      <w:r w:rsidR="00511589" w:rsidRPr="00231F0A">
        <w:rPr>
          <w:rFonts w:cs="Arial"/>
        </w:rPr>
        <w:t xml:space="preserve"> was launched with an </w:t>
      </w:r>
      <w:r w:rsidR="00822067" w:rsidRPr="00231F0A">
        <w:rPr>
          <w:rFonts w:cs="Arial"/>
        </w:rPr>
        <w:t>ulterior motive</w:t>
      </w:r>
      <w:r w:rsidR="00ED7708">
        <w:rPr>
          <w:rFonts w:cs="Arial"/>
        </w:rPr>
        <w:t>, justifying its dismissal</w:t>
      </w:r>
      <w:r w:rsidR="00822067" w:rsidRPr="00231F0A">
        <w:rPr>
          <w:rFonts w:cs="Arial"/>
        </w:rPr>
        <w:t>.</w:t>
      </w:r>
      <w:r w:rsidR="00A706E9" w:rsidRPr="00231F0A">
        <w:rPr>
          <w:rFonts w:cs="Arial"/>
        </w:rPr>
        <w:t xml:space="preserve"> </w:t>
      </w:r>
    </w:p>
    <w:p w14:paraId="38EEA3F0" w14:textId="4CBCA84D" w:rsidR="00822067"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[56]</w:t>
      </w:r>
      <w:r>
        <w:rPr>
          <w:rFonts w:cs="Arial"/>
        </w:rPr>
        <w:tab/>
      </w:r>
      <w:r w:rsidR="00A706E9">
        <w:rPr>
          <w:rFonts w:cs="Arial"/>
        </w:rPr>
        <w:t>Such abuse is exacerbated by the lack of service of the notice of set</w:t>
      </w:r>
      <w:r w:rsidR="0043121A">
        <w:rPr>
          <w:rFonts w:cs="Arial"/>
        </w:rPr>
        <w:t xml:space="preserve"> </w:t>
      </w:r>
      <w:r w:rsidR="00A706E9">
        <w:rPr>
          <w:rFonts w:cs="Arial"/>
        </w:rPr>
        <w:t xml:space="preserve">down </w:t>
      </w:r>
      <w:r w:rsidR="0043121A">
        <w:rPr>
          <w:rFonts w:cs="Arial"/>
        </w:rPr>
        <w:t xml:space="preserve">for 8 August 2023 </w:t>
      </w:r>
      <w:r w:rsidR="00A706E9">
        <w:rPr>
          <w:rFonts w:cs="Arial"/>
        </w:rPr>
        <w:t>on the re</w:t>
      </w:r>
      <w:r w:rsidR="0043121A">
        <w:rPr>
          <w:rFonts w:cs="Arial"/>
        </w:rPr>
        <w:t>s</w:t>
      </w:r>
      <w:r w:rsidR="00A706E9">
        <w:rPr>
          <w:rFonts w:cs="Arial"/>
        </w:rPr>
        <w:t>pondent.</w:t>
      </w:r>
      <w:r w:rsidR="0043121A">
        <w:rPr>
          <w:rFonts w:cs="Arial"/>
        </w:rPr>
        <w:t xml:space="preserve"> This failure is egregious and flaunts a fundamental norm of our law. As recently again emphasised in </w:t>
      </w:r>
      <w:r w:rsidR="0043121A" w:rsidRPr="00CD15D3">
        <w:rPr>
          <w:rFonts w:cs="Arial"/>
          <w:i/>
        </w:rPr>
        <w:t>Mazetti</w:t>
      </w:r>
      <w:r w:rsidR="0043121A" w:rsidRPr="004C7303">
        <w:rPr>
          <w:rStyle w:val="FootnoteReference"/>
          <w:rFonts w:cs="Arial"/>
        </w:rPr>
        <w:footnoteReference w:id="7"/>
      </w:r>
      <w:r w:rsidR="0043121A">
        <w:rPr>
          <w:rFonts w:cs="Arial"/>
        </w:rPr>
        <w:t>:</w:t>
      </w:r>
    </w:p>
    <w:p w14:paraId="441551AF" w14:textId="786080CE" w:rsidR="0043121A" w:rsidRDefault="0043121A" w:rsidP="0043121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240" w:lineRule="auto"/>
        <w:ind w:left="567"/>
        <w:textAlignment w:val="baseline"/>
        <w:rPr>
          <w:rFonts w:cs="Arial"/>
          <w:i/>
          <w:iCs/>
          <w:sz w:val="20"/>
          <w:szCs w:val="20"/>
        </w:rPr>
      </w:pPr>
      <w:r w:rsidRPr="00CD15D3">
        <w:rPr>
          <w:rFonts w:cs="Arial"/>
          <w:sz w:val="20"/>
          <w:szCs w:val="20"/>
        </w:rPr>
        <w:t>“</w:t>
      </w:r>
      <w:r w:rsidRPr="00CD15D3">
        <w:rPr>
          <w:rFonts w:cs="Arial"/>
          <w:i/>
          <w:iCs/>
          <w:sz w:val="20"/>
          <w:szCs w:val="20"/>
        </w:rPr>
        <w:t xml:space="preserve">In our law, there is the fundamental norm that </w:t>
      </w:r>
      <w:r w:rsidRPr="00CD15D3">
        <w:rPr>
          <w:rFonts w:cs="Arial"/>
          <w:bCs/>
          <w:i/>
          <w:iCs/>
          <w:sz w:val="20"/>
          <w:szCs w:val="20"/>
        </w:rPr>
        <w:t>no decision adverse to a person ought to be made without giving that person an opportunity to be heard</w:t>
      </w:r>
      <w:r w:rsidRPr="00CD15D3">
        <w:rPr>
          <w:rFonts w:cs="Arial"/>
          <w:i/>
          <w:iCs/>
          <w:sz w:val="20"/>
          <w:szCs w:val="20"/>
        </w:rPr>
        <w:t>. In a court of law, this norm is scrupulously observed.”</w:t>
      </w:r>
    </w:p>
    <w:p w14:paraId="00EB92A0" w14:textId="77777777" w:rsidR="0043121A" w:rsidRPr="00CD15D3" w:rsidRDefault="0043121A" w:rsidP="0043121A">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autoSpaceDN w:val="0"/>
        <w:spacing w:before="0" w:after="0" w:line="240" w:lineRule="auto"/>
        <w:ind w:left="567"/>
        <w:textAlignment w:val="baseline"/>
        <w:rPr>
          <w:rFonts w:cs="Arial"/>
          <w:sz w:val="20"/>
          <w:szCs w:val="20"/>
        </w:rPr>
      </w:pPr>
    </w:p>
    <w:p w14:paraId="6864B4C0" w14:textId="439881E9" w:rsidR="0043121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ind w:hanging="11"/>
        <w:rPr>
          <w:rFonts w:cs="Arial"/>
        </w:rPr>
      </w:pPr>
      <w:r>
        <w:rPr>
          <w:rFonts w:cs="Arial"/>
        </w:rPr>
        <w:t>[57]</w:t>
      </w:r>
      <w:r>
        <w:rPr>
          <w:rFonts w:cs="Arial"/>
        </w:rPr>
        <w:tab/>
      </w:r>
      <w:r w:rsidR="0043121A">
        <w:rPr>
          <w:rFonts w:cs="Arial"/>
        </w:rPr>
        <w:t xml:space="preserve">Well knowing that the respondent was opposing the application, it smacks of </w:t>
      </w:r>
      <w:r w:rsidR="0043121A" w:rsidRPr="00DF2491">
        <w:rPr>
          <w:rFonts w:cs="Arial"/>
          <w:i/>
        </w:rPr>
        <w:t>mala fides</w:t>
      </w:r>
      <w:r w:rsidR="0043121A">
        <w:rPr>
          <w:rFonts w:cs="Arial"/>
        </w:rPr>
        <w:t xml:space="preserve"> that her legal representatives were not notified of the enrolment for 8 August 2023. That cannot be attributed to the applicant, but is squarely to be placed at the door of her attorney, Mr Seloane.</w:t>
      </w:r>
    </w:p>
    <w:p w14:paraId="26FD4512" w14:textId="64559DED" w:rsidR="00C97680" w:rsidRPr="00FA6B44"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FA6B44">
        <w:rPr>
          <w:rFonts w:cs="Arial"/>
        </w:rPr>
        <w:t>[58]</w:t>
      </w:r>
      <w:r w:rsidRPr="00FA6B44">
        <w:rPr>
          <w:rFonts w:cs="Arial"/>
        </w:rPr>
        <w:tab/>
      </w:r>
      <w:r w:rsidR="00583928">
        <w:rPr>
          <w:rFonts w:cs="Arial"/>
        </w:rPr>
        <w:t>The</w:t>
      </w:r>
      <w:r w:rsidR="00090D7A">
        <w:rPr>
          <w:rFonts w:cs="Arial"/>
        </w:rPr>
        <w:t>re is no basis to deviate from the normal principle that costs follow the result. The</w:t>
      </w:r>
      <w:r w:rsidR="00583928">
        <w:rPr>
          <w:rFonts w:cs="Arial"/>
        </w:rPr>
        <w:t xml:space="preserve"> issue is </w:t>
      </w:r>
      <w:r w:rsidR="00090D7A">
        <w:rPr>
          <w:rFonts w:cs="Arial"/>
        </w:rPr>
        <w:t xml:space="preserve">what costs order would be </w:t>
      </w:r>
      <w:r w:rsidR="00583928">
        <w:rPr>
          <w:rFonts w:cs="Arial"/>
        </w:rPr>
        <w:t>appropriate.</w:t>
      </w:r>
    </w:p>
    <w:p w14:paraId="7780CF76" w14:textId="59170CDF" w:rsid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[59]</w:t>
      </w:r>
      <w:r>
        <w:rPr>
          <w:rFonts w:cs="Arial"/>
        </w:rPr>
        <w:tab/>
      </w:r>
      <w:r w:rsidR="00267A2A">
        <w:rPr>
          <w:rFonts w:cs="Arial"/>
        </w:rPr>
        <w:t xml:space="preserve">The unfounded </w:t>
      </w:r>
      <w:r w:rsidR="000E7F3B">
        <w:rPr>
          <w:rFonts w:cs="Arial"/>
        </w:rPr>
        <w:t>launching of the second urgent contempt application r</w:t>
      </w:r>
      <w:r w:rsidR="00267A2A">
        <w:rPr>
          <w:rFonts w:cs="Arial"/>
        </w:rPr>
        <w:t>esulted in substantial unnecessary legal costs being incurred in relation thereto</w:t>
      </w:r>
      <w:r w:rsidR="00231F0A">
        <w:rPr>
          <w:rFonts w:cs="Arial"/>
        </w:rPr>
        <w:t xml:space="preserve"> by the respondent</w:t>
      </w:r>
      <w:r w:rsidR="00267A2A">
        <w:rPr>
          <w:rFonts w:cs="Arial"/>
        </w:rPr>
        <w:t xml:space="preserve">. </w:t>
      </w:r>
    </w:p>
    <w:p w14:paraId="484CF7C0" w14:textId="3D50A001" w:rsidR="00834FED"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[60]</w:t>
      </w:r>
      <w:r>
        <w:rPr>
          <w:rFonts w:cs="Arial"/>
        </w:rPr>
        <w:tab/>
      </w:r>
      <w:r w:rsidR="00267A2A">
        <w:rPr>
          <w:rFonts w:cs="Arial"/>
        </w:rPr>
        <w:t xml:space="preserve">Significantly, in the second contempt </w:t>
      </w:r>
      <w:r w:rsidR="00834FED" w:rsidRPr="00834FED">
        <w:rPr>
          <w:rFonts w:cs="Arial"/>
        </w:rPr>
        <w:t xml:space="preserve">application </w:t>
      </w:r>
      <w:r w:rsidR="00267A2A">
        <w:rPr>
          <w:rFonts w:cs="Arial"/>
        </w:rPr>
        <w:t>not</w:t>
      </w:r>
      <w:r w:rsidR="00834FED" w:rsidRPr="00834FED">
        <w:rPr>
          <w:rFonts w:cs="Arial"/>
        </w:rPr>
        <w:t xml:space="preserve"> </w:t>
      </w:r>
      <w:r w:rsidR="007E64CA">
        <w:rPr>
          <w:rFonts w:cs="Arial"/>
        </w:rPr>
        <w:t>all the relevant</w:t>
      </w:r>
      <w:r w:rsidR="00834FED" w:rsidRPr="00834FED">
        <w:rPr>
          <w:rFonts w:cs="Arial"/>
        </w:rPr>
        <w:t xml:space="preserve"> facts were </w:t>
      </w:r>
      <w:r w:rsidR="00267A2A">
        <w:rPr>
          <w:rFonts w:cs="Arial"/>
        </w:rPr>
        <w:t xml:space="preserve">disclosed in the founding affidavit or </w:t>
      </w:r>
      <w:r w:rsidR="00834FED" w:rsidRPr="00834FED">
        <w:rPr>
          <w:rFonts w:cs="Arial"/>
        </w:rPr>
        <w:t>brough</w:t>
      </w:r>
      <w:r w:rsidR="002730F0">
        <w:rPr>
          <w:rFonts w:cs="Arial"/>
        </w:rPr>
        <w:t xml:space="preserve">t to the </w:t>
      </w:r>
      <w:r w:rsidR="00ED7708">
        <w:rPr>
          <w:rFonts w:cs="Arial"/>
        </w:rPr>
        <w:t>C</w:t>
      </w:r>
      <w:r w:rsidR="00834FED" w:rsidRPr="00834FED">
        <w:rPr>
          <w:rFonts w:cs="Arial"/>
        </w:rPr>
        <w:t>ourt's attention</w:t>
      </w:r>
      <w:r w:rsidR="00267A2A">
        <w:rPr>
          <w:rFonts w:cs="Arial"/>
        </w:rPr>
        <w:t>, notably the pending rescission application against the spoliation order underpinning the applicant’s claim to relief.</w:t>
      </w:r>
      <w:r w:rsidR="00583928">
        <w:rPr>
          <w:rFonts w:cs="Arial"/>
        </w:rPr>
        <w:t xml:space="preserve"> </w:t>
      </w:r>
    </w:p>
    <w:p w14:paraId="043C94E0" w14:textId="1E6FAD1B" w:rsidR="00941F92" w:rsidRPr="003E65B3"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3E65B3">
        <w:rPr>
          <w:rFonts w:cs="Arial"/>
        </w:rPr>
        <w:t>[61]</w:t>
      </w:r>
      <w:r w:rsidRPr="003E65B3">
        <w:rPr>
          <w:rFonts w:cs="Arial"/>
        </w:rPr>
        <w:tab/>
      </w:r>
      <w:r w:rsidR="00941F92" w:rsidRPr="003E65B3">
        <w:rPr>
          <w:rFonts w:cs="Arial"/>
        </w:rPr>
        <w:t xml:space="preserve">Given the </w:t>
      </w:r>
      <w:r w:rsidR="003E65B3">
        <w:rPr>
          <w:rFonts w:cs="Arial"/>
        </w:rPr>
        <w:t xml:space="preserve">advance </w:t>
      </w:r>
      <w:r w:rsidR="00941F92" w:rsidRPr="003E65B3">
        <w:rPr>
          <w:rFonts w:cs="Arial"/>
        </w:rPr>
        <w:t>warn</w:t>
      </w:r>
      <w:r w:rsidR="003E65B3">
        <w:rPr>
          <w:rFonts w:cs="Arial"/>
        </w:rPr>
        <w:t>ing of the risks involved in continu</w:t>
      </w:r>
      <w:r w:rsidR="00535E17">
        <w:rPr>
          <w:rFonts w:cs="Arial"/>
        </w:rPr>
        <w:t xml:space="preserve">ing on his path of abusing the </w:t>
      </w:r>
      <w:r w:rsidR="007D5561">
        <w:rPr>
          <w:rFonts w:cs="Arial"/>
        </w:rPr>
        <w:t>u</w:t>
      </w:r>
      <w:r w:rsidR="00535E17">
        <w:rPr>
          <w:rFonts w:cs="Arial"/>
        </w:rPr>
        <w:t xml:space="preserve">rgent </w:t>
      </w:r>
      <w:r w:rsidR="007D5561">
        <w:rPr>
          <w:rFonts w:cs="Arial"/>
        </w:rPr>
        <w:t>c</w:t>
      </w:r>
      <w:r w:rsidR="003E65B3">
        <w:rPr>
          <w:rFonts w:cs="Arial"/>
        </w:rPr>
        <w:t>ourt</w:t>
      </w:r>
      <w:r w:rsidR="00941F92" w:rsidRPr="003E65B3">
        <w:rPr>
          <w:rFonts w:cs="Arial"/>
        </w:rPr>
        <w:t xml:space="preserve"> </w:t>
      </w:r>
      <w:r w:rsidR="000E7F3B">
        <w:rPr>
          <w:rFonts w:cs="Arial"/>
        </w:rPr>
        <w:t xml:space="preserve">by </w:t>
      </w:r>
      <w:r w:rsidR="00941F92" w:rsidRPr="003E65B3">
        <w:rPr>
          <w:rFonts w:cs="Arial"/>
        </w:rPr>
        <w:t xml:space="preserve">Opperman J, </w:t>
      </w:r>
      <w:r w:rsidR="00A706E9">
        <w:rPr>
          <w:rFonts w:cs="Arial"/>
        </w:rPr>
        <w:t xml:space="preserve">and </w:t>
      </w:r>
      <w:r w:rsidR="00583928">
        <w:rPr>
          <w:rFonts w:cs="Arial"/>
        </w:rPr>
        <w:t xml:space="preserve">in light of the fact that the matter had already been struck from the urgent roll by Motha J, </w:t>
      </w:r>
      <w:r w:rsidR="000E7F3B">
        <w:rPr>
          <w:rFonts w:cs="Arial"/>
        </w:rPr>
        <w:t>the applicant’s attorney</w:t>
      </w:r>
      <w:r w:rsidR="00941F92" w:rsidRPr="003E65B3">
        <w:rPr>
          <w:rFonts w:cs="Arial"/>
        </w:rPr>
        <w:t xml:space="preserve"> had full </w:t>
      </w:r>
      <w:r w:rsidR="00941F92" w:rsidRPr="003E65B3">
        <w:rPr>
          <w:rFonts w:cs="Arial"/>
        </w:rPr>
        <w:lastRenderedPageBreak/>
        <w:t xml:space="preserve">knowledge </w:t>
      </w:r>
      <w:r w:rsidR="00231F0A">
        <w:rPr>
          <w:rFonts w:cs="Arial"/>
        </w:rPr>
        <w:t>that the</w:t>
      </w:r>
      <w:r w:rsidR="00941F92" w:rsidRPr="003E65B3">
        <w:rPr>
          <w:rFonts w:cs="Arial"/>
        </w:rPr>
        <w:t xml:space="preserve"> enrol</w:t>
      </w:r>
      <w:r w:rsidR="00CF3AC7">
        <w:rPr>
          <w:rFonts w:cs="Arial"/>
        </w:rPr>
        <w:t xml:space="preserve">ment of the application on the </w:t>
      </w:r>
      <w:r w:rsidR="007D5561">
        <w:rPr>
          <w:rFonts w:cs="Arial"/>
        </w:rPr>
        <w:t>u</w:t>
      </w:r>
      <w:r w:rsidR="00CF3AC7">
        <w:rPr>
          <w:rFonts w:cs="Arial"/>
        </w:rPr>
        <w:t xml:space="preserve">rgent </w:t>
      </w:r>
      <w:r w:rsidR="007D5561">
        <w:rPr>
          <w:rFonts w:cs="Arial"/>
        </w:rPr>
        <w:t>c</w:t>
      </w:r>
      <w:r w:rsidR="00941F92" w:rsidRPr="003E65B3">
        <w:rPr>
          <w:rFonts w:cs="Arial"/>
        </w:rPr>
        <w:t>ourt roll for 8 August 2023</w:t>
      </w:r>
      <w:r w:rsidR="00231F0A">
        <w:rPr>
          <w:rFonts w:cs="Arial"/>
        </w:rPr>
        <w:t xml:space="preserve"> would be inappropriate</w:t>
      </w:r>
      <w:r w:rsidR="00175363">
        <w:rPr>
          <w:rFonts w:cs="Arial"/>
        </w:rPr>
        <w:t xml:space="preserve">, specifically after the </w:t>
      </w:r>
      <w:r w:rsidR="007D5561">
        <w:rPr>
          <w:rFonts w:cs="Arial"/>
        </w:rPr>
        <w:t xml:space="preserve">request for a </w:t>
      </w:r>
      <w:r w:rsidR="00175363">
        <w:rPr>
          <w:rFonts w:cs="Arial"/>
        </w:rPr>
        <w:t>postponement to that roll was declined by Opperman J</w:t>
      </w:r>
      <w:r w:rsidR="00941F92" w:rsidRPr="003E65B3">
        <w:rPr>
          <w:rFonts w:cs="Arial"/>
        </w:rPr>
        <w:t>.</w:t>
      </w:r>
    </w:p>
    <w:p w14:paraId="2D839CB1" w14:textId="13938C07" w:rsidR="00231F0A"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[62]</w:t>
      </w:r>
      <w:r>
        <w:rPr>
          <w:rFonts w:cs="Arial"/>
        </w:rPr>
        <w:tab/>
      </w:r>
      <w:r w:rsidR="003E65B3" w:rsidRPr="003E65B3">
        <w:rPr>
          <w:rFonts w:cs="Arial"/>
        </w:rPr>
        <w:t xml:space="preserve">Seen cumulatively, the conduct </w:t>
      </w:r>
      <w:r w:rsidR="00583928">
        <w:rPr>
          <w:rFonts w:cs="Arial"/>
        </w:rPr>
        <w:t>of the applicant’s attorney</w:t>
      </w:r>
      <w:r w:rsidR="00941F92" w:rsidRPr="003E65B3">
        <w:rPr>
          <w:rFonts w:cs="Arial"/>
        </w:rPr>
        <w:t xml:space="preserve"> </w:t>
      </w:r>
      <w:r w:rsidR="003E65B3" w:rsidRPr="003E65B3">
        <w:rPr>
          <w:rFonts w:cs="Arial"/>
        </w:rPr>
        <w:t>wa</w:t>
      </w:r>
      <w:r w:rsidR="00941F92" w:rsidRPr="003E65B3">
        <w:rPr>
          <w:rFonts w:cs="Arial"/>
        </w:rPr>
        <w:t>s entirely unbecoming of a le</w:t>
      </w:r>
      <w:r w:rsidR="002730F0" w:rsidRPr="003E65B3">
        <w:rPr>
          <w:rFonts w:cs="Arial"/>
        </w:rPr>
        <w:t>gal practitioner and displays a</w:t>
      </w:r>
      <w:r w:rsidR="00175363">
        <w:rPr>
          <w:rFonts w:cs="Arial"/>
        </w:rPr>
        <w:t xml:space="preserve"> disturbing</w:t>
      </w:r>
      <w:r w:rsidR="00941F92" w:rsidRPr="003E65B3">
        <w:rPr>
          <w:rFonts w:cs="Arial"/>
        </w:rPr>
        <w:t xml:space="preserve"> disrespect for the </w:t>
      </w:r>
      <w:r w:rsidR="00231F0A">
        <w:rPr>
          <w:rFonts w:cs="Arial"/>
        </w:rPr>
        <w:t>C</w:t>
      </w:r>
      <w:r w:rsidR="00941F92" w:rsidRPr="003E65B3">
        <w:rPr>
          <w:rFonts w:cs="Arial"/>
        </w:rPr>
        <w:t>ourt</w:t>
      </w:r>
      <w:r w:rsidR="00583928">
        <w:rPr>
          <w:rFonts w:cs="Arial"/>
        </w:rPr>
        <w:t xml:space="preserve">, its rules </w:t>
      </w:r>
      <w:r w:rsidR="00941F92" w:rsidRPr="003E65B3">
        <w:rPr>
          <w:rFonts w:cs="Arial"/>
        </w:rPr>
        <w:t>and for judicial authority.</w:t>
      </w:r>
      <w:r w:rsidR="003E65B3" w:rsidRPr="003E65B3">
        <w:rPr>
          <w:rFonts w:cs="Arial"/>
        </w:rPr>
        <w:t xml:space="preserve"> </w:t>
      </w:r>
    </w:p>
    <w:p w14:paraId="47EFE0C4" w14:textId="43404493" w:rsidR="00F0105C" w:rsidRPr="003E65B3"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3E65B3">
        <w:rPr>
          <w:rFonts w:cs="Arial"/>
        </w:rPr>
        <w:t>[63]</w:t>
      </w:r>
      <w:r w:rsidRPr="003E65B3">
        <w:rPr>
          <w:rFonts w:cs="Arial"/>
        </w:rPr>
        <w:tab/>
      </w:r>
      <w:r w:rsidR="00583928">
        <w:rPr>
          <w:rFonts w:cs="Arial"/>
        </w:rPr>
        <w:t xml:space="preserve">As </w:t>
      </w:r>
      <w:r w:rsidR="00231F0A">
        <w:rPr>
          <w:rFonts w:cs="Arial"/>
        </w:rPr>
        <w:t>illustrated by</w:t>
      </w:r>
      <w:r w:rsidR="00583928">
        <w:rPr>
          <w:rFonts w:cs="Arial"/>
        </w:rPr>
        <w:t xml:space="preserve"> the history of the litigation, Mr Seloane flouted important and fundamental tenets pertaining to service and urgent applications and ignored decisions made by the Judg</w:t>
      </w:r>
      <w:r w:rsidR="00CF3AC7">
        <w:rPr>
          <w:rFonts w:cs="Arial"/>
        </w:rPr>
        <w:t xml:space="preserve">es who heard the matter in the </w:t>
      </w:r>
      <w:r w:rsidR="007D5561">
        <w:rPr>
          <w:rFonts w:cs="Arial"/>
        </w:rPr>
        <w:t>u</w:t>
      </w:r>
      <w:r w:rsidR="00CF3AC7">
        <w:rPr>
          <w:rFonts w:cs="Arial"/>
        </w:rPr>
        <w:t xml:space="preserve">rgent </w:t>
      </w:r>
      <w:r w:rsidR="007D5561">
        <w:rPr>
          <w:rFonts w:cs="Arial"/>
        </w:rPr>
        <w:t>c</w:t>
      </w:r>
      <w:r w:rsidR="00583928">
        <w:rPr>
          <w:rFonts w:cs="Arial"/>
        </w:rPr>
        <w:t xml:space="preserve">ourt. </w:t>
      </w:r>
    </w:p>
    <w:p w14:paraId="785B5750" w14:textId="334A44DB" w:rsidR="00F0105C"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[64]</w:t>
      </w:r>
      <w:r>
        <w:rPr>
          <w:rFonts w:cs="Arial"/>
        </w:rPr>
        <w:tab/>
      </w:r>
      <w:r w:rsidR="00583928">
        <w:rPr>
          <w:rFonts w:cs="Arial"/>
        </w:rPr>
        <w:t xml:space="preserve">Such conduct can and should not </w:t>
      </w:r>
      <w:r w:rsidR="00F0105C" w:rsidRPr="00F0105C">
        <w:rPr>
          <w:rFonts w:cs="Arial"/>
        </w:rPr>
        <w:t xml:space="preserve">be countenanced, as it undermines the authority of the </w:t>
      </w:r>
      <w:r w:rsidR="00ED7708">
        <w:rPr>
          <w:rFonts w:cs="Arial"/>
        </w:rPr>
        <w:t>C</w:t>
      </w:r>
      <w:r w:rsidR="00F0105C" w:rsidRPr="00F0105C">
        <w:rPr>
          <w:rFonts w:cs="Arial"/>
        </w:rPr>
        <w:t>ourt and impacts negatively on the efficacy of its orders.</w:t>
      </w:r>
    </w:p>
    <w:p w14:paraId="4EBEE746" w14:textId="5EE28662" w:rsidR="00F0105C" w:rsidRPr="00F0105C"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F0105C">
        <w:rPr>
          <w:rFonts w:cs="Arial"/>
        </w:rPr>
        <w:t>[65]</w:t>
      </w:r>
      <w:r w:rsidRPr="00F0105C">
        <w:rPr>
          <w:rFonts w:cs="Arial"/>
        </w:rPr>
        <w:tab/>
      </w:r>
      <w:r w:rsidR="00F0105C" w:rsidRPr="00F0105C">
        <w:rPr>
          <w:rFonts w:cs="Arial"/>
        </w:rPr>
        <w:t xml:space="preserve">I conclude that </w:t>
      </w:r>
      <w:r w:rsidR="00DD14C7">
        <w:rPr>
          <w:rFonts w:cs="Arial"/>
        </w:rPr>
        <w:t xml:space="preserve">on the present facts, </w:t>
      </w:r>
      <w:r w:rsidR="00F0105C" w:rsidRPr="00F0105C">
        <w:rPr>
          <w:rFonts w:cs="Arial"/>
        </w:rPr>
        <w:t xml:space="preserve">a </w:t>
      </w:r>
      <w:r w:rsidR="00F0105C" w:rsidRPr="00F0105C">
        <w:rPr>
          <w:rFonts w:cs="Arial"/>
          <w:i/>
        </w:rPr>
        <w:t>de bonis propriis</w:t>
      </w:r>
      <w:r w:rsidR="00F0105C" w:rsidRPr="00F0105C">
        <w:rPr>
          <w:rFonts w:cs="Arial"/>
        </w:rPr>
        <w:t xml:space="preserve"> cost order would be appropriate marking the </w:t>
      </w:r>
      <w:r w:rsidR="00ED7708">
        <w:rPr>
          <w:rFonts w:cs="Arial"/>
        </w:rPr>
        <w:t>C</w:t>
      </w:r>
      <w:r w:rsidR="00F0105C" w:rsidRPr="00F0105C">
        <w:rPr>
          <w:rFonts w:cs="Arial"/>
        </w:rPr>
        <w:t>ourt</w:t>
      </w:r>
      <w:r w:rsidR="00ED7708">
        <w:rPr>
          <w:rFonts w:cs="Arial"/>
        </w:rPr>
        <w:t>’</w:t>
      </w:r>
      <w:r w:rsidR="00F0105C" w:rsidRPr="00F0105C">
        <w:rPr>
          <w:rFonts w:cs="Arial"/>
        </w:rPr>
        <w:t>s displeasure at Mr. Seloane’s conduct</w:t>
      </w:r>
      <w:r w:rsidR="00231F0A">
        <w:rPr>
          <w:rStyle w:val="FootnoteReference"/>
          <w:rFonts w:cs="Arial"/>
        </w:rPr>
        <w:footnoteReference w:id="8"/>
      </w:r>
      <w:r w:rsidR="00DD14C7">
        <w:rPr>
          <w:rFonts w:cs="Arial"/>
        </w:rPr>
        <w:t xml:space="preserve">. </w:t>
      </w:r>
      <w:r w:rsidR="00231F0A">
        <w:rPr>
          <w:rFonts w:cs="Arial"/>
        </w:rPr>
        <w:t xml:space="preserve"> On the facts, </w:t>
      </w:r>
      <w:r w:rsidR="00F0105C" w:rsidRPr="00F0105C">
        <w:rPr>
          <w:rFonts w:cs="Arial"/>
        </w:rPr>
        <w:t xml:space="preserve">an </w:t>
      </w:r>
      <w:r w:rsidR="00DD14C7">
        <w:rPr>
          <w:rFonts w:cs="Arial"/>
        </w:rPr>
        <w:t xml:space="preserve">order on the scale between attorney </w:t>
      </w:r>
      <w:r w:rsidR="00F0105C" w:rsidRPr="00F0105C">
        <w:rPr>
          <w:rFonts w:cs="Arial"/>
        </w:rPr>
        <w:t xml:space="preserve">and client </w:t>
      </w:r>
      <w:r w:rsidR="003E4F17">
        <w:rPr>
          <w:rFonts w:cs="Arial"/>
        </w:rPr>
        <w:t>is</w:t>
      </w:r>
      <w:r w:rsidR="00F0105C" w:rsidRPr="00F0105C">
        <w:rPr>
          <w:rFonts w:cs="Arial"/>
        </w:rPr>
        <w:t xml:space="preserve"> justified</w:t>
      </w:r>
      <w:r w:rsidR="00DD14C7">
        <w:rPr>
          <w:rFonts w:cs="Arial"/>
        </w:rPr>
        <w:t>, considering the egregious nature of his conduct and</w:t>
      </w:r>
      <w:r w:rsidR="00F0105C" w:rsidRPr="00F0105C">
        <w:rPr>
          <w:rFonts w:cs="Arial"/>
        </w:rPr>
        <w:t xml:space="preserve"> as the respondent has been put to unnecessary legal expense in defending the multiple applications</w:t>
      </w:r>
      <w:r w:rsidR="00DD14C7">
        <w:rPr>
          <w:rStyle w:val="FootnoteReference"/>
          <w:rFonts w:cs="Arial"/>
        </w:rPr>
        <w:footnoteReference w:id="9"/>
      </w:r>
      <w:r w:rsidR="00F0105C" w:rsidRPr="00F0105C">
        <w:rPr>
          <w:rFonts w:cs="Arial"/>
        </w:rPr>
        <w:t>.</w:t>
      </w:r>
      <w:r w:rsidR="00DD14C7">
        <w:rPr>
          <w:rFonts w:cs="Arial"/>
        </w:rPr>
        <w:t xml:space="preserve"> </w:t>
      </w:r>
      <w:r w:rsidR="00231F0A">
        <w:rPr>
          <w:rFonts w:cs="Arial"/>
        </w:rPr>
        <w:t>Even though such</w:t>
      </w:r>
      <w:r w:rsidR="00DD14C7">
        <w:rPr>
          <w:rFonts w:cs="Arial"/>
        </w:rPr>
        <w:t xml:space="preserve"> order </w:t>
      </w:r>
      <w:r w:rsidR="00231F0A">
        <w:rPr>
          <w:rFonts w:cs="Arial"/>
        </w:rPr>
        <w:t xml:space="preserve">was not expressly </w:t>
      </w:r>
      <w:r w:rsidR="00DD14C7">
        <w:rPr>
          <w:rFonts w:cs="Arial"/>
        </w:rPr>
        <w:t>sought</w:t>
      </w:r>
      <w:r w:rsidR="00231F0A">
        <w:rPr>
          <w:rFonts w:cs="Arial"/>
        </w:rPr>
        <w:t xml:space="preserve"> by the respondent</w:t>
      </w:r>
      <w:r w:rsidR="00DD14C7">
        <w:rPr>
          <w:rFonts w:cs="Arial"/>
        </w:rPr>
        <w:t xml:space="preserve">, </w:t>
      </w:r>
      <w:r w:rsidR="003E4F17">
        <w:rPr>
          <w:rFonts w:cs="Arial"/>
        </w:rPr>
        <w:t>such order is warranted in light of Mr Seloane’s conduct.</w:t>
      </w:r>
    </w:p>
    <w:p w14:paraId="2E8F83AB" w14:textId="27CC2CE1" w:rsidR="00DD14C7"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t>[66]</w:t>
      </w:r>
      <w:r>
        <w:rPr>
          <w:rFonts w:cs="Arial"/>
        </w:rPr>
        <w:tab/>
      </w:r>
      <w:r w:rsidR="00F0105C" w:rsidRPr="005776D8">
        <w:rPr>
          <w:rFonts w:cs="Arial"/>
        </w:rPr>
        <w:t xml:space="preserve">The </w:t>
      </w:r>
      <w:r w:rsidR="00AB6E59">
        <w:rPr>
          <w:rFonts w:cs="Arial"/>
        </w:rPr>
        <w:t>respondent</w:t>
      </w:r>
      <w:r w:rsidR="00F0105C" w:rsidRPr="005776D8">
        <w:rPr>
          <w:rFonts w:cs="Arial"/>
        </w:rPr>
        <w:t xml:space="preserve"> further sought an order that the applicant’s attorney </w:t>
      </w:r>
      <w:r w:rsidR="005776D8" w:rsidRPr="005776D8">
        <w:rPr>
          <w:rFonts w:cs="Arial"/>
        </w:rPr>
        <w:t>be disentitled to</w:t>
      </w:r>
      <w:r w:rsidR="00F0105C" w:rsidRPr="005776D8">
        <w:rPr>
          <w:rFonts w:cs="Arial"/>
        </w:rPr>
        <w:t xml:space="preserve"> charge his client</w:t>
      </w:r>
      <w:r w:rsidR="005776D8" w:rsidRPr="005776D8">
        <w:rPr>
          <w:rFonts w:cs="Arial"/>
        </w:rPr>
        <w:t>, the applicant</w:t>
      </w:r>
      <w:r w:rsidR="00DD14C7">
        <w:rPr>
          <w:rFonts w:cs="Arial"/>
        </w:rPr>
        <w:t>,</w:t>
      </w:r>
      <w:r w:rsidR="00F0105C" w:rsidRPr="005776D8">
        <w:rPr>
          <w:rFonts w:cs="Arial"/>
        </w:rPr>
        <w:t xml:space="preserve"> any fees in the matter</w:t>
      </w:r>
      <w:r w:rsidR="005776D8" w:rsidRPr="005776D8">
        <w:rPr>
          <w:rFonts w:cs="Arial"/>
        </w:rPr>
        <w:t>.</w:t>
      </w:r>
      <w:r w:rsidR="00F0105C" w:rsidRPr="005776D8">
        <w:rPr>
          <w:rFonts w:cs="Arial"/>
        </w:rPr>
        <w:t xml:space="preserve"> </w:t>
      </w:r>
    </w:p>
    <w:p w14:paraId="3140BC7F" w14:textId="60B556B4" w:rsidR="00ED4C1C"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Pr>
          <w:rFonts w:cs="Arial"/>
        </w:rPr>
        <w:lastRenderedPageBreak/>
        <w:t>[67]</w:t>
      </w:r>
      <w:r>
        <w:rPr>
          <w:rFonts w:cs="Arial"/>
        </w:rPr>
        <w:tab/>
      </w:r>
      <w:r w:rsidR="00ED4C1C">
        <w:rPr>
          <w:rFonts w:cs="Arial"/>
        </w:rPr>
        <w:t>Considering what transpired in this matter, i</w:t>
      </w:r>
      <w:r w:rsidR="00ED4C1C" w:rsidRPr="00834FED">
        <w:rPr>
          <w:rFonts w:cs="Arial"/>
        </w:rPr>
        <w:t>t is clear that as a lay person, the applicant would not</w:t>
      </w:r>
      <w:r w:rsidR="003E4F17">
        <w:rPr>
          <w:rFonts w:cs="Arial"/>
        </w:rPr>
        <w:t xml:space="preserve"> have </w:t>
      </w:r>
      <w:r w:rsidR="00ED4C1C" w:rsidRPr="00834FED">
        <w:rPr>
          <w:rFonts w:cs="Arial"/>
        </w:rPr>
        <w:t>be</w:t>
      </w:r>
      <w:r w:rsidR="003E4F17">
        <w:rPr>
          <w:rFonts w:cs="Arial"/>
        </w:rPr>
        <w:t>en</w:t>
      </w:r>
      <w:r w:rsidR="00ED4C1C" w:rsidRPr="00834FED">
        <w:rPr>
          <w:rFonts w:cs="Arial"/>
        </w:rPr>
        <w:t xml:space="preserve"> aware of the intricacies </w:t>
      </w:r>
      <w:r w:rsidR="00ED4C1C">
        <w:rPr>
          <w:rFonts w:cs="Arial"/>
        </w:rPr>
        <w:t xml:space="preserve">of the </w:t>
      </w:r>
      <w:r w:rsidR="00ED4C1C" w:rsidRPr="00834FED">
        <w:rPr>
          <w:rFonts w:cs="Arial"/>
        </w:rPr>
        <w:t xml:space="preserve">legal processes and </w:t>
      </w:r>
      <w:r w:rsidR="00ED4C1C">
        <w:rPr>
          <w:rFonts w:cs="Arial"/>
        </w:rPr>
        <w:t xml:space="preserve">that she </w:t>
      </w:r>
      <w:r w:rsidR="00ED4C1C" w:rsidRPr="00834FED">
        <w:rPr>
          <w:rFonts w:cs="Arial"/>
        </w:rPr>
        <w:t>relied on her attorney</w:t>
      </w:r>
      <w:r w:rsidR="00ED4C1C">
        <w:rPr>
          <w:rFonts w:cs="Arial"/>
        </w:rPr>
        <w:t>’s advice on</w:t>
      </w:r>
      <w:r w:rsidR="00ED4C1C" w:rsidRPr="00834FED">
        <w:rPr>
          <w:rFonts w:cs="Arial"/>
        </w:rPr>
        <w:t xml:space="preserve"> </w:t>
      </w:r>
      <w:r w:rsidR="00ED4C1C">
        <w:rPr>
          <w:rFonts w:cs="Arial"/>
        </w:rPr>
        <w:t xml:space="preserve">such </w:t>
      </w:r>
      <w:r w:rsidR="00ED4C1C" w:rsidRPr="00834FED">
        <w:rPr>
          <w:rFonts w:cs="Arial"/>
        </w:rPr>
        <w:t>issue</w:t>
      </w:r>
      <w:r w:rsidR="00ED4C1C">
        <w:rPr>
          <w:rFonts w:cs="Arial"/>
        </w:rPr>
        <w:t>s</w:t>
      </w:r>
      <w:r w:rsidR="00ED4C1C" w:rsidRPr="00834FED">
        <w:rPr>
          <w:rFonts w:cs="Arial"/>
        </w:rPr>
        <w:t>.</w:t>
      </w:r>
    </w:p>
    <w:p w14:paraId="1B8C1E18" w14:textId="2B9726B9" w:rsidR="00ED4C1C" w:rsidRPr="00834FED"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834FED">
        <w:rPr>
          <w:rFonts w:cs="Arial"/>
        </w:rPr>
        <w:t>[68]</w:t>
      </w:r>
      <w:r w:rsidRPr="00834FED">
        <w:rPr>
          <w:rFonts w:cs="Arial"/>
        </w:rPr>
        <w:tab/>
      </w:r>
      <w:r w:rsidR="003E4F17">
        <w:rPr>
          <w:rFonts w:cs="Arial"/>
        </w:rPr>
        <w:t xml:space="preserve">I have already referred to the relevant facts. </w:t>
      </w:r>
      <w:r w:rsidR="00ED4C1C" w:rsidRPr="00834FED">
        <w:rPr>
          <w:rFonts w:cs="Arial"/>
        </w:rPr>
        <w:t>Although put up through the notional mouth of the applicant, the contents of the applicant</w:t>
      </w:r>
      <w:r w:rsidR="00ED4C1C">
        <w:rPr>
          <w:rFonts w:cs="Arial"/>
        </w:rPr>
        <w:t>’</w:t>
      </w:r>
      <w:r w:rsidR="00ED4C1C" w:rsidRPr="00834FED">
        <w:rPr>
          <w:rFonts w:cs="Arial"/>
        </w:rPr>
        <w:t>s affidavits</w:t>
      </w:r>
      <w:r w:rsidR="00ED4C1C">
        <w:rPr>
          <w:rFonts w:cs="Arial"/>
        </w:rPr>
        <w:t xml:space="preserve"> and the substantial argumentative matter raised therein</w:t>
      </w:r>
      <w:r w:rsidR="00ED4C1C" w:rsidRPr="00834FED">
        <w:rPr>
          <w:rFonts w:cs="Arial"/>
        </w:rPr>
        <w:t xml:space="preserve">, </w:t>
      </w:r>
      <w:r w:rsidR="003E4F17">
        <w:rPr>
          <w:rFonts w:cs="Arial"/>
        </w:rPr>
        <w:t>we</w:t>
      </w:r>
      <w:r w:rsidR="00ED4C1C" w:rsidRPr="00834FED">
        <w:rPr>
          <w:rFonts w:cs="Arial"/>
        </w:rPr>
        <w:t xml:space="preserve">re demonstrably founded on </w:t>
      </w:r>
      <w:r w:rsidR="00ED4C1C">
        <w:rPr>
          <w:rFonts w:cs="Arial"/>
        </w:rPr>
        <w:t>contentions</w:t>
      </w:r>
      <w:r w:rsidR="00ED4C1C" w:rsidRPr="00834FED">
        <w:rPr>
          <w:rFonts w:cs="Arial"/>
        </w:rPr>
        <w:t xml:space="preserve"> in respect of which a lay</w:t>
      </w:r>
      <w:r w:rsidR="00ED4C1C">
        <w:rPr>
          <w:rFonts w:cs="Arial"/>
        </w:rPr>
        <w:t xml:space="preserve"> </w:t>
      </w:r>
      <w:r w:rsidR="00ED4C1C" w:rsidRPr="00834FED">
        <w:rPr>
          <w:rFonts w:cs="Arial"/>
        </w:rPr>
        <w:t xml:space="preserve">person would not have had insight and in respect of which </w:t>
      </w:r>
      <w:r w:rsidR="00ED4C1C">
        <w:rPr>
          <w:rFonts w:cs="Arial"/>
        </w:rPr>
        <w:t>s</w:t>
      </w:r>
      <w:r w:rsidR="00ED4C1C" w:rsidRPr="00834FED">
        <w:rPr>
          <w:rFonts w:cs="Arial"/>
        </w:rPr>
        <w:t>he would be dependent upon advice from h</w:t>
      </w:r>
      <w:r w:rsidR="00ED4C1C">
        <w:rPr>
          <w:rFonts w:cs="Arial"/>
        </w:rPr>
        <w:t>er</w:t>
      </w:r>
      <w:r w:rsidR="00ED4C1C" w:rsidRPr="00834FED">
        <w:rPr>
          <w:rFonts w:cs="Arial"/>
        </w:rPr>
        <w:t xml:space="preserve"> attorney to have conceived and to have made those statements</w:t>
      </w:r>
      <w:r w:rsidR="00ED4C1C">
        <w:rPr>
          <w:rStyle w:val="FootnoteReference"/>
          <w:rFonts w:cs="Arial"/>
        </w:rPr>
        <w:footnoteReference w:id="10"/>
      </w:r>
      <w:r w:rsidR="00ED4C1C">
        <w:rPr>
          <w:rFonts w:cs="Arial"/>
        </w:rPr>
        <w:t xml:space="preserve">. The applicant would also have relied on the advice from her attorney pertaining to how to conduct the litigation. </w:t>
      </w:r>
    </w:p>
    <w:p w14:paraId="79AFDD88" w14:textId="5C0F631D" w:rsidR="00F0105C" w:rsidRPr="005776D8"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rPr>
          <w:rFonts w:cs="Arial"/>
        </w:rPr>
      </w:pPr>
      <w:r w:rsidRPr="005776D8">
        <w:rPr>
          <w:rFonts w:cs="Arial"/>
        </w:rPr>
        <w:t>[69]</w:t>
      </w:r>
      <w:r w:rsidRPr="005776D8">
        <w:rPr>
          <w:rFonts w:cs="Arial"/>
        </w:rPr>
        <w:tab/>
      </w:r>
      <w:r w:rsidR="005776D8">
        <w:rPr>
          <w:rFonts w:cs="Arial"/>
        </w:rPr>
        <w:t>For th</w:t>
      </w:r>
      <w:r w:rsidR="00ED4C1C">
        <w:rPr>
          <w:rFonts w:cs="Arial"/>
        </w:rPr>
        <w:t>at</w:t>
      </w:r>
      <w:r w:rsidR="005776D8">
        <w:rPr>
          <w:rFonts w:cs="Arial"/>
        </w:rPr>
        <w:t xml:space="preserve"> reason, I am persuaded that i</w:t>
      </w:r>
      <w:r w:rsidR="00F0105C" w:rsidRPr="005776D8">
        <w:rPr>
          <w:rFonts w:cs="Arial"/>
        </w:rPr>
        <w:t>t would be appropriate to disentitle Mr. Seloane from charging any fees in relation to the contempt application</w:t>
      </w:r>
      <w:r w:rsidR="005776D8">
        <w:rPr>
          <w:rFonts w:cs="Arial"/>
        </w:rPr>
        <w:t xml:space="preserve"> dated 20 July 2023</w:t>
      </w:r>
      <w:r w:rsidR="00F0105C" w:rsidRPr="005776D8">
        <w:rPr>
          <w:rFonts w:cs="Arial"/>
        </w:rPr>
        <w:t>.</w:t>
      </w:r>
    </w:p>
    <w:p w14:paraId="641B9A3D" w14:textId="72E526D3" w:rsidR="00B565D4" w:rsidRDefault="00461B64" w:rsidP="00461B64">
      <w:pPr>
        <w:pStyle w:val="1"/>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clear" w:pos="567"/>
        </w:tabs>
        <w:spacing w:after="0"/>
        <w:ind w:left="720" w:hanging="720"/>
        <w:rPr>
          <w:rFonts w:cs="Arial"/>
        </w:rPr>
      </w:pPr>
      <w:r>
        <w:rPr>
          <w:rFonts w:cs="Arial"/>
        </w:rPr>
        <w:t>[</w:t>
      </w:r>
      <w:bookmarkStart w:id="0" w:name="_GoBack"/>
      <w:bookmarkEnd w:id="0"/>
      <w:r>
        <w:rPr>
          <w:rFonts w:cs="Arial"/>
        </w:rPr>
        <w:t>70]</w:t>
      </w:r>
      <w:r>
        <w:rPr>
          <w:rFonts w:cs="Arial"/>
        </w:rPr>
        <w:tab/>
      </w:r>
      <w:r w:rsidR="00F0105C" w:rsidRPr="00F0105C">
        <w:rPr>
          <w:rFonts w:cs="Arial"/>
        </w:rPr>
        <w:t>I grant the following order:</w:t>
      </w:r>
    </w:p>
    <w:p w14:paraId="660E9CA1" w14:textId="77777777" w:rsidR="00F0105C" w:rsidRPr="00F0105C" w:rsidRDefault="00F0105C" w:rsidP="00ED4C1C">
      <w:pPr>
        <w:spacing w:line="480" w:lineRule="auto"/>
        <w:ind w:left="720"/>
        <w:jc w:val="both"/>
        <w:rPr>
          <w:rFonts w:cs="Arial"/>
        </w:rPr>
      </w:pPr>
      <w:r w:rsidRPr="00F0105C">
        <w:rPr>
          <w:rFonts w:cs="Arial"/>
        </w:rPr>
        <w:t>[1]</w:t>
      </w:r>
      <w:r w:rsidRPr="00F0105C">
        <w:rPr>
          <w:rFonts w:cs="Arial"/>
        </w:rPr>
        <w:tab/>
        <w:t>The applicant’s urgent contempt application dated 20 July 2023 is dismissed.</w:t>
      </w:r>
    </w:p>
    <w:p w14:paraId="23F9983E" w14:textId="47D6A6CB" w:rsidR="00822067" w:rsidRDefault="00F0105C" w:rsidP="00ED4C1C">
      <w:pPr>
        <w:spacing w:line="480" w:lineRule="auto"/>
        <w:ind w:left="720"/>
        <w:jc w:val="both"/>
        <w:rPr>
          <w:rFonts w:cs="Arial"/>
        </w:rPr>
      </w:pPr>
      <w:r w:rsidRPr="00F0105C">
        <w:rPr>
          <w:rFonts w:cs="Arial"/>
        </w:rPr>
        <w:t>[2]</w:t>
      </w:r>
      <w:r w:rsidRPr="00F0105C">
        <w:rPr>
          <w:rFonts w:cs="Arial"/>
        </w:rPr>
        <w:tab/>
        <w:t xml:space="preserve"> The costs of the application in [1] above, including the </w:t>
      </w:r>
      <w:r w:rsidR="00ED4C1C">
        <w:rPr>
          <w:rFonts w:cs="Arial"/>
        </w:rPr>
        <w:t>reserved</w:t>
      </w:r>
      <w:r w:rsidRPr="00F0105C">
        <w:rPr>
          <w:rFonts w:cs="Arial"/>
        </w:rPr>
        <w:t xml:space="preserve"> costs </w:t>
      </w:r>
      <w:r w:rsidR="00CF3AC7">
        <w:rPr>
          <w:rFonts w:cs="Arial"/>
        </w:rPr>
        <w:t xml:space="preserve">in the </w:t>
      </w:r>
      <w:r w:rsidR="007D5561">
        <w:rPr>
          <w:rFonts w:cs="Arial"/>
        </w:rPr>
        <w:t>u</w:t>
      </w:r>
      <w:r w:rsidR="00CF3AC7">
        <w:rPr>
          <w:rFonts w:cs="Arial"/>
        </w:rPr>
        <w:t xml:space="preserve">rgent </w:t>
      </w:r>
      <w:r w:rsidR="007D5561">
        <w:rPr>
          <w:rFonts w:cs="Arial"/>
        </w:rPr>
        <w:t>c</w:t>
      </w:r>
      <w:r w:rsidR="00822067">
        <w:rPr>
          <w:rFonts w:cs="Arial"/>
        </w:rPr>
        <w:t>ourt</w:t>
      </w:r>
      <w:r w:rsidRPr="00F0105C">
        <w:rPr>
          <w:rFonts w:cs="Arial"/>
        </w:rPr>
        <w:t xml:space="preserve"> on 1 August 2023 are to be borne by </w:t>
      </w:r>
      <w:r w:rsidR="0084300B">
        <w:rPr>
          <w:rFonts w:cs="Arial"/>
        </w:rPr>
        <w:t xml:space="preserve">the applicant’s attorney of record, </w:t>
      </w:r>
      <w:r w:rsidRPr="00F0105C">
        <w:rPr>
          <w:rFonts w:cs="Arial"/>
        </w:rPr>
        <w:t xml:space="preserve">Mr. Vincent Seloane, </w:t>
      </w:r>
      <w:r w:rsidR="0084300B" w:rsidRPr="0084300B">
        <w:rPr>
          <w:rFonts w:cs="Arial"/>
          <w:i/>
        </w:rPr>
        <w:t>d</w:t>
      </w:r>
      <w:r w:rsidRPr="00F0105C">
        <w:rPr>
          <w:rFonts w:cs="Arial"/>
          <w:i/>
        </w:rPr>
        <w:t>e bonis propriis</w:t>
      </w:r>
      <w:r w:rsidR="003E4F17">
        <w:rPr>
          <w:rFonts w:cs="Arial"/>
          <w:i/>
        </w:rPr>
        <w:t xml:space="preserve"> </w:t>
      </w:r>
      <w:r w:rsidR="003E4F17">
        <w:rPr>
          <w:rFonts w:cs="Arial"/>
        </w:rPr>
        <w:t>on the scale as between attorney and client</w:t>
      </w:r>
      <w:r w:rsidR="00ED4C1C">
        <w:rPr>
          <w:rFonts w:cs="Arial"/>
          <w:i/>
        </w:rPr>
        <w:t>;</w:t>
      </w:r>
    </w:p>
    <w:p w14:paraId="4B778529" w14:textId="7216560A" w:rsidR="00822067" w:rsidRDefault="00822067" w:rsidP="00ED4C1C">
      <w:pPr>
        <w:spacing w:line="480" w:lineRule="auto"/>
        <w:ind w:left="720"/>
        <w:jc w:val="both"/>
        <w:rPr>
          <w:rFonts w:cs="Arial"/>
        </w:rPr>
      </w:pPr>
      <w:r>
        <w:rPr>
          <w:rFonts w:cs="Arial"/>
        </w:rPr>
        <w:lastRenderedPageBreak/>
        <w:t>[3]</w:t>
      </w:r>
      <w:r>
        <w:rPr>
          <w:rFonts w:cs="Arial"/>
        </w:rPr>
        <w:tab/>
        <w:t>The applicant’s attorney of record, Mr Seloane</w:t>
      </w:r>
      <w:r w:rsidR="00ED4C1C">
        <w:rPr>
          <w:rFonts w:cs="Arial"/>
        </w:rPr>
        <w:t>,</w:t>
      </w:r>
      <w:r>
        <w:rPr>
          <w:rFonts w:cs="Arial"/>
        </w:rPr>
        <w:t xml:space="preserve"> is directed not to present a bill, nor to recover any fees or disbursements from the applicant in respect of any work performed in respect of the contempt application dated 20 July 2023;</w:t>
      </w:r>
    </w:p>
    <w:p w14:paraId="433C6337" w14:textId="77777777" w:rsidR="00822067" w:rsidRDefault="00822067" w:rsidP="00ED4C1C">
      <w:pPr>
        <w:spacing w:line="480" w:lineRule="auto"/>
        <w:ind w:left="720"/>
        <w:jc w:val="both"/>
        <w:rPr>
          <w:rFonts w:cs="Arial"/>
        </w:rPr>
      </w:pPr>
      <w:r>
        <w:rPr>
          <w:rFonts w:cs="Arial"/>
        </w:rPr>
        <w:t>[4]</w:t>
      </w:r>
      <w:r>
        <w:rPr>
          <w:rFonts w:cs="Arial"/>
        </w:rPr>
        <w:tab/>
        <w:t>A copy of this judgment and order is to be served by the applicant’s attorney of record on the applicant forthwith.</w:t>
      </w:r>
    </w:p>
    <w:p w14:paraId="533C7AA9" w14:textId="230A36FF" w:rsidR="00B565D4" w:rsidRDefault="00F0105C" w:rsidP="00B565D4">
      <w:pPr>
        <w:spacing w:line="480" w:lineRule="auto"/>
        <w:jc w:val="both"/>
        <w:rPr>
          <w:rFonts w:cs="Arial"/>
        </w:rPr>
      </w:pPr>
      <w:r w:rsidRPr="00F0105C">
        <w:rPr>
          <w:rFonts w:cs="Arial"/>
        </w:rPr>
        <w:t xml:space="preserve"> </w:t>
      </w:r>
    </w:p>
    <w:p w14:paraId="2BE3228E" w14:textId="354AFB38" w:rsidR="00913A82" w:rsidRPr="000F64D9" w:rsidRDefault="00913A82" w:rsidP="00E4510B">
      <w:pPr>
        <w:pStyle w:val="level1"/>
        <w:numPr>
          <w:ilvl w:val="0"/>
          <w:numId w:val="0"/>
        </w:numPr>
        <w:spacing w:after="480" w:line="360" w:lineRule="auto"/>
        <w:jc w:val="both"/>
        <w:rPr>
          <w:lang w:val="en-US"/>
        </w:rPr>
      </w:pPr>
    </w:p>
    <w:p w14:paraId="383AFE0B" w14:textId="77777777"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City">
        <w:smartTag w:uri="urn:schemas-microsoft-com:office:smarttags" w:element="place">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5DD70BDA"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rsidR="00913A82">
        <w:t xml:space="preserve"> </w:t>
      </w:r>
      <w:r w:rsidR="00E05EBB">
        <w:t xml:space="preserve">8 and </w:t>
      </w:r>
      <w:r w:rsidR="00913A82">
        <w:t>9</w:t>
      </w:r>
      <w:r w:rsidR="00980192">
        <w:t xml:space="preserve"> August 2023</w:t>
      </w:r>
      <w:r>
        <w:rPr>
          <w:b/>
        </w:rPr>
        <w:tab/>
      </w:r>
      <w:r>
        <w:t xml:space="preserve"> </w:t>
      </w:r>
    </w:p>
    <w:p w14:paraId="345B4D09" w14:textId="77777777" w:rsidR="001E2697" w:rsidRPr="008B170D" w:rsidRDefault="001E2697" w:rsidP="001E2697">
      <w:pPr>
        <w:rPr>
          <w:b/>
        </w:rPr>
      </w:pPr>
    </w:p>
    <w:p w14:paraId="2DA72A9D" w14:textId="47C89A6C"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ED7708">
        <w:t xml:space="preserve">6 </w:t>
      </w:r>
      <w:r w:rsidR="0084300B">
        <w:t>September</w:t>
      </w:r>
      <w:r w:rsidR="00980192">
        <w:t xml:space="preserve"> </w:t>
      </w:r>
      <w:r w:rsidR="00B25B6F">
        <w:t>2023</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3E04B418" w14:textId="11B772C4" w:rsidR="001E2697" w:rsidRDefault="000604E8" w:rsidP="00980192">
      <w:pPr>
        <w:pStyle w:val="ListParagraph"/>
        <w:spacing w:line="240" w:lineRule="auto"/>
        <w:ind w:left="0"/>
      </w:pPr>
      <w:r>
        <w:rPr>
          <w:b/>
        </w:rPr>
        <w:t>APPLICANT</w:t>
      </w:r>
      <w:r w:rsidR="001E2697">
        <w:rPr>
          <w:b/>
        </w:rPr>
        <w:t>’S COUNSEL</w:t>
      </w:r>
      <w:r w:rsidR="001E2697">
        <w:rPr>
          <w:b/>
        </w:rPr>
        <w:tab/>
      </w:r>
      <w:r w:rsidR="001E2697">
        <w:rPr>
          <w:b/>
        </w:rPr>
        <w:tab/>
      </w:r>
      <w:r w:rsidR="001E2697">
        <w:rPr>
          <w:b/>
        </w:rPr>
        <w:tab/>
      </w:r>
      <w:r w:rsidR="001E2697">
        <w:rPr>
          <w:b/>
        </w:rPr>
        <w:tab/>
      </w:r>
      <w:r w:rsidR="001E2697" w:rsidRPr="008B170D">
        <w:t>:</w:t>
      </w:r>
      <w:r w:rsidR="00913A82">
        <w:t xml:space="preserve"> Adv </w:t>
      </w:r>
      <w:r w:rsidR="00E05EBB">
        <w:t>M</w:t>
      </w:r>
      <w:r w:rsidR="00F13400">
        <w:t>atshidza</w:t>
      </w:r>
    </w:p>
    <w:p w14:paraId="3ADD10AC" w14:textId="77777777" w:rsidR="00980192" w:rsidRPr="00980192" w:rsidRDefault="00980192" w:rsidP="00980192">
      <w:pPr>
        <w:pStyle w:val="ListParagraph"/>
        <w:spacing w:line="240" w:lineRule="auto"/>
        <w:ind w:left="0"/>
      </w:pPr>
    </w:p>
    <w:p w14:paraId="557DCDB7" w14:textId="61F2D054" w:rsidR="0039420D" w:rsidRDefault="000604E8" w:rsidP="003A7736">
      <w:pPr>
        <w:pStyle w:val="ListParagraph"/>
        <w:spacing w:line="240" w:lineRule="auto"/>
        <w:ind w:left="5040" w:hanging="5040"/>
      </w:pPr>
      <w:r>
        <w:rPr>
          <w:b/>
          <w:bCs/>
        </w:rPr>
        <w:t>APPLICANT’</w:t>
      </w:r>
      <w:r w:rsidR="001E2697" w:rsidRPr="000F64D9">
        <w:rPr>
          <w:b/>
          <w:bCs/>
        </w:rPr>
        <w:t>S ATTORNEYS</w:t>
      </w:r>
      <w:r w:rsidR="003A7736">
        <w:tab/>
      </w:r>
      <w:r w:rsidR="008D0518">
        <w:t>:</w:t>
      </w:r>
      <w:r w:rsidR="00913A82">
        <w:t xml:space="preserve"> </w:t>
      </w:r>
      <w:r w:rsidR="00E4510B">
        <w:t>Seloane Vincent Attorneys</w:t>
      </w:r>
    </w:p>
    <w:p w14:paraId="5DDDA84F" w14:textId="770E2AB5" w:rsidR="0039420D" w:rsidRDefault="001E2697" w:rsidP="005A0267">
      <w:pPr>
        <w:pStyle w:val="ListParagraph"/>
        <w:spacing w:line="240" w:lineRule="auto"/>
        <w:ind w:left="0"/>
      </w:pPr>
      <w:r>
        <w:tab/>
      </w:r>
      <w:r>
        <w:tab/>
      </w:r>
      <w:r>
        <w:tab/>
      </w:r>
      <w:r>
        <w:tab/>
      </w:r>
      <w:bookmarkStart w:id="1" w:name="_Hlk67555944"/>
    </w:p>
    <w:p w14:paraId="7E4902BA" w14:textId="538604F2" w:rsidR="000A23B8" w:rsidRPr="001E2697" w:rsidRDefault="000604E8" w:rsidP="007561F6">
      <w:pPr>
        <w:pStyle w:val="ListParagraph"/>
        <w:spacing w:line="240" w:lineRule="auto"/>
        <w:ind w:left="0"/>
      </w:pPr>
      <w:r>
        <w:rPr>
          <w:b/>
        </w:rPr>
        <w:t>RESPONDENT’</w:t>
      </w:r>
      <w:r w:rsidR="00673D4C">
        <w:rPr>
          <w:b/>
        </w:rPr>
        <w:t>S COUNSEL</w:t>
      </w:r>
      <w:r w:rsidR="00673D4C">
        <w:rPr>
          <w:b/>
        </w:rPr>
        <w:tab/>
      </w:r>
      <w:r w:rsidR="00673D4C">
        <w:rPr>
          <w:b/>
        </w:rPr>
        <w:tab/>
      </w:r>
      <w:r w:rsidR="00980192">
        <w:rPr>
          <w:b/>
        </w:rPr>
        <w:tab/>
      </w:r>
      <w:r w:rsidR="001E2697" w:rsidRPr="00B27F3B">
        <w:t>:</w:t>
      </w:r>
      <w:r w:rsidR="00913A82">
        <w:t xml:space="preserve"> Adv </w:t>
      </w:r>
      <w:r w:rsidR="00E4510B">
        <w:t>S Lindazwe</w:t>
      </w:r>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05B02D30" w14:textId="59561538" w:rsidR="00340974" w:rsidRDefault="000604E8" w:rsidP="008D0518">
      <w:pPr>
        <w:pStyle w:val="ListParagraph"/>
        <w:spacing w:line="240" w:lineRule="auto"/>
        <w:ind w:left="0"/>
      </w:pPr>
      <w:r>
        <w:rPr>
          <w:b/>
        </w:rPr>
        <w:t>RESPONDENT</w:t>
      </w:r>
      <w:r w:rsidR="001E2697">
        <w:rPr>
          <w:b/>
        </w:rPr>
        <w:t>’S ATTORNEYS</w:t>
      </w:r>
      <w:r w:rsidR="001E2697">
        <w:rPr>
          <w:b/>
        </w:rPr>
        <w:tab/>
      </w:r>
      <w:r w:rsidR="00980192">
        <w:rPr>
          <w:b/>
        </w:rPr>
        <w:tab/>
      </w:r>
      <w:r w:rsidR="00980192">
        <w:rPr>
          <w:b/>
        </w:rPr>
        <w:tab/>
      </w:r>
      <w:r w:rsidR="001E2697" w:rsidRPr="00B27F3B">
        <w:t>:</w:t>
      </w:r>
      <w:r w:rsidR="00340974">
        <w:t xml:space="preserve"> </w:t>
      </w:r>
      <w:r w:rsidR="00E4510B">
        <w:t xml:space="preserve">Joubert Scholtz Inc </w:t>
      </w:r>
    </w:p>
    <w:p w14:paraId="5DFCD38F" w14:textId="77777777" w:rsidR="00340974" w:rsidRDefault="00340974" w:rsidP="008D0518">
      <w:pPr>
        <w:pStyle w:val="ListParagraph"/>
        <w:spacing w:line="240" w:lineRule="auto"/>
        <w:ind w:left="0"/>
      </w:pPr>
    </w:p>
    <w:p w14:paraId="1E563EBC" w14:textId="72523D88" w:rsidR="004E41B6" w:rsidRDefault="00F44AF4" w:rsidP="00A326BA">
      <w:pPr>
        <w:pStyle w:val="ListParagraph"/>
        <w:spacing w:line="240" w:lineRule="auto"/>
        <w:ind w:left="0"/>
      </w:pPr>
      <w:r>
        <w:tab/>
      </w:r>
      <w:r w:rsidR="001E2697">
        <w:tab/>
      </w:r>
      <w:r w:rsidR="001E2697">
        <w:tab/>
      </w:r>
      <w:bookmarkEnd w:id="1"/>
    </w:p>
    <w:sectPr w:rsidR="004E41B6" w:rsidSect="009940FD">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C6CDC" w14:textId="77777777" w:rsidR="00441D42" w:rsidRDefault="00441D42">
      <w:r>
        <w:separator/>
      </w:r>
    </w:p>
  </w:endnote>
  <w:endnote w:type="continuationSeparator" w:id="0">
    <w:p w14:paraId="4D56633C" w14:textId="77777777" w:rsidR="00441D42" w:rsidRDefault="0044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F091D" w14:textId="77777777" w:rsidR="00441D42" w:rsidRDefault="00441D42">
      <w:r>
        <w:separator/>
      </w:r>
    </w:p>
  </w:footnote>
  <w:footnote w:type="continuationSeparator" w:id="0">
    <w:p w14:paraId="704F864E" w14:textId="77777777" w:rsidR="00441D42" w:rsidRDefault="00441D42">
      <w:r>
        <w:continuationSeparator/>
      </w:r>
    </w:p>
  </w:footnote>
  <w:footnote w:id="1">
    <w:p w14:paraId="3D1D94D5" w14:textId="6B373BC4" w:rsidR="00C461F9" w:rsidRDefault="00C461F9">
      <w:pPr>
        <w:pStyle w:val="FootnoteText"/>
      </w:pPr>
      <w:r>
        <w:rPr>
          <w:rStyle w:val="FootnoteReference"/>
        </w:rPr>
        <w:footnoteRef/>
      </w:r>
      <w:r>
        <w:t xml:space="preserve"> The Second Coming by William Butler Yeats</w:t>
      </w:r>
    </w:p>
  </w:footnote>
  <w:footnote w:id="2">
    <w:p w14:paraId="1B50814B" w14:textId="77777777" w:rsidR="0009754C" w:rsidRPr="004601EA" w:rsidRDefault="0009754C" w:rsidP="00C91ADD">
      <w:pPr>
        <w:pStyle w:val="FootnoteText"/>
        <w:rPr>
          <w:rFonts w:cs="Arial"/>
          <w:lang w:val="en-US"/>
        </w:rPr>
      </w:pPr>
      <w:r w:rsidRPr="004601EA">
        <w:rPr>
          <w:rStyle w:val="FootnoteReference"/>
          <w:rFonts w:cs="Arial"/>
        </w:rPr>
        <w:footnoteRef/>
      </w:r>
      <w:r w:rsidRPr="004601EA">
        <w:rPr>
          <w:rFonts w:cs="Arial"/>
        </w:rPr>
        <w:t xml:space="preserve"> </w:t>
      </w:r>
      <w:r w:rsidRPr="004601EA">
        <w:rPr>
          <w:rFonts w:cs="Arial"/>
          <w:lang w:val="en-US"/>
        </w:rPr>
        <w:t>Section 2 of the Constitution.</w:t>
      </w:r>
    </w:p>
  </w:footnote>
  <w:footnote w:id="3">
    <w:p w14:paraId="7A7CD270" w14:textId="77777777" w:rsidR="0009754C" w:rsidRPr="004601EA" w:rsidRDefault="0009754C" w:rsidP="00C91ADD">
      <w:pPr>
        <w:pStyle w:val="FootnoteText"/>
        <w:rPr>
          <w:rFonts w:cs="Arial"/>
          <w:lang w:val="en-US"/>
        </w:rPr>
      </w:pPr>
      <w:r w:rsidRPr="004601EA">
        <w:rPr>
          <w:rStyle w:val="FootnoteReference"/>
          <w:rFonts w:cs="Arial"/>
        </w:rPr>
        <w:footnoteRef/>
      </w:r>
      <w:r w:rsidRPr="004601EA">
        <w:rPr>
          <w:rFonts w:cs="Arial"/>
        </w:rPr>
        <w:t xml:space="preserve"> </w:t>
      </w:r>
      <w:r w:rsidRPr="004601EA">
        <w:rPr>
          <w:rFonts w:cs="Arial"/>
          <w:lang w:val="en-US"/>
        </w:rPr>
        <w:t>Section 165 of the Constitution.</w:t>
      </w:r>
    </w:p>
  </w:footnote>
  <w:footnote w:id="4">
    <w:p w14:paraId="2228B133" w14:textId="3BF2CD9F" w:rsidR="0009754C" w:rsidRPr="00AB7958" w:rsidRDefault="0009754C" w:rsidP="00BB2DE6">
      <w:pPr>
        <w:pStyle w:val="FootnoteText"/>
        <w:rPr>
          <w:lang w:val="en-US"/>
        </w:rPr>
      </w:pPr>
      <w:r>
        <w:rPr>
          <w:rStyle w:val="FootnoteReference"/>
        </w:rPr>
        <w:footnoteRef/>
      </w:r>
      <w:r w:rsidRPr="00BB2DE6">
        <w:rPr>
          <w:iCs/>
          <w:lang w:val="en-US"/>
        </w:rPr>
        <w:t>Letsi v Mepha and Another</w:t>
      </w:r>
      <w:r>
        <w:t xml:space="preserve"> </w:t>
      </w:r>
      <w:r w:rsidRPr="00AB7958">
        <w:rPr>
          <w:rFonts w:cs="Arial"/>
        </w:rPr>
        <w:t>(42/2021) [2022] ZA</w:t>
      </w:r>
      <w:r w:rsidR="007867F7">
        <w:rPr>
          <w:rFonts w:cs="Arial"/>
        </w:rPr>
        <w:t>FS</w:t>
      </w:r>
      <w:r w:rsidR="000839A2">
        <w:rPr>
          <w:rFonts w:cs="Arial"/>
        </w:rPr>
        <w:t>HC</w:t>
      </w:r>
      <w:r w:rsidRPr="00AB7958">
        <w:rPr>
          <w:rFonts w:cs="Arial"/>
        </w:rPr>
        <w:t xml:space="preserve"> 122 (13 May 2022)</w:t>
      </w:r>
      <w:r>
        <w:rPr>
          <w:rFonts w:cs="Arial"/>
          <w:sz w:val="24"/>
          <w:szCs w:val="24"/>
        </w:rPr>
        <w:t xml:space="preserve"> </w:t>
      </w:r>
      <w:r w:rsidRPr="00AB7958">
        <w:rPr>
          <w:rFonts w:cs="Arial"/>
        </w:rPr>
        <w:t>para 2.</w:t>
      </w:r>
    </w:p>
  </w:footnote>
  <w:footnote w:id="5">
    <w:p w14:paraId="0E22C66D" w14:textId="77777777" w:rsidR="0009754C" w:rsidRPr="00D52181" w:rsidRDefault="0009754C" w:rsidP="00BB2DE6">
      <w:pPr>
        <w:pStyle w:val="FootnoteText"/>
        <w:rPr>
          <w:lang w:val="en-US"/>
        </w:rPr>
      </w:pPr>
      <w:r>
        <w:rPr>
          <w:rStyle w:val="FootnoteReference"/>
        </w:rPr>
        <w:footnoteRef/>
      </w:r>
      <w:r>
        <w:t xml:space="preserve"> 2021, Sutherland, Deputy Judge President of the Gauteng Local Division of the High Court, Dependence of Judges on Ethical Conduct by Legal Practitioners: The Ethical Duties of Disclosure and Non-Disclosure, South African Judicial Educational Journal, (2021) 4 (1), December 2021 at page 47. Quote on page 64.</w:t>
      </w:r>
    </w:p>
  </w:footnote>
  <w:footnote w:id="6">
    <w:p w14:paraId="0A3B02CB" w14:textId="77777777" w:rsidR="0043121A" w:rsidRPr="00F0105C" w:rsidRDefault="0043121A" w:rsidP="0043121A">
      <w:pPr>
        <w:pStyle w:val="FootnoteText"/>
        <w:rPr>
          <w:lang w:val="en-GB"/>
        </w:rPr>
      </w:pPr>
      <w:r>
        <w:rPr>
          <w:rStyle w:val="FootnoteReference"/>
        </w:rPr>
        <w:footnoteRef/>
      </w:r>
      <w:r>
        <w:t xml:space="preserve"> Beinash v Wixsley 1997 (3) SA 721 SCA </w:t>
      </w:r>
    </w:p>
  </w:footnote>
  <w:footnote w:id="7">
    <w:p w14:paraId="2E5BF361" w14:textId="378BB138" w:rsidR="0043121A" w:rsidRPr="002D3CB8" w:rsidRDefault="0043121A" w:rsidP="0043121A">
      <w:pPr>
        <w:pStyle w:val="FootnoteText"/>
        <w:ind w:left="284" w:hanging="284"/>
        <w:rPr>
          <w:rFonts w:cs="Arial"/>
        </w:rPr>
      </w:pPr>
      <w:r w:rsidRPr="002D3CB8">
        <w:rPr>
          <w:rStyle w:val="FootnoteReference"/>
          <w:rFonts w:cs="Arial"/>
        </w:rPr>
        <w:footnoteRef/>
      </w:r>
      <w:r w:rsidRPr="002D3CB8">
        <w:rPr>
          <w:rFonts w:cs="Arial"/>
        </w:rPr>
        <w:t xml:space="preserve"> </w:t>
      </w:r>
      <w:r>
        <w:rPr>
          <w:rFonts w:cs="Arial"/>
        </w:rPr>
        <w:tab/>
      </w:r>
      <w:r w:rsidRPr="00CD15D3">
        <w:rPr>
          <w:rFonts w:cs="Arial"/>
          <w:bCs/>
          <w:iCs/>
        </w:rPr>
        <w:t>Mazetti Management Services (Pty) Ltd an</w:t>
      </w:r>
      <w:r w:rsidR="00AF7A1E">
        <w:rPr>
          <w:rFonts w:cs="Arial"/>
          <w:bCs/>
          <w:iCs/>
        </w:rPr>
        <w:t>d Another v Amabhungane Centre f</w:t>
      </w:r>
      <w:r w:rsidRPr="00CD15D3">
        <w:rPr>
          <w:rFonts w:cs="Arial"/>
          <w:bCs/>
          <w:iCs/>
        </w:rPr>
        <w:t>or Investigative Journalism NPC and Others</w:t>
      </w:r>
      <w:r w:rsidRPr="00CD15D3">
        <w:rPr>
          <w:rFonts w:cs="Arial"/>
        </w:rPr>
        <w:t xml:space="preserve"> </w:t>
      </w:r>
      <w:r w:rsidRPr="002D3CB8">
        <w:rPr>
          <w:rFonts w:cs="Arial"/>
        </w:rPr>
        <w:t xml:space="preserve">(2023-050131) [2023] ZAGPJHC 795 (3 July 2023), para 1. </w:t>
      </w:r>
    </w:p>
  </w:footnote>
  <w:footnote w:id="8">
    <w:p w14:paraId="43259BF5" w14:textId="62910FAA" w:rsidR="00231F0A" w:rsidRDefault="00231F0A">
      <w:pPr>
        <w:pStyle w:val="FootnoteText"/>
      </w:pPr>
      <w:r>
        <w:rPr>
          <w:rStyle w:val="FootnoteReference"/>
        </w:rPr>
        <w:footnoteRef/>
      </w:r>
      <w:r>
        <w:t xml:space="preserve"> South African Liquor Traders Association and Others v Chairperson Gauteng Liquor Board and Others 2009 (1) SA 565 (CC) paras [48], [54]</w:t>
      </w:r>
    </w:p>
  </w:footnote>
  <w:footnote w:id="9">
    <w:p w14:paraId="04D020CE" w14:textId="77777777" w:rsidR="00DD14C7" w:rsidRPr="00F0105C" w:rsidRDefault="00DD14C7" w:rsidP="00DD14C7">
      <w:pPr>
        <w:pStyle w:val="FootnoteText"/>
        <w:rPr>
          <w:lang w:val="en-GB"/>
        </w:rPr>
      </w:pPr>
      <w:r>
        <w:rPr>
          <w:rStyle w:val="FootnoteReference"/>
        </w:rPr>
        <w:footnoteRef/>
      </w:r>
      <w:r>
        <w:t xml:space="preserve"> </w:t>
      </w:r>
      <w:r>
        <w:rPr>
          <w:lang w:val="en-GB"/>
        </w:rPr>
        <w:t>Nel v Waterberg Landbouers Ko-operatiewe Vereeniging 1946 AD 597 at 601; Swartbooi and others v Brink 2006 (1) SA 203 (CC)</w:t>
      </w:r>
    </w:p>
  </w:footnote>
  <w:footnote w:id="10">
    <w:p w14:paraId="696B3CE8" w14:textId="77777777" w:rsidR="00ED4C1C" w:rsidRPr="00EB3404" w:rsidRDefault="00ED4C1C" w:rsidP="00ED4C1C">
      <w:pPr>
        <w:spacing w:line="360" w:lineRule="auto"/>
        <w:jc w:val="both"/>
        <w:rPr>
          <w:rFonts w:cs="Arial"/>
        </w:rPr>
      </w:pPr>
      <w:r>
        <w:rPr>
          <w:rStyle w:val="FootnoteReference"/>
        </w:rPr>
        <w:footnoteRef/>
      </w:r>
      <w:r>
        <w:t xml:space="preserve"> </w:t>
      </w:r>
      <w:r>
        <w:rPr>
          <w:rFonts w:cs="Arial"/>
          <w:sz w:val="20"/>
        </w:rPr>
        <w:t>Le C</w:t>
      </w:r>
      <w:r w:rsidRPr="00834FED">
        <w:rPr>
          <w:rFonts w:cs="Arial"/>
          <w:sz w:val="20"/>
        </w:rPr>
        <w:t>ar, Auto Traders v Degswa 1038, CC and others (2011/47650) [2012] ZAGPJHC 286 14 June 2022</w:t>
      </w:r>
    </w:p>
    <w:p w14:paraId="520C8757" w14:textId="77777777" w:rsidR="00ED4C1C" w:rsidRPr="00834FED" w:rsidRDefault="00ED4C1C" w:rsidP="00ED4C1C">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797275"/>
      <w:docPartObj>
        <w:docPartGallery w:val="Page Numbers (Top of Page)"/>
        <w:docPartUnique/>
      </w:docPartObj>
    </w:sdtPr>
    <w:sdtEndPr>
      <w:rPr>
        <w:noProof/>
      </w:rPr>
    </w:sdtEndPr>
    <w:sdtContent>
      <w:p w14:paraId="43371F66" w14:textId="4A445F26" w:rsidR="0009754C" w:rsidRDefault="0009754C">
        <w:pPr>
          <w:pStyle w:val="Header"/>
          <w:jc w:val="right"/>
        </w:pPr>
        <w:r>
          <w:fldChar w:fldCharType="begin"/>
        </w:r>
        <w:r>
          <w:instrText xml:space="preserve"> PAGE   \* MERGEFORMAT </w:instrText>
        </w:r>
        <w:r>
          <w:fldChar w:fldCharType="separate"/>
        </w:r>
        <w:r w:rsidR="00461B64">
          <w:rPr>
            <w:noProof/>
          </w:rPr>
          <w:t>18</w:t>
        </w:r>
        <w:r>
          <w:rPr>
            <w:noProof/>
          </w:rPr>
          <w:fldChar w:fldCharType="end"/>
        </w:r>
      </w:p>
    </w:sdtContent>
  </w:sdt>
  <w:p w14:paraId="0BA12F91" w14:textId="77777777" w:rsidR="0009754C" w:rsidRDefault="000975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1312"/>
      <w:docPartObj>
        <w:docPartGallery w:val="Page Numbers (Top of Page)"/>
        <w:docPartUnique/>
      </w:docPartObj>
    </w:sdtPr>
    <w:sdtEndPr>
      <w:rPr>
        <w:noProof/>
      </w:rPr>
    </w:sdtEndPr>
    <w:sdtContent>
      <w:p w14:paraId="733342DC" w14:textId="1A153EE9" w:rsidR="009940FD" w:rsidRDefault="009940FD">
        <w:pPr>
          <w:pStyle w:val="Header"/>
          <w:jc w:val="right"/>
        </w:pPr>
        <w:r>
          <w:fldChar w:fldCharType="begin"/>
        </w:r>
        <w:r>
          <w:instrText xml:space="preserve"> PAGE   \* MERGEFORMAT </w:instrText>
        </w:r>
        <w:r>
          <w:fldChar w:fldCharType="separate"/>
        </w:r>
        <w:r w:rsidR="0075510C">
          <w:rPr>
            <w:noProof/>
          </w:rPr>
          <w:t>1</w:t>
        </w:r>
        <w:r>
          <w:rPr>
            <w:noProof/>
          </w:rPr>
          <w:fldChar w:fldCharType="end"/>
        </w:r>
      </w:p>
    </w:sdtContent>
  </w:sdt>
  <w:p w14:paraId="66DE38E3" w14:textId="77777777" w:rsidR="00C70535" w:rsidRDefault="00C70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5CD1"/>
    <w:multiLevelType w:val="multilevel"/>
    <w:tmpl w:val="80C8F56A"/>
    <w:lvl w:ilvl="0">
      <w:start w:val="1"/>
      <w:numFmt w:val="decimal"/>
      <w:lvlText w:val="%1."/>
      <w:lvlJc w:val="left"/>
      <w:pPr>
        <w:tabs>
          <w:tab w:val="num" w:pos="1197"/>
        </w:tabs>
        <w:ind w:left="1197" w:hanging="567"/>
      </w:pPr>
      <w:rPr>
        <w:rFonts w:ascii="Arial" w:hAnsi="Arial" w:cs="Arial" w:hint="default"/>
        <w:b w:val="0"/>
        <w:i w:val="0"/>
        <w:iCs w:val="0"/>
        <w:sz w:val="24"/>
        <w:szCs w:val="24"/>
      </w:rPr>
    </w:lvl>
    <w:lvl w:ilvl="1">
      <w:start w:val="1"/>
      <w:numFmt w:val="decimal"/>
      <w:lvlText w:val="%1.%2."/>
      <w:lvlJc w:val="left"/>
      <w:pPr>
        <w:tabs>
          <w:tab w:val="num" w:pos="1361"/>
        </w:tabs>
        <w:ind w:left="1361"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55"/>
        </w:tabs>
        <w:ind w:left="2155"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697EEB"/>
    <w:multiLevelType w:val="multilevel"/>
    <w:tmpl w:val="8370F68A"/>
    <w:styleLink w:val="ImportedStyle2"/>
    <w:lvl w:ilvl="0">
      <w:start w:val="1"/>
      <w:numFmt w:val="decimal"/>
      <w:pStyle w:val="1"/>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7">
    <w:nsid w:val="49DB1BF3"/>
    <w:multiLevelType w:val="multilevel"/>
    <w:tmpl w:val="8370F68A"/>
    <w:numStyleLink w:val="ImportedStyle2"/>
  </w:abstractNum>
  <w:abstractNum w:abstractNumId="8">
    <w:nsid w:val="4AE74B52"/>
    <w:multiLevelType w:val="hybridMultilevel"/>
    <w:tmpl w:val="8FCE3FCC"/>
    <w:lvl w:ilvl="0" w:tplc="E6B2C3E2">
      <w:start w:val="1"/>
      <w:numFmt w:val="decimal"/>
      <w:lvlText w:val="[%1]"/>
      <w:lvlJc w:val="left"/>
      <w:pPr>
        <w:ind w:left="720" w:hanging="360"/>
      </w:pPr>
      <w:rPr>
        <w:rFonts w:hint="default"/>
        <w:i w:val="0"/>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129B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B6BF9"/>
    <w:multiLevelType w:val="hybridMultilevel"/>
    <w:tmpl w:val="121C01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4"/>
  </w:num>
  <w:num w:numId="3">
    <w:abstractNumId w:val="1"/>
  </w:num>
  <w:num w:numId="4">
    <w:abstractNumId w:val="6"/>
  </w:num>
  <w:num w:numId="5">
    <w:abstractNumId w:val="13"/>
  </w:num>
  <w:num w:numId="6">
    <w:abstractNumId w:val="5"/>
  </w:num>
  <w:num w:numId="7">
    <w:abstractNumId w:val="3"/>
  </w:num>
  <w:num w:numId="8">
    <w:abstractNumId w:val="12"/>
  </w:num>
  <w:num w:numId="9">
    <w:abstractNumId w:val="9"/>
  </w:num>
  <w:num w:numId="10">
    <w:abstractNumId w:val="2"/>
  </w:num>
  <w:num w:numId="11">
    <w:abstractNumId w:val="7"/>
    <w:lvlOverride w:ilvl="0">
      <w:lvl w:ilvl="0">
        <w:numFmt w:val="decimal"/>
        <w:pStyle w:val="1"/>
        <w:lvlText w:val=""/>
        <w:lvlJc w:val="left"/>
      </w:lvl>
    </w:lvlOverride>
    <w:lvlOverride w:ilvl="1">
      <w:lvl w:ilvl="1">
        <w:start w:val="1"/>
        <w:numFmt w:val="decimal"/>
        <w:pStyle w:val="2"/>
        <w:lvlText w:val="%1.%2."/>
        <w:lvlJc w:val="left"/>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97"/>
    <w:rsid w:val="00000645"/>
    <w:rsid w:val="00011A7C"/>
    <w:rsid w:val="00045763"/>
    <w:rsid w:val="000464BE"/>
    <w:rsid w:val="00047D92"/>
    <w:rsid w:val="00057EAF"/>
    <w:rsid w:val="000604E8"/>
    <w:rsid w:val="00065DAE"/>
    <w:rsid w:val="000839A2"/>
    <w:rsid w:val="00090D7A"/>
    <w:rsid w:val="000915AB"/>
    <w:rsid w:val="0009754C"/>
    <w:rsid w:val="000A23B8"/>
    <w:rsid w:val="000A7FA6"/>
    <w:rsid w:val="000B66AC"/>
    <w:rsid w:val="000E7F3B"/>
    <w:rsid w:val="001112C3"/>
    <w:rsid w:val="00113EEB"/>
    <w:rsid w:val="00114D4A"/>
    <w:rsid w:val="001243F7"/>
    <w:rsid w:val="00126513"/>
    <w:rsid w:val="0014248C"/>
    <w:rsid w:val="00167A0B"/>
    <w:rsid w:val="00167C1A"/>
    <w:rsid w:val="00175363"/>
    <w:rsid w:val="0019010A"/>
    <w:rsid w:val="001B4FC5"/>
    <w:rsid w:val="001C2200"/>
    <w:rsid w:val="001C79D6"/>
    <w:rsid w:val="001E2697"/>
    <w:rsid w:val="001E5124"/>
    <w:rsid w:val="0020411A"/>
    <w:rsid w:val="002101A8"/>
    <w:rsid w:val="002255D6"/>
    <w:rsid w:val="00231F0A"/>
    <w:rsid w:val="00234BC3"/>
    <w:rsid w:val="00237065"/>
    <w:rsid w:val="002442A9"/>
    <w:rsid w:val="00245037"/>
    <w:rsid w:val="002577D9"/>
    <w:rsid w:val="002600E0"/>
    <w:rsid w:val="0026616E"/>
    <w:rsid w:val="00267A2A"/>
    <w:rsid w:val="002730F0"/>
    <w:rsid w:val="002734B9"/>
    <w:rsid w:val="00275F09"/>
    <w:rsid w:val="002763FA"/>
    <w:rsid w:val="002951F0"/>
    <w:rsid w:val="002C7872"/>
    <w:rsid w:val="002E5A9F"/>
    <w:rsid w:val="0030697C"/>
    <w:rsid w:val="00314CA0"/>
    <w:rsid w:val="00323F4C"/>
    <w:rsid w:val="00325C05"/>
    <w:rsid w:val="00327C3D"/>
    <w:rsid w:val="00340974"/>
    <w:rsid w:val="00343CF2"/>
    <w:rsid w:val="00383D1C"/>
    <w:rsid w:val="0039420D"/>
    <w:rsid w:val="003A6611"/>
    <w:rsid w:val="003A7736"/>
    <w:rsid w:val="003E4F17"/>
    <w:rsid w:val="003E65B3"/>
    <w:rsid w:val="003F2CCB"/>
    <w:rsid w:val="00407C20"/>
    <w:rsid w:val="0043121A"/>
    <w:rsid w:val="00431FD5"/>
    <w:rsid w:val="00436566"/>
    <w:rsid w:val="00437245"/>
    <w:rsid w:val="00441D42"/>
    <w:rsid w:val="0044622C"/>
    <w:rsid w:val="00447620"/>
    <w:rsid w:val="00447BB1"/>
    <w:rsid w:val="00456FA9"/>
    <w:rsid w:val="00461B64"/>
    <w:rsid w:val="00494DFB"/>
    <w:rsid w:val="004A081E"/>
    <w:rsid w:val="004A7F9D"/>
    <w:rsid w:val="004B7344"/>
    <w:rsid w:val="004C3C35"/>
    <w:rsid w:val="004D55A8"/>
    <w:rsid w:val="004E41B6"/>
    <w:rsid w:val="004E44ED"/>
    <w:rsid w:val="005026EC"/>
    <w:rsid w:val="00503815"/>
    <w:rsid w:val="00511589"/>
    <w:rsid w:val="005225B7"/>
    <w:rsid w:val="00525B8B"/>
    <w:rsid w:val="00527CFC"/>
    <w:rsid w:val="00535E17"/>
    <w:rsid w:val="00557D37"/>
    <w:rsid w:val="005776D8"/>
    <w:rsid w:val="00580E65"/>
    <w:rsid w:val="00583928"/>
    <w:rsid w:val="005865DF"/>
    <w:rsid w:val="00595286"/>
    <w:rsid w:val="005A0267"/>
    <w:rsid w:val="005E2DA6"/>
    <w:rsid w:val="006224E5"/>
    <w:rsid w:val="006229D6"/>
    <w:rsid w:val="006263C1"/>
    <w:rsid w:val="006407A4"/>
    <w:rsid w:val="006616E5"/>
    <w:rsid w:val="00665987"/>
    <w:rsid w:val="00673D4C"/>
    <w:rsid w:val="00675CE2"/>
    <w:rsid w:val="00695FAB"/>
    <w:rsid w:val="006A29FC"/>
    <w:rsid w:val="006E625E"/>
    <w:rsid w:val="0070729A"/>
    <w:rsid w:val="00713726"/>
    <w:rsid w:val="00720ECC"/>
    <w:rsid w:val="00732694"/>
    <w:rsid w:val="00740A6F"/>
    <w:rsid w:val="0075510C"/>
    <w:rsid w:val="007561F6"/>
    <w:rsid w:val="007703BA"/>
    <w:rsid w:val="0077077E"/>
    <w:rsid w:val="00772D6C"/>
    <w:rsid w:val="007747F3"/>
    <w:rsid w:val="00784B74"/>
    <w:rsid w:val="007867F7"/>
    <w:rsid w:val="00796F69"/>
    <w:rsid w:val="007A4E41"/>
    <w:rsid w:val="007B2BD6"/>
    <w:rsid w:val="007B4548"/>
    <w:rsid w:val="007C1856"/>
    <w:rsid w:val="007C6E81"/>
    <w:rsid w:val="007D5561"/>
    <w:rsid w:val="007E64CA"/>
    <w:rsid w:val="00815823"/>
    <w:rsid w:val="00822067"/>
    <w:rsid w:val="00830B72"/>
    <w:rsid w:val="00834706"/>
    <w:rsid w:val="00834FED"/>
    <w:rsid w:val="00840473"/>
    <w:rsid w:val="008421F0"/>
    <w:rsid w:val="0084300B"/>
    <w:rsid w:val="00880CB2"/>
    <w:rsid w:val="00895C47"/>
    <w:rsid w:val="008A1DB6"/>
    <w:rsid w:val="008B5375"/>
    <w:rsid w:val="008C01C6"/>
    <w:rsid w:val="008C2A94"/>
    <w:rsid w:val="008C4F36"/>
    <w:rsid w:val="008C5EDB"/>
    <w:rsid w:val="008D0518"/>
    <w:rsid w:val="008F1E20"/>
    <w:rsid w:val="008F5FE3"/>
    <w:rsid w:val="00900064"/>
    <w:rsid w:val="00910193"/>
    <w:rsid w:val="00913A82"/>
    <w:rsid w:val="00941F92"/>
    <w:rsid w:val="00951327"/>
    <w:rsid w:val="00953CFA"/>
    <w:rsid w:val="009571D3"/>
    <w:rsid w:val="00980192"/>
    <w:rsid w:val="009845B6"/>
    <w:rsid w:val="009875DB"/>
    <w:rsid w:val="009940FD"/>
    <w:rsid w:val="00996163"/>
    <w:rsid w:val="009B0F7B"/>
    <w:rsid w:val="009B4A5F"/>
    <w:rsid w:val="009E11DF"/>
    <w:rsid w:val="009E2021"/>
    <w:rsid w:val="009E5EA6"/>
    <w:rsid w:val="00A21211"/>
    <w:rsid w:val="00A326BA"/>
    <w:rsid w:val="00A706E9"/>
    <w:rsid w:val="00A73C52"/>
    <w:rsid w:val="00A74226"/>
    <w:rsid w:val="00A9475D"/>
    <w:rsid w:val="00AA2829"/>
    <w:rsid w:val="00AB6E59"/>
    <w:rsid w:val="00AC26CF"/>
    <w:rsid w:val="00AC59DB"/>
    <w:rsid w:val="00AE2115"/>
    <w:rsid w:val="00AE3FCE"/>
    <w:rsid w:val="00AE5D3C"/>
    <w:rsid w:val="00AF1D7B"/>
    <w:rsid w:val="00AF401B"/>
    <w:rsid w:val="00AF7A1E"/>
    <w:rsid w:val="00B17373"/>
    <w:rsid w:val="00B173AA"/>
    <w:rsid w:val="00B2166A"/>
    <w:rsid w:val="00B25B6F"/>
    <w:rsid w:val="00B27F77"/>
    <w:rsid w:val="00B35617"/>
    <w:rsid w:val="00B40203"/>
    <w:rsid w:val="00B47C39"/>
    <w:rsid w:val="00B565D4"/>
    <w:rsid w:val="00B56867"/>
    <w:rsid w:val="00B7612E"/>
    <w:rsid w:val="00B767A4"/>
    <w:rsid w:val="00B91B45"/>
    <w:rsid w:val="00B948AF"/>
    <w:rsid w:val="00BA26F8"/>
    <w:rsid w:val="00BB2DE6"/>
    <w:rsid w:val="00BC4DE1"/>
    <w:rsid w:val="00BD17F1"/>
    <w:rsid w:val="00BE3AA8"/>
    <w:rsid w:val="00BF4AEE"/>
    <w:rsid w:val="00C03CD3"/>
    <w:rsid w:val="00C0638B"/>
    <w:rsid w:val="00C15987"/>
    <w:rsid w:val="00C261D5"/>
    <w:rsid w:val="00C44AAD"/>
    <w:rsid w:val="00C461F9"/>
    <w:rsid w:val="00C66697"/>
    <w:rsid w:val="00C67695"/>
    <w:rsid w:val="00C70535"/>
    <w:rsid w:val="00C753F8"/>
    <w:rsid w:val="00C810C8"/>
    <w:rsid w:val="00C83782"/>
    <w:rsid w:val="00C853FE"/>
    <w:rsid w:val="00C90BDB"/>
    <w:rsid w:val="00C91ADD"/>
    <w:rsid w:val="00C97680"/>
    <w:rsid w:val="00CB5A66"/>
    <w:rsid w:val="00CC753E"/>
    <w:rsid w:val="00CD0651"/>
    <w:rsid w:val="00CD15D3"/>
    <w:rsid w:val="00CF3AC7"/>
    <w:rsid w:val="00D02349"/>
    <w:rsid w:val="00D063A6"/>
    <w:rsid w:val="00D06735"/>
    <w:rsid w:val="00D11D56"/>
    <w:rsid w:val="00D130FD"/>
    <w:rsid w:val="00D5427D"/>
    <w:rsid w:val="00D921A0"/>
    <w:rsid w:val="00DA1296"/>
    <w:rsid w:val="00DA7975"/>
    <w:rsid w:val="00DB772D"/>
    <w:rsid w:val="00DC6ED3"/>
    <w:rsid w:val="00DD14C7"/>
    <w:rsid w:val="00DD3104"/>
    <w:rsid w:val="00DF2491"/>
    <w:rsid w:val="00DF4498"/>
    <w:rsid w:val="00E05EBB"/>
    <w:rsid w:val="00E20379"/>
    <w:rsid w:val="00E35A5B"/>
    <w:rsid w:val="00E36A52"/>
    <w:rsid w:val="00E4510B"/>
    <w:rsid w:val="00E52A9E"/>
    <w:rsid w:val="00E80E3D"/>
    <w:rsid w:val="00E84234"/>
    <w:rsid w:val="00ED2AC9"/>
    <w:rsid w:val="00ED3E73"/>
    <w:rsid w:val="00ED4C1C"/>
    <w:rsid w:val="00ED7708"/>
    <w:rsid w:val="00EF47F1"/>
    <w:rsid w:val="00F0105C"/>
    <w:rsid w:val="00F07285"/>
    <w:rsid w:val="00F13400"/>
    <w:rsid w:val="00F176FF"/>
    <w:rsid w:val="00F2062A"/>
    <w:rsid w:val="00F24302"/>
    <w:rsid w:val="00F4115F"/>
    <w:rsid w:val="00F44AF4"/>
    <w:rsid w:val="00F4658F"/>
    <w:rsid w:val="00F52C86"/>
    <w:rsid w:val="00F60B1E"/>
    <w:rsid w:val="00F67A70"/>
    <w:rsid w:val="00F73139"/>
    <w:rsid w:val="00F80F9D"/>
    <w:rsid w:val="00FA6B44"/>
    <w:rsid w:val="00FB4FE4"/>
    <w:rsid w:val="00FC3345"/>
    <w:rsid w:val="00FC3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7437728B-E4C4-47D8-9E5F-DACA9BD6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paragraph" w:styleId="Heading1">
    <w:name w:val="heading 1"/>
    <w:basedOn w:val="Normal"/>
    <w:next w:val="Normal"/>
    <w:link w:val="Heading1Char"/>
    <w:uiPriority w:val="9"/>
    <w:qFormat/>
    <w:rsid w:val="00E4510B"/>
    <w:pPr>
      <w:keepNext/>
      <w:keepLines/>
      <w:spacing w:before="240" w:line="259" w:lineRule="auto"/>
      <w:outlineLvl w:val="0"/>
    </w:pPr>
    <w:rPr>
      <w:rFonts w:eastAsiaTheme="majorEastAsia" w:cstheme="majorBidi"/>
      <w:b/>
      <w:color w:val="000000" w:themeColor="text1"/>
      <w:kern w:val="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aliases w:val="FOOTNOTES,fn,single space,Footnotes,Footnote ak,ft,fn cafc,ALTS FOOTNOTE Char,Footnote Text Char1 Char,Footnote Text Char Char Char,Footnote Text Char1 Char Char Char,Footnote Text Char Char Char Char Char,ALTS FOOTNOTE,footnote text,Char"/>
    <w:basedOn w:val="Normal"/>
    <w:link w:val="FootnoteTextChar"/>
    <w:uiPriority w:val="99"/>
    <w:unhideWhenUsed/>
    <w:qFormat/>
    <w:rsid w:val="00383D1C"/>
    <w:rPr>
      <w:sz w:val="20"/>
      <w:szCs w:val="20"/>
    </w:rPr>
  </w:style>
  <w:style w:type="character" w:customStyle="1" w:styleId="FootnoteTextChar">
    <w:name w:val="Footnote Text Char"/>
    <w:aliases w:val="FOOTNOTES Char,fn Char,single space Char,Footnotes Char,Footnote ak Char,ft Char,fn cafc Char,ALTS FOOTNOTE Char Char,Footnote Text Char1 Char Char,Footnote Text Char Char Char Char,Footnote Text Char1 Char Char Char Char,Char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aliases w:val="Ref,de nota al pie,註腳內容,Heading 6 Char1,do not use4 Char1,Footnote symbol,(NECG) Footnote Reference,Style 12,Footnote,Footnotes refss,Appel note de bas de page,fr,SFG_Footnote_Reference,Nota,Appel note de bas de p,o,-E Fußnotenzeichen"/>
    <w:basedOn w:val="DefaultParagraphFont"/>
    <w:uiPriority w:val="99"/>
    <w:unhideWhenUsed/>
    <w:qFormat/>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paragraph" w:customStyle="1" w:styleId="com-i-a">
    <w:name w:val="com-i-a"/>
    <w:basedOn w:val="Normal"/>
    <w:rsid w:val="00913A82"/>
    <w:pPr>
      <w:spacing w:before="100" w:beforeAutospacing="1" w:after="100" w:afterAutospacing="1"/>
    </w:pPr>
    <w:rPr>
      <w:rFonts w:ascii="Times New Roman" w:hAnsi="Times New Roman"/>
      <w:kern w:val="0"/>
      <w:lang w:eastAsia="en-ZA"/>
    </w:rPr>
  </w:style>
  <w:style w:type="paragraph" w:customStyle="1" w:styleId="1">
    <w:name w:val="1"/>
    <w:link w:val="1Char"/>
    <w:qFormat/>
    <w:rsid w:val="00913A82"/>
    <w:pPr>
      <w:numPr>
        <w:numId w:val="11"/>
      </w:numPr>
      <w:pBdr>
        <w:top w:val="nil"/>
        <w:left w:val="nil"/>
        <w:bottom w:val="nil"/>
        <w:right w:val="nil"/>
        <w:between w:val="nil"/>
        <w:bar w:val="nil"/>
      </w:pBdr>
      <w:tabs>
        <w:tab w:val="left" w:pos="567"/>
      </w:tabs>
      <w:spacing w:before="240" w:after="240" w:line="480" w:lineRule="auto"/>
      <w:jc w:val="both"/>
    </w:pPr>
    <w:rPr>
      <w:rFonts w:ascii="Arial" w:eastAsia="Arial Unicode MS" w:hAnsi="Arial" w:cs="Arial Unicode MS"/>
      <w:color w:val="000000"/>
      <w:sz w:val="24"/>
      <w:szCs w:val="24"/>
      <w:u w:color="000000"/>
      <w:bdr w:val="nil"/>
      <w:lang w:val="en-US" w:eastAsia="en-ZA"/>
    </w:rPr>
  </w:style>
  <w:style w:type="numbering" w:customStyle="1" w:styleId="ImportedStyle2">
    <w:name w:val="Imported Style 2"/>
    <w:rsid w:val="00913A82"/>
    <w:pPr>
      <w:numPr>
        <w:numId w:val="10"/>
      </w:numPr>
    </w:pPr>
  </w:style>
  <w:style w:type="paragraph" w:customStyle="1" w:styleId="2">
    <w:name w:val="2"/>
    <w:basedOn w:val="1"/>
    <w:qFormat/>
    <w:rsid w:val="00913A82"/>
    <w:pPr>
      <w:numPr>
        <w:ilvl w:val="1"/>
      </w:numPr>
      <w:tabs>
        <w:tab w:val="clear" w:pos="567"/>
        <w:tab w:val="num" w:pos="360"/>
        <w:tab w:val="left" w:pos="1418"/>
      </w:tabs>
      <w:ind w:left="792" w:hanging="432"/>
    </w:pPr>
  </w:style>
  <w:style w:type="character" w:customStyle="1" w:styleId="1Char">
    <w:name w:val="1 Char"/>
    <w:link w:val="1"/>
    <w:locked/>
    <w:rsid w:val="00913A82"/>
    <w:rPr>
      <w:rFonts w:ascii="Arial" w:eastAsia="Arial Unicode MS" w:hAnsi="Arial" w:cs="Arial Unicode MS"/>
      <w:color w:val="000000"/>
      <w:sz w:val="24"/>
      <w:szCs w:val="24"/>
      <w:u w:color="000000"/>
      <w:bdr w:val="nil"/>
      <w:lang w:val="en-US" w:eastAsia="en-ZA"/>
    </w:rPr>
  </w:style>
  <w:style w:type="character" w:customStyle="1" w:styleId="Heading1Char">
    <w:name w:val="Heading 1 Char"/>
    <w:basedOn w:val="DefaultParagraphFont"/>
    <w:link w:val="Heading1"/>
    <w:uiPriority w:val="9"/>
    <w:rsid w:val="00E4510B"/>
    <w:rPr>
      <w:rFonts w:ascii="Arial" w:eastAsiaTheme="majorEastAsia" w:hAnsi="Arial" w:cstheme="majorBidi"/>
      <w:b/>
      <w:color w:val="000000" w:themeColor="text1"/>
      <w:sz w:val="24"/>
      <w:szCs w:val="32"/>
      <w:lang w:val="en-ZA"/>
    </w:rPr>
  </w:style>
  <w:style w:type="character" w:styleId="Hyperlink">
    <w:name w:val="Hyperlink"/>
    <w:basedOn w:val="DefaultParagraphFont"/>
    <w:uiPriority w:val="99"/>
    <w:unhideWhenUsed/>
    <w:rsid w:val="00E4510B"/>
    <w:rPr>
      <w:color w:val="0563C1" w:themeColor="hyperlink"/>
      <w:u w:val="single"/>
    </w:rPr>
  </w:style>
  <w:style w:type="character" w:customStyle="1" w:styleId="footnote-link">
    <w:name w:val="footnote-link"/>
    <w:basedOn w:val="DefaultParagraphFont"/>
    <w:rsid w:val="00E4510B"/>
  </w:style>
  <w:style w:type="paragraph" w:customStyle="1" w:styleId="normaltext">
    <w:name w:val="normaltext"/>
    <w:basedOn w:val="Normal"/>
    <w:rsid w:val="00E4510B"/>
    <w:pPr>
      <w:spacing w:before="100" w:beforeAutospacing="1" w:after="100" w:afterAutospacing="1"/>
    </w:pPr>
    <w:rPr>
      <w:rFonts w:ascii="Times New Roman" w:hAnsi="Times New Roman"/>
      <w:kern w:val="0"/>
      <w:lang w:eastAsia="en-ZA"/>
    </w:rPr>
  </w:style>
  <w:style w:type="paragraph" w:styleId="Quote">
    <w:name w:val="Quote"/>
    <w:basedOn w:val="Normal"/>
    <w:next w:val="Normal"/>
    <w:link w:val="QuoteChar"/>
    <w:autoRedefine/>
    <w:uiPriority w:val="29"/>
    <w:qFormat/>
    <w:rsid w:val="00E4510B"/>
    <w:pPr>
      <w:widowControl w:val="0"/>
      <w:adjustRightInd w:val="0"/>
      <w:snapToGrid w:val="0"/>
      <w:spacing w:before="720" w:after="720" w:line="480" w:lineRule="auto"/>
      <w:ind w:left="2268" w:right="1134"/>
      <w:jc w:val="both"/>
    </w:pPr>
    <w:rPr>
      <w:rFonts w:ascii="Cambria" w:eastAsiaTheme="minorHAnsi" w:hAnsi="Cambria" w:cstheme="minorBidi"/>
      <w:i/>
      <w:iCs/>
      <w:color w:val="000000" w:themeColor="text1"/>
      <w:kern w:val="0"/>
      <w:shd w:val="clear" w:color="auto" w:fill="FFFFFF"/>
      <w:lang w:eastAsia="en-US"/>
    </w:rPr>
  </w:style>
  <w:style w:type="character" w:customStyle="1" w:styleId="QuoteChar">
    <w:name w:val="Quote Char"/>
    <w:basedOn w:val="DefaultParagraphFont"/>
    <w:link w:val="Quote"/>
    <w:uiPriority w:val="29"/>
    <w:rsid w:val="00E4510B"/>
    <w:rPr>
      <w:rFonts w:ascii="Cambria" w:hAnsi="Cambria"/>
      <w:i/>
      <w:iCs/>
      <w:color w:val="000000" w:themeColor="text1"/>
      <w:sz w:val="24"/>
      <w:szCs w:val="24"/>
      <w:lang w:val="en-ZA"/>
    </w:rPr>
  </w:style>
  <w:style w:type="character" w:customStyle="1" w:styleId="apple-converted-space">
    <w:name w:val="apple-converted-space"/>
    <w:basedOn w:val="DefaultParagraphFont"/>
    <w:rsid w:val="00E4510B"/>
  </w:style>
  <w:style w:type="paragraph" w:customStyle="1" w:styleId="xm1295732696860214495msolistparagraph">
    <w:name w:val="x_m_1295732696860214495msolistparagraph"/>
    <w:basedOn w:val="Normal"/>
    <w:rsid w:val="00E4510B"/>
    <w:pPr>
      <w:spacing w:before="100" w:beforeAutospacing="1" w:after="100" w:afterAutospacing="1"/>
    </w:pPr>
    <w:rPr>
      <w:rFonts w:ascii="Times New Roman" w:hAnsi="Times New Roman"/>
      <w:kern w:val="0"/>
    </w:rPr>
  </w:style>
  <w:style w:type="paragraph" w:styleId="Footer">
    <w:name w:val="footer"/>
    <w:basedOn w:val="Normal"/>
    <w:link w:val="FooterChar"/>
    <w:uiPriority w:val="99"/>
    <w:unhideWhenUsed/>
    <w:rsid w:val="00C44AAD"/>
    <w:pPr>
      <w:tabs>
        <w:tab w:val="center" w:pos="4513"/>
        <w:tab w:val="right" w:pos="9026"/>
      </w:tabs>
    </w:pPr>
  </w:style>
  <w:style w:type="character" w:customStyle="1" w:styleId="FooterChar">
    <w:name w:val="Footer Char"/>
    <w:basedOn w:val="DefaultParagraphFont"/>
    <w:link w:val="Footer"/>
    <w:uiPriority w:val="99"/>
    <w:rsid w:val="00C44AAD"/>
    <w:rPr>
      <w:rFonts w:ascii="Arial" w:eastAsia="Times New Roman" w:hAnsi="Arial" w:cs="Times New Roman"/>
      <w:kern w:val="28"/>
      <w:sz w:val="24"/>
      <w:szCs w:val="24"/>
      <w:lang w:val="en-ZA" w:eastAsia="en-GB"/>
    </w:rPr>
  </w:style>
  <w:style w:type="paragraph" w:styleId="BalloonText">
    <w:name w:val="Balloon Text"/>
    <w:basedOn w:val="Normal"/>
    <w:link w:val="BalloonTextChar"/>
    <w:uiPriority w:val="99"/>
    <w:semiHidden/>
    <w:unhideWhenUsed/>
    <w:rsid w:val="00C91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ADD"/>
    <w:rPr>
      <w:rFonts w:ascii="Segoe UI" w:eastAsia="Times New Roman" w:hAnsi="Segoe UI" w:cs="Segoe UI"/>
      <w:kern w:val="28"/>
      <w:sz w:val="18"/>
      <w:szCs w:val="18"/>
      <w:lang w:val="en-ZA" w:eastAsia="en-GB"/>
    </w:rPr>
  </w:style>
  <w:style w:type="paragraph" w:customStyle="1" w:styleId="LegalTramLines">
    <w:name w:val="Legal_TramLines"/>
    <w:basedOn w:val="Normal"/>
    <w:next w:val="Normal"/>
    <w:semiHidden/>
    <w:rsid w:val="002951F0"/>
    <w:pPr>
      <w:pBdr>
        <w:top w:val="single" w:sz="4" w:space="18" w:color="auto"/>
        <w:bottom w:val="single" w:sz="4" w:space="18" w:color="auto"/>
      </w:pBdr>
      <w:suppressAutoHyphens/>
      <w:spacing w:after="480"/>
      <w:jc w:val="center"/>
    </w:pPr>
    <w:rPr>
      <w:rFonts w:ascii="Arial Bold" w:hAnsi="Arial Bold"/>
      <w:b/>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A7B9-698D-41CA-A71A-91BBDE4D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Mokone</cp:lastModifiedBy>
  <cp:revision>3</cp:revision>
  <cp:lastPrinted>2023-09-10T19:46:00Z</cp:lastPrinted>
  <dcterms:created xsi:type="dcterms:W3CDTF">2023-09-11T15:00:00Z</dcterms:created>
  <dcterms:modified xsi:type="dcterms:W3CDTF">2023-09-11T15:02:00Z</dcterms:modified>
</cp:coreProperties>
</file>