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983CF" w14:textId="77777777" w:rsidR="00D510F5" w:rsidRPr="00D510F5" w:rsidRDefault="008E273B" w:rsidP="00D510F5">
      <w:pPr>
        <w:spacing w:after="0" w:line="360" w:lineRule="auto"/>
        <w:ind w:left="343" w:hangingChars="127" w:hanging="343"/>
        <w:jc w:val="center"/>
        <w:rPr>
          <w:rFonts w:eastAsia="Times New Roman" w:cs="Arial"/>
          <w:b/>
          <w:kern w:val="0"/>
          <w:szCs w:val="24"/>
          <w:lang w:eastAsia="en-GB"/>
          <w14:ligatures w14:val="none"/>
        </w:rPr>
      </w:pPr>
      <w:r>
        <w:rPr>
          <w:rFonts w:ascii="Segoe UI" w:hAnsi="Segoe UI" w:cs="Segoe UI"/>
          <w:color w:val="000000"/>
          <w:sz w:val="27"/>
          <w:szCs w:val="27"/>
        </w:rPr>
        <w:t xml:space="preserve">    </w:t>
      </w:r>
      <w:r w:rsidR="00D510F5" w:rsidRPr="00D510F5">
        <w:rPr>
          <w:rFonts w:eastAsia="Times New Roman" w:cs="Arial"/>
          <w:b/>
          <w:kern w:val="0"/>
          <w:szCs w:val="24"/>
          <w:lang w:eastAsia="en-GB"/>
          <w14:ligatures w14:val="none"/>
        </w:rPr>
        <w:t>REPUBLIC OF SOUTH AFRICA</w:t>
      </w:r>
    </w:p>
    <w:p w14:paraId="74828685" w14:textId="77777777" w:rsidR="00D510F5" w:rsidRPr="00D510F5" w:rsidRDefault="00D510F5" w:rsidP="00D510F5">
      <w:pPr>
        <w:spacing w:after="0" w:line="360" w:lineRule="auto"/>
        <w:ind w:left="306" w:hangingChars="127" w:hanging="306"/>
        <w:jc w:val="center"/>
        <w:rPr>
          <w:rFonts w:eastAsia="Times New Roman" w:cs="Arial"/>
          <w:b/>
          <w:kern w:val="0"/>
          <w:szCs w:val="24"/>
          <w:lang w:eastAsia="en-GB"/>
          <w14:ligatures w14:val="none"/>
        </w:rPr>
      </w:pPr>
      <w:r w:rsidRPr="00D510F5">
        <w:rPr>
          <w:rFonts w:eastAsia="MS Mincho" w:cs="Arial"/>
          <w:b/>
          <w:noProof/>
          <w:kern w:val="0"/>
          <w:szCs w:val="24"/>
          <w:lang w:val="en-US"/>
          <w14:ligatures w14:val="none"/>
        </w:rPr>
        <w:drawing>
          <wp:inline distT="0" distB="0" distL="0" distR="0" wp14:anchorId="0A40200C" wp14:editId="591A2CA6">
            <wp:extent cx="1473200" cy="14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4E6F92ED" w14:textId="77777777" w:rsidR="00D510F5" w:rsidRPr="00D510F5" w:rsidRDefault="00D510F5" w:rsidP="00D510F5">
      <w:pPr>
        <w:spacing w:after="0" w:line="360" w:lineRule="auto"/>
        <w:ind w:left="306" w:hangingChars="127" w:hanging="306"/>
        <w:jc w:val="center"/>
        <w:rPr>
          <w:rFonts w:eastAsia="Times New Roman" w:cs="Arial"/>
          <w:b/>
          <w:kern w:val="0"/>
          <w:szCs w:val="24"/>
          <w:lang w:eastAsia="en-GB"/>
          <w14:ligatures w14:val="none"/>
        </w:rPr>
      </w:pPr>
      <w:r w:rsidRPr="00D510F5">
        <w:rPr>
          <w:rFonts w:eastAsia="Times New Roman" w:cs="Arial"/>
          <w:b/>
          <w:kern w:val="0"/>
          <w:szCs w:val="24"/>
          <w:lang w:eastAsia="en-GB"/>
          <w14:ligatures w14:val="none"/>
        </w:rPr>
        <w:t>IN THE HIGH COURT OF SOUTH AFRICA</w:t>
      </w:r>
    </w:p>
    <w:p w14:paraId="29647C9E" w14:textId="7FE1659D" w:rsidR="00D510F5" w:rsidRPr="00D510F5" w:rsidRDefault="00D510F5" w:rsidP="00A13550">
      <w:pPr>
        <w:spacing w:after="0" w:line="600" w:lineRule="auto"/>
        <w:ind w:left="306" w:hangingChars="127" w:hanging="306"/>
        <w:jc w:val="center"/>
        <w:rPr>
          <w:rFonts w:eastAsia="Times New Roman" w:cs="Arial"/>
          <w:b/>
          <w:kern w:val="0"/>
          <w:szCs w:val="24"/>
          <w:lang w:eastAsia="en-GB"/>
          <w14:ligatures w14:val="none"/>
        </w:rPr>
      </w:pPr>
      <w:r w:rsidRPr="00D510F5">
        <w:rPr>
          <w:rFonts w:eastAsia="Times New Roman" w:cs="Arial"/>
          <w:b/>
          <w:kern w:val="0"/>
          <w:szCs w:val="24"/>
          <w:lang w:eastAsia="en-GB"/>
          <w14:ligatures w14:val="none"/>
        </w:rPr>
        <w:t>GAUTENG LOCAL DIVISION, JOHANNESBURG</w:t>
      </w:r>
      <w:r w:rsidR="00A13550">
        <w:rPr>
          <w:rFonts w:eastAsia="Times New Roman" w:cs="Arial"/>
          <w:b/>
          <w:kern w:val="0"/>
          <w:szCs w:val="24"/>
          <w:lang w:eastAsia="en-GB"/>
          <w14:ligatures w14:val="none"/>
        </w:rPr>
        <w:t xml:space="preserve"> </w:t>
      </w:r>
    </w:p>
    <w:p w14:paraId="0F0D902B" w14:textId="2855D7A7" w:rsidR="00D510F5" w:rsidRPr="00D510F5" w:rsidRDefault="00D510F5" w:rsidP="00D510F5">
      <w:pPr>
        <w:spacing w:after="0" w:line="600" w:lineRule="auto"/>
        <w:ind w:left="306" w:hangingChars="127" w:hanging="306"/>
        <w:jc w:val="right"/>
        <w:rPr>
          <w:rFonts w:eastAsia="Times New Roman" w:cs="Arial"/>
          <w:b/>
          <w:kern w:val="0"/>
          <w:szCs w:val="24"/>
          <w:lang w:eastAsia="en-GB"/>
          <w14:ligatures w14:val="none"/>
        </w:rPr>
      </w:pPr>
      <w:r w:rsidRPr="00D510F5">
        <w:rPr>
          <w:rFonts w:eastAsia="Times New Roman" w:cs="Arial"/>
          <w:b/>
          <w:kern w:val="0"/>
          <w:szCs w:val="24"/>
          <w:lang w:eastAsia="en-GB"/>
          <w14:ligatures w14:val="none"/>
        </w:rPr>
        <w:tab/>
      </w:r>
      <w:r w:rsidRPr="00D510F5">
        <w:rPr>
          <w:rFonts w:eastAsia="Times New Roman" w:cs="Arial"/>
          <w:b/>
          <w:kern w:val="0"/>
          <w:szCs w:val="24"/>
          <w:lang w:eastAsia="en-GB"/>
          <w14:ligatures w14:val="none"/>
        </w:rPr>
        <w:tab/>
      </w:r>
      <w:r w:rsidRPr="00D510F5">
        <w:rPr>
          <w:rFonts w:eastAsia="Times New Roman" w:cs="Arial"/>
          <w:b/>
          <w:kern w:val="0"/>
          <w:szCs w:val="24"/>
          <w:lang w:eastAsia="en-GB"/>
          <w14:ligatures w14:val="none"/>
        </w:rPr>
        <w:tab/>
        <w:t>CASE NO:</w:t>
      </w:r>
      <w:r w:rsidRPr="00D510F5">
        <w:rPr>
          <w:rFonts w:eastAsia="Times New Roman" w:cs="Arial"/>
          <w:b/>
          <w:kern w:val="25"/>
          <w:szCs w:val="24"/>
          <w:lang w:val="en-GB" w:eastAsia="en-GB"/>
          <w14:ligatures w14:val="none"/>
        </w:rPr>
        <w:t xml:space="preserve"> </w:t>
      </w:r>
      <w:r w:rsidRPr="00D510F5">
        <w:rPr>
          <w:rFonts w:eastAsia="Times New Roman" w:cs="Arial"/>
          <w:b/>
          <w:bCs/>
          <w:kern w:val="25"/>
          <w:szCs w:val="24"/>
          <w:lang w:eastAsia="en-GB"/>
          <w14:ligatures w14:val="none"/>
        </w:rPr>
        <w:t>20</w:t>
      </w:r>
      <w:r w:rsidR="00A13550">
        <w:rPr>
          <w:rFonts w:eastAsia="Times New Roman" w:cs="Arial"/>
          <w:b/>
          <w:bCs/>
          <w:kern w:val="25"/>
          <w:szCs w:val="24"/>
          <w:lang w:eastAsia="en-GB"/>
          <w14:ligatures w14:val="none"/>
        </w:rPr>
        <w:t>22-011215</w:t>
      </w:r>
    </w:p>
    <w:p w14:paraId="16608223" w14:textId="77777777" w:rsidR="00D510F5" w:rsidRPr="00D510F5" w:rsidRDefault="00D510F5" w:rsidP="00D510F5">
      <w:pPr>
        <w:spacing w:after="0" w:line="360" w:lineRule="auto"/>
        <w:ind w:left="305" w:hangingChars="127" w:hanging="305"/>
        <w:jc w:val="both"/>
        <w:rPr>
          <w:rFonts w:eastAsia="Times New Roman" w:cs="Arial"/>
          <w:kern w:val="0"/>
          <w:szCs w:val="24"/>
          <w:u w:val="single"/>
          <w:lang w:val="en-GB" w:eastAsia="en-GB"/>
          <w14:ligatures w14:val="none"/>
        </w:rPr>
      </w:pPr>
      <w:r w:rsidRPr="00D510F5">
        <w:rPr>
          <w:rFonts w:eastAsia="MS Mincho" w:cs="Arial"/>
          <w:noProof/>
          <w:kern w:val="0"/>
          <w:szCs w:val="24"/>
          <w:lang w:val="en-US"/>
          <w14:ligatures w14:val="none"/>
        </w:rPr>
        <mc:AlternateContent>
          <mc:Choice Requires="wps">
            <w:drawing>
              <wp:anchor distT="0" distB="0" distL="114300" distR="114300" simplePos="0" relativeHeight="251659264" behindDoc="0" locked="0" layoutInCell="1" allowOverlap="1" wp14:anchorId="5C2FB04C" wp14:editId="2C8B4534">
                <wp:simplePos x="0" y="0"/>
                <wp:positionH relativeFrom="margin">
                  <wp:align>left</wp:align>
                </wp:positionH>
                <wp:positionV relativeFrom="paragraph">
                  <wp:posOffset>10795</wp:posOffset>
                </wp:positionV>
                <wp:extent cx="3095625" cy="12858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285875"/>
                        </a:xfrm>
                        <a:prstGeom prst="rect">
                          <a:avLst/>
                        </a:prstGeom>
                        <a:solidFill>
                          <a:srgbClr val="FFFFFF"/>
                        </a:solidFill>
                        <a:ln w="9525">
                          <a:solidFill>
                            <a:srgbClr val="000000"/>
                          </a:solidFill>
                          <a:miter lim="800000"/>
                          <a:headEnd/>
                          <a:tailEnd/>
                        </a:ln>
                      </wps:spPr>
                      <wps:txbx>
                        <w:txbxContent>
                          <w:p w14:paraId="4F32E129" w14:textId="77777777" w:rsidR="00D510F5" w:rsidRPr="004120A8" w:rsidRDefault="00D510F5" w:rsidP="00D510F5">
                            <w:pPr>
                              <w:jc w:val="center"/>
                              <w:rPr>
                                <w:rFonts w:ascii="Century Gothic" w:hAnsi="Century Gothic"/>
                                <w:b/>
                                <w:sz w:val="2"/>
                                <w:szCs w:val="18"/>
                              </w:rPr>
                            </w:pPr>
                          </w:p>
                          <w:p w14:paraId="6DF4C95E" w14:textId="52A5AB19" w:rsidR="00D510F5" w:rsidRPr="004120A8" w:rsidRDefault="004E5E94" w:rsidP="004E5E94">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D510F5">
                              <w:rPr>
                                <w:rFonts w:ascii="Century Gothic" w:hAnsi="Century Gothic"/>
                                <w:sz w:val="18"/>
                                <w:szCs w:val="18"/>
                              </w:rPr>
                              <w:t>REPORTABLE: NO</w:t>
                            </w:r>
                          </w:p>
                          <w:p w14:paraId="62DE156E" w14:textId="07F810B5" w:rsidR="00D510F5" w:rsidRPr="004120A8" w:rsidRDefault="004E5E94" w:rsidP="004E5E94">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D510F5" w:rsidRPr="004120A8">
                              <w:rPr>
                                <w:rFonts w:ascii="Century Gothic" w:hAnsi="Century Gothic"/>
                                <w:sz w:val="18"/>
                                <w:szCs w:val="18"/>
                              </w:rPr>
                              <w:t>O</w:t>
                            </w:r>
                            <w:r w:rsidR="00D510F5">
                              <w:rPr>
                                <w:rFonts w:ascii="Century Gothic" w:hAnsi="Century Gothic"/>
                                <w:sz w:val="18"/>
                                <w:szCs w:val="18"/>
                              </w:rPr>
                              <w:t xml:space="preserve">F INTEREST TO OTHER JUDGES: </w:t>
                            </w:r>
                            <w:r w:rsidR="00D510F5" w:rsidRPr="004120A8">
                              <w:rPr>
                                <w:rFonts w:ascii="Century Gothic" w:hAnsi="Century Gothic"/>
                                <w:sz w:val="18"/>
                                <w:szCs w:val="18"/>
                              </w:rPr>
                              <w:t>NO</w:t>
                            </w:r>
                          </w:p>
                          <w:p w14:paraId="7CE90795" w14:textId="0FC4B247" w:rsidR="00D510F5" w:rsidRPr="006A7C9C" w:rsidRDefault="004E5E94" w:rsidP="004E5E94">
                            <w:pPr>
                              <w:tabs>
                                <w:tab w:val="left" w:pos="900"/>
                              </w:tabs>
                              <w:spacing w:after="0" w:line="240" w:lineRule="auto"/>
                              <w:ind w:left="900" w:hanging="720"/>
                              <w:rPr>
                                <w:rFonts w:ascii="Century Gothic" w:hAnsi="Century Gothic"/>
                                <w:sz w:val="18"/>
                                <w:szCs w:val="18"/>
                              </w:rPr>
                            </w:pPr>
                            <w:r w:rsidRPr="006A7C9C">
                              <w:rPr>
                                <w:rFonts w:ascii="Century Gothic" w:hAnsi="Century Gothic"/>
                                <w:sz w:val="18"/>
                                <w:szCs w:val="18"/>
                              </w:rPr>
                              <w:t>(3)</w:t>
                            </w:r>
                            <w:r w:rsidRPr="006A7C9C">
                              <w:rPr>
                                <w:rFonts w:ascii="Century Gothic" w:hAnsi="Century Gothic"/>
                                <w:sz w:val="18"/>
                                <w:szCs w:val="18"/>
                              </w:rPr>
                              <w:tab/>
                            </w:r>
                            <w:r w:rsidR="00D510F5">
                              <w:rPr>
                                <w:rFonts w:ascii="Century Gothic" w:hAnsi="Century Gothic"/>
                                <w:sz w:val="18"/>
                                <w:szCs w:val="18"/>
                              </w:rPr>
                              <w:t>REVISED: NO</w:t>
                            </w:r>
                          </w:p>
                          <w:p w14:paraId="12D4CB2E" w14:textId="77777777" w:rsidR="00D510F5" w:rsidRDefault="00D510F5" w:rsidP="00D510F5">
                            <w:pPr>
                              <w:spacing w:after="0"/>
                              <w:rPr>
                                <w:rFonts w:ascii="Century Gothic" w:hAnsi="Century Gothic"/>
                                <w:sz w:val="18"/>
                                <w:szCs w:val="18"/>
                              </w:rPr>
                            </w:pPr>
                          </w:p>
                          <w:p w14:paraId="0883547E" w14:textId="77777777" w:rsidR="00D510F5" w:rsidRPr="00CE3BCB" w:rsidRDefault="00D510F5" w:rsidP="00D510F5">
                            <w:pPr>
                              <w:spacing w:after="0"/>
                              <w:rPr>
                                <w:rFonts w:ascii="Century Gothic" w:hAnsi="Century Gothic"/>
                                <w:sz w:val="18"/>
                                <w:szCs w:val="18"/>
                              </w:rPr>
                            </w:pPr>
                          </w:p>
                          <w:p w14:paraId="314D22C4" w14:textId="7DA7D27D" w:rsidR="00D510F5" w:rsidRPr="004120A8" w:rsidRDefault="00D510F5" w:rsidP="00D510F5">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13/09/2023...</w:t>
                            </w:r>
                          </w:p>
                          <w:p w14:paraId="773B8D7F" w14:textId="77777777" w:rsidR="00D510F5" w:rsidRPr="004120A8" w:rsidRDefault="00D510F5" w:rsidP="00D510F5">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42B0283D" w14:textId="77777777" w:rsidR="00D510F5" w:rsidRPr="004120A8" w:rsidRDefault="00D510F5" w:rsidP="00D510F5">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FB04C" id="_x0000_t202" coordsize="21600,21600" o:spt="202" path="m,l,21600r21600,l21600,xe">
                <v:stroke joinstyle="miter"/>
                <v:path gradientshapeok="t" o:connecttype="rect"/>
              </v:shapetype>
              <v:shape id="Text Box 9" o:spid="_x0000_s1026" type="#_x0000_t202" style="position:absolute;left:0;text-align:left;margin-left:0;margin-top:.85pt;width:243.75pt;height:10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">
                <v:textbox>
                  <w:txbxContent>
                    <w:p w14:paraId="4F32E129" w14:textId="77777777" w:rsidR="00D510F5" w:rsidRPr="004120A8" w:rsidRDefault="00D510F5" w:rsidP="00D510F5">
                      <w:pPr>
                        <w:jc w:val="center"/>
                        <w:rPr>
                          <w:rFonts w:ascii="Century Gothic" w:hAnsi="Century Gothic"/>
                          <w:b/>
                          <w:sz w:val="2"/>
                          <w:szCs w:val="18"/>
                        </w:rPr>
                      </w:pPr>
                    </w:p>
                    <w:p w14:paraId="6DF4C95E" w14:textId="52A5AB19" w:rsidR="00D510F5" w:rsidRPr="004120A8" w:rsidRDefault="004E5E94" w:rsidP="004E5E94">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D510F5">
                        <w:rPr>
                          <w:rFonts w:ascii="Century Gothic" w:hAnsi="Century Gothic"/>
                          <w:sz w:val="18"/>
                          <w:szCs w:val="18"/>
                        </w:rPr>
                        <w:t>REPORTABLE: NO</w:t>
                      </w:r>
                    </w:p>
                    <w:p w14:paraId="62DE156E" w14:textId="07F810B5" w:rsidR="00D510F5" w:rsidRPr="004120A8" w:rsidRDefault="004E5E94" w:rsidP="004E5E94">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D510F5" w:rsidRPr="004120A8">
                        <w:rPr>
                          <w:rFonts w:ascii="Century Gothic" w:hAnsi="Century Gothic"/>
                          <w:sz w:val="18"/>
                          <w:szCs w:val="18"/>
                        </w:rPr>
                        <w:t>O</w:t>
                      </w:r>
                      <w:r w:rsidR="00D510F5">
                        <w:rPr>
                          <w:rFonts w:ascii="Century Gothic" w:hAnsi="Century Gothic"/>
                          <w:sz w:val="18"/>
                          <w:szCs w:val="18"/>
                        </w:rPr>
                        <w:t xml:space="preserve">F INTEREST TO OTHER JUDGES: </w:t>
                      </w:r>
                      <w:r w:rsidR="00D510F5" w:rsidRPr="004120A8">
                        <w:rPr>
                          <w:rFonts w:ascii="Century Gothic" w:hAnsi="Century Gothic"/>
                          <w:sz w:val="18"/>
                          <w:szCs w:val="18"/>
                        </w:rPr>
                        <w:t>NO</w:t>
                      </w:r>
                    </w:p>
                    <w:p w14:paraId="7CE90795" w14:textId="0FC4B247" w:rsidR="00D510F5" w:rsidRPr="006A7C9C" w:rsidRDefault="004E5E94" w:rsidP="004E5E94">
                      <w:pPr>
                        <w:tabs>
                          <w:tab w:val="left" w:pos="900"/>
                        </w:tabs>
                        <w:spacing w:after="0" w:line="240" w:lineRule="auto"/>
                        <w:ind w:left="900" w:hanging="720"/>
                        <w:rPr>
                          <w:rFonts w:ascii="Century Gothic" w:hAnsi="Century Gothic"/>
                          <w:sz w:val="18"/>
                          <w:szCs w:val="18"/>
                        </w:rPr>
                      </w:pPr>
                      <w:r w:rsidRPr="006A7C9C">
                        <w:rPr>
                          <w:rFonts w:ascii="Century Gothic" w:hAnsi="Century Gothic"/>
                          <w:sz w:val="18"/>
                          <w:szCs w:val="18"/>
                        </w:rPr>
                        <w:t>(3)</w:t>
                      </w:r>
                      <w:r w:rsidRPr="006A7C9C">
                        <w:rPr>
                          <w:rFonts w:ascii="Century Gothic" w:hAnsi="Century Gothic"/>
                          <w:sz w:val="18"/>
                          <w:szCs w:val="18"/>
                        </w:rPr>
                        <w:tab/>
                      </w:r>
                      <w:r w:rsidR="00D510F5">
                        <w:rPr>
                          <w:rFonts w:ascii="Century Gothic" w:hAnsi="Century Gothic"/>
                          <w:sz w:val="18"/>
                          <w:szCs w:val="18"/>
                        </w:rPr>
                        <w:t>REVISED: NO</w:t>
                      </w:r>
                    </w:p>
                    <w:p w14:paraId="12D4CB2E" w14:textId="77777777" w:rsidR="00D510F5" w:rsidRDefault="00D510F5" w:rsidP="00D510F5">
                      <w:pPr>
                        <w:spacing w:after="0"/>
                        <w:rPr>
                          <w:rFonts w:ascii="Century Gothic" w:hAnsi="Century Gothic"/>
                          <w:sz w:val="18"/>
                          <w:szCs w:val="18"/>
                        </w:rPr>
                      </w:pPr>
                    </w:p>
                    <w:p w14:paraId="0883547E" w14:textId="77777777" w:rsidR="00D510F5" w:rsidRPr="00CE3BCB" w:rsidRDefault="00D510F5" w:rsidP="00D510F5">
                      <w:pPr>
                        <w:spacing w:after="0"/>
                        <w:rPr>
                          <w:rFonts w:ascii="Century Gothic" w:hAnsi="Century Gothic"/>
                          <w:sz w:val="18"/>
                          <w:szCs w:val="18"/>
                        </w:rPr>
                      </w:pPr>
                    </w:p>
                    <w:p w14:paraId="314D22C4" w14:textId="7DA7D27D" w:rsidR="00D510F5" w:rsidRPr="004120A8" w:rsidRDefault="00D510F5" w:rsidP="00D510F5">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13/09/2023...</w:t>
                      </w:r>
                    </w:p>
                    <w:p w14:paraId="773B8D7F" w14:textId="77777777" w:rsidR="00D510F5" w:rsidRPr="004120A8" w:rsidRDefault="00D510F5" w:rsidP="00D510F5">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42B0283D" w14:textId="77777777" w:rsidR="00D510F5" w:rsidRPr="004120A8" w:rsidRDefault="00D510F5" w:rsidP="00D510F5">
                      <w:pPr>
                        <w:rPr>
                          <w:rFonts w:ascii="Century Gothic" w:hAnsi="Century Gothic"/>
                          <w:b/>
                          <w:sz w:val="2"/>
                          <w:szCs w:val="18"/>
                        </w:rPr>
                      </w:pPr>
                    </w:p>
                  </w:txbxContent>
                </v:textbox>
                <w10:wrap anchorx="margin"/>
              </v:shape>
            </w:pict>
          </mc:Fallback>
        </mc:AlternateContent>
      </w:r>
    </w:p>
    <w:p w14:paraId="0F6D3B41" w14:textId="77777777" w:rsidR="00D510F5" w:rsidRPr="00D510F5" w:rsidRDefault="00D510F5" w:rsidP="00D510F5">
      <w:pPr>
        <w:spacing w:after="0" w:line="360" w:lineRule="auto"/>
        <w:ind w:left="305" w:hangingChars="127" w:hanging="305"/>
        <w:jc w:val="both"/>
        <w:rPr>
          <w:rFonts w:eastAsia="Times New Roman" w:cs="Arial"/>
          <w:kern w:val="0"/>
          <w:szCs w:val="24"/>
          <w:u w:val="single"/>
          <w:lang w:val="en-GB" w:eastAsia="en-GB"/>
          <w14:ligatures w14:val="none"/>
        </w:rPr>
      </w:pPr>
    </w:p>
    <w:p w14:paraId="6C86EB7A" w14:textId="77777777" w:rsidR="00D510F5" w:rsidRPr="00D510F5" w:rsidRDefault="00D510F5" w:rsidP="00D510F5">
      <w:pPr>
        <w:spacing w:after="0" w:line="360" w:lineRule="auto"/>
        <w:ind w:left="305" w:hangingChars="127" w:hanging="305"/>
        <w:jc w:val="both"/>
        <w:rPr>
          <w:rFonts w:eastAsia="Times New Roman" w:cs="Arial"/>
          <w:kern w:val="0"/>
          <w:szCs w:val="24"/>
          <w:u w:val="single"/>
          <w:lang w:val="en-GB" w:eastAsia="en-GB"/>
          <w14:ligatures w14:val="none"/>
        </w:rPr>
      </w:pPr>
    </w:p>
    <w:p w14:paraId="0F049060" w14:textId="77777777" w:rsidR="00D510F5" w:rsidRPr="00D510F5" w:rsidRDefault="00D510F5" w:rsidP="00D510F5">
      <w:pPr>
        <w:spacing w:after="0" w:line="360" w:lineRule="auto"/>
        <w:ind w:left="305" w:hangingChars="127" w:hanging="305"/>
        <w:jc w:val="both"/>
        <w:rPr>
          <w:rFonts w:eastAsia="Calibri" w:cs="Arial"/>
          <w:kern w:val="0"/>
          <w:szCs w:val="24"/>
          <w14:ligatures w14:val="none"/>
        </w:rPr>
      </w:pPr>
    </w:p>
    <w:p w14:paraId="3D235977" w14:textId="77777777" w:rsidR="00D510F5" w:rsidRPr="00D510F5" w:rsidRDefault="00D510F5" w:rsidP="00D510F5">
      <w:pPr>
        <w:widowControl w:val="0"/>
        <w:autoSpaceDE w:val="0"/>
        <w:autoSpaceDN w:val="0"/>
        <w:adjustRightInd w:val="0"/>
        <w:spacing w:after="0" w:line="600" w:lineRule="auto"/>
        <w:jc w:val="both"/>
        <w:rPr>
          <w:rFonts w:eastAsia="MS Mincho" w:cs="Arial"/>
          <w:color w:val="1B1919"/>
          <w:kern w:val="0"/>
          <w:szCs w:val="24"/>
          <w:lang w:val="en-GB" w:eastAsia="ja-JP"/>
          <w14:ligatures w14:val="none"/>
        </w:rPr>
      </w:pPr>
    </w:p>
    <w:p w14:paraId="102BF29D" w14:textId="77777777" w:rsidR="00D510F5" w:rsidRPr="00D510F5" w:rsidRDefault="00D510F5" w:rsidP="00D510F5">
      <w:pPr>
        <w:widowControl w:val="0"/>
        <w:autoSpaceDE w:val="0"/>
        <w:autoSpaceDN w:val="0"/>
        <w:adjustRightInd w:val="0"/>
        <w:spacing w:after="0" w:line="600" w:lineRule="auto"/>
        <w:ind w:left="305" w:hangingChars="127" w:hanging="305"/>
        <w:jc w:val="both"/>
        <w:rPr>
          <w:rFonts w:ascii="Century Gothic" w:eastAsia="Calibri" w:hAnsi="Century Gothic" w:cs="Arial"/>
          <w:b/>
          <w:bCs/>
          <w:kern w:val="0"/>
          <w:sz w:val="22"/>
          <w14:ligatures w14:val="none"/>
        </w:rPr>
      </w:pPr>
      <w:r w:rsidRPr="00D510F5">
        <w:rPr>
          <w:rFonts w:eastAsia="MS Mincho" w:cs="Arial"/>
          <w:color w:val="1B1919"/>
          <w:kern w:val="0"/>
          <w:szCs w:val="24"/>
          <w:lang w:val="en-GB" w:eastAsia="ja-JP"/>
          <w14:ligatures w14:val="none"/>
        </w:rPr>
        <w:t>In the matter between:</w:t>
      </w:r>
      <w:r w:rsidRPr="00D510F5">
        <w:rPr>
          <w:rFonts w:ascii="Century Gothic" w:eastAsia="Calibri" w:hAnsi="Century Gothic" w:cs="Arial"/>
          <w:kern w:val="0"/>
          <w:sz w:val="22"/>
          <w14:ligatures w14:val="none"/>
        </w:rPr>
        <w:tab/>
      </w:r>
      <w:r w:rsidRPr="00D510F5">
        <w:rPr>
          <w:rFonts w:ascii="Century Gothic" w:eastAsia="Calibri" w:hAnsi="Century Gothic" w:cs="Arial"/>
          <w:b/>
          <w:bCs/>
          <w:kern w:val="0"/>
          <w:sz w:val="22"/>
          <w14:ligatures w14:val="none"/>
        </w:rPr>
        <w:tab/>
      </w:r>
      <w:r w:rsidRPr="00D510F5">
        <w:rPr>
          <w:rFonts w:ascii="Century Gothic" w:eastAsia="Calibri" w:hAnsi="Century Gothic" w:cs="Arial"/>
          <w:b/>
          <w:bCs/>
          <w:kern w:val="0"/>
          <w:sz w:val="22"/>
          <w14:ligatures w14:val="none"/>
        </w:rPr>
        <w:tab/>
      </w:r>
      <w:r w:rsidRPr="00D510F5">
        <w:rPr>
          <w:rFonts w:ascii="Century Gothic" w:eastAsia="Calibri" w:hAnsi="Century Gothic" w:cs="Arial"/>
          <w:b/>
          <w:bCs/>
          <w:kern w:val="0"/>
          <w:sz w:val="22"/>
          <w14:ligatures w14:val="none"/>
        </w:rPr>
        <w:tab/>
      </w:r>
      <w:r w:rsidRPr="00D510F5">
        <w:rPr>
          <w:rFonts w:ascii="Century Gothic" w:eastAsia="Calibri" w:hAnsi="Century Gothic" w:cs="Arial"/>
          <w:b/>
          <w:bCs/>
          <w:kern w:val="0"/>
          <w:sz w:val="22"/>
          <w14:ligatures w14:val="none"/>
        </w:rPr>
        <w:tab/>
      </w:r>
      <w:r w:rsidRPr="00D510F5">
        <w:rPr>
          <w:rFonts w:ascii="Century Gothic" w:eastAsia="Calibri" w:hAnsi="Century Gothic" w:cs="Arial"/>
          <w:b/>
          <w:bCs/>
          <w:kern w:val="0"/>
          <w:sz w:val="22"/>
          <w14:ligatures w14:val="none"/>
        </w:rPr>
        <w:tab/>
        <w:t xml:space="preserve">     </w:t>
      </w:r>
    </w:p>
    <w:p w14:paraId="01073659" w14:textId="030378FD" w:rsidR="00D510F5" w:rsidRDefault="00A13550" w:rsidP="00A13550">
      <w:pPr>
        <w:widowControl w:val="0"/>
        <w:autoSpaceDE w:val="0"/>
        <w:autoSpaceDN w:val="0"/>
        <w:adjustRightInd w:val="0"/>
        <w:spacing w:after="0" w:line="360" w:lineRule="auto"/>
        <w:jc w:val="both"/>
        <w:rPr>
          <w:rFonts w:eastAsia="Calibri" w:cs="Arial"/>
          <w:b/>
          <w:bCs/>
          <w:kern w:val="0"/>
          <w:szCs w:val="24"/>
          <w14:ligatures w14:val="none"/>
        </w:rPr>
      </w:pPr>
      <w:r>
        <w:rPr>
          <w:rFonts w:eastAsia="Calibri" w:cs="Arial"/>
          <w:b/>
          <w:bCs/>
          <w:kern w:val="0"/>
          <w:szCs w:val="24"/>
          <w14:ligatures w14:val="none"/>
        </w:rPr>
        <w:t>DSV SOUTH AFRICA (PTY) LTD</w:t>
      </w:r>
      <w:r w:rsidR="00D510F5" w:rsidRPr="00D510F5">
        <w:rPr>
          <w:rFonts w:eastAsia="Calibri" w:cs="Arial"/>
          <w:b/>
          <w:bCs/>
          <w:kern w:val="0"/>
          <w:szCs w:val="24"/>
          <w14:ligatures w14:val="none"/>
        </w:rPr>
        <w:tab/>
      </w:r>
      <w:r w:rsidR="00D510F5" w:rsidRPr="00D510F5">
        <w:rPr>
          <w:rFonts w:eastAsia="Calibri" w:cs="Arial"/>
          <w:b/>
          <w:bCs/>
          <w:kern w:val="0"/>
          <w:szCs w:val="24"/>
          <w14:ligatures w14:val="none"/>
        </w:rPr>
        <w:tab/>
      </w:r>
      <w:r w:rsidR="00D510F5" w:rsidRPr="00D510F5">
        <w:rPr>
          <w:rFonts w:eastAsia="Calibri" w:cs="Arial"/>
          <w:b/>
          <w:bCs/>
          <w:kern w:val="0"/>
          <w:szCs w:val="24"/>
          <w14:ligatures w14:val="none"/>
        </w:rPr>
        <w:tab/>
      </w:r>
      <w:r w:rsidR="00D510F5" w:rsidRPr="00D510F5">
        <w:rPr>
          <w:rFonts w:eastAsia="Calibri" w:cs="Arial"/>
          <w:b/>
          <w:bCs/>
          <w:kern w:val="0"/>
          <w:szCs w:val="24"/>
          <w14:ligatures w14:val="none"/>
        </w:rPr>
        <w:tab/>
        <w:t xml:space="preserve"> </w:t>
      </w:r>
      <w:r>
        <w:rPr>
          <w:rFonts w:eastAsia="Calibri" w:cs="Arial"/>
          <w:b/>
          <w:bCs/>
          <w:kern w:val="0"/>
          <w:szCs w:val="24"/>
          <w14:ligatures w14:val="none"/>
        </w:rPr>
        <w:tab/>
      </w:r>
      <w:r>
        <w:rPr>
          <w:rFonts w:eastAsia="Calibri" w:cs="Arial"/>
          <w:b/>
          <w:bCs/>
          <w:kern w:val="0"/>
          <w:szCs w:val="24"/>
          <w14:ligatures w14:val="none"/>
        </w:rPr>
        <w:tab/>
      </w:r>
      <w:r>
        <w:rPr>
          <w:rFonts w:eastAsia="Calibri" w:cs="Arial"/>
          <w:b/>
          <w:bCs/>
          <w:kern w:val="0"/>
          <w:szCs w:val="24"/>
          <w14:ligatures w14:val="none"/>
        </w:rPr>
        <w:tab/>
      </w:r>
      <w:r w:rsidR="00D510F5" w:rsidRPr="00D510F5">
        <w:rPr>
          <w:rFonts w:eastAsia="Calibri" w:cs="Arial"/>
          <w:b/>
          <w:bCs/>
          <w:kern w:val="0"/>
          <w:szCs w:val="24"/>
          <w14:ligatures w14:val="none"/>
        </w:rPr>
        <w:t>APPLICANT</w:t>
      </w:r>
      <w:r>
        <w:rPr>
          <w:rFonts w:eastAsia="Calibri" w:cs="Arial"/>
          <w:b/>
          <w:bCs/>
          <w:kern w:val="0"/>
          <w:szCs w:val="24"/>
          <w14:ligatures w14:val="none"/>
        </w:rPr>
        <w:t xml:space="preserve"> </w:t>
      </w:r>
    </w:p>
    <w:p w14:paraId="0770D628" w14:textId="3DFC4551" w:rsidR="00A13550" w:rsidRPr="00D510F5" w:rsidRDefault="00A13550" w:rsidP="00A13550">
      <w:pPr>
        <w:widowControl w:val="0"/>
        <w:autoSpaceDE w:val="0"/>
        <w:autoSpaceDN w:val="0"/>
        <w:adjustRightInd w:val="0"/>
        <w:spacing w:after="0" w:line="720" w:lineRule="auto"/>
        <w:jc w:val="both"/>
        <w:rPr>
          <w:rFonts w:eastAsia="Calibri" w:cs="Arial"/>
          <w:b/>
          <w:bCs/>
          <w:kern w:val="0"/>
          <w:szCs w:val="24"/>
          <w14:ligatures w14:val="none"/>
        </w:rPr>
      </w:pPr>
      <w:r>
        <w:rPr>
          <w:rFonts w:eastAsia="Calibri" w:cs="Arial"/>
          <w:b/>
          <w:bCs/>
          <w:kern w:val="0"/>
          <w:szCs w:val="24"/>
          <w14:ligatures w14:val="none"/>
        </w:rPr>
        <w:t>t/a DSV AIR AND SEA</w:t>
      </w:r>
    </w:p>
    <w:p w14:paraId="3C9860B5" w14:textId="77777777" w:rsidR="00D510F5" w:rsidRPr="00D510F5" w:rsidRDefault="00D510F5" w:rsidP="00D510F5">
      <w:pPr>
        <w:pBdr>
          <w:top w:val="nil"/>
          <w:left w:val="nil"/>
          <w:bottom w:val="nil"/>
          <w:right w:val="nil"/>
          <w:between w:val="nil"/>
          <w:bar w:val="nil"/>
        </w:pBdr>
        <w:suppressAutoHyphens/>
        <w:spacing w:before="60" w:after="60" w:line="720" w:lineRule="auto"/>
        <w:ind w:left="720" w:hanging="720"/>
        <w:jc w:val="both"/>
        <w:rPr>
          <w:rFonts w:eastAsia="Arial Unicode MS" w:cs="Arial"/>
          <w:color w:val="000000"/>
          <w:kern w:val="0"/>
          <w:szCs w:val="24"/>
          <w:u w:color="000000"/>
          <w:bdr w:val="nil"/>
          <w:lang w:val="en-US" w:eastAsia="en-GB"/>
          <w14:ligatures w14:val="none"/>
        </w:rPr>
      </w:pPr>
      <w:r w:rsidRPr="00D510F5">
        <w:rPr>
          <w:rFonts w:eastAsia="Arial Unicode MS" w:cs="Arial"/>
          <w:color w:val="000000"/>
          <w:kern w:val="0"/>
          <w:szCs w:val="24"/>
          <w:u w:color="000000"/>
          <w:bdr w:val="nil"/>
          <w:lang w:val="en-US" w:eastAsia="en-GB"/>
          <w14:ligatures w14:val="none"/>
        </w:rPr>
        <w:t>and</w:t>
      </w:r>
    </w:p>
    <w:p w14:paraId="3CC2E5EB" w14:textId="2718DCF5" w:rsidR="00D510F5" w:rsidRPr="00D510F5" w:rsidRDefault="00A13550" w:rsidP="00A13550">
      <w:pPr>
        <w:pBdr>
          <w:top w:val="nil"/>
          <w:left w:val="nil"/>
          <w:bottom w:val="nil"/>
          <w:right w:val="nil"/>
          <w:between w:val="nil"/>
          <w:bar w:val="nil"/>
        </w:pBdr>
        <w:suppressAutoHyphens/>
        <w:spacing w:before="60" w:after="60" w:line="360" w:lineRule="auto"/>
        <w:ind w:left="720" w:hanging="720"/>
        <w:jc w:val="both"/>
        <w:rPr>
          <w:rFonts w:eastAsia="Arial Unicode MS" w:cs="Arial"/>
          <w:b/>
          <w:bCs/>
          <w:color w:val="000000"/>
          <w:kern w:val="0"/>
          <w:szCs w:val="24"/>
          <w:u w:color="000000"/>
          <w:bdr w:val="nil"/>
          <w:lang w:val="en-US" w:eastAsia="en-GB"/>
          <w14:ligatures w14:val="none"/>
        </w:rPr>
      </w:pPr>
      <w:r>
        <w:rPr>
          <w:rFonts w:eastAsia="Arial Unicode MS" w:cs="Arial"/>
          <w:b/>
          <w:bCs/>
          <w:color w:val="000000"/>
          <w:kern w:val="0"/>
          <w:szCs w:val="24"/>
          <w:u w:color="000000"/>
          <w:bdr w:val="nil"/>
          <w:lang w:val="en-US" w:eastAsia="en-GB"/>
          <w14:ligatures w14:val="none"/>
        </w:rPr>
        <w:t>PHOENIX NEOMED (PTY) LTD</w:t>
      </w:r>
      <w:r>
        <w:rPr>
          <w:rFonts w:eastAsia="Arial Unicode MS" w:cs="Arial"/>
          <w:b/>
          <w:bCs/>
          <w:color w:val="000000"/>
          <w:kern w:val="0"/>
          <w:szCs w:val="24"/>
          <w:u w:color="000000"/>
          <w:bdr w:val="nil"/>
          <w:lang w:val="en-US" w:eastAsia="en-GB"/>
          <w14:ligatures w14:val="none"/>
        </w:rPr>
        <w:tab/>
      </w:r>
      <w:r w:rsidR="00D510F5" w:rsidRPr="00D510F5">
        <w:rPr>
          <w:rFonts w:eastAsia="Arial Unicode MS" w:cs="Arial"/>
          <w:b/>
          <w:bCs/>
          <w:color w:val="000000"/>
          <w:kern w:val="0"/>
          <w:szCs w:val="24"/>
          <w:u w:color="000000"/>
          <w:bdr w:val="nil"/>
          <w:lang w:val="en-US" w:eastAsia="en-GB"/>
          <w14:ligatures w14:val="none"/>
        </w:rPr>
        <w:tab/>
      </w:r>
      <w:r w:rsidR="00D510F5" w:rsidRPr="00D510F5">
        <w:rPr>
          <w:rFonts w:eastAsia="Arial Unicode MS" w:cs="Arial"/>
          <w:b/>
          <w:bCs/>
          <w:color w:val="000000"/>
          <w:kern w:val="0"/>
          <w:szCs w:val="24"/>
          <w:u w:color="000000"/>
          <w:bdr w:val="nil"/>
          <w:lang w:val="en-US" w:eastAsia="en-GB"/>
          <w14:ligatures w14:val="none"/>
        </w:rPr>
        <w:tab/>
      </w:r>
      <w:r w:rsidR="00D510F5" w:rsidRPr="00D510F5">
        <w:rPr>
          <w:rFonts w:eastAsia="Arial Unicode MS" w:cs="Arial"/>
          <w:b/>
          <w:bCs/>
          <w:color w:val="000000"/>
          <w:kern w:val="0"/>
          <w:szCs w:val="24"/>
          <w:u w:color="000000"/>
          <w:bdr w:val="nil"/>
          <w:lang w:val="en-US" w:eastAsia="en-GB"/>
          <w14:ligatures w14:val="none"/>
        </w:rPr>
        <w:tab/>
      </w:r>
      <w:r w:rsidR="00D510F5" w:rsidRPr="00D510F5">
        <w:rPr>
          <w:rFonts w:eastAsia="Arial Unicode MS" w:cs="Arial"/>
          <w:b/>
          <w:bCs/>
          <w:color w:val="000000"/>
          <w:kern w:val="0"/>
          <w:szCs w:val="24"/>
          <w:u w:color="000000"/>
          <w:bdr w:val="nil"/>
          <w:lang w:val="en-US" w:eastAsia="en-GB"/>
          <w14:ligatures w14:val="none"/>
        </w:rPr>
        <w:tab/>
        <w:t xml:space="preserve">    </w:t>
      </w:r>
      <w:r>
        <w:rPr>
          <w:rFonts w:eastAsia="Arial Unicode MS" w:cs="Arial"/>
          <w:b/>
          <w:bCs/>
          <w:color w:val="000000"/>
          <w:kern w:val="0"/>
          <w:szCs w:val="24"/>
          <w:u w:color="000000"/>
          <w:bdr w:val="nil"/>
          <w:lang w:val="en-US" w:eastAsia="en-GB"/>
          <w14:ligatures w14:val="none"/>
        </w:rPr>
        <w:tab/>
      </w:r>
      <w:r w:rsidR="00D510F5" w:rsidRPr="00D510F5">
        <w:rPr>
          <w:rFonts w:eastAsia="Arial Unicode MS" w:cs="Arial"/>
          <w:b/>
          <w:bCs/>
          <w:color w:val="000000"/>
          <w:kern w:val="0"/>
          <w:szCs w:val="24"/>
          <w:u w:color="000000"/>
          <w:bdr w:val="nil"/>
          <w:lang w:val="en-US" w:eastAsia="en-GB"/>
          <w14:ligatures w14:val="none"/>
        </w:rPr>
        <w:t xml:space="preserve"> RESPONDENT </w:t>
      </w:r>
    </w:p>
    <w:p w14:paraId="121C384D" w14:textId="77777777" w:rsidR="00D510F5" w:rsidRPr="00D510F5" w:rsidRDefault="00D510F5" w:rsidP="00D510F5">
      <w:pPr>
        <w:pBdr>
          <w:bottom w:val="single" w:sz="12" w:space="1" w:color="auto"/>
        </w:pBdr>
        <w:spacing w:before="240" w:after="0" w:line="240" w:lineRule="auto"/>
        <w:jc w:val="both"/>
        <w:rPr>
          <w:rFonts w:cs="Arial"/>
          <w:b/>
          <w:bCs/>
          <w:kern w:val="0"/>
          <w:szCs w:val="24"/>
          <w:u w:val="single"/>
          <w:lang w:val="en-US"/>
          <w14:ligatures w14:val="none"/>
        </w:rPr>
      </w:pPr>
      <w:r w:rsidRPr="00D510F5">
        <w:rPr>
          <w:rFonts w:cs="Arial"/>
          <w:b/>
          <w:bCs/>
          <w:kern w:val="0"/>
          <w:szCs w:val="24"/>
          <w:u w:val="single"/>
          <w:lang w:val="en-US"/>
          <w14:ligatures w14:val="none"/>
        </w:rPr>
        <w:tab/>
      </w:r>
      <w:r w:rsidRPr="00D510F5">
        <w:rPr>
          <w:rFonts w:cs="Arial"/>
          <w:b/>
          <w:bCs/>
          <w:kern w:val="0"/>
          <w:szCs w:val="24"/>
          <w:u w:val="single"/>
          <w:lang w:val="en-US"/>
          <w14:ligatures w14:val="none"/>
        </w:rPr>
        <w:tab/>
      </w:r>
      <w:r w:rsidRPr="00D510F5">
        <w:rPr>
          <w:rFonts w:cs="Arial"/>
          <w:b/>
          <w:bCs/>
          <w:kern w:val="0"/>
          <w:szCs w:val="24"/>
          <w:u w:val="single"/>
          <w:lang w:val="en-US"/>
          <w14:ligatures w14:val="none"/>
        </w:rPr>
        <w:tab/>
      </w:r>
      <w:r w:rsidRPr="00D510F5">
        <w:rPr>
          <w:rFonts w:cs="Arial"/>
          <w:b/>
          <w:bCs/>
          <w:kern w:val="0"/>
          <w:szCs w:val="24"/>
          <w:u w:val="single"/>
          <w:lang w:val="en-US"/>
          <w14:ligatures w14:val="none"/>
        </w:rPr>
        <w:tab/>
      </w:r>
      <w:r w:rsidRPr="00D510F5">
        <w:rPr>
          <w:rFonts w:cs="Arial"/>
          <w:b/>
          <w:bCs/>
          <w:kern w:val="0"/>
          <w:szCs w:val="24"/>
          <w:u w:val="single"/>
          <w:lang w:val="en-US"/>
          <w14:ligatures w14:val="none"/>
        </w:rPr>
        <w:tab/>
      </w:r>
      <w:r w:rsidRPr="00D510F5">
        <w:rPr>
          <w:rFonts w:cs="Arial"/>
          <w:b/>
          <w:bCs/>
          <w:kern w:val="0"/>
          <w:szCs w:val="24"/>
          <w:u w:val="single"/>
          <w:lang w:val="en-US"/>
          <w14:ligatures w14:val="none"/>
        </w:rPr>
        <w:tab/>
      </w:r>
      <w:r w:rsidRPr="00D510F5">
        <w:rPr>
          <w:rFonts w:cs="Arial"/>
          <w:b/>
          <w:bCs/>
          <w:kern w:val="0"/>
          <w:szCs w:val="24"/>
          <w:u w:val="single"/>
          <w:lang w:val="en-US"/>
          <w14:ligatures w14:val="none"/>
        </w:rPr>
        <w:tab/>
      </w:r>
      <w:r w:rsidRPr="00D510F5">
        <w:rPr>
          <w:rFonts w:cs="Arial"/>
          <w:b/>
          <w:bCs/>
          <w:kern w:val="0"/>
          <w:szCs w:val="24"/>
          <w:u w:val="single"/>
          <w:lang w:val="en-US"/>
          <w14:ligatures w14:val="none"/>
        </w:rPr>
        <w:tab/>
      </w:r>
      <w:r w:rsidRPr="00D510F5">
        <w:rPr>
          <w:rFonts w:cs="Arial"/>
          <w:b/>
          <w:bCs/>
          <w:kern w:val="0"/>
          <w:szCs w:val="24"/>
          <w:u w:val="single"/>
          <w:lang w:val="en-US"/>
          <w14:ligatures w14:val="none"/>
        </w:rPr>
        <w:tab/>
      </w:r>
      <w:r w:rsidRPr="00D510F5">
        <w:rPr>
          <w:rFonts w:cs="Arial"/>
          <w:b/>
          <w:bCs/>
          <w:kern w:val="0"/>
          <w:szCs w:val="24"/>
          <w:u w:val="single"/>
          <w:lang w:val="en-US"/>
          <w14:ligatures w14:val="none"/>
        </w:rPr>
        <w:tab/>
      </w:r>
      <w:r w:rsidRPr="00D510F5">
        <w:rPr>
          <w:rFonts w:cs="Arial"/>
          <w:b/>
          <w:bCs/>
          <w:kern w:val="0"/>
          <w:szCs w:val="24"/>
          <w:u w:val="single"/>
          <w:lang w:val="en-US"/>
          <w14:ligatures w14:val="none"/>
        </w:rPr>
        <w:tab/>
      </w:r>
      <w:r w:rsidRPr="00D510F5">
        <w:rPr>
          <w:rFonts w:cs="Arial"/>
          <w:b/>
          <w:bCs/>
          <w:kern w:val="0"/>
          <w:szCs w:val="24"/>
          <w:u w:val="single"/>
          <w:lang w:val="en-US"/>
          <w14:ligatures w14:val="none"/>
        </w:rPr>
        <w:tab/>
      </w:r>
      <w:r w:rsidRPr="00D510F5">
        <w:rPr>
          <w:rFonts w:cs="Arial"/>
          <w:b/>
          <w:bCs/>
          <w:kern w:val="0"/>
          <w:szCs w:val="24"/>
          <w:u w:val="single"/>
          <w:lang w:val="en-US"/>
          <w14:ligatures w14:val="none"/>
        </w:rPr>
        <w:tab/>
      </w:r>
    </w:p>
    <w:p w14:paraId="5FA88FFA" w14:textId="77777777" w:rsidR="00D510F5" w:rsidRPr="00D510F5" w:rsidRDefault="00D510F5" w:rsidP="00D510F5">
      <w:pPr>
        <w:pBdr>
          <w:bottom w:val="single" w:sz="12" w:space="1" w:color="auto"/>
        </w:pBdr>
        <w:spacing w:before="240" w:line="480" w:lineRule="auto"/>
        <w:jc w:val="center"/>
        <w:rPr>
          <w:rFonts w:cs="Arial"/>
          <w:b/>
          <w:bCs/>
          <w:kern w:val="0"/>
          <w:szCs w:val="24"/>
          <w:lang w:val="en-US"/>
          <w14:ligatures w14:val="none"/>
        </w:rPr>
      </w:pPr>
      <w:r w:rsidRPr="00D510F5">
        <w:rPr>
          <w:rFonts w:cs="Arial"/>
          <w:b/>
          <w:bCs/>
          <w:kern w:val="0"/>
          <w:szCs w:val="24"/>
          <w:lang w:val="en-US"/>
          <w14:ligatures w14:val="none"/>
        </w:rPr>
        <w:t>JUDGMENT</w:t>
      </w:r>
    </w:p>
    <w:p w14:paraId="60A857E3" w14:textId="77777777" w:rsidR="00D510F5" w:rsidRPr="00D510F5" w:rsidRDefault="00D510F5" w:rsidP="00D510F5">
      <w:pPr>
        <w:spacing w:before="240" w:line="480" w:lineRule="auto"/>
        <w:ind w:firstLine="720"/>
        <w:jc w:val="both"/>
        <w:rPr>
          <w:rFonts w:cs="Arial"/>
          <w:b/>
          <w:bCs/>
          <w:kern w:val="0"/>
          <w:szCs w:val="24"/>
          <w:lang w:val="en-US"/>
          <w14:ligatures w14:val="none"/>
        </w:rPr>
      </w:pPr>
      <w:r w:rsidRPr="00D510F5">
        <w:rPr>
          <w:rFonts w:cs="Arial"/>
          <w:b/>
          <w:bCs/>
          <w:kern w:val="0"/>
          <w:szCs w:val="24"/>
          <w:lang w:val="en-US"/>
          <w14:ligatures w14:val="none"/>
        </w:rPr>
        <w:t>Manoim J</w:t>
      </w:r>
    </w:p>
    <w:p w14:paraId="7727ECC9" w14:textId="77777777" w:rsidR="00924BDB" w:rsidRDefault="00924BDB">
      <w:pPr>
        <w:rPr>
          <w:rFonts w:cs="Arial"/>
          <w:b/>
          <w:bCs/>
          <w:color w:val="000000"/>
          <w:szCs w:val="24"/>
        </w:rPr>
      </w:pPr>
    </w:p>
    <w:p w14:paraId="574CDDFF" w14:textId="4E619B30" w:rsidR="00337D7D" w:rsidRPr="00C929EE" w:rsidRDefault="00924BDB" w:rsidP="00C929EE">
      <w:pPr>
        <w:spacing w:after="360" w:line="480" w:lineRule="auto"/>
        <w:ind w:left="720" w:hanging="720"/>
        <w:jc w:val="both"/>
        <w:rPr>
          <w:rFonts w:cs="Arial"/>
          <w:szCs w:val="24"/>
        </w:rPr>
      </w:pPr>
      <w:r w:rsidRPr="00C929EE">
        <w:rPr>
          <w:rFonts w:cs="Arial"/>
          <w:color w:val="000000"/>
          <w:szCs w:val="24"/>
        </w:rPr>
        <w:lastRenderedPageBreak/>
        <w:t>[</w:t>
      </w:r>
      <w:bookmarkStart w:id="0" w:name="_GoBack"/>
      <w:bookmarkEnd w:id="0"/>
      <w:r w:rsidRPr="00C929EE">
        <w:rPr>
          <w:rFonts w:cs="Arial"/>
          <w:color w:val="000000"/>
          <w:szCs w:val="24"/>
        </w:rPr>
        <w:t>1]</w:t>
      </w:r>
      <w:r w:rsidRPr="00C929EE">
        <w:rPr>
          <w:rFonts w:cs="Arial"/>
          <w:color w:val="000000"/>
          <w:szCs w:val="24"/>
        </w:rPr>
        <w:tab/>
      </w:r>
      <w:r w:rsidR="008E273B" w:rsidRPr="00C929EE">
        <w:rPr>
          <w:rFonts w:cs="Arial"/>
          <w:color w:val="000000"/>
          <w:szCs w:val="24"/>
        </w:rPr>
        <w:t xml:space="preserve">This is an application for summary judgment in terms of which the </w:t>
      </w:r>
      <w:r w:rsidR="00163B64" w:rsidRPr="00C929EE">
        <w:rPr>
          <w:rFonts w:cs="Arial"/>
          <w:color w:val="000000"/>
          <w:szCs w:val="24"/>
        </w:rPr>
        <w:t>p</w:t>
      </w:r>
      <w:r w:rsidR="008E273B" w:rsidRPr="00C929EE">
        <w:rPr>
          <w:rFonts w:cs="Arial"/>
          <w:color w:val="000000"/>
          <w:szCs w:val="24"/>
        </w:rPr>
        <w:t>laintiff seeks payment of the sum of R3 754 387-50, together with interest thereon and costs on the attorney and client scale.</w:t>
      </w:r>
    </w:p>
    <w:p w14:paraId="5153E867" w14:textId="4A0E55A0" w:rsidR="00EE6271" w:rsidRPr="00C929EE" w:rsidRDefault="00924BDB" w:rsidP="00C929EE">
      <w:pPr>
        <w:spacing w:after="360" w:line="480" w:lineRule="auto"/>
        <w:ind w:left="720" w:hanging="720"/>
        <w:jc w:val="both"/>
        <w:rPr>
          <w:rFonts w:cs="Arial"/>
          <w:szCs w:val="24"/>
        </w:rPr>
      </w:pPr>
      <w:r w:rsidRPr="00C929EE">
        <w:rPr>
          <w:rFonts w:cs="Arial"/>
          <w:color w:val="000000"/>
          <w:szCs w:val="24"/>
        </w:rPr>
        <w:t>[2]</w:t>
      </w:r>
      <w:r w:rsidRPr="00C929EE">
        <w:rPr>
          <w:rFonts w:cs="Arial"/>
          <w:color w:val="000000"/>
          <w:szCs w:val="24"/>
        </w:rPr>
        <w:tab/>
      </w:r>
      <w:r w:rsidR="00D65408" w:rsidRPr="00C929EE">
        <w:rPr>
          <w:rFonts w:cs="Arial"/>
          <w:color w:val="000000"/>
          <w:szCs w:val="24"/>
        </w:rPr>
        <w:t>The plaintiff is a logistics company</w:t>
      </w:r>
      <w:r w:rsidR="002B021D" w:rsidRPr="00C929EE">
        <w:rPr>
          <w:rFonts w:cs="Arial"/>
          <w:color w:val="000000"/>
          <w:szCs w:val="24"/>
        </w:rPr>
        <w:t xml:space="preserve">. It </w:t>
      </w:r>
      <w:r w:rsidR="00D65408" w:rsidRPr="00C929EE">
        <w:rPr>
          <w:rFonts w:cs="Arial"/>
          <w:color w:val="000000"/>
          <w:szCs w:val="24"/>
        </w:rPr>
        <w:t>provided the defendant</w:t>
      </w:r>
      <w:r w:rsidR="00D41EB6" w:rsidRPr="00C929EE">
        <w:rPr>
          <w:rFonts w:cs="Arial"/>
          <w:color w:val="000000"/>
          <w:szCs w:val="24"/>
        </w:rPr>
        <w:t xml:space="preserve">, </w:t>
      </w:r>
      <w:r w:rsidR="00D65408" w:rsidRPr="00C929EE">
        <w:rPr>
          <w:rFonts w:cs="Arial"/>
          <w:color w:val="000000"/>
          <w:szCs w:val="24"/>
        </w:rPr>
        <w:t>with what are referred to as clearing,</w:t>
      </w:r>
      <w:r w:rsidR="003D16E4" w:rsidRPr="00C929EE">
        <w:rPr>
          <w:rFonts w:cs="Arial"/>
          <w:color w:val="000000"/>
          <w:szCs w:val="24"/>
        </w:rPr>
        <w:t xml:space="preserve"> </w:t>
      </w:r>
      <w:r w:rsidR="00D65408" w:rsidRPr="00C929EE">
        <w:rPr>
          <w:rFonts w:cs="Arial"/>
          <w:color w:val="000000"/>
          <w:szCs w:val="24"/>
        </w:rPr>
        <w:t>forwarding and export/import services.</w:t>
      </w:r>
      <w:r w:rsidR="002D3D93" w:rsidRPr="00C929EE">
        <w:rPr>
          <w:rFonts w:cs="Arial"/>
          <w:color w:val="000000"/>
          <w:szCs w:val="24"/>
        </w:rPr>
        <w:t xml:space="preserve"> What this meant in this case is that the plaintiff would be responsible for receiving the defendant’s </w:t>
      </w:r>
      <w:r w:rsidR="00442BFF" w:rsidRPr="00C929EE">
        <w:rPr>
          <w:rFonts w:cs="Arial"/>
          <w:color w:val="000000"/>
          <w:szCs w:val="24"/>
        </w:rPr>
        <w:t>goods</w:t>
      </w:r>
      <w:r w:rsidR="00677706" w:rsidRPr="00C929EE">
        <w:rPr>
          <w:rFonts w:cs="Arial"/>
          <w:color w:val="000000"/>
          <w:szCs w:val="24"/>
        </w:rPr>
        <w:t xml:space="preserve"> at the port of entry</w:t>
      </w:r>
      <w:r w:rsidR="00442BFF" w:rsidRPr="00C929EE">
        <w:rPr>
          <w:rFonts w:cs="Arial"/>
          <w:color w:val="000000"/>
          <w:szCs w:val="24"/>
        </w:rPr>
        <w:t xml:space="preserve">, </w:t>
      </w:r>
      <w:r w:rsidR="00FE27A3" w:rsidRPr="00C929EE">
        <w:rPr>
          <w:rFonts w:cs="Arial"/>
          <w:color w:val="000000"/>
          <w:szCs w:val="24"/>
        </w:rPr>
        <w:t>o</w:t>
      </w:r>
      <w:r w:rsidR="00247280" w:rsidRPr="00C929EE">
        <w:rPr>
          <w:rFonts w:cs="Arial"/>
          <w:color w:val="000000"/>
          <w:szCs w:val="24"/>
        </w:rPr>
        <w:t xml:space="preserve">ffloading them, </w:t>
      </w:r>
      <w:r w:rsidR="00442BFF" w:rsidRPr="00C929EE">
        <w:rPr>
          <w:rFonts w:cs="Arial"/>
          <w:color w:val="000000"/>
          <w:szCs w:val="24"/>
        </w:rPr>
        <w:t>clearing them with customs, warehousing them and then delivering them to the defendant.</w:t>
      </w:r>
      <w:r w:rsidR="005D19CD" w:rsidRPr="00C929EE">
        <w:rPr>
          <w:rFonts w:cs="Arial"/>
          <w:color w:val="000000"/>
          <w:szCs w:val="24"/>
        </w:rPr>
        <w:t xml:space="preserve"> </w:t>
      </w:r>
      <w:r w:rsidR="00327951" w:rsidRPr="00C929EE">
        <w:rPr>
          <w:rFonts w:cs="Arial"/>
          <w:color w:val="000000"/>
          <w:szCs w:val="24"/>
        </w:rPr>
        <w:t xml:space="preserve">The defendant is a company </w:t>
      </w:r>
      <w:r w:rsidR="006617C5" w:rsidRPr="00C929EE">
        <w:rPr>
          <w:rFonts w:cs="Arial"/>
          <w:color w:val="000000"/>
          <w:szCs w:val="24"/>
        </w:rPr>
        <w:t xml:space="preserve">that </w:t>
      </w:r>
      <w:r w:rsidR="00C725C9" w:rsidRPr="00C929EE">
        <w:rPr>
          <w:rFonts w:cs="Arial"/>
          <w:color w:val="000000"/>
          <w:szCs w:val="24"/>
        </w:rPr>
        <w:t>impo</w:t>
      </w:r>
      <w:r w:rsidR="006617C5" w:rsidRPr="00C929EE">
        <w:rPr>
          <w:rFonts w:cs="Arial"/>
          <w:color w:val="000000"/>
          <w:szCs w:val="24"/>
        </w:rPr>
        <w:t xml:space="preserve">rts specialised </w:t>
      </w:r>
      <w:r w:rsidR="00C725C9" w:rsidRPr="00C929EE">
        <w:rPr>
          <w:rFonts w:cs="Arial"/>
          <w:color w:val="000000"/>
          <w:szCs w:val="24"/>
        </w:rPr>
        <w:t>medical equipment</w:t>
      </w:r>
      <w:r w:rsidR="006617C5" w:rsidRPr="00C929EE">
        <w:rPr>
          <w:rFonts w:cs="Arial"/>
          <w:color w:val="000000"/>
          <w:szCs w:val="24"/>
        </w:rPr>
        <w:t xml:space="preserve"> for customers in the health ca</w:t>
      </w:r>
      <w:r w:rsidR="009F41E3" w:rsidRPr="00C929EE">
        <w:rPr>
          <w:rFonts w:cs="Arial"/>
          <w:color w:val="000000"/>
          <w:szCs w:val="24"/>
        </w:rPr>
        <w:t>r</w:t>
      </w:r>
      <w:r w:rsidR="006617C5" w:rsidRPr="00C929EE">
        <w:rPr>
          <w:rFonts w:cs="Arial"/>
          <w:color w:val="000000"/>
          <w:szCs w:val="24"/>
        </w:rPr>
        <w:t>e industry.</w:t>
      </w:r>
      <w:r w:rsidR="00C725C9" w:rsidRPr="00C929EE">
        <w:rPr>
          <w:rFonts w:cs="Arial"/>
          <w:color w:val="000000"/>
          <w:szCs w:val="24"/>
        </w:rPr>
        <w:t xml:space="preserve"> </w:t>
      </w:r>
      <w:r w:rsidR="005D19CD" w:rsidRPr="00C929EE">
        <w:rPr>
          <w:rFonts w:cs="Arial"/>
          <w:color w:val="000000"/>
          <w:szCs w:val="24"/>
        </w:rPr>
        <w:t xml:space="preserve">The </w:t>
      </w:r>
      <w:r w:rsidR="00447B48" w:rsidRPr="00C929EE">
        <w:rPr>
          <w:rFonts w:cs="Arial"/>
          <w:color w:val="000000"/>
          <w:szCs w:val="24"/>
        </w:rPr>
        <w:t xml:space="preserve">plaintiff rendered its </w:t>
      </w:r>
      <w:r w:rsidR="005D19CD" w:rsidRPr="00C929EE">
        <w:rPr>
          <w:rFonts w:cs="Arial"/>
          <w:color w:val="000000"/>
          <w:szCs w:val="24"/>
        </w:rPr>
        <w:t xml:space="preserve">services </w:t>
      </w:r>
      <w:r w:rsidR="00447B48" w:rsidRPr="00C929EE">
        <w:rPr>
          <w:rFonts w:cs="Arial"/>
          <w:color w:val="000000"/>
          <w:szCs w:val="24"/>
        </w:rPr>
        <w:t>to the defendant in</w:t>
      </w:r>
      <w:r w:rsidR="009F41E3" w:rsidRPr="00C929EE">
        <w:rPr>
          <w:rFonts w:cs="Arial"/>
          <w:color w:val="000000"/>
          <w:szCs w:val="24"/>
        </w:rPr>
        <w:t xml:space="preserve"> </w:t>
      </w:r>
      <w:r w:rsidR="005D19CD" w:rsidRPr="00C929EE">
        <w:rPr>
          <w:rFonts w:cs="Arial"/>
          <w:color w:val="000000"/>
          <w:szCs w:val="24"/>
        </w:rPr>
        <w:t>ter</w:t>
      </w:r>
      <w:r w:rsidR="009F41E3" w:rsidRPr="00C929EE">
        <w:rPr>
          <w:rFonts w:cs="Arial"/>
          <w:color w:val="000000"/>
          <w:szCs w:val="24"/>
        </w:rPr>
        <w:t>m</w:t>
      </w:r>
      <w:r w:rsidR="005D19CD" w:rsidRPr="00C929EE">
        <w:rPr>
          <w:rFonts w:cs="Arial"/>
          <w:color w:val="000000"/>
          <w:szCs w:val="24"/>
        </w:rPr>
        <w:t>s of a written agreement</w:t>
      </w:r>
      <w:r w:rsidR="00235BE0" w:rsidRPr="00C929EE">
        <w:rPr>
          <w:rFonts w:cs="Arial"/>
          <w:color w:val="000000"/>
          <w:szCs w:val="24"/>
        </w:rPr>
        <w:t xml:space="preserve"> concluded in November 2020</w:t>
      </w:r>
      <w:r w:rsidR="005D19CD" w:rsidRPr="00C929EE">
        <w:rPr>
          <w:rFonts w:cs="Arial"/>
          <w:color w:val="000000"/>
          <w:szCs w:val="24"/>
        </w:rPr>
        <w:t xml:space="preserve">. </w:t>
      </w:r>
    </w:p>
    <w:p w14:paraId="29CCB8B0" w14:textId="6E197955" w:rsidR="00D65408" w:rsidRPr="00C929EE" w:rsidRDefault="00924BDB" w:rsidP="00C929EE">
      <w:pPr>
        <w:spacing w:after="360" w:line="480" w:lineRule="auto"/>
        <w:ind w:left="720" w:hanging="720"/>
        <w:jc w:val="both"/>
        <w:rPr>
          <w:rFonts w:cs="Arial"/>
          <w:szCs w:val="24"/>
        </w:rPr>
      </w:pPr>
      <w:r w:rsidRPr="00C929EE">
        <w:rPr>
          <w:rFonts w:cs="Arial"/>
          <w:color w:val="000000"/>
          <w:szCs w:val="24"/>
        </w:rPr>
        <w:t>[3]</w:t>
      </w:r>
      <w:r w:rsidRPr="00C929EE">
        <w:rPr>
          <w:rFonts w:cs="Arial"/>
          <w:color w:val="000000"/>
          <w:szCs w:val="24"/>
        </w:rPr>
        <w:tab/>
      </w:r>
      <w:r w:rsidR="005D19CD" w:rsidRPr="00C929EE">
        <w:rPr>
          <w:rFonts w:cs="Arial"/>
          <w:color w:val="000000"/>
          <w:szCs w:val="24"/>
        </w:rPr>
        <w:t xml:space="preserve">The </w:t>
      </w:r>
      <w:r w:rsidR="00EE6271" w:rsidRPr="00C929EE">
        <w:rPr>
          <w:rFonts w:cs="Arial"/>
          <w:color w:val="000000"/>
          <w:szCs w:val="24"/>
        </w:rPr>
        <w:t xml:space="preserve">arrangement between the parties was that the </w:t>
      </w:r>
      <w:r w:rsidR="005D19CD" w:rsidRPr="00C929EE">
        <w:rPr>
          <w:rFonts w:cs="Arial"/>
          <w:color w:val="000000"/>
          <w:szCs w:val="24"/>
        </w:rPr>
        <w:t xml:space="preserve">plaintiff would render services from time to time for the defendant and then invoice it. The sum outstanding represents the total amount of several invoices for services rendered </w:t>
      </w:r>
      <w:r w:rsidR="00FA48C3" w:rsidRPr="00C929EE">
        <w:rPr>
          <w:rFonts w:cs="Arial"/>
          <w:color w:val="000000"/>
          <w:szCs w:val="24"/>
        </w:rPr>
        <w:t>between December 2021 and June 2022</w:t>
      </w:r>
      <w:r w:rsidR="00290FD7" w:rsidRPr="00C929EE">
        <w:rPr>
          <w:rFonts w:cs="Arial"/>
          <w:color w:val="000000"/>
          <w:szCs w:val="24"/>
        </w:rPr>
        <w:t xml:space="preserve"> which despite demand remain </w:t>
      </w:r>
      <w:r w:rsidR="00E63FAA" w:rsidRPr="00C929EE">
        <w:rPr>
          <w:rFonts w:cs="Arial"/>
          <w:color w:val="000000"/>
          <w:szCs w:val="24"/>
        </w:rPr>
        <w:t>unpaid.</w:t>
      </w:r>
    </w:p>
    <w:p w14:paraId="11B19570" w14:textId="23D35E30" w:rsidR="00D65408" w:rsidRPr="00C929EE" w:rsidRDefault="00924BDB" w:rsidP="00C929EE">
      <w:pPr>
        <w:spacing w:after="360" w:line="480" w:lineRule="auto"/>
        <w:ind w:left="720" w:hanging="720"/>
        <w:jc w:val="both"/>
        <w:rPr>
          <w:rFonts w:cs="Arial"/>
          <w:szCs w:val="24"/>
        </w:rPr>
      </w:pPr>
      <w:r w:rsidRPr="00C929EE">
        <w:rPr>
          <w:rFonts w:cs="Arial"/>
          <w:szCs w:val="24"/>
        </w:rPr>
        <w:t>[4]</w:t>
      </w:r>
      <w:r w:rsidRPr="00C929EE">
        <w:rPr>
          <w:rFonts w:cs="Arial"/>
          <w:szCs w:val="24"/>
        </w:rPr>
        <w:tab/>
      </w:r>
      <w:r w:rsidR="00FA48C3" w:rsidRPr="00C929EE">
        <w:rPr>
          <w:rFonts w:cs="Arial"/>
          <w:szCs w:val="24"/>
        </w:rPr>
        <w:t xml:space="preserve">The defendant filed a plea in which it raised the following defences. The </w:t>
      </w:r>
      <w:r w:rsidR="00823E46" w:rsidRPr="00C929EE">
        <w:rPr>
          <w:rFonts w:cs="Arial"/>
          <w:szCs w:val="24"/>
        </w:rPr>
        <w:t>agreement was admitted but the defendant alleged it was subject to an implied or tacit term that the defendant would only have to make payment if it was paid by the Department of Health. There is also a bare denial that the services were rendered by the plaintiff for the amounts claimed in the invoices.</w:t>
      </w:r>
    </w:p>
    <w:p w14:paraId="197C46C2" w14:textId="245686C3" w:rsidR="00823E46" w:rsidRPr="00C929EE" w:rsidRDefault="00924BDB" w:rsidP="00C929EE">
      <w:pPr>
        <w:spacing w:after="360" w:line="480" w:lineRule="auto"/>
        <w:ind w:left="720" w:hanging="720"/>
        <w:jc w:val="both"/>
        <w:rPr>
          <w:rFonts w:cs="Arial"/>
          <w:szCs w:val="24"/>
        </w:rPr>
      </w:pPr>
      <w:r w:rsidRPr="00C929EE">
        <w:rPr>
          <w:rFonts w:cs="Arial"/>
          <w:szCs w:val="24"/>
        </w:rPr>
        <w:lastRenderedPageBreak/>
        <w:t>[5]</w:t>
      </w:r>
      <w:r w:rsidRPr="00C929EE">
        <w:rPr>
          <w:rFonts w:cs="Arial"/>
          <w:szCs w:val="24"/>
        </w:rPr>
        <w:tab/>
      </w:r>
      <w:r w:rsidR="00823E46" w:rsidRPr="00C929EE">
        <w:rPr>
          <w:rFonts w:cs="Arial"/>
          <w:szCs w:val="24"/>
        </w:rPr>
        <w:t xml:space="preserve">The defendant also </w:t>
      </w:r>
      <w:r w:rsidR="009163E0" w:rsidRPr="00C929EE">
        <w:rPr>
          <w:rFonts w:cs="Arial"/>
          <w:szCs w:val="24"/>
        </w:rPr>
        <w:t>complained that</w:t>
      </w:r>
      <w:r w:rsidR="00823E46" w:rsidRPr="00C929EE">
        <w:rPr>
          <w:rFonts w:cs="Arial"/>
          <w:szCs w:val="24"/>
        </w:rPr>
        <w:t xml:space="preserve"> the copy of the contract attached to the</w:t>
      </w:r>
      <w:r w:rsidR="00263DEC" w:rsidRPr="00C929EE">
        <w:rPr>
          <w:rFonts w:cs="Arial"/>
          <w:szCs w:val="24"/>
        </w:rPr>
        <w:t xml:space="preserve"> summons was illegible and hence it was impossible to admit or deny the terms.</w:t>
      </w:r>
    </w:p>
    <w:p w14:paraId="3C0DD839" w14:textId="60D1A872" w:rsidR="00263DEC" w:rsidRPr="00C929EE" w:rsidRDefault="00924BDB" w:rsidP="00C929EE">
      <w:pPr>
        <w:spacing w:after="360" w:line="480" w:lineRule="auto"/>
        <w:ind w:left="720" w:hanging="720"/>
        <w:jc w:val="both"/>
        <w:rPr>
          <w:rFonts w:cs="Arial"/>
          <w:szCs w:val="24"/>
        </w:rPr>
      </w:pPr>
      <w:r w:rsidRPr="00C929EE">
        <w:rPr>
          <w:rFonts w:cs="Arial"/>
          <w:szCs w:val="24"/>
        </w:rPr>
        <w:t>[6]</w:t>
      </w:r>
      <w:r w:rsidRPr="00C929EE">
        <w:rPr>
          <w:rFonts w:cs="Arial"/>
          <w:szCs w:val="24"/>
        </w:rPr>
        <w:tab/>
      </w:r>
      <w:r w:rsidR="00263DEC" w:rsidRPr="00C929EE">
        <w:rPr>
          <w:rFonts w:cs="Arial"/>
          <w:szCs w:val="24"/>
        </w:rPr>
        <w:t xml:space="preserve">Nevertheless, on the basis of the rendition of some of the terms in the contract set out in the particulars of claim the defendant pleaded that one of the clauses which obliged the defendant to pay the amount invoiced notwithstanding they may be disputed and only thereafter might the right to dispute arise, was </w:t>
      </w:r>
      <w:r w:rsidR="00C448A2" w:rsidRPr="00C929EE">
        <w:rPr>
          <w:rFonts w:cs="Arial"/>
          <w:szCs w:val="24"/>
        </w:rPr>
        <w:t>contrary to the Constitution and public policy.</w:t>
      </w:r>
      <w:r w:rsidR="00263DEC" w:rsidRPr="00C929EE">
        <w:rPr>
          <w:rStyle w:val="FootnoteReference"/>
          <w:rFonts w:cs="Arial"/>
          <w:szCs w:val="24"/>
        </w:rPr>
        <w:footnoteReference w:id="1"/>
      </w:r>
    </w:p>
    <w:p w14:paraId="2F4B7CAE" w14:textId="4563258D" w:rsidR="00C448A2" w:rsidRPr="00C929EE" w:rsidRDefault="00924BDB" w:rsidP="00C929EE">
      <w:pPr>
        <w:spacing w:after="360" w:line="480" w:lineRule="auto"/>
        <w:ind w:left="720" w:hanging="720"/>
        <w:jc w:val="both"/>
        <w:rPr>
          <w:rFonts w:cs="Arial"/>
          <w:szCs w:val="24"/>
        </w:rPr>
      </w:pPr>
      <w:r w:rsidRPr="00C929EE">
        <w:rPr>
          <w:rFonts w:cs="Arial"/>
          <w:szCs w:val="24"/>
        </w:rPr>
        <w:t>[7]</w:t>
      </w:r>
      <w:r w:rsidRPr="00C929EE">
        <w:rPr>
          <w:rFonts w:cs="Arial"/>
          <w:szCs w:val="24"/>
        </w:rPr>
        <w:tab/>
      </w:r>
      <w:r w:rsidR="00C448A2" w:rsidRPr="00C929EE">
        <w:rPr>
          <w:rFonts w:cs="Arial"/>
          <w:szCs w:val="24"/>
        </w:rPr>
        <w:t>The plaintiff then brought an application for summary judgment</w:t>
      </w:r>
      <w:r w:rsidR="00737138" w:rsidRPr="00C929EE">
        <w:rPr>
          <w:rFonts w:cs="Arial"/>
          <w:szCs w:val="24"/>
        </w:rPr>
        <w:t xml:space="preserve">. Here the plaintiff </w:t>
      </w:r>
      <w:r w:rsidR="00AC3C0A" w:rsidRPr="00C929EE">
        <w:rPr>
          <w:rFonts w:cs="Arial"/>
          <w:szCs w:val="24"/>
        </w:rPr>
        <w:t>acknowledged</w:t>
      </w:r>
      <w:r w:rsidR="00737138" w:rsidRPr="00C929EE">
        <w:rPr>
          <w:rFonts w:cs="Arial"/>
          <w:szCs w:val="24"/>
        </w:rPr>
        <w:t xml:space="preserve"> that </w:t>
      </w:r>
      <w:r w:rsidR="00AC3C0A" w:rsidRPr="00C929EE">
        <w:rPr>
          <w:rFonts w:cs="Arial"/>
          <w:szCs w:val="24"/>
        </w:rPr>
        <w:t xml:space="preserve">there had been another payment of R 600 00 made by the defendant since the summons was issued. Together with a consequent </w:t>
      </w:r>
      <w:r w:rsidR="00BB74A6" w:rsidRPr="00C929EE">
        <w:rPr>
          <w:rFonts w:cs="Arial"/>
          <w:szCs w:val="24"/>
        </w:rPr>
        <w:t>customs</w:t>
      </w:r>
      <w:r w:rsidR="00AC3C0A" w:rsidRPr="00C929EE">
        <w:rPr>
          <w:rFonts w:cs="Arial"/>
          <w:szCs w:val="24"/>
        </w:rPr>
        <w:t xml:space="preserve"> VAT reversal of R 35 921,55, the original claim </w:t>
      </w:r>
      <w:r w:rsidR="00E63FAA" w:rsidRPr="00C929EE">
        <w:rPr>
          <w:rFonts w:cs="Arial"/>
          <w:szCs w:val="24"/>
        </w:rPr>
        <w:t>of R</w:t>
      </w:r>
      <w:r w:rsidR="00AC3C0A" w:rsidRPr="00C929EE">
        <w:rPr>
          <w:rFonts w:cs="Arial"/>
          <w:szCs w:val="24"/>
        </w:rPr>
        <w:t>4 390 309,05 was</w:t>
      </w:r>
      <w:r w:rsidR="00390542" w:rsidRPr="00C929EE">
        <w:rPr>
          <w:rFonts w:cs="Arial"/>
          <w:szCs w:val="24"/>
        </w:rPr>
        <w:t xml:space="preserve"> thus</w:t>
      </w:r>
      <w:r w:rsidR="00AC3C0A" w:rsidRPr="00C929EE">
        <w:rPr>
          <w:rFonts w:cs="Arial"/>
          <w:szCs w:val="24"/>
        </w:rPr>
        <w:t xml:space="preserve"> reduced to a claim for 3,754,387.50</w:t>
      </w:r>
      <w:r w:rsidR="00C448A2" w:rsidRPr="00C929EE">
        <w:rPr>
          <w:rFonts w:cs="Arial"/>
          <w:szCs w:val="24"/>
        </w:rPr>
        <w:t>.</w:t>
      </w:r>
    </w:p>
    <w:p w14:paraId="35D75DED" w14:textId="0AAA33F0" w:rsidR="0053456C" w:rsidRPr="00C929EE" w:rsidRDefault="00924BDB" w:rsidP="00C929EE">
      <w:pPr>
        <w:spacing w:after="360" w:line="480" w:lineRule="auto"/>
        <w:ind w:left="720" w:hanging="720"/>
        <w:jc w:val="both"/>
        <w:rPr>
          <w:rFonts w:cs="Arial"/>
          <w:szCs w:val="24"/>
        </w:rPr>
      </w:pPr>
      <w:r w:rsidRPr="00C929EE">
        <w:rPr>
          <w:rFonts w:cs="Arial"/>
          <w:szCs w:val="24"/>
        </w:rPr>
        <w:t>[8]</w:t>
      </w:r>
      <w:r w:rsidRPr="00C929EE">
        <w:rPr>
          <w:rFonts w:cs="Arial"/>
          <w:szCs w:val="24"/>
        </w:rPr>
        <w:tab/>
      </w:r>
      <w:r w:rsidR="0053456C" w:rsidRPr="00C929EE">
        <w:rPr>
          <w:rFonts w:cs="Arial"/>
          <w:szCs w:val="24"/>
        </w:rPr>
        <w:t>In the affidavit resisting summary judgment the defendant raised a further defence that the plaintiff had caused some of the equipment intended for use in the ICU’s of a hospital to become damaged whilst being warehoused and hence</w:t>
      </w:r>
      <w:r w:rsidR="00390542" w:rsidRPr="00C929EE">
        <w:rPr>
          <w:rFonts w:cs="Arial"/>
          <w:szCs w:val="24"/>
        </w:rPr>
        <w:t xml:space="preserve"> were</w:t>
      </w:r>
      <w:r w:rsidR="0053456C" w:rsidRPr="00C929EE">
        <w:rPr>
          <w:rFonts w:cs="Arial"/>
          <w:szCs w:val="24"/>
        </w:rPr>
        <w:t xml:space="preserve"> no longer fit for purpose. </w:t>
      </w:r>
      <w:r w:rsidR="00213FCD" w:rsidRPr="00C929EE">
        <w:rPr>
          <w:rFonts w:cs="Arial"/>
          <w:szCs w:val="24"/>
        </w:rPr>
        <w:t xml:space="preserve">In the affidavit the defendant puts this </w:t>
      </w:r>
      <w:r w:rsidR="0053456C" w:rsidRPr="00C929EE">
        <w:rPr>
          <w:rFonts w:cs="Arial"/>
          <w:szCs w:val="24"/>
        </w:rPr>
        <w:t xml:space="preserve">amount </w:t>
      </w:r>
      <w:r w:rsidR="00213FCD" w:rsidRPr="00C929EE">
        <w:rPr>
          <w:rFonts w:cs="Arial"/>
          <w:szCs w:val="24"/>
        </w:rPr>
        <w:t xml:space="preserve">as </w:t>
      </w:r>
      <w:r w:rsidR="00390542" w:rsidRPr="00C929EE">
        <w:rPr>
          <w:rFonts w:cs="Arial"/>
          <w:szCs w:val="24"/>
        </w:rPr>
        <w:t>approximately R</w:t>
      </w:r>
      <w:r w:rsidR="00213FCD" w:rsidRPr="00C929EE">
        <w:rPr>
          <w:rFonts w:cs="Arial"/>
          <w:szCs w:val="24"/>
        </w:rPr>
        <w:t xml:space="preserve"> 1,675,506.06.</w:t>
      </w:r>
      <w:r w:rsidR="00213FCD" w:rsidRPr="00C929EE">
        <w:rPr>
          <w:rStyle w:val="FootnoteReference"/>
          <w:rFonts w:cs="Arial"/>
          <w:szCs w:val="24"/>
        </w:rPr>
        <w:footnoteReference w:id="2"/>
      </w:r>
    </w:p>
    <w:p w14:paraId="44D9EFB6" w14:textId="08564396" w:rsidR="008568E3" w:rsidRPr="00C929EE" w:rsidRDefault="00924BDB" w:rsidP="00C929EE">
      <w:pPr>
        <w:spacing w:after="360" w:line="480" w:lineRule="auto"/>
        <w:ind w:left="720" w:hanging="720"/>
        <w:jc w:val="both"/>
        <w:rPr>
          <w:rFonts w:cs="Arial"/>
          <w:szCs w:val="24"/>
        </w:rPr>
      </w:pPr>
      <w:r w:rsidRPr="00C929EE">
        <w:rPr>
          <w:rFonts w:cs="Arial"/>
          <w:szCs w:val="24"/>
        </w:rPr>
        <w:t>[9]</w:t>
      </w:r>
      <w:r w:rsidRPr="00C929EE">
        <w:rPr>
          <w:rFonts w:cs="Arial"/>
          <w:szCs w:val="24"/>
        </w:rPr>
        <w:tab/>
      </w:r>
      <w:r w:rsidR="00213FCD" w:rsidRPr="00C929EE">
        <w:rPr>
          <w:rFonts w:cs="Arial"/>
          <w:szCs w:val="24"/>
        </w:rPr>
        <w:t>The defendant filed this</w:t>
      </w:r>
      <w:r w:rsidR="00EE5479" w:rsidRPr="00C929EE">
        <w:rPr>
          <w:rFonts w:cs="Arial"/>
          <w:szCs w:val="24"/>
        </w:rPr>
        <w:t xml:space="preserve"> answering</w:t>
      </w:r>
      <w:r w:rsidR="00213FCD" w:rsidRPr="00C929EE">
        <w:rPr>
          <w:rFonts w:cs="Arial"/>
          <w:szCs w:val="24"/>
        </w:rPr>
        <w:t xml:space="preserve"> affidavit f</w:t>
      </w:r>
      <w:r w:rsidR="0045340B" w:rsidRPr="00C929EE">
        <w:rPr>
          <w:rFonts w:cs="Arial"/>
          <w:szCs w:val="24"/>
        </w:rPr>
        <w:t>ive</w:t>
      </w:r>
      <w:r w:rsidR="00213FCD" w:rsidRPr="00C929EE">
        <w:rPr>
          <w:rFonts w:cs="Arial"/>
          <w:szCs w:val="24"/>
        </w:rPr>
        <w:t xml:space="preserve"> days late. The plaintiff required the defendant to file an application for condonation which it duly did. It explained </w:t>
      </w:r>
      <w:r w:rsidR="008B0C6A" w:rsidRPr="00C929EE">
        <w:rPr>
          <w:rFonts w:cs="Arial"/>
          <w:szCs w:val="24"/>
        </w:rPr>
        <w:t xml:space="preserve">that </w:t>
      </w:r>
      <w:r w:rsidR="008B0C6A" w:rsidRPr="00C929EE">
        <w:rPr>
          <w:rFonts w:cs="Arial"/>
          <w:szCs w:val="24"/>
        </w:rPr>
        <w:lastRenderedPageBreak/>
        <w:t xml:space="preserve">shortly before the affidavit needed to be filed the directors were overseas on business and hence the delay which was not excessive. The upshot was that the defendant was five days late with filing. Whilst it did not account for the full period of delay, </w:t>
      </w:r>
      <w:r w:rsidR="0045340B" w:rsidRPr="00C929EE">
        <w:rPr>
          <w:rFonts w:cs="Arial"/>
          <w:szCs w:val="24"/>
        </w:rPr>
        <w:t>(</w:t>
      </w:r>
      <w:r w:rsidR="008B0C6A" w:rsidRPr="00C929EE">
        <w:rPr>
          <w:rFonts w:cs="Arial"/>
          <w:szCs w:val="24"/>
        </w:rPr>
        <w:t>the period extended over the December/ January period and the application was initially set down for the unopposed roll</w:t>
      </w:r>
      <w:r w:rsidR="00D510F5">
        <w:rPr>
          <w:rFonts w:cs="Arial"/>
          <w:szCs w:val="24"/>
        </w:rPr>
        <w:t xml:space="preserve"> </w:t>
      </w:r>
      <w:r w:rsidR="008B0C6A" w:rsidRPr="00C929EE">
        <w:rPr>
          <w:rFonts w:cs="Arial"/>
          <w:szCs w:val="24"/>
        </w:rPr>
        <w:t>on 8 February</w:t>
      </w:r>
      <w:r w:rsidR="0045340B" w:rsidRPr="00C929EE">
        <w:rPr>
          <w:rFonts w:cs="Arial"/>
          <w:szCs w:val="24"/>
        </w:rPr>
        <w:t>) its explanation was limited to the five day period</w:t>
      </w:r>
      <w:r w:rsidR="008B0C6A" w:rsidRPr="00C929EE">
        <w:rPr>
          <w:rFonts w:cs="Arial"/>
          <w:szCs w:val="24"/>
        </w:rPr>
        <w:t xml:space="preserve">. </w:t>
      </w:r>
      <w:r w:rsidR="0045340B" w:rsidRPr="00C929EE">
        <w:rPr>
          <w:rFonts w:cs="Arial"/>
          <w:szCs w:val="24"/>
        </w:rPr>
        <w:t>Nevertheless, t</w:t>
      </w:r>
      <w:r w:rsidR="008B0C6A" w:rsidRPr="00C929EE">
        <w:rPr>
          <w:rFonts w:cs="Arial"/>
          <w:szCs w:val="24"/>
        </w:rPr>
        <w:t>he defendant tendered costs of the wasted costs for removing the matter from the roll. The matter was removed from the roll</w:t>
      </w:r>
      <w:r w:rsidR="0045340B" w:rsidRPr="00C929EE">
        <w:rPr>
          <w:rFonts w:cs="Arial"/>
          <w:szCs w:val="24"/>
        </w:rPr>
        <w:t>,</w:t>
      </w:r>
      <w:r w:rsidR="008B0C6A" w:rsidRPr="00C929EE">
        <w:rPr>
          <w:rFonts w:cs="Arial"/>
          <w:szCs w:val="24"/>
        </w:rPr>
        <w:t xml:space="preserve"> but the plaintiff’s attorneys were still </w:t>
      </w:r>
      <w:r w:rsidR="0045340B" w:rsidRPr="00C929EE">
        <w:rPr>
          <w:rFonts w:cs="Arial"/>
          <w:szCs w:val="24"/>
        </w:rPr>
        <w:t>insistent</w:t>
      </w:r>
      <w:r w:rsidR="008B0C6A" w:rsidRPr="00C929EE">
        <w:rPr>
          <w:rFonts w:cs="Arial"/>
          <w:szCs w:val="24"/>
        </w:rPr>
        <w:t xml:space="preserve"> in opposing condonation. I heard th</w:t>
      </w:r>
      <w:r w:rsidR="00EC07D3" w:rsidRPr="00C929EE">
        <w:rPr>
          <w:rFonts w:cs="Arial"/>
          <w:szCs w:val="24"/>
        </w:rPr>
        <w:t>is</w:t>
      </w:r>
      <w:r w:rsidR="008B0C6A" w:rsidRPr="00C929EE">
        <w:rPr>
          <w:rFonts w:cs="Arial"/>
          <w:szCs w:val="24"/>
        </w:rPr>
        <w:t xml:space="preserve"> application when I heard the merits and granted condonation. </w:t>
      </w:r>
    </w:p>
    <w:p w14:paraId="18D30634" w14:textId="44082324" w:rsidR="00EC07D3" w:rsidRPr="00D510F5" w:rsidRDefault="00924BDB" w:rsidP="00D510F5">
      <w:pPr>
        <w:spacing w:after="360" w:line="480" w:lineRule="auto"/>
        <w:ind w:left="720" w:hanging="720"/>
        <w:jc w:val="both"/>
        <w:rPr>
          <w:rFonts w:cs="Arial"/>
          <w:szCs w:val="24"/>
        </w:rPr>
      </w:pPr>
      <w:r w:rsidRPr="00C929EE">
        <w:rPr>
          <w:rFonts w:cs="Arial"/>
          <w:szCs w:val="24"/>
        </w:rPr>
        <w:t>[10]</w:t>
      </w:r>
      <w:r w:rsidRPr="00C929EE">
        <w:rPr>
          <w:rFonts w:cs="Arial"/>
          <w:szCs w:val="24"/>
        </w:rPr>
        <w:tab/>
      </w:r>
      <w:r w:rsidR="008568E3" w:rsidRPr="00C929EE">
        <w:rPr>
          <w:rFonts w:cs="Arial"/>
          <w:szCs w:val="24"/>
        </w:rPr>
        <w:t xml:space="preserve">The short time period of delay coupled with an explanation for the delay that was not unreasonable in the circumstances justified condonation. This is the type of opposition that is unnecessary and was so trivial and a waste of valuable court time. </w:t>
      </w:r>
      <w:r w:rsidR="008B0C6A" w:rsidRPr="00C929EE">
        <w:rPr>
          <w:rFonts w:cs="Arial"/>
          <w:szCs w:val="24"/>
        </w:rPr>
        <w:t xml:space="preserve"> </w:t>
      </w:r>
    </w:p>
    <w:p w14:paraId="343ABD12" w14:textId="51753730" w:rsidR="008568E3" w:rsidRPr="00C929EE" w:rsidRDefault="008568E3" w:rsidP="00C929EE">
      <w:pPr>
        <w:pStyle w:val="ListParagraph"/>
        <w:spacing w:after="360" w:line="480" w:lineRule="auto"/>
        <w:ind w:left="360" w:firstLine="360"/>
        <w:jc w:val="both"/>
        <w:rPr>
          <w:rFonts w:cs="Arial"/>
          <w:szCs w:val="24"/>
        </w:rPr>
      </w:pPr>
      <w:r w:rsidRPr="00C929EE">
        <w:rPr>
          <w:rFonts w:cs="Arial"/>
          <w:b/>
          <w:bCs/>
          <w:szCs w:val="24"/>
        </w:rPr>
        <w:t>Defences raised by the defendant</w:t>
      </w:r>
      <w:r w:rsidRPr="00C929EE">
        <w:rPr>
          <w:rFonts w:cs="Arial"/>
          <w:szCs w:val="24"/>
        </w:rPr>
        <w:t>.</w:t>
      </w:r>
    </w:p>
    <w:p w14:paraId="2D655A01" w14:textId="0738E390" w:rsidR="00494807" w:rsidRPr="00C929EE" w:rsidRDefault="007B7231" w:rsidP="00C929EE">
      <w:pPr>
        <w:spacing w:after="360" w:line="480" w:lineRule="auto"/>
        <w:ind w:left="720" w:hanging="720"/>
        <w:jc w:val="both"/>
        <w:rPr>
          <w:rFonts w:cs="Arial"/>
          <w:szCs w:val="24"/>
        </w:rPr>
      </w:pPr>
      <w:r w:rsidRPr="00C929EE">
        <w:rPr>
          <w:rFonts w:cs="Arial"/>
          <w:szCs w:val="24"/>
        </w:rPr>
        <w:t>[11]</w:t>
      </w:r>
      <w:r w:rsidRPr="00C929EE">
        <w:rPr>
          <w:rFonts w:cs="Arial"/>
          <w:szCs w:val="24"/>
        </w:rPr>
        <w:tab/>
      </w:r>
      <w:r w:rsidR="00494807" w:rsidRPr="00C929EE">
        <w:rPr>
          <w:rFonts w:cs="Arial"/>
          <w:szCs w:val="24"/>
        </w:rPr>
        <w:t>In resisting summary judgment</w:t>
      </w:r>
      <w:r w:rsidR="00EC07D3" w:rsidRPr="00C929EE">
        <w:rPr>
          <w:rFonts w:cs="Arial"/>
          <w:szCs w:val="24"/>
        </w:rPr>
        <w:t>,</w:t>
      </w:r>
      <w:r w:rsidR="00494807" w:rsidRPr="00C929EE">
        <w:rPr>
          <w:rFonts w:cs="Arial"/>
          <w:szCs w:val="24"/>
        </w:rPr>
        <w:t xml:space="preserve"> the defendant must raise a bona fide defence.</w:t>
      </w:r>
      <w:r w:rsidR="005A4FA2" w:rsidRPr="00C929EE">
        <w:rPr>
          <w:rStyle w:val="FootnoteReference"/>
          <w:rFonts w:cs="Arial"/>
          <w:szCs w:val="24"/>
        </w:rPr>
        <w:footnoteReference w:id="3"/>
      </w:r>
      <w:r w:rsidR="005C753E" w:rsidRPr="00C929EE">
        <w:rPr>
          <w:rFonts w:cs="Arial"/>
          <w:szCs w:val="24"/>
        </w:rPr>
        <w:t xml:space="preserve"> Although two are intertwined the defendant has raised </w:t>
      </w:r>
      <w:r w:rsidR="00A64024" w:rsidRPr="00C929EE">
        <w:rPr>
          <w:rFonts w:cs="Arial"/>
          <w:szCs w:val="24"/>
        </w:rPr>
        <w:t>several</w:t>
      </w:r>
      <w:r w:rsidR="005C753E" w:rsidRPr="00C929EE">
        <w:rPr>
          <w:rFonts w:cs="Arial"/>
          <w:szCs w:val="24"/>
        </w:rPr>
        <w:t xml:space="preserve"> defences each of which it alleges is a self-standing basis to constitute a bona fide defence to summary j</w:t>
      </w:r>
      <w:r w:rsidR="005C7D9C" w:rsidRPr="00C929EE">
        <w:rPr>
          <w:rFonts w:cs="Arial"/>
          <w:szCs w:val="24"/>
        </w:rPr>
        <w:t xml:space="preserve">udgment being granted. I deal with each separately. </w:t>
      </w:r>
    </w:p>
    <w:p w14:paraId="01A249AA" w14:textId="64F46B49" w:rsidR="008568E3" w:rsidRPr="004E5E94" w:rsidRDefault="004E5E94" w:rsidP="004E5E94">
      <w:pPr>
        <w:spacing w:after="360" w:line="480" w:lineRule="auto"/>
        <w:ind w:left="1494" w:hanging="360"/>
        <w:jc w:val="both"/>
        <w:rPr>
          <w:rFonts w:cs="Arial"/>
          <w:szCs w:val="24"/>
        </w:rPr>
      </w:pPr>
      <w:r w:rsidRPr="00C929EE">
        <w:rPr>
          <w:rFonts w:cs="Arial"/>
          <w:b/>
          <w:bCs/>
          <w:szCs w:val="24"/>
        </w:rPr>
        <w:lastRenderedPageBreak/>
        <w:t>a.</w:t>
      </w:r>
      <w:r w:rsidRPr="00C929EE">
        <w:rPr>
          <w:rFonts w:cs="Arial"/>
          <w:b/>
          <w:bCs/>
          <w:szCs w:val="24"/>
        </w:rPr>
        <w:tab/>
      </w:r>
      <w:r w:rsidR="008568E3" w:rsidRPr="004E5E94">
        <w:rPr>
          <w:rFonts w:cs="Arial"/>
          <w:b/>
          <w:bCs/>
          <w:i/>
          <w:iCs/>
          <w:szCs w:val="24"/>
        </w:rPr>
        <w:t>The illegible contract</w:t>
      </w:r>
      <w:r w:rsidR="008568E3" w:rsidRPr="004E5E94">
        <w:rPr>
          <w:rFonts w:cs="Arial"/>
          <w:szCs w:val="24"/>
        </w:rPr>
        <w:t>.</w:t>
      </w:r>
    </w:p>
    <w:p w14:paraId="034F9A8A" w14:textId="6BDCC785" w:rsidR="008B27A2" w:rsidRPr="00C929EE" w:rsidRDefault="007B7231" w:rsidP="00C929EE">
      <w:pPr>
        <w:spacing w:after="360" w:line="480" w:lineRule="auto"/>
        <w:ind w:left="720" w:hanging="720"/>
        <w:jc w:val="both"/>
        <w:rPr>
          <w:rFonts w:cs="Arial"/>
          <w:szCs w:val="24"/>
        </w:rPr>
      </w:pPr>
      <w:r w:rsidRPr="00C929EE">
        <w:rPr>
          <w:rFonts w:cs="Arial"/>
          <w:szCs w:val="24"/>
        </w:rPr>
        <w:t>[12]</w:t>
      </w:r>
      <w:r w:rsidRPr="00C929EE">
        <w:rPr>
          <w:rFonts w:cs="Arial"/>
          <w:szCs w:val="24"/>
        </w:rPr>
        <w:tab/>
      </w:r>
      <w:r w:rsidR="008568E3" w:rsidRPr="00C929EE">
        <w:rPr>
          <w:rFonts w:cs="Arial"/>
          <w:szCs w:val="24"/>
        </w:rPr>
        <w:t xml:space="preserve">The defendant complains that the copy of the contract annexed to the summons was illegible. Since it was illegible it was non-compliant with the rules </w:t>
      </w:r>
      <w:r w:rsidR="00851BC7" w:rsidRPr="00C929EE">
        <w:rPr>
          <w:rFonts w:cs="Arial"/>
          <w:szCs w:val="24"/>
        </w:rPr>
        <w:t xml:space="preserve">and summary judgment should be refused. But for all the reliance on cases dealing with formalities required of a plaintiff in summary judgment proceedings this complaint is wrong on the facts. The contract attached to the summons is in typed form. Whilst on </w:t>
      </w:r>
      <w:r w:rsidR="0002533B" w:rsidRPr="00C929EE">
        <w:rPr>
          <w:rFonts w:cs="Arial"/>
          <w:szCs w:val="24"/>
        </w:rPr>
        <w:t>CaseLines</w:t>
      </w:r>
      <w:r w:rsidR="00851BC7" w:rsidRPr="00C929EE">
        <w:rPr>
          <w:rFonts w:cs="Arial"/>
          <w:szCs w:val="24"/>
        </w:rPr>
        <w:t xml:space="preserve"> it is small</w:t>
      </w:r>
      <w:r w:rsidR="0002533B" w:rsidRPr="00C929EE">
        <w:rPr>
          <w:rFonts w:cs="Arial"/>
          <w:szCs w:val="24"/>
        </w:rPr>
        <w:t>,</w:t>
      </w:r>
      <w:r w:rsidR="00851BC7" w:rsidRPr="00C929EE">
        <w:rPr>
          <w:rFonts w:cs="Arial"/>
          <w:szCs w:val="24"/>
        </w:rPr>
        <w:t xml:space="preserve"> and a challenging read</w:t>
      </w:r>
      <w:r w:rsidR="0002533B" w:rsidRPr="00C929EE">
        <w:rPr>
          <w:rFonts w:cs="Arial"/>
          <w:szCs w:val="24"/>
        </w:rPr>
        <w:t>,</w:t>
      </w:r>
      <w:r w:rsidR="00851BC7" w:rsidRPr="00C929EE">
        <w:rPr>
          <w:rFonts w:cs="Arial"/>
          <w:szCs w:val="24"/>
        </w:rPr>
        <w:t xml:space="preserve"> it is certainly not illegible. </w:t>
      </w:r>
    </w:p>
    <w:p w14:paraId="5D080775" w14:textId="7CB2E9C9" w:rsidR="008568E3" w:rsidRPr="00C929EE" w:rsidRDefault="007B7231" w:rsidP="00C929EE">
      <w:pPr>
        <w:spacing w:after="360" w:line="480" w:lineRule="auto"/>
        <w:ind w:left="720" w:hanging="720"/>
        <w:jc w:val="both"/>
        <w:rPr>
          <w:rFonts w:cs="Arial"/>
          <w:szCs w:val="24"/>
        </w:rPr>
      </w:pPr>
      <w:r w:rsidRPr="00C929EE">
        <w:rPr>
          <w:rFonts w:cs="Arial"/>
          <w:szCs w:val="24"/>
        </w:rPr>
        <w:t>[13]</w:t>
      </w:r>
      <w:r w:rsidRPr="00C929EE">
        <w:rPr>
          <w:rFonts w:cs="Arial"/>
          <w:szCs w:val="24"/>
        </w:rPr>
        <w:tab/>
      </w:r>
      <w:r w:rsidR="00FC37F1" w:rsidRPr="00C929EE">
        <w:rPr>
          <w:rFonts w:cs="Arial"/>
          <w:szCs w:val="24"/>
        </w:rPr>
        <w:t xml:space="preserve">But if this was a basis that prevented the </w:t>
      </w:r>
      <w:r w:rsidR="00AB1558" w:rsidRPr="00C929EE">
        <w:rPr>
          <w:rFonts w:cs="Arial"/>
          <w:szCs w:val="24"/>
        </w:rPr>
        <w:t xml:space="preserve">defendant from pleading it could have raised several provisions in the Rules to deal with this. Rules </w:t>
      </w:r>
      <w:r w:rsidR="00A7103A" w:rsidRPr="00C929EE">
        <w:rPr>
          <w:rFonts w:cs="Arial"/>
          <w:szCs w:val="24"/>
        </w:rPr>
        <w:t xml:space="preserve">30 as an irregular proceeding read with Rule 18(12) or </w:t>
      </w:r>
      <w:r w:rsidR="00650D5A" w:rsidRPr="00C929EE">
        <w:rPr>
          <w:rFonts w:cs="Arial"/>
          <w:szCs w:val="24"/>
        </w:rPr>
        <w:t>Rule 35(12) or 35(14). It did not</w:t>
      </w:r>
      <w:r w:rsidR="00A05800" w:rsidRPr="00C929EE">
        <w:rPr>
          <w:rFonts w:cs="Arial"/>
          <w:szCs w:val="24"/>
        </w:rPr>
        <w:t>.</w:t>
      </w:r>
      <w:r w:rsidR="00650D5A" w:rsidRPr="00C929EE">
        <w:rPr>
          <w:rFonts w:cs="Arial"/>
          <w:szCs w:val="24"/>
        </w:rPr>
        <w:t xml:space="preserve"> </w:t>
      </w:r>
      <w:r w:rsidR="000A0D27" w:rsidRPr="00C929EE">
        <w:rPr>
          <w:rFonts w:cs="Arial"/>
          <w:szCs w:val="24"/>
        </w:rPr>
        <w:t>Nor it appears did it do what any other litigant might have done in similar circumstances and asked for a better copy to be furnished</w:t>
      </w:r>
      <w:r w:rsidR="001A72D6" w:rsidRPr="00C929EE">
        <w:rPr>
          <w:rFonts w:cs="Arial"/>
          <w:szCs w:val="24"/>
        </w:rPr>
        <w:t xml:space="preserve"> before it filed its plea</w:t>
      </w:r>
      <w:r w:rsidR="000A0D27" w:rsidRPr="00C929EE">
        <w:rPr>
          <w:rFonts w:cs="Arial"/>
          <w:szCs w:val="24"/>
        </w:rPr>
        <w:t>. Moreover</w:t>
      </w:r>
      <w:r w:rsidR="001A72D6" w:rsidRPr="00C929EE">
        <w:rPr>
          <w:rFonts w:cs="Arial"/>
          <w:szCs w:val="24"/>
        </w:rPr>
        <w:t>,</w:t>
      </w:r>
      <w:r w:rsidR="000A0D27" w:rsidRPr="00C929EE">
        <w:rPr>
          <w:rFonts w:cs="Arial"/>
          <w:szCs w:val="24"/>
        </w:rPr>
        <w:t xml:space="preserve"> this contract was likely to be in the possession of the defendant whose director had signed it.</w:t>
      </w:r>
      <w:r w:rsidR="00DC0159" w:rsidRPr="00C929EE">
        <w:rPr>
          <w:rFonts w:cs="Arial"/>
          <w:szCs w:val="24"/>
        </w:rPr>
        <w:t xml:space="preserve"> In any even a more </w:t>
      </w:r>
      <w:r w:rsidR="008B6507" w:rsidRPr="00C929EE">
        <w:rPr>
          <w:rFonts w:cs="Arial"/>
          <w:szCs w:val="24"/>
        </w:rPr>
        <w:t>satisfactory copy of the agreement was made available to the defendant prior to it having to fi</w:t>
      </w:r>
      <w:r w:rsidR="00880DB1" w:rsidRPr="00C929EE">
        <w:rPr>
          <w:rFonts w:cs="Arial"/>
          <w:szCs w:val="24"/>
        </w:rPr>
        <w:t>le its answering affidavit in the summary judgment application.</w:t>
      </w:r>
      <w:r w:rsidR="00394580" w:rsidRPr="00C929EE">
        <w:rPr>
          <w:rFonts w:cs="Arial"/>
          <w:szCs w:val="24"/>
        </w:rPr>
        <w:t xml:space="preserve"> The defendant does not say in this affidavit that it was precluded from </w:t>
      </w:r>
      <w:r w:rsidR="00E23142" w:rsidRPr="00C929EE">
        <w:rPr>
          <w:rFonts w:cs="Arial"/>
          <w:szCs w:val="24"/>
        </w:rPr>
        <w:t>raising a defence in its plea that it would otherwise have raised had it had a mo</w:t>
      </w:r>
      <w:r w:rsidR="00E054EF" w:rsidRPr="00C929EE">
        <w:rPr>
          <w:rFonts w:cs="Arial"/>
          <w:szCs w:val="24"/>
        </w:rPr>
        <w:t>r</w:t>
      </w:r>
      <w:r w:rsidR="00E23142" w:rsidRPr="00C929EE">
        <w:rPr>
          <w:rFonts w:cs="Arial"/>
          <w:szCs w:val="24"/>
        </w:rPr>
        <w:t>e readable copy of the contract that it had now receiv</w:t>
      </w:r>
      <w:r w:rsidR="00E054EF" w:rsidRPr="00C929EE">
        <w:rPr>
          <w:rFonts w:cs="Arial"/>
          <w:szCs w:val="24"/>
        </w:rPr>
        <w:t>ed.</w:t>
      </w:r>
    </w:p>
    <w:p w14:paraId="34697F86" w14:textId="30B1F4A5" w:rsidR="000A0D27" w:rsidRPr="00C929EE" w:rsidRDefault="007B7231" w:rsidP="00C929EE">
      <w:pPr>
        <w:spacing w:after="360" w:line="480" w:lineRule="auto"/>
        <w:ind w:left="720" w:hanging="720"/>
        <w:jc w:val="both"/>
        <w:rPr>
          <w:rFonts w:cs="Arial"/>
          <w:szCs w:val="24"/>
        </w:rPr>
      </w:pPr>
      <w:r w:rsidRPr="00C929EE">
        <w:rPr>
          <w:rFonts w:cs="Arial"/>
          <w:szCs w:val="24"/>
        </w:rPr>
        <w:t>[14]</w:t>
      </w:r>
      <w:r w:rsidRPr="00C929EE">
        <w:rPr>
          <w:rFonts w:cs="Arial"/>
          <w:szCs w:val="24"/>
        </w:rPr>
        <w:tab/>
      </w:r>
      <w:r w:rsidR="000A0D27" w:rsidRPr="00C929EE">
        <w:rPr>
          <w:rFonts w:cs="Arial"/>
          <w:szCs w:val="24"/>
        </w:rPr>
        <w:t xml:space="preserve">But despite all the above the point is that the defendant responded to the central contractual issue in this case which is clause 45.3 the </w:t>
      </w:r>
      <w:r w:rsidR="00DF4C6E" w:rsidRPr="00C929EE">
        <w:rPr>
          <w:rFonts w:cs="Arial"/>
          <w:szCs w:val="24"/>
        </w:rPr>
        <w:t>‘</w:t>
      </w:r>
      <w:r w:rsidR="000A0D27" w:rsidRPr="00C929EE">
        <w:rPr>
          <w:rFonts w:cs="Arial"/>
          <w:szCs w:val="24"/>
        </w:rPr>
        <w:t>pay and then argue</w:t>
      </w:r>
      <w:r w:rsidR="00A615B4" w:rsidRPr="00C929EE">
        <w:rPr>
          <w:rFonts w:cs="Arial"/>
          <w:szCs w:val="24"/>
        </w:rPr>
        <w:t xml:space="preserve"> later</w:t>
      </w:r>
      <w:r w:rsidR="000A0D27" w:rsidRPr="00C929EE">
        <w:rPr>
          <w:rFonts w:cs="Arial"/>
          <w:szCs w:val="24"/>
        </w:rPr>
        <w:t xml:space="preserve"> clause</w:t>
      </w:r>
      <w:r w:rsidR="00DF4C6E" w:rsidRPr="00C929EE">
        <w:rPr>
          <w:rFonts w:cs="Arial"/>
          <w:szCs w:val="24"/>
        </w:rPr>
        <w:t>’</w:t>
      </w:r>
      <w:r w:rsidR="00A615B4" w:rsidRPr="00C929EE">
        <w:rPr>
          <w:rFonts w:cs="Arial"/>
          <w:szCs w:val="24"/>
        </w:rPr>
        <w:t xml:space="preserve"> which I go on to discuss later when I deal with the legal consequences of this clause including the allegation that it is </w:t>
      </w:r>
      <w:r w:rsidR="00245574" w:rsidRPr="00C929EE">
        <w:rPr>
          <w:rFonts w:cs="Arial"/>
          <w:szCs w:val="24"/>
        </w:rPr>
        <w:t>unconstitutional</w:t>
      </w:r>
      <w:r w:rsidR="000A0D27" w:rsidRPr="00C929EE">
        <w:rPr>
          <w:rFonts w:cs="Arial"/>
          <w:szCs w:val="24"/>
        </w:rPr>
        <w:t xml:space="preserve">. </w:t>
      </w:r>
    </w:p>
    <w:p w14:paraId="0C492B82" w14:textId="547510BF" w:rsidR="00A21F72" w:rsidRPr="00C929EE" w:rsidRDefault="007B7231" w:rsidP="00C929EE">
      <w:pPr>
        <w:spacing w:after="360" w:line="480" w:lineRule="auto"/>
        <w:ind w:left="720" w:hanging="720"/>
        <w:jc w:val="both"/>
        <w:rPr>
          <w:rFonts w:cs="Arial"/>
          <w:szCs w:val="24"/>
        </w:rPr>
      </w:pPr>
      <w:r w:rsidRPr="00C929EE">
        <w:rPr>
          <w:rFonts w:cs="Arial"/>
          <w:szCs w:val="24"/>
        </w:rPr>
        <w:lastRenderedPageBreak/>
        <w:t>[15]</w:t>
      </w:r>
      <w:r w:rsidRPr="00C929EE">
        <w:rPr>
          <w:rFonts w:cs="Arial"/>
          <w:szCs w:val="24"/>
        </w:rPr>
        <w:tab/>
      </w:r>
      <w:r w:rsidR="00AF0B5A" w:rsidRPr="00C929EE">
        <w:rPr>
          <w:rFonts w:cs="Arial"/>
          <w:szCs w:val="24"/>
        </w:rPr>
        <w:t xml:space="preserve">In argument the defendant shifted the focus </w:t>
      </w:r>
      <w:r w:rsidR="001970DF" w:rsidRPr="00C929EE">
        <w:rPr>
          <w:rFonts w:cs="Arial"/>
          <w:szCs w:val="24"/>
        </w:rPr>
        <w:t>of this point not to prejudice but to case law dealing with the strict consequences of a plaintiffs’ non-compliance with the rules. But this reliance was misdirected. T</w:t>
      </w:r>
      <w:r w:rsidR="00B94B59" w:rsidRPr="00C929EE">
        <w:rPr>
          <w:rFonts w:cs="Arial"/>
          <w:szCs w:val="24"/>
        </w:rPr>
        <w:t>h</w:t>
      </w:r>
      <w:r w:rsidR="000A0D27" w:rsidRPr="00C929EE">
        <w:rPr>
          <w:rFonts w:cs="Arial"/>
          <w:szCs w:val="24"/>
        </w:rPr>
        <w:t>ere was no non-</w:t>
      </w:r>
      <w:r w:rsidR="00A21F72" w:rsidRPr="00C929EE">
        <w:rPr>
          <w:rFonts w:cs="Arial"/>
          <w:szCs w:val="24"/>
        </w:rPr>
        <w:t>compliance</w:t>
      </w:r>
      <w:r w:rsidR="000A0D27" w:rsidRPr="00C929EE">
        <w:rPr>
          <w:rFonts w:cs="Arial"/>
          <w:szCs w:val="24"/>
        </w:rPr>
        <w:t xml:space="preserve"> with rules</w:t>
      </w:r>
      <w:r w:rsidR="00A21F72" w:rsidRPr="00C929EE">
        <w:rPr>
          <w:rFonts w:cs="Arial"/>
          <w:szCs w:val="24"/>
        </w:rPr>
        <w:t>;</w:t>
      </w:r>
      <w:r w:rsidR="000A0D27" w:rsidRPr="00C929EE">
        <w:rPr>
          <w:rFonts w:cs="Arial"/>
          <w:szCs w:val="24"/>
        </w:rPr>
        <w:t xml:space="preserve"> a legible copy of the </w:t>
      </w:r>
      <w:r w:rsidR="00A21F72" w:rsidRPr="00C929EE">
        <w:rPr>
          <w:rFonts w:cs="Arial"/>
          <w:szCs w:val="24"/>
        </w:rPr>
        <w:t>agreement</w:t>
      </w:r>
      <w:r w:rsidR="000A0D27" w:rsidRPr="00C929EE">
        <w:rPr>
          <w:rFonts w:cs="Arial"/>
          <w:szCs w:val="24"/>
        </w:rPr>
        <w:t xml:space="preserve"> was annexed to the particulars of claim </w:t>
      </w:r>
      <w:r w:rsidR="00B94B59" w:rsidRPr="00C929EE">
        <w:rPr>
          <w:rFonts w:cs="Arial"/>
          <w:szCs w:val="24"/>
        </w:rPr>
        <w:t>when the action was instituted</w:t>
      </w:r>
      <w:r w:rsidR="005639EB" w:rsidRPr="00C929EE">
        <w:rPr>
          <w:rFonts w:cs="Arial"/>
          <w:szCs w:val="24"/>
        </w:rPr>
        <w:t xml:space="preserve">; </w:t>
      </w:r>
      <w:r w:rsidR="000A0D27" w:rsidRPr="00C929EE">
        <w:rPr>
          <w:rFonts w:cs="Arial"/>
          <w:szCs w:val="24"/>
        </w:rPr>
        <w:t>and</w:t>
      </w:r>
      <w:r w:rsidR="00A21F72" w:rsidRPr="00C929EE">
        <w:rPr>
          <w:rFonts w:cs="Arial"/>
          <w:szCs w:val="24"/>
        </w:rPr>
        <w:t>;</w:t>
      </w:r>
      <w:r w:rsidR="000A0D27" w:rsidRPr="00C929EE">
        <w:rPr>
          <w:rFonts w:cs="Arial"/>
          <w:szCs w:val="24"/>
        </w:rPr>
        <w:t xml:space="preserve"> secondly</w:t>
      </w:r>
      <w:r w:rsidR="00A21F72" w:rsidRPr="00C929EE">
        <w:rPr>
          <w:rFonts w:cs="Arial"/>
          <w:szCs w:val="24"/>
        </w:rPr>
        <w:t>,</w:t>
      </w:r>
      <w:r w:rsidR="000A0D27" w:rsidRPr="00C929EE">
        <w:rPr>
          <w:rFonts w:cs="Arial"/>
          <w:szCs w:val="24"/>
        </w:rPr>
        <w:t xml:space="preserve"> even though its print was small, the defendant was able to plead to the </w:t>
      </w:r>
      <w:r w:rsidR="00A21F72" w:rsidRPr="00C929EE">
        <w:rPr>
          <w:rFonts w:cs="Arial"/>
          <w:szCs w:val="24"/>
        </w:rPr>
        <w:t>relevant</w:t>
      </w:r>
      <w:r w:rsidR="000A0D27" w:rsidRPr="00C929EE">
        <w:rPr>
          <w:rFonts w:cs="Arial"/>
          <w:szCs w:val="24"/>
        </w:rPr>
        <w:t xml:space="preserve"> contractual provision</w:t>
      </w:r>
      <w:r w:rsidR="00E151CB" w:rsidRPr="00C929EE">
        <w:rPr>
          <w:rFonts w:cs="Arial"/>
          <w:szCs w:val="24"/>
        </w:rPr>
        <w:t xml:space="preserve">, which it duly did, </w:t>
      </w:r>
      <w:r w:rsidR="00A21F72" w:rsidRPr="00C929EE">
        <w:rPr>
          <w:rFonts w:cs="Arial"/>
          <w:szCs w:val="24"/>
        </w:rPr>
        <w:t>and hence was not prejudiced.</w:t>
      </w:r>
      <w:r w:rsidR="00C440FB" w:rsidRPr="00C929EE">
        <w:rPr>
          <w:rFonts w:cs="Arial"/>
          <w:szCs w:val="24"/>
        </w:rPr>
        <w:t xml:space="preserve"> </w:t>
      </w:r>
      <w:r w:rsidR="005639EB" w:rsidRPr="00C929EE">
        <w:rPr>
          <w:rFonts w:cs="Arial"/>
          <w:szCs w:val="24"/>
        </w:rPr>
        <w:t>This does not raise a triable issue.</w:t>
      </w:r>
    </w:p>
    <w:p w14:paraId="41FFC5FE" w14:textId="7B26B3AD" w:rsidR="00A21F72" w:rsidRPr="004E5E94" w:rsidRDefault="004E5E94" w:rsidP="004E5E94">
      <w:pPr>
        <w:spacing w:after="360" w:line="480" w:lineRule="auto"/>
        <w:ind w:left="1494" w:hanging="360"/>
        <w:jc w:val="both"/>
        <w:rPr>
          <w:rFonts w:cs="Arial"/>
          <w:b/>
          <w:bCs/>
          <w:szCs w:val="24"/>
        </w:rPr>
      </w:pPr>
      <w:r w:rsidRPr="00C929EE">
        <w:rPr>
          <w:rFonts w:cs="Arial"/>
          <w:b/>
          <w:bCs/>
          <w:szCs w:val="24"/>
        </w:rPr>
        <w:t>b.</w:t>
      </w:r>
      <w:r w:rsidRPr="00C929EE">
        <w:rPr>
          <w:rFonts w:cs="Arial"/>
          <w:b/>
          <w:bCs/>
          <w:szCs w:val="24"/>
        </w:rPr>
        <w:tab/>
      </w:r>
      <w:r w:rsidR="00A21F72" w:rsidRPr="004E5E94">
        <w:rPr>
          <w:rFonts w:cs="Arial"/>
          <w:b/>
          <w:bCs/>
          <w:szCs w:val="24"/>
        </w:rPr>
        <w:t xml:space="preserve">Denial of performance </w:t>
      </w:r>
      <w:r w:rsidR="000A0D27" w:rsidRPr="004E5E94">
        <w:rPr>
          <w:rFonts w:cs="Arial"/>
          <w:b/>
          <w:bCs/>
          <w:szCs w:val="24"/>
        </w:rPr>
        <w:t xml:space="preserve"> </w:t>
      </w:r>
    </w:p>
    <w:p w14:paraId="188FD9F1" w14:textId="5D1353E2" w:rsidR="000A0D27" w:rsidRPr="00C929EE" w:rsidRDefault="007B7231" w:rsidP="00C929EE">
      <w:pPr>
        <w:spacing w:after="360" w:line="480" w:lineRule="auto"/>
        <w:ind w:left="720" w:hanging="720"/>
        <w:jc w:val="both"/>
        <w:rPr>
          <w:rFonts w:cs="Arial"/>
          <w:szCs w:val="24"/>
        </w:rPr>
      </w:pPr>
      <w:r w:rsidRPr="00C929EE">
        <w:rPr>
          <w:rFonts w:cs="Arial"/>
          <w:szCs w:val="24"/>
        </w:rPr>
        <w:t>[16]</w:t>
      </w:r>
      <w:r w:rsidRPr="00C929EE">
        <w:rPr>
          <w:rFonts w:cs="Arial"/>
          <w:szCs w:val="24"/>
        </w:rPr>
        <w:tab/>
      </w:r>
      <w:r w:rsidR="003978B2" w:rsidRPr="00C929EE">
        <w:rPr>
          <w:rFonts w:cs="Arial"/>
          <w:szCs w:val="24"/>
        </w:rPr>
        <w:t>Th</w:t>
      </w:r>
      <w:r w:rsidR="00D82DAB" w:rsidRPr="00C929EE">
        <w:rPr>
          <w:rFonts w:cs="Arial"/>
          <w:szCs w:val="24"/>
        </w:rPr>
        <w:t>is defence was only</w:t>
      </w:r>
      <w:r w:rsidR="00E2467D" w:rsidRPr="00C929EE">
        <w:rPr>
          <w:rFonts w:cs="Arial"/>
          <w:szCs w:val="24"/>
        </w:rPr>
        <w:t xml:space="preserve"> clearly </w:t>
      </w:r>
      <w:r w:rsidR="00D82DAB" w:rsidRPr="00C929EE">
        <w:rPr>
          <w:rFonts w:cs="Arial"/>
          <w:szCs w:val="24"/>
        </w:rPr>
        <w:t xml:space="preserve">raised </w:t>
      </w:r>
      <w:r w:rsidR="006D6575" w:rsidRPr="00C929EE">
        <w:rPr>
          <w:rFonts w:cs="Arial"/>
          <w:szCs w:val="24"/>
        </w:rPr>
        <w:t xml:space="preserve">in the affidavit resisting summary judgment. Here the defendant alleges that negligence by the plaintiff led to it incurring a loss of </w:t>
      </w:r>
      <w:r w:rsidR="00CC50F3" w:rsidRPr="00C929EE">
        <w:rPr>
          <w:rFonts w:cs="Arial"/>
          <w:szCs w:val="24"/>
        </w:rPr>
        <w:t xml:space="preserve">approximately R1,6 million because crucial equipment had been </w:t>
      </w:r>
      <w:r w:rsidR="00661220" w:rsidRPr="00C929EE">
        <w:rPr>
          <w:rFonts w:cs="Arial"/>
          <w:szCs w:val="24"/>
        </w:rPr>
        <w:t xml:space="preserve">incorrectly stored by agents of the plaintiff. </w:t>
      </w:r>
    </w:p>
    <w:p w14:paraId="2A034904" w14:textId="14ADF607" w:rsidR="008C0EBE" w:rsidRPr="00C929EE" w:rsidRDefault="007B7231" w:rsidP="00C929EE">
      <w:pPr>
        <w:spacing w:after="360" w:line="480" w:lineRule="auto"/>
        <w:ind w:left="720" w:hanging="720"/>
        <w:jc w:val="both"/>
        <w:rPr>
          <w:rFonts w:cs="Arial"/>
          <w:szCs w:val="24"/>
        </w:rPr>
      </w:pPr>
      <w:r w:rsidRPr="00C929EE">
        <w:rPr>
          <w:rFonts w:cs="Arial"/>
          <w:szCs w:val="24"/>
        </w:rPr>
        <w:t>[17]</w:t>
      </w:r>
      <w:r w:rsidRPr="00C929EE">
        <w:rPr>
          <w:rFonts w:cs="Arial"/>
          <w:szCs w:val="24"/>
        </w:rPr>
        <w:tab/>
      </w:r>
      <w:r w:rsidR="00E83857" w:rsidRPr="00C929EE">
        <w:rPr>
          <w:rFonts w:cs="Arial"/>
          <w:szCs w:val="24"/>
        </w:rPr>
        <w:t>In response t</w:t>
      </w:r>
      <w:r w:rsidR="00526DB5" w:rsidRPr="00C929EE">
        <w:rPr>
          <w:rFonts w:cs="Arial"/>
          <w:szCs w:val="24"/>
        </w:rPr>
        <w:t xml:space="preserve">he plaintiff has </w:t>
      </w:r>
      <w:r w:rsidR="00E83857" w:rsidRPr="00C929EE">
        <w:rPr>
          <w:rFonts w:cs="Arial"/>
          <w:szCs w:val="24"/>
        </w:rPr>
        <w:t xml:space="preserve">first </w:t>
      </w:r>
      <w:r w:rsidR="00526DB5" w:rsidRPr="00C929EE">
        <w:rPr>
          <w:rFonts w:cs="Arial"/>
          <w:szCs w:val="24"/>
        </w:rPr>
        <w:t xml:space="preserve">argued that this defence was never raised </w:t>
      </w:r>
      <w:r w:rsidR="00E83857" w:rsidRPr="00C929EE">
        <w:rPr>
          <w:rFonts w:cs="Arial"/>
          <w:szCs w:val="24"/>
        </w:rPr>
        <w:t xml:space="preserve">by the defendant </w:t>
      </w:r>
      <w:r w:rsidR="00526DB5" w:rsidRPr="00C929EE">
        <w:rPr>
          <w:rFonts w:cs="Arial"/>
          <w:szCs w:val="24"/>
        </w:rPr>
        <w:t>in the plea</w:t>
      </w:r>
      <w:r w:rsidR="00C07F50" w:rsidRPr="00C929EE">
        <w:rPr>
          <w:rFonts w:cs="Arial"/>
          <w:szCs w:val="24"/>
        </w:rPr>
        <w:t xml:space="preserve">. </w:t>
      </w:r>
      <w:r w:rsidR="008C0EBE" w:rsidRPr="00C929EE">
        <w:rPr>
          <w:rFonts w:cs="Arial"/>
          <w:szCs w:val="24"/>
        </w:rPr>
        <w:t xml:space="preserve"> In </w:t>
      </w:r>
      <w:r w:rsidR="00792B11" w:rsidRPr="00C929EE">
        <w:rPr>
          <w:rFonts w:cs="Arial"/>
          <w:i/>
          <w:iCs/>
          <w:szCs w:val="24"/>
        </w:rPr>
        <w:t>Erasmus</w:t>
      </w:r>
      <w:r w:rsidR="00792B11" w:rsidRPr="00C929EE">
        <w:rPr>
          <w:rFonts w:cs="Arial"/>
          <w:szCs w:val="24"/>
        </w:rPr>
        <w:t xml:space="preserve"> </w:t>
      </w:r>
      <w:r w:rsidR="008C0EBE" w:rsidRPr="00C929EE">
        <w:rPr>
          <w:rFonts w:cs="Arial"/>
          <w:szCs w:val="24"/>
        </w:rPr>
        <w:t>the authors state:</w:t>
      </w:r>
    </w:p>
    <w:p w14:paraId="51E561E3" w14:textId="5DBF8E5D" w:rsidR="008C0EBE" w:rsidRPr="00C929EE" w:rsidRDefault="001F5298" w:rsidP="00C929EE">
      <w:pPr>
        <w:pStyle w:val="NormalWeb"/>
        <w:shd w:val="clear" w:color="auto" w:fill="FFFFFF"/>
        <w:spacing w:before="144" w:beforeAutospacing="0" w:after="360" w:afterAutospacing="0" w:line="480" w:lineRule="auto"/>
        <w:ind w:left="2160"/>
        <w:jc w:val="both"/>
        <w:rPr>
          <w:rFonts w:ascii="Arial" w:hAnsi="Arial" w:cs="Arial"/>
          <w:color w:val="242121"/>
          <w:sz w:val="27"/>
          <w:szCs w:val="27"/>
        </w:rPr>
      </w:pPr>
      <w:r w:rsidRPr="00C929EE">
        <w:rPr>
          <w:rStyle w:val="Emphasis"/>
          <w:rFonts w:ascii="Arial" w:hAnsi="Arial" w:cs="Arial"/>
          <w:color w:val="242121"/>
        </w:rPr>
        <w:t>“(</w:t>
      </w:r>
      <w:r w:rsidR="00FF5C36" w:rsidRPr="00C929EE">
        <w:rPr>
          <w:rStyle w:val="Emphasis"/>
          <w:rFonts w:ascii="Arial" w:hAnsi="Arial" w:cs="Arial"/>
          <w:color w:val="242121"/>
        </w:rPr>
        <w:t>…) the</w:t>
      </w:r>
      <w:r w:rsidR="008C0EBE" w:rsidRPr="00C929EE">
        <w:rPr>
          <w:rStyle w:val="Emphasis"/>
          <w:rFonts w:ascii="Arial" w:hAnsi="Arial" w:cs="Arial"/>
          <w:color w:val="242121"/>
        </w:rPr>
        <w:t xml:space="preserve"> nature and grounds of the defence and the material facts relied upon therefore in the affidavit should be in harmony with the allegations in the plea. In this regard the plea should comply with the provisions of rules 18(4) and 22(2). </w:t>
      </w:r>
    </w:p>
    <w:p w14:paraId="124DE8B7" w14:textId="29565F8C" w:rsidR="008C0EBE" w:rsidRPr="00C929EE" w:rsidRDefault="007B7231" w:rsidP="00C929EE">
      <w:pPr>
        <w:spacing w:after="360" w:line="480" w:lineRule="auto"/>
        <w:ind w:left="720" w:hanging="720"/>
        <w:jc w:val="both"/>
        <w:rPr>
          <w:rFonts w:cs="Arial"/>
          <w:szCs w:val="24"/>
        </w:rPr>
      </w:pPr>
      <w:r w:rsidRPr="00C929EE">
        <w:rPr>
          <w:rFonts w:cs="Arial"/>
          <w:szCs w:val="24"/>
        </w:rPr>
        <w:t>[18]</w:t>
      </w:r>
      <w:r w:rsidRPr="00C929EE">
        <w:rPr>
          <w:rFonts w:cs="Arial"/>
          <w:szCs w:val="24"/>
        </w:rPr>
        <w:tab/>
      </w:r>
      <w:r w:rsidR="00763E0F" w:rsidRPr="00C929EE">
        <w:rPr>
          <w:rFonts w:cs="Arial"/>
          <w:szCs w:val="24"/>
        </w:rPr>
        <w:t xml:space="preserve">This passage was cited with approval in </w:t>
      </w:r>
      <w:r w:rsidR="000C1A7D" w:rsidRPr="00C929EE">
        <w:rPr>
          <w:rFonts w:cs="Arial"/>
          <w:i/>
          <w:iCs/>
          <w:szCs w:val="24"/>
        </w:rPr>
        <w:t>Jovan Projects (Pty) Ltd v ICB Property Investments (Pty) Ltd</w:t>
      </w:r>
      <w:r w:rsidR="00717D1D" w:rsidRPr="00C929EE">
        <w:rPr>
          <w:rFonts w:cs="Arial"/>
          <w:szCs w:val="24"/>
        </w:rPr>
        <w:t xml:space="preserve"> where </w:t>
      </w:r>
      <w:r w:rsidR="007500F5" w:rsidRPr="00C929EE">
        <w:rPr>
          <w:rFonts w:cs="Arial"/>
          <w:szCs w:val="24"/>
        </w:rPr>
        <w:t xml:space="preserve">Machaba AJ remarked that the </w:t>
      </w:r>
      <w:r w:rsidR="00F92B5E" w:rsidRPr="00C929EE">
        <w:rPr>
          <w:rFonts w:cs="Arial"/>
          <w:szCs w:val="24"/>
        </w:rPr>
        <w:t>rationale for this:</w:t>
      </w:r>
      <w:r w:rsidR="007500F5" w:rsidRPr="00C929EE">
        <w:rPr>
          <w:rFonts w:cs="Arial"/>
          <w:szCs w:val="24"/>
        </w:rPr>
        <w:t xml:space="preserve"> </w:t>
      </w:r>
      <w:r w:rsidR="000C1A7D" w:rsidRPr="00C929EE">
        <w:rPr>
          <w:rFonts w:cs="Arial"/>
          <w:i/>
          <w:iCs/>
          <w:szCs w:val="24"/>
        </w:rPr>
        <w:t xml:space="preserve"> </w:t>
      </w:r>
    </w:p>
    <w:p w14:paraId="27F80DB7" w14:textId="78548DAC" w:rsidR="00043119" w:rsidRPr="00C929EE" w:rsidRDefault="00F95EB5" w:rsidP="00C929EE">
      <w:pPr>
        <w:pStyle w:val="NormalWeb"/>
        <w:shd w:val="clear" w:color="auto" w:fill="FFFFFF"/>
        <w:spacing w:before="144" w:beforeAutospacing="0" w:after="360" w:afterAutospacing="0" w:line="480" w:lineRule="auto"/>
        <w:ind w:left="2160"/>
        <w:jc w:val="both"/>
        <w:rPr>
          <w:rFonts w:ascii="Arial" w:hAnsi="Arial" w:cs="Arial"/>
          <w:i/>
          <w:iCs/>
          <w:color w:val="242121"/>
        </w:rPr>
      </w:pPr>
      <w:r w:rsidRPr="00C929EE">
        <w:rPr>
          <w:rFonts w:ascii="Arial" w:hAnsi="Arial" w:cs="Arial"/>
          <w:i/>
          <w:iCs/>
          <w:color w:val="242121"/>
        </w:rPr>
        <w:lastRenderedPageBreak/>
        <w:t>“</w:t>
      </w:r>
      <w:r w:rsidR="00F92B5E" w:rsidRPr="00C929EE">
        <w:rPr>
          <w:rFonts w:ascii="Arial" w:hAnsi="Arial" w:cs="Arial"/>
          <w:i/>
          <w:iCs/>
          <w:color w:val="242121"/>
        </w:rPr>
        <w:t>(…)</w:t>
      </w:r>
      <w:r w:rsidR="00043119" w:rsidRPr="00C929EE">
        <w:rPr>
          <w:rFonts w:ascii="Arial" w:hAnsi="Arial" w:cs="Arial"/>
          <w:i/>
          <w:iCs/>
          <w:color w:val="242121"/>
        </w:rPr>
        <w:t xml:space="preserve"> follows practice logic that the defendant may not, in his or her affidavit resisting the plaintiff’s summary judgment application, raise defences that have not been pleaded sa</w:t>
      </w:r>
      <w:r w:rsidRPr="00C929EE">
        <w:rPr>
          <w:rFonts w:ascii="Arial" w:hAnsi="Arial" w:cs="Arial"/>
          <w:i/>
          <w:iCs/>
          <w:color w:val="242121"/>
        </w:rPr>
        <w:t>[</w:t>
      </w:r>
      <w:r w:rsidR="00A45ED4" w:rsidRPr="00C929EE">
        <w:rPr>
          <w:rFonts w:ascii="Arial" w:hAnsi="Arial" w:cs="Arial"/>
          <w:i/>
          <w:iCs/>
          <w:color w:val="242121"/>
        </w:rPr>
        <w:t>v</w:t>
      </w:r>
      <w:r w:rsidRPr="00C929EE">
        <w:rPr>
          <w:rFonts w:ascii="Arial" w:hAnsi="Arial" w:cs="Arial"/>
          <w:i/>
          <w:iCs/>
          <w:color w:val="242121"/>
        </w:rPr>
        <w:t>]</w:t>
      </w:r>
      <w:r w:rsidR="00043119" w:rsidRPr="00C929EE">
        <w:rPr>
          <w:rFonts w:ascii="Arial" w:hAnsi="Arial" w:cs="Arial"/>
          <w:i/>
          <w:iCs/>
          <w:color w:val="242121"/>
        </w:rPr>
        <w:t>e for those that appear normally in this application.</w:t>
      </w:r>
      <w:r w:rsidRPr="00C929EE">
        <w:rPr>
          <w:rFonts w:ascii="Arial" w:hAnsi="Arial" w:cs="Arial"/>
          <w:i/>
          <w:iCs/>
          <w:color w:val="242121"/>
        </w:rPr>
        <w:t xml:space="preserve">” </w:t>
      </w:r>
      <w:r w:rsidR="00F92B5E" w:rsidRPr="00D510F5">
        <w:rPr>
          <w:rStyle w:val="FootnoteReference"/>
          <w:rFonts w:ascii="Arial" w:hAnsi="Arial" w:cs="Arial"/>
        </w:rPr>
        <w:footnoteReference w:id="4"/>
      </w:r>
    </w:p>
    <w:p w14:paraId="24294205" w14:textId="2988DC72" w:rsidR="00272EE7" w:rsidRPr="00C929EE" w:rsidRDefault="007B7231" w:rsidP="00C929EE">
      <w:pPr>
        <w:pStyle w:val="NormalWeb"/>
        <w:shd w:val="clear" w:color="auto" w:fill="FFFFFF"/>
        <w:spacing w:before="144" w:beforeAutospacing="0" w:after="360" w:afterAutospacing="0" w:line="480" w:lineRule="auto"/>
        <w:ind w:left="720" w:hanging="720"/>
        <w:jc w:val="both"/>
        <w:rPr>
          <w:rFonts w:ascii="Arial" w:hAnsi="Arial" w:cs="Arial"/>
        </w:rPr>
      </w:pPr>
      <w:r w:rsidRPr="00C929EE">
        <w:rPr>
          <w:rFonts w:ascii="Arial" w:hAnsi="Arial" w:cs="Arial"/>
        </w:rPr>
        <w:t>[19]</w:t>
      </w:r>
      <w:r w:rsidRPr="00C929EE">
        <w:rPr>
          <w:rFonts w:ascii="Arial" w:hAnsi="Arial" w:cs="Arial"/>
        </w:rPr>
        <w:tab/>
      </w:r>
      <w:r w:rsidR="00AD1587" w:rsidRPr="00C929EE">
        <w:rPr>
          <w:rFonts w:ascii="Arial" w:hAnsi="Arial" w:cs="Arial"/>
        </w:rPr>
        <w:t xml:space="preserve">Although I consider this legal </w:t>
      </w:r>
      <w:r w:rsidR="00D77B55" w:rsidRPr="00C929EE">
        <w:rPr>
          <w:rFonts w:ascii="Arial" w:hAnsi="Arial" w:cs="Arial"/>
        </w:rPr>
        <w:t>proposition to be correct</w:t>
      </w:r>
      <w:r w:rsidR="00242380" w:rsidRPr="00C929EE">
        <w:rPr>
          <w:rFonts w:ascii="Arial" w:hAnsi="Arial" w:cs="Arial"/>
        </w:rPr>
        <w:t>,</w:t>
      </w:r>
      <w:r w:rsidR="00D77B55" w:rsidRPr="00C929EE">
        <w:rPr>
          <w:rFonts w:ascii="Arial" w:hAnsi="Arial" w:cs="Arial"/>
        </w:rPr>
        <w:t xml:space="preserve"> it is at least arguable that this defence was raised in the plea</w:t>
      </w:r>
      <w:r w:rsidR="00242380" w:rsidRPr="00C929EE">
        <w:rPr>
          <w:rFonts w:ascii="Arial" w:hAnsi="Arial" w:cs="Arial"/>
        </w:rPr>
        <w:t>,</w:t>
      </w:r>
      <w:r w:rsidR="00D77B55" w:rsidRPr="00C929EE">
        <w:rPr>
          <w:rFonts w:ascii="Arial" w:hAnsi="Arial" w:cs="Arial"/>
        </w:rPr>
        <w:t xml:space="preserve"> </w:t>
      </w:r>
      <w:r w:rsidR="00272EE7" w:rsidRPr="00C929EE">
        <w:rPr>
          <w:rFonts w:ascii="Arial" w:hAnsi="Arial" w:cs="Arial"/>
        </w:rPr>
        <w:t xml:space="preserve">although </w:t>
      </w:r>
      <w:r w:rsidR="00242380" w:rsidRPr="00C929EE">
        <w:rPr>
          <w:rFonts w:ascii="Arial" w:hAnsi="Arial" w:cs="Arial"/>
        </w:rPr>
        <w:t xml:space="preserve">it </w:t>
      </w:r>
      <w:r w:rsidR="00272EE7" w:rsidRPr="00C929EE">
        <w:rPr>
          <w:rFonts w:ascii="Arial" w:hAnsi="Arial" w:cs="Arial"/>
        </w:rPr>
        <w:t>require</w:t>
      </w:r>
      <w:r w:rsidR="005D7D54" w:rsidRPr="00C929EE">
        <w:rPr>
          <w:rFonts w:ascii="Arial" w:hAnsi="Arial" w:cs="Arial"/>
        </w:rPr>
        <w:t>s a</w:t>
      </w:r>
      <w:r w:rsidR="00272EE7" w:rsidRPr="00C929EE">
        <w:rPr>
          <w:rFonts w:ascii="Arial" w:hAnsi="Arial" w:cs="Arial"/>
        </w:rPr>
        <w:t xml:space="preserve"> robust reading in to do so. Nevertheless</w:t>
      </w:r>
      <w:r w:rsidR="005D7D54" w:rsidRPr="00C929EE">
        <w:rPr>
          <w:rFonts w:ascii="Arial" w:hAnsi="Arial" w:cs="Arial"/>
        </w:rPr>
        <w:t>,</w:t>
      </w:r>
      <w:r w:rsidR="00272EE7" w:rsidRPr="00C929EE">
        <w:rPr>
          <w:rFonts w:ascii="Arial" w:hAnsi="Arial" w:cs="Arial"/>
        </w:rPr>
        <w:t xml:space="preserve"> even if I accept that the defence was raised obliquely in the plea</w:t>
      </w:r>
      <w:r w:rsidR="00242380" w:rsidRPr="00C929EE">
        <w:rPr>
          <w:rFonts w:ascii="Arial" w:hAnsi="Arial" w:cs="Arial"/>
        </w:rPr>
        <w:t>,</w:t>
      </w:r>
      <w:r w:rsidR="00272EE7" w:rsidRPr="00C929EE">
        <w:rPr>
          <w:rFonts w:ascii="Arial" w:hAnsi="Arial" w:cs="Arial"/>
        </w:rPr>
        <w:t xml:space="preserve"> it must fail for another reason. </w:t>
      </w:r>
    </w:p>
    <w:p w14:paraId="361BCBCC" w14:textId="178E39DB" w:rsidR="00D16DAF" w:rsidRPr="00C929EE" w:rsidRDefault="007B7231" w:rsidP="00C929EE">
      <w:pPr>
        <w:pStyle w:val="NormalWeb"/>
        <w:shd w:val="clear" w:color="auto" w:fill="FFFFFF"/>
        <w:spacing w:before="144" w:beforeAutospacing="0" w:after="360" w:afterAutospacing="0" w:line="480" w:lineRule="auto"/>
        <w:ind w:left="720" w:hanging="720"/>
        <w:jc w:val="both"/>
        <w:rPr>
          <w:rFonts w:ascii="Arial" w:hAnsi="Arial" w:cs="Arial"/>
        </w:rPr>
      </w:pPr>
      <w:r w:rsidRPr="00C929EE">
        <w:rPr>
          <w:rFonts w:ascii="Arial" w:hAnsi="Arial" w:cs="Arial"/>
        </w:rPr>
        <w:t>[20]</w:t>
      </w:r>
      <w:r w:rsidRPr="00C929EE">
        <w:rPr>
          <w:rFonts w:ascii="Arial" w:hAnsi="Arial" w:cs="Arial"/>
        </w:rPr>
        <w:tab/>
      </w:r>
      <w:r w:rsidR="00272EE7" w:rsidRPr="00C929EE">
        <w:rPr>
          <w:rFonts w:ascii="Arial" w:hAnsi="Arial" w:cs="Arial"/>
        </w:rPr>
        <w:t xml:space="preserve">The contract makes it clear in </w:t>
      </w:r>
      <w:r w:rsidR="00DC2D40" w:rsidRPr="00C929EE">
        <w:rPr>
          <w:rFonts w:ascii="Arial" w:hAnsi="Arial" w:cs="Arial"/>
        </w:rPr>
        <w:t>clause</w:t>
      </w:r>
      <w:r w:rsidR="00272EE7" w:rsidRPr="00C929EE">
        <w:rPr>
          <w:rFonts w:ascii="Arial" w:hAnsi="Arial" w:cs="Arial"/>
        </w:rPr>
        <w:t xml:space="preserve"> 45 that </w:t>
      </w:r>
      <w:r w:rsidR="00E445C7" w:rsidRPr="00C929EE">
        <w:rPr>
          <w:rFonts w:ascii="Arial" w:hAnsi="Arial" w:cs="Arial"/>
        </w:rPr>
        <w:t>if there is any dispute over whether the</w:t>
      </w:r>
      <w:r w:rsidR="00FD26C0" w:rsidRPr="00C929EE">
        <w:rPr>
          <w:rFonts w:ascii="Arial" w:hAnsi="Arial" w:cs="Arial"/>
        </w:rPr>
        <w:t xml:space="preserve"> </w:t>
      </w:r>
      <w:r w:rsidR="00B9325A" w:rsidRPr="00C929EE">
        <w:rPr>
          <w:rFonts w:ascii="Arial" w:hAnsi="Arial" w:cs="Arial"/>
        </w:rPr>
        <w:t>company (</w:t>
      </w:r>
      <w:r w:rsidR="00FD26C0" w:rsidRPr="00C929EE">
        <w:rPr>
          <w:rFonts w:ascii="Arial" w:hAnsi="Arial" w:cs="Arial"/>
        </w:rPr>
        <w:t xml:space="preserve">i.e., the </w:t>
      </w:r>
      <w:r w:rsidR="00E445C7" w:rsidRPr="00C929EE">
        <w:rPr>
          <w:rFonts w:ascii="Arial" w:hAnsi="Arial" w:cs="Arial"/>
        </w:rPr>
        <w:t>plaintiff</w:t>
      </w:r>
      <w:r w:rsidR="00FD26C0" w:rsidRPr="00C929EE">
        <w:rPr>
          <w:rFonts w:ascii="Arial" w:hAnsi="Arial" w:cs="Arial"/>
        </w:rPr>
        <w:t>)</w:t>
      </w:r>
      <w:r w:rsidR="00E445C7" w:rsidRPr="00C929EE">
        <w:rPr>
          <w:rFonts w:ascii="Arial" w:hAnsi="Arial" w:cs="Arial"/>
        </w:rPr>
        <w:t xml:space="preserve"> has performed its obligations </w:t>
      </w:r>
      <w:r w:rsidR="00FF5C36" w:rsidRPr="00C929EE">
        <w:rPr>
          <w:rFonts w:ascii="Arial" w:hAnsi="Arial" w:cs="Arial"/>
        </w:rPr>
        <w:t>the customer</w:t>
      </w:r>
      <w:r w:rsidR="00FD26C0" w:rsidRPr="00C929EE">
        <w:rPr>
          <w:rFonts w:ascii="Arial" w:hAnsi="Arial" w:cs="Arial"/>
        </w:rPr>
        <w:t xml:space="preserve"> (i.e., the </w:t>
      </w:r>
      <w:r w:rsidR="00E445C7" w:rsidRPr="00C929EE">
        <w:rPr>
          <w:rFonts w:ascii="Arial" w:hAnsi="Arial" w:cs="Arial"/>
        </w:rPr>
        <w:t>defendant</w:t>
      </w:r>
      <w:r w:rsidR="00FD26C0" w:rsidRPr="00C929EE">
        <w:rPr>
          <w:rFonts w:ascii="Arial" w:hAnsi="Arial" w:cs="Arial"/>
        </w:rPr>
        <w:t>)</w:t>
      </w:r>
      <w:r w:rsidR="00E445C7" w:rsidRPr="00C929EE">
        <w:rPr>
          <w:rFonts w:ascii="Arial" w:hAnsi="Arial" w:cs="Arial"/>
        </w:rPr>
        <w:t xml:space="preserve"> must </w:t>
      </w:r>
      <w:r w:rsidR="00282499" w:rsidRPr="00C929EE">
        <w:rPr>
          <w:rFonts w:ascii="Arial" w:hAnsi="Arial" w:cs="Arial"/>
        </w:rPr>
        <w:t xml:space="preserve">still perform its obligations in terms of the agreement </w:t>
      </w:r>
      <w:r w:rsidR="00FF5C36" w:rsidRPr="00C929EE">
        <w:rPr>
          <w:rFonts w:ascii="Arial" w:hAnsi="Arial" w:cs="Arial"/>
        </w:rPr>
        <w:t>(</w:t>
      </w:r>
      <w:r w:rsidR="001514AB" w:rsidRPr="00C929EE">
        <w:rPr>
          <w:rFonts w:ascii="Arial" w:hAnsi="Arial" w:cs="Arial"/>
        </w:rPr>
        <w:t>i.e.,</w:t>
      </w:r>
      <w:r w:rsidR="00282499" w:rsidRPr="00C929EE">
        <w:rPr>
          <w:rFonts w:ascii="Arial" w:hAnsi="Arial" w:cs="Arial"/>
        </w:rPr>
        <w:t xml:space="preserve"> to make payment of the </w:t>
      </w:r>
      <w:r w:rsidR="00FF5C36" w:rsidRPr="00C929EE">
        <w:rPr>
          <w:rFonts w:ascii="Arial" w:hAnsi="Arial" w:cs="Arial"/>
        </w:rPr>
        <w:t>invoices)</w:t>
      </w:r>
      <w:r w:rsidR="00282499" w:rsidRPr="00C929EE">
        <w:rPr>
          <w:rFonts w:ascii="Arial" w:hAnsi="Arial" w:cs="Arial"/>
        </w:rPr>
        <w:t xml:space="preserve"> as if the </w:t>
      </w:r>
      <w:r w:rsidR="00FD26C0" w:rsidRPr="00C929EE">
        <w:rPr>
          <w:rFonts w:ascii="Arial" w:hAnsi="Arial" w:cs="Arial"/>
        </w:rPr>
        <w:t xml:space="preserve">company </w:t>
      </w:r>
      <w:r w:rsidR="00282499" w:rsidRPr="00C929EE">
        <w:rPr>
          <w:rFonts w:ascii="Arial" w:hAnsi="Arial" w:cs="Arial"/>
        </w:rPr>
        <w:t>had performed</w:t>
      </w:r>
      <w:r w:rsidR="00FD26C0" w:rsidRPr="00C929EE">
        <w:rPr>
          <w:rFonts w:ascii="Arial" w:hAnsi="Arial" w:cs="Arial"/>
        </w:rPr>
        <w:t>.</w:t>
      </w:r>
      <w:r w:rsidR="00FE3856" w:rsidRPr="00C929EE">
        <w:rPr>
          <w:rStyle w:val="FootnoteReference"/>
          <w:rFonts w:ascii="Arial" w:hAnsi="Arial" w:cs="Arial"/>
        </w:rPr>
        <w:footnoteReference w:id="5"/>
      </w:r>
      <w:r w:rsidR="00FD26C0" w:rsidRPr="00C929EE">
        <w:rPr>
          <w:rFonts w:ascii="Arial" w:hAnsi="Arial" w:cs="Arial"/>
        </w:rPr>
        <w:t xml:space="preserve"> The contract goes on to state that the customer’s</w:t>
      </w:r>
      <w:r w:rsidR="00AD1587" w:rsidRPr="00C929EE">
        <w:rPr>
          <w:rFonts w:ascii="Arial" w:hAnsi="Arial" w:cs="Arial"/>
        </w:rPr>
        <w:t xml:space="preserve"> </w:t>
      </w:r>
      <w:r w:rsidR="00FD26C0" w:rsidRPr="00C929EE">
        <w:rPr>
          <w:rFonts w:ascii="Arial" w:hAnsi="Arial" w:cs="Arial"/>
        </w:rPr>
        <w:t>remed</w:t>
      </w:r>
      <w:r w:rsidR="00B13EE3" w:rsidRPr="00C929EE">
        <w:rPr>
          <w:rFonts w:ascii="Arial" w:hAnsi="Arial" w:cs="Arial"/>
        </w:rPr>
        <w:t xml:space="preserve">y in such situations </w:t>
      </w:r>
      <w:r w:rsidR="00703A9E" w:rsidRPr="00C929EE">
        <w:rPr>
          <w:rFonts w:ascii="Arial" w:hAnsi="Arial" w:cs="Arial"/>
        </w:rPr>
        <w:t>is to claim for repayment in whole or in part. But the contract states that this right is only open to the customer on pay</w:t>
      </w:r>
      <w:r w:rsidR="003C79E9" w:rsidRPr="00C929EE">
        <w:rPr>
          <w:rFonts w:ascii="Arial" w:hAnsi="Arial" w:cs="Arial"/>
        </w:rPr>
        <w:t xml:space="preserve">ment of the disputed amount. Put more simply this is a pay now </w:t>
      </w:r>
      <w:r w:rsidR="00EC468D" w:rsidRPr="00C929EE">
        <w:rPr>
          <w:rFonts w:ascii="Arial" w:hAnsi="Arial" w:cs="Arial"/>
        </w:rPr>
        <w:t>sue</w:t>
      </w:r>
      <w:r w:rsidR="003C79E9" w:rsidRPr="00C929EE">
        <w:rPr>
          <w:rFonts w:ascii="Arial" w:hAnsi="Arial" w:cs="Arial"/>
        </w:rPr>
        <w:t xml:space="preserve"> later provision. </w:t>
      </w:r>
      <w:r w:rsidR="00FF5C36" w:rsidRPr="00C929EE">
        <w:rPr>
          <w:rFonts w:ascii="Arial" w:hAnsi="Arial" w:cs="Arial"/>
        </w:rPr>
        <w:t>Thus,</w:t>
      </w:r>
      <w:r w:rsidR="008438F4" w:rsidRPr="00C929EE">
        <w:rPr>
          <w:rFonts w:ascii="Arial" w:hAnsi="Arial" w:cs="Arial"/>
        </w:rPr>
        <w:t xml:space="preserve"> even if I accept that the defendant may have a valid claim against the plaintiff for non-performance</w:t>
      </w:r>
      <w:r w:rsidR="00EC468D" w:rsidRPr="00C929EE">
        <w:rPr>
          <w:rFonts w:ascii="Arial" w:hAnsi="Arial" w:cs="Arial"/>
        </w:rPr>
        <w:t>,</w:t>
      </w:r>
      <w:r w:rsidR="008438F4" w:rsidRPr="00C929EE">
        <w:rPr>
          <w:rFonts w:ascii="Arial" w:hAnsi="Arial" w:cs="Arial"/>
        </w:rPr>
        <w:t xml:space="preserve"> it must in terms of the contract first have had to make payment of the invoice before </w:t>
      </w:r>
      <w:r w:rsidR="00870C7B" w:rsidRPr="00C929EE">
        <w:rPr>
          <w:rFonts w:ascii="Arial" w:hAnsi="Arial" w:cs="Arial"/>
        </w:rPr>
        <w:t xml:space="preserve">enforcing this right The defendant has not done </w:t>
      </w:r>
      <w:r w:rsidR="001514AB" w:rsidRPr="00C929EE">
        <w:rPr>
          <w:rFonts w:ascii="Arial" w:hAnsi="Arial" w:cs="Arial"/>
        </w:rPr>
        <w:t>so,</w:t>
      </w:r>
      <w:r w:rsidR="00870C7B" w:rsidRPr="00C929EE">
        <w:rPr>
          <w:rFonts w:ascii="Arial" w:hAnsi="Arial" w:cs="Arial"/>
        </w:rPr>
        <w:t xml:space="preserve"> nor has it even instituted a counter </w:t>
      </w:r>
      <w:r w:rsidR="00FF5C36" w:rsidRPr="00C929EE">
        <w:rPr>
          <w:rFonts w:ascii="Arial" w:hAnsi="Arial" w:cs="Arial"/>
        </w:rPr>
        <w:t>claim.</w:t>
      </w:r>
      <w:r w:rsidR="00023F64" w:rsidRPr="00C929EE">
        <w:rPr>
          <w:rFonts w:ascii="Arial" w:hAnsi="Arial" w:cs="Arial"/>
        </w:rPr>
        <w:t xml:space="preserve"> There is thus no bona fide defence disclosed given the provisions of </w:t>
      </w:r>
      <w:r w:rsidR="00DC2D40" w:rsidRPr="00C929EE">
        <w:rPr>
          <w:rFonts w:ascii="Arial" w:hAnsi="Arial" w:cs="Arial"/>
        </w:rPr>
        <w:t>clause 45.</w:t>
      </w:r>
      <w:r w:rsidR="00023F64" w:rsidRPr="00C929EE">
        <w:rPr>
          <w:rFonts w:ascii="Arial" w:hAnsi="Arial" w:cs="Arial"/>
        </w:rPr>
        <w:t xml:space="preserve"> </w:t>
      </w:r>
    </w:p>
    <w:p w14:paraId="760FE657" w14:textId="00B3BF82" w:rsidR="00217462" w:rsidRPr="00C929EE" w:rsidRDefault="004E5E94" w:rsidP="004E5E94">
      <w:pPr>
        <w:pStyle w:val="NormalWeb"/>
        <w:shd w:val="clear" w:color="auto" w:fill="FFFFFF"/>
        <w:spacing w:before="144" w:beforeAutospacing="0" w:after="360" w:afterAutospacing="0" w:line="480" w:lineRule="auto"/>
        <w:ind w:left="1494" w:hanging="360"/>
        <w:jc w:val="both"/>
        <w:rPr>
          <w:rFonts w:ascii="Arial" w:hAnsi="Arial" w:cs="Arial"/>
          <w:b/>
          <w:bCs/>
          <w:i/>
          <w:iCs/>
        </w:rPr>
      </w:pPr>
      <w:r w:rsidRPr="00C929EE">
        <w:rPr>
          <w:rFonts w:ascii="Arial" w:hAnsi="Arial" w:cs="Arial"/>
          <w:b/>
          <w:bCs/>
        </w:rPr>
        <w:lastRenderedPageBreak/>
        <w:t>c.</w:t>
      </w:r>
      <w:r w:rsidRPr="00C929EE">
        <w:rPr>
          <w:rFonts w:ascii="Arial" w:hAnsi="Arial" w:cs="Arial"/>
          <w:b/>
          <w:bCs/>
        </w:rPr>
        <w:tab/>
      </w:r>
      <w:r w:rsidR="00652145" w:rsidRPr="00C929EE">
        <w:rPr>
          <w:rFonts w:ascii="Arial" w:hAnsi="Arial" w:cs="Arial"/>
          <w:b/>
          <w:bCs/>
          <w:i/>
          <w:iCs/>
        </w:rPr>
        <w:t xml:space="preserve">Additional terms </w:t>
      </w:r>
    </w:p>
    <w:p w14:paraId="2356470F" w14:textId="77777777" w:rsidR="00C929EE" w:rsidRPr="00C929EE" w:rsidRDefault="007B7231" w:rsidP="00C929EE">
      <w:pPr>
        <w:pStyle w:val="NormalWeb"/>
        <w:shd w:val="clear" w:color="auto" w:fill="FFFFFF"/>
        <w:spacing w:before="144" w:beforeAutospacing="0" w:after="360" w:afterAutospacing="0" w:line="480" w:lineRule="auto"/>
        <w:ind w:left="1080" w:hanging="720"/>
        <w:jc w:val="both"/>
        <w:rPr>
          <w:rFonts w:ascii="Arial" w:hAnsi="Arial" w:cs="Arial"/>
        </w:rPr>
      </w:pPr>
      <w:r w:rsidRPr="00C929EE">
        <w:rPr>
          <w:rFonts w:ascii="Arial" w:hAnsi="Arial" w:cs="Arial"/>
        </w:rPr>
        <w:t>[21]</w:t>
      </w:r>
      <w:r w:rsidRPr="00C929EE">
        <w:rPr>
          <w:rFonts w:ascii="Arial" w:hAnsi="Arial" w:cs="Arial"/>
        </w:rPr>
        <w:tab/>
      </w:r>
      <w:r w:rsidR="00825FD2" w:rsidRPr="00C929EE">
        <w:rPr>
          <w:rFonts w:ascii="Arial" w:hAnsi="Arial" w:cs="Arial"/>
        </w:rPr>
        <w:t>The defendant’s other apparent difficult</w:t>
      </w:r>
      <w:r w:rsidR="007F4791" w:rsidRPr="00C929EE">
        <w:rPr>
          <w:rFonts w:ascii="Arial" w:hAnsi="Arial" w:cs="Arial"/>
        </w:rPr>
        <w:t>y</w:t>
      </w:r>
      <w:r w:rsidR="00825FD2" w:rsidRPr="00C929EE">
        <w:rPr>
          <w:rFonts w:ascii="Arial" w:hAnsi="Arial" w:cs="Arial"/>
        </w:rPr>
        <w:t xml:space="preserve"> in this case</w:t>
      </w:r>
      <w:r w:rsidR="007F4791" w:rsidRPr="00C929EE">
        <w:rPr>
          <w:rFonts w:ascii="Arial" w:hAnsi="Arial" w:cs="Arial"/>
        </w:rPr>
        <w:t>,</w:t>
      </w:r>
      <w:r w:rsidR="00825FD2" w:rsidRPr="00C929EE">
        <w:rPr>
          <w:rFonts w:ascii="Arial" w:hAnsi="Arial" w:cs="Arial"/>
        </w:rPr>
        <w:t xml:space="preserve"> as appears from the plea and answering affidavit</w:t>
      </w:r>
      <w:r w:rsidR="007F4791" w:rsidRPr="00C929EE">
        <w:rPr>
          <w:rFonts w:ascii="Arial" w:hAnsi="Arial" w:cs="Arial"/>
        </w:rPr>
        <w:t>,</w:t>
      </w:r>
      <w:r w:rsidR="00825FD2" w:rsidRPr="00C929EE">
        <w:rPr>
          <w:rFonts w:ascii="Arial" w:hAnsi="Arial" w:cs="Arial"/>
        </w:rPr>
        <w:t xml:space="preserve"> is that several of the invoices were for services delivered in relation to equipment </w:t>
      </w:r>
      <w:r w:rsidR="00D53517" w:rsidRPr="00C929EE">
        <w:rPr>
          <w:rFonts w:ascii="Arial" w:hAnsi="Arial" w:cs="Arial"/>
        </w:rPr>
        <w:t xml:space="preserve">meant for the Department of Health. The Department has apparently not yet paid the defendant. The defendant alleges that it was </w:t>
      </w:r>
      <w:r w:rsidR="00C87F5A" w:rsidRPr="00C929EE">
        <w:rPr>
          <w:rFonts w:ascii="Arial" w:hAnsi="Arial" w:cs="Arial"/>
          <w:i/>
          <w:iCs/>
        </w:rPr>
        <w:t>“…</w:t>
      </w:r>
      <w:r w:rsidR="00D53517" w:rsidRPr="00C929EE">
        <w:rPr>
          <w:rFonts w:ascii="Arial" w:hAnsi="Arial" w:cs="Arial"/>
          <w:i/>
          <w:iCs/>
        </w:rPr>
        <w:t>a</w:t>
      </w:r>
      <w:r w:rsidR="00C87F5A" w:rsidRPr="00C929EE">
        <w:rPr>
          <w:rFonts w:ascii="Arial" w:hAnsi="Arial" w:cs="Arial"/>
          <w:i/>
          <w:iCs/>
        </w:rPr>
        <w:t>n explicit, alternatively implied, alternatively tacit term of the agreement</w:t>
      </w:r>
      <w:r w:rsidR="001370B9" w:rsidRPr="00C929EE">
        <w:rPr>
          <w:rFonts w:ascii="Arial" w:hAnsi="Arial" w:cs="Arial"/>
          <w:i/>
          <w:iCs/>
        </w:rPr>
        <w:t xml:space="preserve"> ...</w:t>
      </w:r>
      <w:r w:rsidR="001E03F9" w:rsidRPr="00C929EE">
        <w:rPr>
          <w:rFonts w:ascii="Arial" w:hAnsi="Arial" w:cs="Arial"/>
          <w:i/>
          <w:iCs/>
        </w:rPr>
        <w:t>”</w:t>
      </w:r>
      <w:r w:rsidR="001E03F9" w:rsidRPr="00C929EE">
        <w:rPr>
          <w:rFonts w:ascii="Arial" w:hAnsi="Arial" w:cs="Arial"/>
        </w:rPr>
        <w:t xml:space="preserve"> that the defendant’s payment obligations </w:t>
      </w:r>
      <w:r w:rsidR="006B0FEC" w:rsidRPr="00C929EE">
        <w:rPr>
          <w:rFonts w:ascii="Arial" w:hAnsi="Arial" w:cs="Arial"/>
        </w:rPr>
        <w:t xml:space="preserve">would be subject to it being paid by the Department of Health. </w:t>
      </w:r>
    </w:p>
    <w:p w14:paraId="79F35F9B" w14:textId="50B2D15B" w:rsidR="00CA4740" w:rsidRPr="00C929EE" w:rsidRDefault="00C929EE" w:rsidP="00C929EE">
      <w:pPr>
        <w:pStyle w:val="NormalWeb"/>
        <w:shd w:val="clear" w:color="auto" w:fill="FFFFFF"/>
        <w:spacing w:before="144" w:beforeAutospacing="0" w:after="360" w:afterAutospacing="0" w:line="480" w:lineRule="auto"/>
        <w:ind w:left="1080" w:hanging="720"/>
        <w:jc w:val="both"/>
        <w:rPr>
          <w:rFonts w:ascii="Arial" w:hAnsi="Arial" w:cs="Arial"/>
        </w:rPr>
      </w:pPr>
      <w:r w:rsidRPr="00C929EE">
        <w:rPr>
          <w:rFonts w:ascii="Arial" w:hAnsi="Arial" w:cs="Arial"/>
        </w:rPr>
        <w:t>[22]</w:t>
      </w:r>
      <w:r w:rsidRPr="00C929EE">
        <w:rPr>
          <w:rFonts w:ascii="Arial" w:hAnsi="Arial" w:cs="Arial"/>
        </w:rPr>
        <w:tab/>
      </w:r>
      <w:r w:rsidR="006B0FEC" w:rsidRPr="00C929EE">
        <w:rPr>
          <w:rFonts w:ascii="Arial" w:hAnsi="Arial" w:cs="Arial"/>
        </w:rPr>
        <w:t xml:space="preserve">However no express term </w:t>
      </w:r>
      <w:r w:rsidR="002B0DFC" w:rsidRPr="00C929EE">
        <w:rPr>
          <w:rFonts w:ascii="Arial" w:hAnsi="Arial" w:cs="Arial"/>
        </w:rPr>
        <w:t xml:space="preserve">in the contract </w:t>
      </w:r>
      <w:r w:rsidR="006B0FEC" w:rsidRPr="00C929EE">
        <w:rPr>
          <w:rFonts w:ascii="Arial" w:hAnsi="Arial" w:cs="Arial"/>
        </w:rPr>
        <w:t>provides for this</w:t>
      </w:r>
      <w:r w:rsidR="002B0DFC" w:rsidRPr="00C929EE">
        <w:rPr>
          <w:rFonts w:ascii="Arial" w:hAnsi="Arial" w:cs="Arial"/>
        </w:rPr>
        <w:t>,</w:t>
      </w:r>
      <w:r w:rsidR="006B0FEC" w:rsidRPr="00C929EE">
        <w:rPr>
          <w:rFonts w:ascii="Arial" w:hAnsi="Arial" w:cs="Arial"/>
        </w:rPr>
        <w:t xml:space="preserve"> and there is no evidence nor even alleg</w:t>
      </w:r>
      <w:r w:rsidR="002B0DFC" w:rsidRPr="00C929EE">
        <w:rPr>
          <w:rFonts w:ascii="Arial" w:hAnsi="Arial" w:cs="Arial"/>
        </w:rPr>
        <w:t xml:space="preserve">ation made </w:t>
      </w:r>
      <w:r w:rsidR="006B0FEC" w:rsidRPr="00C929EE">
        <w:rPr>
          <w:rFonts w:ascii="Arial" w:hAnsi="Arial" w:cs="Arial"/>
        </w:rPr>
        <w:t>of a variation to the contract. The contract itself is watertight on these issues. First it has the standard no</w:t>
      </w:r>
      <w:r w:rsidR="009F5693" w:rsidRPr="00C929EE">
        <w:rPr>
          <w:rFonts w:ascii="Arial" w:hAnsi="Arial" w:cs="Arial"/>
        </w:rPr>
        <w:t xml:space="preserve">n-variation clause that provides that no variation </w:t>
      </w:r>
      <w:r w:rsidR="00F64E4D" w:rsidRPr="00C929EE">
        <w:rPr>
          <w:rFonts w:ascii="Arial" w:hAnsi="Arial" w:cs="Arial"/>
        </w:rPr>
        <w:t>will be binding on the company unless reduced to writing and signed by one of its directors. Second, in terms of clause</w:t>
      </w:r>
      <w:r w:rsidR="00DA5844" w:rsidRPr="00C929EE">
        <w:rPr>
          <w:rFonts w:ascii="Arial" w:hAnsi="Arial" w:cs="Arial"/>
        </w:rPr>
        <w:t xml:space="preserve">s 3 and </w:t>
      </w:r>
      <w:r w:rsidR="00F64E4D" w:rsidRPr="00C929EE">
        <w:rPr>
          <w:rFonts w:ascii="Arial" w:hAnsi="Arial" w:cs="Arial"/>
        </w:rPr>
        <w:t xml:space="preserve">35 the agreement </w:t>
      </w:r>
      <w:r w:rsidR="00BC14B4" w:rsidRPr="00C929EE">
        <w:rPr>
          <w:rFonts w:ascii="Arial" w:hAnsi="Arial" w:cs="Arial"/>
        </w:rPr>
        <w:t xml:space="preserve">governs all trading between the parties. </w:t>
      </w:r>
      <w:r w:rsidR="00C87F5A" w:rsidRPr="00C929EE">
        <w:rPr>
          <w:rFonts w:ascii="Arial" w:hAnsi="Arial" w:cs="Arial"/>
        </w:rPr>
        <w:t xml:space="preserve"> </w:t>
      </w:r>
      <w:r w:rsidR="009569E4" w:rsidRPr="00C929EE">
        <w:rPr>
          <w:rFonts w:ascii="Arial" w:hAnsi="Arial" w:cs="Arial"/>
        </w:rPr>
        <w:t xml:space="preserve">Nor as the plaintiff argues is there any trading term that can be implied </w:t>
      </w:r>
      <w:r w:rsidR="0060746E" w:rsidRPr="00C929EE">
        <w:rPr>
          <w:rFonts w:ascii="Arial" w:hAnsi="Arial" w:cs="Arial"/>
        </w:rPr>
        <w:t xml:space="preserve">as a consequence of custom or trade usage. </w:t>
      </w:r>
      <w:r w:rsidR="002D00B4" w:rsidRPr="00C929EE">
        <w:rPr>
          <w:rFonts w:ascii="Arial" w:hAnsi="Arial" w:cs="Arial"/>
        </w:rPr>
        <w:t>Thus,</w:t>
      </w:r>
      <w:r w:rsidR="0060746E" w:rsidRPr="00C929EE">
        <w:rPr>
          <w:rFonts w:ascii="Arial" w:hAnsi="Arial" w:cs="Arial"/>
        </w:rPr>
        <w:t xml:space="preserve"> the fact that the Department may not have paid the defendant is not relevant </w:t>
      </w:r>
      <w:r w:rsidR="007B18D3" w:rsidRPr="00C929EE">
        <w:rPr>
          <w:rFonts w:ascii="Arial" w:hAnsi="Arial" w:cs="Arial"/>
        </w:rPr>
        <w:t xml:space="preserve">for the purposes of the defence. In the face of the express terms of the agreement and absent of any variation </w:t>
      </w:r>
      <w:r w:rsidR="000E4860" w:rsidRPr="00C929EE">
        <w:rPr>
          <w:rFonts w:ascii="Arial" w:hAnsi="Arial" w:cs="Arial"/>
        </w:rPr>
        <w:t xml:space="preserve">that meets the requirement of clause 33 </w:t>
      </w:r>
      <w:r w:rsidR="002D00B4" w:rsidRPr="00C929EE">
        <w:rPr>
          <w:rFonts w:ascii="Arial" w:hAnsi="Arial" w:cs="Arial"/>
        </w:rPr>
        <w:t>(which</w:t>
      </w:r>
      <w:r w:rsidR="000E4860" w:rsidRPr="00C929EE">
        <w:rPr>
          <w:rFonts w:ascii="Arial" w:hAnsi="Arial" w:cs="Arial"/>
        </w:rPr>
        <w:t xml:space="preserve"> is not alleged) this defence too must fai</w:t>
      </w:r>
      <w:r w:rsidR="00985FD9" w:rsidRPr="00C929EE">
        <w:rPr>
          <w:rFonts w:ascii="Arial" w:hAnsi="Arial" w:cs="Arial"/>
        </w:rPr>
        <w:t>l,</w:t>
      </w:r>
    </w:p>
    <w:p w14:paraId="4F0CFC52" w14:textId="7E5AE944" w:rsidR="00C929EE" w:rsidRPr="00C929EE" w:rsidRDefault="004E5E94" w:rsidP="004E5E94">
      <w:pPr>
        <w:pStyle w:val="NormalWeb"/>
        <w:shd w:val="clear" w:color="auto" w:fill="FFFFFF"/>
        <w:spacing w:before="144" w:beforeAutospacing="0" w:after="360" w:afterAutospacing="0" w:line="480" w:lineRule="auto"/>
        <w:ind w:left="1494" w:hanging="360"/>
        <w:jc w:val="both"/>
        <w:rPr>
          <w:rFonts w:ascii="Arial" w:hAnsi="Arial" w:cs="Arial"/>
          <w:b/>
          <w:bCs/>
          <w:i/>
          <w:iCs/>
        </w:rPr>
      </w:pPr>
      <w:r w:rsidRPr="00C929EE">
        <w:rPr>
          <w:rFonts w:ascii="Arial" w:hAnsi="Arial" w:cs="Arial"/>
          <w:b/>
          <w:bCs/>
        </w:rPr>
        <w:t>d.</w:t>
      </w:r>
      <w:r w:rsidRPr="00C929EE">
        <w:rPr>
          <w:rFonts w:ascii="Arial" w:hAnsi="Arial" w:cs="Arial"/>
          <w:b/>
          <w:bCs/>
        </w:rPr>
        <w:tab/>
      </w:r>
      <w:r w:rsidR="00985FD9" w:rsidRPr="00C929EE">
        <w:rPr>
          <w:rFonts w:ascii="Arial" w:hAnsi="Arial" w:cs="Arial"/>
          <w:b/>
          <w:bCs/>
          <w:i/>
          <w:iCs/>
        </w:rPr>
        <w:t xml:space="preserve">Supervening impossibility </w:t>
      </w:r>
    </w:p>
    <w:p w14:paraId="092F67B2" w14:textId="77777777" w:rsidR="00C929EE" w:rsidRPr="00C929EE" w:rsidRDefault="00C929EE" w:rsidP="00C929EE">
      <w:pPr>
        <w:pStyle w:val="NormalWeb"/>
        <w:shd w:val="clear" w:color="auto" w:fill="FFFFFF"/>
        <w:spacing w:before="144" w:beforeAutospacing="0" w:after="360" w:afterAutospacing="0" w:line="480" w:lineRule="auto"/>
        <w:ind w:left="720" w:hanging="720"/>
        <w:jc w:val="both"/>
        <w:rPr>
          <w:rFonts w:ascii="Arial" w:hAnsi="Arial" w:cs="Arial"/>
          <w:b/>
          <w:bCs/>
          <w:i/>
          <w:iCs/>
        </w:rPr>
      </w:pPr>
      <w:r w:rsidRPr="00C929EE">
        <w:rPr>
          <w:rFonts w:ascii="Arial" w:hAnsi="Arial" w:cs="Arial"/>
        </w:rPr>
        <w:lastRenderedPageBreak/>
        <w:t>[23]</w:t>
      </w:r>
      <w:r w:rsidRPr="00C929EE">
        <w:rPr>
          <w:rFonts w:ascii="Arial" w:hAnsi="Arial" w:cs="Arial"/>
          <w:b/>
          <w:bCs/>
          <w:i/>
          <w:iCs/>
        </w:rPr>
        <w:tab/>
      </w:r>
      <w:r w:rsidR="00955F0D" w:rsidRPr="00C929EE">
        <w:rPr>
          <w:rFonts w:ascii="Arial" w:hAnsi="Arial" w:cs="Arial"/>
        </w:rPr>
        <w:t xml:space="preserve">The same </w:t>
      </w:r>
      <w:r w:rsidR="00B90F80" w:rsidRPr="00C929EE">
        <w:rPr>
          <w:rFonts w:ascii="Arial" w:hAnsi="Arial" w:cs="Arial"/>
        </w:rPr>
        <w:t>issue</w:t>
      </w:r>
      <w:r w:rsidR="00955F0D" w:rsidRPr="00C929EE">
        <w:rPr>
          <w:rFonts w:ascii="Arial" w:hAnsi="Arial" w:cs="Arial"/>
        </w:rPr>
        <w:t xml:space="preserve"> of the non-payment by </w:t>
      </w:r>
      <w:r w:rsidR="00C203B9" w:rsidRPr="00C929EE">
        <w:rPr>
          <w:rFonts w:ascii="Arial" w:hAnsi="Arial" w:cs="Arial"/>
        </w:rPr>
        <w:t xml:space="preserve">Department of Health is raised as one of </w:t>
      </w:r>
      <w:r w:rsidR="00C203B9" w:rsidRPr="00C929EE">
        <w:rPr>
          <w:rFonts w:ascii="Arial" w:hAnsi="Arial" w:cs="Arial"/>
          <w:i/>
          <w:iCs/>
        </w:rPr>
        <w:t>vis ma</w:t>
      </w:r>
      <w:r w:rsidR="004D52A4" w:rsidRPr="00C929EE">
        <w:rPr>
          <w:rFonts w:ascii="Arial" w:hAnsi="Arial" w:cs="Arial"/>
          <w:i/>
          <w:iCs/>
        </w:rPr>
        <w:t>jor</w:t>
      </w:r>
      <w:r w:rsidR="004D52A4" w:rsidRPr="00C929EE">
        <w:rPr>
          <w:rFonts w:ascii="Arial" w:hAnsi="Arial" w:cs="Arial"/>
        </w:rPr>
        <w:t xml:space="preserve"> or </w:t>
      </w:r>
      <w:r w:rsidR="004D52A4" w:rsidRPr="00C929EE">
        <w:rPr>
          <w:rFonts w:ascii="Arial" w:hAnsi="Arial" w:cs="Arial"/>
          <w:i/>
          <w:iCs/>
        </w:rPr>
        <w:t>casus fortuitus</w:t>
      </w:r>
      <w:r w:rsidR="004D52A4" w:rsidRPr="00C929EE">
        <w:rPr>
          <w:rFonts w:ascii="Arial" w:hAnsi="Arial" w:cs="Arial"/>
        </w:rPr>
        <w:t xml:space="preserve">. </w:t>
      </w:r>
      <w:r w:rsidR="00301009" w:rsidRPr="00C929EE">
        <w:rPr>
          <w:rFonts w:ascii="Arial" w:hAnsi="Arial" w:cs="Arial"/>
        </w:rPr>
        <w:t xml:space="preserve">As added elaboration it was suggested by the defendant that the difficulties </w:t>
      </w:r>
      <w:r w:rsidR="00D37A3A" w:rsidRPr="00C929EE">
        <w:rPr>
          <w:rFonts w:ascii="Arial" w:hAnsi="Arial" w:cs="Arial"/>
        </w:rPr>
        <w:t xml:space="preserve">obtained by it because of the Covid 19 epidemic meant that the government had not carried out payments in accordance with its normal </w:t>
      </w:r>
      <w:r w:rsidR="00C55F7B" w:rsidRPr="00C929EE">
        <w:rPr>
          <w:rFonts w:ascii="Arial" w:hAnsi="Arial" w:cs="Arial"/>
        </w:rPr>
        <w:t xml:space="preserve">obligations to service providers. That may well be a matter on which </w:t>
      </w:r>
      <w:r w:rsidR="0069581E" w:rsidRPr="00C929EE">
        <w:rPr>
          <w:rFonts w:ascii="Arial" w:hAnsi="Arial" w:cs="Arial"/>
        </w:rPr>
        <w:t xml:space="preserve">one can be sympathetic to the defendant’s plight but legally it does not give rise to this defence </w:t>
      </w:r>
      <w:r w:rsidR="00730D6A" w:rsidRPr="00C929EE">
        <w:rPr>
          <w:rFonts w:ascii="Arial" w:hAnsi="Arial" w:cs="Arial"/>
        </w:rPr>
        <w:t xml:space="preserve">where the test </w:t>
      </w:r>
      <w:r w:rsidR="0069581E" w:rsidRPr="00C929EE">
        <w:rPr>
          <w:rFonts w:ascii="Arial" w:hAnsi="Arial" w:cs="Arial"/>
        </w:rPr>
        <w:t xml:space="preserve">is one of objective </w:t>
      </w:r>
      <w:r w:rsidR="003A0AFF" w:rsidRPr="00C929EE">
        <w:rPr>
          <w:rFonts w:ascii="Arial" w:hAnsi="Arial" w:cs="Arial"/>
        </w:rPr>
        <w:t xml:space="preserve">impossibility of performance. The fact that commercially a party’s customer does not pay it does render it impossible to pay its creditor in turn. </w:t>
      </w:r>
      <w:r w:rsidR="00306476" w:rsidRPr="00C929EE">
        <w:rPr>
          <w:rFonts w:ascii="Arial" w:hAnsi="Arial" w:cs="Arial"/>
        </w:rPr>
        <w:t xml:space="preserve">As Hutchison </w:t>
      </w:r>
      <w:r w:rsidR="00306476" w:rsidRPr="00C929EE">
        <w:rPr>
          <w:rFonts w:ascii="Arial" w:hAnsi="Arial" w:cs="Arial"/>
          <w:i/>
          <w:iCs/>
        </w:rPr>
        <w:t>et a</w:t>
      </w:r>
      <w:r w:rsidR="00306476" w:rsidRPr="00C929EE">
        <w:rPr>
          <w:rFonts w:ascii="Arial" w:hAnsi="Arial" w:cs="Arial"/>
        </w:rPr>
        <w:t xml:space="preserve">l explain in </w:t>
      </w:r>
      <w:r w:rsidR="00496392" w:rsidRPr="00C929EE">
        <w:rPr>
          <w:rFonts w:ascii="Arial" w:hAnsi="Arial" w:cs="Arial"/>
        </w:rPr>
        <w:t xml:space="preserve">their book the </w:t>
      </w:r>
      <w:r w:rsidR="00306476" w:rsidRPr="00C929EE">
        <w:rPr>
          <w:rFonts w:ascii="Arial" w:hAnsi="Arial" w:cs="Arial"/>
          <w:i/>
          <w:iCs/>
        </w:rPr>
        <w:t>Law of Contract</w:t>
      </w:r>
      <w:r w:rsidR="00306476" w:rsidRPr="00C929EE">
        <w:rPr>
          <w:rFonts w:ascii="Arial" w:hAnsi="Arial" w:cs="Arial"/>
        </w:rPr>
        <w:t>:</w:t>
      </w:r>
    </w:p>
    <w:p w14:paraId="62F6CE48" w14:textId="1028D2E5" w:rsidR="00306476" w:rsidRPr="00C929EE" w:rsidRDefault="005A379A" w:rsidP="00C929EE">
      <w:pPr>
        <w:pStyle w:val="NormalWeb"/>
        <w:shd w:val="clear" w:color="auto" w:fill="FFFFFF"/>
        <w:spacing w:before="144" w:beforeAutospacing="0" w:after="360" w:afterAutospacing="0" w:line="480" w:lineRule="auto"/>
        <w:ind w:left="2160"/>
        <w:jc w:val="both"/>
        <w:rPr>
          <w:rFonts w:ascii="Arial" w:hAnsi="Arial" w:cs="Arial"/>
          <w:b/>
          <w:bCs/>
          <w:i/>
          <w:iCs/>
        </w:rPr>
      </w:pPr>
      <w:r w:rsidRPr="00C929EE">
        <w:rPr>
          <w:rFonts w:ascii="Arial" w:hAnsi="Arial" w:cs="Arial"/>
          <w:lang w:val="en-US"/>
        </w:rPr>
        <w:t>“</w:t>
      </w:r>
      <w:r w:rsidR="006558FF" w:rsidRPr="00C929EE">
        <w:rPr>
          <w:rFonts w:ascii="Arial" w:hAnsi="Arial" w:cs="Arial"/>
          <w:i/>
          <w:iCs/>
          <w:lang w:val="en-US"/>
        </w:rPr>
        <w:t>I</w:t>
      </w:r>
      <w:r w:rsidRPr="00C929EE">
        <w:rPr>
          <w:rFonts w:ascii="Arial" w:hAnsi="Arial" w:cs="Arial"/>
          <w:i/>
          <w:iCs/>
          <w:lang w:val="en-US"/>
        </w:rPr>
        <w:t>t i</w:t>
      </w:r>
      <w:r w:rsidR="006558FF" w:rsidRPr="00C929EE">
        <w:rPr>
          <w:rFonts w:ascii="Arial" w:hAnsi="Arial" w:cs="Arial"/>
          <w:i/>
          <w:iCs/>
          <w:lang w:val="en-US"/>
        </w:rPr>
        <w:t>s therefore not enough</w:t>
      </w:r>
      <w:r w:rsidR="00E87235" w:rsidRPr="00C929EE">
        <w:rPr>
          <w:rFonts w:ascii="Arial" w:hAnsi="Arial" w:cs="Arial"/>
          <w:i/>
          <w:iCs/>
          <w:lang w:val="en-US"/>
        </w:rPr>
        <w:t xml:space="preserve"> </w:t>
      </w:r>
      <w:r w:rsidRPr="00C929EE">
        <w:rPr>
          <w:rFonts w:ascii="Arial" w:hAnsi="Arial" w:cs="Arial"/>
          <w:i/>
          <w:iCs/>
          <w:lang w:val="en-US"/>
        </w:rPr>
        <w:t xml:space="preserve">if </w:t>
      </w:r>
      <w:r w:rsidR="00E87235" w:rsidRPr="00C929EE">
        <w:rPr>
          <w:rFonts w:ascii="Arial" w:hAnsi="Arial" w:cs="Arial"/>
          <w:i/>
          <w:iCs/>
          <w:lang w:val="en-US"/>
        </w:rPr>
        <w:t>it is only impossible for the particular contracting party to perform; nor is it sufficient in our law</w:t>
      </w:r>
      <w:r w:rsidRPr="00C929EE">
        <w:rPr>
          <w:rFonts w:ascii="Arial" w:hAnsi="Arial" w:cs="Arial"/>
          <w:i/>
          <w:iCs/>
          <w:lang w:val="en-US"/>
        </w:rPr>
        <w:t xml:space="preserve"> if performance has merely become difficult or expensive.”</w:t>
      </w:r>
      <w:r w:rsidR="00AC7053" w:rsidRPr="00C929EE">
        <w:rPr>
          <w:rStyle w:val="FootnoteReference"/>
          <w:rFonts w:ascii="Arial" w:hAnsi="Arial" w:cs="Arial"/>
          <w:i/>
          <w:iCs/>
          <w:lang w:val="en-US"/>
        </w:rPr>
        <w:footnoteReference w:id="6"/>
      </w:r>
    </w:p>
    <w:p w14:paraId="185DA05C" w14:textId="62D911F4" w:rsidR="00230804" w:rsidRPr="00C929EE" w:rsidRDefault="00C929EE" w:rsidP="00C929EE">
      <w:pPr>
        <w:pStyle w:val="NormalWeb"/>
        <w:shd w:val="clear" w:color="auto" w:fill="FFFFFF"/>
        <w:spacing w:before="144" w:beforeAutospacing="0" w:after="360" w:afterAutospacing="0" w:line="480" w:lineRule="auto"/>
        <w:ind w:left="720" w:hanging="720"/>
        <w:jc w:val="both"/>
        <w:rPr>
          <w:rFonts w:ascii="Arial" w:hAnsi="Arial" w:cs="Arial"/>
        </w:rPr>
      </w:pPr>
      <w:r w:rsidRPr="00C929EE">
        <w:rPr>
          <w:rFonts w:ascii="Arial" w:hAnsi="Arial" w:cs="Arial"/>
          <w:lang w:val="en-US"/>
        </w:rPr>
        <w:t>[24]</w:t>
      </w:r>
      <w:r w:rsidRPr="00C929EE">
        <w:rPr>
          <w:rFonts w:ascii="Arial" w:hAnsi="Arial" w:cs="Arial"/>
          <w:lang w:val="en-US"/>
        </w:rPr>
        <w:tab/>
      </w:r>
      <w:r w:rsidR="00933F67" w:rsidRPr="00C929EE">
        <w:rPr>
          <w:rFonts w:ascii="Arial" w:hAnsi="Arial" w:cs="Arial"/>
          <w:lang w:val="en-US"/>
        </w:rPr>
        <w:t xml:space="preserve">At best for the defendant in this matter the non-payment or delayed payment  by the government </w:t>
      </w:r>
      <w:r w:rsidR="00D810A0" w:rsidRPr="00C929EE">
        <w:rPr>
          <w:rFonts w:ascii="Arial" w:hAnsi="Arial" w:cs="Arial"/>
          <w:lang w:val="en-US"/>
        </w:rPr>
        <w:t>had made its ability to pay the plaintiff difficult or expensive. But t</w:t>
      </w:r>
      <w:r w:rsidR="00230804" w:rsidRPr="00C929EE">
        <w:rPr>
          <w:rFonts w:ascii="Arial" w:hAnsi="Arial" w:cs="Arial"/>
          <w:lang w:val="en-US"/>
        </w:rPr>
        <w:t>his difficulty also does not constitute a bona fide defen</w:t>
      </w:r>
      <w:r w:rsidR="00EC7F4A" w:rsidRPr="00C929EE">
        <w:rPr>
          <w:rFonts w:ascii="Arial" w:hAnsi="Arial" w:cs="Arial"/>
          <w:lang w:val="en-US"/>
        </w:rPr>
        <w:t>ce that raises a triable issue.</w:t>
      </w:r>
      <w:r w:rsidR="00E85087" w:rsidRPr="00C929EE">
        <w:rPr>
          <w:rFonts w:ascii="Arial" w:hAnsi="Arial" w:cs="Arial"/>
          <w:lang w:val="en-US"/>
        </w:rPr>
        <w:t>”</w:t>
      </w:r>
    </w:p>
    <w:p w14:paraId="71F023D6" w14:textId="0D93E8E9" w:rsidR="00EC7F4A" w:rsidRPr="00C929EE" w:rsidRDefault="004E5E94" w:rsidP="004E5E94">
      <w:pPr>
        <w:pStyle w:val="NormalWeb"/>
        <w:shd w:val="clear" w:color="auto" w:fill="FFFFFF"/>
        <w:spacing w:before="144" w:beforeAutospacing="0" w:after="360" w:afterAutospacing="0" w:line="480" w:lineRule="auto"/>
        <w:ind w:left="1494" w:hanging="360"/>
        <w:jc w:val="both"/>
        <w:rPr>
          <w:rFonts w:ascii="Arial" w:hAnsi="Arial" w:cs="Arial"/>
          <w:b/>
          <w:bCs/>
          <w:i/>
          <w:iCs/>
        </w:rPr>
      </w:pPr>
      <w:r w:rsidRPr="00C929EE">
        <w:rPr>
          <w:rFonts w:ascii="Arial" w:hAnsi="Arial" w:cs="Arial"/>
          <w:b/>
          <w:bCs/>
        </w:rPr>
        <w:t>e.</w:t>
      </w:r>
      <w:r w:rsidRPr="00C929EE">
        <w:rPr>
          <w:rFonts w:ascii="Arial" w:hAnsi="Arial" w:cs="Arial"/>
          <w:b/>
          <w:bCs/>
        </w:rPr>
        <w:tab/>
      </w:r>
      <w:r w:rsidR="001E5BD7" w:rsidRPr="00C929EE">
        <w:rPr>
          <w:rFonts w:ascii="Arial" w:hAnsi="Arial" w:cs="Arial"/>
          <w:b/>
          <w:bCs/>
          <w:i/>
          <w:iCs/>
          <w:lang w:val="en-US"/>
        </w:rPr>
        <w:t xml:space="preserve">Constitutional argument </w:t>
      </w:r>
    </w:p>
    <w:p w14:paraId="2F948774" w14:textId="66EC94CE" w:rsidR="00180946" w:rsidRPr="00C929EE" w:rsidRDefault="00C929EE" w:rsidP="00C929EE">
      <w:pPr>
        <w:pStyle w:val="NormalWeb"/>
        <w:shd w:val="clear" w:color="auto" w:fill="FFFFFF"/>
        <w:spacing w:before="144" w:beforeAutospacing="0" w:after="360" w:afterAutospacing="0" w:line="480" w:lineRule="auto"/>
        <w:ind w:left="709" w:hanging="709"/>
        <w:jc w:val="both"/>
        <w:rPr>
          <w:rFonts w:ascii="Arial" w:hAnsi="Arial" w:cs="Arial"/>
        </w:rPr>
      </w:pPr>
      <w:r w:rsidRPr="00C929EE">
        <w:rPr>
          <w:rFonts w:ascii="Arial" w:hAnsi="Arial" w:cs="Arial"/>
          <w:lang w:val="en-US"/>
        </w:rPr>
        <w:lastRenderedPageBreak/>
        <w:t>[25]</w:t>
      </w:r>
      <w:r w:rsidRPr="00C929EE">
        <w:rPr>
          <w:rFonts w:ascii="Arial" w:hAnsi="Arial" w:cs="Arial"/>
          <w:lang w:val="en-US"/>
        </w:rPr>
        <w:tab/>
      </w:r>
      <w:r w:rsidR="002D00B4" w:rsidRPr="00C929EE">
        <w:rPr>
          <w:rFonts w:ascii="Arial" w:hAnsi="Arial" w:cs="Arial"/>
          <w:lang w:val="en-US"/>
        </w:rPr>
        <w:t>Finally,</w:t>
      </w:r>
      <w:r w:rsidR="001E5BD7" w:rsidRPr="00C929EE">
        <w:rPr>
          <w:rFonts w:ascii="Arial" w:hAnsi="Arial" w:cs="Arial"/>
          <w:lang w:val="en-US"/>
        </w:rPr>
        <w:t xml:space="preserve"> I deal with an argument raised that the provision</w:t>
      </w:r>
      <w:r w:rsidR="00AA343B" w:rsidRPr="00C929EE">
        <w:rPr>
          <w:rFonts w:ascii="Arial" w:hAnsi="Arial" w:cs="Arial"/>
          <w:lang w:val="en-US"/>
        </w:rPr>
        <w:t>s</w:t>
      </w:r>
      <w:r w:rsidR="001E5BD7" w:rsidRPr="00C929EE">
        <w:rPr>
          <w:rFonts w:ascii="Arial" w:hAnsi="Arial" w:cs="Arial"/>
          <w:lang w:val="en-US"/>
        </w:rPr>
        <w:t xml:space="preserve"> of clause 45 </w:t>
      </w:r>
      <w:r w:rsidR="00AA343B" w:rsidRPr="00C929EE">
        <w:rPr>
          <w:rFonts w:ascii="Arial" w:hAnsi="Arial" w:cs="Arial"/>
          <w:lang w:val="en-US"/>
        </w:rPr>
        <w:t>‘</w:t>
      </w:r>
      <w:r w:rsidR="001E5BD7" w:rsidRPr="00C929EE">
        <w:rPr>
          <w:rFonts w:ascii="Arial" w:hAnsi="Arial" w:cs="Arial"/>
          <w:lang w:val="en-US"/>
        </w:rPr>
        <w:t xml:space="preserve">the pay now </w:t>
      </w:r>
      <w:r w:rsidR="00AA343B" w:rsidRPr="00C929EE">
        <w:rPr>
          <w:rFonts w:ascii="Arial" w:hAnsi="Arial" w:cs="Arial"/>
          <w:lang w:val="en-US"/>
        </w:rPr>
        <w:t>sue</w:t>
      </w:r>
      <w:r w:rsidR="001E5BD7" w:rsidRPr="00C929EE">
        <w:rPr>
          <w:rFonts w:ascii="Arial" w:hAnsi="Arial" w:cs="Arial"/>
          <w:lang w:val="en-US"/>
        </w:rPr>
        <w:t xml:space="preserve"> later clause</w:t>
      </w:r>
      <w:r w:rsidR="00AA343B" w:rsidRPr="00C929EE">
        <w:rPr>
          <w:rFonts w:ascii="Arial" w:hAnsi="Arial" w:cs="Arial"/>
          <w:lang w:val="en-US"/>
        </w:rPr>
        <w:t>’</w:t>
      </w:r>
      <w:r w:rsidR="001E5BD7" w:rsidRPr="00C929EE">
        <w:rPr>
          <w:rFonts w:ascii="Arial" w:hAnsi="Arial" w:cs="Arial"/>
          <w:lang w:val="en-US"/>
        </w:rPr>
        <w:t xml:space="preserve"> are an impermissible limitation of the right of access to court in terms of section 34 of the Constitution. That section states:</w:t>
      </w:r>
      <w:r w:rsidR="00A016E4" w:rsidRPr="00C929EE">
        <w:rPr>
          <w:rFonts w:ascii="Arial" w:hAnsi="Arial" w:cs="Arial"/>
          <w:lang w:val="en-US"/>
        </w:rPr>
        <w:t xml:space="preserve"> </w:t>
      </w:r>
    </w:p>
    <w:p w14:paraId="3A72E803" w14:textId="2C42FB30" w:rsidR="001E5BD7" w:rsidRPr="00C929EE" w:rsidRDefault="00180946" w:rsidP="00C929EE">
      <w:pPr>
        <w:pStyle w:val="NormalWeb"/>
        <w:shd w:val="clear" w:color="auto" w:fill="FFFFFF"/>
        <w:spacing w:before="144" w:beforeAutospacing="0" w:after="360" w:afterAutospacing="0" w:line="480" w:lineRule="auto"/>
        <w:ind w:left="2160"/>
        <w:jc w:val="both"/>
        <w:rPr>
          <w:rFonts w:ascii="Arial" w:hAnsi="Arial" w:cs="Arial"/>
          <w:i/>
          <w:iCs/>
          <w:lang w:val="en-US"/>
        </w:rPr>
      </w:pPr>
      <w:r w:rsidRPr="00C929EE">
        <w:rPr>
          <w:rFonts w:ascii="Arial" w:hAnsi="Arial" w:cs="Arial"/>
          <w:i/>
          <w:iCs/>
          <w:lang w:val="en-US"/>
        </w:rPr>
        <w:t>“E</w:t>
      </w:r>
      <w:r w:rsidR="00A016E4" w:rsidRPr="00C929EE">
        <w:rPr>
          <w:rFonts w:ascii="Arial" w:hAnsi="Arial" w:cs="Arial"/>
          <w:i/>
          <w:iCs/>
          <w:lang w:val="en-US"/>
        </w:rPr>
        <w:t>veryone</w:t>
      </w:r>
      <w:r w:rsidR="00DC5139" w:rsidRPr="00C929EE">
        <w:rPr>
          <w:rFonts w:ascii="Arial" w:hAnsi="Arial" w:cs="Arial"/>
          <w:i/>
          <w:iCs/>
          <w:lang w:val="en-US"/>
        </w:rPr>
        <w:t xml:space="preserve"> has the right to have any dispute that can be resolved by the application of law decided in a fair public hearing before a court</w:t>
      </w:r>
      <w:r w:rsidR="009D7F6C" w:rsidRPr="00C929EE">
        <w:rPr>
          <w:rFonts w:ascii="Arial" w:hAnsi="Arial" w:cs="Arial"/>
          <w:i/>
          <w:iCs/>
          <w:lang w:val="en-US"/>
        </w:rPr>
        <w:t xml:space="preserve"> or, where appropriate, another independent and impartial tribunal or forum</w:t>
      </w:r>
      <w:r w:rsidR="00E85087" w:rsidRPr="00C929EE">
        <w:rPr>
          <w:rFonts w:ascii="Arial" w:hAnsi="Arial" w:cs="Arial"/>
          <w:i/>
          <w:iCs/>
          <w:lang w:val="en-US"/>
        </w:rPr>
        <w:t>.</w:t>
      </w:r>
      <w:r w:rsidRPr="00C929EE">
        <w:rPr>
          <w:rFonts w:ascii="Arial" w:hAnsi="Arial" w:cs="Arial"/>
          <w:i/>
          <w:iCs/>
          <w:lang w:val="en-US"/>
        </w:rPr>
        <w:t>”</w:t>
      </w:r>
    </w:p>
    <w:p w14:paraId="74D07AB3" w14:textId="34DC75AC" w:rsidR="00485EBD" w:rsidRPr="00C929EE" w:rsidRDefault="00C929EE" w:rsidP="00C929EE">
      <w:pPr>
        <w:pStyle w:val="NormalWeb"/>
        <w:shd w:val="clear" w:color="auto" w:fill="FFFFFF"/>
        <w:spacing w:before="144" w:beforeAutospacing="0" w:after="360" w:afterAutospacing="0" w:line="480" w:lineRule="auto"/>
        <w:ind w:left="720" w:hanging="720"/>
        <w:jc w:val="both"/>
        <w:rPr>
          <w:rFonts w:ascii="Arial" w:hAnsi="Arial" w:cs="Arial"/>
        </w:rPr>
      </w:pPr>
      <w:r w:rsidRPr="00C929EE">
        <w:rPr>
          <w:rFonts w:ascii="Arial" w:hAnsi="Arial" w:cs="Arial"/>
        </w:rPr>
        <w:t>[26]</w:t>
      </w:r>
      <w:r w:rsidRPr="00C929EE">
        <w:rPr>
          <w:rFonts w:ascii="Arial" w:hAnsi="Arial" w:cs="Arial"/>
        </w:rPr>
        <w:tab/>
      </w:r>
      <w:r w:rsidR="00485EBD" w:rsidRPr="00C929EE">
        <w:rPr>
          <w:rFonts w:ascii="Arial" w:hAnsi="Arial" w:cs="Arial"/>
        </w:rPr>
        <w:t xml:space="preserve">Clause 45 does not operate to remove the defendant’s </w:t>
      </w:r>
      <w:r w:rsidR="001450CD" w:rsidRPr="00C929EE">
        <w:rPr>
          <w:rFonts w:ascii="Arial" w:hAnsi="Arial" w:cs="Arial"/>
        </w:rPr>
        <w:t xml:space="preserve">substantive </w:t>
      </w:r>
      <w:r w:rsidR="00485EBD" w:rsidRPr="00C929EE">
        <w:rPr>
          <w:rFonts w:ascii="Arial" w:hAnsi="Arial" w:cs="Arial"/>
        </w:rPr>
        <w:t xml:space="preserve">right to </w:t>
      </w:r>
      <w:r w:rsidR="00052ED6" w:rsidRPr="00C929EE">
        <w:rPr>
          <w:rFonts w:ascii="Arial" w:hAnsi="Arial" w:cs="Arial"/>
        </w:rPr>
        <w:t xml:space="preserve">sue the plaintiff for non-performance. </w:t>
      </w:r>
      <w:r w:rsidR="005C0962" w:rsidRPr="00C929EE">
        <w:rPr>
          <w:rFonts w:ascii="Arial" w:hAnsi="Arial" w:cs="Arial"/>
        </w:rPr>
        <w:t xml:space="preserve">That right is retained in terms of clause </w:t>
      </w:r>
      <w:r w:rsidR="002D00B4" w:rsidRPr="00C929EE">
        <w:rPr>
          <w:rFonts w:ascii="Arial" w:hAnsi="Arial" w:cs="Arial"/>
        </w:rPr>
        <w:t>45.2 The</w:t>
      </w:r>
      <w:r w:rsidR="0013581E" w:rsidRPr="00C929EE">
        <w:rPr>
          <w:rFonts w:ascii="Arial" w:hAnsi="Arial" w:cs="Arial"/>
        </w:rPr>
        <w:t xml:space="preserve"> limitation on the exercise of that right </w:t>
      </w:r>
      <w:r w:rsidR="004401FF" w:rsidRPr="00C929EE">
        <w:rPr>
          <w:rFonts w:ascii="Arial" w:hAnsi="Arial" w:cs="Arial"/>
        </w:rPr>
        <w:t>is procedural.</w:t>
      </w:r>
      <w:r w:rsidR="00052ED6" w:rsidRPr="00C929EE">
        <w:rPr>
          <w:rFonts w:ascii="Arial" w:hAnsi="Arial" w:cs="Arial"/>
        </w:rPr>
        <w:t xml:space="preserve"> The defendant has to pay the disputed amount first before the right </w:t>
      </w:r>
      <w:r w:rsidR="00320A0E" w:rsidRPr="00C929EE">
        <w:rPr>
          <w:rFonts w:ascii="Arial" w:hAnsi="Arial" w:cs="Arial"/>
        </w:rPr>
        <w:t xml:space="preserve">becomes operative. Pay now and then you can sue later is the import of the clause. Arguably this may impose a burden on </w:t>
      </w:r>
      <w:r w:rsidR="00365856" w:rsidRPr="00C929EE">
        <w:rPr>
          <w:rFonts w:ascii="Arial" w:hAnsi="Arial" w:cs="Arial"/>
        </w:rPr>
        <w:t xml:space="preserve">an economically vulnerable customer who may not have the resources to pay first and sue later. </w:t>
      </w:r>
      <w:r w:rsidR="001C6647" w:rsidRPr="00C929EE">
        <w:rPr>
          <w:rFonts w:ascii="Arial" w:hAnsi="Arial" w:cs="Arial"/>
        </w:rPr>
        <w:t>But equally it could be argued it protects the company from spurious claims of non-performance from its customers</w:t>
      </w:r>
      <w:r w:rsidR="00F11719" w:rsidRPr="00C929EE">
        <w:rPr>
          <w:rFonts w:ascii="Arial" w:hAnsi="Arial" w:cs="Arial"/>
        </w:rPr>
        <w:t xml:space="preserve"> where it has </w:t>
      </w:r>
      <w:r w:rsidR="00FF5C36" w:rsidRPr="00C929EE">
        <w:rPr>
          <w:rFonts w:ascii="Arial" w:hAnsi="Arial" w:cs="Arial"/>
        </w:rPr>
        <w:t>performed,</w:t>
      </w:r>
      <w:r w:rsidR="00F11719" w:rsidRPr="00C929EE">
        <w:rPr>
          <w:rFonts w:ascii="Arial" w:hAnsi="Arial" w:cs="Arial"/>
        </w:rPr>
        <w:t xml:space="preserve"> and they refuse to pay</w:t>
      </w:r>
      <w:r w:rsidR="001C6647" w:rsidRPr="00C929EE">
        <w:rPr>
          <w:rFonts w:ascii="Arial" w:hAnsi="Arial" w:cs="Arial"/>
        </w:rPr>
        <w:t xml:space="preserve">. </w:t>
      </w:r>
    </w:p>
    <w:p w14:paraId="78AD92EE" w14:textId="769CF4EB" w:rsidR="00410AAC" w:rsidRPr="00C929EE" w:rsidRDefault="00C929EE" w:rsidP="00C929EE">
      <w:pPr>
        <w:pStyle w:val="NormalWeb"/>
        <w:shd w:val="clear" w:color="auto" w:fill="FFFFFF"/>
        <w:spacing w:before="144" w:beforeAutospacing="0" w:after="360" w:afterAutospacing="0" w:line="480" w:lineRule="auto"/>
        <w:ind w:left="720" w:hanging="720"/>
        <w:jc w:val="both"/>
        <w:rPr>
          <w:rFonts w:ascii="Arial" w:hAnsi="Arial" w:cs="Arial"/>
        </w:rPr>
      </w:pPr>
      <w:r w:rsidRPr="00C929EE">
        <w:rPr>
          <w:rFonts w:ascii="Arial" w:hAnsi="Arial" w:cs="Arial"/>
        </w:rPr>
        <w:t>[27]</w:t>
      </w:r>
      <w:r w:rsidRPr="00C929EE">
        <w:rPr>
          <w:rFonts w:ascii="Arial" w:hAnsi="Arial" w:cs="Arial"/>
        </w:rPr>
        <w:tab/>
      </w:r>
      <w:r w:rsidR="00882AE1" w:rsidRPr="00C929EE">
        <w:rPr>
          <w:rFonts w:ascii="Arial" w:hAnsi="Arial" w:cs="Arial"/>
        </w:rPr>
        <w:t>What matter is that t</w:t>
      </w:r>
      <w:r w:rsidR="00893673" w:rsidRPr="00C929EE">
        <w:rPr>
          <w:rFonts w:ascii="Arial" w:hAnsi="Arial" w:cs="Arial"/>
        </w:rPr>
        <w:t xml:space="preserve">he </w:t>
      </w:r>
      <w:r w:rsidR="007026D3" w:rsidRPr="00C929EE">
        <w:rPr>
          <w:rFonts w:ascii="Arial" w:hAnsi="Arial" w:cs="Arial"/>
        </w:rPr>
        <w:t xml:space="preserve">parties by contract have agreed to this provision. Despite it harshness on a customer that aspect alone does not </w:t>
      </w:r>
      <w:r w:rsidR="007026D3" w:rsidRPr="00C929EE">
        <w:rPr>
          <w:rFonts w:ascii="Arial" w:hAnsi="Arial" w:cs="Arial"/>
          <w:i/>
          <w:iCs/>
        </w:rPr>
        <w:t>a fo</w:t>
      </w:r>
      <w:r w:rsidR="00093150" w:rsidRPr="00C929EE">
        <w:rPr>
          <w:rFonts w:ascii="Arial" w:hAnsi="Arial" w:cs="Arial"/>
          <w:i/>
          <w:iCs/>
        </w:rPr>
        <w:t>rt</w:t>
      </w:r>
      <w:r w:rsidR="007026D3" w:rsidRPr="00C929EE">
        <w:rPr>
          <w:rFonts w:ascii="Arial" w:hAnsi="Arial" w:cs="Arial"/>
          <w:i/>
          <w:iCs/>
        </w:rPr>
        <w:t>iori</w:t>
      </w:r>
      <w:r w:rsidR="007026D3" w:rsidRPr="00C929EE">
        <w:rPr>
          <w:rFonts w:ascii="Arial" w:hAnsi="Arial" w:cs="Arial"/>
        </w:rPr>
        <w:t xml:space="preserve"> give rise to a </w:t>
      </w:r>
      <w:r w:rsidR="00D35921" w:rsidRPr="00C929EE">
        <w:rPr>
          <w:rFonts w:ascii="Arial" w:hAnsi="Arial" w:cs="Arial"/>
        </w:rPr>
        <w:t>constitutional</w:t>
      </w:r>
      <w:r w:rsidR="007026D3" w:rsidRPr="00C929EE">
        <w:rPr>
          <w:rFonts w:ascii="Arial" w:hAnsi="Arial" w:cs="Arial"/>
        </w:rPr>
        <w:t xml:space="preserve"> issue in terms of section 34 of the Constitution. As </w:t>
      </w:r>
      <w:r w:rsidR="00515453" w:rsidRPr="00C929EE">
        <w:rPr>
          <w:rFonts w:ascii="Arial" w:hAnsi="Arial" w:cs="Arial"/>
        </w:rPr>
        <w:t xml:space="preserve">Cameron JA </w:t>
      </w:r>
      <w:r w:rsidR="00D35921" w:rsidRPr="00C929EE">
        <w:rPr>
          <w:rFonts w:ascii="Arial" w:hAnsi="Arial" w:cs="Arial"/>
        </w:rPr>
        <w:lastRenderedPageBreak/>
        <w:t>observed</w:t>
      </w:r>
      <w:r w:rsidR="00515453" w:rsidRPr="00C929EE">
        <w:rPr>
          <w:rFonts w:ascii="Arial" w:hAnsi="Arial" w:cs="Arial"/>
        </w:rPr>
        <w:t xml:space="preserve"> in </w:t>
      </w:r>
      <w:r w:rsidR="00515453" w:rsidRPr="00C929EE">
        <w:rPr>
          <w:rFonts w:ascii="Arial" w:hAnsi="Arial" w:cs="Arial"/>
          <w:i/>
          <w:iCs/>
        </w:rPr>
        <w:t xml:space="preserve">Napier </w:t>
      </w:r>
      <w:r w:rsidR="00C50177" w:rsidRPr="00C929EE">
        <w:rPr>
          <w:rFonts w:ascii="Arial" w:hAnsi="Arial" w:cs="Arial"/>
          <w:i/>
          <w:iCs/>
        </w:rPr>
        <w:t>v Barkhuizen</w:t>
      </w:r>
      <w:r w:rsidR="00D35921" w:rsidRPr="00C929EE">
        <w:rPr>
          <w:rFonts w:ascii="Arial" w:hAnsi="Arial" w:cs="Arial"/>
          <w:i/>
          <w:iCs/>
        </w:rPr>
        <w:t>,</w:t>
      </w:r>
      <w:r w:rsidR="00C50177" w:rsidRPr="00C929EE">
        <w:rPr>
          <w:rFonts w:ascii="Arial" w:hAnsi="Arial" w:cs="Arial"/>
          <w:i/>
          <w:iCs/>
        </w:rPr>
        <w:t xml:space="preserve"> </w:t>
      </w:r>
      <w:r w:rsidR="00C50177" w:rsidRPr="00C929EE">
        <w:rPr>
          <w:rFonts w:ascii="Arial" w:hAnsi="Arial" w:cs="Arial"/>
        </w:rPr>
        <w:t xml:space="preserve">a case dealing with </w:t>
      </w:r>
      <w:r w:rsidR="00365FD5" w:rsidRPr="00C929EE">
        <w:rPr>
          <w:rFonts w:ascii="Arial" w:hAnsi="Arial" w:cs="Arial"/>
        </w:rPr>
        <w:t>the adequacy of a time bar period in an insurance policy</w:t>
      </w:r>
      <w:r w:rsidR="00410AAC" w:rsidRPr="00C929EE">
        <w:rPr>
          <w:rFonts w:ascii="Arial" w:hAnsi="Arial" w:cs="Arial"/>
        </w:rPr>
        <w:t>:</w:t>
      </w:r>
      <w:r w:rsidR="009421B2" w:rsidRPr="00C929EE">
        <w:rPr>
          <w:rStyle w:val="FootnoteReference"/>
          <w:rFonts w:ascii="Arial" w:hAnsi="Arial" w:cs="Arial"/>
        </w:rPr>
        <w:footnoteReference w:id="7"/>
      </w:r>
    </w:p>
    <w:p w14:paraId="2DB6FB41" w14:textId="7394687A" w:rsidR="00410AAC" w:rsidRPr="00C929EE" w:rsidRDefault="00410AAC" w:rsidP="00C929EE">
      <w:pPr>
        <w:pStyle w:val="NormalWeb"/>
        <w:shd w:val="clear" w:color="auto" w:fill="FFFFFF"/>
        <w:spacing w:before="144" w:after="360" w:afterAutospacing="0" w:line="480" w:lineRule="auto"/>
        <w:ind w:left="2160"/>
        <w:jc w:val="both"/>
        <w:rPr>
          <w:rFonts w:ascii="Arial" w:hAnsi="Arial" w:cs="Arial"/>
        </w:rPr>
      </w:pPr>
      <w:r w:rsidRPr="00C929EE">
        <w:rPr>
          <w:rFonts w:ascii="Arial" w:hAnsi="Arial" w:cs="Arial"/>
          <w:i/>
          <w:iCs/>
        </w:rPr>
        <w:t>“(…) the Constitution requires us to employ its values to achieve a balance that strikes down the unacceptable excesses of “freedom of contract”, while seeking to permit individuals the dignity and autonomy of regulating their own lives. This is not to envisage an implausible contractual nirvana. It is to respect the complexity of the value system the Constitution creates. It is also to recognise that intruding on apparently voluntarily concluded arrangements is a step that judges should</w:t>
      </w:r>
      <w:r w:rsidRPr="00C929EE">
        <w:rPr>
          <w:rFonts w:ascii="Arial" w:hAnsi="Arial" w:cs="Arial"/>
        </w:rPr>
        <w:t xml:space="preserve"> </w:t>
      </w:r>
      <w:r w:rsidRPr="00C929EE">
        <w:rPr>
          <w:rFonts w:ascii="Arial" w:hAnsi="Arial" w:cs="Arial"/>
          <w:i/>
          <w:iCs/>
        </w:rPr>
        <w:t>countenance with care, particularly when it requires them</w:t>
      </w:r>
      <w:r w:rsidR="00F6516F" w:rsidRPr="00C929EE">
        <w:rPr>
          <w:rFonts w:ascii="Arial" w:hAnsi="Arial" w:cs="Arial"/>
          <w:i/>
          <w:iCs/>
        </w:rPr>
        <w:t xml:space="preserve"> to impose their individual conceptions of fairness and justice on parties’ individual arrangements</w:t>
      </w:r>
      <w:r w:rsidR="008F424C" w:rsidRPr="00C929EE">
        <w:rPr>
          <w:rFonts w:ascii="Arial" w:hAnsi="Arial" w:cs="Arial"/>
          <w:i/>
          <w:iCs/>
        </w:rPr>
        <w:t>.”</w:t>
      </w:r>
      <w:r w:rsidR="00CA39F5" w:rsidRPr="00C929EE">
        <w:rPr>
          <w:rStyle w:val="FootnoteReference"/>
          <w:rFonts w:ascii="Arial" w:hAnsi="Arial" w:cs="Arial"/>
          <w:i/>
          <w:iCs/>
        </w:rPr>
        <w:footnoteReference w:id="8"/>
      </w:r>
    </w:p>
    <w:p w14:paraId="085FAD5C" w14:textId="0148B91B" w:rsidR="00D35921" w:rsidRPr="00C929EE" w:rsidRDefault="00C929EE" w:rsidP="00C929EE">
      <w:pPr>
        <w:pStyle w:val="NormalWeb"/>
        <w:shd w:val="clear" w:color="auto" w:fill="FFFFFF"/>
        <w:spacing w:before="144" w:after="360" w:afterAutospacing="0" w:line="480" w:lineRule="auto"/>
        <w:ind w:left="720" w:hanging="720"/>
        <w:jc w:val="both"/>
        <w:rPr>
          <w:rFonts w:ascii="Arial" w:hAnsi="Arial" w:cs="Arial"/>
        </w:rPr>
      </w:pPr>
      <w:r w:rsidRPr="00C929EE">
        <w:rPr>
          <w:rFonts w:ascii="Arial" w:hAnsi="Arial" w:cs="Arial"/>
        </w:rPr>
        <w:t>[28]</w:t>
      </w:r>
      <w:r w:rsidRPr="00C929EE">
        <w:rPr>
          <w:rFonts w:ascii="Arial" w:hAnsi="Arial" w:cs="Arial"/>
        </w:rPr>
        <w:tab/>
      </w:r>
      <w:r w:rsidR="00FA43CE" w:rsidRPr="00C929EE">
        <w:rPr>
          <w:rFonts w:ascii="Arial" w:hAnsi="Arial" w:cs="Arial"/>
        </w:rPr>
        <w:t>If I were to find that this argument raised a section 34 issue</w:t>
      </w:r>
      <w:r w:rsidR="00A0506E" w:rsidRPr="00C929EE">
        <w:rPr>
          <w:rFonts w:ascii="Arial" w:hAnsi="Arial" w:cs="Arial"/>
        </w:rPr>
        <w:t>,</w:t>
      </w:r>
      <w:r w:rsidR="00FA43CE" w:rsidRPr="00C929EE">
        <w:rPr>
          <w:rFonts w:ascii="Arial" w:hAnsi="Arial" w:cs="Arial"/>
        </w:rPr>
        <w:t xml:space="preserve"> I would be doing what the court in </w:t>
      </w:r>
      <w:r w:rsidR="00FA43CE" w:rsidRPr="00C929EE">
        <w:rPr>
          <w:rFonts w:ascii="Arial" w:hAnsi="Arial" w:cs="Arial"/>
          <w:i/>
          <w:iCs/>
        </w:rPr>
        <w:t>Napier</w:t>
      </w:r>
      <w:r w:rsidR="00FA43CE" w:rsidRPr="00C929EE">
        <w:rPr>
          <w:rFonts w:ascii="Arial" w:hAnsi="Arial" w:cs="Arial"/>
        </w:rPr>
        <w:t xml:space="preserve"> said must not be done – imposing </w:t>
      </w:r>
      <w:r w:rsidR="0003006C" w:rsidRPr="00C929EE">
        <w:rPr>
          <w:rFonts w:ascii="Arial" w:hAnsi="Arial" w:cs="Arial"/>
        </w:rPr>
        <w:t>my</w:t>
      </w:r>
      <w:r w:rsidR="00FA43CE" w:rsidRPr="00C929EE">
        <w:rPr>
          <w:rFonts w:ascii="Arial" w:hAnsi="Arial" w:cs="Arial"/>
        </w:rPr>
        <w:t xml:space="preserve"> con</w:t>
      </w:r>
      <w:r w:rsidR="0003006C" w:rsidRPr="00C929EE">
        <w:rPr>
          <w:rFonts w:ascii="Arial" w:hAnsi="Arial" w:cs="Arial"/>
        </w:rPr>
        <w:t xml:space="preserve">ception of fairness of the parties individual arrangements. </w:t>
      </w:r>
      <w:r w:rsidR="001450CD" w:rsidRPr="00C929EE">
        <w:rPr>
          <w:rFonts w:ascii="Arial" w:hAnsi="Arial" w:cs="Arial"/>
        </w:rPr>
        <w:t>This defence too fails to raise a triable issue.</w:t>
      </w:r>
    </w:p>
    <w:p w14:paraId="42F639D0" w14:textId="2B5777C6" w:rsidR="00A0506E" w:rsidRPr="00C929EE" w:rsidRDefault="00A0506E" w:rsidP="00C929EE">
      <w:pPr>
        <w:pStyle w:val="NormalWeb"/>
        <w:shd w:val="clear" w:color="auto" w:fill="FFFFFF"/>
        <w:spacing w:before="144" w:after="360" w:afterAutospacing="0" w:line="480" w:lineRule="auto"/>
        <w:ind w:left="360" w:firstLine="360"/>
        <w:jc w:val="both"/>
        <w:rPr>
          <w:rFonts w:ascii="Arial" w:hAnsi="Arial" w:cs="Arial"/>
          <w:b/>
          <w:bCs/>
        </w:rPr>
      </w:pPr>
      <w:r w:rsidRPr="00C929EE">
        <w:rPr>
          <w:rFonts w:ascii="Arial" w:hAnsi="Arial" w:cs="Arial"/>
          <w:b/>
          <w:bCs/>
        </w:rPr>
        <w:t xml:space="preserve">Conclusion </w:t>
      </w:r>
    </w:p>
    <w:p w14:paraId="5FE86BEE" w14:textId="6E4328C1" w:rsidR="006B5D7E" w:rsidRPr="00C929EE" w:rsidRDefault="00C929EE" w:rsidP="00C929EE">
      <w:pPr>
        <w:pStyle w:val="NormalWeb"/>
        <w:shd w:val="clear" w:color="auto" w:fill="FFFFFF"/>
        <w:spacing w:before="144" w:after="360" w:afterAutospacing="0" w:line="480" w:lineRule="auto"/>
        <w:ind w:left="720" w:hanging="720"/>
        <w:jc w:val="both"/>
        <w:rPr>
          <w:rFonts w:ascii="Arial" w:hAnsi="Arial" w:cs="Arial"/>
        </w:rPr>
      </w:pPr>
      <w:r w:rsidRPr="00C929EE">
        <w:rPr>
          <w:rFonts w:ascii="Arial" w:hAnsi="Arial" w:cs="Arial"/>
        </w:rPr>
        <w:t>[29]</w:t>
      </w:r>
      <w:r w:rsidRPr="00C929EE">
        <w:rPr>
          <w:rFonts w:ascii="Arial" w:hAnsi="Arial" w:cs="Arial"/>
        </w:rPr>
        <w:tab/>
      </w:r>
      <w:r w:rsidR="00A0506E" w:rsidRPr="00C929EE">
        <w:rPr>
          <w:rFonts w:ascii="Arial" w:hAnsi="Arial" w:cs="Arial"/>
        </w:rPr>
        <w:t xml:space="preserve">The defendant has raised several defences </w:t>
      </w:r>
      <w:r w:rsidR="00910EE7" w:rsidRPr="00C929EE">
        <w:rPr>
          <w:rFonts w:ascii="Arial" w:hAnsi="Arial" w:cs="Arial"/>
        </w:rPr>
        <w:t>to the summary judgment application. Despite condoning a late filling of its answering affidavit</w:t>
      </w:r>
      <w:r w:rsidR="00761B46" w:rsidRPr="00C929EE">
        <w:rPr>
          <w:rFonts w:ascii="Arial" w:hAnsi="Arial" w:cs="Arial"/>
        </w:rPr>
        <w:t>,</w:t>
      </w:r>
      <w:r w:rsidR="00910EE7" w:rsidRPr="00C929EE">
        <w:rPr>
          <w:rFonts w:ascii="Arial" w:hAnsi="Arial" w:cs="Arial"/>
        </w:rPr>
        <w:t xml:space="preserve"> and a generous reading in of the plea to </w:t>
      </w:r>
      <w:r w:rsidR="000F2284" w:rsidRPr="00C929EE">
        <w:rPr>
          <w:rFonts w:ascii="Arial" w:hAnsi="Arial" w:cs="Arial"/>
        </w:rPr>
        <w:t xml:space="preserve">include some issues only clearly articulated in the answering </w:t>
      </w:r>
      <w:r w:rsidR="000F2284" w:rsidRPr="00C929EE">
        <w:rPr>
          <w:rFonts w:ascii="Arial" w:hAnsi="Arial" w:cs="Arial"/>
        </w:rPr>
        <w:lastRenderedPageBreak/>
        <w:t>affidavit</w:t>
      </w:r>
      <w:r w:rsidR="0010242C" w:rsidRPr="00C929EE">
        <w:rPr>
          <w:rFonts w:ascii="Arial" w:hAnsi="Arial" w:cs="Arial"/>
        </w:rPr>
        <w:t>,</w:t>
      </w:r>
      <w:r w:rsidR="000F2284" w:rsidRPr="00C929EE">
        <w:rPr>
          <w:rFonts w:ascii="Arial" w:hAnsi="Arial" w:cs="Arial"/>
        </w:rPr>
        <w:t xml:space="preserve"> I find that none of the defences raise</w:t>
      </w:r>
      <w:r w:rsidR="0010242C" w:rsidRPr="00C929EE">
        <w:rPr>
          <w:rFonts w:ascii="Arial" w:hAnsi="Arial" w:cs="Arial"/>
        </w:rPr>
        <w:t>s</w:t>
      </w:r>
      <w:r w:rsidR="000F2284" w:rsidRPr="00C929EE">
        <w:rPr>
          <w:rFonts w:ascii="Arial" w:hAnsi="Arial" w:cs="Arial"/>
        </w:rPr>
        <w:t xml:space="preserve"> a triable issue.</w:t>
      </w:r>
      <w:r w:rsidR="00FB6380" w:rsidRPr="00C929EE">
        <w:rPr>
          <w:rFonts w:ascii="Arial" w:hAnsi="Arial" w:cs="Arial"/>
        </w:rPr>
        <w:t xml:space="preserve"> The plaintiff is entitled to summary judgment in the amount claimed </w:t>
      </w:r>
      <w:r w:rsidR="0010242C" w:rsidRPr="00C929EE">
        <w:rPr>
          <w:rFonts w:ascii="Arial" w:hAnsi="Arial" w:cs="Arial"/>
        </w:rPr>
        <w:t xml:space="preserve">in the summons but </w:t>
      </w:r>
      <w:r w:rsidR="00FB6380" w:rsidRPr="00C929EE">
        <w:rPr>
          <w:rFonts w:ascii="Arial" w:hAnsi="Arial" w:cs="Arial"/>
        </w:rPr>
        <w:t xml:space="preserve">as reduced in the summary judgment application. </w:t>
      </w:r>
    </w:p>
    <w:p w14:paraId="2A97B19F" w14:textId="36BF1F4E" w:rsidR="00A0506E" w:rsidRPr="00C929EE" w:rsidRDefault="00C929EE" w:rsidP="00C929EE">
      <w:pPr>
        <w:pStyle w:val="NormalWeb"/>
        <w:shd w:val="clear" w:color="auto" w:fill="FFFFFF"/>
        <w:spacing w:before="144" w:after="360" w:afterAutospacing="0" w:line="480" w:lineRule="auto"/>
        <w:ind w:left="720" w:hanging="720"/>
        <w:jc w:val="both"/>
        <w:rPr>
          <w:rFonts w:ascii="Arial" w:hAnsi="Arial" w:cs="Arial"/>
        </w:rPr>
      </w:pPr>
      <w:r w:rsidRPr="00C929EE">
        <w:rPr>
          <w:rFonts w:ascii="Arial" w:hAnsi="Arial" w:cs="Arial"/>
        </w:rPr>
        <w:t>[30]</w:t>
      </w:r>
      <w:r w:rsidRPr="00C929EE">
        <w:rPr>
          <w:rFonts w:ascii="Arial" w:hAnsi="Arial" w:cs="Arial"/>
        </w:rPr>
        <w:tab/>
      </w:r>
      <w:r w:rsidR="00FB6380" w:rsidRPr="00C929EE">
        <w:rPr>
          <w:rFonts w:ascii="Arial" w:hAnsi="Arial" w:cs="Arial"/>
        </w:rPr>
        <w:t xml:space="preserve">The </w:t>
      </w:r>
      <w:r w:rsidR="004E424D" w:rsidRPr="00C929EE">
        <w:rPr>
          <w:rFonts w:ascii="Arial" w:hAnsi="Arial" w:cs="Arial"/>
        </w:rPr>
        <w:t xml:space="preserve">plaintiff </w:t>
      </w:r>
      <w:r w:rsidR="00E768BE" w:rsidRPr="00C929EE">
        <w:rPr>
          <w:rFonts w:ascii="Arial" w:hAnsi="Arial" w:cs="Arial"/>
        </w:rPr>
        <w:t xml:space="preserve">claims </w:t>
      </w:r>
      <w:r w:rsidR="004E424D" w:rsidRPr="00C929EE">
        <w:rPr>
          <w:rFonts w:ascii="Arial" w:hAnsi="Arial" w:cs="Arial"/>
        </w:rPr>
        <w:t>costs</w:t>
      </w:r>
      <w:r w:rsidR="007259A3" w:rsidRPr="00C929EE">
        <w:rPr>
          <w:rFonts w:ascii="Arial" w:hAnsi="Arial" w:cs="Arial"/>
        </w:rPr>
        <w:t xml:space="preserve"> on an attorney client scale</w:t>
      </w:r>
      <w:r w:rsidR="00E768BE" w:rsidRPr="00C929EE">
        <w:rPr>
          <w:rFonts w:ascii="Arial" w:hAnsi="Arial" w:cs="Arial"/>
        </w:rPr>
        <w:t>.</w:t>
      </w:r>
      <w:r w:rsidR="0043225B" w:rsidRPr="00C929EE">
        <w:rPr>
          <w:rFonts w:ascii="Arial" w:hAnsi="Arial" w:cs="Arial"/>
        </w:rPr>
        <w:t xml:space="preserve"> </w:t>
      </w:r>
      <w:r w:rsidR="00E34381" w:rsidRPr="00C929EE">
        <w:rPr>
          <w:rFonts w:ascii="Arial" w:hAnsi="Arial" w:cs="Arial"/>
        </w:rPr>
        <w:t xml:space="preserve">It has been </w:t>
      </w:r>
      <w:r w:rsidR="0085579B" w:rsidRPr="00C929EE">
        <w:rPr>
          <w:rFonts w:ascii="Arial" w:hAnsi="Arial" w:cs="Arial"/>
        </w:rPr>
        <w:t>successful in obtaining summary judgment,</w:t>
      </w:r>
      <w:r w:rsidR="00E34381" w:rsidRPr="00C929EE">
        <w:rPr>
          <w:rFonts w:ascii="Arial" w:hAnsi="Arial" w:cs="Arial"/>
        </w:rPr>
        <w:t xml:space="preserve"> but the issue is whether it should be entitled to this </w:t>
      </w:r>
      <w:r w:rsidR="0085579B" w:rsidRPr="00C929EE">
        <w:rPr>
          <w:rFonts w:ascii="Arial" w:hAnsi="Arial" w:cs="Arial"/>
        </w:rPr>
        <w:t>level of costs. Certainly, i</w:t>
      </w:r>
      <w:r w:rsidR="0043225B" w:rsidRPr="00C929EE">
        <w:rPr>
          <w:rFonts w:ascii="Arial" w:hAnsi="Arial" w:cs="Arial"/>
        </w:rPr>
        <w:t>t would be entitled</w:t>
      </w:r>
      <w:r w:rsidR="006B5D7E" w:rsidRPr="00C929EE">
        <w:rPr>
          <w:rFonts w:ascii="Arial" w:hAnsi="Arial" w:cs="Arial"/>
        </w:rPr>
        <w:t xml:space="preserve"> </w:t>
      </w:r>
      <w:r w:rsidR="0097592C" w:rsidRPr="00C929EE">
        <w:rPr>
          <w:rFonts w:ascii="Arial" w:hAnsi="Arial" w:cs="Arial"/>
        </w:rPr>
        <w:t>to the</w:t>
      </w:r>
      <w:r w:rsidR="0043225B" w:rsidRPr="00C929EE">
        <w:rPr>
          <w:rFonts w:ascii="Arial" w:hAnsi="Arial" w:cs="Arial"/>
        </w:rPr>
        <w:t xml:space="preserve"> costs</w:t>
      </w:r>
      <w:r w:rsidR="009F5046" w:rsidRPr="00C929EE">
        <w:rPr>
          <w:rFonts w:ascii="Arial" w:hAnsi="Arial" w:cs="Arial"/>
        </w:rPr>
        <w:t>,</w:t>
      </w:r>
      <w:r w:rsidR="0043225B" w:rsidRPr="00C929EE">
        <w:rPr>
          <w:rFonts w:ascii="Arial" w:hAnsi="Arial" w:cs="Arial"/>
        </w:rPr>
        <w:t xml:space="preserve"> as tendered by the defendant</w:t>
      </w:r>
      <w:r w:rsidR="009F5046" w:rsidRPr="00C929EE">
        <w:rPr>
          <w:rFonts w:ascii="Arial" w:hAnsi="Arial" w:cs="Arial"/>
        </w:rPr>
        <w:t>,</w:t>
      </w:r>
      <w:r w:rsidR="0043225B" w:rsidRPr="00C929EE">
        <w:rPr>
          <w:rFonts w:ascii="Arial" w:hAnsi="Arial" w:cs="Arial"/>
        </w:rPr>
        <w:t xml:space="preserve"> for removing the costs of the unopposed application for summary judgment from the court roll.</w:t>
      </w:r>
      <w:r w:rsidR="004E424D" w:rsidRPr="00C929EE">
        <w:rPr>
          <w:rFonts w:ascii="Arial" w:hAnsi="Arial" w:cs="Arial"/>
        </w:rPr>
        <w:t xml:space="preserve"> </w:t>
      </w:r>
      <w:r w:rsidR="00461E42" w:rsidRPr="00C929EE">
        <w:rPr>
          <w:rFonts w:ascii="Arial" w:hAnsi="Arial" w:cs="Arial"/>
        </w:rPr>
        <w:t xml:space="preserve">But </w:t>
      </w:r>
      <w:r w:rsidR="004E424D" w:rsidRPr="00C929EE">
        <w:rPr>
          <w:rFonts w:ascii="Arial" w:hAnsi="Arial" w:cs="Arial"/>
        </w:rPr>
        <w:t xml:space="preserve">given </w:t>
      </w:r>
      <w:r w:rsidR="000272AA" w:rsidRPr="00C929EE">
        <w:rPr>
          <w:rFonts w:ascii="Arial" w:hAnsi="Arial" w:cs="Arial"/>
        </w:rPr>
        <w:t>the plaintiff’s</w:t>
      </w:r>
      <w:r w:rsidR="004E424D" w:rsidRPr="00C929EE">
        <w:rPr>
          <w:rFonts w:ascii="Arial" w:hAnsi="Arial" w:cs="Arial"/>
        </w:rPr>
        <w:t xml:space="preserve"> unnecessary opposition to </w:t>
      </w:r>
      <w:r w:rsidR="00AD620D" w:rsidRPr="00C929EE">
        <w:rPr>
          <w:rFonts w:ascii="Arial" w:hAnsi="Arial" w:cs="Arial"/>
        </w:rPr>
        <w:t xml:space="preserve">the </w:t>
      </w:r>
      <w:r w:rsidR="004E424D" w:rsidRPr="00C929EE">
        <w:rPr>
          <w:rFonts w:ascii="Arial" w:hAnsi="Arial" w:cs="Arial"/>
        </w:rPr>
        <w:t>application for</w:t>
      </w:r>
      <w:r w:rsidR="00AD620D" w:rsidRPr="00C929EE">
        <w:rPr>
          <w:rFonts w:ascii="Arial" w:hAnsi="Arial" w:cs="Arial"/>
        </w:rPr>
        <w:t xml:space="preserve"> condonation</w:t>
      </w:r>
      <w:r w:rsidR="00B408E4" w:rsidRPr="00C929EE">
        <w:rPr>
          <w:rFonts w:ascii="Arial" w:hAnsi="Arial" w:cs="Arial"/>
        </w:rPr>
        <w:t xml:space="preserve"> for</w:t>
      </w:r>
      <w:r w:rsidR="000272AA" w:rsidRPr="00C929EE">
        <w:rPr>
          <w:rFonts w:ascii="Arial" w:hAnsi="Arial" w:cs="Arial"/>
        </w:rPr>
        <w:t xml:space="preserve"> the</w:t>
      </w:r>
      <w:r w:rsidR="004E424D" w:rsidRPr="00C929EE">
        <w:rPr>
          <w:rFonts w:ascii="Arial" w:hAnsi="Arial" w:cs="Arial"/>
        </w:rPr>
        <w:t xml:space="preserve"> late filing of the answering affidavit</w:t>
      </w:r>
      <w:r w:rsidR="00B408E4" w:rsidRPr="00C929EE">
        <w:rPr>
          <w:rFonts w:ascii="Arial" w:hAnsi="Arial" w:cs="Arial"/>
        </w:rPr>
        <w:t>,</w:t>
      </w:r>
      <w:r w:rsidR="004E424D" w:rsidRPr="00C929EE">
        <w:rPr>
          <w:rFonts w:ascii="Arial" w:hAnsi="Arial" w:cs="Arial"/>
        </w:rPr>
        <w:t xml:space="preserve"> which occupied much time both in written and oral argument</w:t>
      </w:r>
      <w:r w:rsidR="00947416" w:rsidRPr="00C929EE">
        <w:rPr>
          <w:rFonts w:ascii="Arial" w:hAnsi="Arial" w:cs="Arial"/>
        </w:rPr>
        <w:t>,</w:t>
      </w:r>
      <w:r w:rsidR="003D50D4" w:rsidRPr="00C929EE">
        <w:rPr>
          <w:rFonts w:ascii="Arial" w:hAnsi="Arial" w:cs="Arial"/>
        </w:rPr>
        <w:t xml:space="preserve"> and </w:t>
      </w:r>
      <w:r w:rsidR="009F5046" w:rsidRPr="00C929EE">
        <w:rPr>
          <w:rFonts w:ascii="Arial" w:hAnsi="Arial" w:cs="Arial"/>
        </w:rPr>
        <w:t xml:space="preserve">which </w:t>
      </w:r>
      <w:r w:rsidR="003D50D4" w:rsidRPr="00C929EE">
        <w:rPr>
          <w:rFonts w:ascii="Arial" w:hAnsi="Arial" w:cs="Arial"/>
        </w:rPr>
        <w:t xml:space="preserve">proved unsuccessful, </w:t>
      </w:r>
      <w:r w:rsidR="0061670B" w:rsidRPr="00C929EE">
        <w:rPr>
          <w:rFonts w:ascii="Arial" w:hAnsi="Arial" w:cs="Arial"/>
        </w:rPr>
        <w:t>the defendant ought to be entitled to these costs But t</w:t>
      </w:r>
      <w:r w:rsidR="00C01C32" w:rsidRPr="00C929EE">
        <w:rPr>
          <w:rFonts w:ascii="Arial" w:hAnsi="Arial" w:cs="Arial"/>
        </w:rPr>
        <w:t xml:space="preserve">o avoid complications </w:t>
      </w:r>
      <w:r w:rsidR="0060217D" w:rsidRPr="00C929EE">
        <w:rPr>
          <w:rFonts w:ascii="Arial" w:hAnsi="Arial" w:cs="Arial"/>
        </w:rPr>
        <w:t xml:space="preserve">in taxation </w:t>
      </w:r>
      <w:r w:rsidR="00134FDD" w:rsidRPr="00C929EE">
        <w:rPr>
          <w:rFonts w:ascii="Arial" w:hAnsi="Arial" w:cs="Arial"/>
        </w:rPr>
        <w:t xml:space="preserve">instead of awarding the defendant the costs incurred in successfully defending the condonation application, </w:t>
      </w:r>
      <w:r w:rsidR="004E424D" w:rsidRPr="00C929EE">
        <w:rPr>
          <w:rFonts w:ascii="Arial" w:hAnsi="Arial" w:cs="Arial"/>
        </w:rPr>
        <w:t xml:space="preserve">I will </w:t>
      </w:r>
      <w:r w:rsidR="00935B08" w:rsidRPr="00C929EE">
        <w:rPr>
          <w:rFonts w:ascii="Arial" w:hAnsi="Arial" w:cs="Arial"/>
        </w:rPr>
        <w:t>rather</w:t>
      </w:r>
      <w:r w:rsidR="00112D7C" w:rsidRPr="00C929EE">
        <w:rPr>
          <w:rFonts w:ascii="Arial" w:hAnsi="Arial" w:cs="Arial"/>
        </w:rPr>
        <w:t xml:space="preserve"> instead</w:t>
      </w:r>
      <w:r w:rsidR="00935B08" w:rsidRPr="00C929EE">
        <w:rPr>
          <w:rFonts w:ascii="Arial" w:hAnsi="Arial" w:cs="Arial"/>
        </w:rPr>
        <w:t xml:space="preserve"> </w:t>
      </w:r>
      <w:r w:rsidR="004E424D" w:rsidRPr="00C929EE">
        <w:rPr>
          <w:rFonts w:ascii="Arial" w:hAnsi="Arial" w:cs="Arial"/>
        </w:rPr>
        <w:t>reduce the</w:t>
      </w:r>
      <w:r w:rsidR="00134FDD" w:rsidRPr="00C929EE">
        <w:rPr>
          <w:rFonts w:ascii="Arial" w:hAnsi="Arial" w:cs="Arial"/>
        </w:rPr>
        <w:t xml:space="preserve"> plaintiff’s entitlement to </w:t>
      </w:r>
      <w:r w:rsidR="004E424D" w:rsidRPr="00C929EE">
        <w:rPr>
          <w:rFonts w:ascii="Arial" w:hAnsi="Arial" w:cs="Arial"/>
        </w:rPr>
        <w:t>cost</w:t>
      </w:r>
      <w:r w:rsidR="00954F69" w:rsidRPr="00C929EE">
        <w:rPr>
          <w:rFonts w:ascii="Arial" w:hAnsi="Arial" w:cs="Arial"/>
        </w:rPr>
        <w:t>s</w:t>
      </w:r>
      <w:r w:rsidR="004E424D" w:rsidRPr="00C929EE">
        <w:rPr>
          <w:rFonts w:ascii="Arial" w:hAnsi="Arial" w:cs="Arial"/>
        </w:rPr>
        <w:t xml:space="preserve"> to </w:t>
      </w:r>
      <w:r w:rsidR="001E6302" w:rsidRPr="00C929EE">
        <w:rPr>
          <w:rFonts w:ascii="Arial" w:hAnsi="Arial" w:cs="Arial"/>
        </w:rPr>
        <w:t>party and party costs</w:t>
      </w:r>
      <w:r w:rsidR="00954F69" w:rsidRPr="00C929EE">
        <w:rPr>
          <w:rFonts w:ascii="Arial" w:hAnsi="Arial" w:cs="Arial"/>
        </w:rPr>
        <w:t xml:space="preserve"> for all the </w:t>
      </w:r>
      <w:r w:rsidR="002D00B4" w:rsidRPr="00C929EE">
        <w:rPr>
          <w:rFonts w:ascii="Arial" w:hAnsi="Arial" w:cs="Arial"/>
        </w:rPr>
        <w:t>litigation.</w:t>
      </w:r>
    </w:p>
    <w:p w14:paraId="3F1940BE" w14:textId="77777777" w:rsidR="00A13550" w:rsidRPr="00A13550" w:rsidRDefault="00A13550" w:rsidP="00A13550">
      <w:pPr>
        <w:spacing w:after="360" w:line="480" w:lineRule="auto"/>
        <w:ind w:firstLine="720"/>
        <w:jc w:val="both"/>
        <w:rPr>
          <w:rFonts w:cs="Arial"/>
          <w:b/>
          <w:kern w:val="0"/>
          <w:szCs w:val="24"/>
          <w:u w:val="single"/>
          <w14:ligatures w14:val="none"/>
        </w:rPr>
      </w:pPr>
      <w:r w:rsidRPr="00A13550">
        <w:rPr>
          <w:rFonts w:cs="Arial"/>
          <w:b/>
          <w:kern w:val="0"/>
          <w:szCs w:val="24"/>
          <w:u w:val="single"/>
          <w14:ligatures w14:val="none"/>
        </w:rPr>
        <w:t xml:space="preserve">ORDER: - </w:t>
      </w:r>
    </w:p>
    <w:p w14:paraId="20B697BE" w14:textId="0F6458BE" w:rsidR="0055192C" w:rsidRPr="00A13550" w:rsidRDefault="00A13550" w:rsidP="00A13550">
      <w:pPr>
        <w:spacing w:line="480" w:lineRule="auto"/>
        <w:jc w:val="both"/>
        <w:rPr>
          <w:rFonts w:cs="Arial"/>
          <w:kern w:val="0"/>
          <w:szCs w:val="24"/>
          <w14:ligatures w14:val="none"/>
        </w:rPr>
      </w:pPr>
      <w:r w:rsidRPr="00A13550">
        <w:rPr>
          <w:rFonts w:cs="Arial"/>
          <w:kern w:val="0"/>
          <w:szCs w:val="24"/>
          <w14:ligatures w14:val="none"/>
        </w:rPr>
        <w:t>[</w:t>
      </w:r>
      <w:r>
        <w:rPr>
          <w:rFonts w:cs="Arial"/>
          <w:kern w:val="0"/>
          <w:szCs w:val="24"/>
          <w14:ligatures w14:val="none"/>
        </w:rPr>
        <w:t>31</w:t>
      </w:r>
      <w:r w:rsidRPr="00A13550">
        <w:rPr>
          <w:rFonts w:cs="Arial"/>
          <w:kern w:val="0"/>
          <w:szCs w:val="24"/>
          <w14:ligatures w14:val="none"/>
        </w:rPr>
        <w:t xml:space="preserve">] </w:t>
      </w:r>
      <w:r w:rsidRPr="00A13550">
        <w:rPr>
          <w:rFonts w:cs="Arial"/>
          <w:kern w:val="0"/>
          <w:szCs w:val="24"/>
          <w14:ligatures w14:val="none"/>
        </w:rPr>
        <w:tab/>
        <w:t>In the result the following order is made:</w:t>
      </w:r>
    </w:p>
    <w:p w14:paraId="7A4BC4F1" w14:textId="4885A104" w:rsidR="007C5862" w:rsidRPr="00C929EE" w:rsidRDefault="00C929EE" w:rsidP="00787008">
      <w:pPr>
        <w:pStyle w:val="NormalWeb"/>
        <w:spacing w:after="360" w:afterAutospacing="0" w:line="480" w:lineRule="auto"/>
        <w:ind w:left="1440" w:hanging="720"/>
        <w:jc w:val="both"/>
        <w:rPr>
          <w:rFonts w:ascii="Arial" w:hAnsi="Arial" w:cs="Arial"/>
          <w:color w:val="000000"/>
        </w:rPr>
      </w:pPr>
      <w:r w:rsidRPr="00C929EE">
        <w:rPr>
          <w:rFonts w:ascii="Arial" w:hAnsi="Arial" w:cs="Arial"/>
          <w:color w:val="000000"/>
        </w:rPr>
        <w:t>[1]</w:t>
      </w:r>
      <w:r w:rsidRPr="00C929EE">
        <w:rPr>
          <w:rFonts w:ascii="Arial" w:hAnsi="Arial" w:cs="Arial"/>
          <w:color w:val="000000"/>
        </w:rPr>
        <w:tab/>
      </w:r>
      <w:r w:rsidR="007C5862" w:rsidRPr="00C929EE">
        <w:rPr>
          <w:rFonts w:ascii="Arial" w:hAnsi="Arial" w:cs="Arial"/>
          <w:color w:val="000000"/>
        </w:rPr>
        <w:t>Summary judgment is granted against the respondent/ defendant in favour of the applicant/ plaintiff for:</w:t>
      </w:r>
    </w:p>
    <w:p w14:paraId="5A92643B" w14:textId="183E7EFA" w:rsidR="00311F5F" w:rsidRPr="00C929EE" w:rsidRDefault="004E5E94" w:rsidP="004E5E94">
      <w:pPr>
        <w:pStyle w:val="NormalWeb"/>
        <w:spacing w:after="360" w:afterAutospacing="0" w:line="480" w:lineRule="auto"/>
        <w:ind w:left="1919" w:hanging="360"/>
        <w:jc w:val="both"/>
        <w:rPr>
          <w:rFonts w:ascii="Arial" w:hAnsi="Arial" w:cs="Arial"/>
          <w:color w:val="000000"/>
        </w:rPr>
      </w:pPr>
      <w:r w:rsidRPr="00C929EE">
        <w:rPr>
          <w:rFonts w:ascii="Arial" w:hAnsi="Arial" w:cs="Arial"/>
          <w:color w:val="000000"/>
        </w:rPr>
        <w:t>a.</w:t>
      </w:r>
      <w:r w:rsidRPr="00C929EE">
        <w:rPr>
          <w:rFonts w:ascii="Arial" w:hAnsi="Arial" w:cs="Arial"/>
          <w:color w:val="000000"/>
        </w:rPr>
        <w:tab/>
      </w:r>
      <w:r w:rsidR="007C5862" w:rsidRPr="00C929EE">
        <w:rPr>
          <w:rFonts w:ascii="Arial" w:hAnsi="Arial" w:cs="Arial"/>
          <w:color w:val="000000"/>
        </w:rPr>
        <w:t xml:space="preserve"> Payment of the sum of R3 754 387.50;</w:t>
      </w:r>
    </w:p>
    <w:p w14:paraId="77944A07" w14:textId="3F8624CC" w:rsidR="007C5862" w:rsidRPr="00C929EE" w:rsidRDefault="004E5E94" w:rsidP="004E5E94">
      <w:pPr>
        <w:pStyle w:val="NormalWeb"/>
        <w:spacing w:after="360" w:afterAutospacing="0" w:line="480" w:lineRule="auto"/>
        <w:ind w:left="1919" w:hanging="360"/>
        <w:jc w:val="both"/>
        <w:rPr>
          <w:rFonts w:ascii="Arial" w:hAnsi="Arial" w:cs="Arial"/>
          <w:color w:val="000000"/>
        </w:rPr>
      </w:pPr>
      <w:r w:rsidRPr="00C929EE">
        <w:rPr>
          <w:rFonts w:ascii="Arial" w:hAnsi="Arial" w:cs="Arial"/>
          <w:color w:val="000000"/>
        </w:rPr>
        <w:lastRenderedPageBreak/>
        <w:t>b.</w:t>
      </w:r>
      <w:r w:rsidRPr="00C929EE">
        <w:rPr>
          <w:rFonts w:ascii="Arial" w:hAnsi="Arial" w:cs="Arial"/>
          <w:color w:val="000000"/>
        </w:rPr>
        <w:tab/>
      </w:r>
      <w:r w:rsidR="007C5862" w:rsidRPr="00C929EE">
        <w:rPr>
          <w:rFonts w:ascii="Arial" w:hAnsi="Arial" w:cs="Arial"/>
          <w:color w:val="000000"/>
        </w:rPr>
        <w:t xml:space="preserve"> Interest on the aforesaid amount at the rate of prime plus 3% from 03 September 2022 to date of final payment;</w:t>
      </w:r>
    </w:p>
    <w:p w14:paraId="3BA35B00" w14:textId="1DD99718" w:rsidR="00787008" w:rsidRPr="00787008" w:rsidRDefault="004E5E94" w:rsidP="004E5E94">
      <w:pPr>
        <w:pStyle w:val="NormalWeb"/>
        <w:spacing w:after="360" w:afterAutospacing="0" w:line="480" w:lineRule="auto"/>
        <w:ind w:left="1919" w:hanging="360"/>
        <w:jc w:val="both"/>
        <w:rPr>
          <w:rFonts w:ascii="Arial" w:hAnsi="Arial" w:cs="Arial"/>
          <w:color w:val="000000"/>
        </w:rPr>
      </w:pPr>
      <w:r w:rsidRPr="00787008">
        <w:rPr>
          <w:rFonts w:ascii="Arial" w:hAnsi="Arial" w:cs="Arial"/>
          <w:color w:val="000000"/>
        </w:rPr>
        <w:t>c.</w:t>
      </w:r>
      <w:r w:rsidRPr="00787008">
        <w:rPr>
          <w:rFonts w:ascii="Arial" w:hAnsi="Arial" w:cs="Arial"/>
          <w:color w:val="000000"/>
        </w:rPr>
        <w:tab/>
      </w:r>
      <w:r w:rsidR="007C5862" w:rsidRPr="00C929EE">
        <w:rPr>
          <w:rFonts w:ascii="Arial" w:hAnsi="Arial" w:cs="Arial"/>
          <w:color w:val="000000"/>
        </w:rPr>
        <w:t xml:space="preserve">Costs of suit on </w:t>
      </w:r>
      <w:r w:rsidR="001E6302" w:rsidRPr="00C929EE">
        <w:rPr>
          <w:rFonts w:ascii="Arial" w:hAnsi="Arial" w:cs="Arial"/>
          <w:color w:val="000000"/>
        </w:rPr>
        <w:t>a party and party scale</w:t>
      </w:r>
      <w:r w:rsidR="00F52228" w:rsidRPr="00C929EE">
        <w:rPr>
          <w:rFonts w:ascii="Arial" w:hAnsi="Arial" w:cs="Arial"/>
          <w:color w:val="000000"/>
        </w:rPr>
        <w:t>,</w:t>
      </w:r>
      <w:r w:rsidR="001E6302" w:rsidRPr="00C929EE">
        <w:rPr>
          <w:rFonts w:ascii="Arial" w:hAnsi="Arial" w:cs="Arial"/>
          <w:color w:val="000000"/>
        </w:rPr>
        <w:t xml:space="preserve"> </w:t>
      </w:r>
      <w:r w:rsidR="00954F69" w:rsidRPr="00C929EE">
        <w:rPr>
          <w:rFonts w:ascii="Arial" w:hAnsi="Arial" w:cs="Arial"/>
          <w:color w:val="000000"/>
        </w:rPr>
        <w:t xml:space="preserve">including the </w:t>
      </w:r>
      <w:r w:rsidR="00C12521" w:rsidRPr="00C929EE">
        <w:rPr>
          <w:rFonts w:ascii="Arial" w:hAnsi="Arial" w:cs="Arial"/>
          <w:color w:val="000000"/>
        </w:rPr>
        <w:t xml:space="preserve">wasted </w:t>
      </w:r>
      <w:r w:rsidR="00954F69" w:rsidRPr="00C929EE">
        <w:rPr>
          <w:rFonts w:ascii="Arial" w:hAnsi="Arial" w:cs="Arial"/>
          <w:color w:val="000000"/>
        </w:rPr>
        <w:t xml:space="preserve">costs </w:t>
      </w:r>
      <w:r w:rsidR="00C12521" w:rsidRPr="00C929EE">
        <w:rPr>
          <w:rFonts w:ascii="Arial" w:hAnsi="Arial" w:cs="Arial"/>
          <w:color w:val="000000"/>
        </w:rPr>
        <w:t xml:space="preserve">incurred by </w:t>
      </w:r>
      <w:r w:rsidR="001E504C" w:rsidRPr="00C929EE">
        <w:rPr>
          <w:rFonts w:ascii="Arial" w:hAnsi="Arial" w:cs="Arial"/>
          <w:color w:val="000000"/>
        </w:rPr>
        <w:t xml:space="preserve">the applicant/plaintiff in </w:t>
      </w:r>
      <w:r w:rsidR="00C12521" w:rsidRPr="00C929EE">
        <w:rPr>
          <w:rFonts w:ascii="Arial" w:hAnsi="Arial" w:cs="Arial"/>
          <w:color w:val="000000"/>
        </w:rPr>
        <w:t xml:space="preserve">removing the summary judgment application on </w:t>
      </w:r>
      <w:r w:rsidR="000C093D" w:rsidRPr="00C929EE">
        <w:rPr>
          <w:rFonts w:ascii="Arial" w:hAnsi="Arial" w:cs="Arial"/>
          <w:color w:val="000000"/>
        </w:rPr>
        <w:t>8 February 2023.</w:t>
      </w:r>
    </w:p>
    <w:p w14:paraId="2B7C1AE3" w14:textId="77777777" w:rsidR="00787008" w:rsidRDefault="00787008" w:rsidP="00787008">
      <w:pPr>
        <w:spacing w:after="0" w:line="480" w:lineRule="auto"/>
        <w:jc w:val="right"/>
        <w:rPr>
          <w:rFonts w:cs="Arial"/>
          <w:b/>
          <w:szCs w:val="24"/>
        </w:rPr>
      </w:pPr>
    </w:p>
    <w:p w14:paraId="6F35F654" w14:textId="04E6F61B" w:rsidR="00787008" w:rsidRPr="006A7C9C" w:rsidRDefault="00787008" w:rsidP="00787008">
      <w:pPr>
        <w:spacing w:after="0" w:line="480" w:lineRule="auto"/>
        <w:jc w:val="right"/>
        <w:rPr>
          <w:rFonts w:cs="Arial"/>
          <w:b/>
          <w:szCs w:val="24"/>
        </w:rPr>
      </w:pPr>
      <w:r w:rsidRPr="006A7C9C">
        <w:rPr>
          <w:rFonts w:cs="Arial"/>
          <w:b/>
          <w:szCs w:val="24"/>
        </w:rPr>
        <w:t>_____________________________</w:t>
      </w:r>
    </w:p>
    <w:p w14:paraId="0437DB79" w14:textId="77777777" w:rsidR="00787008" w:rsidRPr="006A7C9C" w:rsidRDefault="00787008" w:rsidP="00787008">
      <w:pPr>
        <w:spacing w:after="0" w:line="360" w:lineRule="auto"/>
        <w:jc w:val="right"/>
        <w:rPr>
          <w:rFonts w:cs="Arial"/>
          <w:b/>
          <w:szCs w:val="24"/>
        </w:rPr>
      </w:pPr>
      <w:r w:rsidRPr="006A7C9C">
        <w:rPr>
          <w:rFonts w:cs="Arial"/>
          <w:b/>
          <w:szCs w:val="24"/>
        </w:rPr>
        <w:t>N.  MANOIM</w:t>
      </w:r>
    </w:p>
    <w:p w14:paraId="6DEB543F" w14:textId="77777777" w:rsidR="00787008" w:rsidRPr="006A7C9C" w:rsidRDefault="00787008" w:rsidP="00787008">
      <w:pPr>
        <w:spacing w:after="0" w:line="360" w:lineRule="auto"/>
        <w:jc w:val="right"/>
        <w:rPr>
          <w:rFonts w:cs="Arial"/>
          <w:b/>
          <w:szCs w:val="24"/>
        </w:rPr>
      </w:pPr>
      <w:r w:rsidRPr="006A7C9C">
        <w:rPr>
          <w:rFonts w:cs="Arial"/>
          <w:b/>
          <w:szCs w:val="24"/>
        </w:rPr>
        <w:t>JUDGE OF THE HIGH COURT</w:t>
      </w:r>
    </w:p>
    <w:p w14:paraId="780BE3ED" w14:textId="77777777" w:rsidR="00787008" w:rsidRPr="006A7C9C" w:rsidRDefault="00787008" w:rsidP="00787008">
      <w:pPr>
        <w:spacing w:after="0" w:line="360" w:lineRule="auto"/>
        <w:jc w:val="right"/>
        <w:rPr>
          <w:rFonts w:cs="Arial"/>
          <w:b/>
          <w:szCs w:val="24"/>
        </w:rPr>
      </w:pPr>
      <w:r w:rsidRPr="006A7C9C">
        <w:rPr>
          <w:rFonts w:cs="Arial"/>
          <w:b/>
          <w:szCs w:val="24"/>
        </w:rPr>
        <w:t xml:space="preserve">GAUTENG DIVISION </w:t>
      </w:r>
    </w:p>
    <w:p w14:paraId="7B3402CA" w14:textId="77777777" w:rsidR="00787008" w:rsidRPr="006A7C9C" w:rsidRDefault="00787008" w:rsidP="00787008">
      <w:pPr>
        <w:spacing w:line="600" w:lineRule="auto"/>
        <w:jc w:val="right"/>
        <w:rPr>
          <w:rFonts w:cs="Arial"/>
          <w:b/>
          <w:szCs w:val="24"/>
        </w:rPr>
      </w:pPr>
      <w:r w:rsidRPr="006A7C9C">
        <w:rPr>
          <w:rFonts w:cs="Arial"/>
          <w:b/>
          <w:szCs w:val="24"/>
        </w:rPr>
        <w:t>JOHANNESBURG</w:t>
      </w:r>
    </w:p>
    <w:p w14:paraId="155BFDCA" w14:textId="77777777" w:rsidR="00787008" w:rsidRPr="006A7C9C" w:rsidRDefault="00787008" w:rsidP="00787008">
      <w:pPr>
        <w:jc w:val="both"/>
        <w:rPr>
          <w:rFonts w:cs="Arial"/>
          <w:szCs w:val="24"/>
        </w:rPr>
      </w:pPr>
      <w:r w:rsidRPr="006A7C9C">
        <w:rPr>
          <w:rFonts w:cs="Arial"/>
          <w:szCs w:val="24"/>
        </w:rPr>
        <w:t xml:space="preserve">Date of hearing: </w:t>
      </w:r>
      <w:r>
        <w:rPr>
          <w:rFonts w:cs="Arial"/>
          <w:szCs w:val="24"/>
        </w:rPr>
        <w:t>07</w:t>
      </w:r>
      <w:r w:rsidRPr="006A7C9C">
        <w:rPr>
          <w:rFonts w:cs="Arial"/>
          <w:szCs w:val="24"/>
        </w:rPr>
        <w:t xml:space="preserve"> August 2023</w:t>
      </w:r>
    </w:p>
    <w:p w14:paraId="0523F259" w14:textId="043A72B9" w:rsidR="00787008" w:rsidRPr="006A7C9C" w:rsidRDefault="00787008" w:rsidP="00787008">
      <w:pPr>
        <w:spacing w:line="600" w:lineRule="auto"/>
        <w:jc w:val="both"/>
        <w:rPr>
          <w:rFonts w:cs="Arial"/>
          <w:szCs w:val="24"/>
        </w:rPr>
      </w:pPr>
      <w:r w:rsidRPr="006A7C9C">
        <w:rPr>
          <w:rFonts w:cs="Arial"/>
          <w:szCs w:val="24"/>
        </w:rPr>
        <w:t xml:space="preserve">Date of judgment: </w:t>
      </w:r>
      <w:r>
        <w:rPr>
          <w:rFonts w:cs="Arial"/>
          <w:szCs w:val="24"/>
        </w:rPr>
        <w:t>13</w:t>
      </w:r>
      <w:r w:rsidRPr="006A7C9C">
        <w:rPr>
          <w:rFonts w:cs="Arial"/>
          <w:szCs w:val="24"/>
        </w:rPr>
        <w:t xml:space="preserve"> September 2023</w:t>
      </w:r>
    </w:p>
    <w:p w14:paraId="4F14EA24" w14:textId="77777777" w:rsidR="00787008" w:rsidRPr="006A7C9C" w:rsidRDefault="00787008" w:rsidP="00787008">
      <w:pPr>
        <w:spacing w:line="480" w:lineRule="auto"/>
        <w:jc w:val="both"/>
        <w:rPr>
          <w:rFonts w:cs="Arial"/>
          <w:szCs w:val="24"/>
        </w:rPr>
      </w:pPr>
      <w:r w:rsidRPr="006A7C9C">
        <w:rPr>
          <w:rFonts w:cs="Arial"/>
          <w:szCs w:val="24"/>
        </w:rPr>
        <w:t>Appearances:</w:t>
      </w:r>
    </w:p>
    <w:p w14:paraId="463D7181" w14:textId="67B6DBFF" w:rsidR="00787008" w:rsidRPr="006A7C9C" w:rsidRDefault="00787008" w:rsidP="00787008">
      <w:pPr>
        <w:spacing w:line="480" w:lineRule="auto"/>
        <w:ind w:left="4320" w:hanging="4320"/>
        <w:jc w:val="both"/>
        <w:rPr>
          <w:rFonts w:cs="Arial"/>
          <w:szCs w:val="24"/>
        </w:rPr>
      </w:pPr>
      <w:r w:rsidRPr="006A7C9C">
        <w:rPr>
          <w:rFonts w:cs="Arial"/>
          <w:szCs w:val="24"/>
        </w:rPr>
        <w:t xml:space="preserve">Counsel for the Applicants:   </w:t>
      </w:r>
      <w:r w:rsidRPr="006A7C9C">
        <w:rPr>
          <w:rFonts w:cs="Arial"/>
          <w:szCs w:val="24"/>
        </w:rPr>
        <w:tab/>
      </w:r>
      <w:r>
        <w:rPr>
          <w:rFonts w:cs="Arial"/>
          <w:szCs w:val="24"/>
        </w:rPr>
        <w:t xml:space="preserve">E. Fasser </w:t>
      </w:r>
      <w:r w:rsidRPr="006A7C9C">
        <w:rPr>
          <w:rFonts w:cs="Arial"/>
          <w:szCs w:val="24"/>
        </w:rPr>
        <w:tab/>
      </w:r>
    </w:p>
    <w:p w14:paraId="3E384C7D" w14:textId="395AA1B4" w:rsidR="00787008" w:rsidRPr="006A7C9C" w:rsidRDefault="00787008" w:rsidP="00787008">
      <w:pPr>
        <w:spacing w:line="480" w:lineRule="auto"/>
        <w:jc w:val="both"/>
        <w:rPr>
          <w:rFonts w:cs="Arial"/>
          <w:szCs w:val="24"/>
        </w:rPr>
      </w:pPr>
      <w:r w:rsidRPr="006A7C9C">
        <w:rPr>
          <w:rFonts w:cs="Arial"/>
          <w:szCs w:val="24"/>
        </w:rPr>
        <w:t xml:space="preserve">Instructed by.                                      </w:t>
      </w:r>
      <w:r w:rsidRPr="006A7C9C">
        <w:rPr>
          <w:rFonts w:cs="Arial"/>
          <w:szCs w:val="24"/>
        </w:rPr>
        <w:tab/>
      </w:r>
      <w:r>
        <w:rPr>
          <w:rFonts w:cs="Arial"/>
          <w:szCs w:val="24"/>
        </w:rPr>
        <w:t>Wright, Rose-Innes Inc</w:t>
      </w:r>
    </w:p>
    <w:p w14:paraId="10DB1D19" w14:textId="77777777" w:rsidR="00787008" w:rsidRPr="006A7C9C" w:rsidRDefault="00787008" w:rsidP="00787008">
      <w:pPr>
        <w:jc w:val="both"/>
        <w:rPr>
          <w:rFonts w:cs="Arial"/>
        </w:rPr>
      </w:pPr>
    </w:p>
    <w:p w14:paraId="097EEB4F" w14:textId="087CDC0E" w:rsidR="00787008" w:rsidRPr="006A7C9C" w:rsidRDefault="00787008" w:rsidP="00787008">
      <w:pPr>
        <w:spacing w:line="480" w:lineRule="auto"/>
        <w:jc w:val="both"/>
        <w:rPr>
          <w:rFonts w:cs="Arial"/>
        </w:rPr>
      </w:pPr>
      <w:r w:rsidRPr="006A7C9C">
        <w:rPr>
          <w:rFonts w:cs="Arial"/>
        </w:rPr>
        <w:t xml:space="preserve">Counsel for </w:t>
      </w:r>
      <w:r>
        <w:rPr>
          <w:rFonts w:cs="Arial"/>
        </w:rPr>
        <w:t xml:space="preserve">the </w:t>
      </w:r>
      <w:r w:rsidRPr="006A7C9C">
        <w:rPr>
          <w:rFonts w:cs="Arial"/>
        </w:rPr>
        <w:t xml:space="preserve">Respondent:           </w:t>
      </w:r>
      <w:r w:rsidRPr="006A7C9C">
        <w:rPr>
          <w:rFonts w:cs="Arial"/>
        </w:rPr>
        <w:tab/>
      </w:r>
      <w:r>
        <w:rPr>
          <w:rFonts w:cs="Arial"/>
        </w:rPr>
        <w:t>MA Badenhorst SC</w:t>
      </w:r>
    </w:p>
    <w:p w14:paraId="6515F5B0" w14:textId="73047471" w:rsidR="00787008" w:rsidRPr="006A7C9C" w:rsidRDefault="00787008" w:rsidP="00787008">
      <w:pPr>
        <w:spacing w:after="360" w:line="480" w:lineRule="auto"/>
        <w:jc w:val="both"/>
        <w:rPr>
          <w:rFonts w:cs="Arial"/>
          <w:szCs w:val="24"/>
        </w:rPr>
      </w:pPr>
      <w:r w:rsidRPr="006A7C9C">
        <w:rPr>
          <w:rFonts w:cs="Arial"/>
        </w:rPr>
        <w:t xml:space="preserve">Instructed by:                                 </w:t>
      </w:r>
      <w:r w:rsidRPr="006A7C9C">
        <w:rPr>
          <w:rFonts w:cs="Arial"/>
        </w:rPr>
        <w:tab/>
      </w:r>
      <w:r>
        <w:rPr>
          <w:rFonts w:cs="Arial"/>
        </w:rPr>
        <w:t>Geyser Attorneys</w:t>
      </w:r>
      <w:r w:rsidRPr="006A7C9C">
        <w:rPr>
          <w:rFonts w:cs="Arial"/>
        </w:rPr>
        <w:t xml:space="preserve"> </w:t>
      </w:r>
    </w:p>
    <w:p w14:paraId="6B532295" w14:textId="77777777" w:rsidR="007C5862" w:rsidRPr="00C929EE" w:rsidRDefault="007C5862" w:rsidP="00C929EE">
      <w:pPr>
        <w:pStyle w:val="NormalWeb"/>
        <w:shd w:val="clear" w:color="auto" w:fill="FFFFFF"/>
        <w:spacing w:before="144" w:after="360" w:afterAutospacing="0" w:line="480" w:lineRule="auto"/>
        <w:jc w:val="both"/>
        <w:rPr>
          <w:rFonts w:ascii="Arial" w:hAnsi="Arial" w:cs="Arial"/>
        </w:rPr>
      </w:pPr>
    </w:p>
    <w:sectPr w:rsidR="007C5862" w:rsidRPr="00C929EE" w:rsidSect="00C929E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583AB" w14:textId="77777777" w:rsidR="009A1547" w:rsidRDefault="009A1547" w:rsidP="00263DEC">
      <w:pPr>
        <w:spacing w:after="0" w:line="240" w:lineRule="auto"/>
      </w:pPr>
      <w:r>
        <w:separator/>
      </w:r>
    </w:p>
  </w:endnote>
  <w:endnote w:type="continuationSeparator" w:id="0">
    <w:p w14:paraId="011C0D11" w14:textId="77777777" w:rsidR="009A1547" w:rsidRDefault="009A1547" w:rsidP="0026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9B4DA" w14:textId="77777777" w:rsidR="009A1547" w:rsidRDefault="009A1547" w:rsidP="00263DEC">
      <w:pPr>
        <w:spacing w:after="0" w:line="240" w:lineRule="auto"/>
      </w:pPr>
      <w:r>
        <w:separator/>
      </w:r>
    </w:p>
  </w:footnote>
  <w:footnote w:type="continuationSeparator" w:id="0">
    <w:p w14:paraId="04FA3FBD" w14:textId="77777777" w:rsidR="009A1547" w:rsidRDefault="009A1547" w:rsidP="00263DEC">
      <w:pPr>
        <w:spacing w:after="0" w:line="240" w:lineRule="auto"/>
      </w:pPr>
      <w:r>
        <w:continuationSeparator/>
      </w:r>
    </w:p>
  </w:footnote>
  <w:footnote w:id="1">
    <w:p w14:paraId="11C0AEA6" w14:textId="730B82C5" w:rsidR="00263DEC" w:rsidRPr="00263DEC" w:rsidRDefault="00263DEC" w:rsidP="00232FD0">
      <w:pPr>
        <w:pStyle w:val="FootnoteText"/>
        <w:jc w:val="both"/>
        <w:rPr>
          <w:lang w:val="en-US"/>
        </w:rPr>
      </w:pPr>
      <w:r>
        <w:rPr>
          <w:rStyle w:val="FootnoteReference"/>
        </w:rPr>
        <w:footnoteRef/>
      </w:r>
      <w:r>
        <w:t xml:space="preserve"> </w:t>
      </w:r>
      <w:r>
        <w:rPr>
          <w:lang w:val="en-US"/>
        </w:rPr>
        <w:t>Clause 45.3 of the contract.</w:t>
      </w:r>
    </w:p>
  </w:footnote>
  <w:footnote w:id="2">
    <w:p w14:paraId="5FE1ED29" w14:textId="5D888B7A" w:rsidR="00213FCD" w:rsidRPr="00213FCD" w:rsidRDefault="00213FCD" w:rsidP="00232FD0">
      <w:pPr>
        <w:pStyle w:val="FootnoteText"/>
        <w:jc w:val="both"/>
        <w:rPr>
          <w:lang w:val="en-US"/>
        </w:rPr>
      </w:pPr>
      <w:r>
        <w:rPr>
          <w:rStyle w:val="FootnoteReference"/>
        </w:rPr>
        <w:footnoteRef/>
      </w:r>
      <w:r>
        <w:t xml:space="preserve"> </w:t>
      </w:r>
      <w:r>
        <w:rPr>
          <w:lang w:val="en-US"/>
        </w:rPr>
        <w:t>This appears to be based on the annexures attached to the affidavit. See defendant’s heads of argument</w:t>
      </w:r>
      <w:r w:rsidR="00A57582">
        <w:rPr>
          <w:lang w:val="en-US"/>
        </w:rPr>
        <w:t>,</w:t>
      </w:r>
      <w:r>
        <w:rPr>
          <w:lang w:val="en-US"/>
        </w:rPr>
        <w:t xml:space="preserve"> footnote 17.</w:t>
      </w:r>
    </w:p>
  </w:footnote>
  <w:footnote w:id="3">
    <w:p w14:paraId="66BBF505" w14:textId="76BFBA7A" w:rsidR="005A4FA2" w:rsidRPr="005A4FA2" w:rsidRDefault="005A4FA2" w:rsidP="007B7231">
      <w:pPr>
        <w:pStyle w:val="FootnoteText"/>
        <w:jc w:val="both"/>
        <w:rPr>
          <w:lang w:val="en-US"/>
        </w:rPr>
      </w:pPr>
      <w:r>
        <w:rPr>
          <w:rStyle w:val="FootnoteReference"/>
        </w:rPr>
        <w:footnoteRef/>
      </w:r>
      <w:r>
        <w:t xml:space="preserve"> </w:t>
      </w:r>
      <w:r w:rsidRPr="005A4FA2">
        <w:t>Maharaj v Barclays National Bank Ltd 1976 (1) SA 418 (A) 425G-426E</w:t>
      </w:r>
      <w:r w:rsidR="007B7231">
        <w:t>.</w:t>
      </w:r>
    </w:p>
  </w:footnote>
  <w:footnote w:id="4">
    <w:p w14:paraId="0232291A" w14:textId="31489FCD" w:rsidR="00F92B5E" w:rsidRPr="00717D1D" w:rsidRDefault="00F92B5E" w:rsidP="00C929EE">
      <w:pPr>
        <w:pStyle w:val="FootnoteText"/>
        <w:jc w:val="both"/>
        <w:rPr>
          <w:lang w:val="en-US"/>
        </w:rPr>
      </w:pPr>
      <w:r>
        <w:rPr>
          <w:rStyle w:val="FootnoteReference"/>
        </w:rPr>
        <w:footnoteRef/>
      </w:r>
      <w:r>
        <w:t xml:space="preserve"> </w:t>
      </w:r>
      <w:r w:rsidRPr="00717D1D">
        <w:t>(2020/32427) [2021] ZAGPJHC 836 (20 December 2021</w:t>
      </w:r>
      <w:r w:rsidR="00AB0130">
        <w:t>) paragraph</w:t>
      </w:r>
      <w:r w:rsidR="0005137A">
        <w:t xml:space="preserve"> 67.</w:t>
      </w:r>
      <w:r w:rsidR="00AB0130">
        <w:t xml:space="preserve"> </w:t>
      </w:r>
    </w:p>
  </w:footnote>
  <w:footnote w:id="5">
    <w:p w14:paraId="3D0D9D64" w14:textId="012E0931" w:rsidR="00FE3856" w:rsidRPr="00FE3856" w:rsidRDefault="00FE3856" w:rsidP="00C929EE">
      <w:pPr>
        <w:pStyle w:val="FootnoteText"/>
        <w:jc w:val="both"/>
        <w:rPr>
          <w:lang w:val="en-US"/>
        </w:rPr>
      </w:pPr>
      <w:r>
        <w:rPr>
          <w:rStyle w:val="FootnoteReference"/>
        </w:rPr>
        <w:footnoteRef/>
      </w:r>
      <w:r>
        <w:t xml:space="preserve"> </w:t>
      </w:r>
      <w:r>
        <w:rPr>
          <w:lang w:val="en-US"/>
        </w:rPr>
        <w:t xml:space="preserve">Clause 45 consists of </w:t>
      </w:r>
      <w:r w:rsidR="00E87028">
        <w:rPr>
          <w:lang w:val="en-US"/>
        </w:rPr>
        <w:t>four sub-clauses which must be read together.</w:t>
      </w:r>
    </w:p>
  </w:footnote>
  <w:footnote w:id="6">
    <w:p w14:paraId="3234BE07" w14:textId="5CD864F5" w:rsidR="00AC7053" w:rsidRPr="00AC7053" w:rsidRDefault="00AC7053" w:rsidP="00C929EE">
      <w:pPr>
        <w:pStyle w:val="FootnoteText"/>
        <w:jc w:val="both"/>
        <w:rPr>
          <w:lang w:val="en-US"/>
        </w:rPr>
      </w:pPr>
      <w:r>
        <w:rPr>
          <w:rStyle w:val="FootnoteReference"/>
        </w:rPr>
        <w:footnoteRef/>
      </w:r>
      <w:r>
        <w:t xml:space="preserve"> </w:t>
      </w:r>
      <w:r>
        <w:rPr>
          <w:lang w:val="en-US"/>
        </w:rPr>
        <w:t>Hut</w:t>
      </w:r>
      <w:r w:rsidR="004221D6">
        <w:rPr>
          <w:lang w:val="en-US"/>
        </w:rPr>
        <w:t xml:space="preserve">chison et al “ </w:t>
      </w:r>
      <w:r w:rsidR="004221D6" w:rsidRPr="006336AB">
        <w:rPr>
          <w:i/>
          <w:iCs/>
          <w:lang w:val="en-US"/>
        </w:rPr>
        <w:t>Law of Contract</w:t>
      </w:r>
      <w:r w:rsidR="003E6C65" w:rsidRPr="006336AB">
        <w:rPr>
          <w:i/>
          <w:iCs/>
          <w:lang w:val="en-US"/>
        </w:rPr>
        <w:t xml:space="preserve"> in South Africa</w:t>
      </w:r>
      <w:r w:rsidR="004221D6">
        <w:rPr>
          <w:lang w:val="en-US"/>
        </w:rPr>
        <w:t>”</w:t>
      </w:r>
      <w:r w:rsidR="003E6C65">
        <w:rPr>
          <w:lang w:val="en-US"/>
        </w:rPr>
        <w:t xml:space="preserve"> Oxfor</w:t>
      </w:r>
      <w:r w:rsidR="006336AB">
        <w:rPr>
          <w:lang w:val="en-US"/>
        </w:rPr>
        <w:t>d,</w:t>
      </w:r>
      <w:r w:rsidR="004221D6">
        <w:rPr>
          <w:lang w:val="en-US"/>
        </w:rPr>
        <w:t xml:space="preserve"> </w:t>
      </w:r>
      <w:r w:rsidR="003E6C65">
        <w:rPr>
          <w:lang w:val="en-US"/>
        </w:rPr>
        <w:t xml:space="preserve">Third edition, </w:t>
      </w:r>
      <w:r w:rsidR="004221D6">
        <w:rPr>
          <w:lang w:val="en-US"/>
        </w:rPr>
        <w:t xml:space="preserve"> paragraph 15.4.</w:t>
      </w:r>
      <w:r w:rsidR="009D5819">
        <w:rPr>
          <w:lang w:val="en-US"/>
        </w:rPr>
        <w:t>3.1</w:t>
      </w:r>
      <w:r w:rsidR="00C929EE">
        <w:rPr>
          <w:lang w:val="en-US"/>
        </w:rPr>
        <w:t>.</w:t>
      </w:r>
    </w:p>
  </w:footnote>
  <w:footnote w:id="7">
    <w:p w14:paraId="037E9D6B" w14:textId="36C2CB01" w:rsidR="009421B2" w:rsidRPr="009421B2" w:rsidRDefault="009421B2">
      <w:pPr>
        <w:pStyle w:val="FootnoteText"/>
        <w:rPr>
          <w:lang w:val="en-US"/>
        </w:rPr>
      </w:pPr>
      <w:r>
        <w:rPr>
          <w:rStyle w:val="FootnoteReference"/>
        </w:rPr>
        <w:footnoteRef/>
      </w:r>
      <w:r>
        <w:t xml:space="preserve"> </w:t>
      </w:r>
      <w:r w:rsidR="00DD102F" w:rsidRPr="00DD102F">
        <w:t>2006 (9) BCLR 1011 (SCA)</w:t>
      </w:r>
      <w:r w:rsidR="00CA39F5">
        <w:t>.</w:t>
      </w:r>
    </w:p>
  </w:footnote>
  <w:footnote w:id="8">
    <w:p w14:paraId="1F790729" w14:textId="595E5EF8" w:rsidR="00CA39F5" w:rsidRPr="00CA39F5" w:rsidRDefault="00CA39F5">
      <w:pPr>
        <w:pStyle w:val="FootnoteText"/>
        <w:rPr>
          <w:lang w:val="en-US"/>
        </w:rPr>
      </w:pPr>
      <w:r>
        <w:rPr>
          <w:rStyle w:val="FootnoteReference"/>
        </w:rPr>
        <w:footnoteRef/>
      </w:r>
      <w:r>
        <w:t xml:space="preserve"> </w:t>
      </w:r>
      <w:r w:rsidRPr="00093150">
        <w:rPr>
          <w:i/>
          <w:iCs/>
          <w:lang w:val="en-US"/>
        </w:rPr>
        <w:t>Napier</w:t>
      </w:r>
      <w:r>
        <w:rPr>
          <w:lang w:val="en-US"/>
        </w:rPr>
        <w:t xml:space="preserve">, supra, paragraph </w:t>
      </w:r>
      <w:r w:rsidR="00093150">
        <w:rPr>
          <w:lang w:val="en-US"/>
        </w:rPr>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56504"/>
      <w:docPartObj>
        <w:docPartGallery w:val="Page Numbers (Top of Page)"/>
        <w:docPartUnique/>
      </w:docPartObj>
    </w:sdtPr>
    <w:sdtEndPr>
      <w:rPr>
        <w:noProof/>
      </w:rPr>
    </w:sdtEndPr>
    <w:sdtContent>
      <w:p w14:paraId="01E33794" w14:textId="2F3FDE8F" w:rsidR="002D00B4" w:rsidRDefault="002D00B4">
        <w:pPr>
          <w:pStyle w:val="Header"/>
          <w:jc w:val="right"/>
        </w:pPr>
        <w:r>
          <w:fldChar w:fldCharType="begin"/>
        </w:r>
        <w:r>
          <w:instrText xml:space="preserve"> PAGE   \* MERGEFORMAT </w:instrText>
        </w:r>
        <w:r>
          <w:fldChar w:fldCharType="separate"/>
        </w:r>
        <w:r w:rsidR="00327008">
          <w:rPr>
            <w:noProof/>
          </w:rPr>
          <w:t>2</w:t>
        </w:r>
        <w:r>
          <w:rPr>
            <w:noProof/>
          </w:rPr>
          <w:fldChar w:fldCharType="end"/>
        </w:r>
      </w:p>
    </w:sdtContent>
  </w:sdt>
  <w:p w14:paraId="22269D48" w14:textId="77777777" w:rsidR="002D00B4" w:rsidRDefault="002D0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767F"/>
    <w:multiLevelType w:val="hybridMultilevel"/>
    <w:tmpl w:val="5BE02612"/>
    <w:lvl w:ilvl="0" w:tplc="B8A4DAD6">
      <w:start w:val="1"/>
      <w:numFmt w:val="decimal"/>
      <w:lvlText w:val="[%1]"/>
      <w:lvlJc w:val="left"/>
      <w:pPr>
        <w:ind w:left="360" w:hanging="360"/>
      </w:pPr>
      <w:rPr>
        <w:rFonts w:hint="default"/>
      </w:rPr>
    </w:lvl>
    <w:lvl w:ilvl="1" w:tplc="F2DEC9D4">
      <w:start w:val="1"/>
      <w:numFmt w:val="lowerLetter"/>
      <w:lvlText w:val="%2."/>
      <w:lvlJc w:val="left"/>
      <w:pPr>
        <w:ind w:left="1494" w:hanging="360"/>
      </w:pPr>
      <w:rPr>
        <w:b/>
        <w:bCs/>
        <w:i w:val="0"/>
        <w:iCs w:val="0"/>
      </w:r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39DA17DC"/>
    <w:multiLevelType w:val="hybridMultilevel"/>
    <w:tmpl w:val="14FC58F2"/>
    <w:lvl w:ilvl="0" w:tplc="FFFFFFFF">
      <w:start w:val="1"/>
      <w:numFmt w:val="decimal"/>
      <w:lvlText w:val="[%1]"/>
      <w:lvlJc w:val="left"/>
      <w:pPr>
        <w:ind w:left="360" w:hanging="360"/>
      </w:pPr>
      <w:rPr>
        <w:rFonts w:hint="default"/>
      </w:rPr>
    </w:lvl>
    <w:lvl w:ilvl="1" w:tplc="FFFFFFFF">
      <w:start w:val="1"/>
      <w:numFmt w:val="lowerLetter"/>
      <w:lvlText w:val="%2."/>
      <w:lvlJc w:val="left"/>
      <w:pPr>
        <w:ind w:left="1919"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3B"/>
    <w:rsid w:val="00023F64"/>
    <w:rsid w:val="0002533B"/>
    <w:rsid w:val="000272AA"/>
    <w:rsid w:val="0003006C"/>
    <w:rsid w:val="00043119"/>
    <w:rsid w:val="0004591D"/>
    <w:rsid w:val="0005137A"/>
    <w:rsid w:val="00052ED6"/>
    <w:rsid w:val="00093150"/>
    <w:rsid w:val="000A0D27"/>
    <w:rsid w:val="000A73BE"/>
    <w:rsid w:val="000C093D"/>
    <w:rsid w:val="000C1A7D"/>
    <w:rsid w:val="000E4860"/>
    <w:rsid w:val="000F2284"/>
    <w:rsid w:val="000F260E"/>
    <w:rsid w:val="001002F6"/>
    <w:rsid w:val="0010242C"/>
    <w:rsid w:val="00112D7C"/>
    <w:rsid w:val="001328A7"/>
    <w:rsid w:val="00134FDD"/>
    <w:rsid w:val="0013581E"/>
    <w:rsid w:val="001370B9"/>
    <w:rsid w:val="001450CD"/>
    <w:rsid w:val="001514AB"/>
    <w:rsid w:val="00163B64"/>
    <w:rsid w:val="00180946"/>
    <w:rsid w:val="001970DF"/>
    <w:rsid w:val="001A72D6"/>
    <w:rsid w:val="001B57D5"/>
    <w:rsid w:val="001C6647"/>
    <w:rsid w:val="001E03F9"/>
    <w:rsid w:val="001E504C"/>
    <w:rsid w:val="001E5BD7"/>
    <w:rsid w:val="001E6302"/>
    <w:rsid w:val="001F5298"/>
    <w:rsid w:val="002046ED"/>
    <w:rsid w:val="00213FCD"/>
    <w:rsid w:val="00217462"/>
    <w:rsid w:val="00225036"/>
    <w:rsid w:val="00230804"/>
    <w:rsid w:val="00232FD0"/>
    <w:rsid w:val="00235BE0"/>
    <w:rsid w:val="00242380"/>
    <w:rsid w:val="00245574"/>
    <w:rsid w:val="00247280"/>
    <w:rsid w:val="00263DEC"/>
    <w:rsid w:val="00272EE7"/>
    <w:rsid w:val="00282499"/>
    <w:rsid w:val="00290FD7"/>
    <w:rsid w:val="002B021D"/>
    <w:rsid w:val="002B0DFC"/>
    <w:rsid w:val="002D00B4"/>
    <w:rsid w:val="002D3D93"/>
    <w:rsid w:val="00301009"/>
    <w:rsid w:val="00306476"/>
    <w:rsid w:val="00311F5F"/>
    <w:rsid w:val="00320A0E"/>
    <w:rsid w:val="00327008"/>
    <w:rsid w:val="00327951"/>
    <w:rsid w:val="00337D7D"/>
    <w:rsid w:val="00365856"/>
    <w:rsid w:val="00365FD5"/>
    <w:rsid w:val="003730E5"/>
    <w:rsid w:val="00390542"/>
    <w:rsid w:val="00394580"/>
    <w:rsid w:val="003978B2"/>
    <w:rsid w:val="003A0AFF"/>
    <w:rsid w:val="003C79E9"/>
    <w:rsid w:val="003D16E4"/>
    <w:rsid w:val="003D50D4"/>
    <w:rsid w:val="003E6C65"/>
    <w:rsid w:val="00410AAC"/>
    <w:rsid w:val="004221D6"/>
    <w:rsid w:val="00431C6A"/>
    <w:rsid w:val="0043225B"/>
    <w:rsid w:val="004401FF"/>
    <w:rsid w:val="00442BFF"/>
    <w:rsid w:val="00447B48"/>
    <w:rsid w:val="0045340B"/>
    <w:rsid w:val="00461E42"/>
    <w:rsid w:val="00485EBD"/>
    <w:rsid w:val="00494807"/>
    <w:rsid w:val="00496392"/>
    <w:rsid w:val="004B74DF"/>
    <w:rsid w:val="004D52A4"/>
    <w:rsid w:val="004E424D"/>
    <w:rsid w:val="004E5E94"/>
    <w:rsid w:val="00515453"/>
    <w:rsid w:val="00526DB5"/>
    <w:rsid w:val="0053456C"/>
    <w:rsid w:val="0055192C"/>
    <w:rsid w:val="005639EB"/>
    <w:rsid w:val="005A379A"/>
    <w:rsid w:val="005A4FA2"/>
    <w:rsid w:val="005C0962"/>
    <w:rsid w:val="005C753E"/>
    <w:rsid w:val="005C7D9C"/>
    <w:rsid w:val="005D19CD"/>
    <w:rsid w:val="005D7D54"/>
    <w:rsid w:val="005E6062"/>
    <w:rsid w:val="005F635F"/>
    <w:rsid w:val="0060217D"/>
    <w:rsid w:val="0060746E"/>
    <w:rsid w:val="0061670B"/>
    <w:rsid w:val="006336AB"/>
    <w:rsid w:val="00650D5A"/>
    <w:rsid w:val="00652145"/>
    <w:rsid w:val="006558FF"/>
    <w:rsid w:val="00661220"/>
    <w:rsid w:val="006617C5"/>
    <w:rsid w:val="00677706"/>
    <w:rsid w:val="0069581E"/>
    <w:rsid w:val="006B0FEC"/>
    <w:rsid w:val="006B5D7E"/>
    <w:rsid w:val="006D6575"/>
    <w:rsid w:val="007026D3"/>
    <w:rsid w:val="00703A9E"/>
    <w:rsid w:val="00717D1D"/>
    <w:rsid w:val="007259A3"/>
    <w:rsid w:val="00730D6A"/>
    <w:rsid w:val="00737138"/>
    <w:rsid w:val="007500F5"/>
    <w:rsid w:val="00752D99"/>
    <w:rsid w:val="00761B46"/>
    <w:rsid w:val="00763E0F"/>
    <w:rsid w:val="00767A9C"/>
    <w:rsid w:val="00787008"/>
    <w:rsid w:val="00792B11"/>
    <w:rsid w:val="007B18D3"/>
    <w:rsid w:val="007B7231"/>
    <w:rsid w:val="007C5862"/>
    <w:rsid w:val="007F4791"/>
    <w:rsid w:val="00823E46"/>
    <w:rsid w:val="00825FD2"/>
    <w:rsid w:val="008438F4"/>
    <w:rsid w:val="00851BC7"/>
    <w:rsid w:val="0085579B"/>
    <w:rsid w:val="008568E3"/>
    <w:rsid w:val="00870C7B"/>
    <w:rsid w:val="00880DB1"/>
    <w:rsid w:val="00882AE1"/>
    <w:rsid w:val="00893673"/>
    <w:rsid w:val="008B0C6A"/>
    <w:rsid w:val="008B27A2"/>
    <w:rsid w:val="008B6507"/>
    <w:rsid w:val="008C0EBE"/>
    <w:rsid w:val="008D32F9"/>
    <w:rsid w:val="008E273B"/>
    <w:rsid w:val="008F424C"/>
    <w:rsid w:val="00910EE7"/>
    <w:rsid w:val="009163E0"/>
    <w:rsid w:val="00924BDB"/>
    <w:rsid w:val="00933F67"/>
    <w:rsid w:val="00935B08"/>
    <w:rsid w:val="009421B2"/>
    <w:rsid w:val="00947416"/>
    <w:rsid w:val="00954F69"/>
    <w:rsid w:val="00955F0D"/>
    <w:rsid w:val="009569E4"/>
    <w:rsid w:val="0097592C"/>
    <w:rsid w:val="00985FD9"/>
    <w:rsid w:val="009A1547"/>
    <w:rsid w:val="009D5819"/>
    <w:rsid w:val="009D7F6C"/>
    <w:rsid w:val="009F41E3"/>
    <w:rsid w:val="009F5046"/>
    <w:rsid w:val="009F5693"/>
    <w:rsid w:val="00A016E4"/>
    <w:rsid w:val="00A0506E"/>
    <w:rsid w:val="00A05800"/>
    <w:rsid w:val="00A13550"/>
    <w:rsid w:val="00A21F72"/>
    <w:rsid w:val="00A312FD"/>
    <w:rsid w:val="00A33809"/>
    <w:rsid w:val="00A45A99"/>
    <w:rsid w:val="00A45ED4"/>
    <w:rsid w:val="00A57582"/>
    <w:rsid w:val="00A615B4"/>
    <w:rsid w:val="00A64024"/>
    <w:rsid w:val="00A7103A"/>
    <w:rsid w:val="00A95C73"/>
    <w:rsid w:val="00AA343B"/>
    <w:rsid w:val="00AB0130"/>
    <w:rsid w:val="00AB1558"/>
    <w:rsid w:val="00AC0893"/>
    <w:rsid w:val="00AC3C0A"/>
    <w:rsid w:val="00AC4052"/>
    <w:rsid w:val="00AC7053"/>
    <w:rsid w:val="00AD1587"/>
    <w:rsid w:val="00AD620D"/>
    <w:rsid w:val="00AF0B5A"/>
    <w:rsid w:val="00B13EE3"/>
    <w:rsid w:val="00B408E4"/>
    <w:rsid w:val="00B749D3"/>
    <w:rsid w:val="00B90F80"/>
    <w:rsid w:val="00B9325A"/>
    <w:rsid w:val="00B94B59"/>
    <w:rsid w:val="00B96F89"/>
    <w:rsid w:val="00BB74A6"/>
    <w:rsid w:val="00BC14B4"/>
    <w:rsid w:val="00C01C32"/>
    <w:rsid w:val="00C07F50"/>
    <w:rsid w:val="00C12521"/>
    <w:rsid w:val="00C203B9"/>
    <w:rsid w:val="00C4019F"/>
    <w:rsid w:val="00C43366"/>
    <w:rsid w:val="00C440FB"/>
    <w:rsid w:val="00C448A2"/>
    <w:rsid w:val="00C4764F"/>
    <w:rsid w:val="00C50177"/>
    <w:rsid w:val="00C55F7B"/>
    <w:rsid w:val="00C66021"/>
    <w:rsid w:val="00C725C9"/>
    <w:rsid w:val="00C772F3"/>
    <w:rsid w:val="00C87F5A"/>
    <w:rsid w:val="00C929EE"/>
    <w:rsid w:val="00CA39F5"/>
    <w:rsid w:val="00CA4740"/>
    <w:rsid w:val="00CC50F3"/>
    <w:rsid w:val="00D16DAF"/>
    <w:rsid w:val="00D228EB"/>
    <w:rsid w:val="00D35921"/>
    <w:rsid w:val="00D37A3A"/>
    <w:rsid w:val="00D41EB6"/>
    <w:rsid w:val="00D510F5"/>
    <w:rsid w:val="00D53517"/>
    <w:rsid w:val="00D60BA0"/>
    <w:rsid w:val="00D65408"/>
    <w:rsid w:val="00D65CEF"/>
    <w:rsid w:val="00D77B55"/>
    <w:rsid w:val="00D810A0"/>
    <w:rsid w:val="00D82DAB"/>
    <w:rsid w:val="00D92B2D"/>
    <w:rsid w:val="00DA5844"/>
    <w:rsid w:val="00DC0159"/>
    <w:rsid w:val="00DC2D40"/>
    <w:rsid w:val="00DC5139"/>
    <w:rsid w:val="00DD102F"/>
    <w:rsid w:val="00DF4C6E"/>
    <w:rsid w:val="00E04EF2"/>
    <w:rsid w:val="00E054EF"/>
    <w:rsid w:val="00E151CB"/>
    <w:rsid w:val="00E23142"/>
    <w:rsid w:val="00E2467D"/>
    <w:rsid w:val="00E34381"/>
    <w:rsid w:val="00E41F8A"/>
    <w:rsid w:val="00E445C7"/>
    <w:rsid w:val="00E63FAA"/>
    <w:rsid w:val="00E768BE"/>
    <w:rsid w:val="00E83857"/>
    <w:rsid w:val="00E85087"/>
    <w:rsid w:val="00E87028"/>
    <w:rsid w:val="00E87235"/>
    <w:rsid w:val="00EC07D3"/>
    <w:rsid w:val="00EC468D"/>
    <w:rsid w:val="00EC7F4A"/>
    <w:rsid w:val="00EE5479"/>
    <w:rsid w:val="00EE6271"/>
    <w:rsid w:val="00F0459F"/>
    <w:rsid w:val="00F11719"/>
    <w:rsid w:val="00F52228"/>
    <w:rsid w:val="00F64E4D"/>
    <w:rsid w:val="00F6516F"/>
    <w:rsid w:val="00F92B5E"/>
    <w:rsid w:val="00F95EB5"/>
    <w:rsid w:val="00FA43CE"/>
    <w:rsid w:val="00FA48C3"/>
    <w:rsid w:val="00FB6380"/>
    <w:rsid w:val="00FC37F1"/>
    <w:rsid w:val="00FD26C0"/>
    <w:rsid w:val="00FE27A3"/>
    <w:rsid w:val="00FE3856"/>
    <w:rsid w:val="00FF34C0"/>
    <w:rsid w:val="00FF5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B6F5"/>
  <w15:chartTrackingRefBased/>
  <w15:docId w15:val="{7F915B41-7BF5-495C-8CF3-EBBB70FB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kern w:val="2"/>
        <w:sz w:val="24"/>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92B2D"/>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Cs/>
      <w:color w:val="000000" w:themeColor="text1"/>
      <w:szCs w:val="24"/>
      <w:lang w:val="en-US"/>
    </w:rPr>
  </w:style>
  <w:style w:type="character" w:customStyle="1" w:styleId="IntenseQuoteChar">
    <w:name w:val="Intense Quote Char"/>
    <w:basedOn w:val="DefaultParagraphFont"/>
    <w:link w:val="IntenseQuote"/>
    <w:uiPriority w:val="30"/>
    <w:rsid w:val="00D92B2D"/>
    <w:rPr>
      <w:rFonts w:ascii="Times New Roman" w:eastAsia="Times New Roman" w:hAnsi="Times New Roman" w:cs="Times New Roman"/>
      <w:iCs/>
      <w:color w:val="000000" w:themeColor="text1"/>
      <w:szCs w:val="24"/>
      <w:lang w:val="en-US"/>
    </w:rPr>
  </w:style>
  <w:style w:type="paragraph" w:customStyle="1" w:styleId="Style1">
    <w:name w:val="Style1"/>
    <w:basedOn w:val="IntenseQuote"/>
    <w:link w:val="Style1Char"/>
    <w:autoRedefine/>
    <w:qFormat/>
    <w:rsid w:val="001002F6"/>
    <w:pPr>
      <w:spacing w:line="259" w:lineRule="auto"/>
    </w:pPr>
    <w:rPr>
      <w:rFonts w:cs="Arial"/>
      <w:bCs/>
      <w:iCs w:val="0"/>
    </w:rPr>
  </w:style>
  <w:style w:type="character" w:customStyle="1" w:styleId="Style1Char">
    <w:name w:val="Style1 Char"/>
    <w:basedOn w:val="IntenseQuoteChar"/>
    <w:link w:val="Style1"/>
    <w:rsid w:val="001002F6"/>
    <w:rPr>
      <w:rFonts w:ascii="Times New Roman" w:eastAsia="Times New Roman" w:hAnsi="Times New Roman" w:cs="Arial"/>
      <w:bCs/>
      <w:iCs w:val="0"/>
      <w:color w:val="000000" w:themeColor="text1"/>
      <w:szCs w:val="24"/>
      <w:lang w:val="en-US"/>
    </w:rPr>
  </w:style>
  <w:style w:type="paragraph" w:styleId="ListParagraph">
    <w:name w:val="List Paragraph"/>
    <w:basedOn w:val="Normal"/>
    <w:uiPriority w:val="34"/>
    <w:qFormat/>
    <w:rsid w:val="00D65408"/>
    <w:pPr>
      <w:ind w:left="720"/>
      <w:contextualSpacing/>
    </w:pPr>
  </w:style>
  <w:style w:type="paragraph" w:styleId="FootnoteText">
    <w:name w:val="footnote text"/>
    <w:basedOn w:val="Normal"/>
    <w:link w:val="FootnoteTextChar"/>
    <w:uiPriority w:val="99"/>
    <w:semiHidden/>
    <w:unhideWhenUsed/>
    <w:rsid w:val="00263D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DEC"/>
    <w:rPr>
      <w:sz w:val="20"/>
      <w:szCs w:val="20"/>
    </w:rPr>
  </w:style>
  <w:style w:type="character" w:styleId="FootnoteReference">
    <w:name w:val="footnote reference"/>
    <w:basedOn w:val="DefaultParagraphFont"/>
    <w:uiPriority w:val="99"/>
    <w:semiHidden/>
    <w:unhideWhenUsed/>
    <w:rsid w:val="00263DEC"/>
    <w:rPr>
      <w:vertAlign w:val="superscript"/>
    </w:rPr>
  </w:style>
  <w:style w:type="paragraph" w:styleId="NormalWeb">
    <w:name w:val="Normal (Web)"/>
    <w:basedOn w:val="Normal"/>
    <w:uiPriority w:val="99"/>
    <w:unhideWhenUsed/>
    <w:rsid w:val="00043119"/>
    <w:pPr>
      <w:spacing w:before="100" w:beforeAutospacing="1" w:after="100" w:afterAutospacing="1" w:line="240" w:lineRule="auto"/>
    </w:pPr>
    <w:rPr>
      <w:rFonts w:ascii="Times New Roman" w:eastAsia="Times New Roman" w:hAnsi="Times New Roman" w:cs="Times New Roman"/>
      <w:kern w:val="0"/>
      <w:szCs w:val="24"/>
      <w:lang w:eastAsia="en-ZA"/>
      <w14:ligatures w14:val="none"/>
    </w:rPr>
  </w:style>
  <w:style w:type="character" w:styleId="Hyperlink">
    <w:name w:val="Hyperlink"/>
    <w:basedOn w:val="DefaultParagraphFont"/>
    <w:uiPriority w:val="99"/>
    <w:semiHidden/>
    <w:unhideWhenUsed/>
    <w:rsid w:val="00043119"/>
    <w:rPr>
      <w:color w:val="0000FF"/>
      <w:u w:val="single"/>
    </w:rPr>
  </w:style>
  <w:style w:type="character" w:styleId="Emphasis">
    <w:name w:val="Emphasis"/>
    <w:basedOn w:val="DefaultParagraphFont"/>
    <w:uiPriority w:val="20"/>
    <w:qFormat/>
    <w:rsid w:val="00043119"/>
    <w:rPr>
      <w:i/>
      <w:iCs/>
    </w:rPr>
  </w:style>
  <w:style w:type="paragraph" w:styleId="Header">
    <w:name w:val="header"/>
    <w:basedOn w:val="Normal"/>
    <w:link w:val="HeaderChar"/>
    <w:uiPriority w:val="99"/>
    <w:unhideWhenUsed/>
    <w:rsid w:val="002D0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0B4"/>
  </w:style>
  <w:style w:type="paragraph" w:styleId="Footer">
    <w:name w:val="footer"/>
    <w:basedOn w:val="Normal"/>
    <w:link w:val="FooterChar"/>
    <w:uiPriority w:val="99"/>
    <w:unhideWhenUsed/>
    <w:rsid w:val="002D0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03830">
      <w:bodyDiv w:val="1"/>
      <w:marLeft w:val="0"/>
      <w:marRight w:val="0"/>
      <w:marTop w:val="0"/>
      <w:marBottom w:val="0"/>
      <w:divBdr>
        <w:top w:val="none" w:sz="0" w:space="0" w:color="auto"/>
        <w:left w:val="none" w:sz="0" w:space="0" w:color="auto"/>
        <w:bottom w:val="none" w:sz="0" w:space="0" w:color="auto"/>
        <w:right w:val="none" w:sz="0" w:space="0" w:color="auto"/>
      </w:divBdr>
    </w:div>
    <w:div w:id="690188469">
      <w:bodyDiv w:val="1"/>
      <w:marLeft w:val="0"/>
      <w:marRight w:val="0"/>
      <w:marTop w:val="0"/>
      <w:marBottom w:val="0"/>
      <w:divBdr>
        <w:top w:val="none" w:sz="0" w:space="0" w:color="auto"/>
        <w:left w:val="none" w:sz="0" w:space="0" w:color="auto"/>
        <w:bottom w:val="none" w:sz="0" w:space="0" w:color="auto"/>
        <w:right w:val="none" w:sz="0" w:space="0" w:color="auto"/>
      </w:divBdr>
    </w:div>
    <w:div w:id="847014549">
      <w:bodyDiv w:val="1"/>
      <w:marLeft w:val="0"/>
      <w:marRight w:val="0"/>
      <w:marTop w:val="0"/>
      <w:marBottom w:val="0"/>
      <w:divBdr>
        <w:top w:val="none" w:sz="0" w:space="0" w:color="auto"/>
        <w:left w:val="none" w:sz="0" w:space="0" w:color="auto"/>
        <w:bottom w:val="none" w:sz="0" w:space="0" w:color="auto"/>
        <w:right w:val="none" w:sz="0" w:space="0" w:color="auto"/>
      </w:divBdr>
    </w:div>
    <w:div w:id="19517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Mokone</cp:lastModifiedBy>
  <cp:revision>2</cp:revision>
  <dcterms:created xsi:type="dcterms:W3CDTF">2023-09-14T11:05:00Z</dcterms:created>
  <dcterms:modified xsi:type="dcterms:W3CDTF">2023-09-14T11:05:00Z</dcterms:modified>
</cp:coreProperties>
</file>