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6C43D7" w:rsidRDefault="006C43D7" w:rsidP="00C74E9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6604F" w:rsidRDefault="006C43D7" w:rsidP="00C74E97">
      <w:pPr>
        <w:spacing w:line="360" w:lineRule="auto"/>
        <w:jc w:val="center"/>
        <w:rPr>
          <w:rFonts w:cs="Arial"/>
          <w:b/>
          <w:szCs w:val="22"/>
        </w:rPr>
      </w:pPr>
      <w:r w:rsidRPr="0006604F">
        <w:rPr>
          <w:rFonts w:cs="Arial"/>
          <w:b/>
          <w:szCs w:val="22"/>
        </w:rPr>
        <w:t xml:space="preserve">IN THE HIGH COURT OF SOUTH AFRICA, </w:t>
      </w:r>
    </w:p>
    <w:p w14:paraId="566C4D1B" w14:textId="77777777" w:rsidR="006C43D7" w:rsidRPr="0006604F" w:rsidRDefault="006C43D7" w:rsidP="00C74E97">
      <w:pPr>
        <w:spacing w:line="360" w:lineRule="auto"/>
        <w:jc w:val="center"/>
        <w:rPr>
          <w:rFonts w:cs="Arial"/>
          <w:b/>
          <w:szCs w:val="22"/>
        </w:rPr>
      </w:pPr>
      <w:r w:rsidRPr="0006604F">
        <w:rPr>
          <w:rFonts w:cs="Arial"/>
          <w:b/>
          <w:szCs w:val="22"/>
        </w:rPr>
        <w:t>GAUTENG DIVISION, JOHANNESBURG</w:t>
      </w:r>
    </w:p>
    <w:p w14:paraId="13D6E83E" w14:textId="77777777" w:rsidR="006C43D7" w:rsidRPr="0006604F" w:rsidRDefault="006C43D7" w:rsidP="00C74E97">
      <w:pPr>
        <w:spacing w:line="360" w:lineRule="auto"/>
        <w:jc w:val="both"/>
        <w:rPr>
          <w:rFonts w:cs="Arial"/>
          <w:b/>
          <w:szCs w:val="22"/>
        </w:rPr>
      </w:pPr>
    </w:p>
    <w:p w14:paraId="3698476C" w14:textId="506C5A85" w:rsidR="006C43D7" w:rsidRDefault="006C43D7" w:rsidP="00C74E97">
      <w:pPr>
        <w:spacing w:line="360" w:lineRule="auto"/>
        <w:jc w:val="right"/>
        <w:rPr>
          <w:rFonts w:cs="Arial"/>
          <w:b/>
          <w:color w:val="000000" w:themeColor="text1"/>
          <w:szCs w:val="22"/>
        </w:rPr>
      </w:pPr>
      <w:r w:rsidRPr="00DF0737">
        <w:rPr>
          <w:rFonts w:cs="Arial"/>
          <w:b/>
          <w:color w:val="000000" w:themeColor="text1"/>
          <w:szCs w:val="22"/>
        </w:rPr>
        <w:t xml:space="preserve">CASE NO: </w:t>
      </w:r>
      <w:r w:rsidR="006066A6">
        <w:rPr>
          <w:rFonts w:cs="Arial"/>
          <w:b/>
          <w:color w:val="000000" w:themeColor="text1"/>
          <w:szCs w:val="22"/>
        </w:rPr>
        <w:t>A3095/2022</w:t>
      </w:r>
    </w:p>
    <w:p w14:paraId="4736FE6F" w14:textId="77777777" w:rsidR="006627CA" w:rsidRDefault="00F954AB" w:rsidP="006627CA">
      <w:pPr>
        <w:jc w:val="right"/>
        <w:rPr>
          <w:rFonts w:cs="Arial"/>
          <w:b/>
          <w:color w:val="000000" w:themeColor="text1"/>
          <w:szCs w:val="22"/>
        </w:rPr>
      </w:pPr>
      <w:r>
        <w:rPr>
          <w:rFonts w:cs="Arial"/>
          <w:b/>
          <w:color w:val="000000" w:themeColor="text1"/>
          <w:szCs w:val="22"/>
        </w:rPr>
        <w:t xml:space="preserve">BENONI MAGISTRATES’ COURT </w:t>
      </w:r>
    </w:p>
    <w:p w14:paraId="7AB2F62E" w14:textId="00A4A412" w:rsidR="00F954AB" w:rsidRPr="00DF0737" w:rsidRDefault="00F954AB" w:rsidP="006627CA">
      <w:pPr>
        <w:jc w:val="right"/>
        <w:rPr>
          <w:rFonts w:cs="Arial"/>
          <w:b/>
          <w:color w:val="000000" w:themeColor="text1"/>
          <w:szCs w:val="22"/>
        </w:rPr>
      </w:pPr>
      <w:r>
        <w:rPr>
          <w:rFonts w:cs="Arial"/>
          <w:b/>
          <w:color w:val="000000" w:themeColor="text1"/>
          <w:szCs w:val="22"/>
        </w:rPr>
        <w:t xml:space="preserve">CASE NUMBER </w:t>
      </w:r>
      <w:r w:rsidR="003F0422">
        <w:rPr>
          <w:rFonts w:cs="Arial"/>
          <w:b/>
          <w:color w:val="000000" w:themeColor="text1"/>
          <w:szCs w:val="22"/>
        </w:rPr>
        <w:t>1462/21</w:t>
      </w:r>
    </w:p>
    <w:p w14:paraId="0AF8DD38" w14:textId="77777777" w:rsidR="006C43D7" w:rsidRPr="0006604F" w:rsidRDefault="006C43D7" w:rsidP="00C74E97">
      <w:pPr>
        <w:spacing w:line="360" w:lineRule="auto"/>
        <w:jc w:val="right"/>
        <w:rPr>
          <w:rFonts w:cs="Arial"/>
          <w:szCs w:val="22"/>
        </w:rPr>
      </w:pPr>
      <w:r w:rsidRPr="0006604F">
        <w:rPr>
          <w:rFonts w:cs="Arial"/>
          <w:noProof/>
          <w:szCs w:val="22"/>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01ABEA57" w:rsidR="00D645C6" w:rsidRDefault="000E7010" w:rsidP="000E701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6A7245">
                              <w:rPr>
                                <w:rFonts w:ascii="Century Gothic" w:hAnsi="Century Gothic"/>
                                <w:sz w:val="20"/>
                                <w:szCs w:val="20"/>
                              </w:rPr>
                              <w:t>NO</w:t>
                            </w:r>
                          </w:p>
                          <w:p w14:paraId="3A4C7296" w14:textId="2A0E4CFA" w:rsidR="00D645C6" w:rsidRPr="001D3CC2" w:rsidRDefault="000E7010" w:rsidP="000E7010">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DF0737">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01ABEA57" w:rsidR="00D645C6" w:rsidRDefault="000E7010" w:rsidP="000E701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6A7245">
                        <w:rPr>
                          <w:rFonts w:ascii="Century Gothic" w:hAnsi="Century Gothic"/>
                          <w:sz w:val="20"/>
                          <w:szCs w:val="20"/>
                        </w:rPr>
                        <w:t>NO</w:t>
                      </w:r>
                    </w:p>
                    <w:p w14:paraId="3A4C7296" w14:textId="2A0E4CFA" w:rsidR="00D645C6" w:rsidRPr="001D3CC2" w:rsidRDefault="000E7010" w:rsidP="000E7010">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DF0737">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06604F" w:rsidRDefault="006C43D7" w:rsidP="00C74E97">
      <w:pPr>
        <w:spacing w:line="360" w:lineRule="auto"/>
        <w:jc w:val="both"/>
        <w:rPr>
          <w:rFonts w:cs="Arial"/>
          <w:szCs w:val="22"/>
        </w:rPr>
      </w:pPr>
    </w:p>
    <w:p w14:paraId="4E808D74" w14:textId="77777777" w:rsidR="006C43D7" w:rsidRPr="0006604F" w:rsidRDefault="006C43D7" w:rsidP="00C74E97">
      <w:pPr>
        <w:spacing w:line="360" w:lineRule="auto"/>
        <w:jc w:val="both"/>
        <w:rPr>
          <w:rFonts w:cs="Arial"/>
          <w:szCs w:val="22"/>
        </w:rPr>
      </w:pPr>
    </w:p>
    <w:p w14:paraId="34BF70B6" w14:textId="77777777" w:rsidR="006C43D7" w:rsidRPr="0006604F" w:rsidRDefault="006C43D7" w:rsidP="00C74E97">
      <w:pPr>
        <w:spacing w:line="360" w:lineRule="auto"/>
        <w:jc w:val="both"/>
        <w:rPr>
          <w:rFonts w:cs="Arial"/>
          <w:szCs w:val="22"/>
        </w:rPr>
      </w:pPr>
    </w:p>
    <w:p w14:paraId="2F53BA3A" w14:textId="77777777" w:rsidR="006C43D7" w:rsidRPr="0006604F" w:rsidRDefault="006C43D7" w:rsidP="00C74E97">
      <w:pPr>
        <w:spacing w:line="360" w:lineRule="auto"/>
        <w:jc w:val="both"/>
        <w:rPr>
          <w:rFonts w:cs="Arial"/>
          <w:szCs w:val="22"/>
        </w:rPr>
      </w:pPr>
    </w:p>
    <w:p w14:paraId="3A1C212E" w14:textId="77777777" w:rsidR="006C43D7" w:rsidRPr="0006604F" w:rsidRDefault="006C43D7" w:rsidP="00C74E97">
      <w:pPr>
        <w:spacing w:line="360" w:lineRule="auto"/>
        <w:jc w:val="both"/>
        <w:rPr>
          <w:rFonts w:cs="Arial"/>
          <w:szCs w:val="22"/>
        </w:rPr>
      </w:pPr>
    </w:p>
    <w:p w14:paraId="04919B1B" w14:textId="77777777" w:rsidR="001D3CC2" w:rsidRPr="0006604F" w:rsidRDefault="001D3CC2" w:rsidP="00C74E97">
      <w:pPr>
        <w:spacing w:line="360" w:lineRule="auto"/>
        <w:jc w:val="both"/>
        <w:rPr>
          <w:rFonts w:cs="Arial"/>
          <w:szCs w:val="22"/>
        </w:rPr>
      </w:pPr>
    </w:p>
    <w:p w14:paraId="65EE98C6" w14:textId="7A252702" w:rsidR="00AA7A76" w:rsidRPr="0006604F" w:rsidRDefault="00AA7A76" w:rsidP="00C74E97">
      <w:pPr>
        <w:spacing w:line="360" w:lineRule="auto"/>
        <w:jc w:val="both"/>
        <w:rPr>
          <w:rFonts w:cs="Arial"/>
          <w:szCs w:val="22"/>
        </w:rPr>
      </w:pPr>
      <w:r w:rsidRPr="0006604F">
        <w:rPr>
          <w:rFonts w:cs="Arial"/>
          <w:szCs w:val="22"/>
        </w:rPr>
        <w:t>In the matter between:</w:t>
      </w:r>
    </w:p>
    <w:p w14:paraId="7E567C59" w14:textId="77777777" w:rsidR="00EB4FC0" w:rsidRPr="0006604F" w:rsidRDefault="00EB4FC0"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7A1D60" w:rsidRPr="0006604F" w14:paraId="4E86F7E7" w14:textId="77777777" w:rsidTr="00F4468A">
        <w:tc>
          <w:tcPr>
            <w:tcW w:w="6305" w:type="dxa"/>
          </w:tcPr>
          <w:p w14:paraId="74EE3EDE" w14:textId="478692D4" w:rsidR="002104BF" w:rsidRPr="0006604F" w:rsidRDefault="006066A6" w:rsidP="00C74E97">
            <w:pPr>
              <w:spacing w:line="360" w:lineRule="auto"/>
              <w:jc w:val="both"/>
              <w:rPr>
                <w:rFonts w:cs="Arial"/>
                <w:b/>
                <w:szCs w:val="22"/>
              </w:rPr>
            </w:pPr>
            <w:r>
              <w:rPr>
                <w:rFonts w:cs="Arial"/>
                <w:b/>
                <w:szCs w:val="22"/>
              </w:rPr>
              <w:t>LARKMAN</w:t>
            </w:r>
            <w:bookmarkStart w:id="0" w:name="_GoBack"/>
            <w:bookmarkEnd w:id="0"/>
            <w:r>
              <w:rPr>
                <w:rFonts w:cs="Arial"/>
                <w:b/>
                <w:szCs w:val="22"/>
              </w:rPr>
              <w:t>, CHERYL ANN</w:t>
            </w:r>
          </w:p>
        </w:tc>
        <w:tc>
          <w:tcPr>
            <w:tcW w:w="2246" w:type="dxa"/>
          </w:tcPr>
          <w:p w14:paraId="72EECEF8" w14:textId="59B2D893" w:rsidR="002104BF" w:rsidRPr="0006604F" w:rsidRDefault="007B7F16" w:rsidP="00C74E97">
            <w:pPr>
              <w:spacing w:line="360" w:lineRule="auto"/>
              <w:rPr>
                <w:rFonts w:cs="Arial"/>
                <w:szCs w:val="22"/>
              </w:rPr>
            </w:pPr>
            <w:r>
              <w:rPr>
                <w:rFonts w:cs="Arial"/>
                <w:szCs w:val="22"/>
              </w:rPr>
              <w:t>Appellant</w:t>
            </w:r>
          </w:p>
        </w:tc>
      </w:tr>
      <w:tr w:rsidR="007A1D60" w:rsidRPr="0006604F" w14:paraId="64E42908" w14:textId="77777777" w:rsidTr="00F4468A">
        <w:tc>
          <w:tcPr>
            <w:tcW w:w="6305" w:type="dxa"/>
          </w:tcPr>
          <w:p w14:paraId="5042A4FA" w14:textId="77777777" w:rsidR="00EB4FC0" w:rsidRPr="0006604F" w:rsidRDefault="00EB4FC0" w:rsidP="00C74E97">
            <w:pPr>
              <w:spacing w:line="360" w:lineRule="auto"/>
              <w:jc w:val="both"/>
              <w:rPr>
                <w:rFonts w:cs="Arial"/>
                <w:szCs w:val="22"/>
              </w:rPr>
            </w:pPr>
          </w:p>
          <w:p w14:paraId="22188E4D" w14:textId="77777777" w:rsidR="002104BF" w:rsidRPr="0006604F" w:rsidRDefault="00A22A14" w:rsidP="00C74E97">
            <w:pPr>
              <w:spacing w:line="360" w:lineRule="auto"/>
              <w:jc w:val="both"/>
              <w:rPr>
                <w:rFonts w:cs="Arial"/>
                <w:szCs w:val="22"/>
              </w:rPr>
            </w:pPr>
            <w:r w:rsidRPr="0006604F">
              <w:rPr>
                <w:rFonts w:cs="Arial"/>
                <w:szCs w:val="22"/>
              </w:rPr>
              <w:t>a</w:t>
            </w:r>
            <w:r w:rsidR="002104BF" w:rsidRPr="0006604F">
              <w:rPr>
                <w:rFonts w:cs="Arial"/>
                <w:szCs w:val="22"/>
              </w:rPr>
              <w:t>nd</w:t>
            </w:r>
            <w:r w:rsidRPr="0006604F">
              <w:rPr>
                <w:rFonts w:cs="Arial"/>
                <w:szCs w:val="22"/>
              </w:rPr>
              <w:t xml:space="preserve">  </w:t>
            </w:r>
          </w:p>
          <w:p w14:paraId="6E1E5BEB" w14:textId="28B0CF97" w:rsidR="00BE4BD9" w:rsidRPr="0006604F" w:rsidRDefault="00BE4BD9" w:rsidP="00C74E97">
            <w:pPr>
              <w:spacing w:line="360" w:lineRule="auto"/>
              <w:jc w:val="both"/>
              <w:rPr>
                <w:rFonts w:cs="Arial"/>
                <w:szCs w:val="22"/>
              </w:rPr>
            </w:pPr>
          </w:p>
        </w:tc>
        <w:tc>
          <w:tcPr>
            <w:tcW w:w="2246" w:type="dxa"/>
          </w:tcPr>
          <w:p w14:paraId="1DB932F2" w14:textId="77777777" w:rsidR="002104BF" w:rsidRPr="0006604F" w:rsidRDefault="002104BF" w:rsidP="00C74E97">
            <w:pPr>
              <w:spacing w:line="360" w:lineRule="auto"/>
              <w:jc w:val="right"/>
              <w:rPr>
                <w:rFonts w:cs="Arial"/>
                <w:szCs w:val="22"/>
              </w:rPr>
            </w:pPr>
          </w:p>
        </w:tc>
      </w:tr>
      <w:tr w:rsidR="007A1D60" w:rsidRPr="0006604F" w14:paraId="3BCAF70A" w14:textId="77777777" w:rsidTr="00F4468A">
        <w:tc>
          <w:tcPr>
            <w:tcW w:w="6305" w:type="dxa"/>
          </w:tcPr>
          <w:p w14:paraId="0E8BF73D" w14:textId="1A63BC9B" w:rsidR="002104BF" w:rsidRPr="0006604F" w:rsidRDefault="006066A6" w:rsidP="00C74E97">
            <w:pPr>
              <w:spacing w:line="360" w:lineRule="auto"/>
              <w:jc w:val="both"/>
              <w:rPr>
                <w:rFonts w:cs="Arial"/>
                <w:b/>
                <w:szCs w:val="22"/>
              </w:rPr>
            </w:pPr>
            <w:r>
              <w:rPr>
                <w:rFonts w:cs="Arial"/>
                <w:b/>
                <w:szCs w:val="22"/>
              </w:rPr>
              <w:t>LARKMAN, RONALD KENNETH</w:t>
            </w:r>
          </w:p>
        </w:tc>
        <w:tc>
          <w:tcPr>
            <w:tcW w:w="2246" w:type="dxa"/>
          </w:tcPr>
          <w:p w14:paraId="2A989CFA" w14:textId="54E0B3F6" w:rsidR="002104BF" w:rsidRPr="0006604F" w:rsidRDefault="007B7F16" w:rsidP="00C74E97">
            <w:pPr>
              <w:spacing w:line="360" w:lineRule="auto"/>
              <w:rPr>
                <w:rFonts w:cs="Arial"/>
                <w:szCs w:val="22"/>
              </w:rPr>
            </w:pPr>
            <w:r>
              <w:rPr>
                <w:rFonts w:cs="Arial"/>
                <w:szCs w:val="22"/>
              </w:rPr>
              <w:t>Respondent</w:t>
            </w:r>
          </w:p>
        </w:tc>
      </w:tr>
    </w:tbl>
    <w:p w14:paraId="4D632D47" w14:textId="70CCEB16" w:rsidR="00F9202F" w:rsidRPr="0006604F" w:rsidRDefault="00F9202F" w:rsidP="00C74E97">
      <w:pPr>
        <w:pBdr>
          <w:bottom w:val="single" w:sz="4" w:space="1" w:color="auto"/>
        </w:pBdr>
        <w:spacing w:line="360" w:lineRule="auto"/>
        <w:jc w:val="both"/>
        <w:rPr>
          <w:rFonts w:cs="Arial"/>
          <w:szCs w:val="22"/>
        </w:rPr>
      </w:pPr>
    </w:p>
    <w:p w14:paraId="64CFD117" w14:textId="77777777" w:rsidR="00CE6301" w:rsidRPr="0006604F" w:rsidRDefault="00CE6301" w:rsidP="00C74E97">
      <w:pPr>
        <w:pBdr>
          <w:bottom w:val="single" w:sz="4" w:space="1" w:color="auto"/>
        </w:pBdr>
        <w:spacing w:line="360" w:lineRule="auto"/>
        <w:jc w:val="both"/>
        <w:rPr>
          <w:rFonts w:cs="Arial"/>
          <w:szCs w:val="22"/>
        </w:rPr>
      </w:pPr>
    </w:p>
    <w:p w14:paraId="58DE5549" w14:textId="77777777" w:rsidR="006C43D7" w:rsidRPr="0006604F" w:rsidRDefault="006C43D7" w:rsidP="00C74E97">
      <w:pPr>
        <w:spacing w:line="360" w:lineRule="auto"/>
        <w:jc w:val="both"/>
        <w:rPr>
          <w:rFonts w:cs="Arial"/>
          <w:szCs w:val="22"/>
        </w:rPr>
      </w:pPr>
    </w:p>
    <w:p w14:paraId="647AB70C" w14:textId="77777777" w:rsidR="006C43D7" w:rsidRPr="0006604F" w:rsidRDefault="006C43D7" w:rsidP="00C74E97">
      <w:pPr>
        <w:keepNext/>
        <w:spacing w:line="360" w:lineRule="auto"/>
        <w:jc w:val="center"/>
        <w:outlineLvl w:val="1"/>
        <w:rPr>
          <w:rFonts w:cs="Arial"/>
          <w:b/>
          <w:bCs/>
          <w:szCs w:val="22"/>
        </w:rPr>
      </w:pPr>
      <w:r w:rsidRPr="0006604F">
        <w:rPr>
          <w:rFonts w:cs="Arial"/>
          <w:b/>
          <w:bCs/>
          <w:szCs w:val="22"/>
        </w:rPr>
        <w:t>JUDGMENT</w:t>
      </w:r>
    </w:p>
    <w:p w14:paraId="52CD25EB" w14:textId="77777777" w:rsidR="006C43D7" w:rsidRPr="0006604F" w:rsidRDefault="006C43D7" w:rsidP="00C74E97">
      <w:pPr>
        <w:pBdr>
          <w:bottom w:val="single" w:sz="4" w:space="1" w:color="auto"/>
        </w:pBdr>
        <w:spacing w:line="360" w:lineRule="auto"/>
        <w:jc w:val="both"/>
        <w:rPr>
          <w:rFonts w:cs="Arial"/>
          <w:szCs w:val="22"/>
        </w:rPr>
      </w:pPr>
    </w:p>
    <w:p w14:paraId="0CA76DA1" w14:textId="77777777" w:rsidR="00DC621D" w:rsidRPr="0006604F" w:rsidRDefault="00DC621D" w:rsidP="00C74E97">
      <w:pPr>
        <w:spacing w:line="360" w:lineRule="auto"/>
        <w:jc w:val="both"/>
        <w:rPr>
          <w:rFonts w:cs="Arial"/>
          <w:b/>
          <w:szCs w:val="22"/>
        </w:rPr>
      </w:pPr>
    </w:p>
    <w:p w14:paraId="5BD82EFE" w14:textId="47A3D93B" w:rsidR="00BE6AB8" w:rsidRDefault="00C676F3" w:rsidP="00C74E97">
      <w:pPr>
        <w:spacing w:after="480" w:line="360" w:lineRule="auto"/>
        <w:jc w:val="both"/>
        <w:rPr>
          <w:rFonts w:cs="Arial"/>
          <w:b/>
          <w:szCs w:val="22"/>
        </w:rPr>
      </w:pPr>
      <w:r w:rsidRPr="0006604F">
        <w:rPr>
          <w:rFonts w:cs="Arial"/>
          <w:b/>
          <w:szCs w:val="22"/>
        </w:rPr>
        <w:t>MOORCROFT</w:t>
      </w:r>
      <w:r w:rsidR="006C43D7" w:rsidRPr="0006604F">
        <w:rPr>
          <w:rFonts w:cs="Arial"/>
          <w:b/>
          <w:szCs w:val="22"/>
        </w:rPr>
        <w:t xml:space="preserve"> AJ</w:t>
      </w:r>
      <w:r w:rsidR="00DF0737">
        <w:rPr>
          <w:rFonts w:cs="Arial"/>
          <w:b/>
          <w:szCs w:val="22"/>
        </w:rPr>
        <w:t xml:space="preserve"> [</w:t>
      </w:r>
      <w:r w:rsidR="003F0422">
        <w:rPr>
          <w:rFonts w:cs="Arial"/>
          <w:b/>
          <w:szCs w:val="22"/>
        </w:rPr>
        <w:t>DODSON AJ CONCURRING</w:t>
      </w:r>
      <w:r w:rsidR="00DF0737">
        <w:rPr>
          <w:rFonts w:cs="Arial"/>
          <w:b/>
          <w:szCs w:val="22"/>
        </w:rPr>
        <w:t>]</w:t>
      </w:r>
      <w:r w:rsidR="006C43D7" w:rsidRPr="0006604F">
        <w:rPr>
          <w:rFonts w:cs="Arial"/>
          <w:b/>
          <w:szCs w:val="22"/>
        </w:rPr>
        <w:t>:</w:t>
      </w:r>
    </w:p>
    <w:p w14:paraId="3C24AFE3" w14:textId="77777777" w:rsidR="00507499" w:rsidRPr="0006604F" w:rsidRDefault="00507499" w:rsidP="00C74E97">
      <w:pPr>
        <w:spacing w:after="480" w:line="360" w:lineRule="auto"/>
        <w:jc w:val="both"/>
        <w:rPr>
          <w:rFonts w:cs="Arial"/>
          <w:b/>
          <w:szCs w:val="22"/>
        </w:rPr>
      </w:pPr>
    </w:p>
    <w:p w14:paraId="09239A78" w14:textId="202EF25D" w:rsidR="00C460A0" w:rsidRPr="0006604F" w:rsidRDefault="00C460A0" w:rsidP="00C74E97">
      <w:pPr>
        <w:keepNext/>
        <w:spacing w:after="480" w:line="360" w:lineRule="auto"/>
        <w:jc w:val="both"/>
        <w:rPr>
          <w:rFonts w:cs="Arial"/>
          <w:bCs/>
          <w:i/>
          <w:iCs/>
          <w:szCs w:val="22"/>
          <w:u w:val="single"/>
        </w:rPr>
      </w:pPr>
      <w:r w:rsidRPr="0006604F">
        <w:rPr>
          <w:rFonts w:cs="Arial"/>
          <w:bCs/>
          <w:i/>
          <w:iCs/>
          <w:szCs w:val="22"/>
          <w:u w:val="single"/>
        </w:rPr>
        <w:lastRenderedPageBreak/>
        <w:t>Summary</w:t>
      </w:r>
    </w:p>
    <w:p w14:paraId="49519421" w14:textId="3A4322B3" w:rsidR="006A7245" w:rsidRDefault="0047009B" w:rsidP="00C74E97">
      <w:pPr>
        <w:keepNext/>
        <w:spacing w:after="480" w:line="360" w:lineRule="auto"/>
        <w:jc w:val="both"/>
        <w:rPr>
          <w:rFonts w:cs="Arial"/>
          <w:bCs/>
          <w:i/>
          <w:iCs/>
          <w:szCs w:val="22"/>
          <w:lang w:val="en-US"/>
        </w:rPr>
      </w:pPr>
      <w:r>
        <w:rPr>
          <w:rFonts w:cs="Arial"/>
          <w:bCs/>
          <w:i/>
          <w:iCs/>
          <w:szCs w:val="22"/>
        </w:rPr>
        <w:t>Eviction – residential pr</w:t>
      </w:r>
      <w:r w:rsidRPr="0047009B">
        <w:rPr>
          <w:rFonts w:cs="Arial"/>
          <w:bCs/>
          <w:i/>
          <w:iCs/>
          <w:szCs w:val="22"/>
        </w:rPr>
        <w:t xml:space="preserve">operty - </w:t>
      </w:r>
      <w:r w:rsidRPr="0047009B">
        <w:rPr>
          <w:rFonts w:cs="Arial"/>
          <w:bCs/>
          <w:i/>
          <w:iCs/>
          <w:szCs w:val="22"/>
          <w:lang w:val="en-US"/>
        </w:rPr>
        <w:t>Prevention Of Illegal Eviction and Unlawful Occupation of Land Act, 19 of 1998</w:t>
      </w:r>
      <w:r>
        <w:rPr>
          <w:rFonts w:cs="Arial"/>
          <w:bCs/>
          <w:i/>
          <w:iCs/>
          <w:szCs w:val="22"/>
          <w:lang w:val="en-US"/>
        </w:rPr>
        <w:t xml:space="preserve">- </w:t>
      </w:r>
      <w:r w:rsidR="00CE7459">
        <w:rPr>
          <w:rFonts w:cs="Arial"/>
          <w:bCs/>
          <w:i/>
          <w:iCs/>
          <w:szCs w:val="22"/>
          <w:lang w:val="en-US"/>
        </w:rPr>
        <w:t>s</w:t>
      </w:r>
      <w:r>
        <w:rPr>
          <w:rFonts w:cs="Arial"/>
          <w:bCs/>
          <w:i/>
          <w:iCs/>
          <w:szCs w:val="22"/>
          <w:lang w:val="en-US"/>
        </w:rPr>
        <w:t>ection 4(</w:t>
      </w:r>
      <w:r w:rsidR="00CE7459">
        <w:rPr>
          <w:rFonts w:cs="Arial"/>
          <w:bCs/>
          <w:i/>
          <w:iCs/>
          <w:szCs w:val="22"/>
          <w:lang w:val="en-US"/>
        </w:rPr>
        <w:t>7</w:t>
      </w:r>
      <w:r>
        <w:rPr>
          <w:rFonts w:cs="Arial"/>
          <w:bCs/>
          <w:i/>
          <w:iCs/>
          <w:szCs w:val="22"/>
          <w:lang w:val="en-US"/>
        </w:rPr>
        <w:t>) – Court must determine if it is just and equitable to evict the appellant and if so, what an appropriate date would be for appellant to vacate the property</w:t>
      </w:r>
    </w:p>
    <w:p w14:paraId="08C9444C" w14:textId="24630670" w:rsidR="0047009B" w:rsidRDefault="0047009B" w:rsidP="00C74E97">
      <w:pPr>
        <w:keepNext/>
        <w:spacing w:after="480" w:line="360" w:lineRule="auto"/>
        <w:jc w:val="both"/>
        <w:rPr>
          <w:rFonts w:cs="Arial"/>
          <w:bCs/>
          <w:i/>
          <w:iCs/>
          <w:szCs w:val="22"/>
          <w:lang w:val="en-US"/>
        </w:rPr>
      </w:pPr>
      <w:r>
        <w:rPr>
          <w:rFonts w:cs="Arial"/>
          <w:bCs/>
          <w:i/>
          <w:iCs/>
          <w:szCs w:val="22"/>
          <w:lang w:val="en-US"/>
        </w:rPr>
        <w:t xml:space="preserve">Constitution, 1996 – </w:t>
      </w:r>
      <w:r w:rsidR="006627CA">
        <w:rPr>
          <w:rFonts w:cs="Arial"/>
          <w:bCs/>
          <w:i/>
          <w:iCs/>
          <w:szCs w:val="22"/>
          <w:lang w:val="en-US"/>
        </w:rPr>
        <w:t xml:space="preserve">Bill of Rights - </w:t>
      </w:r>
      <w:r>
        <w:rPr>
          <w:rFonts w:cs="Arial"/>
          <w:bCs/>
          <w:i/>
          <w:iCs/>
          <w:szCs w:val="22"/>
          <w:lang w:val="en-US"/>
        </w:rPr>
        <w:t>section</w:t>
      </w:r>
      <w:r w:rsidR="006627CA">
        <w:rPr>
          <w:rFonts w:cs="Arial"/>
          <w:bCs/>
          <w:i/>
          <w:iCs/>
          <w:szCs w:val="22"/>
          <w:lang w:val="en-US"/>
        </w:rPr>
        <w:t>s</w:t>
      </w:r>
      <w:r>
        <w:rPr>
          <w:rFonts w:cs="Arial"/>
          <w:bCs/>
          <w:i/>
          <w:iCs/>
          <w:szCs w:val="22"/>
          <w:lang w:val="en-US"/>
        </w:rPr>
        <w:t xml:space="preserve"> 25</w:t>
      </w:r>
      <w:r w:rsidR="006627CA">
        <w:rPr>
          <w:rFonts w:cs="Arial"/>
          <w:bCs/>
          <w:i/>
          <w:iCs/>
          <w:szCs w:val="22"/>
          <w:lang w:val="en-US"/>
        </w:rPr>
        <w:t xml:space="preserve"> and 26(3)</w:t>
      </w:r>
    </w:p>
    <w:p w14:paraId="5D206081" w14:textId="77777777" w:rsidR="0047009B" w:rsidRPr="0047009B" w:rsidRDefault="0047009B" w:rsidP="00C74E97">
      <w:pPr>
        <w:keepNext/>
        <w:spacing w:after="480" w:line="360" w:lineRule="auto"/>
        <w:jc w:val="both"/>
        <w:rPr>
          <w:rFonts w:cs="Arial"/>
          <w:bCs/>
          <w:i/>
          <w:iCs/>
          <w:szCs w:val="22"/>
        </w:rPr>
      </w:pPr>
    </w:p>
    <w:p w14:paraId="18AFD427" w14:textId="4E951B9F" w:rsidR="00BE6AB8" w:rsidRPr="0006604F" w:rsidRDefault="00BE6AB8" w:rsidP="00C74E97">
      <w:pPr>
        <w:keepNext/>
        <w:spacing w:after="480" w:line="360" w:lineRule="auto"/>
        <w:jc w:val="both"/>
        <w:rPr>
          <w:rFonts w:cs="Arial"/>
          <w:bCs/>
          <w:szCs w:val="22"/>
          <w:u w:val="single"/>
        </w:rPr>
      </w:pPr>
      <w:r w:rsidRPr="0006604F">
        <w:rPr>
          <w:rFonts w:cs="Arial"/>
          <w:bCs/>
          <w:szCs w:val="22"/>
          <w:u w:val="single"/>
        </w:rPr>
        <w:t>Order</w:t>
      </w:r>
    </w:p>
    <w:p w14:paraId="25A66E53" w14:textId="5E52D04F" w:rsidR="00DC6EF8" w:rsidRPr="0006604F" w:rsidRDefault="000E7010" w:rsidP="000E7010">
      <w:pPr>
        <w:tabs>
          <w:tab w:val="left" w:pos="567"/>
        </w:tabs>
        <w:spacing w:after="480" w:line="360" w:lineRule="auto"/>
        <w:jc w:val="both"/>
        <w:rPr>
          <w:rFonts w:cs="Arial"/>
          <w:bCs/>
          <w:szCs w:val="22"/>
        </w:rPr>
      </w:pPr>
      <w:r w:rsidRPr="0006604F">
        <w:rPr>
          <w:rFonts w:cs="Arial"/>
          <w:bCs/>
          <w:szCs w:val="22"/>
        </w:rPr>
        <w:t>[1]</w:t>
      </w:r>
      <w:r w:rsidRPr="0006604F">
        <w:rPr>
          <w:rFonts w:cs="Arial"/>
          <w:bCs/>
          <w:szCs w:val="22"/>
        </w:rPr>
        <w:tab/>
      </w:r>
      <w:r w:rsidR="003B4100" w:rsidRPr="0006604F">
        <w:rPr>
          <w:rFonts w:cs="Arial"/>
          <w:bCs/>
          <w:szCs w:val="22"/>
        </w:rPr>
        <w:t xml:space="preserve">In this </w:t>
      </w:r>
      <w:r w:rsidR="00B56906" w:rsidRPr="0006604F">
        <w:rPr>
          <w:rFonts w:cs="Arial"/>
          <w:bCs/>
          <w:szCs w:val="22"/>
        </w:rPr>
        <w:t xml:space="preserve">matter </w:t>
      </w:r>
      <w:r w:rsidR="00C460A0" w:rsidRPr="0006604F">
        <w:rPr>
          <w:rFonts w:cs="Arial"/>
          <w:bCs/>
          <w:szCs w:val="22"/>
        </w:rPr>
        <w:t>I ma</w:t>
      </w:r>
      <w:r w:rsidR="00DF5291" w:rsidRPr="0006604F">
        <w:rPr>
          <w:rFonts w:cs="Arial"/>
          <w:bCs/>
          <w:szCs w:val="22"/>
        </w:rPr>
        <w:t>k</w:t>
      </w:r>
      <w:r w:rsidR="00DC6EF8" w:rsidRPr="0006604F">
        <w:rPr>
          <w:rFonts w:cs="Arial"/>
          <w:bCs/>
          <w:szCs w:val="22"/>
        </w:rPr>
        <w:t>e</w:t>
      </w:r>
      <w:r w:rsidR="00C460A0" w:rsidRPr="0006604F">
        <w:rPr>
          <w:rFonts w:cs="Arial"/>
          <w:bCs/>
          <w:szCs w:val="22"/>
        </w:rPr>
        <w:t xml:space="preserve"> the following order:</w:t>
      </w:r>
    </w:p>
    <w:p w14:paraId="561828EE" w14:textId="7216589F" w:rsidR="0047009B" w:rsidRPr="000E7010" w:rsidRDefault="000E7010" w:rsidP="000E7010">
      <w:pPr>
        <w:spacing w:before="120" w:after="120" w:line="360" w:lineRule="auto"/>
        <w:ind w:left="360" w:hanging="360"/>
        <w:jc w:val="both"/>
        <w:rPr>
          <w:rFonts w:cs="Arial"/>
          <w:i/>
          <w:iCs/>
          <w:szCs w:val="22"/>
        </w:rPr>
      </w:pPr>
      <w:r>
        <w:rPr>
          <w:rFonts w:cs="Arial"/>
          <w:i/>
          <w:iCs/>
          <w:szCs w:val="22"/>
        </w:rPr>
        <w:t>1.</w:t>
      </w:r>
      <w:r>
        <w:rPr>
          <w:rFonts w:cs="Arial"/>
          <w:i/>
          <w:iCs/>
          <w:szCs w:val="22"/>
        </w:rPr>
        <w:tab/>
      </w:r>
      <w:r w:rsidR="0047009B" w:rsidRPr="000E7010">
        <w:rPr>
          <w:rFonts w:cs="Arial"/>
          <w:i/>
          <w:iCs/>
          <w:szCs w:val="22"/>
        </w:rPr>
        <w:t>The late filing of the appeal record is condoned;</w:t>
      </w:r>
    </w:p>
    <w:p w14:paraId="49FA1AA7" w14:textId="67063362" w:rsidR="007B7F16" w:rsidRPr="000E7010" w:rsidRDefault="000E7010" w:rsidP="000E7010">
      <w:pPr>
        <w:spacing w:before="120" w:after="120" w:line="360" w:lineRule="auto"/>
        <w:ind w:left="360" w:hanging="360"/>
        <w:jc w:val="both"/>
        <w:rPr>
          <w:rFonts w:cs="Arial"/>
          <w:i/>
          <w:iCs/>
          <w:szCs w:val="22"/>
        </w:rPr>
      </w:pPr>
      <w:r>
        <w:rPr>
          <w:rFonts w:cs="Arial"/>
          <w:i/>
          <w:iCs/>
          <w:szCs w:val="22"/>
        </w:rPr>
        <w:t>2.</w:t>
      </w:r>
      <w:r>
        <w:rPr>
          <w:rFonts w:cs="Arial"/>
          <w:i/>
          <w:iCs/>
          <w:szCs w:val="22"/>
        </w:rPr>
        <w:tab/>
      </w:r>
      <w:r w:rsidR="00AE3669" w:rsidRPr="000E7010">
        <w:rPr>
          <w:rFonts w:cs="Arial"/>
          <w:i/>
          <w:iCs/>
          <w:szCs w:val="22"/>
        </w:rPr>
        <w:t>The appeal is dismissed;</w:t>
      </w:r>
    </w:p>
    <w:p w14:paraId="39E39DAE" w14:textId="47AC6500" w:rsidR="007B7F16" w:rsidRPr="000E7010" w:rsidRDefault="000E7010" w:rsidP="000E7010">
      <w:pPr>
        <w:spacing w:before="120" w:after="120" w:line="360" w:lineRule="auto"/>
        <w:ind w:left="360" w:hanging="360"/>
        <w:jc w:val="both"/>
        <w:rPr>
          <w:rFonts w:cs="Arial"/>
          <w:i/>
          <w:iCs/>
          <w:szCs w:val="22"/>
        </w:rPr>
      </w:pPr>
      <w:r>
        <w:rPr>
          <w:rFonts w:cs="Arial"/>
          <w:i/>
          <w:iCs/>
          <w:szCs w:val="22"/>
        </w:rPr>
        <w:t>3.</w:t>
      </w:r>
      <w:r>
        <w:rPr>
          <w:rFonts w:cs="Arial"/>
          <w:i/>
          <w:iCs/>
          <w:szCs w:val="22"/>
        </w:rPr>
        <w:tab/>
      </w:r>
      <w:r w:rsidR="00AE3669" w:rsidRPr="000E7010">
        <w:rPr>
          <w:rFonts w:cs="Arial"/>
          <w:i/>
          <w:iCs/>
          <w:szCs w:val="22"/>
        </w:rPr>
        <w:t xml:space="preserve">The appellant and all who occupy through her are ordered to vacate the property situate at 11 Skylark Avenue, Farrarmere </w:t>
      </w:r>
      <w:r w:rsidR="003F0422" w:rsidRPr="000E7010">
        <w:rPr>
          <w:rFonts w:cs="Arial"/>
          <w:i/>
          <w:iCs/>
          <w:szCs w:val="22"/>
        </w:rPr>
        <w:t xml:space="preserve">(“the property”) </w:t>
      </w:r>
      <w:r w:rsidR="00AE3669" w:rsidRPr="000E7010">
        <w:rPr>
          <w:rFonts w:cs="Arial"/>
          <w:i/>
          <w:iCs/>
          <w:szCs w:val="22"/>
        </w:rPr>
        <w:t>by no later than 3</w:t>
      </w:r>
      <w:r w:rsidR="006627CA" w:rsidRPr="000E7010">
        <w:rPr>
          <w:rFonts w:cs="Arial"/>
          <w:i/>
          <w:iCs/>
          <w:szCs w:val="22"/>
        </w:rPr>
        <w:t xml:space="preserve">0 November </w:t>
      </w:r>
      <w:r w:rsidR="00AE3669" w:rsidRPr="000E7010">
        <w:rPr>
          <w:rFonts w:cs="Arial"/>
          <w:i/>
          <w:iCs/>
          <w:szCs w:val="22"/>
        </w:rPr>
        <w:t>202</w:t>
      </w:r>
      <w:r w:rsidR="006627CA" w:rsidRPr="000E7010">
        <w:rPr>
          <w:rFonts w:cs="Arial"/>
          <w:i/>
          <w:iCs/>
          <w:szCs w:val="22"/>
        </w:rPr>
        <w:t>3</w:t>
      </w:r>
      <w:r w:rsidR="00AE3669" w:rsidRPr="000E7010">
        <w:rPr>
          <w:rFonts w:cs="Arial"/>
          <w:i/>
          <w:iCs/>
          <w:szCs w:val="22"/>
        </w:rPr>
        <w:t>;</w:t>
      </w:r>
    </w:p>
    <w:p w14:paraId="613C7FAD" w14:textId="78447DA8" w:rsidR="007B7F16" w:rsidRPr="000E7010" w:rsidRDefault="000E7010" w:rsidP="000E7010">
      <w:pPr>
        <w:spacing w:before="120" w:after="120" w:line="360" w:lineRule="auto"/>
        <w:ind w:left="360" w:hanging="360"/>
        <w:jc w:val="both"/>
        <w:rPr>
          <w:rFonts w:cs="Arial"/>
          <w:i/>
          <w:iCs/>
          <w:szCs w:val="22"/>
        </w:rPr>
      </w:pPr>
      <w:r>
        <w:rPr>
          <w:rFonts w:cs="Arial"/>
          <w:i/>
          <w:iCs/>
          <w:szCs w:val="22"/>
        </w:rPr>
        <w:t>4.</w:t>
      </w:r>
      <w:r>
        <w:rPr>
          <w:rFonts w:cs="Arial"/>
          <w:i/>
          <w:iCs/>
          <w:szCs w:val="22"/>
        </w:rPr>
        <w:tab/>
      </w:r>
      <w:r w:rsidR="003F0422" w:rsidRPr="000E7010">
        <w:rPr>
          <w:rFonts w:cs="Arial"/>
          <w:i/>
          <w:iCs/>
          <w:szCs w:val="22"/>
        </w:rPr>
        <w:t xml:space="preserve">In the event that the </w:t>
      </w:r>
      <w:r w:rsidR="0047009B" w:rsidRPr="000E7010">
        <w:rPr>
          <w:rFonts w:cs="Arial"/>
          <w:i/>
          <w:iCs/>
          <w:szCs w:val="22"/>
        </w:rPr>
        <w:t>appellant</w:t>
      </w:r>
      <w:r w:rsidR="003F0422" w:rsidRPr="000E7010">
        <w:rPr>
          <w:rFonts w:cs="Arial"/>
          <w:i/>
          <w:iCs/>
          <w:szCs w:val="22"/>
        </w:rPr>
        <w:t xml:space="preserve"> and all who occupy the property through her fail to vacate the property by 3</w:t>
      </w:r>
      <w:r w:rsidR="006627CA" w:rsidRPr="000E7010">
        <w:rPr>
          <w:rFonts w:cs="Arial"/>
          <w:i/>
          <w:iCs/>
          <w:szCs w:val="22"/>
        </w:rPr>
        <w:t>0 November</w:t>
      </w:r>
      <w:r w:rsidR="003F0422" w:rsidRPr="000E7010">
        <w:rPr>
          <w:rFonts w:cs="Arial"/>
          <w:i/>
          <w:iCs/>
          <w:szCs w:val="22"/>
        </w:rPr>
        <w:t xml:space="preserve"> 202</w:t>
      </w:r>
      <w:r w:rsidR="006627CA" w:rsidRPr="000E7010">
        <w:rPr>
          <w:rFonts w:cs="Arial"/>
          <w:i/>
          <w:iCs/>
          <w:szCs w:val="22"/>
        </w:rPr>
        <w:t>3</w:t>
      </w:r>
      <w:r w:rsidR="003F0422" w:rsidRPr="000E7010">
        <w:rPr>
          <w:rFonts w:cs="Arial"/>
          <w:i/>
          <w:iCs/>
          <w:szCs w:val="22"/>
        </w:rPr>
        <w:t xml:space="preserve"> the Sheriff of the Court is authorised to evict the </w:t>
      </w:r>
      <w:r w:rsidR="0047009B" w:rsidRPr="000E7010">
        <w:rPr>
          <w:rFonts w:cs="Arial"/>
          <w:i/>
          <w:iCs/>
          <w:szCs w:val="22"/>
        </w:rPr>
        <w:t>appellant</w:t>
      </w:r>
      <w:r w:rsidR="003F0422" w:rsidRPr="000E7010">
        <w:rPr>
          <w:rFonts w:cs="Arial"/>
          <w:i/>
          <w:iCs/>
          <w:szCs w:val="22"/>
        </w:rPr>
        <w:t xml:space="preserve"> and all who occupy the property through her</w:t>
      </w:r>
      <w:r w:rsidR="00651818" w:rsidRPr="000E7010">
        <w:rPr>
          <w:rFonts w:cs="Arial"/>
          <w:i/>
          <w:iCs/>
          <w:szCs w:val="22"/>
        </w:rPr>
        <w:t xml:space="preserve"> on 15 December 2023</w:t>
      </w:r>
      <w:r w:rsidR="003F0422" w:rsidRPr="000E7010">
        <w:rPr>
          <w:rFonts w:cs="Arial"/>
          <w:i/>
          <w:iCs/>
          <w:szCs w:val="22"/>
        </w:rPr>
        <w:t>.</w:t>
      </w:r>
    </w:p>
    <w:p w14:paraId="5DCFD32F" w14:textId="4E8092B2" w:rsidR="009B2678" w:rsidRPr="000E7010" w:rsidRDefault="000E7010" w:rsidP="000E7010">
      <w:pPr>
        <w:spacing w:before="120" w:after="120" w:line="360" w:lineRule="auto"/>
        <w:ind w:left="360" w:hanging="360"/>
        <w:jc w:val="both"/>
        <w:rPr>
          <w:rFonts w:cs="Arial"/>
          <w:i/>
          <w:iCs/>
          <w:szCs w:val="22"/>
        </w:rPr>
      </w:pPr>
      <w:r>
        <w:rPr>
          <w:rFonts w:cs="Arial"/>
          <w:i/>
          <w:iCs/>
          <w:szCs w:val="22"/>
        </w:rPr>
        <w:t>5.</w:t>
      </w:r>
      <w:r>
        <w:rPr>
          <w:rFonts w:cs="Arial"/>
          <w:i/>
          <w:iCs/>
          <w:szCs w:val="22"/>
        </w:rPr>
        <w:tab/>
      </w:r>
      <w:r w:rsidR="009B2678" w:rsidRPr="000E7010">
        <w:rPr>
          <w:rFonts w:cs="Arial"/>
          <w:i/>
          <w:iCs/>
          <w:szCs w:val="22"/>
        </w:rPr>
        <w:t>There is no order as to costs.</w:t>
      </w:r>
    </w:p>
    <w:p w14:paraId="08540072" w14:textId="524498F7" w:rsidR="00C9310B" w:rsidRPr="000E7010" w:rsidRDefault="000E7010" w:rsidP="000E7010">
      <w:pPr>
        <w:widowControl w:val="0"/>
        <w:tabs>
          <w:tab w:val="left" w:pos="567"/>
        </w:tabs>
        <w:spacing w:before="480" w:after="480" w:line="360" w:lineRule="auto"/>
        <w:jc w:val="both"/>
        <w:rPr>
          <w:rFonts w:cs="Arial"/>
          <w:bCs/>
          <w:szCs w:val="22"/>
          <w:u w:val="single"/>
        </w:rPr>
      </w:pPr>
      <w:r w:rsidRPr="0006604F">
        <w:rPr>
          <w:rFonts w:cs="Arial"/>
          <w:bCs/>
          <w:szCs w:val="22"/>
        </w:rPr>
        <w:t>[2]</w:t>
      </w:r>
      <w:r w:rsidRPr="0006604F">
        <w:rPr>
          <w:rFonts w:cs="Arial"/>
          <w:bCs/>
          <w:szCs w:val="22"/>
        </w:rPr>
        <w:tab/>
      </w:r>
      <w:r w:rsidR="00573FF9" w:rsidRPr="000E7010">
        <w:rPr>
          <w:rFonts w:cs="Arial"/>
          <w:bCs/>
          <w:szCs w:val="22"/>
        </w:rPr>
        <w:t xml:space="preserve">The reasons for the order </w:t>
      </w:r>
      <w:r w:rsidR="00A63709" w:rsidRPr="000E7010">
        <w:rPr>
          <w:rFonts w:cs="Arial"/>
          <w:bCs/>
          <w:szCs w:val="22"/>
        </w:rPr>
        <w:t>follow</w:t>
      </w:r>
      <w:r w:rsidR="00573FF9" w:rsidRPr="000E7010">
        <w:rPr>
          <w:rFonts w:cs="Arial"/>
          <w:bCs/>
          <w:szCs w:val="22"/>
        </w:rPr>
        <w:t xml:space="preserve"> below.</w:t>
      </w:r>
    </w:p>
    <w:p w14:paraId="5E45EA3D" w14:textId="77777777" w:rsidR="004C4672" w:rsidRPr="009623DA" w:rsidRDefault="004C4672" w:rsidP="004C4672">
      <w:pPr>
        <w:keepNext/>
        <w:widowControl w:val="0"/>
        <w:spacing w:before="480" w:after="480" w:line="360" w:lineRule="auto"/>
        <w:jc w:val="both"/>
        <w:rPr>
          <w:rFonts w:cs="Arial"/>
          <w:bCs/>
          <w:szCs w:val="22"/>
          <w:u w:val="single"/>
        </w:rPr>
      </w:pPr>
      <w:r w:rsidRPr="009623DA">
        <w:rPr>
          <w:rFonts w:cs="Arial"/>
          <w:bCs/>
          <w:szCs w:val="22"/>
          <w:u w:val="single"/>
        </w:rPr>
        <w:t>Introduction</w:t>
      </w:r>
    </w:p>
    <w:p w14:paraId="3B380D1D" w14:textId="0559889D" w:rsidR="004C4672" w:rsidRPr="009623DA" w:rsidRDefault="000E7010" w:rsidP="000E7010">
      <w:pPr>
        <w:widowControl w:val="0"/>
        <w:tabs>
          <w:tab w:val="left" w:pos="567"/>
        </w:tabs>
        <w:spacing w:before="480" w:after="480" w:line="360" w:lineRule="auto"/>
        <w:jc w:val="both"/>
        <w:rPr>
          <w:rFonts w:cs="Arial"/>
          <w:bCs/>
          <w:szCs w:val="22"/>
        </w:rPr>
      </w:pPr>
      <w:r w:rsidRPr="009623DA">
        <w:rPr>
          <w:rFonts w:cs="Arial"/>
          <w:bCs/>
          <w:szCs w:val="22"/>
        </w:rPr>
        <w:t>[3]</w:t>
      </w:r>
      <w:r w:rsidRPr="009623DA">
        <w:rPr>
          <w:rFonts w:cs="Arial"/>
          <w:bCs/>
          <w:szCs w:val="22"/>
        </w:rPr>
        <w:tab/>
      </w:r>
      <w:r w:rsidR="004C4672" w:rsidRPr="009821BD">
        <w:rPr>
          <w:rFonts w:cs="Arial"/>
          <w:bCs/>
          <w:szCs w:val="22"/>
          <w:lang w:val="en-US"/>
        </w:rPr>
        <w:t xml:space="preserve">The appellant appeals against an order granted by the </w:t>
      </w:r>
      <w:r w:rsidR="0047009B" w:rsidRPr="009821BD">
        <w:rPr>
          <w:rFonts w:cs="Arial"/>
          <w:bCs/>
          <w:szCs w:val="22"/>
          <w:lang w:val="en-US"/>
        </w:rPr>
        <w:t>Learned Magistrate</w:t>
      </w:r>
      <w:r w:rsidR="004C4672">
        <w:rPr>
          <w:rFonts w:cs="Arial"/>
          <w:bCs/>
          <w:szCs w:val="22"/>
          <w:lang w:val="en-US"/>
        </w:rPr>
        <w:t xml:space="preserve"> Nana</w:t>
      </w:r>
      <w:r w:rsidR="004C4672" w:rsidRPr="009821BD">
        <w:rPr>
          <w:rFonts w:cs="Arial"/>
          <w:bCs/>
          <w:szCs w:val="22"/>
          <w:lang w:val="en-US"/>
        </w:rPr>
        <w:t xml:space="preserve"> in the Magistrates Court in Benoni on 15 June 2022 in terms of which he order</w:t>
      </w:r>
      <w:r w:rsidR="0006253B">
        <w:rPr>
          <w:rFonts w:cs="Arial"/>
          <w:bCs/>
          <w:szCs w:val="22"/>
          <w:lang w:val="en-US"/>
        </w:rPr>
        <w:t>ed</w:t>
      </w:r>
      <w:r w:rsidR="004C4672" w:rsidRPr="009821BD">
        <w:rPr>
          <w:rFonts w:cs="Arial"/>
          <w:bCs/>
          <w:szCs w:val="22"/>
          <w:lang w:val="en-US"/>
        </w:rPr>
        <w:t xml:space="preserve"> the eviction of the appellant</w:t>
      </w:r>
      <w:r w:rsidR="004C4672">
        <w:rPr>
          <w:rFonts w:cs="Arial"/>
          <w:bCs/>
          <w:szCs w:val="22"/>
          <w:lang w:val="en-US"/>
        </w:rPr>
        <w:t xml:space="preserve"> </w:t>
      </w:r>
      <w:r w:rsidR="004C4672" w:rsidRPr="009821BD">
        <w:rPr>
          <w:rFonts w:cs="Arial"/>
          <w:bCs/>
          <w:szCs w:val="22"/>
          <w:lang w:val="en-US"/>
        </w:rPr>
        <w:t xml:space="preserve">from the </w:t>
      </w:r>
      <w:r w:rsidR="004C4672">
        <w:rPr>
          <w:rFonts w:cs="Arial"/>
          <w:bCs/>
          <w:szCs w:val="22"/>
          <w:lang w:val="en-US"/>
        </w:rPr>
        <w:t>respondent’</w:t>
      </w:r>
      <w:r w:rsidR="004C4672" w:rsidRPr="009821BD">
        <w:rPr>
          <w:rFonts w:cs="Arial"/>
          <w:bCs/>
          <w:szCs w:val="22"/>
          <w:lang w:val="en-US"/>
        </w:rPr>
        <w:t>s property situated in Benoni</w:t>
      </w:r>
      <w:r w:rsidR="004C4672">
        <w:rPr>
          <w:rFonts w:cs="Arial"/>
          <w:bCs/>
          <w:szCs w:val="22"/>
          <w:lang w:val="en-US"/>
        </w:rPr>
        <w:t xml:space="preserve">. </w:t>
      </w:r>
      <w:r w:rsidR="00201DE8">
        <w:rPr>
          <w:rFonts w:cs="Arial"/>
          <w:bCs/>
          <w:szCs w:val="22"/>
          <w:lang w:val="en-US"/>
        </w:rPr>
        <w:t xml:space="preserve">The appellant </w:t>
      </w:r>
      <w:r w:rsidR="00201DE8">
        <w:rPr>
          <w:rFonts w:cs="Arial"/>
          <w:bCs/>
          <w:szCs w:val="22"/>
          <w:lang w:val="en-US"/>
        </w:rPr>
        <w:lastRenderedPageBreak/>
        <w:t xml:space="preserve">occupies the property for residential purposes and the </w:t>
      </w:r>
      <w:r w:rsidR="00201DE8" w:rsidRPr="00751347">
        <w:rPr>
          <w:rFonts w:cs="Arial"/>
          <w:bCs/>
          <w:szCs w:val="22"/>
          <w:lang w:val="en-US"/>
        </w:rPr>
        <w:t xml:space="preserve">Prevention </w:t>
      </w:r>
      <w:r w:rsidR="0047009B">
        <w:rPr>
          <w:rFonts w:cs="Arial"/>
          <w:bCs/>
          <w:szCs w:val="22"/>
          <w:lang w:val="en-US"/>
        </w:rPr>
        <w:t>o</w:t>
      </w:r>
      <w:r w:rsidR="00201DE8" w:rsidRPr="00751347">
        <w:rPr>
          <w:rFonts w:cs="Arial"/>
          <w:bCs/>
          <w:szCs w:val="22"/>
          <w:lang w:val="en-US"/>
        </w:rPr>
        <w:t xml:space="preserve">f Illegal Eviction </w:t>
      </w:r>
      <w:r w:rsidR="0006253B">
        <w:rPr>
          <w:rFonts w:cs="Arial"/>
          <w:bCs/>
          <w:szCs w:val="22"/>
          <w:lang w:val="en-US"/>
        </w:rPr>
        <w:t xml:space="preserve">from </w:t>
      </w:r>
      <w:r w:rsidR="00201DE8" w:rsidRPr="00751347">
        <w:rPr>
          <w:rFonts w:cs="Arial"/>
          <w:bCs/>
          <w:szCs w:val="22"/>
          <w:lang w:val="en-US"/>
        </w:rPr>
        <w:t>and Unlawful Occupation of Land Act</w:t>
      </w:r>
      <w:r w:rsidR="00201DE8">
        <w:rPr>
          <w:rFonts w:cs="Arial"/>
          <w:bCs/>
          <w:szCs w:val="22"/>
          <w:lang w:val="en-US"/>
        </w:rPr>
        <w:t xml:space="preserve">, </w:t>
      </w:r>
      <w:r w:rsidR="00201DE8" w:rsidRPr="00751347">
        <w:rPr>
          <w:rFonts w:cs="Arial"/>
          <w:bCs/>
          <w:szCs w:val="22"/>
          <w:lang w:val="en-US"/>
        </w:rPr>
        <w:t>19 of 199</w:t>
      </w:r>
      <w:r w:rsidR="00201DE8">
        <w:rPr>
          <w:rFonts w:cs="Arial"/>
          <w:bCs/>
          <w:szCs w:val="22"/>
          <w:lang w:val="en-US"/>
        </w:rPr>
        <w:t>8 applies. The appellant</w:t>
      </w:r>
      <w:r w:rsidR="00201DE8" w:rsidRPr="002549CC">
        <w:rPr>
          <w:rFonts w:cs="Arial"/>
          <w:bCs/>
          <w:szCs w:val="22"/>
          <w:lang w:val="en-US"/>
        </w:rPr>
        <w:t xml:space="preserve"> has been in </w:t>
      </w:r>
      <w:r w:rsidR="00CE7459">
        <w:rPr>
          <w:rFonts w:cs="Arial"/>
          <w:bCs/>
          <w:szCs w:val="22"/>
          <w:lang w:val="en-US"/>
        </w:rPr>
        <w:t xml:space="preserve">unlawful </w:t>
      </w:r>
      <w:r w:rsidR="00201DE8" w:rsidRPr="002549CC">
        <w:rPr>
          <w:rFonts w:cs="Arial"/>
          <w:bCs/>
          <w:szCs w:val="22"/>
          <w:lang w:val="en-US"/>
        </w:rPr>
        <w:t xml:space="preserve">occupation </w:t>
      </w:r>
      <w:r w:rsidR="00CE7459">
        <w:rPr>
          <w:rFonts w:cs="Arial"/>
          <w:bCs/>
          <w:szCs w:val="22"/>
          <w:lang w:val="en-US"/>
        </w:rPr>
        <w:t>since 2020</w:t>
      </w:r>
      <w:r w:rsidR="00DE2238">
        <w:rPr>
          <w:rFonts w:cs="Arial"/>
          <w:bCs/>
          <w:szCs w:val="22"/>
          <w:lang w:val="en-US"/>
        </w:rPr>
        <w:t xml:space="preserve"> </w:t>
      </w:r>
      <w:r w:rsidR="00201DE8" w:rsidRPr="002549CC">
        <w:rPr>
          <w:rFonts w:cs="Arial"/>
          <w:bCs/>
          <w:szCs w:val="22"/>
          <w:lang w:val="en-US"/>
        </w:rPr>
        <w:t>and section</w:t>
      </w:r>
      <w:r w:rsidR="00201DE8">
        <w:rPr>
          <w:rFonts w:cs="Arial"/>
          <w:bCs/>
          <w:szCs w:val="22"/>
          <w:lang w:val="en-US"/>
        </w:rPr>
        <w:t xml:space="preserve"> 4(7) of the Act</w:t>
      </w:r>
      <w:r w:rsidR="00201DE8" w:rsidRPr="002549CC">
        <w:rPr>
          <w:rFonts w:cs="Arial"/>
          <w:bCs/>
          <w:szCs w:val="22"/>
          <w:lang w:val="en-US"/>
        </w:rPr>
        <w:t xml:space="preserve"> is applicable</w:t>
      </w:r>
      <w:r w:rsidR="00201DE8">
        <w:rPr>
          <w:rFonts w:cs="Arial"/>
          <w:bCs/>
          <w:szCs w:val="22"/>
          <w:lang w:val="en-US"/>
        </w:rPr>
        <w:t>.</w:t>
      </w:r>
    </w:p>
    <w:p w14:paraId="705BDB0A" w14:textId="6554E81D" w:rsidR="004C4672" w:rsidRPr="00042CF8" w:rsidRDefault="000E7010" w:rsidP="000E7010">
      <w:pPr>
        <w:widowControl w:val="0"/>
        <w:tabs>
          <w:tab w:val="left" w:pos="567"/>
        </w:tabs>
        <w:spacing w:before="480" w:after="480" w:line="360" w:lineRule="auto"/>
        <w:jc w:val="both"/>
        <w:rPr>
          <w:rFonts w:cs="Arial"/>
          <w:bCs/>
          <w:szCs w:val="22"/>
        </w:rPr>
      </w:pPr>
      <w:r w:rsidRPr="00042CF8">
        <w:rPr>
          <w:rFonts w:cs="Arial"/>
          <w:bCs/>
          <w:szCs w:val="22"/>
        </w:rPr>
        <w:t>[4]</w:t>
      </w:r>
      <w:r w:rsidRPr="00042CF8">
        <w:rPr>
          <w:rFonts w:cs="Arial"/>
          <w:bCs/>
          <w:szCs w:val="22"/>
        </w:rPr>
        <w:tab/>
      </w:r>
      <w:r w:rsidR="0047009B">
        <w:rPr>
          <w:rFonts w:cs="Arial"/>
          <w:bCs/>
          <w:szCs w:val="22"/>
          <w:lang w:val="en-US"/>
        </w:rPr>
        <w:t xml:space="preserve">The appellant is a lay person and she seeks condonation for the late filing of the appeal record. </w:t>
      </w:r>
      <w:r w:rsidR="004C4672" w:rsidRPr="00042CF8">
        <w:rPr>
          <w:rFonts w:cs="Arial"/>
          <w:bCs/>
          <w:szCs w:val="22"/>
          <w:lang w:val="en-US"/>
        </w:rPr>
        <w:t xml:space="preserve">The appeal was on the </w:t>
      </w:r>
      <w:r w:rsidR="0047009B">
        <w:rPr>
          <w:rFonts w:cs="Arial"/>
          <w:bCs/>
          <w:szCs w:val="22"/>
          <w:lang w:val="en-US"/>
        </w:rPr>
        <w:t xml:space="preserve">court </w:t>
      </w:r>
      <w:r w:rsidR="004C4672" w:rsidRPr="00042CF8">
        <w:rPr>
          <w:rFonts w:cs="Arial"/>
          <w:bCs/>
          <w:szCs w:val="22"/>
          <w:lang w:val="en-US"/>
        </w:rPr>
        <w:t xml:space="preserve">roll on 14 February 2023 </w:t>
      </w:r>
      <w:r w:rsidR="00C22928">
        <w:rPr>
          <w:rFonts w:cs="Arial"/>
          <w:bCs/>
          <w:szCs w:val="22"/>
          <w:lang w:val="en-US"/>
        </w:rPr>
        <w:t>but</w:t>
      </w:r>
      <w:r w:rsidR="004C4672" w:rsidRPr="00042CF8">
        <w:rPr>
          <w:rFonts w:cs="Arial"/>
          <w:bCs/>
          <w:szCs w:val="22"/>
          <w:lang w:val="en-US"/>
        </w:rPr>
        <w:t xml:space="preserve"> was removed from the roll because the appellant had failed to file a complete record of appeal</w:t>
      </w:r>
      <w:r w:rsidR="006541D7">
        <w:rPr>
          <w:rFonts w:cs="Arial"/>
          <w:bCs/>
          <w:szCs w:val="22"/>
          <w:lang w:val="en-US"/>
        </w:rPr>
        <w:t xml:space="preserve"> -</w:t>
      </w:r>
      <w:r w:rsidR="004C4672" w:rsidRPr="00042CF8">
        <w:rPr>
          <w:rFonts w:cs="Arial"/>
          <w:bCs/>
          <w:szCs w:val="22"/>
          <w:lang w:val="en-US"/>
        </w:rPr>
        <w:t xml:space="preserve"> </w:t>
      </w:r>
      <w:r w:rsidR="006541D7">
        <w:rPr>
          <w:rFonts w:cs="Arial"/>
          <w:bCs/>
          <w:szCs w:val="22"/>
          <w:lang w:val="en-US"/>
        </w:rPr>
        <w:t>t</w:t>
      </w:r>
      <w:r w:rsidR="004C4672" w:rsidRPr="00042CF8">
        <w:rPr>
          <w:rFonts w:cs="Arial"/>
          <w:bCs/>
          <w:szCs w:val="22"/>
          <w:lang w:val="en-US"/>
        </w:rPr>
        <w:t xml:space="preserve">he </w:t>
      </w:r>
      <w:r w:rsidR="004C4672" w:rsidRPr="000A3626">
        <w:rPr>
          <w:rFonts w:cs="Arial"/>
          <w:bCs/>
          <w:i/>
          <w:iCs/>
          <w:szCs w:val="22"/>
          <w:lang w:val="en-US"/>
        </w:rPr>
        <w:t>viva voce</w:t>
      </w:r>
      <w:r w:rsidR="004C4672" w:rsidRPr="008A5401">
        <w:rPr>
          <w:rFonts w:cs="Arial"/>
          <w:bCs/>
          <w:szCs w:val="22"/>
          <w:lang w:val="en-US"/>
        </w:rPr>
        <w:t xml:space="preserve"> </w:t>
      </w:r>
      <w:r w:rsidR="004C4672" w:rsidRPr="00042CF8">
        <w:rPr>
          <w:rFonts w:cs="Arial"/>
          <w:bCs/>
          <w:szCs w:val="22"/>
          <w:lang w:val="en-US"/>
        </w:rPr>
        <w:t>evidence</w:t>
      </w:r>
      <w:r w:rsidR="004C4672">
        <w:rPr>
          <w:rFonts w:cs="Arial"/>
          <w:bCs/>
          <w:szCs w:val="22"/>
          <w:lang w:val="en-US"/>
        </w:rPr>
        <w:t xml:space="preserve"> </w:t>
      </w:r>
      <w:r w:rsidR="004C4672" w:rsidRPr="00F3029E">
        <w:rPr>
          <w:rFonts w:cs="Arial"/>
          <w:bCs/>
          <w:szCs w:val="22"/>
          <w:lang w:val="en-US"/>
        </w:rPr>
        <w:t>presented in the Magistrates Court had not been transcribed and did not form part of the appeal record. An application for an order declaring that the appeal had lapsed was enrolled with the hearing of the appeal on 14 February 2023. The respondent subsequently s</w:t>
      </w:r>
      <w:r w:rsidR="004C4672">
        <w:rPr>
          <w:rFonts w:cs="Arial"/>
          <w:bCs/>
          <w:szCs w:val="22"/>
          <w:lang w:val="en-US"/>
        </w:rPr>
        <w:t>aw</w:t>
      </w:r>
      <w:r w:rsidR="004C4672" w:rsidRPr="00F3029E">
        <w:rPr>
          <w:rFonts w:cs="Arial"/>
          <w:bCs/>
          <w:szCs w:val="22"/>
          <w:lang w:val="en-US"/>
        </w:rPr>
        <w:t xml:space="preserve"> to the transcribing of the record in order for the appeal to be finalized</w:t>
      </w:r>
      <w:r w:rsidR="004C4672">
        <w:rPr>
          <w:rFonts w:cs="Arial"/>
          <w:bCs/>
          <w:szCs w:val="22"/>
          <w:lang w:val="en-US"/>
        </w:rPr>
        <w:t xml:space="preserve">. </w:t>
      </w:r>
      <w:r w:rsidR="006541D7">
        <w:rPr>
          <w:rFonts w:cs="Arial"/>
          <w:bCs/>
          <w:szCs w:val="22"/>
          <w:lang w:val="en-US"/>
        </w:rPr>
        <w:t>The application for an order that the appeal had lapsed was not seriously pursued and under the circumstances condonation is granted in order to deal with the merits of the appeal.</w:t>
      </w:r>
    </w:p>
    <w:p w14:paraId="604BAB44" w14:textId="77A08D2D" w:rsidR="00E33DDA" w:rsidRPr="00E33DDA" w:rsidRDefault="000E7010" w:rsidP="000E7010">
      <w:pPr>
        <w:widowControl w:val="0"/>
        <w:tabs>
          <w:tab w:val="left" w:pos="567"/>
        </w:tabs>
        <w:spacing w:before="480" w:after="480" w:line="360" w:lineRule="auto"/>
        <w:jc w:val="both"/>
        <w:rPr>
          <w:rFonts w:cs="Arial"/>
          <w:bCs/>
          <w:szCs w:val="22"/>
        </w:rPr>
      </w:pPr>
      <w:r w:rsidRPr="00E33DDA">
        <w:rPr>
          <w:rFonts w:cs="Arial"/>
          <w:bCs/>
          <w:szCs w:val="22"/>
        </w:rPr>
        <w:t>[5]</w:t>
      </w:r>
      <w:r w:rsidRPr="00E33DDA">
        <w:rPr>
          <w:rFonts w:cs="Arial"/>
          <w:bCs/>
          <w:szCs w:val="22"/>
        </w:rPr>
        <w:tab/>
      </w:r>
      <w:r w:rsidR="00797619">
        <w:rPr>
          <w:rFonts w:cs="Arial"/>
          <w:bCs/>
          <w:szCs w:val="22"/>
          <w:lang w:val="en-US"/>
        </w:rPr>
        <w:t xml:space="preserve">The appellant and the respondent were previously married for 4 years and 7 months.  There were no children born of the marriage.  </w:t>
      </w:r>
      <w:r w:rsidR="004C4672" w:rsidRPr="009821BD">
        <w:rPr>
          <w:rFonts w:cs="Arial"/>
          <w:bCs/>
          <w:szCs w:val="22"/>
          <w:lang w:val="en-US"/>
        </w:rPr>
        <w:t xml:space="preserve">The </w:t>
      </w:r>
      <w:r w:rsidR="00BE0DF5">
        <w:rPr>
          <w:rFonts w:cs="Arial"/>
          <w:bCs/>
          <w:szCs w:val="22"/>
          <w:lang w:val="en-US"/>
        </w:rPr>
        <w:t>marriage between the</w:t>
      </w:r>
      <w:r w:rsidR="00797619">
        <w:rPr>
          <w:rFonts w:cs="Arial"/>
          <w:bCs/>
          <w:szCs w:val="22"/>
          <w:lang w:val="en-US"/>
        </w:rPr>
        <w:t>m</w:t>
      </w:r>
      <w:r w:rsidR="00BE0DF5">
        <w:rPr>
          <w:rFonts w:cs="Arial"/>
          <w:bCs/>
          <w:szCs w:val="22"/>
          <w:lang w:val="en-US"/>
        </w:rPr>
        <w:t xml:space="preserve"> </w:t>
      </w:r>
      <w:r w:rsidR="004C4672" w:rsidRPr="009821BD">
        <w:rPr>
          <w:rFonts w:cs="Arial"/>
          <w:bCs/>
          <w:szCs w:val="22"/>
          <w:lang w:val="en-US"/>
        </w:rPr>
        <w:t>ended in divorce in the year 2001</w:t>
      </w:r>
      <w:r w:rsidR="004C4672">
        <w:rPr>
          <w:rFonts w:cs="Arial"/>
          <w:bCs/>
          <w:szCs w:val="22"/>
          <w:lang w:val="en-US"/>
        </w:rPr>
        <w:t xml:space="preserve">. </w:t>
      </w:r>
      <w:r w:rsidR="004C4672" w:rsidRPr="00E507CB">
        <w:rPr>
          <w:rFonts w:cs="Arial"/>
          <w:bCs/>
          <w:szCs w:val="22"/>
          <w:lang w:val="en-US"/>
        </w:rPr>
        <w:t>In terms of</w:t>
      </w:r>
      <w:r w:rsidR="004C4672">
        <w:rPr>
          <w:rFonts w:cs="Arial"/>
          <w:bCs/>
          <w:szCs w:val="22"/>
          <w:lang w:val="en-US"/>
        </w:rPr>
        <w:t xml:space="preserve"> </w:t>
      </w:r>
      <w:r w:rsidR="004C4672" w:rsidRPr="00E507CB">
        <w:rPr>
          <w:rFonts w:cs="Arial"/>
          <w:bCs/>
          <w:szCs w:val="22"/>
          <w:lang w:val="en-US"/>
        </w:rPr>
        <w:t xml:space="preserve">a settlement in the divorce action the respondent afforded the appellant a </w:t>
      </w:r>
      <w:r w:rsidR="004C4672">
        <w:rPr>
          <w:rFonts w:cs="Arial"/>
          <w:bCs/>
          <w:szCs w:val="22"/>
          <w:lang w:val="en-US"/>
        </w:rPr>
        <w:t xml:space="preserve">right of </w:t>
      </w:r>
      <w:r w:rsidR="00797619">
        <w:rPr>
          <w:rFonts w:cs="Arial"/>
          <w:bCs/>
          <w:szCs w:val="22"/>
          <w:lang w:val="en-US"/>
        </w:rPr>
        <w:t xml:space="preserve">habitatio </w:t>
      </w:r>
      <w:r w:rsidR="004C4672">
        <w:rPr>
          <w:rFonts w:cs="Arial"/>
          <w:bCs/>
          <w:szCs w:val="22"/>
          <w:lang w:val="en-US"/>
        </w:rPr>
        <w:t>o</w:t>
      </w:r>
      <w:r w:rsidR="004C4672" w:rsidRPr="00E507CB">
        <w:rPr>
          <w:rFonts w:cs="Arial"/>
          <w:bCs/>
          <w:szCs w:val="22"/>
          <w:lang w:val="en-US"/>
        </w:rPr>
        <w:t>ver the property that would terminate</w:t>
      </w:r>
      <w:r w:rsidR="004C4672">
        <w:rPr>
          <w:rFonts w:cs="Arial"/>
          <w:bCs/>
          <w:szCs w:val="22"/>
          <w:lang w:val="en-US"/>
        </w:rPr>
        <w:t xml:space="preserve"> </w:t>
      </w:r>
      <w:r w:rsidR="006627CA">
        <w:rPr>
          <w:rFonts w:cs="Arial"/>
          <w:bCs/>
          <w:szCs w:val="22"/>
          <w:lang w:val="en-US"/>
        </w:rPr>
        <w:t>up</w:t>
      </w:r>
      <w:r w:rsidR="004C4672">
        <w:rPr>
          <w:rFonts w:cs="Arial"/>
          <w:bCs/>
          <w:szCs w:val="22"/>
          <w:lang w:val="en-US"/>
        </w:rPr>
        <w:t xml:space="preserve">on her remarriage or otherwise </w:t>
      </w:r>
      <w:r w:rsidR="004C4672" w:rsidRPr="00E507CB">
        <w:rPr>
          <w:rFonts w:cs="Arial"/>
          <w:bCs/>
          <w:szCs w:val="22"/>
          <w:lang w:val="en-US"/>
        </w:rPr>
        <w:t>six months after the death of the appellant</w:t>
      </w:r>
      <w:r w:rsidR="004C4672">
        <w:rPr>
          <w:rFonts w:cs="Arial"/>
          <w:bCs/>
          <w:szCs w:val="22"/>
          <w:lang w:val="en-US"/>
        </w:rPr>
        <w:t>’s</w:t>
      </w:r>
      <w:r w:rsidR="004C4672" w:rsidRPr="00E507CB">
        <w:rPr>
          <w:rFonts w:cs="Arial"/>
          <w:bCs/>
          <w:szCs w:val="22"/>
          <w:lang w:val="en-US"/>
        </w:rPr>
        <w:t xml:space="preserve"> mother</w:t>
      </w:r>
      <w:r w:rsidR="004C4672">
        <w:rPr>
          <w:rFonts w:cs="Arial"/>
          <w:bCs/>
          <w:szCs w:val="22"/>
          <w:lang w:val="en-US"/>
        </w:rPr>
        <w:t xml:space="preserve"> </w:t>
      </w:r>
      <w:r w:rsidR="004C4672" w:rsidRPr="00E507CB">
        <w:rPr>
          <w:rFonts w:cs="Arial"/>
          <w:bCs/>
          <w:szCs w:val="22"/>
          <w:lang w:val="en-US"/>
        </w:rPr>
        <w:t>who was then living in the appellant</w:t>
      </w:r>
      <w:r w:rsidR="004C4672">
        <w:rPr>
          <w:rFonts w:cs="Arial"/>
          <w:bCs/>
          <w:szCs w:val="22"/>
          <w:lang w:val="en-US"/>
        </w:rPr>
        <w:t>’</w:t>
      </w:r>
      <w:r w:rsidR="004C4672" w:rsidRPr="00E507CB">
        <w:rPr>
          <w:rFonts w:cs="Arial"/>
          <w:bCs/>
          <w:szCs w:val="22"/>
          <w:lang w:val="en-US"/>
        </w:rPr>
        <w:t xml:space="preserve">s own house. The </w:t>
      </w:r>
      <w:r w:rsidR="001D0130">
        <w:rPr>
          <w:rFonts w:cs="Arial"/>
          <w:bCs/>
          <w:szCs w:val="22"/>
          <w:lang w:val="en-US"/>
        </w:rPr>
        <w:t>right of habitatio</w:t>
      </w:r>
      <w:r w:rsidR="001D0130" w:rsidRPr="00E507CB">
        <w:rPr>
          <w:rFonts w:cs="Arial"/>
          <w:bCs/>
          <w:szCs w:val="22"/>
          <w:lang w:val="en-US"/>
        </w:rPr>
        <w:t xml:space="preserve"> </w:t>
      </w:r>
      <w:r w:rsidR="004C4672" w:rsidRPr="00E507CB">
        <w:rPr>
          <w:rFonts w:cs="Arial"/>
          <w:bCs/>
          <w:szCs w:val="22"/>
          <w:lang w:val="en-US"/>
        </w:rPr>
        <w:t xml:space="preserve">was </w:t>
      </w:r>
      <w:r w:rsidR="001D0130">
        <w:rPr>
          <w:rFonts w:cs="Arial"/>
          <w:bCs/>
          <w:szCs w:val="22"/>
          <w:lang w:val="en-US"/>
        </w:rPr>
        <w:t xml:space="preserve">notarially </w:t>
      </w:r>
      <w:r w:rsidR="004C4672" w:rsidRPr="00E507CB">
        <w:rPr>
          <w:rFonts w:cs="Arial"/>
          <w:bCs/>
          <w:szCs w:val="22"/>
          <w:lang w:val="en-US"/>
        </w:rPr>
        <w:t>registered in May 2002</w:t>
      </w:r>
      <w:r w:rsidR="004C4672">
        <w:rPr>
          <w:rFonts w:cs="Arial"/>
          <w:bCs/>
          <w:szCs w:val="22"/>
          <w:lang w:val="en-US"/>
        </w:rPr>
        <w:t>.</w:t>
      </w:r>
      <w:r w:rsidR="00E33DDA" w:rsidRPr="00E33DDA">
        <w:rPr>
          <w:rFonts w:cs="Arial"/>
          <w:bCs/>
          <w:szCs w:val="22"/>
          <w:lang w:val="en-US"/>
        </w:rPr>
        <w:t xml:space="preserve"> </w:t>
      </w:r>
      <w:r w:rsidR="001D0130">
        <w:rPr>
          <w:rFonts w:cs="Arial"/>
          <w:bCs/>
          <w:szCs w:val="22"/>
          <w:lang w:val="en-US"/>
        </w:rPr>
        <w:t>The appellant has lived in the property since the time of the divorce</w:t>
      </w:r>
      <w:r w:rsidR="00A6454F">
        <w:rPr>
          <w:rFonts w:cs="Arial"/>
          <w:bCs/>
          <w:szCs w:val="22"/>
          <w:lang w:val="en-US"/>
        </w:rPr>
        <w:t xml:space="preserve"> continuously, a period of some twenty</w:t>
      </w:r>
      <w:r w:rsidR="00454042">
        <w:rPr>
          <w:rFonts w:cs="Arial"/>
          <w:bCs/>
          <w:szCs w:val="22"/>
          <w:lang w:val="en-US"/>
        </w:rPr>
        <w:t>-</w:t>
      </w:r>
      <w:r w:rsidR="00A6454F">
        <w:rPr>
          <w:rFonts w:cs="Arial"/>
          <w:bCs/>
          <w:szCs w:val="22"/>
          <w:lang w:val="en-US"/>
        </w:rPr>
        <w:t>two years</w:t>
      </w:r>
      <w:r w:rsidR="00454042">
        <w:rPr>
          <w:rFonts w:cs="Arial"/>
          <w:bCs/>
          <w:szCs w:val="22"/>
          <w:lang w:val="en-US"/>
        </w:rPr>
        <w:t xml:space="preserve">, three-and-a-half of which </w:t>
      </w:r>
      <w:r w:rsidR="00C10889">
        <w:rPr>
          <w:rFonts w:cs="Arial"/>
          <w:bCs/>
          <w:szCs w:val="22"/>
          <w:lang w:val="en-US"/>
        </w:rPr>
        <w:t>have been as an unlawful occupier</w:t>
      </w:r>
      <w:r w:rsidR="00A6454F">
        <w:rPr>
          <w:rFonts w:cs="Arial"/>
          <w:bCs/>
          <w:szCs w:val="22"/>
          <w:lang w:val="en-US"/>
        </w:rPr>
        <w:t>.</w:t>
      </w:r>
    </w:p>
    <w:p w14:paraId="0EEEEFBE" w14:textId="799581C6" w:rsidR="004C4672" w:rsidRPr="00E507CB" w:rsidRDefault="000E7010" w:rsidP="000E7010">
      <w:pPr>
        <w:widowControl w:val="0"/>
        <w:tabs>
          <w:tab w:val="left" w:pos="567"/>
        </w:tabs>
        <w:spacing w:before="480" w:after="480" w:line="360" w:lineRule="auto"/>
        <w:jc w:val="both"/>
        <w:rPr>
          <w:rFonts w:cs="Arial"/>
          <w:bCs/>
          <w:szCs w:val="22"/>
        </w:rPr>
      </w:pPr>
      <w:r w:rsidRPr="00E507CB">
        <w:rPr>
          <w:rFonts w:cs="Arial"/>
          <w:bCs/>
          <w:szCs w:val="22"/>
        </w:rPr>
        <w:t>[6]</w:t>
      </w:r>
      <w:r w:rsidRPr="00E507CB">
        <w:rPr>
          <w:rFonts w:cs="Arial"/>
          <w:bCs/>
          <w:szCs w:val="22"/>
        </w:rPr>
        <w:tab/>
      </w:r>
      <w:r w:rsidR="00A6454F">
        <w:rPr>
          <w:rFonts w:cs="Arial"/>
          <w:bCs/>
          <w:szCs w:val="22"/>
          <w:lang w:val="en-US"/>
        </w:rPr>
        <w:t>The property that the appellan</w:t>
      </w:r>
      <w:r w:rsidR="00E33DDA" w:rsidRPr="009821BD">
        <w:rPr>
          <w:rFonts w:cs="Arial"/>
          <w:bCs/>
          <w:szCs w:val="22"/>
          <w:lang w:val="en-US"/>
        </w:rPr>
        <w:t xml:space="preserve">t </w:t>
      </w:r>
      <w:r w:rsidR="00A6454F">
        <w:rPr>
          <w:rFonts w:cs="Arial"/>
          <w:bCs/>
          <w:szCs w:val="22"/>
          <w:lang w:val="en-US"/>
        </w:rPr>
        <w:t xml:space="preserve">owned at </w:t>
      </w:r>
      <w:r w:rsidR="00E33DDA" w:rsidRPr="009821BD">
        <w:rPr>
          <w:rFonts w:cs="Arial"/>
          <w:bCs/>
          <w:szCs w:val="22"/>
          <w:lang w:val="en-US"/>
        </w:rPr>
        <w:t xml:space="preserve">the time of the divorce in 2001 was subsequently sold </w:t>
      </w:r>
      <w:r w:rsidR="00BE0DF5">
        <w:rPr>
          <w:rFonts w:cs="Arial"/>
          <w:bCs/>
          <w:szCs w:val="22"/>
          <w:lang w:val="en-US"/>
        </w:rPr>
        <w:t xml:space="preserve">by her </w:t>
      </w:r>
      <w:r w:rsidR="00E33DDA" w:rsidRPr="009821BD">
        <w:rPr>
          <w:rFonts w:cs="Arial"/>
          <w:bCs/>
          <w:szCs w:val="22"/>
          <w:lang w:val="en-US"/>
        </w:rPr>
        <w:t>to defray expenses.</w:t>
      </w:r>
    </w:p>
    <w:p w14:paraId="7F700F15" w14:textId="3F6750DA" w:rsidR="004C4672" w:rsidRPr="00E507CB" w:rsidRDefault="000E7010" w:rsidP="000E7010">
      <w:pPr>
        <w:widowControl w:val="0"/>
        <w:tabs>
          <w:tab w:val="left" w:pos="567"/>
        </w:tabs>
        <w:spacing w:before="480" w:after="480" w:line="360" w:lineRule="auto"/>
        <w:jc w:val="both"/>
        <w:rPr>
          <w:rFonts w:cs="Arial"/>
          <w:bCs/>
          <w:szCs w:val="22"/>
        </w:rPr>
      </w:pPr>
      <w:r w:rsidRPr="00E507CB">
        <w:rPr>
          <w:rFonts w:cs="Arial"/>
          <w:bCs/>
          <w:szCs w:val="22"/>
        </w:rPr>
        <w:t>[7]</w:t>
      </w:r>
      <w:r w:rsidRPr="00E507CB">
        <w:rPr>
          <w:rFonts w:cs="Arial"/>
          <w:bCs/>
          <w:szCs w:val="22"/>
        </w:rPr>
        <w:tab/>
      </w:r>
      <w:r w:rsidR="004C4672" w:rsidRPr="00E507CB">
        <w:rPr>
          <w:rFonts w:cs="Arial"/>
          <w:bCs/>
          <w:szCs w:val="22"/>
          <w:lang w:val="en-US"/>
        </w:rPr>
        <w:t>The appellant</w:t>
      </w:r>
      <w:r w:rsidR="004C4672">
        <w:rPr>
          <w:rFonts w:cs="Arial"/>
          <w:bCs/>
          <w:szCs w:val="22"/>
          <w:lang w:val="en-US"/>
        </w:rPr>
        <w:t>’</w:t>
      </w:r>
      <w:r w:rsidR="004C4672" w:rsidRPr="00E507CB">
        <w:rPr>
          <w:rFonts w:cs="Arial"/>
          <w:bCs/>
          <w:szCs w:val="22"/>
          <w:lang w:val="en-US"/>
        </w:rPr>
        <w:t>s</w:t>
      </w:r>
      <w:r w:rsidR="004C4672">
        <w:rPr>
          <w:rFonts w:cs="Arial"/>
          <w:bCs/>
          <w:szCs w:val="22"/>
          <w:lang w:val="en-US"/>
        </w:rPr>
        <w:t xml:space="preserve"> </w:t>
      </w:r>
      <w:r w:rsidR="004C4672" w:rsidRPr="00E507CB">
        <w:rPr>
          <w:rFonts w:cs="Arial"/>
          <w:bCs/>
          <w:szCs w:val="22"/>
          <w:lang w:val="en-US"/>
        </w:rPr>
        <w:t>mother passed away</w:t>
      </w:r>
      <w:r w:rsidR="004C4672">
        <w:rPr>
          <w:rFonts w:cs="Arial"/>
          <w:bCs/>
          <w:szCs w:val="22"/>
          <w:lang w:val="en-US"/>
        </w:rPr>
        <w:t xml:space="preserve"> </w:t>
      </w:r>
      <w:r w:rsidR="004C4672" w:rsidRPr="00E507CB">
        <w:rPr>
          <w:rFonts w:cs="Arial"/>
          <w:bCs/>
          <w:szCs w:val="22"/>
          <w:lang w:val="en-US"/>
        </w:rPr>
        <w:t xml:space="preserve">In June 2019 and in terms of the settlement agreement </w:t>
      </w:r>
      <w:r w:rsidR="00C46B37">
        <w:rPr>
          <w:rFonts w:cs="Arial"/>
          <w:bCs/>
          <w:szCs w:val="22"/>
          <w:lang w:val="en-US"/>
        </w:rPr>
        <w:t xml:space="preserve">and the notarial deed of habitatio </w:t>
      </w:r>
      <w:r w:rsidR="004C4672" w:rsidRPr="00E507CB">
        <w:rPr>
          <w:rFonts w:cs="Arial"/>
          <w:bCs/>
          <w:szCs w:val="22"/>
          <w:lang w:val="en-US"/>
        </w:rPr>
        <w:t>the appellant was obliged to vacate the property at the end of December 2019. She failed to vacate the property and was permitted a further two months</w:t>
      </w:r>
      <w:r w:rsidR="004C4672" w:rsidRPr="00DF2874">
        <w:rPr>
          <w:rFonts w:cs="Arial"/>
          <w:bCs/>
          <w:szCs w:val="22"/>
          <w:lang w:val="en-US"/>
        </w:rPr>
        <w:t xml:space="preserve"> in order to do so</w:t>
      </w:r>
      <w:r w:rsidR="004C4672">
        <w:rPr>
          <w:rFonts w:cs="Arial"/>
          <w:bCs/>
          <w:szCs w:val="22"/>
          <w:lang w:val="en-US"/>
        </w:rPr>
        <w:t xml:space="preserve">. </w:t>
      </w:r>
      <w:r w:rsidR="004C4672" w:rsidRPr="00DF2874">
        <w:rPr>
          <w:rFonts w:cs="Arial"/>
          <w:bCs/>
          <w:szCs w:val="22"/>
          <w:lang w:val="en-US"/>
        </w:rPr>
        <w:t>A further indulgence was granted until the end of June 2020</w:t>
      </w:r>
      <w:r w:rsidR="004C4672">
        <w:rPr>
          <w:rFonts w:cs="Arial"/>
          <w:bCs/>
          <w:szCs w:val="22"/>
          <w:lang w:val="en-US"/>
        </w:rPr>
        <w:t>.</w:t>
      </w:r>
      <w:r w:rsidR="009A76E6">
        <w:rPr>
          <w:rFonts w:cs="Arial"/>
          <w:bCs/>
          <w:szCs w:val="22"/>
          <w:lang w:val="en-US"/>
        </w:rPr>
        <w:t xml:space="preserve">  Again she overstayed.</w:t>
      </w:r>
    </w:p>
    <w:p w14:paraId="685DC8B7" w14:textId="4EE4ED10" w:rsidR="00E33DDA" w:rsidRPr="009821BD" w:rsidRDefault="000E7010" w:rsidP="000E7010">
      <w:pPr>
        <w:widowControl w:val="0"/>
        <w:tabs>
          <w:tab w:val="left" w:pos="567"/>
        </w:tabs>
        <w:spacing w:before="480" w:after="480" w:line="360" w:lineRule="auto"/>
        <w:jc w:val="both"/>
        <w:rPr>
          <w:rFonts w:cs="Arial"/>
          <w:bCs/>
          <w:szCs w:val="22"/>
        </w:rPr>
      </w:pPr>
      <w:r w:rsidRPr="009821BD">
        <w:rPr>
          <w:rFonts w:cs="Arial"/>
          <w:bCs/>
          <w:szCs w:val="22"/>
        </w:rPr>
        <w:t>[8]</w:t>
      </w:r>
      <w:r w:rsidRPr="009821BD">
        <w:rPr>
          <w:rFonts w:cs="Arial"/>
          <w:bCs/>
          <w:szCs w:val="22"/>
        </w:rPr>
        <w:tab/>
      </w:r>
      <w:r w:rsidR="00E33DDA">
        <w:rPr>
          <w:rFonts w:cs="Arial"/>
          <w:bCs/>
          <w:szCs w:val="22"/>
          <w:lang w:val="en-US"/>
        </w:rPr>
        <w:t>The appellant</w:t>
      </w:r>
      <w:r w:rsidR="00E33DDA" w:rsidRPr="009821BD">
        <w:rPr>
          <w:rFonts w:cs="Arial"/>
          <w:bCs/>
          <w:szCs w:val="22"/>
          <w:lang w:val="en-US"/>
        </w:rPr>
        <w:t xml:space="preserve"> is a</w:t>
      </w:r>
      <w:r w:rsidR="00E33DDA">
        <w:rPr>
          <w:rFonts w:cs="Arial"/>
          <w:bCs/>
          <w:szCs w:val="22"/>
          <w:lang w:val="en-US"/>
        </w:rPr>
        <w:t xml:space="preserve"> </w:t>
      </w:r>
      <w:r w:rsidR="005B3224" w:rsidRPr="00751347">
        <w:rPr>
          <w:rFonts w:cs="Arial"/>
          <w:bCs/>
          <w:szCs w:val="22"/>
          <w:lang w:val="en-US"/>
        </w:rPr>
        <w:t>64</w:t>
      </w:r>
      <w:r w:rsidR="005B3224">
        <w:rPr>
          <w:rFonts w:cs="Arial"/>
          <w:bCs/>
          <w:szCs w:val="22"/>
          <w:lang w:val="en-US"/>
        </w:rPr>
        <w:t>-</w:t>
      </w:r>
      <w:r w:rsidR="005B3224" w:rsidRPr="00751347">
        <w:rPr>
          <w:rFonts w:cs="Arial"/>
          <w:bCs/>
          <w:szCs w:val="22"/>
          <w:lang w:val="en-US"/>
        </w:rPr>
        <w:t>year-old</w:t>
      </w:r>
      <w:r w:rsidR="00E33DDA">
        <w:rPr>
          <w:rFonts w:cs="Arial"/>
          <w:bCs/>
          <w:szCs w:val="22"/>
          <w:lang w:val="en-US"/>
        </w:rPr>
        <w:t xml:space="preserve"> p</w:t>
      </w:r>
      <w:r w:rsidR="00E33DDA" w:rsidRPr="009821BD">
        <w:rPr>
          <w:rFonts w:cs="Arial"/>
          <w:bCs/>
          <w:szCs w:val="22"/>
          <w:lang w:val="en-US"/>
        </w:rPr>
        <w:t xml:space="preserve">ensioner and </w:t>
      </w:r>
      <w:r w:rsidR="00E33DDA">
        <w:rPr>
          <w:rFonts w:cs="Arial"/>
          <w:bCs/>
          <w:szCs w:val="22"/>
          <w:lang w:val="en-US"/>
        </w:rPr>
        <w:t>i</w:t>
      </w:r>
      <w:r w:rsidR="00E33DDA" w:rsidRPr="009821BD">
        <w:rPr>
          <w:rFonts w:cs="Arial"/>
          <w:bCs/>
          <w:szCs w:val="22"/>
          <w:lang w:val="en-US"/>
        </w:rPr>
        <w:t xml:space="preserve">s not in </w:t>
      </w:r>
      <w:r w:rsidR="006E6B4A">
        <w:rPr>
          <w:rFonts w:cs="Arial"/>
          <w:bCs/>
          <w:szCs w:val="22"/>
          <w:lang w:val="en-US"/>
        </w:rPr>
        <w:t>robust</w:t>
      </w:r>
      <w:r w:rsidR="00E33DDA" w:rsidRPr="009821BD">
        <w:rPr>
          <w:rFonts w:cs="Arial"/>
          <w:bCs/>
          <w:szCs w:val="22"/>
          <w:lang w:val="en-US"/>
        </w:rPr>
        <w:t xml:space="preserve"> health</w:t>
      </w:r>
      <w:r w:rsidR="00B64EEE">
        <w:rPr>
          <w:rFonts w:cs="Arial"/>
          <w:bCs/>
          <w:szCs w:val="22"/>
          <w:lang w:val="en-US"/>
        </w:rPr>
        <w:t xml:space="preserve"> </w:t>
      </w:r>
      <w:r w:rsidR="00E33DDA">
        <w:rPr>
          <w:rFonts w:cs="Arial"/>
          <w:bCs/>
          <w:szCs w:val="22"/>
          <w:lang w:val="en-US"/>
        </w:rPr>
        <w:t xml:space="preserve">- </w:t>
      </w:r>
      <w:r w:rsidR="00E33DDA" w:rsidRPr="00DF2874">
        <w:rPr>
          <w:rFonts w:cs="Arial"/>
          <w:bCs/>
          <w:szCs w:val="22"/>
          <w:lang w:val="en-US"/>
        </w:rPr>
        <w:t>she suffers from multiple sclerosis</w:t>
      </w:r>
      <w:r w:rsidR="00E33DDA">
        <w:rPr>
          <w:rFonts w:cs="Arial"/>
          <w:bCs/>
          <w:szCs w:val="22"/>
          <w:lang w:val="en-US"/>
        </w:rPr>
        <w:t>. The appellant’s</w:t>
      </w:r>
      <w:r w:rsidR="00E33DDA" w:rsidRPr="009821BD">
        <w:rPr>
          <w:rFonts w:cs="Arial"/>
          <w:bCs/>
          <w:szCs w:val="22"/>
          <w:lang w:val="en-US"/>
        </w:rPr>
        <w:t xml:space="preserve"> unemployed son</w:t>
      </w:r>
      <w:r w:rsidR="00B64EEE">
        <w:rPr>
          <w:rFonts w:cs="Arial"/>
          <w:bCs/>
          <w:szCs w:val="22"/>
          <w:lang w:val="en-US"/>
        </w:rPr>
        <w:t>, Neville,</w:t>
      </w:r>
      <w:r w:rsidR="00E33DDA" w:rsidRPr="009821BD">
        <w:rPr>
          <w:rFonts w:cs="Arial"/>
          <w:bCs/>
          <w:szCs w:val="22"/>
          <w:lang w:val="en-US"/>
        </w:rPr>
        <w:t xml:space="preserve"> and her </w:t>
      </w:r>
      <w:r w:rsidR="00E33DDA">
        <w:rPr>
          <w:rFonts w:cs="Arial"/>
          <w:bCs/>
          <w:szCs w:val="22"/>
          <w:lang w:val="en-US"/>
        </w:rPr>
        <w:t>ten</w:t>
      </w:r>
      <w:r w:rsidR="00B46DA7">
        <w:rPr>
          <w:rFonts w:cs="Arial"/>
          <w:bCs/>
          <w:szCs w:val="22"/>
          <w:lang w:val="en-US"/>
        </w:rPr>
        <w:t>-</w:t>
      </w:r>
      <w:r w:rsidR="00E33DDA" w:rsidRPr="006B6001">
        <w:rPr>
          <w:rFonts w:cs="Arial"/>
          <w:bCs/>
          <w:szCs w:val="22"/>
          <w:lang w:val="en-US"/>
        </w:rPr>
        <w:t>year old</w:t>
      </w:r>
      <w:r w:rsidR="00E33DDA">
        <w:rPr>
          <w:rFonts w:cs="Arial"/>
          <w:bCs/>
          <w:szCs w:val="22"/>
          <w:lang w:val="en-US"/>
        </w:rPr>
        <w:t xml:space="preserve"> </w:t>
      </w:r>
      <w:r w:rsidR="00E33DDA" w:rsidRPr="009821BD">
        <w:rPr>
          <w:rFonts w:cs="Arial"/>
          <w:bCs/>
          <w:szCs w:val="22"/>
          <w:lang w:val="en-US"/>
        </w:rPr>
        <w:lastRenderedPageBreak/>
        <w:t>grandson</w:t>
      </w:r>
      <w:r w:rsidR="00B64EEE">
        <w:rPr>
          <w:rFonts w:cs="Arial"/>
          <w:bCs/>
          <w:szCs w:val="22"/>
          <w:lang w:val="en-US"/>
        </w:rPr>
        <w:t>, Levi,</w:t>
      </w:r>
      <w:r w:rsidR="00E33DDA" w:rsidRPr="009821BD">
        <w:rPr>
          <w:rFonts w:cs="Arial"/>
          <w:bCs/>
          <w:szCs w:val="22"/>
          <w:lang w:val="en-US"/>
        </w:rPr>
        <w:t xml:space="preserve"> live with her in the property</w:t>
      </w:r>
      <w:r w:rsidR="00E33DDA">
        <w:rPr>
          <w:rFonts w:cs="Arial"/>
          <w:bCs/>
          <w:szCs w:val="22"/>
          <w:lang w:val="en-US"/>
        </w:rPr>
        <w:t xml:space="preserve"> and s</w:t>
      </w:r>
      <w:r w:rsidR="00E33DDA" w:rsidRPr="00751347">
        <w:rPr>
          <w:rFonts w:cs="Arial"/>
          <w:bCs/>
          <w:szCs w:val="22"/>
          <w:lang w:val="en-US"/>
        </w:rPr>
        <w:t>he is the head of the household</w:t>
      </w:r>
      <w:r w:rsidR="00E33DDA" w:rsidRPr="009821BD">
        <w:rPr>
          <w:rFonts w:cs="Arial"/>
          <w:bCs/>
          <w:szCs w:val="22"/>
          <w:lang w:val="en-US"/>
        </w:rPr>
        <w:t xml:space="preserve">. </w:t>
      </w:r>
      <w:r w:rsidR="00E33DDA">
        <w:rPr>
          <w:rFonts w:cs="Arial"/>
          <w:bCs/>
          <w:szCs w:val="22"/>
          <w:lang w:val="en-US"/>
        </w:rPr>
        <w:t>Her son</w:t>
      </w:r>
      <w:r w:rsidR="00057BEA">
        <w:rPr>
          <w:rFonts w:cs="Arial"/>
          <w:bCs/>
          <w:szCs w:val="22"/>
          <w:lang w:val="en-US"/>
        </w:rPr>
        <w:t xml:space="preserve"> Neville</w:t>
      </w:r>
      <w:r w:rsidR="00E33DDA">
        <w:rPr>
          <w:rFonts w:cs="Arial"/>
          <w:bCs/>
          <w:szCs w:val="22"/>
          <w:lang w:val="en-US"/>
        </w:rPr>
        <w:t xml:space="preserve"> is unemployed</w:t>
      </w:r>
      <w:r w:rsidR="00D56C64">
        <w:rPr>
          <w:rFonts w:cs="Arial"/>
          <w:bCs/>
          <w:szCs w:val="22"/>
          <w:lang w:val="en-US"/>
        </w:rPr>
        <w:t xml:space="preserve">.  According to the appellant he gave up his employment some years ago to be with </w:t>
      </w:r>
      <w:r w:rsidR="00057BEA">
        <w:rPr>
          <w:rFonts w:cs="Arial"/>
          <w:bCs/>
          <w:szCs w:val="22"/>
          <w:lang w:val="en-US"/>
        </w:rPr>
        <w:t>Levi</w:t>
      </w:r>
      <w:r w:rsidR="00D56C64">
        <w:rPr>
          <w:rFonts w:cs="Arial"/>
          <w:bCs/>
          <w:szCs w:val="22"/>
          <w:lang w:val="en-US"/>
        </w:rPr>
        <w:t xml:space="preserve"> </w:t>
      </w:r>
      <w:r w:rsidR="002913AB">
        <w:rPr>
          <w:rFonts w:cs="Arial"/>
          <w:bCs/>
          <w:szCs w:val="22"/>
          <w:lang w:val="en-US"/>
        </w:rPr>
        <w:t xml:space="preserve">on a </w:t>
      </w:r>
      <w:r w:rsidR="005B3224">
        <w:rPr>
          <w:rFonts w:cs="Arial"/>
          <w:bCs/>
          <w:szCs w:val="22"/>
          <w:lang w:val="en-US"/>
        </w:rPr>
        <w:t>full-time</w:t>
      </w:r>
      <w:r w:rsidR="002913AB">
        <w:rPr>
          <w:rFonts w:cs="Arial"/>
          <w:bCs/>
          <w:szCs w:val="22"/>
          <w:lang w:val="en-US"/>
        </w:rPr>
        <w:t xml:space="preserve"> basis </w:t>
      </w:r>
      <w:r w:rsidR="00D56C64">
        <w:rPr>
          <w:rFonts w:cs="Arial"/>
          <w:bCs/>
          <w:szCs w:val="22"/>
          <w:lang w:val="en-US"/>
        </w:rPr>
        <w:t xml:space="preserve">after </w:t>
      </w:r>
      <w:r w:rsidR="002913AB">
        <w:rPr>
          <w:rFonts w:cs="Arial"/>
          <w:bCs/>
          <w:szCs w:val="22"/>
          <w:lang w:val="en-US"/>
        </w:rPr>
        <w:t>t</w:t>
      </w:r>
      <w:r w:rsidR="00D56C64">
        <w:rPr>
          <w:rFonts w:cs="Arial"/>
          <w:bCs/>
          <w:szCs w:val="22"/>
          <w:lang w:val="en-US"/>
        </w:rPr>
        <w:t xml:space="preserve">he </w:t>
      </w:r>
      <w:r w:rsidR="00B64EEE">
        <w:rPr>
          <w:rFonts w:cs="Arial"/>
          <w:bCs/>
          <w:szCs w:val="22"/>
          <w:lang w:val="en-US"/>
        </w:rPr>
        <w:t xml:space="preserve">latter </w:t>
      </w:r>
      <w:r w:rsidR="00D56C64">
        <w:rPr>
          <w:rFonts w:cs="Arial"/>
          <w:bCs/>
          <w:szCs w:val="22"/>
          <w:lang w:val="en-US"/>
        </w:rPr>
        <w:t xml:space="preserve">suffered </w:t>
      </w:r>
      <w:r w:rsidR="00061288">
        <w:rPr>
          <w:rFonts w:cs="Arial"/>
          <w:bCs/>
          <w:szCs w:val="22"/>
          <w:lang w:val="en-US"/>
        </w:rPr>
        <w:t xml:space="preserve">severe </w:t>
      </w:r>
      <w:r w:rsidR="00D56C64">
        <w:rPr>
          <w:rFonts w:cs="Arial"/>
          <w:bCs/>
          <w:szCs w:val="22"/>
          <w:lang w:val="en-US"/>
        </w:rPr>
        <w:t>psychological trauma following his alleged abduction by his mother.</w:t>
      </w:r>
      <w:r w:rsidR="00E33DDA">
        <w:rPr>
          <w:rFonts w:cs="Arial"/>
          <w:bCs/>
          <w:szCs w:val="22"/>
          <w:lang w:val="en-US"/>
        </w:rPr>
        <w:t xml:space="preserve"> </w:t>
      </w:r>
      <w:r w:rsidR="002913AB">
        <w:rPr>
          <w:rFonts w:cs="Arial"/>
          <w:bCs/>
          <w:szCs w:val="22"/>
          <w:lang w:val="en-US"/>
        </w:rPr>
        <w:t xml:space="preserve">When </w:t>
      </w:r>
      <w:r w:rsidR="00057BEA">
        <w:rPr>
          <w:rFonts w:cs="Arial"/>
          <w:bCs/>
          <w:szCs w:val="22"/>
          <w:lang w:val="en-US"/>
        </w:rPr>
        <w:t>Levi had recovered sufficiently for Neville</w:t>
      </w:r>
      <w:r w:rsidR="002913AB">
        <w:rPr>
          <w:rFonts w:cs="Arial"/>
          <w:bCs/>
          <w:szCs w:val="22"/>
          <w:lang w:val="en-US"/>
        </w:rPr>
        <w:t xml:space="preserve"> to return to work, he was not able to find employment. </w:t>
      </w:r>
      <w:r w:rsidR="00943AB9">
        <w:rPr>
          <w:rFonts w:cs="Arial"/>
          <w:bCs/>
          <w:szCs w:val="22"/>
          <w:lang w:val="en-US"/>
        </w:rPr>
        <w:t xml:space="preserve"> Levi is now</w:t>
      </w:r>
      <w:r w:rsidR="00E33DDA">
        <w:rPr>
          <w:rFonts w:cs="Arial"/>
          <w:bCs/>
          <w:szCs w:val="22"/>
          <w:lang w:val="en-US"/>
        </w:rPr>
        <w:t xml:space="preserve"> home-school</w:t>
      </w:r>
      <w:r w:rsidR="00943AB9">
        <w:rPr>
          <w:rFonts w:cs="Arial"/>
          <w:bCs/>
          <w:szCs w:val="22"/>
          <w:lang w:val="en-US"/>
        </w:rPr>
        <w:t>ed because the family cannot afford school fees</w:t>
      </w:r>
      <w:r w:rsidR="00E33DDA">
        <w:rPr>
          <w:rFonts w:cs="Arial"/>
          <w:bCs/>
          <w:szCs w:val="22"/>
          <w:lang w:val="en-US"/>
        </w:rPr>
        <w:t>. The appellant</w:t>
      </w:r>
      <w:r w:rsidR="00E33DDA" w:rsidRPr="009821BD">
        <w:rPr>
          <w:rFonts w:cs="Arial"/>
          <w:bCs/>
          <w:szCs w:val="22"/>
          <w:lang w:val="en-US"/>
        </w:rPr>
        <w:t xml:space="preserve"> receives a monthly </w:t>
      </w:r>
      <w:r w:rsidR="00943AB9">
        <w:rPr>
          <w:rFonts w:cs="Arial"/>
          <w:bCs/>
          <w:szCs w:val="22"/>
          <w:lang w:val="en-US"/>
        </w:rPr>
        <w:t xml:space="preserve">State </w:t>
      </w:r>
      <w:r w:rsidR="00E33DDA" w:rsidRPr="009821BD">
        <w:rPr>
          <w:rFonts w:cs="Arial"/>
          <w:bCs/>
          <w:szCs w:val="22"/>
          <w:lang w:val="en-US"/>
        </w:rPr>
        <w:t>pension</w:t>
      </w:r>
      <w:r w:rsidR="00943AB9">
        <w:rPr>
          <w:rFonts w:cs="Arial"/>
          <w:bCs/>
          <w:szCs w:val="22"/>
          <w:lang w:val="en-US"/>
        </w:rPr>
        <w:t xml:space="preserve"> and a small annuity</w:t>
      </w:r>
      <w:r w:rsidR="00E33DDA" w:rsidRPr="00751347">
        <w:rPr>
          <w:rFonts w:cs="Arial"/>
          <w:bCs/>
          <w:szCs w:val="22"/>
          <w:lang w:val="en-US"/>
        </w:rPr>
        <w:t>.</w:t>
      </w:r>
      <w:r w:rsidR="00E33DDA">
        <w:rPr>
          <w:rFonts w:cs="Arial"/>
          <w:bCs/>
          <w:szCs w:val="22"/>
          <w:lang w:val="en-US"/>
        </w:rPr>
        <w:t xml:space="preserve"> </w:t>
      </w:r>
      <w:r w:rsidR="00E33DDA" w:rsidRPr="00751347">
        <w:rPr>
          <w:rFonts w:cs="Arial"/>
          <w:bCs/>
          <w:szCs w:val="22"/>
          <w:lang w:val="en-US"/>
        </w:rPr>
        <w:t>She is unable to pay for accommodation</w:t>
      </w:r>
      <w:r w:rsidR="00E33DDA">
        <w:rPr>
          <w:rFonts w:cs="Arial"/>
          <w:bCs/>
          <w:szCs w:val="22"/>
          <w:lang w:val="en-US"/>
        </w:rPr>
        <w:t xml:space="preserve"> elsewhere</w:t>
      </w:r>
      <w:r w:rsidR="00E33DDA" w:rsidRPr="00751347">
        <w:rPr>
          <w:rFonts w:cs="Arial"/>
          <w:bCs/>
          <w:szCs w:val="22"/>
          <w:lang w:val="en-US"/>
        </w:rPr>
        <w:t xml:space="preserve"> for herself</w:t>
      </w:r>
      <w:r w:rsidR="00E33DDA">
        <w:rPr>
          <w:rFonts w:cs="Arial"/>
          <w:bCs/>
          <w:szCs w:val="22"/>
          <w:lang w:val="en-US"/>
        </w:rPr>
        <w:t>, her</w:t>
      </w:r>
      <w:r w:rsidR="00E33DDA" w:rsidRPr="00751347">
        <w:rPr>
          <w:rFonts w:cs="Arial"/>
          <w:bCs/>
          <w:szCs w:val="22"/>
          <w:lang w:val="en-US"/>
        </w:rPr>
        <w:t xml:space="preserve"> son and her grandson</w:t>
      </w:r>
      <w:r w:rsidR="00943AB9">
        <w:rPr>
          <w:rFonts w:cs="Arial"/>
          <w:bCs/>
          <w:szCs w:val="22"/>
          <w:lang w:val="en-US"/>
        </w:rPr>
        <w:t>.  It</w:t>
      </w:r>
      <w:r w:rsidR="00E33DDA" w:rsidRPr="00751347">
        <w:rPr>
          <w:rFonts w:cs="Arial"/>
          <w:bCs/>
          <w:szCs w:val="22"/>
          <w:lang w:val="en-US"/>
        </w:rPr>
        <w:t xml:space="preserve"> might be possible for her to obtain accommodation for herself </w:t>
      </w:r>
      <w:r w:rsidR="00943AB9">
        <w:rPr>
          <w:rFonts w:cs="Arial"/>
          <w:bCs/>
          <w:szCs w:val="22"/>
          <w:lang w:val="en-US"/>
        </w:rPr>
        <w:t xml:space="preserve">alone </w:t>
      </w:r>
      <w:r w:rsidR="00E33DDA" w:rsidRPr="00751347">
        <w:rPr>
          <w:rFonts w:cs="Arial"/>
          <w:bCs/>
          <w:szCs w:val="22"/>
          <w:lang w:val="en-US"/>
        </w:rPr>
        <w:t>through the MOTHS</w:t>
      </w:r>
      <w:r w:rsidR="00E33DDA">
        <w:rPr>
          <w:rFonts w:cs="Arial"/>
          <w:bCs/>
          <w:szCs w:val="22"/>
          <w:lang w:val="en-US"/>
        </w:rPr>
        <w:t xml:space="preserve"> (</w:t>
      </w:r>
      <w:r w:rsidR="00E33DDA" w:rsidRPr="00751347">
        <w:rPr>
          <w:rFonts w:cs="Arial"/>
          <w:bCs/>
          <w:szCs w:val="22"/>
          <w:lang w:val="en-US"/>
        </w:rPr>
        <w:t>the Memorable Order of the Tin Hats</w:t>
      </w:r>
      <w:r w:rsidR="00E33DDA">
        <w:rPr>
          <w:rFonts w:cs="Arial"/>
          <w:bCs/>
          <w:szCs w:val="22"/>
          <w:lang w:val="en-US"/>
        </w:rPr>
        <w:t>)</w:t>
      </w:r>
      <w:r w:rsidR="00E33DDA" w:rsidRPr="00751347">
        <w:rPr>
          <w:rFonts w:cs="Arial"/>
          <w:bCs/>
          <w:szCs w:val="22"/>
          <w:lang w:val="en-US"/>
        </w:rPr>
        <w:t xml:space="preserve"> organization</w:t>
      </w:r>
      <w:r w:rsidR="00E33DDA">
        <w:rPr>
          <w:rFonts w:cs="Arial"/>
          <w:bCs/>
          <w:szCs w:val="22"/>
          <w:lang w:val="en-US"/>
        </w:rPr>
        <w:t xml:space="preserve">. </w:t>
      </w:r>
      <w:r w:rsidR="00E33DDA" w:rsidRPr="007373D9">
        <w:rPr>
          <w:rFonts w:cs="Arial"/>
          <w:bCs/>
          <w:szCs w:val="22"/>
          <w:lang w:val="en-US"/>
        </w:rPr>
        <w:t xml:space="preserve">It </w:t>
      </w:r>
      <w:r w:rsidR="00943AB9">
        <w:rPr>
          <w:rFonts w:cs="Arial"/>
          <w:bCs/>
          <w:szCs w:val="22"/>
          <w:lang w:val="en-US"/>
        </w:rPr>
        <w:t>i</w:t>
      </w:r>
      <w:r w:rsidR="00E33DDA" w:rsidRPr="007373D9">
        <w:rPr>
          <w:rFonts w:cs="Arial"/>
          <w:bCs/>
          <w:szCs w:val="22"/>
          <w:lang w:val="en-US"/>
        </w:rPr>
        <w:t xml:space="preserve">s also </w:t>
      </w:r>
      <w:r w:rsidR="00943AB9">
        <w:rPr>
          <w:rFonts w:cs="Arial"/>
          <w:bCs/>
          <w:szCs w:val="22"/>
          <w:lang w:val="en-US"/>
        </w:rPr>
        <w:t xml:space="preserve">contended by the respondent that it is </w:t>
      </w:r>
      <w:r w:rsidR="00E33DDA" w:rsidRPr="007373D9">
        <w:rPr>
          <w:rFonts w:cs="Arial"/>
          <w:bCs/>
          <w:szCs w:val="22"/>
          <w:lang w:val="en-US"/>
        </w:rPr>
        <w:t>possible for the appellant</w:t>
      </w:r>
      <w:r w:rsidR="00943AB9">
        <w:rPr>
          <w:rFonts w:cs="Arial"/>
          <w:bCs/>
          <w:szCs w:val="22"/>
          <w:lang w:val="en-US"/>
        </w:rPr>
        <w:t>, her son and grandson,</w:t>
      </w:r>
      <w:r w:rsidR="00E33DDA" w:rsidRPr="007373D9">
        <w:rPr>
          <w:rFonts w:cs="Arial"/>
          <w:bCs/>
          <w:szCs w:val="22"/>
          <w:lang w:val="en-US"/>
        </w:rPr>
        <w:t xml:space="preserve"> though </w:t>
      </w:r>
      <w:r w:rsidR="002E3459">
        <w:rPr>
          <w:rFonts w:cs="Arial"/>
          <w:bCs/>
          <w:szCs w:val="22"/>
          <w:lang w:val="en-US"/>
        </w:rPr>
        <w:t>not</w:t>
      </w:r>
      <w:r w:rsidR="00E33DDA" w:rsidRPr="007373D9">
        <w:rPr>
          <w:rFonts w:cs="Arial"/>
          <w:bCs/>
          <w:szCs w:val="22"/>
          <w:lang w:val="en-US"/>
        </w:rPr>
        <w:t xml:space="preserve"> ideal</w:t>
      </w:r>
      <w:r w:rsidR="002E3459">
        <w:rPr>
          <w:rFonts w:cs="Arial"/>
          <w:bCs/>
          <w:szCs w:val="22"/>
          <w:lang w:val="en-US"/>
        </w:rPr>
        <w:t>,</w:t>
      </w:r>
      <w:r w:rsidR="00E33DDA" w:rsidRPr="007373D9">
        <w:rPr>
          <w:rFonts w:cs="Arial"/>
          <w:bCs/>
          <w:szCs w:val="22"/>
          <w:lang w:val="en-US"/>
        </w:rPr>
        <w:t xml:space="preserve"> </w:t>
      </w:r>
      <w:r w:rsidR="00E33DDA">
        <w:rPr>
          <w:rFonts w:cs="Arial"/>
          <w:bCs/>
          <w:szCs w:val="22"/>
          <w:lang w:val="en-US"/>
        </w:rPr>
        <w:t>t</w:t>
      </w:r>
      <w:r w:rsidR="00E33DDA" w:rsidRPr="007373D9">
        <w:rPr>
          <w:rFonts w:cs="Arial"/>
          <w:bCs/>
          <w:szCs w:val="22"/>
          <w:lang w:val="en-US"/>
        </w:rPr>
        <w:t>o move in with her other son who live</w:t>
      </w:r>
      <w:r w:rsidR="00E33DDA">
        <w:rPr>
          <w:rFonts w:cs="Arial"/>
          <w:bCs/>
          <w:szCs w:val="22"/>
          <w:lang w:val="en-US"/>
        </w:rPr>
        <w:t>s</w:t>
      </w:r>
      <w:r w:rsidR="00E33DDA" w:rsidRPr="007373D9">
        <w:rPr>
          <w:rFonts w:cs="Arial"/>
          <w:bCs/>
          <w:szCs w:val="22"/>
          <w:lang w:val="en-US"/>
        </w:rPr>
        <w:t xml:space="preserve"> in a house with his own family but whose wife</w:t>
      </w:r>
      <w:r w:rsidR="00E33DDA">
        <w:rPr>
          <w:rFonts w:cs="Arial"/>
          <w:bCs/>
          <w:szCs w:val="22"/>
          <w:lang w:val="en-US"/>
        </w:rPr>
        <w:t xml:space="preserve"> (</w:t>
      </w:r>
      <w:r w:rsidR="00E33DDA" w:rsidRPr="007373D9">
        <w:rPr>
          <w:rFonts w:cs="Arial"/>
          <w:bCs/>
          <w:szCs w:val="22"/>
          <w:lang w:val="en-US"/>
        </w:rPr>
        <w:t>the daughter-in-law of the appellant</w:t>
      </w:r>
      <w:r w:rsidR="00E33DDA">
        <w:rPr>
          <w:rFonts w:cs="Arial"/>
          <w:bCs/>
          <w:szCs w:val="22"/>
          <w:lang w:val="en-US"/>
        </w:rPr>
        <w:t xml:space="preserve">) </w:t>
      </w:r>
      <w:r w:rsidR="002E3459">
        <w:rPr>
          <w:rFonts w:cs="Arial"/>
          <w:bCs/>
          <w:szCs w:val="22"/>
          <w:lang w:val="en-US"/>
        </w:rPr>
        <w:t>i</w:t>
      </w:r>
      <w:r w:rsidR="00E33DDA" w:rsidRPr="007373D9">
        <w:rPr>
          <w:rFonts w:cs="Arial"/>
          <w:bCs/>
          <w:szCs w:val="22"/>
          <w:lang w:val="en-US"/>
        </w:rPr>
        <w:t xml:space="preserve">s also </w:t>
      </w:r>
      <w:r w:rsidR="00E33DDA">
        <w:rPr>
          <w:rFonts w:cs="Arial"/>
          <w:bCs/>
          <w:szCs w:val="22"/>
          <w:lang w:val="en-US"/>
        </w:rPr>
        <w:t>coping</w:t>
      </w:r>
      <w:r w:rsidR="00E33DDA" w:rsidRPr="007373D9">
        <w:rPr>
          <w:rFonts w:cs="Arial"/>
          <w:bCs/>
          <w:szCs w:val="22"/>
          <w:lang w:val="en-US"/>
        </w:rPr>
        <w:t xml:space="preserve"> with </w:t>
      </w:r>
      <w:r w:rsidR="00CE7459">
        <w:rPr>
          <w:rFonts w:cs="Arial"/>
          <w:bCs/>
          <w:szCs w:val="22"/>
          <w:lang w:val="en-US"/>
        </w:rPr>
        <w:t>serious</w:t>
      </w:r>
      <w:r w:rsidR="00E33DDA" w:rsidRPr="007373D9">
        <w:rPr>
          <w:rFonts w:cs="Arial"/>
          <w:bCs/>
          <w:szCs w:val="22"/>
          <w:lang w:val="en-US"/>
        </w:rPr>
        <w:t xml:space="preserve"> illness.</w:t>
      </w:r>
    </w:p>
    <w:p w14:paraId="3A886895" w14:textId="0B0160A2" w:rsidR="00E33DDA" w:rsidRPr="00E33DDA" w:rsidRDefault="000E7010" w:rsidP="000E7010">
      <w:pPr>
        <w:widowControl w:val="0"/>
        <w:tabs>
          <w:tab w:val="left" w:pos="567"/>
        </w:tabs>
        <w:spacing w:before="480" w:after="480" w:line="360" w:lineRule="auto"/>
        <w:jc w:val="both"/>
        <w:rPr>
          <w:rFonts w:cs="Arial"/>
          <w:bCs/>
          <w:szCs w:val="22"/>
        </w:rPr>
      </w:pPr>
      <w:r w:rsidRPr="00E33DDA">
        <w:rPr>
          <w:rFonts w:cs="Arial"/>
          <w:bCs/>
          <w:szCs w:val="22"/>
        </w:rPr>
        <w:t>[9]</w:t>
      </w:r>
      <w:r w:rsidRPr="00E33DDA">
        <w:rPr>
          <w:rFonts w:cs="Arial"/>
          <w:bCs/>
          <w:szCs w:val="22"/>
        </w:rPr>
        <w:tab/>
      </w:r>
      <w:r w:rsidR="004C4672" w:rsidRPr="00DF2874">
        <w:rPr>
          <w:rFonts w:cs="Arial"/>
          <w:bCs/>
          <w:szCs w:val="22"/>
          <w:lang w:val="en-US"/>
        </w:rPr>
        <w:t>The respondent who is</w:t>
      </w:r>
      <w:r w:rsidR="00E33DDA">
        <w:rPr>
          <w:rFonts w:cs="Arial"/>
          <w:bCs/>
          <w:szCs w:val="22"/>
          <w:lang w:val="en-US"/>
        </w:rPr>
        <w:t xml:space="preserve"> also</w:t>
      </w:r>
      <w:r w:rsidR="004C4672" w:rsidRPr="00DF2874">
        <w:rPr>
          <w:rFonts w:cs="Arial"/>
          <w:bCs/>
          <w:szCs w:val="22"/>
          <w:lang w:val="en-US"/>
        </w:rPr>
        <w:t xml:space="preserve"> a pensioner</w:t>
      </w:r>
      <w:r w:rsidR="002E3459">
        <w:rPr>
          <w:rFonts w:cs="Arial"/>
          <w:bCs/>
          <w:szCs w:val="22"/>
          <w:lang w:val="en-US"/>
        </w:rPr>
        <w:t>, 78 years of age,</w:t>
      </w:r>
      <w:r w:rsidR="004C4672" w:rsidRPr="00DF2874">
        <w:rPr>
          <w:rFonts w:cs="Arial"/>
          <w:bCs/>
          <w:szCs w:val="22"/>
          <w:lang w:val="en-US"/>
        </w:rPr>
        <w:t xml:space="preserve"> pays the municipal rates and the cost of utilities of the property and also for the maintenance of the property. </w:t>
      </w:r>
      <w:r w:rsidR="007A6F3A">
        <w:rPr>
          <w:rFonts w:cs="Arial"/>
          <w:bCs/>
          <w:szCs w:val="22"/>
          <w:lang w:val="en-US"/>
        </w:rPr>
        <w:t>He has done so since 20</w:t>
      </w:r>
      <w:r w:rsidR="000A7A5B">
        <w:rPr>
          <w:rFonts w:cs="Arial"/>
          <w:bCs/>
          <w:szCs w:val="22"/>
          <w:lang w:val="en-US"/>
        </w:rPr>
        <w:t>0</w:t>
      </w:r>
      <w:r w:rsidR="007A6F3A">
        <w:rPr>
          <w:rFonts w:cs="Arial"/>
          <w:bCs/>
          <w:szCs w:val="22"/>
          <w:lang w:val="en-US"/>
        </w:rPr>
        <w:t xml:space="preserve">1.  </w:t>
      </w:r>
      <w:r w:rsidR="00DE2238" w:rsidRPr="00DF2874">
        <w:rPr>
          <w:rFonts w:cs="Arial"/>
          <w:bCs/>
          <w:szCs w:val="22"/>
          <w:lang w:val="en-US"/>
        </w:rPr>
        <w:t xml:space="preserve">The appellant admits that she </w:t>
      </w:r>
      <w:r w:rsidR="00E33DDA">
        <w:rPr>
          <w:rFonts w:cs="Arial"/>
          <w:bCs/>
          <w:szCs w:val="22"/>
          <w:lang w:val="en-US"/>
        </w:rPr>
        <w:t xml:space="preserve">has </w:t>
      </w:r>
      <w:r w:rsidR="00DE2238" w:rsidRPr="00DF2874">
        <w:rPr>
          <w:rFonts w:cs="Arial"/>
          <w:bCs/>
          <w:szCs w:val="22"/>
          <w:lang w:val="en-US"/>
        </w:rPr>
        <w:t>failed to maintain the property</w:t>
      </w:r>
      <w:r w:rsidR="00BE0DF5">
        <w:rPr>
          <w:rFonts w:cs="Arial"/>
          <w:bCs/>
          <w:szCs w:val="22"/>
          <w:lang w:val="en-US"/>
        </w:rPr>
        <w:t xml:space="preserve"> and that she does not contribute to the financial obligations to the local authority.</w:t>
      </w:r>
      <w:r w:rsidR="00DE2238">
        <w:rPr>
          <w:rFonts w:cs="Arial"/>
          <w:bCs/>
          <w:szCs w:val="22"/>
          <w:lang w:val="en-US"/>
        </w:rPr>
        <w:t xml:space="preserve"> </w:t>
      </w:r>
    </w:p>
    <w:p w14:paraId="5EFB44F3" w14:textId="652E4DEC" w:rsidR="00E33DDA" w:rsidRPr="00E33DDA" w:rsidRDefault="00E33DDA" w:rsidP="00E33DDA">
      <w:pPr>
        <w:widowControl w:val="0"/>
        <w:spacing w:before="480" w:after="480" w:line="360" w:lineRule="auto"/>
        <w:jc w:val="both"/>
        <w:rPr>
          <w:rFonts w:cs="Arial"/>
          <w:bCs/>
          <w:szCs w:val="22"/>
          <w:u w:val="single"/>
        </w:rPr>
      </w:pPr>
      <w:r w:rsidRPr="00E33DDA">
        <w:rPr>
          <w:rFonts w:cs="Arial"/>
          <w:bCs/>
          <w:szCs w:val="22"/>
          <w:u w:val="single"/>
        </w:rPr>
        <w:t>The parties’ Constitutional rights</w:t>
      </w:r>
    </w:p>
    <w:p w14:paraId="14027D9C" w14:textId="02BC4074" w:rsidR="00E33DDA" w:rsidRPr="005A084B" w:rsidRDefault="000E7010" w:rsidP="000E7010">
      <w:pPr>
        <w:widowControl w:val="0"/>
        <w:tabs>
          <w:tab w:val="left" w:pos="567"/>
        </w:tabs>
        <w:spacing w:before="480" w:after="480" w:line="360" w:lineRule="auto"/>
        <w:jc w:val="both"/>
        <w:rPr>
          <w:rFonts w:cs="Arial"/>
          <w:bCs/>
          <w:szCs w:val="22"/>
        </w:rPr>
      </w:pPr>
      <w:r w:rsidRPr="005A084B">
        <w:rPr>
          <w:rFonts w:cs="Arial"/>
          <w:bCs/>
          <w:szCs w:val="22"/>
        </w:rPr>
        <w:t>[10]</w:t>
      </w:r>
      <w:r w:rsidRPr="005A084B">
        <w:rPr>
          <w:rFonts w:cs="Arial"/>
          <w:bCs/>
          <w:szCs w:val="22"/>
        </w:rPr>
        <w:tab/>
      </w:r>
      <w:r w:rsidR="00E33DDA">
        <w:rPr>
          <w:rFonts w:cs="Arial"/>
          <w:bCs/>
          <w:szCs w:val="22"/>
        </w:rPr>
        <w:t>The</w:t>
      </w:r>
      <w:r w:rsidR="00E33DDA" w:rsidRPr="00E33DDA">
        <w:rPr>
          <w:rFonts w:cs="Arial"/>
          <w:bCs/>
          <w:szCs w:val="22"/>
        </w:rPr>
        <w:t xml:space="preserve"> </w:t>
      </w:r>
      <w:r w:rsidR="00E33DDA" w:rsidRPr="00E33DDA">
        <w:rPr>
          <w:rFonts w:cs="Arial"/>
          <w:bCs/>
          <w:szCs w:val="22"/>
          <w:lang w:val="en-US"/>
        </w:rPr>
        <w:t xml:space="preserve">Prevention </w:t>
      </w:r>
      <w:r w:rsidR="00D27D7B">
        <w:rPr>
          <w:rFonts w:cs="Arial"/>
          <w:bCs/>
          <w:szCs w:val="22"/>
          <w:lang w:val="en-US"/>
        </w:rPr>
        <w:t>o</w:t>
      </w:r>
      <w:r w:rsidR="00E33DDA" w:rsidRPr="00E33DDA">
        <w:rPr>
          <w:rFonts w:cs="Arial"/>
          <w:bCs/>
          <w:szCs w:val="22"/>
          <w:lang w:val="en-US"/>
        </w:rPr>
        <w:t xml:space="preserve">f Illegal Eviction </w:t>
      </w:r>
      <w:r w:rsidR="00D27D7B">
        <w:rPr>
          <w:rFonts w:cs="Arial"/>
          <w:bCs/>
          <w:szCs w:val="22"/>
          <w:lang w:val="en-US"/>
        </w:rPr>
        <w:t xml:space="preserve">from </w:t>
      </w:r>
      <w:r w:rsidR="00E33DDA" w:rsidRPr="00E33DDA">
        <w:rPr>
          <w:rFonts w:cs="Arial"/>
          <w:bCs/>
          <w:szCs w:val="22"/>
          <w:lang w:val="en-US"/>
        </w:rPr>
        <w:t>and Unlawful Occupation of Land Act</w:t>
      </w:r>
      <w:r w:rsidR="00E33DDA">
        <w:rPr>
          <w:rFonts w:cs="Arial"/>
          <w:bCs/>
          <w:szCs w:val="22"/>
          <w:lang w:val="en-US"/>
        </w:rPr>
        <w:t xml:space="preserve"> gives effect to section 26(3) of the Constitution of 1996. </w:t>
      </w:r>
      <w:r w:rsidR="005A084B">
        <w:t>Th</w:t>
      </w:r>
      <w:r w:rsidR="00240412">
        <w:t>is subsection of</w:t>
      </w:r>
      <w:r w:rsidR="005A084B">
        <w:t xml:space="preserve"> the Bill of Rights provides that </w:t>
      </w:r>
      <w:r w:rsidR="006627CA">
        <w:t>no-</w:t>
      </w:r>
      <w:r w:rsidR="00E33DDA">
        <w:t>one may be evicted from their home, or have their home demolished, without an order of court made after considering all the relevant circumstances. The Act</w:t>
      </w:r>
      <w:r w:rsidR="005A084B">
        <w:t xml:space="preserve"> creates the machinery and</w:t>
      </w:r>
      <w:r w:rsidR="00E33DDA">
        <w:t xml:space="preserve"> contains measures that enable a Court to consider all the relevant circumstances</w:t>
      </w:r>
      <w:r w:rsidR="005A084B">
        <w:t>.</w:t>
      </w:r>
      <w:r w:rsidR="005A084B">
        <w:rPr>
          <w:rStyle w:val="FootnoteReference"/>
        </w:rPr>
        <w:footnoteReference w:id="1"/>
      </w:r>
    </w:p>
    <w:p w14:paraId="2ACAFCE6" w14:textId="137ECE47" w:rsidR="005A084B" w:rsidRPr="00E33DDA" w:rsidRDefault="000E7010" w:rsidP="000E7010">
      <w:pPr>
        <w:widowControl w:val="0"/>
        <w:tabs>
          <w:tab w:val="left" w:pos="567"/>
        </w:tabs>
        <w:spacing w:before="480" w:after="480" w:line="360" w:lineRule="auto"/>
        <w:jc w:val="both"/>
        <w:rPr>
          <w:rFonts w:cs="Arial"/>
          <w:bCs/>
          <w:szCs w:val="22"/>
        </w:rPr>
      </w:pPr>
      <w:r w:rsidRPr="00E33DDA">
        <w:rPr>
          <w:rFonts w:cs="Arial"/>
          <w:bCs/>
          <w:szCs w:val="22"/>
        </w:rPr>
        <w:t>[11]</w:t>
      </w:r>
      <w:r w:rsidRPr="00E33DDA">
        <w:rPr>
          <w:rFonts w:cs="Arial"/>
          <w:bCs/>
          <w:szCs w:val="22"/>
        </w:rPr>
        <w:tab/>
      </w:r>
      <w:r w:rsidR="005A084B">
        <w:rPr>
          <w:rFonts w:cs="Arial"/>
          <w:bCs/>
          <w:szCs w:val="22"/>
        </w:rPr>
        <w:t>The provisions are not aimed at the expropriation of private property but seek to delay or suspend certain ownership rights</w:t>
      </w:r>
      <w:r w:rsidR="006E6B4A">
        <w:rPr>
          <w:rStyle w:val="FootnoteReference"/>
          <w:rFonts w:cs="Arial"/>
          <w:bCs/>
          <w:szCs w:val="22"/>
        </w:rPr>
        <w:footnoteReference w:id="2"/>
      </w:r>
      <w:r w:rsidR="005A084B">
        <w:rPr>
          <w:rFonts w:cs="Arial"/>
          <w:bCs/>
          <w:szCs w:val="22"/>
        </w:rPr>
        <w:t xml:space="preserve"> – particularly </w:t>
      </w:r>
      <w:r w:rsidR="006138C4">
        <w:rPr>
          <w:rFonts w:cs="Arial"/>
          <w:bCs/>
          <w:szCs w:val="22"/>
        </w:rPr>
        <w:t>occupation and use – pending an enquiry by the Court.</w:t>
      </w:r>
      <w:r w:rsidR="005A084B">
        <w:rPr>
          <w:rStyle w:val="FootnoteReference"/>
          <w:rFonts w:cs="Arial"/>
          <w:bCs/>
          <w:szCs w:val="22"/>
        </w:rPr>
        <w:footnoteReference w:id="3"/>
      </w:r>
      <w:r w:rsidR="006138C4">
        <w:rPr>
          <w:rFonts w:cs="Arial"/>
          <w:bCs/>
          <w:szCs w:val="22"/>
        </w:rPr>
        <w:t xml:space="preserve"> </w:t>
      </w:r>
    </w:p>
    <w:p w14:paraId="62815DC2" w14:textId="2204394D" w:rsidR="006E6B4A" w:rsidRPr="006E6B4A" w:rsidRDefault="006E6B4A" w:rsidP="006E6B4A">
      <w:pPr>
        <w:widowControl w:val="0"/>
        <w:spacing w:before="480" w:after="480" w:line="360" w:lineRule="auto"/>
        <w:jc w:val="both"/>
        <w:rPr>
          <w:rFonts w:cs="Arial"/>
          <w:bCs/>
          <w:szCs w:val="22"/>
          <w:u w:val="single"/>
        </w:rPr>
      </w:pPr>
      <w:r w:rsidRPr="006E6B4A">
        <w:rPr>
          <w:rFonts w:cs="Arial"/>
          <w:bCs/>
          <w:szCs w:val="22"/>
          <w:u w:val="single"/>
        </w:rPr>
        <w:lastRenderedPageBreak/>
        <w:t>The judgment</w:t>
      </w:r>
      <w:r>
        <w:rPr>
          <w:rFonts w:cs="Arial"/>
          <w:bCs/>
          <w:szCs w:val="22"/>
          <w:u w:val="single"/>
        </w:rPr>
        <w:t xml:space="preserve"> of the Magistrate</w:t>
      </w:r>
    </w:p>
    <w:p w14:paraId="29CC36BB" w14:textId="77445506" w:rsidR="004C4672" w:rsidRPr="006B6001" w:rsidRDefault="000E7010" w:rsidP="000E7010">
      <w:pPr>
        <w:widowControl w:val="0"/>
        <w:tabs>
          <w:tab w:val="left" w:pos="567"/>
        </w:tabs>
        <w:spacing w:before="480" w:after="480" w:line="360" w:lineRule="auto"/>
        <w:jc w:val="both"/>
        <w:rPr>
          <w:rFonts w:cs="Arial"/>
          <w:bCs/>
          <w:szCs w:val="22"/>
        </w:rPr>
      </w:pPr>
      <w:r w:rsidRPr="006B6001">
        <w:rPr>
          <w:rFonts w:cs="Arial"/>
          <w:bCs/>
          <w:szCs w:val="22"/>
        </w:rPr>
        <w:t>[12]</w:t>
      </w:r>
      <w:r w:rsidRPr="006B6001">
        <w:rPr>
          <w:rFonts w:cs="Arial"/>
          <w:bCs/>
          <w:szCs w:val="22"/>
        </w:rPr>
        <w:tab/>
      </w:r>
      <w:r w:rsidR="004C4672" w:rsidRPr="00751347">
        <w:rPr>
          <w:rFonts w:cs="Arial"/>
          <w:bCs/>
          <w:szCs w:val="22"/>
          <w:lang w:val="en-US"/>
        </w:rPr>
        <w:t xml:space="preserve">In </w:t>
      </w:r>
      <w:r w:rsidR="00C10889">
        <w:rPr>
          <w:rFonts w:cs="Arial"/>
          <w:bCs/>
          <w:szCs w:val="22"/>
          <w:lang w:val="en-US"/>
        </w:rPr>
        <w:t>his</w:t>
      </w:r>
      <w:r w:rsidR="004C4672" w:rsidRPr="00751347">
        <w:rPr>
          <w:rFonts w:cs="Arial"/>
          <w:bCs/>
          <w:szCs w:val="22"/>
          <w:lang w:val="en-US"/>
        </w:rPr>
        <w:t xml:space="preserve"> judgment the </w:t>
      </w:r>
      <w:r w:rsidR="006E6B4A" w:rsidRPr="00751347">
        <w:rPr>
          <w:rFonts w:cs="Arial"/>
          <w:bCs/>
          <w:szCs w:val="22"/>
          <w:lang w:val="en-US"/>
        </w:rPr>
        <w:t xml:space="preserve">Learned Magistrate </w:t>
      </w:r>
      <w:r w:rsidR="006627CA">
        <w:rPr>
          <w:rFonts w:cs="Arial"/>
          <w:bCs/>
          <w:szCs w:val="22"/>
          <w:lang w:val="en-US"/>
        </w:rPr>
        <w:t>analysed</w:t>
      </w:r>
      <w:r w:rsidR="004C4672">
        <w:rPr>
          <w:rFonts w:cs="Arial"/>
          <w:bCs/>
          <w:szCs w:val="22"/>
          <w:lang w:val="en-US"/>
        </w:rPr>
        <w:t xml:space="preserve"> the facts and </w:t>
      </w:r>
      <w:r w:rsidR="004C4672" w:rsidRPr="00751347">
        <w:rPr>
          <w:rFonts w:cs="Arial"/>
          <w:bCs/>
          <w:szCs w:val="22"/>
          <w:lang w:val="en-US"/>
        </w:rPr>
        <w:t xml:space="preserve">the applicable legal principles </w:t>
      </w:r>
      <w:r w:rsidR="006627CA">
        <w:rPr>
          <w:rFonts w:cs="Arial"/>
          <w:bCs/>
          <w:szCs w:val="22"/>
          <w:lang w:val="en-US"/>
        </w:rPr>
        <w:t>contained</w:t>
      </w:r>
      <w:r w:rsidR="004C4672" w:rsidRPr="00751347">
        <w:rPr>
          <w:rFonts w:cs="Arial"/>
          <w:bCs/>
          <w:szCs w:val="22"/>
          <w:lang w:val="en-US"/>
        </w:rPr>
        <w:t xml:space="preserve"> in the </w:t>
      </w:r>
      <w:r w:rsidR="00201DE8">
        <w:rPr>
          <w:rFonts w:cs="Arial"/>
          <w:bCs/>
          <w:szCs w:val="22"/>
          <w:lang w:val="en-US"/>
        </w:rPr>
        <w:t xml:space="preserve">Act and the </w:t>
      </w:r>
      <w:r w:rsidR="004C4672" w:rsidRPr="00751347">
        <w:rPr>
          <w:rFonts w:cs="Arial"/>
          <w:bCs/>
          <w:szCs w:val="22"/>
          <w:lang w:val="en-US"/>
        </w:rPr>
        <w:t>case law</w:t>
      </w:r>
      <w:r w:rsidR="004C4672">
        <w:rPr>
          <w:rFonts w:cs="Arial"/>
          <w:bCs/>
          <w:szCs w:val="22"/>
          <w:lang w:val="en-US"/>
        </w:rPr>
        <w:t xml:space="preserve">. </w:t>
      </w:r>
      <w:r w:rsidR="004C4672" w:rsidRPr="00751347">
        <w:rPr>
          <w:rFonts w:cs="Arial"/>
          <w:bCs/>
          <w:szCs w:val="22"/>
          <w:lang w:val="en-US"/>
        </w:rPr>
        <w:t xml:space="preserve">The </w:t>
      </w:r>
      <w:r w:rsidR="006627CA">
        <w:rPr>
          <w:rFonts w:cs="Arial"/>
          <w:bCs/>
          <w:szCs w:val="22"/>
          <w:lang w:val="en-US"/>
        </w:rPr>
        <w:t>M</w:t>
      </w:r>
      <w:r w:rsidR="004C4672" w:rsidRPr="00751347">
        <w:rPr>
          <w:rFonts w:cs="Arial"/>
          <w:bCs/>
          <w:szCs w:val="22"/>
          <w:lang w:val="en-US"/>
        </w:rPr>
        <w:t>agistrate was satisfied that the formal requirements</w:t>
      </w:r>
      <w:r w:rsidR="00CE7459">
        <w:rPr>
          <w:rStyle w:val="FootnoteReference"/>
          <w:rFonts w:cs="Arial"/>
          <w:bCs/>
          <w:szCs w:val="22"/>
          <w:lang w:val="en-US"/>
        </w:rPr>
        <w:footnoteReference w:id="4"/>
      </w:r>
      <w:r w:rsidR="004C4672" w:rsidRPr="00751347">
        <w:rPr>
          <w:rFonts w:cs="Arial"/>
          <w:bCs/>
          <w:szCs w:val="22"/>
          <w:lang w:val="en-US"/>
        </w:rPr>
        <w:t xml:space="preserve"> of the Act had been complied with and indeed the appellant does not rely on any non</w:t>
      </w:r>
      <w:r w:rsidR="004C4672">
        <w:rPr>
          <w:rFonts w:cs="Arial"/>
          <w:bCs/>
          <w:szCs w:val="22"/>
          <w:lang w:val="en-US"/>
        </w:rPr>
        <w:t>-</w:t>
      </w:r>
      <w:r w:rsidR="004C4672" w:rsidRPr="00751347">
        <w:rPr>
          <w:rFonts w:cs="Arial"/>
          <w:bCs/>
          <w:szCs w:val="22"/>
          <w:lang w:val="en-US"/>
        </w:rPr>
        <w:t xml:space="preserve">compliance in this </w:t>
      </w:r>
      <w:r w:rsidR="00DF0AD0">
        <w:rPr>
          <w:rFonts w:cs="Arial"/>
          <w:bCs/>
          <w:szCs w:val="22"/>
          <w:lang w:val="en-US"/>
        </w:rPr>
        <w:t xml:space="preserve">respect in this </w:t>
      </w:r>
      <w:r w:rsidR="004C4672" w:rsidRPr="00751347">
        <w:rPr>
          <w:rFonts w:cs="Arial"/>
          <w:bCs/>
          <w:szCs w:val="22"/>
          <w:lang w:val="en-US"/>
        </w:rPr>
        <w:t>C</w:t>
      </w:r>
      <w:r w:rsidR="004C4672">
        <w:rPr>
          <w:rFonts w:cs="Arial"/>
          <w:bCs/>
          <w:szCs w:val="22"/>
          <w:lang w:val="en-US"/>
        </w:rPr>
        <w:t>o</w:t>
      </w:r>
      <w:r w:rsidR="004C4672" w:rsidRPr="00751347">
        <w:rPr>
          <w:rFonts w:cs="Arial"/>
          <w:bCs/>
          <w:szCs w:val="22"/>
          <w:lang w:val="en-US"/>
        </w:rPr>
        <w:t>urt.</w:t>
      </w:r>
      <w:r w:rsidR="004C4672">
        <w:rPr>
          <w:rFonts w:cs="Arial"/>
          <w:bCs/>
          <w:szCs w:val="22"/>
          <w:lang w:val="en-US"/>
        </w:rPr>
        <w:t xml:space="preserve"> </w:t>
      </w:r>
      <w:r w:rsidR="004C4672" w:rsidRPr="00751347">
        <w:rPr>
          <w:rFonts w:cs="Arial"/>
          <w:bCs/>
          <w:szCs w:val="22"/>
          <w:lang w:val="en-US"/>
        </w:rPr>
        <w:t>The grounds of appeal relied upon relate to the personal circumstances of the appellant</w:t>
      </w:r>
      <w:r w:rsidR="004C4672">
        <w:rPr>
          <w:rFonts w:cs="Arial"/>
          <w:bCs/>
          <w:szCs w:val="22"/>
          <w:lang w:val="en-US"/>
        </w:rPr>
        <w:t>.</w:t>
      </w:r>
    </w:p>
    <w:p w14:paraId="1A5C7B74" w14:textId="178F8093" w:rsidR="004C4672" w:rsidRPr="002549CC" w:rsidRDefault="000E7010" w:rsidP="000E7010">
      <w:pPr>
        <w:widowControl w:val="0"/>
        <w:tabs>
          <w:tab w:val="left" w:pos="567"/>
        </w:tabs>
        <w:spacing w:before="480" w:after="480" w:line="360" w:lineRule="auto"/>
        <w:jc w:val="both"/>
        <w:rPr>
          <w:rFonts w:cs="Arial"/>
          <w:bCs/>
          <w:szCs w:val="22"/>
        </w:rPr>
      </w:pPr>
      <w:r w:rsidRPr="002549CC">
        <w:rPr>
          <w:rFonts w:cs="Arial"/>
          <w:bCs/>
          <w:szCs w:val="22"/>
        </w:rPr>
        <w:t>[13]</w:t>
      </w:r>
      <w:r w:rsidRPr="002549CC">
        <w:rPr>
          <w:rFonts w:cs="Arial"/>
          <w:bCs/>
          <w:szCs w:val="22"/>
        </w:rPr>
        <w:tab/>
      </w:r>
      <w:r w:rsidR="00D23AE0">
        <w:rPr>
          <w:rFonts w:cs="Arial"/>
          <w:bCs/>
          <w:szCs w:val="22"/>
          <w:lang w:val="en-US"/>
        </w:rPr>
        <w:t>With reference to case law,</w:t>
      </w:r>
      <w:r w:rsidR="00211D8B">
        <w:rPr>
          <w:rStyle w:val="FootnoteReference"/>
          <w:rFonts w:cs="Arial"/>
          <w:bCs/>
          <w:szCs w:val="22"/>
          <w:lang w:val="en-US"/>
        </w:rPr>
        <w:footnoteReference w:id="5"/>
      </w:r>
      <w:r w:rsidR="00D23AE0">
        <w:rPr>
          <w:rFonts w:cs="Arial"/>
          <w:bCs/>
          <w:szCs w:val="22"/>
          <w:lang w:val="en-US"/>
        </w:rPr>
        <w:t xml:space="preserve"> t</w:t>
      </w:r>
      <w:r w:rsidR="004C4672">
        <w:rPr>
          <w:rFonts w:cs="Arial"/>
          <w:bCs/>
          <w:szCs w:val="22"/>
          <w:lang w:val="en-US"/>
        </w:rPr>
        <w:t>he</w:t>
      </w:r>
      <w:r w:rsidR="004C4672" w:rsidRPr="002549CC">
        <w:rPr>
          <w:rFonts w:cs="Arial"/>
          <w:bCs/>
          <w:szCs w:val="22"/>
          <w:lang w:val="en-US"/>
        </w:rPr>
        <w:t xml:space="preserve"> </w:t>
      </w:r>
      <w:r w:rsidR="00D23AE0">
        <w:rPr>
          <w:rFonts w:cs="Arial"/>
          <w:bCs/>
          <w:szCs w:val="22"/>
          <w:lang w:val="en-US"/>
        </w:rPr>
        <w:t xml:space="preserve">Learned Magistrate </w:t>
      </w:r>
      <w:r w:rsidR="002315A4">
        <w:rPr>
          <w:rFonts w:cs="Arial"/>
          <w:bCs/>
          <w:szCs w:val="22"/>
          <w:lang w:val="en-US"/>
        </w:rPr>
        <w:t>correctly</w:t>
      </w:r>
      <w:r w:rsidR="00D23AE0" w:rsidRPr="002549CC">
        <w:rPr>
          <w:rFonts w:cs="Arial"/>
          <w:bCs/>
          <w:szCs w:val="22"/>
          <w:lang w:val="en-US"/>
        </w:rPr>
        <w:t xml:space="preserve"> </w:t>
      </w:r>
      <w:r w:rsidR="008852EC">
        <w:rPr>
          <w:rFonts w:cs="Arial"/>
          <w:bCs/>
          <w:szCs w:val="22"/>
          <w:lang w:val="en-US"/>
        </w:rPr>
        <w:t xml:space="preserve">recognised that a court </w:t>
      </w:r>
      <w:r w:rsidR="004C4672" w:rsidRPr="002549CC">
        <w:rPr>
          <w:rFonts w:cs="Arial"/>
          <w:bCs/>
          <w:szCs w:val="22"/>
          <w:lang w:val="en-US"/>
        </w:rPr>
        <w:t>is faced with two discre</w:t>
      </w:r>
      <w:r w:rsidR="004C4672">
        <w:rPr>
          <w:rFonts w:cs="Arial"/>
          <w:bCs/>
          <w:szCs w:val="22"/>
          <w:lang w:val="en-US"/>
        </w:rPr>
        <w:t>te</w:t>
      </w:r>
      <w:r w:rsidR="004C4672" w:rsidRPr="002549CC">
        <w:rPr>
          <w:rFonts w:cs="Arial"/>
          <w:bCs/>
          <w:szCs w:val="22"/>
          <w:lang w:val="en-US"/>
        </w:rPr>
        <w:t xml:space="preserve"> inquiries</w:t>
      </w:r>
      <w:r w:rsidR="00B17CB4">
        <w:rPr>
          <w:rFonts w:cs="Arial"/>
          <w:bCs/>
          <w:szCs w:val="22"/>
          <w:lang w:val="en-US"/>
        </w:rPr>
        <w:t>.  Firstly,</w:t>
      </w:r>
      <w:r w:rsidR="004C4672" w:rsidRPr="002549CC">
        <w:rPr>
          <w:rFonts w:cs="Arial"/>
          <w:bCs/>
          <w:szCs w:val="22"/>
          <w:lang w:val="en-US"/>
        </w:rPr>
        <w:t xml:space="preserve"> whether it is just an</w:t>
      </w:r>
      <w:r w:rsidR="006B12DD">
        <w:rPr>
          <w:rFonts w:cs="Arial"/>
          <w:bCs/>
          <w:szCs w:val="22"/>
          <w:lang w:val="en-US"/>
        </w:rPr>
        <w:t>d</w:t>
      </w:r>
      <w:r w:rsidR="004C4672" w:rsidRPr="002549CC">
        <w:rPr>
          <w:rFonts w:cs="Arial"/>
          <w:bCs/>
          <w:szCs w:val="22"/>
          <w:lang w:val="en-US"/>
        </w:rPr>
        <w:t xml:space="preserve"> equitable to grant an eviction order </w:t>
      </w:r>
      <w:r w:rsidR="008852EC">
        <w:rPr>
          <w:rFonts w:cs="Arial"/>
          <w:bCs/>
          <w:szCs w:val="22"/>
          <w:lang w:val="en-US"/>
        </w:rPr>
        <w:t>having regard to all relevant factors</w:t>
      </w:r>
      <w:r w:rsidR="0039136D">
        <w:rPr>
          <w:rFonts w:cs="Arial"/>
          <w:bCs/>
          <w:szCs w:val="22"/>
          <w:lang w:val="en-US"/>
        </w:rPr>
        <w:t>, including those expressly listed in s 4(7)</w:t>
      </w:r>
      <w:r w:rsidR="00E774BA">
        <w:rPr>
          <w:rFonts w:cs="Arial"/>
          <w:bCs/>
          <w:szCs w:val="22"/>
          <w:lang w:val="en-US"/>
        </w:rPr>
        <w:t>.</w:t>
      </w:r>
      <w:r w:rsidR="004C4672" w:rsidRPr="002549CC">
        <w:rPr>
          <w:rFonts w:cs="Arial"/>
          <w:bCs/>
          <w:szCs w:val="22"/>
          <w:lang w:val="en-US"/>
        </w:rPr>
        <w:t xml:space="preserve"> The </w:t>
      </w:r>
      <w:r w:rsidR="006E6B4A">
        <w:rPr>
          <w:rFonts w:cs="Arial"/>
          <w:bCs/>
          <w:szCs w:val="22"/>
          <w:lang w:val="en-US"/>
        </w:rPr>
        <w:t xml:space="preserve">circumstances of the </w:t>
      </w:r>
      <w:r w:rsidR="006627CA">
        <w:rPr>
          <w:rFonts w:cs="Arial"/>
          <w:bCs/>
          <w:szCs w:val="22"/>
          <w:lang w:val="en-US"/>
        </w:rPr>
        <w:t>occupier</w:t>
      </w:r>
      <w:r w:rsidR="004C4672" w:rsidRPr="002549CC">
        <w:rPr>
          <w:rFonts w:cs="Arial"/>
          <w:bCs/>
          <w:szCs w:val="22"/>
          <w:lang w:val="en-US"/>
        </w:rPr>
        <w:t xml:space="preserve"> must be weighed with the </w:t>
      </w:r>
      <w:r w:rsidR="006627CA">
        <w:rPr>
          <w:rFonts w:cs="Arial"/>
          <w:bCs/>
          <w:szCs w:val="22"/>
          <w:lang w:val="en-US"/>
        </w:rPr>
        <w:t>owner’s</w:t>
      </w:r>
      <w:r w:rsidR="004C4672" w:rsidRPr="002549CC">
        <w:rPr>
          <w:rFonts w:cs="Arial"/>
          <w:bCs/>
          <w:szCs w:val="22"/>
          <w:lang w:val="en-US"/>
        </w:rPr>
        <w:t xml:space="preserve"> rights</w:t>
      </w:r>
      <w:r w:rsidR="006627CA">
        <w:rPr>
          <w:rFonts w:cs="Arial"/>
          <w:bCs/>
          <w:szCs w:val="22"/>
          <w:lang w:val="en-US"/>
        </w:rPr>
        <w:t>.</w:t>
      </w:r>
      <w:r w:rsidR="004C4672">
        <w:rPr>
          <w:rFonts w:cs="Arial"/>
          <w:bCs/>
          <w:szCs w:val="22"/>
          <w:lang w:val="en-US"/>
        </w:rPr>
        <w:t xml:space="preserve"> </w:t>
      </w:r>
      <w:r w:rsidR="004C4672" w:rsidRPr="00816A78">
        <w:rPr>
          <w:rFonts w:cs="Arial"/>
          <w:bCs/>
          <w:szCs w:val="22"/>
          <w:lang w:val="en-US"/>
        </w:rPr>
        <w:t>Any limitation o</w:t>
      </w:r>
      <w:r w:rsidR="006627CA">
        <w:rPr>
          <w:rFonts w:cs="Arial"/>
          <w:bCs/>
          <w:szCs w:val="22"/>
          <w:lang w:val="en-US"/>
        </w:rPr>
        <w:t>f</w:t>
      </w:r>
      <w:r w:rsidR="004C4672" w:rsidRPr="00816A78">
        <w:rPr>
          <w:rFonts w:cs="Arial"/>
          <w:bCs/>
          <w:szCs w:val="22"/>
          <w:lang w:val="en-US"/>
        </w:rPr>
        <w:t xml:space="preserve"> the property rights of </w:t>
      </w:r>
      <w:r w:rsidR="006E6B4A">
        <w:rPr>
          <w:rFonts w:cs="Arial"/>
          <w:bCs/>
          <w:szCs w:val="22"/>
          <w:lang w:val="en-US"/>
        </w:rPr>
        <w:t>an</w:t>
      </w:r>
      <w:r w:rsidR="004C4672" w:rsidRPr="00816A78">
        <w:rPr>
          <w:rFonts w:cs="Arial"/>
          <w:bCs/>
          <w:szCs w:val="22"/>
          <w:lang w:val="en-US"/>
        </w:rPr>
        <w:t xml:space="preserve"> owner in favo</w:t>
      </w:r>
      <w:r w:rsidR="004C4672">
        <w:rPr>
          <w:rFonts w:cs="Arial"/>
          <w:bCs/>
          <w:szCs w:val="22"/>
          <w:lang w:val="en-US"/>
        </w:rPr>
        <w:t>u</w:t>
      </w:r>
      <w:r w:rsidR="004C4672" w:rsidRPr="00816A78">
        <w:rPr>
          <w:rFonts w:cs="Arial"/>
          <w:bCs/>
          <w:szCs w:val="22"/>
          <w:lang w:val="en-US"/>
        </w:rPr>
        <w:t xml:space="preserve">r of </w:t>
      </w:r>
      <w:r w:rsidR="006E6B4A">
        <w:rPr>
          <w:rFonts w:cs="Arial"/>
          <w:bCs/>
          <w:szCs w:val="22"/>
          <w:lang w:val="en-US"/>
        </w:rPr>
        <w:t>an</w:t>
      </w:r>
      <w:r w:rsidR="004C4672" w:rsidRPr="00816A78">
        <w:rPr>
          <w:rFonts w:cs="Arial"/>
          <w:bCs/>
          <w:szCs w:val="22"/>
          <w:lang w:val="en-US"/>
        </w:rPr>
        <w:t xml:space="preserve"> occupier will ordinarily be limited in duration</w:t>
      </w:r>
      <w:r w:rsidR="004C4672">
        <w:rPr>
          <w:rFonts w:cs="Arial"/>
          <w:bCs/>
          <w:szCs w:val="22"/>
          <w:lang w:val="en-US"/>
        </w:rPr>
        <w:t>.</w:t>
      </w:r>
      <w:r w:rsidR="004C4672">
        <w:rPr>
          <w:rStyle w:val="FootnoteReference"/>
          <w:rFonts w:cs="Arial"/>
          <w:bCs/>
          <w:szCs w:val="22"/>
          <w:lang w:val="en-US"/>
        </w:rPr>
        <w:footnoteReference w:id="6"/>
      </w:r>
      <w:r w:rsidR="00E774BA">
        <w:rPr>
          <w:rFonts w:cs="Arial"/>
          <w:bCs/>
          <w:szCs w:val="22"/>
          <w:lang w:val="en-US"/>
        </w:rPr>
        <w:t xml:space="preserve">  If eviction is just and equitable, a court must</w:t>
      </w:r>
      <w:r w:rsidR="001C47DC">
        <w:rPr>
          <w:rFonts w:cs="Arial"/>
          <w:bCs/>
          <w:szCs w:val="22"/>
          <w:lang w:val="en-US"/>
        </w:rPr>
        <w:t>, secondly,</w:t>
      </w:r>
      <w:r w:rsidR="00E774BA">
        <w:rPr>
          <w:rFonts w:cs="Arial"/>
          <w:bCs/>
          <w:szCs w:val="22"/>
          <w:lang w:val="en-US"/>
        </w:rPr>
        <w:t xml:space="preserve"> determine</w:t>
      </w:r>
      <w:r w:rsidR="00E774BA" w:rsidRPr="002549CC">
        <w:rPr>
          <w:rFonts w:cs="Arial"/>
          <w:bCs/>
          <w:szCs w:val="22"/>
          <w:lang w:val="en-US"/>
        </w:rPr>
        <w:t xml:space="preserve"> what a just and equitable date for the termination of the</w:t>
      </w:r>
      <w:r w:rsidR="00E774BA">
        <w:rPr>
          <w:rFonts w:cs="Arial"/>
          <w:bCs/>
          <w:szCs w:val="22"/>
          <w:lang w:val="en-US"/>
        </w:rPr>
        <w:t xml:space="preserve"> right of occupation w</w:t>
      </w:r>
      <w:r w:rsidR="00E774BA" w:rsidRPr="002549CC">
        <w:rPr>
          <w:rFonts w:cs="Arial"/>
          <w:bCs/>
          <w:szCs w:val="22"/>
          <w:lang w:val="en-US"/>
        </w:rPr>
        <w:t>ould be</w:t>
      </w:r>
      <w:r w:rsidR="00E774BA">
        <w:rPr>
          <w:rFonts w:cs="Arial"/>
          <w:bCs/>
          <w:szCs w:val="22"/>
          <w:lang w:val="en-US"/>
        </w:rPr>
        <w:t xml:space="preserve">. </w:t>
      </w:r>
    </w:p>
    <w:p w14:paraId="68F8CA9C" w14:textId="075D0B84" w:rsidR="004C4672" w:rsidRPr="007373D9" w:rsidRDefault="000E7010" w:rsidP="000E7010">
      <w:pPr>
        <w:widowControl w:val="0"/>
        <w:tabs>
          <w:tab w:val="left" w:pos="567"/>
        </w:tabs>
        <w:spacing w:before="480" w:after="480" w:line="360" w:lineRule="auto"/>
        <w:jc w:val="both"/>
        <w:rPr>
          <w:rFonts w:cs="Arial"/>
          <w:bCs/>
          <w:szCs w:val="22"/>
        </w:rPr>
      </w:pPr>
      <w:r w:rsidRPr="007373D9">
        <w:rPr>
          <w:rFonts w:cs="Arial"/>
          <w:bCs/>
          <w:szCs w:val="22"/>
        </w:rPr>
        <w:t>[14]</w:t>
      </w:r>
      <w:r w:rsidRPr="007373D9">
        <w:rPr>
          <w:rFonts w:cs="Arial"/>
          <w:bCs/>
          <w:szCs w:val="22"/>
        </w:rPr>
        <w:tab/>
      </w:r>
      <w:r w:rsidR="001C47DC">
        <w:rPr>
          <w:rFonts w:cs="Arial"/>
          <w:bCs/>
          <w:szCs w:val="22"/>
          <w:lang w:val="en-US"/>
        </w:rPr>
        <w:t>In relation to the first enquiry, the Magistrate correctly recognised that w</w:t>
      </w:r>
      <w:r w:rsidR="004C4672" w:rsidRPr="002549CC">
        <w:rPr>
          <w:rFonts w:cs="Arial"/>
          <w:bCs/>
          <w:szCs w:val="22"/>
          <w:lang w:val="en-US"/>
        </w:rPr>
        <w:t xml:space="preserve">hen there is no defence to an eviction application </w:t>
      </w:r>
      <w:r w:rsidR="002315A4">
        <w:rPr>
          <w:rFonts w:cs="Arial"/>
          <w:bCs/>
          <w:szCs w:val="22"/>
          <w:lang w:val="en-US"/>
        </w:rPr>
        <w:t xml:space="preserve">(meaning both compliance with the formal requirements and that justice and equity point to eviction being appropriate) </w:t>
      </w:r>
      <w:r w:rsidR="004C4672" w:rsidRPr="002549CC">
        <w:rPr>
          <w:rFonts w:cs="Arial"/>
          <w:bCs/>
          <w:szCs w:val="22"/>
          <w:lang w:val="en-US"/>
        </w:rPr>
        <w:t xml:space="preserve">the </w:t>
      </w:r>
      <w:r w:rsidR="004C4672">
        <w:rPr>
          <w:rFonts w:cs="Arial"/>
          <w:bCs/>
          <w:szCs w:val="22"/>
          <w:lang w:val="en-US"/>
        </w:rPr>
        <w:t>o</w:t>
      </w:r>
      <w:r w:rsidR="004C4672" w:rsidRPr="002549CC">
        <w:rPr>
          <w:rFonts w:cs="Arial"/>
          <w:bCs/>
          <w:szCs w:val="22"/>
          <w:lang w:val="en-US"/>
        </w:rPr>
        <w:t xml:space="preserve">wner of the land </w:t>
      </w:r>
      <w:r w:rsidR="004C4672">
        <w:rPr>
          <w:rFonts w:cs="Arial"/>
          <w:bCs/>
          <w:szCs w:val="22"/>
          <w:lang w:val="en-US"/>
        </w:rPr>
        <w:t>is</w:t>
      </w:r>
      <w:r w:rsidR="004C4672" w:rsidRPr="002549CC">
        <w:rPr>
          <w:rFonts w:cs="Arial"/>
          <w:bCs/>
          <w:szCs w:val="22"/>
          <w:lang w:val="en-US"/>
        </w:rPr>
        <w:t xml:space="preserve"> entitled to an eviction order</w:t>
      </w:r>
      <w:r w:rsidR="004C4672">
        <w:rPr>
          <w:rFonts w:cs="Arial"/>
          <w:bCs/>
          <w:szCs w:val="22"/>
          <w:lang w:val="en-US"/>
        </w:rPr>
        <w:t xml:space="preserve">. </w:t>
      </w:r>
      <w:r w:rsidR="004C4672" w:rsidRPr="00816A78">
        <w:rPr>
          <w:rFonts w:cs="Arial"/>
          <w:bCs/>
          <w:szCs w:val="22"/>
          <w:lang w:val="en-US"/>
        </w:rPr>
        <w:t>The second leg of the inquiry then comes to the fore</w:t>
      </w:r>
      <w:r w:rsidR="004C4672">
        <w:rPr>
          <w:rFonts w:cs="Arial"/>
          <w:bCs/>
          <w:szCs w:val="22"/>
          <w:lang w:val="en-US"/>
        </w:rPr>
        <w:t xml:space="preserve">: </w:t>
      </w:r>
      <w:r w:rsidR="004C4672" w:rsidRPr="00816A78">
        <w:rPr>
          <w:rFonts w:cs="Arial"/>
          <w:bCs/>
          <w:szCs w:val="22"/>
          <w:lang w:val="en-US"/>
        </w:rPr>
        <w:t>the court must determine</w:t>
      </w:r>
      <w:r w:rsidR="004C4672">
        <w:rPr>
          <w:rFonts w:cs="Arial"/>
          <w:bCs/>
          <w:szCs w:val="22"/>
          <w:lang w:val="en-US"/>
        </w:rPr>
        <w:t xml:space="preserve"> a</w:t>
      </w:r>
      <w:r w:rsidR="004C4672" w:rsidRPr="00816A78">
        <w:rPr>
          <w:rFonts w:cs="Arial"/>
          <w:bCs/>
          <w:szCs w:val="22"/>
          <w:lang w:val="en-US"/>
        </w:rPr>
        <w:t xml:space="preserve"> just and equitable date</w:t>
      </w:r>
      <w:r w:rsidR="004C4672">
        <w:rPr>
          <w:rFonts w:cs="Arial"/>
          <w:bCs/>
          <w:szCs w:val="22"/>
          <w:lang w:val="en-US"/>
        </w:rPr>
        <w:t xml:space="preserve"> </w:t>
      </w:r>
      <w:r w:rsidR="004C4672" w:rsidRPr="00816A78">
        <w:rPr>
          <w:rFonts w:cs="Arial"/>
          <w:bCs/>
          <w:szCs w:val="22"/>
          <w:lang w:val="en-US"/>
        </w:rPr>
        <w:t xml:space="preserve">on which the unlawful occupier </w:t>
      </w:r>
      <w:r w:rsidR="006627CA">
        <w:rPr>
          <w:rFonts w:cs="Arial"/>
          <w:bCs/>
          <w:szCs w:val="22"/>
          <w:lang w:val="en-US"/>
        </w:rPr>
        <w:t xml:space="preserve">must </w:t>
      </w:r>
      <w:r w:rsidR="004C4672">
        <w:rPr>
          <w:rFonts w:cs="Arial"/>
          <w:bCs/>
          <w:szCs w:val="22"/>
          <w:lang w:val="en-US"/>
        </w:rPr>
        <w:t>vacate</w:t>
      </w:r>
      <w:r w:rsidR="004C4672" w:rsidRPr="00816A78">
        <w:rPr>
          <w:rFonts w:cs="Arial"/>
          <w:bCs/>
          <w:szCs w:val="22"/>
          <w:lang w:val="en-US"/>
        </w:rPr>
        <w:t xml:space="preserve"> the property</w:t>
      </w:r>
      <w:r w:rsidR="004C4672">
        <w:rPr>
          <w:rFonts w:cs="Arial"/>
          <w:bCs/>
          <w:szCs w:val="22"/>
          <w:lang w:val="en-US"/>
        </w:rPr>
        <w:t xml:space="preserve"> </w:t>
      </w:r>
      <w:r w:rsidR="004C4672" w:rsidRPr="00816A78">
        <w:rPr>
          <w:rFonts w:cs="Arial"/>
          <w:bCs/>
          <w:szCs w:val="22"/>
          <w:lang w:val="en-US"/>
        </w:rPr>
        <w:t xml:space="preserve">as well as the date on which </w:t>
      </w:r>
      <w:r w:rsidR="006627CA">
        <w:rPr>
          <w:rFonts w:cs="Arial"/>
          <w:bCs/>
          <w:szCs w:val="22"/>
          <w:lang w:val="en-US"/>
        </w:rPr>
        <w:t>the</w:t>
      </w:r>
      <w:r w:rsidR="004C4672" w:rsidRPr="00816A78">
        <w:rPr>
          <w:rFonts w:cs="Arial"/>
          <w:bCs/>
          <w:szCs w:val="22"/>
          <w:lang w:val="en-US"/>
        </w:rPr>
        <w:t xml:space="preserve"> eviction order may be carried out if the unlawful occupier </w:t>
      </w:r>
      <w:r w:rsidR="00B3037C" w:rsidRPr="00816A78">
        <w:rPr>
          <w:rFonts w:cs="Arial"/>
          <w:bCs/>
          <w:szCs w:val="22"/>
          <w:lang w:val="en-US"/>
        </w:rPr>
        <w:t>ha</w:t>
      </w:r>
      <w:r w:rsidR="009437F6">
        <w:rPr>
          <w:rFonts w:cs="Arial"/>
          <w:bCs/>
          <w:szCs w:val="22"/>
          <w:lang w:val="en-US"/>
        </w:rPr>
        <w:t>s</w:t>
      </w:r>
      <w:r w:rsidR="004C4672" w:rsidRPr="00816A78">
        <w:rPr>
          <w:rFonts w:cs="Arial"/>
          <w:bCs/>
          <w:szCs w:val="22"/>
          <w:lang w:val="en-US"/>
        </w:rPr>
        <w:t xml:space="preserve"> not vacated the </w:t>
      </w:r>
      <w:r w:rsidR="00CE7459">
        <w:rPr>
          <w:rFonts w:cs="Arial"/>
          <w:bCs/>
          <w:szCs w:val="22"/>
          <w:lang w:val="en-US"/>
        </w:rPr>
        <w:t>property</w:t>
      </w:r>
      <w:r w:rsidR="004C4672" w:rsidRPr="00816A78">
        <w:rPr>
          <w:rFonts w:cs="Arial"/>
          <w:bCs/>
          <w:szCs w:val="22"/>
          <w:lang w:val="en-US"/>
        </w:rPr>
        <w:t xml:space="preserve"> on the date so contemplated</w:t>
      </w:r>
      <w:r w:rsidR="004C4672">
        <w:rPr>
          <w:rFonts w:cs="Arial"/>
          <w:bCs/>
          <w:szCs w:val="22"/>
          <w:lang w:val="en-US"/>
        </w:rPr>
        <w:t>.</w:t>
      </w:r>
      <w:r w:rsidR="004C4672">
        <w:rPr>
          <w:rStyle w:val="FootnoteReference"/>
          <w:rFonts w:cs="Arial"/>
          <w:bCs/>
          <w:szCs w:val="22"/>
          <w:lang w:val="en-US"/>
        </w:rPr>
        <w:footnoteReference w:id="7"/>
      </w:r>
      <w:r w:rsidR="004C4672">
        <w:rPr>
          <w:rFonts w:cs="Arial"/>
          <w:bCs/>
          <w:szCs w:val="22"/>
          <w:lang w:val="en-US"/>
        </w:rPr>
        <w:t xml:space="preserve"> </w:t>
      </w:r>
    </w:p>
    <w:p w14:paraId="19BA18B2" w14:textId="722BE6FE" w:rsidR="00E45006" w:rsidRPr="005B3224" w:rsidRDefault="000E7010" w:rsidP="000E7010">
      <w:pPr>
        <w:widowControl w:val="0"/>
        <w:tabs>
          <w:tab w:val="left" w:pos="567"/>
        </w:tabs>
        <w:spacing w:before="480" w:after="480" w:line="360" w:lineRule="auto"/>
        <w:jc w:val="both"/>
        <w:rPr>
          <w:rFonts w:cs="Arial"/>
          <w:bCs/>
          <w:szCs w:val="22"/>
        </w:rPr>
      </w:pPr>
      <w:r w:rsidRPr="005B3224">
        <w:rPr>
          <w:rFonts w:cs="Arial"/>
          <w:bCs/>
          <w:szCs w:val="22"/>
        </w:rPr>
        <w:t>[15]</w:t>
      </w:r>
      <w:r w:rsidRPr="005B3224">
        <w:rPr>
          <w:rFonts w:cs="Arial"/>
          <w:bCs/>
          <w:szCs w:val="22"/>
        </w:rPr>
        <w:tab/>
      </w:r>
      <w:r w:rsidR="004C4672" w:rsidRPr="002A36D0">
        <w:rPr>
          <w:rFonts w:cs="Arial"/>
          <w:bCs/>
          <w:szCs w:val="22"/>
          <w:lang w:val="en-US"/>
        </w:rPr>
        <w:t xml:space="preserve">Having </w:t>
      </w:r>
      <w:r w:rsidR="00E45006">
        <w:rPr>
          <w:rFonts w:cs="Arial"/>
          <w:bCs/>
          <w:szCs w:val="22"/>
          <w:lang w:val="en-US"/>
        </w:rPr>
        <w:t xml:space="preserve">set out the facts and the law, the Magistrate proceeded to apply the law to the facts.  </w:t>
      </w:r>
      <w:r w:rsidR="00E959FE">
        <w:rPr>
          <w:rFonts w:cs="Arial"/>
          <w:bCs/>
          <w:szCs w:val="22"/>
          <w:lang w:val="en-US"/>
        </w:rPr>
        <w:t>He did so with care.</w:t>
      </w:r>
      <w:r w:rsidR="00F61908">
        <w:rPr>
          <w:rFonts w:cs="Arial"/>
          <w:bCs/>
          <w:szCs w:val="22"/>
          <w:lang w:val="en-US"/>
        </w:rPr>
        <w:t xml:space="preserve">  In considering the availability of alternative land and housing he </w:t>
      </w:r>
      <w:r w:rsidR="00594623">
        <w:rPr>
          <w:rFonts w:cs="Arial"/>
          <w:bCs/>
          <w:szCs w:val="22"/>
          <w:lang w:val="en-US"/>
        </w:rPr>
        <w:t xml:space="preserve">heard oral evidence from </w:t>
      </w:r>
      <w:r w:rsidR="004E0CFD">
        <w:rPr>
          <w:rFonts w:cs="Arial"/>
          <w:bCs/>
          <w:szCs w:val="22"/>
          <w:lang w:val="en-US"/>
        </w:rPr>
        <w:t xml:space="preserve">her other son, George, and </w:t>
      </w:r>
      <w:r w:rsidR="00F61908">
        <w:rPr>
          <w:rFonts w:cs="Arial"/>
          <w:bCs/>
          <w:szCs w:val="22"/>
          <w:lang w:val="en-US"/>
        </w:rPr>
        <w:t xml:space="preserve">concluded that </w:t>
      </w:r>
      <w:r w:rsidR="004E0CFD">
        <w:rPr>
          <w:rFonts w:cs="Arial"/>
          <w:bCs/>
          <w:szCs w:val="22"/>
          <w:lang w:val="en-US"/>
        </w:rPr>
        <w:t>Neville and Levi</w:t>
      </w:r>
      <w:r w:rsidR="003D72EE">
        <w:rPr>
          <w:rFonts w:cs="Arial"/>
          <w:bCs/>
          <w:szCs w:val="22"/>
          <w:lang w:val="en-US"/>
        </w:rPr>
        <w:t xml:space="preserve"> could be accommodated by</w:t>
      </w:r>
      <w:r w:rsidR="00CC53D3">
        <w:rPr>
          <w:rFonts w:cs="Arial"/>
          <w:bCs/>
          <w:szCs w:val="22"/>
          <w:lang w:val="en-US"/>
        </w:rPr>
        <w:t xml:space="preserve"> George.</w:t>
      </w:r>
      <w:r w:rsidR="00AC79FD">
        <w:rPr>
          <w:rFonts w:cs="Arial"/>
          <w:bCs/>
          <w:szCs w:val="22"/>
          <w:lang w:val="en-US"/>
        </w:rPr>
        <w:t xml:space="preserve">  They could use the one room </w:t>
      </w:r>
      <w:r w:rsidR="00D57679">
        <w:rPr>
          <w:rFonts w:cs="Arial"/>
          <w:bCs/>
          <w:szCs w:val="22"/>
          <w:lang w:val="en-US"/>
        </w:rPr>
        <w:t xml:space="preserve">in his house </w:t>
      </w:r>
      <w:r w:rsidR="00AC79FD">
        <w:rPr>
          <w:rFonts w:cs="Arial"/>
          <w:bCs/>
          <w:szCs w:val="22"/>
          <w:lang w:val="en-US"/>
        </w:rPr>
        <w:t xml:space="preserve">that could be made available.  </w:t>
      </w:r>
      <w:r w:rsidR="003D72EE">
        <w:rPr>
          <w:rFonts w:cs="Arial"/>
          <w:bCs/>
          <w:szCs w:val="22"/>
          <w:lang w:val="en-US"/>
        </w:rPr>
        <w:t xml:space="preserve">The appellant could be accommodated by the MOTHS. </w:t>
      </w:r>
      <w:r w:rsidR="00AC79FD">
        <w:rPr>
          <w:rFonts w:cs="Arial"/>
          <w:bCs/>
          <w:szCs w:val="22"/>
          <w:lang w:val="en-US"/>
        </w:rPr>
        <w:t xml:space="preserve">He balanced the needs of </w:t>
      </w:r>
      <w:r w:rsidR="00D91477">
        <w:rPr>
          <w:rFonts w:cs="Arial"/>
          <w:bCs/>
          <w:szCs w:val="22"/>
          <w:lang w:val="en-US"/>
        </w:rPr>
        <w:t xml:space="preserve">both the appellant (and her family) and the respondent.  On </w:t>
      </w:r>
      <w:r w:rsidR="00D91477">
        <w:rPr>
          <w:rFonts w:cs="Arial"/>
          <w:bCs/>
          <w:szCs w:val="22"/>
          <w:lang w:val="en-US"/>
        </w:rPr>
        <w:lastRenderedPageBreak/>
        <w:t xml:space="preserve">this basis he </w:t>
      </w:r>
      <w:r w:rsidR="004C4672" w:rsidRPr="00D91477">
        <w:rPr>
          <w:rFonts w:cs="Arial"/>
          <w:bCs/>
          <w:szCs w:val="22"/>
          <w:lang w:val="en-US"/>
        </w:rPr>
        <w:t>decided that the respondent is entitled to an eviction order</w:t>
      </w:r>
      <w:r w:rsidR="00D91477">
        <w:rPr>
          <w:rFonts w:cs="Arial"/>
          <w:bCs/>
          <w:szCs w:val="22"/>
          <w:lang w:val="en-US"/>
        </w:rPr>
        <w:t>.</w:t>
      </w:r>
      <w:r w:rsidR="004C4672" w:rsidRPr="00D91477">
        <w:rPr>
          <w:rFonts w:cs="Arial"/>
          <w:bCs/>
          <w:szCs w:val="22"/>
          <w:lang w:val="en-US"/>
        </w:rPr>
        <w:t xml:space="preserve"> </w:t>
      </w:r>
    </w:p>
    <w:p w14:paraId="2B81A8BA" w14:textId="40E6D2A5" w:rsidR="004C4672" w:rsidRPr="007373D9" w:rsidRDefault="000E7010" w:rsidP="000E7010">
      <w:pPr>
        <w:widowControl w:val="0"/>
        <w:tabs>
          <w:tab w:val="left" w:pos="567"/>
        </w:tabs>
        <w:spacing w:before="480" w:after="480" w:line="360" w:lineRule="auto"/>
        <w:jc w:val="both"/>
        <w:rPr>
          <w:rFonts w:cs="Arial"/>
          <w:bCs/>
          <w:szCs w:val="22"/>
        </w:rPr>
      </w:pPr>
      <w:r w:rsidRPr="007373D9">
        <w:rPr>
          <w:rFonts w:cs="Arial"/>
          <w:bCs/>
          <w:szCs w:val="22"/>
        </w:rPr>
        <w:t>[16]</w:t>
      </w:r>
      <w:r w:rsidRPr="007373D9">
        <w:rPr>
          <w:rFonts w:cs="Arial"/>
          <w:bCs/>
          <w:szCs w:val="22"/>
        </w:rPr>
        <w:tab/>
      </w:r>
      <w:r w:rsidR="00D91477">
        <w:rPr>
          <w:rFonts w:cs="Arial"/>
          <w:bCs/>
          <w:szCs w:val="22"/>
          <w:lang w:val="en-US"/>
        </w:rPr>
        <w:t>T</w:t>
      </w:r>
      <w:r w:rsidR="004C4672" w:rsidRPr="002A36D0">
        <w:rPr>
          <w:rFonts w:cs="Arial"/>
          <w:bCs/>
          <w:szCs w:val="22"/>
          <w:lang w:val="en-US"/>
        </w:rPr>
        <w:t xml:space="preserve">he magistrate </w:t>
      </w:r>
      <w:r w:rsidR="00D91477">
        <w:rPr>
          <w:rFonts w:cs="Arial"/>
          <w:bCs/>
          <w:szCs w:val="22"/>
          <w:lang w:val="en-US"/>
        </w:rPr>
        <w:t xml:space="preserve">then </w:t>
      </w:r>
      <w:r w:rsidR="004C4672" w:rsidRPr="002A36D0">
        <w:rPr>
          <w:rFonts w:cs="Arial"/>
          <w:bCs/>
          <w:szCs w:val="22"/>
          <w:lang w:val="en-US"/>
        </w:rPr>
        <w:t>turned his attention</w:t>
      </w:r>
      <w:r w:rsidR="004C4672">
        <w:rPr>
          <w:rFonts w:cs="Arial"/>
          <w:bCs/>
          <w:szCs w:val="22"/>
          <w:lang w:val="en-US"/>
        </w:rPr>
        <w:t xml:space="preserve"> </w:t>
      </w:r>
      <w:r w:rsidR="004C4672" w:rsidRPr="002A36D0">
        <w:rPr>
          <w:rFonts w:cs="Arial"/>
          <w:bCs/>
          <w:szCs w:val="22"/>
          <w:lang w:val="en-US"/>
        </w:rPr>
        <w:t>to a date by which</w:t>
      </w:r>
      <w:r w:rsidR="004C4672">
        <w:rPr>
          <w:rFonts w:cs="Arial"/>
          <w:bCs/>
          <w:szCs w:val="22"/>
          <w:lang w:val="en-US"/>
        </w:rPr>
        <w:t xml:space="preserve"> </w:t>
      </w:r>
      <w:r w:rsidR="004C4672" w:rsidRPr="002A36D0">
        <w:rPr>
          <w:rFonts w:cs="Arial"/>
          <w:bCs/>
          <w:szCs w:val="22"/>
          <w:lang w:val="en-US"/>
        </w:rPr>
        <w:t xml:space="preserve">the appellant should vacate the property. He </w:t>
      </w:r>
      <w:r w:rsidR="006627CA">
        <w:rPr>
          <w:rFonts w:cs="Arial"/>
          <w:bCs/>
          <w:szCs w:val="22"/>
          <w:lang w:val="en-US"/>
        </w:rPr>
        <w:t>held</w:t>
      </w:r>
      <w:r w:rsidR="004C4672" w:rsidRPr="002A36D0">
        <w:rPr>
          <w:rFonts w:cs="Arial"/>
          <w:bCs/>
          <w:szCs w:val="22"/>
          <w:lang w:val="en-US"/>
        </w:rPr>
        <w:t xml:space="preserve"> that having regard to the length of the stay, the age of the appellant and all other factors it was just an</w:t>
      </w:r>
      <w:r w:rsidR="00D91477">
        <w:rPr>
          <w:rFonts w:cs="Arial"/>
          <w:bCs/>
          <w:szCs w:val="22"/>
          <w:lang w:val="en-US"/>
        </w:rPr>
        <w:t>d</w:t>
      </w:r>
      <w:r w:rsidR="004C4672" w:rsidRPr="002A36D0">
        <w:rPr>
          <w:rFonts w:cs="Arial"/>
          <w:bCs/>
          <w:szCs w:val="22"/>
          <w:lang w:val="en-US"/>
        </w:rPr>
        <w:t xml:space="preserve"> equitable that the appellant and those who occupy through her be afforded two months until 15 August 2022 </w:t>
      </w:r>
      <w:r w:rsidR="004C4672">
        <w:rPr>
          <w:rFonts w:cs="Arial"/>
          <w:bCs/>
          <w:szCs w:val="22"/>
          <w:lang w:val="en-US"/>
        </w:rPr>
        <w:t>t</w:t>
      </w:r>
      <w:r w:rsidR="004C4672" w:rsidRPr="002A36D0">
        <w:rPr>
          <w:rFonts w:cs="Arial"/>
          <w:bCs/>
          <w:szCs w:val="22"/>
          <w:lang w:val="en-US"/>
        </w:rPr>
        <w:t>o vacate the property</w:t>
      </w:r>
      <w:r w:rsidR="004C4672">
        <w:rPr>
          <w:rFonts w:cs="Arial"/>
          <w:bCs/>
          <w:szCs w:val="22"/>
          <w:lang w:val="en-US"/>
        </w:rPr>
        <w:t>.</w:t>
      </w:r>
    </w:p>
    <w:p w14:paraId="5D3C146C" w14:textId="3A754BB9" w:rsidR="00B07462" w:rsidRPr="005B3224" w:rsidRDefault="000E7010" w:rsidP="000E7010">
      <w:pPr>
        <w:widowControl w:val="0"/>
        <w:tabs>
          <w:tab w:val="left" w:pos="567"/>
        </w:tabs>
        <w:spacing w:before="480" w:after="480" w:line="360" w:lineRule="auto"/>
        <w:jc w:val="both"/>
        <w:rPr>
          <w:rFonts w:cs="Arial"/>
          <w:bCs/>
          <w:szCs w:val="22"/>
        </w:rPr>
      </w:pPr>
      <w:r w:rsidRPr="005B3224">
        <w:rPr>
          <w:rFonts w:cs="Arial"/>
          <w:bCs/>
          <w:szCs w:val="22"/>
        </w:rPr>
        <w:t>[17]</w:t>
      </w:r>
      <w:r w:rsidRPr="005B3224">
        <w:rPr>
          <w:rFonts w:cs="Arial"/>
          <w:bCs/>
          <w:szCs w:val="22"/>
        </w:rPr>
        <w:tab/>
      </w:r>
      <w:r w:rsidR="00D57679">
        <w:rPr>
          <w:rFonts w:cs="Arial"/>
          <w:bCs/>
          <w:szCs w:val="22"/>
          <w:lang w:val="en-US"/>
        </w:rPr>
        <w:t>A</w:t>
      </w:r>
      <w:r w:rsidR="00F477AE">
        <w:rPr>
          <w:rFonts w:cs="Arial"/>
          <w:bCs/>
          <w:szCs w:val="22"/>
          <w:lang w:val="en-US"/>
        </w:rPr>
        <w:t xml:space="preserve"> potential flaw in the magistrate’s reasoning focused on by the appellant was his remark that no proof of </w:t>
      </w:r>
      <w:r w:rsidR="00B058DB">
        <w:rPr>
          <w:rFonts w:cs="Arial"/>
          <w:bCs/>
          <w:szCs w:val="22"/>
          <w:lang w:val="en-US"/>
        </w:rPr>
        <w:t xml:space="preserve">her </w:t>
      </w:r>
      <w:r w:rsidR="006330B9">
        <w:rPr>
          <w:rFonts w:cs="Arial"/>
          <w:bCs/>
          <w:szCs w:val="22"/>
          <w:lang w:val="en-US"/>
        </w:rPr>
        <w:t>disability</w:t>
      </w:r>
      <w:r w:rsidR="00BB2ACE">
        <w:rPr>
          <w:rFonts w:cs="Arial"/>
          <w:bCs/>
          <w:szCs w:val="22"/>
          <w:lang w:val="en-US"/>
        </w:rPr>
        <w:t xml:space="preserve"> had been furnished</w:t>
      </w:r>
      <w:r w:rsidR="006330B9">
        <w:rPr>
          <w:rFonts w:cs="Arial"/>
          <w:bCs/>
          <w:szCs w:val="22"/>
          <w:lang w:val="en-US"/>
        </w:rPr>
        <w:t>.  She insisted that she had advanced sufficient evidence that she was disabled</w:t>
      </w:r>
      <w:r w:rsidR="00BB2ACE">
        <w:rPr>
          <w:rFonts w:cs="Arial"/>
          <w:bCs/>
          <w:szCs w:val="22"/>
          <w:lang w:val="en-US"/>
        </w:rPr>
        <w:t>, having been boarded</w:t>
      </w:r>
      <w:r w:rsidR="006330B9">
        <w:rPr>
          <w:rFonts w:cs="Arial"/>
          <w:bCs/>
          <w:szCs w:val="22"/>
          <w:lang w:val="en-US"/>
        </w:rPr>
        <w:t xml:space="preserve"> as a result of </w:t>
      </w:r>
      <w:r w:rsidR="00C22D10">
        <w:rPr>
          <w:rFonts w:cs="Arial"/>
          <w:bCs/>
          <w:szCs w:val="22"/>
          <w:lang w:val="en-US"/>
        </w:rPr>
        <w:t xml:space="preserve">her multiple </w:t>
      </w:r>
      <w:r w:rsidR="005B3224">
        <w:rPr>
          <w:rFonts w:cs="Arial"/>
          <w:bCs/>
          <w:szCs w:val="22"/>
          <w:lang w:val="en-US"/>
        </w:rPr>
        <w:t>sclerosis</w:t>
      </w:r>
      <w:r w:rsidR="00C22D10">
        <w:rPr>
          <w:rFonts w:cs="Arial"/>
          <w:bCs/>
          <w:szCs w:val="22"/>
          <w:lang w:val="en-US"/>
        </w:rPr>
        <w:t xml:space="preserve">.  However, </w:t>
      </w:r>
      <w:r w:rsidR="00991090">
        <w:rPr>
          <w:rFonts w:cs="Arial"/>
          <w:bCs/>
          <w:szCs w:val="22"/>
          <w:lang w:val="en-US"/>
        </w:rPr>
        <w:t xml:space="preserve">his reasoning </w:t>
      </w:r>
      <w:r w:rsidR="00EE4B6A">
        <w:rPr>
          <w:rFonts w:cs="Arial"/>
          <w:bCs/>
          <w:szCs w:val="22"/>
          <w:lang w:val="en-US"/>
        </w:rPr>
        <w:t xml:space="preserve">demonstrates </w:t>
      </w:r>
      <w:r w:rsidR="00991090">
        <w:rPr>
          <w:rFonts w:cs="Arial"/>
          <w:bCs/>
          <w:szCs w:val="22"/>
          <w:lang w:val="en-US"/>
        </w:rPr>
        <w:t xml:space="preserve">that, notwithstanding his remark, he made his decision on the basis that </w:t>
      </w:r>
      <w:r w:rsidR="00EE4B6A">
        <w:rPr>
          <w:rFonts w:cs="Arial"/>
          <w:bCs/>
          <w:szCs w:val="22"/>
          <w:lang w:val="en-US"/>
        </w:rPr>
        <w:t xml:space="preserve">as an elderly, disabled person “MOTH would take care of her needs”.  </w:t>
      </w:r>
    </w:p>
    <w:p w14:paraId="2832AA2F" w14:textId="29123483" w:rsidR="004C4672" w:rsidRPr="002A36D0" w:rsidRDefault="000E7010" w:rsidP="000E7010">
      <w:pPr>
        <w:widowControl w:val="0"/>
        <w:tabs>
          <w:tab w:val="left" w:pos="567"/>
        </w:tabs>
        <w:spacing w:before="480" w:after="480" w:line="360" w:lineRule="auto"/>
        <w:jc w:val="both"/>
        <w:rPr>
          <w:rFonts w:cs="Arial"/>
          <w:bCs/>
          <w:szCs w:val="22"/>
        </w:rPr>
      </w:pPr>
      <w:r w:rsidRPr="002A36D0">
        <w:rPr>
          <w:rFonts w:cs="Arial"/>
          <w:bCs/>
          <w:szCs w:val="22"/>
        </w:rPr>
        <w:t>[18]</w:t>
      </w:r>
      <w:r w:rsidRPr="002A36D0">
        <w:rPr>
          <w:rFonts w:cs="Arial"/>
          <w:bCs/>
          <w:szCs w:val="22"/>
        </w:rPr>
        <w:tab/>
      </w:r>
      <w:r w:rsidR="004C4672" w:rsidRPr="007373D9">
        <w:rPr>
          <w:rFonts w:cs="Arial"/>
          <w:bCs/>
          <w:szCs w:val="22"/>
          <w:lang w:val="en-US"/>
        </w:rPr>
        <w:t xml:space="preserve">The judgment by the </w:t>
      </w:r>
      <w:r w:rsidR="006627CA">
        <w:rPr>
          <w:rFonts w:cs="Arial"/>
          <w:bCs/>
          <w:szCs w:val="22"/>
          <w:lang w:val="en-US"/>
        </w:rPr>
        <w:t>M</w:t>
      </w:r>
      <w:r w:rsidR="004C4672" w:rsidRPr="007373D9">
        <w:rPr>
          <w:rFonts w:cs="Arial"/>
          <w:bCs/>
          <w:szCs w:val="22"/>
          <w:lang w:val="en-US"/>
        </w:rPr>
        <w:t>agistrate cannot be faulted and the appeal must fail</w:t>
      </w:r>
      <w:r w:rsidR="004C4672">
        <w:rPr>
          <w:rFonts w:cs="Arial"/>
          <w:bCs/>
          <w:szCs w:val="22"/>
          <w:lang w:val="en-US"/>
        </w:rPr>
        <w:t xml:space="preserve">. </w:t>
      </w:r>
    </w:p>
    <w:p w14:paraId="326DAA10" w14:textId="585752D9" w:rsidR="006627CA" w:rsidRPr="006627CA" w:rsidRDefault="000E7010" w:rsidP="000E7010">
      <w:pPr>
        <w:widowControl w:val="0"/>
        <w:tabs>
          <w:tab w:val="left" w:pos="567"/>
        </w:tabs>
        <w:spacing w:before="480" w:after="480" w:line="360" w:lineRule="auto"/>
        <w:jc w:val="both"/>
        <w:rPr>
          <w:rFonts w:cs="Arial"/>
          <w:bCs/>
          <w:szCs w:val="22"/>
        </w:rPr>
      </w:pPr>
      <w:r w:rsidRPr="006627CA">
        <w:rPr>
          <w:rFonts w:cs="Arial"/>
          <w:bCs/>
          <w:szCs w:val="22"/>
        </w:rPr>
        <w:t>[19]</w:t>
      </w:r>
      <w:r w:rsidRPr="006627CA">
        <w:rPr>
          <w:rFonts w:cs="Arial"/>
          <w:bCs/>
          <w:szCs w:val="22"/>
        </w:rPr>
        <w:tab/>
      </w:r>
      <w:r w:rsidR="004C4672" w:rsidRPr="007373D9">
        <w:rPr>
          <w:rFonts w:cs="Arial"/>
          <w:bCs/>
          <w:szCs w:val="22"/>
          <w:lang w:val="en-US"/>
        </w:rPr>
        <w:t>The date of 15 August 2022 is long p</w:t>
      </w:r>
      <w:r w:rsidR="004C4672">
        <w:rPr>
          <w:rFonts w:cs="Arial"/>
          <w:bCs/>
          <w:szCs w:val="22"/>
          <w:lang w:val="en-US"/>
        </w:rPr>
        <w:t xml:space="preserve">ast </w:t>
      </w:r>
      <w:r w:rsidR="004C4672" w:rsidRPr="007373D9">
        <w:rPr>
          <w:rFonts w:cs="Arial"/>
          <w:bCs/>
          <w:szCs w:val="22"/>
          <w:lang w:val="en-US"/>
        </w:rPr>
        <w:t xml:space="preserve">and it is incumbent on this </w:t>
      </w:r>
      <w:r w:rsidR="004C4672">
        <w:rPr>
          <w:rFonts w:cs="Arial"/>
          <w:bCs/>
          <w:szCs w:val="22"/>
          <w:lang w:val="en-US"/>
        </w:rPr>
        <w:t xml:space="preserve">Court to </w:t>
      </w:r>
      <w:r w:rsidR="004C4672" w:rsidRPr="007373D9">
        <w:rPr>
          <w:rFonts w:cs="Arial"/>
          <w:bCs/>
          <w:szCs w:val="22"/>
          <w:lang w:val="en-US"/>
        </w:rPr>
        <w:t xml:space="preserve">determine a date at this point in time that meets the requirements imposed by </w:t>
      </w:r>
      <w:r w:rsidR="00B07462">
        <w:rPr>
          <w:rFonts w:cs="Arial"/>
          <w:bCs/>
          <w:szCs w:val="22"/>
          <w:lang w:val="en-US"/>
        </w:rPr>
        <w:t>s</w:t>
      </w:r>
      <w:r w:rsidR="004C4672" w:rsidRPr="007373D9">
        <w:rPr>
          <w:rFonts w:cs="Arial"/>
          <w:bCs/>
          <w:szCs w:val="22"/>
          <w:lang w:val="en-US"/>
        </w:rPr>
        <w:t>ection 4</w:t>
      </w:r>
      <w:r w:rsidR="004C4672">
        <w:rPr>
          <w:rFonts w:cs="Arial"/>
          <w:bCs/>
          <w:szCs w:val="22"/>
          <w:lang w:val="en-US"/>
        </w:rPr>
        <w:t xml:space="preserve">(8) </w:t>
      </w:r>
      <w:r w:rsidR="004C4672" w:rsidRPr="007373D9">
        <w:rPr>
          <w:rFonts w:cs="Arial"/>
          <w:bCs/>
          <w:szCs w:val="22"/>
          <w:lang w:val="en-US"/>
        </w:rPr>
        <w:t>of the Act</w:t>
      </w:r>
      <w:r w:rsidR="004C4672">
        <w:rPr>
          <w:rFonts w:cs="Arial"/>
          <w:bCs/>
          <w:szCs w:val="22"/>
          <w:lang w:val="en-US"/>
        </w:rPr>
        <w:t xml:space="preserve">. </w:t>
      </w:r>
      <w:r w:rsidR="006627CA">
        <w:rPr>
          <w:rFonts w:cs="Arial"/>
          <w:bCs/>
          <w:szCs w:val="22"/>
          <w:lang w:val="en-US"/>
        </w:rPr>
        <w:t>The following circumstances must be taken into account:</w:t>
      </w:r>
    </w:p>
    <w:p w14:paraId="26074242" w14:textId="7D12E139" w:rsidR="006627CA" w:rsidRPr="006627CA" w:rsidRDefault="000E7010" w:rsidP="000E7010">
      <w:pPr>
        <w:widowControl w:val="0"/>
        <w:tabs>
          <w:tab w:val="left" w:pos="1418"/>
        </w:tabs>
        <w:spacing w:before="480" w:after="480" w:line="360" w:lineRule="auto"/>
        <w:ind w:left="1418" w:hanging="851"/>
        <w:jc w:val="both"/>
        <w:rPr>
          <w:rFonts w:cs="Arial"/>
          <w:bCs/>
          <w:szCs w:val="22"/>
        </w:rPr>
      </w:pPr>
      <w:r w:rsidRPr="006627CA">
        <w:rPr>
          <w:rFonts w:cs="Arial"/>
          <w:bCs/>
          <w:szCs w:val="22"/>
        </w:rPr>
        <w:t>19.1</w:t>
      </w:r>
      <w:r w:rsidRPr="006627CA">
        <w:rPr>
          <w:rFonts w:cs="Arial"/>
          <w:bCs/>
          <w:szCs w:val="22"/>
        </w:rPr>
        <w:tab/>
      </w:r>
      <w:r w:rsidR="006627CA">
        <w:rPr>
          <w:rFonts w:cs="Arial"/>
          <w:bCs/>
          <w:szCs w:val="22"/>
          <w:lang w:val="en-US"/>
        </w:rPr>
        <w:t xml:space="preserve">The </w:t>
      </w:r>
      <w:r w:rsidR="004C4672" w:rsidRPr="007373D9">
        <w:rPr>
          <w:rFonts w:cs="Arial"/>
          <w:bCs/>
          <w:szCs w:val="22"/>
          <w:lang w:val="en-US"/>
        </w:rPr>
        <w:t>age and personal circumstances of the appellant</w:t>
      </w:r>
      <w:r w:rsidR="00DE28DC">
        <w:rPr>
          <w:rFonts w:cs="Arial"/>
          <w:bCs/>
          <w:szCs w:val="22"/>
          <w:lang w:val="en-US"/>
        </w:rPr>
        <w:t xml:space="preserve">, including her multiple </w:t>
      </w:r>
      <w:r w:rsidR="005B3224">
        <w:rPr>
          <w:rFonts w:cs="Arial"/>
          <w:bCs/>
          <w:szCs w:val="22"/>
          <w:lang w:val="en-US"/>
        </w:rPr>
        <w:t>sclerosis</w:t>
      </w:r>
      <w:r w:rsidR="006627CA">
        <w:rPr>
          <w:rFonts w:cs="Arial"/>
          <w:bCs/>
          <w:szCs w:val="22"/>
          <w:lang w:val="en-US"/>
        </w:rPr>
        <w:t>;</w:t>
      </w:r>
    </w:p>
    <w:p w14:paraId="58DE8A4A" w14:textId="7EC595DB" w:rsidR="006627CA" w:rsidRPr="006627CA" w:rsidRDefault="000E7010" w:rsidP="000E7010">
      <w:pPr>
        <w:widowControl w:val="0"/>
        <w:tabs>
          <w:tab w:val="left" w:pos="1418"/>
        </w:tabs>
        <w:spacing w:before="480" w:after="480" w:line="360" w:lineRule="auto"/>
        <w:ind w:left="1418" w:hanging="851"/>
        <w:jc w:val="both"/>
        <w:rPr>
          <w:rFonts w:cs="Arial"/>
          <w:bCs/>
          <w:szCs w:val="22"/>
        </w:rPr>
      </w:pPr>
      <w:r w:rsidRPr="006627CA">
        <w:rPr>
          <w:rFonts w:cs="Arial"/>
          <w:bCs/>
          <w:szCs w:val="22"/>
        </w:rPr>
        <w:t>19.2</w:t>
      </w:r>
      <w:r w:rsidRPr="006627CA">
        <w:rPr>
          <w:rFonts w:cs="Arial"/>
          <w:bCs/>
          <w:szCs w:val="22"/>
        </w:rPr>
        <w:tab/>
      </w:r>
      <w:r w:rsidR="006627CA">
        <w:rPr>
          <w:rFonts w:cs="Arial"/>
          <w:bCs/>
          <w:szCs w:val="22"/>
          <w:lang w:val="en-US"/>
        </w:rPr>
        <w:t>The fact that she cares for h</w:t>
      </w:r>
      <w:r w:rsidR="00B3037C">
        <w:rPr>
          <w:rFonts w:cs="Arial"/>
          <w:bCs/>
          <w:szCs w:val="22"/>
          <w:lang w:val="en-US"/>
        </w:rPr>
        <w:t>er</w:t>
      </w:r>
      <w:r w:rsidR="006627CA">
        <w:rPr>
          <w:rFonts w:cs="Arial"/>
          <w:bCs/>
          <w:szCs w:val="22"/>
          <w:lang w:val="en-US"/>
        </w:rPr>
        <w:t xml:space="preserve"> grandson, as well as her unemployed son</w:t>
      </w:r>
      <w:r w:rsidR="00B3037C">
        <w:rPr>
          <w:rFonts w:cs="Arial"/>
          <w:bCs/>
          <w:szCs w:val="22"/>
          <w:lang w:val="en-US"/>
        </w:rPr>
        <w:t xml:space="preserve"> both </w:t>
      </w:r>
      <w:r w:rsidR="00BE0DF5">
        <w:rPr>
          <w:rFonts w:cs="Arial"/>
          <w:bCs/>
          <w:szCs w:val="22"/>
          <w:lang w:val="en-US"/>
        </w:rPr>
        <w:t xml:space="preserve">of whom </w:t>
      </w:r>
      <w:r w:rsidR="00B3037C">
        <w:rPr>
          <w:rFonts w:cs="Arial"/>
          <w:bCs/>
          <w:szCs w:val="22"/>
          <w:lang w:val="en-US"/>
        </w:rPr>
        <w:t>live with her;</w:t>
      </w:r>
    </w:p>
    <w:p w14:paraId="196B7B5C" w14:textId="7ADCAC29" w:rsidR="004773E8" w:rsidRPr="004773E8" w:rsidRDefault="000E7010" w:rsidP="000E7010">
      <w:pPr>
        <w:widowControl w:val="0"/>
        <w:tabs>
          <w:tab w:val="left" w:pos="1418"/>
        </w:tabs>
        <w:spacing w:before="480" w:after="480" w:line="360" w:lineRule="auto"/>
        <w:ind w:left="1418" w:hanging="851"/>
        <w:jc w:val="both"/>
        <w:rPr>
          <w:rFonts w:cs="Arial"/>
          <w:bCs/>
          <w:szCs w:val="22"/>
        </w:rPr>
      </w:pPr>
      <w:r w:rsidRPr="004773E8">
        <w:rPr>
          <w:rFonts w:cs="Arial"/>
          <w:bCs/>
          <w:szCs w:val="22"/>
        </w:rPr>
        <w:t>19.3</w:t>
      </w:r>
      <w:r w:rsidRPr="004773E8">
        <w:rPr>
          <w:rFonts w:cs="Arial"/>
          <w:bCs/>
          <w:szCs w:val="22"/>
        </w:rPr>
        <w:tab/>
      </w:r>
      <w:r w:rsidR="004773E8">
        <w:rPr>
          <w:rFonts w:cs="Arial"/>
          <w:bCs/>
          <w:szCs w:val="22"/>
          <w:lang w:val="en-US"/>
        </w:rPr>
        <w:t xml:space="preserve">The appellant occupied the property in terms of </w:t>
      </w:r>
      <w:r w:rsidR="00A2640E">
        <w:rPr>
          <w:rFonts w:cs="Arial"/>
          <w:bCs/>
          <w:szCs w:val="22"/>
          <w:lang w:val="en-US"/>
        </w:rPr>
        <w:t xml:space="preserve">a right of habitatio </w:t>
      </w:r>
      <w:r w:rsidR="004773E8">
        <w:rPr>
          <w:rFonts w:cs="Arial"/>
          <w:bCs/>
          <w:szCs w:val="22"/>
          <w:lang w:val="en-US"/>
        </w:rPr>
        <w:t>until 2019;</w:t>
      </w:r>
    </w:p>
    <w:p w14:paraId="2A5B53F4" w14:textId="3CB15A29" w:rsidR="004773E8" w:rsidRPr="00B3037C" w:rsidRDefault="000E7010" w:rsidP="000E7010">
      <w:pPr>
        <w:widowControl w:val="0"/>
        <w:tabs>
          <w:tab w:val="left" w:pos="1418"/>
        </w:tabs>
        <w:spacing w:before="480" w:after="480" w:line="360" w:lineRule="auto"/>
        <w:ind w:left="1418" w:hanging="851"/>
        <w:jc w:val="both"/>
        <w:rPr>
          <w:rFonts w:cs="Arial"/>
          <w:bCs/>
          <w:szCs w:val="22"/>
        </w:rPr>
      </w:pPr>
      <w:r w:rsidRPr="00B3037C">
        <w:rPr>
          <w:rFonts w:cs="Arial"/>
          <w:bCs/>
          <w:szCs w:val="22"/>
        </w:rPr>
        <w:t>19.4</w:t>
      </w:r>
      <w:r w:rsidRPr="00B3037C">
        <w:rPr>
          <w:rFonts w:cs="Arial"/>
          <w:bCs/>
          <w:szCs w:val="22"/>
        </w:rPr>
        <w:tab/>
      </w:r>
      <w:r w:rsidR="004773E8">
        <w:rPr>
          <w:rFonts w:cs="Arial"/>
          <w:bCs/>
          <w:szCs w:val="22"/>
          <w:lang w:val="en-US"/>
        </w:rPr>
        <w:t>She has been in unlawful occupation since 2019 despite demands by the respondent that possession be restored to him;</w:t>
      </w:r>
    </w:p>
    <w:p w14:paraId="51D90D60" w14:textId="2B24C549" w:rsidR="00B3037C" w:rsidRPr="00B3037C" w:rsidRDefault="000E7010" w:rsidP="000E7010">
      <w:pPr>
        <w:widowControl w:val="0"/>
        <w:tabs>
          <w:tab w:val="left" w:pos="1418"/>
        </w:tabs>
        <w:spacing w:before="480" w:after="480" w:line="360" w:lineRule="auto"/>
        <w:ind w:left="1418" w:hanging="851"/>
        <w:jc w:val="both"/>
        <w:rPr>
          <w:rFonts w:cs="Arial"/>
          <w:bCs/>
          <w:szCs w:val="22"/>
        </w:rPr>
      </w:pPr>
      <w:r w:rsidRPr="00B3037C">
        <w:rPr>
          <w:rFonts w:cs="Arial"/>
          <w:bCs/>
          <w:szCs w:val="22"/>
        </w:rPr>
        <w:t>19.5</w:t>
      </w:r>
      <w:r w:rsidRPr="00B3037C">
        <w:rPr>
          <w:rFonts w:cs="Arial"/>
          <w:bCs/>
          <w:szCs w:val="22"/>
        </w:rPr>
        <w:tab/>
      </w:r>
      <w:r w:rsidR="00B3037C">
        <w:rPr>
          <w:rFonts w:cs="Arial"/>
          <w:bCs/>
          <w:szCs w:val="22"/>
          <w:lang w:val="en-US"/>
        </w:rPr>
        <w:t xml:space="preserve">In terms of the court order in the Magistrates’ Court the appellant was ordered to vacate the property and restore possession to the respondent </w:t>
      </w:r>
      <w:r w:rsidR="00B3037C">
        <w:rPr>
          <w:rFonts w:cs="Arial"/>
          <w:bCs/>
          <w:szCs w:val="22"/>
          <w:lang w:val="en-US"/>
        </w:rPr>
        <w:lastRenderedPageBreak/>
        <w:t>by 15 August 2022;</w:t>
      </w:r>
    </w:p>
    <w:p w14:paraId="71D013DE" w14:textId="7240630C" w:rsidR="00B3037C" w:rsidRPr="004773E8" w:rsidRDefault="000E7010" w:rsidP="000E7010">
      <w:pPr>
        <w:widowControl w:val="0"/>
        <w:tabs>
          <w:tab w:val="left" w:pos="1418"/>
        </w:tabs>
        <w:spacing w:before="480" w:after="480" w:line="360" w:lineRule="auto"/>
        <w:ind w:left="1418" w:hanging="851"/>
        <w:jc w:val="both"/>
        <w:rPr>
          <w:rFonts w:cs="Arial"/>
          <w:bCs/>
          <w:szCs w:val="22"/>
        </w:rPr>
      </w:pPr>
      <w:r w:rsidRPr="004773E8">
        <w:rPr>
          <w:rFonts w:cs="Arial"/>
          <w:bCs/>
          <w:szCs w:val="22"/>
        </w:rPr>
        <w:t>19.6</w:t>
      </w:r>
      <w:r w:rsidRPr="004773E8">
        <w:rPr>
          <w:rFonts w:cs="Arial"/>
          <w:bCs/>
          <w:szCs w:val="22"/>
        </w:rPr>
        <w:tab/>
      </w:r>
      <w:r w:rsidR="00B3037C">
        <w:rPr>
          <w:rFonts w:cs="Arial"/>
          <w:bCs/>
          <w:szCs w:val="22"/>
          <w:lang w:val="en-US"/>
        </w:rPr>
        <w:t>The appeal proceedings were delayed because of the appellant’s failure to prepare the record of the appeal;</w:t>
      </w:r>
    </w:p>
    <w:p w14:paraId="767D6DD8" w14:textId="2DDC29E8" w:rsidR="009646F8" w:rsidRPr="005B3224" w:rsidRDefault="000E7010" w:rsidP="000E7010">
      <w:pPr>
        <w:widowControl w:val="0"/>
        <w:tabs>
          <w:tab w:val="left" w:pos="1418"/>
        </w:tabs>
        <w:spacing w:before="480" w:after="480" w:line="360" w:lineRule="auto"/>
        <w:ind w:left="1418" w:hanging="851"/>
        <w:jc w:val="both"/>
        <w:rPr>
          <w:rFonts w:cs="Arial"/>
          <w:bCs/>
          <w:szCs w:val="22"/>
        </w:rPr>
      </w:pPr>
      <w:r w:rsidRPr="005B3224">
        <w:rPr>
          <w:rFonts w:cs="Arial"/>
          <w:bCs/>
          <w:szCs w:val="22"/>
        </w:rPr>
        <w:t>19.7</w:t>
      </w:r>
      <w:r w:rsidRPr="005B3224">
        <w:rPr>
          <w:rFonts w:cs="Arial"/>
          <w:bCs/>
          <w:szCs w:val="22"/>
        </w:rPr>
        <w:tab/>
      </w:r>
      <w:r w:rsidR="004773E8">
        <w:rPr>
          <w:rFonts w:cs="Arial"/>
          <w:bCs/>
          <w:szCs w:val="22"/>
          <w:lang w:val="en-US"/>
        </w:rPr>
        <w:t>She does not maintain the property and the respondent bears the cost of maintenance as well as municipal rates and cost of utilities</w:t>
      </w:r>
      <w:r w:rsidR="009646F8">
        <w:rPr>
          <w:rFonts w:cs="Arial"/>
          <w:bCs/>
          <w:szCs w:val="22"/>
          <w:lang w:val="en-US"/>
        </w:rPr>
        <w:t>;</w:t>
      </w:r>
    </w:p>
    <w:p w14:paraId="1F881D74" w14:textId="0934137C" w:rsidR="004773E8" w:rsidRPr="004773E8" w:rsidRDefault="000E7010" w:rsidP="000E7010">
      <w:pPr>
        <w:widowControl w:val="0"/>
        <w:tabs>
          <w:tab w:val="left" w:pos="1418"/>
        </w:tabs>
        <w:spacing w:before="480" w:after="480" w:line="360" w:lineRule="auto"/>
        <w:ind w:left="1418" w:hanging="851"/>
        <w:jc w:val="both"/>
        <w:rPr>
          <w:rFonts w:cs="Arial"/>
          <w:bCs/>
          <w:szCs w:val="22"/>
        </w:rPr>
      </w:pPr>
      <w:r w:rsidRPr="004773E8">
        <w:rPr>
          <w:rFonts w:cs="Arial"/>
          <w:bCs/>
          <w:szCs w:val="22"/>
        </w:rPr>
        <w:t>19.8</w:t>
      </w:r>
      <w:r w:rsidRPr="004773E8">
        <w:rPr>
          <w:rFonts w:cs="Arial"/>
          <w:bCs/>
          <w:szCs w:val="22"/>
        </w:rPr>
        <w:tab/>
      </w:r>
      <w:r w:rsidR="009646F8">
        <w:rPr>
          <w:rFonts w:cs="Arial"/>
          <w:bCs/>
          <w:szCs w:val="22"/>
          <w:lang w:val="en-US"/>
        </w:rPr>
        <w:t xml:space="preserve">Whilst the eviction will impact her </w:t>
      </w:r>
      <w:r w:rsidR="0046013C">
        <w:rPr>
          <w:rFonts w:cs="Arial"/>
          <w:bCs/>
          <w:szCs w:val="22"/>
          <w:lang w:val="en-US"/>
        </w:rPr>
        <w:t xml:space="preserve">and her family </w:t>
      </w:r>
      <w:r w:rsidR="009646F8">
        <w:rPr>
          <w:rFonts w:cs="Arial"/>
          <w:bCs/>
          <w:szCs w:val="22"/>
          <w:lang w:val="en-US"/>
        </w:rPr>
        <w:t>severely there are options that will prevent homelessness from resulting</w:t>
      </w:r>
      <w:r w:rsidR="00B3037C">
        <w:rPr>
          <w:rFonts w:cs="Arial"/>
          <w:bCs/>
          <w:szCs w:val="22"/>
          <w:lang w:val="en-US"/>
        </w:rPr>
        <w:t>.</w:t>
      </w:r>
    </w:p>
    <w:p w14:paraId="4C4A51E5" w14:textId="4902BDB1" w:rsidR="003C24B4" w:rsidRPr="005B3224" w:rsidRDefault="000E7010" w:rsidP="000E7010">
      <w:pPr>
        <w:widowControl w:val="0"/>
        <w:tabs>
          <w:tab w:val="left" w:pos="567"/>
        </w:tabs>
        <w:spacing w:before="480" w:after="480" w:line="360" w:lineRule="auto"/>
        <w:jc w:val="both"/>
        <w:rPr>
          <w:rFonts w:cs="Arial"/>
          <w:bCs/>
          <w:szCs w:val="22"/>
        </w:rPr>
      </w:pPr>
      <w:r w:rsidRPr="005B3224">
        <w:rPr>
          <w:rFonts w:cs="Arial"/>
          <w:bCs/>
          <w:szCs w:val="22"/>
        </w:rPr>
        <w:t>[20]</w:t>
      </w:r>
      <w:r w:rsidRPr="005B3224">
        <w:rPr>
          <w:rFonts w:cs="Arial"/>
          <w:bCs/>
          <w:szCs w:val="22"/>
        </w:rPr>
        <w:tab/>
      </w:r>
      <w:r w:rsidR="004C4672" w:rsidRPr="007373D9">
        <w:rPr>
          <w:rFonts w:cs="Arial"/>
          <w:bCs/>
          <w:szCs w:val="22"/>
          <w:lang w:val="en-US"/>
        </w:rPr>
        <w:t xml:space="preserve">I come to the conclusion that </w:t>
      </w:r>
      <w:r w:rsidR="003C24B4">
        <w:rPr>
          <w:rFonts w:cs="Arial"/>
          <w:bCs/>
          <w:szCs w:val="22"/>
          <w:lang w:val="en-US"/>
        </w:rPr>
        <w:t>–</w:t>
      </w:r>
    </w:p>
    <w:p w14:paraId="1F1C2C51" w14:textId="2017B836" w:rsidR="008B1F25" w:rsidRPr="005B3224" w:rsidRDefault="000E7010" w:rsidP="000E7010">
      <w:pPr>
        <w:widowControl w:val="0"/>
        <w:tabs>
          <w:tab w:val="left" w:pos="1418"/>
        </w:tabs>
        <w:spacing w:before="480" w:after="480" w:line="360" w:lineRule="auto"/>
        <w:ind w:left="1418" w:hanging="851"/>
        <w:jc w:val="both"/>
        <w:rPr>
          <w:rFonts w:cs="Arial"/>
          <w:bCs/>
          <w:szCs w:val="22"/>
        </w:rPr>
      </w:pPr>
      <w:r w:rsidRPr="005B3224">
        <w:rPr>
          <w:rFonts w:cs="Arial"/>
          <w:bCs/>
          <w:szCs w:val="22"/>
        </w:rPr>
        <w:t>20.1</w:t>
      </w:r>
      <w:r w:rsidRPr="005B3224">
        <w:rPr>
          <w:rFonts w:cs="Arial"/>
          <w:bCs/>
          <w:szCs w:val="22"/>
        </w:rPr>
        <w:tab/>
      </w:r>
      <w:r w:rsidR="008B1F25">
        <w:rPr>
          <w:rFonts w:cs="Arial"/>
          <w:bCs/>
          <w:szCs w:val="22"/>
          <w:lang w:val="en-US"/>
        </w:rPr>
        <w:t>i</w:t>
      </w:r>
      <w:r w:rsidR="003C24B4">
        <w:rPr>
          <w:rFonts w:cs="Arial"/>
          <w:bCs/>
          <w:szCs w:val="22"/>
          <w:lang w:val="en-US"/>
        </w:rPr>
        <w:t xml:space="preserve">n terms of section 4(8)(a), </w:t>
      </w:r>
      <w:r w:rsidR="004C4672" w:rsidRPr="007373D9">
        <w:rPr>
          <w:rFonts w:cs="Arial"/>
          <w:bCs/>
          <w:szCs w:val="22"/>
          <w:lang w:val="en-US"/>
        </w:rPr>
        <w:t>a just an</w:t>
      </w:r>
      <w:r w:rsidR="004C4672">
        <w:rPr>
          <w:rFonts w:cs="Arial"/>
          <w:bCs/>
          <w:szCs w:val="22"/>
          <w:lang w:val="en-US"/>
        </w:rPr>
        <w:t>d</w:t>
      </w:r>
      <w:r w:rsidR="004C4672" w:rsidRPr="007373D9">
        <w:rPr>
          <w:rFonts w:cs="Arial"/>
          <w:bCs/>
          <w:szCs w:val="22"/>
          <w:lang w:val="en-US"/>
        </w:rPr>
        <w:t xml:space="preserve"> equitable date for the appellant</w:t>
      </w:r>
      <w:r w:rsidR="004C4672">
        <w:rPr>
          <w:rFonts w:cs="Arial"/>
          <w:bCs/>
          <w:szCs w:val="22"/>
          <w:lang w:val="en-US"/>
        </w:rPr>
        <w:t xml:space="preserve"> </w:t>
      </w:r>
      <w:r w:rsidR="004C4672" w:rsidRPr="007373D9">
        <w:rPr>
          <w:rFonts w:cs="Arial"/>
          <w:bCs/>
          <w:szCs w:val="22"/>
          <w:lang w:val="en-US"/>
        </w:rPr>
        <w:t xml:space="preserve">and all of those who occupy through her to vacate the property </w:t>
      </w:r>
      <w:r w:rsidR="00726CFE">
        <w:rPr>
          <w:rFonts w:cs="Arial"/>
          <w:bCs/>
          <w:szCs w:val="22"/>
          <w:lang w:val="en-US"/>
        </w:rPr>
        <w:t>is</w:t>
      </w:r>
      <w:r w:rsidR="004C4672" w:rsidRPr="007373D9">
        <w:rPr>
          <w:rFonts w:cs="Arial"/>
          <w:bCs/>
          <w:szCs w:val="22"/>
          <w:lang w:val="en-US"/>
        </w:rPr>
        <w:t xml:space="preserve"> 3</w:t>
      </w:r>
      <w:r w:rsidR="006627CA">
        <w:rPr>
          <w:rFonts w:cs="Arial"/>
          <w:bCs/>
          <w:szCs w:val="22"/>
          <w:lang w:val="en-US"/>
        </w:rPr>
        <w:t>0</w:t>
      </w:r>
      <w:r w:rsidR="004C4672" w:rsidRPr="007373D9">
        <w:rPr>
          <w:rFonts w:cs="Arial"/>
          <w:bCs/>
          <w:szCs w:val="22"/>
          <w:lang w:val="en-US"/>
        </w:rPr>
        <w:t xml:space="preserve"> </w:t>
      </w:r>
      <w:r w:rsidR="006627CA">
        <w:rPr>
          <w:rFonts w:cs="Arial"/>
          <w:bCs/>
          <w:szCs w:val="22"/>
          <w:lang w:val="en-US"/>
        </w:rPr>
        <w:t>November</w:t>
      </w:r>
      <w:r w:rsidR="004C4672" w:rsidRPr="007373D9">
        <w:rPr>
          <w:rFonts w:cs="Arial"/>
          <w:bCs/>
          <w:szCs w:val="22"/>
          <w:lang w:val="en-US"/>
        </w:rPr>
        <w:t xml:space="preserve"> 202</w:t>
      </w:r>
      <w:r w:rsidR="006627CA">
        <w:rPr>
          <w:rFonts w:cs="Arial"/>
          <w:bCs/>
          <w:szCs w:val="22"/>
          <w:lang w:val="en-US"/>
        </w:rPr>
        <w:t>3</w:t>
      </w:r>
      <w:r w:rsidR="003C24B4">
        <w:rPr>
          <w:rFonts w:cs="Arial"/>
          <w:bCs/>
          <w:szCs w:val="22"/>
          <w:lang w:val="en-US"/>
        </w:rPr>
        <w:t>; and</w:t>
      </w:r>
    </w:p>
    <w:p w14:paraId="3AB792E8" w14:textId="5C00A71C" w:rsidR="004C4672" w:rsidRDefault="000E7010" w:rsidP="000E7010">
      <w:pPr>
        <w:widowControl w:val="0"/>
        <w:tabs>
          <w:tab w:val="left" w:pos="1418"/>
        </w:tabs>
        <w:spacing w:before="480" w:after="480" w:line="360" w:lineRule="auto"/>
        <w:ind w:left="1418" w:hanging="851"/>
        <w:jc w:val="both"/>
        <w:rPr>
          <w:rFonts w:cs="Arial"/>
          <w:bCs/>
          <w:szCs w:val="22"/>
        </w:rPr>
      </w:pPr>
      <w:r>
        <w:rPr>
          <w:rFonts w:cs="Arial"/>
          <w:bCs/>
          <w:szCs w:val="22"/>
        </w:rPr>
        <w:t>20.2</w:t>
      </w:r>
      <w:r>
        <w:rPr>
          <w:rFonts w:cs="Arial"/>
          <w:bCs/>
          <w:szCs w:val="22"/>
        </w:rPr>
        <w:tab/>
      </w:r>
      <w:r w:rsidR="00876490">
        <w:rPr>
          <w:rFonts w:cs="Arial"/>
          <w:bCs/>
          <w:szCs w:val="22"/>
          <w:lang w:val="en-US"/>
        </w:rPr>
        <w:t>i</w:t>
      </w:r>
      <w:r w:rsidR="008B1F25">
        <w:rPr>
          <w:rFonts w:cs="Arial"/>
          <w:bCs/>
          <w:szCs w:val="22"/>
          <w:lang w:val="en-US"/>
        </w:rPr>
        <w:t xml:space="preserve">n </w:t>
      </w:r>
      <w:r w:rsidR="00876490">
        <w:rPr>
          <w:rFonts w:cs="Arial"/>
          <w:bCs/>
          <w:szCs w:val="22"/>
          <w:lang w:val="en-US"/>
        </w:rPr>
        <w:t>terms of section 4(8)(b), the date on which an eviction order may be carried out if the appellant has not vacated the property on the date contemplated in paragraph 20.1</w:t>
      </w:r>
      <w:r w:rsidR="00726CFE">
        <w:rPr>
          <w:rFonts w:cs="Arial"/>
          <w:bCs/>
          <w:szCs w:val="22"/>
          <w:lang w:val="en-US"/>
        </w:rPr>
        <w:t xml:space="preserve"> is 15 December 2023</w:t>
      </w:r>
      <w:r w:rsidR="004C4672" w:rsidRPr="007373D9">
        <w:rPr>
          <w:rFonts w:cs="Arial"/>
          <w:bCs/>
          <w:szCs w:val="22"/>
          <w:lang w:val="en-US"/>
        </w:rPr>
        <w:t>.</w:t>
      </w:r>
    </w:p>
    <w:p w14:paraId="2F8BB336" w14:textId="727DB7CA" w:rsidR="004C4672" w:rsidRPr="009623DA" w:rsidRDefault="000E7010" w:rsidP="000E7010">
      <w:pPr>
        <w:widowControl w:val="0"/>
        <w:tabs>
          <w:tab w:val="left" w:pos="567"/>
        </w:tabs>
        <w:spacing w:before="480" w:after="480" w:line="360" w:lineRule="auto"/>
        <w:jc w:val="both"/>
        <w:rPr>
          <w:rFonts w:cs="Arial"/>
          <w:bCs/>
          <w:szCs w:val="22"/>
        </w:rPr>
      </w:pPr>
      <w:r w:rsidRPr="009623DA">
        <w:rPr>
          <w:rFonts w:cs="Arial"/>
          <w:bCs/>
          <w:szCs w:val="22"/>
        </w:rPr>
        <w:t>[21]</w:t>
      </w:r>
      <w:r w:rsidRPr="009623DA">
        <w:rPr>
          <w:rFonts w:cs="Arial"/>
          <w:bCs/>
          <w:szCs w:val="22"/>
        </w:rPr>
        <w:tab/>
      </w:r>
      <w:r w:rsidR="004C4672" w:rsidRPr="009623DA">
        <w:rPr>
          <w:rFonts w:cs="Arial"/>
          <w:bCs/>
          <w:szCs w:val="22"/>
        </w:rPr>
        <w:t>For the reasons set out above I make the order in paragraph 1.</w:t>
      </w:r>
    </w:p>
    <w:p w14:paraId="3E6BA7DA" w14:textId="43133B0D" w:rsidR="00AE287F" w:rsidRPr="0006604F" w:rsidRDefault="00AE287F" w:rsidP="006C43D7">
      <w:pPr>
        <w:tabs>
          <w:tab w:val="right" w:pos="0"/>
        </w:tabs>
        <w:spacing w:line="360" w:lineRule="auto"/>
        <w:contextualSpacing/>
        <w:jc w:val="right"/>
        <w:rPr>
          <w:rFonts w:cs="Arial"/>
          <w:b/>
          <w:szCs w:val="22"/>
        </w:rPr>
      </w:pPr>
    </w:p>
    <w:p w14:paraId="53CD27EE" w14:textId="672559CF" w:rsidR="00AE287F" w:rsidRPr="0006604F" w:rsidRDefault="00A649E6" w:rsidP="006C43D7">
      <w:pPr>
        <w:tabs>
          <w:tab w:val="right" w:pos="0"/>
        </w:tabs>
        <w:spacing w:line="360" w:lineRule="auto"/>
        <w:contextualSpacing/>
        <w:jc w:val="right"/>
        <w:rPr>
          <w:rFonts w:cs="Arial"/>
          <w:b/>
          <w:szCs w:val="22"/>
        </w:rPr>
      </w:pPr>
      <w:r w:rsidRPr="0006604F">
        <w:rPr>
          <w:rFonts w:cs="Arial"/>
          <w:b/>
          <w:szCs w:val="22"/>
        </w:rPr>
        <w:t>______________</w:t>
      </w:r>
    </w:p>
    <w:p w14:paraId="0CCB9BFE" w14:textId="7ABE564D" w:rsidR="006C43D7" w:rsidRPr="0006604F" w:rsidRDefault="00C676F3" w:rsidP="006C43D7">
      <w:pPr>
        <w:tabs>
          <w:tab w:val="right" w:pos="0"/>
        </w:tabs>
        <w:spacing w:line="360" w:lineRule="auto"/>
        <w:contextualSpacing/>
        <w:jc w:val="right"/>
        <w:rPr>
          <w:rFonts w:cs="Arial"/>
          <w:b/>
          <w:szCs w:val="22"/>
        </w:rPr>
      </w:pPr>
      <w:r w:rsidRPr="0006604F">
        <w:rPr>
          <w:rFonts w:cs="Arial"/>
          <w:b/>
          <w:szCs w:val="22"/>
        </w:rPr>
        <w:t>J MOORCROFT</w:t>
      </w:r>
    </w:p>
    <w:p w14:paraId="7A2C1059" w14:textId="77777777" w:rsidR="006C43D7" w:rsidRPr="0006604F" w:rsidRDefault="006C43D7" w:rsidP="006C43D7">
      <w:pPr>
        <w:tabs>
          <w:tab w:val="right" w:pos="0"/>
        </w:tabs>
        <w:spacing w:line="360" w:lineRule="auto"/>
        <w:contextualSpacing/>
        <w:jc w:val="right"/>
        <w:rPr>
          <w:rFonts w:cs="Arial"/>
          <w:b/>
          <w:szCs w:val="22"/>
        </w:rPr>
      </w:pPr>
      <w:r w:rsidRPr="0006604F">
        <w:rPr>
          <w:rFonts w:cs="Arial"/>
          <w:b/>
          <w:szCs w:val="22"/>
        </w:rPr>
        <w:t>ACTING JUDGE OF THE HIGH COURT OF SOUTH AFRICA</w:t>
      </w:r>
    </w:p>
    <w:p w14:paraId="077C2590" w14:textId="7452355B" w:rsidR="006C43D7" w:rsidRPr="0006604F" w:rsidRDefault="006C43D7" w:rsidP="006C43D7">
      <w:pPr>
        <w:tabs>
          <w:tab w:val="right" w:pos="0"/>
          <w:tab w:val="left" w:pos="4253"/>
        </w:tabs>
        <w:spacing w:line="360" w:lineRule="auto"/>
        <w:contextualSpacing/>
        <w:jc w:val="right"/>
        <w:rPr>
          <w:rFonts w:cs="Arial"/>
          <w:b/>
          <w:szCs w:val="22"/>
        </w:rPr>
      </w:pPr>
      <w:r w:rsidRPr="0006604F">
        <w:rPr>
          <w:rFonts w:cs="Arial"/>
          <w:b/>
          <w:szCs w:val="22"/>
        </w:rPr>
        <w:t>GAUTENG DIVISION</w:t>
      </w:r>
    </w:p>
    <w:p w14:paraId="40B9C946" w14:textId="77777777" w:rsidR="006C43D7" w:rsidRPr="0006604F" w:rsidRDefault="006C43D7" w:rsidP="006C43D7">
      <w:pPr>
        <w:tabs>
          <w:tab w:val="right" w:pos="0"/>
          <w:tab w:val="left" w:pos="4253"/>
        </w:tabs>
        <w:spacing w:line="360" w:lineRule="auto"/>
        <w:contextualSpacing/>
        <w:jc w:val="right"/>
        <w:rPr>
          <w:rFonts w:cs="Arial"/>
          <w:b/>
          <w:szCs w:val="22"/>
        </w:rPr>
      </w:pPr>
      <w:r w:rsidRPr="0006604F">
        <w:rPr>
          <w:rFonts w:cs="Arial"/>
          <w:b/>
          <w:szCs w:val="22"/>
        </w:rPr>
        <w:t>JOHANNESBURG</w:t>
      </w:r>
    </w:p>
    <w:p w14:paraId="74BDEF01" w14:textId="77777777" w:rsidR="004773E8" w:rsidRDefault="004773E8" w:rsidP="004773E8">
      <w:pPr>
        <w:tabs>
          <w:tab w:val="right" w:pos="0"/>
          <w:tab w:val="left" w:pos="4253"/>
        </w:tabs>
        <w:spacing w:line="360" w:lineRule="auto"/>
        <w:contextualSpacing/>
        <w:rPr>
          <w:rFonts w:cs="Arial"/>
          <w:bCs/>
          <w:szCs w:val="22"/>
        </w:rPr>
      </w:pPr>
    </w:p>
    <w:p w14:paraId="14B3F1C6" w14:textId="77777777" w:rsidR="004773E8" w:rsidRDefault="004773E8" w:rsidP="004773E8">
      <w:pPr>
        <w:tabs>
          <w:tab w:val="right" w:pos="0"/>
          <w:tab w:val="left" w:pos="4253"/>
        </w:tabs>
        <w:spacing w:line="360" w:lineRule="auto"/>
        <w:contextualSpacing/>
        <w:rPr>
          <w:rFonts w:cs="Arial"/>
          <w:bCs/>
          <w:szCs w:val="22"/>
        </w:rPr>
      </w:pPr>
    </w:p>
    <w:p w14:paraId="3C27F7E8" w14:textId="77777777" w:rsidR="00BE0DF5" w:rsidRDefault="00BE0DF5">
      <w:pPr>
        <w:rPr>
          <w:rFonts w:cs="Arial"/>
          <w:bCs/>
          <w:szCs w:val="22"/>
        </w:rPr>
      </w:pPr>
      <w:r>
        <w:rPr>
          <w:rFonts w:cs="Arial"/>
          <w:bCs/>
          <w:szCs w:val="22"/>
        </w:rPr>
        <w:br w:type="page"/>
      </w:r>
    </w:p>
    <w:p w14:paraId="326B529B" w14:textId="2AD4AE1A" w:rsidR="006C43D7" w:rsidRPr="004773E8" w:rsidRDefault="004773E8" w:rsidP="004773E8">
      <w:pPr>
        <w:tabs>
          <w:tab w:val="right" w:pos="0"/>
          <w:tab w:val="left" w:pos="4253"/>
        </w:tabs>
        <w:spacing w:line="360" w:lineRule="auto"/>
        <w:contextualSpacing/>
        <w:rPr>
          <w:rFonts w:cs="Arial"/>
          <w:bCs/>
          <w:szCs w:val="22"/>
        </w:rPr>
      </w:pPr>
      <w:r w:rsidRPr="004773E8">
        <w:rPr>
          <w:rFonts w:cs="Arial"/>
          <w:bCs/>
          <w:szCs w:val="22"/>
        </w:rPr>
        <w:lastRenderedPageBreak/>
        <w:t>I agree and it is so ordered</w:t>
      </w:r>
    </w:p>
    <w:p w14:paraId="3E5C0A3B" w14:textId="77777777" w:rsidR="00C14800" w:rsidRDefault="00C14800" w:rsidP="006C43D7">
      <w:pPr>
        <w:tabs>
          <w:tab w:val="right" w:pos="0"/>
          <w:tab w:val="left" w:pos="4253"/>
        </w:tabs>
        <w:spacing w:line="360" w:lineRule="auto"/>
        <w:contextualSpacing/>
        <w:jc w:val="center"/>
        <w:rPr>
          <w:rFonts w:cs="Arial"/>
          <w:b/>
          <w:szCs w:val="22"/>
        </w:rPr>
      </w:pPr>
    </w:p>
    <w:p w14:paraId="1CE26563" w14:textId="77777777" w:rsidR="004773E8" w:rsidRDefault="004773E8" w:rsidP="006E6B4A">
      <w:pPr>
        <w:tabs>
          <w:tab w:val="right" w:pos="0"/>
        </w:tabs>
        <w:spacing w:line="360" w:lineRule="auto"/>
        <w:contextualSpacing/>
        <w:jc w:val="right"/>
        <w:rPr>
          <w:rFonts w:cs="Arial"/>
          <w:b/>
          <w:szCs w:val="22"/>
        </w:rPr>
      </w:pPr>
      <w:r>
        <w:rPr>
          <w:rFonts w:cs="Arial"/>
          <w:b/>
          <w:szCs w:val="22"/>
        </w:rPr>
        <w:t>____________</w:t>
      </w:r>
    </w:p>
    <w:p w14:paraId="20E0103F" w14:textId="30753E43" w:rsidR="00C14800" w:rsidRPr="0006604F" w:rsidRDefault="006E6B4A" w:rsidP="006E6B4A">
      <w:pPr>
        <w:tabs>
          <w:tab w:val="right" w:pos="0"/>
        </w:tabs>
        <w:spacing w:line="360" w:lineRule="auto"/>
        <w:contextualSpacing/>
        <w:jc w:val="right"/>
        <w:rPr>
          <w:rFonts w:cs="Arial"/>
          <w:b/>
          <w:szCs w:val="22"/>
        </w:rPr>
      </w:pPr>
      <w:r>
        <w:rPr>
          <w:rFonts w:cs="Arial"/>
          <w:b/>
          <w:szCs w:val="22"/>
        </w:rPr>
        <w:t>A DODSON</w:t>
      </w:r>
    </w:p>
    <w:p w14:paraId="4EDBFE8D" w14:textId="77777777" w:rsidR="00C14800" w:rsidRPr="0006604F" w:rsidRDefault="00C14800" w:rsidP="00C14800">
      <w:pPr>
        <w:tabs>
          <w:tab w:val="right" w:pos="0"/>
        </w:tabs>
        <w:spacing w:line="360" w:lineRule="auto"/>
        <w:contextualSpacing/>
        <w:jc w:val="right"/>
        <w:rPr>
          <w:rFonts w:cs="Arial"/>
          <w:b/>
          <w:szCs w:val="22"/>
        </w:rPr>
      </w:pPr>
      <w:r w:rsidRPr="0006604F">
        <w:rPr>
          <w:rFonts w:cs="Arial"/>
          <w:b/>
          <w:szCs w:val="22"/>
        </w:rPr>
        <w:t>ACTING JUDGE OF THE HIGH COURT OF SOUTH AFRICA</w:t>
      </w:r>
    </w:p>
    <w:p w14:paraId="68C153DE" w14:textId="77777777" w:rsidR="00C14800" w:rsidRPr="0006604F" w:rsidRDefault="00C14800" w:rsidP="00C14800">
      <w:pPr>
        <w:tabs>
          <w:tab w:val="right" w:pos="0"/>
          <w:tab w:val="left" w:pos="4253"/>
        </w:tabs>
        <w:spacing w:line="360" w:lineRule="auto"/>
        <w:contextualSpacing/>
        <w:jc w:val="right"/>
        <w:rPr>
          <w:rFonts w:cs="Arial"/>
          <w:b/>
          <w:szCs w:val="22"/>
        </w:rPr>
      </w:pPr>
      <w:r w:rsidRPr="0006604F">
        <w:rPr>
          <w:rFonts w:cs="Arial"/>
          <w:b/>
          <w:szCs w:val="22"/>
        </w:rPr>
        <w:t>GAUTENG DIVISION</w:t>
      </w:r>
    </w:p>
    <w:p w14:paraId="5BBB5406" w14:textId="77777777" w:rsidR="00C14800" w:rsidRPr="0006604F" w:rsidRDefault="00C14800" w:rsidP="00C14800">
      <w:pPr>
        <w:tabs>
          <w:tab w:val="right" w:pos="0"/>
          <w:tab w:val="left" w:pos="4253"/>
        </w:tabs>
        <w:spacing w:line="360" w:lineRule="auto"/>
        <w:contextualSpacing/>
        <w:jc w:val="right"/>
        <w:rPr>
          <w:rFonts w:cs="Arial"/>
          <w:b/>
          <w:szCs w:val="22"/>
        </w:rPr>
      </w:pPr>
      <w:r w:rsidRPr="0006604F">
        <w:rPr>
          <w:rFonts w:cs="Arial"/>
          <w:b/>
          <w:szCs w:val="22"/>
        </w:rPr>
        <w:t>JOHANNESBURG</w:t>
      </w:r>
    </w:p>
    <w:p w14:paraId="077A71E9" w14:textId="77777777" w:rsidR="00C14800" w:rsidRPr="0006604F" w:rsidRDefault="00C14800" w:rsidP="006C43D7">
      <w:pPr>
        <w:tabs>
          <w:tab w:val="right" w:pos="0"/>
          <w:tab w:val="left" w:pos="4253"/>
        </w:tabs>
        <w:spacing w:line="360" w:lineRule="auto"/>
        <w:contextualSpacing/>
        <w:jc w:val="center"/>
        <w:rPr>
          <w:rFonts w:cs="Arial"/>
          <w:b/>
          <w:szCs w:val="22"/>
        </w:rPr>
      </w:pPr>
    </w:p>
    <w:p w14:paraId="307099AF" w14:textId="0D14CB51" w:rsidR="004773E8" w:rsidRDefault="006C43D7" w:rsidP="00BE0DF5">
      <w:pPr>
        <w:spacing w:after="200" w:line="480" w:lineRule="auto"/>
        <w:contextualSpacing/>
        <w:jc w:val="right"/>
        <w:rPr>
          <w:rFonts w:eastAsia="Arial Unicode MS" w:cs="Arial"/>
          <w:bCs/>
          <w:szCs w:val="22"/>
        </w:rPr>
      </w:pPr>
      <w:r w:rsidRPr="0006604F">
        <w:rPr>
          <w:rFonts w:cs="Arial"/>
          <w:b/>
          <w:i/>
          <w:iCs/>
          <w:szCs w:val="22"/>
        </w:rPr>
        <w:t>Electronically submitted</w:t>
      </w:r>
    </w:p>
    <w:p w14:paraId="51C686CA" w14:textId="564F049B" w:rsidR="006C43D7" w:rsidRPr="0006604F" w:rsidRDefault="006C43D7" w:rsidP="006C43D7">
      <w:pPr>
        <w:spacing w:after="200" w:line="360" w:lineRule="auto"/>
        <w:contextualSpacing/>
        <w:jc w:val="both"/>
        <w:rPr>
          <w:rFonts w:eastAsia="Arial Unicode MS" w:cs="Arial"/>
          <w:bCs/>
          <w:szCs w:val="22"/>
        </w:rPr>
      </w:pPr>
      <w:r w:rsidRPr="0006604F">
        <w:rPr>
          <w:rFonts w:eastAsia="Arial Unicode MS" w:cs="Arial"/>
          <w:bCs/>
          <w:szCs w:val="22"/>
        </w:rPr>
        <w:t>Delivered: This judgement was prepared and authored by the Acting Judge</w:t>
      </w:r>
      <w:r w:rsidR="00C14800">
        <w:rPr>
          <w:rFonts w:eastAsia="Arial Unicode MS" w:cs="Arial"/>
          <w:bCs/>
          <w:szCs w:val="22"/>
        </w:rPr>
        <w:t>s</w:t>
      </w:r>
      <w:r w:rsidRPr="0006604F">
        <w:rPr>
          <w:rFonts w:eastAsia="Arial Unicode MS" w:cs="Arial"/>
          <w:bCs/>
          <w:szCs w:val="22"/>
        </w:rPr>
        <w:t xml:space="preserve"> whose name</w:t>
      </w:r>
      <w:r w:rsidR="00C14800">
        <w:rPr>
          <w:rFonts w:eastAsia="Arial Unicode MS" w:cs="Arial"/>
          <w:bCs/>
          <w:szCs w:val="22"/>
        </w:rPr>
        <w:t>s</w:t>
      </w:r>
      <w:r w:rsidRPr="0006604F">
        <w:rPr>
          <w:rFonts w:eastAsia="Arial Unicode MS" w:cs="Arial"/>
          <w:bCs/>
          <w:szCs w:val="22"/>
        </w:rPr>
        <w:t xml:space="preserve"> </w:t>
      </w:r>
      <w:r w:rsidR="00C14800">
        <w:rPr>
          <w:rFonts w:eastAsia="Arial Unicode MS" w:cs="Arial"/>
          <w:bCs/>
          <w:szCs w:val="22"/>
        </w:rPr>
        <w:t>are</w:t>
      </w:r>
      <w:r w:rsidRPr="0006604F">
        <w:rPr>
          <w:rFonts w:eastAsia="Arial Unicode MS" w:cs="Arial"/>
          <w:bCs/>
          <w:szCs w:val="22"/>
        </w:rPr>
        <w:t xml:space="preserve"> reflected and is handed down electronically by circulation to the Parties / their legal representatives by email and by uploading it to the electronic file of this matter on CaseLines. The date of the judgment is deemed to be</w:t>
      </w:r>
      <w:r w:rsidR="006E6B4A">
        <w:rPr>
          <w:rFonts w:eastAsia="Arial Unicode MS" w:cs="Arial"/>
          <w:bCs/>
          <w:szCs w:val="22"/>
        </w:rPr>
        <w:t xml:space="preserve">      </w:t>
      </w:r>
      <w:r w:rsidR="006E6B4A" w:rsidRPr="006E6B4A">
        <w:rPr>
          <w:rFonts w:eastAsia="Arial Unicode MS" w:cs="Arial"/>
          <w:b/>
          <w:szCs w:val="22"/>
        </w:rPr>
        <w:t xml:space="preserve">AUGUST </w:t>
      </w:r>
      <w:r w:rsidR="00237FF9" w:rsidRPr="006E6B4A">
        <w:rPr>
          <w:rFonts w:eastAsia="Arial Unicode MS" w:cs="Arial"/>
          <w:b/>
          <w:szCs w:val="22"/>
        </w:rPr>
        <w:t>202</w:t>
      </w:r>
      <w:r w:rsidR="00051A2B" w:rsidRPr="006E6B4A">
        <w:rPr>
          <w:rFonts w:eastAsia="Arial Unicode MS" w:cs="Arial"/>
          <w:b/>
          <w:szCs w:val="22"/>
        </w:rPr>
        <w:t>3</w:t>
      </w:r>
    </w:p>
    <w:p w14:paraId="482DDF6E" w14:textId="77777777" w:rsidR="006C43D7" w:rsidRPr="0006604F" w:rsidRDefault="006C43D7" w:rsidP="006C43D7">
      <w:pPr>
        <w:tabs>
          <w:tab w:val="right" w:pos="0"/>
          <w:tab w:val="left" w:pos="4253"/>
        </w:tabs>
        <w:spacing w:line="360" w:lineRule="auto"/>
        <w:contextualSpacing/>
        <w:jc w:val="center"/>
        <w:rPr>
          <w:rFonts w:cs="Arial"/>
          <w:b/>
          <w:szCs w:val="22"/>
        </w:rPr>
      </w:pPr>
    </w:p>
    <w:tbl>
      <w:tblPr>
        <w:tblStyle w:val="TableGrid"/>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410"/>
      </w:tblGrid>
      <w:tr w:rsidR="009D35B5" w:rsidRPr="0006604F" w14:paraId="493AF0D7" w14:textId="77777777" w:rsidTr="004773E8">
        <w:tc>
          <w:tcPr>
            <w:tcW w:w="5670" w:type="dxa"/>
          </w:tcPr>
          <w:p w14:paraId="6A05541A" w14:textId="116A4B21" w:rsidR="009D35B5" w:rsidRPr="0006604F" w:rsidRDefault="003F0422" w:rsidP="006C49F6">
            <w:pPr>
              <w:tabs>
                <w:tab w:val="right" w:pos="0"/>
                <w:tab w:val="left" w:pos="4253"/>
              </w:tabs>
              <w:spacing w:before="120" w:after="120"/>
              <w:rPr>
                <w:rFonts w:cs="Arial"/>
                <w:szCs w:val="22"/>
              </w:rPr>
            </w:pPr>
            <w:r>
              <w:rPr>
                <w:rFonts w:cs="Arial"/>
                <w:szCs w:val="22"/>
              </w:rPr>
              <w:t xml:space="preserve">APPEARANCE </w:t>
            </w:r>
            <w:r w:rsidR="009D35B5" w:rsidRPr="0006604F">
              <w:rPr>
                <w:rFonts w:cs="Arial"/>
                <w:szCs w:val="22"/>
              </w:rPr>
              <w:t xml:space="preserve"> FOR </w:t>
            </w:r>
            <w:r w:rsidR="004773E8">
              <w:rPr>
                <w:rFonts w:cs="Arial"/>
                <w:szCs w:val="22"/>
              </w:rPr>
              <w:t>A</w:t>
            </w:r>
            <w:r w:rsidR="007B7F16">
              <w:rPr>
                <w:rFonts w:cs="Arial"/>
                <w:szCs w:val="22"/>
              </w:rPr>
              <w:t>PPELLANT</w:t>
            </w:r>
            <w:r w:rsidR="009D35B5" w:rsidRPr="0006604F">
              <w:rPr>
                <w:rFonts w:cs="Arial"/>
                <w:szCs w:val="22"/>
              </w:rPr>
              <w:t>:</w:t>
            </w:r>
          </w:p>
        </w:tc>
        <w:tc>
          <w:tcPr>
            <w:tcW w:w="2410" w:type="dxa"/>
          </w:tcPr>
          <w:p w14:paraId="69785AA9" w14:textId="6C4F46F1" w:rsidR="00DC6EF8" w:rsidRPr="0006604F" w:rsidRDefault="003F0422" w:rsidP="006C49F6">
            <w:pPr>
              <w:tabs>
                <w:tab w:val="right" w:pos="0"/>
                <w:tab w:val="left" w:pos="567"/>
                <w:tab w:val="right" w:pos="2727"/>
                <w:tab w:val="left" w:pos="4253"/>
              </w:tabs>
              <w:spacing w:before="120" w:after="120"/>
              <w:jc w:val="right"/>
              <w:rPr>
                <w:rFonts w:cs="Arial"/>
                <w:szCs w:val="22"/>
              </w:rPr>
            </w:pPr>
            <w:r>
              <w:rPr>
                <w:rFonts w:cs="Arial"/>
                <w:szCs w:val="22"/>
              </w:rPr>
              <w:t>IN PERSON</w:t>
            </w:r>
          </w:p>
        </w:tc>
      </w:tr>
      <w:tr w:rsidR="009D35B5" w:rsidRPr="0006604F" w14:paraId="183C176D" w14:textId="77777777" w:rsidTr="004773E8">
        <w:tc>
          <w:tcPr>
            <w:tcW w:w="5670" w:type="dxa"/>
          </w:tcPr>
          <w:p w14:paraId="75365413" w14:textId="481747BC" w:rsidR="009D35B5" w:rsidRPr="0006604F" w:rsidRDefault="009D35B5" w:rsidP="006C49F6">
            <w:pPr>
              <w:tabs>
                <w:tab w:val="right" w:pos="0"/>
                <w:tab w:val="left" w:pos="4253"/>
              </w:tabs>
              <w:spacing w:before="120" w:after="120"/>
              <w:rPr>
                <w:rFonts w:cs="Arial"/>
                <w:szCs w:val="22"/>
              </w:rPr>
            </w:pPr>
            <w:r w:rsidRPr="0006604F">
              <w:rPr>
                <w:rFonts w:cs="Arial"/>
                <w:szCs w:val="22"/>
              </w:rPr>
              <w:t>INSTRUCTED BY:</w:t>
            </w:r>
          </w:p>
        </w:tc>
        <w:tc>
          <w:tcPr>
            <w:tcW w:w="2410" w:type="dxa"/>
          </w:tcPr>
          <w:p w14:paraId="4044534A" w14:textId="38616C49" w:rsidR="00762178" w:rsidRPr="0006604F" w:rsidRDefault="003F0422" w:rsidP="006C49F6">
            <w:pPr>
              <w:tabs>
                <w:tab w:val="right" w:pos="0"/>
                <w:tab w:val="left" w:pos="4253"/>
              </w:tabs>
              <w:spacing w:before="120" w:after="120"/>
              <w:jc w:val="right"/>
              <w:rPr>
                <w:rFonts w:cs="Arial"/>
                <w:szCs w:val="22"/>
              </w:rPr>
            </w:pPr>
            <w:r>
              <w:rPr>
                <w:rFonts w:cs="Arial"/>
                <w:szCs w:val="22"/>
              </w:rPr>
              <w:t>-</w:t>
            </w:r>
          </w:p>
        </w:tc>
      </w:tr>
      <w:tr w:rsidR="009D35B5" w:rsidRPr="0006604F" w14:paraId="6E2BF966" w14:textId="77777777" w:rsidTr="004773E8">
        <w:tc>
          <w:tcPr>
            <w:tcW w:w="5670" w:type="dxa"/>
          </w:tcPr>
          <w:p w14:paraId="545B6665" w14:textId="457A189A" w:rsidR="009D35B5" w:rsidRPr="0006604F" w:rsidRDefault="009D35B5" w:rsidP="006C49F6">
            <w:pPr>
              <w:tabs>
                <w:tab w:val="right" w:pos="0"/>
                <w:tab w:val="left" w:pos="4253"/>
              </w:tabs>
              <w:spacing w:before="120" w:after="120"/>
              <w:rPr>
                <w:rFonts w:cs="Arial"/>
                <w:szCs w:val="22"/>
              </w:rPr>
            </w:pPr>
            <w:r w:rsidRPr="0006604F">
              <w:rPr>
                <w:rFonts w:cs="Arial"/>
                <w:szCs w:val="22"/>
              </w:rPr>
              <w:t xml:space="preserve">COUNSEL FOR </w:t>
            </w:r>
            <w:r w:rsidR="007B7F16">
              <w:rPr>
                <w:rFonts w:cs="Arial"/>
                <w:szCs w:val="22"/>
              </w:rPr>
              <w:t>RESPONDENT</w:t>
            </w:r>
            <w:r w:rsidRPr="0006604F">
              <w:rPr>
                <w:rFonts w:cs="Arial"/>
                <w:szCs w:val="22"/>
              </w:rPr>
              <w:t>:</w:t>
            </w:r>
          </w:p>
        </w:tc>
        <w:tc>
          <w:tcPr>
            <w:tcW w:w="2410" w:type="dxa"/>
          </w:tcPr>
          <w:p w14:paraId="51741A90" w14:textId="67577466" w:rsidR="009D35B5" w:rsidRPr="0006604F" w:rsidRDefault="003F0422" w:rsidP="006C49F6">
            <w:pPr>
              <w:tabs>
                <w:tab w:val="right" w:pos="0"/>
                <w:tab w:val="left" w:pos="4253"/>
              </w:tabs>
              <w:spacing w:before="120" w:after="120"/>
              <w:jc w:val="right"/>
              <w:rPr>
                <w:rFonts w:cs="Arial"/>
                <w:szCs w:val="22"/>
              </w:rPr>
            </w:pPr>
            <w:r>
              <w:rPr>
                <w:rFonts w:cs="Arial"/>
                <w:szCs w:val="22"/>
              </w:rPr>
              <w:t>H P WEST</w:t>
            </w:r>
          </w:p>
        </w:tc>
      </w:tr>
      <w:tr w:rsidR="009D35B5" w:rsidRPr="0006604F" w14:paraId="1EC4105A" w14:textId="77777777" w:rsidTr="004773E8">
        <w:tc>
          <w:tcPr>
            <w:tcW w:w="5670" w:type="dxa"/>
          </w:tcPr>
          <w:p w14:paraId="184EC2ED" w14:textId="1E42F28A" w:rsidR="009D35B5" w:rsidRPr="0006604F" w:rsidRDefault="009D35B5" w:rsidP="006C49F6">
            <w:pPr>
              <w:tabs>
                <w:tab w:val="right" w:pos="0"/>
                <w:tab w:val="left" w:pos="4253"/>
              </w:tabs>
              <w:spacing w:before="120" w:after="120"/>
              <w:rPr>
                <w:rFonts w:cs="Arial"/>
                <w:szCs w:val="22"/>
              </w:rPr>
            </w:pPr>
            <w:r w:rsidRPr="0006604F">
              <w:rPr>
                <w:rFonts w:cs="Arial"/>
                <w:szCs w:val="22"/>
              </w:rPr>
              <w:t>INSTRUCTED BY:</w:t>
            </w:r>
          </w:p>
        </w:tc>
        <w:tc>
          <w:tcPr>
            <w:tcW w:w="2410" w:type="dxa"/>
          </w:tcPr>
          <w:p w14:paraId="2098BE2A" w14:textId="75A3C5E0" w:rsidR="009D35B5" w:rsidRPr="0006604F" w:rsidRDefault="003F0422" w:rsidP="006C49F6">
            <w:pPr>
              <w:tabs>
                <w:tab w:val="right" w:pos="0"/>
                <w:tab w:val="left" w:pos="4253"/>
              </w:tabs>
              <w:spacing w:before="120" w:after="120"/>
              <w:jc w:val="right"/>
              <w:rPr>
                <w:rFonts w:cs="Arial"/>
                <w:szCs w:val="22"/>
              </w:rPr>
            </w:pPr>
            <w:r>
              <w:rPr>
                <w:rFonts w:cs="Arial"/>
                <w:szCs w:val="22"/>
              </w:rPr>
              <w:t>NOLANS INC</w:t>
            </w:r>
          </w:p>
        </w:tc>
      </w:tr>
      <w:tr w:rsidR="009D35B5" w:rsidRPr="0006604F" w14:paraId="2A3FE2B1" w14:textId="77777777" w:rsidTr="004773E8">
        <w:tc>
          <w:tcPr>
            <w:tcW w:w="5670" w:type="dxa"/>
          </w:tcPr>
          <w:p w14:paraId="0767D0FE" w14:textId="42E20F2C" w:rsidR="009D35B5" w:rsidRPr="0006604F" w:rsidRDefault="009D35B5" w:rsidP="006C49F6">
            <w:pPr>
              <w:tabs>
                <w:tab w:val="right" w:pos="0"/>
                <w:tab w:val="left" w:pos="4253"/>
              </w:tabs>
              <w:spacing w:before="120" w:after="120"/>
              <w:rPr>
                <w:rFonts w:cs="Arial"/>
                <w:szCs w:val="22"/>
              </w:rPr>
            </w:pPr>
            <w:r w:rsidRPr="0006604F">
              <w:rPr>
                <w:rFonts w:cs="Arial"/>
                <w:szCs w:val="22"/>
              </w:rPr>
              <w:t xml:space="preserve">DATE OF THE </w:t>
            </w:r>
            <w:r w:rsidR="007B7F16">
              <w:rPr>
                <w:rFonts w:cs="Arial"/>
                <w:szCs w:val="22"/>
              </w:rPr>
              <w:t>APPEAL</w:t>
            </w:r>
            <w:r w:rsidRPr="0006604F">
              <w:rPr>
                <w:rFonts w:cs="Arial"/>
                <w:szCs w:val="22"/>
              </w:rPr>
              <w:t>:</w:t>
            </w:r>
          </w:p>
        </w:tc>
        <w:tc>
          <w:tcPr>
            <w:tcW w:w="2410" w:type="dxa"/>
          </w:tcPr>
          <w:p w14:paraId="34C95147" w14:textId="582113F0" w:rsidR="009D35B5" w:rsidRPr="0006604F" w:rsidRDefault="003F0422" w:rsidP="006C49F6">
            <w:pPr>
              <w:tabs>
                <w:tab w:val="right" w:pos="0"/>
                <w:tab w:val="left" w:pos="4253"/>
              </w:tabs>
              <w:spacing w:before="120" w:after="120"/>
              <w:jc w:val="right"/>
              <w:rPr>
                <w:rFonts w:cs="Arial"/>
                <w:szCs w:val="22"/>
              </w:rPr>
            </w:pPr>
            <w:r>
              <w:rPr>
                <w:rFonts w:cs="Arial"/>
                <w:szCs w:val="22"/>
              </w:rPr>
              <w:t>1</w:t>
            </w:r>
            <w:r w:rsidR="007B7F16">
              <w:rPr>
                <w:rFonts w:cs="Arial"/>
                <w:szCs w:val="22"/>
              </w:rPr>
              <w:t xml:space="preserve"> AUGUST</w:t>
            </w:r>
            <w:r w:rsidR="006A7245" w:rsidRPr="0006604F">
              <w:rPr>
                <w:rFonts w:cs="Arial"/>
                <w:szCs w:val="22"/>
              </w:rPr>
              <w:t xml:space="preserve"> 2023</w:t>
            </w:r>
          </w:p>
        </w:tc>
      </w:tr>
      <w:tr w:rsidR="009D35B5" w:rsidRPr="0006604F" w14:paraId="757AA656" w14:textId="77777777" w:rsidTr="004773E8">
        <w:tc>
          <w:tcPr>
            <w:tcW w:w="5670" w:type="dxa"/>
          </w:tcPr>
          <w:p w14:paraId="05387251" w14:textId="5A778948" w:rsidR="009D35B5" w:rsidRPr="0006604F" w:rsidRDefault="009D35B5" w:rsidP="006C49F6">
            <w:pPr>
              <w:tabs>
                <w:tab w:val="right" w:pos="0"/>
                <w:tab w:val="left" w:pos="4253"/>
              </w:tabs>
              <w:spacing w:before="120" w:after="120"/>
              <w:rPr>
                <w:rFonts w:cs="Arial"/>
                <w:szCs w:val="22"/>
              </w:rPr>
            </w:pPr>
            <w:r w:rsidRPr="0006604F">
              <w:rPr>
                <w:rFonts w:cs="Arial"/>
                <w:szCs w:val="22"/>
              </w:rPr>
              <w:t>DATE OF JUDGMENT:</w:t>
            </w:r>
          </w:p>
        </w:tc>
        <w:tc>
          <w:tcPr>
            <w:tcW w:w="2410" w:type="dxa"/>
          </w:tcPr>
          <w:p w14:paraId="61863A62" w14:textId="074719C4" w:rsidR="009D35B5" w:rsidRPr="0006604F" w:rsidRDefault="003F0422" w:rsidP="006C49F6">
            <w:pPr>
              <w:tabs>
                <w:tab w:val="right" w:pos="0"/>
                <w:tab w:val="left" w:pos="4253"/>
              </w:tabs>
              <w:spacing w:before="120" w:after="120"/>
              <w:jc w:val="right"/>
              <w:rPr>
                <w:rFonts w:cs="Arial"/>
                <w:szCs w:val="22"/>
              </w:rPr>
            </w:pPr>
            <w:r>
              <w:rPr>
                <w:rFonts w:cs="Arial"/>
                <w:szCs w:val="22"/>
              </w:rPr>
              <w:t xml:space="preserve"> </w:t>
            </w:r>
            <w:r w:rsidR="007B7F16">
              <w:rPr>
                <w:rFonts w:cs="Arial"/>
                <w:szCs w:val="22"/>
              </w:rPr>
              <w:t>AUGUST</w:t>
            </w:r>
            <w:r w:rsidR="00051A2B" w:rsidRPr="0006604F">
              <w:rPr>
                <w:rFonts w:cs="Arial"/>
                <w:szCs w:val="22"/>
              </w:rPr>
              <w:t xml:space="preserve"> 2023</w:t>
            </w:r>
          </w:p>
        </w:tc>
      </w:tr>
    </w:tbl>
    <w:p w14:paraId="1BD8F4EB" w14:textId="24205645" w:rsidR="00A402F6" w:rsidRPr="0006604F" w:rsidRDefault="00A402F6" w:rsidP="00A402F6">
      <w:pPr>
        <w:tabs>
          <w:tab w:val="right" w:pos="8647"/>
        </w:tabs>
        <w:spacing w:line="360" w:lineRule="auto"/>
        <w:contextualSpacing/>
        <w:jc w:val="both"/>
        <w:rPr>
          <w:rFonts w:cs="Arial"/>
          <w:szCs w:val="22"/>
        </w:rPr>
      </w:pPr>
      <w:r w:rsidRPr="0006604F">
        <w:rPr>
          <w:rFonts w:cs="Arial"/>
          <w:szCs w:val="22"/>
        </w:rPr>
        <w:tab/>
      </w:r>
    </w:p>
    <w:sectPr w:rsidR="00A402F6" w:rsidRPr="0006604F"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48139" w14:textId="77777777" w:rsidR="00691E9A" w:rsidRDefault="00691E9A">
      <w:r>
        <w:separator/>
      </w:r>
    </w:p>
  </w:endnote>
  <w:endnote w:type="continuationSeparator" w:id="0">
    <w:p w14:paraId="25314A70" w14:textId="77777777" w:rsidR="00691E9A" w:rsidRDefault="0069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238E0" w14:textId="77777777" w:rsidR="00691E9A" w:rsidRDefault="00691E9A">
      <w:r>
        <w:separator/>
      </w:r>
    </w:p>
  </w:footnote>
  <w:footnote w:type="continuationSeparator" w:id="0">
    <w:p w14:paraId="1444526D" w14:textId="77777777" w:rsidR="00691E9A" w:rsidRDefault="00691E9A">
      <w:r>
        <w:continuationSeparator/>
      </w:r>
    </w:p>
  </w:footnote>
  <w:footnote w:id="1">
    <w:p w14:paraId="71B32197" w14:textId="025E30CF" w:rsidR="005A084B" w:rsidRDefault="005A084B">
      <w:pPr>
        <w:pStyle w:val="FootnoteText"/>
      </w:pPr>
      <w:r>
        <w:rPr>
          <w:rStyle w:val="FootnoteReference"/>
        </w:rPr>
        <w:footnoteRef/>
      </w:r>
      <w:r>
        <w:t xml:space="preserve"> </w:t>
      </w:r>
      <w:r>
        <w:tab/>
        <w:t xml:space="preserve">Compare </w:t>
      </w:r>
      <w:r w:rsidRPr="005A084B">
        <w:rPr>
          <w:i/>
          <w:iCs/>
        </w:rPr>
        <w:t>Ndlovu v Ngcobo; Bekker and Bosch v Jika</w:t>
      </w:r>
      <w:r>
        <w:t xml:space="preserve"> 2003 (1) SA 113 (SCA).</w:t>
      </w:r>
    </w:p>
  </w:footnote>
  <w:footnote w:id="2">
    <w:p w14:paraId="7754317B" w14:textId="40C355CB" w:rsidR="006E6B4A" w:rsidRDefault="006E6B4A">
      <w:pPr>
        <w:pStyle w:val="FootnoteText"/>
      </w:pPr>
      <w:r>
        <w:rPr>
          <w:rStyle w:val="FootnoteReference"/>
        </w:rPr>
        <w:footnoteRef/>
      </w:r>
      <w:r>
        <w:t xml:space="preserve"> </w:t>
      </w:r>
      <w:r>
        <w:tab/>
        <w:t>See section 25 of the Constitution.</w:t>
      </w:r>
    </w:p>
  </w:footnote>
  <w:footnote w:id="3">
    <w:p w14:paraId="4AA59088" w14:textId="666700C1" w:rsidR="005A084B" w:rsidRDefault="005A084B">
      <w:pPr>
        <w:pStyle w:val="FootnoteText"/>
      </w:pPr>
      <w:r>
        <w:rPr>
          <w:rStyle w:val="FootnoteReference"/>
        </w:rPr>
        <w:footnoteRef/>
      </w:r>
      <w:r>
        <w:t xml:space="preserve"> </w:t>
      </w:r>
      <w:r>
        <w:tab/>
      </w:r>
      <w:r w:rsidR="006138C4">
        <w:t xml:space="preserve">See </w:t>
      </w:r>
      <w:r w:rsidR="006138C4" w:rsidRPr="006138C4">
        <w:rPr>
          <w:i/>
          <w:iCs/>
        </w:rPr>
        <w:t>City of Johannesburg v Changing Tides 74 (Pty) Ltd</w:t>
      </w:r>
      <w:r w:rsidR="006138C4">
        <w:t xml:space="preserve"> 2012 (6) SA 294 (SCA) para 16.</w:t>
      </w:r>
    </w:p>
  </w:footnote>
  <w:footnote w:id="4">
    <w:p w14:paraId="31EE2133" w14:textId="2F5738FB" w:rsidR="00CE7459" w:rsidRDefault="00CE7459">
      <w:pPr>
        <w:pStyle w:val="FootnoteText"/>
      </w:pPr>
      <w:r>
        <w:rPr>
          <w:rStyle w:val="FootnoteReference"/>
        </w:rPr>
        <w:footnoteRef/>
      </w:r>
      <w:r>
        <w:t xml:space="preserve"> </w:t>
      </w:r>
      <w:r>
        <w:tab/>
        <w:t>Section 4(1) to (5) of the Act.</w:t>
      </w:r>
    </w:p>
  </w:footnote>
  <w:footnote w:id="5">
    <w:p w14:paraId="07013ADD" w14:textId="6191D802" w:rsidR="00211D8B" w:rsidRPr="005B3224" w:rsidRDefault="00211D8B">
      <w:pPr>
        <w:pStyle w:val="FootnoteText"/>
        <w:rPr>
          <w:i/>
          <w:iCs/>
          <w:lang w:val="en-US"/>
        </w:rPr>
      </w:pPr>
      <w:r>
        <w:rPr>
          <w:rStyle w:val="FootnoteReference"/>
        </w:rPr>
        <w:footnoteRef/>
      </w:r>
      <w:r>
        <w:t xml:space="preserve"> </w:t>
      </w:r>
      <w:r>
        <w:rPr>
          <w:lang w:val="en-US"/>
        </w:rPr>
        <w:tab/>
        <w:t xml:space="preserve">Primarily </w:t>
      </w:r>
      <w:r>
        <w:rPr>
          <w:i/>
          <w:iCs/>
          <w:lang w:val="en-US"/>
        </w:rPr>
        <w:t xml:space="preserve">City of Johannesburg v Changing Tides 74 (Pty) Ltd and Others </w:t>
      </w:r>
      <w:r w:rsidRPr="005B3224">
        <w:rPr>
          <w:lang w:val="en-US"/>
        </w:rPr>
        <w:t>2012 (6) SA 294 (SCA).</w:t>
      </w:r>
    </w:p>
  </w:footnote>
  <w:footnote w:id="6">
    <w:p w14:paraId="1D66EBCC" w14:textId="6CFE6ED5" w:rsidR="004C4672" w:rsidRDefault="004C4672" w:rsidP="004C4672">
      <w:pPr>
        <w:pStyle w:val="FootnoteText"/>
      </w:pPr>
      <w:r>
        <w:rPr>
          <w:rStyle w:val="FootnoteReference"/>
        </w:rPr>
        <w:footnoteRef/>
      </w:r>
      <w:r>
        <w:t xml:space="preserve"> </w:t>
      </w:r>
      <w:r>
        <w:tab/>
      </w:r>
      <w:r w:rsidRPr="00485A3C">
        <w:rPr>
          <w:i/>
          <w:iCs/>
        </w:rPr>
        <w:t>City of Johannesburg v Changing Tides 74 (Pty) Ltd and Others</w:t>
      </w:r>
      <w:r w:rsidRPr="00485A3C">
        <w:t xml:space="preserve"> </w:t>
      </w:r>
      <w:r w:rsidR="00C76669">
        <w:t xml:space="preserve">above </w:t>
      </w:r>
      <w:r>
        <w:t xml:space="preserve">para 25. See also </w:t>
      </w:r>
      <w:r w:rsidRPr="008157F7">
        <w:rPr>
          <w:i/>
          <w:iCs/>
        </w:rPr>
        <w:t>Dwele v Phalatse</w:t>
      </w:r>
      <w:r w:rsidRPr="008157F7">
        <w:t xml:space="preserve"> 2017 JDR 1035 (GJ)</w:t>
      </w:r>
      <w:r>
        <w:t xml:space="preserve"> para 20 and </w:t>
      </w:r>
      <w:r w:rsidRPr="00ED7A39">
        <w:rPr>
          <w:i/>
          <w:iCs/>
        </w:rPr>
        <w:t>Grobler v Phillips</w:t>
      </w:r>
      <w:r>
        <w:t xml:space="preserve"> [2022] ZACC 32 paras 22 to 39.</w:t>
      </w:r>
    </w:p>
  </w:footnote>
  <w:footnote w:id="7">
    <w:p w14:paraId="1070A809" w14:textId="77777777" w:rsidR="004C4672" w:rsidRDefault="004C4672" w:rsidP="004C4672">
      <w:pPr>
        <w:pStyle w:val="FootnoteText"/>
      </w:pPr>
      <w:r>
        <w:rPr>
          <w:rStyle w:val="FootnoteReference"/>
        </w:rPr>
        <w:footnoteRef/>
      </w:r>
      <w:r>
        <w:t xml:space="preserve"> </w:t>
      </w:r>
      <w:r>
        <w:tab/>
        <w:t>Section 4(8)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34C4AC94"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4A6961">
      <w:rPr>
        <w:rFonts w:cs="Arial"/>
        <w:noProof/>
        <w:sz w:val="20"/>
        <w:szCs w:val="20"/>
        <w:lang w:val="en-GB"/>
      </w:rPr>
      <w:t>2</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1"/>
  </w:num>
  <w:num w:numId="4">
    <w:abstractNumId w:val="5"/>
  </w:num>
  <w:num w:numId="5">
    <w:abstractNumId w:val="10"/>
  </w:num>
  <w:num w:numId="6">
    <w:abstractNumId w:val="8"/>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215B"/>
    <w:rsid w:val="00006113"/>
    <w:rsid w:val="00006E3B"/>
    <w:rsid w:val="0001111B"/>
    <w:rsid w:val="0001140A"/>
    <w:rsid w:val="00011522"/>
    <w:rsid w:val="00013B7F"/>
    <w:rsid w:val="00013F00"/>
    <w:rsid w:val="0001593E"/>
    <w:rsid w:val="00015D74"/>
    <w:rsid w:val="00022ACD"/>
    <w:rsid w:val="00024A29"/>
    <w:rsid w:val="000262B3"/>
    <w:rsid w:val="00030A89"/>
    <w:rsid w:val="000325E2"/>
    <w:rsid w:val="00036508"/>
    <w:rsid w:val="00047F26"/>
    <w:rsid w:val="00050086"/>
    <w:rsid w:val="000502BE"/>
    <w:rsid w:val="000504F1"/>
    <w:rsid w:val="00051A2B"/>
    <w:rsid w:val="00057BEA"/>
    <w:rsid w:val="00061288"/>
    <w:rsid w:val="0006253B"/>
    <w:rsid w:val="00063F7B"/>
    <w:rsid w:val="0006604F"/>
    <w:rsid w:val="00066971"/>
    <w:rsid w:val="000737E1"/>
    <w:rsid w:val="00073E30"/>
    <w:rsid w:val="00076C64"/>
    <w:rsid w:val="00081716"/>
    <w:rsid w:val="00082EDC"/>
    <w:rsid w:val="000833BB"/>
    <w:rsid w:val="00087AE6"/>
    <w:rsid w:val="00092591"/>
    <w:rsid w:val="0009429D"/>
    <w:rsid w:val="0009488C"/>
    <w:rsid w:val="0009540B"/>
    <w:rsid w:val="00097968"/>
    <w:rsid w:val="000A3626"/>
    <w:rsid w:val="000A6AD8"/>
    <w:rsid w:val="000A7A5B"/>
    <w:rsid w:val="000B21DA"/>
    <w:rsid w:val="000C0593"/>
    <w:rsid w:val="000C38AF"/>
    <w:rsid w:val="000D415C"/>
    <w:rsid w:val="000D5760"/>
    <w:rsid w:val="000D71C5"/>
    <w:rsid w:val="000D7D6A"/>
    <w:rsid w:val="000E1EC8"/>
    <w:rsid w:val="000E3EE8"/>
    <w:rsid w:val="000E5343"/>
    <w:rsid w:val="000E7010"/>
    <w:rsid w:val="000F59F8"/>
    <w:rsid w:val="00100F71"/>
    <w:rsid w:val="001025B5"/>
    <w:rsid w:val="00104142"/>
    <w:rsid w:val="00104F6B"/>
    <w:rsid w:val="00105F97"/>
    <w:rsid w:val="001142D1"/>
    <w:rsid w:val="00120C79"/>
    <w:rsid w:val="00120FB1"/>
    <w:rsid w:val="001219CC"/>
    <w:rsid w:val="00130253"/>
    <w:rsid w:val="00133E81"/>
    <w:rsid w:val="00140CED"/>
    <w:rsid w:val="00147FF5"/>
    <w:rsid w:val="00151DA9"/>
    <w:rsid w:val="00152899"/>
    <w:rsid w:val="00154961"/>
    <w:rsid w:val="00155A21"/>
    <w:rsid w:val="00161057"/>
    <w:rsid w:val="001671C1"/>
    <w:rsid w:val="00170AEE"/>
    <w:rsid w:val="00171182"/>
    <w:rsid w:val="0017124B"/>
    <w:rsid w:val="00171D7F"/>
    <w:rsid w:val="00172DDF"/>
    <w:rsid w:val="00180CB6"/>
    <w:rsid w:val="001838CC"/>
    <w:rsid w:val="00183EB6"/>
    <w:rsid w:val="00185ACF"/>
    <w:rsid w:val="00190579"/>
    <w:rsid w:val="001916C4"/>
    <w:rsid w:val="00192F78"/>
    <w:rsid w:val="00195810"/>
    <w:rsid w:val="00196E14"/>
    <w:rsid w:val="001A5145"/>
    <w:rsid w:val="001A522A"/>
    <w:rsid w:val="001A72B1"/>
    <w:rsid w:val="001A7904"/>
    <w:rsid w:val="001B1D39"/>
    <w:rsid w:val="001B4217"/>
    <w:rsid w:val="001B4893"/>
    <w:rsid w:val="001B5D3E"/>
    <w:rsid w:val="001B606B"/>
    <w:rsid w:val="001C0721"/>
    <w:rsid w:val="001C0755"/>
    <w:rsid w:val="001C2371"/>
    <w:rsid w:val="001C33E6"/>
    <w:rsid w:val="001C47DC"/>
    <w:rsid w:val="001C7048"/>
    <w:rsid w:val="001D0130"/>
    <w:rsid w:val="001D3CC2"/>
    <w:rsid w:val="001D72FA"/>
    <w:rsid w:val="001E2EED"/>
    <w:rsid w:val="001E4691"/>
    <w:rsid w:val="001E518E"/>
    <w:rsid w:val="001F0A29"/>
    <w:rsid w:val="001F3DBD"/>
    <w:rsid w:val="001F648A"/>
    <w:rsid w:val="00201620"/>
    <w:rsid w:val="00201DE8"/>
    <w:rsid w:val="0020474A"/>
    <w:rsid w:val="00205392"/>
    <w:rsid w:val="00206919"/>
    <w:rsid w:val="002104BF"/>
    <w:rsid w:val="002108B6"/>
    <w:rsid w:val="00211D8B"/>
    <w:rsid w:val="00215824"/>
    <w:rsid w:val="002168EA"/>
    <w:rsid w:val="00216BC8"/>
    <w:rsid w:val="002175BA"/>
    <w:rsid w:val="0022218D"/>
    <w:rsid w:val="00226926"/>
    <w:rsid w:val="002315A4"/>
    <w:rsid w:val="00232528"/>
    <w:rsid w:val="00235D20"/>
    <w:rsid w:val="0023713F"/>
    <w:rsid w:val="00237FF9"/>
    <w:rsid w:val="0024012B"/>
    <w:rsid w:val="00240412"/>
    <w:rsid w:val="002458BA"/>
    <w:rsid w:val="00250164"/>
    <w:rsid w:val="00251668"/>
    <w:rsid w:val="00251CBB"/>
    <w:rsid w:val="00253F38"/>
    <w:rsid w:val="00253F72"/>
    <w:rsid w:val="002625C5"/>
    <w:rsid w:val="00262819"/>
    <w:rsid w:val="0026489E"/>
    <w:rsid w:val="00284EE3"/>
    <w:rsid w:val="00285040"/>
    <w:rsid w:val="00285062"/>
    <w:rsid w:val="002854DA"/>
    <w:rsid w:val="002913AB"/>
    <w:rsid w:val="00293167"/>
    <w:rsid w:val="0029369B"/>
    <w:rsid w:val="00297352"/>
    <w:rsid w:val="002976B8"/>
    <w:rsid w:val="002A030C"/>
    <w:rsid w:val="002A4B7B"/>
    <w:rsid w:val="002C15AC"/>
    <w:rsid w:val="002C2E80"/>
    <w:rsid w:val="002C4687"/>
    <w:rsid w:val="002D2842"/>
    <w:rsid w:val="002D47B3"/>
    <w:rsid w:val="002E2698"/>
    <w:rsid w:val="002E3459"/>
    <w:rsid w:val="002E5B57"/>
    <w:rsid w:val="002E6CD7"/>
    <w:rsid w:val="002F1C4D"/>
    <w:rsid w:val="002F2881"/>
    <w:rsid w:val="002F508A"/>
    <w:rsid w:val="002F72D3"/>
    <w:rsid w:val="002F7AA1"/>
    <w:rsid w:val="00302290"/>
    <w:rsid w:val="00302C31"/>
    <w:rsid w:val="00303919"/>
    <w:rsid w:val="003047C2"/>
    <w:rsid w:val="0030653F"/>
    <w:rsid w:val="003102C8"/>
    <w:rsid w:val="0031117B"/>
    <w:rsid w:val="00312400"/>
    <w:rsid w:val="00312EBC"/>
    <w:rsid w:val="00313056"/>
    <w:rsid w:val="00321B4F"/>
    <w:rsid w:val="00327ADE"/>
    <w:rsid w:val="003312BF"/>
    <w:rsid w:val="003313A2"/>
    <w:rsid w:val="00337135"/>
    <w:rsid w:val="0034147B"/>
    <w:rsid w:val="00342E02"/>
    <w:rsid w:val="003463D6"/>
    <w:rsid w:val="00346D31"/>
    <w:rsid w:val="00346DE6"/>
    <w:rsid w:val="00347E19"/>
    <w:rsid w:val="003511F3"/>
    <w:rsid w:val="0035170A"/>
    <w:rsid w:val="003541F6"/>
    <w:rsid w:val="003543C5"/>
    <w:rsid w:val="00354EF2"/>
    <w:rsid w:val="00357081"/>
    <w:rsid w:val="00357D35"/>
    <w:rsid w:val="00362365"/>
    <w:rsid w:val="00363FCD"/>
    <w:rsid w:val="00364C43"/>
    <w:rsid w:val="00364E6A"/>
    <w:rsid w:val="00364E80"/>
    <w:rsid w:val="00366A98"/>
    <w:rsid w:val="003676CF"/>
    <w:rsid w:val="00367720"/>
    <w:rsid w:val="00367778"/>
    <w:rsid w:val="0037029D"/>
    <w:rsid w:val="00372A48"/>
    <w:rsid w:val="00373181"/>
    <w:rsid w:val="00377123"/>
    <w:rsid w:val="00381213"/>
    <w:rsid w:val="003832F7"/>
    <w:rsid w:val="003840EC"/>
    <w:rsid w:val="00390C3F"/>
    <w:rsid w:val="0039136D"/>
    <w:rsid w:val="00393127"/>
    <w:rsid w:val="00395873"/>
    <w:rsid w:val="003A7864"/>
    <w:rsid w:val="003B4100"/>
    <w:rsid w:val="003C1488"/>
    <w:rsid w:val="003C1A16"/>
    <w:rsid w:val="003C1E91"/>
    <w:rsid w:val="003C24B4"/>
    <w:rsid w:val="003C7FCC"/>
    <w:rsid w:val="003D19C3"/>
    <w:rsid w:val="003D36F9"/>
    <w:rsid w:val="003D72EE"/>
    <w:rsid w:val="003D77F1"/>
    <w:rsid w:val="003E2560"/>
    <w:rsid w:val="003E449A"/>
    <w:rsid w:val="003E4A33"/>
    <w:rsid w:val="003E724B"/>
    <w:rsid w:val="003E7A60"/>
    <w:rsid w:val="003F0422"/>
    <w:rsid w:val="003F1F49"/>
    <w:rsid w:val="003F211F"/>
    <w:rsid w:val="003F4801"/>
    <w:rsid w:val="003F7448"/>
    <w:rsid w:val="003F78AE"/>
    <w:rsid w:val="00407F28"/>
    <w:rsid w:val="0041100A"/>
    <w:rsid w:val="004131C5"/>
    <w:rsid w:val="00413D9B"/>
    <w:rsid w:val="0042423E"/>
    <w:rsid w:val="00424BA6"/>
    <w:rsid w:val="004339E6"/>
    <w:rsid w:val="0043596E"/>
    <w:rsid w:val="0043683A"/>
    <w:rsid w:val="00437EB1"/>
    <w:rsid w:val="00441422"/>
    <w:rsid w:val="00442BA1"/>
    <w:rsid w:val="00444ED6"/>
    <w:rsid w:val="00445DCB"/>
    <w:rsid w:val="0045044C"/>
    <w:rsid w:val="00454042"/>
    <w:rsid w:val="0046013C"/>
    <w:rsid w:val="00460495"/>
    <w:rsid w:val="00460EEA"/>
    <w:rsid w:val="00462873"/>
    <w:rsid w:val="004630B6"/>
    <w:rsid w:val="00463106"/>
    <w:rsid w:val="0047009B"/>
    <w:rsid w:val="00474607"/>
    <w:rsid w:val="00474910"/>
    <w:rsid w:val="004749AF"/>
    <w:rsid w:val="00475410"/>
    <w:rsid w:val="004773E8"/>
    <w:rsid w:val="004774FF"/>
    <w:rsid w:val="00484116"/>
    <w:rsid w:val="0048424E"/>
    <w:rsid w:val="0048680A"/>
    <w:rsid w:val="00486F42"/>
    <w:rsid w:val="00487D14"/>
    <w:rsid w:val="00495F7C"/>
    <w:rsid w:val="00497189"/>
    <w:rsid w:val="004A1E3F"/>
    <w:rsid w:val="004A2C7E"/>
    <w:rsid w:val="004A5DAD"/>
    <w:rsid w:val="004A6625"/>
    <w:rsid w:val="004A6961"/>
    <w:rsid w:val="004A69D6"/>
    <w:rsid w:val="004A7DFE"/>
    <w:rsid w:val="004B0DBA"/>
    <w:rsid w:val="004B21D9"/>
    <w:rsid w:val="004C0CE3"/>
    <w:rsid w:val="004C368B"/>
    <w:rsid w:val="004C4672"/>
    <w:rsid w:val="004D0C22"/>
    <w:rsid w:val="004D1A31"/>
    <w:rsid w:val="004D262A"/>
    <w:rsid w:val="004D2C6F"/>
    <w:rsid w:val="004D2E01"/>
    <w:rsid w:val="004D3237"/>
    <w:rsid w:val="004D4296"/>
    <w:rsid w:val="004D429C"/>
    <w:rsid w:val="004E0CFD"/>
    <w:rsid w:val="004E0F3F"/>
    <w:rsid w:val="004E3305"/>
    <w:rsid w:val="004E568C"/>
    <w:rsid w:val="004E5AD8"/>
    <w:rsid w:val="004F0806"/>
    <w:rsid w:val="004F12D8"/>
    <w:rsid w:val="004F22A6"/>
    <w:rsid w:val="004F4A37"/>
    <w:rsid w:val="004F4BBF"/>
    <w:rsid w:val="00504B53"/>
    <w:rsid w:val="00507499"/>
    <w:rsid w:val="0051015D"/>
    <w:rsid w:val="0051292D"/>
    <w:rsid w:val="0051442D"/>
    <w:rsid w:val="0051622D"/>
    <w:rsid w:val="005219EB"/>
    <w:rsid w:val="005262C2"/>
    <w:rsid w:val="0052705A"/>
    <w:rsid w:val="005360A5"/>
    <w:rsid w:val="00537A72"/>
    <w:rsid w:val="005401B9"/>
    <w:rsid w:val="005405F8"/>
    <w:rsid w:val="00546878"/>
    <w:rsid w:val="005509BE"/>
    <w:rsid w:val="00550D0B"/>
    <w:rsid w:val="00560E18"/>
    <w:rsid w:val="005621E7"/>
    <w:rsid w:val="005674A1"/>
    <w:rsid w:val="00571E81"/>
    <w:rsid w:val="00573FF9"/>
    <w:rsid w:val="00576B16"/>
    <w:rsid w:val="00581CCE"/>
    <w:rsid w:val="00594623"/>
    <w:rsid w:val="005949BC"/>
    <w:rsid w:val="005A084B"/>
    <w:rsid w:val="005A313A"/>
    <w:rsid w:val="005A35EB"/>
    <w:rsid w:val="005A680F"/>
    <w:rsid w:val="005A70F0"/>
    <w:rsid w:val="005B07CB"/>
    <w:rsid w:val="005B2FF9"/>
    <w:rsid w:val="005B3224"/>
    <w:rsid w:val="005B696E"/>
    <w:rsid w:val="005B6D81"/>
    <w:rsid w:val="005B7767"/>
    <w:rsid w:val="005B7DD3"/>
    <w:rsid w:val="005C7FC2"/>
    <w:rsid w:val="005D1F92"/>
    <w:rsid w:val="005D2408"/>
    <w:rsid w:val="005D6122"/>
    <w:rsid w:val="005D6BCD"/>
    <w:rsid w:val="005D6E80"/>
    <w:rsid w:val="005E0B20"/>
    <w:rsid w:val="005E2936"/>
    <w:rsid w:val="005E2F7B"/>
    <w:rsid w:val="005E3C94"/>
    <w:rsid w:val="005E5C01"/>
    <w:rsid w:val="005E7118"/>
    <w:rsid w:val="005E7E9F"/>
    <w:rsid w:val="005F1CDA"/>
    <w:rsid w:val="005F37A4"/>
    <w:rsid w:val="00602403"/>
    <w:rsid w:val="006041A4"/>
    <w:rsid w:val="006066A6"/>
    <w:rsid w:val="0060757E"/>
    <w:rsid w:val="006109EC"/>
    <w:rsid w:val="00610F53"/>
    <w:rsid w:val="00611D8A"/>
    <w:rsid w:val="006138C4"/>
    <w:rsid w:val="0061430D"/>
    <w:rsid w:val="006150CE"/>
    <w:rsid w:val="006165F4"/>
    <w:rsid w:val="006245EC"/>
    <w:rsid w:val="006309D5"/>
    <w:rsid w:val="006330B9"/>
    <w:rsid w:val="00642664"/>
    <w:rsid w:val="00644BBE"/>
    <w:rsid w:val="0064502D"/>
    <w:rsid w:val="006466DA"/>
    <w:rsid w:val="00646711"/>
    <w:rsid w:val="0064779B"/>
    <w:rsid w:val="006479F9"/>
    <w:rsid w:val="00647DDD"/>
    <w:rsid w:val="00651818"/>
    <w:rsid w:val="00653BA4"/>
    <w:rsid w:val="006541D7"/>
    <w:rsid w:val="006542FD"/>
    <w:rsid w:val="00657478"/>
    <w:rsid w:val="00657EDA"/>
    <w:rsid w:val="006609A2"/>
    <w:rsid w:val="00660C84"/>
    <w:rsid w:val="0066132D"/>
    <w:rsid w:val="0066194B"/>
    <w:rsid w:val="00661FC4"/>
    <w:rsid w:val="006627CA"/>
    <w:rsid w:val="00666D4D"/>
    <w:rsid w:val="00667AEA"/>
    <w:rsid w:val="00672205"/>
    <w:rsid w:val="0067508C"/>
    <w:rsid w:val="00677059"/>
    <w:rsid w:val="00680072"/>
    <w:rsid w:val="00680C8D"/>
    <w:rsid w:val="006858DA"/>
    <w:rsid w:val="006902F1"/>
    <w:rsid w:val="006918E9"/>
    <w:rsid w:val="00691E9A"/>
    <w:rsid w:val="006951CE"/>
    <w:rsid w:val="00695B2C"/>
    <w:rsid w:val="006A12F4"/>
    <w:rsid w:val="006A1F2C"/>
    <w:rsid w:val="006A3B6B"/>
    <w:rsid w:val="006A438B"/>
    <w:rsid w:val="006A4F20"/>
    <w:rsid w:val="006A7245"/>
    <w:rsid w:val="006B12DD"/>
    <w:rsid w:val="006B1E87"/>
    <w:rsid w:val="006B514A"/>
    <w:rsid w:val="006C0D1A"/>
    <w:rsid w:val="006C2AB0"/>
    <w:rsid w:val="006C2B5F"/>
    <w:rsid w:val="006C31B7"/>
    <w:rsid w:val="006C4213"/>
    <w:rsid w:val="006C43D7"/>
    <w:rsid w:val="006C49F6"/>
    <w:rsid w:val="006C53ED"/>
    <w:rsid w:val="006C5694"/>
    <w:rsid w:val="006C5745"/>
    <w:rsid w:val="006C781A"/>
    <w:rsid w:val="006D11AD"/>
    <w:rsid w:val="006D29AA"/>
    <w:rsid w:val="006D4128"/>
    <w:rsid w:val="006D4C1B"/>
    <w:rsid w:val="006D5E57"/>
    <w:rsid w:val="006D73D4"/>
    <w:rsid w:val="006E0996"/>
    <w:rsid w:val="006E2083"/>
    <w:rsid w:val="006E2725"/>
    <w:rsid w:val="006E3064"/>
    <w:rsid w:val="006E68E6"/>
    <w:rsid w:val="006E6B4A"/>
    <w:rsid w:val="006F042A"/>
    <w:rsid w:val="006F0C74"/>
    <w:rsid w:val="006F1875"/>
    <w:rsid w:val="006F2187"/>
    <w:rsid w:val="006F25E5"/>
    <w:rsid w:val="006F2FCE"/>
    <w:rsid w:val="006F36B9"/>
    <w:rsid w:val="006F415C"/>
    <w:rsid w:val="0070560F"/>
    <w:rsid w:val="007112CA"/>
    <w:rsid w:val="00715674"/>
    <w:rsid w:val="007202BD"/>
    <w:rsid w:val="007205BF"/>
    <w:rsid w:val="007237D1"/>
    <w:rsid w:val="007241D4"/>
    <w:rsid w:val="00724D82"/>
    <w:rsid w:val="00726CFE"/>
    <w:rsid w:val="00730BF2"/>
    <w:rsid w:val="00732A6F"/>
    <w:rsid w:val="007410D0"/>
    <w:rsid w:val="0074214D"/>
    <w:rsid w:val="00742764"/>
    <w:rsid w:val="00745456"/>
    <w:rsid w:val="00751452"/>
    <w:rsid w:val="0075156A"/>
    <w:rsid w:val="00751F90"/>
    <w:rsid w:val="007619C5"/>
    <w:rsid w:val="00761C35"/>
    <w:rsid w:val="00762178"/>
    <w:rsid w:val="00766026"/>
    <w:rsid w:val="00772025"/>
    <w:rsid w:val="00781AA0"/>
    <w:rsid w:val="00781CF7"/>
    <w:rsid w:val="00781D24"/>
    <w:rsid w:val="00782DE8"/>
    <w:rsid w:val="00792E10"/>
    <w:rsid w:val="00797619"/>
    <w:rsid w:val="007A1D60"/>
    <w:rsid w:val="007A6F3A"/>
    <w:rsid w:val="007B165A"/>
    <w:rsid w:val="007B2DAD"/>
    <w:rsid w:val="007B7246"/>
    <w:rsid w:val="007B78C2"/>
    <w:rsid w:val="007B7F16"/>
    <w:rsid w:val="007C059B"/>
    <w:rsid w:val="007C23FF"/>
    <w:rsid w:val="007C416B"/>
    <w:rsid w:val="007C4CB7"/>
    <w:rsid w:val="007C5008"/>
    <w:rsid w:val="007C658B"/>
    <w:rsid w:val="007D1E79"/>
    <w:rsid w:val="007D27CF"/>
    <w:rsid w:val="007D4DAF"/>
    <w:rsid w:val="007E1175"/>
    <w:rsid w:val="007E220A"/>
    <w:rsid w:val="007E468A"/>
    <w:rsid w:val="007E58FC"/>
    <w:rsid w:val="007F1517"/>
    <w:rsid w:val="007F207F"/>
    <w:rsid w:val="007F5B91"/>
    <w:rsid w:val="00803CEC"/>
    <w:rsid w:val="0080665F"/>
    <w:rsid w:val="008076A4"/>
    <w:rsid w:val="00810CA3"/>
    <w:rsid w:val="008200A7"/>
    <w:rsid w:val="00822050"/>
    <w:rsid w:val="0082555A"/>
    <w:rsid w:val="00830952"/>
    <w:rsid w:val="00830F84"/>
    <w:rsid w:val="0083212E"/>
    <w:rsid w:val="008443A9"/>
    <w:rsid w:val="008469B3"/>
    <w:rsid w:val="00854139"/>
    <w:rsid w:val="008541C3"/>
    <w:rsid w:val="00855D5D"/>
    <w:rsid w:val="00860576"/>
    <w:rsid w:val="0086688C"/>
    <w:rsid w:val="008674AA"/>
    <w:rsid w:val="008675CC"/>
    <w:rsid w:val="008722B0"/>
    <w:rsid w:val="0087609B"/>
    <w:rsid w:val="00876490"/>
    <w:rsid w:val="0088094C"/>
    <w:rsid w:val="00881004"/>
    <w:rsid w:val="00882C40"/>
    <w:rsid w:val="008843C7"/>
    <w:rsid w:val="008852EC"/>
    <w:rsid w:val="00885973"/>
    <w:rsid w:val="00892908"/>
    <w:rsid w:val="008942FC"/>
    <w:rsid w:val="0089562F"/>
    <w:rsid w:val="008A082A"/>
    <w:rsid w:val="008A1C43"/>
    <w:rsid w:val="008A4DF4"/>
    <w:rsid w:val="008B1DA9"/>
    <w:rsid w:val="008B1F25"/>
    <w:rsid w:val="008B44E5"/>
    <w:rsid w:val="008B6162"/>
    <w:rsid w:val="008C3EBC"/>
    <w:rsid w:val="008C56F6"/>
    <w:rsid w:val="008C57F6"/>
    <w:rsid w:val="008D0500"/>
    <w:rsid w:val="008D33A3"/>
    <w:rsid w:val="008D4715"/>
    <w:rsid w:val="008D5B23"/>
    <w:rsid w:val="008D6A41"/>
    <w:rsid w:val="008D6F1D"/>
    <w:rsid w:val="008E2ACD"/>
    <w:rsid w:val="008E7F87"/>
    <w:rsid w:val="008F0234"/>
    <w:rsid w:val="008F0CC7"/>
    <w:rsid w:val="008F11CF"/>
    <w:rsid w:val="008F189C"/>
    <w:rsid w:val="008F1FE1"/>
    <w:rsid w:val="008F27FB"/>
    <w:rsid w:val="008F32FF"/>
    <w:rsid w:val="008F4486"/>
    <w:rsid w:val="008F4FC6"/>
    <w:rsid w:val="008F72CD"/>
    <w:rsid w:val="00902179"/>
    <w:rsid w:val="00903877"/>
    <w:rsid w:val="00912E62"/>
    <w:rsid w:val="0091544C"/>
    <w:rsid w:val="00921D03"/>
    <w:rsid w:val="00922AF1"/>
    <w:rsid w:val="00925CD2"/>
    <w:rsid w:val="00933065"/>
    <w:rsid w:val="00933569"/>
    <w:rsid w:val="009365B1"/>
    <w:rsid w:val="0093799C"/>
    <w:rsid w:val="009422A1"/>
    <w:rsid w:val="009437F6"/>
    <w:rsid w:val="00943AB9"/>
    <w:rsid w:val="00944804"/>
    <w:rsid w:val="009449FB"/>
    <w:rsid w:val="0094634F"/>
    <w:rsid w:val="009473D8"/>
    <w:rsid w:val="00960ADF"/>
    <w:rsid w:val="009619EE"/>
    <w:rsid w:val="00963A0C"/>
    <w:rsid w:val="009646F8"/>
    <w:rsid w:val="009661B5"/>
    <w:rsid w:val="00974A92"/>
    <w:rsid w:val="00975270"/>
    <w:rsid w:val="00975BA1"/>
    <w:rsid w:val="009809DD"/>
    <w:rsid w:val="009835E3"/>
    <w:rsid w:val="009837A6"/>
    <w:rsid w:val="009869F2"/>
    <w:rsid w:val="00987CDB"/>
    <w:rsid w:val="00991090"/>
    <w:rsid w:val="009A2726"/>
    <w:rsid w:val="009A30E0"/>
    <w:rsid w:val="009A3619"/>
    <w:rsid w:val="009A66D0"/>
    <w:rsid w:val="009A76E6"/>
    <w:rsid w:val="009B08AF"/>
    <w:rsid w:val="009B2678"/>
    <w:rsid w:val="009B3DFC"/>
    <w:rsid w:val="009B7348"/>
    <w:rsid w:val="009B793E"/>
    <w:rsid w:val="009C1EA6"/>
    <w:rsid w:val="009C37B9"/>
    <w:rsid w:val="009C38E7"/>
    <w:rsid w:val="009D32BD"/>
    <w:rsid w:val="009D33F1"/>
    <w:rsid w:val="009D35B5"/>
    <w:rsid w:val="009D4486"/>
    <w:rsid w:val="009D7128"/>
    <w:rsid w:val="009F211E"/>
    <w:rsid w:val="009F2572"/>
    <w:rsid w:val="009F294E"/>
    <w:rsid w:val="009F30F1"/>
    <w:rsid w:val="009F37C7"/>
    <w:rsid w:val="009F50AB"/>
    <w:rsid w:val="00A005F6"/>
    <w:rsid w:val="00A0424F"/>
    <w:rsid w:val="00A103FF"/>
    <w:rsid w:val="00A121B5"/>
    <w:rsid w:val="00A16C6E"/>
    <w:rsid w:val="00A17DB2"/>
    <w:rsid w:val="00A22A14"/>
    <w:rsid w:val="00A23A49"/>
    <w:rsid w:val="00A26214"/>
    <w:rsid w:val="00A2640E"/>
    <w:rsid w:val="00A26566"/>
    <w:rsid w:val="00A27A51"/>
    <w:rsid w:val="00A3310D"/>
    <w:rsid w:val="00A37BA4"/>
    <w:rsid w:val="00A402F6"/>
    <w:rsid w:val="00A42167"/>
    <w:rsid w:val="00A43739"/>
    <w:rsid w:val="00A47815"/>
    <w:rsid w:val="00A47A18"/>
    <w:rsid w:val="00A539CB"/>
    <w:rsid w:val="00A61826"/>
    <w:rsid w:val="00A63709"/>
    <w:rsid w:val="00A6454F"/>
    <w:rsid w:val="00A649E6"/>
    <w:rsid w:val="00A660AF"/>
    <w:rsid w:val="00A6768C"/>
    <w:rsid w:val="00A70A95"/>
    <w:rsid w:val="00A70BDA"/>
    <w:rsid w:val="00A740B6"/>
    <w:rsid w:val="00A7621E"/>
    <w:rsid w:val="00A817D5"/>
    <w:rsid w:val="00A825C3"/>
    <w:rsid w:val="00A85403"/>
    <w:rsid w:val="00A8576B"/>
    <w:rsid w:val="00A93351"/>
    <w:rsid w:val="00A95538"/>
    <w:rsid w:val="00AA0013"/>
    <w:rsid w:val="00AA26FF"/>
    <w:rsid w:val="00AA6E8C"/>
    <w:rsid w:val="00AA6F19"/>
    <w:rsid w:val="00AA75E6"/>
    <w:rsid w:val="00AA79A8"/>
    <w:rsid w:val="00AA7A76"/>
    <w:rsid w:val="00AA7C2E"/>
    <w:rsid w:val="00AB0286"/>
    <w:rsid w:val="00AB047B"/>
    <w:rsid w:val="00AB4C6D"/>
    <w:rsid w:val="00AB53F2"/>
    <w:rsid w:val="00AB55F7"/>
    <w:rsid w:val="00AB58F1"/>
    <w:rsid w:val="00AC2995"/>
    <w:rsid w:val="00AC4165"/>
    <w:rsid w:val="00AC556A"/>
    <w:rsid w:val="00AC76EA"/>
    <w:rsid w:val="00AC79FD"/>
    <w:rsid w:val="00AC7FB7"/>
    <w:rsid w:val="00AD25B6"/>
    <w:rsid w:val="00AD2631"/>
    <w:rsid w:val="00AE1220"/>
    <w:rsid w:val="00AE287F"/>
    <w:rsid w:val="00AE3669"/>
    <w:rsid w:val="00AE39F3"/>
    <w:rsid w:val="00AE63BD"/>
    <w:rsid w:val="00AF0B2B"/>
    <w:rsid w:val="00AF2914"/>
    <w:rsid w:val="00AF363F"/>
    <w:rsid w:val="00AF3E4F"/>
    <w:rsid w:val="00AF71E5"/>
    <w:rsid w:val="00B058DB"/>
    <w:rsid w:val="00B071FF"/>
    <w:rsid w:val="00B07462"/>
    <w:rsid w:val="00B07D89"/>
    <w:rsid w:val="00B11505"/>
    <w:rsid w:val="00B11DC2"/>
    <w:rsid w:val="00B15142"/>
    <w:rsid w:val="00B16F69"/>
    <w:rsid w:val="00B1789D"/>
    <w:rsid w:val="00B17B37"/>
    <w:rsid w:val="00B17CB4"/>
    <w:rsid w:val="00B223FE"/>
    <w:rsid w:val="00B302C7"/>
    <w:rsid w:val="00B3037C"/>
    <w:rsid w:val="00B3208F"/>
    <w:rsid w:val="00B41148"/>
    <w:rsid w:val="00B42807"/>
    <w:rsid w:val="00B428A6"/>
    <w:rsid w:val="00B43340"/>
    <w:rsid w:val="00B4461C"/>
    <w:rsid w:val="00B46DA7"/>
    <w:rsid w:val="00B53913"/>
    <w:rsid w:val="00B554D4"/>
    <w:rsid w:val="00B55800"/>
    <w:rsid w:val="00B55F3A"/>
    <w:rsid w:val="00B56906"/>
    <w:rsid w:val="00B64EEE"/>
    <w:rsid w:val="00B6649D"/>
    <w:rsid w:val="00B71A55"/>
    <w:rsid w:val="00B71CB5"/>
    <w:rsid w:val="00B72922"/>
    <w:rsid w:val="00B72A13"/>
    <w:rsid w:val="00B72ADA"/>
    <w:rsid w:val="00B75819"/>
    <w:rsid w:val="00B77E34"/>
    <w:rsid w:val="00B819E4"/>
    <w:rsid w:val="00B84042"/>
    <w:rsid w:val="00B84D84"/>
    <w:rsid w:val="00B84DD5"/>
    <w:rsid w:val="00B868F6"/>
    <w:rsid w:val="00B924B4"/>
    <w:rsid w:val="00B9487E"/>
    <w:rsid w:val="00B95910"/>
    <w:rsid w:val="00BA29E7"/>
    <w:rsid w:val="00BA3A4C"/>
    <w:rsid w:val="00BB0F20"/>
    <w:rsid w:val="00BB2ACE"/>
    <w:rsid w:val="00BB50D7"/>
    <w:rsid w:val="00BB7F08"/>
    <w:rsid w:val="00BC0623"/>
    <w:rsid w:val="00BC35CD"/>
    <w:rsid w:val="00BC415B"/>
    <w:rsid w:val="00BD2C66"/>
    <w:rsid w:val="00BD2CDE"/>
    <w:rsid w:val="00BD41CF"/>
    <w:rsid w:val="00BE0164"/>
    <w:rsid w:val="00BE0DF5"/>
    <w:rsid w:val="00BE12BD"/>
    <w:rsid w:val="00BE2ED7"/>
    <w:rsid w:val="00BE3498"/>
    <w:rsid w:val="00BE3721"/>
    <w:rsid w:val="00BE4BD9"/>
    <w:rsid w:val="00BE6AB8"/>
    <w:rsid w:val="00BF040B"/>
    <w:rsid w:val="00BF086D"/>
    <w:rsid w:val="00BF2167"/>
    <w:rsid w:val="00BF43BC"/>
    <w:rsid w:val="00BF4DDA"/>
    <w:rsid w:val="00BF55C7"/>
    <w:rsid w:val="00BF7ED8"/>
    <w:rsid w:val="00C0222C"/>
    <w:rsid w:val="00C04139"/>
    <w:rsid w:val="00C0572E"/>
    <w:rsid w:val="00C10889"/>
    <w:rsid w:val="00C10C0C"/>
    <w:rsid w:val="00C14800"/>
    <w:rsid w:val="00C149AF"/>
    <w:rsid w:val="00C15C65"/>
    <w:rsid w:val="00C21B3D"/>
    <w:rsid w:val="00C22928"/>
    <w:rsid w:val="00C22D10"/>
    <w:rsid w:val="00C24267"/>
    <w:rsid w:val="00C243E6"/>
    <w:rsid w:val="00C24F23"/>
    <w:rsid w:val="00C2788D"/>
    <w:rsid w:val="00C31D37"/>
    <w:rsid w:val="00C33398"/>
    <w:rsid w:val="00C361F6"/>
    <w:rsid w:val="00C3669A"/>
    <w:rsid w:val="00C371D5"/>
    <w:rsid w:val="00C423E3"/>
    <w:rsid w:val="00C44BAC"/>
    <w:rsid w:val="00C45626"/>
    <w:rsid w:val="00C458AF"/>
    <w:rsid w:val="00C460A0"/>
    <w:rsid w:val="00C46B37"/>
    <w:rsid w:val="00C4720D"/>
    <w:rsid w:val="00C50068"/>
    <w:rsid w:val="00C5441D"/>
    <w:rsid w:val="00C549F4"/>
    <w:rsid w:val="00C610F2"/>
    <w:rsid w:val="00C66E94"/>
    <w:rsid w:val="00C676F3"/>
    <w:rsid w:val="00C71AB8"/>
    <w:rsid w:val="00C73E8B"/>
    <w:rsid w:val="00C74E97"/>
    <w:rsid w:val="00C75909"/>
    <w:rsid w:val="00C76669"/>
    <w:rsid w:val="00C767D5"/>
    <w:rsid w:val="00C77202"/>
    <w:rsid w:val="00C77EFD"/>
    <w:rsid w:val="00C809AF"/>
    <w:rsid w:val="00C81A10"/>
    <w:rsid w:val="00C829DF"/>
    <w:rsid w:val="00C82F5A"/>
    <w:rsid w:val="00C84021"/>
    <w:rsid w:val="00C86AEA"/>
    <w:rsid w:val="00C875AE"/>
    <w:rsid w:val="00C9310B"/>
    <w:rsid w:val="00C937FB"/>
    <w:rsid w:val="00C95C6A"/>
    <w:rsid w:val="00C95F7A"/>
    <w:rsid w:val="00CA696D"/>
    <w:rsid w:val="00CA6B5A"/>
    <w:rsid w:val="00CB1536"/>
    <w:rsid w:val="00CB3907"/>
    <w:rsid w:val="00CB6167"/>
    <w:rsid w:val="00CC0C54"/>
    <w:rsid w:val="00CC1016"/>
    <w:rsid w:val="00CC5272"/>
    <w:rsid w:val="00CC53D3"/>
    <w:rsid w:val="00CD1673"/>
    <w:rsid w:val="00CD1721"/>
    <w:rsid w:val="00CD4DDC"/>
    <w:rsid w:val="00CE6301"/>
    <w:rsid w:val="00CE7459"/>
    <w:rsid w:val="00CF1129"/>
    <w:rsid w:val="00CF2008"/>
    <w:rsid w:val="00CF3301"/>
    <w:rsid w:val="00CF3649"/>
    <w:rsid w:val="00CF4188"/>
    <w:rsid w:val="00CF4E9E"/>
    <w:rsid w:val="00CF7848"/>
    <w:rsid w:val="00D058FC"/>
    <w:rsid w:val="00D06213"/>
    <w:rsid w:val="00D10010"/>
    <w:rsid w:val="00D11510"/>
    <w:rsid w:val="00D12BB7"/>
    <w:rsid w:val="00D159D4"/>
    <w:rsid w:val="00D20C50"/>
    <w:rsid w:val="00D21601"/>
    <w:rsid w:val="00D22F1C"/>
    <w:rsid w:val="00D23AE0"/>
    <w:rsid w:val="00D27D7B"/>
    <w:rsid w:val="00D31882"/>
    <w:rsid w:val="00D31BAB"/>
    <w:rsid w:val="00D31D27"/>
    <w:rsid w:val="00D32109"/>
    <w:rsid w:val="00D34AFB"/>
    <w:rsid w:val="00D35A03"/>
    <w:rsid w:val="00D37377"/>
    <w:rsid w:val="00D41830"/>
    <w:rsid w:val="00D45B8C"/>
    <w:rsid w:val="00D56058"/>
    <w:rsid w:val="00D567E0"/>
    <w:rsid w:val="00D56A09"/>
    <w:rsid w:val="00D56C64"/>
    <w:rsid w:val="00D57679"/>
    <w:rsid w:val="00D61F2D"/>
    <w:rsid w:val="00D630DE"/>
    <w:rsid w:val="00D645C6"/>
    <w:rsid w:val="00D65905"/>
    <w:rsid w:val="00D7327A"/>
    <w:rsid w:val="00D74EC8"/>
    <w:rsid w:val="00D81AC9"/>
    <w:rsid w:val="00D858CC"/>
    <w:rsid w:val="00D9086C"/>
    <w:rsid w:val="00D91477"/>
    <w:rsid w:val="00D94745"/>
    <w:rsid w:val="00D95DFF"/>
    <w:rsid w:val="00D963D5"/>
    <w:rsid w:val="00DA2380"/>
    <w:rsid w:val="00DA41B2"/>
    <w:rsid w:val="00DA5D06"/>
    <w:rsid w:val="00DA7B20"/>
    <w:rsid w:val="00DB5727"/>
    <w:rsid w:val="00DC0AE6"/>
    <w:rsid w:val="00DC52BC"/>
    <w:rsid w:val="00DC621D"/>
    <w:rsid w:val="00DC6A98"/>
    <w:rsid w:val="00DC6EF8"/>
    <w:rsid w:val="00DC7245"/>
    <w:rsid w:val="00DC730A"/>
    <w:rsid w:val="00DD12FC"/>
    <w:rsid w:val="00DD2B0D"/>
    <w:rsid w:val="00DE130A"/>
    <w:rsid w:val="00DE1F21"/>
    <w:rsid w:val="00DE2238"/>
    <w:rsid w:val="00DE278F"/>
    <w:rsid w:val="00DE28DC"/>
    <w:rsid w:val="00DE38B2"/>
    <w:rsid w:val="00DF0737"/>
    <w:rsid w:val="00DF0AD0"/>
    <w:rsid w:val="00DF2C9A"/>
    <w:rsid w:val="00DF5291"/>
    <w:rsid w:val="00DF6AC1"/>
    <w:rsid w:val="00E010C4"/>
    <w:rsid w:val="00E05572"/>
    <w:rsid w:val="00E16292"/>
    <w:rsid w:val="00E166FD"/>
    <w:rsid w:val="00E20294"/>
    <w:rsid w:val="00E239D7"/>
    <w:rsid w:val="00E25706"/>
    <w:rsid w:val="00E264BB"/>
    <w:rsid w:val="00E276DF"/>
    <w:rsid w:val="00E30596"/>
    <w:rsid w:val="00E31FF9"/>
    <w:rsid w:val="00E33434"/>
    <w:rsid w:val="00E33DDA"/>
    <w:rsid w:val="00E35FC4"/>
    <w:rsid w:val="00E43C23"/>
    <w:rsid w:val="00E45006"/>
    <w:rsid w:val="00E45E6A"/>
    <w:rsid w:val="00E50A42"/>
    <w:rsid w:val="00E54FA5"/>
    <w:rsid w:val="00E56D64"/>
    <w:rsid w:val="00E61081"/>
    <w:rsid w:val="00E65B18"/>
    <w:rsid w:val="00E65B9D"/>
    <w:rsid w:val="00E71CE6"/>
    <w:rsid w:val="00E71E16"/>
    <w:rsid w:val="00E728C6"/>
    <w:rsid w:val="00E76641"/>
    <w:rsid w:val="00E774BA"/>
    <w:rsid w:val="00E77AC7"/>
    <w:rsid w:val="00E851E8"/>
    <w:rsid w:val="00E86DF2"/>
    <w:rsid w:val="00E879EC"/>
    <w:rsid w:val="00E95703"/>
    <w:rsid w:val="00E959FE"/>
    <w:rsid w:val="00EA0297"/>
    <w:rsid w:val="00EA2C29"/>
    <w:rsid w:val="00EA3F05"/>
    <w:rsid w:val="00EA548B"/>
    <w:rsid w:val="00EA5E85"/>
    <w:rsid w:val="00EB0B07"/>
    <w:rsid w:val="00EB144E"/>
    <w:rsid w:val="00EB1B82"/>
    <w:rsid w:val="00EB462A"/>
    <w:rsid w:val="00EB4CA8"/>
    <w:rsid w:val="00EB4FC0"/>
    <w:rsid w:val="00EB635D"/>
    <w:rsid w:val="00EB6AA6"/>
    <w:rsid w:val="00EC0354"/>
    <w:rsid w:val="00EC5A70"/>
    <w:rsid w:val="00EC60D5"/>
    <w:rsid w:val="00EC70BC"/>
    <w:rsid w:val="00ED018E"/>
    <w:rsid w:val="00ED044F"/>
    <w:rsid w:val="00ED07AD"/>
    <w:rsid w:val="00ED39D5"/>
    <w:rsid w:val="00ED3B36"/>
    <w:rsid w:val="00EE4B6A"/>
    <w:rsid w:val="00EE55F9"/>
    <w:rsid w:val="00EE62A5"/>
    <w:rsid w:val="00EE63DE"/>
    <w:rsid w:val="00EF00EA"/>
    <w:rsid w:val="00EF34E1"/>
    <w:rsid w:val="00EF36A0"/>
    <w:rsid w:val="00EF5446"/>
    <w:rsid w:val="00F063E2"/>
    <w:rsid w:val="00F11454"/>
    <w:rsid w:val="00F12E5A"/>
    <w:rsid w:val="00F221FC"/>
    <w:rsid w:val="00F24025"/>
    <w:rsid w:val="00F32873"/>
    <w:rsid w:val="00F35CAE"/>
    <w:rsid w:val="00F36EE7"/>
    <w:rsid w:val="00F41D9D"/>
    <w:rsid w:val="00F4468A"/>
    <w:rsid w:val="00F477AE"/>
    <w:rsid w:val="00F57AFC"/>
    <w:rsid w:val="00F61908"/>
    <w:rsid w:val="00F627E4"/>
    <w:rsid w:val="00F62D5B"/>
    <w:rsid w:val="00F65DBD"/>
    <w:rsid w:val="00F669B9"/>
    <w:rsid w:val="00F72E34"/>
    <w:rsid w:val="00F773E6"/>
    <w:rsid w:val="00F80A07"/>
    <w:rsid w:val="00F80CEE"/>
    <w:rsid w:val="00F81C18"/>
    <w:rsid w:val="00F81CE2"/>
    <w:rsid w:val="00F81F36"/>
    <w:rsid w:val="00F8493C"/>
    <w:rsid w:val="00F85468"/>
    <w:rsid w:val="00F86A45"/>
    <w:rsid w:val="00F86BC7"/>
    <w:rsid w:val="00F907D4"/>
    <w:rsid w:val="00F9202F"/>
    <w:rsid w:val="00F92AA4"/>
    <w:rsid w:val="00F954AB"/>
    <w:rsid w:val="00FA11F4"/>
    <w:rsid w:val="00FA2519"/>
    <w:rsid w:val="00FA63FB"/>
    <w:rsid w:val="00FA6B1E"/>
    <w:rsid w:val="00FB4165"/>
    <w:rsid w:val="00FB59A0"/>
    <w:rsid w:val="00FC1792"/>
    <w:rsid w:val="00FC42BD"/>
    <w:rsid w:val="00FD2E9B"/>
    <w:rsid w:val="00FE065B"/>
    <w:rsid w:val="00FE17D2"/>
    <w:rsid w:val="00FF0D0D"/>
    <w:rsid w:val="00FF2021"/>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57696"/>
  <w15:docId w15:val="{A5E096B8-6BCC-4A52-86C9-E2E96853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styleId="Revision">
    <w:name w:val="Revision"/>
    <w:hidden/>
    <w:uiPriority w:val="99"/>
    <w:semiHidden/>
    <w:rsid w:val="0083212E"/>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1238244361">
          <w:marLeft w:val="0"/>
          <w:marRight w:val="0"/>
          <w:marTop w:val="240"/>
          <w:marBottom w:val="0"/>
          <w:divBdr>
            <w:top w:val="none" w:sz="0" w:space="0" w:color="auto"/>
            <w:left w:val="none" w:sz="0" w:space="0" w:color="auto"/>
            <w:bottom w:val="none" w:sz="0" w:space="0" w:color="auto"/>
            <w:right w:val="none" w:sz="0" w:space="0" w:color="auto"/>
          </w:divBdr>
        </w:div>
        <w:div w:id="559486776">
          <w:marLeft w:val="0"/>
          <w:marRight w:val="0"/>
          <w:marTop w:val="12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236814372">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 w:id="2011323680">
      <w:bodyDiv w:val="1"/>
      <w:marLeft w:val="0"/>
      <w:marRight w:val="0"/>
      <w:marTop w:val="0"/>
      <w:marBottom w:val="0"/>
      <w:divBdr>
        <w:top w:val="none" w:sz="0" w:space="0" w:color="auto"/>
        <w:left w:val="none" w:sz="0" w:space="0" w:color="auto"/>
        <w:bottom w:val="none" w:sz="0" w:space="0" w:color="auto"/>
        <w:right w:val="none" w:sz="0" w:space="0" w:color="auto"/>
      </w:divBdr>
      <w:divsChild>
        <w:div w:id="1869104779">
          <w:marLeft w:val="0"/>
          <w:marRight w:val="0"/>
          <w:marTop w:val="120"/>
          <w:marBottom w:val="0"/>
          <w:divBdr>
            <w:top w:val="none" w:sz="0" w:space="0" w:color="auto"/>
            <w:left w:val="none" w:sz="0" w:space="0" w:color="auto"/>
            <w:bottom w:val="none" w:sz="0" w:space="0" w:color="auto"/>
            <w:right w:val="none" w:sz="0" w:space="0" w:color="auto"/>
          </w:divBdr>
        </w:div>
        <w:div w:id="1500458791">
          <w:marLeft w:val="0"/>
          <w:marRight w:val="0"/>
          <w:marTop w:val="120"/>
          <w:marBottom w:val="0"/>
          <w:divBdr>
            <w:top w:val="none" w:sz="0" w:space="0" w:color="auto"/>
            <w:left w:val="none" w:sz="0" w:space="0" w:color="auto"/>
            <w:bottom w:val="none" w:sz="0" w:space="0" w:color="auto"/>
            <w:right w:val="none" w:sz="0" w:space="0" w:color="auto"/>
          </w:divBdr>
        </w:div>
        <w:div w:id="2117435387">
          <w:marLeft w:val="0"/>
          <w:marRight w:val="0"/>
          <w:marTop w:val="180"/>
          <w:marBottom w:val="60"/>
          <w:divBdr>
            <w:top w:val="single" w:sz="8" w:space="1" w:color="808080"/>
            <w:left w:val="none" w:sz="0" w:space="0" w:color="auto"/>
            <w:bottom w:val="none" w:sz="0" w:space="0" w:color="auto"/>
            <w:right w:val="none" w:sz="0" w:space="0" w:color="auto"/>
          </w:divBdr>
        </w:div>
        <w:div w:id="17392830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051E-9C01-4761-9EBC-02420D3C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5</TotalTime>
  <Pages>8</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5</cp:revision>
  <cp:lastPrinted>2023-08-19T09:40:00Z</cp:lastPrinted>
  <dcterms:created xsi:type="dcterms:W3CDTF">2023-09-21T07:53:00Z</dcterms:created>
  <dcterms:modified xsi:type="dcterms:W3CDTF">2023-09-21T07:57:00Z</dcterms:modified>
</cp:coreProperties>
</file>