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693E6" w14:textId="77777777" w:rsidR="004A1C15" w:rsidRPr="00422DCC" w:rsidRDefault="004A1C15" w:rsidP="004A1C15">
      <w:pPr>
        <w:tabs>
          <w:tab w:val="left" w:pos="2342"/>
          <w:tab w:val="center" w:pos="4513"/>
        </w:tabs>
        <w:spacing w:after="0" w:line="240" w:lineRule="auto"/>
        <w:ind w:left="0"/>
        <w:jc w:val="center"/>
        <w:outlineLvl w:val="0"/>
        <w:rPr>
          <w:rFonts w:eastAsia="Times New Roman" w:cs="Arial"/>
          <w:b/>
          <w:noProof/>
          <w:szCs w:val="24"/>
          <w:lang w:val="en-ZA" w:eastAsia="en-ZA"/>
        </w:rPr>
      </w:pPr>
      <w:r w:rsidRPr="00422DCC">
        <w:rPr>
          <w:rFonts w:eastAsia="Times New Roman" w:cs="Arial"/>
          <w:b/>
          <w:noProof/>
          <w:szCs w:val="24"/>
          <w:lang w:val="en-ZA" w:eastAsia="en-ZA"/>
        </w:rPr>
        <w:t>REPUBLIC OF SOUTH AFRICA</w:t>
      </w:r>
    </w:p>
    <w:p w14:paraId="6A1495D9" w14:textId="77777777" w:rsidR="004A1C15" w:rsidRPr="00422DCC" w:rsidRDefault="004A1C15" w:rsidP="004A1C15">
      <w:pPr>
        <w:tabs>
          <w:tab w:val="left" w:pos="2342"/>
          <w:tab w:val="center" w:pos="4513"/>
        </w:tabs>
        <w:spacing w:after="0" w:line="240" w:lineRule="auto"/>
        <w:ind w:left="0"/>
        <w:jc w:val="center"/>
        <w:outlineLvl w:val="0"/>
        <w:rPr>
          <w:rFonts w:eastAsia="Times New Roman" w:cs="Arial"/>
          <w:b/>
          <w:noProof/>
          <w:szCs w:val="24"/>
          <w:lang w:val="en-ZA" w:eastAsia="en-ZA"/>
        </w:rPr>
      </w:pPr>
    </w:p>
    <w:p w14:paraId="32C5A7FC" w14:textId="77777777" w:rsidR="004A1C15" w:rsidRPr="00422DCC" w:rsidRDefault="004A1C15" w:rsidP="004A1C15">
      <w:pPr>
        <w:tabs>
          <w:tab w:val="left" w:pos="2342"/>
          <w:tab w:val="center" w:pos="4513"/>
        </w:tabs>
        <w:spacing w:after="0" w:line="240" w:lineRule="auto"/>
        <w:ind w:left="0"/>
        <w:jc w:val="center"/>
        <w:outlineLvl w:val="0"/>
        <w:rPr>
          <w:rFonts w:eastAsia="Times New Roman" w:cs="Arial"/>
          <w:szCs w:val="24"/>
          <w:lang w:val="en-ZA"/>
        </w:rPr>
      </w:pPr>
      <w:r w:rsidRPr="00422DCC">
        <w:rPr>
          <w:rFonts w:eastAsia="Times New Roman" w:cs="Arial"/>
          <w:noProof/>
          <w:szCs w:val="24"/>
          <w:lang w:val="en-US"/>
        </w:rPr>
        <w:drawing>
          <wp:inline distT="0" distB="0" distL="0" distR="0" wp14:anchorId="281CCF83" wp14:editId="74518FDB">
            <wp:extent cx="1350645" cy="1350645"/>
            <wp:effectExtent l="0" t="0" r="1905" b="1905"/>
            <wp:docPr id="3" name="Picture 3"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63CA3594" w14:textId="77777777" w:rsidR="004A1C15" w:rsidRPr="00422DCC" w:rsidRDefault="004A1C15" w:rsidP="004A1C15">
      <w:pPr>
        <w:spacing w:after="0" w:line="240" w:lineRule="auto"/>
        <w:ind w:left="0"/>
        <w:jc w:val="center"/>
        <w:outlineLvl w:val="0"/>
        <w:rPr>
          <w:rFonts w:eastAsia="Times New Roman" w:cs="Arial"/>
          <w:b/>
          <w:szCs w:val="24"/>
          <w:lang w:val="en-ZA"/>
        </w:rPr>
      </w:pPr>
    </w:p>
    <w:p w14:paraId="5F765019" w14:textId="77777777" w:rsidR="004A1C15" w:rsidRPr="00422DCC" w:rsidRDefault="004A1C15" w:rsidP="004A1C15">
      <w:pPr>
        <w:spacing w:after="0" w:line="240" w:lineRule="auto"/>
        <w:ind w:left="0"/>
        <w:jc w:val="center"/>
        <w:outlineLvl w:val="0"/>
        <w:rPr>
          <w:rFonts w:eastAsia="Times New Roman" w:cs="Arial"/>
          <w:b/>
          <w:szCs w:val="24"/>
          <w:lang w:val="en-ZA"/>
        </w:rPr>
      </w:pPr>
      <w:r w:rsidRPr="00422DCC">
        <w:rPr>
          <w:rFonts w:eastAsia="Times New Roman" w:cs="Arial"/>
          <w:b/>
          <w:szCs w:val="24"/>
          <w:lang w:val="en-ZA"/>
        </w:rPr>
        <w:t>IN THE HIGH COURT OF SOUTH AFRICA</w:t>
      </w:r>
    </w:p>
    <w:p w14:paraId="58EBA70C" w14:textId="77777777" w:rsidR="004A1C15" w:rsidRPr="00422DCC" w:rsidRDefault="004A1C15" w:rsidP="004A1C15">
      <w:pPr>
        <w:spacing w:after="0" w:line="240" w:lineRule="auto"/>
        <w:ind w:left="0"/>
        <w:jc w:val="center"/>
        <w:outlineLvl w:val="0"/>
        <w:rPr>
          <w:rFonts w:eastAsia="Times New Roman" w:cs="Arial"/>
          <w:b/>
          <w:szCs w:val="24"/>
          <w:lang w:val="en-ZA"/>
        </w:rPr>
      </w:pPr>
      <w:r w:rsidRPr="00422DCC">
        <w:rPr>
          <w:rFonts w:eastAsia="Times New Roman" w:cs="Arial"/>
          <w:b/>
          <w:szCs w:val="24"/>
          <w:lang w:val="en-ZA"/>
        </w:rPr>
        <w:t>GAUTENG</w:t>
      </w:r>
      <w:r>
        <w:rPr>
          <w:rFonts w:eastAsia="Times New Roman" w:cs="Arial"/>
          <w:b/>
          <w:szCs w:val="24"/>
          <w:lang w:val="en-ZA"/>
        </w:rPr>
        <w:t xml:space="preserve"> LOCAL</w:t>
      </w:r>
      <w:r w:rsidRPr="00422DCC">
        <w:rPr>
          <w:rFonts w:eastAsia="Times New Roman" w:cs="Arial"/>
          <w:b/>
          <w:szCs w:val="24"/>
          <w:lang w:val="en-ZA"/>
        </w:rPr>
        <w:t xml:space="preserve"> DIVISION, JOHANNESBURG</w:t>
      </w:r>
    </w:p>
    <w:p w14:paraId="63745AA3" w14:textId="77777777" w:rsidR="004A1C15" w:rsidRPr="00422DCC" w:rsidRDefault="004A1C15" w:rsidP="004A1C15">
      <w:pPr>
        <w:spacing w:after="0" w:line="240" w:lineRule="auto"/>
        <w:ind w:left="0"/>
        <w:rPr>
          <w:rFonts w:eastAsia="Times New Roman" w:cs="Arial"/>
          <w:szCs w:val="24"/>
          <w:lang w:val="en-ZA"/>
        </w:rPr>
      </w:pPr>
    </w:p>
    <w:p w14:paraId="01C612E9" w14:textId="77777777" w:rsidR="004A1C15" w:rsidRPr="00422DCC" w:rsidRDefault="004A1C15" w:rsidP="004A1C15">
      <w:pPr>
        <w:spacing w:after="0" w:line="240" w:lineRule="auto"/>
        <w:ind w:left="0"/>
        <w:rPr>
          <w:rFonts w:eastAsia="Times New Roman" w:cs="Arial"/>
          <w:szCs w:val="24"/>
          <w:lang w:val="en-ZA"/>
        </w:rPr>
      </w:pPr>
    </w:p>
    <w:p w14:paraId="26D01324" w14:textId="474BB608" w:rsidR="004A1C15" w:rsidRPr="00422DCC" w:rsidRDefault="004A1C15" w:rsidP="004A1C15">
      <w:pPr>
        <w:tabs>
          <w:tab w:val="right" w:pos="9029"/>
        </w:tabs>
        <w:spacing w:after="0" w:line="240" w:lineRule="auto"/>
        <w:ind w:left="0"/>
        <w:rPr>
          <w:rFonts w:eastAsia="Times New Roman" w:cs="Arial"/>
          <w:bCs/>
          <w:szCs w:val="24"/>
          <w:lang w:val="en-ZA"/>
        </w:rPr>
      </w:pPr>
      <w:r w:rsidRPr="00422DCC">
        <w:rPr>
          <w:rFonts w:eastAsia="Times New Roman" w:cs="Arial"/>
          <w:szCs w:val="24"/>
          <w:lang w:val="en-ZA"/>
        </w:rPr>
        <w:tab/>
      </w:r>
      <w:r w:rsidR="008C3A67">
        <w:rPr>
          <w:rFonts w:eastAsia="Times New Roman" w:cs="Arial"/>
          <w:szCs w:val="24"/>
          <w:lang w:val="en-ZA"/>
        </w:rPr>
        <w:t xml:space="preserve">Appeal </w:t>
      </w:r>
      <w:r w:rsidRPr="00422DCC">
        <w:rPr>
          <w:rFonts w:eastAsia="Times New Roman" w:cs="Arial"/>
          <w:bCs/>
          <w:szCs w:val="24"/>
          <w:lang w:val="en-ZA"/>
        </w:rPr>
        <w:t xml:space="preserve">Case </w:t>
      </w:r>
      <w:r w:rsidR="00E4349D" w:rsidRPr="00422DCC">
        <w:rPr>
          <w:rFonts w:eastAsia="Times New Roman" w:cs="Arial"/>
          <w:bCs/>
          <w:szCs w:val="24"/>
          <w:lang w:val="en-ZA"/>
        </w:rPr>
        <w:t>Number:</w:t>
      </w:r>
      <w:r w:rsidR="00E4349D">
        <w:rPr>
          <w:rFonts w:eastAsia="Times New Roman" w:cs="Arial"/>
          <w:bCs/>
          <w:szCs w:val="24"/>
          <w:lang w:val="en-ZA"/>
        </w:rPr>
        <w:t xml:space="preserve"> A</w:t>
      </w:r>
      <w:r w:rsidRPr="00422DCC">
        <w:rPr>
          <w:rFonts w:eastAsia="Times New Roman" w:cs="Arial"/>
          <w:bCs/>
          <w:szCs w:val="24"/>
          <w:lang w:val="en-ZA"/>
        </w:rPr>
        <w:t xml:space="preserve"> </w:t>
      </w:r>
      <w:r w:rsidR="000301B0" w:rsidRPr="000301B0">
        <w:rPr>
          <w:rFonts w:eastAsia="Times New Roman" w:cs="Arial"/>
          <w:bCs/>
          <w:szCs w:val="24"/>
          <w:lang w:val="en-ZA"/>
        </w:rPr>
        <w:t>2022-055430</w:t>
      </w:r>
    </w:p>
    <w:p w14:paraId="04C3350A" w14:textId="77777777" w:rsidR="003A1B00" w:rsidRDefault="003A1B00" w:rsidP="004A1C15">
      <w:pPr>
        <w:tabs>
          <w:tab w:val="right" w:pos="9029"/>
        </w:tabs>
        <w:spacing w:after="0" w:line="240" w:lineRule="auto"/>
        <w:ind w:left="0"/>
        <w:rPr>
          <w:rFonts w:eastAsia="Times New Roman" w:cs="Arial"/>
          <w:szCs w:val="24"/>
          <w:lang w:val="en-ZA"/>
        </w:rPr>
      </w:pPr>
    </w:p>
    <w:p w14:paraId="177B2326" w14:textId="4EF4147F" w:rsidR="004A1C15" w:rsidRPr="00422DCC" w:rsidRDefault="004A1C15" w:rsidP="004A1C15">
      <w:pPr>
        <w:tabs>
          <w:tab w:val="right" w:pos="9029"/>
        </w:tabs>
        <w:spacing w:after="0" w:line="240" w:lineRule="auto"/>
        <w:ind w:left="0"/>
        <w:rPr>
          <w:rFonts w:eastAsia="Times New Roman" w:cs="Arial"/>
          <w:szCs w:val="24"/>
          <w:lang w:val="en-ZA"/>
        </w:rPr>
      </w:pPr>
      <w:r w:rsidRPr="00422DCC">
        <w:rPr>
          <w:rFonts w:cs="Arial"/>
          <w:noProof/>
          <w:szCs w:val="24"/>
          <w:lang w:val="en-US"/>
        </w:rPr>
        <mc:AlternateContent>
          <mc:Choice Requires="wps">
            <w:drawing>
              <wp:anchor distT="0" distB="0" distL="114300" distR="114300" simplePos="0" relativeHeight="251659264" behindDoc="0" locked="0" layoutInCell="1" allowOverlap="1" wp14:anchorId="7808B865" wp14:editId="0196F401">
                <wp:simplePos x="0" y="0"/>
                <wp:positionH relativeFrom="margin">
                  <wp:align>left</wp:align>
                </wp:positionH>
                <wp:positionV relativeFrom="paragraph">
                  <wp:posOffset>23495</wp:posOffset>
                </wp:positionV>
                <wp:extent cx="3314700" cy="1371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38DE2AF2" w14:textId="4CDE14DB" w:rsidR="004A1C15" w:rsidRPr="00C344A5" w:rsidRDefault="00142179" w:rsidP="00142179">
                            <w:pPr>
                              <w:tabs>
                                <w:tab w:val="left" w:pos="900"/>
                              </w:tabs>
                              <w:spacing w:after="0" w:line="240" w:lineRule="auto"/>
                              <w:ind w:left="900" w:hanging="720"/>
                              <w:jc w:val="left"/>
                              <w:rPr>
                                <w:rFonts w:cs="Arial"/>
                                <w:sz w:val="18"/>
                                <w:szCs w:val="20"/>
                              </w:rPr>
                            </w:pPr>
                            <w:r w:rsidRPr="00C344A5">
                              <w:rPr>
                                <w:rFonts w:cs="Arial"/>
                                <w:sz w:val="18"/>
                                <w:szCs w:val="20"/>
                              </w:rPr>
                              <w:t>(1)</w:t>
                            </w:r>
                            <w:r w:rsidRPr="00C344A5">
                              <w:rPr>
                                <w:rFonts w:cs="Arial"/>
                                <w:sz w:val="18"/>
                                <w:szCs w:val="20"/>
                              </w:rPr>
                              <w:tab/>
                            </w:r>
                            <w:r w:rsidR="004A1C15" w:rsidRPr="00C344A5">
                              <w:rPr>
                                <w:rFonts w:cs="Arial"/>
                                <w:sz w:val="18"/>
                                <w:szCs w:val="20"/>
                              </w:rPr>
                              <w:t>REPORTABLE: NO</w:t>
                            </w:r>
                          </w:p>
                          <w:p w14:paraId="3E225231" w14:textId="44FD84D7" w:rsidR="004A1C15" w:rsidRPr="00C344A5" w:rsidRDefault="00142179" w:rsidP="00142179">
                            <w:pPr>
                              <w:tabs>
                                <w:tab w:val="left" w:pos="900"/>
                              </w:tabs>
                              <w:spacing w:after="0" w:line="240" w:lineRule="auto"/>
                              <w:ind w:left="900" w:hanging="720"/>
                              <w:jc w:val="left"/>
                              <w:rPr>
                                <w:rFonts w:cs="Arial"/>
                                <w:sz w:val="18"/>
                                <w:szCs w:val="20"/>
                              </w:rPr>
                            </w:pPr>
                            <w:r w:rsidRPr="00C344A5">
                              <w:rPr>
                                <w:rFonts w:cs="Arial"/>
                                <w:sz w:val="18"/>
                                <w:szCs w:val="20"/>
                              </w:rPr>
                              <w:t>(2)</w:t>
                            </w:r>
                            <w:r w:rsidRPr="00C344A5">
                              <w:rPr>
                                <w:rFonts w:cs="Arial"/>
                                <w:sz w:val="18"/>
                                <w:szCs w:val="20"/>
                              </w:rPr>
                              <w:tab/>
                            </w:r>
                            <w:r w:rsidR="004A1C15" w:rsidRPr="00C344A5">
                              <w:rPr>
                                <w:rFonts w:cs="Arial"/>
                                <w:sz w:val="18"/>
                                <w:szCs w:val="20"/>
                              </w:rPr>
                              <w:t>OF INTEREST TO OTHER JUDGES: NO</w:t>
                            </w:r>
                          </w:p>
                          <w:p w14:paraId="45B7F831" w14:textId="00688686" w:rsidR="004A1C15" w:rsidRDefault="00142179" w:rsidP="00142179">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4A1C15" w:rsidRPr="00C344A5">
                              <w:rPr>
                                <w:rFonts w:cs="Arial"/>
                                <w:sz w:val="18"/>
                                <w:szCs w:val="20"/>
                              </w:rPr>
                              <w:t xml:space="preserve">REVISED: </w:t>
                            </w:r>
                            <w:r w:rsidR="004A1C15">
                              <w:rPr>
                                <w:rFonts w:cs="Arial"/>
                                <w:sz w:val="18"/>
                                <w:szCs w:val="20"/>
                              </w:rPr>
                              <w:t>YES</w:t>
                            </w:r>
                          </w:p>
                          <w:p w14:paraId="3DB95A33" w14:textId="77777777" w:rsidR="004A1C15" w:rsidRPr="00422DCC" w:rsidRDefault="004A1C15" w:rsidP="004A1C15">
                            <w:pPr>
                              <w:pStyle w:val="JudgmentNumbered"/>
                              <w:numPr>
                                <w:ilvl w:val="0"/>
                                <w:numId w:val="0"/>
                              </w:numPr>
                              <w:spacing w:after="0"/>
                              <w:ind w:left="567"/>
                            </w:pPr>
                          </w:p>
                          <w:p w14:paraId="0AC62DAC" w14:textId="6744C655" w:rsidR="004A1C15" w:rsidRPr="00C344A5" w:rsidRDefault="000301B0" w:rsidP="000301B0">
                            <w:pPr>
                              <w:ind w:left="0"/>
                              <w:rPr>
                                <w:rFonts w:cs="Arial"/>
                                <w:b/>
                                <w:sz w:val="18"/>
                                <w:szCs w:val="20"/>
                              </w:rPr>
                            </w:pPr>
                            <w:r>
                              <w:rPr>
                                <w:rFonts w:cs="Arial"/>
                                <w:b/>
                                <w:sz w:val="18"/>
                                <w:szCs w:val="20"/>
                              </w:rPr>
                              <w:t xml:space="preserve">         </w:t>
                            </w:r>
                            <w:r w:rsidR="00E4349D">
                              <w:rPr>
                                <w:rFonts w:cs="Arial"/>
                                <w:b/>
                                <w:sz w:val="18"/>
                                <w:szCs w:val="20"/>
                              </w:rPr>
                              <w:t>13</w:t>
                            </w:r>
                            <w:r>
                              <w:rPr>
                                <w:rFonts w:cs="Arial"/>
                                <w:b/>
                                <w:sz w:val="18"/>
                                <w:szCs w:val="20"/>
                              </w:rPr>
                              <w:t xml:space="preserve"> </w:t>
                            </w:r>
                            <w:r w:rsidR="00F40E2D">
                              <w:rPr>
                                <w:rFonts w:cs="Arial"/>
                                <w:b/>
                                <w:sz w:val="18"/>
                                <w:szCs w:val="20"/>
                              </w:rPr>
                              <w:t>/09/</w:t>
                            </w:r>
                            <w:r w:rsidR="004A1C15">
                              <w:rPr>
                                <w:rFonts w:cs="Arial"/>
                                <w:b/>
                                <w:sz w:val="18"/>
                                <w:szCs w:val="20"/>
                              </w:rPr>
                              <w:t>2023</w:t>
                            </w:r>
                            <w:r w:rsidR="004A1C15" w:rsidRPr="00C344A5">
                              <w:rPr>
                                <w:rFonts w:cs="Arial"/>
                                <w:b/>
                                <w:sz w:val="18"/>
                                <w:szCs w:val="20"/>
                              </w:rPr>
                              <w:tab/>
                            </w:r>
                            <w:r>
                              <w:rPr>
                                <w:rFonts w:cs="Arial"/>
                                <w:b/>
                                <w:sz w:val="18"/>
                                <w:szCs w:val="20"/>
                              </w:rPr>
                              <w:tab/>
                            </w:r>
                            <w:r w:rsidR="004A1C15">
                              <w:rPr>
                                <w:rFonts w:cs="Arial"/>
                                <w:b/>
                                <w:sz w:val="18"/>
                                <w:szCs w:val="20"/>
                              </w:rPr>
                              <w:tab/>
                              <w:t xml:space="preserve">     </w:t>
                            </w:r>
                            <w:r w:rsidR="004A1C15" w:rsidRPr="00C344A5">
                              <w:rPr>
                                <w:rFonts w:cs="Arial"/>
                                <w:b/>
                                <w:sz w:val="18"/>
                                <w:szCs w:val="20"/>
                              </w:rPr>
                              <w:t>_________________</w:t>
                            </w:r>
                          </w:p>
                          <w:p w14:paraId="6FD2DC79" w14:textId="77777777" w:rsidR="004A1C15" w:rsidRPr="00C344A5" w:rsidRDefault="004A1C15" w:rsidP="004A1C15">
                            <w:pPr>
                              <w:rPr>
                                <w:rFonts w:cs="Arial"/>
                                <w:sz w:val="18"/>
                                <w:szCs w:val="20"/>
                              </w:rPr>
                            </w:pPr>
                            <w:r w:rsidRPr="00C344A5">
                              <w:rPr>
                                <w:rFonts w:cs="Arial"/>
                                <w:sz w:val="18"/>
                                <w:szCs w:val="20"/>
                              </w:rPr>
                              <w:t>DATE</w:t>
                            </w:r>
                            <w:r w:rsidRPr="00C344A5">
                              <w:rPr>
                                <w:rFonts w:cs="Arial"/>
                                <w:sz w:val="18"/>
                                <w:szCs w:val="20"/>
                              </w:rPr>
                              <w:tab/>
                            </w:r>
                            <w:r w:rsidRPr="00C344A5">
                              <w:rPr>
                                <w:rFonts w:cs="Arial"/>
                                <w:sz w:val="18"/>
                                <w:szCs w:val="20"/>
                              </w:rPr>
                              <w:tab/>
                            </w:r>
                            <w:r w:rsidRPr="00C344A5">
                              <w:rPr>
                                <w:rFonts w:cs="Arial"/>
                                <w:sz w:val="18"/>
                                <w:szCs w:val="20"/>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8B865" id="_x0000_t202" coordsize="21600,21600" o:spt="202" path="m,l,21600r21600,l21600,xe">
                <v:stroke joinstyle="miter"/>
                <v:path gradientshapeok="t" o:connecttype="rect"/>
              </v:shapetype>
              <v:shape id="Text Box 2" o:spid="_x0000_s1026" type="#_x0000_t202" style="position:absolute;left:0;text-align:left;margin-left:0;margin-top:1.85pt;width:261pt;height:10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eVKQIAAFE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">
                <v:textbox>
                  <w:txbxContent>
                    <w:p w14:paraId="38DE2AF2" w14:textId="4CDE14DB" w:rsidR="004A1C15" w:rsidRPr="00C344A5" w:rsidRDefault="00142179" w:rsidP="00142179">
                      <w:pPr>
                        <w:tabs>
                          <w:tab w:val="left" w:pos="900"/>
                        </w:tabs>
                        <w:spacing w:after="0" w:line="240" w:lineRule="auto"/>
                        <w:ind w:left="900" w:hanging="720"/>
                        <w:jc w:val="left"/>
                        <w:rPr>
                          <w:rFonts w:cs="Arial"/>
                          <w:sz w:val="18"/>
                          <w:szCs w:val="20"/>
                        </w:rPr>
                      </w:pPr>
                      <w:r w:rsidRPr="00C344A5">
                        <w:rPr>
                          <w:rFonts w:cs="Arial"/>
                          <w:sz w:val="18"/>
                          <w:szCs w:val="20"/>
                        </w:rPr>
                        <w:t>(1)</w:t>
                      </w:r>
                      <w:r w:rsidRPr="00C344A5">
                        <w:rPr>
                          <w:rFonts w:cs="Arial"/>
                          <w:sz w:val="18"/>
                          <w:szCs w:val="20"/>
                        </w:rPr>
                        <w:tab/>
                      </w:r>
                      <w:r w:rsidR="004A1C15" w:rsidRPr="00C344A5">
                        <w:rPr>
                          <w:rFonts w:cs="Arial"/>
                          <w:sz w:val="18"/>
                          <w:szCs w:val="20"/>
                        </w:rPr>
                        <w:t>REPORTABLE: NO</w:t>
                      </w:r>
                    </w:p>
                    <w:p w14:paraId="3E225231" w14:textId="44FD84D7" w:rsidR="004A1C15" w:rsidRPr="00C344A5" w:rsidRDefault="00142179" w:rsidP="00142179">
                      <w:pPr>
                        <w:tabs>
                          <w:tab w:val="left" w:pos="900"/>
                        </w:tabs>
                        <w:spacing w:after="0" w:line="240" w:lineRule="auto"/>
                        <w:ind w:left="900" w:hanging="720"/>
                        <w:jc w:val="left"/>
                        <w:rPr>
                          <w:rFonts w:cs="Arial"/>
                          <w:sz w:val="18"/>
                          <w:szCs w:val="20"/>
                        </w:rPr>
                      </w:pPr>
                      <w:r w:rsidRPr="00C344A5">
                        <w:rPr>
                          <w:rFonts w:cs="Arial"/>
                          <w:sz w:val="18"/>
                          <w:szCs w:val="20"/>
                        </w:rPr>
                        <w:t>(2)</w:t>
                      </w:r>
                      <w:r w:rsidRPr="00C344A5">
                        <w:rPr>
                          <w:rFonts w:cs="Arial"/>
                          <w:sz w:val="18"/>
                          <w:szCs w:val="20"/>
                        </w:rPr>
                        <w:tab/>
                      </w:r>
                      <w:r w:rsidR="004A1C15" w:rsidRPr="00C344A5">
                        <w:rPr>
                          <w:rFonts w:cs="Arial"/>
                          <w:sz w:val="18"/>
                          <w:szCs w:val="20"/>
                        </w:rPr>
                        <w:t>OF INTEREST TO OTHER JUDGES: NO</w:t>
                      </w:r>
                    </w:p>
                    <w:p w14:paraId="45B7F831" w14:textId="00688686" w:rsidR="004A1C15" w:rsidRDefault="00142179" w:rsidP="00142179">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4A1C15" w:rsidRPr="00C344A5">
                        <w:rPr>
                          <w:rFonts w:cs="Arial"/>
                          <w:sz w:val="18"/>
                          <w:szCs w:val="20"/>
                        </w:rPr>
                        <w:t xml:space="preserve">REVISED: </w:t>
                      </w:r>
                      <w:r w:rsidR="004A1C15">
                        <w:rPr>
                          <w:rFonts w:cs="Arial"/>
                          <w:sz w:val="18"/>
                          <w:szCs w:val="20"/>
                        </w:rPr>
                        <w:t>YES</w:t>
                      </w:r>
                    </w:p>
                    <w:p w14:paraId="3DB95A33" w14:textId="77777777" w:rsidR="004A1C15" w:rsidRPr="00422DCC" w:rsidRDefault="004A1C15" w:rsidP="004A1C15">
                      <w:pPr>
                        <w:pStyle w:val="JudgmentNumbered"/>
                        <w:numPr>
                          <w:ilvl w:val="0"/>
                          <w:numId w:val="0"/>
                        </w:numPr>
                        <w:spacing w:after="0"/>
                        <w:ind w:left="567"/>
                      </w:pPr>
                    </w:p>
                    <w:p w14:paraId="0AC62DAC" w14:textId="6744C655" w:rsidR="004A1C15" w:rsidRPr="00C344A5" w:rsidRDefault="000301B0" w:rsidP="000301B0">
                      <w:pPr>
                        <w:ind w:left="0"/>
                        <w:rPr>
                          <w:rFonts w:cs="Arial"/>
                          <w:b/>
                          <w:sz w:val="18"/>
                          <w:szCs w:val="20"/>
                        </w:rPr>
                      </w:pPr>
                      <w:r>
                        <w:rPr>
                          <w:rFonts w:cs="Arial"/>
                          <w:b/>
                          <w:sz w:val="18"/>
                          <w:szCs w:val="20"/>
                        </w:rPr>
                        <w:t xml:space="preserve">         </w:t>
                      </w:r>
                      <w:r w:rsidR="00E4349D">
                        <w:rPr>
                          <w:rFonts w:cs="Arial"/>
                          <w:b/>
                          <w:sz w:val="18"/>
                          <w:szCs w:val="20"/>
                        </w:rPr>
                        <w:t>13</w:t>
                      </w:r>
                      <w:r>
                        <w:rPr>
                          <w:rFonts w:cs="Arial"/>
                          <w:b/>
                          <w:sz w:val="18"/>
                          <w:szCs w:val="20"/>
                        </w:rPr>
                        <w:t xml:space="preserve"> </w:t>
                      </w:r>
                      <w:r w:rsidR="00F40E2D">
                        <w:rPr>
                          <w:rFonts w:cs="Arial"/>
                          <w:b/>
                          <w:sz w:val="18"/>
                          <w:szCs w:val="20"/>
                        </w:rPr>
                        <w:t>/09/</w:t>
                      </w:r>
                      <w:r w:rsidR="004A1C15">
                        <w:rPr>
                          <w:rFonts w:cs="Arial"/>
                          <w:b/>
                          <w:sz w:val="18"/>
                          <w:szCs w:val="20"/>
                        </w:rPr>
                        <w:t>2023</w:t>
                      </w:r>
                      <w:r w:rsidR="004A1C15" w:rsidRPr="00C344A5">
                        <w:rPr>
                          <w:rFonts w:cs="Arial"/>
                          <w:b/>
                          <w:sz w:val="18"/>
                          <w:szCs w:val="20"/>
                        </w:rPr>
                        <w:tab/>
                      </w:r>
                      <w:r>
                        <w:rPr>
                          <w:rFonts w:cs="Arial"/>
                          <w:b/>
                          <w:sz w:val="18"/>
                          <w:szCs w:val="20"/>
                        </w:rPr>
                        <w:tab/>
                      </w:r>
                      <w:r w:rsidR="004A1C15">
                        <w:rPr>
                          <w:rFonts w:cs="Arial"/>
                          <w:b/>
                          <w:sz w:val="18"/>
                          <w:szCs w:val="20"/>
                        </w:rPr>
                        <w:tab/>
                        <w:t xml:space="preserve">     </w:t>
                      </w:r>
                      <w:r w:rsidR="004A1C15" w:rsidRPr="00C344A5">
                        <w:rPr>
                          <w:rFonts w:cs="Arial"/>
                          <w:b/>
                          <w:sz w:val="18"/>
                          <w:szCs w:val="20"/>
                        </w:rPr>
                        <w:t>_________________</w:t>
                      </w:r>
                    </w:p>
                    <w:p w14:paraId="6FD2DC79" w14:textId="77777777" w:rsidR="004A1C15" w:rsidRPr="00C344A5" w:rsidRDefault="004A1C15" w:rsidP="004A1C15">
                      <w:pPr>
                        <w:rPr>
                          <w:rFonts w:cs="Arial"/>
                          <w:sz w:val="18"/>
                          <w:szCs w:val="20"/>
                        </w:rPr>
                      </w:pPr>
                      <w:r w:rsidRPr="00C344A5">
                        <w:rPr>
                          <w:rFonts w:cs="Arial"/>
                          <w:sz w:val="18"/>
                          <w:szCs w:val="20"/>
                        </w:rPr>
                        <w:t>DATE</w:t>
                      </w:r>
                      <w:r w:rsidRPr="00C344A5">
                        <w:rPr>
                          <w:rFonts w:cs="Arial"/>
                          <w:sz w:val="18"/>
                          <w:szCs w:val="20"/>
                        </w:rPr>
                        <w:tab/>
                      </w:r>
                      <w:r w:rsidRPr="00C344A5">
                        <w:rPr>
                          <w:rFonts w:cs="Arial"/>
                          <w:sz w:val="18"/>
                          <w:szCs w:val="20"/>
                        </w:rPr>
                        <w:tab/>
                      </w:r>
                      <w:r w:rsidRPr="00C344A5">
                        <w:rPr>
                          <w:rFonts w:cs="Arial"/>
                          <w:sz w:val="18"/>
                          <w:szCs w:val="20"/>
                        </w:rPr>
                        <w:tab/>
                        <w:t>SIGNATURE</w:t>
                      </w:r>
                    </w:p>
                  </w:txbxContent>
                </v:textbox>
                <w10:wrap anchorx="margin"/>
              </v:shape>
            </w:pict>
          </mc:Fallback>
        </mc:AlternateContent>
      </w:r>
    </w:p>
    <w:p w14:paraId="6A0035D4" w14:textId="77777777" w:rsidR="004A1C15" w:rsidRPr="00422DCC" w:rsidRDefault="004A1C15" w:rsidP="004A1C15">
      <w:pPr>
        <w:tabs>
          <w:tab w:val="left" w:pos="8998"/>
        </w:tabs>
        <w:spacing w:after="0" w:line="240" w:lineRule="auto"/>
        <w:ind w:left="0"/>
        <w:rPr>
          <w:rFonts w:eastAsia="Times New Roman" w:cs="Arial"/>
          <w:szCs w:val="24"/>
          <w:lang w:val="en-ZA"/>
        </w:rPr>
      </w:pPr>
    </w:p>
    <w:p w14:paraId="251DFBBB" w14:textId="77777777" w:rsidR="004A1C15" w:rsidRPr="00422DCC" w:rsidRDefault="004A1C15" w:rsidP="004A1C15">
      <w:pPr>
        <w:tabs>
          <w:tab w:val="left" w:pos="8998"/>
        </w:tabs>
        <w:spacing w:after="0" w:line="240" w:lineRule="auto"/>
        <w:ind w:left="0"/>
        <w:rPr>
          <w:rFonts w:eastAsia="Times New Roman" w:cs="Arial"/>
          <w:szCs w:val="24"/>
          <w:lang w:val="en-ZA"/>
        </w:rPr>
      </w:pPr>
    </w:p>
    <w:p w14:paraId="0A4EF620" w14:textId="77777777" w:rsidR="004A1C15" w:rsidRPr="00422DCC" w:rsidRDefault="004A1C15" w:rsidP="004A1C15">
      <w:pPr>
        <w:tabs>
          <w:tab w:val="left" w:pos="8998"/>
        </w:tabs>
        <w:spacing w:after="0" w:line="240" w:lineRule="auto"/>
        <w:ind w:left="0"/>
        <w:rPr>
          <w:rFonts w:eastAsia="Times New Roman" w:cs="Arial"/>
          <w:szCs w:val="24"/>
          <w:lang w:val="en-ZA"/>
        </w:rPr>
      </w:pPr>
      <w:r w:rsidRPr="00422DCC">
        <w:rPr>
          <w:rFonts w:eastAsia="Times New Roman" w:cs="Arial"/>
          <w:szCs w:val="24"/>
          <w:lang w:val="en-ZA"/>
        </w:rPr>
        <w:t>In the matter between:</w:t>
      </w:r>
    </w:p>
    <w:p w14:paraId="1244DE27" w14:textId="77777777" w:rsidR="004A1C15" w:rsidRPr="00422DCC" w:rsidRDefault="004A1C15" w:rsidP="004A1C15">
      <w:pPr>
        <w:tabs>
          <w:tab w:val="right" w:pos="9029"/>
        </w:tabs>
        <w:spacing w:after="0" w:line="240" w:lineRule="auto"/>
        <w:ind w:left="0"/>
        <w:rPr>
          <w:rFonts w:eastAsia="Times New Roman" w:cs="Arial"/>
          <w:szCs w:val="24"/>
          <w:lang w:val="en-ZA"/>
        </w:rPr>
      </w:pPr>
    </w:p>
    <w:p w14:paraId="770B3E4E" w14:textId="77777777" w:rsidR="004A1C15" w:rsidRPr="00422DCC" w:rsidRDefault="004A1C15" w:rsidP="004A1C15">
      <w:pPr>
        <w:tabs>
          <w:tab w:val="right" w:pos="9029"/>
        </w:tabs>
        <w:spacing w:after="0" w:line="240" w:lineRule="auto"/>
        <w:ind w:left="0"/>
        <w:rPr>
          <w:rFonts w:eastAsia="Times New Roman" w:cs="Arial"/>
          <w:szCs w:val="24"/>
          <w:lang w:val="en-ZA"/>
        </w:rPr>
      </w:pPr>
    </w:p>
    <w:p w14:paraId="056222C3" w14:textId="77777777" w:rsidR="004A1C15" w:rsidRPr="00422DCC" w:rsidRDefault="004A1C15" w:rsidP="004A1C15">
      <w:pPr>
        <w:tabs>
          <w:tab w:val="right" w:pos="9029"/>
        </w:tabs>
        <w:spacing w:after="0" w:line="240" w:lineRule="auto"/>
        <w:ind w:left="0"/>
        <w:contextualSpacing/>
        <w:rPr>
          <w:rFonts w:eastAsia="Times New Roman" w:cs="Arial"/>
          <w:b/>
          <w:szCs w:val="24"/>
          <w:lang w:val="en-ZA"/>
        </w:rPr>
      </w:pPr>
    </w:p>
    <w:p w14:paraId="20DC4006" w14:textId="77777777" w:rsidR="004A1C15" w:rsidRPr="00422DCC" w:rsidRDefault="004A1C15" w:rsidP="004A1C15">
      <w:pPr>
        <w:tabs>
          <w:tab w:val="right" w:pos="9029"/>
        </w:tabs>
        <w:spacing w:after="0" w:line="240" w:lineRule="auto"/>
        <w:ind w:left="0"/>
        <w:contextualSpacing/>
        <w:rPr>
          <w:rFonts w:eastAsia="Times New Roman" w:cs="Arial"/>
          <w:b/>
          <w:szCs w:val="24"/>
          <w:lang w:val="en-ZA"/>
        </w:rPr>
      </w:pPr>
    </w:p>
    <w:p w14:paraId="3C90EDF6" w14:textId="77777777" w:rsidR="004A1C15" w:rsidRPr="00422DCC" w:rsidRDefault="004A1C15" w:rsidP="004A1C15">
      <w:pPr>
        <w:tabs>
          <w:tab w:val="right" w:pos="9029"/>
        </w:tabs>
        <w:spacing w:after="0" w:line="240" w:lineRule="auto"/>
        <w:ind w:left="0"/>
        <w:contextualSpacing/>
        <w:rPr>
          <w:rFonts w:eastAsia="Times New Roman" w:cs="Arial"/>
          <w:b/>
          <w:szCs w:val="24"/>
          <w:lang w:val="en-ZA"/>
        </w:rPr>
      </w:pPr>
    </w:p>
    <w:p w14:paraId="1F05D0A8" w14:textId="77777777" w:rsidR="004A1C15" w:rsidRPr="00422DCC" w:rsidRDefault="004A1C15" w:rsidP="004A1C15">
      <w:pPr>
        <w:tabs>
          <w:tab w:val="right" w:pos="9029"/>
        </w:tabs>
        <w:spacing w:after="0" w:line="240" w:lineRule="auto"/>
        <w:ind w:left="0"/>
        <w:contextualSpacing/>
        <w:rPr>
          <w:rFonts w:eastAsia="Times New Roman" w:cs="Arial"/>
          <w:szCs w:val="24"/>
          <w:lang w:val="en-ZA"/>
        </w:rPr>
      </w:pPr>
      <w:r w:rsidRPr="00422DCC">
        <w:rPr>
          <w:rFonts w:eastAsia="Times New Roman" w:cs="Arial"/>
          <w:szCs w:val="24"/>
          <w:lang w:val="en-ZA"/>
        </w:rPr>
        <w:t>In the matter between:</w:t>
      </w:r>
    </w:p>
    <w:p w14:paraId="3D229226" w14:textId="77777777" w:rsidR="004A1C15" w:rsidRPr="00422DCC" w:rsidRDefault="004A1C15" w:rsidP="004A1C15">
      <w:pPr>
        <w:tabs>
          <w:tab w:val="right" w:pos="9029"/>
        </w:tabs>
        <w:spacing w:after="0" w:line="240" w:lineRule="auto"/>
        <w:ind w:left="0"/>
        <w:contextualSpacing/>
        <w:rPr>
          <w:rFonts w:eastAsia="Times New Roman" w:cs="Arial"/>
          <w:b/>
          <w:szCs w:val="24"/>
          <w:lang w:val="en-ZA"/>
        </w:rPr>
      </w:pPr>
    </w:p>
    <w:p w14:paraId="724DA2D4" w14:textId="77777777" w:rsidR="004A1C15" w:rsidRPr="00422DCC" w:rsidRDefault="004A1C15" w:rsidP="004A1C15">
      <w:pPr>
        <w:tabs>
          <w:tab w:val="right" w:pos="9029"/>
        </w:tabs>
        <w:spacing w:after="0" w:line="240" w:lineRule="auto"/>
        <w:ind w:left="0"/>
        <w:contextualSpacing/>
        <w:rPr>
          <w:rFonts w:eastAsia="Times New Roman" w:cs="Arial"/>
          <w:b/>
          <w:szCs w:val="24"/>
          <w:lang w:val="en-ZA"/>
        </w:rPr>
      </w:pPr>
    </w:p>
    <w:p w14:paraId="276C95DB" w14:textId="430E89E9" w:rsidR="004A1C15" w:rsidRDefault="000301B0" w:rsidP="003A1B00">
      <w:pPr>
        <w:tabs>
          <w:tab w:val="right" w:pos="9029"/>
        </w:tabs>
        <w:spacing w:after="0" w:line="240" w:lineRule="auto"/>
        <w:ind w:left="0"/>
        <w:contextualSpacing/>
        <w:rPr>
          <w:rFonts w:eastAsia="Times New Roman" w:cs="Arial"/>
          <w:szCs w:val="24"/>
          <w:lang w:val="en-ZA"/>
        </w:rPr>
      </w:pPr>
      <w:r w:rsidRPr="000301B0">
        <w:rPr>
          <w:rFonts w:eastAsia="Times New Roman" w:cs="Arial"/>
          <w:b/>
          <w:szCs w:val="24"/>
          <w:lang w:val="en-ZA"/>
        </w:rPr>
        <w:t>TAX CONSULTING SOUTH AFRICA</w:t>
      </w:r>
      <w:r w:rsidR="004A1C15">
        <w:rPr>
          <w:rFonts w:eastAsia="Times New Roman" w:cs="Arial"/>
          <w:b/>
          <w:szCs w:val="24"/>
          <w:lang w:val="en-ZA"/>
        </w:rPr>
        <w:t xml:space="preserve">            </w:t>
      </w:r>
      <w:r>
        <w:rPr>
          <w:rFonts w:eastAsia="Times New Roman" w:cs="Arial"/>
          <w:b/>
          <w:szCs w:val="24"/>
          <w:lang w:val="en-ZA"/>
        </w:rPr>
        <w:t xml:space="preserve">                              </w:t>
      </w:r>
      <w:r w:rsidR="004A1C15">
        <w:rPr>
          <w:rFonts w:eastAsia="Times New Roman" w:cs="Arial"/>
          <w:b/>
          <w:szCs w:val="24"/>
          <w:lang w:val="en-ZA"/>
        </w:rPr>
        <w:t xml:space="preserve"> </w:t>
      </w:r>
      <w:r w:rsidR="00575048">
        <w:rPr>
          <w:rFonts w:eastAsia="Times New Roman" w:cs="Arial"/>
          <w:b/>
          <w:szCs w:val="24"/>
          <w:lang w:val="en-ZA"/>
        </w:rPr>
        <w:t xml:space="preserve">        </w:t>
      </w:r>
      <w:r w:rsidR="004A1C15">
        <w:rPr>
          <w:rFonts w:eastAsia="Times New Roman" w:cs="Arial"/>
          <w:szCs w:val="24"/>
          <w:lang w:val="en-ZA"/>
        </w:rPr>
        <w:t xml:space="preserve">First </w:t>
      </w:r>
      <w:r w:rsidR="004A1C15" w:rsidRPr="00422DCC">
        <w:rPr>
          <w:rFonts w:eastAsia="Times New Roman" w:cs="Arial"/>
          <w:szCs w:val="24"/>
          <w:lang w:val="en-ZA"/>
        </w:rPr>
        <w:t>Ap</w:t>
      </w:r>
      <w:r w:rsidR="00575048">
        <w:rPr>
          <w:rFonts w:eastAsia="Times New Roman" w:cs="Arial"/>
          <w:szCs w:val="24"/>
          <w:lang w:val="en-ZA"/>
        </w:rPr>
        <w:t xml:space="preserve">pellant </w:t>
      </w:r>
    </w:p>
    <w:p w14:paraId="0BBDA956" w14:textId="77777777" w:rsidR="000301B0" w:rsidRPr="000301B0" w:rsidRDefault="000301B0" w:rsidP="003A1B00">
      <w:pPr>
        <w:pStyle w:val="JudgmentNumbered"/>
        <w:numPr>
          <w:ilvl w:val="0"/>
          <w:numId w:val="0"/>
        </w:numPr>
        <w:spacing w:after="0" w:line="240" w:lineRule="auto"/>
        <w:rPr>
          <w:lang w:val="en-ZA"/>
        </w:rPr>
      </w:pPr>
    </w:p>
    <w:p w14:paraId="0615F341" w14:textId="1A84D215" w:rsidR="004A1C15" w:rsidRDefault="000301B0" w:rsidP="00A45BEF">
      <w:pPr>
        <w:pStyle w:val="JudgmentNumbered"/>
        <w:numPr>
          <w:ilvl w:val="0"/>
          <w:numId w:val="0"/>
        </w:numPr>
        <w:spacing w:line="240" w:lineRule="auto"/>
        <w:ind w:left="567" w:hanging="567"/>
        <w:rPr>
          <w:lang w:val="en-ZA"/>
        </w:rPr>
      </w:pPr>
      <w:r w:rsidRPr="000301B0">
        <w:rPr>
          <w:b/>
          <w:lang w:val="en-ZA"/>
        </w:rPr>
        <w:t>XPATWEB (PTY) LTD</w:t>
      </w:r>
      <w:r w:rsidR="004A1C15">
        <w:rPr>
          <w:b/>
          <w:lang w:val="en-ZA"/>
        </w:rPr>
        <w:tab/>
      </w:r>
      <w:r w:rsidR="004A1C15">
        <w:rPr>
          <w:b/>
          <w:lang w:val="en-ZA"/>
        </w:rPr>
        <w:tab/>
      </w:r>
      <w:r w:rsidR="004A1C15">
        <w:rPr>
          <w:b/>
          <w:lang w:val="en-ZA"/>
        </w:rPr>
        <w:tab/>
      </w:r>
      <w:r w:rsidR="004A1C15">
        <w:rPr>
          <w:b/>
          <w:lang w:val="en-ZA"/>
        </w:rPr>
        <w:tab/>
        <w:t xml:space="preserve">                          </w:t>
      </w:r>
      <w:r>
        <w:rPr>
          <w:b/>
          <w:lang w:val="en-ZA"/>
        </w:rPr>
        <w:t xml:space="preserve"> </w:t>
      </w:r>
      <w:r w:rsidR="00575048">
        <w:rPr>
          <w:b/>
          <w:lang w:val="en-ZA"/>
        </w:rPr>
        <w:t xml:space="preserve">    </w:t>
      </w:r>
      <w:r w:rsidR="004A1C15">
        <w:rPr>
          <w:lang w:val="en-ZA"/>
        </w:rPr>
        <w:t>Second App</w:t>
      </w:r>
      <w:r w:rsidR="00575048">
        <w:rPr>
          <w:lang w:val="en-ZA"/>
        </w:rPr>
        <w:t>ellant</w:t>
      </w:r>
    </w:p>
    <w:p w14:paraId="453B7F48" w14:textId="5BF507AB" w:rsidR="004A1C15" w:rsidRPr="00EE7850" w:rsidRDefault="004A1C15" w:rsidP="00E4349D">
      <w:pPr>
        <w:pStyle w:val="JudgmentNumbered"/>
        <w:numPr>
          <w:ilvl w:val="0"/>
          <w:numId w:val="0"/>
        </w:numPr>
        <w:spacing w:line="240" w:lineRule="auto"/>
        <w:rPr>
          <w:rFonts w:eastAsia="Times New Roman"/>
          <w:szCs w:val="24"/>
          <w:lang w:val="en-ZA"/>
        </w:rPr>
      </w:pPr>
      <w:r w:rsidRPr="00422DCC">
        <w:rPr>
          <w:rFonts w:eastAsia="Times New Roman"/>
          <w:szCs w:val="24"/>
          <w:lang w:val="en-ZA"/>
        </w:rPr>
        <w:t>And</w:t>
      </w:r>
    </w:p>
    <w:p w14:paraId="168EC739" w14:textId="77777777" w:rsidR="004A1C15" w:rsidRPr="00422DCC" w:rsidRDefault="004A1C15" w:rsidP="00A45BEF">
      <w:pPr>
        <w:tabs>
          <w:tab w:val="right" w:pos="9029"/>
        </w:tabs>
        <w:spacing w:after="0" w:line="240" w:lineRule="auto"/>
        <w:ind w:left="0"/>
        <w:contextualSpacing/>
        <w:rPr>
          <w:rFonts w:eastAsia="Times New Roman" w:cs="Arial"/>
          <w:szCs w:val="24"/>
          <w:lang w:val="en-ZA"/>
        </w:rPr>
      </w:pPr>
    </w:p>
    <w:p w14:paraId="7E7D95EB" w14:textId="704A8BEA" w:rsidR="004A1C15" w:rsidRDefault="000301B0" w:rsidP="003A1B00">
      <w:pPr>
        <w:tabs>
          <w:tab w:val="right" w:pos="9029"/>
        </w:tabs>
        <w:spacing w:after="0" w:line="240" w:lineRule="auto"/>
        <w:ind w:left="0"/>
        <w:contextualSpacing/>
        <w:rPr>
          <w:rFonts w:eastAsia="Times New Roman" w:cs="Arial"/>
          <w:szCs w:val="24"/>
          <w:lang w:val="en-ZA"/>
        </w:rPr>
      </w:pPr>
      <w:r w:rsidRPr="000301B0">
        <w:rPr>
          <w:rFonts w:cs="Arial"/>
          <w:b/>
          <w:szCs w:val="24"/>
          <w:lang w:val="en-ZA"/>
        </w:rPr>
        <w:t xml:space="preserve">MOEKETSI PERCY SEBOKO </w:t>
      </w:r>
      <w:r w:rsidR="004A1C15">
        <w:rPr>
          <w:rFonts w:cs="Arial"/>
          <w:b/>
          <w:szCs w:val="24"/>
          <w:lang w:val="en-ZA"/>
        </w:rPr>
        <w:t xml:space="preserve">                                                    </w:t>
      </w:r>
      <w:r w:rsidR="00575048">
        <w:rPr>
          <w:rFonts w:cs="Arial"/>
          <w:b/>
          <w:szCs w:val="24"/>
          <w:lang w:val="en-ZA"/>
        </w:rPr>
        <w:t xml:space="preserve">     </w:t>
      </w:r>
      <w:r w:rsidR="004A1C15">
        <w:rPr>
          <w:rFonts w:cs="Arial"/>
          <w:b/>
          <w:szCs w:val="24"/>
          <w:lang w:val="en-ZA"/>
        </w:rPr>
        <w:t xml:space="preserve"> </w:t>
      </w:r>
      <w:r w:rsidRPr="000301B0">
        <w:rPr>
          <w:rFonts w:cs="Arial"/>
          <w:szCs w:val="24"/>
          <w:lang w:val="en-ZA"/>
        </w:rPr>
        <w:t xml:space="preserve">First </w:t>
      </w:r>
      <w:r w:rsidR="004A1C15" w:rsidRPr="00422DCC">
        <w:rPr>
          <w:rFonts w:eastAsia="Times New Roman" w:cs="Arial"/>
          <w:szCs w:val="24"/>
          <w:lang w:val="en-ZA"/>
        </w:rPr>
        <w:t>Respondent</w:t>
      </w:r>
    </w:p>
    <w:p w14:paraId="32ED4BC3" w14:textId="77777777" w:rsidR="000301B0" w:rsidRPr="000301B0" w:rsidRDefault="000301B0" w:rsidP="003A1B00">
      <w:pPr>
        <w:pStyle w:val="JudgmentNumbered"/>
        <w:numPr>
          <w:ilvl w:val="0"/>
          <w:numId w:val="0"/>
        </w:numPr>
        <w:spacing w:after="0" w:line="240" w:lineRule="auto"/>
        <w:ind w:left="567"/>
        <w:rPr>
          <w:lang w:val="en-ZA"/>
        </w:rPr>
      </w:pPr>
    </w:p>
    <w:p w14:paraId="54804730" w14:textId="0FFDBFAD" w:rsidR="000301B0" w:rsidRPr="000301B0" w:rsidRDefault="000301B0" w:rsidP="003A1B00">
      <w:pPr>
        <w:pStyle w:val="JudgmentNumbered"/>
        <w:numPr>
          <w:ilvl w:val="0"/>
          <w:numId w:val="0"/>
        </w:numPr>
        <w:spacing w:after="0" w:line="240" w:lineRule="auto"/>
        <w:ind w:left="567" w:hanging="567"/>
        <w:rPr>
          <w:b/>
          <w:lang w:val="en-ZA"/>
        </w:rPr>
      </w:pPr>
      <w:r w:rsidRPr="000301B0">
        <w:rPr>
          <w:b/>
          <w:lang w:val="en-ZA"/>
        </w:rPr>
        <w:t>MS IM</w:t>
      </w:r>
      <w:r w:rsidR="004B7011">
        <w:rPr>
          <w:b/>
          <w:lang w:val="en-ZA"/>
        </w:rPr>
        <w:t>M</w:t>
      </w:r>
      <w:r w:rsidRPr="000301B0">
        <w:rPr>
          <w:b/>
          <w:lang w:val="en-ZA"/>
        </w:rPr>
        <w:t>IGRATION ADVISORY</w:t>
      </w:r>
      <w:r>
        <w:rPr>
          <w:b/>
          <w:lang w:val="en-ZA"/>
        </w:rPr>
        <w:tab/>
      </w:r>
      <w:r>
        <w:rPr>
          <w:b/>
          <w:lang w:val="en-ZA"/>
        </w:rPr>
        <w:tab/>
      </w:r>
      <w:r>
        <w:rPr>
          <w:b/>
          <w:lang w:val="en-ZA"/>
        </w:rPr>
        <w:tab/>
      </w:r>
      <w:r>
        <w:rPr>
          <w:b/>
          <w:lang w:val="en-ZA"/>
        </w:rPr>
        <w:tab/>
      </w:r>
      <w:r>
        <w:rPr>
          <w:b/>
          <w:lang w:val="en-ZA"/>
        </w:rPr>
        <w:tab/>
        <w:t xml:space="preserve">     </w:t>
      </w:r>
      <w:r>
        <w:rPr>
          <w:lang w:val="en-ZA"/>
        </w:rPr>
        <w:t xml:space="preserve">Second Respondent </w:t>
      </w:r>
      <w:r>
        <w:rPr>
          <w:b/>
          <w:lang w:val="en-ZA"/>
        </w:rPr>
        <w:tab/>
        <w:t xml:space="preserve">         </w:t>
      </w:r>
    </w:p>
    <w:p w14:paraId="5837E3FD" w14:textId="77777777" w:rsidR="004A1C15" w:rsidRDefault="004A1C15" w:rsidP="004A1C15">
      <w:pPr>
        <w:pStyle w:val="JudgmentNumbered"/>
        <w:numPr>
          <w:ilvl w:val="0"/>
          <w:numId w:val="0"/>
        </w:numPr>
        <w:ind w:left="567" w:hanging="567"/>
        <w:rPr>
          <w:lang w:val="en-ZA"/>
        </w:rPr>
      </w:pPr>
    </w:p>
    <w:p w14:paraId="73323BCC" w14:textId="75C2A0DC" w:rsidR="004A1C15" w:rsidRDefault="004A1C15" w:rsidP="004A1C15">
      <w:pPr>
        <w:spacing w:after="160"/>
        <w:ind w:left="0"/>
        <w:rPr>
          <w:rFonts w:eastAsia="Calibri" w:cs="Arial"/>
          <w:kern w:val="2"/>
          <w:szCs w:val="24"/>
          <w:lang w:val="en-ZA"/>
          <w14:ligatures w14:val="standardContextual"/>
        </w:rPr>
      </w:pPr>
      <w:r w:rsidRPr="009A5FAC">
        <w:rPr>
          <w:rFonts w:eastAsia="Calibri" w:cs="Arial"/>
          <w:b/>
          <w:bCs/>
          <w:kern w:val="2"/>
          <w:szCs w:val="24"/>
          <w:lang w:val="en-ZA"/>
          <w14:ligatures w14:val="standardContextual"/>
        </w:rPr>
        <w:t>Delivered</w:t>
      </w:r>
      <w:r w:rsidRPr="009A5FAC">
        <w:rPr>
          <w:rFonts w:eastAsia="Calibri" w:cs="Arial"/>
          <w:kern w:val="2"/>
          <w:szCs w:val="24"/>
          <w:lang w:val="en-ZA"/>
          <w14:ligatures w14:val="standardContextual"/>
        </w:rPr>
        <w:t>: This judgment was handed down electronically by circulation to the parties</w:t>
      </w:r>
      <w:r>
        <w:rPr>
          <w:rFonts w:eastAsia="Calibri" w:cs="Arial"/>
          <w:kern w:val="2"/>
          <w:szCs w:val="24"/>
          <w:lang w:val="en-ZA"/>
          <w14:ligatures w14:val="standardContextual"/>
        </w:rPr>
        <w:t>’</w:t>
      </w:r>
      <w:r w:rsidRPr="009A5FAC">
        <w:rPr>
          <w:rFonts w:eastAsia="Calibri" w:cs="Arial"/>
          <w:kern w:val="2"/>
          <w:szCs w:val="24"/>
          <w:lang w:val="en-ZA"/>
          <w14:ligatures w14:val="standardContextual"/>
        </w:rPr>
        <w:t xml:space="preserve"> representatives by e-mail, uploading to Case lines and release to SAFLII. The date and time for hand down is deemed to be 1</w:t>
      </w:r>
      <w:r w:rsidR="00231A09">
        <w:rPr>
          <w:rFonts w:eastAsia="Calibri" w:cs="Arial"/>
          <w:kern w:val="2"/>
          <w:szCs w:val="24"/>
          <w:lang w:val="en-ZA"/>
          <w14:ligatures w14:val="standardContextual"/>
        </w:rPr>
        <w:t>0</w:t>
      </w:r>
      <w:r w:rsidRPr="009A5FAC">
        <w:rPr>
          <w:rFonts w:eastAsia="Calibri" w:cs="Arial"/>
          <w:kern w:val="2"/>
          <w:szCs w:val="24"/>
          <w:lang w:val="en-ZA"/>
          <w14:ligatures w14:val="standardContextual"/>
        </w:rPr>
        <w:t>h00 on</w:t>
      </w:r>
      <w:r w:rsidR="00E4349D">
        <w:rPr>
          <w:rFonts w:eastAsia="Calibri" w:cs="Arial"/>
          <w:kern w:val="2"/>
          <w:szCs w:val="24"/>
          <w:lang w:val="en-ZA"/>
          <w14:ligatures w14:val="standardContextual"/>
        </w:rPr>
        <w:t xml:space="preserve"> 13 September 2023</w:t>
      </w:r>
      <w:r w:rsidRPr="009A5FAC">
        <w:rPr>
          <w:rFonts w:eastAsia="Calibri" w:cs="Arial"/>
          <w:kern w:val="2"/>
          <w:szCs w:val="24"/>
          <w:lang w:val="en-ZA"/>
          <w14:ligatures w14:val="standardContextual"/>
        </w:rPr>
        <w:t>.</w:t>
      </w:r>
    </w:p>
    <w:p w14:paraId="26C70E69" w14:textId="1D1B47C5" w:rsidR="003A1B00" w:rsidRPr="003A1B00" w:rsidRDefault="00290C1B" w:rsidP="00290C1B">
      <w:pPr>
        <w:pStyle w:val="JudgmentNumbered"/>
        <w:numPr>
          <w:ilvl w:val="0"/>
          <w:numId w:val="0"/>
        </w:numPr>
        <w:ind w:left="567" w:hanging="567"/>
        <w:rPr>
          <w:lang w:val="en-ZA"/>
        </w:rPr>
      </w:pPr>
      <w:r w:rsidRPr="00290C1B">
        <w:rPr>
          <w:noProof/>
          <w:lang w:val="en-US"/>
        </w:rPr>
        <w:lastRenderedPageBreak/>
        <w:drawing>
          <wp:inline distT="0" distB="0" distL="0" distR="0" wp14:anchorId="20123172" wp14:editId="40306EE6">
            <wp:extent cx="5732145" cy="2047240"/>
            <wp:effectExtent l="0" t="0" r="1905" b="0"/>
            <wp:docPr id="3876887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2145" cy="2047240"/>
                    </a:xfrm>
                    <a:prstGeom prst="rect">
                      <a:avLst/>
                    </a:prstGeom>
                    <a:noFill/>
                    <a:ln>
                      <a:noFill/>
                    </a:ln>
                  </pic:spPr>
                </pic:pic>
              </a:graphicData>
            </a:graphic>
          </wp:inline>
        </w:drawing>
      </w:r>
    </w:p>
    <w:p w14:paraId="692CE79C" w14:textId="77777777" w:rsidR="004A1C15" w:rsidRPr="00C13F9D" w:rsidRDefault="004A1C15" w:rsidP="004A1C15">
      <w:pPr>
        <w:pBdr>
          <w:bottom w:val="single" w:sz="12" w:space="1" w:color="auto"/>
        </w:pBdr>
        <w:spacing w:after="0" w:line="240" w:lineRule="auto"/>
        <w:ind w:left="0"/>
        <w:jc w:val="left"/>
        <w:rPr>
          <w:rFonts w:cs="Arial"/>
          <w:bCs/>
          <w:szCs w:val="24"/>
          <w:lang w:val="en-ZA"/>
        </w:rPr>
      </w:pPr>
    </w:p>
    <w:p w14:paraId="7ABE3817" w14:textId="77777777" w:rsidR="004A1C15" w:rsidRPr="007B7F59" w:rsidRDefault="004A1C15" w:rsidP="004A1C15">
      <w:pPr>
        <w:spacing w:after="0" w:line="240" w:lineRule="auto"/>
        <w:ind w:left="1440" w:hanging="1440"/>
        <w:jc w:val="left"/>
        <w:rPr>
          <w:rFonts w:cs="Arial"/>
          <w:b/>
          <w:szCs w:val="24"/>
        </w:rPr>
      </w:pPr>
    </w:p>
    <w:p w14:paraId="6E7AC430" w14:textId="093859CE" w:rsidR="004A1C15" w:rsidRPr="007B7F59" w:rsidRDefault="004A1C15" w:rsidP="004A1C15">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14:paraId="76C54CC3" w14:textId="77777777" w:rsidR="004A1C15" w:rsidRPr="00A34F0A" w:rsidRDefault="004A1C15" w:rsidP="004A1C15">
      <w:pPr>
        <w:spacing w:after="0" w:line="240" w:lineRule="auto"/>
        <w:ind w:left="0"/>
        <w:jc w:val="left"/>
        <w:rPr>
          <w:rFonts w:cs="Arial"/>
          <w:b/>
          <w:bCs/>
          <w:szCs w:val="24"/>
        </w:rPr>
      </w:pPr>
      <w:r>
        <w:rPr>
          <w:rFonts w:cs="Arial"/>
          <w:b/>
          <w:bCs/>
          <w:szCs w:val="24"/>
        </w:rPr>
        <w:t>MUDAU, J:</w:t>
      </w:r>
    </w:p>
    <w:p w14:paraId="0A1EC144" w14:textId="77777777" w:rsidR="004A1C15" w:rsidRPr="00B17275" w:rsidRDefault="004A1C15" w:rsidP="004A1C15">
      <w:pPr>
        <w:pStyle w:val="JudgmentNumbered"/>
        <w:numPr>
          <w:ilvl w:val="0"/>
          <w:numId w:val="0"/>
        </w:numPr>
        <w:spacing w:line="240" w:lineRule="auto"/>
        <w:rPr>
          <w:i/>
        </w:rPr>
      </w:pPr>
    </w:p>
    <w:p w14:paraId="58E8FAE2" w14:textId="38B4853F" w:rsidR="00C02AF6" w:rsidRDefault="00142179" w:rsidP="00142179">
      <w:pPr>
        <w:pStyle w:val="JudgmentNumbered"/>
        <w:numPr>
          <w:ilvl w:val="0"/>
          <w:numId w:val="0"/>
        </w:numPr>
        <w:ind w:left="567" w:hanging="567"/>
      </w:pPr>
      <w:r>
        <w:rPr>
          <w:szCs w:val="24"/>
        </w:rPr>
        <w:t>[1]</w:t>
      </w:r>
      <w:r>
        <w:rPr>
          <w:szCs w:val="24"/>
        </w:rPr>
        <w:tab/>
      </w:r>
      <w:r w:rsidR="00C02AF6" w:rsidRPr="007B34C2">
        <w:rPr>
          <w:color w:val="242121"/>
          <w:shd w:val="clear" w:color="auto" w:fill="FFFFFF"/>
        </w:rPr>
        <w:t xml:space="preserve">This is an appeal with the leave of the court </w:t>
      </w:r>
      <w:r w:rsidR="00C02AF6" w:rsidRPr="00D92E91">
        <w:rPr>
          <w:i/>
          <w:iCs/>
          <w:color w:val="242121"/>
          <w:shd w:val="clear" w:color="auto" w:fill="FFFFFF"/>
        </w:rPr>
        <w:t>a quo</w:t>
      </w:r>
      <w:r w:rsidR="00C02AF6" w:rsidRPr="007B34C2">
        <w:rPr>
          <w:color w:val="242121"/>
          <w:shd w:val="clear" w:color="auto" w:fill="FFFFFF"/>
        </w:rPr>
        <w:t xml:space="preserve"> against a judgment and order of Yacoob J</w:t>
      </w:r>
      <w:r w:rsidR="00C02AF6">
        <w:rPr>
          <w:color w:val="242121"/>
          <w:shd w:val="clear" w:color="auto" w:fill="FFFFFF"/>
        </w:rPr>
        <w:t>,</w:t>
      </w:r>
      <w:r w:rsidR="00C02AF6" w:rsidRPr="007B34C2">
        <w:rPr>
          <w:color w:val="242121"/>
          <w:shd w:val="clear" w:color="auto" w:fill="FFFFFF"/>
        </w:rPr>
        <w:t xml:space="preserve"> follo</w:t>
      </w:r>
      <w:bookmarkStart w:id="0" w:name="_GoBack"/>
      <w:bookmarkEnd w:id="0"/>
      <w:r w:rsidR="00C02AF6" w:rsidRPr="007B34C2">
        <w:rPr>
          <w:color w:val="242121"/>
          <w:shd w:val="clear" w:color="auto" w:fill="FFFFFF"/>
        </w:rPr>
        <w:t xml:space="preserve">wing </w:t>
      </w:r>
      <w:r w:rsidR="00C02AF6" w:rsidRPr="007B34C2">
        <w:t>a</w:t>
      </w:r>
      <w:r w:rsidR="00C02AF6">
        <w:t xml:space="preserve">n </w:t>
      </w:r>
      <w:r w:rsidR="00C02AF6" w:rsidRPr="007B34C2">
        <w:t>application that was dismissed</w:t>
      </w:r>
      <w:r w:rsidR="00C02AF6">
        <w:t xml:space="preserve"> </w:t>
      </w:r>
      <w:r w:rsidR="00C02AF6" w:rsidRPr="00220447">
        <w:t>to interdict the first and second respondents</w:t>
      </w:r>
      <w:r w:rsidR="00582752">
        <w:t xml:space="preserve"> from</w:t>
      </w:r>
      <w:r w:rsidR="00C02AF6">
        <w:t>,</w:t>
      </w:r>
      <w:r w:rsidR="00C02AF6" w:rsidRPr="00220447">
        <w:t xml:space="preserve"> </w:t>
      </w:r>
      <w:r w:rsidR="00C02AF6" w:rsidRPr="003F4375">
        <w:rPr>
          <w:i/>
          <w:iCs/>
        </w:rPr>
        <w:t>inter alia</w:t>
      </w:r>
      <w:r w:rsidR="00582752" w:rsidRPr="00D92E91">
        <w:t>,</w:t>
      </w:r>
      <w:r w:rsidR="00C02AF6">
        <w:t xml:space="preserve"> </w:t>
      </w:r>
      <w:r w:rsidR="00C02AF6" w:rsidRPr="00220447">
        <w:t>contacting, approaching and soliciting any of the a</w:t>
      </w:r>
      <w:r w:rsidR="00C02AF6">
        <w:t>ppellants</w:t>
      </w:r>
      <w:r w:rsidR="00C02AF6" w:rsidRPr="00220447">
        <w:t>’</w:t>
      </w:r>
      <w:r w:rsidR="00C02AF6">
        <w:t xml:space="preserve"> </w:t>
      </w:r>
      <w:r w:rsidR="00C02AF6" w:rsidRPr="00220447">
        <w:t>prescribed clients.</w:t>
      </w:r>
      <w:r w:rsidR="00C02AF6" w:rsidRPr="007B34C2">
        <w:t xml:space="preserve"> The application was to enforce a restraint of trade agreement contained in the employment contract of the first respondent</w:t>
      </w:r>
      <w:r w:rsidR="00C02AF6">
        <w:t xml:space="preserve"> </w:t>
      </w:r>
      <w:r w:rsidR="00C02AF6" w:rsidRPr="00A054F8">
        <w:t>concluded</w:t>
      </w:r>
      <w:r w:rsidR="00C02AF6">
        <w:t xml:space="preserve"> between the first appellant and the first respondent on 28 June 2017.</w:t>
      </w:r>
      <w:r w:rsidR="00C02AF6" w:rsidRPr="007B34C2">
        <w:t xml:space="preserve"> The a</w:t>
      </w:r>
      <w:r w:rsidR="00C02AF6" w:rsidRPr="007B34C2">
        <w:rPr>
          <w:color w:val="242121"/>
          <w:shd w:val="clear" w:color="auto" w:fill="FFFFFF"/>
        </w:rPr>
        <w:t>pplication was launched as a matter of urgency in December 2022</w:t>
      </w:r>
      <w:r w:rsidR="00C02AF6">
        <w:rPr>
          <w:color w:val="242121"/>
          <w:shd w:val="clear" w:color="auto" w:fill="FFFFFF"/>
        </w:rPr>
        <w:t>.</w:t>
      </w:r>
    </w:p>
    <w:p w14:paraId="7CED9E3E" w14:textId="1856101A" w:rsidR="00C02AF6" w:rsidRPr="00E73B49" w:rsidRDefault="00142179" w:rsidP="00142179">
      <w:pPr>
        <w:pStyle w:val="JudgmentNumbered"/>
        <w:numPr>
          <w:ilvl w:val="0"/>
          <w:numId w:val="0"/>
        </w:numPr>
        <w:ind w:left="567" w:hanging="567"/>
      </w:pPr>
      <w:r w:rsidRPr="00E73B49">
        <w:rPr>
          <w:szCs w:val="24"/>
        </w:rPr>
        <w:t>[2]</w:t>
      </w:r>
      <w:r w:rsidRPr="00E73B49">
        <w:rPr>
          <w:szCs w:val="24"/>
        </w:rPr>
        <w:tab/>
      </w:r>
      <w:r w:rsidR="00C02AF6" w:rsidRPr="007B34C2">
        <w:rPr>
          <w:shd w:val="clear" w:color="auto" w:fill="FFFFFF"/>
        </w:rPr>
        <w:t>Since the restraint was for a limited period of twelve months</w:t>
      </w:r>
      <w:r w:rsidR="00C02AF6" w:rsidRPr="002A772F">
        <w:t xml:space="preserve"> </w:t>
      </w:r>
      <w:r w:rsidR="00C02AF6" w:rsidRPr="002A772F">
        <w:rPr>
          <w:shd w:val="clear" w:color="auto" w:fill="FFFFFF"/>
        </w:rPr>
        <w:t>from 30 September 2022 until 30 September 2023</w:t>
      </w:r>
      <w:r w:rsidR="00C02AF6">
        <w:rPr>
          <w:shd w:val="clear" w:color="auto" w:fill="FFFFFF"/>
        </w:rPr>
        <w:t>,</w:t>
      </w:r>
      <w:r w:rsidR="00C02AF6" w:rsidRPr="007B34C2">
        <w:rPr>
          <w:shd w:val="clear" w:color="auto" w:fill="FFFFFF"/>
        </w:rPr>
        <w:t xml:space="preserve"> the court </w:t>
      </w:r>
      <w:r w:rsidR="00C02AF6" w:rsidRPr="00D92E91">
        <w:rPr>
          <w:i/>
          <w:iCs/>
          <w:shd w:val="clear" w:color="auto" w:fill="FFFFFF"/>
        </w:rPr>
        <w:t>a quo</w:t>
      </w:r>
      <w:r w:rsidR="00C02AF6" w:rsidRPr="007B34C2">
        <w:rPr>
          <w:shd w:val="clear" w:color="auto" w:fill="FFFFFF"/>
        </w:rPr>
        <w:t xml:space="preserve"> correctly treated the matter as being an application for final</w:t>
      </w:r>
      <w:r w:rsidR="00C02AF6">
        <w:rPr>
          <w:shd w:val="clear" w:color="auto" w:fill="FFFFFF"/>
        </w:rPr>
        <w:t xml:space="preserve"> interdictory</w:t>
      </w:r>
      <w:r w:rsidR="00C02AF6" w:rsidRPr="007B34C2">
        <w:rPr>
          <w:shd w:val="clear" w:color="auto" w:fill="FFFFFF"/>
        </w:rPr>
        <w:t xml:space="preserve"> relief</w:t>
      </w:r>
      <w:r w:rsidR="00C02AF6">
        <w:rPr>
          <w:shd w:val="clear" w:color="auto" w:fill="FFFFFF"/>
        </w:rPr>
        <w:t xml:space="preserve"> and therefore, urgent.</w:t>
      </w:r>
      <w:r w:rsidR="00C02AF6" w:rsidRPr="007B34C2">
        <w:rPr>
          <w:shd w:val="clear" w:color="auto" w:fill="FFFFFF"/>
        </w:rPr>
        <w:t xml:space="preserve"> </w:t>
      </w:r>
      <w:r w:rsidR="00C02AF6" w:rsidRPr="00E21D0E">
        <w:rPr>
          <w:shd w:val="clear" w:color="auto" w:fill="FFFFFF"/>
          <w:lang w:val="en-US"/>
        </w:rPr>
        <w:t>This appeal turns on whether</w:t>
      </w:r>
      <w:r w:rsidR="00C02AF6" w:rsidRPr="00AF6BE6">
        <w:rPr>
          <w:shd w:val="clear" w:color="auto" w:fill="FFFFFF"/>
          <w:lang w:val="en-US"/>
        </w:rPr>
        <w:t xml:space="preserve"> </w:t>
      </w:r>
      <w:r w:rsidR="00C02AF6" w:rsidRPr="00AF456F">
        <w:rPr>
          <w:shd w:val="clear" w:color="auto" w:fill="FFFFFF"/>
          <w:lang w:val="en-US"/>
        </w:rPr>
        <w:t>the first appellant, the first respondent’s employer</w:t>
      </w:r>
      <w:r w:rsidR="00C02AF6">
        <w:rPr>
          <w:shd w:val="clear" w:color="auto" w:fill="FFFFFF"/>
          <w:lang w:val="en-US"/>
        </w:rPr>
        <w:t>,</w:t>
      </w:r>
      <w:r w:rsidR="00C02AF6" w:rsidRPr="0065016D">
        <w:rPr>
          <w:shd w:val="clear" w:color="auto" w:fill="FFFFFF"/>
          <w:lang w:val="en-US"/>
        </w:rPr>
        <w:t xml:space="preserve"> was part of a group of entities</w:t>
      </w:r>
      <w:r w:rsidR="00C02AF6" w:rsidRPr="000C0BB4">
        <w:rPr>
          <w:shd w:val="clear" w:color="auto" w:fill="FFFFFF"/>
          <w:lang w:val="en-US"/>
        </w:rPr>
        <w:t xml:space="preserve"> in respect of which</w:t>
      </w:r>
      <w:r w:rsidR="00C02AF6" w:rsidRPr="0099685B">
        <w:rPr>
          <w:shd w:val="clear" w:color="auto" w:fill="FFFFFF"/>
          <w:lang w:val="en-US"/>
        </w:rPr>
        <w:t xml:space="preserve"> the restraint of trade agreement</w:t>
      </w:r>
      <w:r w:rsidR="00C02AF6" w:rsidRPr="00303816">
        <w:rPr>
          <w:shd w:val="clear" w:color="auto" w:fill="FFFFFF"/>
          <w:lang w:val="en-US"/>
        </w:rPr>
        <w:t xml:space="preserve"> was applicable</w:t>
      </w:r>
      <w:r w:rsidR="00C02AF6">
        <w:rPr>
          <w:shd w:val="clear" w:color="auto" w:fill="FFFFFF"/>
          <w:lang w:val="en-US"/>
        </w:rPr>
        <w:t>.</w:t>
      </w:r>
    </w:p>
    <w:p w14:paraId="42DCB12D" w14:textId="77777777" w:rsidR="00C02AF6" w:rsidRPr="00D92E91" w:rsidRDefault="00C02AF6" w:rsidP="00C02AF6">
      <w:pPr>
        <w:pStyle w:val="JudgmentNumbered"/>
        <w:numPr>
          <w:ilvl w:val="0"/>
          <w:numId w:val="0"/>
        </w:numPr>
        <w:rPr>
          <w:bCs/>
          <w:i/>
          <w:iCs/>
          <w:shd w:val="clear" w:color="auto" w:fill="FFFFFF"/>
        </w:rPr>
      </w:pPr>
      <w:r w:rsidRPr="00D92E91">
        <w:rPr>
          <w:bCs/>
          <w:i/>
          <w:iCs/>
          <w:shd w:val="clear" w:color="auto" w:fill="FFFFFF"/>
        </w:rPr>
        <w:t>Background facts</w:t>
      </w:r>
    </w:p>
    <w:p w14:paraId="2785E08B" w14:textId="15B33DC9" w:rsidR="00C02AF6" w:rsidRPr="00A77476" w:rsidRDefault="00142179" w:rsidP="00142179">
      <w:pPr>
        <w:pStyle w:val="JudgmentNumbered"/>
        <w:numPr>
          <w:ilvl w:val="0"/>
          <w:numId w:val="0"/>
        </w:numPr>
        <w:ind w:left="567" w:hanging="567"/>
        <w:rPr>
          <w:color w:val="242121"/>
          <w:shd w:val="clear" w:color="auto" w:fill="FFFFFF"/>
        </w:rPr>
      </w:pPr>
      <w:r w:rsidRPr="00A77476">
        <w:rPr>
          <w:color w:val="242121"/>
          <w:szCs w:val="24"/>
        </w:rPr>
        <w:t>[3]</w:t>
      </w:r>
      <w:r w:rsidRPr="00A77476">
        <w:rPr>
          <w:color w:val="242121"/>
          <w:szCs w:val="24"/>
        </w:rPr>
        <w:tab/>
      </w:r>
      <w:r w:rsidR="00C02AF6">
        <w:t>The facts are uncontroverted. The first respondent, Seboko, a former employee of the first appellant,</w:t>
      </w:r>
      <w:r w:rsidR="00C02AF6" w:rsidRPr="00396414">
        <w:t xml:space="preserve"> Tax Consulting South Africa (TCSA)</w:t>
      </w:r>
      <w:r w:rsidR="00C02AF6">
        <w:t>, which is</w:t>
      </w:r>
      <w:r w:rsidR="00C02AF6" w:rsidRPr="00396414">
        <w:t xml:space="preserve"> a sole proprietorship</w:t>
      </w:r>
      <w:r w:rsidR="00C02AF6">
        <w:t>,</w:t>
      </w:r>
      <w:r w:rsidR="00C02AF6" w:rsidRPr="00396414">
        <w:t xml:space="preserve"> </w:t>
      </w:r>
      <w:r w:rsidR="00C02AF6">
        <w:t>worked for</w:t>
      </w:r>
      <w:r w:rsidR="00C02AF6" w:rsidRPr="00F21574">
        <w:t xml:space="preserve"> </w:t>
      </w:r>
      <w:r w:rsidR="00C02AF6" w:rsidRPr="00F866B0">
        <w:t>Xpatweb (Pty) Ltd (Xpatweb)</w:t>
      </w:r>
      <w:r w:rsidR="00C02AF6">
        <w:t>, the second appellant from 1 August 2017 until September 2022. He</w:t>
      </w:r>
      <w:r w:rsidR="00575048">
        <w:t xml:space="preserve"> worked</w:t>
      </w:r>
      <w:r w:rsidR="00C02AF6">
        <w:t xml:space="preserve"> initially as an </w:t>
      </w:r>
      <w:r w:rsidR="00C02AF6" w:rsidRPr="00962BF4">
        <w:t xml:space="preserve">immigration </w:t>
      </w:r>
      <w:r w:rsidR="00C02AF6" w:rsidRPr="00962BF4">
        <w:lastRenderedPageBreak/>
        <w:t>manager</w:t>
      </w:r>
      <w:r w:rsidR="00C02AF6">
        <w:t xml:space="preserve"> and </w:t>
      </w:r>
      <w:r w:rsidR="00681550">
        <w:t>later</w:t>
      </w:r>
      <w:r w:rsidR="00C02AF6">
        <w:t xml:space="preserve"> as a director of, </w:t>
      </w:r>
      <w:r w:rsidR="00C02AF6" w:rsidRPr="000F674F">
        <w:t>T</w:t>
      </w:r>
      <w:r w:rsidR="00681550" w:rsidRPr="000F674F">
        <w:t>CSAS</w:t>
      </w:r>
      <w:r w:rsidR="00C02AF6" w:rsidRPr="000F674F">
        <w:t xml:space="preserve"> Group Services (Pty) Ltd (TCSAS</w:t>
      </w:r>
      <w:r w:rsidR="007C35BA">
        <w:t xml:space="preserve"> Group</w:t>
      </w:r>
      <w:r w:rsidR="00C02AF6" w:rsidRPr="000F674F">
        <w:t>),</w:t>
      </w:r>
      <w:r w:rsidR="00C02AF6">
        <w:t xml:space="preserve"> when he resigned.</w:t>
      </w:r>
      <w:r w:rsidR="00C02AF6" w:rsidRPr="00D43952">
        <w:t xml:space="preserve"> </w:t>
      </w:r>
      <w:r w:rsidR="00C02AF6">
        <w:t>Seboko, a</w:t>
      </w:r>
      <w:r w:rsidR="00C02AF6" w:rsidRPr="00017E23">
        <w:t xml:space="preserve"> work visa specialist</w:t>
      </w:r>
      <w:r w:rsidR="00C02AF6">
        <w:t>, was employed</w:t>
      </w:r>
      <w:r w:rsidR="00C02AF6" w:rsidRPr="00A054F8">
        <w:t xml:space="preserve"> </w:t>
      </w:r>
      <w:r w:rsidR="00C02AF6">
        <w:t>to provide visa</w:t>
      </w:r>
      <w:r w:rsidR="00C02AF6" w:rsidRPr="00A054F8">
        <w:t xml:space="preserve"> </w:t>
      </w:r>
      <w:r w:rsidR="00C02AF6">
        <w:t>application and immigration consultancy</w:t>
      </w:r>
      <w:r w:rsidR="00FC5260" w:rsidRPr="00FC5260">
        <w:t xml:space="preserve"> </w:t>
      </w:r>
      <w:r w:rsidR="00FC5260">
        <w:t>services</w:t>
      </w:r>
      <w:r w:rsidR="00C02AF6">
        <w:t>.</w:t>
      </w:r>
      <w:r w:rsidR="00C02AF6" w:rsidRPr="00A77476">
        <w:t xml:space="preserve"> </w:t>
      </w:r>
      <w:r w:rsidR="00C02AF6">
        <w:t>He rendered these services to the second appellant as the entity within the group</w:t>
      </w:r>
      <w:r w:rsidR="00C02AF6">
        <w:rPr>
          <w:color w:val="242121"/>
          <w:shd w:val="clear" w:color="auto" w:fill="FFFFFF"/>
        </w:rPr>
        <w:t xml:space="preserve"> </w:t>
      </w:r>
      <w:r w:rsidR="00C02AF6">
        <w:t>that deals specifically with visa application and immigration</w:t>
      </w:r>
      <w:r w:rsidR="00C02AF6">
        <w:rPr>
          <w:color w:val="242121"/>
          <w:shd w:val="clear" w:color="auto" w:fill="FFFFFF"/>
        </w:rPr>
        <w:t xml:space="preserve"> </w:t>
      </w:r>
      <w:r w:rsidR="00C02AF6">
        <w:t>consultancy</w:t>
      </w:r>
      <w:r w:rsidR="00B9228D" w:rsidRPr="00B9228D">
        <w:t xml:space="preserve"> </w:t>
      </w:r>
      <w:r w:rsidR="00B9228D">
        <w:t>services</w:t>
      </w:r>
      <w:r w:rsidR="00C02AF6">
        <w:t>.</w:t>
      </w:r>
      <w:r w:rsidR="00C02AF6" w:rsidRPr="00017E23">
        <w:t xml:space="preserve"> </w:t>
      </w:r>
      <w:r w:rsidR="00C02AF6" w:rsidRPr="00FF088B">
        <w:t>After his resignation, Seboko incorporated and established</w:t>
      </w:r>
      <w:r w:rsidR="00C02AF6">
        <w:t xml:space="preserve"> </w:t>
      </w:r>
      <w:r w:rsidR="00C02AF6" w:rsidRPr="00E42C6F">
        <w:t>M</w:t>
      </w:r>
      <w:r w:rsidR="00FC6179" w:rsidRPr="00E42C6F">
        <w:t>S</w:t>
      </w:r>
      <w:r w:rsidR="00C02AF6" w:rsidRPr="00E42C6F">
        <w:t xml:space="preserve"> Immigration Advisory (Pty) Ltd (</w:t>
      </w:r>
      <w:r w:rsidR="00C02AF6" w:rsidRPr="00FF088B">
        <w:t>MSIA</w:t>
      </w:r>
      <w:r w:rsidR="00C02AF6">
        <w:t>), the second respondent.</w:t>
      </w:r>
      <w:r w:rsidR="00C02AF6" w:rsidRPr="00A054F8">
        <w:t xml:space="preserve"> </w:t>
      </w:r>
    </w:p>
    <w:p w14:paraId="5603FC20" w14:textId="12F32A87" w:rsidR="00C02AF6" w:rsidRDefault="00142179" w:rsidP="00142179">
      <w:pPr>
        <w:pStyle w:val="JudgmentNumbered"/>
        <w:numPr>
          <w:ilvl w:val="0"/>
          <w:numId w:val="0"/>
        </w:numPr>
        <w:ind w:left="567" w:hanging="567"/>
      </w:pPr>
      <w:r>
        <w:rPr>
          <w:szCs w:val="24"/>
        </w:rPr>
        <w:t>[4]</w:t>
      </w:r>
      <w:r>
        <w:rPr>
          <w:szCs w:val="24"/>
        </w:rPr>
        <w:tab/>
      </w:r>
      <w:r w:rsidR="00C02AF6" w:rsidRPr="00396414">
        <w:t>TCSA</w:t>
      </w:r>
      <w:r w:rsidR="00C02AF6">
        <w:t xml:space="preserve"> acted as the parent business for various legal entities within</w:t>
      </w:r>
      <w:r w:rsidR="00C02AF6">
        <w:rPr>
          <w:color w:val="242121"/>
          <w:shd w:val="clear" w:color="auto" w:fill="FFFFFF"/>
        </w:rPr>
        <w:t xml:space="preserve"> </w:t>
      </w:r>
      <w:r w:rsidR="00C02AF6">
        <w:t xml:space="preserve">its group, which included </w:t>
      </w:r>
      <w:r w:rsidR="00C02AF6" w:rsidRPr="00F866B0">
        <w:t>Xpatweb</w:t>
      </w:r>
      <w:r w:rsidR="00C02AF6">
        <w:t xml:space="preserve">. Marisa Jacobs </w:t>
      </w:r>
      <w:r w:rsidR="00C02AF6">
        <w:rPr>
          <w:rFonts w:ascii="ArialMT" w:hAnsi="ArialMT" w:cs="ArialMT"/>
        </w:rPr>
        <w:t xml:space="preserve">(Ms Jacobs) </w:t>
      </w:r>
      <w:r w:rsidR="00C02AF6">
        <w:t xml:space="preserve">the </w:t>
      </w:r>
      <w:r w:rsidR="00C02AF6">
        <w:rPr>
          <w:rFonts w:ascii="ArialMT" w:hAnsi="ArialMT" w:cs="ArialMT"/>
        </w:rPr>
        <w:t>deponent to the appellants’ affidavits a</w:t>
      </w:r>
      <w:r w:rsidR="00C02AF6">
        <w:t xml:space="preserve">nd Christoffel Botha </w:t>
      </w:r>
      <w:r w:rsidR="00C02AF6">
        <w:rPr>
          <w:rFonts w:ascii="ArialMT" w:hAnsi="ArialMT" w:cs="ArialMT"/>
        </w:rPr>
        <w:t>(Mr Botha)</w:t>
      </w:r>
      <w:r w:rsidR="00C02AF6">
        <w:t xml:space="preserve"> the deponent to the confirmatory affidavits, are directors of and each holds a third of the issued shares in </w:t>
      </w:r>
      <w:r w:rsidR="00C02AF6" w:rsidRPr="00F866B0">
        <w:t>Xpatweb</w:t>
      </w:r>
      <w:r w:rsidR="00C02AF6">
        <w:t xml:space="preserve">. </w:t>
      </w:r>
      <w:r w:rsidR="00C02AF6" w:rsidRPr="00396414">
        <w:t>TCSA</w:t>
      </w:r>
      <w:r w:rsidR="00C02AF6">
        <w:t xml:space="preserve"> is the employer of all employees in the group. Also, when the first appellant expanded, it formed groups of companies such as </w:t>
      </w:r>
      <w:r w:rsidR="00C02AF6" w:rsidRPr="00F866B0">
        <w:t>Xpatweb</w:t>
      </w:r>
      <w:r w:rsidR="00C02AF6">
        <w:t xml:space="preserve">, which performs work visa services. Seboko as indicated, rendered these services to </w:t>
      </w:r>
      <w:r w:rsidR="00C02AF6" w:rsidRPr="00F866B0">
        <w:t>Xpatweb</w:t>
      </w:r>
      <w:r w:rsidR="00C02AF6">
        <w:t xml:space="preserve"> as the entity within the group that deals specifically with visa application services and immigration</w:t>
      </w:r>
      <w:r w:rsidR="00C02AF6">
        <w:rPr>
          <w:color w:val="242121"/>
          <w:shd w:val="clear" w:color="auto" w:fill="FFFFFF"/>
        </w:rPr>
        <w:t xml:space="preserve"> </w:t>
      </w:r>
      <w:r w:rsidR="00C02AF6">
        <w:t>consultancy and advice. In sum, he provided specialist professional advisory and support to corporate clients of the group.</w:t>
      </w:r>
    </w:p>
    <w:p w14:paraId="71EC4A56" w14:textId="02BC7578" w:rsidR="00C02AF6" w:rsidRDefault="00142179" w:rsidP="00142179">
      <w:pPr>
        <w:pStyle w:val="JudgmentNumbered"/>
        <w:numPr>
          <w:ilvl w:val="0"/>
          <w:numId w:val="0"/>
        </w:numPr>
        <w:ind w:left="567" w:hanging="567"/>
      </w:pPr>
      <w:r>
        <w:rPr>
          <w:szCs w:val="24"/>
        </w:rPr>
        <w:t>[5]</w:t>
      </w:r>
      <w:r>
        <w:rPr>
          <w:szCs w:val="24"/>
        </w:rPr>
        <w:tab/>
      </w:r>
      <w:r w:rsidR="00C02AF6" w:rsidRPr="009B3039">
        <w:t>The material portions of Seboko's employment contract</w:t>
      </w:r>
      <w:r w:rsidR="00C02AF6">
        <w:t xml:space="preserve"> in relation to the restraint clause</w:t>
      </w:r>
      <w:r w:rsidR="00C02AF6" w:rsidRPr="009B3039">
        <w:t xml:space="preserve"> provide as follows: </w:t>
      </w:r>
    </w:p>
    <w:p w14:paraId="10ECC8F8" w14:textId="03ABE1D9" w:rsidR="00C02AF6" w:rsidRPr="00D92E91" w:rsidRDefault="00DE7B8E" w:rsidP="00204781">
      <w:pPr>
        <w:pStyle w:val="JudgmentNumbered"/>
        <w:numPr>
          <w:ilvl w:val="0"/>
          <w:numId w:val="0"/>
        </w:numPr>
        <w:ind w:left="851"/>
        <w:rPr>
          <w:iCs/>
          <w:sz w:val="22"/>
        </w:rPr>
      </w:pPr>
      <w:r w:rsidRPr="00D92E91">
        <w:rPr>
          <w:i/>
          <w:sz w:val="22"/>
        </w:rPr>
        <w:t>“</w:t>
      </w:r>
      <w:r w:rsidR="00C02AF6" w:rsidRPr="00D92E91">
        <w:rPr>
          <w:iCs/>
          <w:sz w:val="22"/>
        </w:rPr>
        <w:t>1.3.12.</w:t>
      </w:r>
      <w:r w:rsidR="006B5BD1">
        <w:rPr>
          <w:iCs/>
          <w:sz w:val="22"/>
        </w:rPr>
        <w:t xml:space="preserve"> ‘</w:t>
      </w:r>
      <w:r w:rsidR="00C02AF6" w:rsidRPr="00D92E91">
        <w:rPr>
          <w:iCs/>
          <w:sz w:val="22"/>
        </w:rPr>
        <w:t>prescribed client/customer</w:t>
      </w:r>
      <w:r w:rsidR="006B5BD1">
        <w:rPr>
          <w:iCs/>
          <w:sz w:val="22"/>
        </w:rPr>
        <w:t>’</w:t>
      </w:r>
      <w:r w:rsidR="00C02AF6" w:rsidRPr="00D92E91">
        <w:rPr>
          <w:iCs/>
          <w:sz w:val="22"/>
        </w:rPr>
        <w:t xml:space="preserve"> means any person: </w:t>
      </w:r>
    </w:p>
    <w:p w14:paraId="66E69228" w14:textId="7403E5CB" w:rsidR="00C02AF6" w:rsidRPr="00D92E91" w:rsidRDefault="00C02AF6" w:rsidP="00204781">
      <w:pPr>
        <w:pStyle w:val="JudgmentNumbered"/>
        <w:numPr>
          <w:ilvl w:val="0"/>
          <w:numId w:val="0"/>
        </w:numPr>
        <w:ind w:left="1134"/>
        <w:rPr>
          <w:iCs/>
          <w:sz w:val="22"/>
        </w:rPr>
      </w:pPr>
      <w:r w:rsidRPr="00D92E91">
        <w:rPr>
          <w:iCs/>
          <w:sz w:val="22"/>
        </w:rPr>
        <w:t xml:space="preserve">1.3.12.1. who </w:t>
      </w:r>
      <w:r w:rsidR="00BD68A8">
        <w:rPr>
          <w:iCs/>
          <w:sz w:val="22"/>
        </w:rPr>
        <w:t>i</w:t>
      </w:r>
      <w:r w:rsidRPr="00D92E91">
        <w:rPr>
          <w:iCs/>
          <w:sz w:val="22"/>
        </w:rPr>
        <w:t xml:space="preserve">s or was a client/customer of the employer during, and prior to, any part of the employee's employment; and/or </w:t>
      </w:r>
    </w:p>
    <w:p w14:paraId="3681EDFC" w14:textId="47D51751" w:rsidR="00C02AF6" w:rsidRPr="00D92E91" w:rsidRDefault="00C02AF6" w:rsidP="00204781">
      <w:pPr>
        <w:pStyle w:val="JudgmentNumbered"/>
        <w:numPr>
          <w:ilvl w:val="0"/>
          <w:numId w:val="0"/>
        </w:numPr>
        <w:ind w:left="1134"/>
        <w:rPr>
          <w:iCs/>
          <w:sz w:val="22"/>
        </w:rPr>
      </w:pPr>
      <w:r w:rsidRPr="00D92E91">
        <w:rPr>
          <w:iCs/>
          <w:sz w:val="22"/>
        </w:rPr>
        <w:t>1.3.12.2.</w:t>
      </w:r>
      <w:r w:rsidR="00063F90">
        <w:rPr>
          <w:iCs/>
          <w:sz w:val="22"/>
        </w:rPr>
        <w:t xml:space="preserve"> </w:t>
      </w:r>
      <w:r w:rsidRPr="00D92E91">
        <w:rPr>
          <w:iCs/>
          <w:sz w:val="22"/>
        </w:rPr>
        <w:t xml:space="preserve">who is or was a prospective client/customer of the employer at the Termination Date whom the employee approached to do business with the employer within a period of 1 (one) year preceding the Termination Date; and/or </w:t>
      </w:r>
    </w:p>
    <w:p w14:paraId="3193B424" w14:textId="77777777" w:rsidR="00C02AF6" w:rsidRPr="00D92E91" w:rsidRDefault="00C02AF6" w:rsidP="00204781">
      <w:pPr>
        <w:pStyle w:val="JudgmentNumbered"/>
        <w:numPr>
          <w:ilvl w:val="0"/>
          <w:numId w:val="0"/>
        </w:numPr>
        <w:ind w:left="1134"/>
        <w:rPr>
          <w:iCs/>
          <w:sz w:val="22"/>
        </w:rPr>
      </w:pPr>
      <w:r w:rsidRPr="00D92E91">
        <w:rPr>
          <w:iCs/>
          <w:sz w:val="22"/>
        </w:rPr>
        <w:t xml:space="preserve">1.3.12.3. who purchased or acquired services from or through the employer within a period of 1 (one) year preceding the Termination Date; and/or </w:t>
      </w:r>
    </w:p>
    <w:p w14:paraId="0A728985" w14:textId="77777777" w:rsidR="00C02AF6" w:rsidRDefault="00C02AF6" w:rsidP="00204781">
      <w:pPr>
        <w:pStyle w:val="JudgmentNumbered"/>
        <w:numPr>
          <w:ilvl w:val="0"/>
          <w:numId w:val="0"/>
        </w:numPr>
        <w:ind w:left="1134"/>
        <w:rPr>
          <w:iCs/>
          <w:sz w:val="22"/>
        </w:rPr>
      </w:pPr>
      <w:r w:rsidRPr="00D92E91">
        <w:rPr>
          <w:iCs/>
          <w:sz w:val="22"/>
        </w:rPr>
        <w:t>1.3.12.4. to whom services were rendered by the employer within a period of 1 (one) year preceding the Termination Date.”</w:t>
      </w:r>
    </w:p>
    <w:p w14:paraId="15A40596" w14:textId="4AC500CC" w:rsidR="004D488C" w:rsidRPr="00D92E91" w:rsidRDefault="00142179" w:rsidP="00142179">
      <w:pPr>
        <w:pStyle w:val="JudgmentNumbered"/>
        <w:numPr>
          <w:ilvl w:val="0"/>
          <w:numId w:val="0"/>
        </w:numPr>
        <w:ind w:left="567" w:hanging="567"/>
      </w:pPr>
      <w:r w:rsidRPr="00D92E91">
        <w:rPr>
          <w:szCs w:val="24"/>
        </w:rPr>
        <w:lastRenderedPageBreak/>
        <w:t>[6]</w:t>
      </w:r>
      <w:r w:rsidRPr="00D92E91">
        <w:rPr>
          <w:szCs w:val="24"/>
        </w:rPr>
        <w:tab/>
      </w:r>
      <w:r w:rsidR="004D488C" w:rsidRPr="00D92E91">
        <w:t>On the definition of “the group</w:t>
      </w:r>
      <w:r w:rsidR="004D488C">
        <w:t>”</w:t>
      </w:r>
      <w:r w:rsidR="004D488C" w:rsidRPr="00D92E91">
        <w:t xml:space="preserve">, the agreement provided - </w:t>
      </w:r>
    </w:p>
    <w:p w14:paraId="4934BD73" w14:textId="4F67A138" w:rsidR="00C02AF6" w:rsidRPr="00D92E91" w:rsidRDefault="00FC0DD0" w:rsidP="00B76980">
      <w:pPr>
        <w:pStyle w:val="JudgmentNumbered"/>
        <w:numPr>
          <w:ilvl w:val="0"/>
          <w:numId w:val="0"/>
        </w:numPr>
        <w:ind w:left="567"/>
        <w:rPr>
          <w:iCs/>
          <w:sz w:val="22"/>
        </w:rPr>
      </w:pPr>
      <w:r>
        <w:rPr>
          <w:iCs/>
          <w:sz w:val="22"/>
        </w:rPr>
        <w:t>“</w:t>
      </w:r>
      <w:r w:rsidR="00C02AF6" w:rsidRPr="00D92E91">
        <w:rPr>
          <w:iCs/>
          <w:sz w:val="22"/>
        </w:rPr>
        <w:t xml:space="preserve">1.3.9. </w:t>
      </w:r>
      <w:r w:rsidR="00063F90">
        <w:rPr>
          <w:iCs/>
          <w:sz w:val="22"/>
        </w:rPr>
        <w:t>‘</w:t>
      </w:r>
      <w:r w:rsidR="00C02AF6" w:rsidRPr="00D92E91">
        <w:rPr>
          <w:iCs/>
          <w:sz w:val="22"/>
        </w:rPr>
        <w:t>the group</w:t>
      </w:r>
      <w:r w:rsidR="00063F90">
        <w:rPr>
          <w:iCs/>
          <w:sz w:val="22"/>
        </w:rPr>
        <w:t>’</w:t>
      </w:r>
      <w:r w:rsidR="00C02AF6" w:rsidRPr="00D92E91">
        <w:rPr>
          <w:iCs/>
          <w:sz w:val="22"/>
        </w:rPr>
        <w:t xml:space="preserve"> means the company and/or any of its current or future</w:t>
      </w:r>
      <w:r w:rsidR="00B76980" w:rsidRPr="00D92E91">
        <w:rPr>
          <w:iCs/>
          <w:sz w:val="22"/>
        </w:rPr>
        <w:t xml:space="preserve"> </w:t>
      </w:r>
      <w:r w:rsidR="00C02AF6" w:rsidRPr="00D92E91">
        <w:rPr>
          <w:iCs/>
          <w:sz w:val="22"/>
        </w:rPr>
        <w:t>associated brands or entities for which the employee may be required to act on behalf of during the course of their employment</w:t>
      </w:r>
      <w:r w:rsidR="00063F90">
        <w:rPr>
          <w:iCs/>
          <w:sz w:val="22"/>
        </w:rPr>
        <w:t>”</w:t>
      </w:r>
      <w:r w:rsidR="00C02AF6" w:rsidRPr="00D92E91">
        <w:rPr>
          <w:iCs/>
          <w:sz w:val="22"/>
        </w:rPr>
        <w:t xml:space="preserve">. </w:t>
      </w:r>
    </w:p>
    <w:p w14:paraId="0C4E18DD" w14:textId="3BDDE5C8" w:rsidR="00063F90" w:rsidRDefault="00142179" w:rsidP="00142179">
      <w:pPr>
        <w:pStyle w:val="JudgmentNumbered"/>
        <w:numPr>
          <w:ilvl w:val="0"/>
          <w:numId w:val="0"/>
        </w:numPr>
        <w:ind w:left="567" w:hanging="567"/>
        <w:rPr>
          <w:sz w:val="22"/>
        </w:rPr>
      </w:pPr>
      <w:r>
        <w:rPr>
          <w:szCs w:val="24"/>
        </w:rPr>
        <w:t>[7]</w:t>
      </w:r>
      <w:r>
        <w:rPr>
          <w:szCs w:val="24"/>
        </w:rPr>
        <w:tab/>
      </w:r>
      <w:r w:rsidR="00063F90" w:rsidRPr="00D92E91">
        <w:t>C</w:t>
      </w:r>
      <w:r w:rsidR="00C02AF6" w:rsidRPr="00D92E91">
        <w:t>lause 13.2</w:t>
      </w:r>
      <w:r w:rsidR="00063F90" w:rsidRPr="00D92E91">
        <w:t xml:space="preserve"> provides further</w:t>
      </w:r>
      <w:r w:rsidR="00063F90">
        <w:t xml:space="preserve"> -</w:t>
      </w:r>
      <w:r w:rsidR="00C02AF6" w:rsidRPr="00D92E91">
        <w:rPr>
          <w:sz w:val="22"/>
        </w:rPr>
        <w:t xml:space="preserve"> </w:t>
      </w:r>
    </w:p>
    <w:p w14:paraId="0A03A72A" w14:textId="77777777" w:rsidR="00063F90" w:rsidRDefault="00C02AF6" w:rsidP="00063F90">
      <w:pPr>
        <w:pStyle w:val="JudgmentNumbered"/>
        <w:numPr>
          <w:ilvl w:val="0"/>
          <w:numId w:val="0"/>
        </w:numPr>
        <w:ind w:left="851"/>
        <w:rPr>
          <w:iCs/>
          <w:sz w:val="22"/>
        </w:rPr>
      </w:pPr>
      <w:r w:rsidRPr="00D92E91">
        <w:rPr>
          <w:rFonts w:ascii="Arial-ItalicMT" w:hAnsi="Arial-ItalicMT" w:cs="Arial-ItalicMT"/>
          <w:iCs/>
          <w:sz w:val="22"/>
        </w:rPr>
        <w:t>“</w:t>
      </w:r>
      <w:r w:rsidRPr="00D92E91">
        <w:rPr>
          <w:iCs/>
          <w:sz w:val="22"/>
        </w:rPr>
        <w:t>By signing this agreement, the employee acknowledges and agrees</w:t>
      </w:r>
      <w:r w:rsidR="004666CE" w:rsidRPr="00D92E91">
        <w:rPr>
          <w:iCs/>
          <w:sz w:val="22"/>
        </w:rPr>
        <w:t xml:space="preserve"> </w:t>
      </w:r>
      <w:r w:rsidRPr="00D92E91">
        <w:rPr>
          <w:iCs/>
          <w:sz w:val="22"/>
        </w:rPr>
        <w:t>that these legitimate interests exist, and the employee agrees to abide</w:t>
      </w:r>
      <w:r w:rsidR="004666CE" w:rsidRPr="00D92E91">
        <w:rPr>
          <w:iCs/>
          <w:sz w:val="22"/>
        </w:rPr>
        <w:t xml:space="preserve"> </w:t>
      </w:r>
      <w:r w:rsidRPr="00D92E91">
        <w:rPr>
          <w:iCs/>
          <w:sz w:val="22"/>
        </w:rPr>
        <w:t>by the obligations as set out below. In this regard, the employee</w:t>
      </w:r>
      <w:r w:rsidR="004666CE" w:rsidRPr="00D92E91">
        <w:rPr>
          <w:iCs/>
          <w:sz w:val="22"/>
        </w:rPr>
        <w:t xml:space="preserve"> </w:t>
      </w:r>
      <w:r w:rsidRPr="00D92E91">
        <w:rPr>
          <w:iCs/>
          <w:sz w:val="22"/>
        </w:rPr>
        <w:t xml:space="preserve">irrevocably and unconditionally agrees and undertakes: </w:t>
      </w:r>
    </w:p>
    <w:p w14:paraId="0754CD75" w14:textId="3B8575C4" w:rsidR="00C02AF6" w:rsidRPr="00D92E91" w:rsidRDefault="00C02AF6" w:rsidP="00D92E91">
      <w:pPr>
        <w:pStyle w:val="JudgmentNumbered"/>
        <w:numPr>
          <w:ilvl w:val="0"/>
          <w:numId w:val="0"/>
        </w:numPr>
        <w:ind w:left="851"/>
        <w:rPr>
          <w:iCs/>
          <w:sz w:val="22"/>
        </w:rPr>
      </w:pPr>
      <w:r w:rsidRPr="00D92E91">
        <w:rPr>
          <w:iCs/>
          <w:sz w:val="22"/>
        </w:rPr>
        <w:t>…</w:t>
      </w:r>
    </w:p>
    <w:p w14:paraId="567A6B31" w14:textId="77777777" w:rsidR="00063F90" w:rsidRDefault="00C02AF6" w:rsidP="00063F90">
      <w:pPr>
        <w:pStyle w:val="JudgmentNumbered"/>
        <w:numPr>
          <w:ilvl w:val="0"/>
          <w:numId w:val="0"/>
        </w:numPr>
        <w:ind w:left="1134"/>
        <w:rPr>
          <w:iCs/>
          <w:sz w:val="22"/>
        </w:rPr>
      </w:pPr>
      <w:r w:rsidRPr="00D92E91">
        <w:rPr>
          <w:iCs/>
          <w:sz w:val="22"/>
        </w:rPr>
        <w:t>13.2.3. not to, for a period of 12 (twelve) months subsequent to the</w:t>
      </w:r>
      <w:r w:rsidR="004666CE" w:rsidRPr="00D92E91">
        <w:rPr>
          <w:iCs/>
          <w:sz w:val="22"/>
        </w:rPr>
        <w:t xml:space="preserve"> </w:t>
      </w:r>
      <w:r w:rsidRPr="00D92E91">
        <w:rPr>
          <w:iCs/>
          <w:sz w:val="22"/>
        </w:rPr>
        <w:t>termination date and anywhere within the Republic of South</w:t>
      </w:r>
      <w:r w:rsidR="004666CE" w:rsidRPr="00D92E91">
        <w:rPr>
          <w:iCs/>
          <w:sz w:val="22"/>
        </w:rPr>
        <w:t xml:space="preserve"> </w:t>
      </w:r>
      <w:r w:rsidRPr="00D92E91">
        <w:rPr>
          <w:iCs/>
          <w:sz w:val="22"/>
        </w:rPr>
        <w:t>Africa, either for the employee’s own account or as</w:t>
      </w:r>
      <w:r w:rsidR="004666CE" w:rsidRPr="00D92E91">
        <w:rPr>
          <w:iCs/>
          <w:sz w:val="22"/>
        </w:rPr>
        <w:t xml:space="preserve"> </w:t>
      </w:r>
      <w:r w:rsidRPr="00D92E91">
        <w:rPr>
          <w:iCs/>
          <w:sz w:val="22"/>
        </w:rPr>
        <w:t>representative or agent for any third party:</w:t>
      </w:r>
    </w:p>
    <w:p w14:paraId="5B5AAB76" w14:textId="7C369EE3" w:rsidR="00C02AF6" w:rsidRPr="00D92E91" w:rsidRDefault="00C02AF6" w:rsidP="00D92E91">
      <w:pPr>
        <w:pStyle w:val="JudgmentNumbered"/>
        <w:numPr>
          <w:ilvl w:val="0"/>
          <w:numId w:val="0"/>
        </w:numPr>
        <w:ind w:left="1134"/>
        <w:rPr>
          <w:iCs/>
          <w:sz w:val="22"/>
        </w:rPr>
      </w:pPr>
      <w:r w:rsidRPr="00D92E91">
        <w:rPr>
          <w:iCs/>
          <w:sz w:val="22"/>
        </w:rPr>
        <w:t>…</w:t>
      </w:r>
    </w:p>
    <w:p w14:paraId="6235D82A" w14:textId="19DAC281" w:rsidR="000B37D0" w:rsidRDefault="00C02AF6" w:rsidP="00FC0DD0">
      <w:pPr>
        <w:pStyle w:val="JudgmentNumbered"/>
        <w:numPr>
          <w:ilvl w:val="0"/>
          <w:numId w:val="0"/>
        </w:numPr>
        <w:ind w:left="1440"/>
        <w:rPr>
          <w:iCs/>
          <w:sz w:val="22"/>
        </w:rPr>
      </w:pPr>
      <w:r w:rsidRPr="00D92E91">
        <w:rPr>
          <w:iCs/>
          <w:sz w:val="22"/>
        </w:rPr>
        <w:t>13.2.3.3. contact or approach or furnish any information or</w:t>
      </w:r>
      <w:r w:rsidR="004666CE" w:rsidRPr="00D92E91">
        <w:rPr>
          <w:iCs/>
          <w:sz w:val="22"/>
        </w:rPr>
        <w:t xml:space="preserve"> </w:t>
      </w:r>
      <w:r w:rsidRPr="00D92E91">
        <w:rPr>
          <w:iCs/>
          <w:sz w:val="22"/>
        </w:rPr>
        <w:t>advice (whether written or oral) to any prescribed</w:t>
      </w:r>
      <w:r w:rsidR="004666CE" w:rsidRPr="00D92E91">
        <w:rPr>
          <w:iCs/>
          <w:sz w:val="22"/>
        </w:rPr>
        <w:t xml:space="preserve"> </w:t>
      </w:r>
      <w:r w:rsidRPr="00D92E91">
        <w:rPr>
          <w:iCs/>
          <w:sz w:val="22"/>
        </w:rPr>
        <w:t>client/customer (whether as proprietor, partner,</w:t>
      </w:r>
      <w:r w:rsidR="00063F90">
        <w:rPr>
          <w:iCs/>
          <w:sz w:val="22"/>
        </w:rPr>
        <w:t xml:space="preserve"> </w:t>
      </w:r>
      <w:r w:rsidRPr="00D92E91">
        <w:rPr>
          <w:iCs/>
          <w:sz w:val="22"/>
        </w:rPr>
        <w:t>director, shareholder, employee, consultant,</w:t>
      </w:r>
      <w:r w:rsidR="004666CE" w:rsidRPr="00D92E91">
        <w:rPr>
          <w:iCs/>
          <w:sz w:val="22"/>
        </w:rPr>
        <w:t xml:space="preserve"> </w:t>
      </w:r>
      <w:r w:rsidRPr="00D92E91">
        <w:rPr>
          <w:iCs/>
          <w:sz w:val="22"/>
        </w:rPr>
        <w:t>contractor, financier, agent, representative or</w:t>
      </w:r>
      <w:r w:rsidR="004666CE" w:rsidRPr="00D92E91">
        <w:rPr>
          <w:iCs/>
          <w:sz w:val="22"/>
        </w:rPr>
        <w:t xml:space="preserve"> </w:t>
      </w:r>
      <w:r w:rsidRPr="00D92E91">
        <w:rPr>
          <w:iCs/>
          <w:sz w:val="22"/>
        </w:rPr>
        <w:t>otherwise) directly or indirectly, for the purpose of or</w:t>
      </w:r>
      <w:r w:rsidR="004666CE" w:rsidRPr="00D92E91">
        <w:rPr>
          <w:iCs/>
          <w:sz w:val="22"/>
        </w:rPr>
        <w:t xml:space="preserve"> </w:t>
      </w:r>
      <w:r w:rsidRPr="00D92E91">
        <w:rPr>
          <w:iCs/>
          <w:sz w:val="22"/>
        </w:rPr>
        <w:t>with the intention of persuading, soliciting or inducing</w:t>
      </w:r>
      <w:r w:rsidR="004666CE" w:rsidRPr="00D92E91">
        <w:rPr>
          <w:iCs/>
          <w:sz w:val="22"/>
        </w:rPr>
        <w:t xml:space="preserve"> </w:t>
      </w:r>
      <w:r w:rsidRPr="00D92E91">
        <w:rPr>
          <w:iCs/>
          <w:sz w:val="22"/>
        </w:rPr>
        <w:t>such prescribed client/customers to terminate their</w:t>
      </w:r>
      <w:r w:rsidR="004666CE" w:rsidRPr="00D92E91">
        <w:rPr>
          <w:iCs/>
          <w:sz w:val="22"/>
        </w:rPr>
        <w:t xml:space="preserve"> </w:t>
      </w:r>
      <w:r w:rsidRPr="00D92E91">
        <w:rPr>
          <w:iCs/>
          <w:color w:val="000000"/>
          <w:sz w:val="22"/>
        </w:rPr>
        <w:t>mandate with the employer or to offer to such</w:t>
      </w:r>
      <w:r w:rsidRPr="00D92E91">
        <w:rPr>
          <w:iCs/>
          <w:sz w:val="22"/>
        </w:rPr>
        <w:t xml:space="preserve"> prescribed client/customers the rendering of any prescribed services</w:t>
      </w:r>
      <w:r w:rsidR="004B0945">
        <w:rPr>
          <w:iCs/>
          <w:sz w:val="22"/>
        </w:rPr>
        <w:t>”</w:t>
      </w:r>
      <w:r w:rsidRPr="00D92E91">
        <w:rPr>
          <w:iCs/>
          <w:sz w:val="22"/>
        </w:rPr>
        <w:t>.</w:t>
      </w:r>
    </w:p>
    <w:p w14:paraId="2C7282C7" w14:textId="08262ECB" w:rsidR="000B37D0" w:rsidRPr="00D92E91" w:rsidRDefault="00142179" w:rsidP="00142179">
      <w:pPr>
        <w:pStyle w:val="JudgmentNumbered"/>
        <w:numPr>
          <w:ilvl w:val="0"/>
          <w:numId w:val="0"/>
        </w:numPr>
        <w:ind w:left="567" w:hanging="567"/>
      </w:pPr>
      <w:r w:rsidRPr="00D92E91">
        <w:rPr>
          <w:szCs w:val="24"/>
        </w:rPr>
        <w:t>[8]</w:t>
      </w:r>
      <w:r w:rsidRPr="00D92E91">
        <w:rPr>
          <w:szCs w:val="24"/>
        </w:rPr>
        <w:tab/>
      </w:r>
      <w:r w:rsidR="000B37D0" w:rsidRPr="000B37D0">
        <w:rPr>
          <w:lang w:val="en-US"/>
        </w:rPr>
        <w:t>Cla</w:t>
      </w:r>
      <w:r w:rsidR="000B37D0">
        <w:rPr>
          <w:lang w:val="en-US"/>
        </w:rPr>
        <w:t>us</w:t>
      </w:r>
      <w:r w:rsidR="000B37D0" w:rsidRPr="000B37D0">
        <w:rPr>
          <w:lang w:val="en-US"/>
        </w:rPr>
        <w:t>e 13.5 states</w:t>
      </w:r>
      <w:r w:rsidR="00FC0DD0">
        <w:rPr>
          <w:lang w:val="en-US"/>
        </w:rPr>
        <w:t xml:space="preserve"> that</w:t>
      </w:r>
      <w:r w:rsidR="000B37D0">
        <w:rPr>
          <w:lang w:val="en-US"/>
        </w:rPr>
        <w:t xml:space="preserve"> “</w:t>
      </w:r>
      <w:r w:rsidR="000B37D0" w:rsidRPr="000B37D0">
        <w:rPr>
          <w:lang w:val="en-US"/>
        </w:rPr>
        <w:t xml:space="preserve">the provisions of this clause </w:t>
      </w:r>
      <w:r w:rsidR="000B37D0">
        <w:rPr>
          <w:lang w:val="en-US"/>
        </w:rPr>
        <w:t>13</w:t>
      </w:r>
      <w:r w:rsidR="000B37D0" w:rsidRPr="000B37D0">
        <w:rPr>
          <w:lang w:val="en-US"/>
        </w:rPr>
        <w:t xml:space="preserve"> shall apply in respect of any employment services rendered by the employee in respect of any entity contained within the group</w:t>
      </w:r>
      <w:r w:rsidR="00FC0DD0">
        <w:rPr>
          <w:lang w:val="en-US"/>
        </w:rPr>
        <w:t>”</w:t>
      </w:r>
      <w:r w:rsidR="000B37D0" w:rsidRPr="000B37D0">
        <w:rPr>
          <w:lang w:val="en-US"/>
        </w:rPr>
        <w:t>.</w:t>
      </w:r>
    </w:p>
    <w:p w14:paraId="41006CD6" w14:textId="0E37A79F" w:rsidR="00C02AF6" w:rsidRDefault="00142179" w:rsidP="00142179">
      <w:pPr>
        <w:pStyle w:val="JudgmentNumbered"/>
        <w:numPr>
          <w:ilvl w:val="0"/>
          <w:numId w:val="0"/>
        </w:numPr>
        <w:ind w:left="567" w:hanging="567"/>
      </w:pPr>
      <w:r>
        <w:rPr>
          <w:szCs w:val="24"/>
        </w:rPr>
        <w:t>[9]</w:t>
      </w:r>
      <w:r>
        <w:rPr>
          <w:szCs w:val="24"/>
        </w:rPr>
        <w:tab/>
      </w:r>
      <w:r w:rsidR="00C02AF6">
        <w:rPr>
          <w:rFonts w:ascii="ArialMT" w:hAnsi="ArialMT" w:cs="ArialMT"/>
        </w:rPr>
        <w:t>It is common cause that the definition of “</w:t>
      </w:r>
      <w:r w:rsidR="00C02AF6">
        <w:rPr>
          <w:i/>
          <w:iCs/>
        </w:rPr>
        <w:t>the group</w:t>
      </w:r>
      <w:r w:rsidR="00C02AF6">
        <w:rPr>
          <w:rFonts w:ascii="ArialMT" w:hAnsi="ArialMT" w:cs="ArialMT"/>
        </w:rPr>
        <w:t>” in the first respondent’s employment contract</w:t>
      </w:r>
      <w:r w:rsidR="00C02AF6">
        <w:t xml:space="preserve"> does not state which entities belong to the group. However, from the founding papers, the second appellant where the first respondent rendered services</w:t>
      </w:r>
      <w:r w:rsidR="00B743EE">
        <w:t>,</w:t>
      </w:r>
      <w:r w:rsidR="00C02AF6">
        <w:t xml:space="preserve"> as well as the first appellant belonged to the group.</w:t>
      </w:r>
    </w:p>
    <w:p w14:paraId="485C12C0" w14:textId="33D50543" w:rsidR="00C02AF6" w:rsidRDefault="00142179" w:rsidP="00142179">
      <w:pPr>
        <w:pStyle w:val="JudgmentNumbered"/>
        <w:numPr>
          <w:ilvl w:val="0"/>
          <w:numId w:val="0"/>
        </w:numPr>
        <w:ind w:left="567" w:hanging="567"/>
      </w:pPr>
      <w:r>
        <w:rPr>
          <w:szCs w:val="24"/>
        </w:rPr>
        <w:lastRenderedPageBreak/>
        <w:t>[10]</w:t>
      </w:r>
      <w:r>
        <w:rPr>
          <w:szCs w:val="24"/>
        </w:rPr>
        <w:tab/>
      </w:r>
      <w:r w:rsidR="00C02AF6">
        <w:t>On 10 and 11 November 2022, Seboko</w:t>
      </w:r>
      <w:r w:rsidR="008178EF">
        <w:t>,</w:t>
      </w:r>
      <w:r w:rsidR="00C02AF6">
        <w:t xml:space="preserve"> through the second respondent, was in contact and gave visa application and consultancy advice to Carlcare Services ZA (Pty) Ltd (</w:t>
      </w:r>
      <w:r w:rsidR="00B464D9">
        <w:t>“</w:t>
      </w:r>
      <w:r w:rsidR="00C02AF6" w:rsidRPr="00D92E91">
        <w:rPr>
          <w:rFonts w:ascii="Arial-ItalicMT" w:hAnsi="Arial-ItalicMT" w:cs="Arial-ItalicMT"/>
        </w:rPr>
        <w:t>Carlcare</w:t>
      </w:r>
      <w:r w:rsidR="00B464D9">
        <w:rPr>
          <w:rFonts w:ascii="Arial-ItalicMT" w:hAnsi="Arial-ItalicMT" w:cs="Arial-ItalicMT"/>
        </w:rPr>
        <w:t>”</w:t>
      </w:r>
      <w:r w:rsidR="00C02AF6">
        <w:t>), a client of the second appellant</w:t>
      </w:r>
      <w:r w:rsidR="00231A09">
        <w:t xml:space="preserve">, through an email address </w:t>
      </w:r>
      <w:r w:rsidR="008178EF">
        <w:t>“</w:t>
      </w:r>
      <w:r w:rsidR="00231A09">
        <w:t>@moeketsimsiadvisory.co.za</w:t>
      </w:r>
      <w:r w:rsidR="008178EF">
        <w:t>”</w:t>
      </w:r>
      <w:r w:rsidR="00231A09">
        <w:t xml:space="preserve"> with the second respondent. </w:t>
      </w:r>
      <w:r w:rsidR="00C02AF6">
        <w:t xml:space="preserve">This was in breach of clause 13.2.3.3 of his employment contract. </w:t>
      </w:r>
      <w:r w:rsidR="00C02AF6" w:rsidRPr="00676B75">
        <w:t>This was baldly denied in the answering affidavit.</w:t>
      </w:r>
      <w:r w:rsidR="00C02AF6">
        <w:t xml:space="preserve"> </w:t>
      </w:r>
    </w:p>
    <w:p w14:paraId="21D6A0AA" w14:textId="4F2E0725" w:rsidR="0063336B" w:rsidRPr="0063336B" w:rsidRDefault="00142179" w:rsidP="00142179">
      <w:pPr>
        <w:pStyle w:val="JudgmentNumbered"/>
        <w:numPr>
          <w:ilvl w:val="0"/>
          <w:numId w:val="0"/>
        </w:numPr>
        <w:ind w:left="567" w:hanging="567"/>
        <w:rPr>
          <w:szCs w:val="24"/>
        </w:rPr>
      </w:pPr>
      <w:r w:rsidRPr="0063336B">
        <w:rPr>
          <w:szCs w:val="24"/>
        </w:rPr>
        <w:t>[11]</w:t>
      </w:r>
      <w:r w:rsidRPr="0063336B">
        <w:rPr>
          <w:szCs w:val="24"/>
        </w:rPr>
        <w:tab/>
      </w:r>
      <w:r w:rsidR="00C02AF6">
        <w:t>Again</w:t>
      </w:r>
      <w:r w:rsidR="00FC0DD0">
        <w:t>,</w:t>
      </w:r>
      <w:r w:rsidR="00C02AF6">
        <w:t xml:space="preserve"> on 26 November 2022 Seboko</w:t>
      </w:r>
      <w:r w:rsidR="00233036">
        <w:t>,</w:t>
      </w:r>
      <w:r w:rsidR="00C02AF6">
        <w:t xml:space="preserve"> through the second respondent was in contact with and gave visa application and consultancy advice to IXM Africa (Pty) Ltd (</w:t>
      </w:r>
      <w:r w:rsidR="00C02AF6" w:rsidRPr="00716028">
        <w:t>“XM</w:t>
      </w:r>
      <w:r w:rsidR="00C02AF6">
        <w:t>), a client of the second appellant</w:t>
      </w:r>
      <w:r w:rsidR="0063336B">
        <w:t xml:space="preserve"> </w:t>
      </w:r>
      <w:r w:rsidR="0063336B" w:rsidRPr="0063336B">
        <w:t>for which Xpatweb, through Seboko, had executed three visa instructions previously.</w:t>
      </w:r>
      <w:r w:rsidR="00C02AF6">
        <w:t xml:space="preserve"> </w:t>
      </w:r>
      <w:r w:rsidR="0063336B" w:rsidRPr="0063336B">
        <w:t xml:space="preserve">The contents of the emails attached as </w:t>
      </w:r>
      <w:r w:rsidR="003F5CA8">
        <w:t>“</w:t>
      </w:r>
      <w:r w:rsidR="0063336B" w:rsidRPr="0063336B">
        <w:t>FA13</w:t>
      </w:r>
      <w:r w:rsidR="003F5CA8">
        <w:t>”</w:t>
      </w:r>
      <w:r w:rsidR="0063336B" w:rsidRPr="0063336B">
        <w:t xml:space="preserve"> to </w:t>
      </w:r>
      <w:r w:rsidR="003F5CA8">
        <w:t>“</w:t>
      </w:r>
      <w:r w:rsidR="0063336B" w:rsidRPr="0063336B">
        <w:t>FA15</w:t>
      </w:r>
      <w:r w:rsidR="003F5CA8">
        <w:t>”</w:t>
      </w:r>
      <w:r w:rsidR="0063336B" w:rsidRPr="0063336B">
        <w:t xml:space="preserve"> </w:t>
      </w:r>
      <w:r w:rsidR="0063336B">
        <w:t>show</w:t>
      </w:r>
      <w:r w:rsidR="0063336B" w:rsidRPr="0063336B">
        <w:t xml:space="preserve"> that Seboko, when </w:t>
      </w:r>
      <w:r w:rsidR="00EF7D7A" w:rsidRPr="0063336B">
        <w:t>contacted</w:t>
      </w:r>
      <w:r w:rsidR="00EF7D7A">
        <w:t xml:space="preserve"> by</w:t>
      </w:r>
      <w:r w:rsidR="00EF7D7A" w:rsidRPr="0063336B">
        <w:t xml:space="preserve"> </w:t>
      </w:r>
      <w:r w:rsidR="0063336B" w:rsidRPr="0063336B">
        <w:t xml:space="preserve">IXM </w:t>
      </w:r>
      <w:r w:rsidR="000B37D0" w:rsidRPr="0063336B">
        <w:t>Africa on</w:t>
      </w:r>
      <w:r w:rsidR="0063336B" w:rsidRPr="0063336B">
        <w:t xml:space="preserve"> his Xpatweb</w:t>
      </w:r>
      <w:r w:rsidR="009D019B">
        <w:t>’</w:t>
      </w:r>
      <w:r w:rsidR="0063336B" w:rsidRPr="0063336B">
        <w:t>s email address, responded from his new email address through his new business, MSIA</w:t>
      </w:r>
      <w:r w:rsidR="0063336B">
        <w:t xml:space="preserve"> as indicated in the preceding paragraph.</w:t>
      </w:r>
      <w:r w:rsidR="0063336B" w:rsidRPr="0063336B">
        <w:t xml:space="preserve"> </w:t>
      </w:r>
      <w:r w:rsidR="0063336B">
        <w:t>This</w:t>
      </w:r>
      <w:r w:rsidR="00245DCC">
        <w:t xml:space="preserve"> he</w:t>
      </w:r>
      <w:r w:rsidR="0063336B">
        <w:t xml:space="preserve"> was</w:t>
      </w:r>
      <w:r w:rsidR="0063336B" w:rsidRPr="0063336B">
        <w:t xml:space="preserve"> not</w:t>
      </w:r>
      <w:r w:rsidR="0063336B">
        <w:t xml:space="preserve"> permitted</w:t>
      </w:r>
      <w:r w:rsidR="0063336B" w:rsidRPr="0063336B">
        <w:t xml:space="preserve"> do in terms of the </w:t>
      </w:r>
      <w:r w:rsidR="0063336B">
        <w:t>restraint of trade agreement.</w:t>
      </w:r>
    </w:p>
    <w:p w14:paraId="0F4834C2" w14:textId="6EFBDBD9" w:rsidR="00C02AF6" w:rsidRPr="009A3CD7" w:rsidRDefault="00142179" w:rsidP="00142179">
      <w:pPr>
        <w:pStyle w:val="JudgmentNumbered"/>
        <w:numPr>
          <w:ilvl w:val="0"/>
          <w:numId w:val="0"/>
        </w:numPr>
        <w:ind w:left="567" w:hanging="567"/>
        <w:rPr>
          <w:szCs w:val="24"/>
        </w:rPr>
      </w:pPr>
      <w:r w:rsidRPr="009A3CD7">
        <w:rPr>
          <w:szCs w:val="24"/>
        </w:rPr>
        <w:t>[12]</w:t>
      </w:r>
      <w:r w:rsidRPr="009A3CD7">
        <w:rPr>
          <w:szCs w:val="24"/>
        </w:rPr>
        <w:tab/>
      </w:r>
      <w:r w:rsidR="00C02AF6">
        <w:t>It is trite that</w:t>
      </w:r>
      <w:r w:rsidR="00C02AF6" w:rsidRPr="00716028">
        <w:t xml:space="preserve"> </w:t>
      </w:r>
      <w:r w:rsidR="00EC75E4">
        <w:t>where</w:t>
      </w:r>
      <w:r w:rsidR="00C02AF6" w:rsidRPr="00716028">
        <w:t xml:space="preserve"> the material facts are in dispute and there is no request for the hearing of oral evidence, a final order will only be granted on notice of motion if the facts as stated by the respondent</w:t>
      </w:r>
      <w:r w:rsidR="00991ED9">
        <w:t>,</w:t>
      </w:r>
      <w:r w:rsidR="00C02AF6" w:rsidRPr="00716028">
        <w:t xml:space="preserve"> together with the facts alleged by the applicant that are admitted by the respondent, justify such an order</w:t>
      </w:r>
      <w:r w:rsidR="000912BE">
        <w:rPr>
          <w:rStyle w:val="FootnoteReference"/>
        </w:rPr>
        <w:footnoteReference w:id="1"/>
      </w:r>
      <w:r w:rsidR="00C02AF6" w:rsidRPr="00716028">
        <w:t> </w:t>
      </w:r>
      <w:bookmarkStart w:id="1" w:name="0-0-0-30023"/>
      <w:bookmarkEnd w:id="1"/>
      <w:r w:rsidR="00C02AF6" w:rsidRPr="00716028">
        <w:t>unless, of course, the court is satisfied that the respondent’s version consists of bald or uncreditworthy denials, raises fictitious disputes of fact, is so far-fetched or so clearly untenable or so palpably implausible as to warrant its rejection merely on the papers</w:t>
      </w:r>
      <w:r w:rsidR="00747572">
        <w:t>.</w:t>
      </w:r>
      <w:r w:rsidR="001B1DCF">
        <w:rPr>
          <w:rStyle w:val="FootnoteReference"/>
        </w:rPr>
        <w:footnoteReference w:id="2"/>
      </w:r>
    </w:p>
    <w:p w14:paraId="601CA442" w14:textId="3ECA390F" w:rsidR="00C02AF6" w:rsidRDefault="00142179" w:rsidP="00142179">
      <w:pPr>
        <w:pStyle w:val="JudgmentNumbered"/>
        <w:numPr>
          <w:ilvl w:val="0"/>
          <w:numId w:val="0"/>
        </w:numPr>
        <w:ind w:left="567" w:hanging="567"/>
      </w:pPr>
      <w:r>
        <w:rPr>
          <w:szCs w:val="24"/>
        </w:rPr>
        <w:t>[13]</w:t>
      </w:r>
      <w:r>
        <w:rPr>
          <w:szCs w:val="24"/>
        </w:rPr>
        <w:tab/>
      </w:r>
      <w:r w:rsidR="00C02AF6">
        <w:t xml:space="preserve">The </w:t>
      </w:r>
      <w:r w:rsidR="00F63A40">
        <w:t>c</w:t>
      </w:r>
      <w:r w:rsidR="00C02AF6">
        <w:t xml:space="preserve">ourt </w:t>
      </w:r>
      <w:r w:rsidR="00C02AF6">
        <w:rPr>
          <w:i/>
          <w:iCs/>
        </w:rPr>
        <w:t xml:space="preserve">a quo </w:t>
      </w:r>
      <w:r w:rsidR="00C02AF6">
        <w:t xml:space="preserve">had no difficulty, correctly, in concluding that clause 13.5 of the restraint of trade agreement pertains to associated brands or entities of </w:t>
      </w:r>
      <w:r w:rsidR="00C02AF6" w:rsidRPr="00396414">
        <w:t>TCSA</w:t>
      </w:r>
      <w:r w:rsidR="00C02AF6">
        <w:t xml:space="preserve">. In addition, that the provisions of clause 13 thereof applied in respect of any employment services rendered by Seboko in respect of any entity contained within the group. </w:t>
      </w:r>
      <w:r w:rsidR="00A945BE">
        <w:t>Further</w:t>
      </w:r>
      <w:r w:rsidR="00C02AF6">
        <w:t xml:space="preserve">, the </w:t>
      </w:r>
      <w:r w:rsidR="00A739D8">
        <w:t>c</w:t>
      </w:r>
      <w:r w:rsidR="00C02AF6">
        <w:t xml:space="preserve">ourt </w:t>
      </w:r>
      <w:r w:rsidR="00C02AF6">
        <w:rPr>
          <w:i/>
          <w:iCs/>
        </w:rPr>
        <w:t xml:space="preserve">a quo </w:t>
      </w:r>
      <w:r w:rsidR="00C02AF6">
        <w:t xml:space="preserve">concluded, correctly, that the </w:t>
      </w:r>
      <w:r w:rsidR="00C02AF6">
        <w:rPr>
          <w:rFonts w:ascii="ArialMT" w:hAnsi="ArialMT" w:cs="ArialMT"/>
        </w:rPr>
        <w:t xml:space="preserve">group </w:t>
      </w:r>
      <w:r w:rsidR="00F46599">
        <w:rPr>
          <w:rFonts w:ascii="ArialMT" w:hAnsi="ArialMT" w:cs="ArialMT"/>
        </w:rPr>
        <w:lastRenderedPageBreak/>
        <w:t>included</w:t>
      </w:r>
      <w:r w:rsidR="00C02AF6">
        <w:rPr>
          <w:rFonts w:ascii="ArialMT" w:hAnsi="ArialMT" w:cs="ArialMT"/>
        </w:rPr>
        <w:t xml:space="preserve"> the first appellant </w:t>
      </w:r>
      <w:r w:rsidR="00C02AF6" w:rsidRPr="001F3AE2">
        <w:rPr>
          <w:rFonts w:ascii="ArialMT" w:hAnsi="ArialMT" w:cs="ArialMT"/>
        </w:rPr>
        <w:t>“</w:t>
      </w:r>
      <w:r w:rsidR="00C02AF6" w:rsidRPr="001F3AE2">
        <w:t>and/or any of its current or future associated brands or entities for which (the first respondent) may be required to act on behalf of</w:t>
      </w:r>
      <w:r w:rsidR="00575048">
        <w:t>”</w:t>
      </w:r>
      <w:r w:rsidR="00C02AF6">
        <w:rPr>
          <w:rFonts w:ascii="ArialMT" w:hAnsi="ArialMT" w:cs="ArialMT"/>
        </w:rPr>
        <w:t xml:space="preserve"> during Seboko’s employment.</w:t>
      </w:r>
      <w:r w:rsidR="00C02AF6">
        <w:t xml:space="preserve"> The court </w:t>
      </w:r>
      <w:r w:rsidR="00C02AF6" w:rsidRPr="002D747C">
        <w:rPr>
          <w:i/>
        </w:rPr>
        <w:t>a</w:t>
      </w:r>
      <w:r w:rsidR="002D747C" w:rsidRPr="002D747C">
        <w:rPr>
          <w:i/>
        </w:rPr>
        <w:t xml:space="preserve"> </w:t>
      </w:r>
      <w:r w:rsidR="00C02AF6" w:rsidRPr="002D747C">
        <w:rPr>
          <w:i/>
        </w:rPr>
        <w:t>quo</w:t>
      </w:r>
      <w:r w:rsidR="00C02AF6">
        <w:t xml:space="preserve"> however reasoned that if </w:t>
      </w:r>
      <w:r w:rsidR="00C02AF6" w:rsidRPr="00F866B0">
        <w:t>Xpatweb</w:t>
      </w:r>
      <w:r w:rsidR="00C02AF6">
        <w:t xml:space="preserve"> was able to establish that it is an associated entity within the group as defined in the restraint of trade agreement, then the restraint of trade agreement would apply in favour of </w:t>
      </w:r>
      <w:r w:rsidR="00C02AF6" w:rsidRPr="00F866B0">
        <w:t>Xpatweb</w:t>
      </w:r>
      <w:r w:rsidR="00C02AF6">
        <w:t xml:space="preserve"> against the respondents, which it failed to do. </w:t>
      </w:r>
    </w:p>
    <w:p w14:paraId="45D65124" w14:textId="5D2A674F" w:rsidR="00C02AF6" w:rsidRDefault="00142179" w:rsidP="00142179">
      <w:pPr>
        <w:pStyle w:val="JudgmentNumbered"/>
        <w:numPr>
          <w:ilvl w:val="0"/>
          <w:numId w:val="0"/>
        </w:numPr>
        <w:ind w:left="567" w:hanging="567"/>
      </w:pPr>
      <w:r>
        <w:rPr>
          <w:szCs w:val="24"/>
        </w:rPr>
        <w:t>[14]</w:t>
      </w:r>
      <w:r>
        <w:rPr>
          <w:szCs w:val="24"/>
        </w:rPr>
        <w:tab/>
      </w:r>
      <w:r w:rsidR="00C02AF6">
        <w:t xml:space="preserve">In the </w:t>
      </w:r>
      <w:r w:rsidR="00C02AF6">
        <w:rPr>
          <w:rFonts w:ascii="ArialMT" w:hAnsi="ArialMT" w:cs="ArialMT"/>
        </w:rPr>
        <w:t xml:space="preserve">respondents’ answering affidavit, Seboko says there is no reference to </w:t>
      </w:r>
      <w:r w:rsidR="00C02AF6" w:rsidRPr="00F866B0">
        <w:t>Xpatweb</w:t>
      </w:r>
      <w:r w:rsidR="00C02AF6">
        <w:t xml:space="preserve"> in the agreement relied upon; </w:t>
      </w:r>
      <w:r w:rsidR="00C439CB">
        <w:t xml:space="preserve">further, that </w:t>
      </w:r>
      <w:r w:rsidR="00C02AF6">
        <w:t xml:space="preserve">there was no agreement between him and </w:t>
      </w:r>
      <w:r w:rsidR="00C02AF6" w:rsidRPr="00F866B0">
        <w:t>Xpatweb</w:t>
      </w:r>
      <w:r w:rsidR="00C439CB">
        <w:t>.</w:t>
      </w:r>
      <w:r w:rsidR="00C02AF6">
        <w:t xml:space="preserve"> </w:t>
      </w:r>
      <w:r w:rsidR="00C439CB">
        <w:t>He also made issue of</w:t>
      </w:r>
      <w:r w:rsidR="00C02AF6">
        <w:t xml:space="preserve"> </w:t>
      </w:r>
      <w:r w:rsidR="00C439CB">
        <w:t>the</w:t>
      </w:r>
      <w:r w:rsidR="00C02AF6">
        <w:t xml:space="preserve"> lack of an organogram to explain these arrangements. In his version</w:t>
      </w:r>
      <w:r w:rsidR="00CE37E8">
        <w:t xml:space="preserve"> however</w:t>
      </w:r>
      <w:r w:rsidR="00C02AF6">
        <w:t>, he knew that there was an arrangement between the first and second appellants</w:t>
      </w:r>
      <w:r w:rsidR="00BF79EE">
        <w:t>,</w:t>
      </w:r>
      <w:r w:rsidR="00C02AF6">
        <w:t xml:space="preserve"> the details of which he was not privy to, which </w:t>
      </w:r>
      <w:r w:rsidR="00CE37E8">
        <w:t>he contended</w:t>
      </w:r>
      <w:r w:rsidR="00574D36">
        <w:t xml:space="preserve"> </w:t>
      </w:r>
      <w:r w:rsidR="00C02AF6">
        <w:t xml:space="preserve">did not give rise to a contract between him and </w:t>
      </w:r>
      <w:r w:rsidR="00C02AF6" w:rsidRPr="00F866B0">
        <w:t>Xpatweb</w:t>
      </w:r>
      <w:r w:rsidR="00C02AF6">
        <w:t>.</w:t>
      </w:r>
      <w:r w:rsidR="004666CE">
        <w:t xml:space="preserve"> </w:t>
      </w:r>
      <w:r w:rsidR="00C02AF6">
        <w:t xml:space="preserve">The court </w:t>
      </w:r>
      <w:r w:rsidR="00C02AF6" w:rsidRPr="00561851">
        <w:rPr>
          <w:i/>
        </w:rPr>
        <w:t>a</w:t>
      </w:r>
      <w:r w:rsidR="00561851" w:rsidRPr="00561851">
        <w:rPr>
          <w:i/>
        </w:rPr>
        <w:t xml:space="preserve"> </w:t>
      </w:r>
      <w:r w:rsidR="00C02AF6" w:rsidRPr="00561851">
        <w:rPr>
          <w:i/>
        </w:rPr>
        <w:t>quo</w:t>
      </w:r>
      <w:r w:rsidR="00C02AF6">
        <w:t xml:space="preserve"> nevertheless concluded </w:t>
      </w:r>
      <w:r w:rsidR="00C02AF6" w:rsidRPr="00DB4066">
        <w:t xml:space="preserve">that these </w:t>
      </w:r>
      <w:r w:rsidR="00C02AF6" w:rsidRPr="00DB4066">
        <w:rPr>
          <w:rFonts w:ascii="ArialMT" w:hAnsi="ArialMT" w:cs="ArialMT"/>
        </w:rPr>
        <w:t xml:space="preserve">denials were </w:t>
      </w:r>
      <w:r w:rsidR="00C02AF6" w:rsidRPr="00DB4066">
        <w:t>not fictitious</w:t>
      </w:r>
      <w:r w:rsidR="00C02AF6">
        <w:t>.</w:t>
      </w:r>
      <w:r w:rsidR="00C02AF6">
        <w:rPr>
          <w:i/>
          <w:iCs/>
        </w:rPr>
        <w:t xml:space="preserve"> </w:t>
      </w:r>
      <w:r w:rsidR="001B1F9A">
        <w:rPr>
          <w:iCs/>
        </w:rPr>
        <w:t>It</w:t>
      </w:r>
      <w:r w:rsidR="00C02AF6">
        <w:rPr>
          <w:i/>
          <w:iCs/>
        </w:rPr>
        <w:t xml:space="preserve"> </w:t>
      </w:r>
      <w:r w:rsidR="00C02AF6">
        <w:t xml:space="preserve">found that because the appellants did not annex objective documentary proof that they were associated entities, the restraint of trade agreement was not enforceable in favour of </w:t>
      </w:r>
      <w:r w:rsidR="00C02AF6" w:rsidRPr="00F866B0">
        <w:t>Xpatweb</w:t>
      </w:r>
      <w:r w:rsidR="00C02AF6">
        <w:t>.</w:t>
      </w:r>
    </w:p>
    <w:p w14:paraId="085FDB5F" w14:textId="1F496167" w:rsidR="00970334" w:rsidRPr="00970334" w:rsidRDefault="00142179" w:rsidP="00142179">
      <w:pPr>
        <w:pStyle w:val="JudgmentNumbered"/>
        <w:numPr>
          <w:ilvl w:val="0"/>
          <w:numId w:val="0"/>
        </w:numPr>
        <w:ind w:left="567" w:hanging="567"/>
      </w:pPr>
      <w:r w:rsidRPr="00970334">
        <w:rPr>
          <w:szCs w:val="24"/>
        </w:rPr>
        <w:t>[15]</w:t>
      </w:r>
      <w:r w:rsidRPr="00970334">
        <w:rPr>
          <w:szCs w:val="24"/>
        </w:rPr>
        <w:tab/>
      </w:r>
      <w:r w:rsidR="00C02AF6">
        <w:t xml:space="preserve">The respondents contended that </w:t>
      </w:r>
      <w:r w:rsidR="00C02AF6" w:rsidRPr="008E7FA8">
        <w:t xml:space="preserve">the </w:t>
      </w:r>
      <w:r w:rsidR="00C02AF6">
        <w:t>a</w:t>
      </w:r>
      <w:r w:rsidR="00C02AF6" w:rsidRPr="008E7FA8">
        <w:t>ppellants were</w:t>
      </w:r>
      <w:r w:rsidR="00C02AF6">
        <w:t xml:space="preserve"> not</w:t>
      </w:r>
      <w:r w:rsidR="00C02AF6" w:rsidRPr="008E7FA8">
        <w:t xml:space="preserve"> able to establish that they are associated entities</w:t>
      </w:r>
      <w:r w:rsidR="003C58A0">
        <w:t>,</w:t>
      </w:r>
      <w:r w:rsidR="00C02AF6" w:rsidRPr="00DB6A4A">
        <w:t xml:space="preserve"> as such the restraint of trade cannot apply in favour of all the </w:t>
      </w:r>
      <w:r w:rsidR="00C02AF6">
        <w:t>a</w:t>
      </w:r>
      <w:r w:rsidR="00C02AF6" w:rsidRPr="00DB6A4A">
        <w:t>ppellants</w:t>
      </w:r>
      <w:r w:rsidR="00C02AF6">
        <w:t xml:space="preserve"> but</w:t>
      </w:r>
      <w:r w:rsidR="00C02AF6" w:rsidRPr="00EF3846">
        <w:t xml:space="preserve"> can only apply in favour of the first appellant</w:t>
      </w:r>
      <w:r w:rsidR="00C02AF6">
        <w:t>. The much-cited</w:t>
      </w:r>
      <w:r w:rsidR="00970334">
        <w:t xml:space="preserve"> </w:t>
      </w:r>
      <w:r w:rsidR="00C02AF6" w:rsidRPr="00A16B67">
        <w:t xml:space="preserve">dictum </w:t>
      </w:r>
      <w:r w:rsidR="003D4E41">
        <w:t xml:space="preserve">on the tools of interpretation </w:t>
      </w:r>
      <w:r w:rsidR="00C02AF6" w:rsidRPr="00A16B67">
        <w:t>in </w:t>
      </w:r>
      <w:r w:rsidR="00C02AF6" w:rsidRPr="004666CE">
        <w:rPr>
          <w:i/>
        </w:rPr>
        <w:t>Natal Joint Municipal Pension Fund v Endumeni Municipality</w:t>
      </w:r>
      <w:r w:rsidR="00E63546" w:rsidRPr="00D92E91">
        <w:rPr>
          <w:rStyle w:val="FootnoteReference"/>
          <w:iCs/>
        </w:rPr>
        <w:footnoteReference w:id="3"/>
      </w:r>
      <w:r w:rsidR="00C02AF6" w:rsidRPr="00A16B67">
        <w:t xml:space="preserve"> para 18 bears </w:t>
      </w:r>
      <w:r w:rsidR="003D4E41">
        <w:t>repeating</w:t>
      </w:r>
      <w:r w:rsidR="00C02AF6" w:rsidRPr="00A16B67">
        <w:t>:</w:t>
      </w:r>
    </w:p>
    <w:p w14:paraId="24F75DF5" w14:textId="0A36D4D2" w:rsidR="00C02AF6" w:rsidRPr="00D92E91" w:rsidRDefault="00970334" w:rsidP="00D92E91">
      <w:pPr>
        <w:pStyle w:val="JudgmentNumbered"/>
        <w:numPr>
          <w:ilvl w:val="0"/>
          <w:numId w:val="0"/>
        </w:numPr>
        <w:ind w:left="851"/>
        <w:rPr>
          <w:rFonts w:ascii="Verdana" w:hAnsi="Verdana" w:cs="Times New Roman"/>
          <w:sz w:val="22"/>
          <w:lang w:eastAsia="en-ZA"/>
        </w:rPr>
      </w:pPr>
      <w:r w:rsidRPr="00D92E91">
        <w:rPr>
          <w:sz w:val="22"/>
          <w:lang w:eastAsia="en-ZA"/>
        </w:rPr>
        <w:t>“</w:t>
      </w:r>
      <w:r w:rsidR="00C02AF6" w:rsidRPr="00D92E91">
        <w:rPr>
          <w:sz w:val="22"/>
          <w:lang w:eastAsia="en-ZA"/>
        </w:rPr>
        <w:t xml:space="preserve">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weighed in the light of all these factors. The process is objective, not subjective. A sensible meaning is to be preferred to one that </w:t>
      </w:r>
      <w:r w:rsidR="00C02AF6" w:rsidRPr="00D92E91">
        <w:rPr>
          <w:sz w:val="22"/>
          <w:lang w:eastAsia="en-ZA"/>
        </w:rPr>
        <w:lastRenderedPageBreak/>
        <w:t>leads to insensible or unbusinesslike results or undermines the ap</w:t>
      </w:r>
      <w:r w:rsidRPr="00D92E91">
        <w:rPr>
          <w:sz w:val="22"/>
          <w:lang w:eastAsia="en-ZA"/>
        </w:rPr>
        <w:t>parent purpose of the document.”</w:t>
      </w:r>
    </w:p>
    <w:p w14:paraId="40DC4ADC" w14:textId="62B6F106" w:rsidR="00C02AF6" w:rsidRDefault="00142179" w:rsidP="00142179">
      <w:pPr>
        <w:pStyle w:val="JudgmentNumbered"/>
        <w:numPr>
          <w:ilvl w:val="0"/>
          <w:numId w:val="0"/>
        </w:numPr>
        <w:ind w:left="567" w:hanging="567"/>
      </w:pPr>
      <w:r>
        <w:rPr>
          <w:szCs w:val="24"/>
        </w:rPr>
        <w:t>[16]</w:t>
      </w:r>
      <w:r>
        <w:rPr>
          <w:szCs w:val="24"/>
        </w:rPr>
        <w:tab/>
      </w:r>
      <w:r w:rsidR="00C02AF6">
        <w:t xml:space="preserve">It is apparent that, having regard to the context and purpose of </w:t>
      </w:r>
      <w:r w:rsidR="00C02AF6">
        <w:rPr>
          <w:rFonts w:ascii="ArialMT" w:hAnsi="ArialMT" w:cs="ArialMT"/>
        </w:rPr>
        <w:t>Seboko’s employment contract, the second app</w:t>
      </w:r>
      <w:r w:rsidR="00C02AF6">
        <w:t>ellant was intended by the wording to fall and</w:t>
      </w:r>
      <w:r w:rsidR="00400104">
        <w:t xml:space="preserve"> indeed</w:t>
      </w:r>
      <w:r w:rsidR="00C02AF6">
        <w:t xml:space="preserve"> fell within the definition of the group in the contract.</w:t>
      </w:r>
      <w:r w:rsidR="00C02AF6" w:rsidRPr="00DB7132">
        <w:t xml:space="preserve"> </w:t>
      </w:r>
      <w:r w:rsidR="00C02AF6">
        <w:t xml:space="preserve">The very reason therefor was to enable group entities to enjoy the benefits and protection of the restraint in recognition of the fact that protection would be required if the first respondent was deployed to a company or entity within </w:t>
      </w:r>
      <w:r w:rsidR="00C02AF6">
        <w:rPr>
          <w:rFonts w:ascii="ArialMT" w:hAnsi="ArialMT" w:cs="ArialMT"/>
        </w:rPr>
        <w:t>“</w:t>
      </w:r>
      <w:r w:rsidR="00C02AF6">
        <w:rPr>
          <w:i/>
          <w:iCs/>
        </w:rPr>
        <w:t>the</w:t>
      </w:r>
      <w:r w:rsidR="00C02AF6">
        <w:t xml:space="preserve"> </w:t>
      </w:r>
      <w:r w:rsidR="00C02AF6">
        <w:rPr>
          <w:i/>
          <w:iCs/>
        </w:rPr>
        <w:t>group</w:t>
      </w:r>
      <w:r w:rsidR="00C02AF6">
        <w:rPr>
          <w:rFonts w:ascii="ArialMT" w:hAnsi="ArialMT" w:cs="ArialMT"/>
        </w:rPr>
        <w:t xml:space="preserve">” </w:t>
      </w:r>
      <w:r w:rsidR="00C02AF6">
        <w:t xml:space="preserve">as </w:t>
      </w:r>
      <w:r w:rsidR="00C02AF6">
        <w:rPr>
          <w:rFonts w:ascii="ArialMT" w:hAnsi="ArialMT" w:cs="ArialMT"/>
        </w:rPr>
        <w:t>occurred with the first respondent’s employment by the first appellant</w:t>
      </w:r>
      <w:r w:rsidR="00C02AF6">
        <w:t xml:space="preserve"> and deployment to the second appellant.</w:t>
      </w:r>
      <w:r w:rsidR="00C02AF6" w:rsidRPr="00D931EF">
        <w:rPr>
          <w:color w:val="242121"/>
          <w:sz w:val="27"/>
          <w:szCs w:val="27"/>
          <w:shd w:val="clear" w:color="auto" w:fill="FFFFFF"/>
        </w:rPr>
        <w:t xml:space="preserve"> </w:t>
      </w:r>
      <w:r w:rsidR="00C02AF6">
        <w:t>T</w:t>
      </w:r>
      <w:r w:rsidR="00C02AF6" w:rsidRPr="00D931EF">
        <w:t xml:space="preserve">he interpretation advanced by </w:t>
      </w:r>
      <w:r w:rsidR="00C02AF6">
        <w:t>Seboko regarding the employment contract, viewed objectively,</w:t>
      </w:r>
      <w:r w:rsidR="00C02AF6" w:rsidRPr="00D931EF">
        <w:t xml:space="preserve"> </w:t>
      </w:r>
      <w:r w:rsidR="00C02AF6">
        <w:t xml:space="preserve">is far </w:t>
      </w:r>
      <w:r w:rsidR="00C02AF6" w:rsidRPr="00D931EF">
        <w:t>removed from commercial reality and was not sensible or business</w:t>
      </w:r>
      <w:r w:rsidR="00970334">
        <w:t>-</w:t>
      </w:r>
      <w:r w:rsidR="00C02AF6" w:rsidRPr="00D931EF">
        <w:t>like.</w:t>
      </w:r>
      <w:r w:rsidR="00C02AF6">
        <w:t xml:space="preserve"> From the established facts and under oath, the appellants proved that the second appellant was a company in the group in whose favour the restraint operated. The first respondent was accordingly bound by its terms in favour of the first and second appellants. </w:t>
      </w:r>
    </w:p>
    <w:p w14:paraId="5E309F01" w14:textId="5E8656A5" w:rsidR="00C02AF6" w:rsidRDefault="00142179" w:rsidP="00142179">
      <w:pPr>
        <w:pStyle w:val="JudgmentNumbered"/>
        <w:numPr>
          <w:ilvl w:val="0"/>
          <w:numId w:val="0"/>
        </w:numPr>
        <w:ind w:left="567" w:hanging="567"/>
      </w:pPr>
      <w:r>
        <w:rPr>
          <w:szCs w:val="24"/>
        </w:rPr>
        <w:t>[17]</w:t>
      </w:r>
      <w:r>
        <w:rPr>
          <w:szCs w:val="24"/>
        </w:rPr>
        <w:tab/>
      </w:r>
      <w:r w:rsidR="00C02AF6">
        <w:t>In my view, the denials were not supported by any evidence as</w:t>
      </w:r>
      <w:r w:rsidR="00C02AF6" w:rsidRPr="00F50E8E">
        <w:t xml:space="preserve"> </w:t>
      </w:r>
      <w:r w:rsidR="00C02AF6">
        <w:t xml:space="preserve">no information was provided by Seboko to support his denials in the face of the appellants’ evidence. Seboko, accordingly, </w:t>
      </w:r>
      <w:r w:rsidR="00C02AF6">
        <w:rPr>
          <w:rFonts w:ascii="ArialMT" w:hAnsi="ArialMT" w:cs="ArialMT"/>
        </w:rPr>
        <w:t>f</w:t>
      </w:r>
      <w:r w:rsidR="00C02AF6">
        <w:t xml:space="preserve">urnished what is considered a bare </w:t>
      </w:r>
      <w:r w:rsidR="00C02AF6">
        <w:rPr>
          <w:rFonts w:ascii="ArialMT" w:hAnsi="ArialMT" w:cs="ArialMT"/>
        </w:rPr>
        <w:t>denial of the appellants’ averments in respect of the second appellant</w:t>
      </w:r>
      <w:r w:rsidR="00C02AF6">
        <w:t xml:space="preserve"> </w:t>
      </w:r>
      <w:r w:rsidR="00C02AF6">
        <w:rPr>
          <w:rFonts w:ascii="ArialMT" w:hAnsi="ArialMT" w:cs="ArialMT"/>
        </w:rPr>
        <w:t>being part of “</w:t>
      </w:r>
      <w:r w:rsidR="00C02AF6">
        <w:rPr>
          <w:i/>
          <w:iCs/>
        </w:rPr>
        <w:t>the group</w:t>
      </w:r>
      <w:r w:rsidR="00C02AF6" w:rsidRPr="00D92E91">
        <w:t>”</w:t>
      </w:r>
      <w:r w:rsidR="00C02AF6">
        <w:rPr>
          <w:i/>
          <w:iCs/>
        </w:rPr>
        <w:t>.</w:t>
      </w:r>
      <w:r w:rsidR="00C02AF6">
        <w:t xml:space="preserve">  It follows accordingly, on the application of the </w:t>
      </w:r>
      <w:r w:rsidR="00C02AF6" w:rsidRPr="00D92E91">
        <w:rPr>
          <w:rFonts w:ascii="ArialMT" w:hAnsi="ArialMT" w:cs="ArialMT"/>
          <w:i/>
          <w:iCs/>
        </w:rPr>
        <w:t>Plascon Evans</w:t>
      </w:r>
      <w:r w:rsidR="00C02AF6">
        <w:rPr>
          <w:rFonts w:ascii="ArialMT" w:hAnsi="ArialMT" w:cs="ArialMT"/>
        </w:rPr>
        <w:t xml:space="preserve"> principle, the</w:t>
      </w:r>
      <w:r w:rsidR="00C02AF6">
        <w:t xml:space="preserve"> denials did not go far enough to raise a material dispute of facts.</w:t>
      </w:r>
    </w:p>
    <w:p w14:paraId="0A50D557" w14:textId="2F3D522D" w:rsidR="00C02AF6" w:rsidRDefault="00142179" w:rsidP="00142179">
      <w:pPr>
        <w:pStyle w:val="JudgmentNumbered"/>
        <w:numPr>
          <w:ilvl w:val="0"/>
          <w:numId w:val="0"/>
        </w:numPr>
        <w:ind w:left="567" w:hanging="567"/>
        <w:rPr>
          <w:lang w:val="en-US"/>
        </w:rPr>
      </w:pPr>
      <w:r>
        <w:rPr>
          <w:szCs w:val="24"/>
          <w:lang w:val="en-US"/>
        </w:rPr>
        <w:t>[18]</w:t>
      </w:r>
      <w:r>
        <w:rPr>
          <w:szCs w:val="24"/>
          <w:lang w:val="en-US"/>
        </w:rPr>
        <w:tab/>
      </w:r>
      <w:r w:rsidR="00C02AF6">
        <w:t xml:space="preserve">It is trite that </w:t>
      </w:r>
      <w:r w:rsidR="00C02AF6" w:rsidRPr="00732BC7">
        <w:t>that a restraint is enforceable unless it is shown to be unreasonable, which necessarily casts an onus on the person who seeks to escape it</w:t>
      </w:r>
      <w:r w:rsidR="00C02AF6">
        <w:t>.</w:t>
      </w:r>
      <w:r w:rsidR="00C02AF6" w:rsidRPr="00C21073">
        <w:rPr>
          <w:lang w:val="en-US"/>
        </w:rPr>
        <w:t xml:space="preserve"> The first respondent</w:t>
      </w:r>
      <w:r w:rsidR="00C02AF6" w:rsidRPr="00860206">
        <w:rPr>
          <w:lang w:val="en-US"/>
        </w:rPr>
        <w:t xml:space="preserve"> contended that the restraint is unreasonable</w:t>
      </w:r>
      <w:r w:rsidR="00C02AF6">
        <w:rPr>
          <w:lang w:val="en-US"/>
        </w:rPr>
        <w:t xml:space="preserve"> as</w:t>
      </w:r>
      <w:r w:rsidR="00C02AF6" w:rsidRPr="00860206">
        <w:rPr>
          <w:lang w:val="en-US"/>
        </w:rPr>
        <w:t xml:space="preserve"> </w:t>
      </w:r>
      <w:r w:rsidR="00C02AF6">
        <w:rPr>
          <w:lang w:val="en-US"/>
        </w:rPr>
        <w:t xml:space="preserve">he </w:t>
      </w:r>
      <w:r w:rsidR="00C02AF6" w:rsidRPr="00860206">
        <w:rPr>
          <w:lang w:val="en-US"/>
        </w:rPr>
        <w:t>would</w:t>
      </w:r>
      <w:r w:rsidR="00C02AF6" w:rsidRPr="00E17803">
        <w:rPr>
          <w:lang w:val="en-US"/>
        </w:rPr>
        <w:t xml:space="preserve"> consequently</w:t>
      </w:r>
      <w:r w:rsidR="00C02AF6" w:rsidRPr="00860206">
        <w:rPr>
          <w:lang w:val="en-US"/>
        </w:rPr>
        <w:t xml:space="preserve"> be subjected to</w:t>
      </w:r>
      <w:r w:rsidR="00C02AF6" w:rsidRPr="00E17803">
        <w:rPr>
          <w:lang w:val="en-US"/>
        </w:rPr>
        <w:t xml:space="preserve"> poverty</w:t>
      </w:r>
      <w:r w:rsidR="00C02AF6">
        <w:rPr>
          <w:lang w:val="en-US"/>
        </w:rPr>
        <w:t>,</w:t>
      </w:r>
      <w:r w:rsidR="00C02AF6" w:rsidRPr="005119D6">
        <w:rPr>
          <w:lang w:val="en-US"/>
        </w:rPr>
        <w:t xml:space="preserve"> which is an affront to human dignity</w:t>
      </w:r>
      <w:r w:rsidR="00C02AF6">
        <w:rPr>
          <w:lang w:val="en-US"/>
        </w:rPr>
        <w:t>.</w:t>
      </w:r>
      <w:r w:rsidR="00C02AF6" w:rsidRPr="009B1FC6">
        <w:rPr>
          <w:lang w:val="en-US"/>
        </w:rPr>
        <w:t xml:space="preserve"> There is quite clearly no merit in this contention</w:t>
      </w:r>
      <w:r w:rsidR="00C02AF6">
        <w:rPr>
          <w:lang w:val="en-US"/>
        </w:rPr>
        <w:t>.</w:t>
      </w:r>
      <w:r w:rsidR="00C02AF6" w:rsidRPr="000714BA">
        <w:rPr>
          <w:lang w:val="en-US"/>
        </w:rPr>
        <w:t xml:space="preserve"> The appellants</w:t>
      </w:r>
      <w:r w:rsidR="009F04C7">
        <w:rPr>
          <w:lang w:val="en-US"/>
        </w:rPr>
        <w:t>’</w:t>
      </w:r>
      <w:r w:rsidR="00C02AF6" w:rsidRPr="000714BA">
        <w:rPr>
          <w:lang w:val="en-US"/>
        </w:rPr>
        <w:t xml:space="preserve"> case is straightforward.</w:t>
      </w:r>
      <w:r w:rsidR="00C02AF6" w:rsidRPr="00136F02">
        <w:rPr>
          <w:lang w:val="en-US"/>
        </w:rPr>
        <w:t xml:space="preserve"> It sought </w:t>
      </w:r>
      <w:r w:rsidR="00C02AF6">
        <w:rPr>
          <w:lang w:val="en-US"/>
        </w:rPr>
        <w:t xml:space="preserve">a </w:t>
      </w:r>
      <w:r w:rsidR="00C02AF6" w:rsidRPr="00136F02">
        <w:rPr>
          <w:lang w:val="en-US"/>
        </w:rPr>
        <w:t>prohibitory interdict</w:t>
      </w:r>
      <w:r w:rsidR="00C02AF6" w:rsidRPr="005B5696">
        <w:rPr>
          <w:lang w:val="en-US"/>
        </w:rPr>
        <w:t xml:space="preserve"> to prevent</w:t>
      </w:r>
      <w:r w:rsidR="00C02AF6" w:rsidRPr="00E129D9">
        <w:rPr>
          <w:lang w:val="en-US"/>
        </w:rPr>
        <w:t xml:space="preserve"> the respondents</w:t>
      </w:r>
      <w:r w:rsidR="00C02AF6" w:rsidRPr="00ED1686">
        <w:rPr>
          <w:lang w:val="en-US"/>
        </w:rPr>
        <w:t xml:space="preserve"> from contacting</w:t>
      </w:r>
      <w:r w:rsidR="00C02AF6" w:rsidRPr="00D9495D">
        <w:rPr>
          <w:lang w:val="en-US"/>
        </w:rPr>
        <w:t xml:space="preserve"> the</w:t>
      </w:r>
      <w:r w:rsidR="00C02AF6">
        <w:rPr>
          <w:lang w:val="en-US"/>
        </w:rPr>
        <w:t>ir</w:t>
      </w:r>
      <w:r w:rsidR="00C02AF6" w:rsidRPr="00D9495D">
        <w:rPr>
          <w:lang w:val="en-US"/>
        </w:rPr>
        <w:t xml:space="preserve"> prescribed clients</w:t>
      </w:r>
      <w:r w:rsidR="00C02AF6">
        <w:rPr>
          <w:lang w:val="en-US"/>
        </w:rPr>
        <w:t>.</w:t>
      </w:r>
      <w:r w:rsidR="00C02AF6" w:rsidRPr="00F22B5D">
        <w:rPr>
          <w:rFonts w:ascii="Verdana" w:hAnsi="Verdana"/>
          <w:color w:val="242121"/>
          <w:sz w:val="27"/>
          <w:szCs w:val="27"/>
          <w:shd w:val="clear" w:color="auto" w:fill="FFFFFF"/>
        </w:rPr>
        <w:t xml:space="preserve"> </w:t>
      </w:r>
      <w:r w:rsidR="00C02AF6" w:rsidRPr="00794B57">
        <w:rPr>
          <w:lang w:val="en-US"/>
        </w:rPr>
        <w:t xml:space="preserve">Restraining </w:t>
      </w:r>
      <w:r w:rsidR="00C02AF6">
        <w:rPr>
          <w:lang w:val="en-US"/>
        </w:rPr>
        <w:t xml:space="preserve">Seboko </w:t>
      </w:r>
      <w:r w:rsidR="00C02AF6" w:rsidRPr="00794B57">
        <w:rPr>
          <w:lang w:val="en-US"/>
        </w:rPr>
        <w:t>from</w:t>
      </w:r>
      <w:r w:rsidR="00C02AF6" w:rsidRPr="00ED1686">
        <w:rPr>
          <w:lang w:val="en-US"/>
        </w:rPr>
        <w:t xml:space="preserve"> contacting</w:t>
      </w:r>
      <w:r w:rsidR="00C02AF6" w:rsidRPr="00D9495D">
        <w:rPr>
          <w:lang w:val="en-US"/>
        </w:rPr>
        <w:t xml:space="preserve"> the</w:t>
      </w:r>
      <w:r w:rsidR="00C02AF6">
        <w:rPr>
          <w:lang w:val="en-US"/>
        </w:rPr>
        <w:t>ir</w:t>
      </w:r>
      <w:r w:rsidR="00C02AF6" w:rsidRPr="00D9495D">
        <w:rPr>
          <w:lang w:val="en-US"/>
        </w:rPr>
        <w:t xml:space="preserve"> prescribed</w:t>
      </w:r>
      <w:r w:rsidR="00C02AF6">
        <w:rPr>
          <w:lang w:val="en-US"/>
        </w:rPr>
        <w:t xml:space="preserve"> clients</w:t>
      </w:r>
      <w:r w:rsidR="00C02AF6" w:rsidRPr="00794B57">
        <w:rPr>
          <w:lang w:val="en-US"/>
        </w:rPr>
        <w:t xml:space="preserve"> does not affect him rendering services to unprescribed clients elsewhere or his ability to engage in the employment he was trained and had expertise in. The nature and extent of the limitation is thus restricted.</w:t>
      </w:r>
    </w:p>
    <w:p w14:paraId="5A151444" w14:textId="217C0E4D" w:rsidR="00C02AF6" w:rsidRPr="004666CE" w:rsidRDefault="00142179" w:rsidP="00142179">
      <w:pPr>
        <w:pStyle w:val="JudgmentNumbered"/>
        <w:numPr>
          <w:ilvl w:val="0"/>
          <w:numId w:val="0"/>
        </w:numPr>
        <w:ind w:left="567" w:hanging="567"/>
        <w:rPr>
          <w:lang w:val="en-US"/>
        </w:rPr>
      </w:pPr>
      <w:r w:rsidRPr="004666CE">
        <w:rPr>
          <w:szCs w:val="24"/>
          <w:lang w:val="en-US"/>
        </w:rPr>
        <w:lastRenderedPageBreak/>
        <w:t>[19]</w:t>
      </w:r>
      <w:r w:rsidRPr="004666CE">
        <w:rPr>
          <w:szCs w:val="24"/>
          <w:lang w:val="en-US"/>
        </w:rPr>
        <w:tab/>
      </w:r>
      <w:r w:rsidR="00C02AF6">
        <w:rPr>
          <w:lang w:val="en-US"/>
        </w:rPr>
        <w:t>T</w:t>
      </w:r>
      <w:r w:rsidR="00C02AF6" w:rsidRPr="00645BD2">
        <w:rPr>
          <w:lang w:val="en-US"/>
        </w:rPr>
        <w:t>he principle of </w:t>
      </w:r>
      <w:r w:rsidR="00C02AF6" w:rsidRPr="004666CE">
        <w:rPr>
          <w:i/>
          <w:lang w:val="en-US"/>
        </w:rPr>
        <w:t xml:space="preserve">pacta </w:t>
      </w:r>
      <w:r w:rsidR="00C02AF6" w:rsidRPr="004666CE">
        <w:rPr>
          <w:i/>
          <w:iCs/>
          <w:lang w:val="en-US"/>
        </w:rPr>
        <w:t>sunt servanda</w:t>
      </w:r>
      <w:r w:rsidR="00C02AF6" w:rsidRPr="00645BD2">
        <w:rPr>
          <w:lang w:val="en-US"/>
        </w:rPr>
        <w:t> </w:t>
      </w:r>
      <w:r w:rsidR="00C02AF6">
        <w:rPr>
          <w:lang w:val="en-US"/>
        </w:rPr>
        <w:t>finds</w:t>
      </w:r>
      <w:r w:rsidR="00C02AF6" w:rsidRPr="00645BD2">
        <w:rPr>
          <w:lang w:val="en-US"/>
        </w:rPr>
        <w:t xml:space="preserve"> application</w:t>
      </w:r>
      <w:r w:rsidR="00C02AF6">
        <w:rPr>
          <w:lang w:val="en-US"/>
        </w:rPr>
        <w:t xml:space="preserve"> in this matter</w:t>
      </w:r>
      <w:r w:rsidR="00C02AF6" w:rsidRPr="00645BD2">
        <w:rPr>
          <w:lang w:val="en-US"/>
        </w:rPr>
        <w:t xml:space="preserve"> in the absence of some other factor of public policy.</w:t>
      </w:r>
      <w:r w:rsidR="00C02AF6">
        <w:rPr>
          <w:lang w:val="en-US"/>
        </w:rPr>
        <w:t xml:space="preserve"> In </w:t>
      </w:r>
      <w:r w:rsidR="00C02AF6" w:rsidRPr="006675D7">
        <w:rPr>
          <w:i/>
          <w:lang w:val="en-US"/>
        </w:rPr>
        <w:t>Magna Alloys and Research (SA) (Pty) Ltd v Ellis</w:t>
      </w:r>
      <w:r w:rsidR="00B71EB4" w:rsidRPr="00D92E91">
        <w:rPr>
          <w:rStyle w:val="FootnoteReference"/>
          <w:iCs/>
          <w:lang w:val="en-US"/>
        </w:rPr>
        <w:footnoteReference w:id="4"/>
      </w:r>
      <w:r w:rsidR="00C02AF6" w:rsidRPr="00662D62">
        <w:rPr>
          <w:iCs/>
          <w:lang w:val="en-US"/>
        </w:rPr>
        <w:t xml:space="preserve"> </w:t>
      </w:r>
      <w:r w:rsidR="00C02AF6" w:rsidRPr="00645BD2">
        <w:rPr>
          <w:lang w:val="en-US"/>
        </w:rPr>
        <w:t>it was held that agreements in restraint of trade were valid and enforceable unless they are unreasonable and thus contrary to public policy, which necessarily as a consequence of their common-law validity has the effect that a party who challenges the enforceability of the agreement</w:t>
      </w:r>
      <w:r w:rsidR="00CF2DC6">
        <w:rPr>
          <w:lang w:val="en-US"/>
        </w:rPr>
        <w:t>,</w:t>
      </w:r>
      <w:r w:rsidR="00C02AF6" w:rsidRPr="00645BD2">
        <w:rPr>
          <w:lang w:val="en-US"/>
        </w:rPr>
        <w:t xml:space="preserve"> bears the burden of alleging and proving that it is unreasonable</w:t>
      </w:r>
      <w:r w:rsidR="00CE37E8">
        <w:rPr>
          <w:lang w:val="en-US"/>
        </w:rPr>
        <w:t xml:space="preserve"> as the respondents readily conceded.</w:t>
      </w:r>
    </w:p>
    <w:p w14:paraId="75B74E3D" w14:textId="559DCADB" w:rsidR="00C02AF6" w:rsidRPr="0012248F" w:rsidRDefault="00142179" w:rsidP="00142179">
      <w:pPr>
        <w:pStyle w:val="JudgmentNumbered"/>
        <w:numPr>
          <w:ilvl w:val="0"/>
          <w:numId w:val="0"/>
        </w:numPr>
        <w:ind w:left="567" w:hanging="567"/>
        <w:rPr>
          <w:lang w:val="en-US"/>
        </w:rPr>
      </w:pPr>
      <w:r w:rsidRPr="0012248F">
        <w:rPr>
          <w:szCs w:val="24"/>
          <w:lang w:val="en-US"/>
        </w:rPr>
        <w:t>[20]</w:t>
      </w:r>
      <w:r w:rsidRPr="0012248F">
        <w:rPr>
          <w:szCs w:val="24"/>
          <w:lang w:val="en-US"/>
        </w:rPr>
        <w:tab/>
      </w:r>
      <w:r w:rsidR="00C02AF6" w:rsidRPr="0012248F">
        <w:rPr>
          <w:lang w:val="en-US"/>
        </w:rPr>
        <w:t>As</w:t>
      </w:r>
      <w:r w:rsidR="00C02AF6">
        <w:rPr>
          <w:b/>
          <w:bCs/>
          <w:lang w:val="en-US"/>
        </w:rPr>
        <w:t xml:space="preserve"> </w:t>
      </w:r>
      <w:r w:rsidR="00C02AF6" w:rsidRPr="004666CE">
        <w:rPr>
          <w:i/>
          <w:lang w:val="en-US"/>
        </w:rPr>
        <w:t>Reddy v Siemens Telecommunications (Pty) Ltd</w:t>
      </w:r>
      <w:r w:rsidR="002E55B0" w:rsidRPr="00D92E91">
        <w:rPr>
          <w:rStyle w:val="FootnoteReference"/>
          <w:iCs/>
          <w:lang w:val="en-US"/>
        </w:rPr>
        <w:footnoteReference w:id="5"/>
      </w:r>
      <w:r w:rsidR="00C02AF6" w:rsidRPr="00FD44FC">
        <w:rPr>
          <w:lang w:val="en-US"/>
        </w:rPr>
        <w:t xml:space="preserve"> </w:t>
      </w:r>
      <w:r w:rsidR="005272A4">
        <w:rPr>
          <w:lang w:val="en-US"/>
        </w:rPr>
        <w:t xml:space="preserve">in </w:t>
      </w:r>
      <w:r w:rsidR="00C02AF6" w:rsidRPr="0012248F">
        <w:rPr>
          <w:lang w:val="en-US"/>
        </w:rPr>
        <w:t>para</w:t>
      </w:r>
      <w:r w:rsidR="00BB42FD">
        <w:rPr>
          <w:lang w:val="en-US"/>
        </w:rPr>
        <w:t xml:space="preserve"> </w:t>
      </w:r>
      <w:r w:rsidR="00C02AF6" w:rsidRPr="0012248F">
        <w:rPr>
          <w:lang w:val="en-US"/>
        </w:rPr>
        <w:t xml:space="preserve">15 reminds us: </w:t>
      </w:r>
    </w:p>
    <w:p w14:paraId="14417CB0" w14:textId="2A63E3C8" w:rsidR="00C02AF6" w:rsidRPr="00D92E91" w:rsidRDefault="00C02AF6" w:rsidP="00D92E91">
      <w:pPr>
        <w:pStyle w:val="JudgmentNumbered"/>
        <w:numPr>
          <w:ilvl w:val="0"/>
          <w:numId w:val="0"/>
        </w:numPr>
        <w:ind w:left="851"/>
        <w:rPr>
          <w:b/>
          <w:bCs/>
          <w:color w:val="64473A"/>
          <w:sz w:val="22"/>
        </w:rPr>
      </w:pPr>
      <w:r w:rsidRPr="00D92E91">
        <w:rPr>
          <w:sz w:val="22"/>
          <w:lang w:val="en-US"/>
        </w:rPr>
        <w:t xml:space="preserve">“A court must make a value judgment with two principal policy considerations in mind in determining the reasonableness of a restraint. The first is that the public interest requires that parties should comply with their contractual obligations, a notion expressed by the </w:t>
      </w:r>
      <w:r w:rsidRPr="00D92E91">
        <w:rPr>
          <w:i/>
          <w:iCs/>
          <w:sz w:val="22"/>
          <w:lang w:val="en-US"/>
        </w:rPr>
        <w:t>maxim pacta servanda sunt</w:t>
      </w:r>
      <w:r w:rsidRPr="00D92E91">
        <w:rPr>
          <w:sz w:val="22"/>
          <w:lang w:val="en-US"/>
        </w:rPr>
        <w:t>. The second is that all persons should in the interests of society be productive and be permitted to engage in trade and commerce or the professions. Both considerations reflect not only common-law but also constitutional values. Contractual autonomy is part of freedom informing the constitutional value of dignity, and it is by entering into contracts that an individual takes part in economic life</w:t>
      </w:r>
      <w:r w:rsidR="004171DE">
        <w:rPr>
          <w:sz w:val="22"/>
          <w:lang w:val="en-US"/>
        </w:rPr>
        <w:t>”</w:t>
      </w:r>
      <w:r w:rsidRPr="00D92E91">
        <w:rPr>
          <w:rFonts w:ascii="Verdana" w:hAnsi="Verdana"/>
          <w:color w:val="242121"/>
          <w:sz w:val="22"/>
          <w:shd w:val="clear" w:color="auto" w:fill="FFFFFF"/>
        </w:rPr>
        <w:t>.</w:t>
      </w:r>
    </w:p>
    <w:p w14:paraId="2F592F99" w14:textId="574634CD" w:rsidR="00C02AF6" w:rsidRPr="00CB76B7" w:rsidRDefault="00142179" w:rsidP="00142179">
      <w:pPr>
        <w:pStyle w:val="JudgmentNumbered"/>
        <w:numPr>
          <w:ilvl w:val="0"/>
          <w:numId w:val="0"/>
        </w:numPr>
        <w:ind w:left="567" w:hanging="567"/>
        <w:rPr>
          <w:lang w:val="en-US"/>
        </w:rPr>
      </w:pPr>
      <w:r w:rsidRPr="00CB76B7">
        <w:rPr>
          <w:szCs w:val="24"/>
          <w:lang w:val="en-US"/>
        </w:rPr>
        <w:t>[21]</w:t>
      </w:r>
      <w:r w:rsidRPr="00CB76B7">
        <w:rPr>
          <w:szCs w:val="24"/>
          <w:lang w:val="en-US"/>
        </w:rPr>
        <w:tab/>
      </w:r>
      <w:r w:rsidR="00C02AF6" w:rsidRPr="00A37D6C">
        <w:rPr>
          <w:lang w:val="en-US"/>
        </w:rPr>
        <w:t xml:space="preserve">In this matter, it has not been </w:t>
      </w:r>
      <w:r w:rsidR="00C02AF6">
        <w:rPr>
          <w:lang w:val="en-US"/>
        </w:rPr>
        <w:t xml:space="preserve">suggested </w:t>
      </w:r>
      <w:r w:rsidR="00C02AF6" w:rsidRPr="00A37D6C">
        <w:rPr>
          <w:lang w:val="en-US"/>
        </w:rPr>
        <w:t xml:space="preserve">that the limitation as to time is unreasonable. </w:t>
      </w:r>
      <w:r w:rsidR="00385E21">
        <w:rPr>
          <w:lang w:val="en-US"/>
        </w:rPr>
        <w:t>Seboko</w:t>
      </w:r>
      <w:r w:rsidR="00C02AF6">
        <w:rPr>
          <w:lang w:val="en-US"/>
        </w:rPr>
        <w:t xml:space="preserve"> </w:t>
      </w:r>
      <w:r w:rsidR="00C02AF6" w:rsidRPr="00A37D6C">
        <w:rPr>
          <w:lang w:val="en-US"/>
        </w:rPr>
        <w:t xml:space="preserve">is restrained only in the choice of his </w:t>
      </w:r>
      <w:r w:rsidR="00C02AF6">
        <w:rPr>
          <w:lang w:val="en-US"/>
        </w:rPr>
        <w:t>clients and even then,</w:t>
      </w:r>
      <w:r w:rsidR="00C02AF6" w:rsidRPr="00A37D6C">
        <w:rPr>
          <w:lang w:val="en-US"/>
        </w:rPr>
        <w:t xml:space="preserve"> for a limited period</w:t>
      </w:r>
      <w:r w:rsidR="00C02AF6">
        <w:rPr>
          <w:lang w:val="en-US"/>
        </w:rPr>
        <w:t>.</w:t>
      </w:r>
      <w:r w:rsidR="00C02AF6" w:rsidRPr="00A37D6C">
        <w:rPr>
          <w:lang w:val="en-US"/>
        </w:rPr>
        <w:t xml:space="preserve"> </w:t>
      </w:r>
      <w:r w:rsidR="00C02AF6">
        <w:rPr>
          <w:lang w:val="en-US"/>
        </w:rPr>
        <w:t xml:space="preserve">Certainly </w:t>
      </w:r>
      <w:r w:rsidR="00C02AF6" w:rsidRPr="00A37D6C">
        <w:rPr>
          <w:lang w:val="en-US"/>
        </w:rPr>
        <w:t xml:space="preserve">not in his being economically </w:t>
      </w:r>
      <w:r w:rsidR="00CE37E8">
        <w:rPr>
          <w:lang w:val="en-US"/>
        </w:rPr>
        <w:t>in</w:t>
      </w:r>
      <w:r w:rsidR="00C02AF6" w:rsidRPr="00A37D6C">
        <w:rPr>
          <w:lang w:val="en-US"/>
        </w:rPr>
        <w:t>active at all</w:t>
      </w:r>
      <w:r w:rsidR="00C02AF6">
        <w:rPr>
          <w:lang w:val="en-US"/>
        </w:rPr>
        <w:t xml:space="preserve"> as he contended</w:t>
      </w:r>
      <w:r w:rsidR="00C02AF6" w:rsidRPr="00A37D6C">
        <w:rPr>
          <w:lang w:val="en-US"/>
        </w:rPr>
        <w:t xml:space="preserve">. Restraining him from </w:t>
      </w:r>
      <w:r w:rsidR="00C02AF6">
        <w:rPr>
          <w:lang w:val="en-US"/>
        </w:rPr>
        <w:t xml:space="preserve">contacting the prescribed lists of clients </w:t>
      </w:r>
      <w:r w:rsidR="00C02AF6" w:rsidRPr="00A37D6C">
        <w:rPr>
          <w:lang w:val="en-US"/>
        </w:rPr>
        <w:t xml:space="preserve">does not affect his employment or his ability to engage in the employment he was trained for. The nature and extent of the limitation is </w:t>
      </w:r>
      <w:r w:rsidR="00C02AF6">
        <w:rPr>
          <w:lang w:val="en-US"/>
        </w:rPr>
        <w:t xml:space="preserve">accordingly </w:t>
      </w:r>
      <w:r w:rsidR="00C02AF6" w:rsidRPr="00A37D6C">
        <w:rPr>
          <w:lang w:val="en-US"/>
        </w:rPr>
        <w:t>restricted.</w:t>
      </w:r>
      <w:r w:rsidR="00C02AF6" w:rsidRPr="007F2E24">
        <w:rPr>
          <w:lang w:val="en-US"/>
        </w:rPr>
        <w:t xml:space="preserve"> In these circumstances</w:t>
      </w:r>
      <w:r w:rsidR="00CE37E8">
        <w:rPr>
          <w:lang w:val="en-US"/>
        </w:rPr>
        <w:t>,</w:t>
      </w:r>
      <w:r w:rsidR="00C02AF6" w:rsidRPr="007F2E24">
        <w:rPr>
          <w:lang w:val="en-US"/>
        </w:rPr>
        <w:t xml:space="preserve"> it appears to me that it has not been shown that it would be contrary to public policy to hold </w:t>
      </w:r>
      <w:r w:rsidR="00DA3796">
        <w:rPr>
          <w:lang w:val="en-US"/>
        </w:rPr>
        <w:t>Seboko</w:t>
      </w:r>
      <w:r w:rsidR="00C02AF6">
        <w:rPr>
          <w:lang w:val="en-US"/>
        </w:rPr>
        <w:t xml:space="preserve"> </w:t>
      </w:r>
      <w:r w:rsidR="00C02AF6" w:rsidRPr="007F2E24">
        <w:rPr>
          <w:lang w:val="en-US"/>
        </w:rPr>
        <w:t xml:space="preserve">to the terms of his agreement with </w:t>
      </w:r>
      <w:r w:rsidR="00C02AF6">
        <w:rPr>
          <w:lang w:val="en-US"/>
        </w:rPr>
        <w:t xml:space="preserve">the appellants </w:t>
      </w:r>
      <w:r w:rsidR="00C02AF6" w:rsidRPr="007F2E24">
        <w:rPr>
          <w:lang w:val="en-US"/>
        </w:rPr>
        <w:t>and to enforce compliance with those terms</w:t>
      </w:r>
      <w:r w:rsidR="00C02AF6">
        <w:rPr>
          <w:lang w:val="en-US"/>
        </w:rPr>
        <w:t xml:space="preserve"> as </w:t>
      </w:r>
      <w:r w:rsidR="00C02AF6" w:rsidRPr="00CB76B7">
        <w:rPr>
          <w:lang w:val="en-US"/>
        </w:rPr>
        <w:t>the restraint is neither unreasonable nor contrary to public policy.</w:t>
      </w:r>
    </w:p>
    <w:p w14:paraId="08375479" w14:textId="7C5801B3" w:rsidR="004A1C15" w:rsidRDefault="00142179" w:rsidP="00142179">
      <w:pPr>
        <w:pStyle w:val="JudgmentNumbered"/>
        <w:numPr>
          <w:ilvl w:val="0"/>
          <w:numId w:val="0"/>
        </w:numPr>
        <w:ind w:left="567" w:hanging="567"/>
        <w:rPr>
          <w:lang w:val="en-US"/>
        </w:rPr>
      </w:pPr>
      <w:r>
        <w:rPr>
          <w:szCs w:val="24"/>
          <w:lang w:val="en-US"/>
        </w:rPr>
        <w:t>[22]</w:t>
      </w:r>
      <w:r>
        <w:rPr>
          <w:szCs w:val="24"/>
          <w:lang w:val="en-US"/>
        </w:rPr>
        <w:tab/>
      </w:r>
      <w:r w:rsidR="00C02AF6" w:rsidRPr="00CB76B7">
        <w:rPr>
          <w:lang w:val="en-US"/>
        </w:rPr>
        <w:t xml:space="preserve">It follows that the </w:t>
      </w:r>
      <w:r w:rsidR="00F9047E">
        <w:rPr>
          <w:lang w:val="en-US"/>
        </w:rPr>
        <w:t>c</w:t>
      </w:r>
      <w:r w:rsidR="00C02AF6">
        <w:rPr>
          <w:lang w:val="en-US"/>
        </w:rPr>
        <w:t xml:space="preserve">ourt </w:t>
      </w:r>
      <w:r w:rsidR="00C02AF6" w:rsidRPr="001F00E2">
        <w:rPr>
          <w:i/>
          <w:lang w:val="en-US"/>
        </w:rPr>
        <w:t>a quo</w:t>
      </w:r>
      <w:r w:rsidR="00C02AF6" w:rsidRPr="00CB76B7">
        <w:rPr>
          <w:lang w:val="en-US"/>
        </w:rPr>
        <w:t xml:space="preserve"> </w:t>
      </w:r>
      <w:r w:rsidR="00C02AF6">
        <w:rPr>
          <w:lang w:val="en-US"/>
        </w:rPr>
        <w:t xml:space="preserve">erred </w:t>
      </w:r>
      <w:r w:rsidR="00C02AF6" w:rsidRPr="00CB76B7">
        <w:rPr>
          <w:lang w:val="en-US"/>
        </w:rPr>
        <w:t>in</w:t>
      </w:r>
      <w:r w:rsidR="00C02AF6">
        <w:rPr>
          <w:lang w:val="en-US"/>
        </w:rPr>
        <w:t xml:space="preserve"> not</w:t>
      </w:r>
      <w:r w:rsidR="00C02AF6" w:rsidRPr="00CB76B7">
        <w:rPr>
          <w:lang w:val="en-US"/>
        </w:rPr>
        <w:t xml:space="preserve"> holding</w:t>
      </w:r>
      <w:r w:rsidR="00C02AF6">
        <w:rPr>
          <w:lang w:val="en-US"/>
        </w:rPr>
        <w:t xml:space="preserve"> </w:t>
      </w:r>
      <w:r w:rsidR="001F00E2">
        <w:rPr>
          <w:lang w:val="en-US"/>
        </w:rPr>
        <w:t>Seboko</w:t>
      </w:r>
      <w:r w:rsidR="00C02AF6" w:rsidRPr="00CB76B7">
        <w:rPr>
          <w:lang w:val="en-US"/>
        </w:rPr>
        <w:t xml:space="preserve"> to his contractual undertaking. The requirements for a final interdict have been met</w:t>
      </w:r>
      <w:r w:rsidR="00A25F41">
        <w:rPr>
          <w:lang w:val="en-US"/>
        </w:rPr>
        <w:t>,</w:t>
      </w:r>
      <w:r w:rsidR="00C02AF6" w:rsidRPr="00CB76B7">
        <w:rPr>
          <w:lang w:val="en-US"/>
        </w:rPr>
        <w:t xml:space="preserve"> not only has </w:t>
      </w:r>
      <w:r w:rsidR="00C02AF6">
        <w:rPr>
          <w:lang w:val="en-US"/>
        </w:rPr>
        <w:lastRenderedPageBreak/>
        <w:t>TCSA’s</w:t>
      </w:r>
      <w:r w:rsidR="00C02AF6" w:rsidRPr="00CB76B7">
        <w:rPr>
          <w:lang w:val="en-US"/>
        </w:rPr>
        <w:t xml:space="preserve"> clear right been demonstrated but also its breach</w:t>
      </w:r>
      <w:r w:rsidR="00C02AF6">
        <w:rPr>
          <w:lang w:val="en-US"/>
        </w:rPr>
        <w:t>. The</w:t>
      </w:r>
      <w:r w:rsidR="00D96A09">
        <w:rPr>
          <w:lang w:val="en-US"/>
        </w:rPr>
        <w:t xml:space="preserve">re </w:t>
      </w:r>
      <w:r w:rsidR="00214432">
        <w:rPr>
          <w:lang w:val="en-US"/>
        </w:rPr>
        <w:t>is no reason why</w:t>
      </w:r>
      <w:r w:rsidR="00C02AF6">
        <w:rPr>
          <w:lang w:val="en-US"/>
        </w:rPr>
        <w:t xml:space="preserve"> costs</w:t>
      </w:r>
      <w:r w:rsidR="00214432">
        <w:rPr>
          <w:lang w:val="en-US"/>
        </w:rPr>
        <w:t xml:space="preserve"> should </w:t>
      </w:r>
      <w:r w:rsidR="008A66AB">
        <w:rPr>
          <w:lang w:val="en-US"/>
        </w:rPr>
        <w:t>not</w:t>
      </w:r>
      <w:r w:rsidR="00C02AF6">
        <w:rPr>
          <w:lang w:val="en-US"/>
        </w:rPr>
        <w:t xml:space="preserve"> follow the result.</w:t>
      </w:r>
    </w:p>
    <w:p w14:paraId="25802A90" w14:textId="086DEE34" w:rsidR="00DA3086" w:rsidRDefault="00142179" w:rsidP="00142179">
      <w:pPr>
        <w:pStyle w:val="JudgmentNumbered"/>
        <w:numPr>
          <w:ilvl w:val="0"/>
          <w:numId w:val="0"/>
        </w:numPr>
        <w:ind w:left="567" w:hanging="567"/>
        <w:rPr>
          <w:lang w:val="en-US"/>
        </w:rPr>
      </w:pPr>
      <w:r>
        <w:rPr>
          <w:szCs w:val="24"/>
          <w:lang w:val="en-US"/>
        </w:rPr>
        <w:t>[23]</w:t>
      </w:r>
      <w:r>
        <w:rPr>
          <w:szCs w:val="24"/>
          <w:lang w:val="en-US"/>
        </w:rPr>
        <w:tab/>
      </w:r>
      <w:r w:rsidR="0038312C">
        <w:rPr>
          <w:lang w:val="en-US"/>
        </w:rPr>
        <w:t>Therefore</w:t>
      </w:r>
      <w:r w:rsidR="007B2CA1">
        <w:rPr>
          <w:lang w:val="en-US"/>
        </w:rPr>
        <w:t>, the following o</w:t>
      </w:r>
      <w:r w:rsidR="00DA3086">
        <w:rPr>
          <w:lang w:val="en-US"/>
        </w:rPr>
        <w:t>rder</w:t>
      </w:r>
      <w:r w:rsidR="007B2CA1">
        <w:rPr>
          <w:lang w:val="en-US"/>
        </w:rPr>
        <w:t xml:space="preserve"> is made - </w:t>
      </w:r>
    </w:p>
    <w:p w14:paraId="2AEE5DDC" w14:textId="01AE0025" w:rsidR="00DA3086" w:rsidRDefault="00757113" w:rsidP="007B2CA1">
      <w:pPr>
        <w:pStyle w:val="JudgmentNumbered"/>
        <w:numPr>
          <w:ilvl w:val="0"/>
          <w:numId w:val="0"/>
        </w:numPr>
        <w:ind w:left="851"/>
        <w:rPr>
          <w:lang w:val="en-US"/>
        </w:rPr>
      </w:pPr>
      <w:r>
        <w:rPr>
          <w:lang w:val="en-US"/>
        </w:rPr>
        <w:t>1</w:t>
      </w:r>
      <w:r w:rsidR="008A66AB">
        <w:rPr>
          <w:lang w:val="en-US"/>
        </w:rPr>
        <w:t>.</w:t>
      </w:r>
      <w:r>
        <w:rPr>
          <w:lang w:val="en-US"/>
        </w:rPr>
        <w:t xml:space="preserve"> </w:t>
      </w:r>
      <w:r w:rsidR="00007B87" w:rsidRPr="00007B87">
        <w:rPr>
          <w:lang w:val="en-US"/>
        </w:rPr>
        <w:t>The appeal is upheld with costs</w:t>
      </w:r>
      <w:r w:rsidR="00007B87">
        <w:rPr>
          <w:lang w:val="en-US"/>
        </w:rPr>
        <w:t>.</w:t>
      </w:r>
    </w:p>
    <w:p w14:paraId="04C4A7E6" w14:textId="11FB9BAF" w:rsidR="00703B5A" w:rsidRDefault="00757113" w:rsidP="00D92E91">
      <w:pPr>
        <w:pStyle w:val="JudgmentNumbered"/>
        <w:numPr>
          <w:ilvl w:val="0"/>
          <w:numId w:val="0"/>
        </w:numPr>
        <w:ind w:left="851"/>
        <w:rPr>
          <w:lang w:val="en-US"/>
        </w:rPr>
      </w:pPr>
      <w:r>
        <w:rPr>
          <w:lang w:val="en-US"/>
        </w:rPr>
        <w:t>2.</w:t>
      </w:r>
      <w:r w:rsidR="00007C47" w:rsidRPr="00007C47">
        <w:rPr>
          <w:lang w:val="en-US"/>
        </w:rPr>
        <w:t>The order of the court </w:t>
      </w:r>
      <w:r w:rsidR="00007C47" w:rsidRPr="00D92E91">
        <w:rPr>
          <w:i/>
          <w:iCs/>
          <w:lang w:val="en-US"/>
        </w:rPr>
        <w:t>a quo</w:t>
      </w:r>
      <w:r w:rsidR="00007C47" w:rsidRPr="00007C47">
        <w:rPr>
          <w:lang w:val="en-US"/>
        </w:rPr>
        <w:t> is set aside and replaced with an order in the following terms:</w:t>
      </w:r>
    </w:p>
    <w:p w14:paraId="45687AD4" w14:textId="47844C0E" w:rsidR="00F9331D" w:rsidRPr="00081355" w:rsidRDefault="00757113" w:rsidP="00D92E91">
      <w:pPr>
        <w:pStyle w:val="JudgmentNumbered"/>
        <w:numPr>
          <w:ilvl w:val="0"/>
          <w:numId w:val="0"/>
        </w:numPr>
        <w:ind w:left="1440"/>
        <w:rPr>
          <w:lang w:val="en-US"/>
        </w:rPr>
      </w:pPr>
      <w:r>
        <w:rPr>
          <w:lang w:val="en-US"/>
        </w:rPr>
        <w:t>2.</w:t>
      </w:r>
      <w:r w:rsidR="00703B5A" w:rsidRPr="00081355">
        <w:rPr>
          <w:lang w:val="en-US"/>
        </w:rPr>
        <w:t xml:space="preserve">1. this matter is enrolled as an urgent application and the forms </w:t>
      </w:r>
      <w:r w:rsidR="00F9331D" w:rsidRPr="00081355">
        <w:rPr>
          <w:lang w:val="en-US"/>
        </w:rPr>
        <w:t>and service</w:t>
      </w:r>
      <w:r w:rsidR="00703B5A" w:rsidRPr="00081355">
        <w:rPr>
          <w:lang w:val="en-US"/>
        </w:rPr>
        <w:t xml:space="preserve"> provided for in the Uniform Rules of this Court </w:t>
      </w:r>
      <w:r w:rsidR="00F9331D" w:rsidRPr="00081355">
        <w:rPr>
          <w:lang w:val="en-US"/>
        </w:rPr>
        <w:t>are dispensed</w:t>
      </w:r>
      <w:r w:rsidR="00703B5A" w:rsidRPr="00081355">
        <w:rPr>
          <w:lang w:val="en-US"/>
        </w:rPr>
        <w:t xml:space="preserve"> with in terms of Rule 6(12) of the Rules;</w:t>
      </w:r>
    </w:p>
    <w:p w14:paraId="6C24E9AE" w14:textId="3F5F4760" w:rsidR="00812857" w:rsidRPr="00081355" w:rsidRDefault="00703B5A" w:rsidP="00D92E91">
      <w:pPr>
        <w:pStyle w:val="JudgmentNumbered"/>
        <w:numPr>
          <w:ilvl w:val="0"/>
          <w:numId w:val="0"/>
        </w:numPr>
        <w:ind w:left="1440"/>
        <w:rPr>
          <w:lang w:val="en-US"/>
        </w:rPr>
      </w:pPr>
      <w:r w:rsidRPr="00081355">
        <w:rPr>
          <w:lang w:val="en-US"/>
        </w:rPr>
        <w:t>2.</w:t>
      </w:r>
      <w:r w:rsidR="00757113">
        <w:rPr>
          <w:lang w:val="en-US"/>
        </w:rPr>
        <w:t>3</w:t>
      </w:r>
      <w:r w:rsidRPr="00081355">
        <w:rPr>
          <w:lang w:val="en-US"/>
        </w:rPr>
        <w:t xml:space="preserve"> </w:t>
      </w:r>
      <w:r w:rsidR="00531E00" w:rsidRPr="00081355">
        <w:rPr>
          <w:lang w:val="en-US"/>
        </w:rPr>
        <w:t xml:space="preserve">the first respondent and second respondent </w:t>
      </w:r>
      <w:r w:rsidR="00E345CF">
        <w:rPr>
          <w:lang w:val="en-US"/>
        </w:rPr>
        <w:t xml:space="preserve">are </w:t>
      </w:r>
      <w:r w:rsidRPr="00081355">
        <w:rPr>
          <w:lang w:val="en-US"/>
        </w:rPr>
        <w:t>interdict</w:t>
      </w:r>
      <w:r w:rsidR="00E345CF">
        <w:rPr>
          <w:lang w:val="en-US"/>
        </w:rPr>
        <w:t>ed</w:t>
      </w:r>
      <w:r w:rsidRPr="00081355">
        <w:rPr>
          <w:lang w:val="en-US"/>
        </w:rPr>
        <w:t xml:space="preserve"> and restrain</w:t>
      </w:r>
      <w:r w:rsidR="00E345CF">
        <w:rPr>
          <w:lang w:val="en-US"/>
        </w:rPr>
        <w:t>ed</w:t>
      </w:r>
      <w:r w:rsidRPr="00081355">
        <w:rPr>
          <w:lang w:val="en-US"/>
        </w:rPr>
        <w:t xml:space="preserve"> until 30 September 2023 and throughout the </w:t>
      </w:r>
      <w:r w:rsidR="00F9331D" w:rsidRPr="00081355">
        <w:rPr>
          <w:lang w:val="en-US"/>
        </w:rPr>
        <w:t>Republic of</w:t>
      </w:r>
      <w:r w:rsidRPr="00081355">
        <w:rPr>
          <w:lang w:val="en-US"/>
        </w:rPr>
        <w:t xml:space="preserve"> South Africa either on their own account or as a </w:t>
      </w:r>
      <w:r w:rsidR="00081355" w:rsidRPr="00081355">
        <w:rPr>
          <w:lang w:val="en-US"/>
        </w:rPr>
        <w:t>representative or</w:t>
      </w:r>
      <w:r w:rsidRPr="00081355">
        <w:rPr>
          <w:lang w:val="en-US"/>
        </w:rPr>
        <w:t xml:space="preserve"> agent for any third party from contacting or approaching or</w:t>
      </w:r>
      <w:r w:rsidR="004A0492" w:rsidRPr="00081355">
        <w:rPr>
          <w:lang w:val="en-US"/>
        </w:rPr>
        <w:t xml:space="preserve"> </w:t>
      </w:r>
      <w:r w:rsidRPr="00081355">
        <w:rPr>
          <w:lang w:val="en-US"/>
        </w:rPr>
        <w:t xml:space="preserve">furnishing any information or advice (whether oral or written) </w:t>
      </w:r>
      <w:r w:rsidR="00081355" w:rsidRPr="00081355">
        <w:rPr>
          <w:lang w:val="en-US"/>
        </w:rPr>
        <w:t>to any</w:t>
      </w:r>
      <w:r w:rsidRPr="00081355">
        <w:rPr>
          <w:lang w:val="en-US"/>
        </w:rPr>
        <w:t xml:space="preserve"> client/customer of the applicants whose name appears on</w:t>
      </w:r>
      <w:r w:rsidR="004A0492" w:rsidRPr="00081355">
        <w:rPr>
          <w:lang w:val="en-US"/>
        </w:rPr>
        <w:t xml:space="preserve"> </w:t>
      </w:r>
      <w:r w:rsidRPr="00081355">
        <w:rPr>
          <w:lang w:val="en-US"/>
        </w:rPr>
        <w:t>annexure “RA3” to the replying affidavit;</w:t>
      </w:r>
      <w:r w:rsidR="00BB42FD">
        <w:rPr>
          <w:lang w:val="en-US"/>
        </w:rPr>
        <w:t xml:space="preserve"> and</w:t>
      </w:r>
    </w:p>
    <w:p w14:paraId="19A58426" w14:textId="62F5F1F8" w:rsidR="00CE1F71" w:rsidRDefault="00757113" w:rsidP="008659C8">
      <w:pPr>
        <w:pStyle w:val="JudgmentNumbered"/>
        <w:numPr>
          <w:ilvl w:val="0"/>
          <w:numId w:val="0"/>
        </w:numPr>
        <w:ind w:left="1440"/>
        <w:rPr>
          <w:lang w:val="en-US"/>
        </w:rPr>
      </w:pPr>
      <w:r>
        <w:rPr>
          <w:lang w:val="en-US"/>
        </w:rPr>
        <w:t>2</w:t>
      </w:r>
      <w:r w:rsidR="00057109">
        <w:rPr>
          <w:lang w:val="en-US"/>
        </w:rPr>
        <w:t>.</w:t>
      </w:r>
      <w:r w:rsidR="00703B5A" w:rsidRPr="00081355">
        <w:rPr>
          <w:lang w:val="en-US"/>
        </w:rPr>
        <w:t xml:space="preserve">3. </w:t>
      </w:r>
      <w:r w:rsidR="00B450D3" w:rsidRPr="00081355">
        <w:rPr>
          <w:lang w:val="en-US"/>
        </w:rPr>
        <w:t xml:space="preserve">the respondents </w:t>
      </w:r>
      <w:r w:rsidR="00B450D3">
        <w:rPr>
          <w:lang w:val="en-US"/>
        </w:rPr>
        <w:t xml:space="preserve">are </w:t>
      </w:r>
      <w:r w:rsidR="00703B5A" w:rsidRPr="00081355">
        <w:rPr>
          <w:lang w:val="en-US"/>
        </w:rPr>
        <w:t>order</w:t>
      </w:r>
      <w:r w:rsidR="00B450D3">
        <w:rPr>
          <w:lang w:val="en-US"/>
        </w:rPr>
        <w:t>ed</w:t>
      </w:r>
      <w:r w:rsidR="00703B5A" w:rsidRPr="00081355">
        <w:rPr>
          <w:lang w:val="en-US"/>
        </w:rPr>
        <w:t xml:space="preserve"> to pay the costs of this </w:t>
      </w:r>
      <w:r w:rsidR="00812857" w:rsidRPr="00081355">
        <w:rPr>
          <w:lang w:val="en-US"/>
        </w:rPr>
        <w:t>application including</w:t>
      </w:r>
      <w:r w:rsidR="00703B5A" w:rsidRPr="00081355">
        <w:rPr>
          <w:lang w:val="en-US"/>
        </w:rPr>
        <w:t xml:space="preserve"> the costs attendant on the employment of two </w:t>
      </w:r>
      <w:r w:rsidR="00812857" w:rsidRPr="00081355">
        <w:rPr>
          <w:lang w:val="en-US"/>
        </w:rPr>
        <w:t>counsel where</w:t>
      </w:r>
      <w:r w:rsidR="00703B5A" w:rsidRPr="00081355">
        <w:rPr>
          <w:lang w:val="en-US"/>
        </w:rPr>
        <w:t xml:space="preserve"> two counsel have been employed</w:t>
      </w:r>
      <w:r w:rsidR="00081355" w:rsidRPr="00081355">
        <w:rPr>
          <w:lang w:val="en-US"/>
        </w:rPr>
        <w:t>.</w:t>
      </w:r>
    </w:p>
    <w:p w14:paraId="1050B02E" w14:textId="77777777" w:rsidR="008659C8" w:rsidRPr="00CD197E" w:rsidRDefault="008659C8" w:rsidP="008659C8">
      <w:pPr>
        <w:pStyle w:val="JudgmentNumbered"/>
        <w:numPr>
          <w:ilvl w:val="0"/>
          <w:numId w:val="0"/>
        </w:numPr>
        <w:ind w:left="1440"/>
        <w:rPr>
          <w:lang w:val="en-US"/>
        </w:rPr>
      </w:pPr>
    </w:p>
    <w:p w14:paraId="4DB051F0" w14:textId="77777777" w:rsidR="004A1C15" w:rsidRDefault="004A1C15" w:rsidP="004A1C15">
      <w:pPr>
        <w:pStyle w:val="JudgmentNumbered"/>
        <w:keepNext/>
        <w:numPr>
          <w:ilvl w:val="0"/>
          <w:numId w:val="0"/>
        </w:numPr>
        <w:spacing w:after="0"/>
        <w:ind w:left="567" w:hanging="567"/>
        <w:jc w:val="right"/>
      </w:pPr>
      <w:r>
        <w:t>___________________________</w:t>
      </w:r>
    </w:p>
    <w:p w14:paraId="004455EF" w14:textId="5AE7FC8F" w:rsidR="004A1C15" w:rsidRDefault="004A1C15" w:rsidP="004A1C15">
      <w:pPr>
        <w:pStyle w:val="JudgmentNumbered"/>
        <w:numPr>
          <w:ilvl w:val="0"/>
          <w:numId w:val="0"/>
        </w:numPr>
        <w:spacing w:after="0"/>
        <w:ind w:left="567" w:hanging="567"/>
        <w:jc w:val="right"/>
        <w:rPr>
          <w:b/>
        </w:rPr>
      </w:pPr>
      <w:r>
        <w:rPr>
          <w:b/>
        </w:rPr>
        <w:t>T</w:t>
      </w:r>
      <w:r w:rsidR="007502D3">
        <w:rPr>
          <w:b/>
        </w:rPr>
        <w:t xml:space="preserve"> </w:t>
      </w:r>
      <w:r>
        <w:rPr>
          <w:b/>
        </w:rPr>
        <w:t>P MUDAU</w:t>
      </w:r>
    </w:p>
    <w:p w14:paraId="58A15AF5" w14:textId="77777777" w:rsidR="004A1C15" w:rsidRDefault="004A1C15" w:rsidP="004A1C15">
      <w:pPr>
        <w:pStyle w:val="JudgmentNumbered"/>
        <w:numPr>
          <w:ilvl w:val="0"/>
          <w:numId w:val="0"/>
        </w:numPr>
        <w:spacing w:after="0"/>
        <w:ind w:left="567" w:hanging="567"/>
        <w:jc w:val="right"/>
        <w:rPr>
          <w:b/>
        </w:rPr>
      </w:pPr>
      <w:r>
        <w:rPr>
          <w:b/>
        </w:rPr>
        <w:t>JUDGE OF THE HIGH COURT</w:t>
      </w:r>
    </w:p>
    <w:p w14:paraId="4340DFA3" w14:textId="77777777" w:rsidR="007502D3" w:rsidRDefault="007502D3" w:rsidP="004A1C15">
      <w:pPr>
        <w:pStyle w:val="JudgmentNumbered"/>
        <w:numPr>
          <w:ilvl w:val="0"/>
          <w:numId w:val="0"/>
        </w:numPr>
        <w:spacing w:after="0"/>
        <w:ind w:left="567" w:hanging="567"/>
        <w:jc w:val="right"/>
        <w:rPr>
          <w:b/>
        </w:rPr>
      </w:pPr>
    </w:p>
    <w:p w14:paraId="5F2CCA2B" w14:textId="77777777" w:rsidR="007502D3" w:rsidRPr="00D92E91" w:rsidRDefault="001A634F" w:rsidP="001A634F">
      <w:pPr>
        <w:pStyle w:val="JudgmentNumbered"/>
        <w:numPr>
          <w:ilvl w:val="0"/>
          <w:numId w:val="0"/>
        </w:numPr>
        <w:spacing w:after="0"/>
        <w:ind w:left="567" w:hanging="567"/>
        <w:jc w:val="right"/>
        <w:rPr>
          <w:bCs/>
        </w:rPr>
      </w:pPr>
      <w:r w:rsidRPr="00D92E91">
        <w:rPr>
          <w:bCs/>
        </w:rPr>
        <w:t>I agree</w:t>
      </w:r>
    </w:p>
    <w:p w14:paraId="544C62F6" w14:textId="77777777" w:rsidR="007502D3" w:rsidRDefault="007502D3" w:rsidP="001A634F">
      <w:pPr>
        <w:pStyle w:val="JudgmentNumbered"/>
        <w:numPr>
          <w:ilvl w:val="0"/>
          <w:numId w:val="0"/>
        </w:numPr>
        <w:spacing w:after="0"/>
        <w:ind w:left="567" w:hanging="567"/>
        <w:jc w:val="right"/>
        <w:rPr>
          <w:b/>
        </w:rPr>
      </w:pPr>
    </w:p>
    <w:p w14:paraId="53E97DC4" w14:textId="04AF7A00" w:rsidR="007502D3" w:rsidRDefault="007502D3" w:rsidP="001A634F">
      <w:pPr>
        <w:pStyle w:val="JudgmentNumbered"/>
        <w:numPr>
          <w:ilvl w:val="0"/>
          <w:numId w:val="0"/>
        </w:numPr>
        <w:spacing w:after="0"/>
        <w:ind w:left="567" w:hanging="567"/>
        <w:jc w:val="right"/>
        <w:rPr>
          <w:b/>
        </w:rPr>
      </w:pPr>
      <w:r>
        <w:rPr>
          <w:b/>
        </w:rPr>
        <w:t>___________________________</w:t>
      </w:r>
    </w:p>
    <w:p w14:paraId="48DD811F" w14:textId="2CB57753" w:rsidR="004D57C1" w:rsidRDefault="001A634F" w:rsidP="001A634F">
      <w:pPr>
        <w:pStyle w:val="JudgmentNumbered"/>
        <w:numPr>
          <w:ilvl w:val="0"/>
          <w:numId w:val="0"/>
        </w:numPr>
        <w:spacing w:after="0"/>
        <w:ind w:left="567" w:hanging="567"/>
        <w:jc w:val="right"/>
        <w:rPr>
          <w:b/>
        </w:rPr>
      </w:pPr>
      <w:r>
        <w:rPr>
          <w:b/>
        </w:rPr>
        <w:t>R S</w:t>
      </w:r>
      <w:r w:rsidR="001A7AA8">
        <w:rPr>
          <w:b/>
        </w:rPr>
        <w:t>TRYDOM</w:t>
      </w:r>
      <w:r w:rsidR="004D57C1">
        <w:rPr>
          <w:b/>
        </w:rPr>
        <w:t xml:space="preserve"> </w:t>
      </w:r>
    </w:p>
    <w:p w14:paraId="01FF6FE4" w14:textId="179F86A3" w:rsidR="004D57C1" w:rsidRDefault="001A7AA8" w:rsidP="008659C8">
      <w:pPr>
        <w:jc w:val="right"/>
        <w:rPr>
          <w:b/>
        </w:rPr>
      </w:pPr>
      <w:r>
        <w:rPr>
          <w:b/>
        </w:rPr>
        <w:t>JUDGE OF THE HIGH COURT</w:t>
      </w:r>
    </w:p>
    <w:p w14:paraId="3F743739" w14:textId="7970C063" w:rsidR="004D57C1" w:rsidRPr="00D92E91" w:rsidRDefault="004D57C1" w:rsidP="004D57C1">
      <w:pPr>
        <w:jc w:val="right"/>
        <w:rPr>
          <w:bCs/>
        </w:rPr>
      </w:pPr>
      <w:r w:rsidRPr="00D92E91">
        <w:rPr>
          <w:bCs/>
        </w:rPr>
        <w:lastRenderedPageBreak/>
        <w:t>I agr</w:t>
      </w:r>
      <w:r w:rsidR="007502D3" w:rsidRPr="00D92E91">
        <w:rPr>
          <w:bCs/>
        </w:rPr>
        <w:t>ee</w:t>
      </w:r>
    </w:p>
    <w:p w14:paraId="687764CB" w14:textId="77777777" w:rsidR="004D57C1" w:rsidRDefault="004D57C1" w:rsidP="004D57C1">
      <w:pPr>
        <w:jc w:val="right"/>
        <w:rPr>
          <w:b/>
        </w:rPr>
      </w:pPr>
    </w:p>
    <w:p w14:paraId="47629D7B" w14:textId="65898F12" w:rsidR="004D57C1" w:rsidRDefault="004D57C1" w:rsidP="004D57C1">
      <w:pPr>
        <w:jc w:val="right"/>
        <w:rPr>
          <w:b/>
        </w:rPr>
      </w:pPr>
      <w:r>
        <w:rPr>
          <w:b/>
        </w:rPr>
        <w:softHyphen/>
      </w:r>
      <w:r>
        <w:rPr>
          <w:b/>
        </w:rPr>
        <w:softHyphen/>
        <w:t>_______________</w:t>
      </w:r>
      <w:r w:rsidR="00CD197E">
        <w:rPr>
          <w:b/>
        </w:rPr>
        <w:t>_______</w:t>
      </w:r>
    </w:p>
    <w:p w14:paraId="18DA63F7" w14:textId="48AF6D04" w:rsidR="004D57C1" w:rsidRDefault="006577D5" w:rsidP="001A7AA8">
      <w:pPr>
        <w:jc w:val="right"/>
        <w:rPr>
          <w:b/>
        </w:rPr>
      </w:pPr>
      <w:r>
        <w:rPr>
          <w:b/>
        </w:rPr>
        <w:t>M</w:t>
      </w:r>
      <w:r w:rsidR="00E4349D">
        <w:rPr>
          <w:b/>
        </w:rPr>
        <w:t xml:space="preserve"> V</w:t>
      </w:r>
      <w:r>
        <w:rPr>
          <w:b/>
        </w:rPr>
        <w:t xml:space="preserve"> </w:t>
      </w:r>
      <w:r w:rsidR="00FA2F91">
        <w:rPr>
          <w:b/>
        </w:rPr>
        <w:t>N</w:t>
      </w:r>
      <w:r w:rsidR="001A7AA8">
        <w:rPr>
          <w:b/>
        </w:rPr>
        <w:t>OKO</w:t>
      </w:r>
      <w:r w:rsidR="00FA2F91">
        <w:rPr>
          <w:b/>
        </w:rPr>
        <w:t xml:space="preserve"> </w:t>
      </w:r>
    </w:p>
    <w:p w14:paraId="51691F2A" w14:textId="1D7759F9" w:rsidR="004D57C1" w:rsidRDefault="001A7AA8" w:rsidP="004D57C1">
      <w:pPr>
        <w:pStyle w:val="JudgmentNumbered"/>
        <w:numPr>
          <w:ilvl w:val="0"/>
          <w:numId w:val="0"/>
        </w:numPr>
        <w:spacing w:after="0"/>
        <w:ind w:left="567" w:hanging="567"/>
        <w:jc w:val="right"/>
        <w:rPr>
          <w:b/>
        </w:rPr>
      </w:pPr>
      <w:r>
        <w:rPr>
          <w:b/>
        </w:rPr>
        <w:t>JUDGE OF THE HIGH COURT</w:t>
      </w:r>
    </w:p>
    <w:p w14:paraId="7DF4094A" w14:textId="77777777" w:rsidR="004A1C15" w:rsidRDefault="004A1C15" w:rsidP="004A1C15">
      <w:pPr>
        <w:pStyle w:val="JudgmentNumbered"/>
        <w:numPr>
          <w:ilvl w:val="0"/>
          <w:numId w:val="0"/>
        </w:numPr>
        <w:spacing w:after="0"/>
        <w:ind w:left="567" w:hanging="567"/>
        <w:jc w:val="right"/>
        <w:rPr>
          <w:b/>
        </w:rPr>
      </w:pPr>
    </w:p>
    <w:p w14:paraId="16154FA6" w14:textId="7FF2A680" w:rsidR="004A1C15" w:rsidRDefault="004A1C15" w:rsidP="004A1C15">
      <w:pPr>
        <w:pStyle w:val="JudgmentNumbered"/>
        <w:numPr>
          <w:ilvl w:val="0"/>
          <w:numId w:val="0"/>
        </w:numPr>
        <w:spacing w:after="0"/>
        <w:ind w:left="567" w:hanging="567"/>
        <w:rPr>
          <w:b/>
        </w:rPr>
      </w:pPr>
    </w:p>
    <w:p w14:paraId="1AEA74EA" w14:textId="165E7453" w:rsidR="004F1E0B" w:rsidRDefault="004F1E0B" w:rsidP="004A1C15">
      <w:pPr>
        <w:pStyle w:val="JudgmentNumbered"/>
        <w:numPr>
          <w:ilvl w:val="0"/>
          <w:numId w:val="0"/>
        </w:numPr>
        <w:spacing w:after="0"/>
        <w:ind w:left="567" w:hanging="567"/>
        <w:rPr>
          <w:b/>
        </w:rPr>
      </w:pPr>
    </w:p>
    <w:p w14:paraId="03A4E8BF" w14:textId="18BA48B0" w:rsidR="004A1C15" w:rsidRPr="00532B7E" w:rsidRDefault="004A1C15" w:rsidP="004A1C15">
      <w:pPr>
        <w:spacing w:after="0" w:line="240" w:lineRule="auto"/>
        <w:ind w:left="0"/>
        <w:rPr>
          <w:rFonts w:eastAsia="Times New Roman" w:cs="Arial"/>
          <w:b/>
          <w:bCs/>
          <w:szCs w:val="24"/>
          <w:lang w:eastAsia="en-GB"/>
        </w:rPr>
      </w:pPr>
      <w:r w:rsidRPr="00532B7E">
        <w:rPr>
          <w:rFonts w:eastAsia="Times New Roman" w:cs="Arial"/>
          <w:b/>
          <w:bCs/>
          <w:szCs w:val="24"/>
          <w:lang w:eastAsia="en-GB"/>
        </w:rPr>
        <w:t>APPEARANCES</w:t>
      </w:r>
    </w:p>
    <w:p w14:paraId="6881AA4C" w14:textId="77777777" w:rsidR="004A1C15" w:rsidRPr="001947E9" w:rsidRDefault="004A1C15" w:rsidP="004A1C15">
      <w:pPr>
        <w:spacing w:after="0" w:line="240" w:lineRule="auto"/>
        <w:ind w:left="0"/>
        <w:rPr>
          <w:rFonts w:eastAsia="Times New Roman" w:cs="Arial"/>
          <w:szCs w:val="24"/>
          <w:lang w:eastAsia="en-GB"/>
        </w:rPr>
      </w:pPr>
    </w:p>
    <w:p w14:paraId="2B7882DF" w14:textId="6F63786B" w:rsidR="004A1C15" w:rsidRDefault="004A1C15" w:rsidP="00D92E91">
      <w:pPr>
        <w:spacing w:after="0"/>
        <w:ind w:left="0"/>
        <w:rPr>
          <w:rFonts w:eastAsia="Times New Roman" w:cs="Arial"/>
          <w:szCs w:val="24"/>
          <w:lang w:eastAsia="en-GB"/>
        </w:rPr>
      </w:pPr>
      <w:r w:rsidRPr="001947E9">
        <w:rPr>
          <w:rFonts w:eastAsia="Times New Roman" w:cs="Arial"/>
          <w:szCs w:val="24"/>
          <w:lang w:eastAsia="en-GB"/>
        </w:rPr>
        <w:t xml:space="preserve">For the </w:t>
      </w:r>
      <w:r w:rsidR="00391C0C" w:rsidRPr="001947E9">
        <w:rPr>
          <w:rFonts w:eastAsia="Times New Roman" w:cs="Arial"/>
          <w:szCs w:val="24"/>
          <w:lang w:eastAsia="en-GB"/>
        </w:rPr>
        <w:t>Ap</w:t>
      </w:r>
      <w:r w:rsidR="00391C0C">
        <w:rPr>
          <w:rFonts w:eastAsia="Times New Roman" w:cs="Arial"/>
          <w:szCs w:val="24"/>
          <w:lang w:eastAsia="en-GB"/>
        </w:rPr>
        <w:t>pellant</w:t>
      </w:r>
      <w:r w:rsidR="00B27B2F">
        <w:rPr>
          <w:rFonts w:eastAsia="Times New Roman" w:cs="Arial"/>
          <w:szCs w:val="24"/>
          <w:lang w:eastAsia="en-GB"/>
        </w:rPr>
        <w:t>s</w:t>
      </w:r>
      <w:r w:rsidR="00391C0C">
        <w:rPr>
          <w:rFonts w:eastAsia="Times New Roman" w:cs="Arial"/>
          <w:szCs w:val="24"/>
          <w:lang w:eastAsia="en-GB"/>
        </w:rPr>
        <w:t>:</w:t>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Pr>
          <w:rFonts w:eastAsia="Times New Roman" w:cs="Arial"/>
          <w:szCs w:val="24"/>
          <w:lang w:eastAsia="en-GB"/>
        </w:rPr>
        <w:tab/>
      </w:r>
      <w:r w:rsidR="00862880" w:rsidRPr="00862880">
        <w:rPr>
          <w:rFonts w:eastAsia="Times New Roman" w:cs="Arial"/>
          <w:szCs w:val="24"/>
          <w:lang w:eastAsia="en-GB"/>
        </w:rPr>
        <w:t xml:space="preserve">R Grundlingh </w:t>
      </w:r>
    </w:p>
    <w:p w14:paraId="2E74A866" w14:textId="77777777" w:rsidR="00391C0C" w:rsidRPr="00391C0C" w:rsidRDefault="00391C0C" w:rsidP="00D92E91">
      <w:pPr>
        <w:pStyle w:val="JudgmentNumbered"/>
        <w:numPr>
          <w:ilvl w:val="0"/>
          <w:numId w:val="0"/>
        </w:numPr>
        <w:spacing w:after="0"/>
        <w:ind w:left="567"/>
        <w:rPr>
          <w:lang w:eastAsia="en-GB"/>
        </w:rPr>
      </w:pPr>
    </w:p>
    <w:p w14:paraId="494173B0" w14:textId="61E16D98" w:rsidR="004A1C15" w:rsidRPr="000301B0" w:rsidRDefault="004A1C15" w:rsidP="00D92E91">
      <w:pPr>
        <w:spacing w:after="0"/>
        <w:ind w:left="0"/>
        <w:rPr>
          <w:rFonts w:eastAsia="Times New Roman" w:cs="Arial"/>
          <w:szCs w:val="24"/>
          <w:lang w:eastAsia="en-GB"/>
        </w:rPr>
      </w:pPr>
      <w:r w:rsidRPr="001947E9">
        <w:rPr>
          <w:rFonts w:eastAsia="Times New Roman" w:cs="Arial"/>
          <w:szCs w:val="24"/>
          <w:lang w:eastAsia="en-GB"/>
        </w:rPr>
        <w:t>Instructed by:</w:t>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Pr>
          <w:rFonts w:eastAsia="Times New Roman" w:cs="Arial"/>
          <w:szCs w:val="24"/>
          <w:lang w:eastAsia="en-GB"/>
        </w:rPr>
        <w:tab/>
      </w:r>
      <w:r w:rsidR="004F1E0B">
        <w:rPr>
          <w:rFonts w:eastAsia="Times New Roman" w:cs="Arial"/>
          <w:szCs w:val="24"/>
          <w:lang w:eastAsia="en-GB"/>
        </w:rPr>
        <w:t xml:space="preserve">Helena </w:t>
      </w:r>
      <w:r w:rsidR="004F1E0B" w:rsidRPr="004F1E0B">
        <w:rPr>
          <w:szCs w:val="24"/>
        </w:rPr>
        <w:t>Strijdom Attorneys</w:t>
      </w:r>
    </w:p>
    <w:p w14:paraId="6EFFF622" w14:textId="77777777" w:rsidR="004A1C15" w:rsidRPr="00E06CA4" w:rsidRDefault="004A1C15" w:rsidP="004A1C15">
      <w:pPr>
        <w:pStyle w:val="JudgmentNumbered"/>
        <w:numPr>
          <w:ilvl w:val="0"/>
          <w:numId w:val="0"/>
        </w:numPr>
        <w:spacing w:after="0"/>
        <w:ind w:left="567"/>
        <w:rPr>
          <w:lang w:eastAsia="en-GB"/>
        </w:rPr>
      </w:pPr>
    </w:p>
    <w:p w14:paraId="6C927654" w14:textId="77777777" w:rsidR="004A1C15" w:rsidRPr="001947E9" w:rsidRDefault="004A1C15" w:rsidP="004A1C15">
      <w:pPr>
        <w:spacing w:after="0" w:line="240" w:lineRule="auto"/>
        <w:ind w:left="0"/>
        <w:rPr>
          <w:rFonts w:eastAsia="Times New Roman" w:cs="Arial"/>
          <w:szCs w:val="24"/>
          <w:lang w:eastAsia="en-GB"/>
        </w:rPr>
      </w:pP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p>
    <w:p w14:paraId="49D257A5" w14:textId="5412BDA5" w:rsidR="004A1C15" w:rsidRPr="001947E9" w:rsidRDefault="004A1C15" w:rsidP="004A1C15">
      <w:pPr>
        <w:spacing w:after="0" w:line="240" w:lineRule="auto"/>
        <w:ind w:left="0"/>
        <w:rPr>
          <w:rFonts w:eastAsia="Times New Roman" w:cs="Arial"/>
          <w:szCs w:val="24"/>
          <w:lang w:eastAsia="en-GB"/>
        </w:rPr>
      </w:pPr>
      <w:r w:rsidRPr="001947E9">
        <w:rPr>
          <w:rFonts w:eastAsia="Times New Roman" w:cs="Arial"/>
          <w:szCs w:val="24"/>
          <w:lang w:eastAsia="en-GB"/>
        </w:rPr>
        <w:t xml:space="preserve">For the </w:t>
      </w:r>
      <w:r>
        <w:rPr>
          <w:rFonts w:eastAsia="Times New Roman" w:cs="Arial"/>
          <w:szCs w:val="24"/>
          <w:lang w:eastAsia="en-GB"/>
        </w:rPr>
        <w:t>Respondent</w:t>
      </w:r>
      <w:r w:rsidR="00B27B2F">
        <w:rPr>
          <w:rFonts w:eastAsia="Times New Roman" w:cs="Arial"/>
          <w:szCs w:val="24"/>
          <w:lang w:eastAsia="en-GB"/>
        </w:rPr>
        <w:t>s</w:t>
      </w:r>
      <w:r w:rsidRPr="001947E9">
        <w:rPr>
          <w:rFonts w:eastAsia="Times New Roman" w:cs="Arial"/>
          <w:szCs w:val="24"/>
          <w:lang w:eastAsia="en-GB"/>
        </w:rPr>
        <w:t>:</w:t>
      </w:r>
      <w:r w:rsidRPr="001947E9">
        <w:rPr>
          <w:rFonts w:eastAsia="Times New Roman" w:cs="Arial"/>
          <w:szCs w:val="24"/>
          <w:lang w:eastAsia="en-GB"/>
        </w:rPr>
        <w:tab/>
      </w:r>
      <w:r w:rsidRPr="001947E9">
        <w:rPr>
          <w:rFonts w:eastAsia="Times New Roman" w:cs="Arial"/>
          <w:szCs w:val="24"/>
          <w:lang w:eastAsia="en-GB"/>
        </w:rPr>
        <w:tab/>
      </w:r>
      <w:r>
        <w:rPr>
          <w:rFonts w:eastAsia="Times New Roman" w:cs="Arial"/>
          <w:szCs w:val="24"/>
          <w:lang w:eastAsia="en-GB"/>
        </w:rPr>
        <w:tab/>
      </w:r>
      <w:r w:rsidRPr="001947E9">
        <w:rPr>
          <w:rFonts w:eastAsia="Times New Roman" w:cs="Arial"/>
          <w:szCs w:val="24"/>
          <w:lang w:eastAsia="en-GB"/>
        </w:rPr>
        <w:t xml:space="preserve">Adv. </w:t>
      </w:r>
      <w:r w:rsidR="000301B0">
        <w:rPr>
          <w:rFonts w:eastAsia="Times New Roman" w:cs="Arial"/>
          <w:szCs w:val="24"/>
          <w:lang w:eastAsia="en-GB"/>
        </w:rPr>
        <w:t xml:space="preserve">K Mvubu </w:t>
      </w:r>
    </w:p>
    <w:p w14:paraId="25793AC5" w14:textId="77777777" w:rsidR="004A1C15" w:rsidRPr="001947E9" w:rsidRDefault="004A1C15" w:rsidP="004A1C15">
      <w:pPr>
        <w:spacing w:after="0" w:line="240" w:lineRule="auto"/>
        <w:ind w:left="0"/>
        <w:rPr>
          <w:rFonts w:eastAsia="Times New Roman" w:cs="Arial"/>
          <w:szCs w:val="24"/>
          <w:lang w:eastAsia="en-GB"/>
        </w:rPr>
      </w:pP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p>
    <w:p w14:paraId="36D06BA3" w14:textId="77777777" w:rsidR="004A1C15" w:rsidRPr="003872E5" w:rsidRDefault="004A1C15" w:rsidP="004A1C15">
      <w:pPr>
        <w:spacing w:after="0" w:line="240" w:lineRule="auto"/>
        <w:ind w:left="0"/>
        <w:rPr>
          <w:rFonts w:eastAsia="Times New Roman" w:cs="Arial"/>
          <w:szCs w:val="24"/>
          <w:lang w:eastAsia="en-GB"/>
        </w:rPr>
      </w:pPr>
      <w:r w:rsidRPr="001947E9">
        <w:rPr>
          <w:rFonts w:eastAsia="Times New Roman" w:cs="Arial"/>
          <w:szCs w:val="24"/>
          <w:lang w:eastAsia="en-GB"/>
        </w:rPr>
        <w:t>Instructed by:</w:t>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Pr>
          <w:rFonts w:eastAsia="Times New Roman" w:cs="Arial"/>
          <w:szCs w:val="24"/>
          <w:lang w:eastAsia="en-GB"/>
        </w:rPr>
        <w:tab/>
      </w:r>
      <w:r w:rsidR="000301B0">
        <w:rPr>
          <w:rFonts w:eastAsia="Times New Roman" w:cs="Arial"/>
          <w:szCs w:val="24"/>
          <w:lang w:eastAsia="en-GB"/>
        </w:rPr>
        <w:t xml:space="preserve">Malatjie &amp; Co </w:t>
      </w:r>
    </w:p>
    <w:p w14:paraId="74BE1E69" w14:textId="77777777" w:rsidR="004A1C15" w:rsidRDefault="004A1C15" w:rsidP="004A1C15">
      <w:pPr>
        <w:pStyle w:val="JudgmentNumbered"/>
        <w:numPr>
          <w:ilvl w:val="0"/>
          <w:numId w:val="0"/>
        </w:numPr>
      </w:pPr>
    </w:p>
    <w:p w14:paraId="3CA185F3" w14:textId="77777777" w:rsidR="004A1C15" w:rsidRPr="001947E9" w:rsidRDefault="004A1C15" w:rsidP="004A1C15">
      <w:pPr>
        <w:spacing w:after="0" w:line="240" w:lineRule="auto"/>
        <w:ind w:left="0"/>
        <w:rPr>
          <w:rFonts w:eastAsia="Times New Roman" w:cs="Arial"/>
          <w:szCs w:val="24"/>
          <w:lang w:eastAsia="en-GB"/>
        </w:rPr>
      </w:pPr>
      <w:r w:rsidRPr="001947E9">
        <w:rPr>
          <w:rFonts w:eastAsia="Times New Roman" w:cs="Arial"/>
          <w:szCs w:val="24"/>
          <w:lang w:eastAsia="en-GB"/>
        </w:rPr>
        <w:t xml:space="preserve">Date of Hearing: </w:t>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Pr>
          <w:rFonts w:eastAsia="Times New Roman" w:cs="Arial"/>
          <w:szCs w:val="24"/>
          <w:lang w:eastAsia="en-GB"/>
        </w:rPr>
        <w:tab/>
      </w:r>
      <w:r w:rsidR="000301B0">
        <w:rPr>
          <w:rFonts w:eastAsia="Times New Roman" w:cs="Arial"/>
          <w:szCs w:val="24"/>
          <w:lang w:eastAsia="en-GB"/>
        </w:rPr>
        <w:t>23 August</w:t>
      </w:r>
      <w:r>
        <w:rPr>
          <w:rFonts w:eastAsia="Times New Roman" w:cs="Arial"/>
          <w:szCs w:val="24"/>
          <w:lang w:eastAsia="en-GB"/>
        </w:rPr>
        <w:t xml:space="preserve"> 2023</w:t>
      </w:r>
    </w:p>
    <w:p w14:paraId="1B9C9305" w14:textId="77777777" w:rsidR="004A1C15" w:rsidRPr="001947E9" w:rsidRDefault="004A1C15" w:rsidP="004A1C15">
      <w:pPr>
        <w:spacing w:after="0" w:line="240" w:lineRule="auto"/>
        <w:ind w:left="0"/>
        <w:rPr>
          <w:rFonts w:eastAsia="Times New Roman" w:cs="Arial"/>
          <w:szCs w:val="24"/>
          <w:lang w:eastAsia="en-GB"/>
        </w:rPr>
      </w:pPr>
    </w:p>
    <w:p w14:paraId="60C0F531" w14:textId="3AE89C12" w:rsidR="004A1C15" w:rsidRPr="002E07C6" w:rsidRDefault="004A1C15" w:rsidP="004A1C15">
      <w:pPr>
        <w:spacing w:after="0" w:line="240" w:lineRule="auto"/>
        <w:ind w:left="0"/>
        <w:rPr>
          <w:rFonts w:eastAsia="Times New Roman" w:cs="Arial"/>
          <w:szCs w:val="24"/>
          <w:lang w:eastAsia="en-GB"/>
        </w:rPr>
      </w:pPr>
      <w:r w:rsidRPr="001947E9">
        <w:rPr>
          <w:rFonts w:eastAsia="Times New Roman" w:cs="Arial"/>
          <w:szCs w:val="24"/>
          <w:lang w:eastAsia="en-GB"/>
        </w:rPr>
        <w:t>Date of Judgment:</w:t>
      </w:r>
      <w:r w:rsidRPr="001947E9">
        <w:rPr>
          <w:rFonts w:eastAsia="Times New Roman" w:cs="Arial"/>
          <w:szCs w:val="24"/>
          <w:lang w:eastAsia="en-GB"/>
        </w:rPr>
        <w:tab/>
      </w:r>
      <w:r w:rsidR="00E4349D">
        <w:rPr>
          <w:rFonts w:eastAsia="Times New Roman" w:cs="Arial"/>
          <w:szCs w:val="24"/>
          <w:lang w:eastAsia="en-GB"/>
        </w:rPr>
        <w:t xml:space="preserve">                                13 September 2023</w:t>
      </w:r>
      <w:r w:rsidRPr="001947E9">
        <w:rPr>
          <w:rFonts w:eastAsia="Times New Roman" w:cs="Arial"/>
          <w:szCs w:val="24"/>
          <w:lang w:eastAsia="en-GB"/>
        </w:rPr>
        <w:tab/>
        <w:t xml:space="preserve">           </w:t>
      </w:r>
      <w:r w:rsidRPr="001947E9">
        <w:rPr>
          <w:rFonts w:eastAsia="Times New Roman" w:cs="Arial"/>
          <w:szCs w:val="24"/>
          <w:lang w:eastAsia="en-GB"/>
        </w:rPr>
        <w:tab/>
      </w:r>
    </w:p>
    <w:p w14:paraId="658B327D" w14:textId="77777777" w:rsidR="004C0F18" w:rsidRPr="004A1C15" w:rsidRDefault="004C0F18">
      <w:pPr>
        <w:rPr>
          <w:rFonts w:cs="Arial"/>
          <w:szCs w:val="24"/>
        </w:rPr>
      </w:pPr>
    </w:p>
    <w:sectPr w:rsidR="004C0F18" w:rsidRPr="004A1C15" w:rsidSect="00F40E2D">
      <w:footerReference w:type="default" r:id="rId14"/>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5E991" w14:textId="77777777" w:rsidR="00E26929" w:rsidRDefault="00E26929">
      <w:pPr>
        <w:spacing w:after="0" w:line="240" w:lineRule="auto"/>
      </w:pPr>
      <w:r>
        <w:separator/>
      </w:r>
    </w:p>
  </w:endnote>
  <w:endnote w:type="continuationSeparator" w:id="0">
    <w:p w14:paraId="57D4ED63" w14:textId="77777777" w:rsidR="00E26929" w:rsidRDefault="00E26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94832"/>
      <w:docPartObj>
        <w:docPartGallery w:val="Page Numbers (Bottom of Page)"/>
        <w:docPartUnique/>
      </w:docPartObj>
    </w:sdtPr>
    <w:sdtEndPr>
      <w:rPr>
        <w:noProof/>
      </w:rPr>
    </w:sdtEndPr>
    <w:sdtContent>
      <w:p w14:paraId="5AF5DBEC" w14:textId="0EA29760" w:rsidR="0018570B" w:rsidRDefault="000301B0" w:rsidP="00E469E1">
        <w:pPr>
          <w:pStyle w:val="Footer"/>
          <w:jc w:val="right"/>
        </w:pPr>
        <w:r>
          <w:fldChar w:fldCharType="begin"/>
        </w:r>
        <w:r>
          <w:instrText xml:space="preserve"> PAGE   \* MERGEFORMAT </w:instrText>
        </w:r>
        <w:r>
          <w:fldChar w:fldCharType="separate"/>
        </w:r>
        <w:r w:rsidR="00142179">
          <w:rPr>
            <w:noProof/>
          </w:rPr>
          <w:t>2</w:t>
        </w:r>
        <w:r>
          <w:rPr>
            <w:noProof/>
          </w:rPr>
          <w:fldChar w:fldCharType="end"/>
        </w:r>
      </w:p>
    </w:sdtContent>
  </w:sdt>
  <w:p w14:paraId="2502D4BD" w14:textId="77777777" w:rsidR="0018570B" w:rsidRDefault="001857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831D1" w14:textId="77777777" w:rsidR="00E26929" w:rsidRDefault="00E26929">
      <w:pPr>
        <w:spacing w:after="0" w:line="240" w:lineRule="auto"/>
      </w:pPr>
      <w:r>
        <w:separator/>
      </w:r>
    </w:p>
  </w:footnote>
  <w:footnote w:type="continuationSeparator" w:id="0">
    <w:p w14:paraId="10E37A8A" w14:textId="77777777" w:rsidR="00E26929" w:rsidRDefault="00E26929">
      <w:pPr>
        <w:spacing w:after="0" w:line="240" w:lineRule="auto"/>
      </w:pPr>
      <w:r>
        <w:continuationSeparator/>
      </w:r>
    </w:p>
  </w:footnote>
  <w:footnote w:id="1">
    <w:p w14:paraId="616A80B2" w14:textId="61B316A7" w:rsidR="000912BE" w:rsidRPr="00D92E91" w:rsidRDefault="000912BE" w:rsidP="00326728">
      <w:pPr>
        <w:pStyle w:val="FootnoteText"/>
        <w:rPr>
          <w:sz w:val="18"/>
          <w:szCs w:val="18"/>
        </w:rPr>
      </w:pPr>
      <w:r w:rsidRPr="00D92E91">
        <w:rPr>
          <w:rStyle w:val="FootnoteReference"/>
          <w:sz w:val="18"/>
          <w:szCs w:val="18"/>
        </w:rPr>
        <w:footnoteRef/>
      </w:r>
      <w:r w:rsidRPr="00D92E91">
        <w:rPr>
          <w:sz w:val="18"/>
          <w:szCs w:val="18"/>
        </w:rPr>
        <w:t xml:space="preserve"> </w:t>
      </w:r>
      <w:r w:rsidR="00991ED9">
        <w:rPr>
          <w:sz w:val="18"/>
          <w:szCs w:val="18"/>
        </w:rPr>
        <w:t>S</w:t>
      </w:r>
      <w:r w:rsidR="001B1DCF" w:rsidRPr="00D92E91">
        <w:rPr>
          <w:sz w:val="18"/>
          <w:szCs w:val="18"/>
        </w:rPr>
        <w:t xml:space="preserve">ee </w:t>
      </w:r>
      <w:r w:rsidR="00991ED9">
        <w:rPr>
          <w:sz w:val="18"/>
          <w:szCs w:val="18"/>
        </w:rPr>
        <w:t>in this regard</w:t>
      </w:r>
      <w:r w:rsidR="001B1DCF" w:rsidRPr="00D92E91">
        <w:rPr>
          <w:sz w:val="18"/>
          <w:szCs w:val="18"/>
        </w:rPr>
        <w:t xml:space="preserve"> </w:t>
      </w:r>
      <w:r w:rsidR="001B1DCF" w:rsidRPr="00D92E91">
        <w:rPr>
          <w:i/>
          <w:sz w:val="18"/>
          <w:szCs w:val="18"/>
        </w:rPr>
        <w:t>Stellenbosch Farmers’ Winery Ltd v Stellenvale Winery (Pty)</w:t>
      </w:r>
      <w:r w:rsidR="001B1DCF" w:rsidRPr="00D92E91">
        <w:rPr>
          <w:sz w:val="18"/>
          <w:szCs w:val="18"/>
        </w:rPr>
        <w:t xml:space="preserve"> Ltd </w:t>
      </w:r>
      <w:hyperlink r:id="rId1" w:tgtFrame="main" w:history="1">
        <w:r w:rsidR="001B1DCF" w:rsidRPr="00D92E91">
          <w:rPr>
            <w:sz w:val="18"/>
            <w:szCs w:val="18"/>
          </w:rPr>
          <w:t>1957 (4) SA 234 (C)</w:t>
        </w:r>
      </w:hyperlink>
      <w:r w:rsidR="001B1DCF" w:rsidRPr="00D92E91">
        <w:rPr>
          <w:sz w:val="18"/>
          <w:szCs w:val="18"/>
        </w:rPr>
        <w:t> at 235. </w:t>
      </w:r>
    </w:p>
  </w:footnote>
  <w:footnote w:id="2">
    <w:p w14:paraId="3D1E1B2D" w14:textId="016B4A82" w:rsidR="000B2B27" w:rsidRPr="00D92E91" w:rsidRDefault="001B1DCF" w:rsidP="00D92E91">
      <w:pPr>
        <w:pStyle w:val="JudgmentNumbered"/>
        <w:numPr>
          <w:ilvl w:val="0"/>
          <w:numId w:val="0"/>
        </w:numPr>
        <w:spacing w:after="0" w:line="240" w:lineRule="auto"/>
        <w:ind w:left="567"/>
        <w:rPr>
          <w:sz w:val="18"/>
          <w:szCs w:val="18"/>
        </w:rPr>
      </w:pPr>
      <w:r w:rsidRPr="00D92E91">
        <w:rPr>
          <w:rStyle w:val="FootnoteReference"/>
          <w:sz w:val="18"/>
          <w:szCs w:val="18"/>
        </w:rPr>
        <w:footnoteRef/>
      </w:r>
      <w:r w:rsidRPr="00D92E91">
        <w:rPr>
          <w:sz w:val="18"/>
          <w:szCs w:val="18"/>
        </w:rPr>
        <w:t xml:space="preserve"> </w:t>
      </w:r>
      <w:r w:rsidR="00FF355C">
        <w:rPr>
          <w:sz w:val="18"/>
          <w:szCs w:val="18"/>
        </w:rPr>
        <w:t>S</w:t>
      </w:r>
      <w:r w:rsidR="000B2B27" w:rsidRPr="00D92E91">
        <w:rPr>
          <w:sz w:val="18"/>
          <w:szCs w:val="18"/>
        </w:rPr>
        <w:t>ee</w:t>
      </w:r>
      <w:r w:rsidR="00FF355C">
        <w:rPr>
          <w:sz w:val="18"/>
          <w:szCs w:val="18"/>
        </w:rPr>
        <w:t xml:space="preserve"> in this regard</w:t>
      </w:r>
      <w:r w:rsidR="000B2B27" w:rsidRPr="00D92E91">
        <w:rPr>
          <w:sz w:val="18"/>
          <w:szCs w:val="18"/>
        </w:rPr>
        <w:t xml:space="preserve"> </w:t>
      </w:r>
      <w:r w:rsidR="000B2B27" w:rsidRPr="00D92E91">
        <w:rPr>
          <w:i/>
          <w:iCs/>
          <w:color w:val="000000"/>
          <w:sz w:val="18"/>
          <w:szCs w:val="18"/>
        </w:rPr>
        <w:t>Plascon-Evans Paints Ltd v Van Riebeeck Paints (Pty) Ltd</w:t>
      </w:r>
      <w:r w:rsidR="000B2B27" w:rsidRPr="00D92E91">
        <w:rPr>
          <w:color w:val="000000"/>
          <w:sz w:val="18"/>
          <w:szCs w:val="18"/>
        </w:rPr>
        <w:t> </w:t>
      </w:r>
      <w:r w:rsidR="00FB3F5D" w:rsidRPr="00FB3F5D">
        <w:rPr>
          <w:color w:val="000000"/>
          <w:sz w:val="18"/>
          <w:szCs w:val="18"/>
        </w:rPr>
        <w:t xml:space="preserve">(53/84) [1984] ZASCA 51; </w:t>
      </w:r>
      <w:hyperlink r:id="rId2" w:tgtFrame="main" w:history="1">
        <w:r w:rsidR="000B2B27" w:rsidRPr="00D92E91">
          <w:rPr>
            <w:rStyle w:val="Hyperlink"/>
            <w:color w:val="auto"/>
            <w:sz w:val="18"/>
            <w:szCs w:val="18"/>
            <w:u w:val="none"/>
          </w:rPr>
          <w:t>1984 (3) SA 623 (A)</w:t>
        </w:r>
      </w:hyperlink>
      <w:r w:rsidR="000B2B27" w:rsidRPr="00D92E91">
        <w:rPr>
          <w:sz w:val="18"/>
          <w:szCs w:val="18"/>
        </w:rPr>
        <w:t> </w:t>
      </w:r>
      <w:r w:rsidR="000B2B27" w:rsidRPr="00D92E91">
        <w:rPr>
          <w:color w:val="000000"/>
          <w:sz w:val="18"/>
          <w:szCs w:val="18"/>
        </w:rPr>
        <w:t>at 635C; </w:t>
      </w:r>
      <w:r w:rsidR="000B2B27" w:rsidRPr="00D92E91">
        <w:rPr>
          <w:i/>
          <w:iCs/>
          <w:color w:val="000000"/>
          <w:sz w:val="18"/>
          <w:szCs w:val="18"/>
        </w:rPr>
        <w:t>National Director of Public Prosecutions v Zuma</w:t>
      </w:r>
      <w:r w:rsidR="000B2B27" w:rsidRPr="00D92E91">
        <w:rPr>
          <w:color w:val="000000"/>
          <w:sz w:val="18"/>
          <w:szCs w:val="18"/>
        </w:rPr>
        <w:t> </w:t>
      </w:r>
      <w:r w:rsidR="00CC4647" w:rsidRPr="00CC4647">
        <w:rPr>
          <w:color w:val="000000"/>
          <w:sz w:val="18"/>
          <w:szCs w:val="18"/>
        </w:rPr>
        <w:t xml:space="preserve">(573/08) [2009] ZASCA 1; </w:t>
      </w:r>
      <w:hyperlink r:id="rId3" w:tgtFrame="main" w:history="1">
        <w:r w:rsidR="000B2B27" w:rsidRPr="00D92E91">
          <w:rPr>
            <w:rStyle w:val="Hyperlink"/>
            <w:color w:val="auto"/>
            <w:sz w:val="18"/>
            <w:szCs w:val="18"/>
            <w:u w:val="none"/>
          </w:rPr>
          <w:t>2009 (2) SA 277 (SCA)</w:t>
        </w:r>
      </w:hyperlink>
      <w:r w:rsidR="000B2B27" w:rsidRPr="00D92E91">
        <w:rPr>
          <w:color w:val="000000"/>
          <w:sz w:val="18"/>
          <w:szCs w:val="18"/>
        </w:rPr>
        <w:t> at para 26; </w:t>
      </w:r>
      <w:r w:rsidR="000B2B27" w:rsidRPr="00D92E91">
        <w:rPr>
          <w:i/>
          <w:iCs/>
          <w:color w:val="000000"/>
          <w:sz w:val="18"/>
          <w:szCs w:val="18"/>
        </w:rPr>
        <w:t>South African Reserve Bank v Leathern NO</w:t>
      </w:r>
      <w:r w:rsidR="000B2B27" w:rsidRPr="00D92E91">
        <w:rPr>
          <w:color w:val="000000"/>
          <w:sz w:val="18"/>
          <w:szCs w:val="18"/>
        </w:rPr>
        <w:t> </w:t>
      </w:r>
      <w:hyperlink r:id="rId4" w:tgtFrame="main" w:history="1">
        <w:r w:rsidR="000B2B27" w:rsidRPr="00D92E91">
          <w:rPr>
            <w:rStyle w:val="Hyperlink"/>
            <w:color w:val="auto"/>
            <w:sz w:val="18"/>
            <w:szCs w:val="18"/>
            <w:u w:val="none"/>
          </w:rPr>
          <w:t>2021 (5) SA 543 (SCA)</w:t>
        </w:r>
      </w:hyperlink>
      <w:r w:rsidR="000B2B27" w:rsidRPr="00D92E91">
        <w:rPr>
          <w:sz w:val="18"/>
          <w:szCs w:val="18"/>
        </w:rPr>
        <w:t> </w:t>
      </w:r>
      <w:r w:rsidR="000B2B27" w:rsidRPr="00D92E91">
        <w:rPr>
          <w:color w:val="000000"/>
          <w:sz w:val="18"/>
          <w:szCs w:val="18"/>
        </w:rPr>
        <w:t>at para 24 n 12; </w:t>
      </w:r>
      <w:r w:rsidR="000B2B27" w:rsidRPr="00D92E91">
        <w:rPr>
          <w:i/>
          <w:iCs/>
          <w:color w:val="000000"/>
          <w:sz w:val="18"/>
          <w:szCs w:val="18"/>
        </w:rPr>
        <w:t>Mtolo v Lombard</w:t>
      </w:r>
      <w:r w:rsidR="000B2B27" w:rsidRPr="00D92E91">
        <w:rPr>
          <w:color w:val="000000"/>
          <w:sz w:val="18"/>
          <w:szCs w:val="18"/>
        </w:rPr>
        <w:t> </w:t>
      </w:r>
      <w:r w:rsidR="008062A4" w:rsidRPr="008062A4">
        <w:rPr>
          <w:color w:val="000000"/>
          <w:sz w:val="18"/>
          <w:szCs w:val="18"/>
        </w:rPr>
        <w:t xml:space="preserve">(CCT 269/21) [2021] ZACC 39; </w:t>
      </w:r>
      <w:r w:rsidR="000B2B27" w:rsidRPr="00D92E91">
        <w:rPr>
          <w:color w:val="000000"/>
          <w:sz w:val="18"/>
          <w:szCs w:val="18"/>
        </w:rPr>
        <w:t xml:space="preserve">2022 (9) BCLR 1148 (CC) at </w:t>
      </w:r>
      <w:r w:rsidR="000B2B27" w:rsidRPr="00D92E91">
        <w:rPr>
          <w:sz w:val="18"/>
          <w:szCs w:val="18"/>
        </w:rPr>
        <w:t>para</w:t>
      </w:r>
      <w:r w:rsidR="000B2B27" w:rsidRPr="00D92E91">
        <w:rPr>
          <w:color w:val="000000"/>
          <w:sz w:val="18"/>
          <w:szCs w:val="18"/>
        </w:rPr>
        <w:t xml:space="preserve"> 38</w:t>
      </w:r>
      <w:r w:rsidR="004B5572">
        <w:rPr>
          <w:color w:val="000000"/>
          <w:sz w:val="18"/>
          <w:szCs w:val="18"/>
        </w:rPr>
        <w:t>.</w:t>
      </w:r>
      <w:r w:rsidR="000B2B27" w:rsidRPr="00D92E91">
        <w:rPr>
          <w:color w:val="000000"/>
          <w:sz w:val="18"/>
          <w:szCs w:val="18"/>
        </w:rPr>
        <w:t xml:space="preserve"> </w:t>
      </w:r>
    </w:p>
    <w:p w14:paraId="27478A57" w14:textId="47056C95" w:rsidR="001B1DCF" w:rsidRDefault="001B1DCF">
      <w:pPr>
        <w:pStyle w:val="FootnoteText"/>
      </w:pPr>
    </w:p>
  </w:footnote>
  <w:footnote w:id="3">
    <w:p w14:paraId="2D0D5608" w14:textId="0E5378FC" w:rsidR="00E63546" w:rsidRPr="00D92E91" w:rsidRDefault="00E63546">
      <w:pPr>
        <w:pStyle w:val="FootnoteText"/>
        <w:rPr>
          <w:sz w:val="18"/>
          <w:szCs w:val="18"/>
        </w:rPr>
      </w:pPr>
      <w:r w:rsidRPr="00D92E91">
        <w:rPr>
          <w:rStyle w:val="FootnoteReference"/>
          <w:sz w:val="18"/>
          <w:szCs w:val="18"/>
        </w:rPr>
        <w:footnoteRef/>
      </w:r>
      <w:r w:rsidRPr="00D92E91">
        <w:rPr>
          <w:sz w:val="18"/>
          <w:szCs w:val="18"/>
        </w:rPr>
        <w:t xml:space="preserve"> </w:t>
      </w:r>
      <w:hyperlink r:id="rId5" w:tooltip="View LawCiteRecord" w:history="1">
        <w:r w:rsidR="00D406EA" w:rsidRPr="00D92E91">
          <w:rPr>
            <w:sz w:val="18"/>
            <w:szCs w:val="18"/>
          </w:rPr>
          <w:t>2012 (4) SA 593</w:t>
        </w:r>
      </w:hyperlink>
      <w:r w:rsidR="00D406EA" w:rsidRPr="00D92E91">
        <w:rPr>
          <w:sz w:val="18"/>
          <w:szCs w:val="18"/>
        </w:rPr>
        <w:t> (SCA)</w:t>
      </w:r>
      <w:r w:rsidR="007B03A0">
        <w:rPr>
          <w:sz w:val="18"/>
          <w:szCs w:val="18"/>
        </w:rPr>
        <w:t>.</w:t>
      </w:r>
    </w:p>
  </w:footnote>
  <w:footnote w:id="4">
    <w:p w14:paraId="29629C6A" w14:textId="5249970F" w:rsidR="00B71EB4" w:rsidRPr="00D92E91" w:rsidRDefault="00B71EB4">
      <w:pPr>
        <w:pStyle w:val="FootnoteText"/>
        <w:rPr>
          <w:sz w:val="18"/>
          <w:szCs w:val="18"/>
        </w:rPr>
      </w:pPr>
      <w:r w:rsidRPr="00D92E91">
        <w:rPr>
          <w:rStyle w:val="FootnoteReference"/>
          <w:sz w:val="18"/>
          <w:szCs w:val="18"/>
        </w:rPr>
        <w:footnoteRef/>
      </w:r>
      <w:r w:rsidRPr="00D92E91">
        <w:rPr>
          <w:sz w:val="18"/>
          <w:szCs w:val="18"/>
        </w:rPr>
        <w:t xml:space="preserve"> </w:t>
      </w:r>
      <w:r w:rsidR="00E22EB6" w:rsidRPr="00E22EB6">
        <w:rPr>
          <w:sz w:val="18"/>
          <w:szCs w:val="18"/>
        </w:rPr>
        <w:t xml:space="preserve">(109/84) [1984] ZASCA 116; </w:t>
      </w:r>
      <w:hyperlink r:id="rId6" w:tooltip="View LawCiteRecord" w:history="1">
        <w:r w:rsidRPr="00D92E91">
          <w:rPr>
            <w:sz w:val="18"/>
            <w:szCs w:val="18"/>
            <w:lang w:val="en-US"/>
          </w:rPr>
          <w:t>1984 (4) SA 874</w:t>
        </w:r>
      </w:hyperlink>
      <w:r w:rsidRPr="00D92E91">
        <w:rPr>
          <w:sz w:val="18"/>
          <w:szCs w:val="18"/>
          <w:lang w:val="en-US"/>
        </w:rPr>
        <w:t> (A)</w:t>
      </w:r>
      <w:r w:rsidR="007B03A0">
        <w:rPr>
          <w:sz w:val="18"/>
          <w:szCs w:val="18"/>
          <w:lang w:val="en-US"/>
        </w:rPr>
        <w:t>.</w:t>
      </w:r>
    </w:p>
  </w:footnote>
  <w:footnote w:id="5">
    <w:p w14:paraId="7E4CDBF2" w14:textId="777B5690" w:rsidR="002E55B0" w:rsidRDefault="002E55B0">
      <w:pPr>
        <w:pStyle w:val="FootnoteText"/>
      </w:pPr>
      <w:r w:rsidRPr="00D92E91">
        <w:rPr>
          <w:rStyle w:val="FootnoteReference"/>
          <w:sz w:val="18"/>
          <w:szCs w:val="18"/>
        </w:rPr>
        <w:footnoteRef/>
      </w:r>
      <w:r w:rsidRPr="00D92E91">
        <w:rPr>
          <w:sz w:val="18"/>
          <w:szCs w:val="18"/>
        </w:rPr>
        <w:t xml:space="preserve"> </w:t>
      </w:r>
      <w:r w:rsidR="005D2542" w:rsidRPr="005D2542">
        <w:rPr>
          <w:sz w:val="18"/>
          <w:szCs w:val="18"/>
        </w:rPr>
        <w:t xml:space="preserve">(251/06) [2006] ZASCA 135; </w:t>
      </w:r>
      <w:r w:rsidRPr="00D92E91">
        <w:rPr>
          <w:sz w:val="18"/>
          <w:szCs w:val="18"/>
          <w:lang w:val="en-US"/>
        </w:rPr>
        <w:t>2007 (2) SA 486 (SCA)</w:t>
      </w:r>
      <w:r w:rsidR="007B03A0">
        <w:rPr>
          <w:sz w:val="18"/>
          <w:szCs w:val="18"/>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F45473B"/>
    <w:multiLevelType w:val="multilevel"/>
    <w:tmpl w:val="8EFE2F1C"/>
    <w:lvl w:ilvl="0">
      <w:start w:val="1"/>
      <w:numFmt w:val="decimal"/>
      <w:pStyle w:val="JudgmentNumbered"/>
      <w:lvlText w:val="[%1]"/>
      <w:lvlJc w:val="left"/>
      <w:pPr>
        <w:ind w:left="567" w:hanging="567"/>
      </w:pPr>
      <w:rPr>
        <w:rFonts w:hint="default"/>
        <w:sz w:val="24"/>
        <w:szCs w:val="24"/>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
    <w:nsid w:val="5F1B5ACF"/>
    <w:multiLevelType w:val="hybridMultilevel"/>
    <w:tmpl w:val="DE8E9F2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C15"/>
    <w:rsid w:val="00007B87"/>
    <w:rsid w:val="00007C47"/>
    <w:rsid w:val="00022CF1"/>
    <w:rsid w:val="000250E7"/>
    <w:rsid w:val="00026070"/>
    <w:rsid w:val="000301B0"/>
    <w:rsid w:val="000426BF"/>
    <w:rsid w:val="00047593"/>
    <w:rsid w:val="00057109"/>
    <w:rsid w:val="00057B94"/>
    <w:rsid w:val="00061841"/>
    <w:rsid w:val="00063F90"/>
    <w:rsid w:val="00081355"/>
    <w:rsid w:val="000912BE"/>
    <w:rsid w:val="000A3E48"/>
    <w:rsid w:val="000B2B27"/>
    <w:rsid w:val="000B37D0"/>
    <w:rsid w:val="000E0493"/>
    <w:rsid w:val="000E10AA"/>
    <w:rsid w:val="000F1AAB"/>
    <w:rsid w:val="0013240F"/>
    <w:rsid w:val="0013397B"/>
    <w:rsid w:val="00142179"/>
    <w:rsid w:val="00182CEA"/>
    <w:rsid w:val="0018570B"/>
    <w:rsid w:val="001A634F"/>
    <w:rsid w:val="001A7AA8"/>
    <w:rsid w:val="001B1DCF"/>
    <w:rsid w:val="001B1F9A"/>
    <w:rsid w:val="001C6B43"/>
    <w:rsid w:val="001D67FA"/>
    <w:rsid w:val="001F00E2"/>
    <w:rsid w:val="00204781"/>
    <w:rsid w:val="00214432"/>
    <w:rsid w:val="00231A09"/>
    <w:rsid w:val="00233036"/>
    <w:rsid w:val="00236C55"/>
    <w:rsid w:val="00242820"/>
    <w:rsid w:val="00245DCC"/>
    <w:rsid w:val="00247FDD"/>
    <w:rsid w:val="00252453"/>
    <w:rsid w:val="002647FA"/>
    <w:rsid w:val="00290C1B"/>
    <w:rsid w:val="002C1CB8"/>
    <w:rsid w:val="002D747C"/>
    <w:rsid w:val="002E55B0"/>
    <w:rsid w:val="002F2312"/>
    <w:rsid w:val="00302D9A"/>
    <w:rsid w:val="003233FF"/>
    <w:rsid w:val="00326728"/>
    <w:rsid w:val="0035084C"/>
    <w:rsid w:val="00351BBF"/>
    <w:rsid w:val="00356AB5"/>
    <w:rsid w:val="00360EA2"/>
    <w:rsid w:val="00371632"/>
    <w:rsid w:val="0038312C"/>
    <w:rsid w:val="00385E21"/>
    <w:rsid w:val="00391C0C"/>
    <w:rsid w:val="003A1B00"/>
    <w:rsid w:val="003C58A0"/>
    <w:rsid w:val="003D4E41"/>
    <w:rsid w:val="003D767E"/>
    <w:rsid w:val="003E6728"/>
    <w:rsid w:val="003E7762"/>
    <w:rsid w:val="003F4353"/>
    <w:rsid w:val="003F5CA8"/>
    <w:rsid w:val="00400104"/>
    <w:rsid w:val="0040446A"/>
    <w:rsid w:val="004171DE"/>
    <w:rsid w:val="004666CE"/>
    <w:rsid w:val="0047738A"/>
    <w:rsid w:val="00485D54"/>
    <w:rsid w:val="00487738"/>
    <w:rsid w:val="004A0492"/>
    <w:rsid w:val="004A1C15"/>
    <w:rsid w:val="004B05F1"/>
    <w:rsid w:val="004B0945"/>
    <w:rsid w:val="004B5572"/>
    <w:rsid w:val="004B7011"/>
    <w:rsid w:val="004C0F18"/>
    <w:rsid w:val="004D353D"/>
    <w:rsid w:val="004D488C"/>
    <w:rsid w:val="004D57C1"/>
    <w:rsid w:val="004E6BBE"/>
    <w:rsid w:val="004F114D"/>
    <w:rsid w:val="004F1E0B"/>
    <w:rsid w:val="00514557"/>
    <w:rsid w:val="005272A4"/>
    <w:rsid w:val="0052797A"/>
    <w:rsid w:val="00530FBE"/>
    <w:rsid w:val="00531078"/>
    <w:rsid w:val="00531E00"/>
    <w:rsid w:val="005537B6"/>
    <w:rsid w:val="005545E3"/>
    <w:rsid w:val="00561851"/>
    <w:rsid w:val="00574D36"/>
    <w:rsid w:val="00575048"/>
    <w:rsid w:val="00582752"/>
    <w:rsid w:val="00595477"/>
    <w:rsid w:val="005A0C2A"/>
    <w:rsid w:val="005C1779"/>
    <w:rsid w:val="005C6325"/>
    <w:rsid w:val="005D2542"/>
    <w:rsid w:val="005D3F40"/>
    <w:rsid w:val="005E56E7"/>
    <w:rsid w:val="00611ABA"/>
    <w:rsid w:val="0063336B"/>
    <w:rsid w:val="00646AAF"/>
    <w:rsid w:val="006510FA"/>
    <w:rsid w:val="006577D5"/>
    <w:rsid w:val="00662D62"/>
    <w:rsid w:val="006675D7"/>
    <w:rsid w:val="00680331"/>
    <w:rsid w:val="006806DE"/>
    <w:rsid w:val="00681550"/>
    <w:rsid w:val="006B3A82"/>
    <w:rsid w:val="006B5BD1"/>
    <w:rsid w:val="006C578C"/>
    <w:rsid w:val="00700616"/>
    <w:rsid w:val="00703B5A"/>
    <w:rsid w:val="00715A52"/>
    <w:rsid w:val="0074749A"/>
    <w:rsid w:val="00747572"/>
    <w:rsid w:val="007502D3"/>
    <w:rsid w:val="007560AE"/>
    <w:rsid w:val="00757113"/>
    <w:rsid w:val="00776899"/>
    <w:rsid w:val="00787462"/>
    <w:rsid w:val="00794C3E"/>
    <w:rsid w:val="007B03A0"/>
    <w:rsid w:val="007B2CA1"/>
    <w:rsid w:val="007C35BA"/>
    <w:rsid w:val="008062A4"/>
    <w:rsid w:val="00812857"/>
    <w:rsid w:val="00816A46"/>
    <w:rsid w:val="008178EF"/>
    <w:rsid w:val="008315E4"/>
    <w:rsid w:val="00831AE2"/>
    <w:rsid w:val="00856DA9"/>
    <w:rsid w:val="0085724E"/>
    <w:rsid w:val="00862880"/>
    <w:rsid w:val="008659C8"/>
    <w:rsid w:val="008901F5"/>
    <w:rsid w:val="0089306F"/>
    <w:rsid w:val="00897515"/>
    <w:rsid w:val="008A66AB"/>
    <w:rsid w:val="008B7370"/>
    <w:rsid w:val="008C3A67"/>
    <w:rsid w:val="008C74AA"/>
    <w:rsid w:val="008D79DD"/>
    <w:rsid w:val="008E2430"/>
    <w:rsid w:val="00904888"/>
    <w:rsid w:val="009305BB"/>
    <w:rsid w:val="00931094"/>
    <w:rsid w:val="0093338A"/>
    <w:rsid w:val="009347F4"/>
    <w:rsid w:val="00970334"/>
    <w:rsid w:val="0098384F"/>
    <w:rsid w:val="00991ED9"/>
    <w:rsid w:val="00996A58"/>
    <w:rsid w:val="00997F46"/>
    <w:rsid w:val="009A2D89"/>
    <w:rsid w:val="009A3CD7"/>
    <w:rsid w:val="009D019B"/>
    <w:rsid w:val="009F04C7"/>
    <w:rsid w:val="009F3542"/>
    <w:rsid w:val="00A210B2"/>
    <w:rsid w:val="00A2140A"/>
    <w:rsid w:val="00A25F41"/>
    <w:rsid w:val="00A32761"/>
    <w:rsid w:val="00A4098F"/>
    <w:rsid w:val="00A45BEF"/>
    <w:rsid w:val="00A64489"/>
    <w:rsid w:val="00A739D8"/>
    <w:rsid w:val="00A8319C"/>
    <w:rsid w:val="00A85C68"/>
    <w:rsid w:val="00A908D0"/>
    <w:rsid w:val="00A945BE"/>
    <w:rsid w:val="00AB423F"/>
    <w:rsid w:val="00AC65EE"/>
    <w:rsid w:val="00AF15D2"/>
    <w:rsid w:val="00AF456F"/>
    <w:rsid w:val="00AF4922"/>
    <w:rsid w:val="00B03876"/>
    <w:rsid w:val="00B03F80"/>
    <w:rsid w:val="00B132C1"/>
    <w:rsid w:val="00B27B2F"/>
    <w:rsid w:val="00B3118B"/>
    <w:rsid w:val="00B450D3"/>
    <w:rsid w:val="00B464D9"/>
    <w:rsid w:val="00B71EB4"/>
    <w:rsid w:val="00B743EE"/>
    <w:rsid w:val="00B76980"/>
    <w:rsid w:val="00B9228D"/>
    <w:rsid w:val="00BB42FD"/>
    <w:rsid w:val="00BC43BC"/>
    <w:rsid w:val="00BD28C4"/>
    <w:rsid w:val="00BD68A8"/>
    <w:rsid w:val="00BE7A2A"/>
    <w:rsid w:val="00BF253A"/>
    <w:rsid w:val="00BF6095"/>
    <w:rsid w:val="00BF79EE"/>
    <w:rsid w:val="00C02AF6"/>
    <w:rsid w:val="00C075B6"/>
    <w:rsid w:val="00C23344"/>
    <w:rsid w:val="00C357F7"/>
    <w:rsid w:val="00C439CB"/>
    <w:rsid w:val="00C47BD6"/>
    <w:rsid w:val="00CB354F"/>
    <w:rsid w:val="00CC4647"/>
    <w:rsid w:val="00CD197E"/>
    <w:rsid w:val="00CE1F71"/>
    <w:rsid w:val="00CE37E8"/>
    <w:rsid w:val="00CF2DC6"/>
    <w:rsid w:val="00D003E3"/>
    <w:rsid w:val="00D32990"/>
    <w:rsid w:val="00D406EA"/>
    <w:rsid w:val="00D43367"/>
    <w:rsid w:val="00D74AF7"/>
    <w:rsid w:val="00D755E4"/>
    <w:rsid w:val="00D80D00"/>
    <w:rsid w:val="00D812D3"/>
    <w:rsid w:val="00D86511"/>
    <w:rsid w:val="00D92E91"/>
    <w:rsid w:val="00D96A09"/>
    <w:rsid w:val="00DA3086"/>
    <w:rsid w:val="00DA3796"/>
    <w:rsid w:val="00DB3B58"/>
    <w:rsid w:val="00DE1974"/>
    <w:rsid w:val="00DE7B8E"/>
    <w:rsid w:val="00E0030B"/>
    <w:rsid w:val="00E22EB6"/>
    <w:rsid w:val="00E249DF"/>
    <w:rsid w:val="00E26929"/>
    <w:rsid w:val="00E345CF"/>
    <w:rsid w:val="00E4349D"/>
    <w:rsid w:val="00E44440"/>
    <w:rsid w:val="00E47369"/>
    <w:rsid w:val="00E57CC2"/>
    <w:rsid w:val="00E63546"/>
    <w:rsid w:val="00E759D2"/>
    <w:rsid w:val="00E85AED"/>
    <w:rsid w:val="00E8747E"/>
    <w:rsid w:val="00E9587F"/>
    <w:rsid w:val="00EB4CFB"/>
    <w:rsid w:val="00EC5099"/>
    <w:rsid w:val="00EC75E4"/>
    <w:rsid w:val="00EF7D7A"/>
    <w:rsid w:val="00F05D9D"/>
    <w:rsid w:val="00F3142D"/>
    <w:rsid w:val="00F40E2D"/>
    <w:rsid w:val="00F46599"/>
    <w:rsid w:val="00F63A40"/>
    <w:rsid w:val="00F70F27"/>
    <w:rsid w:val="00F76BF9"/>
    <w:rsid w:val="00F83745"/>
    <w:rsid w:val="00F9047E"/>
    <w:rsid w:val="00F90C90"/>
    <w:rsid w:val="00F9295F"/>
    <w:rsid w:val="00F9331D"/>
    <w:rsid w:val="00F951ED"/>
    <w:rsid w:val="00FA2F91"/>
    <w:rsid w:val="00FB3F5D"/>
    <w:rsid w:val="00FC0DD0"/>
    <w:rsid w:val="00FC5260"/>
    <w:rsid w:val="00FC6179"/>
    <w:rsid w:val="00FD7EDB"/>
    <w:rsid w:val="00FE5A41"/>
    <w:rsid w:val="00FF355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4C549"/>
  <w15:chartTrackingRefBased/>
  <w15:docId w15:val="{6977BFF8-243E-4EFC-945A-BB07F8118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next w:val="JudgmentNumbered"/>
    <w:qFormat/>
    <w:rsid w:val="004A1C15"/>
    <w:pPr>
      <w:spacing w:after="240" w:line="360" w:lineRule="auto"/>
      <w:ind w:left="567"/>
      <w:jc w:val="both"/>
    </w:pPr>
    <w:rPr>
      <w:rFonts w:ascii="Arial" w:hAnsi="Arial"/>
      <w:sz w:val="24"/>
      <w:lang w:val="en-GB"/>
    </w:rPr>
  </w:style>
  <w:style w:type="paragraph" w:styleId="Heading2">
    <w:name w:val="heading 2"/>
    <w:basedOn w:val="Normal"/>
    <w:link w:val="Heading2Char"/>
    <w:uiPriority w:val="9"/>
    <w:qFormat/>
    <w:rsid w:val="00C02AF6"/>
    <w:pPr>
      <w:spacing w:before="100" w:beforeAutospacing="1" w:after="100" w:afterAutospacing="1" w:line="240" w:lineRule="auto"/>
      <w:ind w:left="0"/>
      <w:jc w:val="left"/>
      <w:outlineLvl w:val="1"/>
    </w:pPr>
    <w:rPr>
      <w:rFonts w:ascii="Times New Roman" w:eastAsia="Times New Roman" w:hAnsi="Times New Roman" w:cs="Times New Roman"/>
      <w:b/>
      <w:bCs/>
      <w:sz w:val="36"/>
      <w:szCs w:val="36"/>
      <w:lang w:val="en-ZA" w:eastAsia="en-ZA"/>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4A1C15"/>
    <w:pPr>
      <w:numPr>
        <w:numId w:val="2"/>
      </w:numPr>
    </w:pPr>
    <w:rPr>
      <w:rFonts w:cs="Arial"/>
    </w:rPr>
  </w:style>
  <w:style w:type="character" w:customStyle="1" w:styleId="JudgmentNumberedChar">
    <w:name w:val="Judgment Numbered Char"/>
    <w:basedOn w:val="DefaultParagraphFont"/>
    <w:link w:val="JudgmentNumbered"/>
    <w:rsid w:val="004A1C15"/>
    <w:rPr>
      <w:rFonts w:ascii="Arial" w:hAnsi="Arial" w:cs="Arial"/>
      <w:sz w:val="24"/>
      <w:lang w:val="en-GB"/>
    </w:rPr>
  </w:style>
  <w:style w:type="paragraph" w:styleId="Footer">
    <w:name w:val="footer"/>
    <w:basedOn w:val="Normal"/>
    <w:link w:val="FooterChar"/>
    <w:uiPriority w:val="99"/>
    <w:unhideWhenUsed/>
    <w:rsid w:val="004A1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C15"/>
    <w:rPr>
      <w:rFonts w:ascii="Arial" w:hAnsi="Arial"/>
      <w:sz w:val="24"/>
      <w:lang w:val="en-GB"/>
    </w:rPr>
  </w:style>
  <w:style w:type="character" w:customStyle="1" w:styleId="Heading2Char">
    <w:name w:val="Heading 2 Char"/>
    <w:basedOn w:val="DefaultParagraphFont"/>
    <w:link w:val="Heading2"/>
    <w:uiPriority w:val="9"/>
    <w:rsid w:val="00C02AF6"/>
    <w:rPr>
      <w:rFonts w:ascii="Times New Roman" w:eastAsia="Times New Roman" w:hAnsi="Times New Roman" w:cs="Times New Roman"/>
      <w:b/>
      <w:bCs/>
      <w:sz w:val="36"/>
      <w:szCs w:val="36"/>
      <w:lang w:eastAsia="en-ZA"/>
      <w14:ligatures w14:val="standardContextual"/>
    </w:rPr>
  </w:style>
  <w:style w:type="character" w:styleId="Hyperlink">
    <w:name w:val="Hyperlink"/>
    <w:basedOn w:val="DefaultParagraphFont"/>
    <w:uiPriority w:val="99"/>
    <w:semiHidden/>
    <w:unhideWhenUsed/>
    <w:rsid w:val="00C02AF6"/>
    <w:rPr>
      <w:color w:val="0000FF"/>
      <w:u w:val="single"/>
    </w:rPr>
  </w:style>
  <w:style w:type="character" w:styleId="CommentReference">
    <w:name w:val="annotation reference"/>
    <w:basedOn w:val="DefaultParagraphFont"/>
    <w:uiPriority w:val="99"/>
    <w:semiHidden/>
    <w:unhideWhenUsed/>
    <w:rsid w:val="00561851"/>
    <w:rPr>
      <w:sz w:val="16"/>
      <w:szCs w:val="16"/>
    </w:rPr>
  </w:style>
  <w:style w:type="paragraph" w:styleId="CommentText">
    <w:name w:val="annotation text"/>
    <w:basedOn w:val="Normal"/>
    <w:link w:val="CommentTextChar"/>
    <w:uiPriority w:val="99"/>
    <w:unhideWhenUsed/>
    <w:rsid w:val="00561851"/>
    <w:pPr>
      <w:spacing w:line="240" w:lineRule="auto"/>
    </w:pPr>
    <w:rPr>
      <w:sz w:val="20"/>
      <w:szCs w:val="20"/>
    </w:rPr>
  </w:style>
  <w:style w:type="character" w:customStyle="1" w:styleId="CommentTextChar">
    <w:name w:val="Comment Text Char"/>
    <w:basedOn w:val="DefaultParagraphFont"/>
    <w:link w:val="CommentText"/>
    <w:uiPriority w:val="99"/>
    <w:rsid w:val="00561851"/>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561851"/>
    <w:rPr>
      <w:b/>
      <w:bCs/>
    </w:rPr>
  </w:style>
  <w:style w:type="character" w:customStyle="1" w:styleId="CommentSubjectChar">
    <w:name w:val="Comment Subject Char"/>
    <w:basedOn w:val="CommentTextChar"/>
    <w:link w:val="CommentSubject"/>
    <w:uiPriority w:val="99"/>
    <w:semiHidden/>
    <w:rsid w:val="00561851"/>
    <w:rPr>
      <w:rFonts w:ascii="Arial" w:hAnsi="Arial"/>
      <w:b/>
      <w:bCs/>
      <w:sz w:val="20"/>
      <w:szCs w:val="20"/>
      <w:lang w:val="en-GB"/>
    </w:rPr>
  </w:style>
  <w:style w:type="paragraph" w:styleId="BalloonText">
    <w:name w:val="Balloon Text"/>
    <w:basedOn w:val="Normal"/>
    <w:link w:val="BalloonTextChar"/>
    <w:uiPriority w:val="99"/>
    <w:semiHidden/>
    <w:unhideWhenUsed/>
    <w:rsid w:val="005618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851"/>
    <w:rPr>
      <w:rFonts w:ascii="Segoe UI" w:hAnsi="Segoe UI" w:cs="Segoe UI"/>
      <w:sz w:val="18"/>
      <w:szCs w:val="18"/>
      <w:lang w:val="en-GB"/>
    </w:rPr>
  </w:style>
  <w:style w:type="paragraph" w:styleId="ListParagraph">
    <w:name w:val="List Paragraph"/>
    <w:basedOn w:val="Normal"/>
    <w:uiPriority w:val="34"/>
    <w:qFormat/>
    <w:rsid w:val="004D57C1"/>
    <w:pPr>
      <w:spacing w:after="0" w:line="240" w:lineRule="auto"/>
      <w:ind w:left="720"/>
      <w:contextualSpacing/>
      <w:jc w:val="left"/>
    </w:pPr>
    <w:rPr>
      <w:rFonts w:eastAsia="Times New Roman" w:cs="Arial"/>
      <w:szCs w:val="24"/>
      <w:u w:val="single"/>
      <w:lang w:eastAsia="en-GB"/>
    </w:rPr>
  </w:style>
  <w:style w:type="paragraph" w:customStyle="1" w:styleId="western">
    <w:name w:val="western"/>
    <w:basedOn w:val="Normal"/>
    <w:rsid w:val="005C1779"/>
    <w:pPr>
      <w:spacing w:before="100" w:beforeAutospacing="1" w:after="100" w:afterAutospacing="1" w:line="240" w:lineRule="auto"/>
      <w:ind w:left="0"/>
      <w:jc w:val="left"/>
    </w:pPr>
    <w:rPr>
      <w:rFonts w:ascii="Times New Roman" w:eastAsia="Times New Roman" w:hAnsi="Times New Roman" w:cs="Times New Roman"/>
      <w:szCs w:val="24"/>
      <w:lang w:val="en-ZA" w:eastAsia="en-ZA"/>
    </w:rPr>
  </w:style>
  <w:style w:type="paragraph" w:styleId="FootnoteText">
    <w:name w:val="footnote text"/>
    <w:basedOn w:val="Normal"/>
    <w:link w:val="FootnoteTextChar"/>
    <w:uiPriority w:val="99"/>
    <w:semiHidden/>
    <w:unhideWhenUsed/>
    <w:rsid w:val="000912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12BE"/>
    <w:rPr>
      <w:rFonts w:ascii="Arial" w:hAnsi="Arial"/>
      <w:sz w:val="20"/>
      <w:szCs w:val="20"/>
      <w:lang w:val="en-GB"/>
    </w:rPr>
  </w:style>
  <w:style w:type="character" w:styleId="FootnoteReference">
    <w:name w:val="footnote reference"/>
    <w:basedOn w:val="DefaultParagraphFont"/>
    <w:uiPriority w:val="99"/>
    <w:semiHidden/>
    <w:unhideWhenUsed/>
    <w:rsid w:val="000912BE"/>
    <w:rPr>
      <w:vertAlign w:val="superscript"/>
    </w:rPr>
  </w:style>
  <w:style w:type="paragraph" w:styleId="Revision">
    <w:name w:val="Revision"/>
    <w:hidden/>
    <w:uiPriority w:val="99"/>
    <w:semiHidden/>
    <w:rsid w:val="00F40E2D"/>
    <w:pPr>
      <w:spacing w:after="0" w:line="240" w:lineRule="auto"/>
    </w:pPr>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25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y2009v2SApg277%27%5d&amp;xhitlist_md=target-id=0-0-0-1645" TargetMode="External"/><Relationship Id="rId2"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y1984v3SApg623%27%5d&amp;xhitlist_md=target-id=0-0-0-31225" TargetMode="External"/><Relationship Id="rId1"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y1957v4SApg234%27%5d&amp;xhitlist_md=target-id=0-0-0-31341" TargetMode="External"/><Relationship Id="rId6" Type="http://schemas.openxmlformats.org/officeDocument/2006/relationships/hyperlink" Target="http://www.saflii.org/cgi-bin/LawCite?cit=1984%20%284%29%20SA%20874" TargetMode="External"/><Relationship Id="rId5" Type="http://schemas.openxmlformats.org/officeDocument/2006/relationships/hyperlink" Target="http://www.saflii.org/cgi-bin/LawCite?cit=2012%20%284%29%20SA%20593" TargetMode="External"/><Relationship Id="rId4"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y2021v5SApg543%27%5d&amp;xhitlist_md=target-id=0-0-0-314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57B0035D40A14B95F6F76D770ECA8B" ma:contentTypeVersion="3" ma:contentTypeDescription="Create a new document." ma:contentTypeScope="" ma:versionID="62fbbfc8c470ef05cda1fc048804d6cd">
  <xsd:schema xmlns:xsd="http://www.w3.org/2001/XMLSchema" xmlns:xs="http://www.w3.org/2001/XMLSchema" xmlns:p="http://schemas.microsoft.com/office/2006/metadata/properties" xmlns:ns3="da7c55be-2862-49ea-a69a-82bf28a5f3de" targetNamespace="http://schemas.microsoft.com/office/2006/metadata/properties" ma:root="true" ma:fieldsID="d1be4aadcbb73334a79a8eaad65bbcc0" ns3:_="">
    <xsd:import namespace="da7c55be-2862-49ea-a69a-82bf28a5f3de"/>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c55be-2862-49ea-a69a-82bf28a5f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A38B0-F6FF-4E86-B085-7C5BE39FD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c55be-2862-49ea-a69a-82bf28a5f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A1A557-74B8-4E32-85F3-1241868732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6524DF-72AE-4804-ABE9-95F3808FCDD4}">
  <ds:schemaRefs>
    <ds:schemaRef ds:uri="http://schemas.microsoft.com/sharepoint/v3/contenttype/forms"/>
  </ds:schemaRefs>
</ds:datastoreItem>
</file>

<file path=customXml/itemProps4.xml><?xml version="1.0" encoding="utf-8"?>
<ds:datastoreItem xmlns:ds="http://schemas.openxmlformats.org/officeDocument/2006/customXml" ds:itemID="{9F3B330D-E845-41AE-8524-EA9CDA212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2498</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Nomthandazo Karabo Masango</dc:creator>
  <cp:keywords/>
  <dc:description/>
  <cp:lastModifiedBy>Mokone</cp:lastModifiedBy>
  <cp:revision>3</cp:revision>
  <dcterms:created xsi:type="dcterms:W3CDTF">2023-09-22T13:20:00Z</dcterms:created>
  <dcterms:modified xsi:type="dcterms:W3CDTF">2023-09-22T13:22:00Z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0x0101001857B0035D40A14B95F6F76D770ECA8B</vt:lpwstr>
  </property>
</Properties>
</file>