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7F48" w14:textId="77777777" w:rsidR="00D202C2" w:rsidRPr="00671349" w:rsidRDefault="007D51E5" w:rsidP="00C860E6">
      <w:pPr>
        <w:spacing w:after="120" w:line="360" w:lineRule="auto"/>
        <w:jc w:val="center"/>
        <w:rPr>
          <w:rFonts w:ascii="Arial" w:hAnsi="Arial" w:cs="Arial"/>
          <w:sz w:val="24"/>
          <w:szCs w:val="24"/>
        </w:rPr>
      </w:pPr>
      <w:r w:rsidRPr="00671349">
        <w:rPr>
          <w:rFonts w:ascii="Arial" w:hAnsi="Arial" w:cs="Arial"/>
          <w:noProof/>
          <w:sz w:val="24"/>
          <w:szCs w:val="24"/>
          <w:lang w:eastAsia="en-ZA"/>
        </w:rPr>
        <w:drawing>
          <wp:inline distT="0" distB="0" distL="0" distR="0" wp14:anchorId="55DDC685" wp14:editId="3815BF13">
            <wp:extent cx="1297940" cy="1148080"/>
            <wp:effectExtent l="0" t="0" r="0" b="0"/>
            <wp:docPr id="2" name="Picture 1" descr="cid:image003.png@01D07774.1E4A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7774.1E4A6C90"/>
                    <pic:cNvPicPr>
                      <a:picLocks noChangeAspect="1" noChangeArrowheads="1"/>
                    </pic:cNvPicPr>
                  </pic:nvPicPr>
                  <pic:blipFill>
                    <a:blip r:embed="rId8" r:link="rId9" cstate="print"/>
                    <a:srcRect/>
                    <a:stretch>
                      <a:fillRect/>
                    </a:stretch>
                  </pic:blipFill>
                  <pic:spPr bwMode="auto">
                    <a:xfrm>
                      <a:off x="0" y="0"/>
                      <a:ext cx="1315700" cy="1163789"/>
                    </a:xfrm>
                    <a:prstGeom prst="rect">
                      <a:avLst/>
                    </a:prstGeom>
                    <a:solidFill>
                      <a:sysClr val="windowText" lastClr="000000"/>
                    </a:solidFill>
                    <a:ln w="9525">
                      <a:noFill/>
                      <a:miter lim="800000"/>
                      <a:headEnd/>
                      <a:tailEnd/>
                    </a:ln>
                  </pic:spPr>
                </pic:pic>
              </a:graphicData>
            </a:graphic>
          </wp:inline>
        </w:drawing>
      </w:r>
    </w:p>
    <w:p w14:paraId="3954D95A" w14:textId="77777777" w:rsidR="000D0102" w:rsidRPr="00671349" w:rsidRDefault="00D202C2" w:rsidP="0016137A">
      <w:pPr>
        <w:autoSpaceDE w:val="0"/>
        <w:autoSpaceDN w:val="0"/>
        <w:adjustRightInd w:val="0"/>
        <w:spacing w:line="360" w:lineRule="auto"/>
        <w:jc w:val="center"/>
        <w:rPr>
          <w:rFonts w:ascii="Arial" w:hAnsi="Arial" w:cs="Arial"/>
          <w:b/>
          <w:bCs/>
          <w:sz w:val="24"/>
          <w:szCs w:val="24"/>
        </w:rPr>
      </w:pPr>
      <w:r w:rsidRPr="00671349">
        <w:rPr>
          <w:rFonts w:ascii="Arial" w:hAnsi="Arial" w:cs="Arial"/>
          <w:b/>
          <w:bCs/>
          <w:sz w:val="24"/>
          <w:szCs w:val="24"/>
        </w:rPr>
        <w:t xml:space="preserve">IN THE </w:t>
      </w:r>
      <w:r w:rsidR="000D0102" w:rsidRPr="00671349">
        <w:rPr>
          <w:rFonts w:ascii="Arial" w:hAnsi="Arial" w:cs="Arial"/>
          <w:b/>
          <w:bCs/>
          <w:sz w:val="24"/>
          <w:szCs w:val="24"/>
        </w:rPr>
        <w:t xml:space="preserve">HIGH </w:t>
      </w:r>
      <w:r w:rsidRPr="00671349">
        <w:rPr>
          <w:rFonts w:ascii="Arial" w:hAnsi="Arial" w:cs="Arial"/>
          <w:b/>
          <w:bCs/>
          <w:sz w:val="24"/>
          <w:szCs w:val="24"/>
        </w:rPr>
        <w:t>COURT OF SOUTH AFRICA</w:t>
      </w:r>
    </w:p>
    <w:p w14:paraId="072336A1" w14:textId="605FDDC8" w:rsidR="00D202C2" w:rsidRPr="00671349" w:rsidRDefault="000D0102" w:rsidP="0016137A">
      <w:pPr>
        <w:autoSpaceDE w:val="0"/>
        <w:autoSpaceDN w:val="0"/>
        <w:adjustRightInd w:val="0"/>
        <w:spacing w:after="120" w:line="360" w:lineRule="auto"/>
        <w:jc w:val="center"/>
        <w:rPr>
          <w:rFonts w:ascii="Arial" w:hAnsi="Arial" w:cs="Arial"/>
          <w:b/>
          <w:bCs/>
          <w:sz w:val="24"/>
          <w:szCs w:val="24"/>
        </w:rPr>
      </w:pPr>
      <w:r w:rsidRPr="00671349">
        <w:rPr>
          <w:rFonts w:ascii="Arial" w:hAnsi="Arial" w:cs="Arial"/>
          <w:b/>
          <w:bCs/>
          <w:sz w:val="24"/>
          <w:szCs w:val="24"/>
        </w:rPr>
        <w:t>(GAUTENG DIVISION</w:t>
      </w:r>
      <w:r w:rsidR="00D202C2" w:rsidRPr="00671349">
        <w:rPr>
          <w:rFonts w:ascii="Arial" w:hAnsi="Arial" w:cs="Arial"/>
          <w:b/>
          <w:bCs/>
          <w:sz w:val="24"/>
          <w:szCs w:val="24"/>
        </w:rPr>
        <w:t xml:space="preserve">, </w:t>
      </w:r>
      <w:r w:rsidR="004071E9">
        <w:rPr>
          <w:rFonts w:ascii="Arial" w:hAnsi="Arial" w:cs="Arial"/>
          <w:b/>
          <w:bCs/>
          <w:sz w:val="24"/>
          <w:szCs w:val="24"/>
        </w:rPr>
        <w:t>JOHANNESBURG</w:t>
      </w:r>
      <w:r w:rsidRPr="00671349">
        <w:rPr>
          <w:rFonts w:ascii="Arial" w:hAnsi="Arial" w:cs="Arial"/>
          <w:b/>
          <w:bCs/>
          <w:sz w:val="24"/>
          <w:szCs w:val="24"/>
        </w:rPr>
        <w:t>)</w:t>
      </w:r>
    </w:p>
    <w:p w14:paraId="50821842" w14:textId="77777777" w:rsidR="007D51E5" w:rsidRPr="00671349" w:rsidRDefault="007D51E5" w:rsidP="0016137A">
      <w:pPr>
        <w:autoSpaceDE w:val="0"/>
        <w:autoSpaceDN w:val="0"/>
        <w:adjustRightInd w:val="0"/>
        <w:spacing w:after="120" w:line="360" w:lineRule="auto"/>
        <w:rPr>
          <w:rFonts w:ascii="Arial" w:hAnsi="Arial" w:cs="Arial"/>
          <w:sz w:val="24"/>
          <w:szCs w:val="24"/>
        </w:rPr>
      </w:pPr>
      <w:r w:rsidRPr="00671349">
        <w:rPr>
          <w:rFonts w:ascii="Arial" w:hAnsi="Arial" w:cs="Arial"/>
          <w:noProof/>
          <w:sz w:val="24"/>
          <w:szCs w:val="24"/>
          <w:lang w:eastAsia="en-ZA"/>
        </w:rPr>
        <mc:AlternateContent>
          <mc:Choice Requires="wps">
            <w:drawing>
              <wp:inline distT="0" distB="0" distL="0" distR="0" wp14:anchorId="354FFED0" wp14:editId="58EF5345">
                <wp:extent cx="3314700" cy="13716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6016463" w14:textId="77777777" w:rsidR="00FC0780" w:rsidRDefault="00FC0780" w:rsidP="007D51E5">
                            <w:pPr>
                              <w:jc w:val="center"/>
                              <w:rPr>
                                <w:rFonts w:ascii="Century Gothic" w:hAnsi="Century Gothic"/>
                                <w:b/>
                                <w:sz w:val="20"/>
                                <w:szCs w:val="20"/>
                              </w:rPr>
                            </w:pPr>
                          </w:p>
                          <w:p w14:paraId="0E750DD9" w14:textId="26DD580E" w:rsidR="00FC0780" w:rsidRDefault="003E65DB" w:rsidP="003E65DB">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4071E9">
                              <w:rPr>
                                <w:rFonts w:ascii="Century Gothic" w:hAnsi="Century Gothic"/>
                                <w:sz w:val="20"/>
                                <w:szCs w:val="20"/>
                              </w:rPr>
                              <w:t>NO</w:t>
                            </w:r>
                          </w:p>
                          <w:p w14:paraId="3BA0F62E" w14:textId="6D1DAF5C" w:rsidR="00FC0780" w:rsidRDefault="003E65DB" w:rsidP="003E65DB">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2B64E9">
                              <w:rPr>
                                <w:rFonts w:ascii="Century Gothic" w:hAnsi="Century Gothic"/>
                                <w:sz w:val="20"/>
                                <w:szCs w:val="20"/>
                              </w:rPr>
                              <w:t>YES</w:t>
                            </w:r>
                          </w:p>
                          <w:p w14:paraId="29110CF7" w14:textId="4714340D" w:rsidR="00FC0780" w:rsidRDefault="003E65DB" w:rsidP="003E65DB">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 xml:space="preserve">REVISED. </w:t>
                            </w:r>
                          </w:p>
                          <w:p w14:paraId="0E2B39CC" w14:textId="77777777" w:rsidR="00FC0780" w:rsidRDefault="00FC0780" w:rsidP="007D51E5">
                            <w:pPr>
                              <w:rPr>
                                <w:rFonts w:ascii="Century Gothic" w:hAnsi="Century Gothic"/>
                                <w:b/>
                                <w:sz w:val="18"/>
                                <w:szCs w:val="18"/>
                              </w:rPr>
                            </w:pPr>
                          </w:p>
                          <w:p w14:paraId="2B550753" w14:textId="3F055699" w:rsidR="00FC0780" w:rsidRDefault="00FC0780" w:rsidP="007D51E5">
                            <w:pPr>
                              <w:rPr>
                                <w:rFonts w:ascii="Century Gothic" w:hAnsi="Century Gothic"/>
                                <w:b/>
                                <w:sz w:val="18"/>
                                <w:szCs w:val="18"/>
                              </w:rPr>
                            </w:pPr>
                            <w:r>
                              <w:rPr>
                                <w:rFonts w:ascii="Century Gothic" w:hAnsi="Century Gothic"/>
                                <w:b/>
                                <w:sz w:val="18"/>
                                <w:szCs w:val="18"/>
                              </w:rPr>
                              <w:t xml:space="preserve"> </w:t>
                            </w:r>
                            <w:r w:rsidR="00E8356A">
                              <w:rPr>
                                <w:rFonts w:ascii="Century Gothic" w:hAnsi="Century Gothic"/>
                                <w:b/>
                                <w:sz w:val="18"/>
                                <w:szCs w:val="18"/>
                              </w:rPr>
                              <w:t xml:space="preserve">Signature: </w:t>
                            </w:r>
                            <w:r>
                              <w:rPr>
                                <w:rFonts w:ascii="Century Gothic" w:hAnsi="Century Gothic"/>
                                <w:b/>
                                <w:sz w:val="18"/>
                                <w:szCs w:val="18"/>
                              </w:rPr>
                              <w:t>…………………….</w:t>
                            </w:r>
                            <w:r>
                              <w:rPr>
                                <w:rFonts w:ascii="Century Gothic" w:hAnsi="Century Gothic"/>
                                <w:b/>
                                <w:sz w:val="18"/>
                                <w:szCs w:val="18"/>
                              </w:rPr>
                              <w:tab/>
                            </w:r>
                            <w:r w:rsidR="00E8356A">
                              <w:rPr>
                                <w:rFonts w:ascii="Century Gothic" w:hAnsi="Century Gothic"/>
                                <w:b/>
                                <w:sz w:val="18"/>
                                <w:szCs w:val="18"/>
                              </w:rPr>
                              <w:t xml:space="preserve">Date: </w:t>
                            </w:r>
                            <w:r w:rsidR="00A525A6">
                              <w:rPr>
                                <w:rFonts w:ascii="Century Gothic" w:hAnsi="Century Gothic"/>
                                <w:b/>
                                <w:sz w:val="18"/>
                                <w:szCs w:val="18"/>
                              </w:rPr>
                              <w:t>1</w:t>
                            </w:r>
                            <w:r w:rsidR="006F45D1">
                              <w:rPr>
                                <w:rFonts w:ascii="Century Gothic" w:hAnsi="Century Gothic"/>
                                <w:b/>
                                <w:sz w:val="18"/>
                                <w:szCs w:val="18"/>
                              </w:rPr>
                              <w:t>1</w:t>
                            </w:r>
                            <w:r w:rsidR="002B64E9">
                              <w:rPr>
                                <w:rFonts w:ascii="Century Gothic" w:hAnsi="Century Gothic"/>
                                <w:b/>
                                <w:sz w:val="18"/>
                                <w:szCs w:val="18"/>
                              </w:rPr>
                              <w:t xml:space="preserve"> February </w:t>
                            </w:r>
                            <w:r w:rsidR="00B469F8">
                              <w:rPr>
                                <w:rFonts w:ascii="Century Gothic" w:hAnsi="Century Gothic"/>
                                <w:b/>
                                <w:sz w:val="18"/>
                                <w:szCs w:val="18"/>
                              </w:rPr>
                              <w:t>202</w:t>
                            </w:r>
                            <w:r w:rsidR="00D33D7C">
                              <w:rPr>
                                <w:rFonts w:ascii="Century Gothic" w:hAnsi="Century Gothic"/>
                                <w:b/>
                                <w:sz w:val="18"/>
                                <w:szCs w:val="18"/>
                              </w:rPr>
                              <w:t>3</w:t>
                            </w:r>
                          </w:p>
                          <w:p w14:paraId="7806C82D" w14:textId="71EBAAA3" w:rsidR="00FC0780" w:rsidRDefault="00FC0780" w:rsidP="007D51E5">
                            <w:pPr>
                              <w:rPr>
                                <w:rFonts w:ascii="Century Gothic" w:hAnsi="Century Gothic"/>
                                <w:sz w:val="18"/>
                                <w:szCs w:val="18"/>
                              </w:rPr>
                            </w:pPr>
                            <w:r>
                              <w:rPr>
                                <w:rFonts w:ascii="Century Gothic" w:hAnsi="Century Gothic"/>
                                <w:sz w:val="18"/>
                                <w:szCs w:val="18"/>
                              </w:rPr>
                              <w:t xml:space="preserve"> </w:t>
                            </w:r>
                          </w:p>
                        </w:txbxContent>
                      </wps:txbx>
                      <wps:bodyPr rot="0" vert="horz" wrap="square" lIns="91440" tIns="45720" rIns="91440" bIns="45720" anchor="t" anchorCtr="0" upright="1">
                        <a:noAutofit/>
                      </wps:bodyPr>
                    </wps:wsp>
                  </a:graphicData>
                </a:graphic>
              </wp:inline>
            </w:drawing>
          </mc:Choice>
          <mc:Fallback>
            <w:pict>
              <v:shapetype w14:anchorId="354FFED0" id="_x0000_t202" coordsize="21600,21600" o:spt="202" path="m,l,21600r21600,l21600,xe">
                <v:stroke joinstyle="miter"/>
                <v:path gradientshapeok="t" o:connecttype="rect"/>
              </v:shapetype>
              <v:shape id="Text Box 1" o:spid="_x0000_s1026" type="#_x0000_t202" style="width:261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">
                <v:textbox>
                  <w:txbxContent>
                    <w:p w14:paraId="56016463" w14:textId="77777777" w:rsidR="00FC0780" w:rsidRDefault="00FC0780" w:rsidP="007D51E5">
                      <w:pPr>
                        <w:jc w:val="center"/>
                        <w:rPr>
                          <w:rFonts w:ascii="Century Gothic" w:hAnsi="Century Gothic"/>
                          <w:b/>
                          <w:sz w:val="20"/>
                          <w:szCs w:val="20"/>
                        </w:rPr>
                      </w:pPr>
                    </w:p>
                    <w:p w14:paraId="0E750DD9" w14:textId="26DD580E" w:rsidR="00FC0780" w:rsidRDefault="003E65DB" w:rsidP="003E65DB">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4071E9">
                        <w:rPr>
                          <w:rFonts w:ascii="Century Gothic" w:hAnsi="Century Gothic"/>
                          <w:sz w:val="20"/>
                          <w:szCs w:val="20"/>
                        </w:rPr>
                        <w:t>NO</w:t>
                      </w:r>
                    </w:p>
                    <w:p w14:paraId="3BA0F62E" w14:textId="6D1DAF5C" w:rsidR="00FC0780" w:rsidRDefault="003E65DB" w:rsidP="003E65DB">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2B64E9">
                        <w:rPr>
                          <w:rFonts w:ascii="Century Gothic" w:hAnsi="Century Gothic"/>
                          <w:sz w:val="20"/>
                          <w:szCs w:val="20"/>
                        </w:rPr>
                        <w:t>YES</w:t>
                      </w:r>
                    </w:p>
                    <w:p w14:paraId="29110CF7" w14:textId="4714340D" w:rsidR="00FC0780" w:rsidRDefault="003E65DB" w:rsidP="003E65DB">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 xml:space="preserve">REVISED. </w:t>
                      </w:r>
                    </w:p>
                    <w:p w14:paraId="0E2B39CC" w14:textId="77777777" w:rsidR="00FC0780" w:rsidRDefault="00FC0780" w:rsidP="007D51E5">
                      <w:pPr>
                        <w:rPr>
                          <w:rFonts w:ascii="Century Gothic" w:hAnsi="Century Gothic"/>
                          <w:b/>
                          <w:sz w:val="18"/>
                          <w:szCs w:val="18"/>
                        </w:rPr>
                      </w:pPr>
                    </w:p>
                    <w:p w14:paraId="2B550753" w14:textId="3F055699" w:rsidR="00FC0780" w:rsidRDefault="00FC0780" w:rsidP="007D51E5">
                      <w:pPr>
                        <w:rPr>
                          <w:rFonts w:ascii="Century Gothic" w:hAnsi="Century Gothic"/>
                          <w:b/>
                          <w:sz w:val="18"/>
                          <w:szCs w:val="18"/>
                        </w:rPr>
                      </w:pPr>
                      <w:r>
                        <w:rPr>
                          <w:rFonts w:ascii="Century Gothic" w:hAnsi="Century Gothic"/>
                          <w:b/>
                          <w:sz w:val="18"/>
                          <w:szCs w:val="18"/>
                        </w:rPr>
                        <w:t xml:space="preserve"> </w:t>
                      </w:r>
                      <w:r w:rsidR="00E8356A">
                        <w:rPr>
                          <w:rFonts w:ascii="Century Gothic" w:hAnsi="Century Gothic"/>
                          <w:b/>
                          <w:sz w:val="18"/>
                          <w:szCs w:val="18"/>
                        </w:rPr>
                        <w:t xml:space="preserve">Signature: </w:t>
                      </w:r>
                      <w:r>
                        <w:rPr>
                          <w:rFonts w:ascii="Century Gothic" w:hAnsi="Century Gothic"/>
                          <w:b/>
                          <w:sz w:val="18"/>
                          <w:szCs w:val="18"/>
                        </w:rPr>
                        <w:t>…………………….</w:t>
                      </w:r>
                      <w:r>
                        <w:rPr>
                          <w:rFonts w:ascii="Century Gothic" w:hAnsi="Century Gothic"/>
                          <w:b/>
                          <w:sz w:val="18"/>
                          <w:szCs w:val="18"/>
                        </w:rPr>
                        <w:tab/>
                      </w:r>
                      <w:r w:rsidR="00E8356A">
                        <w:rPr>
                          <w:rFonts w:ascii="Century Gothic" w:hAnsi="Century Gothic"/>
                          <w:b/>
                          <w:sz w:val="18"/>
                          <w:szCs w:val="18"/>
                        </w:rPr>
                        <w:t xml:space="preserve">Date: </w:t>
                      </w:r>
                      <w:r w:rsidR="00A525A6">
                        <w:rPr>
                          <w:rFonts w:ascii="Century Gothic" w:hAnsi="Century Gothic"/>
                          <w:b/>
                          <w:sz w:val="18"/>
                          <w:szCs w:val="18"/>
                        </w:rPr>
                        <w:t>1</w:t>
                      </w:r>
                      <w:r w:rsidR="006F45D1">
                        <w:rPr>
                          <w:rFonts w:ascii="Century Gothic" w:hAnsi="Century Gothic"/>
                          <w:b/>
                          <w:sz w:val="18"/>
                          <w:szCs w:val="18"/>
                        </w:rPr>
                        <w:t>1</w:t>
                      </w:r>
                      <w:r w:rsidR="002B64E9">
                        <w:rPr>
                          <w:rFonts w:ascii="Century Gothic" w:hAnsi="Century Gothic"/>
                          <w:b/>
                          <w:sz w:val="18"/>
                          <w:szCs w:val="18"/>
                        </w:rPr>
                        <w:t xml:space="preserve"> February </w:t>
                      </w:r>
                      <w:r w:rsidR="00B469F8">
                        <w:rPr>
                          <w:rFonts w:ascii="Century Gothic" w:hAnsi="Century Gothic"/>
                          <w:b/>
                          <w:sz w:val="18"/>
                          <w:szCs w:val="18"/>
                        </w:rPr>
                        <w:t>202</w:t>
                      </w:r>
                      <w:r w:rsidR="00D33D7C">
                        <w:rPr>
                          <w:rFonts w:ascii="Century Gothic" w:hAnsi="Century Gothic"/>
                          <w:b/>
                          <w:sz w:val="18"/>
                          <w:szCs w:val="18"/>
                        </w:rPr>
                        <w:t>3</w:t>
                      </w:r>
                    </w:p>
                    <w:p w14:paraId="7806C82D" w14:textId="71EBAAA3" w:rsidR="00FC0780" w:rsidRDefault="00FC0780" w:rsidP="007D51E5">
                      <w:pPr>
                        <w:rPr>
                          <w:rFonts w:ascii="Century Gothic" w:hAnsi="Century Gothic"/>
                          <w:sz w:val="18"/>
                          <w:szCs w:val="18"/>
                        </w:rPr>
                      </w:pPr>
                      <w:r>
                        <w:rPr>
                          <w:rFonts w:ascii="Century Gothic" w:hAnsi="Century Gothic"/>
                          <w:sz w:val="18"/>
                          <w:szCs w:val="18"/>
                        </w:rPr>
                        <w:t xml:space="preserve"> </w:t>
                      </w:r>
                    </w:p>
                  </w:txbxContent>
                </v:textbox>
                <w10:anchorlock/>
              </v:shape>
            </w:pict>
          </mc:Fallback>
        </mc:AlternateContent>
      </w:r>
    </w:p>
    <w:p w14:paraId="704A3E7E" w14:textId="3F98C258" w:rsidR="00B93B6F" w:rsidRDefault="00B93B6F" w:rsidP="00B93B6F">
      <w:pPr>
        <w:autoSpaceDE w:val="0"/>
        <w:autoSpaceDN w:val="0"/>
        <w:adjustRightInd w:val="0"/>
        <w:spacing w:before="240" w:line="360" w:lineRule="auto"/>
        <w:ind w:left="720"/>
        <w:jc w:val="right"/>
        <w:rPr>
          <w:rFonts w:ascii="Arial" w:hAnsi="Arial" w:cs="Arial"/>
          <w:sz w:val="24"/>
          <w:szCs w:val="24"/>
        </w:rPr>
      </w:pPr>
      <w:r w:rsidRPr="00671349">
        <w:rPr>
          <w:rFonts w:ascii="Arial" w:hAnsi="Arial" w:cs="Arial"/>
          <w:sz w:val="24"/>
          <w:szCs w:val="24"/>
        </w:rPr>
        <w:t xml:space="preserve">Case no: </w:t>
      </w:r>
      <w:r w:rsidR="002B64E9">
        <w:rPr>
          <w:rFonts w:ascii="Arial" w:hAnsi="Arial" w:cs="Arial"/>
          <w:sz w:val="24"/>
          <w:szCs w:val="24"/>
        </w:rPr>
        <w:t>2021/</w:t>
      </w:r>
      <w:r w:rsidR="00AD335A" w:rsidRPr="00AD335A">
        <w:rPr>
          <w:rFonts w:ascii="Arial" w:hAnsi="Arial" w:cs="Arial"/>
          <w:sz w:val="24"/>
          <w:szCs w:val="24"/>
        </w:rPr>
        <w:t>53043</w:t>
      </w:r>
    </w:p>
    <w:p w14:paraId="29E97B5D" w14:textId="2BBDFFBD" w:rsidR="00D202C2" w:rsidRPr="00671349" w:rsidRDefault="00D202C2" w:rsidP="00B928FE">
      <w:pPr>
        <w:autoSpaceDE w:val="0"/>
        <w:autoSpaceDN w:val="0"/>
        <w:adjustRightInd w:val="0"/>
        <w:spacing w:before="240" w:after="120" w:line="360" w:lineRule="auto"/>
        <w:rPr>
          <w:rFonts w:ascii="Arial" w:hAnsi="Arial" w:cs="Arial"/>
          <w:sz w:val="24"/>
          <w:szCs w:val="24"/>
        </w:rPr>
      </w:pPr>
      <w:r w:rsidRPr="00671349">
        <w:rPr>
          <w:rFonts w:ascii="Arial" w:hAnsi="Arial" w:cs="Arial"/>
          <w:sz w:val="24"/>
          <w:szCs w:val="24"/>
        </w:rPr>
        <w:t>In the matter between</w:t>
      </w:r>
      <w:r w:rsidR="00B928FE" w:rsidRPr="00671349">
        <w:rPr>
          <w:rFonts w:ascii="Arial" w:hAnsi="Arial" w:cs="Arial"/>
          <w:sz w:val="24"/>
          <w:szCs w:val="24"/>
        </w:rPr>
        <w:t>:</w:t>
      </w:r>
    </w:p>
    <w:p w14:paraId="5749F4CD" w14:textId="77777777" w:rsidR="00B5292A" w:rsidRDefault="00E970E4" w:rsidP="00B7178D">
      <w:pPr>
        <w:pStyle w:val="NoSpacing"/>
        <w:tabs>
          <w:tab w:val="left" w:pos="720"/>
          <w:tab w:val="left" w:pos="1440"/>
          <w:tab w:val="left" w:pos="2160"/>
          <w:tab w:val="right" w:pos="9356"/>
        </w:tabs>
        <w:rPr>
          <w:rFonts w:ascii="Arial" w:hAnsi="Arial"/>
          <w:b/>
          <w:sz w:val="24"/>
          <w:szCs w:val="24"/>
        </w:rPr>
      </w:pPr>
      <w:r>
        <w:rPr>
          <w:rFonts w:ascii="Arial" w:hAnsi="Arial"/>
          <w:b/>
          <w:sz w:val="24"/>
          <w:szCs w:val="24"/>
        </w:rPr>
        <w:tab/>
      </w:r>
    </w:p>
    <w:p w14:paraId="7D2E5B06" w14:textId="75DA743B" w:rsidR="00D202C2" w:rsidRPr="00671349" w:rsidRDefault="002B64E9" w:rsidP="00B93B6F">
      <w:pPr>
        <w:pStyle w:val="NoSpacing"/>
        <w:tabs>
          <w:tab w:val="left" w:pos="720"/>
          <w:tab w:val="left" w:pos="1440"/>
          <w:tab w:val="left" w:pos="2160"/>
          <w:tab w:val="right" w:pos="8505"/>
        </w:tabs>
        <w:rPr>
          <w:rFonts w:ascii="Arial" w:hAnsi="Arial"/>
          <w:b/>
          <w:bCs/>
          <w:sz w:val="24"/>
          <w:szCs w:val="24"/>
        </w:rPr>
      </w:pPr>
      <w:r w:rsidRPr="002B64E9">
        <w:rPr>
          <w:rFonts w:ascii="Arial" w:hAnsi="Arial"/>
          <w:b/>
          <w:sz w:val="24"/>
          <w:szCs w:val="24"/>
          <w:u w:val="single"/>
        </w:rPr>
        <w:t>ALEXANDER</w:t>
      </w:r>
      <w:r>
        <w:rPr>
          <w:rFonts w:ascii="Arial" w:hAnsi="Arial"/>
          <w:b/>
          <w:sz w:val="24"/>
          <w:szCs w:val="24"/>
        </w:rPr>
        <w:t xml:space="preserve">, </w:t>
      </w:r>
      <w:r w:rsidR="00B93B6F">
        <w:rPr>
          <w:rFonts w:ascii="Arial" w:hAnsi="Arial"/>
          <w:b/>
          <w:sz w:val="24"/>
          <w:szCs w:val="24"/>
        </w:rPr>
        <w:t>GALE BELINDA</w:t>
      </w:r>
      <w:r w:rsidR="00B93B6F">
        <w:rPr>
          <w:rFonts w:ascii="Arial" w:hAnsi="Arial"/>
          <w:b/>
          <w:sz w:val="24"/>
          <w:szCs w:val="24"/>
        </w:rPr>
        <w:tab/>
      </w:r>
      <w:r w:rsidR="00B93B6F" w:rsidRPr="00A76964">
        <w:rPr>
          <w:rFonts w:ascii="Arial" w:hAnsi="Arial"/>
          <w:bCs/>
          <w:sz w:val="24"/>
          <w:szCs w:val="24"/>
        </w:rPr>
        <w:t>Applicant</w:t>
      </w:r>
    </w:p>
    <w:p w14:paraId="7666F6E1" w14:textId="77777777" w:rsidR="00D202C2" w:rsidRPr="00671349" w:rsidRDefault="00D202C2" w:rsidP="00B7178D">
      <w:pPr>
        <w:tabs>
          <w:tab w:val="left" w:pos="0"/>
          <w:tab w:val="right" w:pos="8931"/>
          <w:tab w:val="right" w:pos="9356"/>
        </w:tabs>
        <w:autoSpaceDE w:val="0"/>
        <w:autoSpaceDN w:val="0"/>
        <w:adjustRightInd w:val="0"/>
        <w:spacing w:before="240" w:after="120" w:line="360" w:lineRule="auto"/>
        <w:rPr>
          <w:rFonts w:ascii="Arial" w:hAnsi="Arial" w:cs="Arial"/>
          <w:bCs/>
          <w:sz w:val="24"/>
          <w:szCs w:val="24"/>
        </w:rPr>
      </w:pPr>
      <w:r w:rsidRPr="00671349">
        <w:rPr>
          <w:rFonts w:ascii="Arial" w:hAnsi="Arial" w:cs="Arial"/>
          <w:bCs/>
          <w:sz w:val="24"/>
          <w:szCs w:val="24"/>
        </w:rPr>
        <w:t>and</w:t>
      </w:r>
    </w:p>
    <w:p w14:paraId="6719FFC2" w14:textId="79ADADF4" w:rsidR="00D202C2" w:rsidRDefault="00B93B6F" w:rsidP="00B7178D">
      <w:pPr>
        <w:tabs>
          <w:tab w:val="left" w:pos="0"/>
          <w:tab w:val="right" w:pos="9356"/>
        </w:tabs>
        <w:autoSpaceDE w:val="0"/>
        <w:autoSpaceDN w:val="0"/>
        <w:adjustRightInd w:val="0"/>
        <w:spacing w:before="240" w:after="120" w:line="360" w:lineRule="auto"/>
        <w:rPr>
          <w:rFonts w:ascii="Arial" w:hAnsi="Arial" w:cs="Arial"/>
          <w:sz w:val="24"/>
          <w:szCs w:val="24"/>
        </w:rPr>
      </w:pPr>
      <w:r>
        <w:rPr>
          <w:rFonts w:ascii="Arial" w:hAnsi="Arial"/>
          <w:b/>
          <w:sz w:val="24"/>
          <w:szCs w:val="24"/>
        </w:rPr>
        <w:t>THE ROAD ACCIDENT FUND</w:t>
      </w:r>
      <w:r w:rsidR="00D202C2" w:rsidRPr="00671349">
        <w:rPr>
          <w:rFonts w:ascii="Arial" w:hAnsi="Arial" w:cs="Arial"/>
          <w:b/>
          <w:bCs/>
          <w:sz w:val="24"/>
          <w:szCs w:val="24"/>
        </w:rPr>
        <w:tab/>
      </w:r>
      <w:r w:rsidR="004071E9" w:rsidRPr="00A76964">
        <w:rPr>
          <w:rFonts w:ascii="Arial" w:hAnsi="Arial" w:cs="Arial"/>
          <w:sz w:val="24"/>
          <w:szCs w:val="24"/>
        </w:rPr>
        <w:t>Respondent</w:t>
      </w:r>
    </w:p>
    <w:p w14:paraId="6D12427B" w14:textId="708D5CAC" w:rsidR="00B93B6F" w:rsidRDefault="00B93B6F" w:rsidP="00B7178D">
      <w:pPr>
        <w:tabs>
          <w:tab w:val="left" w:pos="0"/>
          <w:tab w:val="right" w:pos="9356"/>
        </w:tabs>
        <w:autoSpaceDE w:val="0"/>
        <w:autoSpaceDN w:val="0"/>
        <w:adjustRightInd w:val="0"/>
        <w:spacing w:before="240" w:after="120" w:line="360" w:lineRule="auto"/>
        <w:rPr>
          <w:rFonts w:ascii="Arial" w:hAnsi="Arial" w:cs="Arial"/>
          <w:sz w:val="24"/>
          <w:szCs w:val="24"/>
        </w:rPr>
      </w:pPr>
    </w:p>
    <w:p w14:paraId="14D31201" w14:textId="5D1ED045" w:rsidR="00B93B6F" w:rsidRDefault="00B93B6F" w:rsidP="00B93B6F">
      <w:pPr>
        <w:autoSpaceDE w:val="0"/>
        <w:autoSpaceDN w:val="0"/>
        <w:adjustRightInd w:val="0"/>
        <w:spacing w:before="240" w:line="360" w:lineRule="auto"/>
        <w:ind w:left="720"/>
        <w:jc w:val="right"/>
        <w:rPr>
          <w:rFonts w:ascii="Arial" w:hAnsi="Arial" w:cs="Arial"/>
          <w:sz w:val="24"/>
          <w:szCs w:val="24"/>
        </w:rPr>
      </w:pPr>
      <w:r w:rsidRPr="00671349">
        <w:rPr>
          <w:rFonts w:ascii="Arial" w:hAnsi="Arial" w:cs="Arial"/>
          <w:sz w:val="24"/>
          <w:szCs w:val="24"/>
        </w:rPr>
        <w:t xml:space="preserve">Case no: </w:t>
      </w:r>
      <w:r w:rsidRPr="00AD335A">
        <w:rPr>
          <w:rFonts w:ascii="Arial" w:hAnsi="Arial"/>
          <w:bCs/>
          <w:sz w:val="24"/>
          <w:szCs w:val="24"/>
        </w:rPr>
        <w:t>2021/26274</w:t>
      </w:r>
    </w:p>
    <w:p w14:paraId="00666EEF" w14:textId="77777777" w:rsidR="00B93B6F" w:rsidRPr="00671349" w:rsidRDefault="00B93B6F" w:rsidP="00B93B6F">
      <w:pPr>
        <w:autoSpaceDE w:val="0"/>
        <w:autoSpaceDN w:val="0"/>
        <w:adjustRightInd w:val="0"/>
        <w:spacing w:before="240" w:after="120" w:line="360" w:lineRule="auto"/>
        <w:rPr>
          <w:rFonts w:ascii="Arial" w:hAnsi="Arial" w:cs="Arial"/>
          <w:sz w:val="24"/>
          <w:szCs w:val="24"/>
        </w:rPr>
      </w:pPr>
      <w:r w:rsidRPr="00671349">
        <w:rPr>
          <w:rFonts w:ascii="Arial" w:hAnsi="Arial" w:cs="Arial"/>
          <w:sz w:val="24"/>
          <w:szCs w:val="24"/>
        </w:rPr>
        <w:t>In the matter between:</w:t>
      </w:r>
    </w:p>
    <w:p w14:paraId="2F0CE381" w14:textId="77777777" w:rsidR="00B93B6F" w:rsidRDefault="00B93B6F" w:rsidP="00B93B6F">
      <w:pPr>
        <w:pStyle w:val="NoSpacing"/>
        <w:tabs>
          <w:tab w:val="left" w:pos="720"/>
          <w:tab w:val="left" w:pos="1440"/>
          <w:tab w:val="left" w:pos="2160"/>
          <w:tab w:val="right" w:pos="9356"/>
        </w:tabs>
        <w:rPr>
          <w:rFonts w:ascii="Arial" w:hAnsi="Arial"/>
          <w:b/>
          <w:sz w:val="24"/>
          <w:szCs w:val="24"/>
        </w:rPr>
      </w:pPr>
      <w:r>
        <w:rPr>
          <w:rFonts w:ascii="Arial" w:hAnsi="Arial"/>
          <w:b/>
          <w:sz w:val="24"/>
          <w:szCs w:val="24"/>
        </w:rPr>
        <w:tab/>
      </w:r>
    </w:p>
    <w:p w14:paraId="1C809346" w14:textId="47939FC7" w:rsidR="00B93B6F" w:rsidRPr="00671349" w:rsidRDefault="00B93B6F" w:rsidP="00B93B6F">
      <w:pPr>
        <w:pStyle w:val="NoSpacing"/>
        <w:tabs>
          <w:tab w:val="left" w:pos="720"/>
          <w:tab w:val="left" w:pos="1440"/>
          <w:tab w:val="left" w:pos="2160"/>
          <w:tab w:val="right" w:pos="8505"/>
        </w:tabs>
        <w:rPr>
          <w:rFonts w:ascii="Arial" w:hAnsi="Arial"/>
          <w:b/>
          <w:bCs/>
          <w:sz w:val="24"/>
          <w:szCs w:val="24"/>
        </w:rPr>
      </w:pPr>
      <w:r w:rsidRPr="002B64E9">
        <w:rPr>
          <w:rFonts w:ascii="Arial" w:hAnsi="Arial"/>
          <w:b/>
          <w:sz w:val="24"/>
          <w:szCs w:val="24"/>
          <w:u w:val="single"/>
        </w:rPr>
        <w:t>MORRIS</w:t>
      </w:r>
      <w:r>
        <w:rPr>
          <w:rFonts w:ascii="Arial" w:hAnsi="Arial"/>
          <w:b/>
          <w:sz w:val="24"/>
          <w:szCs w:val="24"/>
        </w:rPr>
        <w:t>, CHARMAINE PATRICHIA</w:t>
      </w:r>
      <w:r>
        <w:rPr>
          <w:rFonts w:ascii="Arial" w:hAnsi="Arial"/>
          <w:b/>
          <w:sz w:val="24"/>
          <w:szCs w:val="24"/>
        </w:rPr>
        <w:tab/>
      </w:r>
      <w:r w:rsidRPr="00A76964">
        <w:rPr>
          <w:rFonts w:ascii="Arial" w:hAnsi="Arial"/>
          <w:bCs/>
          <w:sz w:val="24"/>
          <w:szCs w:val="24"/>
        </w:rPr>
        <w:t>Applicant</w:t>
      </w:r>
    </w:p>
    <w:p w14:paraId="0B9E9BE1" w14:textId="77777777" w:rsidR="00B93B6F" w:rsidRPr="00671349" w:rsidRDefault="00B93B6F" w:rsidP="00B93B6F">
      <w:pPr>
        <w:tabs>
          <w:tab w:val="left" w:pos="0"/>
          <w:tab w:val="right" w:pos="8931"/>
          <w:tab w:val="right" w:pos="9356"/>
        </w:tabs>
        <w:autoSpaceDE w:val="0"/>
        <w:autoSpaceDN w:val="0"/>
        <w:adjustRightInd w:val="0"/>
        <w:spacing w:before="240" w:after="120" w:line="360" w:lineRule="auto"/>
        <w:rPr>
          <w:rFonts w:ascii="Arial" w:hAnsi="Arial" w:cs="Arial"/>
          <w:bCs/>
          <w:sz w:val="24"/>
          <w:szCs w:val="24"/>
        </w:rPr>
      </w:pPr>
      <w:r w:rsidRPr="00671349">
        <w:rPr>
          <w:rFonts w:ascii="Arial" w:hAnsi="Arial" w:cs="Arial"/>
          <w:bCs/>
          <w:sz w:val="24"/>
          <w:szCs w:val="24"/>
        </w:rPr>
        <w:t>and</w:t>
      </w:r>
    </w:p>
    <w:p w14:paraId="06344EC0" w14:textId="43334C9C" w:rsidR="00B93B6F" w:rsidRDefault="00B93B6F" w:rsidP="00B93B6F">
      <w:pPr>
        <w:tabs>
          <w:tab w:val="left" w:pos="720"/>
          <w:tab w:val="left" w:pos="1440"/>
          <w:tab w:val="left" w:pos="2160"/>
          <w:tab w:val="left" w:pos="2880"/>
          <w:tab w:val="left" w:pos="3600"/>
          <w:tab w:val="right" w:pos="8505"/>
        </w:tabs>
        <w:autoSpaceDE w:val="0"/>
        <w:autoSpaceDN w:val="0"/>
        <w:adjustRightInd w:val="0"/>
        <w:spacing w:before="240" w:line="360" w:lineRule="auto"/>
        <w:rPr>
          <w:rFonts w:ascii="Arial" w:hAnsi="Arial" w:cs="Arial"/>
          <w:sz w:val="24"/>
          <w:szCs w:val="24"/>
        </w:rPr>
      </w:pPr>
      <w:r>
        <w:rPr>
          <w:rFonts w:ascii="Arial" w:hAnsi="Arial"/>
          <w:b/>
          <w:sz w:val="24"/>
          <w:szCs w:val="24"/>
        </w:rPr>
        <w:t>THE ROAD ACCIDENT FUND</w:t>
      </w:r>
      <w:r w:rsidRPr="00671349">
        <w:rPr>
          <w:rFonts w:ascii="Arial" w:hAnsi="Arial" w:cs="Arial"/>
          <w:b/>
          <w:bCs/>
          <w:sz w:val="24"/>
          <w:szCs w:val="24"/>
        </w:rPr>
        <w:tab/>
      </w:r>
      <w:r w:rsidRPr="00B93B6F">
        <w:rPr>
          <w:rFonts w:ascii="Arial" w:hAnsi="Arial" w:cs="Arial"/>
          <w:sz w:val="24"/>
          <w:szCs w:val="24"/>
        </w:rPr>
        <w:t xml:space="preserve"> </w:t>
      </w:r>
      <w:r>
        <w:rPr>
          <w:rFonts w:ascii="Arial" w:hAnsi="Arial" w:cs="Arial"/>
          <w:sz w:val="24"/>
          <w:szCs w:val="24"/>
        </w:rPr>
        <w:tab/>
      </w:r>
      <w:r w:rsidRPr="00A76964">
        <w:rPr>
          <w:rFonts w:ascii="Arial" w:hAnsi="Arial" w:cs="Arial"/>
          <w:sz w:val="24"/>
          <w:szCs w:val="24"/>
        </w:rPr>
        <w:t>Respondent</w:t>
      </w:r>
    </w:p>
    <w:p w14:paraId="4E0349EB" w14:textId="77777777" w:rsidR="00B93B6F" w:rsidRDefault="00B93B6F" w:rsidP="00B93B6F">
      <w:pPr>
        <w:autoSpaceDE w:val="0"/>
        <w:autoSpaceDN w:val="0"/>
        <w:adjustRightInd w:val="0"/>
        <w:spacing w:before="240" w:line="360" w:lineRule="auto"/>
        <w:ind w:left="720"/>
        <w:jc w:val="right"/>
        <w:rPr>
          <w:rFonts w:ascii="Arial" w:hAnsi="Arial" w:cs="Arial"/>
          <w:sz w:val="24"/>
          <w:szCs w:val="24"/>
        </w:rPr>
      </w:pPr>
    </w:p>
    <w:p w14:paraId="2A7F32A4" w14:textId="77777777" w:rsidR="00AD335A" w:rsidRDefault="00AD335A" w:rsidP="00B93B6F">
      <w:pPr>
        <w:autoSpaceDE w:val="0"/>
        <w:autoSpaceDN w:val="0"/>
        <w:adjustRightInd w:val="0"/>
        <w:spacing w:before="240" w:line="360" w:lineRule="auto"/>
        <w:ind w:left="720"/>
        <w:jc w:val="right"/>
        <w:rPr>
          <w:rFonts w:ascii="Arial" w:hAnsi="Arial" w:cs="Arial"/>
          <w:sz w:val="24"/>
          <w:szCs w:val="24"/>
        </w:rPr>
      </w:pPr>
    </w:p>
    <w:p w14:paraId="3E2C063C" w14:textId="57D7C093" w:rsidR="00B93B6F" w:rsidRDefault="00B93B6F" w:rsidP="00B93B6F">
      <w:pPr>
        <w:autoSpaceDE w:val="0"/>
        <w:autoSpaceDN w:val="0"/>
        <w:adjustRightInd w:val="0"/>
        <w:spacing w:before="240" w:line="360" w:lineRule="auto"/>
        <w:ind w:left="720"/>
        <w:jc w:val="right"/>
        <w:rPr>
          <w:rFonts w:ascii="Arial" w:hAnsi="Arial" w:cs="Arial"/>
          <w:sz w:val="24"/>
          <w:szCs w:val="24"/>
        </w:rPr>
      </w:pPr>
      <w:r w:rsidRPr="00671349">
        <w:rPr>
          <w:rFonts w:ascii="Arial" w:hAnsi="Arial" w:cs="Arial"/>
          <w:sz w:val="24"/>
          <w:szCs w:val="24"/>
        </w:rPr>
        <w:lastRenderedPageBreak/>
        <w:t xml:space="preserve">Case no: </w:t>
      </w:r>
      <w:r w:rsidR="00AD335A" w:rsidRPr="00AD335A">
        <w:rPr>
          <w:rFonts w:ascii="Arial" w:hAnsi="Arial" w:cs="Arial"/>
          <w:sz w:val="24"/>
          <w:szCs w:val="24"/>
        </w:rPr>
        <w:t>2020/</w:t>
      </w:r>
      <w:r w:rsidR="00AD335A" w:rsidRPr="00AD335A">
        <w:rPr>
          <w:rFonts w:ascii="Arial" w:hAnsi="Arial"/>
          <w:sz w:val="24"/>
          <w:szCs w:val="24"/>
        </w:rPr>
        <w:t>15348</w:t>
      </w:r>
    </w:p>
    <w:p w14:paraId="39F80DE1" w14:textId="77777777" w:rsidR="00B93B6F" w:rsidRPr="00671349" w:rsidRDefault="00B93B6F" w:rsidP="00B93B6F">
      <w:pPr>
        <w:autoSpaceDE w:val="0"/>
        <w:autoSpaceDN w:val="0"/>
        <w:adjustRightInd w:val="0"/>
        <w:spacing w:before="240" w:after="120" w:line="360" w:lineRule="auto"/>
        <w:rPr>
          <w:rFonts w:ascii="Arial" w:hAnsi="Arial" w:cs="Arial"/>
          <w:sz w:val="24"/>
          <w:szCs w:val="24"/>
        </w:rPr>
      </w:pPr>
      <w:r w:rsidRPr="00671349">
        <w:rPr>
          <w:rFonts w:ascii="Arial" w:hAnsi="Arial" w:cs="Arial"/>
          <w:sz w:val="24"/>
          <w:szCs w:val="24"/>
        </w:rPr>
        <w:t>In the matter between:</w:t>
      </w:r>
    </w:p>
    <w:p w14:paraId="70902629" w14:textId="16734B13" w:rsidR="00B93B6F" w:rsidRPr="00671349" w:rsidRDefault="00AD335A" w:rsidP="00B93B6F">
      <w:pPr>
        <w:pStyle w:val="NoSpacing"/>
        <w:tabs>
          <w:tab w:val="left" w:pos="720"/>
          <w:tab w:val="left" w:pos="1440"/>
          <w:tab w:val="left" w:pos="2160"/>
          <w:tab w:val="right" w:pos="9356"/>
        </w:tabs>
        <w:rPr>
          <w:rFonts w:ascii="Arial" w:hAnsi="Arial"/>
          <w:b/>
          <w:bCs/>
          <w:sz w:val="24"/>
          <w:szCs w:val="24"/>
        </w:rPr>
      </w:pPr>
      <w:r w:rsidRPr="002B64E9">
        <w:rPr>
          <w:rFonts w:ascii="Arial" w:hAnsi="Arial"/>
          <w:b/>
          <w:sz w:val="24"/>
          <w:szCs w:val="24"/>
          <w:u w:val="single"/>
        </w:rPr>
        <w:t>HARRIPERSHAD</w:t>
      </w:r>
      <w:r>
        <w:rPr>
          <w:rFonts w:ascii="Arial" w:hAnsi="Arial"/>
          <w:b/>
          <w:sz w:val="24"/>
          <w:szCs w:val="24"/>
        </w:rPr>
        <w:t xml:space="preserve">, </w:t>
      </w:r>
      <w:r w:rsidR="002B64E9">
        <w:rPr>
          <w:rFonts w:ascii="Arial" w:hAnsi="Arial"/>
          <w:b/>
          <w:sz w:val="24"/>
          <w:szCs w:val="24"/>
        </w:rPr>
        <w:t xml:space="preserve">NISHMA </w:t>
      </w:r>
      <w:r>
        <w:rPr>
          <w:rFonts w:ascii="Arial" w:hAnsi="Arial"/>
          <w:b/>
          <w:sz w:val="24"/>
          <w:szCs w:val="24"/>
        </w:rPr>
        <w:t>PREMDAW</w:t>
      </w:r>
      <w:r w:rsidR="00B93B6F">
        <w:rPr>
          <w:rFonts w:ascii="Arial" w:hAnsi="Arial"/>
          <w:b/>
          <w:sz w:val="24"/>
          <w:szCs w:val="24"/>
        </w:rPr>
        <w:tab/>
      </w:r>
      <w:r w:rsidR="00B93B6F" w:rsidRPr="00A76964">
        <w:rPr>
          <w:rFonts w:ascii="Arial" w:hAnsi="Arial"/>
          <w:bCs/>
          <w:sz w:val="24"/>
          <w:szCs w:val="24"/>
        </w:rPr>
        <w:t>Applicant</w:t>
      </w:r>
    </w:p>
    <w:p w14:paraId="6514E83B" w14:textId="77777777" w:rsidR="00B93B6F" w:rsidRPr="00671349" w:rsidRDefault="00B93B6F" w:rsidP="00B93B6F">
      <w:pPr>
        <w:tabs>
          <w:tab w:val="left" w:pos="0"/>
          <w:tab w:val="right" w:pos="8931"/>
          <w:tab w:val="right" w:pos="9356"/>
        </w:tabs>
        <w:autoSpaceDE w:val="0"/>
        <w:autoSpaceDN w:val="0"/>
        <w:adjustRightInd w:val="0"/>
        <w:spacing w:before="240" w:after="120" w:line="360" w:lineRule="auto"/>
        <w:rPr>
          <w:rFonts w:ascii="Arial" w:hAnsi="Arial" w:cs="Arial"/>
          <w:bCs/>
          <w:sz w:val="24"/>
          <w:szCs w:val="24"/>
        </w:rPr>
      </w:pPr>
      <w:r w:rsidRPr="00671349">
        <w:rPr>
          <w:rFonts w:ascii="Arial" w:hAnsi="Arial" w:cs="Arial"/>
          <w:bCs/>
          <w:sz w:val="24"/>
          <w:szCs w:val="24"/>
        </w:rPr>
        <w:t>and</w:t>
      </w:r>
    </w:p>
    <w:p w14:paraId="4114B81A" w14:textId="4367376D" w:rsidR="00B93B6F" w:rsidRDefault="00AD335A" w:rsidP="00B93B6F">
      <w:pPr>
        <w:tabs>
          <w:tab w:val="left" w:pos="720"/>
          <w:tab w:val="left" w:pos="1440"/>
          <w:tab w:val="left" w:pos="2160"/>
          <w:tab w:val="left" w:pos="2880"/>
          <w:tab w:val="left" w:pos="3600"/>
          <w:tab w:val="right" w:pos="8505"/>
        </w:tabs>
        <w:autoSpaceDE w:val="0"/>
        <w:autoSpaceDN w:val="0"/>
        <w:adjustRightInd w:val="0"/>
        <w:spacing w:before="240" w:line="360" w:lineRule="auto"/>
        <w:rPr>
          <w:rFonts w:ascii="Arial" w:hAnsi="Arial" w:cs="Arial"/>
          <w:sz w:val="24"/>
          <w:szCs w:val="24"/>
        </w:rPr>
      </w:pPr>
      <w:r>
        <w:rPr>
          <w:rFonts w:ascii="Arial" w:hAnsi="Arial"/>
          <w:b/>
          <w:sz w:val="24"/>
          <w:szCs w:val="24"/>
        </w:rPr>
        <w:t>THE ROAD ACCIDENT FUND</w:t>
      </w:r>
      <w:r w:rsidR="00B93B6F" w:rsidRPr="00671349">
        <w:rPr>
          <w:rFonts w:ascii="Arial" w:hAnsi="Arial" w:cs="Arial"/>
          <w:b/>
          <w:bCs/>
          <w:sz w:val="24"/>
          <w:szCs w:val="24"/>
        </w:rPr>
        <w:tab/>
      </w:r>
      <w:r w:rsidR="00B93B6F" w:rsidRPr="00B93B6F">
        <w:rPr>
          <w:rFonts w:ascii="Arial" w:hAnsi="Arial" w:cs="Arial"/>
          <w:sz w:val="24"/>
          <w:szCs w:val="24"/>
        </w:rPr>
        <w:t xml:space="preserve"> </w:t>
      </w:r>
      <w:r w:rsidR="00B93B6F">
        <w:rPr>
          <w:rFonts w:ascii="Arial" w:hAnsi="Arial" w:cs="Arial"/>
          <w:sz w:val="24"/>
          <w:szCs w:val="24"/>
        </w:rPr>
        <w:tab/>
      </w:r>
      <w:r w:rsidR="00B93B6F" w:rsidRPr="00A76964">
        <w:rPr>
          <w:rFonts w:ascii="Arial" w:hAnsi="Arial" w:cs="Arial"/>
          <w:sz w:val="24"/>
          <w:szCs w:val="24"/>
        </w:rPr>
        <w:t>Respondent</w:t>
      </w:r>
    </w:p>
    <w:p w14:paraId="195EA04C" w14:textId="77777777" w:rsidR="00B93B6F" w:rsidRDefault="00B93B6F" w:rsidP="00B93B6F">
      <w:pPr>
        <w:autoSpaceDE w:val="0"/>
        <w:autoSpaceDN w:val="0"/>
        <w:adjustRightInd w:val="0"/>
        <w:spacing w:before="240" w:line="360" w:lineRule="auto"/>
        <w:ind w:left="720"/>
        <w:jc w:val="right"/>
        <w:rPr>
          <w:rFonts w:ascii="Arial" w:hAnsi="Arial" w:cs="Arial"/>
          <w:sz w:val="24"/>
          <w:szCs w:val="24"/>
        </w:rPr>
      </w:pPr>
    </w:p>
    <w:p w14:paraId="356FE99F" w14:textId="2F260687" w:rsidR="00B93B6F" w:rsidRDefault="00B93B6F" w:rsidP="00B93B6F">
      <w:pPr>
        <w:autoSpaceDE w:val="0"/>
        <w:autoSpaceDN w:val="0"/>
        <w:adjustRightInd w:val="0"/>
        <w:spacing w:before="240" w:line="360" w:lineRule="auto"/>
        <w:ind w:left="720"/>
        <w:jc w:val="right"/>
        <w:rPr>
          <w:rFonts w:ascii="Arial" w:hAnsi="Arial" w:cs="Arial"/>
          <w:sz w:val="24"/>
          <w:szCs w:val="24"/>
        </w:rPr>
      </w:pPr>
      <w:r w:rsidRPr="00671349">
        <w:rPr>
          <w:rFonts w:ascii="Arial" w:hAnsi="Arial" w:cs="Arial"/>
          <w:sz w:val="24"/>
          <w:szCs w:val="24"/>
        </w:rPr>
        <w:t xml:space="preserve">Case no: </w:t>
      </w:r>
      <w:r w:rsidRPr="00AD335A">
        <w:rPr>
          <w:rFonts w:ascii="Arial" w:hAnsi="Arial"/>
          <w:sz w:val="24"/>
          <w:szCs w:val="24"/>
        </w:rPr>
        <w:t>202</w:t>
      </w:r>
      <w:r w:rsidR="00AD335A">
        <w:rPr>
          <w:rFonts w:ascii="Arial" w:hAnsi="Arial"/>
          <w:sz w:val="24"/>
          <w:szCs w:val="24"/>
        </w:rPr>
        <w:t>2/5105</w:t>
      </w:r>
    </w:p>
    <w:p w14:paraId="216238C1" w14:textId="77777777" w:rsidR="00B93B6F" w:rsidRPr="00671349" w:rsidRDefault="00B93B6F" w:rsidP="00B93B6F">
      <w:pPr>
        <w:autoSpaceDE w:val="0"/>
        <w:autoSpaceDN w:val="0"/>
        <w:adjustRightInd w:val="0"/>
        <w:spacing w:before="240" w:after="120" w:line="360" w:lineRule="auto"/>
        <w:rPr>
          <w:rFonts w:ascii="Arial" w:hAnsi="Arial" w:cs="Arial"/>
          <w:sz w:val="24"/>
          <w:szCs w:val="24"/>
        </w:rPr>
      </w:pPr>
      <w:r w:rsidRPr="00671349">
        <w:rPr>
          <w:rFonts w:ascii="Arial" w:hAnsi="Arial" w:cs="Arial"/>
          <w:sz w:val="24"/>
          <w:szCs w:val="24"/>
        </w:rPr>
        <w:t>In the matter between:</w:t>
      </w:r>
    </w:p>
    <w:p w14:paraId="28B712A8" w14:textId="1D5FF9EB" w:rsidR="00B93B6F" w:rsidRPr="00671349" w:rsidRDefault="00AD335A" w:rsidP="00B93B6F">
      <w:pPr>
        <w:pStyle w:val="NoSpacing"/>
        <w:tabs>
          <w:tab w:val="left" w:pos="720"/>
          <w:tab w:val="left" w:pos="1440"/>
          <w:tab w:val="left" w:pos="2160"/>
          <w:tab w:val="right" w:pos="9356"/>
        </w:tabs>
        <w:rPr>
          <w:rFonts w:ascii="Arial" w:hAnsi="Arial"/>
          <w:b/>
          <w:bCs/>
          <w:sz w:val="24"/>
          <w:szCs w:val="24"/>
        </w:rPr>
      </w:pPr>
      <w:r w:rsidRPr="00743341">
        <w:rPr>
          <w:rFonts w:ascii="Arial" w:hAnsi="Arial"/>
          <w:b/>
          <w:sz w:val="24"/>
          <w:szCs w:val="24"/>
          <w:u w:val="single"/>
        </w:rPr>
        <w:t>MABOYA</w:t>
      </w:r>
      <w:r>
        <w:rPr>
          <w:rFonts w:ascii="Arial" w:hAnsi="Arial"/>
          <w:b/>
          <w:sz w:val="24"/>
          <w:szCs w:val="24"/>
        </w:rPr>
        <w:t>, SEETA ELIZABETH</w:t>
      </w:r>
      <w:r w:rsidR="00B93B6F">
        <w:rPr>
          <w:rFonts w:ascii="Arial" w:hAnsi="Arial"/>
          <w:b/>
          <w:sz w:val="24"/>
          <w:szCs w:val="24"/>
        </w:rPr>
        <w:tab/>
      </w:r>
      <w:r w:rsidR="00B93B6F" w:rsidRPr="00A76964">
        <w:rPr>
          <w:rFonts w:ascii="Arial" w:hAnsi="Arial"/>
          <w:bCs/>
          <w:sz w:val="24"/>
          <w:szCs w:val="24"/>
        </w:rPr>
        <w:t>Applicant</w:t>
      </w:r>
    </w:p>
    <w:p w14:paraId="12537620" w14:textId="77777777" w:rsidR="00B93B6F" w:rsidRPr="00671349" w:rsidRDefault="00B93B6F" w:rsidP="00B93B6F">
      <w:pPr>
        <w:tabs>
          <w:tab w:val="left" w:pos="0"/>
          <w:tab w:val="right" w:pos="8931"/>
          <w:tab w:val="right" w:pos="9356"/>
        </w:tabs>
        <w:autoSpaceDE w:val="0"/>
        <w:autoSpaceDN w:val="0"/>
        <w:adjustRightInd w:val="0"/>
        <w:spacing w:before="240" w:after="120" w:line="360" w:lineRule="auto"/>
        <w:rPr>
          <w:rFonts w:ascii="Arial" w:hAnsi="Arial" w:cs="Arial"/>
          <w:bCs/>
          <w:sz w:val="24"/>
          <w:szCs w:val="24"/>
        </w:rPr>
      </w:pPr>
      <w:r w:rsidRPr="00671349">
        <w:rPr>
          <w:rFonts w:ascii="Arial" w:hAnsi="Arial" w:cs="Arial"/>
          <w:bCs/>
          <w:sz w:val="24"/>
          <w:szCs w:val="24"/>
        </w:rPr>
        <w:t>and</w:t>
      </w:r>
    </w:p>
    <w:p w14:paraId="2FE85403" w14:textId="77777777" w:rsidR="00AD335A" w:rsidRDefault="00AD335A" w:rsidP="00AD335A">
      <w:pPr>
        <w:tabs>
          <w:tab w:val="left" w:pos="720"/>
          <w:tab w:val="left" w:pos="1440"/>
          <w:tab w:val="left" w:pos="2160"/>
          <w:tab w:val="left" w:pos="2880"/>
          <w:tab w:val="left" w:pos="3600"/>
          <w:tab w:val="right" w:pos="8505"/>
        </w:tabs>
        <w:autoSpaceDE w:val="0"/>
        <w:autoSpaceDN w:val="0"/>
        <w:adjustRightInd w:val="0"/>
        <w:spacing w:before="240" w:line="360" w:lineRule="auto"/>
        <w:rPr>
          <w:rFonts w:ascii="Arial" w:hAnsi="Arial" w:cs="Arial"/>
          <w:sz w:val="24"/>
          <w:szCs w:val="24"/>
        </w:rPr>
      </w:pPr>
      <w:r>
        <w:rPr>
          <w:rFonts w:ascii="Arial" w:hAnsi="Arial"/>
          <w:b/>
          <w:sz w:val="24"/>
          <w:szCs w:val="24"/>
        </w:rPr>
        <w:t>THE ROAD ACCIDENT FUND</w:t>
      </w:r>
      <w:r w:rsidRPr="00671349">
        <w:rPr>
          <w:rFonts w:ascii="Arial" w:hAnsi="Arial" w:cs="Arial"/>
          <w:b/>
          <w:bCs/>
          <w:sz w:val="24"/>
          <w:szCs w:val="24"/>
        </w:rPr>
        <w:tab/>
      </w:r>
      <w:r w:rsidRPr="00B93B6F">
        <w:rPr>
          <w:rFonts w:ascii="Arial" w:hAnsi="Arial" w:cs="Arial"/>
          <w:sz w:val="24"/>
          <w:szCs w:val="24"/>
        </w:rPr>
        <w:t xml:space="preserve"> </w:t>
      </w:r>
      <w:r>
        <w:rPr>
          <w:rFonts w:ascii="Arial" w:hAnsi="Arial" w:cs="Arial"/>
          <w:sz w:val="24"/>
          <w:szCs w:val="24"/>
        </w:rPr>
        <w:tab/>
      </w:r>
      <w:r w:rsidRPr="00A76964">
        <w:rPr>
          <w:rFonts w:ascii="Arial" w:hAnsi="Arial" w:cs="Arial"/>
          <w:sz w:val="24"/>
          <w:szCs w:val="24"/>
        </w:rPr>
        <w:t>Respondent</w:t>
      </w:r>
    </w:p>
    <w:p w14:paraId="3A215E22" w14:textId="77777777" w:rsidR="00AD335A" w:rsidRDefault="00AD335A" w:rsidP="00B7178D">
      <w:pPr>
        <w:tabs>
          <w:tab w:val="right" w:pos="9356"/>
        </w:tabs>
        <w:autoSpaceDE w:val="0"/>
        <w:autoSpaceDN w:val="0"/>
        <w:adjustRightInd w:val="0"/>
        <w:spacing w:after="120" w:line="360" w:lineRule="auto"/>
        <w:rPr>
          <w:rFonts w:ascii="Arial" w:hAnsi="Arial" w:cs="Arial"/>
          <w:b/>
          <w:bCs/>
          <w:sz w:val="24"/>
          <w:szCs w:val="24"/>
        </w:rPr>
      </w:pPr>
    </w:p>
    <w:p w14:paraId="6B75B693" w14:textId="332C00A4" w:rsidR="00B928FE" w:rsidRPr="00671349" w:rsidRDefault="00B928FE" w:rsidP="00B7178D">
      <w:pPr>
        <w:tabs>
          <w:tab w:val="right" w:pos="9356"/>
        </w:tabs>
        <w:autoSpaceDE w:val="0"/>
        <w:autoSpaceDN w:val="0"/>
        <w:adjustRightInd w:val="0"/>
        <w:spacing w:after="120" w:line="360" w:lineRule="auto"/>
        <w:rPr>
          <w:rFonts w:ascii="Arial" w:hAnsi="Arial" w:cs="Arial"/>
          <w:b/>
          <w:bCs/>
          <w:sz w:val="24"/>
          <w:szCs w:val="24"/>
        </w:rPr>
      </w:pPr>
      <w:r w:rsidRPr="00671349">
        <w:rPr>
          <w:rFonts w:ascii="Arial" w:hAnsi="Arial" w:cs="Arial"/>
          <w:b/>
          <w:bCs/>
          <w:sz w:val="24"/>
          <w:szCs w:val="24"/>
        </w:rPr>
        <w:t>_________________________________________________________</w:t>
      </w:r>
      <w:r w:rsidR="00E8356A">
        <w:rPr>
          <w:rFonts w:ascii="Arial" w:hAnsi="Arial" w:cs="Arial"/>
          <w:b/>
          <w:bCs/>
          <w:sz w:val="24"/>
          <w:szCs w:val="24"/>
        </w:rPr>
        <w:t>___</w:t>
      </w:r>
      <w:r w:rsidRPr="00671349">
        <w:rPr>
          <w:rFonts w:ascii="Arial" w:hAnsi="Arial" w:cs="Arial"/>
          <w:b/>
          <w:bCs/>
          <w:sz w:val="24"/>
          <w:szCs w:val="24"/>
        </w:rPr>
        <w:t>___</w:t>
      </w:r>
    </w:p>
    <w:p w14:paraId="1DEA2455" w14:textId="6F84BF04" w:rsidR="00D202C2" w:rsidRPr="00671349" w:rsidRDefault="00D202C2" w:rsidP="00B7178D">
      <w:pPr>
        <w:tabs>
          <w:tab w:val="right" w:pos="9356"/>
        </w:tabs>
        <w:autoSpaceDE w:val="0"/>
        <w:autoSpaceDN w:val="0"/>
        <w:adjustRightInd w:val="0"/>
        <w:spacing w:before="240" w:after="120" w:line="360" w:lineRule="auto"/>
        <w:jc w:val="center"/>
        <w:rPr>
          <w:rFonts w:ascii="Arial" w:hAnsi="Arial" w:cs="Arial"/>
          <w:b/>
          <w:bCs/>
          <w:sz w:val="24"/>
          <w:szCs w:val="24"/>
        </w:rPr>
      </w:pPr>
      <w:r w:rsidRPr="00671349">
        <w:rPr>
          <w:rFonts w:ascii="Arial" w:hAnsi="Arial" w:cs="Arial"/>
          <w:b/>
          <w:bCs/>
          <w:sz w:val="24"/>
          <w:szCs w:val="24"/>
        </w:rPr>
        <w:t>JUDGMENT</w:t>
      </w:r>
    </w:p>
    <w:p w14:paraId="3A809F54" w14:textId="4CF72F96" w:rsidR="00B928FE" w:rsidRPr="00671349" w:rsidRDefault="00B928FE" w:rsidP="00B7178D">
      <w:pPr>
        <w:tabs>
          <w:tab w:val="right" w:pos="9356"/>
        </w:tabs>
        <w:autoSpaceDE w:val="0"/>
        <w:autoSpaceDN w:val="0"/>
        <w:adjustRightInd w:val="0"/>
        <w:spacing w:after="120" w:line="360" w:lineRule="auto"/>
        <w:rPr>
          <w:rFonts w:ascii="Arial" w:hAnsi="Arial" w:cs="Arial"/>
          <w:b/>
          <w:bCs/>
          <w:sz w:val="24"/>
          <w:szCs w:val="24"/>
        </w:rPr>
      </w:pPr>
      <w:r w:rsidRPr="00671349">
        <w:rPr>
          <w:rFonts w:ascii="Arial" w:hAnsi="Arial" w:cs="Arial"/>
          <w:b/>
          <w:bCs/>
          <w:sz w:val="24"/>
          <w:szCs w:val="24"/>
        </w:rPr>
        <w:t>____________________________________________________________</w:t>
      </w:r>
      <w:r w:rsidR="00E8356A">
        <w:rPr>
          <w:rFonts w:ascii="Arial" w:hAnsi="Arial" w:cs="Arial"/>
          <w:b/>
          <w:bCs/>
          <w:sz w:val="24"/>
          <w:szCs w:val="24"/>
        </w:rPr>
        <w:t>___</w:t>
      </w:r>
    </w:p>
    <w:p w14:paraId="7D4970BF" w14:textId="77777777" w:rsidR="00B469F8" w:rsidRDefault="005E4834" w:rsidP="00B928FE">
      <w:pPr>
        <w:tabs>
          <w:tab w:val="left" w:pos="0"/>
          <w:tab w:val="right" w:pos="9070"/>
        </w:tabs>
        <w:autoSpaceDE w:val="0"/>
        <w:autoSpaceDN w:val="0"/>
        <w:adjustRightInd w:val="0"/>
        <w:spacing w:before="240" w:after="120" w:line="360" w:lineRule="auto"/>
        <w:rPr>
          <w:rFonts w:ascii="Arial" w:hAnsi="Arial" w:cs="Arial"/>
          <w:b/>
          <w:sz w:val="24"/>
          <w:szCs w:val="24"/>
        </w:rPr>
      </w:pPr>
      <w:r w:rsidRPr="00FE508D">
        <w:rPr>
          <w:rFonts w:ascii="Arial" w:hAnsi="Arial" w:cs="Arial"/>
          <w:b/>
          <w:sz w:val="24"/>
          <w:szCs w:val="24"/>
        </w:rPr>
        <w:t xml:space="preserve">This judgment </w:t>
      </w:r>
      <w:r>
        <w:rPr>
          <w:rFonts w:ascii="Arial" w:hAnsi="Arial" w:cs="Arial"/>
          <w:b/>
          <w:sz w:val="24"/>
          <w:szCs w:val="24"/>
        </w:rPr>
        <w:t xml:space="preserve">is </w:t>
      </w:r>
      <w:r w:rsidRPr="00FE508D">
        <w:rPr>
          <w:rFonts w:ascii="Arial" w:hAnsi="Arial" w:cs="Arial"/>
          <w:b/>
          <w:sz w:val="24"/>
          <w:szCs w:val="24"/>
        </w:rPr>
        <w:t>handed down electronically by circulation to the parties’ legal representatives by e-mail and by uploading the signed copy to Caselines</w:t>
      </w:r>
      <w:r>
        <w:rPr>
          <w:rFonts w:ascii="Arial" w:hAnsi="Arial" w:cs="Arial"/>
          <w:b/>
          <w:sz w:val="24"/>
          <w:szCs w:val="24"/>
        </w:rPr>
        <w:t>.</w:t>
      </w:r>
    </w:p>
    <w:p w14:paraId="27CBCA63" w14:textId="3D784305" w:rsidR="002D47F7" w:rsidRPr="00F80C78" w:rsidRDefault="00F80C78" w:rsidP="00B928FE">
      <w:pPr>
        <w:tabs>
          <w:tab w:val="left" w:pos="0"/>
          <w:tab w:val="right" w:pos="9070"/>
        </w:tabs>
        <w:autoSpaceDE w:val="0"/>
        <w:autoSpaceDN w:val="0"/>
        <w:adjustRightInd w:val="0"/>
        <w:spacing w:before="240" w:after="120" w:line="360" w:lineRule="auto"/>
        <w:rPr>
          <w:rFonts w:ascii="Arial" w:hAnsi="Arial" w:cs="Arial"/>
          <w:bCs/>
          <w:sz w:val="24"/>
          <w:szCs w:val="24"/>
        </w:rPr>
        <w:sectPr w:rsidR="002D47F7" w:rsidRPr="00F80C78" w:rsidSect="004D2E17">
          <w:headerReference w:type="default" r:id="rId10"/>
          <w:pgSz w:w="11906" w:h="16838"/>
          <w:pgMar w:top="1440" w:right="1841" w:bottom="1440" w:left="1560" w:header="709" w:footer="709" w:gutter="0"/>
          <w:cols w:space="708"/>
          <w:titlePg/>
          <w:docGrid w:linePitch="360"/>
        </w:sectPr>
      </w:pPr>
      <w:r w:rsidRPr="00F80C78">
        <w:rPr>
          <w:rFonts w:ascii="Arial" w:hAnsi="Arial" w:cs="Arial"/>
          <w:bCs/>
          <w:sz w:val="24"/>
          <w:szCs w:val="24"/>
        </w:rPr>
        <w:t xml:space="preserve">Motor vehicle accident — Compensation — Claim against Road Accident Fund — </w:t>
      </w:r>
      <w:r>
        <w:rPr>
          <w:rFonts w:ascii="Arial" w:hAnsi="Arial" w:cs="Arial"/>
          <w:bCs/>
          <w:sz w:val="24"/>
          <w:szCs w:val="24"/>
        </w:rPr>
        <w:t xml:space="preserve">Application for </w:t>
      </w:r>
      <w:r w:rsidRPr="00F80C78">
        <w:rPr>
          <w:rFonts w:ascii="Arial" w:hAnsi="Arial" w:cs="Arial"/>
          <w:bCs/>
          <w:sz w:val="24"/>
          <w:szCs w:val="24"/>
        </w:rPr>
        <w:t xml:space="preserve">interim payment under </w:t>
      </w:r>
      <w:r w:rsidR="00205D77">
        <w:rPr>
          <w:rFonts w:ascii="Arial" w:hAnsi="Arial" w:cs="Arial"/>
          <w:bCs/>
          <w:sz w:val="24"/>
          <w:szCs w:val="24"/>
        </w:rPr>
        <w:t>r</w:t>
      </w:r>
      <w:r w:rsidRPr="00F80C78">
        <w:rPr>
          <w:rFonts w:ascii="Arial" w:hAnsi="Arial" w:cs="Arial"/>
          <w:bCs/>
          <w:sz w:val="24"/>
          <w:szCs w:val="24"/>
        </w:rPr>
        <w:t xml:space="preserve">ule 34A for </w:t>
      </w:r>
      <w:r>
        <w:rPr>
          <w:rFonts w:ascii="Arial" w:hAnsi="Arial" w:cs="Arial"/>
          <w:bCs/>
          <w:sz w:val="24"/>
          <w:szCs w:val="24"/>
        </w:rPr>
        <w:t xml:space="preserve">medical costs already incurred </w:t>
      </w:r>
      <w:r w:rsidRPr="00F80C78">
        <w:rPr>
          <w:rFonts w:ascii="Arial" w:hAnsi="Arial" w:cs="Arial"/>
          <w:bCs/>
          <w:sz w:val="24"/>
          <w:szCs w:val="24"/>
        </w:rPr>
        <w:t xml:space="preserve">— </w:t>
      </w:r>
      <w:r>
        <w:rPr>
          <w:rFonts w:ascii="Arial" w:hAnsi="Arial" w:cs="Arial"/>
          <w:bCs/>
          <w:sz w:val="24"/>
          <w:szCs w:val="24"/>
        </w:rPr>
        <w:t>Written admission of liability for damages</w:t>
      </w:r>
      <w:r w:rsidR="001261D9">
        <w:rPr>
          <w:rFonts w:ascii="Arial" w:hAnsi="Arial" w:cs="Arial"/>
          <w:bCs/>
          <w:sz w:val="24"/>
          <w:szCs w:val="24"/>
        </w:rPr>
        <w:t xml:space="preserve"> in rule 34A(4)(a)</w:t>
      </w:r>
      <w:r>
        <w:rPr>
          <w:rFonts w:ascii="Arial" w:hAnsi="Arial" w:cs="Arial"/>
          <w:bCs/>
          <w:sz w:val="24"/>
          <w:szCs w:val="24"/>
        </w:rPr>
        <w:t xml:space="preserve"> </w:t>
      </w:r>
      <w:r w:rsidRPr="00F80C78">
        <w:rPr>
          <w:rFonts w:ascii="Arial" w:hAnsi="Arial" w:cs="Arial"/>
          <w:bCs/>
          <w:sz w:val="24"/>
          <w:szCs w:val="24"/>
        </w:rPr>
        <w:t xml:space="preserve">— </w:t>
      </w:r>
      <w:r>
        <w:rPr>
          <w:rFonts w:ascii="Arial" w:hAnsi="Arial" w:cs="Arial"/>
          <w:bCs/>
          <w:sz w:val="24"/>
          <w:szCs w:val="24"/>
        </w:rPr>
        <w:t xml:space="preserve"> Written admission </w:t>
      </w:r>
      <w:r w:rsidR="00C21D3B">
        <w:rPr>
          <w:rFonts w:ascii="Arial" w:hAnsi="Arial" w:cs="Arial"/>
          <w:bCs/>
          <w:sz w:val="24"/>
          <w:szCs w:val="24"/>
        </w:rPr>
        <w:t xml:space="preserve">that accident caused by sole or </w:t>
      </w:r>
      <w:r w:rsidR="006F45D1">
        <w:rPr>
          <w:rFonts w:ascii="Arial" w:hAnsi="Arial" w:cs="Arial"/>
          <w:bCs/>
          <w:sz w:val="24"/>
          <w:szCs w:val="24"/>
        </w:rPr>
        <w:t xml:space="preserve">contributory </w:t>
      </w:r>
      <w:r>
        <w:rPr>
          <w:rFonts w:ascii="Arial" w:hAnsi="Arial" w:cs="Arial"/>
          <w:bCs/>
          <w:sz w:val="24"/>
          <w:szCs w:val="24"/>
        </w:rPr>
        <w:t xml:space="preserve">negligence of insured driver insufficient </w:t>
      </w:r>
      <w:r w:rsidR="00C21D3B">
        <w:rPr>
          <w:rFonts w:ascii="Arial" w:hAnsi="Arial" w:cs="Arial"/>
          <w:bCs/>
          <w:sz w:val="24"/>
          <w:szCs w:val="24"/>
        </w:rPr>
        <w:t>to satisfy court that Fund</w:t>
      </w:r>
      <w:r w:rsidR="00C21D3B" w:rsidRPr="00C21D3B">
        <w:rPr>
          <w:rFonts w:ascii="Arial" w:hAnsi="Arial" w:cs="Arial"/>
          <w:bCs/>
          <w:sz w:val="24"/>
          <w:szCs w:val="24"/>
        </w:rPr>
        <w:t xml:space="preserve"> has admitted liability</w:t>
      </w:r>
      <w:r w:rsidR="001261D9">
        <w:rPr>
          <w:rFonts w:ascii="Arial" w:hAnsi="Arial" w:cs="Arial"/>
          <w:bCs/>
          <w:sz w:val="24"/>
          <w:szCs w:val="24"/>
        </w:rPr>
        <w:t xml:space="preserve"> </w:t>
      </w:r>
      <w:r w:rsidRPr="00F80C78">
        <w:rPr>
          <w:rFonts w:ascii="Arial" w:hAnsi="Arial" w:cs="Arial"/>
          <w:bCs/>
          <w:sz w:val="24"/>
          <w:szCs w:val="24"/>
        </w:rPr>
        <w:t xml:space="preserve">— </w:t>
      </w:r>
      <w:r w:rsidR="00B7186E">
        <w:rPr>
          <w:rFonts w:ascii="Arial" w:hAnsi="Arial" w:cs="Arial"/>
          <w:bCs/>
          <w:sz w:val="24"/>
          <w:szCs w:val="24"/>
        </w:rPr>
        <w:t xml:space="preserve">Terminology: </w:t>
      </w:r>
      <w:r w:rsidR="001261D9">
        <w:rPr>
          <w:rFonts w:ascii="Arial" w:hAnsi="Arial" w:cs="Arial"/>
          <w:bCs/>
          <w:sz w:val="24"/>
          <w:szCs w:val="24"/>
        </w:rPr>
        <w:t xml:space="preserve">Potential confusion arising from statement that defendant has conceded </w:t>
      </w:r>
      <w:r w:rsidR="00B7186E">
        <w:rPr>
          <w:rFonts w:ascii="Arial" w:hAnsi="Arial" w:cs="Arial"/>
          <w:bCs/>
          <w:sz w:val="24"/>
          <w:szCs w:val="24"/>
        </w:rPr>
        <w:t xml:space="preserve">‘the merits’ </w:t>
      </w:r>
      <w:r w:rsidR="001261D9">
        <w:rPr>
          <w:rFonts w:ascii="Arial" w:hAnsi="Arial" w:cs="Arial"/>
          <w:bCs/>
          <w:sz w:val="24"/>
          <w:szCs w:val="24"/>
        </w:rPr>
        <w:t xml:space="preserve">(which may only dispose of issue of fault), as opposed to concession of ‘liability’ (which disposes of all issues other than the quantum of damages) </w:t>
      </w:r>
      <w:r w:rsidR="00B7186E" w:rsidRPr="00F80C78">
        <w:rPr>
          <w:rFonts w:ascii="Arial" w:hAnsi="Arial" w:cs="Arial"/>
          <w:bCs/>
          <w:sz w:val="24"/>
          <w:szCs w:val="24"/>
        </w:rPr>
        <w:t xml:space="preserve">— </w:t>
      </w:r>
      <w:r w:rsidRPr="00F80C78">
        <w:rPr>
          <w:rFonts w:ascii="Arial" w:hAnsi="Arial" w:cs="Arial"/>
          <w:bCs/>
          <w:sz w:val="24"/>
          <w:szCs w:val="24"/>
        </w:rPr>
        <w:t>Uniform Rules of Court, rule 34A; Road Accident Fund Act</w:t>
      </w:r>
      <w:r w:rsidR="00205D77">
        <w:rPr>
          <w:rFonts w:ascii="Arial" w:hAnsi="Arial" w:cs="Arial"/>
          <w:bCs/>
          <w:sz w:val="24"/>
          <w:szCs w:val="24"/>
        </w:rPr>
        <w:t>,</w:t>
      </w:r>
      <w:r w:rsidRPr="00F80C78">
        <w:rPr>
          <w:rFonts w:ascii="Arial" w:hAnsi="Arial" w:cs="Arial"/>
          <w:bCs/>
          <w:sz w:val="24"/>
          <w:szCs w:val="24"/>
        </w:rPr>
        <w:t xml:space="preserve"> 56 of 1996, s 17(</w:t>
      </w:r>
      <w:r>
        <w:rPr>
          <w:rFonts w:ascii="Arial" w:hAnsi="Arial" w:cs="Arial"/>
          <w:bCs/>
          <w:sz w:val="24"/>
          <w:szCs w:val="24"/>
        </w:rPr>
        <w:t>6</w:t>
      </w:r>
      <w:r w:rsidRPr="00F80C78">
        <w:rPr>
          <w:rFonts w:ascii="Arial" w:hAnsi="Arial" w:cs="Arial"/>
          <w:bCs/>
          <w:sz w:val="24"/>
          <w:szCs w:val="24"/>
        </w:rPr>
        <w:t>).</w:t>
      </w:r>
    </w:p>
    <w:p w14:paraId="736D3A2C" w14:textId="1E21DD24" w:rsidR="00D202C2" w:rsidRPr="00671349" w:rsidRDefault="003C4F1C" w:rsidP="00C21D3B">
      <w:pPr>
        <w:keepNext/>
        <w:tabs>
          <w:tab w:val="left" w:pos="0"/>
          <w:tab w:val="right" w:pos="9070"/>
        </w:tabs>
        <w:autoSpaceDE w:val="0"/>
        <w:autoSpaceDN w:val="0"/>
        <w:adjustRightInd w:val="0"/>
        <w:spacing w:before="240" w:after="120" w:line="360" w:lineRule="auto"/>
        <w:rPr>
          <w:rFonts w:ascii="Arial" w:hAnsi="Arial" w:cs="Arial"/>
          <w:b/>
          <w:sz w:val="24"/>
          <w:szCs w:val="24"/>
        </w:rPr>
      </w:pPr>
      <w:r w:rsidRPr="00671349">
        <w:rPr>
          <w:rFonts w:ascii="Arial" w:hAnsi="Arial" w:cs="Arial"/>
          <w:b/>
          <w:sz w:val="24"/>
          <w:szCs w:val="24"/>
        </w:rPr>
        <w:lastRenderedPageBreak/>
        <w:t>MOULTRIE</w:t>
      </w:r>
      <w:r w:rsidR="00D202C2" w:rsidRPr="00671349">
        <w:rPr>
          <w:rFonts w:ascii="Arial" w:hAnsi="Arial" w:cs="Arial"/>
          <w:b/>
          <w:sz w:val="24"/>
          <w:szCs w:val="24"/>
        </w:rPr>
        <w:t xml:space="preserve"> AJ</w:t>
      </w:r>
    </w:p>
    <w:p w14:paraId="29E701ED" w14:textId="0D9C7A80" w:rsidR="00CB69C5" w:rsidRDefault="003E65DB" w:rsidP="003E65DB">
      <w:pPr>
        <w:pStyle w:val="LC1"/>
        <w:numPr>
          <w:ilvl w:val="0"/>
          <w:numId w:val="0"/>
        </w:numPr>
        <w:ind w:left="720" w:hanging="720"/>
      </w:pPr>
      <w:r>
        <w:rPr>
          <w:rFonts w:cs="Arial"/>
          <w:szCs w:val="24"/>
        </w:rPr>
        <w:t>[1]</w:t>
      </w:r>
      <w:r>
        <w:rPr>
          <w:rFonts w:cs="Arial"/>
          <w:szCs w:val="24"/>
        </w:rPr>
        <w:tab/>
      </w:r>
      <w:r w:rsidR="00743662">
        <w:t xml:space="preserve">These </w:t>
      </w:r>
      <w:r w:rsidR="002D47F7">
        <w:t xml:space="preserve">four </w:t>
      </w:r>
      <w:r w:rsidR="00743662">
        <w:t>matters all served before me in the unopposed motion court on 25 January 2023.</w:t>
      </w:r>
      <w:r w:rsidR="00E92E66">
        <w:rPr>
          <w:rStyle w:val="FootnoteReference"/>
        </w:rPr>
        <w:footnoteReference w:id="1"/>
      </w:r>
      <w:r w:rsidR="00CB69C5">
        <w:rPr>
          <w:lang w:eastAsia="en-ZA"/>
        </w:rPr>
        <w:t xml:space="preserve"> </w:t>
      </w:r>
      <w:r w:rsidR="002D47F7">
        <w:rPr>
          <w:lang w:eastAsia="en-ZA"/>
        </w:rPr>
        <w:t xml:space="preserve">Having identified significant commonalities in the facts and </w:t>
      </w:r>
      <w:r w:rsidR="00205D77">
        <w:rPr>
          <w:lang w:eastAsia="en-ZA"/>
        </w:rPr>
        <w:t xml:space="preserve">the </w:t>
      </w:r>
      <w:r w:rsidR="002D47F7">
        <w:rPr>
          <w:lang w:eastAsia="en-ZA"/>
        </w:rPr>
        <w:t>legal question that arise</w:t>
      </w:r>
      <w:r w:rsidR="00205D77">
        <w:rPr>
          <w:lang w:eastAsia="en-ZA"/>
        </w:rPr>
        <w:t>s</w:t>
      </w:r>
      <w:r w:rsidR="002D47F7">
        <w:rPr>
          <w:lang w:eastAsia="en-ZA"/>
        </w:rPr>
        <w:t xml:space="preserve"> for </w:t>
      </w:r>
      <w:r w:rsidR="00205D77">
        <w:rPr>
          <w:lang w:eastAsia="en-ZA"/>
        </w:rPr>
        <w:t>determination</w:t>
      </w:r>
      <w:r w:rsidR="002D47F7">
        <w:rPr>
          <w:lang w:eastAsia="en-ZA"/>
        </w:rPr>
        <w:t xml:space="preserve">, and </w:t>
      </w:r>
      <w:proofErr w:type="gramStart"/>
      <w:r w:rsidR="002D47F7">
        <w:rPr>
          <w:lang w:eastAsia="en-ZA"/>
        </w:rPr>
        <w:t>in view of the fact that</w:t>
      </w:r>
      <w:proofErr w:type="gramEnd"/>
      <w:r w:rsidR="002D47F7">
        <w:rPr>
          <w:lang w:eastAsia="en-ZA"/>
        </w:rPr>
        <w:t xml:space="preserve"> all of the applicants are represented by the same attorneys</w:t>
      </w:r>
      <w:r w:rsidR="00DC45D4">
        <w:rPr>
          <w:lang w:eastAsia="en-ZA"/>
        </w:rPr>
        <w:t>,</w:t>
      </w:r>
      <w:r w:rsidR="002D47F7">
        <w:rPr>
          <w:lang w:eastAsia="en-ZA"/>
        </w:rPr>
        <w:t xml:space="preserve"> I ordered that they be heard together. </w:t>
      </w:r>
      <w:r w:rsidR="00BB019D">
        <w:rPr>
          <w:lang w:eastAsia="en-ZA"/>
        </w:rPr>
        <w:t xml:space="preserve">Mr Mudau appears in the first matter and </w:t>
      </w:r>
      <w:r w:rsidR="002D47F7">
        <w:rPr>
          <w:lang w:eastAsia="en-ZA"/>
        </w:rPr>
        <w:t xml:space="preserve">Mr </w:t>
      </w:r>
      <w:r w:rsidR="000472C4">
        <w:rPr>
          <w:lang w:eastAsia="en-ZA"/>
        </w:rPr>
        <w:t xml:space="preserve">Molojoa </w:t>
      </w:r>
      <w:r w:rsidR="002D47F7">
        <w:rPr>
          <w:lang w:eastAsia="en-ZA"/>
        </w:rPr>
        <w:t xml:space="preserve">appears in </w:t>
      </w:r>
      <w:r w:rsidR="00BB019D">
        <w:rPr>
          <w:lang w:eastAsia="en-ZA"/>
        </w:rPr>
        <w:t xml:space="preserve">the other </w:t>
      </w:r>
      <w:r w:rsidR="002D47F7">
        <w:rPr>
          <w:lang w:eastAsia="en-ZA"/>
        </w:rPr>
        <w:t xml:space="preserve">three. I am grateful to </w:t>
      </w:r>
      <w:proofErr w:type="gramStart"/>
      <w:r w:rsidR="002D47F7">
        <w:rPr>
          <w:lang w:eastAsia="en-ZA"/>
        </w:rPr>
        <w:t>both counsel</w:t>
      </w:r>
      <w:proofErr w:type="gramEnd"/>
      <w:r w:rsidR="002D47F7">
        <w:rPr>
          <w:lang w:eastAsia="en-ZA"/>
        </w:rPr>
        <w:t xml:space="preserve"> for their submissions</w:t>
      </w:r>
      <w:r w:rsidR="000472C4">
        <w:rPr>
          <w:lang w:eastAsia="en-ZA"/>
        </w:rPr>
        <w:t>.</w:t>
      </w:r>
      <w:r w:rsidR="002D47F7">
        <w:rPr>
          <w:lang w:eastAsia="en-ZA"/>
        </w:rPr>
        <w:t xml:space="preserve"> </w:t>
      </w:r>
    </w:p>
    <w:p w14:paraId="0F322980" w14:textId="68D34F77" w:rsidR="00D948FB" w:rsidRDefault="003E65DB" w:rsidP="003E65DB">
      <w:pPr>
        <w:pStyle w:val="LC1"/>
        <w:numPr>
          <w:ilvl w:val="0"/>
          <w:numId w:val="0"/>
        </w:numPr>
        <w:ind w:left="720" w:hanging="720"/>
      </w:pPr>
      <w:r>
        <w:rPr>
          <w:rFonts w:cs="Arial"/>
          <w:szCs w:val="24"/>
        </w:rPr>
        <w:t>[2]</w:t>
      </w:r>
      <w:r>
        <w:rPr>
          <w:rFonts w:cs="Arial"/>
          <w:szCs w:val="24"/>
        </w:rPr>
        <w:tab/>
      </w:r>
      <w:r w:rsidR="00D948FB">
        <w:t>The applicant</w:t>
      </w:r>
      <w:r w:rsidR="00F80C78">
        <w:t>s</w:t>
      </w:r>
      <w:r w:rsidR="00D948FB">
        <w:t xml:space="preserve"> </w:t>
      </w:r>
      <w:r w:rsidR="00F80C78">
        <w:t xml:space="preserve">are all plaintiffs in actions instituted against the Road Accident Fund in which they seek to recover compensation </w:t>
      </w:r>
      <w:r w:rsidR="00B04646">
        <w:t xml:space="preserve">in terms of section 17(1) of the Road Accident Fund Act, 56 of 1996 </w:t>
      </w:r>
      <w:r w:rsidR="00A91CA3">
        <w:t xml:space="preserve">for loss or damage suffered </w:t>
      </w:r>
      <w:proofErr w:type="gramStart"/>
      <w:r w:rsidR="00A91CA3">
        <w:t>as a result of</w:t>
      </w:r>
      <w:proofErr w:type="gramEnd"/>
      <w:r w:rsidR="00A91CA3">
        <w:t xml:space="preserve"> bodily injuries caused by or arising out of the driving of a </w:t>
      </w:r>
      <w:r w:rsidR="00F80C78">
        <w:t xml:space="preserve">motor vehicle. </w:t>
      </w:r>
      <w:r w:rsidR="00B04646">
        <w:t>E</w:t>
      </w:r>
      <w:r w:rsidR="00F80C78">
        <w:t>ach of the</w:t>
      </w:r>
      <w:r w:rsidR="00BB019D">
        <w:t>m</w:t>
      </w:r>
      <w:r w:rsidR="00F80C78">
        <w:t xml:space="preserve"> seek</w:t>
      </w:r>
      <w:r w:rsidR="00B04646">
        <w:t>s</w:t>
      </w:r>
      <w:r w:rsidR="00F80C78">
        <w:t xml:space="preserve"> </w:t>
      </w:r>
      <w:r w:rsidR="000472C4">
        <w:t xml:space="preserve">an order for an interim payment </w:t>
      </w:r>
      <w:r w:rsidR="00F80C78">
        <w:t xml:space="preserve">under </w:t>
      </w:r>
      <w:r w:rsidR="000472C4">
        <w:t>Rule 34A</w:t>
      </w:r>
      <w:r w:rsidR="00D948FB">
        <w:t>(4)(a)</w:t>
      </w:r>
      <w:r w:rsidR="006F331A">
        <w:t>. This rule</w:t>
      </w:r>
      <w:r w:rsidR="00D948FB">
        <w:t xml:space="preserve"> provides that a court may grant an order requiring the defendant </w:t>
      </w:r>
      <w:r w:rsidR="00F80C78">
        <w:t xml:space="preserve">in an action for </w:t>
      </w:r>
      <w:r w:rsidR="00B04646">
        <w:t xml:space="preserve">damages for </w:t>
      </w:r>
      <w:r w:rsidR="00F80C78">
        <w:t xml:space="preserve">personal injuries </w:t>
      </w:r>
      <w:r w:rsidR="00D948FB">
        <w:t xml:space="preserve">to make an interim payment in respect of medical costs and loss of income arising from </w:t>
      </w:r>
      <w:r w:rsidR="00BB019D">
        <w:t xml:space="preserve">the plaintiff’s </w:t>
      </w:r>
      <w:r w:rsidR="00D948FB">
        <w:t xml:space="preserve">physical disability if </w:t>
      </w:r>
      <w:r w:rsidR="006F331A">
        <w:t xml:space="preserve">it </w:t>
      </w:r>
      <w:r w:rsidR="00D948FB">
        <w:t xml:space="preserve">satisfied that the defendant </w:t>
      </w:r>
      <w:r w:rsidR="00D948FB">
        <w:rPr>
          <w:lang w:eastAsia="en-ZA"/>
        </w:rPr>
        <w:t>“</w:t>
      </w:r>
      <w:r w:rsidR="00D948FB" w:rsidRPr="00D948FB">
        <w:rPr>
          <w:i/>
          <w:iCs/>
          <w:lang w:eastAsia="en-ZA"/>
        </w:rPr>
        <w:t>has in writing admitted liability for the plaintiff’s damages</w:t>
      </w:r>
      <w:r w:rsidR="00D948FB">
        <w:rPr>
          <w:lang w:eastAsia="en-ZA"/>
        </w:rPr>
        <w:t>”.</w:t>
      </w:r>
      <w:r w:rsidR="00B04646">
        <w:rPr>
          <w:lang w:eastAsia="en-ZA"/>
        </w:rPr>
        <w:t xml:space="preserve"> </w:t>
      </w:r>
      <w:r w:rsidR="00B04646">
        <w:t>The Fund has not opposed any of the applications.</w:t>
      </w:r>
    </w:p>
    <w:p w14:paraId="0656C020" w14:textId="445E1834" w:rsidR="003B2162" w:rsidRDefault="003E65DB" w:rsidP="003E65DB">
      <w:pPr>
        <w:pStyle w:val="LC1"/>
        <w:numPr>
          <w:ilvl w:val="0"/>
          <w:numId w:val="0"/>
        </w:numPr>
        <w:ind w:left="720" w:hanging="720"/>
      </w:pPr>
      <w:r>
        <w:rPr>
          <w:rFonts w:cs="Arial"/>
          <w:szCs w:val="24"/>
        </w:rPr>
        <w:t>[3]</w:t>
      </w:r>
      <w:r>
        <w:rPr>
          <w:rFonts w:cs="Arial"/>
          <w:szCs w:val="24"/>
        </w:rPr>
        <w:tab/>
      </w:r>
      <w:r w:rsidR="00EB4BF7">
        <w:t>I</w:t>
      </w:r>
      <w:r w:rsidR="00D948FB">
        <w:t>n view of the proviso contained in section 17(6) of the Act,</w:t>
      </w:r>
      <w:r w:rsidR="00EB4BF7">
        <w:rPr>
          <w:rStyle w:val="FootnoteReference"/>
        </w:rPr>
        <w:footnoteReference w:id="2"/>
      </w:r>
      <w:r w:rsidR="00D948FB">
        <w:t xml:space="preserve"> the Fund may only be ordered to make an interim payment </w:t>
      </w:r>
      <w:r w:rsidR="00EB4BF7">
        <w:t xml:space="preserve">in respect of medical costs </w:t>
      </w:r>
      <w:r w:rsidR="00EB4BF7">
        <w:lastRenderedPageBreak/>
        <w:t>that have already been incurred</w:t>
      </w:r>
      <w:r w:rsidR="00B04646">
        <w:t xml:space="preserve"> under Rule 34A.</w:t>
      </w:r>
      <w:r w:rsidR="00EB4BF7">
        <w:rPr>
          <w:rStyle w:val="FootnoteReference"/>
        </w:rPr>
        <w:footnoteReference w:id="3"/>
      </w:r>
      <w:r w:rsidR="003B2162">
        <w:t xml:space="preserve"> </w:t>
      </w:r>
      <w:r w:rsidR="00B04646">
        <w:t xml:space="preserve">The </w:t>
      </w:r>
      <w:r w:rsidR="003B2162">
        <w:t xml:space="preserve">applications are all </w:t>
      </w:r>
      <w:r w:rsidR="00A91CA3">
        <w:t xml:space="preserve">appropriately </w:t>
      </w:r>
      <w:r w:rsidR="003B2162">
        <w:t>limited to such costs.</w:t>
      </w:r>
      <w:r w:rsidR="00B04646">
        <w:t xml:space="preserve"> In the absence of opposition, I also </w:t>
      </w:r>
      <w:r w:rsidR="003B2162">
        <w:t xml:space="preserve">have no reason to doubt that the incurrence of the </w:t>
      </w:r>
      <w:r w:rsidR="00B04646">
        <w:t xml:space="preserve">medical </w:t>
      </w:r>
      <w:r w:rsidR="003B2162">
        <w:t>costs has been adequately proved in the founding affidavits,</w:t>
      </w:r>
      <w:r w:rsidR="00A91CA3">
        <w:rPr>
          <w:rStyle w:val="FootnoteReference"/>
        </w:rPr>
        <w:footnoteReference w:id="4"/>
      </w:r>
      <w:r w:rsidR="003B2162">
        <w:t xml:space="preserve"> and that the amounts claimed will not exceed a reasonable proportion </w:t>
      </w:r>
      <w:r w:rsidR="003B2162" w:rsidRPr="003B2162">
        <w:t>of the damages which are likely to be recovered by the plaintiff</w:t>
      </w:r>
      <w:r w:rsidR="00B04646">
        <w:t>s</w:t>
      </w:r>
      <w:r w:rsidR="003B2162" w:rsidRPr="003B2162">
        <w:t xml:space="preserve"> </w:t>
      </w:r>
      <w:r w:rsidR="006D7CE2">
        <w:t xml:space="preserve">(assuming the Fund is found to have admitted liability) </w:t>
      </w:r>
      <w:r w:rsidR="003B2162" w:rsidRPr="003B2162">
        <w:t>taking into account any contributory negligence, set off or counterclaim</w:t>
      </w:r>
      <w:r w:rsidR="003B2162">
        <w:t>.</w:t>
      </w:r>
      <w:r w:rsidR="00A91CA3">
        <w:rPr>
          <w:rStyle w:val="FootnoteReference"/>
        </w:rPr>
        <w:footnoteReference w:id="5"/>
      </w:r>
      <w:r w:rsidR="003B2162">
        <w:t xml:space="preserve"> In addition, I accept that the Fund </w:t>
      </w:r>
      <w:r w:rsidR="003B2162" w:rsidRPr="003B2162">
        <w:t xml:space="preserve">has the means at </w:t>
      </w:r>
      <w:r w:rsidR="00B73C35">
        <w:t xml:space="preserve">its </w:t>
      </w:r>
      <w:r w:rsidR="003B2162" w:rsidRPr="003B2162">
        <w:t xml:space="preserve">disposal to enable </w:t>
      </w:r>
      <w:r w:rsidR="003B2162">
        <w:t xml:space="preserve">it </w:t>
      </w:r>
      <w:r w:rsidR="003B2162" w:rsidRPr="003B2162">
        <w:t xml:space="preserve">to make </w:t>
      </w:r>
      <w:r w:rsidR="003B2162">
        <w:t xml:space="preserve">the claimed </w:t>
      </w:r>
      <w:r w:rsidR="003B2162" w:rsidRPr="003B2162">
        <w:t>paymen</w:t>
      </w:r>
      <w:r w:rsidR="003B2162">
        <w:t>ts.</w:t>
      </w:r>
      <w:r w:rsidR="00A91CA3">
        <w:rPr>
          <w:rStyle w:val="FootnoteReference"/>
        </w:rPr>
        <w:footnoteReference w:id="6"/>
      </w:r>
    </w:p>
    <w:p w14:paraId="74A376DB" w14:textId="4D2FF886" w:rsidR="000472C4" w:rsidRDefault="003E65DB" w:rsidP="003E65DB">
      <w:pPr>
        <w:pStyle w:val="LC1"/>
        <w:numPr>
          <w:ilvl w:val="0"/>
          <w:numId w:val="0"/>
        </w:numPr>
        <w:ind w:left="720" w:hanging="720"/>
      </w:pPr>
      <w:r>
        <w:rPr>
          <w:rFonts w:cs="Arial"/>
          <w:szCs w:val="24"/>
        </w:rPr>
        <w:t>[4]</w:t>
      </w:r>
      <w:r>
        <w:rPr>
          <w:rFonts w:cs="Arial"/>
          <w:szCs w:val="24"/>
        </w:rPr>
        <w:tab/>
      </w:r>
      <w:r w:rsidR="003B2162">
        <w:t xml:space="preserve">My </w:t>
      </w:r>
      <w:r w:rsidR="00B04646">
        <w:t xml:space="preserve">sole </w:t>
      </w:r>
      <w:r w:rsidR="003B2162">
        <w:t>difficulty with the relief sought arises from the document</w:t>
      </w:r>
      <w:r w:rsidR="0013734C">
        <w:t>s</w:t>
      </w:r>
      <w:r w:rsidR="003B2162">
        <w:t xml:space="preserve"> </w:t>
      </w:r>
      <w:r w:rsidR="00B04646">
        <w:t xml:space="preserve">upon which </w:t>
      </w:r>
      <w:r w:rsidR="003B2162">
        <w:t xml:space="preserve">the applicants </w:t>
      </w:r>
      <w:r w:rsidR="00F80C78">
        <w:t xml:space="preserve">rely as </w:t>
      </w:r>
      <w:r w:rsidR="003B2162">
        <w:t>constitut</w:t>
      </w:r>
      <w:r w:rsidR="00F80C78">
        <w:t>ing the Fund’s</w:t>
      </w:r>
      <w:r w:rsidR="003B2162">
        <w:t xml:space="preserve"> written admissions of liability</w:t>
      </w:r>
      <w:r w:rsidR="0013734C">
        <w:t xml:space="preserve">. </w:t>
      </w:r>
    </w:p>
    <w:p w14:paraId="5EAEA396" w14:textId="656E228A" w:rsidR="00F80C78" w:rsidRDefault="003E65DB" w:rsidP="003E65DB">
      <w:pPr>
        <w:pStyle w:val="LC1"/>
        <w:numPr>
          <w:ilvl w:val="0"/>
          <w:numId w:val="0"/>
        </w:numPr>
        <w:ind w:left="720" w:hanging="720"/>
      </w:pPr>
      <w:r>
        <w:rPr>
          <w:rFonts w:cs="Arial"/>
          <w:szCs w:val="24"/>
        </w:rPr>
        <w:t>[5]</w:t>
      </w:r>
      <w:r>
        <w:rPr>
          <w:rFonts w:cs="Arial"/>
          <w:szCs w:val="24"/>
        </w:rPr>
        <w:tab/>
      </w:r>
      <w:r w:rsidR="00F80C78">
        <w:t xml:space="preserve">In </w:t>
      </w:r>
      <w:r w:rsidR="0013734C">
        <w:t>the Alexander</w:t>
      </w:r>
      <w:r w:rsidR="00320590">
        <w:t xml:space="preserve"> and </w:t>
      </w:r>
      <w:proofErr w:type="spellStart"/>
      <w:r w:rsidR="0013734C">
        <w:t>Maboya</w:t>
      </w:r>
      <w:proofErr w:type="spellEnd"/>
      <w:r w:rsidR="0013734C">
        <w:t xml:space="preserve"> matters, </w:t>
      </w:r>
      <w:r w:rsidR="00F80C78">
        <w:t>the document</w:t>
      </w:r>
      <w:r w:rsidR="006D7CE2">
        <w:t>s</w:t>
      </w:r>
      <w:r w:rsidR="00F80C78">
        <w:t xml:space="preserve"> </w:t>
      </w:r>
      <w:r w:rsidR="00B04646">
        <w:t xml:space="preserve">in question </w:t>
      </w:r>
      <w:r w:rsidR="006D7CE2">
        <w:t xml:space="preserve">are </w:t>
      </w:r>
      <w:r w:rsidR="0013734C">
        <w:t>duly accepted</w:t>
      </w:r>
      <w:r w:rsidR="0047010F">
        <w:rPr>
          <w:rStyle w:val="FootnoteReference"/>
        </w:rPr>
        <w:t xml:space="preserve"> </w:t>
      </w:r>
      <w:r w:rsidR="00320590">
        <w:t>“</w:t>
      </w:r>
      <w:r w:rsidR="0013734C">
        <w:t>without prejudice</w:t>
      </w:r>
      <w:r w:rsidR="00320590">
        <w:t>”</w:t>
      </w:r>
      <w:r w:rsidR="0013734C">
        <w:t xml:space="preserve"> offer</w:t>
      </w:r>
      <w:r w:rsidR="006D7CE2">
        <w:t>s</w:t>
      </w:r>
      <w:r w:rsidR="0013734C">
        <w:t xml:space="preserve"> from the </w:t>
      </w:r>
      <w:r w:rsidR="00B04646">
        <w:t xml:space="preserve">Fund </w:t>
      </w:r>
      <w:r w:rsidR="0013734C">
        <w:t xml:space="preserve">that </w:t>
      </w:r>
      <w:r w:rsidR="00F80C78">
        <w:t xml:space="preserve">read </w:t>
      </w:r>
      <w:r w:rsidR="00EE45B2">
        <w:t xml:space="preserve">in relevant part </w:t>
      </w:r>
      <w:r w:rsidR="00F80C78">
        <w:t>as follows:</w:t>
      </w:r>
    </w:p>
    <w:p w14:paraId="6CB13877" w14:textId="1B330100" w:rsidR="00F80C78" w:rsidRDefault="00EE45B2" w:rsidP="00F80C78">
      <w:pPr>
        <w:pStyle w:val="HeadsQuote"/>
      </w:pPr>
      <w:r>
        <w:t xml:space="preserve">The RAF has concluded that the collision resulted from the sole </w:t>
      </w:r>
      <w:r w:rsidRPr="00EE45B2">
        <w:rPr>
          <w:u w:val="single"/>
        </w:rPr>
        <w:t>negligence</w:t>
      </w:r>
      <w:r>
        <w:t xml:space="preserve"> of the RAF’s insured driver.</w:t>
      </w:r>
    </w:p>
    <w:p w14:paraId="507D2D9F" w14:textId="455704C4" w:rsidR="00EE45B2" w:rsidRDefault="00EE45B2" w:rsidP="00F80C78">
      <w:pPr>
        <w:pStyle w:val="HeadsQuote"/>
      </w:pPr>
      <w:r>
        <w:t xml:space="preserve">… the RAF offers to settle </w:t>
      </w:r>
      <w:r w:rsidRPr="00EE45B2">
        <w:rPr>
          <w:u w:val="single"/>
        </w:rPr>
        <w:t>the issue of negligence</w:t>
      </w:r>
      <w:r>
        <w:t xml:space="preserve"> </w:t>
      </w:r>
      <w:r w:rsidR="0013734C">
        <w:t xml:space="preserve">vis-à-vis </w:t>
      </w:r>
      <w:r>
        <w:t xml:space="preserve">the occurrence of the motor vehicle collision on the basis that the insured driver was solely </w:t>
      </w:r>
      <w:r w:rsidRPr="00EE45B2">
        <w:rPr>
          <w:u w:val="single"/>
        </w:rPr>
        <w:t>negligent</w:t>
      </w:r>
      <w:r>
        <w:t xml:space="preserve"> in </w:t>
      </w:r>
      <w:r w:rsidRPr="00EE45B2">
        <w:rPr>
          <w:u w:val="single"/>
        </w:rPr>
        <w:t>causing the motor vehicle collision</w:t>
      </w:r>
      <w:r>
        <w:t>.</w:t>
      </w:r>
    </w:p>
    <w:p w14:paraId="78E79E4D" w14:textId="40746922" w:rsidR="00EE45B2" w:rsidRPr="006F73FF" w:rsidRDefault="00EE45B2" w:rsidP="00F80C78">
      <w:pPr>
        <w:pStyle w:val="HeadsQuote"/>
        <w:rPr>
          <w:i w:val="0"/>
          <w:iCs w:val="0"/>
          <w:sz w:val="16"/>
          <w:szCs w:val="16"/>
        </w:rPr>
      </w:pPr>
      <w:r>
        <w:t xml:space="preserve">This offer is </w:t>
      </w:r>
      <w:r w:rsidRPr="00EE45B2">
        <w:rPr>
          <w:u w:val="single"/>
        </w:rPr>
        <w:t>limited to the aspect of negligence as to the manner in which the collision occurred</w:t>
      </w:r>
      <w:r>
        <w:t xml:space="preserve">. This offer </w:t>
      </w:r>
      <w:r w:rsidR="0013734C" w:rsidRPr="0013734C">
        <w:rPr>
          <w:u w:val="single"/>
        </w:rPr>
        <w:t xml:space="preserve">may not be interpreted or construed in a manner that would have the RAF concede any other </w:t>
      </w:r>
      <w:r w:rsidR="0013734C" w:rsidRPr="0013734C">
        <w:rPr>
          <w:u w:val="single"/>
        </w:rPr>
        <w:lastRenderedPageBreak/>
        <w:t>aspect of the claim</w:t>
      </w:r>
      <w:r w:rsidR="0013734C">
        <w:t xml:space="preserve">. To avoid doubt, the RAF </w:t>
      </w:r>
      <w:r w:rsidR="0013734C" w:rsidRPr="0013734C">
        <w:rPr>
          <w:u w:val="single"/>
        </w:rPr>
        <w:t>reserves all its rights in law with regards to all other</w:t>
      </w:r>
      <w:r w:rsidR="0013734C">
        <w:t xml:space="preserve"> procedural and </w:t>
      </w:r>
      <w:r w:rsidR="0013734C" w:rsidRPr="0013734C">
        <w:rPr>
          <w:u w:val="single"/>
        </w:rPr>
        <w:t>substantive aspects of the claim</w:t>
      </w:r>
      <w:r w:rsidR="0013734C">
        <w:t>.</w:t>
      </w:r>
      <w:r w:rsidR="006F73FF">
        <w:t xml:space="preserve"> </w:t>
      </w:r>
    </w:p>
    <w:p w14:paraId="07FB430A" w14:textId="6A5BF90C" w:rsidR="0047010F" w:rsidRDefault="003E65DB" w:rsidP="003E65DB">
      <w:pPr>
        <w:pStyle w:val="LC1"/>
        <w:numPr>
          <w:ilvl w:val="0"/>
          <w:numId w:val="0"/>
        </w:numPr>
        <w:ind w:left="720" w:hanging="720"/>
      </w:pPr>
      <w:r>
        <w:rPr>
          <w:rFonts w:cs="Arial"/>
          <w:szCs w:val="24"/>
        </w:rPr>
        <w:t>[6]</w:t>
      </w:r>
      <w:r>
        <w:rPr>
          <w:rFonts w:cs="Arial"/>
          <w:szCs w:val="24"/>
        </w:rPr>
        <w:tab/>
      </w:r>
      <w:r w:rsidR="0047010F">
        <w:t xml:space="preserve">Although </w:t>
      </w:r>
      <w:r w:rsidR="00E7481C">
        <w:t xml:space="preserve">an identical offer is </w:t>
      </w:r>
      <w:r w:rsidR="00C911E5">
        <w:t>relied upon in the Harripershad matter (</w:t>
      </w:r>
      <w:r w:rsidR="0047010F">
        <w:t>annexure “LL2</w:t>
      </w:r>
      <w:r w:rsidR="00E92E66">
        <w:t>”</w:t>
      </w:r>
      <w:r w:rsidR="0047010F">
        <w:t xml:space="preserve"> to the plaintiff’s founding affidavit</w:t>
      </w:r>
      <w:r w:rsidR="00C911E5">
        <w:t>)</w:t>
      </w:r>
      <w:r w:rsidR="0047010F">
        <w:t xml:space="preserve">, it does not purport to bear a signature </w:t>
      </w:r>
      <w:r w:rsidR="00E92E66">
        <w:t xml:space="preserve">of </w:t>
      </w:r>
      <w:r w:rsidR="0047010F">
        <w:t>acceptance</w:t>
      </w:r>
      <w:r w:rsidR="00C911E5">
        <w:t xml:space="preserve">. </w:t>
      </w:r>
      <w:r w:rsidR="00E15D20">
        <w:t>However</w:t>
      </w:r>
      <w:r w:rsidR="00BB019D">
        <w:t>,</w:t>
      </w:r>
      <w:r w:rsidR="00E15D20">
        <w:t xml:space="preserve"> </w:t>
      </w:r>
      <w:r w:rsidR="0047010F">
        <w:t>paragraph 5 of the founding affidavit state</w:t>
      </w:r>
      <w:r w:rsidR="00B73C35">
        <w:t>s</w:t>
      </w:r>
      <w:r w:rsidR="0047010F">
        <w:t xml:space="preserve"> that the offer was indeed accepted by the plaintiff, and I have no reason to doubt the correctness of this allegation</w:t>
      </w:r>
      <w:r w:rsidR="00E15D20">
        <w:t>.</w:t>
      </w:r>
      <w:r w:rsidR="00C911E5">
        <w:rPr>
          <w:rStyle w:val="FootnoteReference"/>
        </w:rPr>
        <w:footnoteReference w:id="7"/>
      </w:r>
      <w:r w:rsidR="0047010F">
        <w:t xml:space="preserve"> </w:t>
      </w:r>
    </w:p>
    <w:p w14:paraId="460FBC9C" w14:textId="40286FF6" w:rsidR="00320590" w:rsidRDefault="003E65DB" w:rsidP="003E65DB">
      <w:pPr>
        <w:pStyle w:val="LC1"/>
        <w:numPr>
          <w:ilvl w:val="0"/>
          <w:numId w:val="0"/>
        </w:numPr>
        <w:ind w:left="720" w:hanging="720"/>
      </w:pPr>
      <w:r>
        <w:rPr>
          <w:rFonts w:cs="Arial"/>
          <w:szCs w:val="24"/>
        </w:rPr>
        <w:t>[7]</w:t>
      </w:r>
      <w:r>
        <w:rPr>
          <w:rFonts w:cs="Arial"/>
          <w:szCs w:val="24"/>
        </w:rPr>
        <w:tab/>
      </w:r>
      <w:r w:rsidR="00320590">
        <w:t xml:space="preserve">The document relied upon in the Morris matter is </w:t>
      </w:r>
      <w:r w:rsidR="00727329">
        <w:t xml:space="preserve">also almost </w:t>
      </w:r>
      <w:r w:rsidR="00320590">
        <w:t xml:space="preserve">identical, save for the fact that the </w:t>
      </w:r>
      <w:r w:rsidR="00727329">
        <w:t xml:space="preserve">Fund </w:t>
      </w:r>
      <w:r w:rsidR="00320590">
        <w:t xml:space="preserve">only admitted contributory negligence of its insured driver in the proportion of 50%. </w:t>
      </w:r>
      <w:r w:rsidR="00727329">
        <w:t>Nothing turns on this.</w:t>
      </w:r>
    </w:p>
    <w:p w14:paraId="662E8293" w14:textId="56957EA5" w:rsidR="006F73FF" w:rsidRDefault="003E65DB" w:rsidP="003E65DB">
      <w:pPr>
        <w:pStyle w:val="LC1"/>
        <w:numPr>
          <w:ilvl w:val="0"/>
          <w:numId w:val="0"/>
        </w:numPr>
        <w:ind w:left="720" w:hanging="720"/>
      </w:pPr>
      <w:r>
        <w:rPr>
          <w:rFonts w:cs="Arial"/>
          <w:szCs w:val="24"/>
        </w:rPr>
        <w:t>[8]</w:t>
      </w:r>
      <w:r>
        <w:rPr>
          <w:rFonts w:cs="Arial"/>
          <w:szCs w:val="24"/>
        </w:rPr>
        <w:tab/>
      </w:r>
      <w:r w:rsidR="00E7481C">
        <w:t xml:space="preserve">I was assured by both counsel that it is </w:t>
      </w:r>
      <w:r w:rsidR="00C21D3B">
        <w:t xml:space="preserve">widely </w:t>
      </w:r>
      <w:r w:rsidR="00E92E66">
        <w:t xml:space="preserve">considered </w:t>
      </w:r>
      <w:r w:rsidR="00E7481C">
        <w:t xml:space="preserve">by practitioners </w:t>
      </w:r>
      <w:r w:rsidR="00B73C35">
        <w:t xml:space="preserve">– and </w:t>
      </w:r>
      <w:r w:rsidR="00727329">
        <w:t xml:space="preserve">indeed </w:t>
      </w:r>
      <w:r w:rsidR="00C21D3B">
        <w:t xml:space="preserve">the </w:t>
      </w:r>
      <w:r w:rsidR="00727329">
        <w:t xml:space="preserve">Fund </w:t>
      </w:r>
      <w:r w:rsidR="00C21D3B">
        <w:t xml:space="preserve">itself </w:t>
      </w:r>
      <w:r w:rsidR="00B73C35">
        <w:t xml:space="preserve">– that </w:t>
      </w:r>
      <w:r w:rsidR="00E7481C">
        <w:t xml:space="preserve">these documents (I was </w:t>
      </w:r>
      <w:r w:rsidR="00E92E66">
        <w:t>advised that they are ‘</w:t>
      </w:r>
      <w:r w:rsidR="00E7481C">
        <w:t xml:space="preserve">standard </w:t>
      </w:r>
      <w:r w:rsidR="00E92E66">
        <w:t>forms’</w:t>
      </w:r>
      <w:r w:rsidR="00E7481C">
        <w:t>) constitute sufficient written admission of liability on the part of the Fund</w:t>
      </w:r>
      <w:r w:rsidR="00C21D3B">
        <w:t xml:space="preserve"> for the purposes of Rule 34A</w:t>
      </w:r>
      <w:r w:rsidR="00E92E66">
        <w:t xml:space="preserve">. For the reasons set out below, I respectfully disagree. Although </w:t>
      </w:r>
      <w:r w:rsidR="00727329">
        <w:t xml:space="preserve">counsel </w:t>
      </w:r>
      <w:r w:rsidR="00E92E66">
        <w:t xml:space="preserve">further assured me </w:t>
      </w:r>
      <w:r w:rsidR="00C21D3B">
        <w:t xml:space="preserve">that courts routinely </w:t>
      </w:r>
      <w:r w:rsidR="00E7481C">
        <w:t>grant application</w:t>
      </w:r>
      <w:r w:rsidR="00C21D3B">
        <w:t>s</w:t>
      </w:r>
      <w:r w:rsidR="00E7481C">
        <w:t xml:space="preserve"> for interim payment</w:t>
      </w:r>
      <w:r w:rsidR="00C21D3B">
        <w:t>s based on identical documents</w:t>
      </w:r>
      <w:r w:rsidR="00E92E66">
        <w:t xml:space="preserve">, </w:t>
      </w:r>
      <w:r w:rsidR="00727329">
        <w:t xml:space="preserve">I was not referred </w:t>
      </w:r>
      <w:r w:rsidR="00E92E66">
        <w:t xml:space="preserve">to </w:t>
      </w:r>
      <w:r w:rsidR="00727329">
        <w:t xml:space="preserve">or furnished with </w:t>
      </w:r>
      <w:r w:rsidR="00E92E66">
        <w:t xml:space="preserve">any </w:t>
      </w:r>
      <w:r w:rsidR="00727329">
        <w:t xml:space="preserve">judgment </w:t>
      </w:r>
      <w:r w:rsidR="00E92E66">
        <w:t xml:space="preserve">in which this </w:t>
      </w:r>
      <w:r w:rsidR="00727329">
        <w:t xml:space="preserve">was the case, and </w:t>
      </w:r>
      <w:r w:rsidR="00E92E66">
        <w:t xml:space="preserve">I </w:t>
      </w:r>
      <w:r w:rsidR="00727329">
        <w:t xml:space="preserve">have been </w:t>
      </w:r>
      <w:r w:rsidR="00E92E66">
        <w:t>unable to locate any</w:t>
      </w:r>
      <w:r w:rsidR="00727329">
        <w:t>.</w:t>
      </w:r>
      <w:r w:rsidR="00357FF6">
        <w:rPr>
          <w:rStyle w:val="FootnoteReference"/>
        </w:rPr>
        <w:footnoteReference w:id="8"/>
      </w:r>
    </w:p>
    <w:p w14:paraId="246154EB" w14:textId="6E1FD75A" w:rsidR="00E7481C" w:rsidRDefault="003E65DB" w:rsidP="003E65DB">
      <w:pPr>
        <w:pStyle w:val="LC1"/>
        <w:numPr>
          <w:ilvl w:val="0"/>
          <w:numId w:val="0"/>
        </w:numPr>
        <w:ind w:left="720" w:hanging="720"/>
      </w:pPr>
      <w:r>
        <w:rPr>
          <w:rFonts w:cs="Arial"/>
          <w:szCs w:val="24"/>
        </w:rPr>
        <w:t>[9]</w:t>
      </w:r>
      <w:r>
        <w:rPr>
          <w:rFonts w:cs="Arial"/>
          <w:szCs w:val="24"/>
        </w:rPr>
        <w:tab/>
      </w:r>
      <w:r w:rsidR="00C21D3B">
        <w:t>In my view</w:t>
      </w:r>
      <w:r w:rsidR="00727329">
        <w:t xml:space="preserve">, </w:t>
      </w:r>
      <w:r w:rsidR="00C21D3B">
        <w:t xml:space="preserve">the documents in question are </w:t>
      </w:r>
      <w:r w:rsidR="00E92E66">
        <w:t xml:space="preserve">not </w:t>
      </w:r>
      <w:r w:rsidR="00C21D3B">
        <w:t xml:space="preserve">sufficient to satisfy a court </w:t>
      </w:r>
      <w:r w:rsidR="00C21D3B">
        <w:lastRenderedPageBreak/>
        <w:t xml:space="preserve">that the Fund </w:t>
      </w:r>
      <w:r w:rsidR="00C21D3B">
        <w:rPr>
          <w:lang w:eastAsia="en-ZA"/>
        </w:rPr>
        <w:t>“</w:t>
      </w:r>
      <w:r w:rsidR="00C21D3B" w:rsidRPr="006F73FF">
        <w:rPr>
          <w:i/>
          <w:iCs/>
          <w:lang w:eastAsia="en-ZA"/>
        </w:rPr>
        <w:t>has in writing admitted liability for the plaintiff’s damages</w:t>
      </w:r>
      <w:r w:rsidR="00C21D3B">
        <w:rPr>
          <w:lang w:eastAsia="en-ZA"/>
        </w:rPr>
        <w:t>”</w:t>
      </w:r>
      <w:r w:rsidR="00B73C35">
        <w:rPr>
          <w:lang w:eastAsia="en-ZA"/>
        </w:rPr>
        <w:t>.</w:t>
      </w:r>
      <w:r w:rsidR="00D83D13">
        <w:rPr>
          <w:lang w:eastAsia="en-ZA"/>
        </w:rPr>
        <w:t xml:space="preserve"> </w:t>
      </w:r>
      <w:r w:rsidR="00B73C35">
        <w:rPr>
          <w:lang w:eastAsia="en-ZA"/>
        </w:rPr>
        <w:t xml:space="preserve">This </w:t>
      </w:r>
      <w:r w:rsidR="00D83D13">
        <w:rPr>
          <w:lang w:eastAsia="en-ZA"/>
        </w:rPr>
        <w:t>has been referred to as a “</w:t>
      </w:r>
      <w:r w:rsidR="00D83D13" w:rsidRPr="00D83D13">
        <w:rPr>
          <w:i/>
          <w:iCs/>
          <w:lang w:eastAsia="en-ZA"/>
        </w:rPr>
        <w:t>jurisdictional requirement</w:t>
      </w:r>
      <w:r w:rsidR="00D83D13">
        <w:rPr>
          <w:lang w:eastAsia="en-ZA"/>
        </w:rPr>
        <w:t>” that has to be present before the rule may be applied.</w:t>
      </w:r>
      <w:r w:rsidR="00D83D13">
        <w:rPr>
          <w:rStyle w:val="FootnoteReference"/>
          <w:lang w:eastAsia="en-ZA"/>
        </w:rPr>
        <w:footnoteReference w:id="9"/>
      </w:r>
      <w:r w:rsidR="00E7481C">
        <w:t xml:space="preserve"> </w:t>
      </w:r>
      <w:r w:rsidR="006F73FF">
        <w:t xml:space="preserve">To the contrary, as the portions that I have underlined in the extract quoted above expressly </w:t>
      </w:r>
      <w:r w:rsidR="00B73C35">
        <w:t>state</w:t>
      </w:r>
      <w:r w:rsidR="006F73FF">
        <w:t>, the Fund has only admitted “</w:t>
      </w:r>
      <w:r w:rsidR="006F73FF" w:rsidRPr="00953AEA">
        <w:rPr>
          <w:i/>
          <w:iCs/>
        </w:rPr>
        <w:t>the issue of negligence</w:t>
      </w:r>
      <w:r w:rsidR="00953AEA" w:rsidRPr="00953AEA">
        <w:rPr>
          <w:i/>
          <w:iCs/>
        </w:rPr>
        <w:t xml:space="preserve"> … as to the manner in which the collision occurred</w:t>
      </w:r>
      <w:r w:rsidR="00953AEA" w:rsidRPr="00953AEA">
        <w:t>”</w:t>
      </w:r>
      <w:r w:rsidR="00953AEA">
        <w:t xml:space="preserve"> and </w:t>
      </w:r>
      <w:r w:rsidR="006F73FF">
        <w:t xml:space="preserve">that the </w:t>
      </w:r>
      <w:r w:rsidR="00953AEA">
        <w:t>“</w:t>
      </w:r>
      <w:r w:rsidR="00953AEA" w:rsidRPr="00953AEA">
        <w:rPr>
          <w:i/>
          <w:iCs/>
        </w:rPr>
        <w:t xml:space="preserve">collision resulted from the … negligence of the </w:t>
      </w:r>
      <w:r w:rsidR="006F73FF" w:rsidRPr="00953AEA">
        <w:rPr>
          <w:i/>
          <w:iCs/>
        </w:rPr>
        <w:t>insured driver</w:t>
      </w:r>
      <w:r w:rsidR="00953AEA">
        <w:t>”, who</w:t>
      </w:r>
      <w:r w:rsidR="006F73FF">
        <w:t xml:space="preserve"> was </w:t>
      </w:r>
      <w:r w:rsidR="00953AEA">
        <w:t>“</w:t>
      </w:r>
      <w:r w:rsidR="006F73FF" w:rsidRPr="00953AEA">
        <w:rPr>
          <w:i/>
          <w:iCs/>
        </w:rPr>
        <w:t xml:space="preserve">negligent in </w:t>
      </w:r>
      <w:r w:rsidR="00953AEA" w:rsidRPr="00953AEA">
        <w:rPr>
          <w:i/>
          <w:iCs/>
        </w:rPr>
        <w:t>causing the … collision</w:t>
      </w:r>
      <w:r w:rsidR="00953AEA">
        <w:t>”.</w:t>
      </w:r>
    </w:p>
    <w:p w14:paraId="575EAAFB" w14:textId="31B0FE7D" w:rsidR="00953AEA" w:rsidRDefault="003E65DB" w:rsidP="003E65DB">
      <w:pPr>
        <w:pStyle w:val="LC1"/>
        <w:numPr>
          <w:ilvl w:val="0"/>
          <w:numId w:val="0"/>
        </w:numPr>
        <w:ind w:left="720" w:hanging="720"/>
      </w:pPr>
      <w:r>
        <w:rPr>
          <w:rFonts w:cs="Arial"/>
          <w:szCs w:val="24"/>
        </w:rPr>
        <w:t>[10]</w:t>
      </w:r>
      <w:r>
        <w:rPr>
          <w:rFonts w:cs="Arial"/>
          <w:szCs w:val="24"/>
        </w:rPr>
        <w:tab/>
      </w:r>
      <w:r w:rsidR="006F73FF">
        <w:t xml:space="preserve">Proof </w:t>
      </w:r>
      <w:r w:rsidR="00953AEA">
        <w:t xml:space="preserve">or admission </w:t>
      </w:r>
      <w:r w:rsidR="006F73FF">
        <w:t>of negligence is but one of the elements of a plaintiff’s cause of action against the Fund for compensation under the Act</w:t>
      </w:r>
      <w:r w:rsidR="00B73C35">
        <w:t xml:space="preserve">: a plaintiff who </w:t>
      </w:r>
      <w:r w:rsidR="00B73C35" w:rsidRPr="00E25C11">
        <w:t xml:space="preserve">seeks to recover compensation </w:t>
      </w:r>
      <w:r w:rsidR="00B73C35">
        <w:t>“</w:t>
      </w:r>
      <w:r w:rsidR="00B73C35" w:rsidRPr="00E25C11">
        <w:rPr>
          <w:i/>
          <w:iCs/>
        </w:rPr>
        <w:t>must establish the normal delictual elements</w:t>
      </w:r>
      <w:r w:rsidR="00B73C35">
        <w:t>”</w:t>
      </w:r>
      <w:r w:rsidR="006F73FF">
        <w:t>.</w:t>
      </w:r>
      <w:r w:rsidR="006F73FF">
        <w:rPr>
          <w:rStyle w:val="FootnoteReference"/>
        </w:rPr>
        <w:footnoteReference w:id="10"/>
      </w:r>
      <w:r w:rsidR="006F73FF">
        <w:t xml:space="preserve"> </w:t>
      </w:r>
    </w:p>
    <w:p w14:paraId="45B7E44A" w14:textId="3AF70614" w:rsidR="00C46747" w:rsidRDefault="003E65DB" w:rsidP="003E65DB">
      <w:pPr>
        <w:pStyle w:val="LC1"/>
        <w:numPr>
          <w:ilvl w:val="0"/>
          <w:numId w:val="0"/>
        </w:numPr>
        <w:ind w:left="720" w:hanging="720"/>
      </w:pPr>
      <w:r>
        <w:rPr>
          <w:rFonts w:cs="Arial"/>
          <w:szCs w:val="24"/>
        </w:rPr>
        <w:t>[11]</w:t>
      </w:r>
      <w:r>
        <w:rPr>
          <w:rFonts w:cs="Arial"/>
          <w:szCs w:val="24"/>
        </w:rPr>
        <w:tab/>
      </w:r>
      <w:r w:rsidR="0093121B">
        <w:t>In the current applications, t</w:t>
      </w:r>
      <w:r w:rsidR="00953AEA" w:rsidRPr="00953AEA">
        <w:t xml:space="preserve">he documents relied upon by the plaintiffs could </w:t>
      </w:r>
      <w:r w:rsidR="00953AEA">
        <w:t xml:space="preserve">hardly </w:t>
      </w:r>
      <w:r w:rsidR="00953AEA" w:rsidRPr="00953AEA">
        <w:t>be clearer: the Fund’s admission is “</w:t>
      </w:r>
      <w:r w:rsidR="00953AEA" w:rsidRPr="00953AEA">
        <w:rPr>
          <w:i/>
          <w:iCs/>
        </w:rPr>
        <w:t>limited to the aspect of negligence as to the manner in which the collision occurred</w:t>
      </w:r>
      <w:r w:rsidR="00953AEA" w:rsidRPr="00953AEA">
        <w:t>”. It is expressly stated that no concession is made in relation to “</w:t>
      </w:r>
      <w:r w:rsidR="00953AEA" w:rsidRPr="00953AEA">
        <w:rPr>
          <w:i/>
          <w:iCs/>
        </w:rPr>
        <w:t>any other aspect of the claim</w:t>
      </w:r>
      <w:r w:rsidR="00953AEA" w:rsidRPr="00953AEA">
        <w:t>” and that the Fund “</w:t>
      </w:r>
      <w:r w:rsidR="00953AEA" w:rsidRPr="00953AEA">
        <w:rPr>
          <w:i/>
          <w:iCs/>
        </w:rPr>
        <w:t>reserves all its rights in law with regards to all … procedural and substantive aspects</w:t>
      </w:r>
      <w:r w:rsidR="00953AEA" w:rsidRPr="00953AEA">
        <w:t>” of the claim</w:t>
      </w:r>
      <w:r w:rsidR="006D7CE2">
        <w:t>s</w:t>
      </w:r>
      <w:r w:rsidR="00953AEA" w:rsidRPr="00953AEA">
        <w:t>, other than negligence.</w:t>
      </w:r>
      <w:r w:rsidR="00953AEA">
        <w:t xml:space="preserve"> In particular, the </w:t>
      </w:r>
      <w:r w:rsidR="00FA5CAC">
        <w:t xml:space="preserve">Fund has </w:t>
      </w:r>
      <w:r w:rsidR="009A1157">
        <w:t xml:space="preserve">neither </w:t>
      </w:r>
      <w:r w:rsidR="00FA5CAC">
        <w:t xml:space="preserve">admitted </w:t>
      </w:r>
      <w:r w:rsidR="002B7280">
        <w:t>(i) that the plaintiff</w:t>
      </w:r>
      <w:r w:rsidR="00BB019D">
        <w:t>s</w:t>
      </w:r>
      <w:r w:rsidR="002B7280">
        <w:t xml:space="preserve"> </w:t>
      </w:r>
      <w:r w:rsidR="00BB019D">
        <w:t xml:space="preserve">are </w:t>
      </w:r>
      <w:r w:rsidR="002B7280">
        <w:t>suffering any bodily injur</w:t>
      </w:r>
      <w:r w:rsidR="006F331A">
        <w:t>y</w:t>
      </w:r>
      <w:r w:rsidR="002B7280">
        <w:t xml:space="preserve"> at all; nor </w:t>
      </w:r>
      <w:r w:rsidR="007F1170">
        <w:t>(i</w:t>
      </w:r>
      <w:r w:rsidR="002B7280">
        <w:t>i</w:t>
      </w:r>
      <w:r w:rsidR="007F1170">
        <w:t xml:space="preserve">) that any such </w:t>
      </w:r>
      <w:r w:rsidR="009A1157">
        <w:t>bodily injur</w:t>
      </w:r>
      <w:r w:rsidR="006F331A">
        <w:t>y</w:t>
      </w:r>
      <w:r w:rsidR="009A1157">
        <w:t xml:space="preserve"> arose from </w:t>
      </w:r>
      <w:r w:rsidR="007F1170">
        <w:t>the negligently-caused collision.</w:t>
      </w:r>
      <w:r w:rsidR="00E25C11">
        <w:rPr>
          <w:rStyle w:val="FootnoteReference"/>
        </w:rPr>
        <w:footnoteReference w:id="11"/>
      </w:r>
      <w:r w:rsidR="007F1170">
        <w:t xml:space="preserve"> In other words, </w:t>
      </w:r>
      <w:r w:rsidR="00BB019D">
        <w:t xml:space="preserve">apart from </w:t>
      </w:r>
      <w:r w:rsidR="00BB019D" w:rsidRPr="00BB019D">
        <w:rPr>
          <w:i/>
          <w:iCs/>
        </w:rPr>
        <w:t>quantum</w:t>
      </w:r>
      <w:r w:rsidR="00BB019D">
        <w:t xml:space="preserve">, </w:t>
      </w:r>
      <w:r w:rsidR="007F1170">
        <w:t xml:space="preserve">both </w:t>
      </w:r>
      <w:r w:rsidR="006D7CE2">
        <w:t xml:space="preserve">bodily </w:t>
      </w:r>
      <w:r w:rsidR="007F1170">
        <w:t>injury (or “harm” in delictual terms) and causation remain in dispute, and there has been no admission of “liability” for any damages</w:t>
      </w:r>
      <w:r w:rsidR="009A1157">
        <w:t xml:space="preserve"> that might in due course be proven</w:t>
      </w:r>
      <w:r w:rsidR="007F1170">
        <w:t xml:space="preserve">, as required by Rule 34A(4)(a). </w:t>
      </w:r>
    </w:p>
    <w:p w14:paraId="6DE2A7C8" w14:textId="08EE59C8" w:rsidR="00B73C35" w:rsidRDefault="003E65DB" w:rsidP="003E65DB">
      <w:pPr>
        <w:pStyle w:val="LC1"/>
        <w:numPr>
          <w:ilvl w:val="0"/>
          <w:numId w:val="0"/>
        </w:numPr>
        <w:ind w:left="720" w:hanging="720"/>
      </w:pPr>
      <w:r>
        <w:rPr>
          <w:rFonts w:cs="Arial"/>
          <w:szCs w:val="24"/>
        </w:rPr>
        <w:lastRenderedPageBreak/>
        <w:t>[12]</w:t>
      </w:r>
      <w:r>
        <w:rPr>
          <w:rFonts w:cs="Arial"/>
          <w:szCs w:val="24"/>
        </w:rPr>
        <w:tab/>
      </w:r>
      <w:r w:rsidR="00B73C35" w:rsidRPr="00383815">
        <w:t>As Fisher J observed</w:t>
      </w:r>
      <w:r w:rsidR="00B73C35">
        <w:t xml:space="preserve"> in </w:t>
      </w:r>
      <w:r w:rsidR="00B73C35" w:rsidRPr="00383815">
        <w:rPr>
          <w:i/>
          <w:iCs/>
        </w:rPr>
        <w:t>MS v Road Accident Fund</w:t>
      </w:r>
      <w:r w:rsidR="00B73C35" w:rsidRPr="00383815">
        <w:t>:</w:t>
      </w:r>
    </w:p>
    <w:p w14:paraId="2B4B879D" w14:textId="77777777" w:rsidR="00B73C35" w:rsidRDefault="00B73C35" w:rsidP="00B73C35">
      <w:pPr>
        <w:pStyle w:val="HeadsQuote"/>
      </w:pPr>
      <w:r>
        <w:t xml:space="preserve">… once negligence of the </w:t>
      </w:r>
      <w:proofErr w:type="gramStart"/>
      <w:r>
        <w:t>third party</w:t>
      </w:r>
      <w:proofErr w:type="gramEnd"/>
      <w:r>
        <w:t xml:space="preserve"> driver is proved, wrongfulness is generally assumed. It must then be shown that the loss suffered by the claimant is due to the negligent/wrongful act in issue. </w:t>
      </w:r>
      <w:r w:rsidRPr="00383815">
        <w:rPr>
          <w:u w:val="single"/>
        </w:rPr>
        <w:t>This is when the causation phase of the enquiry begins</w:t>
      </w:r>
      <w:r>
        <w:t>.</w:t>
      </w:r>
      <w:r w:rsidRPr="00B73C35">
        <w:rPr>
          <w:rStyle w:val="FootnoteReference"/>
          <w:i w:val="0"/>
          <w:iCs w:val="0"/>
        </w:rPr>
        <w:footnoteReference w:id="12"/>
      </w:r>
    </w:p>
    <w:p w14:paraId="31913DE6" w14:textId="1FDD540E" w:rsidR="00790DA8" w:rsidRDefault="003E65DB" w:rsidP="003E65DB">
      <w:pPr>
        <w:pStyle w:val="LC1"/>
        <w:numPr>
          <w:ilvl w:val="0"/>
          <w:numId w:val="0"/>
        </w:numPr>
        <w:ind w:left="720" w:hanging="720"/>
        <w:rPr>
          <w:lang w:eastAsia="en-ZA"/>
        </w:rPr>
      </w:pPr>
      <w:r>
        <w:rPr>
          <w:rFonts w:cs="Arial"/>
          <w:szCs w:val="24"/>
          <w:lang w:eastAsia="en-ZA"/>
        </w:rPr>
        <w:t>[13]</w:t>
      </w:r>
      <w:r>
        <w:rPr>
          <w:rFonts w:cs="Arial"/>
          <w:szCs w:val="24"/>
          <w:lang w:eastAsia="en-ZA"/>
        </w:rPr>
        <w:tab/>
      </w:r>
      <w:r w:rsidR="0013270A">
        <w:t xml:space="preserve">It is apparent from my engagement with counsel that there is much confusion around terminology. According to </w:t>
      </w:r>
      <w:r w:rsidR="00B73C35">
        <w:t>counsel</w:t>
      </w:r>
      <w:r w:rsidR="0013270A">
        <w:t xml:space="preserve">, the documents </w:t>
      </w:r>
      <w:r w:rsidR="00B73C35">
        <w:t xml:space="preserve">under </w:t>
      </w:r>
      <w:r w:rsidR="0013270A">
        <w:t>consider</w:t>
      </w:r>
      <w:r w:rsidR="00B73C35">
        <w:t>ation</w:t>
      </w:r>
      <w:r w:rsidR="0013270A">
        <w:t xml:space="preserve"> in the current matter</w:t>
      </w:r>
      <w:r w:rsidR="00BB019D">
        <w:t>s</w:t>
      </w:r>
      <w:r w:rsidR="0013270A">
        <w:t xml:space="preserve"> constitute an admission of (and indeed finally resolve) the question of ‘the merits’ of the actions against the Fund. </w:t>
      </w:r>
      <w:r w:rsidR="00B73C35">
        <w:t>I</w:t>
      </w:r>
      <w:r w:rsidR="0013270A">
        <w:t>t must</w:t>
      </w:r>
      <w:r w:rsidR="00B73C35">
        <w:t>, however,</w:t>
      </w:r>
      <w:r w:rsidR="0013270A">
        <w:t xml:space="preserve"> be emphasised that the term ‘the merits’ as employed </w:t>
      </w:r>
      <w:r w:rsidR="00B82B56">
        <w:t>in this context</w:t>
      </w:r>
      <w:r w:rsidR="00B73C35">
        <w:rPr>
          <w:rStyle w:val="FootnoteReference"/>
        </w:rPr>
        <w:t xml:space="preserve"> </w:t>
      </w:r>
      <w:r w:rsidR="0013270A">
        <w:t>has an attenuated meaning that</w:t>
      </w:r>
      <w:r w:rsidR="002B7280">
        <w:t>,</w:t>
      </w:r>
      <w:r w:rsidR="0013270A">
        <w:t xml:space="preserve"> </w:t>
      </w:r>
      <w:r w:rsidR="002B7280">
        <w:t xml:space="preserve">at most, </w:t>
      </w:r>
      <w:r w:rsidR="0013270A">
        <w:t>refer</w:t>
      </w:r>
      <w:r w:rsidR="002B7280">
        <w:t>s</w:t>
      </w:r>
      <w:r w:rsidR="0013270A">
        <w:t xml:space="preserve"> to the question of whether the accident was caused by the sole or </w:t>
      </w:r>
      <w:r w:rsidR="006F45D1">
        <w:t xml:space="preserve">contributory </w:t>
      </w:r>
      <w:r w:rsidR="0013270A">
        <w:t xml:space="preserve">negligence of the defendant’s insured driver. While </w:t>
      </w:r>
      <w:r w:rsidR="00790DA8">
        <w:t xml:space="preserve">a concession </w:t>
      </w:r>
      <w:r w:rsidR="002B7280">
        <w:t xml:space="preserve">of ‘the merits’ in this sense </w:t>
      </w:r>
      <w:r w:rsidR="0013270A">
        <w:t xml:space="preserve">will </w:t>
      </w:r>
      <w:r w:rsidR="00790DA8">
        <w:t xml:space="preserve">undoubtedly </w:t>
      </w:r>
      <w:r w:rsidR="0013270A">
        <w:t xml:space="preserve">have the result </w:t>
      </w:r>
      <w:r w:rsidR="002B7280">
        <w:t xml:space="preserve">of significantly reducing the scope of the issues to be determined at trial, </w:t>
      </w:r>
      <w:r w:rsidR="0013270A">
        <w:t xml:space="preserve">it must be emphasised that </w:t>
      </w:r>
      <w:r w:rsidR="00790DA8">
        <w:t xml:space="preserve">such a concession does </w:t>
      </w:r>
      <w:r w:rsidR="0013270A">
        <w:t xml:space="preserve">not mean that </w:t>
      </w:r>
      <w:r w:rsidR="00790DA8">
        <w:t xml:space="preserve">the Fund </w:t>
      </w:r>
      <w:r w:rsidR="0013270A">
        <w:t>has conceded or “</w:t>
      </w:r>
      <w:r w:rsidR="0013270A" w:rsidRPr="00B82B56">
        <w:rPr>
          <w:i/>
          <w:iCs/>
        </w:rPr>
        <w:t>admitted liability for the plaintiff’s damages</w:t>
      </w:r>
      <w:r w:rsidR="0013270A">
        <w:t>” for the purposes of Rule 34A(4)(a).</w:t>
      </w:r>
      <w:r w:rsidR="00B82B56">
        <w:t xml:space="preserve"> </w:t>
      </w:r>
    </w:p>
    <w:p w14:paraId="739EDA7C" w14:textId="5E7DEC41" w:rsidR="00187E63" w:rsidRDefault="003E65DB" w:rsidP="003E65DB">
      <w:pPr>
        <w:pStyle w:val="LC1"/>
        <w:numPr>
          <w:ilvl w:val="0"/>
          <w:numId w:val="0"/>
        </w:numPr>
        <w:ind w:left="720" w:hanging="720"/>
        <w:rPr>
          <w:lang w:eastAsia="en-ZA"/>
        </w:rPr>
      </w:pPr>
      <w:r>
        <w:rPr>
          <w:rFonts w:cs="Arial"/>
          <w:szCs w:val="24"/>
          <w:lang w:eastAsia="en-ZA"/>
        </w:rPr>
        <w:t>[14]</w:t>
      </w:r>
      <w:r>
        <w:rPr>
          <w:rFonts w:cs="Arial"/>
          <w:szCs w:val="24"/>
          <w:lang w:eastAsia="en-ZA"/>
        </w:rPr>
        <w:tab/>
      </w:r>
      <w:r w:rsidR="00790DA8">
        <w:t xml:space="preserve">This was made abundantly clear by Fisher J in </w:t>
      </w:r>
      <w:r w:rsidR="00790DA8" w:rsidRPr="002B7280">
        <w:rPr>
          <w:i/>
          <w:iCs/>
        </w:rPr>
        <w:t>MS v RAF</w:t>
      </w:r>
      <w:r w:rsidR="00790DA8">
        <w:t xml:space="preserve">. Although the court labelled the enquiry into whether the collision was caused by the insured driver’s sole or </w:t>
      </w:r>
      <w:r w:rsidR="006F45D1">
        <w:t xml:space="preserve">contributory </w:t>
      </w:r>
      <w:r w:rsidR="00790DA8">
        <w:t>negligence as “</w:t>
      </w:r>
      <w:r w:rsidR="00790DA8" w:rsidRPr="002B7280">
        <w:rPr>
          <w:i/>
          <w:iCs/>
        </w:rPr>
        <w:t xml:space="preserve">the </w:t>
      </w:r>
      <w:r w:rsidR="00790DA8">
        <w:rPr>
          <w:i/>
          <w:iCs/>
        </w:rPr>
        <w:t>M</w:t>
      </w:r>
      <w:r w:rsidR="00790DA8" w:rsidRPr="002B7280">
        <w:rPr>
          <w:i/>
          <w:iCs/>
        </w:rPr>
        <w:t xml:space="preserve">erits </w:t>
      </w:r>
      <w:r w:rsidR="00790DA8">
        <w:rPr>
          <w:i/>
          <w:iCs/>
        </w:rPr>
        <w:t>E</w:t>
      </w:r>
      <w:r w:rsidR="00790DA8" w:rsidRPr="002B7280">
        <w:rPr>
          <w:i/>
          <w:iCs/>
        </w:rPr>
        <w:t>nquiry</w:t>
      </w:r>
      <w:r w:rsidR="00790DA8">
        <w:t>”,</w:t>
      </w:r>
      <w:r w:rsidR="00B73C35">
        <w:rPr>
          <w:rStyle w:val="FootnoteReference"/>
        </w:rPr>
        <w:footnoteReference w:id="13"/>
      </w:r>
      <w:r w:rsidR="00B73C35">
        <w:t xml:space="preserve"> </w:t>
      </w:r>
      <w:r w:rsidR="00790DA8">
        <w:t xml:space="preserve">it emphasised that: </w:t>
      </w:r>
    </w:p>
    <w:p w14:paraId="1EDD8160" w14:textId="5495C286" w:rsidR="00790DA8" w:rsidRPr="00790DA8" w:rsidRDefault="00790DA8" w:rsidP="00790DA8">
      <w:pPr>
        <w:pStyle w:val="HeadsQuote"/>
        <w:rPr>
          <w:i w:val="0"/>
          <w:iCs w:val="0"/>
          <w:lang w:eastAsia="en-ZA"/>
        </w:rPr>
      </w:pPr>
      <w:r>
        <w:t xml:space="preserve">A concession by the RAF as to (the “Merits”) cannot, unless otherwise specifically agreed, denote anything more than that the RAF admits that the negligence of the insured driver caused the accident. Thus, such concession or a determination of the Merits in favour of the plaintiff is no more than a finding that the insured driver was negligent and, given that the claim is for personal injury under </w:t>
      </w:r>
      <w:r>
        <w:lastRenderedPageBreak/>
        <w:t>the Act, of the assumed wrongfulness element as well.</w:t>
      </w:r>
      <w:r w:rsidRPr="00BB019D">
        <w:rPr>
          <w:rStyle w:val="FootnoteReference"/>
          <w:i w:val="0"/>
          <w:iCs w:val="0"/>
        </w:rPr>
        <w:footnoteReference w:id="14"/>
      </w:r>
    </w:p>
    <w:p w14:paraId="3A683523" w14:textId="47713EAA" w:rsidR="00AB2F65" w:rsidRDefault="003E65DB" w:rsidP="003E65DB">
      <w:pPr>
        <w:pStyle w:val="LC1"/>
        <w:numPr>
          <w:ilvl w:val="0"/>
          <w:numId w:val="0"/>
        </w:numPr>
        <w:ind w:left="720" w:hanging="720"/>
      </w:pPr>
      <w:r>
        <w:rPr>
          <w:rFonts w:cs="Arial"/>
          <w:szCs w:val="24"/>
        </w:rPr>
        <w:t>[15]</w:t>
      </w:r>
      <w:r>
        <w:rPr>
          <w:rFonts w:cs="Arial"/>
          <w:szCs w:val="24"/>
        </w:rPr>
        <w:tab/>
      </w:r>
      <w:r w:rsidR="00AB2F65">
        <w:t xml:space="preserve">In </w:t>
      </w:r>
      <w:r w:rsidR="00AB2F65" w:rsidRPr="00E25C11">
        <w:rPr>
          <w:i/>
          <w:iCs/>
        </w:rPr>
        <w:t>Mnisi</w:t>
      </w:r>
      <w:r w:rsidR="00AB2F65">
        <w:t xml:space="preserve"> (which did not involve Rule 34A), the court considered an identically worded document </w:t>
      </w:r>
      <w:r w:rsidR="006F45D1">
        <w:t xml:space="preserve">and </w:t>
      </w:r>
      <w:r w:rsidR="00AB2F65">
        <w:t xml:space="preserve">observed that there had been no settlement of ‘the merits’ in the sense of the question of liability. It found that apart from negligence … </w:t>
      </w:r>
    </w:p>
    <w:p w14:paraId="4ACB5FD9" w14:textId="77777777" w:rsidR="00AB2F65" w:rsidRDefault="00AB2F65" w:rsidP="00AB2F65">
      <w:pPr>
        <w:pStyle w:val="HeadsQuote"/>
      </w:pPr>
      <w:r>
        <w:t>… all the other elements of the RAF cause of action remains to be proven by the plaintiffs. This includes: (a) the loss resulted from bodily injury to the plaintiff or, in the case of a dependant claiming loss of support subsequent to the death of a breadwinner, such loss; (b) the loss arose from the driving of a motor vehicle; and that (c) the injury was due to negligence or other wrongful act. It should also be immediately apparent that the causal link between the negligent act of the insured driver which was the sole or contributory cause of the collision, the injuries that were sustained by the victim and the pecuniary or non-pecuniary loss suffered as a result of the collision must be proven.</w:t>
      </w:r>
      <w:r>
        <w:rPr>
          <w:rStyle w:val="FootnoteReference"/>
        </w:rPr>
        <w:footnoteReference w:id="15"/>
      </w:r>
    </w:p>
    <w:p w14:paraId="29F78FA2" w14:textId="5A389321" w:rsidR="00E15D20" w:rsidRDefault="003E65DB" w:rsidP="003E65DB">
      <w:pPr>
        <w:pStyle w:val="LC1"/>
        <w:numPr>
          <w:ilvl w:val="0"/>
          <w:numId w:val="0"/>
        </w:numPr>
        <w:ind w:left="720" w:hanging="720"/>
      </w:pPr>
      <w:r>
        <w:rPr>
          <w:rFonts w:cs="Arial"/>
          <w:szCs w:val="24"/>
        </w:rPr>
        <w:t>[16]</w:t>
      </w:r>
      <w:r>
        <w:rPr>
          <w:rFonts w:cs="Arial"/>
          <w:szCs w:val="24"/>
        </w:rPr>
        <w:tab/>
      </w:r>
      <w:r w:rsidR="00E15D20">
        <w:t xml:space="preserve">For these reasons, while I agree with </w:t>
      </w:r>
      <w:r w:rsidR="006F45D1">
        <w:t xml:space="preserve">the court </w:t>
      </w:r>
      <w:r w:rsidR="00E15D20">
        <w:t xml:space="preserve">in </w:t>
      </w:r>
      <w:proofErr w:type="spellStart"/>
      <w:r w:rsidR="00E15D20" w:rsidRPr="009A1157">
        <w:rPr>
          <w:i/>
          <w:iCs/>
        </w:rPr>
        <w:t>Apleni</w:t>
      </w:r>
      <w:proofErr w:type="spellEnd"/>
      <w:r w:rsidR="00E15D20" w:rsidRPr="009A1157">
        <w:rPr>
          <w:i/>
          <w:iCs/>
        </w:rPr>
        <w:t xml:space="preserve"> v Minister of Police</w:t>
      </w:r>
      <w:r w:rsidR="00E15D20" w:rsidRPr="00B82B56">
        <w:rPr>
          <w:rStyle w:val="FootnoteReference"/>
        </w:rPr>
        <w:footnoteReference w:id="16"/>
      </w:r>
      <w:r w:rsidR="00E15D20">
        <w:t xml:space="preserve"> that Rule 34A(4)(a) does not require the quantum of damages </w:t>
      </w:r>
      <w:r w:rsidR="006F331A">
        <w:t xml:space="preserve">to have </w:t>
      </w:r>
      <w:r w:rsidR="009A1157">
        <w:t xml:space="preserve">been admitted by </w:t>
      </w:r>
      <w:r w:rsidR="006F331A">
        <w:t xml:space="preserve">the </w:t>
      </w:r>
      <w:r w:rsidR="00E15D20">
        <w:t xml:space="preserve">defendant, I </w:t>
      </w:r>
      <w:r w:rsidR="009A1157">
        <w:t xml:space="preserve">do not </w:t>
      </w:r>
      <w:r w:rsidR="006D7CE2">
        <w:t xml:space="preserve">think </w:t>
      </w:r>
      <w:r w:rsidR="009A1157">
        <w:t xml:space="preserve">that the statement in </w:t>
      </w:r>
      <w:r w:rsidR="006F45D1">
        <w:t xml:space="preserve">the </w:t>
      </w:r>
      <w:r w:rsidR="009A1157">
        <w:t xml:space="preserve">judgment that </w:t>
      </w:r>
      <w:r w:rsidR="00187E63">
        <w:rPr>
          <w:i/>
          <w:iCs/>
        </w:rPr>
        <w:t>“</w:t>
      </w:r>
      <w:r w:rsidR="009930F5">
        <w:rPr>
          <w:i/>
          <w:iCs/>
        </w:rPr>
        <w:t xml:space="preserve">an admission </w:t>
      </w:r>
      <w:r w:rsidR="009A1157" w:rsidRPr="00187E63">
        <w:rPr>
          <w:i/>
          <w:iCs/>
        </w:rPr>
        <w:t>of merits</w:t>
      </w:r>
      <w:r w:rsidR="009930F5">
        <w:rPr>
          <w:i/>
          <w:iCs/>
        </w:rPr>
        <w:t xml:space="preserve"> </w:t>
      </w:r>
      <w:r w:rsidR="009A1157" w:rsidRPr="009A1157">
        <w:rPr>
          <w:i/>
          <w:iCs/>
        </w:rPr>
        <w:t>is what is intended by the requirement of an admission of liability for damages</w:t>
      </w:r>
      <w:r w:rsidR="009A1157">
        <w:t>”</w:t>
      </w:r>
      <w:r w:rsidR="009930F5">
        <w:rPr>
          <w:rStyle w:val="FootnoteReference"/>
        </w:rPr>
        <w:footnoteReference w:id="17"/>
      </w:r>
      <w:r w:rsidR="009930F5">
        <w:t xml:space="preserve"> </w:t>
      </w:r>
      <w:r w:rsidR="009A1157">
        <w:t>supports the applicants</w:t>
      </w:r>
      <w:r w:rsidR="006F45D1">
        <w:t>’</w:t>
      </w:r>
      <w:r w:rsidR="009A1157">
        <w:t xml:space="preserve"> contention </w:t>
      </w:r>
      <w:r w:rsidR="006F45D1">
        <w:t xml:space="preserve">in these matters </w:t>
      </w:r>
      <w:r w:rsidR="009A1157">
        <w:t>that the rule allows a court to award an interim payment merely upon admission by the defendant of one element of liability</w:t>
      </w:r>
      <w:r w:rsidR="006F331A">
        <w:t xml:space="preserve">. To the extent that </w:t>
      </w:r>
      <w:r w:rsidR="006F45D1">
        <w:t xml:space="preserve">the court </w:t>
      </w:r>
      <w:r w:rsidR="006F331A">
        <w:t>may have found otherwise, I respectfully disagree</w:t>
      </w:r>
      <w:r w:rsidR="009A1157">
        <w:t>.</w:t>
      </w:r>
      <w:r w:rsidR="00FC74B0">
        <w:t xml:space="preserve"> </w:t>
      </w:r>
      <w:r w:rsidR="00187E63">
        <w:t>The meaning of ‘the merits’ when that term is intended to be equivalent to ‘liability’</w:t>
      </w:r>
      <w:r w:rsidR="009930F5">
        <w:t xml:space="preserve"> </w:t>
      </w:r>
      <w:r w:rsidR="00187E63">
        <w:t xml:space="preserve">was explained in </w:t>
      </w:r>
      <w:proofErr w:type="spellStart"/>
      <w:r w:rsidR="00187E63" w:rsidRPr="00187E63">
        <w:rPr>
          <w:i/>
          <w:iCs/>
        </w:rPr>
        <w:t>Tolstrup</w:t>
      </w:r>
      <w:proofErr w:type="spellEnd"/>
      <w:r w:rsidR="00187E63">
        <w:t xml:space="preserve"> as follows:</w:t>
      </w:r>
    </w:p>
    <w:p w14:paraId="37962446" w14:textId="4ABA0167" w:rsidR="00187E63" w:rsidRPr="00187E63" w:rsidRDefault="00187E63" w:rsidP="00187E63">
      <w:pPr>
        <w:pStyle w:val="HeadsQuote"/>
        <w:rPr>
          <w:i w:val="0"/>
          <w:iCs w:val="0"/>
        </w:rPr>
      </w:pPr>
      <w:r>
        <w:lastRenderedPageBreak/>
        <w:t xml:space="preserve">An agreement or finding on liability (which is the equivalent of the merits) clearly disposes of everything bar the quantum of damages, and hence the willingness to afford the plaintiff interim payments. Quantum would not include a consideration of defences on the merits, be they defences raised by way of special plea, such as lack of jurisdiction, </w:t>
      </w:r>
      <w:proofErr w:type="spellStart"/>
      <w:r>
        <w:t>non locus</w:t>
      </w:r>
      <w:proofErr w:type="spellEnd"/>
      <w:r>
        <w:t xml:space="preserve"> standi, prescription or the like, or substantive defences such as absence of negligence, mistaken identity, contributory negligence and so on, all of which relate to whether damages are payable. Once that is out of the way, the parties can concern themselves with how much is payable.</w:t>
      </w:r>
      <w:r w:rsidRPr="0093121B">
        <w:rPr>
          <w:rStyle w:val="FootnoteReference"/>
          <w:i w:val="0"/>
          <w:iCs w:val="0"/>
        </w:rPr>
        <w:footnoteReference w:id="18"/>
      </w:r>
      <w:r w:rsidR="000F3897">
        <w:t xml:space="preserve"> </w:t>
      </w:r>
    </w:p>
    <w:p w14:paraId="71DF2F4A" w14:textId="38957F11" w:rsidR="009930F5" w:rsidRDefault="003E65DB" w:rsidP="003E65DB">
      <w:pPr>
        <w:pStyle w:val="LC1"/>
        <w:numPr>
          <w:ilvl w:val="0"/>
          <w:numId w:val="0"/>
        </w:numPr>
        <w:ind w:left="720" w:hanging="720"/>
      </w:pPr>
      <w:r>
        <w:rPr>
          <w:rFonts w:cs="Arial"/>
          <w:szCs w:val="24"/>
        </w:rPr>
        <w:t>[17]</w:t>
      </w:r>
      <w:r>
        <w:rPr>
          <w:rFonts w:cs="Arial"/>
          <w:szCs w:val="24"/>
        </w:rPr>
        <w:tab/>
      </w:r>
      <w:r w:rsidR="009930F5">
        <w:t xml:space="preserve">I therefore conclude that the documents relied upon by the applicants in the current cases do not </w:t>
      </w:r>
      <w:r w:rsidR="006F45D1">
        <w:t xml:space="preserve">evidence </w:t>
      </w:r>
      <w:r w:rsidR="006D7CE2">
        <w:t xml:space="preserve">an </w:t>
      </w:r>
      <w:r w:rsidR="009930F5">
        <w:t xml:space="preserve">admission of liability </w:t>
      </w:r>
      <w:r w:rsidR="00B7186E">
        <w:t xml:space="preserve">by the Fund </w:t>
      </w:r>
      <w:r w:rsidR="009930F5">
        <w:t>as required by Rule 34(4)(a)</w:t>
      </w:r>
      <w:r w:rsidR="00E95360">
        <w:t>,</w:t>
      </w:r>
      <w:r w:rsidR="009930F5">
        <w:t xml:space="preserve"> and that the applications all </w:t>
      </w:r>
      <w:r w:rsidR="00E95360">
        <w:t>fall to be dismissed</w:t>
      </w:r>
      <w:r w:rsidR="009930F5">
        <w:t>.</w:t>
      </w:r>
      <w:r w:rsidR="006F45D1">
        <w:t xml:space="preserve"> In the absence of any opposition, there should be no orders as to costs.</w:t>
      </w:r>
    </w:p>
    <w:p w14:paraId="68438C64" w14:textId="445CD649" w:rsidR="00E7481C" w:rsidRDefault="003E65DB" w:rsidP="003E65DB">
      <w:pPr>
        <w:pStyle w:val="LC1"/>
        <w:numPr>
          <w:ilvl w:val="0"/>
          <w:numId w:val="0"/>
        </w:numPr>
        <w:ind w:left="720" w:hanging="720"/>
      </w:pPr>
      <w:r>
        <w:rPr>
          <w:rFonts w:cs="Arial"/>
          <w:szCs w:val="24"/>
        </w:rPr>
        <w:t>[18]</w:t>
      </w:r>
      <w:r>
        <w:rPr>
          <w:rFonts w:cs="Arial"/>
          <w:szCs w:val="24"/>
        </w:rPr>
        <w:tab/>
      </w:r>
      <w:r w:rsidR="009930F5">
        <w:t>In closing</w:t>
      </w:r>
      <w:r w:rsidR="00383815">
        <w:t xml:space="preserve">, </w:t>
      </w:r>
      <w:r w:rsidR="002B1D2E">
        <w:t xml:space="preserve">I consider it appropriate to observe that </w:t>
      </w:r>
      <w:r w:rsidR="00141E17">
        <w:t xml:space="preserve">my understanding of counsels’ submissions </w:t>
      </w:r>
      <w:r w:rsidR="00F70730">
        <w:t xml:space="preserve">was </w:t>
      </w:r>
      <w:r w:rsidR="00141E17">
        <w:t xml:space="preserve">that </w:t>
      </w:r>
      <w:r w:rsidR="00790DA8">
        <w:t xml:space="preserve">(despite Fisher J’s deprecation of the practice in </w:t>
      </w:r>
      <w:r w:rsidR="00790DA8" w:rsidRPr="00790DA8">
        <w:rPr>
          <w:i/>
          <w:iCs/>
        </w:rPr>
        <w:t>MS v RAF</w:t>
      </w:r>
      <w:r w:rsidR="00790DA8">
        <w:t>)</w:t>
      </w:r>
      <w:r w:rsidR="00790DA8">
        <w:rPr>
          <w:rStyle w:val="FootnoteReference"/>
        </w:rPr>
        <w:footnoteReference w:id="19"/>
      </w:r>
      <w:r w:rsidR="00790DA8">
        <w:t xml:space="preserve"> </w:t>
      </w:r>
      <w:r w:rsidR="00141E17">
        <w:t xml:space="preserve">it is not an uncommon occurrence for </w:t>
      </w:r>
      <w:r w:rsidR="002B1D2E">
        <w:t>the term ‘</w:t>
      </w:r>
      <w:r w:rsidR="00B934AB">
        <w:t xml:space="preserve">the merits’ </w:t>
      </w:r>
      <w:r w:rsidR="002B1D2E">
        <w:t xml:space="preserve">in the attenuated sense described above (i.e. limited to the question of the negligence of the insured driver) </w:t>
      </w:r>
      <w:r w:rsidR="00141E17">
        <w:t xml:space="preserve">to </w:t>
      </w:r>
      <w:r w:rsidR="002B1D2E">
        <w:t xml:space="preserve">be employed </w:t>
      </w:r>
      <w:r w:rsidR="007F1170">
        <w:t xml:space="preserve">in contradistinction to </w:t>
      </w:r>
      <w:r w:rsidR="00B934AB">
        <w:t>‘</w:t>
      </w:r>
      <w:r w:rsidR="007F1170">
        <w:t xml:space="preserve">the </w:t>
      </w:r>
      <w:r w:rsidR="00B934AB">
        <w:t>quantum’</w:t>
      </w:r>
      <w:r w:rsidR="00141E17">
        <w:t>,</w:t>
      </w:r>
      <w:r w:rsidR="00B934AB">
        <w:t xml:space="preserve"> </w:t>
      </w:r>
      <w:r w:rsidR="00F70730">
        <w:t xml:space="preserve">when </w:t>
      </w:r>
      <w:r w:rsidR="00B934AB">
        <w:t xml:space="preserve">the parties’ legal representatives </w:t>
      </w:r>
      <w:r w:rsidR="00141E17">
        <w:t>record (</w:t>
      </w:r>
      <w:r w:rsidR="00B934AB">
        <w:t>solely on the basis of document</w:t>
      </w:r>
      <w:r w:rsidR="006F45D1">
        <w:t>s</w:t>
      </w:r>
      <w:r w:rsidR="00B934AB">
        <w:t xml:space="preserve"> </w:t>
      </w:r>
      <w:r w:rsidR="002B1D2E">
        <w:t>such as those considered in the current application</w:t>
      </w:r>
      <w:r w:rsidR="00B7186E">
        <w:t>s</w:t>
      </w:r>
      <w:r w:rsidR="00141E17">
        <w:t>) in a pre-trial minute</w:t>
      </w:r>
      <w:r w:rsidR="002B1D2E">
        <w:t xml:space="preserve"> </w:t>
      </w:r>
      <w:r w:rsidR="00B934AB">
        <w:t>that ‘the merits’ of a claim ha</w:t>
      </w:r>
      <w:r w:rsidR="003F0FB5">
        <w:t>ve</w:t>
      </w:r>
      <w:r w:rsidR="00B934AB">
        <w:t xml:space="preserve"> been </w:t>
      </w:r>
      <w:r w:rsidR="00383815">
        <w:t>‘agreed’</w:t>
      </w:r>
      <w:r w:rsidR="00790DA8">
        <w:rPr>
          <w:rStyle w:val="FootnoteReference"/>
        </w:rPr>
        <w:t xml:space="preserve"> </w:t>
      </w:r>
      <w:r w:rsidR="00383815">
        <w:t xml:space="preserve">or </w:t>
      </w:r>
      <w:r w:rsidR="00B934AB">
        <w:t>‘settled’</w:t>
      </w:r>
      <w:r w:rsidR="006F45D1">
        <w:t>;</w:t>
      </w:r>
      <w:r w:rsidR="00B934AB">
        <w:t xml:space="preserve"> </w:t>
      </w:r>
      <w:r w:rsidR="00F70730">
        <w:t xml:space="preserve">or when they </w:t>
      </w:r>
      <w:r w:rsidR="00B934AB">
        <w:t>advise the court during pre-trial procedures on the basis of such document</w:t>
      </w:r>
      <w:r w:rsidR="006F45D1">
        <w:t>s</w:t>
      </w:r>
      <w:r w:rsidR="00B934AB">
        <w:t xml:space="preserve"> that the only outstanding issue for determination is ‘the quantum’</w:t>
      </w:r>
      <w:r w:rsidR="002B1D2E">
        <w:t xml:space="preserve">. </w:t>
      </w:r>
      <w:r w:rsidR="00141E17">
        <w:t xml:space="preserve">For the reasons set out above, this is a </w:t>
      </w:r>
      <w:r w:rsidR="009930F5">
        <w:t>misdirection</w:t>
      </w:r>
      <w:r w:rsidR="00141E17">
        <w:t xml:space="preserve">. </w:t>
      </w:r>
      <w:r w:rsidR="002B1D2E">
        <w:t xml:space="preserve">In view of </w:t>
      </w:r>
      <w:r w:rsidR="00F70730">
        <w:t xml:space="preserve">what appear to me to be </w:t>
      </w:r>
      <w:proofErr w:type="gramStart"/>
      <w:r w:rsidR="00F70730">
        <w:t>a number of</w:t>
      </w:r>
      <w:proofErr w:type="gramEnd"/>
      <w:r w:rsidR="00F70730">
        <w:t xml:space="preserve"> </w:t>
      </w:r>
      <w:r w:rsidR="00141E17">
        <w:t xml:space="preserve">inappropriate </w:t>
      </w:r>
      <w:r w:rsidR="006F45D1">
        <w:lastRenderedPageBreak/>
        <w:t xml:space="preserve">but prevalent </w:t>
      </w:r>
      <w:r w:rsidR="00141E17">
        <w:t xml:space="preserve">practices referred to in this judgment, </w:t>
      </w:r>
      <w:r w:rsidR="002B1D2E">
        <w:t xml:space="preserve">I </w:t>
      </w:r>
      <w:r w:rsidR="006F45D1">
        <w:t xml:space="preserve">will be </w:t>
      </w:r>
      <w:r w:rsidR="0013270A">
        <w:t>request</w:t>
      </w:r>
      <w:r w:rsidR="006F45D1">
        <w:t>ing</w:t>
      </w:r>
      <w:r w:rsidR="0013270A">
        <w:t xml:space="preserve"> </w:t>
      </w:r>
      <w:r w:rsidR="00141E17">
        <w:t xml:space="preserve">that </w:t>
      </w:r>
      <w:r w:rsidR="00B7186E">
        <w:t>it</w:t>
      </w:r>
      <w:r w:rsidR="00141E17">
        <w:t xml:space="preserve"> be </w:t>
      </w:r>
      <w:r w:rsidR="002B1D2E">
        <w:t xml:space="preserve">brought to the attention of the </w:t>
      </w:r>
      <w:r w:rsidR="0013270A">
        <w:t xml:space="preserve">Chief Executive Officer </w:t>
      </w:r>
      <w:r w:rsidR="002B1D2E">
        <w:t>of the Road Accident Fund.</w:t>
      </w:r>
    </w:p>
    <w:p w14:paraId="1CBDC394" w14:textId="0D969A98" w:rsidR="000B5042" w:rsidRDefault="003E65DB" w:rsidP="003E65DB">
      <w:pPr>
        <w:pStyle w:val="LC1"/>
        <w:numPr>
          <w:ilvl w:val="0"/>
          <w:numId w:val="0"/>
        </w:numPr>
        <w:ind w:left="720" w:hanging="720"/>
      </w:pPr>
      <w:r>
        <w:rPr>
          <w:rFonts w:cs="Arial"/>
          <w:szCs w:val="24"/>
        </w:rPr>
        <w:t>[19]</w:t>
      </w:r>
      <w:r>
        <w:rPr>
          <w:rFonts w:cs="Arial"/>
          <w:szCs w:val="24"/>
        </w:rPr>
        <w:tab/>
      </w:r>
      <w:r w:rsidR="002D47F7">
        <w:t xml:space="preserve">I make the following </w:t>
      </w:r>
      <w:r w:rsidR="000B5042">
        <w:t>order in relation to the application for an interim payment in terms of Rule 34A</w:t>
      </w:r>
      <w:r w:rsidR="002D47F7">
        <w:t xml:space="preserve"> in each of the above matters</w:t>
      </w:r>
      <w:r w:rsidR="000B5042">
        <w:t xml:space="preserve">: </w:t>
      </w:r>
    </w:p>
    <w:p w14:paraId="7C116C77" w14:textId="1E0053AB" w:rsidR="004D2E17" w:rsidRDefault="003E65DB" w:rsidP="003E65DB">
      <w:pPr>
        <w:pStyle w:val="LC2"/>
        <w:numPr>
          <w:ilvl w:val="0"/>
          <w:numId w:val="0"/>
        </w:numPr>
        <w:ind w:left="1701" w:hanging="993"/>
      </w:pPr>
      <w:r>
        <w:t>(a)</w:t>
      </w:r>
      <w:r>
        <w:tab/>
      </w:r>
      <w:r w:rsidR="000B5042">
        <w:t>The application is dismissed.</w:t>
      </w:r>
    </w:p>
    <w:p w14:paraId="484C9D3D" w14:textId="1E72324C" w:rsidR="000B5042" w:rsidRDefault="003E65DB" w:rsidP="003E65DB">
      <w:pPr>
        <w:pStyle w:val="LC2"/>
        <w:numPr>
          <w:ilvl w:val="0"/>
          <w:numId w:val="0"/>
        </w:numPr>
        <w:ind w:left="1701" w:hanging="993"/>
      </w:pPr>
      <w:r>
        <w:t>(b)</w:t>
      </w:r>
      <w:r>
        <w:tab/>
      </w:r>
      <w:r w:rsidR="000B5042">
        <w:t>There is no order as to costs.</w:t>
      </w:r>
    </w:p>
    <w:p w14:paraId="02E0BBB4" w14:textId="77777777" w:rsidR="000B5042" w:rsidRDefault="000B5042" w:rsidP="000B5042">
      <w:pPr>
        <w:pStyle w:val="ListParagraph"/>
      </w:pPr>
    </w:p>
    <w:p w14:paraId="01D27BB7" w14:textId="77777777" w:rsidR="000B5042" w:rsidRDefault="000B5042" w:rsidP="000B5042">
      <w:pPr>
        <w:pStyle w:val="LC1"/>
        <w:numPr>
          <w:ilvl w:val="0"/>
          <w:numId w:val="0"/>
        </w:numPr>
        <w:ind w:left="720"/>
      </w:pPr>
    </w:p>
    <w:p w14:paraId="52ACCD6E" w14:textId="75273461" w:rsidR="00D202C2" w:rsidRPr="00671349" w:rsidRDefault="00B928FE" w:rsidP="00743662">
      <w:pPr>
        <w:keepNext/>
        <w:spacing w:after="120" w:line="360" w:lineRule="auto"/>
        <w:jc w:val="left"/>
        <w:rPr>
          <w:rFonts w:ascii="Arial" w:hAnsi="Arial" w:cs="Arial"/>
          <w:sz w:val="24"/>
          <w:szCs w:val="24"/>
          <w:u w:val="single"/>
        </w:rPr>
      </w:pPr>
      <w:r w:rsidRPr="00671349">
        <w:rPr>
          <w:rFonts w:ascii="Arial" w:hAnsi="Arial" w:cs="Arial"/>
          <w:sz w:val="24"/>
          <w:szCs w:val="24"/>
          <w:u w:val="single"/>
        </w:rPr>
        <w:t>______</w:t>
      </w:r>
      <w:r w:rsidR="00044A38" w:rsidRPr="00671349">
        <w:rPr>
          <w:rFonts w:ascii="Arial" w:hAnsi="Arial" w:cs="Arial"/>
          <w:sz w:val="24"/>
          <w:szCs w:val="24"/>
          <w:u w:val="single"/>
        </w:rPr>
        <w:t>_________</w:t>
      </w:r>
      <w:r w:rsidRPr="00671349">
        <w:rPr>
          <w:rFonts w:ascii="Arial" w:hAnsi="Arial" w:cs="Arial"/>
          <w:sz w:val="24"/>
          <w:szCs w:val="24"/>
          <w:u w:val="single"/>
        </w:rPr>
        <w:t>________</w:t>
      </w:r>
    </w:p>
    <w:p w14:paraId="4A51D625" w14:textId="40F9B622" w:rsidR="00D202C2" w:rsidRPr="00671349" w:rsidRDefault="001A42D3" w:rsidP="00743662">
      <w:pPr>
        <w:keepNext/>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RJ </w:t>
      </w:r>
      <w:r w:rsidR="003C4F1C" w:rsidRPr="00671349">
        <w:rPr>
          <w:rFonts w:ascii="Arial" w:hAnsi="Arial" w:cs="Arial"/>
          <w:sz w:val="24"/>
          <w:szCs w:val="24"/>
        </w:rPr>
        <w:t>Moultrie</w:t>
      </w:r>
      <w:r w:rsidR="00D202C2" w:rsidRPr="00671349">
        <w:rPr>
          <w:rFonts w:ascii="Arial" w:hAnsi="Arial" w:cs="Arial"/>
          <w:sz w:val="24"/>
          <w:szCs w:val="24"/>
        </w:rPr>
        <w:t xml:space="preserve"> AJ</w:t>
      </w:r>
    </w:p>
    <w:p w14:paraId="40911379" w14:textId="77777777" w:rsidR="00D202C2" w:rsidRPr="00671349" w:rsidRDefault="00D202C2" w:rsidP="00743662">
      <w:pPr>
        <w:keepNext/>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Acting Judge of the </w:t>
      </w:r>
      <w:r w:rsidR="007D51E5" w:rsidRPr="00671349">
        <w:rPr>
          <w:rFonts w:ascii="Arial" w:hAnsi="Arial" w:cs="Arial"/>
          <w:sz w:val="24"/>
          <w:szCs w:val="24"/>
        </w:rPr>
        <w:t xml:space="preserve">High </w:t>
      </w:r>
      <w:r w:rsidRPr="00671349">
        <w:rPr>
          <w:rFonts w:ascii="Arial" w:hAnsi="Arial" w:cs="Arial"/>
          <w:sz w:val="24"/>
          <w:szCs w:val="24"/>
        </w:rPr>
        <w:t xml:space="preserve">Court </w:t>
      </w:r>
    </w:p>
    <w:p w14:paraId="18A4CE1E" w14:textId="54BA15B5" w:rsidR="007D51E5" w:rsidRPr="00671349" w:rsidRDefault="007D51E5" w:rsidP="00001F4A">
      <w:pPr>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Gauteng Division, </w:t>
      </w:r>
      <w:r w:rsidR="00001F4A">
        <w:rPr>
          <w:rFonts w:ascii="Arial" w:hAnsi="Arial" w:cs="Arial"/>
          <w:sz w:val="24"/>
          <w:szCs w:val="24"/>
        </w:rPr>
        <w:t>Johannesburg</w:t>
      </w:r>
    </w:p>
    <w:p w14:paraId="0584217B" w14:textId="24556635" w:rsidR="00AB3AF8" w:rsidRDefault="00AB3AF8" w:rsidP="00665B87">
      <w:pPr>
        <w:spacing w:before="240" w:after="120" w:line="360" w:lineRule="auto"/>
        <w:jc w:val="left"/>
        <w:rPr>
          <w:rFonts w:ascii="Arial" w:hAnsi="Arial" w:cs="Arial"/>
          <w:sz w:val="24"/>
          <w:szCs w:val="24"/>
          <w:u w:val="single"/>
        </w:rPr>
      </w:pPr>
    </w:p>
    <w:p w14:paraId="38FCBFB2" w14:textId="2592961F" w:rsidR="00001F4A" w:rsidRPr="00001F4A" w:rsidRDefault="00001F4A" w:rsidP="00001F4A">
      <w:pPr>
        <w:spacing w:before="240" w:line="360" w:lineRule="auto"/>
        <w:jc w:val="left"/>
        <w:rPr>
          <w:rFonts w:ascii="Arial" w:hAnsi="Arial" w:cs="Arial"/>
          <w:sz w:val="24"/>
          <w:szCs w:val="24"/>
        </w:rPr>
      </w:pPr>
      <w:r w:rsidRPr="00001F4A">
        <w:rPr>
          <w:rFonts w:ascii="Arial" w:hAnsi="Arial" w:cs="Arial"/>
          <w:sz w:val="24"/>
          <w:szCs w:val="24"/>
        </w:rPr>
        <w:t>DATE HEARD:</w:t>
      </w:r>
      <w:r w:rsidRPr="00001F4A">
        <w:rPr>
          <w:rFonts w:ascii="Arial" w:hAnsi="Arial" w:cs="Arial"/>
          <w:sz w:val="24"/>
          <w:szCs w:val="24"/>
        </w:rPr>
        <w:tab/>
      </w:r>
      <w:r w:rsidRPr="00001F4A">
        <w:rPr>
          <w:rFonts w:ascii="Arial" w:hAnsi="Arial" w:cs="Arial"/>
          <w:sz w:val="24"/>
          <w:szCs w:val="24"/>
        </w:rPr>
        <w:tab/>
      </w:r>
      <w:r w:rsidRPr="00001F4A">
        <w:rPr>
          <w:rFonts w:ascii="Arial" w:hAnsi="Arial" w:cs="Arial"/>
          <w:sz w:val="24"/>
          <w:szCs w:val="24"/>
        </w:rPr>
        <w:tab/>
      </w:r>
      <w:r w:rsidR="00743662">
        <w:rPr>
          <w:rFonts w:ascii="Arial" w:hAnsi="Arial" w:cs="Arial"/>
          <w:sz w:val="24"/>
          <w:szCs w:val="24"/>
        </w:rPr>
        <w:t xml:space="preserve">25 January </w:t>
      </w:r>
      <w:r w:rsidR="00885647">
        <w:rPr>
          <w:rFonts w:ascii="Arial" w:hAnsi="Arial" w:cs="Arial"/>
          <w:sz w:val="24"/>
          <w:szCs w:val="24"/>
        </w:rPr>
        <w:t>2</w:t>
      </w:r>
      <w:r>
        <w:rPr>
          <w:rFonts w:ascii="Arial" w:hAnsi="Arial" w:cs="Arial"/>
          <w:sz w:val="24"/>
          <w:szCs w:val="24"/>
        </w:rPr>
        <w:t>02</w:t>
      </w:r>
      <w:r w:rsidR="00D33D7C">
        <w:rPr>
          <w:rFonts w:ascii="Arial" w:hAnsi="Arial" w:cs="Arial"/>
          <w:sz w:val="24"/>
          <w:szCs w:val="24"/>
        </w:rPr>
        <w:t>3</w:t>
      </w:r>
    </w:p>
    <w:p w14:paraId="5352ECA6" w14:textId="4F87DA01" w:rsidR="00001F4A" w:rsidRPr="00001F4A" w:rsidRDefault="00001F4A" w:rsidP="00001F4A">
      <w:pPr>
        <w:spacing w:after="120" w:line="360" w:lineRule="auto"/>
        <w:jc w:val="left"/>
        <w:rPr>
          <w:rFonts w:ascii="Arial" w:hAnsi="Arial" w:cs="Arial"/>
          <w:sz w:val="24"/>
          <w:szCs w:val="24"/>
        </w:rPr>
      </w:pPr>
      <w:r w:rsidRPr="00001F4A">
        <w:rPr>
          <w:rFonts w:ascii="Arial" w:hAnsi="Arial" w:cs="Arial"/>
          <w:sz w:val="24"/>
          <w:szCs w:val="24"/>
        </w:rPr>
        <w:t>JUDGMENT DELIVERED:</w:t>
      </w:r>
      <w:r w:rsidRPr="00001F4A">
        <w:rPr>
          <w:rFonts w:ascii="Arial" w:hAnsi="Arial" w:cs="Arial"/>
          <w:sz w:val="24"/>
          <w:szCs w:val="24"/>
        </w:rPr>
        <w:tab/>
      </w:r>
      <w:r w:rsidRPr="00001F4A">
        <w:rPr>
          <w:rFonts w:ascii="Arial" w:hAnsi="Arial" w:cs="Arial"/>
          <w:sz w:val="24"/>
          <w:szCs w:val="24"/>
        </w:rPr>
        <w:tab/>
      </w:r>
      <w:r w:rsidR="000472C4">
        <w:rPr>
          <w:rFonts w:ascii="Arial" w:hAnsi="Arial" w:cs="Arial"/>
          <w:sz w:val="24"/>
          <w:szCs w:val="24"/>
        </w:rPr>
        <w:t>1</w:t>
      </w:r>
      <w:r w:rsidR="006F45D1">
        <w:rPr>
          <w:rFonts w:ascii="Arial" w:hAnsi="Arial" w:cs="Arial"/>
          <w:sz w:val="24"/>
          <w:szCs w:val="24"/>
        </w:rPr>
        <w:t>1</w:t>
      </w:r>
      <w:r w:rsidR="000472C4">
        <w:rPr>
          <w:rFonts w:ascii="Arial" w:hAnsi="Arial" w:cs="Arial"/>
          <w:sz w:val="24"/>
          <w:szCs w:val="24"/>
        </w:rPr>
        <w:t xml:space="preserve"> </w:t>
      </w:r>
      <w:r w:rsidR="00743662">
        <w:rPr>
          <w:rFonts w:ascii="Arial" w:hAnsi="Arial" w:cs="Arial"/>
          <w:sz w:val="24"/>
          <w:szCs w:val="24"/>
        </w:rPr>
        <w:t xml:space="preserve">February </w:t>
      </w:r>
      <w:r w:rsidR="00D33D7C">
        <w:rPr>
          <w:rFonts w:ascii="Arial" w:hAnsi="Arial" w:cs="Arial"/>
          <w:sz w:val="24"/>
          <w:szCs w:val="24"/>
        </w:rPr>
        <w:t>2023</w:t>
      </w:r>
    </w:p>
    <w:p w14:paraId="52402BBF" w14:textId="727E6397" w:rsidR="004156FA" w:rsidRDefault="004156FA">
      <w:pPr>
        <w:spacing w:after="160" w:line="259" w:lineRule="auto"/>
        <w:jc w:val="left"/>
        <w:rPr>
          <w:rFonts w:ascii="Arial" w:hAnsi="Arial" w:cs="Arial"/>
          <w:sz w:val="24"/>
          <w:szCs w:val="24"/>
          <w:u w:val="single"/>
        </w:rPr>
      </w:pPr>
    </w:p>
    <w:p w14:paraId="127291A0" w14:textId="472E31FA" w:rsidR="00D202C2" w:rsidRPr="00671349" w:rsidRDefault="00D202C2" w:rsidP="00B928FE">
      <w:pPr>
        <w:autoSpaceDE w:val="0"/>
        <w:autoSpaceDN w:val="0"/>
        <w:adjustRightInd w:val="0"/>
        <w:spacing w:before="240" w:after="120" w:line="360" w:lineRule="auto"/>
        <w:rPr>
          <w:rFonts w:ascii="Arial" w:hAnsi="Arial" w:cs="Arial"/>
          <w:sz w:val="24"/>
          <w:szCs w:val="24"/>
          <w:u w:val="single"/>
        </w:rPr>
      </w:pPr>
      <w:r w:rsidRPr="00671349">
        <w:rPr>
          <w:rFonts w:ascii="Arial" w:hAnsi="Arial" w:cs="Arial"/>
          <w:sz w:val="24"/>
          <w:szCs w:val="24"/>
          <w:u w:val="single"/>
        </w:rPr>
        <w:t>APPEARANCES</w:t>
      </w:r>
    </w:p>
    <w:p w14:paraId="50495967" w14:textId="1EEC048C" w:rsidR="00D202C2" w:rsidRPr="00671349" w:rsidRDefault="00743662" w:rsidP="00743662">
      <w:pPr>
        <w:autoSpaceDE w:val="0"/>
        <w:autoSpaceDN w:val="0"/>
        <w:adjustRightInd w:val="0"/>
        <w:spacing w:before="240" w:after="120" w:line="240" w:lineRule="auto"/>
        <w:rPr>
          <w:rFonts w:ascii="Arial" w:hAnsi="Arial" w:cs="Arial"/>
          <w:sz w:val="24"/>
          <w:szCs w:val="24"/>
        </w:rPr>
      </w:pPr>
      <w:r>
        <w:rPr>
          <w:rFonts w:ascii="Arial" w:hAnsi="Arial" w:cs="Arial"/>
          <w:sz w:val="24"/>
          <w:szCs w:val="24"/>
        </w:rPr>
        <w:t>Counsel for the applicant in c</w:t>
      </w:r>
      <w:r w:rsidR="00AD335A">
        <w:rPr>
          <w:rFonts w:ascii="Arial" w:hAnsi="Arial" w:cs="Arial"/>
          <w:sz w:val="24"/>
          <w:szCs w:val="24"/>
        </w:rPr>
        <w:t xml:space="preserve">ase </w:t>
      </w:r>
      <w:r>
        <w:rPr>
          <w:rFonts w:ascii="Arial" w:hAnsi="Arial" w:cs="Arial"/>
          <w:sz w:val="24"/>
          <w:szCs w:val="24"/>
        </w:rPr>
        <w:t xml:space="preserve">number </w:t>
      </w:r>
      <w:r w:rsidR="002B64E9">
        <w:rPr>
          <w:rFonts w:ascii="Arial" w:hAnsi="Arial" w:cs="Arial"/>
          <w:sz w:val="24"/>
          <w:szCs w:val="24"/>
        </w:rPr>
        <w:t>2021/</w:t>
      </w:r>
      <w:r w:rsidR="00AD335A">
        <w:rPr>
          <w:rFonts w:ascii="Arial" w:hAnsi="Arial" w:cs="Arial"/>
          <w:sz w:val="24"/>
          <w:szCs w:val="24"/>
        </w:rPr>
        <w:t>53043</w:t>
      </w:r>
      <w:r>
        <w:rPr>
          <w:rFonts w:ascii="Arial" w:hAnsi="Arial" w:cs="Arial"/>
          <w:sz w:val="24"/>
          <w:szCs w:val="24"/>
        </w:rPr>
        <w:t>: RV Mudau</w:t>
      </w:r>
      <w:r w:rsidR="00AD335A">
        <w:rPr>
          <w:rFonts w:ascii="Arial" w:hAnsi="Arial" w:cs="Arial"/>
          <w:sz w:val="24"/>
          <w:szCs w:val="24"/>
        </w:rPr>
        <w:t xml:space="preserve"> </w:t>
      </w:r>
      <w:r w:rsidR="00B5292A">
        <w:rPr>
          <w:rFonts w:ascii="Arial" w:hAnsi="Arial" w:cs="Arial"/>
          <w:sz w:val="24"/>
          <w:szCs w:val="24"/>
        </w:rPr>
        <w:t xml:space="preserve">instructed by </w:t>
      </w:r>
      <w:r>
        <w:rPr>
          <w:rFonts w:ascii="Arial" w:hAnsi="Arial" w:cs="Arial"/>
          <w:sz w:val="24"/>
          <w:szCs w:val="24"/>
        </w:rPr>
        <w:t xml:space="preserve">A Wolmarans Inc. </w:t>
      </w:r>
    </w:p>
    <w:p w14:paraId="1BA62940" w14:textId="68F824EC" w:rsidR="00AD335A" w:rsidRPr="00671349" w:rsidRDefault="00743662" w:rsidP="00743662">
      <w:pPr>
        <w:autoSpaceDE w:val="0"/>
        <w:autoSpaceDN w:val="0"/>
        <w:adjustRightInd w:val="0"/>
        <w:spacing w:before="240" w:after="120" w:line="240" w:lineRule="auto"/>
        <w:rPr>
          <w:rFonts w:ascii="Arial" w:hAnsi="Arial" w:cs="Arial"/>
          <w:sz w:val="24"/>
          <w:szCs w:val="24"/>
        </w:rPr>
      </w:pPr>
      <w:r>
        <w:rPr>
          <w:rFonts w:ascii="Arial" w:hAnsi="Arial" w:cs="Arial"/>
          <w:sz w:val="24"/>
          <w:szCs w:val="24"/>
        </w:rPr>
        <w:t>Counsel for the applicant in c</w:t>
      </w:r>
      <w:r w:rsidR="00AD335A">
        <w:rPr>
          <w:rFonts w:ascii="Arial" w:hAnsi="Arial" w:cs="Arial"/>
          <w:sz w:val="24"/>
          <w:szCs w:val="24"/>
        </w:rPr>
        <w:t xml:space="preserve">ase </w:t>
      </w:r>
      <w:r>
        <w:rPr>
          <w:rFonts w:ascii="Arial" w:hAnsi="Arial" w:cs="Arial"/>
          <w:sz w:val="24"/>
          <w:szCs w:val="24"/>
        </w:rPr>
        <w:t xml:space="preserve">numbers </w:t>
      </w:r>
      <w:r w:rsidR="00AD335A">
        <w:rPr>
          <w:rFonts w:ascii="Arial" w:hAnsi="Arial" w:cs="Arial"/>
          <w:sz w:val="24"/>
          <w:szCs w:val="24"/>
        </w:rPr>
        <w:t>2021/36274</w:t>
      </w:r>
      <w:r>
        <w:rPr>
          <w:rFonts w:ascii="Arial" w:hAnsi="Arial" w:cs="Arial"/>
          <w:sz w:val="24"/>
          <w:szCs w:val="24"/>
        </w:rPr>
        <w:t xml:space="preserve">; 2020/15348 and 2022/5105: BD Molojoa </w:t>
      </w:r>
      <w:r w:rsidR="00AD335A">
        <w:rPr>
          <w:rFonts w:ascii="Arial" w:hAnsi="Arial" w:cs="Arial"/>
          <w:sz w:val="24"/>
          <w:szCs w:val="24"/>
        </w:rPr>
        <w:t xml:space="preserve">instructed by </w:t>
      </w:r>
      <w:r>
        <w:rPr>
          <w:rFonts w:ascii="Arial" w:hAnsi="Arial" w:cs="Arial"/>
          <w:sz w:val="24"/>
          <w:szCs w:val="24"/>
        </w:rPr>
        <w:t>A Wolmarans Inc.</w:t>
      </w:r>
    </w:p>
    <w:sectPr w:rsidR="00AD335A" w:rsidRPr="00671349" w:rsidSect="00B469F8">
      <w:type w:val="continuous"/>
      <w:pgSz w:w="11906" w:h="16838"/>
      <w:pgMar w:top="1843" w:right="1841" w:bottom="1440" w:left="156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51">
      <wne:acd wne:acdName="acd2"/>
    </wne:keymap>
  </wne:keymaps>
  <wne:toolbars>
    <wne:acdManifest>
      <wne:acdEntry wne:acdName="acd0"/>
      <wne:acdEntry wne:acdName="acd1"/>
      <wne:acdEntry wne:acdName="acd2"/>
    </wne:acdManifest>
  </wne:toolbars>
  <wne:acds>
    <wne:acd wne:acdName="acd0" wne:fciIndexBasedOn="0065"/>
    <wne:acd wne:argValue="AgBMAEMAMgA=" wne:acdName="acd1" wne:fciIndexBasedOn="0065"/>
    <wne:acd wne:argValue="AgBMAEMAM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AB77" w14:textId="77777777" w:rsidR="00B50E52" w:rsidRDefault="00B50E52" w:rsidP="00D202C2">
      <w:pPr>
        <w:spacing w:line="240" w:lineRule="auto"/>
      </w:pPr>
      <w:r>
        <w:separator/>
      </w:r>
    </w:p>
  </w:endnote>
  <w:endnote w:type="continuationSeparator" w:id="0">
    <w:p w14:paraId="5AAACF89" w14:textId="77777777" w:rsidR="00B50E52" w:rsidRDefault="00B50E52" w:rsidP="00D2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3703" w14:textId="77777777" w:rsidR="00B50E52" w:rsidRDefault="00B50E52" w:rsidP="00D202C2">
      <w:pPr>
        <w:spacing w:line="240" w:lineRule="auto"/>
      </w:pPr>
      <w:r>
        <w:separator/>
      </w:r>
    </w:p>
  </w:footnote>
  <w:footnote w:type="continuationSeparator" w:id="0">
    <w:p w14:paraId="2D58B4EA" w14:textId="77777777" w:rsidR="00B50E52" w:rsidRDefault="00B50E52" w:rsidP="00D202C2">
      <w:pPr>
        <w:spacing w:line="240" w:lineRule="auto"/>
      </w:pPr>
      <w:r>
        <w:continuationSeparator/>
      </w:r>
    </w:p>
  </w:footnote>
  <w:footnote w:id="1">
    <w:p w14:paraId="7D8611FB" w14:textId="7BF5E2D9" w:rsidR="00E92E66" w:rsidRDefault="00E92E66">
      <w:pPr>
        <w:pStyle w:val="FootnoteText"/>
      </w:pPr>
      <w:r>
        <w:rPr>
          <w:rStyle w:val="FootnoteReference"/>
        </w:rPr>
        <w:footnoteRef/>
      </w:r>
      <w:r>
        <w:t xml:space="preserve"> </w:t>
      </w:r>
      <w:r>
        <w:tab/>
        <w:t xml:space="preserve">This was prior to the Deputy Judge President’s clarification on 2 February 2023 that applications for interim payments under Rule 34A(4)(b) should not be enrolled on the unopposed motion court roll, but on the </w:t>
      </w:r>
      <w:r w:rsidR="00727329">
        <w:t xml:space="preserve">general </w:t>
      </w:r>
      <w:r>
        <w:t xml:space="preserve">civil roll. </w:t>
      </w:r>
      <w:r w:rsidR="00727329">
        <w:t>I</w:t>
      </w:r>
      <w:r>
        <w:t>t would seem to me that there is no difference in principle between such applications and applications such as the current ones under Rule 34A(4)(a)</w:t>
      </w:r>
      <w:r w:rsidR="00727329">
        <w:t xml:space="preserve"> and that such applications should in future also be enrolled on the civil trial roll. </w:t>
      </w:r>
    </w:p>
  </w:footnote>
  <w:footnote w:id="2">
    <w:p w14:paraId="3C586405" w14:textId="7181EBB7" w:rsidR="00EB4BF7" w:rsidRDefault="00EB4BF7" w:rsidP="00EB4BF7">
      <w:pPr>
        <w:pStyle w:val="FootnoteText"/>
      </w:pPr>
      <w:r>
        <w:rPr>
          <w:rStyle w:val="FootnoteReference"/>
        </w:rPr>
        <w:footnoteRef/>
      </w:r>
      <w:r>
        <w:t xml:space="preserve"> </w:t>
      </w:r>
      <w:r>
        <w:tab/>
        <w:t>Section 17(6) provides that: “</w:t>
      </w:r>
      <w:r>
        <w:rPr>
          <w:i/>
          <w:iCs/>
        </w:rPr>
        <w:t>[t]</w:t>
      </w:r>
      <w:r w:rsidRPr="00EB4BF7">
        <w:rPr>
          <w:i/>
          <w:iCs/>
        </w:rPr>
        <w:t xml:space="preserve">he Fund, or an agent with the approval of the Fund, may make an interim payment to the third party out of the amount to be awarded in terms of subsection (1) to the third party in respect of medical costs, </w:t>
      </w:r>
      <w:r w:rsidR="001261D9">
        <w:rPr>
          <w:i/>
          <w:iCs/>
        </w:rPr>
        <w:t xml:space="preserve">… </w:t>
      </w:r>
      <w:r w:rsidRPr="00EB4BF7">
        <w:rPr>
          <w:i/>
          <w:iCs/>
        </w:rPr>
        <w:t>loss of income and loss of support: Provided that the Fund or such agent shall, notwithstanding anything to the contrary in any law contained, only be liable to make an interim payment in so far as such costs have already been incurred and any such losses have already been suffered.</w:t>
      </w:r>
      <w:r>
        <w:t>”</w:t>
      </w:r>
    </w:p>
  </w:footnote>
  <w:footnote w:id="3">
    <w:p w14:paraId="1E8E3A34" w14:textId="7DD377B9" w:rsidR="00EB4BF7" w:rsidRDefault="00EB4BF7">
      <w:pPr>
        <w:pStyle w:val="FootnoteText"/>
      </w:pPr>
      <w:r>
        <w:rPr>
          <w:rStyle w:val="FootnoteReference"/>
        </w:rPr>
        <w:footnoteRef/>
      </w:r>
      <w:r>
        <w:t xml:space="preserve"> </w:t>
      </w:r>
      <w:r>
        <w:tab/>
      </w:r>
      <w:r w:rsidRPr="00EB4BF7">
        <w:rPr>
          <w:i/>
          <w:iCs/>
        </w:rPr>
        <w:t xml:space="preserve">Road Accident Fund v </w:t>
      </w:r>
      <w:proofErr w:type="spellStart"/>
      <w:r w:rsidRPr="00EB4BF7">
        <w:rPr>
          <w:i/>
          <w:iCs/>
        </w:rPr>
        <w:t>Manqina</w:t>
      </w:r>
      <w:proofErr w:type="spellEnd"/>
      <w:r w:rsidRPr="00EB4BF7">
        <w:t xml:space="preserve"> 2020 (5) SA 202 (ECB)</w:t>
      </w:r>
      <w:r>
        <w:t xml:space="preserve"> paras 17 – 22. I do not read </w:t>
      </w:r>
      <w:r w:rsidR="00727329">
        <w:t xml:space="preserve">this </w:t>
      </w:r>
      <w:r>
        <w:t xml:space="preserve">judgment as </w:t>
      </w:r>
      <w:r w:rsidR="006F331A">
        <w:t xml:space="preserve">entirely </w:t>
      </w:r>
      <w:r>
        <w:t>excluding the operation of Rule 34A in relation to the Fund</w:t>
      </w:r>
      <w:r w:rsidR="00727329">
        <w:t>. I</w:t>
      </w:r>
      <w:r>
        <w:t xml:space="preserve">t seems to me that it </w:t>
      </w:r>
      <w:r w:rsidR="00727329">
        <w:t xml:space="preserve">merely </w:t>
      </w:r>
      <w:r>
        <w:t>narrow</w:t>
      </w:r>
      <w:r w:rsidR="00727329">
        <w:t>s</w:t>
      </w:r>
      <w:r>
        <w:t xml:space="preserve"> the scope of the Rule insofar as </w:t>
      </w:r>
      <w:r w:rsidR="006F331A">
        <w:t xml:space="preserve">it </w:t>
      </w:r>
      <w:r w:rsidR="00727329">
        <w:t xml:space="preserve">may be </w:t>
      </w:r>
      <w:r>
        <w:t>applie</w:t>
      </w:r>
      <w:r w:rsidR="00727329">
        <w:t>d</w:t>
      </w:r>
      <w:r>
        <w:t xml:space="preserve"> to </w:t>
      </w:r>
      <w:r w:rsidR="00727329">
        <w:t xml:space="preserve">the Fund, as </w:t>
      </w:r>
      <w:r w:rsidR="003B2162">
        <w:t xml:space="preserve">was the position in relation to the </w:t>
      </w:r>
      <w:r w:rsidR="00727329">
        <w:t xml:space="preserve">similar previous </w:t>
      </w:r>
      <w:r w:rsidR="003B2162">
        <w:t xml:space="preserve">provision </w:t>
      </w:r>
      <w:r w:rsidR="00727329">
        <w:t xml:space="preserve">that </w:t>
      </w:r>
      <w:r w:rsidR="003B2162">
        <w:t xml:space="preserve">section 17(6) replaced: see </w:t>
      </w:r>
      <w:r w:rsidR="003B2162" w:rsidRPr="003B2162">
        <w:rPr>
          <w:i/>
          <w:iCs/>
        </w:rPr>
        <w:t>Fair v SA Eagle Insurance Co Ltd</w:t>
      </w:r>
      <w:r w:rsidR="003B2162" w:rsidRPr="003B2162">
        <w:t xml:space="preserve"> 1995 (4) SA 96 (E) at 100</w:t>
      </w:r>
      <w:r w:rsidR="00D83D13">
        <w:t>E</w:t>
      </w:r>
      <w:r w:rsidR="003B2162" w:rsidRPr="003B2162">
        <w:t>–</w:t>
      </w:r>
      <w:r w:rsidR="00D83D13">
        <w:t>G</w:t>
      </w:r>
      <w:r w:rsidR="003B2162" w:rsidRPr="003B2162">
        <w:t>.</w:t>
      </w:r>
      <w:r w:rsidR="003B2162">
        <w:t xml:space="preserve"> </w:t>
      </w:r>
    </w:p>
  </w:footnote>
  <w:footnote w:id="4">
    <w:p w14:paraId="0AD973AA" w14:textId="0F4C7C35" w:rsidR="00A91CA3" w:rsidRDefault="00A91CA3">
      <w:pPr>
        <w:pStyle w:val="FootnoteText"/>
      </w:pPr>
      <w:r>
        <w:rPr>
          <w:rStyle w:val="FootnoteReference"/>
        </w:rPr>
        <w:footnoteRef/>
      </w:r>
      <w:r>
        <w:t xml:space="preserve"> </w:t>
      </w:r>
      <w:r>
        <w:tab/>
        <w:t>Rule 34</w:t>
      </w:r>
      <w:proofErr w:type="gramStart"/>
      <w:r>
        <w:t>A(</w:t>
      </w:r>
      <w:proofErr w:type="gramEnd"/>
      <w:r>
        <w:t>2).</w:t>
      </w:r>
    </w:p>
  </w:footnote>
  <w:footnote w:id="5">
    <w:p w14:paraId="1B133BFF" w14:textId="5AE237BD" w:rsidR="00A91CA3" w:rsidRDefault="00A91CA3">
      <w:pPr>
        <w:pStyle w:val="FootnoteText"/>
      </w:pPr>
      <w:r>
        <w:rPr>
          <w:rStyle w:val="FootnoteReference"/>
        </w:rPr>
        <w:footnoteRef/>
      </w:r>
      <w:r>
        <w:t xml:space="preserve"> </w:t>
      </w:r>
      <w:r>
        <w:tab/>
        <w:t>Rule 34</w:t>
      </w:r>
      <w:proofErr w:type="gramStart"/>
      <w:r>
        <w:t>A(</w:t>
      </w:r>
      <w:proofErr w:type="gramEnd"/>
      <w:r>
        <w:t>4)</w:t>
      </w:r>
      <w:r w:rsidR="00BB019D">
        <w:t>.</w:t>
      </w:r>
    </w:p>
  </w:footnote>
  <w:footnote w:id="6">
    <w:p w14:paraId="51414E01" w14:textId="3A5A1A58" w:rsidR="00A91CA3" w:rsidRDefault="00A91CA3">
      <w:pPr>
        <w:pStyle w:val="FootnoteText"/>
      </w:pPr>
      <w:r>
        <w:rPr>
          <w:rStyle w:val="FootnoteReference"/>
        </w:rPr>
        <w:footnoteRef/>
      </w:r>
      <w:r>
        <w:t xml:space="preserve"> </w:t>
      </w:r>
      <w:r>
        <w:tab/>
        <w:t>Rule 34</w:t>
      </w:r>
      <w:proofErr w:type="gramStart"/>
      <w:r>
        <w:t>A(</w:t>
      </w:r>
      <w:proofErr w:type="gramEnd"/>
      <w:r>
        <w:t>5).</w:t>
      </w:r>
    </w:p>
  </w:footnote>
  <w:footnote w:id="7">
    <w:p w14:paraId="0925F03E" w14:textId="24E7CBA5" w:rsidR="00C911E5" w:rsidRDefault="00C911E5">
      <w:pPr>
        <w:pStyle w:val="FootnoteText"/>
      </w:pPr>
      <w:r>
        <w:rPr>
          <w:rStyle w:val="FootnoteReference"/>
        </w:rPr>
        <w:footnoteRef/>
      </w:r>
      <w:r>
        <w:t xml:space="preserve"> </w:t>
      </w:r>
      <w:r>
        <w:tab/>
        <w:t xml:space="preserve">I should note further that I consider the document annexed as annexure LL3 </w:t>
      </w:r>
      <w:r w:rsidR="00BB019D">
        <w:t xml:space="preserve">to be </w:t>
      </w:r>
      <w:r>
        <w:t>irrelevant. As Mr Molojoa conceded at the hearing, while this document evidently constituted a signed written offer by the RAF “</w:t>
      </w:r>
      <w:r w:rsidRPr="0047010F">
        <w:rPr>
          <w:i/>
          <w:iCs/>
        </w:rPr>
        <w:t>in full and final settlement</w:t>
      </w:r>
      <w:r>
        <w:t xml:space="preserve">” of the plaintiff’s claim, it was not accepted on behalf of the plaintiff, who unilaterally amended </w:t>
      </w:r>
      <w:r w:rsidR="00E7481C">
        <w:t xml:space="preserve">and signed </w:t>
      </w:r>
      <w:r>
        <w:t>the document</w:t>
      </w:r>
      <w:r w:rsidR="00E7481C">
        <w:t>, and t</w:t>
      </w:r>
      <w:r>
        <w:t xml:space="preserve">he amendments </w:t>
      </w:r>
      <w:r w:rsidR="00BB019D">
        <w:t xml:space="preserve">were not </w:t>
      </w:r>
      <w:r>
        <w:t xml:space="preserve">accepted by the RAF. In any event, on the plaintiff’s own version, annexure LL3 relates to another amount not claimed by the plaintiff in this application. Furthermore, if there is any doubt in this regard, the document (even </w:t>
      </w:r>
      <w:r w:rsidR="00E7481C">
        <w:t xml:space="preserve">assuming that it was agreed to </w:t>
      </w:r>
      <w:r>
        <w:t>in its amended form</w:t>
      </w:r>
      <w:r w:rsidR="00E7481C">
        <w:t xml:space="preserve">) </w:t>
      </w:r>
      <w:r w:rsidR="00357FF6">
        <w:t xml:space="preserve">expressly </w:t>
      </w:r>
      <w:r w:rsidR="00E7481C">
        <w:t xml:space="preserve">states that it would be an agreement </w:t>
      </w:r>
      <w:r w:rsidR="00BB019D">
        <w:t xml:space="preserve">to pay </w:t>
      </w:r>
      <w:r w:rsidR="00E7481C">
        <w:t>“</w:t>
      </w:r>
      <w:r w:rsidR="00E7481C" w:rsidRPr="00E7481C">
        <w:rPr>
          <w:i/>
          <w:iCs/>
        </w:rPr>
        <w:t>without … admission of liability</w:t>
      </w:r>
      <w:r w:rsidR="00E7481C">
        <w:t xml:space="preserve">” and, as such, suffers from the same deficiency discussed below.  </w:t>
      </w:r>
    </w:p>
  </w:footnote>
  <w:footnote w:id="8">
    <w:p w14:paraId="4F406EED" w14:textId="40F6C9B6" w:rsidR="00357FF6" w:rsidRDefault="00357FF6">
      <w:pPr>
        <w:pStyle w:val="FootnoteText"/>
      </w:pPr>
      <w:r>
        <w:rPr>
          <w:rStyle w:val="FootnoteReference"/>
        </w:rPr>
        <w:footnoteRef/>
      </w:r>
      <w:r>
        <w:t xml:space="preserve">  </w:t>
      </w:r>
      <w:r>
        <w:tab/>
        <w:t xml:space="preserve">Although the applicant in </w:t>
      </w:r>
      <w:r w:rsidRPr="00357FF6">
        <w:rPr>
          <w:i/>
          <w:iCs/>
        </w:rPr>
        <w:t>Kaufmann v The Road Accident Fund</w:t>
      </w:r>
      <w:r w:rsidRPr="00357FF6">
        <w:t xml:space="preserve"> 2019 JDR 2018 (GJ)</w:t>
      </w:r>
      <w:r>
        <w:t xml:space="preserve"> attempted to rely on a similarly worded document, it is apparent from paragraph 18 of the judgment that the court was doubtful as to whether the document </w:t>
      </w:r>
      <w:r w:rsidR="00B73C35">
        <w:t>was adequate,</w:t>
      </w:r>
      <w:r>
        <w:t xml:space="preserve"> and that it was only prepared to award the interim payment in view of the fact that the Fund itself had disclosed that it had made a written offer in relation to past medical and hospital expenses, and it </w:t>
      </w:r>
      <w:r w:rsidR="00B73C35">
        <w:t xml:space="preserve">was </w:t>
      </w:r>
      <w:r>
        <w:t xml:space="preserve">not suggested that this offer </w:t>
      </w:r>
      <w:r w:rsidR="006D7CE2">
        <w:t xml:space="preserve">had been </w:t>
      </w:r>
      <w:r>
        <w:t>made without admission of liability</w:t>
      </w:r>
      <w:r w:rsidR="006D7CE2">
        <w:t>,</w:t>
      </w:r>
      <w:r>
        <w:t xml:space="preserve"> as is the case in the Harripershad matter </w:t>
      </w:r>
      <w:r w:rsidR="00B73C35">
        <w:t>referred to in footnote 7 (above).</w:t>
      </w:r>
    </w:p>
  </w:footnote>
  <w:footnote w:id="9">
    <w:p w14:paraId="4DD4948F" w14:textId="072DB87A" w:rsidR="00D83D13" w:rsidRDefault="00D83D13">
      <w:pPr>
        <w:pStyle w:val="FootnoteText"/>
      </w:pPr>
      <w:r>
        <w:rPr>
          <w:rStyle w:val="FootnoteReference"/>
        </w:rPr>
        <w:footnoteRef/>
      </w:r>
      <w:r>
        <w:t xml:space="preserve"> </w:t>
      </w:r>
      <w:r>
        <w:tab/>
      </w:r>
      <w:r w:rsidR="00FC74B0" w:rsidRPr="00FC74B0">
        <w:rPr>
          <w:i/>
          <w:iCs/>
        </w:rPr>
        <w:t>J v MEC Health, Western Cape</w:t>
      </w:r>
      <w:r w:rsidR="00FC74B0">
        <w:t xml:space="preserve"> [2017] ZAWCHC 75 para 24. In this case, following an extensive discussion of the court’s discretion under the rule, </w:t>
      </w:r>
      <w:r w:rsidR="00C979C0">
        <w:t xml:space="preserve">Henney J </w:t>
      </w:r>
      <w:r w:rsidR="00FC74B0">
        <w:t xml:space="preserve">held that there is no scope for a court to award an interim payment unless one of the requirements set out in </w:t>
      </w:r>
      <w:r w:rsidR="00BB019D">
        <w:t xml:space="preserve">either </w:t>
      </w:r>
      <w:r w:rsidR="00FC74B0">
        <w:t xml:space="preserve">Rule 34(4)(a) or (b) has been met. </w:t>
      </w:r>
    </w:p>
  </w:footnote>
  <w:footnote w:id="10">
    <w:p w14:paraId="7BF64474" w14:textId="16DE3B48" w:rsidR="006F73FF" w:rsidRDefault="006F73FF">
      <w:pPr>
        <w:pStyle w:val="FootnoteText"/>
      </w:pPr>
      <w:r>
        <w:rPr>
          <w:rStyle w:val="FootnoteReference"/>
        </w:rPr>
        <w:footnoteRef/>
      </w:r>
      <w:r>
        <w:t xml:space="preserve"> </w:t>
      </w:r>
      <w:r>
        <w:tab/>
      </w:r>
      <w:r w:rsidR="00E25C11" w:rsidRPr="00E25C11">
        <w:rPr>
          <w:i/>
          <w:iCs/>
        </w:rPr>
        <w:t xml:space="preserve">Law Society of South Africa and Others v Minister for Transport and Another </w:t>
      </w:r>
      <w:r w:rsidR="00E25C11" w:rsidRPr="00E25C11">
        <w:t>2011 (1) SA 400 (CC) para 25</w:t>
      </w:r>
      <w:r w:rsidR="00F70730" w:rsidRPr="00E25C11">
        <w:t>.</w:t>
      </w:r>
    </w:p>
  </w:footnote>
  <w:footnote w:id="11">
    <w:p w14:paraId="43945656" w14:textId="1776758B" w:rsidR="00E25C11" w:rsidRDefault="00E25C11" w:rsidP="002B7280">
      <w:pPr>
        <w:pStyle w:val="FootnoteText"/>
      </w:pPr>
      <w:r>
        <w:rPr>
          <w:rStyle w:val="FootnoteReference"/>
        </w:rPr>
        <w:footnoteRef/>
      </w:r>
      <w:r w:rsidR="002B7280">
        <w:t xml:space="preserve"> </w:t>
      </w:r>
      <w:r w:rsidR="002B7280">
        <w:tab/>
        <w:t xml:space="preserve">In </w:t>
      </w:r>
      <w:r w:rsidR="00BB019D" w:rsidRPr="00B73C35">
        <w:rPr>
          <w:i/>
          <w:iCs/>
        </w:rPr>
        <w:t xml:space="preserve">MS v Road </w:t>
      </w:r>
      <w:r w:rsidR="00BB019D">
        <w:rPr>
          <w:i/>
          <w:iCs/>
        </w:rPr>
        <w:t xml:space="preserve">Accident </w:t>
      </w:r>
      <w:r w:rsidR="00BB019D" w:rsidRPr="00B73C35">
        <w:rPr>
          <w:i/>
          <w:iCs/>
        </w:rPr>
        <w:t>Fund</w:t>
      </w:r>
      <w:r w:rsidR="00BB019D" w:rsidRPr="00AB2F65">
        <w:t xml:space="preserve"> [2019] 3 All SA 626 (GJ)</w:t>
      </w:r>
      <w:r w:rsidR="00BB019D">
        <w:t xml:space="preserve"> para 12</w:t>
      </w:r>
      <w:r w:rsidR="002B7280">
        <w:t>, Fisher J refers to this as the “</w:t>
      </w:r>
      <w:r w:rsidR="002B7280" w:rsidRPr="002B7280">
        <w:rPr>
          <w:i/>
          <w:iCs/>
        </w:rPr>
        <w:t>First Causation Enquiry</w:t>
      </w:r>
      <w:r w:rsidR="002B7280">
        <w:t>”.</w:t>
      </w:r>
    </w:p>
  </w:footnote>
  <w:footnote w:id="12">
    <w:p w14:paraId="0B9E5CE4" w14:textId="6EFF8D21" w:rsidR="00B73C35" w:rsidRDefault="00B73C35" w:rsidP="00B73C35">
      <w:pPr>
        <w:pStyle w:val="FootnoteText"/>
      </w:pPr>
      <w:r>
        <w:rPr>
          <w:rStyle w:val="FootnoteReference"/>
        </w:rPr>
        <w:footnoteRef/>
      </w:r>
      <w:r>
        <w:t xml:space="preserve"> </w:t>
      </w:r>
      <w:r>
        <w:tab/>
      </w:r>
      <w:r w:rsidRPr="00B73C35">
        <w:rPr>
          <w:i/>
          <w:iCs/>
        </w:rPr>
        <w:t xml:space="preserve">MS v Road </w:t>
      </w:r>
      <w:r>
        <w:rPr>
          <w:i/>
          <w:iCs/>
        </w:rPr>
        <w:t xml:space="preserve">Accident </w:t>
      </w:r>
      <w:r w:rsidRPr="00B73C35">
        <w:rPr>
          <w:i/>
          <w:iCs/>
        </w:rPr>
        <w:t>Fund</w:t>
      </w:r>
      <w:r w:rsidRPr="00AB2F65">
        <w:t xml:space="preserve"> (</w:t>
      </w:r>
      <w:r w:rsidR="00BB019D">
        <w:t>above</w:t>
      </w:r>
      <w:r w:rsidRPr="00AB2F65">
        <w:t>)</w:t>
      </w:r>
      <w:r>
        <w:t xml:space="preserve"> para 9. </w:t>
      </w:r>
    </w:p>
  </w:footnote>
  <w:footnote w:id="13">
    <w:p w14:paraId="638182C9" w14:textId="77777777" w:rsidR="00B73C35" w:rsidRPr="00B73C35" w:rsidRDefault="00B73C35" w:rsidP="00B73C35">
      <w:pPr>
        <w:pStyle w:val="FootnoteText"/>
      </w:pPr>
      <w:r>
        <w:rPr>
          <w:rStyle w:val="FootnoteReference"/>
        </w:rPr>
        <w:footnoteRef/>
      </w:r>
      <w:r>
        <w:t xml:space="preserve"> </w:t>
      </w:r>
      <w:r>
        <w:tab/>
      </w:r>
      <w:r w:rsidRPr="00B73C35">
        <w:rPr>
          <w:i/>
          <w:iCs/>
        </w:rPr>
        <w:t xml:space="preserve">MS v Road </w:t>
      </w:r>
      <w:r>
        <w:rPr>
          <w:i/>
          <w:iCs/>
        </w:rPr>
        <w:t xml:space="preserve">Accident </w:t>
      </w:r>
      <w:r w:rsidRPr="00B73C35">
        <w:rPr>
          <w:i/>
          <w:iCs/>
        </w:rPr>
        <w:t>Fund</w:t>
      </w:r>
      <w:r>
        <w:rPr>
          <w:i/>
          <w:iCs/>
        </w:rPr>
        <w:t xml:space="preserve"> </w:t>
      </w:r>
      <w:r>
        <w:t>(above) para 12.</w:t>
      </w:r>
    </w:p>
  </w:footnote>
  <w:footnote w:id="14">
    <w:p w14:paraId="10545EDB" w14:textId="08694680" w:rsidR="00790DA8" w:rsidRDefault="00790DA8">
      <w:pPr>
        <w:pStyle w:val="FootnoteText"/>
      </w:pPr>
      <w:r>
        <w:rPr>
          <w:rStyle w:val="FootnoteReference"/>
        </w:rPr>
        <w:footnoteRef/>
      </w:r>
      <w:r>
        <w:t xml:space="preserve"> </w:t>
      </w:r>
      <w:r>
        <w:tab/>
      </w:r>
      <w:r w:rsidRPr="00790DA8">
        <w:rPr>
          <w:i/>
          <w:iCs/>
        </w:rPr>
        <w:t>MS v RAF</w:t>
      </w:r>
      <w:r>
        <w:t xml:space="preserve"> (above) para 13.</w:t>
      </w:r>
    </w:p>
  </w:footnote>
  <w:footnote w:id="15">
    <w:p w14:paraId="7728E364" w14:textId="3CC80E28" w:rsidR="00AB2F65" w:rsidRDefault="00AB2F65" w:rsidP="00AB2F65">
      <w:pPr>
        <w:pStyle w:val="FootnoteText"/>
      </w:pPr>
      <w:r>
        <w:rPr>
          <w:rStyle w:val="FootnoteReference"/>
        </w:rPr>
        <w:footnoteRef/>
      </w:r>
      <w:r>
        <w:tab/>
      </w:r>
      <w:r w:rsidRPr="00E25C11">
        <w:rPr>
          <w:i/>
          <w:iCs/>
        </w:rPr>
        <w:t>Mnisi</w:t>
      </w:r>
      <w:r>
        <w:t xml:space="preserve"> </w:t>
      </w:r>
      <w:r w:rsidRPr="00E25C11">
        <w:rPr>
          <w:i/>
          <w:iCs/>
        </w:rPr>
        <w:t>v RAF and other related matters</w:t>
      </w:r>
      <w:r>
        <w:t xml:space="preserve"> [2022] JOL 53515 (MM) paras 27 – 28</w:t>
      </w:r>
      <w:r w:rsidR="006F45D1">
        <w:t xml:space="preserve"> and 32 – 33.</w:t>
      </w:r>
    </w:p>
  </w:footnote>
  <w:footnote w:id="16">
    <w:p w14:paraId="78942BEE" w14:textId="3BCF3B81" w:rsidR="00E15D20" w:rsidRDefault="00E15D20">
      <w:pPr>
        <w:pStyle w:val="FootnoteText"/>
      </w:pPr>
      <w:r>
        <w:rPr>
          <w:rStyle w:val="FootnoteReference"/>
        </w:rPr>
        <w:footnoteRef/>
      </w:r>
      <w:r>
        <w:t xml:space="preserve"> </w:t>
      </w:r>
      <w:r>
        <w:tab/>
      </w:r>
      <w:proofErr w:type="spellStart"/>
      <w:r w:rsidRPr="00E15D20">
        <w:rPr>
          <w:i/>
          <w:iCs/>
        </w:rPr>
        <w:t>Apleni</w:t>
      </w:r>
      <w:proofErr w:type="spellEnd"/>
      <w:r w:rsidRPr="00E15D20">
        <w:rPr>
          <w:i/>
          <w:iCs/>
        </w:rPr>
        <w:t xml:space="preserve"> v Minister of Police</w:t>
      </w:r>
      <w:r>
        <w:rPr>
          <w:i/>
          <w:iCs/>
        </w:rPr>
        <w:t xml:space="preserve"> and a related matter </w:t>
      </w:r>
      <w:r w:rsidRPr="00E15D20">
        <w:t>[202</w:t>
      </w:r>
      <w:r w:rsidR="009A1157">
        <w:t>1</w:t>
      </w:r>
      <w:r w:rsidRPr="00E15D20">
        <w:t>] JOL 56020</w:t>
      </w:r>
      <w:r w:rsidR="009A1157">
        <w:t xml:space="preserve"> (WCC)</w:t>
      </w:r>
      <w:r>
        <w:t xml:space="preserve"> para 11</w:t>
      </w:r>
      <w:r w:rsidR="00C979C0">
        <w:t>.</w:t>
      </w:r>
    </w:p>
  </w:footnote>
  <w:footnote w:id="17">
    <w:p w14:paraId="219A5803" w14:textId="77777777" w:rsidR="009930F5" w:rsidRDefault="009930F5" w:rsidP="009930F5">
      <w:pPr>
        <w:pStyle w:val="FootnoteText"/>
      </w:pPr>
      <w:r>
        <w:rPr>
          <w:rStyle w:val="FootnoteReference"/>
        </w:rPr>
        <w:footnoteRef/>
      </w:r>
      <w:r>
        <w:tab/>
        <w:t xml:space="preserve">This is also the sense in which the term was employed in </w:t>
      </w:r>
      <w:proofErr w:type="spellStart"/>
      <w:r w:rsidRPr="00C979C0">
        <w:rPr>
          <w:i/>
          <w:iCs/>
        </w:rPr>
        <w:t>Karpakis</w:t>
      </w:r>
      <w:proofErr w:type="spellEnd"/>
      <w:r w:rsidRPr="00C979C0">
        <w:rPr>
          <w:i/>
          <w:iCs/>
        </w:rPr>
        <w:t xml:space="preserve"> v Mutual &amp; Federal Insurance Co Ltd</w:t>
      </w:r>
      <w:r w:rsidRPr="00C979C0">
        <w:t xml:space="preserve"> 1991 (3) SA 489 (O)</w:t>
      </w:r>
      <w:r>
        <w:t xml:space="preserve"> at 497E–G and 498D.</w:t>
      </w:r>
    </w:p>
  </w:footnote>
  <w:footnote w:id="18">
    <w:p w14:paraId="4C9F4292" w14:textId="4C5DEF81" w:rsidR="00187E63" w:rsidRDefault="00187E63">
      <w:pPr>
        <w:pStyle w:val="FootnoteText"/>
      </w:pPr>
      <w:r>
        <w:rPr>
          <w:rStyle w:val="FootnoteReference"/>
        </w:rPr>
        <w:footnoteRef/>
      </w:r>
      <w:r>
        <w:t xml:space="preserve"> </w:t>
      </w:r>
      <w:r>
        <w:tab/>
      </w:r>
      <w:proofErr w:type="spellStart"/>
      <w:r w:rsidRPr="00187E63">
        <w:rPr>
          <w:i/>
          <w:iCs/>
        </w:rPr>
        <w:t>Tolstrup</w:t>
      </w:r>
      <w:proofErr w:type="spellEnd"/>
      <w:r w:rsidRPr="00187E63">
        <w:rPr>
          <w:i/>
          <w:iCs/>
        </w:rPr>
        <w:t xml:space="preserve"> NO v </w:t>
      </w:r>
      <w:proofErr w:type="spellStart"/>
      <w:r w:rsidRPr="00187E63">
        <w:rPr>
          <w:i/>
          <w:iCs/>
        </w:rPr>
        <w:t>Kwapa</w:t>
      </w:r>
      <w:proofErr w:type="spellEnd"/>
      <w:r w:rsidRPr="00187E63">
        <w:rPr>
          <w:i/>
          <w:iCs/>
        </w:rPr>
        <w:t xml:space="preserve"> NO</w:t>
      </w:r>
      <w:r w:rsidRPr="00187E63">
        <w:t xml:space="preserve"> 2002 (5) SA 73 (W)</w:t>
      </w:r>
      <w:r>
        <w:t xml:space="preserve"> at 77F–G</w:t>
      </w:r>
      <w:r w:rsidRPr="00187E63">
        <w:t>.</w:t>
      </w:r>
      <w:r w:rsidR="0093121B">
        <w:t xml:space="preserve"> </w:t>
      </w:r>
      <w:r w:rsidR="000F3897">
        <w:t xml:space="preserve">In </w:t>
      </w:r>
      <w:r w:rsidR="000F3897" w:rsidRPr="000F3897">
        <w:rPr>
          <w:i/>
          <w:iCs/>
        </w:rPr>
        <w:t xml:space="preserve">Road Accident Fund v </w:t>
      </w:r>
      <w:proofErr w:type="spellStart"/>
      <w:r w:rsidR="000F3897" w:rsidRPr="000F3897">
        <w:rPr>
          <w:i/>
          <w:iCs/>
        </w:rPr>
        <w:t>Krawa</w:t>
      </w:r>
      <w:proofErr w:type="spellEnd"/>
      <w:r w:rsidR="000F3897">
        <w:t xml:space="preserve"> 2012 (2) SA 346 (ECG) at paras 28 to 33, the court held </w:t>
      </w:r>
      <w:r w:rsidR="000F3897" w:rsidRPr="00B7186E">
        <w:t>on the facts</w:t>
      </w:r>
      <w:r w:rsidR="000F3897">
        <w:t xml:space="preserve"> that the Fund’s concession of “</w:t>
      </w:r>
      <w:r w:rsidR="000F3897" w:rsidRPr="000F3897">
        <w:rPr>
          <w:i/>
          <w:iCs/>
        </w:rPr>
        <w:t>the merits</w:t>
      </w:r>
      <w:r w:rsidR="000F3897">
        <w:t xml:space="preserve">” was </w:t>
      </w:r>
      <w:r w:rsidR="000F3897" w:rsidRPr="00B7186E">
        <w:t>not</w:t>
      </w:r>
      <w:r w:rsidR="000F3897">
        <w:t xml:space="preserve"> limited merely to a concession that the insured driver was negligent and that as such the case was distinguishable from </w:t>
      </w:r>
      <w:proofErr w:type="spellStart"/>
      <w:r w:rsidR="000F3897" w:rsidRPr="000F3897">
        <w:rPr>
          <w:i/>
          <w:iCs/>
        </w:rPr>
        <w:t>Tolstrup</w:t>
      </w:r>
      <w:proofErr w:type="spellEnd"/>
      <w:r w:rsidR="000F3897">
        <w:t>. In my view, the current applications are not similarly distinguishable from that case.</w:t>
      </w:r>
    </w:p>
  </w:footnote>
  <w:footnote w:id="19">
    <w:p w14:paraId="317B7F9E" w14:textId="09E69167" w:rsidR="00790DA8" w:rsidRDefault="00790DA8">
      <w:pPr>
        <w:pStyle w:val="FootnoteText"/>
      </w:pPr>
      <w:r>
        <w:rPr>
          <w:rStyle w:val="FootnoteReference"/>
        </w:rPr>
        <w:footnoteRef/>
      </w:r>
      <w:r>
        <w:t xml:space="preserve"> </w:t>
      </w:r>
      <w:r>
        <w:tab/>
      </w:r>
      <w:r w:rsidRPr="00383815">
        <w:rPr>
          <w:i/>
          <w:iCs/>
        </w:rPr>
        <w:t>MS v RAF</w:t>
      </w:r>
      <w:r>
        <w:t xml:space="preserve"> (above) para 2</w:t>
      </w:r>
      <w:r w:rsidR="00E9536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6B26" w14:textId="07664DC7" w:rsidR="00FC0780" w:rsidRPr="007405CA" w:rsidRDefault="00FC0780">
    <w:pPr>
      <w:pStyle w:val="Header"/>
      <w:jc w:val="right"/>
      <w:rPr>
        <w:rFonts w:ascii="Arial" w:hAnsi="Arial" w:cs="Arial"/>
        <w:sz w:val="24"/>
        <w:szCs w:val="24"/>
      </w:rPr>
    </w:pPr>
    <w:r w:rsidRPr="007405CA">
      <w:rPr>
        <w:rFonts w:ascii="Arial" w:hAnsi="Arial" w:cs="Arial"/>
        <w:sz w:val="24"/>
        <w:szCs w:val="24"/>
      </w:rPr>
      <w:fldChar w:fldCharType="begin"/>
    </w:r>
    <w:r w:rsidRPr="007405CA">
      <w:rPr>
        <w:rFonts w:ascii="Arial" w:hAnsi="Arial" w:cs="Arial"/>
        <w:sz w:val="24"/>
        <w:szCs w:val="24"/>
      </w:rPr>
      <w:instrText xml:space="preserve"> PAGE   \* MERGEFORMAT </w:instrText>
    </w:r>
    <w:r w:rsidRPr="007405CA">
      <w:rPr>
        <w:rFonts w:ascii="Arial" w:hAnsi="Arial" w:cs="Arial"/>
        <w:sz w:val="24"/>
        <w:szCs w:val="24"/>
      </w:rPr>
      <w:fldChar w:fldCharType="separate"/>
    </w:r>
    <w:r w:rsidR="001978E8">
      <w:rPr>
        <w:rFonts w:ascii="Arial" w:hAnsi="Arial" w:cs="Arial"/>
        <w:noProof/>
        <w:sz w:val="24"/>
        <w:szCs w:val="24"/>
      </w:rPr>
      <w:t>10</w:t>
    </w:r>
    <w:r w:rsidRPr="007405CA">
      <w:rPr>
        <w:rFonts w:ascii="Arial" w:hAnsi="Arial" w:cs="Arial"/>
        <w:sz w:val="24"/>
        <w:szCs w:val="24"/>
      </w:rPr>
      <w:fldChar w:fldCharType="end"/>
    </w:r>
  </w:p>
  <w:p w14:paraId="07BA724A" w14:textId="77777777" w:rsidR="00FC0780" w:rsidRDefault="00FC0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C73"/>
    <w:multiLevelType w:val="multilevel"/>
    <w:tmpl w:val="1504B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D158FE"/>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19B09B3"/>
    <w:multiLevelType w:val="hybridMultilevel"/>
    <w:tmpl w:val="94ECCFA8"/>
    <w:lvl w:ilvl="0" w:tplc="7C58C6CA">
      <w:start w:val="1"/>
      <w:numFmt w:val="decimal"/>
      <w:pStyle w:val="LC1"/>
      <w:lvlText w:val="[%1]"/>
      <w:lvlJc w:val="left"/>
      <w:pPr>
        <w:ind w:left="720" w:hanging="360"/>
      </w:pPr>
      <w:rPr>
        <w:rFonts w:ascii="Arial" w:hAnsi="Arial" w:cs="Arial" w:hint="default"/>
        <w:b w:val="0"/>
        <w:sz w:val="24"/>
        <w:szCs w:val="24"/>
      </w:rPr>
    </w:lvl>
    <w:lvl w:ilvl="1" w:tplc="E4C4F96E">
      <w:start w:val="1"/>
      <w:numFmt w:val="lowerLetter"/>
      <w:pStyle w:val="LC2"/>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143C46"/>
    <w:multiLevelType w:val="multilevel"/>
    <w:tmpl w:val="9E68A160"/>
    <w:lvl w:ilvl="0">
      <w:start w:val="1"/>
      <w:numFmt w:val="decimal"/>
      <w:lvlText w:val="[%1]"/>
      <w:lvlJc w:val="left"/>
      <w:pPr>
        <w:tabs>
          <w:tab w:val="num" w:pos="720"/>
        </w:tabs>
        <w:ind w:left="720" w:hanging="720"/>
      </w:pPr>
      <w:rPr>
        <w:rFonts w:hint="default"/>
        <w:b w:val="0"/>
        <w:sz w:val="24"/>
        <w:szCs w:val="24"/>
      </w:rPr>
    </w:lvl>
    <w:lvl w:ilvl="1">
      <w:start w:val="1"/>
      <w:numFmt w:val="decimal"/>
      <w:pStyle w:val="Style2"/>
      <w:lvlText w:val="%1.%2"/>
      <w:lvlJc w:val="left"/>
      <w:pPr>
        <w:tabs>
          <w:tab w:val="num" w:pos="1440"/>
        </w:tabs>
        <w:ind w:left="1440" w:hanging="1440"/>
      </w:pPr>
      <w:rPr>
        <w:rFonts w:ascii="Arial" w:hAnsi="Arial" w:hint="default"/>
        <w:b w:val="0"/>
        <w:sz w:val="24"/>
        <w:szCs w:val="24"/>
      </w:rPr>
    </w:lvl>
    <w:lvl w:ilvl="2">
      <w:start w:val="1"/>
      <w:numFmt w:val="decimal"/>
      <w:pStyle w:val="Style3"/>
      <w:lvlText w:val="%1.%2.%3"/>
      <w:lvlJc w:val="left"/>
      <w:pPr>
        <w:tabs>
          <w:tab w:val="num" w:pos="2160"/>
        </w:tabs>
        <w:ind w:left="2160" w:hanging="2160"/>
      </w:pPr>
      <w:rPr>
        <w:rFonts w:ascii="Arial" w:hAnsi="Arial" w:hint="default"/>
        <w:b w:val="0"/>
        <w:sz w:val="24"/>
        <w:szCs w:val="24"/>
      </w:rPr>
    </w:lvl>
    <w:lvl w:ilvl="3">
      <w:start w:val="1"/>
      <w:numFmt w:val="decimal"/>
      <w:pStyle w:val="Style4"/>
      <w:lvlText w:val="%1.%2.%3.%4"/>
      <w:lvlJc w:val="left"/>
      <w:pPr>
        <w:tabs>
          <w:tab w:val="num" w:pos="2880"/>
        </w:tabs>
        <w:ind w:left="2880" w:hanging="2880"/>
      </w:pPr>
      <w:rPr>
        <w:rFonts w:ascii="Arial" w:hAnsi="Arial" w:hint="default"/>
        <w:b w:val="0"/>
        <w:sz w:val="24"/>
        <w:szCs w:val="24"/>
      </w:rPr>
    </w:lvl>
    <w:lvl w:ilvl="4">
      <w:start w:val="1"/>
      <w:numFmt w:val="decimal"/>
      <w:lvlText w:val="%1.%2.%3.%4.%5"/>
      <w:lvlJc w:val="left"/>
      <w:pPr>
        <w:tabs>
          <w:tab w:val="num" w:pos="3600"/>
        </w:tabs>
        <w:ind w:left="3600" w:hanging="3600"/>
      </w:pPr>
      <w:rPr>
        <w:rFonts w:ascii="Arial" w:hAnsi="Arial" w:hint="default"/>
        <w:b w:val="0"/>
        <w:sz w:val="24"/>
        <w:szCs w:val="24"/>
      </w:rPr>
    </w:lvl>
    <w:lvl w:ilvl="5">
      <w:start w:val="1"/>
      <w:numFmt w:val="decimal"/>
      <w:lvlText w:val="%1.%2.%3.%4.%5.%6"/>
      <w:lvlJc w:val="left"/>
      <w:pPr>
        <w:tabs>
          <w:tab w:val="num" w:pos="4321"/>
        </w:tabs>
        <w:ind w:left="4321" w:hanging="4321"/>
      </w:pPr>
      <w:rPr>
        <w:rFonts w:ascii="Arial" w:hAnsi="Arial" w:hint="default"/>
        <w:b w:val="0"/>
        <w:sz w:val="24"/>
        <w:szCs w:val="24"/>
      </w:rPr>
    </w:lvl>
    <w:lvl w:ilvl="6">
      <w:start w:val="1"/>
      <w:numFmt w:val="decimal"/>
      <w:lvlText w:val="%1.%2.%3.%4.%5.%6.%7"/>
      <w:lvlJc w:val="left"/>
      <w:pPr>
        <w:tabs>
          <w:tab w:val="num" w:pos="5041"/>
        </w:tabs>
        <w:ind w:left="5041" w:hanging="5041"/>
      </w:pPr>
      <w:rPr>
        <w:rFonts w:ascii="Arial" w:hAnsi="Arial" w:hint="default"/>
        <w:b w:val="0"/>
        <w:sz w:val="24"/>
        <w:szCs w:val="24"/>
      </w:rPr>
    </w:lvl>
    <w:lvl w:ilvl="7">
      <w:start w:val="1"/>
      <w:numFmt w:val="decimal"/>
      <w:lvlText w:val="%1.%2.%3.%4.%5.%6.%7.%8"/>
      <w:lvlJc w:val="left"/>
      <w:pPr>
        <w:tabs>
          <w:tab w:val="num" w:pos="5761"/>
        </w:tabs>
        <w:ind w:left="5761" w:hanging="5761"/>
      </w:pPr>
      <w:rPr>
        <w:rFonts w:ascii="Arial" w:hAnsi="Arial" w:hint="default"/>
        <w:b w:val="0"/>
        <w:sz w:val="24"/>
        <w:szCs w:val="24"/>
      </w:rPr>
    </w:lvl>
    <w:lvl w:ilvl="8">
      <w:start w:val="1"/>
      <w:numFmt w:val="decimal"/>
      <w:lvlText w:val="%1.%2.%3.%4.%5.%6.%7.%8.%9"/>
      <w:lvlJc w:val="left"/>
      <w:pPr>
        <w:tabs>
          <w:tab w:val="num" w:pos="6481"/>
        </w:tabs>
        <w:ind w:left="6481" w:hanging="6481"/>
      </w:pPr>
      <w:rPr>
        <w:rFonts w:ascii="Arial" w:hAnsi="Arial" w:hint="default"/>
        <w:b w:val="0"/>
        <w:sz w:val="24"/>
        <w:szCs w:val="24"/>
      </w:rPr>
    </w:lvl>
  </w:abstractNum>
  <w:abstractNum w:abstractNumId="5" w15:restartNumberingAfterBreak="0">
    <w:nsid w:val="2CF15D73"/>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60A44CF3"/>
    <w:multiLevelType w:val="multilevel"/>
    <w:tmpl w:val="34109A2E"/>
    <w:lvl w:ilvl="0">
      <w:start w:val="1"/>
      <w:numFmt w:val="decimal"/>
      <w:lvlText w:val="%1."/>
      <w:lvlJc w:val="left"/>
      <w:pPr>
        <w:ind w:left="720"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1.%2.%3.%4"/>
      <w:lvlJc w:val="left"/>
      <w:pPr>
        <w:ind w:left="2880" w:hanging="2880"/>
      </w:pPr>
      <w:rPr>
        <w:rFonts w:hint="default"/>
      </w:rPr>
    </w:lvl>
    <w:lvl w:ilvl="4">
      <w:start w:val="1"/>
      <w:numFmt w:val="decimal"/>
      <w:lvlText w:val="%1.%2.%3.%4.%5"/>
      <w:lvlJc w:val="left"/>
      <w:pPr>
        <w:ind w:left="3600" w:hanging="3600"/>
      </w:pPr>
      <w:rPr>
        <w:rFonts w:hint="default"/>
      </w:rPr>
    </w:lvl>
    <w:lvl w:ilvl="5">
      <w:start w:val="1"/>
      <w:numFmt w:val="decimal"/>
      <w:lvlText w:val="%1.%2.%3.%4.%5.%6"/>
      <w:lvlJc w:val="left"/>
      <w:pPr>
        <w:ind w:left="4320" w:hanging="4320"/>
      </w:pPr>
      <w:rPr>
        <w:rFonts w:hint="default"/>
      </w:rPr>
    </w:lvl>
    <w:lvl w:ilvl="6">
      <w:start w:val="1"/>
      <w:numFmt w:val="decimal"/>
      <w:lvlText w:val="%1.%2.%3.%4.%5.%6.%7"/>
      <w:lvlJc w:val="left"/>
      <w:pPr>
        <w:ind w:left="5040" w:hanging="5040"/>
      </w:pPr>
      <w:rPr>
        <w:rFonts w:hint="default"/>
      </w:rPr>
    </w:lvl>
    <w:lvl w:ilvl="7">
      <w:start w:val="1"/>
      <w:numFmt w:val="decimal"/>
      <w:lvlText w:val="%1.%2.%3.%4.%5.%6.%7.%8"/>
      <w:lvlJc w:val="left"/>
      <w:pPr>
        <w:ind w:left="5760" w:hanging="5760"/>
      </w:pPr>
      <w:rPr>
        <w:rFonts w:hint="default"/>
      </w:rPr>
    </w:lvl>
    <w:lvl w:ilvl="8">
      <w:start w:val="1"/>
      <w:numFmt w:val="decimal"/>
      <w:lvlText w:val="%1.%2.%3.%4.%5.%6.%7.%8.%9"/>
      <w:lvlJc w:val="left"/>
      <w:pPr>
        <w:ind w:left="6480" w:hanging="6480"/>
      </w:pPr>
      <w:rPr>
        <w:rFonts w:hint="default"/>
      </w:rPr>
    </w:lvl>
  </w:abstractNum>
  <w:abstractNum w:abstractNumId="7" w15:restartNumberingAfterBreak="0">
    <w:nsid w:val="621B7EE1"/>
    <w:multiLevelType w:val="multilevel"/>
    <w:tmpl w:val="802C7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CB1021B"/>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6F7704B2"/>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204320666">
    <w:abstractNumId w:val="4"/>
  </w:num>
  <w:num w:numId="2" w16cid:durableId="1336150073">
    <w:abstractNumId w:val="0"/>
  </w:num>
  <w:num w:numId="3" w16cid:durableId="1261523715">
    <w:abstractNumId w:val="4"/>
  </w:num>
  <w:num w:numId="4" w16cid:durableId="1962573140">
    <w:abstractNumId w:val="4"/>
  </w:num>
  <w:num w:numId="5" w16cid:durableId="914701103">
    <w:abstractNumId w:val="4"/>
  </w:num>
  <w:num w:numId="6" w16cid:durableId="1104573343">
    <w:abstractNumId w:val="4"/>
  </w:num>
  <w:num w:numId="7" w16cid:durableId="1770394476">
    <w:abstractNumId w:val="4"/>
  </w:num>
  <w:num w:numId="8" w16cid:durableId="1876313188">
    <w:abstractNumId w:val="4"/>
  </w:num>
  <w:num w:numId="9" w16cid:durableId="1914508322">
    <w:abstractNumId w:val="4"/>
  </w:num>
  <w:num w:numId="10" w16cid:durableId="2020497776">
    <w:abstractNumId w:val="6"/>
  </w:num>
  <w:num w:numId="11" w16cid:durableId="1629162703">
    <w:abstractNumId w:val="7"/>
  </w:num>
  <w:num w:numId="12" w16cid:durableId="486171053">
    <w:abstractNumId w:val="4"/>
  </w:num>
  <w:num w:numId="13" w16cid:durableId="1836260618">
    <w:abstractNumId w:val="4"/>
  </w:num>
  <w:num w:numId="14" w16cid:durableId="1200977141">
    <w:abstractNumId w:val="4"/>
  </w:num>
  <w:num w:numId="15" w16cid:durableId="1305160677">
    <w:abstractNumId w:val="4"/>
  </w:num>
  <w:num w:numId="16" w16cid:durableId="1156338855">
    <w:abstractNumId w:val="4"/>
  </w:num>
  <w:num w:numId="17" w16cid:durableId="537400060">
    <w:abstractNumId w:val="4"/>
  </w:num>
  <w:num w:numId="18" w16cid:durableId="1596160985">
    <w:abstractNumId w:val="4"/>
  </w:num>
  <w:num w:numId="19" w16cid:durableId="962686854">
    <w:abstractNumId w:val="4"/>
  </w:num>
  <w:num w:numId="20" w16cid:durableId="276261709">
    <w:abstractNumId w:val="4"/>
  </w:num>
  <w:num w:numId="21" w16cid:durableId="245042843">
    <w:abstractNumId w:val="4"/>
  </w:num>
  <w:num w:numId="22" w16cid:durableId="1413626379">
    <w:abstractNumId w:val="4"/>
  </w:num>
  <w:num w:numId="23" w16cid:durableId="1256942657">
    <w:abstractNumId w:val="4"/>
  </w:num>
  <w:num w:numId="24" w16cid:durableId="859702300">
    <w:abstractNumId w:val="4"/>
  </w:num>
  <w:num w:numId="25" w16cid:durableId="1902321687">
    <w:abstractNumId w:val="4"/>
  </w:num>
  <w:num w:numId="26" w16cid:durableId="141705241">
    <w:abstractNumId w:val="4"/>
  </w:num>
  <w:num w:numId="27" w16cid:durableId="1353190177">
    <w:abstractNumId w:val="4"/>
  </w:num>
  <w:num w:numId="28" w16cid:durableId="86776812">
    <w:abstractNumId w:val="4"/>
  </w:num>
  <w:num w:numId="29" w16cid:durableId="838736965">
    <w:abstractNumId w:val="4"/>
  </w:num>
  <w:num w:numId="30" w16cid:durableId="101802694">
    <w:abstractNumId w:val="4"/>
  </w:num>
  <w:num w:numId="31" w16cid:durableId="1512912493">
    <w:abstractNumId w:val="4"/>
  </w:num>
  <w:num w:numId="32" w16cid:durableId="1624919901">
    <w:abstractNumId w:val="4"/>
  </w:num>
  <w:num w:numId="33" w16cid:durableId="1510632089">
    <w:abstractNumId w:val="4"/>
  </w:num>
  <w:num w:numId="34" w16cid:durableId="811407088">
    <w:abstractNumId w:val="4"/>
  </w:num>
  <w:num w:numId="35" w16cid:durableId="1396322591">
    <w:abstractNumId w:val="3"/>
  </w:num>
  <w:num w:numId="36" w16cid:durableId="8982492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17411133">
    <w:abstractNumId w:val="2"/>
  </w:num>
  <w:num w:numId="38" w16cid:durableId="2125078992">
    <w:abstractNumId w:val="1"/>
  </w:num>
  <w:num w:numId="39" w16cid:durableId="1447121300">
    <w:abstractNumId w:val="5"/>
  </w:num>
  <w:num w:numId="40" w16cid:durableId="1194804297">
    <w:abstractNumId w:val="9"/>
  </w:num>
  <w:num w:numId="41" w16cid:durableId="1410074122">
    <w:abstractNumId w:val="8"/>
  </w:num>
  <w:num w:numId="42" w16cid:durableId="91771607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1C"/>
    <w:rsid w:val="000012A6"/>
    <w:rsid w:val="00001F4A"/>
    <w:rsid w:val="00003782"/>
    <w:rsid w:val="00003803"/>
    <w:rsid w:val="00004549"/>
    <w:rsid w:val="00004D23"/>
    <w:rsid w:val="0000706E"/>
    <w:rsid w:val="000073C9"/>
    <w:rsid w:val="0001167B"/>
    <w:rsid w:val="0001502E"/>
    <w:rsid w:val="0002226B"/>
    <w:rsid w:val="00022F6D"/>
    <w:rsid w:val="0002662D"/>
    <w:rsid w:val="00031365"/>
    <w:rsid w:val="00031BDD"/>
    <w:rsid w:val="0003348B"/>
    <w:rsid w:val="00034E66"/>
    <w:rsid w:val="000351B2"/>
    <w:rsid w:val="00044A38"/>
    <w:rsid w:val="00045FEF"/>
    <w:rsid w:val="000472C4"/>
    <w:rsid w:val="000510E6"/>
    <w:rsid w:val="000520DA"/>
    <w:rsid w:val="0006394C"/>
    <w:rsid w:val="00064401"/>
    <w:rsid w:val="00065E5C"/>
    <w:rsid w:val="00070100"/>
    <w:rsid w:val="00070375"/>
    <w:rsid w:val="000716A9"/>
    <w:rsid w:val="00072AB8"/>
    <w:rsid w:val="00077868"/>
    <w:rsid w:val="000824F1"/>
    <w:rsid w:val="00082F4A"/>
    <w:rsid w:val="000831B3"/>
    <w:rsid w:val="000833AD"/>
    <w:rsid w:val="00085E78"/>
    <w:rsid w:val="00094012"/>
    <w:rsid w:val="00094DFD"/>
    <w:rsid w:val="000A2519"/>
    <w:rsid w:val="000A6817"/>
    <w:rsid w:val="000A6D19"/>
    <w:rsid w:val="000B1421"/>
    <w:rsid w:val="000B3E04"/>
    <w:rsid w:val="000B5042"/>
    <w:rsid w:val="000B670C"/>
    <w:rsid w:val="000C0393"/>
    <w:rsid w:val="000C6122"/>
    <w:rsid w:val="000C785F"/>
    <w:rsid w:val="000C7D79"/>
    <w:rsid w:val="000D0102"/>
    <w:rsid w:val="000D011D"/>
    <w:rsid w:val="000D3349"/>
    <w:rsid w:val="000D67C6"/>
    <w:rsid w:val="000D6B38"/>
    <w:rsid w:val="000E2737"/>
    <w:rsid w:val="000E3458"/>
    <w:rsid w:val="000E37F3"/>
    <w:rsid w:val="000E6595"/>
    <w:rsid w:val="000E6B70"/>
    <w:rsid w:val="000E6CBA"/>
    <w:rsid w:val="000E77CD"/>
    <w:rsid w:val="000F20C7"/>
    <w:rsid w:val="000F2126"/>
    <w:rsid w:val="000F3897"/>
    <w:rsid w:val="00100562"/>
    <w:rsid w:val="00100D7D"/>
    <w:rsid w:val="00110166"/>
    <w:rsid w:val="001129AE"/>
    <w:rsid w:val="00117061"/>
    <w:rsid w:val="00122E7C"/>
    <w:rsid w:val="001261D9"/>
    <w:rsid w:val="001317DB"/>
    <w:rsid w:val="0013270A"/>
    <w:rsid w:val="00133185"/>
    <w:rsid w:val="0013376C"/>
    <w:rsid w:val="0013396B"/>
    <w:rsid w:val="00134416"/>
    <w:rsid w:val="0013446D"/>
    <w:rsid w:val="0013734C"/>
    <w:rsid w:val="00141E17"/>
    <w:rsid w:val="00144D8F"/>
    <w:rsid w:val="00147CF6"/>
    <w:rsid w:val="001525A0"/>
    <w:rsid w:val="00153263"/>
    <w:rsid w:val="00153692"/>
    <w:rsid w:val="00155545"/>
    <w:rsid w:val="0016137A"/>
    <w:rsid w:val="00161742"/>
    <w:rsid w:val="00161768"/>
    <w:rsid w:val="001772D1"/>
    <w:rsid w:val="00177A2D"/>
    <w:rsid w:val="00185305"/>
    <w:rsid w:val="00185D04"/>
    <w:rsid w:val="001869B1"/>
    <w:rsid w:val="0018761E"/>
    <w:rsid w:val="00187E63"/>
    <w:rsid w:val="00190F5B"/>
    <w:rsid w:val="001913F8"/>
    <w:rsid w:val="0019412F"/>
    <w:rsid w:val="001941AE"/>
    <w:rsid w:val="00194624"/>
    <w:rsid w:val="00195948"/>
    <w:rsid w:val="001978E8"/>
    <w:rsid w:val="001A03F9"/>
    <w:rsid w:val="001A066C"/>
    <w:rsid w:val="001A2909"/>
    <w:rsid w:val="001A42D3"/>
    <w:rsid w:val="001A55DB"/>
    <w:rsid w:val="001A66FF"/>
    <w:rsid w:val="001B05F3"/>
    <w:rsid w:val="001B5CB4"/>
    <w:rsid w:val="001B66D5"/>
    <w:rsid w:val="001B7FDB"/>
    <w:rsid w:val="001C0EBD"/>
    <w:rsid w:val="001C338F"/>
    <w:rsid w:val="001D2FCD"/>
    <w:rsid w:val="001D3CAA"/>
    <w:rsid w:val="001D3DE1"/>
    <w:rsid w:val="001D73D1"/>
    <w:rsid w:val="001E1934"/>
    <w:rsid w:val="001E2746"/>
    <w:rsid w:val="001E3C4A"/>
    <w:rsid w:val="001E6505"/>
    <w:rsid w:val="001F3346"/>
    <w:rsid w:val="001F40A2"/>
    <w:rsid w:val="001F41FC"/>
    <w:rsid w:val="0020038A"/>
    <w:rsid w:val="002011CA"/>
    <w:rsid w:val="00201D94"/>
    <w:rsid w:val="0020470F"/>
    <w:rsid w:val="00204894"/>
    <w:rsid w:val="00205D77"/>
    <w:rsid w:val="002079F3"/>
    <w:rsid w:val="002131B0"/>
    <w:rsid w:val="00214702"/>
    <w:rsid w:val="002153EB"/>
    <w:rsid w:val="0021615D"/>
    <w:rsid w:val="002204D4"/>
    <w:rsid w:val="0022201A"/>
    <w:rsid w:val="00223394"/>
    <w:rsid w:val="00223659"/>
    <w:rsid w:val="00225C87"/>
    <w:rsid w:val="0022691E"/>
    <w:rsid w:val="002307DC"/>
    <w:rsid w:val="00231758"/>
    <w:rsid w:val="0023238A"/>
    <w:rsid w:val="00232AAA"/>
    <w:rsid w:val="002354C7"/>
    <w:rsid w:val="0023710F"/>
    <w:rsid w:val="00243FFB"/>
    <w:rsid w:val="002458DA"/>
    <w:rsid w:val="00247065"/>
    <w:rsid w:val="002507E7"/>
    <w:rsid w:val="00250CA2"/>
    <w:rsid w:val="00252EA0"/>
    <w:rsid w:val="00254A2A"/>
    <w:rsid w:val="002568A5"/>
    <w:rsid w:val="00261518"/>
    <w:rsid w:val="0026179C"/>
    <w:rsid w:val="00262145"/>
    <w:rsid w:val="00264164"/>
    <w:rsid w:val="00264DBD"/>
    <w:rsid w:val="00272CC9"/>
    <w:rsid w:val="002738F6"/>
    <w:rsid w:val="0027476A"/>
    <w:rsid w:val="00275348"/>
    <w:rsid w:val="00281AA5"/>
    <w:rsid w:val="00283AE9"/>
    <w:rsid w:val="00284935"/>
    <w:rsid w:val="0028506A"/>
    <w:rsid w:val="00287983"/>
    <w:rsid w:val="002904E8"/>
    <w:rsid w:val="002915EF"/>
    <w:rsid w:val="00293A08"/>
    <w:rsid w:val="002943CC"/>
    <w:rsid w:val="00294703"/>
    <w:rsid w:val="002951E4"/>
    <w:rsid w:val="002A263A"/>
    <w:rsid w:val="002A2834"/>
    <w:rsid w:val="002A5354"/>
    <w:rsid w:val="002A6A82"/>
    <w:rsid w:val="002B074C"/>
    <w:rsid w:val="002B1D2E"/>
    <w:rsid w:val="002B29E2"/>
    <w:rsid w:val="002B4682"/>
    <w:rsid w:val="002B64E9"/>
    <w:rsid w:val="002B7280"/>
    <w:rsid w:val="002C4033"/>
    <w:rsid w:val="002C4D66"/>
    <w:rsid w:val="002D425A"/>
    <w:rsid w:val="002D47F7"/>
    <w:rsid w:val="002E3F6F"/>
    <w:rsid w:val="002F1953"/>
    <w:rsid w:val="002F7EA9"/>
    <w:rsid w:val="00300C56"/>
    <w:rsid w:val="00302B56"/>
    <w:rsid w:val="003031DE"/>
    <w:rsid w:val="00303C39"/>
    <w:rsid w:val="0030632A"/>
    <w:rsid w:val="00306A29"/>
    <w:rsid w:val="0030779C"/>
    <w:rsid w:val="00311B83"/>
    <w:rsid w:val="00316A03"/>
    <w:rsid w:val="00316BB4"/>
    <w:rsid w:val="00316EB2"/>
    <w:rsid w:val="00320590"/>
    <w:rsid w:val="00323262"/>
    <w:rsid w:val="00323CEC"/>
    <w:rsid w:val="00333F6D"/>
    <w:rsid w:val="00334249"/>
    <w:rsid w:val="003370D2"/>
    <w:rsid w:val="0034240A"/>
    <w:rsid w:val="00342CE8"/>
    <w:rsid w:val="00343523"/>
    <w:rsid w:val="003438A1"/>
    <w:rsid w:val="00344610"/>
    <w:rsid w:val="00356CD7"/>
    <w:rsid w:val="0035787D"/>
    <w:rsid w:val="00357FF6"/>
    <w:rsid w:val="0036450F"/>
    <w:rsid w:val="00366EC7"/>
    <w:rsid w:val="00367FE4"/>
    <w:rsid w:val="00371EAC"/>
    <w:rsid w:val="00374424"/>
    <w:rsid w:val="00375189"/>
    <w:rsid w:val="00383815"/>
    <w:rsid w:val="00383DE0"/>
    <w:rsid w:val="003843A1"/>
    <w:rsid w:val="003844CD"/>
    <w:rsid w:val="00387D95"/>
    <w:rsid w:val="00387E2B"/>
    <w:rsid w:val="00393CFC"/>
    <w:rsid w:val="00394257"/>
    <w:rsid w:val="00394A38"/>
    <w:rsid w:val="0039695C"/>
    <w:rsid w:val="003A1345"/>
    <w:rsid w:val="003A18A9"/>
    <w:rsid w:val="003A1E5C"/>
    <w:rsid w:val="003A25F7"/>
    <w:rsid w:val="003A2784"/>
    <w:rsid w:val="003B0D7D"/>
    <w:rsid w:val="003B0DFF"/>
    <w:rsid w:val="003B1C0D"/>
    <w:rsid w:val="003B2162"/>
    <w:rsid w:val="003B39F8"/>
    <w:rsid w:val="003B5ACF"/>
    <w:rsid w:val="003B7448"/>
    <w:rsid w:val="003C0FEE"/>
    <w:rsid w:val="003C133F"/>
    <w:rsid w:val="003C39BB"/>
    <w:rsid w:val="003C4F1C"/>
    <w:rsid w:val="003D2AD1"/>
    <w:rsid w:val="003D6B4C"/>
    <w:rsid w:val="003D736C"/>
    <w:rsid w:val="003E4340"/>
    <w:rsid w:val="003E5CCD"/>
    <w:rsid w:val="003E65DB"/>
    <w:rsid w:val="003E6F2D"/>
    <w:rsid w:val="003F0485"/>
    <w:rsid w:val="003F0A4D"/>
    <w:rsid w:val="003F0FB5"/>
    <w:rsid w:val="003F1021"/>
    <w:rsid w:val="003F7818"/>
    <w:rsid w:val="003F7CBD"/>
    <w:rsid w:val="004005B6"/>
    <w:rsid w:val="00400C5A"/>
    <w:rsid w:val="00401C97"/>
    <w:rsid w:val="004047D5"/>
    <w:rsid w:val="00406476"/>
    <w:rsid w:val="004071E9"/>
    <w:rsid w:val="00407D6B"/>
    <w:rsid w:val="004156FA"/>
    <w:rsid w:val="004209D8"/>
    <w:rsid w:val="004229C3"/>
    <w:rsid w:val="004268B9"/>
    <w:rsid w:val="00427C68"/>
    <w:rsid w:val="004341D0"/>
    <w:rsid w:val="0043517E"/>
    <w:rsid w:val="0044726A"/>
    <w:rsid w:val="00450395"/>
    <w:rsid w:val="004529B4"/>
    <w:rsid w:val="004574CF"/>
    <w:rsid w:val="00457C05"/>
    <w:rsid w:val="00461C58"/>
    <w:rsid w:val="004631CF"/>
    <w:rsid w:val="00467FAE"/>
    <w:rsid w:val="0047010F"/>
    <w:rsid w:val="00470CB2"/>
    <w:rsid w:val="004836EE"/>
    <w:rsid w:val="00485082"/>
    <w:rsid w:val="00485A06"/>
    <w:rsid w:val="00485BE2"/>
    <w:rsid w:val="00485D51"/>
    <w:rsid w:val="004871E9"/>
    <w:rsid w:val="0049213A"/>
    <w:rsid w:val="00493927"/>
    <w:rsid w:val="0049403D"/>
    <w:rsid w:val="004A26B4"/>
    <w:rsid w:val="004A482E"/>
    <w:rsid w:val="004A61E8"/>
    <w:rsid w:val="004A72C3"/>
    <w:rsid w:val="004B1046"/>
    <w:rsid w:val="004B3172"/>
    <w:rsid w:val="004B70F3"/>
    <w:rsid w:val="004C1163"/>
    <w:rsid w:val="004C209D"/>
    <w:rsid w:val="004C2F68"/>
    <w:rsid w:val="004D059C"/>
    <w:rsid w:val="004D2CC7"/>
    <w:rsid w:val="004D2E17"/>
    <w:rsid w:val="004D4506"/>
    <w:rsid w:val="004D4A30"/>
    <w:rsid w:val="004D7420"/>
    <w:rsid w:val="004E2571"/>
    <w:rsid w:val="004E2B12"/>
    <w:rsid w:val="004E3832"/>
    <w:rsid w:val="004E3B4E"/>
    <w:rsid w:val="004E4A55"/>
    <w:rsid w:val="004E6DBC"/>
    <w:rsid w:val="004F239B"/>
    <w:rsid w:val="004F4CC1"/>
    <w:rsid w:val="004F4D7E"/>
    <w:rsid w:val="00502C6E"/>
    <w:rsid w:val="00504B76"/>
    <w:rsid w:val="00505F2B"/>
    <w:rsid w:val="00506722"/>
    <w:rsid w:val="0050762B"/>
    <w:rsid w:val="0051292F"/>
    <w:rsid w:val="00516A81"/>
    <w:rsid w:val="00531A72"/>
    <w:rsid w:val="00535053"/>
    <w:rsid w:val="005357A4"/>
    <w:rsid w:val="00535FFA"/>
    <w:rsid w:val="00536906"/>
    <w:rsid w:val="0055113E"/>
    <w:rsid w:val="00552A12"/>
    <w:rsid w:val="00554368"/>
    <w:rsid w:val="00555228"/>
    <w:rsid w:val="0055724B"/>
    <w:rsid w:val="00560305"/>
    <w:rsid w:val="00560AE9"/>
    <w:rsid w:val="00560CB2"/>
    <w:rsid w:val="00564164"/>
    <w:rsid w:val="00564B8A"/>
    <w:rsid w:val="0056687A"/>
    <w:rsid w:val="00566A8C"/>
    <w:rsid w:val="00567801"/>
    <w:rsid w:val="005708F6"/>
    <w:rsid w:val="00573912"/>
    <w:rsid w:val="0057634C"/>
    <w:rsid w:val="00576DC0"/>
    <w:rsid w:val="0058318E"/>
    <w:rsid w:val="00583873"/>
    <w:rsid w:val="00584B23"/>
    <w:rsid w:val="00586825"/>
    <w:rsid w:val="00590502"/>
    <w:rsid w:val="005938AC"/>
    <w:rsid w:val="0059397B"/>
    <w:rsid w:val="005953FD"/>
    <w:rsid w:val="00596448"/>
    <w:rsid w:val="0059799B"/>
    <w:rsid w:val="005A2878"/>
    <w:rsid w:val="005A3E6A"/>
    <w:rsid w:val="005A502D"/>
    <w:rsid w:val="005B1663"/>
    <w:rsid w:val="005B32F4"/>
    <w:rsid w:val="005B3C6E"/>
    <w:rsid w:val="005C740A"/>
    <w:rsid w:val="005D1628"/>
    <w:rsid w:val="005D6850"/>
    <w:rsid w:val="005E4834"/>
    <w:rsid w:val="005E4F44"/>
    <w:rsid w:val="005E52B8"/>
    <w:rsid w:val="005F1181"/>
    <w:rsid w:val="005F514C"/>
    <w:rsid w:val="005F7C9A"/>
    <w:rsid w:val="00602402"/>
    <w:rsid w:val="00610740"/>
    <w:rsid w:val="00612618"/>
    <w:rsid w:val="00615C8B"/>
    <w:rsid w:val="00620527"/>
    <w:rsid w:val="0062053B"/>
    <w:rsid w:val="00620927"/>
    <w:rsid w:val="00620A35"/>
    <w:rsid w:val="00620C55"/>
    <w:rsid w:val="00620C69"/>
    <w:rsid w:val="0062116D"/>
    <w:rsid w:val="00623306"/>
    <w:rsid w:val="00626354"/>
    <w:rsid w:val="00631A43"/>
    <w:rsid w:val="00633829"/>
    <w:rsid w:val="0064508E"/>
    <w:rsid w:val="0064691B"/>
    <w:rsid w:val="00650039"/>
    <w:rsid w:val="00660038"/>
    <w:rsid w:val="00660D19"/>
    <w:rsid w:val="00662205"/>
    <w:rsid w:val="00662878"/>
    <w:rsid w:val="00663206"/>
    <w:rsid w:val="00664551"/>
    <w:rsid w:val="00665B87"/>
    <w:rsid w:val="00671349"/>
    <w:rsid w:val="00671E88"/>
    <w:rsid w:val="00672E25"/>
    <w:rsid w:val="00675086"/>
    <w:rsid w:val="00675D4C"/>
    <w:rsid w:val="00675FDD"/>
    <w:rsid w:val="0068156F"/>
    <w:rsid w:val="00681DB6"/>
    <w:rsid w:val="00685BFC"/>
    <w:rsid w:val="00685F17"/>
    <w:rsid w:val="006910D5"/>
    <w:rsid w:val="00691BB1"/>
    <w:rsid w:val="00693017"/>
    <w:rsid w:val="00694EDB"/>
    <w:rsid w:val="006A19A2"/>
    <w:rsid w:val="006A5165"/>
    <w:rsid w:val="006A62B2"/>
    <w:rsid w:val="006B005F"/>
    <w:rsid w:val="006B00FC"/>
    <w:rsid w:val="006B1C26"/>
    <w:rsid w:val="006B612E"/>
    <w:rsid w:val="006C49A0"/>
    <w:rsid w:val="006C50B9"/>
    <w:rsid w:val="006C7710"/>
    <w:rsid w:val="006C790B"/>
    <w:rsid w:val="006C7A09"/>
    <w:rsid w:val="006C7A3A"/>
    <w:rsid w:val="006D0194"/>
    <w:rsid w:val="006D05EB"/>
    <w:rsid w:val="006D1DEE"/>
    <w:rsid w:val="006D562E"/>
    <w:rsid w:val="006D7CE2"/>
    <w:rsid w:val="006E19FB"/>
    <w:rsid w:val="006E3F30"/>
    <w:rsid w:val="006E50DF"/>
    <w:rsid w:val="006E637D"/>
    <w:rsid w:val="006F331A"/>
    <w:rsid w:val="006F3C07"/>
    <w:rsid w:val="006F45D1"/>
    <w:rsid w:val="006F471F"/>
    <w:rsid w:val="006F73FF"/>
    <w:rsid w:val="006F7771"/>
    <w:rsid w:val="007046ED"/>
    <w:rsid w:val="00706851"/>
    <w:rsid w:val="00706DEF"/>
    <w:rsid w:val="00717608"/>
    <w:rsid w:val="0072490A"/>
    <w:rsid w:val="00727329"/>
    <w:rsid w:val="00730BAC"/>
    <w:rsid w:val="00731CD4"/>
    <w:rsid w:val="00732048"/>
    <w:rsid w:val="0073729E"/>
    <w:rsid w:val="00743341"/>
    <w:rsid w:val="00743662"/>
    <w:rsid w:val="00745C12"/>
    <w:rsid w:val="0074639A"/>
    <w:rsid w:val="007532D7"/>
    <w:rsid w:val="007539E6"/>
    <w:rsid w:val="00753D4C"/>
    <w:rsid w:val="00760412"/>
    <w:rsid w:val="00760602"/>
    <w:rsid w:val="007613D7"/>
    <w:rsid w:val="0076208F"/>
    <w:rsid w:val="00763359"/>
    <w:rsid w:val="00776390"/>
    <w:rsid w:val="007779D1"/>
    <w:rsid w:val="00781AF9"/>
    <w:rsid w:val="00785DCD"/>
    <w:rsid w:val="00790DA8"/>
    <w:rsid w:val="0079152D"/>
    <w:rsid w:val="007917EC"/>
    <w:rsid w:val="00792BFA"/>
    <w:rsid w:val="00796A89"/>
    <w:rsid w:val="007A5A73"/>
    <w:rsid w:val="007A5DD7"/>
    <w:rsid w:val="007A5E17"/>
    <w:rsid w:val="007A6630"/>
    <w:rsid w:val="007B07F7"/>
    <w:rsid w:val="007B42C5"/>
    <w:rsid w:val="007B6259"/>
    <w:rsid w:val="007B70A2"/>
    <w:rsid w:val="007B798F"/>
    <w:rsid w:val="007C03FB"/>
    <w:rsid w:val="007C207B"/>
    <w:rsid w:val="007C280E"/>
    <w:rsid w:val="007C2DD4"/>
    <w:rsid w:val="007C3650"/>
    <w:rsid w:val="007C4413"/>
    <w:rsid w:val="007C54A7"/>
    <w:rsid w:val="007C7CFF"/>
    <w:rsid w:val="007D0658"/>
    <w:rsid w:val="007D3888"/>
    <w:rsid w:val="007D42D7"/>
    <w:rsid w:val="007D51E5"/>
    <w:rsid w:val="007D71FD"/>
    <w:rsid w:val="007D736B"/>
    <w:rsid w:val="007E0C74"/>
    <w:rsid w:val="007E2A9E"/>
    <w:rsid w:val="007E3918"/>
    <w:rsid w:val="007E686C"/>
    <w:rsid w:val="007E6AAD"/>
    <w:rsid w:val="007F1170"/>
    <w:rsid w:val="0080031B"/>
    <w:rsid w:val="00801B76"/>
    <w:rsid w:val="00802253"/>
    <w:rsid w:val="0080454C"/>
    <w:rsid w:val="00807B64"/>
    <w:rsid w:val="0081091C"/>
    <w:rsid w:val="008140DD"/>
    <w:rsid w:val="00817F18"/>
    <w:rsid w:val="008219AD"/>
    <w:rsid w:val="00823414"/>
    <w:rsid w:val="00824790"/>
    <w:rsid w:val="008254FE"/>
    <w:rsid w:val="0082557F"/>
    <w:rsid w:val="00826605"/>
    <w:rsid w:val="00831041"/>
    <w:rsid w:val="00833CEF"/>
    <w:rsid w:val="00833FC0"/>
    <w:rsid w:val="0083405D"/>
    <w:rsid w:val="0083515A"/>
    <w:rsid w:val="00835906"/>
    <w:rsid w:val="00840FA3"/>
    <w:rsid w:val="008435C3"/>
    <w:rsid w:val="008436FD"/>
    <w:rsid w:val="0084389A"/>
    <w:rsid w:val="0084518E"/>
    <w:rsid w:val="00851F01"/>
    <w:rsid w:val="00857B95"/>
    <w:rsid w:val="00857BA7"/>
    <w:rsid w:val="00860E3A"/>
    <w:rsid w:val="00870882"/>
    <w:rsid w:val="00872FB8"/>
    <w:rsid w:val="00874D3C"/>
    <w:rsid w:val="0087624D"/>
    <w:rsid w:val="008775CD"/>
    <w:rsid w:val="00880050"/>
    <w:rsid w:val="008837AE"/>
    <w:rsid w:val="00885647"/>
    <w:rsid w:val="008921E9"/>
    <w:rsid w:val="00892C1F"/>
    <w:rsid w:val="008945BF"/>
    <w:rsid w:val="00897805"/>
    <w:rsid w:val="00897BC9"/>
    <w:rsid w:val="008A0969"/>
    <w:rsid w:val="008A0D0F"/>
    <w:rsid w:val="008A4C2C"/>
    <w:rsid w:val="008A686A"/>
    <w:rsid w:val="008A6D65"/>
    <w:rsid w:val="008B0530"/>
    <w:rsid w:val="008B1429"/>
    <w:rsid w:val="008B20F6"/>
    <w:rsid w:val="008B4FC4"/>
    <w:rsid w:val="008C4D76"/>
    <w:rsid w:val="008C5790"/>
    <w:rsid w:val="008C6FA5"/>
    <w:rsid w:val="008C7EC0"/>
    <w:rsid w:val="008D231D"/>
    <w:rsid w:val="008D4038"/>
    <w:rsid w:val="008D6F12"/>
    <w:rsid w:val="008E1C4F"/>
    <w:rsid w:val="008E3B6A"/>
    <w:rsid w:val="008E5F6E"/>
    <w:rsid w:val="008E7216"/>
    <w:rsid w:val="008F0CFF"/>
    <w:rsid w:val="00900684"/>
    <w:rsid w:val="00902742"/>
    <w:rsid w:val="00906D03"/>
    <w:rsid w:val="00910B04"/>
    <w:rsid w:val="0091431D"/>
    <w:rsid w:val="00914D9D"/>
    <w:rsid w:val="00923D42"/>
    <w:rsid w:val="009243BB"/>
    <w:rsid w:val="00924EAF"/>
    <w:rsid w:val="009307E3"/>
    <w:rsid w:val="009308BE"/>
    <w:rsid w:val="0093121B"/>
    <w:rsid w:val="00931C18"/>
    <w:rsid w:val="00931C25"/>
    <w:rsid w:val="009441CD"/>
    <w:rsid w:val="009460C8"/>
    <w:rsid w:val="009523E2"/>
    <w:rsid w:val="00953AEA"/>
    <w:rsid w:val="0095634A"/>
    <w:rsid w:val="00956E98"/>
    <w:rsid w:val="00960664"/>
    <w:rsid w:val="00963D63"/>
    <w:rsid w:val="00964EF7"/>
    <w:rsid w:val="00964FA1"/>
    <w:rsid w:val="00966980"/>
    <w:rsid w:val="009727AC"/>
    <w:rsid w:val="009757B1"/>
    <w:rsid w:val="009801D2"/>
    <w:rsid w:val="00985105"/>
    <w:rsid w:val="00985E6C"/>
    <w:rsid w:val="00987BBD"/>
    <w:rsid w:val="009907D3"/>
    <w:rsid w:val="00991799"/>
    <w:rsid w:val="00991FF4"/>
    <w:rsid w:val="009930F5"/>
    <w:rsid w:val="00997901"/>
    <w:rsid w:val="009A09F7"/>
    <w:rsid w:val="009A1157"/>
    <w:rsid w:val="009A1C92"/>
    <w:rsid w:val="009A52F7"/>
    <w:rsid w:val="009B2079"/>
    <w:rsid w:val="009B5C15"/>
    <w:rsid w:val="009C124F"/>
    <w:rsid w:val="009C2EC7"/>
    <w:rsid w:val="009C45C5"/>
    <w:rsid w:val="009C7076"/>
    <w:rsid w:val="009C7F7B"/>
    <w:rsid w:val="009D70E7"/>
    <w:rsid w:val="009D788E"/>
    <w:rsid w:val="009D7BD8"/>
    <w:rsid w:val="009D7CF6"/>
    <w:rsid w:val="009F10AD"/>
    <w:rsid w:val="009F1D04"/>
    <w:rsid w:val="009F620C"/>
    <w:rsid w:val="009F7AA8"/>
    <w:rsid w:val="00A0725F"/>
    <w:rsid w:val="00A078DF"/>
    <w:rsid w:val="00A10787"/>
    <w:rsid w:val="00A11B68"/>
    <w:rsid w:val="00A11D0C"/>
    <w:rsid w:val="00A11E84"/>
    <w:rsid w:val="00A139A3"/>
    <w:rsid w:val="00A15981"/>
    <w:rsid w:val="00A20C8C"/>
    <w:rsid w:val="00A21420"/>
    <w:rsid w:val="00A310FB"/>
    <w:rsid w:val="00A3124C"/>
    <w:rsid w:val="00A35B20"/>
    <w:rsid w:val="00A36F91"/>
    <w:rsid w:val="00A4041D"/>
    <w:rsid w:val="00A42CF6"/>
    <w:rsid w:val="00A45E00"/>
    <w:rsid w:val="00A47848"/>
    <w:rsid w:val="00A47A4D"/>
    <w:rsid w:val="00A525A6"/>
    <w:rsid w:val="00A52642"/>
    <w:rsid w:val="00A52923"/>
    <w:rsid w:val="00A53A13"/>
    <w:rsid w:val="00A55D38"/>
    <w:rsid w:val="00A55E36"/>
    <w:rsid w:val="00A71443"/>
    <w:rsid w:val="00A746F8"/>
    <w:rsid w:val="00A7609F"/>
    <w:rsid w:val="00A76964"/>
    <w:rsid w:val="00A80BD7"/>
    <w:rsid w:val="00A82384"/>
    <w:rsid w:val="00A8464D"/>
    <w:rsid w:val="00A91CA3"/>
    <w:rsid w:val="00A935E0"/>
    <w:rsid w:val="00A938D8"/>
    <w:rsid w:val="00A96288"/>
    <w:rsid w:val="00AA2504"/>
    <w:rsid w:val="00AA2AC3"/>
    <w:rsid w:val="00AA49EA"/>
    <w:rsid w:val="00AB2F65"/>
    <w:rsid w:val="00AB3AF8"/>
    <w:rsid w:val="00AB4A29"/>
    <w:rsid w:val="00AB5583"/>
    <w:rsid w:val="00AB71D3"/>
    <w:rsid w:val="00AB785C"/>
    <w:rsid w:val="00AC2651"/>
    <w:rsid w:val="00AC67C4"/>
    <w:rsid w:val="00AD0267"/>
    <w:rsid w:val="00AD3077"/>
    <w:rsid w:val="00AD335A"/>
    <w:rsid w:val="00AD3C04"/>
    <w:rsid w:val="00AD41E5"/>
    <w:rsid w:val="00AD4978"/>
    <w:rsid w:val="00AD4D36"/>
    <w:rsid w:val="00AE094E"/>
    <w:rsid w:val="00AE3126"/>
    <w:rsid w:val="00AE37A7"/>
    <w:rsid w:val="00AE7C92"/>
    <w:rsid w:val="00AF77F5"/>
    <w:rsid w:val="00B01B99"/>
    <w:rsid w:val="00B03251"/>
    <w:rsid w:val="00B04646"/>
    <w:rsid w:val="00B10BEF"/>
    <w:rsid w:val="00B14F5E"/>
    <w:rsid w:val="00B156C3"/>
    <w:rsid w:val="00B1773E"/>
    <w:rsid w:val="00B20D91"/>
    <w:rsid w:val="00B217BF"/>
    <w:rsid w:val="00B278AE"/>
    <w:rsid w:val="00B27B3A"/>
    <w:rsid w:val="00B3256D"/>
    <w:rsid w:val="00B326BB"/>
    <w:rsid w:val="00B37BFF"/>
    <w:rsid w:val="00B415BA"/>
    <w:rsid w:val="00B469F8"/>
    <w:rsid w:val="00B47B06"/>
    <w:rsid w:val="00B50E52"/>
    <w:rsid w:val="00B51EEC"/>
    <w:rsid w:val="00B5292A"/>
    <w:rsid w:val="00B52A6C"/>
    <w:rsid w:val="00B56288"/>
    <w:rsid w:val="00B5665E"/>
    <w:rsid w:val="00B56C02"/>
    <w:rsid w:val="00B57413"/>
    <w:rsid w:val="00B57EFA"/>
    <w:rsid w:val="00B7178D"/>
    <w:rsid w:val="00B7186E"/>
    <w:rsid w:val="00B73C35"/>
    <w:rsid w:val="00B74B5C"/>
    <w:rsid w:val="00B778A0"/>
    <w:rsid w:val="00B82B56"/>
    <w:rsid w:val="00B83190"/>
    <w:rsid w:val="00B8589B"/>
    <w:rsid w:val="00B928FE"/>
    <w:rsid w:val="00B92FEE"/>
    <w:rsid w:val="00B934AB"/>
    <w:rsid w:val="00B93B6F"/>
    <w:rsid w:val="00B964B2"/>
    <w:rsid w:val="00BA3743"/>
    <w:rsid w:val="00BA5033"/>
    <w:rsid w:val="00BA607E"/>
    <w:rsid w:val="00BA74AA"/>
    <w:rsid w:val="00BB019D"/>
    <w:rsid w:val="00BB094D"/>
    <w:rsid w:val="00BB0C4C"/>
    <w:rsid w:val="00BB4E90"/>
    <w:rsid w:val="00BB5382"/>
    <w:rsid w:val="00BB6EC9"/>
    <w:rsid w:val="00BC06C9"/>
    <w:rsid w:val="00BC1D27"/>
    <w:rsid w:val="00BC1DA7"/>
    <w:rsid w:val="00BC7272"/>
    <w:rsid w:val="00BD2C41"/>
    <w:rsid w:val="00BD31D0"/>
    <w:rsid w:val="00BD4082"/>
    <w:rsid w:val="00BD7CF0"/>
    <w:rsid w:val="00BE0F7F"/>
    <w:rsid w:val="00BE25CA"/>
    <w:rsid w:val="00BE7533"/>
    <w:rsid w:val="00BF1076"/>
    <w:rsid w:val="00BF2F61"/>
    <w:rsid w:val="00C004BA"/>
    <w:rsid w:val="00C01589"/>
    <w:rsid w:val="00C041C8"/>
    <w:rsid w:val="00C049CB"/>
    <w:rsid w:val="00C06607"/>
    <w:rsid w:val="00C06B16"/>
    <w:rsid w:val="00C1151B"/>
    <w:rsid w:val="00C16299"/>
    <w:rsid w:val="00C17A35"/>
    <w:rsid w:val="00C21D3B"/>
    <w:rsid w:val="00C2381F"/>
    <w:rsid w:val="00C258FF"/>
    <w:rsid w:val="00C271ED"/>
    <w:rsid w:val="00C32ED5"/>
    <w:rsid w:val="00C36071"/>
    <w:rsid w:val="00C368AB"/>
    <w:rsid w:val="00C371A1"/>
    <w:rsid w:val="00C404DA"/>
    <w:rsid w:val="00C43311"/>
    <w:rsid w:val="00C43547"/>
    <w:rsid w:val="00C46747"/>
    <w:rsid w:val="00C50054"/>
    <w:rsid w:val="00C64174"/>
    <w:rsid w:val="00C64C13"/>
    <w:rsid w:val="00C65E33"/>
    <w:rsid w:val="00C70806"/>
    <w:rsid w:val="00C70E56"/>
    <w:rsid w:val="00C8127A"/>
    <w:rsid w:val="00C860E6"/>
    <w:rsid w:val="00C862AE"/>
    <w:rsid w:val="00C911E5"/>
    <w:rsid w:val="00C941B5"/>
    <w:rsid w:val="00C966DF"/>
    <w:rsid w:val="00C979C0"/>
    <w:rsid w:val="00CA0462"/>
    <w:rsid w:val="00CA095C"/>
    <w:rsid w:val="00CA0F01"/>
    <w:rsid w:val="00CA39A3"/>
    <w:rsid w:val="00CA430B"/>
    <w:rsid w:val="00CA6300"/>
    <w:rsid w:val="00CB0291"/>
    <w:rsid w:val="00CB17E6"/>
    <w:rsid w:val="00CB69C5"/>
    <w:rsid w:val="00CC24A7"/>
    <w:rsid w:val="00CC2AFD"/>
    <w:rsid w:val="00CC2B2C"/>
    <w:rsid w:val="00CC45B5"/>
    <w:rsid w:val="00CC7C3D"/>
    <w:rsid w:val="00CD0EF7"/>
    <w:rsid w:val="00CD1EF6"/>
    <w:rsid w:val="00CD291C"/>
    <w:rsid w:val="00CD5EF8"/>
    <w:rsid w:val="00CE0DD0"/>
    <w:rsid w:val="00CF0561"/>
    <w:rsid w:val="00CF0F7A"/>
    <w:rsid w:val="00CF3ECB"/>
    <w:rsid w:val="00CF3F5B"/>
    <w:rsid w:val="00CF4DB6"/>
    <w:rsid w:val="00CF6791"/>
    <w:rsid w:val="00D01E65"/>
    <w:rsid w:val="00D057EE"/>
    <w:rsid w:val="00D068B3"/>
    <w:rsid w:val="00D06B97"/>
    <w:rsid w:val="00D126A6"/>
    <w:rsid w:val="00D1418F"/>
    <w:rsid w:val="00D170A9"/>
    <w:rsid w:val="00D202C2"/>
    <w:rsid w:val="00D2110F"/>
    <w:rsid w:val="00D273F4"/>
    <w:rsid w:val="00D27A8F"/>
    <w:rsid w:val="00D30A46"/>
    <w:rsid w:val="00D30E33"/>
    <w:rsid w:val="00D33D7C"/>
    <w:rsid w:val="00D35415"/>
    <w:rsid w:val="00D41294"/>
    <w:rsid w:val="00D4408A"/>
    <w:rsid w:val="00D445CC"/>
    <w:rsid w:val="00D475B0"/>
    <w:rsid w:val="00D55AD5"/>
    <w:rsid w:val="00D563AD"/>
    <w:rsid w:val="00D60529"/>
    <w:rsid w:val="00D6411C"/>
    <w:rsid w:val="00D65684"/>
    <w:rsid w:val="00D65E92"/>
    <w:rsid w:val="00D705C4"/>
    <w:rsid w:val="00D710B6"/>
    <w:rsid w:val="00D74F4C"/>
    <w:rsid w:val="00D809B6"/>
    <w:rsid w:val="00D83D13"/>
    <w:rsid w:val="00D84FB3"/>
    <w:rsid w:val="00D852CC"/>
    <w:rsid w:val="00D91DC4"/>
    <w:rsid w:val="00D93CC5"/>
    <w:rsid w:val="00D948FB"/>
    <w:rsid w:val="00D958BA"/>
    <w:rsid w:val="00D95C12"/>
    <w:rsid w:val="00DA72C1"/>
    <w:rsid w:val="00DA7691"/>
    <w:rsid w:val="00DB09C1"/>
    <w:rsid w:val="00DB14B7"/>
    <w:rsid w:val="00DB2D11"/>
    <w:rsid w:val="00DB3C17"/>
    <w:rsid w:val="00DB6535"/>
    <w:rsid w:val="00DB6BEF"/>
    <w:rsid w:val="00DC14F1"/>
    <w:rsid w:val="00DC3B1D"/>
    <w:rsid w:val="00DC45D4"/>
    <w:rsid w:val="00DD4565"/>
    <w:rsid w:val="00DD6D2F"/>
    <w:rsid w:val="00DD7668"/>
    <w:rsid w:val="00DE1A6C"/>
    <w:rsid w:val="00DE3314"/>
    <w:rsid w:val="00DE416A"/>
    <w:rsid w:val="00DE7197"/>
    <w:rsid w:val="00DF4404"/>
    <w:rsid w:val="00DF569F"/>
    <w:rsid w:val="00E0119F"/>
    <w:rsid w:val="00E0601A"/>
    <w:rsid w:val="00E07A85"/>
    <w:rsid w:val="00E12C78"/>
    <w:rsid w:val="00E154A6"/>
    <w:rsid w:val="00E15990"/>
    <w:rsid w:val="00E15D20"/>
    <w:rsid w:val="00E15D50"/>
    <w:rsid w:val="00E1726B"/>
    <w:rsid w:val="00E211DA"/>
    <w:rsid w:val="00E255EC"/>
    <w:rsid w:val="00E25C11"/>
    <w:rsid w:val="00E26783"/>
    <w:rsid w:val="00E3256D"/>
    <w:rsid w:val="00E35443"/>
    <w:rsid w:val="00E357AE"/>
    <w:rsid w:val="00E37B8A"/>
    <w:rsid w:val="00E42A07"/>
    <w:rsid w:val="00E42E15"/>
    <w:rsid w:val="00E4580E"/>
    <w:rsid w:val="00E478CE"/>
    <w:rsid w:val="00E479CF"/>
    <w:rsid w:val="00E47D84"/>
    <w:rsid w:val="00E52A36"/>
    <w:rsid w:val="00E52B41"/>
    <w:rsid w:val="00E568E8"/>
    <w:rsid w:val="00E6258E"/>
    <w:rsid w:val="00E62CA0"/>
    <w:rsid w:val="00E64210"/>
    <w:rsid w:val="00E704B2"/>
    <w:rsid w:val="00E70BC0"/>
    <w:rsid w:val="00E7225B"/>
    <w:rsid w:val="00E7481C"/>
    <w:rsid w:val="00E75462"/>
    <w:rsid w:val="00E766DA"/>
    <w:rsid w:val="00E802AD"/>
    <w:rsid w:val="00E81838"/>
    <w:rsid w:val="00E8356A"/>
    <w:rsid w:val="00E92E66"/>
    <w:rsid w:val="00E95360"/>
    <w:rsid w:val="00E95C7B"/>
    <w:rsid w:val="00E966FC"/>
    <w:rsid w:val="00E970E4"/>
    <w:rsid w:val="00EA03A9"/>
    <w:rsid w:val="00EA13B0"/>
    <w:rsid w:val="00EA311A"/>
    <w:rsid w:val="00EA3F95"/>
    <w:rsid w:val="00EA68B5"/>
    <w:rsid w:val="00EB4BF7"/>
    <w:rsid w:val="00EB63A0"/>
    <w:rsid w:val="00EC0D3D"/>
    <w:rsid w:val="00EC5978"/>
    <w:rsid w:val="00EC64BC"/>
    <w:rsid w:val="00EC7D31"/>
    <w:rsid w:val="00ED7D08"/>
    <w:rsid w:val="00EE0A65"/>
    <w:rsid w:val="00EE3990"/>
    <w:rsid w:val="00EE45B2"/>
    <w:rsid w:val="00EE5601"/>
    <w:rsid w:val="00EF1D60"/>
    <w:rsid w:val="00EF3C04"/>
    <w:rsid w:val="00EF5E15"/>
    <w:rsid w:val="00EF6106"/>
    <w:rsid w:val="00F02879"/>
    <w:rsid w:val="00F030BE"/>
    <w:rsid w:val="00F03456"/>
    <w:rsid w:val="00F03ACA"/>
    <w:rsid w:val="00F04643"/>
    <w:rsid w:val="00F0535E"/>
    <w:rsid w:val="00F053C9"/>
    <w:rsid w:val="00F06C40"/>
    <w:rsid w:val="00F06E42"/>
    <w:rsid w:val="00F07020"/>
    <w:rsid w:val="00F206D6"/>
    <w:rsid w:val="00F222AD"/>
    <w:rsid w:val="00F23E10"/>
    <w:rsid w:val="00F25788"/>
    <w:rsid w:val="00F27254"/>
    <w:rsid w:val="00F31B2C"/>
    <w:rsid w:val="00F31B91"/>
    <w:rsid w:val="00F3780F"/>
    <w:rsid w:val="00F43177"/>
    <w:rsid w:val="00F45305"/>
    <w:rsid w:val="00F4730B"/>
    <w:rsid w:val="00F50F05"/>
    <w:rsid w:val="00F548D3"/>
    <w:rsid w:val="00F54CDB"/>
    <w:rsid w:val="00F67D00"/>
    <w:rsid w:val="00F70037"/>
    <w:rsid w:val="00F70730"/>
    <w:rsid w:val="00F80C78"/>
    <w:rsid w:val="00F80F95"/>
    <w:rsid w:val="00F90FDB"/>
    <w:rsid w:val="00F91645"/>
    <w:rsid w:val="00F91787"/>
    <w:rsid w:val="00F918C6"/>
    <w:rsid w:val="00FA191C"/>
    <w:rsid w:val="00FA2C32"/>
    <w:rsid w:val="00FA31D3"/>
    <w:rsid w:val="00FA40AC"/>
    <w:rsid w:val="00FA4FAB"/>
    <w:rsid w:val="00FA5CAC"/>
    <w:rsid w:val="00FA6D38"/>
    <w:rsid w:val="00FB5DE7"/>
    <w:rsid w:val="00FB7410"/>
    <w:rsid w:val="00FB7F6D"/>
    <w:rsid w:val="00FC008E"/>
    <w:rsid w:val="00FC0780"/>
    <w:rsid w:val="00FC211D"/>
    <w:rsid w:val="00FC519F"/>
    <w:rsid w:val="00FC5EBE"/>
    <w:rsid w:val="00FC74B0"/>
    <w:rsid w:val="00FD0316"/>
    <w:rsid w:val="00FE0474"/>
    <w:rsid w:val="00FE3282"/>
    <w:rsid w:val="00FE5033"/>
    <w:rsid w:val="00FE578F"/>
    <w:rsid w:val="00FF437F"/>
    <w:rsid w:val="00FF5076"/>
    <w:rsid w:val="00FF5957"/>
    <w:rsid w:val="00FF5A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0F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414"/>
    <w:pPr>
      <w:spacing w:after="0" w:line="480" w:lineRule="auto"/>
      <w:jc w:val="both"/>
    </w:pPr>
    <w:rPr>
      <w:rFonts w:eastAsia="Times New Roman" w:cs="Times New Roman"/>
    </w:rPr>
  </w:style>
  <w:style w:type="paragraph" w:styleId="Heading1">
    <w:name w:val="heading 1"/>
    <w:aliases w:val="Style 1"/>
    <w:basedOn w:val="Normal"/>
    <w:next w:val="Normal"/>
    <w:link w:val="Heading1Char"/>
    <w:qFormat/>
    <w:rsid w:val="00FB74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tyle 2"/>
    <w:basedOn w:val="Normal"/>
    <w:next w:val="Normal"/>
    <w:link w:val="Heading2Char"/>
    <w:unhideWhenUsed/>
    <w:qFormat/>
    <w:rsid w:val="00AD30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tyle 3"/>
    <w:basedOn w:val="Normal"/>
    <w:next w:val="Normal"/>
    <w:link w:val="Heading3Char"/>
    <w:unhideWhenUsed/>
    <w:qFormat/>
    <w:rsid w:val="00232AAA"/>
    <w:pPr>
      <w:widowControl w:val="0"/>
      <w:numPr>
        <w:ilvl w:val="2"/>
        <w:numId w:val="11"/>
      </w:numPr>
      <w:spacing w:before="240"/>
      <w:ind w:hanging="2160"/>
      <w:outlineLvl w:val="2"/>
    </w:pPr>
    <w:rPr>
      <w:rFonts w:ascii="Arial" w:eastAsiaTheme="majorEastAsia"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link w:val="Style3Char"/>
    <w:qFormat/>
    <w:rsid w:val="000C7D79"/>
    <w:pPr>
      <w:numPr>
        <w:ilvl w:val="2"/>
        <w:numId w:val="34"/>
      </w:numPr>
      <w:tabs>
        <w:tab w:val="clear" w:pos="2160"/>
        <w:tab w:val="num" w:pos="360"/>
      </w:tabs>
      <w:spacing w:before="240"/>
      <w:ind w:left="0" w:firstLine="0"/>
      <w:outlineLvl w:val="2"/>
    </w:pPr>
    <w:rPr>
      <w:rFonts w:ascii="Arial" w:hAnsi="Arial"/>
      <w:sz w:val="24"/>
      <w:szCs w:val="20"/>
      <w:lang w:val="en-GB"/>
    </w:rPr>
  </w:style>
  <w:style w:type="character" w:customStyle="1" w:styleId="Style3Char">
    <w:name w:val="Style3 Char"/>
    <w:link w:val="Style3"/>
    <w:rsid w:val="000C7D79"/>
    <w:rPr>
      <w:rFonts w:ascii="Arial" w:eastAsia="Times New Roman" w:hAnsi="Arial" w:cs="Times New Roman"/>
      <w:sz w:val="24"/>
      <w:szCs w:val="20"/>
      <w:lang w:val="en-GB"/>
    </w:rPr>
  </w:style>
  <w:style w:type="paragraph" w:customStyle="1" w:styleId="Style2">
    <w:name w:val="Style2"/>
    <w:basedOn w:val="Normal"/>
    <w:next w:val="Normal"/>
    <w:qFormat/>
    <w:rsid w:val="000C7D79"/>
    <w:pPr>
      <w:widowControl w:val="0"/>
      <w:numPr>
        <w:ilvl w:val="1"/>
        <w:numId w:val="34"/>
      </w:numPr>
      <w:spacing w:before="240"/>
      <w:outlineLvl w:val="1"/>
    </w:pPr>
    <w:rPr>
      <w:rFonts w:ascii="Arial" w:hAnsi="Arial"/>
      <w:sz w:val="24"/>
      <w:szCs w:val="20"/>
      <w:lang w:val="en-GB"/>
    </w:rPr>
  </w:style>
  <w:style w:type="paragraph" w:customStyle="1" w:styleId="Style1">
    <w:name w:val="Style1"/>
    <w:basedOn w:val="Normal"/>
    <w:next w:val="Normal"/>
    <w:qFormat/>
    <w:rsid w:val="000C7D79"/>
    <w:pPr>
      <w:widowControl w:val="0"/>
      <w:spacing w:before="240"/>
      <w:outlineLvl w:val="0"/>
    </w:pPr>
    <w:rPr>
      <w:rFonts w:ascii="Arial" w:hAnsi="Arial"/>
      <w:sz w:val="24"/>
      <w:szCs w:val="20"/>
      <w:lang w:val="en-GB"/>
    </w:rPr>
  </w:style>
  <w:style w:type="paragraph" w:customStyle="1" w:styleId="Style4">
    <w:name w:val="Style4"/>
    <w:basedOn w:val="Normal"/>
    <w:next w:val="Normal"/>
    <w:qFormat/>
    <w:rsid w:val="000C7D79"/>
    <w:pPr>
      <w:widowControl w:val="0"/>
      <w:numPr>
        <w:ilvl w:val="3"/>
        <w:numId w:val="34"/>
      </w:numPr>
      <w:spacing w:before="240"/>
      <w:outlineLvl w:val="3"/>
    </w:pPr>
    <w:rPr>
      <w:rFonts w:ascii="Arial" w:eastAsia="Cambria" w:hAnsi="Arial"/>
      <w:sz w:val="24"/>
      <w:szCs w:val="24"/>
    </w:rPr>
  </w:style>
  <w:style w:type="paragraph" w:customStyle="1" w:styleId="HeadsQuote">
    <w:name w:val="Heads Quote"/>
    <w:basedOn w:val="Normal"/>
    <w:link w:val="HeadsQuoteChar"/>
    <w:qFormat/>
    <w:rsid w:val="001E6505"/>
    <w:pPr>
      <w:keepNext/>
      <w:widowControl w:val="0"/>
      <w:spacing w:before="120" w:line="360" w:lineRule="auto"/>
      <w:ind w:left="1440"/>
      <w:contextualSpacing/>
      <w:outlineLvl w:val="2"/>
    </w:pPr>
    <w:rPr>
      <w:rFonts w:ascii="Arial" w:eastAsia="Cambria" w:hAnsi="Arial"/>
      <w:i/>
      <w:iCs/>
      <w:sz w:val="24"/>
      <w:szCs w:val="24"/>
    </w:rPr>
  </w:style>
  <w:style w:type="character" w:customStyle="1" w:styleId="HeadsQuoteChar">
    <w:name w:val="Heads Quote Char"/>
    <w:link w:val="HeadsQuote"/>
    <w:rsid w:val="001E6505"/>
    <w:rPr>
      <w:rFonts w:ascii="Arial" w:hAnsi="Arial" w:cs="Times New Roman"/>
      <w:i/>
      <w:iCs/>
      <w:sz w:val="24"/>
      <w:szCs w:val="24"/>
    </w:rPr>
  </w:style>
  <w:style w:type="character" w:customStyle="1" w:styleId="Heading3Char">
    <w:name w:val="Heading 3 Char"/>
    <w:aliases w:val="Style 3 Char"/>
    <w:basedOn w:val="DefaultParagraphFont"/>
    <w:link w:val="Heading3"/>
    <w:uiPriority w:val="9"/>
    <w:rsid w:val="00232AAA"/>
    <w:rPr>
      <w:rFonts w:ascii="Arial" w:eastAsiaTheme="majorEastAsia" w:hAnsi="Arial" w:cs="Times New Roman"/>
      <w:bCs/>
      <w:sz w:val="24"/>
      <w:szCs w:val="24"/>
    </w:rPr>
  </w:style>
  <w:style w:type="paragraph" w:styleId="Quote">
    <w:name w:val="Quote"/>
    <w:basedOn w:val="Normal"/>
    <w:next w:val="Normal"/>
    <w:link w:val="QuoteChar"/>
    <w:uiPriority w:val="29"/>
    <w:qFormat/>
    <w:rsid w:val="004E4A55"/>
    <w:pPr>
      <w:spacing w:line="360" w:lineRule="auto"/>
      <w:ind w:left="862" w:right="862"/>
    </w:pPr>
    <w:rPr>
      <w:rFonts w:ascii="Arial" w:hAnsi="Arial"/>
      <w:i/>
      <w:iCs/>
      <w:sz w:val="24"/>
      <w:szCs w:val="20"/>
    </w:rPr>
  </w:style>
  <w:style w:type="character" w:customStyle="1" w:styleId="QuoteChar">
    <w:name w:val="Quote Char"/>
    <w:basedOn w:val="DefaultParagraphFont"/>
    <w:link w:val="Quote"/>
    <w:uiPriority w:val="29"/>
    <w:rsid w:val="004E4A55"/>
    <w:rPr>
      <w:rFonts w:ascii="Arial" w:eastAsia="Times New Roman" w:hAnsi="Arial" w:cs="Times New Roman"/>
      <w:i/>
      <w:iCs/>
      <w:sz w:val="24"/>
      <w:szCs w:val="20"/>
    </w:rPr>
  </w:style>
  <w:style w:type="paragraph" w:styleId="FootnoteText">
    <w:name w:val="footnote text"/>
    <w:basedOn w:val="Normal"/>
    <w:link w:val="FootnoteTextChar"/>
    <w:uiPriority w:val="99"/>
    <w:unhideWhenUsed/>
    <w:qFormat/>
    <w:rsid w:val="0059799B"/>
    <w:pPr>
      <w:widowControl w:val="0"/>
      <w:spacing w:before="120" w:line="240" w:lineRule="auto"/>
      <w:ind w:left="284" w:hanging="284"/>
    </w:pPr>
    <w:rPr>
      <w:rFonts w:ascii="Arial" w:eastAsia="Cambria" w:hAnsi="Arial"/>
      <w:sz w:val="20"/>
      <w:szCs w:val="24"/>
    </w:rPr>
  </w:style>
  <w:style w:type="character" w:customStyle="1" w:styleId="FootnoteTextChar">
    <w:name w:val="Footnote Text Char"/>
    <w:basedOn w:val="DefaultParagraphFont"/>
    <w:link w:val="FootnoteText"/>
    <w:uiPriority w:val="99"/>
    <w:rsid w:val="0059799B"/>
    <w:rPr>
      <w:rFonts w:ascii="Arial" w:hAnsi="Arial" w:cs="Times New Roman"/>
      <w:sz w:val="20"/>
      <w:szCs w:val="24"/>
    </w:rPr>
  </w:style>
  <w:style w:type="character" w:styleId="FootnoteReference">
    <w:name w:val="footnote reference"/>
    <w:uiPriority w:val="99"/>
    <w:semiHidden/>
    <w:rsid w:val="00D126A6"/>
    <w:rPr>
      <w:rFonts w:ascii="Arial" w:hAnsi="Arial"/>
      <w:dstrike w:val="0"/>
      <w:sz w:val="24"/>
      <w:vertAlign w:val="superscript"/>
    </w:rPr>
  </w:style>
  <w:style w:type="paragraph" w:styleId="TOC1">
    <w:name w:val="toc 1"/>
    <w:basedOn w:val="Normal"/>
    <w:next w:val="Normal"/>
    <w:autoRedefine/>
    <w:uiPriority w:val="39"/>
    <w:unhideWhenUsed/>
    <w:rsid w:val="008E1C4F"/>
    <w:pPr>
      <w:spacing w:before="240" w:after="100" w:line="360" w:lineRule="auto"/>
    </w:pPr>
    <w:rPr>
      <w:rFonts w:ascii="Arial" w:eastAsia="Cambria" w:hAnsi="Arial"/>
      <w:sz w:val="24"/>
      <w:szCs w:val="24"/>
    </w:rPr>
  </w:style>
  <w:style w:type="paragraph" w:styleId="TOC2">
    <w:name w:val="toc 2"/>
    <w:basedOn w:val="Normal"/>
    <w:next w:val="Normal"/>
    <w:autoRedefine/>
    <w:uiPriority w:val="39"/>
    <w:unhideWhenUsed/>
    <w:rsid w:val="008E1C4F"/>
    <w:pPr>
      <w:tabs>
        <w:tab w:val="right" w:leader="dot" w:pos="9016"/>
      </w:tabs>
      <w:spacing w:before="240" w:line="240" w:lineRule="auto"/>
      <w:ind w:left="567"/>
    </w:pPr>
    <w:rPr>
      <w:rFonts w:ascii="Arial" w:eastAsia="Cambria" w:hAnsi="Arial"/>
      <w:i/>
      <w:sz w:val="24"/>
      <w:szCs w:val="24"/>
    </w:rPr>
  </w:style>
  <w:style w:type="paragraph" w:styleId="Header">
    <w:name w:val="header"/>
    <w:basedOn w:val="Normal"/>
    <w:link w:val="HeaderChar"/>
    <w:uiPriority w:val="99"/>
    <w:unhideWhenUsed/>
    <w:rsid w:val="00D202C2"/>
    <w:pPr>
      <w:tabs>
        <w:tab w:val="center" w:pos="4680"/>
        <w:tab w:val="right" w:pos="9360"/>
      </w:tabs>
      <w:spacing w:line="240" w:lineRule="auto"/>
    </w:pPr>
  </w:style>
  <w:style w:type="character" w:customStyle="1" w:styleId="HeaderChar">
    <w:name w:val="Header Char"/>
    <w:basedOn w:val="DefaultParagraphFont"/>
    <w:link w:val="Header"/>
    <w:uiPriority w:val="99"/>
    <w:rsid w:val="00D202C2"/>
    <w:rPr>
      <w:rFonts w:eastAsia="Times New Roman" w:cs="Times New Roman"/>
    </w:rPr>
  </w:style>
  <w:style w:type="paragraph" w:styleId="Footer">
    <w:name w:val="footer"/>
    <w:basedOn w:val="Normal"/>
    <w:link w:val="FooterChar"/>
    <w:uiPriority w:val="99"/>
    <w:unhideWhenUsed/>
    <w:rsid w:val="00D202C2"/>
    <w:pPr>
      <w:tabs>
        <w:tab w:val="center" w:pos="4680"/>
        <w:tab w:val="right" w:pos="9360"/>
      </w:tabs>
      <w:spacing w:line="240" w:lineRule="auto"/>
    </w:pPr>
  </w:style>
  <w:style w:type="character" w:customStyle="1" w:styleId="FooterChar">
    <w:name w:val="Footer Char"/>
    <w:basedOn w:val="DefaultParagraphFont"/>
    <w:link w:val="Footer"/>
    <w:uiPriority w:val="99"/>
    <w:rsid w:val="00D202C2"/>
    <w:rPr>
      <w:rFonts w:eastAsia="Times New Roman" w:cs="Times New Roman"/>
    </w:rPr>
  </w:style>
  <w:style w:type="paragraph" w:customStyle="1" w:styleId="LC1">
    <w:name w:val="LC1"/>
    <w:basedOn w:val="Style1"/>
    <w:link w:val="LC1Char"/>
    <w:qFormat/>
    <w:rsid w:val="00671349"/>
    <w:pPr>
      <w:numPr>
        <w:numId w:val="35"/>
      </w:numPr>
      <w:spacing w:line="360" w:lineRule="auto"/>
      <w:ind w:hanging="720"/>
    </w:pPr>
    <w:rPr>
      <w:lang w:val="en-ZA"/>
    </w:rPr>
  </w:style>
  <w:style w:type="character" w:customStyle="1" w:styleId="LC1Char">
    <w:name w:val="LC1 Char"/>
    <w:basedOn w:val="DefaultParagraphFont"/>
    <w:link w:val="LC1"/>
    <w:rsid w:val="00671349"/>
    <w:rPr>
      <w:rFonts w:ascii="Arial" w:eastAsia="Times New Roman" w:hAnsi="Arial" w:cs="Times New Roman"/>
      <w:sz w:val="24"/>
      <w:szCs w:val="20"/>
    </w:rPr>
  </w:style>
  <w:style w:type="paragraph" w:customStyle="1" w:styleId="LCQuote">
    <w:name w:val="LC Quote"/>
    <w:basedOn w:val="Normal"/>
    <w:link w:val="LCQuoteChar"/>
    <w:qFormat/>
    <w:rsid w:val="001E6505"/>
    <w:pPr>
      <w:spacing w:before="240" w:after="120" w:line="360" w:lineRule="auto"/>
      <w:ind w:left="1134"/>
    </w:pPr>
    <w:rPr>
      <w:rFonts w:ascii="Arial" w:hAnsi="Arial" w:cs="Arial"/>
      <w:i/>
      <w:sz w:val="24"/>
      <w:szCs w:val="24"/>
    </w:rPr>
  </w:style>
  <w:style w:type="character" w:customStyle="1" w:styleId="LCQuoteChar">
    <w:name w:val="LC Quote Char"/>
    <w:basedOn w:val="DefaultParagraphFont"/>
    <w:link w:val="LCQuote"/>
    <w:rsid w:val="001E6505"/>
    <w:rPr>
      <w:rFonts w:ascii="Arial" w:eastAsia="Times New Roman" w:hAnsi="Arial" w:cs="Arial"/>
      <w:i/>
      <w:sz w:val="24"/>
      <w:szCs w:val="24"/>
    </w:rPr>
  </w:style>
  <w:style w:type="paragraph" w:styleId="ListParagraph">
    <w:name w:val="List Paragraph"/>
    <w:basedOn w:val="Normal"/>
    <w:uiPriority w:val="34"/>
    <w:qFormat/>
    <w:rsid w:val="00991FF4"/>
    <w:pPr>
      <w:ind w:left="720"/>
      <w:contextualSpacing/>
    </w:pPr>
  </w:style>
  <w:style w:type="paragraph" w:styleId="BalloonText">
    <w:name w:val="Balloon Text"/>
    <w:basedOn w:val="Normal"/>
    <w:link w:val="BalloonTextChar"/>
    <w:uiPriority w:val="99"/>
    <w:semiHidden/>
    <w:unhideWhenUsed/>
    <w:rsid w:val="00AC26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51"/>
    <w:rPr>
      <w:rFonts w:ascii="Segoe UI" w:eastAsia="Times New Roman" w:hAnsi="Segoe UI" w:cs="Segoe UI"/>
      <w:sz w:val="18"/>
      <w:szCs w:val="18"/>
    </w:rPr>
  </w:style>
  <w:style w:type="character" w:customStyle="1" w:styleId="Heading2Char">
    <w:name w:val="Heading 2 Char"/>
    <w:aliases w:val="Style 2 Char"/>
    <w:basedOn w:val="DefaultParagraphFont"/>
    <w:link w:val="Heading2"/>
    <w:uiPriority w:val="9"/>
    <w:rsid w:val="00AD3077"/>
    <w:rPr>
      <w:rFonts w:asciiTheme="majorHAnsi" w:eastAsiaTheme="majorEastAsia" w:hAnsiTheme="majorHAnsi" w:cstheme="majorBidi"/>
      <w:color w:val="2E74B5" w:themeColor="accent1" w:themeShade="BF"/>
      <w:sz w:val="26"/>
      <w:szCs w:val="26"/>
    </w:rPr>
  </w:style>
  <w:style w:type="character" w:customStyle="1" w:styleId="mc">
    <w:name w:val="mc"/>
    <w:basedOn w:val="DefaultParagraphFont"/>
    <w:rsid w:val="00564B8A"/>
  </w:style>
  <w:style w:type="character" w:customStyle="1" w:styleId="Heading1Char">
    <w:name w:val="Heading 1 Char"/>
    <w:aliases w:val="Style 1 Char"/>
    <w:basedOn w:val="DefaultParagraphFont"/>
    <w:link w:val="Heading1"/>
    <w:uiPriority w:val="9"/>
    <w:rsid w:val="00FB7410"/>
    <w:rPr>
      <w:rFonts w:asciiTheme="majorHAnsi" w:eastAsiaTheme="majorEastAsia" w:hAnsiTheme="majorHAnsi" w:cstheme="majorBidi"/>
      <w:color w:val="2E74B5" w:themeColor="accent1" w:themeShade="BF"/>
      <w:sz w:val="32"/>
      <w:szCs w:val="32"/>
    </w:rPr>
  </w:style>
  <w:style w:type="paragraph" w:customStyle="1" w:styleId="LC2">
    <w:name w:val="LC2"/>
    <w:basedOn w:val="LC1"/>
    <w:link w:val="LC2Char"/>
    <w:qFormat/>
    <w:rsid w:val="003F0FB5"/>
    <w:pPr>
      <w:numPr>
        <w:ilvl w:val="1"/>
      </w:numPr>
      <w:ind w:left="1701" w:hanging="993"/>
    </w:pPr>
  </w:style>
  <w:style w:type="paragraph" w:customStyle="1" w:styleId="LCORder">
    <w:name w:val="LC ORder"/>
    <w:basedOn w:val="LC1"/>
    <w:link w:val="LCORderChar"/>
    <w:qFormat/>
    <w:rsid w:val="00400C5A"/>
    <w:pPr>
      <w:numPr>
        <w:numId w:val="0"/>
      </w:numPr>
      <w:spacing w:after="120"/>
    </w:pPr>
    <w:rPr>
      <w:rFonts w:cs="Arial"/>
      <w:szCs w:val="24"/>
    </w:rPr>
  </w:style>
  <w:style w:type="character" w:customStyle="1" w:styleId="LC2Char">
    <w:name w:val="LC2 Char"/>
    <w:basedOn w:val="LC1Char"/>
    <w:link w:val="LC2"/>
    <w:rsid w:val="003F0FB5"/>
    <w:rPr>
      <w:rFonts w:ascii="Arial" w:eastAsia="Times New Roman" w:hAnsi="Arial" w:cs="Times New Roman"/>
      <w:sz w:val="24"/>
      <w:szCs w:val="20"/>
    </w:rPr>
  </w:style>
  <w:style w:type="character" w:customStyle="1" w:styleId="LCORderChar">
    <w:name w:val="LC ORder Char"/>
    <w:basedOn w:val="LC1Char"/>
    <w:link w:val="LCORder"/>
    <w:rsid w:val="00400C5A"/>
    <w:rPr>
      <w:rFonts w:ascii="Arial" w:eastAsia="Times New Roman" w:hAnsi="Arial" w:cs="Arial"/>
      <w:sz w:val="24"/>
      <w:szCs w:val="24"/>
    </w:rPr>
  </w:style>
  <w:style w:type="character" w:styleId="Hyperlink">
    <w:name w:val="Hyperlink"/>
    <w:basedOn w:val="DefaultParagraphFont"/>
    <w:uiPriority w:val="99"/>
    <w:unhideWhenUsed/>
    <w:rsid w:val="00070375"/>
    <w:rPr>
      <w:color w:val="0563C1" w:themeColor="hyperlink"/>
      <w:u w:val="single"/>
    </w:rPr>
  </w:style>
  <w:style w:type="paragraph" w:customStyle="1" w:styleId="normaltext">
    <w:name w:val="normaltext"/>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ra-a">
    <w:name w:val="para-a"/>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footnote-x">
    <w:name w:val="footnote-x"/>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genumber">
    <w:name w:val="pagenumber"/>
    <w:basedOn w:val="Normal"/>
    <w:rsid w:val="007C3650"/>
    <w:pPr>
      <w:spacing w:before="100" w:beforeAutospacing="1" w:after="100" w:afterAutospacing="1" w:line="240" w:lineRule="auto"/>
      <w:jc w:val="left"/>
    </w:pPr>
    <w:rPr>
      <w:rFonts w:ascii="Times New Roman" w:hAnsi="Times New Roman"/>
      <w:sz w:val="24"/>
      <w:szCs w:val="24"/>
      <w:lang w:eastAsia="en-ZA"/>
    </w:rPr>
  </w:style>
  <w:style w:type="paragraph" w:styleId="NormalWeb">
    <w:name w:val="Normal (Web)"/>
    <w:basedOn w:val="Normal"/>
    <w:uiPriority w:val="99"/>
    <w:semiHidden/>
    <w:unhideWhenUsed/>
    <w:rsid w:val="000073C9"/>
    <w:pPr>
      <w:spacing w:before="100" w:beforeAutospacing="1" w:after="100" w:afterAutospacing="1" w:line="240" w:lineRule="auto"/>
      <w:jc w:val="left"/>
    </w:pPr>
    <w:rPr>
      <w:rFonts w:ascii="Times New Roman" w:hAnsi="Times New Roman"/>
      <w:sz w:val="24"/>
      <w:szCs w:val="24"/>
      <w:lang w:eastAsia="en-ZA"/>
    </w:rPr>
  </w:style>
  <w:style w:type="character" w:customStyle="1" w:styleId="g1">
    <w:name w:val="g1"/>
    <w:basedOn w:val="DefaultParagraphFont"/>
    <w:rsid w:val="00AD0267"/>
  </w:style>
  <w:style w:type="paragraph" w:styleId="NoSpacing">
    <w:name w:val="No Spacing"/>
    <w:uiPriority w:val="1"/>
    <w:qFormat/>
    <w:rsid w:val="004071E9"/>
    <w:pPr>
      <w:spacing w:after="0" w:line="240" w:lineRule="auto"/>
    </w:pPr>
    <w:rPr>
      <w:rFonts w:ascii="Calibri" w:eastAsia="Calibri" w:hAnsi="Calibri" w:cs="Arial"/>
    </w:rPr>
  </w:style>
  <w:style w:type="character" w:customStyle="1" w:styleId="UnresolvedMention1">
    <w:name w:val="Unresolved Mention1"/>
    <w:basedOn w:val="DefaultParagraphFont"/>
    <w:uiPriority w:val="99"/>
    <w:semiHidden/>
    <w:unhideWhenUsed/>
    <w:rsid w:val="00B03251"/>
    <w:rPr>
      <w:color w:val="605E5C"/>
      <w:shd w:val="clear" w:color="auto" w:fill="E1DFDD"/>
    </w:rPr>
  </w:style>
  <w:style w:type="paragraph" w:customStyle="1" w:styleId="Style40">
    <w:name w:val="Style 4"/>
    <w:basedOn w:val="Heading3"/>
    <w:next w:val="Normal"/>
    <w:link w:val="Style4Char"/>
    <w:qFormat/>
    <w:rsid w:val="00D33D7C"/>
    <w:pPr>
      <w:widowControl/>
      <w:numPr>
        <w:ilvl w:val="0"/>
        <w:numId w:val="0"/>
      </w:numPr>
      <w:tabs>
        <w:tab w:val="num" w:pos="2880"/>
      </w:tabs>
      <w:spacing w:after="240"/>
      <w:ind w:left="2880" w:hanging="2880"/>
      <w:outlineLvl w:val="9"/>
    </w:pPr>
    <w:rPr>
      <w:rFonts w:eastAsia="Times New Roman" w:cstheme="minorBidi"/>
      <w:bCs w:val="0"/>
      <w:szCs w:val="22"/>
    </w:rPr>
  </w:style>
  <w:style w:type="character" w:customStyle="1" w:styleId="Style4Char">
    <w:name w:val="Style 4 Char"/>
    <w:basedOn w:val="DefaultParagraphFont"/>
    <w:link w:val="Style40"/>
    <w:rsid w:val="00D33D7C"/>
    <w:rPr>
      <w:rFonts w:ascii="Arial" w:eastAsia="Times New Roman" w:hAnsi="Arial"/>
      <w:sz w:val="24"/>
    </w:rPr>
  </w:style>
  <w:style w:type="paragraph" w:customStyle="1" w:styleId="Default">
    <w:name w:val="Default"/>
    <w:rsid w:val="00E25C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46730">
      <w:bodyDiv w:val="1"/>
      <w:marLeft w:val="0"/>
      <w:marRight w:val="0"/>
      <w:marTop w:val="0"/>
      <w:marBottom w:val="0"/>
      <w:divBdr>
        <w:top w:val="none" w:sz="0" w:space="0" w:color="auto"/>
        <w:left w:val="none" w:sz="0" w:space="0" w:color="auto"/>
        <w:bottom w:val="none" w:sz="0" w:space="0" w:color="auto"/>
        <w:right w:val="none" w:sz="0" w:space="0" w:color="auto"/>
      </w:divBdr>
      <w:divsChild>
        <w:div w:id="1561210540">
          <w:marLeft w:val="0"/>
          <w:marRight w:val="0"/>
          <w:marTop w:val="0"/>
          <w:marBottom w:val="0"/>
          <w:divBdr>
            <w:top w:val="none" w:sz="0" w:space="0" w:color="auto"/>
            <w:left w:val="none" w:sz="0" w:space="0" w:color="auto"/>
            <w:bottom w:val="none" w:sz="0" w:space="0" w:color="auto"/>
            <w:right w:val="none" w:sz="0" w:space="0" w:color="auto"/>
          </w:divBdr>
          <w:divsChild>
            <w:div w:id="952906634">
              <w:marLeft w:val="0"/>
              <w:marRight w:val="0"/>
              <w:marTop w:val="0"/>
              <w:marBottom w:val="0"/>
              <w:divBdr>
                <w:top w:val="none" w:sz="0" w:space="0" w:color="auto"/>
                <w:left w:val="none" w:sz="0" w:space="0" w:color="auto"/>
                <w:bottom w:val="none" w:sz="0" w:space="0" w:color="auto"/>
                <w:right w:val="none" w:sz="0" w:space="0" w:color="auto"/>
              </w:divBdr>
              <w:divsChild>
                <w:div w:id="12220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5895">
      <w:bodyDiv w:val="1"/>
      <w:marLeft w:val="0"/>
      <w:marRight w:val="0"/>
      <w:marTop w:val="0"/>
      <w:marBottom w:val="0"/>
      <w:divBdr>
        <w:top w:val="none" w:sz="0" w:space="0" w:color="auto"/>
        <w:left w:val="none" w:sz="0" w:space="0" w:color="auto"/>
        <w:bottom w:val="none" w:sz="0" w:space="0" w:color="auto"/>
        <w:right w:val="none" w:sz="0" w:space="0" w:color="auto"/>
      </w:divBdr>
      <w:divsChild>
        <w:div w:id="1226523665">
          <w:marLeft w:val="0"/>
          <w:marRight w:val="0"/>
          <w:marTop w:val="0"/>
          <w:marBottom w:val="0"/>
          <w:divBdr>
            <w:top w:val="none" w:sz="0" w:space="0" w:color="auto"/>
            <w:left w:val="none" w:sz="0" w:space="0" w:color="auto"/>
            <w:bottom w:val="none" w:sz="0" w:space="0" w:color="auto"/>
            <w:right w:val="none" w:sz="0" w:space="0" w:color="auto"/>
          </w:divBdr>
        </w:div>
        <w:div w:id="1485731590">
          <w:marLeft w:val="0"/>
          <w:marRight w:val="0"/>
          <w:marTop w:val="0"/>
          <w:marBottom w:val="0"/>
          <w:divBdr>
            <w:top w:val="none" w:sz="0" w:space="0" w:color="auto"/>
            <w:left w:val="none" w:sz="0" w:space="0" w:color="auto"/>
            <w:bottom w:val="none" w:sz="0" w:space="0" w:color="auto"/>
            <w:right w:val="none" w:sz="0" w:space="0" w:color="auto"/>
          </w:divBdr>
        </w:div>
        <w:div w:id="1358897114">
          <w:marLeft w:val="0"/>
          <w:marRight w:val="0"/>
          <w:marTop w:val="0"/>
          <w:marBottom w:val="0"/>
          <w:divBdr>
            <w:top w:val="none" w:sz="0" w:space="0" w:color="auto"/>
            <w:left w:val="none" w:sz="0" w:space="0" w:color="auto"/>
            <w:bottom w:val="none" w:sz="0" w:space="0" w:color="auto"/>
            <w:right w:val="none" w:sz="0" w:space="0" w:color="auto"/>
          </w:divBdr>
        </w:div>
        <w:div w:id="26377791">
          <w:marLeft w:val="0"/>
          <w:marRight w:val="0"/>
          <w:marTop w:val="0"/>
          <w:marBottom w:val="0"/>
          <w:divBdr>
            <w:top w:val="none" w:sz="0" w:space="0" w:color="auto"/>
            <w:left w:val="none" w:sz="0" w:space="0" w:color="auto"/>
            <w:bottom w:val="none" w:sz="0" w:space="0" w:color="auto"/>
            <w:right w:val="none" w:sz="0" w:space="0" w:color="auto"/>
          </w:divBdr>
        </w:div>
        <w:div w:id="1790970930">
          <w:marLeft w:val="0"/>
          <w:marRight w:val="0"/>
          <w:marTop w:val="0"/>
          <w:marBottom w:val="0"/>
          <w:divBdr>
            <w:top w:val="none" w:sz="0" w:space="0" w:color="auto"/>
            <w:left w:val="none" w:sz="0" w:space="0" w:color="auto"/>
            <w:bottom w:val="none" w:sz="0" w:space="0" w:color="auto"/>
            <w:right w:val="none" w:sz="0" w:space="0" w:color="auto"/>
          </w:divBdr>
        </w:div>
        <w:div w:id="1418406801">
          <w:marLeft w:val="0"/>
          <w:marRight w:val="0"/>
          <w:marTop w:val="0"/>
          <w:marBottom w:val="0"/>
          <w:divBdr>
            <w:top w:val="none" w:sz="0" w:space="0" w:color="auto"/>
            <w:left w:val="none" w:sz="0" w:space="0" w:color="auto"/>
            <w:bottom w:val="none" w:sz="0" w:space="0" w:color="auto"/>
            <w:right w:val="none" w:sz="0" w:space="0" w:color="auto"/>
          </w:divBdr>
        </w:div>
        <w:div w:id="1760324789">
          <w:marLeft w:val="0"/>
          <w:marRight w:val="0"/>
          <w:marTop w:val="0"/>
          <w:marBottom w:val="0"/>
          <w:divBdr>
            <w:top w:val="none" w:sz="0" w:space="0" w:color="auto"/>
            <w:left w:val="none" w:sz="0" w:space="0" w:color="auto"/>
            <w:bottom w:val="none" w:sz="0" w:space="0" w:color="auto"/>
            <w:right w:val="none" w:sz="0" w:space="0" w:color="auto"/>
          </w:divBdr>
        </w:div>
      </w:divsChild>
    </w:div>
    <w:div w:id="320542999">
      <w:bodyDiv w:val="1"/>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sChild>
            <w:div w:id="750664856">
              <w:marLeft w:val="0"/>
              <w:marRight w:val="0"/>
              <w:marTop w:val="0"/>
              <w:marBottom w:val="0"/>
              <w:divBdr>
                <w:top w:val="none" w:sz="0" w:space="0" w:color="auto"/>
                <w:left w:val="none" w:sz="0" w:space="0" w:color="auto"/>
                <w:bottom w:val="none" w:sz="0" w:space="0" w:color="auto"/>
                <w:right w:val="none" w:sz="0" w:space="0" w:color="auto"/>
              </w:divBdr>
              <w:divsChild>
                <w:div w:id="12750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9514">
      <w:bodyDiv w:val="1"/>
      <w:marLeft w:val="0"/>
      <w:marRight w:val="0"/>
      <w:marTop w:val="0"/>
      <w:marBottom w:val="0"/>
      <w:divBdr>
        <w:top w:val="none" w:sz="0" w:space="0" w:color="auto"/>
        <w:left w:val="none" w:sz="0" w:space="0" w:color="auto"/>
        <w:bottom w:val="none" w:sz="0" w:space="0" w:color="auto"/>
        <w:right w:val="none" w:sz="0" w:space="0" w:color="auto"/>
      </w:divBdr>
      <w:divsChild>
        <w:div w:id="1615139068">
          <w:marLeft w:val="0"/>
          <w:marRight w:val="0"/>
          <w:marTop w:val="0"/>
          <w:marBottom w:val="0"/>
          <w:divBdr>
            <w:top w:val="none" w:sz="0" w:space="0" w:color="auto"/>
            <w:left w:val="none" w:sz="0" w:space="0" w:color="auto"/>
            <w:bottom w:val="none" w:sz="0" w:space="0" w:color="auto"/>
            <w:right w:val="none" w:sz="0" w:space="0" w:color="auto"/>
          </w:divBdr>
          <w:divsChild>
            <w:div w:id="1732145913">
              <w:marLeft w:val="0"/>
              <w:marRight w:val="0"/>
              <w:marTop w:val="0"/>
              <w:marBottom w:val="0"/>
              <w:divBdr>
                <w:top w:val="none" w:sz="0" w:space="0" w:color="auto"/>
                <w:left w:val="none" w:sz="0" w:space="0" w:color="auto"/>
                <w:bottom w:val="none" w:sz="0" w:space="0" w:color="auto"/>
                <w:right w:val="none" w:sz="0" w:space="0" w:color="auto"/>
              </w:divBdr>
              <w:divsChild>
                <w:div w:id="1579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5134">
      <w:bodyDiv w:val="1"/>
      <w:marLeft w:val="0"/>
      <w:marRight w:val="0"/>
      <w:marTop w:val="0"/>
      <w:marBottom w:val="0"/>
      <w:divBdr>
        <w:top w:val="none" w:sz="0" w:space="0" w:color="auto"/>
        <w:left w:val="none" w:sz="0" w:space="0" w:color="auto"/>
        <w:bottom w:val="none" w:sz="0" w:space="0" w:color="auto"/>
        <w:right w:val="none" w:sz="0" w:space="0" w:color="auto"/>
      </w:divBdr>
      <w:divsChild>
        <w:div w:id="1928802238">
          <w:marLeft w:val="0"/>
          <w:marRight w:val="0"/>
          <w:marTop w:val="0"/>
          <w:marBottom w:val="0"/>
          <w:divBdr>
            <w:top w:val="none" w:sz="0" w:space="0" w:color="auto"/>
            <w:left w:val="none" w:sz="0" w:space="0" w:color="auto"/>
            <w:bottom w:val="none" w:sz="0" w:space="0" w:color="auto"/>
            <w:right w:val="none" w:sz="0" w:space="0" w:color="auto"/>
          </w:divBdr>
          <w:divsChild>
            <w:div w:id="894198353">
              <w:marLeft w:val="0"/>
              <w:marRight w:val="0"/>
              <w:marTop w:val="0"/>
              <w:marBottom w:val="0"/>
              <w:divBdr>
                <w:top w:val="none" w:sz="0" w:space="0" w:color="auto"/>
                <w:left w:val="none" w:sz="0" w:space="0" w:color="auto"/>
                <w:bottom w:val="none" w:sz="0" w:space="0" w:color="auto"/>
                <w:right w:val="none" w:sz="0" w:space="0" w:color="auto"/>
              </w:divBdr>
              <w:divsChild>
                <w:div w:id="14335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47751">
      <w:bodyDiv w:val="1"/>
      <w:marLeft w:val="0"/>
      <w:marRight w:val="0"/>
      <w:marTop w:val="0"/>
      <w:marBottom w:val="0"/>
      <w:divBdr>
        <w:top w:val="none" w:sz="0" w:space="0" w:color="auto"/>
        <w:left w:val="none" w:sz="0" w:space="0" w:color="auto"/>
        <w:bottom w:val="none" w:sz="0" w:space="0" w:color="auto"/>
        <w:right w:val="none" w:sz="0" w:space="0" w:color="auto"/>
      </w:divBdr>
      <w:divsChild>
        <w:div w:id="1467551731">
          <w:marLeft w:val="0"/>
          <w:marRight w:val="0"/>
          <w:marTop w:val="0"/>
          <w:marBottom w:val="0"/>
          <w:divBdr>
            <w:top w:val="none" w:sz="0" w:space="0" w:color="auto"/>
            <w:left w:val="none" w:sz="0" w:space="0" w:color="auto"/>
            <w:bottom w:val="none" w:sz="0" w:space="0" w:color="auto"/>
            <w:right w:val="none" w:sz="0" w:space="0" w:color="auto"/>
          </w:divBdr>
        </w:div>
        <w:div w:id="1643462552">
          <w:marLeft w:val="0"/>
          <w:marRight w:val="0"/>
          <w:marTop w:val="0"/>
          <w:marBottom w:val="0"/>
          <w:divBdr>
            <w:top w:val="none" w:sz="0" w:space="0" w:color="auto"/>
            <w:left w:val="none" w:sz="0" w:space="0" w:color="auto"/>
            <w:bottom w:val="none" w:sz="0" w:space="0" w:color="auto"/>
            <w:right w:val="none" w:sz="0" w:space="0" w:color="auto"/>
          </w:divBdr>
        </w:div>
        <w:div w:id="1132672054">
          <w:marLeft w:val="0"/>
          <w:marRight w:val="0"/>
          <w:marTop w:val="0"/>
          <w:marBottom w:val="0"/>
          <w:divBdr>
            <w:top w:val="none" w:sz="0" w:space="0" w:color="auto"/>
            <w:left w:val="none" w:sz="0" w:space="0" w:color="auto"/>
            <w:bottom w:val="none" w:sz="0" w:space="0" w:color="auto"/>
            <w:right w:val="none" w:sz="0" w:space="0" w:color="auto"/>
          </w:divBdr>
        </w:div>
        <w:div w:id="602538362">
          <w:marLeft w:val="0"/>
          <w:marRight w:val="0"/>
          <w:marTop w:val="0"/>
          <w:marBottom w:val="0"/>
          <w:divBdr>
            <w:top w:val="none" w:sz="0" w:space="0" w:color="auto"/>
            <w:left w:val="none" w:sz="0" w:space="0" w:color="auto"/>
            <w:bottom w:val="none" w:sz="0" w:space="0" w:color="auto"/>
            <w:right w:val="none" w:sz="0" w:space="0" w:color="auto"/>
          </w:divBdr>
        </w:div>
        <w:div w:id="850992138">
          <w:marLeft w:val="0"/>
          <w:marRight w:val="0"/>
          <w:marTop w:val="0"/>
          <w:marBottom w:val="0"/>
          <w:divBdr>
            <w:top w:val="none" w:sz="0" w:space="0" w:color="auto"/>
            <w:left w:val="none" w:sz="0" w:space="0" w:color="auto"/>
            <w:bottom w:val="none" w:sz="0" w:space="0" w:color="auto"/>
            <w:right w:val="none" w:sz="0" w:space="0" w:color="auto"/>
          </w:divBdr>
        </w:div>
        <w:div w:id="1121849841">
          <w:marLeft w:val="0"/>
          <w:marRight w:val="0"/>
          <w:marTop w:val="0"/>
          <w:marBottom w:val="0"/>
          <w:divBdr>
            <w:top w:val="none" w:sz="0" w:space="0" w:color="auto"/>
            <w:left w:val="none" w:sz="0" w:space="0" w:color="auto"/>
            <w:bottom w:val="none" w:sz="0" w:space="0" w:color="auto"/>
            <w:right w:val="none" w:sz="0" w:space="0" w:color="auto"/>
          </w:divBdr>
        </w:div>
        <w:div w:id="1345744407">
          <w:marLeft w:val="0"/>
          <w:marRight w:val="0"/>
          <w:marTop w:val="0"/>
          <w:marBottom w:val="0"/>
          <w:divBdr>
            <w:top w:val="none" w:sz="0" w:space="0" w:color="auto"/>
            <w:left w:val="none" w:sz="0" w:space="0" w:color="auto"/>
            <w:bottom w:val="none" w:sz="0" w:space="0" w:color="auto"/>
            <w:right w:val="none" w:sz="0" w:space="0" w:color="auto"/>
          </w:divBdr>
        </w:div>
        <w:div w:id="111631190">
          <w:marLeft w:val="0"/>
          <w:marRight w:val="0"/>
          <w:marTop w:val="0"/>
          <w:marBottom w:val="0"/>
          <w:divBdr>
            <w:top w:val="none" w:sz="0" w:space="0" w:color="auto"/>
            <w:left w:val="none" w:sz="0" w:space="0" w:color="auto"/>
            <w:bottom w:val="none" w:sz="0" w:space="0" w:color="auto"/>
            <w:right w:val="none" w:sz="0" w:space="0" w:color="auto"/>
          </w:divBdr>
        </w:div>
      </w:divsChild>
    </w:div>
    <w:div w:id="503206433">
      <w:bodyDiv w:val="1"/>
      <w:marLeft w:val="0"/>
      <w:marRight w:val="0"/>
      <w:marTop w:val="0"/>
      <w:marBottom w:val="0"/>
      <w:divBdr>
        <w:top w:val="none" w:sz="0" w:space="0" w:color="auto"/>
        <w:left w:val="none" w:sz="0" w:space="0" w:color="auto"/>
        <w:bottom w:val="none" w:sz="0" w:space="0" w:color="auto"/>
        <w:right w:val="none" w:sz="0" w:space="0" w:color="auto"/>
      </w:divBdr>
      <w:divsChild>
        <w:div w:id="684327867">
          <w:marLeft w:val="0"/>
          <w:marRight w:val="0"/>
          <w:marTop w:val="0"/>
          <w:marBottom w:val="0"/>
          <w:divBdr>
            <w:top w:val="none" w:sz="0" w:space="0" w:color="auto"/>
            <w:left w:val="none" w:sz="0" w:space="0" w:color="auto"/>
            <w:bottom w:val="none" w:sz="0" w:space="0" w:color="auto"/>
            <w:right w:val="none" w:sz="0" w:space="0" w:color="auto"/>
          </w:divBdr>
          <w:divsChild>
            <w:div w:id="1340549327">
              <w:marLeft w:val="0"/>
              <w:marRight w:val="0"/>
              <w:marTop w:val="0"/>
              <w:marBottom w:val="0"/>
              <w:divBdr>
                <w:top w:val="none" w:sz="0" w:space="0" w:color="auto"/>
                <w:left w:val="none" w:sz="0" w:space="0" w:color="auto"/>
                <w:bottom w:val="none" w:sz="0" w:space="0" w:color="auto"/>
                <w:right w:val="none" w:sz="0" w:space="0" w:color="auto"/>
              </w:divBdr>
              <w:divsChild>
                <w:div w:id="676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7832">
      <w:bodyDiv w:val="1"/>
      <w:marLeft w:val="0"/>
      <w:marRight w:val="0"/>
      <w:marTop w:val="0"/>
      <w:marBottom w:val="0"/>
      <w:divBdr>
        <w:top w:val="none" w:sz="0" w:space="0" w:color="auto"/>
        <w:left w:val="none" w:sz="0" w:space="0" w:color="auto"/>
        <w:bottom w:val="none" w:sz="0" w:space="0" w:color="auto"/>
        <w:right w:val="none" w:sz="0" w:space="0" w:color="auto"/>
      </w:divBdr>
      <w:divsChild>
        <w:div w:id="59907171">
          <w:marLeft w:val="0"/>
          <w:marRight w:val="0"/>
          <w:marTop w:val="0"/>
          <w:marBottom w:val="0"/>
          <w:divBdr>
            <w:top w:val="none" w:sz="0" w:space="0" w:color="auto"/>
            <w:left w:val="none" w:sz="0" w:space="0" w:color="auto"/>
            <w:bottom w:val="none" w:sz="0" w:space="0" w:color="auto"/>
            <w:right w:val="none" w:sz="0" w:space="0" w:color="auto"/>
          </w:divBdr>
        </w:div>
        <w:div w:id="39937451">
          <w:marLeft w:val="0"/>
          <w:marRight w:val="0"/>
          <w:marTop w:val="0"/>
          <w:marBottom w:val="0"/>
          <w:divBdr>
            <w:top w:val="none" w:sz="0" w:space="0" w:color="auto"/>
            <w:left w:val="none" w:sz="0" w:space="0" w:color="auto"/>
            <w:bottom w:val="none" w:sz="0" w:space="0" w:color="auto"/>
            <w:right w:val="none" w:sz="0" w:space="0" w:color="auto"/>
          </w:divBdr>
        </w:div>
        <w:div w:id="129329912">
          <w:marLeft w:val="0"/>
          <w:marRight w:val="0"/>
          <w:marTop w:val="0"/>
          <w:marBottom w:val="0"/>
          <w:divBdr>
            <w:top w:val="none" w:sz="0" w:space="0" w:color="auto"/>
            <w:left w:val="none" w:sz="0" w:space="0" w:color="auto"/>
            <w:bottom w:val="none" w:sz="0" w:space="0" w:color="auto"/>
            <w:right w:val="none" w:sz="0" w:space="0" w:color="auto"/>
          </w:divBdr>
        </w:div>
        <w:div w:id="1267419204">
          <w:marLeft w:val="0"/>
          <w:marRight w:val="0"/>
          <w:marTop w:val="0"/>
          <w:marBottom w:val="0"/>
          <w:divBdr>
            <w:top w:val="none" w:sz="0" w:space="0" w:color="auto"/>
            <w:left w:val="none" w:sz="0" w:space="0" w:color="auto"/>
            <w:bottom w:val="none" w:sz="0" w:space="0" w:color="auto"/>
            <w:right w:val="none" w:sz="0" w:space="0" w:color="auto"/>
          </w:divBdr>
        </w:div>
        <w:div w:id="106856125">
          <w:marLeft w:val="0"/>
          <w:marRight w:val="0"/>
          <w:marTop w:val="0"/>
          <w:marBottom w:val="0"/>
          <w:divBdr>
            <w:top w:val="none" w:sz="0" w:space="0" w:color="auto"/>
            <w:left w:val="none" w:sz="0" w:space="0" w:color="auto"/>
            <w:bottom w:val="none" w:sz="0" w:space="0" w:color="auto"/>
            <w:right w:val="none" w:sz="0" w:space="0" w:color="auto"/>
          </w:divBdr>
        </w:div>
        <w:div w:id="1157916660">
          <w:marLeft w:val="0"/>
          <w:marRight w:val="0"/>
          <w:marTop w:val="0"/>
          <w:marBottom w:val="0"/>
          <w:divBdr>
            <w:top w:val="none" w:sz="0" w:space="0" w:color="auto"/>
            <w:left w:val="none" w:sz="0" w:space="0" w:color="auto"/>
            <w:bottom w:val="none" w:sz="0" w:space="0" w:color="auto"/>
            <w:right w:val="none" w:sz="0" w:space="0" w:color="auto"/>
          </w:divBdr>
        </w:div>
        <w:div w:id="560024240">
          <w:marLeft w:val="0"/>
          <w:marRight w:val="0"/>
          <w:marTop w:val="0"/>
          <w:marBottom w:val="0"/>
          <w:divBdr>
            <w:top w:val="none" w:sz="0" w:space="0" w:color="auto"/>
            <w:left w:val="none" w:sz="0" w:space="0" w:color="auto"/>
            <w:bottom w:val="none" w:sz="0" w:space="0" w:color="auto"/>
            <w:right w:val="none" w:sz="0" w:space="0" w:color="auto"/>
          </w:divBdr>
        </w:div>
        <w:div w:id="1915318130">
          <w:marLeft w:val="0"/>
          <w:marRight w:val="0"/>
          <w:marTop w:val="0"/>
          <w:marBottom w:val="0"/>
          <w:divBdr>
            <w:top w:val="none" w:sz="0" w:space="0" w:color="auto"/>
            <w:left w:val="none" w:sz="0" w:space="0" w:color="auto"/>
            <w:bottom w:val="none" w:sz="0" w:space="0" w:color="auto"/>
            <w:right w:val="none" w:sz="0" w:space="0" w:color="auto"/>
          </w:divBdr>
        </w:div>
        <w:div w:id="358243138">
          <w:marLeft w:val="0"/>
          <w:marRight w:val="0"/>
          <w:marTop w:val="0"/>
          <w:marBottom w:val="0"/>
          <w:divBdr>
            <w:top w:val="none" w:sz="0" w:space="0" w:color="auto"/>
            <w:left w:val="none" w:sz="0" w:space="0" w:color="auto"/>
            <w:bottom w:val="none" w:sz="0" w:space="0" w:color="auto"/>
            <w:right w:val="none" w:sz="0" w:space="0" w:color="auto"/>
          </w:divBdr>
        </w:div>
        <w:div w:id="381952147">
          <w:marLeft w:val="0"/>
          <w:marRight w:val="0"/>
          <w:marTop w:val="0"/>
          <w:marBottom w:val="0"/>
          <w:divBdr>
            <w:top w:val="none" w:sz="0" w:space="0" w:color="auto"/>
            <w:left w:val="none" w:sz="0" w:space="0" w:color="auto"/>
            <w:bottom w:val="none" w:sz="0" w:space="0" w:color="auto"/>
            <w:right w:val="none" w:sz="0" w:space="0" w:color="auto"/>
          </w:divBdr>
        </w:div>
        <w:div w:id="710957988">
          <w:marLeft w:val="0"/>
          <w:marRight w:val="0"/>
          <w:marTop w:val="0"/>
          <w:marBottom w:val="0"/>
          <w:divBdr>
            <w:top w:val="none" w:sz="0" w:space="0" w:color="auto"/>
            <w:left w:val="none" w:sz="0" w:space="0" w:color="auto"/>
            <w:bottom w:val="none" w:sz="0" w:space="0" w:color="auto"/>
            <w:right w:val="none" w:sz="0" w:space="0" w:color="auto"/>
          </w:divBdr>
        </w:div>
        <w:div w:id="889876803">
          <w:marLeft w:val="0"/>
          <w:marRight w:val="0"/>
          <w:marTop w:val="0"/>
          <w:marBottom w:val="0"/>
          <w:divBdr>
            <w:top w:val="none" w:sz="0" w:space="0" w:color="auto"/>
            <w:left w:val="none" w:sz="0" w:space="0" w:color="auto"/>
            <w:bottom w:val="none" w:sz="0" w:space="0" w:color="auto"/>
            <w:right w:val="none" w:sz="0" w:space="0" w:color="auto"/>
          </w:divBdr>
        </w:div>
        <w:div w:id="993875744">
          <w:marLeft w:val="0"/>
          <w:marRight w:val="0"/>
          <w:marTop w:val="0"/>
          <w:marBottom w:val="0"/>
          <w:divBdr>
            <w:top w:val="none" w:sz="0" w:space="0" w:color="auto"/>
            <w:left w:val="none" w:sz="0" w:space="0" w:color="auto"/>
            <w:bottom w:val="none" w:sz="0" w:space="0" w:color="auto"/>
            <w:right w:val="none" w:sz="0" w:space="0" w:color="auto"/>
          </w:divBdr>
        </w:div>
        <w:div w:id="200368352">
          <w:marLeft w:val="0"/>
          <w:marRight w:val="0"/>
          <w:marTop w:val="0"/>
          <w:marBottom w:val="0"/>
          <w:divBdr>
            <w:top w:val="none" w:sz="0" w:space="0" w:color="auto"/>
            <w:left w:val="none" w:sz="0" w:space="0" w:color="auto"/>
            <w:bottom w:val="none" w:sz="0" w:space="0" w:color="auto"/>
            <w:right w:val="none" w:sz="0" w:space="0" w:color="auto"/>
          </w:divBdr>
        </w:div>
      </w:divsChild>
    </w:div>
    <w:div w:id="610550229">
      <w:bodyDiv w:val="1"/>
      <w:marLeft w:val="0"/>
      <w:marRight w:val="0"/>
      <w:marTop w:val="0"/>
      <w:marBottom w:val="0"/>
      <w:divBdr>
        <w:top w:val="none" w:sz="0" w:space="0" w:color="auto"/>
        <w:left w:val="none" w:sz="0" w:space="0" w:color="auto"/>
        <w:bottom w:val="none" w:sz="0" w:space="0" w:color="auto"/>
        <w:right w:val="none" w:sz="0" w:space="0" w:color="auto"/>
      </w:divBdr>
      <w:divsChild>
        <w:div w:id="59183061">
          <w:marLeft w:val="0"/>
          <w:marRight w:val="0"/>
          <w:marTop w:val="0"/>
          <w:marBottom w:val="0"/>
          <w:divBdr>
            <w:top w:val="none" w:sz="0" w:space="0" w:color="auto"/>
            <w:left w:val="none" w:sz="0" w:space="0" w:color="auto"/>
            <w:bottom w:val="none" w:sz="0" w:space="0" w:color="auto"/>
            <w:right w:val="none" w:sz="0" w:space="0" w:color="auto"/>
          </w:divBdr>
        </w:div>
        <w:div w:id="1685979614">
          <w:marLeft w:val="0"/>
          <w:marRight w:val="0"/>
          <w:marTop w:val="0"/>
          <w:marBottom w:val="0"/>
          <w:divBdr>
            <w:top w:val="none" w:sz="0" w:space="0" w:color="auto"/>
            <w:left w:val="none" w:sz="0" w:space="0" w:color="auto"/>
            <w:bottom w:val="none" w:sz="0" w:space="0" w:color="auto"/>
            <w:right w:val="none" w:sz="0" w:space="0" w:color="auto"/>
          </w:divBdr>
        </w:div>
      </w:divsChild>
    </w:div>
    <w:div w:id="617176444">
      <w:bodyDiv w:val="1"/>
      <w:marLeft w:val="0"/>
      <w:marRight w:val="0"/>
      <w:marTop w:val="0"/>
      <w:marBottom w:val="0"/>
      <w:divBdr>
        <w:top w:val="none" w:sz="0" w:space="0" w:color="auto"/>
        <w:left w:val="none" w:sz="0" w:space="0" w:color="auto"/>
        <w:bottom w:val="none" w:sz="0" w:space="0" w:color="auto"/>
        <w:right w:val="none" w:sz="0" w:space="0" w:color="auto"/>
      </w:divBdr>
      <w:divsChild>
        <w:div w:id="629899097">
          <w:marLeft w:val="0"/>
          <w:marRight w:val="0"/>
          <w:marTop w:val="0"/>
          <w:marBottom w:val="0"/>
          <w:divBdr>
            <w:top w:val="none" w:sz="0" w:space="0" w:color="auto"/>
            <w:left w:val="none" w:sz="0" w:space="0" w:color="auto"/>
            <w:bottom w:val="none" w:sz="0" w:space="0" w:color="auto"/>
            <w:right w:val="none" w:sz="0" w:space="0" w:color="auto"/>
          </w:divBdr>
          <w:divsChild>
            <w:div w:id="1528132854">
              <w:marLeft w:val="0"/>
              <w:marRight w:val="0"/>
              <w:marTop w:val="0"/>
              <w:marBottom w:val="0"/>
              <w:divBdr>
                <w:top w:val="none" w:sz="0" w:space="0" w:color="auto"/>
                <w:left w:val="none" w:sz="0" w:space="0" w:color="auto"/>
                <w:bottom w:val="none" w:sz="0" w:space="0" w:color="auto"/>
                <w:right w:val="none" w:sz="0" w:space="0" w:color="auto"/>
              </w:divBdr>
              <w:divsChild>
                <w:div w:id="687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8576">
      <w:bodyDiv w:val="1"/>
      <w:marLeft w:val="0"/>
      <w:marRight w:val="0"/>
      <w:marTop w:val="0"/>
      <w:marBottom w:val="0"/>
      <w:divBdr>
        <w:top w:val="none" w:sz="0" w:space="0" w:color="auto"/>
        <w:left w:val="none" w:sz="0" w:space="0" w:color="auto"/>
        <w:bottom w:val="none" w:sz="0" w:space="0" w:color="auto"/>
        <w:right w:val="none" w:sz="0" w:space="0" w:color="auto"/>
      </w:divBdr>
    </w:div>
    <w:div w:id="642007607">
      <w:bodyDiv w:val="1"/>
      <w:marLeft w:val="0"/>
      <w:marRight w:val="0"/>
      <w:marTop w:val="0"/>
      <w:marBottom w:val="0"/>
      <w:divBdr>
        <w:top w:val="none" w:sz="0" w:space="0" w:color="auto"/>
        <w:left w:val="none" w:sz="0" w:space="0" w:color="auto"/>
        <w:bottom w:val="none" w:sz="0" w:space="0" w:color="auto"/>
        <w:right w:val="none" w:sz="0" w:space="0" w:color="auto"/>
      </w:divBdr>
    </w:div>
    <w:div w:id="763887979">
      <w:bodyDiv w:val="1"/>
      <w:marLeft w:val="0"/>
      <w:marRight w:val="0"/>
      <w:marTop w:val="0"/>
      <w:marBottom w:val="0"/>
      <w:divBdr>
        <w:top w:val="none" w:sz="0" w:space="0" w:color="auto"/>
        <w:left w:val="none" w:sz="0" w:space="0" w:color="auto"/>
        <w:bottom w:val="none" w:sz="0" w:space="0" w:color="auto"/>
        <w:right w:val="none" w:sz="0" w:space="0" w:color="auto"/>
      </w:divBdr>
      <w:divsChild>
        <w:div w:id="1947076680">
          <w:marLeft w:val="0"/>
          <w:marRight w:val="0"/>
          <w:marTop w:val="0"/>
          <w:marBottom w:val="0"/>
          <w:divBdr>
            <w:top w:val="none" w:sz="0" w:space="0" w:color="auto"/>
            <w:left w:val="none" w:sz="0" w:space="0" w:color="auto"/>
            <w:bottom w:val="none" w:sz="0" w:space="0" w:color="auto"/>
            <w:right w:val="none" w:sz="0" w:space="0" w:color="auto"/>
          </w:divBdr>
          <w:divsChild>
            <w:div w:id="1274048059">
              <w:marLeft w:val="0"/>
              <w:marRight w:val="0"/>
              <w:marTop w:val="0"/>
              <w:marBottom w:val="0"/>
              <w:divBdr>
                <w:top w:val="none" w:sz="0" w:space="0" w:color="auto"/>
                <w:left w:val="none" w:sz="0" w:space="0" w:color="auto"/>
                <w:bottom w:val="none" w:sz="0" w:space="0" w:color="auto"/>
                <w:right w:val="none" w:sz="0" w:space="0" w:color="auto"/>
              </w:divBdr>
              <w:divsChild>
                <w:div w:id="15782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924">
      <w:bodyDiv w:val="1"/>
      <w:marLeft w:val="0"/>
      <w:marRight w:val="0"/>
      <w:marTop w:val="0"/>
      <w:marBottom w:val="0"/>
      <w:divBdr>
        <w:top w:val="none" w:sz="0" w:space="0" w:color="auto"/>
        <w:left w:val="none" w:sz="0" w:space="0" w:color="auto"/>
        <w:bottom w:val="none" w:sz="0" w:space="0" w:color="auto"/>
        <w:right w:val="none" w:sz="0" w:space="0" w:color="auto"/>
      </w:divBdr>
      <w:divsChild>
        <w:div w:id="1040131022">
          <w:marLeft w:val="0"/>
          <w:marRight w:val="0"/>
          <w:marTop w:val="0"/>
          <w:marBottom w:val="0"/>
          <w:divBdr>
            <w:top w:val="none" w:sz="0" w:space="0" w:color="auto"/>
            <w:left w:val="none" w:sz="0" w:space="0" w:color="auto"/>
            <w:bottom w:val="none" w:sz="0" w:space="0" w:color="auto"/>
            <w:right w:val="none" w:sz="0" w:space="0" w:color="auto"/>
          </w:divBdr>
          <w:divsChild>
            <w:div w:id="1598752760">
              <w:marLeft w:val="0"/>
              <w:marRight w:val="0"/>
              <w:marTop w:val="0"/>
              <w:marBottom w:val="0"/>
              <w:divBdr>
                <w:top w:val="none" w:sz="0" w:space="0" w:color="auto"/>
                <w:left w:val="none" w:sz="0" w:space="0" w:color="auto"/>
                <w:bottom w:val="none" w:sz="0" w:space="0" w:color="auto"/>
                <w:right w:val="none" w:sz="0" w:space="0" w:color="auto"/>
              </w:divBdr>
              <w:divsChild>
                <w:div w:id="21073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6149">
      <w:bodyDiv w:val="1"/>
      <w:marLeft w:val="0"/>
      <w:marRight w:val="0"/>
      <w:marTop w:val="0"/>
      <w:marBottom w:val="0"/>
      <w:divBdr>
        <w:top w:val="none" w:sz="0" w:space="0" w:color="auto"/>
        <w:left w:val="none" w:sz="0" w:space="0" w:color="auto"/>
        <w:bottom w:val="none" w:sz="0" w:space="0" w:color="auto"/>
        <w:right w:val="none" w:sz="0" w:space="0" w:color="auto"/>
      </w:divBdr>
      <w:divsChild>
        <w:div w:id="1972396377">
          <w:marLeft w:val="0"/>
          <w:marRight w:val="0"/>
          <w:marTop w:val="0"/>
          <w:marBottom w:val="0"/>
          <w:divBdr>
            <w:top w:val="none" w:sz="0" w:space="0" w:color="auto"/>
            <w:left w:val="none" w:sz="0" w:space="0" w:color="auto"/>
            <w:bottom w:val="none" w:sz="0" w:space="0" w:color="auto"/>
            <w:right w:val="none" w:sz="0" w:space="0" w:color="auto"/>
          </w:divBdr>
          <w:divsChild>
            <w:div w:id="1219902391">
              <w:marLeft w:val="0"/>
              <w:marRight w:val="0"/>
              <w:marTop w:val="0"/>
              <w:marBottom w:val="0"/>
              <w:divBdr>
                <w:top w:val="none" w:sz="0" w:space="0" w:color="auto"/>
                <w:left w:val="none" w:sz="0" w:space="0" w:color="auto"/>
                <w:bottom w:val="none" w:sz="0" w:space="0" w:color="auto"/>
                <w:right w:val="none" w:sz="0" w:space="0" w:color="auto"/>
              </w:divBdr>
              <w:divsChild>
                <w:div w:id="539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0655">
      <w:bodyDiv w:val="1"/>
      <w:marLeft w:val="0"/>
      <w:marRight w:val="0"/>
      <w:marTop w:val="0"/>
      <w:marBottom w:val="0"/>
      <w:divBdr>
        <w:top w:val="none" w:sz="0" w:space="0" w:color="auto"/>
        <w:left w:val="none" w:sz="0" w:space="0" w:color="auto"/>
        <w:bottom w:val="none" w:sz="0" w:space="0" w:color="auto"/>
        <w:right w:val="none" w:sz="0" w:space="0" w:color="auto"/>
      </w:divBdr>
      <w:divsChild>
        <w:div w:id="887424275">
          <w:marLeft w:val="0"/>
          <w:marRight w:val="0"/>
          <w:marTop w:val="0"/>
          <w:marBottom w:val="0"/>
          <w:divBdr>
            <w:top w:val="none" w:sz="0" w:space="0" w:color="auto"/>
            <w:left w:val="none" w:sz="0" w:space="0" w:color="auto"/>
            <w:bottom w:val="none" w:sz="0" w:space="0" w:color="auto"/>
            <w:right w:val="none" w:sz="0" w:space="0" w:color="auto"/>
          </w:divBdr>
          <w:divsChild>
            <w:div w:id="1504853131">
              <w:marLeft w:val="0"/>
              <w:marRight w:val="0"/>
              <w:marTop w:val="0"/>
              <w:marBottom w:val="0"/>
              <w:divBdr>
                <w:top w:val="none" w:sz="0" w:space="0" w:color="auto"/>
                <w:left w:val="none" w:sz="0" w:space="0" w:color="auto"/>
                <w:bottom w:val="none" w:sz="0" w:space="0" w:color="auto"/>
                <w:right w:val="none" w:sz="0" w:space="0" w:color="auto"/>
              </w:divBdr>
              <w:divsChild>
                <w:div w:id="3999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1415">
      <w:bodyDiv w:val="1"/>
      <w:marLeft w:val="0"/>
      <w:marRight w:val="0"/>
      <w:marTop w:val="0"/>
      <w:marBottom w:val="0"/>
      <w:divBdr>
        <w:top w:val="none" w:sz="0" w:space="0" w:color="auto"/>
        <w:left w:val="none" w:sz="0" w:space="0" w:color="auto"/>
        <w:bottom w:val="none" w:sz="0" w:space="0" w:color="auto"/>
        <w:right w:val="none" w:sz="0" w:space="0" w:color="auto"/>
      </w:divBdr>
      <w:divsChild>
        <w:div w:id="714622709">
          <w:marLeft w:val="0"/>
          <w:marRight w:val="0"/>
          <w:marTop w:val="0"/>
          <w:marBottom w:val="0"/>
          <w:divBdr>
            <w:top w:val="none" w:sz="0" w:space="0" w:color="auto"/>
            <w:left w:val="none" w:sz="0" w:space="0" w:color="auto"/>
            <w:bottom w:val="none" w:sz="0" w:space="0" w:color="auto"/>
            <w:right w:val="none" w:sz="0" w:space="0" w:color="auto"/>
          </w:divBdr>
        </w:div>
        <w:div w:id="1413236653">
          <w:marLeft w:val="0"/>
          <w:marRight w:val="0"/>
          <w:marTop w:val="0"/>
          <w:marBottom w:val="0"/>
          <w:divBdr>
            <w:top w:val="none" w:sz="0" w:space="0" w:color="auto"/>
            <w:left w:val="none" w:sz="0" w:space="0" w:color="auto"/>
            <w:bottom w:val="none" w:sz="0" w:space="0" w:color="auto"/>
            <w:right w:val="none" w:sz="0" w:space="0" w:color="auto"/>
          </w:divBdr>
        </w:div>
        <w:div w:id="1435318116">
          <w:marLeft w:val="0"/>
          <w:marRight w:val="0"/>
          <w:marTop w:val="0"/>
          <w:marBottom w:val="0"/>
          <w:divBdr>
            <w:top w:val="none" w:sz="0" w:space="0" w:color="auto"/>
            <w:left w:val="none" w:sz="0" w:space="0" w:color="auto"/>
            <w:bottom w:val="none" w:sz="0" w:space="0" w:color="auto"/>
            <w:right w:val="none" w:sz="0" w:space="0" w:color="auto"/>
          </w:divBdr>
        </w:div>
        <w:div w:id="380374074">
          <w:marLeft w:val="0"/>
          <w:marRight w:val="0"/>
          <w:marTop w:val="0"/>
          <w:marBottom w:val="0"/>
          <w:divBdr>
            <w:top w:val="none" w:sz="0" w:space="0" w:color="auto"/>
            <w:left w:val="none" w:sz="0" w:space="0" w:color="auto"/>
            <w:bottom w:val="none" w:sz="0" w:space="0" w:color="auto"/>
            <w:right w:val="none" w:sz="0" w:space="0" w:color="auto"/>
          </w:divBdr>
        </w:div>
        <w:div w:id="99301404">
          <w:marLeft w:val="0"/>
          <w:marRight w:val="0"/>
          <w:marTop w:val="0"/>
          <w:marBottom w:val="0"/>
          <w:divBdr>
            <w:top w:val="none" w:sz="0" w:space="0" w:color="auto"/>
            <w:left w:val="none" w:sz="0" w:space="0" w:color="auto"/>
            <w:bottom w:val="none" w:sz="0" w:space="0" w:color="auto"/>
            <w:right w:val="none" w:sz="0" w:space="0" w:color="auto"/>
          </w:divBdr>
        </w:div>
        <w:div w:id="381292882">
          <w:marLeft w:val="0"/>
          <w:marRight w:val="0"/>
          <w:marTop w:val="0"/>
          <w:marBottom w:val="0"/>
          <w:divBdr>
            <w:top w:val="none" w:sz="0" w:space="0" w:color="auto"/>
            <w:left w:val="none" w:sz="0" w:space="0" w:color="auto"/>
            <w:bottom w:val="none" w:sz="0" w:space="0" w:color="auto"/>
            <w:right w:val="none" w:sz="0" w:space="0" w:color="auto"/>
          </w:divBdr>
        </w:div>
        <w:div w:id="6644068">
          <w:marLeft w:val="0"/>
          <w:marRight w:val="0"/>
          <w:marTop w:val="0"/>
          <w:marBottom w:val="0"/>
          <w:divBdr>
            <w:top w:val="none" w:sz="0" w:space="0" w:color="auto"/>
            <w:left w:val="none" w:sz="0" w:space="0" w:color="auto"/>
            <w:bottom w:val="none" w:sz="0" w:space="0" w:color="auto"/>
            <w:right w:val="none" w:sz="0" w:space="0" w:color="auto"/>
          </w:divBdr>
        </w:div>
        <w:div w:id="1369988464">
          <w:marLeft w:val="0"/>
          <w:marRight w:val="0"/>
          <w:marTop w:val="0"/>
          <w:marBottom w:val="0"/>
          <w:divBdr>
            <w:top w:val="none" w:sz="0" w:space="0" w:color="auto"/>
            <w:left w:val="none" w:sz="0" w:space="0" w:color="auto"/>
            <w:bottom w:val="none" w:sz="0" w:space="0" w:color="auto"/>
            <w:right w:val="none" w:sz="0" w:space="0" w:color="auto"/>
          </w:divBdr>
        </w:div>
      </w:divsChild>
    </w:div>
    <w:div w:id="1068305583">
      <w:bodyDiv w:val="1"/>
      <w:marLeft w:val="0"/>
      <w:marRight w:val="0"/>
      <w:marTop w:val="0"/>
      <w:marBottom w:val="0"/>
      <w:divBdr>
        <w:top w:val="none" w:sz="0" w:space="0" w:color="auto"/>
        <w:left w:val="none" w:sz="0" w:space="0" w:color="auto"/>
        <w:bottom w:val="none" w:sz="0" w:space="0" w:color="auto"/>
        <w:right w:val="none" w:sz="0" w:space="0" w:color="auto"/>
      </w:divBdr>
      <w:divsChild>
        <w:div w:id="1258176465">
          <w:marLeft w:val="0"/>
          <w:marRight w:val="0"/>
          <w:marTop w:val="0"/>
          <w:marBottom w:val="0"/>
          <w:divBdr>
            <w:top w:val="none" w:sz="0" w:space="0" w:color="auto"/>
            <w:left w:val="none" w:sz="0" w:space="0" w:color="auto"/>
            <w:bottom w:val="none" w:sz="0" w:space="0" w:color="auto"/>
            <w:right w:val="none" w:sz="0" w:space="0" w:color="auto"/>
          </w:divBdr>
          <w:divsChild>
            <w:div w:id="137650338">
              <w:marLeft w:val="0"/>
              <w:marRight w:val="0"/>
              <w:marTop w:val="0"/>
              <w:marBottom w:val="0"/>
              <w:divBdr>
                <w:top w:val="none" w:sz="0" w:space="0" w:color="auto"/>
                <w:left w:val="none" w:sz="0" w:space="0" w:color="auto"/>
                <w:bottom w:val="none" w:sz="0" w:space="0" w:color="auto"/>
                <w:right w:val="none" w:sz="0" w:space="0" w:color="auto"/>
              </w:divBdr>
              <w:divsChild>
                <w:div w:id="17712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6748">
      <w:bodyDiv w:val="1"/>
      <w:marLeft w:val="0"/>
      <w:marRight w:val="0"/>
      <w:marTop w:val="0"/>
      <w:marBottom w:val="0"/>
      <w:divBdr>
        <w:top w:val="none" w:sz="0" w:space="0" w:color="auto"/>
        <w:left w:val="none" w:sz="0" w:space="0" w:color="auto"/>
        <w:bottom w:val="none" w:sz="0" w:space="0" w:color="auto"/>
        <w:right w:val="none" w:sz="0" w:space="0" w:color="auto"/>
      </w:divBdr>
      <w:divsChild>
        <w:div w:id="1659843606">
          <w:marLeft w:val="0"/>
          <w:marRight w:val="0"/>
          <w:marTop w:val="0"/>
          <w:marBottom w:val="0"/>
          <w:divBdr>
            <w:top w:val="none" w:sz="0" w:space="0" w:color="auto"/>
            <w:left w:val="none" w:sz="0" w:space="0" w:color="auto"/>
            <w:bottom w:val="none" w:sz="0" w:space="0" w:color="auto"/>
            <w:right w:val="none" w:sz="0" w:space="0" w:color="auto"/>
          </w:divBdr>
        </w:div>
      </w:divsChild>
    </w:div>
    <w:div w:id="1148942269">
      <w:bodyDiv w:val="1"/>
      <w:marLeft w:val="0"/>
      <w:marRight w:val="0"/>
      <w:marTop w:val="0"/>
      <w:marBottom w:val="0"/>
      <w:divBdr>
        <w:top w:val="none" w:sz="0" w:space="0" w:color="auto"/>
        <w:left w:val="none" w:sz="0" w:space="0" w:color="auto"/>
        <w:bottom w:val="none" w:sz="0" w:space="0" w:color="auto"/>
        <w:right w:val="none" w:sz="0" w:space="0" w:color="auto"/>
      </w:divBdr>
      <w:divsChild>
        <w:div w:id="1475944715">
          <w:marLeft w:val="0"/>
          <w:marRight w:val="0"/>
          <w:marTop w:val="0"/>
          <w:marBottom w:val="0"/>
          <w:divBdr>
            <w:top w:val="none" w:sz="0" w:space="0" w:color="auto"/>
            <w:left w:val="none" w:sz="0" w:space="0" w:color="auto"/>
            <w:bottom w:val="none" w:sz="0" w:space="0" w:color="auto"/>
            <w:right w:val="none" w:sz="0" w:space="0" w:color="auto"/>
          </w:divBdr>
          <w:divsChild>
            <w:div w:id="1338121881">
              <w:marLeft w:val="0"/>
              <w:marRight w:val="0"/>
              <w:marTop w:val="0"/>
              <w:marBottom w:val="0"/>
              <w:divBdr>
                <w:top w:val="none" w:sz="0" w:space="0" w:color="auto"/>
                <w:left w:val="none" w:sz="0" w:space="0" w:color="auto"/>
                <w:bottom w:val="none" w:sz="0" w:space="0" w:color="auto"/>
                <w:right w:val="none" w:sz="0" w:space="0" w:color="auto"/>
              </w:divBdr>
              <w:divsChild>
                <w:div w:id="20201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6219">
      <w:bodyDiv w:val="1"/>
      <w:marLeft w:val="0"/>
      <w:marRight w:val="0"/>
      <w:marTop w:val="0"/>
      <w:marBottom w:val="0"/>
      <w:divBdr>
        <w:top w:val="none" w:sz="0" w:space="0" w:color="auto"/>
        <w:left w:val="none" w:sz="0" w:space="0" w:color="auto"/>
        <w:bottom w:val="none" w:sz="0" w:space="0" w:color="auto"/>
        <w:right w:val="none" w:sz="0" w:space="0" w:color="auto"/>
      </w:divBdr>
      <w:divsChild>
        <w:div w:id="852451260">
          <w:marLeft w:val="0"/>
          <w:marRight w:val="0"/>
          <w:marTop w:val="0"/>
          <w:marBottom w:val="0"/>
          <w:divBdr>
            <w:top w:val="none" w:sz="0" w:space="0" w:color="auto"/>
            <w:left w:val="none" w:sz="0" w:space="0" w:color="auto"/>
            <w:bottom w:val="none" w:sz="0" w:space="0" w:color="auto"/>
            <w:right w:val="none" w:sz="0" w:space="0" w:color="auto"/>
          </w:divBdr>
          <w:divsChild>
            <w:div w:id="1474635927">
              <w:marLeft w:val="0"/>
              <w:marRight w:val="0"/>
              <w:marTop w:val="0"/>
              <w:marBottom w:val="0"/>
              <w:divBdr>
                <w:top w:val="none" w:sz="0" w:space="0" w:color="auto"/>
                <w:left w:val="none" w:sz="0" w:space="0" w:color="auto"/>
                <w:bottom w:val="none" w:sz="0" w:space="0" w:color="auto"/>
                <w:right w:val="none" w:sz="0" w:space="0" w:color="auto"/>
              </w:divBdr>
              <w:divsChild>
                <w:div w:id="6772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604">
      <w:bodyDiv w:val="1"/>
      <w:marLeft w:val="0"/>
      <w:marRight w:val="0"/>
      <w:marTop w:val="0"/>
      <w:marBottom w:val="0"/>
      <w:divBdr>
        <w:top w:val="none" w:sz="0" w:space="0" w:color="auto"/>
        <w:left w:val="none" w:sz="0" w:space="0" w:color="auto"/>
        <w:bottom w:val="none" w:sz="0" w:space="0" w:color="auto"/>
        <w:right w:val="none" w:sz="0" w:space="0" w:color="auto"/>
      </w:divBdr>
      <w:divsChild>
        <w:div w:id="834689989">
          <w:marLeft w:val="0"/>
          <w:marRight w:val="0"/>
          <w:marTop w:val="0"/>
          <w:marBottom w:val="0"/>
          <w:divBdr>
            <w:top w:val="none" w:sz="0" w:space="0" w:color="auto"/>
            <w:left w:val="none" w:sz="0" w:space="0" w:color="auto"/>
            <w:bottom w:val="none" w:sz="0" w:space="0" w:color="auto"/>
            <w:right w:val="none" w:sz="0" w:space="0" w:color="auto"/>
          </w:divBdr>
          <w:divsChild>
            <w:div w:id="681007251">
              <w:marLeft w:val="0"/>
              <w:marRight w:val="0"/>
              <w:marTop w:val="0"/>
              <w:marBottom w:val="0"/>
              <w:divBdr>
                <w:top w:val="none" w:sz="0" w:space="0" w:color="auto"/>
                <w:left w:val="none" w:sz="0" w:space="0" w:color="auto"/>
                <w:bottom w:val="none" w:sz="0" w:space="0" w:color="auto"/>
                <w:right w:val="none" w:sz="0" w:space="0" w:color="auto"/>
              </w:divBdr>
              <w:divsChild>
                <w:div w:id="10022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4580">
      <w:bodyDiv w:val="1"/>
      <w:marLeft w:val="0"/>
      <w:marRight w:val="0"/>
      <w:marTop w:val="0"/>
      <w:marBottom w:val="0"/>
      <w:divBdr>
        <w:top w:val="none" w:sz="0" w:space="0" w:color="auto"/>
        <w:left w:val="none" w:sz="0" w:space="0" w:color="auto"/>
        <w:bottom w:val="none" w:sz="0" w:space="0" w:color="auto"/>
        <w:right w:val="none" w:sz="0" w:space="0" w:color="auto"/>
      </w:divBdr>
    </w:div>
    <w:div w:id="1377392671">
      <w:bodyDiv w:val="1"/>
      <w:marLeft w:val="0"/>
      <w:marRight w:val="0"/>
      <w:marTop w:val="0"/>
      <w:marBottom w:val="0"/>
      <w:divBdr>
        <w:top w:val="none" w:sz="0" w:space="0" w:color="auto"/>
        <w:left w:val="none" w:sz="0" w:space="0" w:color="auto"/>
        <w:bottom w:val="none" w:sz="0" w:space="0" w:color="auto"/>
        <w:right w:val="none" w:sz="0" w:space="0" w:color="auto"/>
      </w:divBdr>
    </w:div>
    <w:div w:id="1424717251">
      <w:bodyDiv w:val="1"/>
      <w:marLeft w:val="0"/>
      <w:marRight w:val="0"/>
      <w:marTop w:val="0"/>
      <w:marBottom w:val="0"/>
      <w:divBdr>
        <w:top w:val="none" w:sz="0" w:space="0" w:color="auto"/>
        <w:left w:val="none" w:sz="0" w:space="0" w:color="auto"/>
        <w:bottom w:val="none" w:sz="0" w:space="0" w:color="auto"/>
        <w:right w:val="none" w:sz="0" w:space="0" w:color="auto"/>
      </w:divBdr>
    </w:div>
    <w:div w:id="1427773432">
      <w:bodyDiv w:val="1"/>
      <w:marLeft w:val="0"/>
      <w:marRight w:val="0"/>
      <w:marTop w:val="0"/>
      <w:marBottom w:val="0"/>
      <w:divBdr>
        <w:top w:val="none" w:sz="0" w:space="0" w:color="auto"/>
        <w:left w:val="none" w:sz="0" w:space="0" w:color="auto"/>
        <w:bottom w:val="none" w:sz="0" w:space="0" w:color="auto"/>
        <w:right w:val="none" w:sz="0" w:space="0" w:color="auto"/>
      </w:divBdr>
      <w:divsChild>
        <w:div w:id="483933515">
          <w:marLeft w:val="0"/>
          <w:marRight w:val="0"/>
          <w:marTop w:val="0"/>
          <w:marBottom w:val="0"/>
          <w:divBdr>
            <w:top w:val="none" w:sz="0" w:space="0" w:color="auto"/>
            <w:left w:val="none" w:sz="0" w:space="0" w:color="auto"/>
            <w:bottom w:val="none" w:sz="0" w:space="0" w:color="auto"/>
            <w:right w:val="none" w:sz="0" w:space="0" w:color="auto"/>
          </w:divBdr>
        </w:div>
        <w:div w:id="125705468">
          <w:marLeft w:val="0"/>
          <w:marRight w:val="0"/>
          <w:marTop w:val="0"/>
          <w:marBottom w:val="0"/>
          <w:divBdr>
            <w:top w:val="none" w:sz="0" w:space="0" w:color="auto"/>
            <w:left w:val="none" w:sz="0" w:space="0" w:color="auto"/>
            <w:bottom w:val="none" w:sz="0" w:space="0" w:color="auto"/>
            <w:right w:val="none" w:sz="0" w:space="0" w:color="auto"/>
          </w:divBdr>
        </w:div>
        <w:div w:id="166404864">
          <w:marLeft w:val="0"/>
          <w:marRight w:val="0"/>
          <w:marTop w:val="0"/>
          <w:marBottom w:val="0"/>
          <w:divBdr>
            <w:top w:val="none" w:sz="0" w:space="0" w:color="auto"/>
            <w:left w:val="none" w:sz="0" w:space="0" w:color="auto"/>
            <w:bottom w:val="none" w:sz="0" w:space="0" w:color="auto"/>
            <w:right w:val="none" w:sz="0" w:space="0" w:color="auto"/>
          </w:divBdr>
        </w:div>
        <w:div w:id="1321927801">
          <w:marLeft w:val="0"/>
          <w:marRight w:val="0"/>
          <w:marTop w:val="0"/>
          <w:marBottom w:val="0"/>
          <w:divBdr>
            <w:top w:val="none" w:sz="0" w:space="0" w:color="auto"/>
            <w:left w:val="none" w:sz="0" w:space="0" w:color="auto"/>
            <w:bottom w:val="none" w:sz="0" w:space="0" w:color="auto"/>
            <w:right w:val="none" w:sz="0" w:space="0" w:color="auto"/>
          </w:divBdr>
        </w:div>
        <w:div w:id="537737705">
          <w:marLeft w:val="0"/>
          <w:marRight w:val="0"/>
          <w:marTop w:val="0"/>
          <w:marBottom w:val="0"/>
          <w:divBdr>
            <w:top w:val="none" w:sz="0" w:space="0" w:color="auto"/>
            <w:left w:val="none" w:sz="0" w:space="0" w:color="auto"/>
            <w:bottom w:val="none" w:sz="0" w:space="0" w:color="auto"/>
            <w:right w:val="none" w:sz="0" w:space="0" w:color="auto"/>
          </w:divBdr>
        </w:div>
        <w:div w:id="735325850">
          <w:marLeft w:val="0"/>
          <w:marRight w:val="0"/>
          <w:marTop w:val="0"/>
          <w:marBottom w:val="0"/>
          <w:divBdr>
            <w:top w:val="none" w:sz="0" w:space="0" w:color="auto"/>
            <w:left w:val="none" w:sz="0" w:space="0" w:color="auto"/>
            <w:bottom w:val="none" w:sz="0" w:space="0" w:color="auto"/>
            <w:right w:val="none" w:sz="0" w:space="0" w:color="auto"/>
          </w:divBdr>
        </w:div>
        <w:div w:id="1927574034">
          <w:marLeft w:val="0"/>
          <w:marRight w:val="0"/>
          <w:marTop w:val="0"/>
          <w:marBottom w:val="0"/>
          <w:divBdr>
            <w:top w:val="none" w:sz="0" w:space="0" w:color="auto"/>
            <w:left w:val="none" w:sz="0" w:space="0" w:color="auto"/>
            <w:bottom w:val="none" w:sz="0" w:space="0" w:color="auto"/>
            <w:right w:val="none" w:sz="0" w:space="0" w:color="auto"/>
          </w:divBdr>
        </w:div>
      </w:divsChild>
    </w:div>
    <w:div w:id="1482770482">
      <w:bodyDiv w:val="1"/>
      <w:marLeft w:val="0"/>
      <w:marRight w:val="0"/>
      <w:marTop w:val="0"/>
      <w:marBottom w:val="0"/>
      <w:divBdr>
        <w:top w:val="none" w:sz="0" w:space="0" w:color="auto"/>
        <w:left w:val="none" w:sz="0" w:space="0" w:color="auto"/>
        <w:bottom w:val="none" w:sz="0" w:space="0" w:color="auto"/>
        <w:right w:val="none" w:sz="0" w:space="0" w:color="auto"/>
      </w:divBdr>
      <w:divsChild>
        <w:div w:id="4526153">
          <w:marLeft w:val="0"/>
          <w:marRight w:val="0"/>
          <w:marTop w:val="0"/>
          <w:marBottom w:val="0"/>
          <w:divBdr>
            <w:top w:val="none" w:sz="0" w:space="0" w:color="auto"/>
            <w:left w:val="none" w:sz="0" w:space="0" w:color="auto"/>
            <w:bottom w:val="none" w:sz="0" w:space="0" w:color="auto"/>
            <w:right w:val="none" w:sz="0" w:space="0" w:color="auto"/>
          </w:divBdr>
          <w:divsChild>
            <w:div w:id="1206019549">
              <w:marLeft w:val="0"/>
              <w:marRight w:val="0"/>
              <w:marTop w:val="0"/>
              <w:marBottom w:val="0"/>
              <w:divBdr>
                <w:top w:val="none" w:sz="0" w:space="0" w:color="auto"/>
                <w:left w:val="none" w:sz="0" w:space="0" w:color="auto"/>
                <w:bottom w:val="none" w:sz="0" w:space="0" w:color="auto"/>
                <w:right w:val="none" w:sz="0" w:space="0" w:color="auto"/>
              </w:divBdr>
              <w:divsChild>
                <w:div w:id="6393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4168">
      <w:bodyDiv w:val="1"/>
      <w:marLeft w:val="0"/>
      <w:marRight w:val="0"/>
      <w:marTop w:val="0"/>
      <w:marBottom w:val="0"/>
      <w:divBdr>
        <w:top w:val="none" w:sz="0" w:space="0" w:color="auto"/>
        <w:left w:val="none" w:sz="0" w:space="0" w:color="auto"/>
        <w:bottom w:val="none" w:sz="0" w:space="0" w:color="auto"/>
        <w:right w:val="none" w:sz="0" w:space="0" w:color="auto"/>
      </w:divBdr>
    </w:div>
    <w:div w:id="1577594551">
      <w:bodyDiv w:val="1"/>
      <w:marLeft w:val="0"/>
      <w:marRight w:val="0"/>
      <w:marTop w:val="0"/>
      <w:marBottom w:val="0"/>
      <w:divBdr>
        <w:top w:val="none" w:sz="0" w:space="0" w:color="auto"/>
        <w:left w:val="none" w:sz="0" w:space="0" w:color="auto"/>
        <w:bottom w:val="none" w:sz="0" w:space="0" w:color="auto"/>
        <w:right w:val="none" w:sz="0" w:space="0" w:color="auto"/>
      </w:divBdr>
      <w:divsChild>
        <w:div w:id="487477800">
          <w:marLeft w:val="0"/>
          <w:marRight w:val="0"/>
          <w:marTop w:val="0"/>
          <w:marBottom w:val="0"/>
          <w:divBdr>
            <w:top w:val="none" w:sz="0" w:space="0" w:color="auto"/>
            <w:left w:val="none" w:sz="0" w:space="0" w:color="auto"/>
            <w:bottom w:val="none" w:sz="0" w:space="0" w:color="auto"/>
            <w:right w:val="none" w:sz="0" w:space="0" w:color="auto"/>
          </w:divBdr>
          <w:divsChild>
            <w:div w:id="1717853461">
              <w:marLeft w:val="0"/>
              <w:marRight w:val="0"/>
              <w:marTop w:val="0"/>
              <w:marBottom w:val="0"/>
              <w:divBdr>
                <w:top w:val="none" w:sz="0" w:space="0" w:color="auto"/>
                <w:left w:val="none" w:sz="0" w:space="0" w:color="auto"/>
                <w:bottom w:val="none" w:sz="0" w:space="0" w:color="auto"/>
                <w:right w:val="none" w:sz="0" w:space="0" w:color="auto"/>
              </w:divBdr>
              <w:divsChild>
                <w:div w:id="9795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3759">
      <w:bodyDiv w:val="1"/>
      <w:marLeft w:val="0"/>
      <w:marRight w:val="0"/>
      <w:marTop w:val="0"/>
      <w:marBottom w:val="0"/>
      <w:divBdr>
        <w:top w:val="none" w:sz="0" w:space="0" w:color="auto"/>
        <w:left w:val="none" w:sz="0" w:space="0" w:color="auto"/>
        <w:bottom w:val="none" w:sz="0" w:space="0" w:color="auto"/>
        <w:right w:val="none" w:sz="0" w:space="0" w:color="auto"/>
      </w:divBdr>
    </w:div>
    <w:div w:id="1647315439">
      <w:bodyDiv w:val="1"/>
      <w:marLeft w:val="0"/>
      <w:marRight w:val="0"/>
      <w:marTop w:val="0"/>
      <w:marBottom w:val="0"/>
      <w:divBdr>
        <w:top w:val="none" w:sz="0" w:space="0" w:color="auto"/>
        <w:left w:val="none" w:sz="0" w:space="0" w:color="auto"/>
        <w:bottom w:val="none" w:sz="0" w:space="0" w:color="auto"/>
        <w:right w:val="none" w:sz="0" w:space="0" w:color="auto"/>
      </w:divBdr>
      <w:divsChild>
        <w:div w:id="596979995">
          <w:marLeft w:val="0"/>
          <w:marRight w:val="0"/>
          <w:marTop w:val="0"/>
          <w:marBottom w:val="0"/>
          <w:divBdr>
            <w:top w:val="none" w:sz="0" w:space="0" w:color="auto"/>
            <w:left w:val="none" w:sz="0" w:space="0" w:color="auto"/>
            <w:bottom w:val="none" w:sz="0" w:space="0" w:color="auto"/>
            <w:right w:val="none" w:sz="0" w:space="0" w:color="auto"/>
          </w:divBdr>
          <w:divsChild>
            <w:div w:id="1823737350">
              <w:marLeft w:val="0"/>
              <w:marRight w:val="0"/>
              <w:marTop w:val="0"/>
              <w:marBottom w:val="0"/>
              <w:divBdr>
                <w:top w:val="none" w:sz="0" w:space="0" w:color="auto"/>
                <w:left w:val="none" w:sz="0" w:space="0" w:color="auto"/>
                <w:bottom w:val="none" w:sz="0" w:space="0" w:color="auto"/>
                <w:right w:val="none" w:sz="0" w:space="0" w:color="auto"/>
              </w:divBdr>
              <w:divsChild>
                <w:div w:id="20604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5928">
      <w:bodyDiv w:val="1"/>
      <w:marLeft w:val="0"/>
      <w:marRight w:val="0"/>
      <w:marTop w:val="0"/>
      <w:marBottom w:val="0"/>
      <w:divBdr>
        <w:top w:val="none" w:sz="0" w:space="0" w:color="auto"/>
        <w:left w:val="none" w:sz="0" w:space="0" w:color="auto"/>
        <w:bottom w:val="none" w:sz="0" w:space="0" w:color="auto"/>
        <w:right w:val="none" w:sz="0" w:space="0" w:color="auto"/>
      </w:divBdr>
      <w:divsChild>
        <w:div w:id="114302160">
          <w:marLeft w:val="0"/>
          <w:marRight w:val="0"/>
          <w:marTop w:val="0"/>
          <w:marBottom w:val="0"/>
          <w:divBdr>
            <w:top w:val="none" w:sz="0" w:space="0" w:color="auto"/>
            <w:left w:val="none" w:sz="0" w:space="0" w:color="auto"/>
            <w:bottom w:val="none" w:sz="0" w:space="0" w:color="auto"/>
            <w:right w:val="none" w:sz="0" w:space="0" w:color="auto"/>
          </w:divBdr>
          <w:divsChild>
            <w:div w:id="1951275553">
              <w:marLeft w:val="0"/>
              <w:marRight w:val="0"/>
              <w:marTop w:val="0"/>
              <w:marBottom w:val="0"/>
              <w:divBdr>
                <w:top w:val="none" w:sz="0" w:space="0" w:color="auto"/>
                <w:left w:val="none" w:sz="0" w:space="0" w:color="auto"/>
                <w:bottom w:val="none" w:sz="0" w:space="0" w:color="auto"/>
                <w:right w:val="none" w:sz="0" w:space="0" w:color="auto"/>
              </w:divBdr>
              <w:divsChild>
                <w:div w:id="19875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2379">
      <w:bodyDiv w:val="1"/>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611396910">
              <w:marLeft w:val="0"/>
              <w:marRight w:val="0"/>
              <w:marTop w:val="0"/>
              <w:marBottom w:val="0"/>
              <w:divBdr>
                <w:top w:val="none" w:sz="0" w:space="0" w:color="auto"/>
                <w:left w:val="none" w:sz="0" w:space="0" w:color="auto"/>
                <w:bottom w:val="none" w:sz="0" w:space="0" w:color="auto"/>
                <w:right w:val="none" w:sz="0" w:space="0" w:color="auto"/>
              </w:divBdr>
              <w:divsChild>
                <w:div w:id="16039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2512">
      <w:bodyDiv w:val="1"/>
      <w:marLeft w:val="0"/>
      <w:marRight w:val="0"/>
      <w:marTop w:val="0"/>
      <w:marBottom w:val="0"/>
      <w:divBdr>
        <w:top w:val="none" w:sz="0" w:space="0" w:color="auto"/>
        <w:left w:val="none" w:sz="0" w:space="0" w:color="auto"/>
        <w:bottom w:val="none" w:sz="0" w:space="0" w:color="auto"/>
        <w:right w:val="none" w:sz="0" w:space="0" w:color="auto"/>
      </w:divBdr>
      <w:divsChild>
        <w:div w:id="387800837">
          <w:marLeft w:val="0"/>
          <w:marRight w:val="0"/>
          <w:marTop w:val="0"/>
          <w:marBottom w:val="0"/>
          <w:divBdr>
            <w:top w:val="none" w:sz="0" w:space="0" w:color="auto"/>
            <w:left w:val="none" w:sz="0" w:space="0" w:color="auto"/>
            <w:bottom w:val="none" w:sz="0" w:space="0" w:color="auto"/>
            <w:right w:val="none" w:sz="0" w:space="0" w:color="auto"/>
          </w:divBdr>
          <w:divsChild>
            <w:div w:id="2128039361">
              <w:marLeft w:val="0"/>
              <w:marRight w:val="0"/>
              <w:marTop w:val="0"/>
              <w:marBottom w:val="0"/>
              <w:divBdr>
                <w:top w:val="none" w:sz="0" w:space="0" w:color="auto"/>
                <w:left w:val="none" w:sz="0" w:space="0" w:color="auto"/>
                <w:bottom w:val="none" w:sz="0" w:space="0" w:color="auto"/>
                <w:right w:val="none" w:sz="0" w:space="0" w:color="auto"/>
              </w:divBdr>
              <w:divsChild>
                <w:div w:id="3537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5609">
      <w:bodyDiv w:val="1"/>
      <w:marLeft w:val="0"/>
      <w:marRight w:val="0"/>
      <w:marTop w:val="0"/>
      <w:marBottom w:val="0"/>
      <w:divBdr>
        <w:top w:val="none" w:sz="0" w:space="0" w:color="auto"/>
        <w:left w:val="none" w:sz="0" w:space="0" w:color="auto"/>
        <w:bottom w:val="none" w:sz="0" w:space="0" w:color="auto"/>
        <w:right w:val="none" w:sz="0" w:space="0" w:color="auto"/>
      </w:divBdr>
    </w:div>
    <w:div w:id="1781223280">
      <w:bodyDiv w:val="1"/>
      <w:marLeft w:val="0"/>
      <w:marRight w:val="0"/>
      <w:marTop w:val="0"/>
      <w:marBottom w:val="0"/>
      <w:divBdr>
        <w:top w:val="none" w:sz="0" w:space="0" w:color="auto"/>
        <w:left w:val="none" w:sz="0" w:space="0" w:color="auto"/>
        <w:bottom w:val="none" w:sz="0" w:space="0" w:color="auto"/>
        <w:right w:val="none" w:sz="0" w:space="0" w:color="auto"/>
      </w:divBdr>
      <w:divsChild>
        <w:div w:id="1371611732">
          <w:marLeft w:val="0"/>
          <w:marRight w:val="0"/>
          <w:marTop w:val="0"/>
          <w:marBottom w:val="0"/>
          <w:divBdr>
            <w:top w:val="none" w:sz="0" w:space="0" w:color="auto"/>
            <w:left w:val="none" w:sz="0" w:space="0" w:color="auto"/>
            <w:bottom w:val="none" w:sz="0" w:space="0" w:color="auto"/>
            <w:right w:val="none" w:sz="0" w:space="0" w:color="auto"/>
          </w:divBdr>
        </w:div>
        <w:div w:id="2065058914">
          <w:marLeft w:val="0"/>
          <w:marRight w:val="0"/>
          <w:marTop w:val="0"/>
          <w:marBottom w:val="0"/>
          <w:divBdr>
            <w:top w:val="none" w:sz="0" w:space="0" w:color="auto"/>
            <w:left w:val="none" w:sz="0" w:space="0" w:color="auto"/>
            <w:bottom w:val="none" w:sz="0" w:space="0" w:color="auto"/>
            <w:right w:val="none" w:sz="0" w:space="0" w:color="auto"/>
          </w:divBdr>
        </w:div>
        <w:div w:id="1813717761">
          <w:marLeft w:val="0"/>
          <w:marRight w:val="0"/>
          <w:marTop w:val="0"/>
          <w:marBottom w:val="0"/>
          <w:divBdr>
            <w:top w:val="none" w:sz="0" w:space="0" w:color="auto"/>
            <w:left w:val="none" w:sz="0" w:space="0" w:color="auto"/>
            <w:bottom w:val="none" w:sz="0" w:space="0" w:color="auto"/>
            <w:right w:val="none" w:sz="0" w:space="0" w:color="auto"/>
          </w:divBdr>
        </w:div>
        <w:div w:id="1851218149">
          <w:marLeft w:val="0"/>
          <w:marRight w:val="0"/>
          <w:marTop w:val="0"/>
          <w:marBottom w:val="0"/>
          <w:divBdr>
            <w:top w:val="none" w:sz="0" w:space="0" w:color="auto"/>
            <w:left w:val="none" w:sz="0" w:space="0" w:color="auto"/>
            <w:bottom w:val="none" w:sz="0" w:space="0" w:color="auto"/>
            <w:right w:val="none" w:sz="0" w:space="0" w:color="auto"/>
          </w:divBdr>
        </w:div>
      </w:divsChild>
    </w:div>
    <w:div w:id="1901163757">
      <w:bodyDiv w:val="1"/>
      <w:marLeft w:val="0"/>
      <w:marRight w:val="0"/>
      <w:marTop w:val="0"/>
      <w:marBottom w:val="0"/>
      <w:divBdr>
        <w:top w:val="none" w:sz="0" w:space="0" w:color="auto"/>
        <w:left w:val="none" w:sz="0" w:space="0" w:color="auto"/>
        <w:bottom w:val="none" w:sz="0" w:space="0" w:color="auto"/>
        <w:right w:val="none" w:sz="0" w:space="0" w:color="auto"/>
      </w:divBdr>
    </w:div>
    <w:div w:id="1914772498">
      <w:bodyDiv w:val="1"/>
      <w:marLeft w:val="0"/>
      <w:marRight w:val="0"/>
      <w:marTop w:val="0"/>
      <w:marBottom w:val="0"/>
      <w:divBdr>
        <w:top w:val="none" w:sz="0" w:space="0" w:color="auto"/>
        <w:left w:val="none" w:sz="0" w:space="0" w:color="auto"/>
        <w:bottom w:val="none" w:sz="0" w:space="0" w:color="auto"/>
        <w:right w:val="none" w:sz="0" w:space="0" w:color="auto"/>
      </w:divBdr>
      <w:divsChild>
        <w:div w:id="1063873504">
          <w:marLeft w:val="0"/>
          <w:marRight w:val="0"/>
          <w:marTop w:val="0"/>
          <w:marBottom w:val="0"/>
          <w:divBdr>
            <w:top w:val="none" w:sz="0" w:space="0" w:color="auto"/>
            <w:left w:val="none" w:sz="0" w:space="0" w:color="auto"/>
            <w:bottom w:val="none" w:sz="0" w:space="0" w:color="auto"/>
            <w:right w:val="none" w:sz="0" w:space="0" w:color="auto"/>
          </w:divBdr>
        </w:div>
        <w:div w:id="254096836">
          <w:marLeft w:val="0"/>
          <w:marRight w:val="0"/>
          <w:marTop w:val="0"/>
          <w:marBottom w:val="0"/>
          <w:divBdr>
            <w:top w:val="none" w:sz="0" w:space="0" w:color="auto"/>
            <w:left w:val="none" w:sz="0" w:space="0" w:color="auto"/>
            <w:bottom w:val="none" w:sz="0" w:space="0" w:color="auto"/>
            <w:right w:val="none" w:sz="0" w:space="0" w:color="auto"/>
          </w:divBdr>
        </w:div>
        <w:div w:id="1199245039">
          <w:marLeft w:val="0"/>
          <w:marRight w:val="0"/>
          <w:marTop w:val="0"/>
          <w:marBottom w:val="0"/>
          <w:divBdr>
            <w:top w:val="none" w:sz="0" w:space="0" w:color="auto"/>
            <w:left w:val="none" w:sz="0" w:space="0" w:color="auto"/>
            <w:bottom w:val="none" w:sz="0" w:space="0" w:color="auto"/>
            <w:right w:val="none" w:sz="0" w:space="0" w:color="auto"/>
          </w:divBdr>
        </w:div>
        <w:div w:id="185751215">
          <w:marLeft w:val="0"/>
          <w:marRight w:val="0"/>
          <w:marTop w:val="0"/>
          <w:marBottom w:val="0"/>
          <w:divBdr>
            <w:top w:val="none" w:sz="0" w:space="0" w:color="auto"/>
            <w:left w:val="none" w:sz="0" w:space="0" w:color="auto"/>
            <w:bottom w:val="none" w:sz="0" w:space="0" w:color="auto"/>
            <w:right w:val="none" w:sz="0" w:space="0" w:color="auto"/>
          </w:divBdr>
        </w:div>
        <w:div w:id="348458159">
          <w:marLeft w:val="0"/>
          <w:marRight w:val="0"/>
          <w:marTop w:val="0"/>
          <w:marBottom w:val="0"/>
          <w:divBdr>
            <w:top w:val="none" w:sz="0" w:space="0" w:color="auto"/>
            <w:left w:val="none" w:sz="0" w:space="0" w:color="auto"/>
            <w:bottom w:val="none" w:sz="0" w:space="0" w:color="auto"/>
            <w:right w:val="none" w:sz="0" w:space="0" w:color="auto"/>
          </w:divBdr>
        </w:div>
        <w:div w:id="406416929">
          <w:marLeft w:val="0"/>
          <w:marRight w:val="0"/>
          <w:marTop w:val="0"/>
          <w:marBottom w:val="0"/>
          <w:divBdr>
            <w:top w:val="none" w:sz="0" w:space="0" w:color="auto"/>
            <w:left w:val="none" w:sz="0" w:space="0" w:color="auto"/>
            <w:bottom w:val="none" w:sz="0" w:space="0" w:color="auto"/>
            <w:right w:val="none" w:sz="0" w:space="0" w:color="auto"/>
          </w:divBdr>
        </w:div>
        <w:div w:id="79302856">
          <w:marLeft w:val="0"/>
          <w:marRight w:val="0"/>
          <w:marTop w:val="0"/>
          <w:marBottom w:val="0"/>
          <w:divBdr>
            <w:top w:val="none" w:sz="0" w:space="0" w:color="auto"/>
            <w:left w:val="none" w:sz="0" w:space="0" w:color="auto"/>
            <w:bottom w:val="none" w:sz="0" w:space="0" w:color="auto"/>
            <w:right w:val="none" w:sz="0" w:space="0" w:color="auto"/>
          </w:divBdr>
        </w:div>
        <w:div w:id="1718817111">
          <w:marLeft w:val="0"/>
          <w:marRight w:val="0"/>
          <w:marTop w:val="0"/>
          <w:marBottom w:val="0"/>
          <w:divBdr>
            <w:top w:val="none" w:sz="0" w:space="0" w:color="auto"/>
            <w:left w:val="none" w:sz="0" w:space="0" w:color="auto"/>
            <w:bottom w:val="none" w:sz="0" w:space="0" w:color="auto"/>
            <w:right w:val="none" w:sz="0" w:space="0" w:color="auto"/>
          </w:divBdr>
        </w:div>
        <w:div w:id="1425610177">
          <w:marLeft w:val="0"/>
          <w:marRight w:val="0"/>
          <w:marTop w:val="0"/>
          <w:marBottom w:val="0"/>
          <w:divBdr>
            <w:top w:val="none" w:sz="0" w:space="0" w:color="auto"/>
            <w:left w:val="none" w:sz="0" w:space="0" w:color="auto"/>
            <w:bottom w:val="none" w:sz="0" w:space="0" w:color="auto"/>
            <w:right w:val="none" w:sz="0" w:space="0" w:color="auto"/>
          </w:divBdr>
        </w:div>
        <w:div w:id="285890636">
          <w:marLeft w:val="0"/>
          <w:marRight w:val="0"/>
          <w:marTop w:val="0"/>
          <w:marBottom w:val="0"/>
          <w:divBdr>
            <w:top w:val="none" w:sz="0" w:space="0" w:color="auto"/>
            <w:left w:val="none" w:sz="0" w:space="0" w:color="auto"/>
            <w:bottom w:val="none" w:sz="0" w:space="0" w:color="auto"/>
            <w:right w:val="none" w:sz="0" w:space="0" w:color="auto"/>
          </w:divBdr>
        </w:div>
        <w:div w:id="89618267">
          <w:marLeft w:val="0"/>
          <w:marRight w:val="0"/>
          <w:marTop w:val="0"/>
          <w:marBottom w:val="0"/>
          <w:divBdr>
            <w:top w:val="none" w:sz="0" w:space="0" w:color="auto"/>
            <w:left w:val="none" w:sz="0" w:space="0" w:color="auto"/>
            <w:bottom w:val="none" w:sz="0" w:space="0" w:color="auto"/>
            <w:right w:val="none" w:sz="0" w:space="0" w:color="auto"/>
          </w:divBdr>
        </w:div>
        <w:div w:id="284040821">
          <w:marLeft w:val="0"/>
          <w:marRight w:val="0"/>
          <w:marTop w:val="0"/>
          <w:marBottom w:val="0"/>
          <w:divBdr>
            <w:top w:val="none" w:sz="0" w:space="0" w:color="auto"/>
            <w:left w:val="none" w:sz="0" w:space="0" w:color="auto"/>
            <w:bottom w:val="none" w:sz="0" w:space="0" w:color="auto"/>
            <w:right w:val="none" w:sz="0" w:space="0" w:color="auto"/>
          </w:divBdr>
        </w:div>
        <w:div w:id="299653940">
          <w:marLeft w:val="0"/>
          <w:marRight w:val="0"/>
          <w:marTop w:val="0"/>
          <w:marBottom w:val="0"/>
          <w:divBdr>
            <w:top w:val="none" w:sz="0" w:space="0" w:color="auto"/>
            <w:left w:val="none" w:sz="0" w:space="0" w:color="auto"/>
            <w:bottom w:val="none" w:sz="0" w:space="0" w:color="auto"/>
            <w:right w:val="none" w:sz="0" w:space="0" w:color="auto"/>
          </w:divBdr>
        </w:div>
        <w:div w:id="166288924">
          <w:marLeft w:val="0"/>
          <w:marRight w:val="0"/>
          <w:marTop w:val="0"/>
          <w:marBottom w:val="0"/>
          <w:divBdr>
            <w:top w:val="none" w:sz="0" w:space="0" w:color="auto"/>
            <w:left w:val="none" w:sz="0" w:space="0" w:color="auto"/>
            <w:bottom w:val="none" w:sz="0" w:space="0" w:color="auto"/>
            <w:right w:val="none" w:sz="0" w:space="0" w:color="auto"/>
          </w:divBdr>
        </w:div>
      </w:divsChild>
    </w:div>
    <w:div w:id="1923946739">
      <w:bodyDiv w:val="1"/>
      <w:marLeft w:val="0"/>
      <w:marRight w:val="0"/>
      <w:marTop w:val="0"/>
      <w:marBottom w:val="0"/>
      <w:divBdr>
        <w:top w:val="none" w:sz="0" w:space="0" w:color="auto"/>
        <w:left w:val="none" w:sz="0" w:space="0" w:color="auto"/>
        <w:bottom w:val="none" w:sz="0" w:space="0" w:color="auto"/>
        <w:right w:val="none" w:sz="0" w:space="0" w:color="auto"/>
      </w:divBdr>
      <w:divsChild>
        <w:div w:id="662853087">
          <w:marLeft w:val="0"/>
          <w:marRight w:val="0"/>
          <w:marTop w:val="0"/>
          <w:marBottom w:val="0"/>
          <w:divBdr>
            <w:top w:val="none" w:sz="0" w:space="0" w:color="auto"/>
            <w:left w:val="none" w:sz="0" w:space="0" w:color="auto"/>
            <w:bottom w:val="none" w:sz="0" w:space="0" w:color="auto"/>
            <w:right w:val="none" w:sz="0" w:space="0" w:color="auto"/>
          </w:divBdr>
          <w:divsChild>
            <w:div w:id="1275479219">
              <w:marLeft w:val="0"/>
              <w:marRight w:val="0"/>
              <w:marTop w:val="0"/>
              <w:marBottom w:val="0"/>
              <w:divBdr>
                <w:top w:val="none" w:sz="0" w:space="0" w:color="auto"/>
                <w:left w:val="none" w:sz="0" w:space="0" w:color="auto"/>
                <w:bottom w:val="none" w:sz="0" w:space="0" w:color="auto"/>
                <w:right w:val="none" w:sz="0" w:space="0" w:color="auto"/>
              </w:divBdr>
              <w:divsChild>
                <w:div w:id="21138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9832">
      <w:bodyDiv w:val="1"/>
      <w:marLeft w:val="0"/>
      <w:marRight w:val="0"/>
      <w:marTop w:val="0"/>
      <w:marBottom w:val="0"/>
      <w:divBdr>
        <w:top w:val="none" w:sz="0" w:space="0" w:color="auto"/>
        <w:left w:val="none" w:sz="0" w:space="0" w:color="auto"/>
        <w:bottom w:val="none" w:sz="0" w:space="0" w:color="auto"/>
        <w:right w:val="none" w:sz="0" w:space="0" w:color="auto"/>
      </w:divBdr>
    </w:div>
    <w:div w:id="2028945195">
      <w:bodyDiv w:val="1"/>
      <w:marLeft w:val="0"/>
      <w:marRight w:val="0"/>
      <w:marTop w:val="0"/>
      <w:marBottom w:val="0"/>
      <w:divBdr>
        <w:top w:val="none" w:sz="0" w:space="0" w:color="auto"/>
        <w:left w:val="none" w:sz="0" w:space="0" w:color="auto"/>
        <w:bottom w:val="none" w:sz="0" w:space="0" w:color="auto"/>
        <w:right w:val="none" w:sz="0" w:space="0" w:color="auto"/>
      </w:divBdr>
    </w:div>
    <w:div w:id="2044402158">
      <w:bodyDiv w:val="1"/>
      <w:marLeft w:val="0"/>
      <w:marRight w:val="0"/>
      <w:marTop w:val="0"/>
      <w:marBottom w:val="0"/>
      <w:divBdr>
        <w:top w:val="none" w:sz="0" w:space="0" w:color="auto"/>
        <w:left w:val="none" w:sz="0" w:space="0" w:color="auto"/>
        <w:bottom w:val="none" w:sz="0" w:space="0" w:color="auto"/>
        <w:right w:val="none" w:sz="0" w:space="0" w:color="auto"/>
      </w:divBdr>
    </w:div>
    <w:div w:id="20901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07774.1E4A6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2023-02-13T10:40:00Z</dcterms:created>
  <dcterms:modified xsi:type="dcterms:W3CDTF">2023-02-13T18:13:00Z</dcterms:modified>
</cp:coreProperties>
</file>