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7D143" w14:textId="77777777" w:rsidR="00564266" w:rsidRPr="00394ED7" w:rsidRDefault="00564266" w:rsidP="00AA0CB8">
      <w:pPr>
        <w:spacing w:after="0" w:line="360" w:lineRule="auto"/>
        <w:ind w:left="0"/>
        <w:jc w:val="center"/>
        <w:rPr>
          <w:rFonts w:ascii="Arial" w:eastAsia="Times New Roman" w:hAnsi="Arial" w:cs="Arial"/>
          <w:b/>
          <w:color w:val="auto"/>
          <w:szCs w:val="24"/>
        </w:rPr>
      </w:pPr>
      <w:r w:rsidRPr="00394ED7">
        <w:rPr>
          <w:rFonts w:ascii="Arial" w:eastAsia="Times New Roman" w:hAnsi="Arial" w:cs="Arial"/>
          <w:b/>
          <w:szCs w:val="24"/>
        </w:rPr>
        <w:t>REPUBLIC OF SOUTH AFRICA</w:t>
      </w:r>
    </w:p>
    <w:p w14:paraId="2A23F1ED" w14:textId="252B333C" w:rsidR="00564266" w:rsidRPr="00394ED7" w:rsidRDefault="00564266" w:rsidP="00AA0CB8">
      <w:pPr>
        <w:spacing w:after="0" w:line="360" w:lineRule="auto"/>
        <w:ind w:left="0"/>
        <w:jc w:val="center"/>
        <w:rPr>
          <w:rFonts w:ascii="Arial" w:eastAsia="Times New Roman" w:hAnsi="Arial" w:cs="Arial"/>
          <w:b/>
          <w:szCs w:val="24"/>
        </w:rPr>
      </w:pPr>
      <w:r w:rsidRPr="00394ED7">
        <w:rPr>
          <w:rFonts w:ascii="Arial" w:eastAsia="Times New Roman" w:hAnsi="Arial" w:cs="Arial"/>
          <w:b/>
          <w:noProof/>
          <w:szCs w:val="24"/>
          <w:lang w:val="en-US" w:eastAsia="en-US"/>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394ED7" w:rsidRDefault="00564266" w:rsidP="00AA0CB8">
      <w:pPr>
        <w:spacing w:after="0" w:line="360"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12E78237" w14:textId="77777777" w:rsidR="00564266" w:rsidRPr="00394ED7" w:rsidRDefault="00564266" w:rsidP="00AA0CB8">
      <w:pPr>
        <w:spacing w:after="0" w:line="360"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567B2A1B" w14:textId="77777777" w:rsidR="00785619" w:rsidRDefault="00785619" w:rsidP="00AA0CB8">
      <w:pPr>
        <w:spacing w:after="0" w:line="360" w:lineRule="auto"/>
        <w:ind w:left="0"/>
        <w:jc w:val="right"/>
        <w:rPr>
          <w:rFonts w:ascii="Arial" w:eastAsia="Times New Roman" w:hAnsi="Arial" w:cs="Arial"/>
          <w:b/>
          <w:szCs w:val="24"/>
        </w:rPr>
      </w:pPr>
    </w:p>
    <w:p w14:paraId="4E0B3B81" w14:textId="4C75B2B6" w:rsidR="00564266" w:rsidRPr="00394ED7" w:rsidRDefault="00785619" w:rsidP="00785619">
      <w:pPr>
        <w:spacing w:after="0" w:line="240" w:lineRule="auto"/>
        <w:ind w:left="0"/>
        <w:jc w:val="right"/>
        <w:rPr>
          <w:rFonts w:ascii="Arial" w:eastAsia="Times New Roman" w:hAnsi="Arial" w:cs="Arial"/>
          <w:b/>
          <w:szCs w:val="24"/>
        </w:rPr>
      </w:pPr>
      <w:r>
        <w:rPr>
          <w:rFonts w:ascii="Arial" w:eastAsia="Times New Roman" w:hAnsi="Arial" w:cs="Arial"/>
          <w:b/>
          <w:szCs w:val="24"/>
        </w:rPr>
        <w:t>CASE NUMBER</w:t>
      </w:r>
      <w:r w:rsidRPr="00394ED7">
        <w:rPr>
          <w:rFonts w:ascii="Arial" w:eastAsia="Times New Roman" w:hAnsi="Arial" w:cs="Arial"/>
          <w:b/>
          <w:szCs w:val="24"/>
        </w:rPr>
        <w:t xml:space="preserve">: </w:t>
      </w:r>
      <w:r w:rsidR="003A5370">
        <w:rPr>
          <w:rFonts w:ascii="Arial" w:eastAsia="Times New Roman" w:hAnsi="Arial" w:cs="Arial"/>
          <w:b/>
          <w:szCs w:val="24"/>
          <w:u w:val="single"/>
        </w:rPr>
        <w:t>2022 - 035571</w:t>
      </w:r>
    </w:p>
    <w:p w14:paraId="1FF69AB5" w14:textId="31FC699D" w:rsidR="00ED35E1" w:rsidRDefault="00ED35E1" w:rsidP="00ED35E1">
      <w:pPr>
        <w:spacing w:after="0" w:line="240" w:lineRule="auto"/>
        <w:ind w:left="0"/>
        <w:jc w:val="left"/>
        <w:rPr>
          <w:rFonts w:ascii="Arial" w:eastAsia="Times New Roman" w:hAnsi="Arial" w:cs="Arial"/>
          <w:b/>
          <w:szCs w:val="24"/>
        </w:rPr>
      </w:pPr>
      <w:r>
        <w:rPr>
          <w:noProof/>
          <w:lang w:val="en-US" w:eastAsia="en-US"/>
        </w:rPr>
        <mc:AlternateContent>
          <mc:Choice Requires="wps">
            <w:drawing>
              <wp:anchor distT="0" distB="0" distL="114300" distR="114300" simplePos="0" relativeHeight="251659264" behindDoc="0" locked="0" layoutInCell="1" allowOverlap="1" wp14:anchorId="26E3B4C4" wp14:editId="3B6C6D60">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1B2FA9D7" w:rsidR="00ED35E1" w:rsidRPr="004120A8" w:rsidRDefault="007312F1" w:rsidP="007312F1">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38EA9A56" w:rsidR="00ED35E1" w:rsidRPr="004120A8" w:rsidRDefault="007312F1" w:rsidP="007312F1">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3C6990F3" w:rsidR="00ED35E1" w:rsidRPr="004120A8" w:rsidRDefault="007312F1" w:rsidP="007312F1">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441DDD36"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p>
                          <w:p w14:paraId="0F297B91" w14:textId="76D99751"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966D1A">
                              <w:rPr>
                                <w:rFonts w:ascii="Century Gothic" w:hAnsi="Century Gothic"/>
                                <w:b/>
                                <w:sz w:val="18"/>
                                <w:szCs w:val="18"/>
                              </w:rPr>
                              <w:t>27 September 2023</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1B2FA9D7" w:rsidR="00ED35E1" w:rsidRPr="004120A8" w:rsidRDefault="007312F1" w:rsidP="007312F1">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38EA9A56" w:rsidR="00ED35E1" w:rsidRPr="004120A8" w:rsidRDefault="007312F1" w:rsidP="007312F1">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3C6990F3" w:rsidR="00ED35E1" w:rsidRPr="004120A8" w:rsidRDefault="007312F1" w:rsidP="007312F1">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441DDD36"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p>
                    <w:p w14:paraId="0F297B91" w14:textId="76D99751"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966D1A">
                        <w:rPr>
                          <w:rFonts w:ascii="Century Gothic" w:hAnsi="Century Gothic"/>
                          <w:b/>
                          <w:sz w:val="18"/>
                          <w:szCs w:val="18"/>
                        </w:rPr>
                        <w:t>27 September 2023</w:t>
                      </w:r>
                    </w:p>
                    <w:p w14:paraId="457623E5" w14:textId="77777777" w:rsidR="00ED35E1" w:rsidRPr="004120A8" w:rsidRDefault="00ED35E1" w:rsidP="00ED35E1">
                      <w:pPr>
                        <w:rPr>
                          <w:rFonts w:ascii="Century Gothic" w:hAnsi="Century Gothic"/>
                          <w:b/>
                          <w:sz w:val="2"/>
                          <w:szCs w:val="18"/>
                        </w:rPr>
                      </w:pPr>
                    </w:p>
                  </w:txbxContent>
                </v:textbox>
                <w10:wrap type="topAndBottom" anchorx="margin" anchory="page"/>
              </v:shape>
            </w:pict>
          </mc:Fallback>
        </mc:AlternateContent>
      </w:r>
    </w:p>
    <w:p w14:paraId="5299D93C" w14:textId="6A660774" w:rsidR="00564266" w:rsidRPr="00394ED7" w:rsidRDefault="00564266" w:rsidP="00ED35E1">
      <w:pPr>
        <w:spacing w:after="0" w:line="240"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t xml:space="preserve">     </w:t>
      </w:r>
    </w:p>
    <w:p w14:paraId="732FB793" w14:textId="77777777" w:rsidR="00CB5402" w:rsidRPr="00394ED7" w:rsidRDefault="00CB5402" w:rsidP="00AA0CB8">
      <w:pPr>
        <w:spacing w:after="0" w:line="480" w:lineRule="auto"/>
        <w:ind w:left="0"/>
        <w:rPr>
          <w:rFonts w:ascii="Arial" w:eastAsia="Times New Roman" w:hAnsi="Arial" w:cs="Arial"/>
          <w:szCs w:val="24"/>
          <w:lang w:eastAsia="en-US"/>
        </w:rPr>
      </w:pPr>
      <w:r w:rsidRPr="00394ED7">
        <w:rPr>
          <w:rFonts w:ascii="Arial" w:eastAsia="Times New Roman" w:hAnsi="Arial" w:cs="Arial"/>
          <w:szCs w:val="24"/>
        </w:rPr>
        <w:t>In the matter between:</w:t>
      </w:r>
    </w:p>
    <w:p w14:paraId="08A26802" w14:textId="77777777" w:rsidR="00785619" w:rsidRDefault="00785619" w:rsidP="00AA0CB8">
      <w:pPr>
        <w:spacing w:after="0" w:line="480" w:lineRule="auto"/>
        <w:ind w:left="0"/>
        <w:rPr>
          <w:rFonts w:ascii="Arial" w:eastAsia="Times New Roman" w:hAnsi="Arial" w:cs="Arial"/>
          <w:b/>
          <w:szCs w:val="24"/>
        </w:rPr>
      </w:pPr>
    </w:p>
    <w:p w14:paraId="4DFE1583" w14:textId="75BC1EC4" w:rsidR="00116F0B" w:rsidRPr="00116F0B" w:rsidRDefault="003A5370" w:rsidP="00AA0CB8">
      <w:pPr>
        <w:spacing w:after="0" w:line="480" w:lineRule="auto"/>
        <w:ind w:left="0"/>
        <w:rPr>
          <w:rFonts w:ascii="Arial" w:eastAsia="Times New Roman" w:hAnsi="Arial" w:cs="Arial"/>
          <w:b/>
          <w:szCs w:val="24"/>
        </w:rPr>
      </w:pPr>
      <w:r>
        <w:rPr>
          <w:rFonts w:ascii="Arial" w:eastAsia="Times New Roman" w:hAnsi="Arial" w:cs="Arial"/>
          <w:b/>
          <w:szCs w:val="24"/>
        </w:rPr>
        <w:t>AMBITIOUS GROUP (PTY) LIMITED</w:t>
      </w:r>
      <w:r w:rsidR="00116F0B">
        <w:rPr>
          <w:rFonts w:ascii="Arial" w:eastAsia="Times New Roman" w:hAnsi="Arial" w:cs="Arial"/>
          <w:b/>
          <w:szCs w:val="24"/>
        </w:rPr>
        <w:t xml:space="preserve">                                                                             </w:t>
      </w:r>
      <w:r w:rsidR="00293101">
        <w:rPr>
          <w:rFonts w:ascii="Arial" w:eastAsia="Times New Roman" w:hAnsi="Arial" w:cs="Arial"/>
          <w:b/>
          <w:szCs w:val="24"/>
        </w:rPr>
        <w:t xml:space="preserve">               </w:t>
      </w:r>
      <w:r w:rsidR="00116F0B" w:rsidRPr="00394ED7">
        <w:rPr>
          <w:rFonts w:ascii="Arial" w:eastAsia="Times New Roman" w:hAnsi="Arial" w:cs="Arial"/>
          <w:szCs w:val="24"/>
        </w:rPr>
        <w:t>Applicant</w:t>
      </w:r>
    </w:p>
    <w:p w14:paraId="597CD3E4" w14:textId="41583D1D" w:rsidR="00CB5402" w:rsidRPr="00394ED7" w:rsidRDefault="00785619" w:rsidP="00AA0CB8">
      <w:pPr>
        <w:spacing w:after="0" w:line="480" w:lineRule="auto"/>
        <w:ind w:left="0"/>
        <w:rPr>
          <w:rFonts w:ascii="Arial" w:eastAsia="Times New Roman" w:hAnsi="Arial" w:cs="Arial"/>
          <w:szCs w:val="24"/>
        </w:rPr>
      </w:pPr>
      <w:r>
        <w:rPr>
          <w:rFonts w:ascii="Arial" w:eastAsia="Times New Roman" w:hAnsi="Arial" w:cs="Arial"/>
          <w:b/>
          <w:szCs w:val="24"/>
        </w:rPr>
        <w:t xml:space="preserve">  </w:t>
      </w:r>
    </w:p>
    <w:p w14:paraId="6E43EAB6" w14:textId="2C9FF6B6" w:rsidR="00CB5402" w:rsidRDefault="00116F0B" w:rsidP="00AA0CB8">
      <w:pPr>
        <w:spacing w:after="0" w:line="480" w:lineRule="auto"/>
        <w:ind w:left="0"/>
        <w:rPr>
          <w:rFonts w:ascii="Arial" w:eastAsia="Times New Roman" w:hAnsi="Arial" w:cs="Arial"/>
          <w:szCs w:val="24"/>
        </w:rPr>
      </w:pPr>
      <w:r>
        <w:rPr>
          <w:rFonts w:ascii="Arial" w:eastAsia="Times New Roman" w:hAnsi="Arial" w:cs="Arial"/>
          <w:szCs w:val="24"/>
        </w:rPr>
        <w:t>a</w:t>
      </w:r>
      <w:r w:rsidR="00CB5402" w:rsidRPr="00394ED7">
        <w:rPr>
          <w:rFonts w:ascii="Arial" w:eastAsia="Times New Roman" w:hAnsi="Arial" w:cs="Arial"/>
          <w:szCs w:val="24"/>
        </w:rPr>
        <w:t>nd</w:t>
      </w:r>
    </w:p>
    <w:p w14:paraId="0EDD50CB" w14:textId="77777777" w:rsidR="00116F0B" w:rsidRPr="00394ED7" w:rsidRDefault="00116F0B" w:rsidP="00AA0CB8">
      <w:pPr>
        <w:spacing w:after="0" w:line="480" w:lineRule="auto"/>
        <w:ind w:left="0"/>
        <w:rPr>
          <w:rFonts w:ascii="Arial" w:eastAsia="Times New Roman" w:hAnsi="Arial" w:cs="Arial"/>
          <w:szCs w:val="24"/>
        </w:rPr>
      </w:pPr>
    </w:p>
    <w:p w14:paraId="3F55ED92" w14:textId="3B560DFE" w:rsidR="00CB5402" w:rsidRDefault="003A5370" w:rsidP="00AA0CB8">
      <w:pPr>
        <w:spacing w:after="0" w:line="480" w:lineRule="auto"/>
        <w:ind w:left="0"/>
        <w:rPr>
          <w:rFonts w:ascii="Arial" w:eastAsia="Times New Roman" w:hAnsi="Arial" w:cs="Arial"/>
          <w:szCs w:val="24"/>
        </w:rPr>
      </w:pPr>
      <w:r>
        <w:rPr>
          <w:rFonts w:ascii="Arial" w:eastAsia="Times New Roman" w:hAnsi="Arial" w:cs="Arial"/>
          <w:b/>
          <w:szCs w:val="24"/>
        </w:rPr>
        <w:t>NDUMISO SIYABULELA MDLETSHE</w:t>
      </w:r>
      <w:r w:rsidR="00CB5402" w:rsidRPr="00CB5402">
        <w:rPr>
          <w:rFonts w:ascii="Arial" w:eastAsia="Times New Roman" w:hAnsi="Arial" w:cs="Arial"/>
          <w:szCs w:val="24"/>
        </w:rPr>
        <w:t xml:space="preserve"> </w:t>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293101">
        <w:rPr>
          <w:rFonts w:ascii="Arial" w:eastAsia="Times New Roman" w:hAnsi="Arial" w:cs="Arial"/>
          <w:szCs w:val="24"/>
        </w:rPr>
        <w:t xml:space="preserve">         </w:t>
      </w:r>
      <w:r>
        <w:rPr>
          <w:rFonts w:ascii="Arial" w:eastAsia="Times New Roman" w:hAnsi="Arial" w:cs="Arial"/>
          <w:szCs w:val="24"/>
        </w:rPr>
        <w:t xml:space="preserve">  </w:t>
      </w:r>
      <w:r w:rsidR="00293101">
        <w:rPr>
          <w:rFonts w:ascii="Arial" w:eastAsia="Times New Roman" w:hAnsi="Arial" w:cs="Arial"/>
          <w:szCs w:val="24"/>
        </w:rPr>
        <w:t xml:space="preserve">First </w:t>
      </w:r>
      <w:r w:rsidR="00CB5402" w:rsidRPr="00394ED7">
        <w:rPr>
          <w:rFonts w:ascii="Arial" w:eastAsia="Times New Roman" w:hAnsi="Arial" w:cs="Arial"/>
          <w:szCs w:val="24"/>
        </w:rPr>
        <w:t>Respondent</w:t>
      </w:r>
    </w:p>
    <w:p w14:paraId="6E89F5E6" w14:textId="2ED78539" w:rsidR="00293101" w:rsidRDefault="003A5370" w:rsidP="00AA0CB8">
      <w:pPr>
        <w:spacing w:after="0" w:line="480" w:lineRule="auto"/>
        <w:ind w:left="0"/>
        <w:rPr>
          <w:rFonts w:ascii="Arial" w:eastAsia="Times New Roman" w:hAnsi="Arial" w:cs="Arial"/>
          <w:szCs w:val="24"/>
        </w:rPr>
      </w:pPr>
      <w:r w:rsidRPr="003A5370">
        <w:rPr>
          <w:rFonts w:ascii="Arial" w:eastAsia="Times New Roman" w:hAnsi="Arial" w:cs="Arial"/>
          <w:b/>
          <w:bCs/>
          <w:szCs w:val="24"/>
        </w:rPr>
        <w:t>SIPHELELE MBONGI DUNYWA</w:t>
      </w:r>
      <w:r w:rsidR="00293101">
        <w:rPr>
          <w:rFonts w:ascii="Arial" w:eastAsia="Times New Roman" w:hAnsi="Arial" w:cs="Arial"/>
          <w:szCs w:val="24"/>
        </w:rPr>
        <w:t xml:space="preserve">                                                     </w:t>
      </w:r>
      <w:r>
        <w:rPr>
          <w:rFonts w:ascii="Arial" w:eastAsia="Times New Roman" w:hAnsi="Arial" w:cs="Arial"/>
          <w:szCs w:val="24"/>
        </w:rPr>
        <w:t xml:space="preserve">        </w:t>
      </w:r>
      <w:r w:rsidR="00293101">
        <w:rPr>
          <w:rFonts w:ascii="Arial" w:eastAsia="Times New Roman" w:hAnsi="Arial" w:cs="Arial"/>
          <w:szCs w:val="24"/>
        </w:rPr>
        <w:t>Second Respondent</w:t>
      </w:r>
    </w:p>
    <w:p w14:paraId="332AB7D3" w14:textId="74523E20" w:rsidR="00CB26EC" w:rsidRPr="00394ED7" w:rsidRDefault="00CB26EC" w:rsidP="00785619">
      <w:pPr>
        <w:spacing w:after="0" w:line="240" w:lineRule="auto"/>
        <w:ind w:left="0"/>
        <w:rPr>
          <w:rFonts w:ascii="Arial" w:eastAsia="Times New Roman" w:hAnsi="Arial" w:cs="Arial"/>
          <w:szCs w:val="24"/>
        </w:rPr>
      </w:pPr>
    </w:p>
    <w:p w14:paraId="5E87C56A" w14:textId="77777777" w:rsidR="00785619" w:rsidRDefault="00785619" w:rsidP="00785619">
      <w:pPr>
        <w:spacing w:after="0" w:line="240" w:lineRule="auto"/>
        <w:ind w:left="0"/>
        <w:rPr>
          <w:rFonts w:ascii="Arial" w:eastAsia="Times New Roman" w:hAnsi="Arial" w:cs="Arial"/>
          <w:b/>
          <w:szCs w:val="24"/>
        </w:rPr>
      </w:pPr>
    </w:p>
    <w:p w14:paraId="2CB030A3" w14:textId="77777777" w:rsidR="00865E8B" w:rsidRDefault="00785619" w:rsidP="00785619">
      <w:pPr>
        <w:spacing w:after="0" w:line="240" w:lineRule="auto"/>
        <w:ind w:left="0"/>
        <w:rPr>
          <w:rFonts w:ascii="Arial" w:eastAsia="Times New Roman" w:hAnsi="Arial" w:cs="Arial"/>
          <w:szCs w:val="24"/>
        </w:rPr>
      </w:pPr>
      <w:r>
        <w:rPr>
          <w:rFonts w:ascii="Arial" w:eastAsia="Times New Roman" w:hAnsi="Arial" w:cs="Arial"/>
          <w:b/>
          <w:szCs w:val="24"/>
        </w:rPr>
        <w:softHyphen/>
      </w:r>
      <w:r>
        <w:rPr>
          <w:rFonts w:ascii="Arial" w:eastAsia="Times New Roman" w:hAnsi="Arial" w:cs="Arial"/>
          <w:b/>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p>
    <w:p w14:paraId="7E46AFDB" w14:textId="74FF7383" w:rsidR="00865E8B" w:rsidRPr="00F72473" w:rsidRDefault="00865E8B" w:rsidP="00785619">
      <w:pPr>
        <w:spacing w:after="0" w:line="240" w:lineRule="auto"/>
        <w:ind w:left="0"/>
        <w:rPr>
          <w:rFonts w:ascii="Arial" w:eastAsia="Times New Roman" w:hAnsi="Arial" w:cs="Arial"/>
          <w:i/>
          <w:szCs w:val="24"/>
        </w:rPr>
      </w:pPr>
      <w:r w:rsidRPr="00F72473">
        <w:rPr>
          <w:rFonts w:ascii="Arial" w:eastAsia="Times New Roman" w:hAnsi="Arial" w:cs="Arial"/>
          <w:i/>
          <w:szCs w:val="24"/>
        </w:rPr>
        <w:t xml:space="preserve">This </w:t>
      </w:r>
      <w:r w:rsidR="00F72473" w:rsidRPr="00F72473">
        <w:rPr>
          <w:rFonts w:ascii="Arial" w:eastAsia="Times New Roman" w:hAnsi="Arial" w:cs="Arial"/>
          <w:i/>
          <w:szCs w:val="24"/>
        </w:rPr>
        <w:t>judgment was</w:t>
      </w:r>
      <w:r w:rsidRPr="00F72473">
        <w:rPr>
          <w:rFonts w:ascii="Arial" w:eastAsia="Times New Roman" w:hAnsi="Arial" w:cs="Arial"/>
          <w:i/>
          <w:szCs w:val="24"/>
        </w:rPr>
        <w:t xml:space="preserve"> handed down electronically by circulation to the parties' and/or the parties' representatives by email and by being uploaded to Case Lines. The date and time for hand-down is deemed to be 10h00 on </w:t>
      </w:r>
      <w:r w:rsidR="00966D1A">
        <w:rPr>
          <w:rFonts w:ascii="Arial" w:eastAsia="Times New Roman" w:hAnsi="Arial" w:cs="Arial"/>
          <w:i/>
          <w:szCs w:val="24"/>
        </w:rPr>
        <w:t>27 September 2023</w:t>
      </w:r>
    </w:p>
    <w:p w14:paraId="78D5722C" w14:textId="77777777" w:rsidR="00CB5402"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785619">
      <w:pPr>
        <w:spacing w:after="0" w:line="240" w:lineRule="auto"/>
        <w:ind w:left="0"/>
        <w:jc w:val="center"/>
        <w:rPr>
          <w:rFonts w:ascii="Arial" w:eastAsia="Times New Roman" w:hAnsi="Arial" w:cs="Arial"/>
          <w:b/>
          <w:szCs w:val="24"/>
        </w:rPr>
      </w:pPr>
    </w:p>
    <w:p w14:paraId="58836B39" w14:textId="55CDE5E4" w:rsidR="00785619" w:rsidRDefault="00CB26EC" w:rsidP="00CB26EC">
      <w:pPr>
        <w:spacing w:after="0" w:line="240" w:lineRule="auto"/>
        <w:ind w:left="0"/>
        <w:rPr>
          <w:rFonts w:ascii="Arial" w:eastAsia="Times New Roman" w:hAnsi="Arial" w:cs="Arial"/>
          <w:szCs w:val="24"/>
        </w:rPr>
      </w:pPr>
      <w:r>
        <w:rPr>
          <w:rFonts w:ascii="Arial" w:eastAsia="Times New Roman" w:hAnsi="Arial" w:cs="Arial"/>
          <w:b/>
          <w:szCs w:val="24"/>
        </w:rPr>
        <w:t xml:space="preserve">                             </w:t>
      </w:r>
      <w:r w:rsidR="002F220B">
        <w:rPr>
          <w:rFonts w:ascii="Arial" w:eastAsia="Times New Roman" w:hAnsi="Arial" w:cs="Arial"/>
          <w:b/>
          <w:szCs w:val="24"/>
        </w:rPr>
        <w:t xml:space="preserve">                   </w:t>
      </w:r>
      <w:r w:rsidR="00785619" w:rsidRPr="00394ED7">
        <w:rPr>
          <w:rFonts w:ascii="Arial" w:eastAsia="Times New Roman" w:hAnsi="Arial" w:cs="Arial"/>
          <w:b/>
          <w:szCs w:val="24"/>
        </w:rPr>
        <w:t>JUDGMENT</w:t>
      </w:r>
      <w:r>
        <w:rPr>
          <w:rFonts w:ascii="Arial" w:eastAsia="Times New Roman" w:hAnsi="Arial" w:cs="Arial"/>
          <w:b/>
          <w:szCs w:val="24"/>
        </w:rPr>
        <w:t xml:space="preserve"> (LEAVE TO APPEAL)</w:t>
      </w:r>
    </w:p>
    <w:p w14:paraId="44B5535B" w14:textId="77777777" w:rsidR="00785619" w:rsidRPr="00785619"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7B4BA83D" w14:textId="77777777" w:rsidR="00564266" w:rsidRPr="00394ED7" w:rsidRDefault="00564266" w:rsidP="00785619">
      <w:pPr>
        <w:spacing w:after="0" w:line="240" w:lineRule="auto"/>
        <w:ind w:left="0"/>
        <w:rPr>
          <w:rFonts w:ascii="Arial" w:hAnsi="Arial" w:cs="Arial"/>
          <w:b/>
          <w:szCs w:val="24"/>
        </w:rPr>
      </w:pPr>
    </w:p>
    <w:p w14:paraId="208238BA" w14:textId="2866F1B5" w:rsidR="00564266" w:rsidRPr="00116F0B" w:rsidRDefault="001D42EA" w:rsidP="000A3680">
      <w:pPr>
        <w:spacing w:after="0" w:line="240" w:lineRule="auto"/>
        <w:rPr>
          <w:rFonts w:ascii="Arial" w:hAnsi="Arial" w:cs="Arial"/>
          <w:b/>
          <w:szCs w:val="24"/>
          <w:u w:val="single"/>
        </w:rPr>
      </w:pPr>
      <w:r w:rsidRPr="00116F0B">
        <w:rPr>
          <w:rFonts w:ascii="Arial" w:hAnsi="Arial" w:cs="Arial"/>
          <w:b/>
          <w:szCs w:val="24"/>
          <w:u w:val="single"/>
        </w:rPr>
        <w:lastRenderedPageBreak/>
        <w:t>WANLESS</w:t>
      </w:r>
      <w:r w:rsidR="00F949A0" w:rsidRPr="00116F0B">
        <w:rPr>
          <w:rFonts w:ascii="Arial" w:hAnsi="Arial" w:cs="Arial"/>
          <w:b/>
          <w:szCs w:val="24"/>
          <w:u w:val="single"/>
        </w:rPr>
        <w:t xml:space="preserve"> </w:t>
      </w:r>
      <w:r w:rsidRPr="00116F0B">
        <w:rPr>
          <w:rFonts w:ascii="Arial" w:hAnsi="Arial" w:cs="Arial"/>
          <w:b/>
          <w:szCs w:val="24"/>
          <w:u w:val="single"/>
        </w:rPr>
        <w:t>A</w:t>
      </w:r>
      <w:r w:rsidR="00F949A0" w:rsidRPr="00116F0B">
        <w:rPr>
          <w:rFonts w:ascii="Arial" w:hAnsi="Arial" w:cs="Arial"/>
          <w:b/>
          <w:szCs w:val="24"/>
          <w:u w:val="single"/>
        </w:rPr>
        <w:t>J</w:t>
      </w:r>
    </w:p>
    <w:p w14:paraId="3EC7081E" w14:textId="77777777" w:rsidR="000A3680" w:rsidRDefault="000A3680" w:rsidP="000A3680">
      <w:pPr>
        <w:spacing w:after="0" w:line="360" w:lineRule="auto"/>
        <w:rPr>
          <w:rFonts w:ascii="Arial" w:hAnsi="Arial" w:cs="Arial"/>
          <w:b/>
          <w:szCs w:val="24"/>
        </w:rPr>
      </w:pPr>
    </w:p>
    <w:p w14:paraId="748F4ADA" w14:textId="77777777" w:rsidR="0058466B" w:rsidRDefault="0058466B" w:rsidP="000A3680">
      <w:pPr>
        <w:spacing w:after="0" w:line="360" w:lineRule="auto"/>
        <w:rPr>
          <w:rFonts w:ascii="Arial" w:hAnsi="Arial" w:cs="Arial"/>
          <w:b/>
          <w:szCs w:val="24"/>
          <w:u w:val="single"/>
        </w:rPr>
      </w:pPr>
      <w:r w:rsidRPr="00116F0B">
        <w:rPr>
          <w:rFonts w:ascii="Arial" w:hAnsi="Arial" w:cs="Arial"/>
          <w:b/>
          <w:szCs w:val="24"/>
          <w:u w:val="single"/>
        </w:rPr>
        <w:t>Introduction</w:t>
      </w:r>
    </w:p>
    <w:p w14:paraId="6BA83858" w14:textId="77777777" w:rsidR="00CB26EC" w:rsidRDefault="00CB26EC" w:rsidP="00367EEC">
      <w:pPr>
        <w:spacing w:after="0" w:line="480" w:lineRule="auto"/>
        <w:rPr>
          <w:rFonts w:ascii="Arial" w:hAnsi="Arial" w:cs="Arial"/>
          <w:b/>
          <w:szCs w:val="24"/>
          <w:u w:val="single"/>
        </w:rPr>
      </w:pPr>
    </w:p>
    <w:p w14:paraId="0BA87546" w14:textId="5ADF1D08" w:rsidR="00E93384" w:rsidRPr="007312F1" w:rsidRDefault="007312F1" w:rsidP="007312F1">
      <w:pPr>
        <w:spacing w:after="0" w:line="480" w:lineRule="auto"/>
        <w:ind w:left="720" w:hanging="686"/>
        <w:rPr>
          <w:rFonts w:ascii="Arial" w:hAnsi="Arial" w:cs="Arial"/>
          <w:bCs/>
          <w:szCs w:val="24"/>
        </w:rPr>
      </w:pPr>
      <w:r w:rsidRPr="00721432">
        <w:rPr>
          <w:rFonts w:ascii="Arial" w:hAnsi="Arial" w:cs="Arial"/>
          <w:bCs/>
          <w:szCs w:val="24"/>
        </w:rPr>
        <w:t>[</w:t>
      </w:r>
      <w:bookmarkStart w:id="0" w:name="_GoBack"/>
      <w:bookmarkEnd w:id="0"/>
      <w:r w:rsidRPr="00721432">
        <w:rPr>
          <w:rFonts w:ascii="Arial" w:hAnsi="Arial" w:cs="Arial"/>
          <w:bCs/>
          <w:szCs w:val="24"/>
        </w:rPr>
        <w:t>1]</w:t>
      </w:r>
      <w:r w:rsidRPr="00721432">
        <w:rPr>
          <w:rFonts w:ascii="Arial" w:hAnsi="Arial" w:cs="Arial"/>
          <w:bCs/>
          <w:szCs w:val="24"/>
        </w:rPr>
        <w:tab/>
      </w:r>
      <w:r w:rsidR="00980695" w:rsidRPr="007312F1">
        <w:rPr>
          <w:rFonts w:ascii="Arial" w:hAnsi="Arial" w:cs="Arial"/>
          <w:bCs/>
          <w:szCs w:val="24"/>
        </w:rPr>
        <w:t xml:space="preserve">Pursuant to an application initially instituted on an urgent basis </w:t>
      </w:r>
      <w:r w:rsidR="00980695" w:rsidRPr="007312F1">
        <w:rPr>
          <w:rFonts w:ascii="Arial" w:hAnsi="Arial" w:cs="Arial"/>
          <w:bCs/>
          <w:i/>
          <w:iCs/>
          <w:szCs w:val="24"/>
        </w:rPr>
        <w:t>(“the main application”)</w:t>
      </w:r>
      <w:r w:rsidR="00980695" w:rsidRPr="007312F1">
        <w:rPr>
          <w:rFonts w:ascii="Arial" w:hAnsi="Arial" w:cs="Arial"/>
          <w:bCs/>
          <w:szCs w:val="24"/>
        </w:rPr>
        <w:t xml:space="preserve"> and on</w:t>
      </w:r>
      <w:r w:rsidR="00E93384" w:rsidRPr="007312F1">
        <w:rPr>
          <w:rFonts w:ascii="Arial" w:hAnsi="Arial" w:cs="Arial"/>
          <w:bCs/>
          <w:szCs w:val="24"/>
        </w:rPr>
        <w:t xml:space="preserve"> the 12</w:t>
      </w:r>
      <w:r w:rsidR="00E93384" w:rsidRPr="007312F1">
        <w:rPr>
          <w:rFonts w:ascii="Arial" w:hAnsi="Arial" w:cs="Arial"/>
          <w:bCs/>
          <w:szCs w:val="24"/>
          <w:vertAlign w:val="superscript"/>
        </w:rPr>
        <w:t>th</w:t>
      </w:r>
      <w:r w:rsidR="00E93384" w:rsidRPr="007312F1">
        <w:rPr>
          <w:rFonts w:ascii="Arial" w:hAnsi="Arial" w:cs="Arial"/>
          <w:bCs/>
          <w:szCs w:val="24"/>
        </w:rPr>
        <w:t xml:space="preserve"> of June 2023</w:t>
      </w:r>
      <w:r w:rsidR="00980695" w:rsidRPr="007312F1">
        <w:rPr>
          <w:rFonts w:ascii="Arial" w:hAnsi="Arial" w:cs="Arial"/>
          <w:bCs/>
          <w:szCs w:val="24"/>
        </w:rPr>
        <w:t>,</w:t>
      </w:r>
      <w:r w:rsidR="00E93384" w:rsidRPr="007312F1">
        <w:rPr>
          <w:rFonts w:ascii="Arial" w:hAnsi="Arial" w:cs="Arial"/>
          <w:bCs/>
          <w:szCs w:val="24"/>
        </w:rPr>
        <w:t xml:space="preserve"> this Court delivered a judgment (revised on 23 June 2023) and made the following order, namely:-</w:t>
      </w:r>
    </w:p>
    <w:p w14:paraId="58A7B799" w14:textId="77777777" w:rsidR="00E93384" w:rsidRPr="00721432" w:rsidRDefault="00E93384" w:rsidP="00367EEC">
      <w:pPr>
        <w:spacing w:after="0" w:line="480" w:lineRule="auto"/>
        <w:rPr>
          <w:rFonts w:ascii="Arial" w:eastAsiaTheme="minorHAnsi" w:hAnsi="Arial" w:cs="Arial"/>
          <w:i/>
          <w:iCs/>
          <w:color w:val="auto"/>
          <w:szCs w:val="24"/>
          <w:lang w:eastAsia="en-US"/>
        </w:rPr>
      </w:pPr>
    </w:p>
    <w:p w14:paraId="353B5920" w14:textId="566DB96A" w:rsidR="00E93384" w:rsidRPr="007312F1" w:rsidRDefault="007312F1" w:rsidP="007312F1">
      <w:pPr>
        <w:spacing w:after="0" w:line="480" w:lineRule="auto"/>
        <w:ind w:left="2160" w:hanging="720"/>
        <w:rPr>
          <w:rFonts w:ascii="Arial" w:hAnsi="Arial" w:cs="Arial"/>
          <w:bCs/>
          <w:i/>
          <w:iCs/>
          <w:szCs w:val="24"/>
          <w:lang w:val="en-GB"/>
        </w:rPr>
      </w:pPr>
      <w:r w:rsidRPr="00721432">
        <w:rPr>
          <w:rFonts w:ascii="Arial" w:hAnsi="Arial" w:cs="Arial"/>
          <w:bCs/>
          <w:i/>
          <w:iCs/>
          <w:szCs w:val="24"/>
          <w:lang w:val="en-GB"/>
        </w:rPr>
        <w:t>[1]</w:t>
      </w:r>
      <w:r w:rsidRPr="00721432">
        <w:rPr>
          <w:rFonts w:ascii="Arial" w:hAnsi="Arial" w:cs="Arial"/>
          <w:bCs/>
          <w:i/>
          <w:iCs/>
          <w:szCs w:val="24"/>
          <w:lang w:val="en-GB"/>
        </w:rPr>
        <w:tab/>
      </w:r>
      <w:r w:rsidR="00E93384" w:rsidRPr="007312F1">
        <w:rPr>
          <w:rFonts w:ascii="Arial" w:hAnsi="Arial" w:cs="Arial"/>
          <w:bCs/>
          <w:i/>
          <w:iCs/>
          <w:szCs w:val="24"/>
          <w:lang w:val="en-GB"/>
        </w:rPr>
        <w:t>That pending final determination of Part B attached to this application, any person or entity acting in concert with the Respondents, are hereby interdicted from removing and/or deleting the account of the Applicants’ Youtube channel;</w:t>
      </w:r>
    </w:p>
    <w:p w14:paraId="40D6F3B9" w14:textId="77777777" w:rsidR="00E93384" w:rsidRPr="00721432" w:rsidRDefault="00E93384" w:rsidP="00367EEC">
      <w:pPr>
        <w:pStyle w:val="ListParagraph"/>
        <w:spacing w:after="0" w:line="480" w:lineRule="auto"/>
        <w:ind w:left="2160"/>
        <w:rPr>
          <w:rFonts w:ascii="Arial" w:hAnsi="Arial" w:cs="Arial"/>
          <w:bCs/>
          <w:i/>
          <w:iCs/>
          <w:szCs w:val="24"/>
          <w:lang w:val="en-GB"/>
        </w:rPr>
      </w:pPr>
    </w:p>
    <w:p w14:paraId="1150C48B" w14:textId="75842B61" w:rsidR="00E93384" w:rsidRPr="007312F1" w:rsidRDefault="007312F1" w:rsidP="007312F1">
      <w:pPr>
        <w:spacing w:after="0" w:line="480" w:lineRule="auto"/>
        <w:ind w:left="2160" w:hanging="720"/>
        <w:rPr>
          <w:rFonts w:ascii="Arial" w:hAnsi="Arial" w:cs="Arial"/>
          <w:bCs/>
          <w:i/>
          <w:iCs/>
          <w:szCs w:val="24"/>
          <w:lang w:val="en-GB"/>
        </w:rPr>
      </w:pPr>
      <w:r w:rsidRPr="00721432">
        <w:rPr>
          <w:rFonts w:ascii="Arial" w:hAnsi="Arial" w:cs="Arial"/>
          <w:bCs/>
          <w:i/>
          <w:iCs/>
          <w:szCs w:val="24"/>
          <w:lang w:val="en-GB"/>
        </w:rPr>
        <w:t>[2]</w:t>
      </w:r>
      <w:r w:rsidRPr="00721432">
        <w:rPr>
          <w:rFonts w:ascii="Arial" w:hAnsi="Arial" w:cs="Arial"/>
          <w:bCs/>
          <w:i/>
          <w:iCs/>
          <w:szCs w:val="24"/>
          <w:lang w:val="en-GB"/>
        </w:rPr>
        <w:tab/>
      </w:r>
      <w:r w:rsidR="00E93384" w:rsidRPr="007312F1">
        <w:rPr>
          <w:rFonts w:ascii="Arial" w:hAnsi="Arial" w:cs="Arial"/>
          <w:bCs/>
          <w:i/>
          <w:iCs/>
          <w:szCs w:val="24"/>
          <w:lang w:val="en-GB"/>
        </w:rPr>
        <w:t>That it be ordered that the Second Respondent be interdicted from raising any copyright/ownership dispute against the works of the Applicants with any other Digital Streaming Platform (“</w:t>
      </w:r>
      <w:r w:rsidR="00E93384" w:rsidRPr="007312F1">
        <w:rPr>
          <w:rFonts w:ascii="Arial" w:hAnsi="Arial" w:cs="Arial"/>
          <w:b/>
          <w:i/>
          <w:iCs/>
          <w:szCs w:val="24"/>
          <w:lang w:val="en-GB"/>
        </w:rPr>
        <w:t>DSP</w:t>
      </w:r>
      <w:r w:rsidR="00E93384" w:rsidRPr="007312F1">
        <w:rPr>
          <w:rFonts w:ascii="Arial" w:hAnsi="Arial" w:cs="Arial"/>
          <w:bCs/>
          <w:i/>
          <w:iCs/>
          <w:szCs w:val="24"/>
          <w:lang w:val="en-GB"/>
        </w:rPr>
        <w:t>”) inclusive of the First Respondent, Spotify, iTunes, Deezer, authored by the Applicants from 15 June 2022, pending final determination of Part B.</w:t>
      </w:r>
    </w:p>
    <w:p w14:paraId="6290D525" w14:textId="77777777" w:rsidR="00E93384" w:rsidRPr="00721432" w:rsidRDefault="00E93384" w:rsidP="00367EEC">
      <w:pPr>
        <w:pStyle w:val="ListParagraph"/>
        <w:spacing w:after="0" w:line="480" w:lineRule="auto"/>
        <w:rPr>
          <w:rFonts w:ascii="Arial" w:hAnsi="Arial" w:cs="Arial"/>
          <w:bCs/>
          <w:i/>
          <w:iCs/>
          <w:szCs w:val="24"/>
          <w:lang w:val="en-GB"/>
        </w:rPr>
      </w:pPr>
    </w:p>
    <w:p w14:paraId="694DE5AC" w14:textId="30B4F599" w:rsidR="00E93384" w:rsidRPr="007312F1" w:rsidRDefault="007312F1" w:rsidP="007312F1">
      <w:pPr>
        <w:spacing w:after="0" w:line="480" w:lineRule="auto"/>
        <w:ind w:left="2160" w:hanging="720"/>
        <w:rPr>
          <w:rFonts w:ascii="Arial" w:hAnsi="Arial" w:cs="Arial"/>
          <w:bCs/>
          <w:i/>
          <w:iCs/>
          <w:szCs w:val="24"/>
          <w:lang w:val="en-GB"/>
        </w:rPr>
      </w:pPr>
      <w:r w:rsidRPr="00721432">
        <w:rPr>
          <w:rFonts w:ascii="Arial" w:hAnsi="Arial" w:cs="Arial"/>
          <w:bCs/>
          <w:i/>
          <w:iCs/>
          <w:szCs w:val="24"/>
          <w:lang w:val="en-GB"/>
        </w:rPr>
        <w:t>[3]</w:t>
      </w:r>
      <w:r w:rsidRPr="00721432">
        <w:rPr>
          <w:rFonts w:ascii="Arial" w:hAnsi="Arial" w:cs="Arial"/>
          <w:bCs/>
          <w:i/>
          <w:iCs/>
          <w:szCs w:val="24"/>
          <w:lang w:val="en-GB"/>
        </w:rPr>
        <w:tab/>
      </w:r>
      <w:r w:rsidR="00E93384" w:rsidRPr="007312F1">
        <w:rPr>
          <w:rFonts w:ascii="Arial" w:hAnsi="Arial" w:cs="Arial"/>
          <w:bCs/>
          <w:i/>
          <w:iCs/>
          <w:szCs w:val="24"/>
          <w:lang w:val="en-GB"/>
        </w:rPr>
        <w:t xml:space="preserve">The Second Respondent is ordered to pay the costs of this application including the costs of two Counsel, one of which is Senior Counsel.  </w:t>
      </w:r>
    </w:p>
    <w:p w14:paraId="52C4A41D" w14:textId="6C70F3A3" w:rsidR="00CB26EC" w:rsidRDefault="00CB26EC" w:rsidP="00367EEC">
      <w:pPr>
        <w:spacing w:after="0" w:line="480" w:lineRule="auto"/>
        <w:rPr>
          <w:rFonts w:ascii="Arial" w:hAnsi="Arial" w:cs="Arial"/>
          <w:bCs/>
          <w:szCs w:val="24"/>
        </w:rPr>
      </w:pPr>
    </w:p>
    <w:p w14:paraId="3D0348DE" w14:textId="77777777" w:rsidR="004035CA" w:rsidRDefault="004035CA" w:rsidP="00367EEC">
      <w:pPr>
        <w:spacing w:after="0" w:line="480" w:lineRule="auto"/>
        <w:rPr>
          <w:rFonts w:ascii="Arial" w:hAnsi="Arial" w:cs="Arial"/>
          <w:bCs/>
          <w:szCs w:val="24"/>
        </w:rPr>
      </w:pPr>
    </w:p>
    <w:p w14:paraId="2158E735" w14:textId="2CB31514" w:rsidR="0027583F" w:rsidRDefault="00F37482" w:rsidP="00AA0CB8">
      <w:pPr>
        <w:spacing w:after="0" w:line="480" w:lineRule="auto"/>
        <w:ind w:left="709" w:hanging="709"/>
        <w:rPr>
          <w:rFonts w:ascii="Arial" w:eastAsia="Times New Roman" w:hAnsi="Arial" w:cs="Arial"/>
          <w:szCs w:val="24"/>
        </w:rPr>
      </w:pPr>
      <w:r>
        <w:rPr>
          <w:rFonts w:ascii="Arial" w:hAnsi="Arial" w:cs="Arial"/>
          <w:bCs/>
          <w:szCs w:val="24"/>
        </w:rPr>
        <w:t xml:space="preserve">[2] </w:t>
      </w:r>
      <w:r w:rsidR="00966D1A">
        <w:rPr>
          <w:rFonts w:ascii="Arial" w:hAnsi="Arial" w:cs="Arial"/>
          <w:bCs/>
          <w:szCs w:val="24"/>
        </w:rPr>
        <w:t xml:space="preserve"> </w:t>
      </w:r>
      <w:r w:rsidR="00AA0CB8">
        <w:rPr>
          <w:rFonts w:ascii="Arial" w:hAnsi="Arial" w:cs="Arial"/>
          <w:bCs/>
          <w:szCs w:val="24"/>
        </w:rPr>
        <w:t xml:space="preserve">   </w:t>
      </w:r>
      <w:r w:rsidR="00E93384" w:rsidRPr="00966D1A">
        <w:rPr>
          <w:rFonts w:ascii="Arial" w:hAnsi="Arial" w:cs="Arial"/>
          <w:bCs/>
          <w:szCs w:val="24"/>
        </w:rPr>
        <w:t xml:space="preserve">The Respondents referred to in the said order were YOUTUBE CHANNEL </w:t>
      </w:r>
      <w:r w:rsidR="00E93384" w:rsidRPr="00966D1A">
        <w:rPr>
          <w:rFonts w:ascii="Arial" w:hAnsi="Arial" w:cs="Arial"/>
          <w:bCs/>
          <w:i/>
          <w:iCs/>
          <w:szCs w:val="24"/>
        </w:rPr>
        <w:t>(“the First Respondent”)</w:t>
      </w:r>
      <w:r w:rsidR="00E93384" w:rsidRPr="00966D1A">
        <w:rPr>
          <w:rFonts w:ascii="Arial" w:hAnsi="Arial" w:cs="Arial"/>
          <w:bCs/>
          <w:szCs w:val="24"/>
        </w:rPr>
        <w:t xml:space="preserve"> and AMBITIOUS GROUP (PTY) LIMITED </w:t>
      </w:r>
      <w:r w:rsidR="00E93384" w:rsidRPr="00966D1A">
        <w:rPr>
          <w:rFonts w:ascii="Arial" w:hAnsi="Arial" w:cs="Arial"/>
          <w:bCs/>
          <w:i/>
          <w:iCs/>
          <w:szCs w:val="24"/>
        </w:rPr>
        <w:t xml:space="preserve">(“the Second Respondent”). </w:t>
      </w:r>
      <w:r w:rsidR="00E93384" w:rsidRPr="00966D1A">
        <w:rPr>
          <w:rFonts w:ascii="Arial" w:eastAsiaTheme="minorHAnsi" w:hAnsi="Arial" w:cs="Arial"/>
          <w:color w:val="auto"/>
          <w:szCs w:val="24"/>
          <w:lang w:eastAsia="en-US"/>
        </w:rPr>
        <w:t>On the 27</w:t>
      </w:r>
      <w:r w:rsidR="00E93384" w:rsidRPr="00966D1A">
        <w:rPr>
          <w:rFonts w:ascii="Arial" w:eastAsiaTheme="minorHAnsi" w:hAnsi="Arial" w:cs="Arial"/>
          <w:color w:val="auto"/>
          <w:szCs w:val="24"/>
          <w:vertAlign w:val="superscript"/>
          <w:lang w:eastAsia="en-US"/>
        </w:rPr>
        <w:t>th</w:t>
      </w:r>
      <w:r w:rsidR="00E93384" w:rsidRPr="00966D1A">
        <w:rPr>
          <w:rFonts w:ascii="Arial" w:eastAsiaTheme="minorHAnsi" w:hAnsi="Arial" w:cs="Arial"/>
          <w:color w:val="auto"/>
          <w:szCs w:val="24"/>
          <w:lang w:eastAsia="en-US"/>
        </w:rPr>
        <w:t xml:space="preserve"> of June 2023 the Second Respondent </w:t>
      </w:r>
      <w:r w:rsidR="00E93384" w:rsidRPr="00966D1A">
        <w:rPr>
          <w:rFonts w:ascii="Arial" w:eastAsiaTheme="minorHAnsi" w:hAnsi="Arial" w:cs="Arial"/>
          <w:i/>
          <w:iCs/>
          <w:color w:val="auto"/>
          <w:szCs w:val="24"/>
          <w:lang w:eastAsia="en-US"/>
        </w:rPr>
        <w:t xml:space="preserve">(hereafter referred to as “the </w:t>
      </w:r>
      <w:r w:rsidR="00E93384" w:rsidRPr="00966D1A">
        <w:rPr>
          <w:rFonts w:ascii="Arial" w:eastAsiaTheme="minorHAnsi" w:hAnsi="Arial" w:cs="Arial"/>
          <w:i/>
          <w:iCs/>
          <w:color w:val="auto"/>
          <w:szCs w:val="24"/>
          <w:lang w:eastAsia="en-US"/>
        </w:rPr>
        <w:lastRenderedPageBreak/>
        <w:t>Applicant”)</w:t>
      </w:r>
      <w:r w:rsidR="00E93384" w:rsidRPr="00966D1A">
        <w:rPr>
          <w:rFonts w:ascii="Arial" w:eastAsiaTheme="minorHAnsi" w:hAnsi="Arial" w:cs="Arial"/>
          <w:color w:val="auto"/>
          <w:szCs w:val="24"/>
          <w:lang w:eastAsia="en-US"/>
        </w:rPr>
        <w:t xml:space="preserve"> lodged an application for leave to appeal against the judgment and order of this Court</w:t>
      </w:r>
      <w:r w:rsidR="0009178A" w:rsidRPr="00966D1A">
        <w:rPr>
          <w:rFonts w:ascii="Arial" w:eastAsiaTheme="minorHAnsi" w:hAnsi="Arial" w:cs="Arial"/>
          <w:color w:val="auto"/>
          <w:szCs w:val="24"/>
          <w:lang w:eastAsia="en-US"/>
        </w:rPr>
        <w:t xml:space="preserve"> in the main application.</w:t>
      </w:r>
      <w:r w:rsidR="00E93384" w:rsidRPr="00966D1A">
        <w:rPr>
          <w:rFonts w:ascii="Arial" w:eastAsiaTheme="minorHAnsi" w:hAnsi="Arial" w:cs="Arial"/>
          <w:color w:val="auto"/>
          <w:szCs w:val="24"/>
          <w:lang w:eastAsia="en-US"/>
        </w:rPr>
        <w:t xml:space="preserve"> That application was heard on the 28</w:t>
      </w:r>
      <w:r w:rsidR="00E93384" w:rsidRPr="00966D1A">
        <w:rPr>
          <w:rFonts w:ascii="Arial" w:eastAsiaTheme="minorHAnsi" w:hAnsi="Arial" w:cs="Arial"/>
          <w:color w:val="auto"/>
          <w:szCs w:val="24"/>
          <w:vertAlign w:val="superscript"/>
          <w:lang w:eastAsia="en-US"/>
        </w:rPr>
        <w:t>th</w:t>
      </w:r>
      <w:r w:rsidR="00E93384" w:rsidRPr="00966D1A">
        <w:rPr>
          <w:rFonts w:ascii="Arial" w:eastAsiaTheme="minorHAnsi" w:hAnsi="Arial" w:cs="Arial"/>
          <w:color w:val="auto"/>
          <w:szCs w:val="24"/>
          <w:lang w:eastAsia="en-US"/>
        </w:rPr>
        <w:t xml:space="preserve"> of August 2023 and is the subject matter of this judgment. Pursuant to the order granted by this Court and </w:t>
      </w:r>
      <w:r w:rsidR="00E93384" w:rsidRPr="00966D1A">
        <w:rPr>
          <w:rFonts w:ascii="Arial" w:eastAsiaTheme="minorHAnsi" w:hAnsi="Arial" w:cs="Arial"/>
          <w:i/>
          <w:iCs/>
          <w:color w:val="auto"/>
          <w:szCs w:val="24"/>
          <w:lang w:eastAsia="en-US"/>
        </w:rPr>
        <w:t>prior</w:t>
      </w:r>
      <w:r w:rsidR="00E93384" w:rsidRPr="00966D1A">
        <w:rPr>
          <w:rFonts w:ascii="Arial" w:eastAsiaTheme="minorHAnsi" w:hAnsi="Arial" w:cs="Arial"/>
          <w:color w:val="auto"/>
          <w:szCs w:val="24"/>
          <w:lang w:eastAsia="en-US"/>
        </w:rPr>
        <w:t xml:space="preserve"> to the application for leave to appeal being heard</w:t>
      </w:r>
      <w:r w:rsidR="003F0B58" w:rsidRPr="00966D1A">
        <w:rPr>
          <w:rFonts w:ascii="Arial" w:eastAsiaTheme="minorHAnsi" w:hAnsi="Arial" w:cs="Arial"/>
          <w:color w:val="auto"/>
          <w:szCs w:val="24"/>
          <w:lang w:eastAsia="en-US"/>
        </w:rPr>
        <w:t>,</w:t>
      </w:r>
      <w:r w:rsidR="00E93384" w:rsidRPr="00966D1A">
        <w:rPr>
          <w:rFonts w:ascii="Arial" w:eastAsiaTheme="minorHAnsi" w:hAnsi="Arial" w:cs="Arial"/>
          <w:color w:val="auto"/>
          <w:szCs w:val="24"/>
          <w:lang w:eastAsia="en-US"/>
        </w:rPr>
        <w:t xml:space="preserve"> </w:t>
      </w:r>
      <w:r w:rsidR="003F0B58" w:rsidRPr="00966D1A">
        <w:rPr>
          <w:rFonts w:ascii="Arial" w:eastAsia="Times New Roman" w:hAnsi="Arial" w:cs="Arial"/>
          <w:bCs/>
          <w:szCs w:val="24"/>
        </w:rPr>
        <w:t>NDUMISO SIYABULELA MDLETSHE and</w:t>
      </w:r>
      <w:r w:rsidR="003F0B58" w:rsidRPr="00966D1A">
        <w:rPr>
          <w:rFonts w:ascii="Arial" w:eastAsia="Times New Roman" w:hAnsi="Arial" w:cs="Arial"/>
          <w:szCs w:val="24"/>
        </w:rPr>
        <w:t xml:space="preserve"> SIPHELELE MBONGI DUNYWA instituted an application</w:t>
      </w:r>
      <w:r w:rsidR="00980695" w:rsidRPr="00966D1A">
        <w:rPr>
          <w:rFonts w:ascii="Arial" w:eastAsia="Times New Roman" w:hAnsi="Arial" w:cs="Arial"/>
          <w:szCs w:val="24"/>
        </w:rPr>
        <w:t xml:space="preserve"> </w:t>
      </w:r>
      <w:r w:rsidR="00980695" w:rsidRPr="00966D1A">
        <w:rPr>
          <w:rFonts w:ascii="Arial" w:eastAsia="Times New Roman" w:hAnsi="Arial" w:cs="Arial"/>
          <w:i/>
          <w:iCs/>
          <w:szCs w:val="24"/>
        </w:rPr>
        <w:t>(“the section 18 application”)</w:t>
      </w:r>
      <w:r w:rsidR="003F0B58" w:rsidRPr="00966D1A">
        <w:rPr>
          <w:rFonts w:ascii="Arial" w:eastAsia="Times New Roman" w:hAnsi="Arial" w:cs="Arial"/>
          <w:szCs w:val="24"/>
        </w:rPr>
        <w:t xml:space="preserve"> in terms of subsections 18(1) and 18(3) of the Superior Courts Act 10 of 2013 </w:t>
      </w:r>
      <w:r w:rsidR="003F0B58" w:rsidRPr="00966D1A">
        <w:rPr>
          <w:rFonts w:ascii="Arial" w:eastAsia="Times New Roman" w:hAnsi="Arial" w:cs="Arial"/>
          <w:i/>
          <w:iCs/>
          <w:szCs w:val="24"/>
        </w:rPr>
        <w:t>(“the Act”)</w:t>
      </w:r>
      <w:r w:rsidR="00980695" w:rsidRPr="00966D1A">
        <w:rPr>
          <w:rFonts w:ascii="Arial" w:eastAsia="Times New Roman" w:hAnsi="Arial" w:cs="Arial"/>
          <w:i/>
          <w:iCs/>
          <w:szCs w:val="24"/>
        </w:rPr>
        <w:t>.</w:t>
      </w:r>
      <w:r w:rsidR="003F0B58" w:rsidRPr="00966D1A">
        <w:rPr>
          <w:rFonts w:ascii="Arial" w:eastAsia="Times New Roman" w:hAnsi="Arial" w:cs="Arial"/>
          <w:szCs w:val="24"/>
        </w:rPr>
        <w:t xml:space="preserve"> </w:t>
      </w:r>
      <w:r w:rsidR="00980695" w:rsidRPr="00966D1A">
        <w:rPr>
          <w:rFonts w:ascii="Arial" w:eastAsia="Times New Roman" w:hAnsi="Arial" w:cs="Arial"/>
          <w:szCs w:val="24"/>
        </w:rPr>
        <w:t>I</w:t>
      </w:r>
      <w:r w:rsidR="003F0B58" w:rsidRPr="00966D1A">
        <w:rPr>
          <w:rFonts w:ascii="Arial" w:eastAsia="Times New Roman" w:hAnsi="Arial" w:cs="Arial"/>
          <w:szCs w:val="24"/>
        </w:rPr>
        <w:t xml:space="preserve">n </w:t>
      </w:r>
      <w:r w:rsidR="00980695" w:rsidRPr="00966D1A">
        <w:rPr>
          <w:rFonts w:ascii="Arial" w:eastAsia="Times New Roman" w:hAnsi="Arial" w:cs="Arial"/>
          <w:szCs w:val="24"/>
        </w:rPr>
        <w:t>the section 18 application the relief sought was as follows:</w:t>
      </w:r>
      <w:r w:rsidR="003F0B58" w:rsidRPr="00966D1A">
        <w:rPr>
          <w:rFonts w:ascii="Arial" w:eastAsia="Times New Roman" w:hAnsi="Arial" w:cs="Arial"/>
          <w:szCs w:val="24"/>
        </w:rPr>
        <w:t xml:space="preserve"> </w:t>
      </w:r>
    </w:p>
    <w:p w14:paraId="1FDBDA95" w14:textId="77777777" w:rsidR="007427C4" w:rsidRDefault="007427C4" w:rsidP="00367EEC">
      <w:pPr>
        <w:spacing w:after="0" w:line="480" w:lineRule="auto"/>
        <w:ind w:left="0"/>
        <w:rPr>
          <w:rFonts w:ascii="Arial" w:eastAsia="Times New Roman" w:hAnsi="Arial" w:cs="Arial"/>
          <w:szCs w:val="24"/>
        </w:rPr>
      </w:pPr>
    </w:p>
    <w:p w14:paraId="5F9A0B3E" w14:textId="77777777" w:rsidR="003F0B58" w:rsidRDefault="003F0B58" w:rsidP="00367EEC">
      <w:pPr>
        <w:spacing w:after="0" w:line="480" w:lineRule="auto"/>
        <w:ind w:left="0"/>
        <w:rPr>
          <w:rFonts w:ascii="Arial" w:eastAsia="Times New Roman" w:hAnsi="Arial" w:cs="Arial"/>
          <w:szCs w:val="24"/>
        </w:rPr>
      </w:pPr>
    </w:p>
    <w:p w14:paraId="3C4FEECE" w14:textId="63A6A939" w:rsidR="0027583F" w:rsidRPr="007312F1" w:rsidRDefault="007312F1" w:rsidP="007312F1">
      <w:pPr>
        <w:spacing w:after="0" w:line="480" w:lineRule="auto"/>
        <w:ind w:left="2160" w:hanging="900"/>
        <w:rPr>
          <w:rFonts w:ascii="Arial" w:eastAsiaTheme="minorHAnsi" w:hAnsi="Arial" w:cs="Arial"/>
          <w:i/>
          <w:iCs/>
          <w:color w:val="auto"/>
          <w:szCs w:val="24"/>
          <w:lang w:eastAsia="en-US"/>
        </w:rPr>
      </w:pPr>
      <w:r w:rsidRPr="00721432">
        <w:rPr>
          <w:rFonts w:ascii="Arial" w:eastAsiaTheme="minorHAnsi" w:hAnsi="Arial" w:cs="Arial"/>
          <w:i/>
          <w:iCs/>
          <w:color w:val="auto"/>
          <w:szCs w:val="24"/>
          <w:lang w:eastAsia="en-US"/>
        </w:rPr>
        <w:t>1.</w:t>
      </w:r>
      <w:r w:rsidRPr="00721432">
        <w:rPr>
          <w:rFonts w:ascii="Arial" w:eastAsiaTheme="minorHAnsi" w:hAnsi="Arial" w:cs="Arial"/>
          <w:i/>
          <w:iCs/>
          <w:color w:val="auto"/>
          <w:szCs w:val="24"/>
          <w:lang w:eastAsia="en-US"/>
        </w:rPr>
        <w:tab/>
      </w:r>
      <w:r w:rsidR="0027583F" w:rsidRPr="007312F1">
        <w:rPr>
          <w:rFonts w:ascii="Arial" w:eastAsiaTheme="minorHAnsi" w:hAnsi="Arial" w:cs="Arial"/>
          <w:i/>
          <w:iCs/>
          <w:color w:val="auto"/>
          <w:szCs w:val="24"/>
          <w:lang w:eastAsia="en-US"/>
        </w:rPr>
        <w:t>Dispensing with the forms and service provided in the Uniform Rules of Court and condoning non-compliance with the Rules relating to service and time periods in terms of Rule 6(12);</w:t>
      </w:r>
    </w:p>
    <w:p w14:paraId="61892A1A" w14:textId="77777777" w:rsidR="0027583F" w:rsidRPr="00721432" w:rsidRDefault="0027583F" w:rsidP="00367EEC">
      <w:pPr>
        <w:pStyle w:val="ListParagraph"/>
        <w:spacing w:after="0" w:line="480" w:lineRule="auto"/>
        <w:ind w:left="2160"/>
        <w:rPr>
          <w:rFonts w:ascii="Arial" w:eastAsiaTheme="minorHAnsi" w:hAnsi="Arial" w:cs="Arial"/>
          <w:i/>
          <w:iCs/>
          <w:color w:val="auto"/>
          <w:szCs w:val="24"/>
          <w:lang w:eastAsia="en-US"/>
        </w:rPr>
      </w:pPr>
    </w:p>
    <w:p w14:paraId="66211C68" w14:textId="0F492C02" w:rsidR="0027583F" w:rsidRPr="007312F1" w:rsidRDefault="007312F1" w:rsidP="007312F1">
      <w:pPr>
        <w:spacing w:after="0" w:line="480" w:lineRule="auto"/>
        <w:ind w:left="2160" w:hanging="900"/>
        <w:rPr>
          <w:rFonts w:ascii="Arial" w:eastAsiaTheme="minorHAnsi" w:hAnsi="Arial" w:cs="Arial"/>
          <w:i/>
          <w:iCs/>
          <w:color w:val="auto"/>
          <w:szCs w:val="24"/>
          <w:lang w:eastAsia="en-US"/>
        </w:rPr>
      </w:pPr>
      <w:r w:rsidRPr="00721432">
        <w:rPr>
          <w:rFonts w:ascii="Arial" w:eastAsiaTheme="minorHAnsi" w:hAnsi="Arial" w:cs="Arial"/>
          <w:i/>
          <w:iCs/>
          <w:color w:val="auto"/>
          <w:szCs w:val="24"/>
          <w:lang w:eastAsia="en-US"/>
        </w:rPr>
        <w:t>2.</w:t>
      </w:r>
      <w:r w:rsidRPr="00721432">
        <w:rPr>
          <w:rFonts w:ascii="Arial" w:eastAsiaTheme="minorHAnsi" w:hAnsi="Arial" w:cs="Arial"/>
          <w:i/>
          <w:iCs/>
          <w:color w:val="auto"/>
          <w:szCs w:val="24"/>
          <w:lang w:eastAsia="en-US"/>
        </w:rPr>
        <w:tab/>
      </w:r>
      <w:r w:rsidR="0027583F" w:rsidRPr="007312F1">
        <w:rPr>
          <w:rFonts w:ascii="Arial" w:eastAsiaTheme="minorHAnsi" w:hAnsi="Arial" w:cs="Arial"/>
          <w:i/>
          <w:iCs/>
          <w:color w:val="auto"/>
          <w:szCs w:val="24"/>
          <w:lang w:eastAsia="en-US"/>
        </w:rPr>
        <w:t>In terms of section 18(1), read with section 18(3), of the Superior Courts Act, Act10 of 2013, it is ordered that the operation and execution of the Judgment and Order of this Court (per Wanless AJ), under case number: 2022/035571, dated 12th June 2023, revised on 23rd June 2023, shall not be suspended pending a decision on the second respondent's application for leave to appeal and, in the event of leave to appeal being granted, the outcome of such appeal.</w:t>
      </w:r>
    </w:p>
    <w:p w14:paraId="1F4BB061" w14:textId="77777777" w:rsidR="0027583F" w:rsidRPr="00721432" w:rsidRDefault="0027583F" w:rsidP="00367EEC">
      <w:pPr>
        <w:pStyle w:val="ListParagraph"/>
        <w:spacing w:after="0" w:line="480" w:lineRule="auto"/>
        <w:rPr>
          <w:rFonts w:ascii="Arial" w:eastAsiaTheme="minorHAnsi" w:hAnsi="Arial" w:cs="Arial"/>
          <w:i/>
          <w:iCs/>
          <w:color w:val="auto"/>
          <w:szCs w:val="24"/>
          <w:lang w:eastAsia="en-US"/>
        </w:rPr>
      </w:pPr>
    </w:p>
    <w:p w14:paraId="35BA309C" w14:textId="60044F4E" w:rsidR="0027583F" w:rsidRPr="007312F1" w:rsidRDefault="007312F1" w:rsidP="007312F1">
      <w:pPr>
        <w:spacing w:after="0" w:line="480" w:lineRule="auto"/>
        <w:ind w:left="2160" w:hanging="900"/>
        <w:rPr>
          <w:rFonts w:ascii="Arial" w:eastAsiaTheme="minorHAnsi" w:hAnsi="Arial" w:cs="Arial"/>
          <w:i/>
          <w:iCs/>
          <w:color w:val="auto"/>
          <w:szCs w:val="24"/>
          <w:lang w:eastAsia="en-US"/>
        </w:rPr>
      </w:pPr>
      <w:r w:rsidRPr="00721432">
        <w:rPr>
          <w:rFonts w:ascii="Arial" w:eastAsiaTheme="minorHAnsi" w:hAnsi="Arial" w:cs="Arial"/>
          <w:i/>
          <w:iCs/>
          <w:color w:val="auto"/>
          <w:szCs w:val="24"/>
          <w:lang w:eastAsia="en-US"/>
        </w:rPr>
        <w:t>3.</w:t>
      </w:r>
      <w:r w:rsidRPr="00721432">
        <w:rPr>
          <w:rFonts w:ascii="Arial" w:eastAsiaTheme="minorHAnsi" w:hAnsi="Arial" w:cs="Arial"/>
          <w:i/>
          <w:iCs/>
          <w:color w:val="auto"/>
          <w:szCs w:val="24"/>
          <w:lang w:eastAsia="en-US"/>
        </w:rPr>
        <w:tab/>
      </w:r>
      <w:r w:rsidR="0027583F" w:rsidRPr="007312F1">
        <w:rPr>
          <w:rFonts w:ascii="Arial" w:eastAsiaTheme="minorHAnsi" w:hAnsi="Arial" w:cs="Arial"/>
          <w:i/>
          <w:iCs/>
          <w:color w:val="auto"/>
          <w:szCs w:val="24"/>
          <w:lang w:eastAsia="en-US"/>
        </w:rPr>
        <w:t>That the Respondents opposing this application be ordered to pay the costs thereof, on an attorney and client scale, including the cost of senior counsel.</w:t>
      </w:r>
    </w:p>
    <w:p w14:paraId="42E7B36D" w14:textId="77777777" w:rsidR="0027583F" w:rsidRPr="00721432" w:rsidRDefault="0027583F" w:rsidP="00367EEC">
      <w:pPr>
        <w:pStyle w:val="ListParagraph"/>
        <w:spacing w:after="0" w:line="480" w:lineRule="auto"/>
        <w:rPr>
          <w:rFonts w:ascii="Arial" w:eastAsiaTheme="minorHAnsi" w:hAnsi="Arial" w:cs="Arial"/>
          <w:i/>
          <w:iCs/>
          <w:color w:val="auto"/>
          <w:szCs w:val="24"/>
          <w:lang w:eastAsia="en-US"/>
        </w:rPr>
      </w:pPr>
    </w:p>
    <w:p w14:paraId="4DDB45DF" w14:textId="0F70B2DF" w:rsidR="0027583F" w:rsidRPr="007312F1" w:rsidRDefault="007312F1" w:rsidP="007312F1">
      <w:pPr>
        <w:spacing w:after="0" w:line="480" w:lineRule="auto"/>
        <w:ind w:left="2160" w:hanging="900"/>
        <w:rPr>
          <w:rFonts w:ascii="Arial" w:eastAsiaTheme="minorHAnsi" w:hAnsi="Arial" w:cs="Arial"/>
          <w:i/>
          <w:iCs/>
          <w:color w:val="auto"/>
          <w:szCs w:val="24"/>
          <w:lang w:eastAsia="en-US"/>
        </w:rPr>
      </w:pPr>
      <w:r w:rsidRPr="00721432">
        <w:rPr>
          <w:rFonts w:ascii="Arial" w:eastAsiaTheme="minorHAnsi" w:hAnsi="Arial" w:cs="Arial"/>
          <w:i/>
          <w:iCs/>
          <w:color w:val="auto"/>
          <w:szCs w:val="24"/>
          <w:lang w:eastAsia="en-US"/>
        </w:rPr>
        <w:t>4.</w:t>
      </w:r>
      <w:r w:rsidRPr="00721432">
        <w:rPr>
          <w:rFonts w:ascii="Arial" w:eastAsiaTheme="minorHAnsi" w:hAnsi="Arial" w:cs="Arial"/>
          <w:i/>
          <w:iCs/>
          <w:color w:val="auto"/>
          <w:szCs w:val="24"/>
          <w:lang w:eastAsia="en-US"/>
        </w:rPr>
        <w:tab/>
      </w:r>
      <w:r w:rsidR="0027583F" w:rsidRPr="007312F1">
        <w:rPr>
          <w:rFonts w:ascii="Arial" w:eastAsiaTheme="minorHAnsi" w:hAnsi="Arial" w:cs="Arial"/>
          <w:i/>
          <w:iCs/>
          <w:color w:val="auto"/>
          <w:szCs w:val="24"/>
          <w:lang w:eastAsia="en-US"/>
        </w:rPr>
        <w:t>Further and alternative relief.</w:t>
      </w:r>
    </w:p>
    <w:p w14:paraId="38296B15" w14:textId="70D612BF" w:rsidR="00E93384" w:rsidRPr="00721432" w:rsidRDefault="003F0B58" w:rsidP="00367EEC">
      <w:pPr>
        <w:spacing w:after="0" w:line="480" w:lineRule="auto"/>
        <w:ind w:left="0"/>
        <w:rPr>
          <w:rFonts w:ascii="Arial" w:eastAsiaTheme="minorHAnsi" w:hAnsi="Arial" w:cs="Arial"/>
          <w:color w:val="auto"/>
          <w:szCs w:val="24"/>
          <w:lang w:eastAsia="en-US"/>
        </w:rPr>
      </w:pPr>
      <w:r w:rsidRPr="003F0B58">
        <w:rPr>
          <w:rFonts w:ascii="Arial" w:eastAsia="Times New Roman" w:hAnsi="Arial" w:cs="Arial"/>
          <w:i/>
          <w:iCs/>
          <w:szCs w:val="24"/>
        </w:rPr>
        <w:t xml:space="preserve">                                                               </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           </w:t>
      </w:r>
    </w:p>
    <w:p w14:paraId="707C97D4" w14:textId="27FDDC39" w:rsidR="00F37482" w:rsidRPr="00F37482" w:rsidRDefault="00F37482" w:rsidP="00367EEC">
      <w:pPr>
        <w:spacing w:after="0" w:line="480" w:lineRule="auto"/>
        <w:ind w:left="0"/>
        <w:rPr>
          <w:rFonts w:ascii="Arial" w:hAnsi="Arial" w:cs="Arial"/>
          <w:bCs/>
          <w:szCs w:val="24"/>
        </w:rPr>
      </w:pPr>
      <w:r w:rsidRPr="00E93384">
        <w:rPr>
          <w:rFonts w:ascii="Arial" w:hAnsi="Arial" w:cs="Arial"/>
          <w:bCs/>
          <w:i/>
          <w:iCs/>
          <w:szCs w:val="24"/>
        </w:rPr>
        <w:t xml:space="preserve"> </w:t>
      </w:r>
    </w:p>
    <w:p w14:paraId="74155080" w14:textId="282A9732" w:rsidR="0027583F" w:rsidRDefault="0027583F" w:rsidP="00367EEC">
      <w:pPr>
        <w:spacing w:after="0" w:line="480" w:lineRule="auto"/>
        <w:ind w:left="720" w:hanging="578"/>
        <w:rPr>
          <w:rFonts w:ascii="Arial" w:eastAsiaTheme="minorHAnsi" w:hAnsi="Arial" w:cs="Arial"/>
          <w:color w:val="auto"/>
          <w:szCs w:val="24"/>
          <w:lang w:eastAsia="en-US"/>
        </w:rPr>
      </w:pPr>
      <w:r>
        <w:rPr>
          <w:rFonts w:ascii="Arial" w:eastAsiaTheme="minorHAnsi" w:hAnsi="Arial" w:cs="Arial"/>
          <w:color w:val="auto"/>
          <w:szCs w:val="24"/>
          <w:lang w:eastAsia="en-US"/>
        </w:rPr>
        <w:t>[3]    On the 22</w:t>
      </w:r>
      <w:r w:rsidRPr="0027583F">
        <w:rPr>
          <w:rFonts w:ascii="Arial" w:eastAsiaTheme="minorHAnsi" w:hAnsi="Arial" w:cs="Arial"/>
          <w:color w:val="auto"/>
          <w:szCs w:val="24"/>
          <w:vertAlign w:val="superscript"/>
          <w:lang w:eastAsia="en-US"/>
        </w:rPr>
        <w:t>nd</w:t>
      </w:r>
      <w:r>
        <w:rPr>
          <w:rFonts w:ascii="Arial" w:eastAsiaTheme="minorHAnsi" w:hAnsi="Arial" w:cs="Arial"/>
          <w:color w:val="auto"/>
          <w:szCs w:val="24"/>
          <w:lang w:eastAsia="en-US"/>
        </w:rPr>
        <w:t xml:space="preserve"> of August 2023 this Court delivered judgment in respect of</w:t>
      </w:r>
      <w:r w:rsidR="00980695">
        <w:rPr>
          <w:rFonts w:ascii="Arial" w:eastAsiaTheme="minorHAnsi" w:hAnsi="Arial" w:cs="Arial"/>
          <w:color w:val="auto"/>
          <w:szCs w:val="24"/>
          <w:lang w:eastAsia="en-US"/>
        </w:rPr>
        <w:t xml:space="preserve"> the section 18</w:t>
      </w:r>
      <w:r>
        <w:rPr>
          <w:rFonts w:ascii="Arial" w:eastAsiaTheme="minorHAnsi" w:hAnsi="Arial" w:cs="Arial"/>
          <w:color w:val="auto"/>
          <w:szCs w:val="24"/>
          <w:lang w:eastAsia="en-US"/>
        </w:rPr>
        <w:t xml:space="preserve"> application and granted the following order:</w:t>
      </w:r>
    </w:p>
    <w:p w14:paraId="4CC61928" w14:textId="77777777" w:rsidR="0027583F" w:rsidRDefault="0027583F" w:rsidP="00367EEC">
      <w:pPr>
        <w:spacing w:after="0" w:line="480" w:lineRule="auto"/>
        <w:ind w:left="720"/>
        <w:rPr>
          <w:rFonts w:ascii="Arial" w:eastAsiaTheme="minorHAnsi" w:hAnsi="Arial" w:cs="Arial"/>
          <w:color w:val="auto"/>
          <w:szCs w:val="24"/>
          <w:lang w:eastAsia="en-US"/>
        </w:rPr>
      </w:pPr>
    </w:p>
    <w:p w14:paraId="779289A2" w14:textId="1372B6E5" w:rsidR="0027583F" w:rsidRPr="007312F1" w:rsidRDefault="007312F1" w:rsidP="007312F1">
      <w:pPr>
        <w:spacing w:after="0" w:line="480" w:lineRule="auto"/>
        <w:ind w:left="1440" w:hanging="720"/>
        <w:rPr>
          <w:rFonts w:ascii="Arial" w:eastAsiaTheme="minorHAnsi" w:hAnsi="Arial" w:cs="Arial"/>
          <w:i/>
          <w:iCs/>
          <w:color w:val="auto"/>
          <w:szCs w:val="24"/>
          <w:lang w:eastAsia="en-US"/>
        </w:rPr>
      </w:pPr>
      <w:r w:rsidRPr="0027583F">
        <w:rPr>
          <w:rFonts w:ascii="Arial" w:eastAsiaTheme="minorHAnsi" w:hAnsi="Arial" w:cs="Arial"/>
          <w:i/>
          <w:iCs/>
          <w:color w:val="auto"/>
          <w:szCs w:val="24"/>
          <w:lang w:eastAsia="en-US"/>
        </w:rPr>
        <w:t>1.</w:t>
      </w:r>
      <w:r w:rsidRPr="0027583F">
        <w:rPr>
          <w:rFonts w:ascii="Arial" w:eastAsiaTheme="minorHAnsi" w:hAnsi="Arial" w:cs="Arial"/>
          <w:i/>
          <w:iCs/>
          <w:color w:val="auto"/>
          <w:szCs w:val="24"/>
          <w:lang w:eastAsia="en-US"/>
        </w:rPr>
        <w:tab/>
      </w:r>
      <w:r w:rsidR="0027583F" w:rsidRPr="007312F1">
        <w:rPr>
          <w:rFonts w:ascii="Arial" w:eastAsiaTheme="minorHAnsi" w:hAnsi="Arial" w:cs="Arial"/>
          <w:i/>
          <w:iCs/>
          <w:color w:val="auto"/>
          <w:szCs w:val="24"/>
          <w:lang w:eastAsia="en-US"/>
        </w:rPr>
        <w:t>In terms of subsection 18(1), read with subsection 18(3), of the Superior Courts Act, Act 10 of 2013, it is ordered that the operation and execution of the Judgment and Order of this Court, under case number 2022/035571, dated 12 June 2023 and revised on 23 June 2023, shall not be suspended pending a decision on the Second Respondent’s application for leave to appeal and, in the event of leave to appeal being granted, the outcome of such appeal;</w:t>
      </w:r>
    </w:p>
    <w:p w14:paraId="4BB6F546" w14:textId="77777777" w:rsidR="0027583F" w:rsidRPr="0027583F" w:rsidRDefault="0027583F" w:rsidP="00367EEC">
      <w:pPr>
        <w:pStyle w:val="ListParagraph"/>
        <w:spacing w:after="0" w:line="480" w:lineRule="auto"/>
        <w:ind w:left="1440"/>
        <w:rPr>
          <w:rFonts w:ascii="Arial" w:eastAsiaTheme="minorHAnsi" w:hAnsi="Arial" w:cs="Arial"/>
          <w:i/>
          <w:iCs/>
          <w:color w:val="auto"/>
          <w:szCs w:val="24"/>
          <w:lang w:eastAsia="en-US"/>
        </w:rPr>
      </w:pPr>
    </w:p>
    <w:p w14:paraId="44EC6E26" w14:textId="141C5B9F" w:rsidR="0027583F" w:rsidRPr="007312F1" w:rsidRDefault="007312F1" w:rsidP="007312F1">
      <w:pPr>
        <w:spacing w:after="0" w:line="480" w:lineRule="auto"/>
        <w:ind w:left="1440" w:hanging="720"/>
        <w:rPr>
          <w:rFonts w:ascii="Arial" w:eastAsiaTheme="minorHAnsi" w:hAnsi="Arial" w:cs="Arial"/>
          <w:i/>
          <w:iCs/>
          <w:color w:val="auto"/>
          <w:szCs w:val="24"/>
          <w:lang w:eastAsia="en-US"/>
        </w:rPr>
      </w:pPr>
      <w:r w:rsidRPr="0027583F">
        <w:rPr>
          <w:rFonts w:ascii="Arial" w:eastAsiaTheme="minorHAnsi" w:hAnsi="Arial" w:cs="Arial"/>
          <w:i/>
          <w:iCs/>
          <w:color w:val="auto"/>
          <w:szCs w:val="24"/>
          <w:lang w:eastAsia="en-US"/>
        </w:rPr>
        <w:t>2.</w:t>
      </w:r>
      <w:r w:rsidRPr="0027583F">
        <w:rPr>
          <w:rFonts w:ascii="Arial" w:eastAsiaTheme="minorHAnsi" w:hAnsi="Arial" w:cs="Arial"/>
          <w:i/>
          <w:iCs/>
          <w:color w:val="auto"/>
          <w:szCs w:val="24"/>
          <w:lang w:eastAsia="en-US"/>
        </w:rPr>
        <w:tab/>
      </w:r>
      <w:r w:rsidR="0027583F" w:rsidRPr="007312F1">
        <w:rPr>
          <w:rFonts w:ascii="Arial" w:eastAsiaTheme="minorHAnsi" w:hAnsi="Arial" w:cs="Arial"/>
          <w:i/>
          <w:iCs/>
          <w:color w:val="auto"/>
          <w:szCs w:val="24"/>
          <w:lang w:eastAsia="en-US"/>
        </w:rPr>
        <w:t>The Second Respondent is ordered to pay the costs of this application, including the costs of Senior Counsel.</w:t>
      </w:r>
    </w:p>
    <w:p w14:paraId="383772E0" w14:textId="70BE3A0E" w:rsidR="000A3680" w:rsidRPr="0027583F" w:rsidRDefault="0027583F" w:rsidP="00367EEC">
      <w:pPr>
        <w:spacing w:after="0" w:line="480" w:lineRule="auto"/>
        <w:ind w:left="720"/>
        <w:rPr>
          <w:rFonts w:ascii="Arial" w:eastAsiaTheme="minorHAnsi" w:hAnsi="Arial" w:cs="Arial"/>
          <w:i/>
          <w:iCs/>
          <w:color w:val="auto"/>
          <w:szCs w:val="24"/>
          <w:lang w:eastAsia="en-US"/>
        </w:rPr>
      </w:pPr>
      <w:r w:rsidRPr="0027583F">
        <w:rPr>
          <w:rFonts w:ascii="Arial" w:eastAsiaTheme="minorHAnsi" w:hAnsi="Arial" w:cs="Arial"/>
          <w:i/>
          <w:iCs/>
          <w:color w:val="auto"/>
          <w:szCs w:val="24"/>
          <w:lang w:eastAsia="en-US"/>
        </w:rPr>
        <w:t xml:space="preserve"> </w:t>
      </w:r>
    </w:p>
    <w:p w14:paraId="0FE80647" w14:textId="0C6374B4" w:rsidR="00860A4A" w:rsidRDefault="00860A4A" w:rsidP="00367EEC">
      <w:pPr>
        <w:spacing w:after="0" w:line="480" w:lineRule="auto"/>
        <w:ind w:left="720"/>
        <w:rPr>
          <w:rFonts w:ascii="Arial" w:eastAsiaTheme="minorHAnsi" w:hAnsi="Arial" w:cs="Arial"/>
          <w:i/>
          <w:iCs/>
          <w:color w:val="auto"/>
          <w:szCs w:val="24"/>
          <w:lang w:eastAsia="en-US"/>
        </w:rPr>
      </w:pPr>
    </w:p>
    <w:p w14:paraId="1D7927F8" w14:textId="7C778C98" w:rsidR="0027583F" w:rsidRPr="003C0BF4" w:rsidRDefault="0027583F" w:rsidP="00367EEC">
      <w:pPr>
        <w:spacing w:after="0" w:line="480" w:lineRule="auto"/>
        <w:ind w:left="720" w:hanging="578"/>
        <w:rPr>
          <w:rFonts w:ascii="Arial" w:hAnsi="Arial" w:cs="Arial"/>
          <w:bCs/>
          <w:szCs w:val="24"/>
        </w:rPr>
      </w:pPr>
      <w:r>
        <w:rPr>
          <w:rFonts w:ascii="Arial" w:eastAsiaTheme="minorHAnsi" w:hAnsi="Arial" w:cs="Arial"/>
          <w:color w:val="auto"/>
          <w:szCs w:val="24"/>
          <w:lang w:eastAsia="en-US"/>
        </w:rPr>
        <w:t>[4]    In the present application for leave to appeal</w:t>
      </w:r>
      <w:r w:rsidR="00DD7547">
        <w:rPr>
          <w:rFonts w:ascii="Arial" w:eastAsiaTheme="minorHAnsi" w:hAnsi="Arial" w:cs="Arial"/>
          <w:color w:val="auto"/>
          <w:szCs w:val="24"/>
          <w:lang w:eastAsia="en-US"/>
        </w:rPr>
        <w:t xml:space="preserve"> and</w:t>
      </w:r>
      <w:r>
        <w:rPr>
          <w:rFonts w:ascii="Arial" w:eastAsiaTheme="minorHAnsi" w:hAnsi="Arial" w:cs="Arial"/>
          <w:color w:val="auto"/>
          <w:szCs w:val="24"/>
          <w:lang w:eastAsia="en-US"/>
        </w:rPr>
        <w:t xml:space="preserve"> for ease of reference, </w:t>
      </w:r>
      <w:r>
        <w:rPr>
          <w:rFonts w:ascii="Arial" w:hAnsi="Arial" w:cs="Arial"/>
          <w:bCs/>
          <w:szCs w:val="24"/>
        </w:rPr>
        <w:t>AMBITIOUS GROUP (PTY) LIMITED will be referred to as “</w:t>
      </w:r>
      <w:r w:rsidRPr="0027583F">
        <w:rPr>
          <w:rFonts w:ascii="Arial" w:hAnsi="Arial" w:cs="Arial"/>
          <w:bCs/>
          <w:i/>
          <w:iCs/>
          <w:szCs w:val="24"/>
        </w:rPr>
        <w:t>the Applicant”</w:t>
      </w:r>
      <w:r>
        <w:rPr>
          <w:rFonts w:ascii="Arial" w:hAnsi="Arial" w:cs="Arial"/>
          <w:bCs/>
          <w:szCs w:val="24"/>
        </w:rPr>
        <w:t xml:space="preserve"> whilst </w:t>
      </w:r>
      <w:r w:rsidRPr="003F0B58">
        <w:rPr>
          <w:rFonts w:ascii="Arial" w:eastAsia="Times New Roman" w:hAnsi="Arial" w:cs="Arial"/>
          <w:bCs/>
          <w:szCs w:val="24"/>
        </w:rPr>
        <w:t>NDUMISO SIYABULELA MDLETSHE</w:t>
      </w:r>
      <w:r>
        <w:rPr>
          <w:rFonts w:ascii="Arial" w:eastAsia="Times New Roman" w:hAnsi="Arial" w:cs="Arial"/>
          <w:bCs/>
          <w:szCs w:val="24"/>
        </w:rPr>
        <w:t xml:space="preserve"> and</w:t>
      </w:r>
      <w:r w:rsidRPr="00CB5402">
        <w:rPr>
          <w:rFonts w:ascii="Arial" w:eastAsia="Times New Roman" w:hAnsi="Arial" w:cs="Arial"/>
          <w:szCs w:val="24"/>
        </w:rPr>
        <w:t xml:space="preserve"> </w:t>
      </w:r>
      <w:r w:rsidRPr="003F0B58">
        <w:rPr>
          <w:rFonts w:ascii="Arial" w:eastAsia="Times New Roman" w:hAnsi="Arial" w:cs="Arial"/>
          <w:szCs w:val="24"/>
        </w:rPr>
        <w:t>SIPHELELE MBONGI DUNYWA</w:t>
      </w:r>
      <w:r>
        <w:rPr>
          <w:rFonts w:ascii="Arial" w:eastAsia="Times New Roman" w:hAnsi="Arial" w:cs="Arial"/>
          <w:szCs w:val="24"/>
        </w:rPr>
        <w:t xml:space="preserve"> will be referred to as </w:t>
      </w:r>
      <w:r w:rsidRPr="0027583F">
        <w:rPr>
          <w:rFonts w:ascii="Arial" w:eastAsia="Times New Roman" w:hAnsi="Arial" w:cs="Arial"/>
          <w:i/>
          <w:iCs/>
          <w:szCs w:val="24"/>
        </w:rPr>
        <w:t>“the Respondents”</w:t>
      </w:r>
      <w:r w:rsidR="003C0BF4">
        <w:rPr>
          <w:rFonts w:ascii="Arial" w:eastAsia="Times New Roman" w:hAnsi="Arial" w:cs="Arial"/>
          <w:i/>
          <w:iCs/>
          <w:szCs w:val="24"/>
        </w:rPr>
        <w:t xml:space="preserve"> </w:t>
      </w:r>
      <w:r w:rsidR="003C0BF4">
        <w:rPr>
          <w:rFonts w:ascii="Arial" w:eastAsia="Times New Roman" w:hAnsi="Arial" w:cs="Arial"/>
          <w:szCs w:val="24"/>
        </w:rPr>
        <w:t>throughout this judgment.</w:t>
      </w:r>
    </w:p>
    <w:p w14:paraId="112EC224" w14:textId="6D3C760E" w:rsidR="0027583F" w:rsidRDefault="0027583F" w:rsidP="00367EEC">
      <w:pPr>
        <w:spacing w:after="0" w:line="480" w:lineRule="auto"/>
        <w:ind w:left="720"/>
        <w:rPr>
          <w:rFonts w:ascii="Arial" w:hAnsi="Arial" w:cs="Arial"/>
          <w:bCs/>
          <w:szCs w:val="24"/>
        </w:rPr>
      </w:pPr>
    </w:p>
    <w:p w14:paraId="4389F677" w14:textId="1EC104FB" w:rsidR="00AA0CB8" w:rsidRDefault="00AA0CB8" w:rsidP="00367EEC">
      <w:pPr>
        <w:spacing w:after="0" w:line="480" w:lineRule="auto"/>
        <w:ind w:left="720"/>
        <w:rPr>
          <w:rFonts w:ascii="Arial" w:hAnsi="Arial" w:cs="Arial"/>
          <w:bCs/>
          <w:szCs w:val="24"/>
        </w:rPr>
      </w:pPr>
    </w:p>
    <w:p w14:paraId="6DE8CB2D" w14:textId="77777777" w:rsidR="00AA0CB8" w:rsidRDefault="00AA0CB8" w:rsidP="00367EEC">
      <w:pPr>
        <w:spacing w:after="0" w:line="480" w:lineRule="auto"/>
        <w:ind w:left="720"/>
        <w:rPr>
          <w:rFonts w:ascii="Arial" w:hAnsi="Arial" w:cs="Arial"/>
          <w:bCs/>
          <w:szCs w:val="24"/>
        </w:rPr>
      </w:pPr>
    </w:p>
    <w:p w14:paraId="62B0922F" w14:textId="7599E5C8" w:rsidR="0027583F" w:rsidRDefault="0027583F" w:rsidP="00367EEC">
      <w:pPr>
        <w:spacing w:after="0" w:line="480" w:lineRule="auto"/>
        <w:ind w:left="720"/>
        <w:rPr>
          <w:rFonts w:ascii="Arial" w:hAnsi="Arial" w:cs="Arial"/>
          <w:b/>
          <w:szCs w:val="24"/>
          <w:u w:val="single"/>
        </w:rPr>
      </w:pPr>
      <w:r w:rsidRPr="0027583F">
        <w:rPr>
          <w:rFonts w:ascii="Arial" w:hAnsi="Arial" w:cs="Arial"/>
          <w:b/>
          <w:szCs w:val="24"/>
          <w:u w:val="single"/>
        </w:rPr>
        <w:lastRenderedPageBreak/>
        <w:t>Grounds of Appeal</w:t>
      </w:r>
    </w:p>
    <w:p w14:paraId="2993CDD7" w14:textId="77777777" w:rsidR="0027583F" w:rsidRDefault="0027583F" w:rsidP="00367EEC">
      <w:pPr>
        <w:spacing w:after="0" w:line="480" w:lineRule="auto"/>
        <w:ind w:left="720"/>
        <w:rPr>
          <w:rFonts w:ascii="Arial" w:hAnsi="Arial" w:cs="Arial"/>
          <w:b/>
          <w:szCs w:val="24"/>
          <w:u w:val="single"/>
        </w:rPr>
      </w:pPr>
    </w:p>
    <w:p w14:paraId="5F2DF219" w14:textId="1D401843" w:rsidR="0027583F" w:rsidRDefault="0027583F" w:rsidP="00367EEC">
      <w:pPr>
        <w:spacing w:after="0" w:line="480" w:lineRule="auto"/>
        <w:ind w:left="720" w:hanging="578"/>
        <w:rPr>
          <w:rFonts w:ascii="Arial" w:hAnsi="Arial" w:cs="Arial"/>
          <w:bCs/>
          <w:szCs w:val="24"/>
        </w:rPr>
      </w:pPr>
      <w:r>
        <w:rPr>
          <w:rFonts w:ascii="Arial" w:hAnsi="Arial" w:cs="Arial"/>
          <w:bCs/>
          <w:szCs w:val="24"/>
        </w:rPr>
        <w:t xml:space="preserve">[5]     </w:t>
      </w:r>
      <w:r w:rsidR="00DA22A9">
        <w:rPr>
          <w:rFonts w:ascii="Arial" w:hAnsi="Arial" w:cs="Arial"/>
          <w:bCs/>
          <w:szCs w:val="24"/>
        </w:rPr>
        <w:t>The Applicant has instituted its application for leave to appeal t</w:t>
      </w:r>
      <w:r w:rsidR="00966D1A">
        <w:rPr>
          <w:rFonts w:ascii="Arial" w:hAnsi="Arial" w:cs="Arial"/>
          <w:bCs/>
          <w:szCs w:val="24"/>
        </w:rPr>
        <w:t>o the Supreme Court of Appeal (“</w:t>
      </w:r>
      <w:r w:rsidR="00DA22A9" w:rsidRPr="00742BE5">
        <w:rPr>
          <w:rFonts w:ascii="Arial" w:hAnsi="Arial" w:cs="Arial"/>
          <w:bCs/>
          <w:i/>
          <w:szCs w:val="24"/>
        </w:rPr>
        <w:t>SCA</w:t>
      </w:r>
      <w:r w:rsidR="00DA22A9">
        <w:rPr>
          <w:rFonts w:ascii="Arial" w:hAnsi="Arial" w:cs="Arial"/>
          <w:bCs/>
          <w:szCs w:val="24"/>
        </w:rPr>
        <w:t xml:space="preserve">”), </w:t>
      </w:r>
      <w:r w:rsidR="00DA22A9" w:rsidRPr="00DA22A9">
        <w:rPr>
          <w:rFonts w:ascii="Arial" w:hAnsi="Arial" w:cs="Arial"/>
          <w:bCs/>
          <w:i/>
          <w:iCs/>
          <w:szCs w:val="24"/>
        </w:rPr>
        <w:t>alternatively,</w:t>
      </w:r>
      <w:r w:rsidR="00DA22A9">
        <w:rPr>
          <w:rFonts w:ascii="Arial" w:hAnsi="Arial" w:cs="Arial"/>
          <w:bCs/>
          <w:szCs w:val="24"/>
        </w:rPr>
        <w:t xml:space="preserve"> the Full Bench of this Division</w:t>
      </w:r>
      <w:r w:rsidR="009A271C">
        <w:rPr>
          <w:rFonts w:ascii="Arial" w:hAnsi="Arial" w:cs="Arial"/>
          <w:bCs/>
          <w:szCs w:val="24"/>
        </w:rPr>
        <w:t>,</w:t>
      </w:r>
      <w:r w:rsidR="00DA22A9">
        <w:rPr>
          <w:rFonts w:ascii="Arial" w:hAnsi="Arial" w:cs="Arial"/>
          <w:bCs/>
          <w:szCs w:val="24"/>
        </w:rPr>
        <w:t xml:space="preserve"> in terms of both subsections </w:t>
      </w:r>
      <w:r w:rsidR="009A271C">
        <w:rPr>
          <w:rFonts w:ascii="Arial" w:hAnsi="Arial" w:cs="Arial"/>
          <w:bCs/>
          <w:szCs w:val="24"/>
        </w:rPr>
        <w:t>17(1)(a)(i) and (ii) of the Act.</w:t>
      </w:r>
    </w:p>
    <w:p w14:paraId="192E1763" w14:textId="77777777" w:rsidR="009A271C" w:rsidRDefault="009A271C" w:rsidP="00367EEC">
      <w:pPr>
        <w:spacing w:after="0" w:line="480" w:lineRule="auto"/>
        <w:ind w:left="720"/>
        <w:rPr>
          <w:rFonts w:ascii="Arial" w:hAnsi="Arial" w:cs="Arial"/>
          <w:bCs/>
          <w:szCs w:val="24"/>
        </w:rPr>
      </w:pPr>
    </w:p>
    <w:p w14:paraId="0DDA6847" w14:textId="77777777" w:rsidR="009A271C" w:rsidRDefault="009A271C" w:rsidP="00367EEC">
      <w:pPr>
        <w:spacing w:after="0" w:line="480" w:lineRule="auto"/>
        <w:ind w:left="720" w:hanging="578"/>
        <w:rPr>
          <w:rFonts w:ascii="Arial" w:hAnsi="Arial" w:cs="Arial"/>
          <w:bCs/>
          <w:szCs w:val="24"/>
        </w:rPr>
      </w:pPr>
      <w:r>
        <w:rPr>
          <w:rFonts w:ascii="Arial" w:hAnsi="Arial" w:cs="Arial"/>
          <w:bCs/>
          <w:szCs w:val="24"/>
        </w:rPr>
        <w:t>[6]   In terms of subsection 17(1)(a)(i) of the Act the Applicant submits that leave to appeal should be granted in light of:</w:t>
      </w:r>
    </w:p>
    <w:p w14:paraId="203851D2" w14:textId="77777777" w:rsidR="009A271C" w:rsidRDefault="009A271C" w:rsidP="00367EEC">
      <w:pPr>
        <w:spacing w:after="0" w:line="480" w:lineRule="auto"/>
        <w:ind w:left="720"/>
        <w:rPr>
          <w:rFonts w:ascii="Arial" w:hAnsi="Arial" w:cs="Arial"/>
          <w:bCs/>
          <w:szCs w:val="24"/>
        </w:rPr>
      </w:pPr>
    </w:p>
    <w:p w14:paraId="3107E6E8" w14:textId="23FA57C7" w:rsidR="00B72EB2" w:rsidRPr="00922112" w:rsidRDefault="009A271C" w:rsidP="00922112">
      <w:pPr>
        <w:spacing w:after="0" w:line="480" w:lineRule="auto"/>
        <w:ind w:left="1418" w:hanging="698"/>
        <w:rPr>
          <w:rFonts w:ascii="Arial" w:hAnsi="Arial" w:cs="Arial"/>
          <w:bCs/>
          <w:szCs w:val="24"/>
        </w:rPr>
      </w:pPr>
      <w:r w:rsidRPr="00922112">
        <w:rPr>
          <w:rFonts w:ascii="Arial" w:hAnsi="Arial" w:cs="Arial"/>
          <w:bCs/>
          <w:szCs w:val="24"/>
        </w:rPr>
        <w:t xml:space="preserve">6.1   the failure of the Respondents to prove that </w:t>
      </w:r>
      <w:r w:rsidR="00922112">
        <w:rPr>
          <w:rFonts w:ascii="Arial" w:hAnsi="Arial" w:cs="Arial"/>
          <w:bCs/>
          <w:szCs w:val="24"/>
        </w:rPr>
        <w:t xml:space="preserve">they had a contractual right to </w:t>
      </w:r>
      <w:r w:rsidRPr="00922112">
        <w:rPr>
          <w:rFonts w:ascii="Arial" w:hAnsi="Arial" w:cs="Arial"/>
          <w:bCs/>
          <w:szCs w:val="24"/>
        </w:rPr>
        <w:t>vindicate</w:t>
      </w:r>
      <w:r w:rsidR="00B72EB2" w:rsidRPr="00922112">
        <w:rPr>
          <w:rFonts w:ascii="Arial" w:hAnsi="Arial" w:cs="Arial"/>
          <w:bCs/>
          <w:szCs w:val="24"/>
        </w:rPr>
        <w:t>;</w:t>
      </w:r>
    </w:p>
    <w:p w14:paraId="07ABB55A" w14:textId="77777777" w:rsidR="00F413A0" w:rsidRPr="00922112" w:rsidRDefault="00F413A0" w:rsidP="00367EEC">
      <w:pPr>
        <w:spacing w:after="0" w:line="480" w:lineRule="auto"/>
        <w:rPr>
          <w:rFonts w:ascii="Arial" w:hAnsi="Arial" w:cs="Arial"/>
          <w:bCs/>
          <w:szCs w:val="24"/>
        </w:rPr>
      </w:pPr>
    </w:p>
    <w:p w14:paraId="3141B658" w14:textId="15A3AD3C" w:rsidR="00B72EB2" w:rsidRPr="00922112" w:rsidRDefault="00B72EB2" w:rsidP="00922112">
      <w:pPr>
        <w:spacing w:after="0" w:line="480" w:lineRule="auto"/>
        <w:ind w:left="1276" w:hanging="567"/>
        <w:rPr>
          <w:rFonts w:ascii="Arial" w:hAnsi="Arial" w:cs="Arial"/>
          <w:bCs/>
          <w:szCs w:val="24"/>
        </w:rPr>
      </w:pPr>
      <w:r w:rsidRPr="00922112">
        <w:rPr>
          <w:rFonts w:ascii="Arial" w:hAnsi="Arial" w:cs="Arial"/>
          <w:bCs/>
          <w:szCs w:val="24"/>
        </w:rPr>
        <w:t xml:space="preserve">6.2  </w:t>
      </w:r>
      <w:r w:rsidR="00966D1A" w:rsidRPr="00922112">
        <w:rPr>
          <w:rFonts w:ascii="Arial" w:hAnsi="Arial" w:cs="Arial"/>
          <w:bCs/>
          <w:szCs w:val="24"/>
        </w:rPr>
        <w:t xml:space="preserve"> </w:t>
      </w:r>
      <w:r w:rsidRPr="00922112">
        <w:rPr>
          <w:rFonts w:ascii="Arial" w:hAnsi="Arial" w:cs="Arial"/>
          <w:bCs/>
          <w:szCs w:val="24"/>
        </w:rPr>
        <w:t xml:space="preserve">the failure of the Respondents to prove that it was that contractual </w:t>
      </w:r>
      <w:r w:rsidR="00966D1A" w:rsidRPr="00922112">
        <w:rPr>
          <w:rFonts w:ascii="Arial" w:hAnsi="Arial" w:cs="Arial"/>
          <w:bCs/>
          <w:szCs w:val="24"/>
        </w:rPr>
        <w:t>right which was i</w:t>
      </w:r>
      <w:r w:rsidRPr="00922112">
        <w:rPr>
          <w:rFonts w:ascii="Arial" w:hAnsi="Arial" w:cs="Arial"/>
          <w:bCs/>
          <w:szCs w:val="24"/>
        </w:rPr>
        <w:t>nfringed by the Applicant; and</w:t>
      </w:r>
    </w:p>
    <w:p w14:paraId="2C0F17D2" w14:textId="77777777" w:rsidR="00F413A0" w:rsidRPr="00922112" w:rsidRDefault="00F413A0" w:rsidP="00367EEC">
      <w:pPr>
        <w:spacing w:after="0" w:line="480" w:lineRule="auto"/>
        <w:rPr>
          <w:rFonts w:ascii="Arial" w:hAnsi="Arial" w:cs="Arial"/>
          <w:bCs/>
          <w:szCs w:val="24"/>
        </w:rPr>
      </w:pPr>
    </w:p>
    <w:p w14:paraId="72E97FA2" w14:textId="77777777" w:rsidR="00F413A0" w:rsidRDefault="00B72EB2" w:rsidP="00922112">
      <w:pPr>
        <w:spacing w:after="0" w:line="480" w:lineRule="auto"/>
        <w:ind w:left="1276" w:hanging="556"/>
        <w:rPr>
          <w:rFonts w:ascii="Arial" w:hAnsi="Arial" w:cs="Arial"/>
          <w:bCs/>
          <w:szCs w:val="24"/>
        </w:rPr>
      </w:pPr>
      <w:r w:rsidRPr="00922112">
        <w:rPr>
          <w:rFonts w:ascii="Arial" w:hAnsi="Arial" w:cs="Arial"/>
          <w:bCs/>
          <w:szCs w:val="24"/>
        </w:rPr>
        <w:t>6.3   this Court erring by correctly holding that specific allegations as to fault were made in the Founding Affidavit but</w:t>
      </w:r>
      <w:r w:rsidR="00F413A0" w:rsidRPr="00922112">
        <w:rPr>
          <w:rFonts w:ascii="Arial" w:hAnsi="Arial" w:cs="Arial"/>
          <w:bCs/>
          <w:szCs w:val="24"/>
        </w:rPr>
        <w:t xml:space="preserve"> incorrectly finding that the Applicant causing several take down notices to be served upon YOUTUBE CHANNEL constituted fault in the form of intent and did not need to be specifically identified as such in the Founding Affidavit for the Respondents to satisfy the requirements of the </w:t>
      </w:r>
      <w:r w:rsidR="00F413A0" w:rsidRPr="00922112">
        <w:rPr>
          <w:rFonts w:ascii="Arial" w:hAnsi="Arial" w:cs="Arial"/>
          <w:bCs/>
          <w:i/>
          <w:iCs/>
          <w:szCs w:val="24"/>
        </w:rPr>
        <w:t>lex aquilia</w:t>
      </w:r>
      <w:r w:rsidR="00F413A0" w:rsidRPr="00922112">
        <w:rPr>
          <w:rFonts w:ascii="Arial" w:hAnsi="Arial" w:cs="Arial"/>
          <w:bCs/>
          <w:szCs w:val="24"/>
        </w:rPr>
        <w:t>.</w:t>
      </w:r>
      <w:r>
        <w:rPr>
          <w:rFonts w:ascii="Arial" w:hAnsi="Arial" w:cs="Arial"/>
          <w:bCs/>
          <w:szCs w:val="24"/>
        </w:rPr>
        <w:t xml:space="preserve"> </w:t>
      </w:r>
    </w:p>
    <w:p w14:paraId="6B932E84" w14:textId="77777777" w:rsidR="00227627" w:rsidRDefault="00227627" w:rsidP="00367EEC">
      <w:pPr>
        <w:spacing w:after="0" w:line="480" w:lineRule="auto"/>
        <w:ind w:left="720"/>
        <w:rPr>
          <w:rFonts w:ascii="Arial" w:hAnsi="Arial" w:cs="Arial"/>
          <w:bCs/>
          <w:szCs w:val="24"/>
        </w:rPr>
      </w:pPr>
    </w:p>
    <w:p w14:paraId="4333CD3E" w14:textId="640E4F2D" w:rsidR="00227627" w:rsidRDefault="00227627" w:rsidP="00367EEC">
      <w:pPr>
        <w:spacing w:after="0" w:line="480" w:lineRule="auto"/>
        <w:ind w:left="720" w:hanging="578"/>
        <w:rPr>
          <w:rFonts w:ascii="Arial" w:hAnsi="Arial" w:cs="Arial"/>
          <w:bCs/>
          <w:szCs w:val="24"/>
        </w:rPr>
      </w:pPr>
      <w:r>
        <w:rPr>
          <w:rFonts w:ascii="Arial" w:hAnsi="Arial" w:cs="Arial"/>
          <w:bCs/>
          <w:szCs w:val="24"/>
        </w:rPr>
        <w:t xml:space="preserve">[7]    </w:t>
      </w:r>
      <w:r w:rsidR="00E25442">
        <w:rPr>
          <w:rFonts w:ascii="Arial" w:hAnsi="Arial" w:cs="Arial"/>
          <w:bCs/>
          <w:szCs w:val="24"/>
        </w:rPr>
        <w:t xml:space="preserve"> </w:t>
      </w:r>
      <w:r>
        <w:rPr>
          <w:rFonts w:ascii="Arial" w:hAnsi="Arial" w:cs="Arial"/>
          <w:bCs/>
          <w:szCs w:val="24"/>
        </w:rPr>
        <w:t>In his Heads of Argument and during the course of argument before this Court, Counsel for the Applicant combined subparagraphs 6.1</w:t>
      </w:r>
      <w:r w:rsidR="0013200B">
        <w:rPr>
          <w:rFonts w:ascii="Arial" w:hAnsi="Arial" w:cs="Arial"/>
          <w:bCs/>
          <w:szCs w:val="24"/>
        </w:rPr>
        <w:t>;</w:t>
      </w:r>
      <w:r>
        <w:rPr>
          <w:rFonts w:ascii="Arial" w:hAnsi="Arial" w:cs="Arial"/>
          <w:bCs/>
          <w:szCs w:val="24"/>
        </w:rPr>
        <w:t xml:space="preserve"> 6.2</w:t>
      </w:r>
      <w:r w:rsidR="0013200B">
        <w:rPr>
          <w:rFonts w:ascii="Arial" w:hAnsi="Arial" w:cs="Arial"/>
          <w:bCs/>
          <w:szCs w:val="24"/>
        </w:rPr>
        <w:t xml:space="preserve"> and 6.3</w:t>
      </w:r>
      <w:r w:rsidR="00DD7547">
        <w:rPr>
          <w:rFonts w:ascii="Arial" w:hAnsi="Arial" w:cs="Arial"/>
          <w:bCs/>
          <w:szCs w:val="24"/>
        </w:rPr>
        <w:t xml:space="preserve"> hereof</w:t>
      </w:r>
      <w:r>
        <w:rPr>
          <w:rFonts w:ascii="Arial" w:hAnsi="Arial" w:cs="Arial"/>
          <w:bCs/>
          <w:szCs w:val="24"/>
        </w:rPr>
        <w:t xml:space="preserve"> under the heading of </w:t>
      </w:r>
      <w:r w:rsidRPr="0013200B">
        <w:rPr>
          <w:rFonts w:ascii="Arial" w:hAnsi="Arial" w:cs="Arial"/>
          <w:bCs/>
          <w:i/>
          <w:iCs/>
          <w:szCs w:val="24"/>
        </w:rPr>
        <w:t xml:space="preserve">“FIRST MAIN BASIS FOR LEAVE TO </w:t>
      </w:r>
      <w:r w:rsidR="00CA763F" w:rsidRPr="0013200B">
        <w:rPr>
          <w:rFonts w:ascii="Arial" w:hAnsi="Arial" w:cs="Arial"/>
          <w:bCs/>
          <w:i/>
          <w:iCs/>
          <w:szCs w:val="24"/>
        </w:rPr>
        <w:t>APPEAL”</w:t>
      </w:r>
      <w:r w:rsidR="00CA763F">
        <w:rPr>
          <w:rFonts w:ascii="Arial" w:hAnsi="Arial" w:cs="Arial"/>
          <w:bCs/>
          <w:szCs w:val="24"/>
        </w:rPr>
        <w:t xml:space="preserve"> Subparagraphs</w:t>
      </w:r>
      <w:r w:rsidR="0013200B">
        <w:rPr>
          <w:rFonts w:ascii="Arial" w:hAnsi="Arial" w:cs="Arial"/>
          <w:bCs/>
          <w:szCs w:val="24"/>
        </w:rPr>
        <w:t xml:space="preserve"> 6.1 and 6.2 herein </w:t>
      </w:r>
      <w:r w:rsidR="0013200B">
        <w:rPr>
          <w:rFonts w:ascii="Arial" w:hAnsi="Arial" w:cs="Arial"/>
          <w:bCs/>
          <w:szCs w:val="24"/>
        </w:rPr>
        <w:lastRenderedPageBreak/>
        <w:t xml:space="preserve">were described as </w:t>
      </w:r>
      <w:r w:rsidR="0013200B" w:rsidRPr="003D2921">
        <w:rPr>
          <w:rFonts w:ascii="Arial" w:hAnsi="Arial" w:cs="Arial"/>
          <w:bCs/>
          <w:i/>
          <w:iCs/>
          <w:szCs w:val="24"/>
        </w:rPr>
        <w:t>“The locus standi issue”</w:t>
      </w:r>
      <w:r w:rsidR="0013200B">
        <w:rPr>
          <w:rFonts w:ascii="Arial" w:hAnsi="Arial" w:cs="Arial"/>
          <w:bCs/>
          <w:szCs w:val="24"/>
        </w:rPr>
        <w:t xml:space="preserve"> whilst subparagraph </w:t>
      </w:r>
      <w:r w:rsidR="003D2921">
        <w:rPr>
          <w:rFonts w:ascii="Arial" w:hAnsi="Arial" w:cs="Arial"/>
          <w:bCs/>
          <w:szCs w:val="24"/>
        </w:rPr>
        <w:t xml:space="preserve">6.3 was described as </w:t>
      </w:r>
      <w:r w:rsidR="003D2921" w:rsidRPr="003D2921">
        <w:rPr>
          <w:rFonts w:ascii="Arial" w:hAnsi="Arial" w:cs="Arial"/>
          <w:bCs/>
          <w:i/>
          <w:iCs/>
          <w:szCs w:val="24"/>
        </w:rPr>
        <w:t>“The no cause of action issue”.</w:t>
      </w:r>
    </w:p>
    <w:p w14:paraId="5A1F30BB" w14:textId="77777777" w:rsidR="00F413A0" w:rsidRDefault="00F413A0" w:rsidP="00367EEC">
      <w:pPr>
        <w:spacing w:after="0" w:line="480" w:lineRule="auto"/>
        <w:ind w:left="720"/>
        <w:rPr>
          <w:rFonts w:ascii="Arial" w:hAnsi="Arial" w:cs="Arial"/>
          <w:bCs/>
          <w:szCs w:val="24"/>
        </w:rPr>
      </w:pPr>
    </w:p>
    <w:p w14:paraId="03348B79" w14:textId="7A2B24A1" w:rsidR="009A271C" w:rsidRPr="00686085" w:rsidRDefault="00F413A0" w:rsidP="00367EEC">
      <w:pPr>
        <w:spacing w:after="0" w:line="480" w:lineRule="auto"/>
        <w:ind w:left="720" w:hanging="436"/>
        <w:rPr>
          <w:rFonts w:ascii="Arial" w:hAnsi="Arial" w:cs="Arial"/>
          <w:bCs/>
          <w:i/>
          <w:iCs/>
          <w:szCs w:val="24"/>
        </w:rPr>
      </w:pPr>
      <w:r>
        <w:rPr>
          <w:rFonts w:ascii="Arial" w:hAnsi="Arial" w:cs="Arial"/>
          <w:bCs/>
          <w:szCs w:val="24"/>
        </w:rPr>
        <w:t>[</w:t>
      </w:r>
      <w:r w:rsidR="0013200B">
        <w:rPr>
          <w:rFonts w:ascii="Arial" w:hAnsi="Arial" w:cs="Arial"/>
          <w:bCs/>
          <w:szCs w:val="24"/>
        </w:rPr>
        <w:t>8</w:t>
      </w:r>
      <w:r>
        <w:rPr>
          <w:rFonts w:ascii="Arial" w:hAnsi="Arial" w:cs="Arial"/>
          <w:bCs/>
          <w:szCs w:val="24"/>
        </w:rPr>
        <w:t>]  It was also submitted that this Court had erred by</w:t>
      </w:r>
      <w:r w:rsidR="00227627">
        <w:rPr>
          <w:rFonts w:ascii="Arial" w:hAnsi="Arial" w:cs="Arial"/>
          <w:bCs/>
          <w:szCs w:val="24"/>
        </w:rPr>
        <w:t xml:space="preserve"> </w:t>
      </w:r>
      <w:r>
        <w:rPr>
          <w:rFonts w:ascii="Arial" w:hAnsi="Arial" w:cs="Arial"/>
          <w:bCs/>
          <w:szCs w:val="24"/>
        </w:rPr>
        <w:t>granting costs and expressing same to include the costs of Senior Counsel where such an order is incompetent in our law</w:t>
      </w:r>
      <w:r w:rsidR="00227627">
        <w:rPr>
          <w:rFonts w:ascii="Arial" w:hAnsi="Arial" w:cs="Arial"/>
          <w:bCs/>
          <w:szCs w:val="24"/>
        </w:rPr>
        <w:t>. However, in the Applicant’s Heads of Argument</w:t>
      </w:r>
      <w:r w:rsidR="00DD7547">
        <w:rPr>
          <w:rFonts w:ascii="Arial" w:hAnsi="Arial" w:cs="Arial"/>
          <w:bCs/>
          <w:szCs w:val="24"/>
        </w:rPr>
        <w:t>,</w:t>
      </w:r>
      <w:r w:rsidR="00227627">
        <w:rPr>
          <w:rFonts w:ascii="Arial" w:hAnsi="Arial" w:cs="Arial"/>
          <w:bCs/>
          <w:szCs w:val="24"/>
        </w:rPr>
        <w:t xml:space="preserve"> it was conceded (correctly in the opinion of this Court) that</w:t>
      </w:r>
      <w:r w:rsidR="00CA763F">
        <w:rPr>
          <w:rFonts w:ascii="Arial" w:hAnsi="Arial" w:cs="Arial"/>
          <w:bCs/>
          <w:szCs w:val="24"/>
        </w:rPr>
        <w:t>:</w:t>
      </w:r>
      <w:r w:rsidR="00227627">
        <w:rPr>
          <w:rFonts w:ascii="Arial" w:hAnsi="Arial" w:cs="Arial"/>
          <w:bCs/>
          <w:szCs w:val="24"/>
        </w:rPr>
        <w:t xml:space="preserve"> </w:t>
      </w:r>
      <w:r w:rsidR="00227627" w:rsidRPr="00686085">
        <w:rPr>
          <w:rFonts w:ascii="Arial" w:hAnsi="Arial" w:cs="Arial"/>
          <w:bCs/>
          <w:i/>
          <w:iCs/>
          <w:szCs w:val="24"/>
        </w:rPr>
        <w:t>“….</w:t>
      </w:r>
      <w:r w:rsidR="00686085" w:rsidRPr="00686085">
        <w:rPr>
          <w:rFonts w:ascii="Arial" w:hAnsi="Arial" w:cs="Arial"/>
          <w:bCs/>
          <w:i/>
          <w:iCs/>
          <w:szCs w:val="24"/>
        </w:rPr>
        <w:t>this ground on its own should not warrant that leave to appeal be granted.”</w:t>
      </w:r>
    </w:p>
    <w:p w14:paraId="73574459" w14:textId="77777777" w:rsidR="00860A4A" w:rsidRDefault="00860A4A" w:rsidP="00367EEC">
      <w:pPr>
        <w:spacing w:after="0" w:line="480" w:lineRule="auto"/>
        <w:rPr>
          <w:rFonts w:ascii="Arial" w:eastAsiaTheme="minorHAnsi" w:hAnsi="Arial" w:cs="Arial"/>
          <w:color w:val="auto"/>
          <w:szCs w:val="24"/>
          <w:lang w:eastAsia="en-US"/>
        </w:rPr>
      </w:pPr>
    </w:p>
    <w:p w14:paraId="0F615A66" w14:textId="483A898C" w:rsidR="00F413A0" w:rsidRDefault="00F413A0" w:rsidP="00367EEC">
      <w:pPr>
        <w:spacing w:after="0" w:line="480" w:lineRule="auto"/>
        <w:ind w:left="709" w:hanging="709"/>
        <w:rPr>
          <w:rFonts w:ascii="Arial" w:hAnsi="Arial" w:cs="Arial"/>
          <w:bCs/>
          <w:szCs w:val="24"/>
        </w:rPr>
      </w:pPr>
      <w:r>
        <w:rPr>
          <w:rFonts w:ascii="Arial" w:eastAsiaTheme="minorHAnsi" w:hAnsi="Arial" w:cs="Arial"/>
          <w:color w:val="auto"/>
          <w:szCs w:val="24"/>
          <w:lang w:eastAsia="en-US"/>
        </w:rPr>
        <w:t xml:space="preserve">    </w:t>
      </w:r>
      <w:r>
        <w:rPr>
          <w:rFonts w:ascii="Arial" w:eastAsiaTheme="minorHAnsi" w:hAnsi="Arial" w:cs="Arial"/>
          <w:i/>
          <w:iCs/>
          <w:color w:val="auto"/>
          <w:szCs w:val="24"/>
          <w:lang w:eastAsia="en-US"/>
        </w:rPr>
        <w:t xml:space="preserve"> </w:t>
      </w:r>
      <w:r>
        <w:rPr>
          <w:rFonts w:ascii="Arial" w:eastAsiaTheme="minorHAnsi" w:hAnsi="Arial" w:cs="Arial"/>
          <w:color w:val="auto"/>
          <w:szCs w:val="24"/>
          <w:lang w:eastAsia="en-US"/>
        </w:rPr>
        <w:t>[</w:t>
      </w:r>
      <w:r w:rsidR="0013200B">
        <w:rPr>
          <w:rFonts w:ascii="Arial" w:eastAsiaTheme="minorHAnsi" w:hAnsi="Arial" w:cs="Arial"/>
          <w:color w:val="auto"/>
          <w:szCs w:val="24"/>
          <w:lang w:eastAsia="en-US"/>
        </w:rPr>
        <w:t>9</w:t>
      </w:r>
      <w:r w:rsidR="00966D1A">
        <w:rPr>
          <w:rFonts w:ascii="Arial" w:eastAsiaTheme="minorHAnsi" w:hAnsi="Arial" w:cs="Arial"/>
          <w:color w:val="auto"/>
          <w:szCs w:val="24"/>
          <w:lang w:eastAsia="en-US"/>
        </w:rPr>
        <w:t xml:space="preserve">]  </w:t>
      </w:r>
      <w:r>
        <w:rPr>
          <w:rFonts w:ascii="Arial" w:eastAsiaTheme="minorHAnsi" w:hAnsi="Arial" w:cs="Arial"/>
          <w:color w:val="auto"/>
          <w:szCs w:val="24"/>
          <w:lang w:eastAsia="en-US"/>
        </w:rPr>
        <w:t xml:space="preserve"> </w:t>
      </w:r>
      <w:r w:rsidRPr="00CA763F">
        <w:rPr>
          <w:rFonts w:ascii="Arial" w:eastAsiaTheme="minorHAnsi" w:hAnsi="Arial" w:cs="Arial"/>
          <w:color w:val="auto"/>
          <w:szCs w:val="24"/>
          <w:lang w:eastAsia="en-US"/>
        </w:rPr>
        <w:t xml:space="preserve">In terms of </w:t>
      </w:r>
      <w:r w:rsidRPr="00CA763F">
        <w:rPr>
          <w:rFonts w:ascii="Arial" w:hAnsi="Arial" w:cs="Arial"/>
          <w:bCs/>
          <w:szCs w:val="24"/>
        </w:rPr>
        <w:t>subsection 17(1)(a)(i</w:t>
      </w:r>
      <w:r w:rsidR="00904242" w:rsidRPr="00CA763F">
        <w:rPr>
          <w:rFonts w:ascii="Arial" w:hAnsi="Arial" w:cs="Arial"/>
          <w:bCs/>
          <w:szCs w:val="24"/>
        </w:rPr>
        <w:t>i</w:t>
      </w:r>
      <w:r w:rsidRPr="00CA763F">
        <w:rPr>
          <w:rFonts w:ascii="Arial" w:hAnsi="Arial" w:cs="Arial"/>
          <w:bCs/>
          <w:szCs w:val="24"/>
        </w:rPr>
        <w:t>) of the Act</w:t>
      </w:r>
      <w:r w:rsidR="003D2921" w:rsidRPr="00CA763F">
        <w:rPr>
          <w:rFonts w:ascii="Arial" w:hAnsi="Arial" w:cs="Arial"/>
          <w:bCs/>
          <w:szCs w:val="24"/>
        </w:rPr>
        <w:t xml:space="preserve"> (described by the Applicant’s Counsel as the </w:t>
      </w:r>
      <w:r w:rsidR="003D2921" w:rsidRPr="00CA763F">
        <w:rPr>
          <w:rFonts w:ascii="Arial" w:hAnsi="Arial" w:cs="Arial"/>
          <w:bCs/>
          <w:i/>
          <w:iCs/>
          <w:szCs w:val="24"/>
        </w:rPr>
        <w:t>“SECOND MAIN BASIS FOR LEAVE TO APPEAL”</w:t>
      </w:r>
      <w:r w:rsidR="003C0BF4" w:rsidRPr="00CA763F">
        <w:rPr>
          <w:rFonts w:ascii="Arial" w:hAnsi="Arial" w:cs="Arial"/>
          <w:bCs/>
          <w:szCs w:val="24"/>
        </w:rPr>
        <w:t>)</w:t>
      </w:r>
      <w:r w:rsidR="003D2921" w:rsidRPr="00CA763F">
        <w:rPr>
          <w:rFonts w:ascii="Arial" w:hAnsi="Arial" w:cs="Arial"/>
          <w:bCs/>
          <w:szCs w:val="24"/>
        </w:rPr>
        <w:t xml:space="preserve"> </w:t>
      </w:r>
      <w:r w:rsidRPr="00CA763F">
        <w:rPr>
          <w:rFonts w:ascii="Arial" w:hAnsi="Arial" w:cs="Arial"/>
          <w:bCs/>
          <w:szCs w:val="24"/>
        </w:rPr>
        <w:t xml:space="preserve"> the Applicant submits that leave to appeal should be granted in light of the fact that this Court failed to consider the Applicant’s second point </w:t>
      </w:r>
      <w:r w:rsidRPr="00CA763F">
        <w:rPr>
          <w:rFonts w:ascii="Arial" w:hAnsi="Arial" w:cs="Arial"/>
          <w:bCs/>
          <w:i/>
          <w:iCs/>
          <w:szCs w:val="24"/>
        </w:rPr>
        <w:t>in limine</w:t>
      </w:r>
      <w:r w:rsidR="003D2921" w:rsidRPr="00CA763F">
        <w:rPr>
          <w:rFonts w:ascii="Arial" w:hAnsi="Arial" w:cs="Arial"/>
          <w:bCs/>
          <w:i/>
          <w:iCs/>
          <w:szCs w:val="24"/>
        </w:rPr>
        <w:t xml:space="preserve"> </w:t>
      </w:r>
      <w:r w:rsidR="003D2921" w:rsidRPr="00CA763F">
        <w:rPr>
          <w:rFonts w:ascii="Arial" w:hAnsi="Arial" w:cs="Arial"/>
          <w:bCs/>
          <w:szCs w:val="24"/>
        </w:rPr>
        <w:t>(the</w:t>
      </w:r>
      <w:r w:rsidR="003D2921" w:rsidRPr="00CA763F">
        <w:rPr>
          <w:rFonts w:ascii="Arial" w:hAnsi="Arial" w:cs="Arial"/>
          <w:bCs/>
          <w:i/>
          <w:iCs/>
          <w:szCs w:val="24"/>
        </w:rPr>
        <w:t xml:space="preserve"> locus standi </w:t>
      </w:r>
      <w:r w:rsidR="003D2921" w:rsidRPr="00CA763F">
        <w:rPr>
          <w:rFonts w:ascii="Arial" w:hAnsi="Arial" w:cs="Arial"/>
          <w:bCs/>
          <w:szCs w:val="24"/>
        </w:rPr>
        <w:t>issue)</w:t>
      </w:r>
      <w:r w:rsidRPr="00CA763F">
        <w:rPr>
          <w:rFonts w:ascii="Arial" w:hAnsi="Arial" w:cs="Arial"/>
          <w:bCs/>
          <w:szCs w:val="24"/>
        </w:rPr>
        <w:t xml:space="preserve"> at all, together with the submissions made and authorities relied upon in </w:t>
      </w:r>
      <w:r w:rsidR="00947A45" w:rsidRPr="00CA763F">
        <w:rPr>
          <w:rFonts w:ascii="Arial" w:hAnsi="Arial" w:cs="Arial"/>
          <w:bCs/>
          <w:szCs w:val="24"/>
        </w:rPr>
        <w:t>respect thereof</w:t>
      </w:r>
      <w:r w:rsidR="003D2921" w:rsidRPr="00CA763F">
        <w:rPr>
          <w:rFonts w:ascii="Arial" w:hAnsi="Arial" w:cs="Arial"/>
          <w:bCs/>
          <w:szCs w:val="24"/>
        </w:rPr>
        <w:t>.</w:t>
      </w:r>
      <w:r w:rsidRPr="00CA763F">
        <w:rPr>
          <w:rFonts w:ascii="Arial" w:hAnsi="Arial" w:cs="Arial"/>
          <w:bCs/>
          <w:szCs w:val="24"/>
        </w:rPr>
        <w:t xml:space="preserve"> </w:t>
      </w:r>
      <w:r w:rsidR="00947A45" w:rsidRPr="00CA763F">
        <w:rPr>
          <w:rFonts w:ascii="Arial" w:hAnsi="Arial" w:cs="Arial"/>
          <w:bCs/>
          <w:szCs w:val="24"/>
        </w:rPr>
        <w:t>The submission was further made that it is in the interests of justice that a litigant has its dispute determined fairly based upon the correct legal principles and requirements. Finally, it was also submitted that a litigant should retain the opportunity of showing that the judgment appealed against is incorrect.</w:t>
      </w:r>
      <w:r w:rsidR="00947A45">
        <w:rPr>
          <w:rFonts w:ascii="Arial" w:hAnsi="Arial" w:cs="Arial"/>
          <w:bCs/>
          <w:szCs w:val="24"/>
        </w:rPr>
        <w:t xml:space="preserve"> </w:t>
      </w:r>
    </w:p>
    <w:p w14:paraId="7EE309BE" w14:textId="77777777" w:rsidR="0009178A" w:rsidRDefault="0009178A" w:rsidP="00367EEC">
      <w:pPr>
        <w:spacing w:after="0" w:line="480" w:lineRule="auto"/>
        <w:rPr>
          <w:rFonts w:ascii="Arial" w:hAnsi="Arial" w:cs="Arial"/>
          <w:b/>
          <w:szCs w:val="24"/>
          <w:u w:val="single"/>
        </w:rPr>
      </w:pPr>
    </w:p>
    <w:p w14:paraId="0815FAE9" w14:textId="249EE5CF" w:rsidR="00FD4171" w:rsidRDefault="00FD4171" w:rsidP="00367EEC">
      <w:pPr>
        <w:spacing w:after="0" w:line="480" w:lineRule="auto"/>
        <w:rPr>
          <w:rFonts w:ascii="Arial" w:hAnsi="Arial" w:cs="Arial"/>
          <w:b/>
          <w:szCs w:val="24"/>
          <w:u w:val="single"/>
        </w:rPr>
      </w:pPr>
      <w:r w:rsidRPr="00FD4171">
        <w:rPr>
          <w:rFonts w:ascii="Arial" w:hAnsi="Arial" w:cs="Arial"/>
          <w:b/>
          <w:szCs w:val="24"/>
          <w:u w:val="single"/>
        </w:rPr>
        <w:t>The law</w:t>
      </w:r>
    </w:p>
    <w:p w14:paraId="29087AC9" w14:textId="77777777" w:rsidR="007F4B65" w:rsidRDefault="007F4B65" w:rsidP="00367EEC">
      <w:pPr>
        <w:spacing w:after="0" w:line="480" w:lineRule="auto"/>
        <w:rPr>
          <w:rFonts w:ascii="Arial" w:hAnsi="Arial" w:cs="Arial"/>
          <w:b/>
          <w:szCs w:val="24"/>
          <w:u w:val="single"/>
        </w:rPr>
      </w:pPr>
    </w:p>
    <w:p w14:paraId="0868D6EB" w14:textId="10C526E6" w:rsidR="007F4B65" w:rsidRDefault="007F4B65" w:rsidP="00922112">
      <w:pPr>
        <w:spacing w:after="0" w:line="480" w:lineRule="auto"/>
        <w:ind w:left="709" w:hanging="709"/>
        <w:rPr>
          <w:rFonts w:ascii="Arial" w:hAnsi="Arial" w:cs="Arial"/>
          <w:bCs/>
          <w:szCs w:val="24"/>
        </w:rPr>
      </w:pPr>
      <w:r>
        <w:rPr>
          <w:rFonts w:ascii="Arial" w:hAnsi="Arial" w:cs="Arial"/>
          <w:bCs/>
          <w:szCs w:val="24"/>
        </w:rPr>
        <w:t>[</w:t>
      </w:r>
      <w:r w:rsidR="0013200B">
        <w:rPr>
          <w:rFonts w:ascii="Arial" w:hAnsi="Arial" w:cs="Arial"/>
          <w:bCs/>
          <w:szCs w:val="24"/>
        </w:rPr>
        <w:t>10</w:t>
      </w:r>
      <w:r>
        <w:rPr>
          <w:rFonts w:ascii="Arial" w:hAnsi="Arial" w:cs="Arial"/>
          <w:bCs/>
          <w:szCs w:val="24"/>
        </w:rPr>
        <w:t xml:space="preserve">]     </w:t>
      </w:r>
      <w:r w:rsidRPr="007F4B65">
        <w:rPr>
          <w:rFonts w:ascii="Arial" w:hAnsi="Arial" w:cs="Arial"/>
          <w:bCs/>
          <w:szCs w:val="24"/>
        </w:rPr>
        <w:t>The test for the granting of leave to appeal pertinent to the present matter is set out in subsection 17(1) of the Act as follows:</w:t>
      </w:r>
    </w:p>
    <w:p w14:paraId="3554E83C" w14:textId="77777777" w:rsidR="007F4B65" w:rsidRDefault="007F4B65" w:rsidP="00367EEC">
      <w:pPr>
        <w:spacing w:after="0" w:line="480" w:lineRule="auto"/>
        <w:rPr>
          <w:rFonts w:ascii="Arial" w:hAnsi="Arial" w:cs="Arial"/>
          <w:bCs/>
          <w:szCs w:val="24"/>
        </w:rPr>
      </w:pPr>
    </w:p>
    <w:p w14:paraId="57A8799C" w14:textId="77777777" w:rsidR="007F4B65" w:rsidRDefault="007F4B65" w:rsidP="00367EEC">
      <w:pPr>
        <w:spacing w:after="0" w:line="480" w:lineRule="auto"/>
        <w:rPr>
          <w:rFonts w:ascii="Arial" w:hAnsi="Arial" w:cs="Arial"/>
          <w:bCs/>
          <w:szCs w:val="24"/>
        </w:rPr>
      </w:pPr>
    </w:p>
    <w:p w14:paraId="43753BC6" w14:textId="30912ECD" w:rsidR="007F4B65" w:rsidRPr="007312F1" w:rsidRDefault="007312F1" w:rsidP="007312F1">
      <w:pPr>
        <w:spacing w:after="0" w:line="480" w:lineRule="auto"/>
        <w:ind w:left="2160" w:hanging="720"/>
        <w:rPr>
          <w:rFonts w:ascii="Arial" w:hAnsi="Arial" w:cs="Arial"/>
          <w:bCs/>
          <w:i/>
          <w:szCs w:val="24"/>
        </w:rPr>
      </w:pPr>
      <w:r w:rsidRPr="00966D1A">
        <w:rPr>
          <w:rFonts w:ascii="Arial" w:hAnsi="Arial" w:cs="Arial"/>
          <w:bCs/>
          <w:i/>
          <w:szCs w:val="24"/>
        </w:rPr>
        <w:lastRenderedPageBreak/>
        <w:t>(1)</w:t>
      </w:r>
      <w:r w:rsidRPr="00966D1A">
        <w:rPr>
          <w:rFonts w:ascii="Arial" w:hAnsi="Arial" w:cs="Arial"/>
          <w:bCs/>
          <w:i/>
          <w:szCs w:val="24"/>
        </w:rPr>
        <w:tab/>
      </w:r>
      <w:r w:rsidR="007F4B65" w:rsidRPr="007312F1">
        <w:rPr>
          <w:rFonts w:ascii="Arial" w:hAnsi="Arial" w:cs="Arial"/>
          <w:bCs/>
          <w:i/>
          <w:szCs w:val="24"/>
        </w:rPr>
        <w:t>Leave to appeal may only be given where the judge or judges concerned are of the opinion that-</w:t>
      </w:r>
    </w:p>
    <w:p w14:paraId="0383021C" w14:textId="77777777" w:rsidR="007F4B65" w:rsidRPr="00966D1A" w:rsidRDefault="007F4B65" w:rsidP="00367EEC">
      <w:pPr>
        <w:pStyle w:val="ListParagraph"/>
        <w:spacing w:after="0" w:line="480" w:lineRule="auto"/>
        <w:ind w:left="2160"/>
        <w:rPr>
          <w:rFonts w:ascii="Arial" w:hAnsi="Arial" w:cs="Arial"/>
          <w:bCs/>
          <w:i/>
          <w:szCs w:val="24"/>
        </w:rPr>
      </w:pPr>
    </w:p>
    <w:p w14:paraId="53F4A438" w14:textId="5226312D" w:rsidR="007F4B65" w:rsidRPr="00966D1A" w:rsidRDefault="007F4B65" w:rsidP="00367EEC">
      <w:pPr>
        <w:spacing w:after="0" w:line="480" w:lineRule="auto"/>
        <w:ind w:left="2977" w:hanging="709"/>
        <w:rPr>
          <w:rFonts w:ascii="Arial" w:hAnsi="Arial" w:cs="Arial"/>
          <w:bCs/>
          <w:i/>
          <w:szCs w:val="24"/>
        </w:rPr>
      </w:pPr>
      <w:r w:rsidRPr="00966D1A">
        <w:rPr>
          <w:rFonts w:ascii="Arial" w:hAnsi="Arial" w:cs="Arial"/>
          <w:bCs/>
          <w:i/>
          <w:szCs w:val="24"/>
        </w:rPr>
        <w:t>(a)</w:t>
      </w:r>
      <w:r w:rsidRPr="00966D1A">
        <w:rPr>
          <w:rFonts w:ascii="Arial" w:hAnsi="Arial" w:cs="Arial"/>
          <w:bCs/>
          <w:i/>
          <w:szCs w:val="24"/>
        </w:rPr>
        <w:tab/>
        <w:t>(i)</w:t>
      </w:r>
      <w:r w:rsidRPr="00966D1A">
        <w:rPr>
          <w:rFonts w:ascii="Arial" w:hAnsi="Arial" w:cs="Arial"/>
          <w:bCs/>
          <w:i/>
          <w:szCs w:val="24"/>
        </w:rPr>
        <w:tab/>
        <w:t xml:space="preserve">the appeal would have a reasonable prospect of success; </w:t>
      </w:r>
      <w:r w:rsidR="00277052">
        <w:rPr>
          <w:rFonts w:ascii="Arial" w:hAnsi="Arial" w:cs="Arial"/>
          <w:bCs/>
          <w:i/>
          <w:szCs w:val="24"/>
        </w:rPr>
        <w:tab/>
        <w:t>or</w:t>
      </w:r>
    </w:p>
    <w:p w14:paraId="6B4CCD16" w14:textId="77777777" w:rsidR="007F4B65" w:rsidRPr="00966D1A" w:rsidRDefault="007F4B65" w:rsidP="00367EEC">
      <w:pPr>
        <w:spacing w:after="0" w:line="480" w:lineRule="auto"/>
        <w:ind w:left="2880" w:hanging="720"/>
        <w:rPr>
          <w:rFonts w:ascii="Arial" w:hAnsi="Arial" w:cs="Arial"/>
          <w:bCs/>
          <w:i/>
          <w:szCs w:val="24"/>
        </w:rPr>
      </w:pPr>
    </w:p>
    <w:p w14:paraId="7C64AF89" w14:textId="4372007E" w:rsidR="007F4B65" w:rsidRPr="00DD7547" w:rsidRDefault="007F4B65" w:rsidP="00367EEC">
      <w:pPr>
        <w:spacing w:after="0" w:line="480" w:lineRule="auto"/>
        <w:ind w:left="3600" w:hanging="720"/>
        <w:rPr>
          <w:rFonts w:ascii="Arial" w:hAnsi="Arial" w:cs="Arial"/>
          <w:bCs/>
          <w:i/>
          <w:szCs w:val="24"/>
        </w:rPr>
      </w:pPr>
      <w:r w:rsidRPr="00966D1A">
        <w:rPr>
          <w:rFonts w:ascii="Arial" w:hAnsi="Arial" w:cs="Arial"/>
          <w:bCs/>
          <w:i/>
          <w:szCs w:val="24"/>
        </w:rPr>
        <w:t xml:space="preserve">(ii)   </w:t>
      </w:r>
      <w:r w:rsidRPr="00966D1A">
        <w:rPr>
          <w:rFonts w:ascii="Arial" w:hAnsi="Arial" w:cs="Arial"/>
          <w:bCs/>
          <w:i/>
          <w:szCs w:val="24"/>
        </w:rPr>
        <w:tab/>
        <w:t>there is some other compelling reason why the appeal should be heard, including conflicting judgments on the matter</w:t>
      </w:r>
      <w:r w:rsidR="00DD7547" w:rsidRPr="00966D1A">
        <w:rPr>
          <w:rFonts w:ascii="Arial" w:hAnsi="Arial" w:cs="Arial"/>
          <w:bCs/>
          <w:i/>
          <w:szCs w:val="24"/>
        </w:rPr>
        <w:t xml:space="preserve"> </w:t>
      </w:r>
      <w:r w:rsidRPr="00966D1A">
        <w:rPr>
          <w:rFonts w:ascii="Arial" w:hAnsi="Arial" w:cs="Arial"/>
          <w:bCs/>
          <w:i/>
          <w:szCs w:val="24"/>
        </w:rPr>
        <w:t xml:space="preserve">under </w:t>
      </w:r>
      <w:r w:rsidR="00277052" w:rsidRPr="00966D1A">
        <w:rPr>
          <w:rFonts w:ascii="Arial" w:hAnsi="Arial" w:cs="Arial"/>
          <w:bCs/>
          <w:i/>
          <w:szCs w:val="24"/>
        </w:rPr>
        <w:t>consideration;</w:t>
      </w:r>
      <w:r w:rsidR="00277052">
        <w:rPr>
          <w:rFonts w:ascii="Arial" w:hAnsi="Arial" w:cs="Arial"/>
          <w:bCs/>
          <w:i/>
          <w:szCs w:val="24"/>
        </w:rPr>
        <w:t xml:space="preserve"> “</w:t>
      </w:r>
      <w:r w:rsidRPr="00966D1A">
        <w:rPr>
          <w:rFonts w:ascii="Arial" w:hAnsi="Arial" w:cs="Arial"/>
          <w:bCs/>
          <w:i/>
          <w:szCs w:val="24"/>
        </w:rPr>
        <w:t xml:space="preserve">                                                     </w:t>
      </w:r>
      <w:r w:rsidR="00277052">
        <w:rPr>
          <w:rFonts w:ascii="Arial" w:hAnsi="Arial" w:cs="Arial"/>
          <w:bCs/>
          <w:i/>
          <w:szCs w:val="24"/>
        </w:rPr>
        <w:t xml:space="preserve">                               </w:t>
      </w:r>
      <w:r w:rsidRPr="00DD7547">
        <w:rPr>
          <w:rFonts w:ascii="Arial" w:hAnsi="Arial" w:cs="Arial"/>
          <w:bCs/>
          <w:i/>
          <w:szCs w:val="24"/>
        </w:rPr>
        <w:t xml:space="preserve">                                                                             </w:t>
      </w:r>
    </w:p>
    <w:p w14:paraId="6E8EF0C2" w14:textId="77777777" w:rsidR="00826101" w:rsidRDefault="00826101" w:rsidP="00367EEC">
      <w:pPr>
        <w:spacing w:after="0" w:line="480" w:lineRule="auto"/>
        <w:rPr>
          <w:rFonts w:ascii="Arial" w:hAnsi="Arial" w:cs="Arial"/>
          <w:b/>
          <w:szCs w:val="24"/>
          <w:u w:val="single"/>
        </w:rPr>
      </w:pPr>
    </w:p>
    <w:p w14:paraId="006D6D30" w14:textId="68568F0F" w:rsidR="001D1F5D" w:rsidRDefault="007F4B65" w:rsidP="00367EEC">
      <w:pPr>
        <w:spacing w:after="0" w:line="480" w:lineRule="auto"/>
        <w:rPr>
          <w:rFonts w:ascii="Arial" w:eastAsiaTheme="minorHAnsi" w:hAnsi="Arial" w:cs="Arial"/>
          <w:b/>
          <w:bCs/>
          <w:color w:val="auto"/>
          <w:szCs w:val="24"/>
          <w:u w:val="single"/>
          <w:lang w:eastAsia="en-US"/>
        </w:rPr>
      </w:pPr>
      <w:r w:rsidRPr="007F4B65">
        <w:rPr>
          <w:rFonts w:ascii="Arial" w:eastAsiaTheme="minorHAnsi" w:hAnsi="Arial" w:cs="Arial"/>
          <w:b/>
          <w:bCs/>
          <w:color w:val="auto"/>
          <w:szCs w:val="24"/>
          <w:u w:val="single"/>
          <w:lang w:eastAsia="en-US"/>
        </w:rPr>
        <w:t>The merits</w:t>
      </w:r>
    </w:p>
    <w:p w14:paraId="42863F11" w14:textId="77777777" w:rsidR="007F4B65" w:rsidRDefault="007F4B65" w:rsidP="00367EEC">
      <w:pPr>
        <w:spacing w:after="0" w:line="480" w:lineRule="auto"/>
        <w:rPr>
          <w:rFonts w:ascii="Arial" w:eastAsiaTheme="minorHAnsi" w:hAnsi="Arial" w:cs="Arial"/>
          <w:b/>
          <w:bCs/>
          <w:color w:val="auto"/>
          <w:szCs w:val="24"/>
          <w:u w:val="single"/>
          <w:lang w:eastAsia="en-US"/>
        </w:rPr>
      </w:pPr>
    </w:p>
    <w:p w14:paraId="56BD2742" w14:textId="014D17C6" w:rsidR="00E21DB1" w:rsidRDefault="007F4B65" w:rsidP="00367EEC">
      <w:pPr>
        <w:spacing w:after="0" w:line="480" w:lineRule="auto"/>
        <w:ind w:left="567" w:hanging="533"/>
        <w:rPr>
          <w:rFonts w:ascii="Arial" w:eastAsiaTheme="minorHAnsi" w:hAnsi="Arial" w:cs="Arial"/>
          <w:color w:val="auto"/>
          <w:szCs w:val="24"/>
          <w:lang w:eastAsia="en-US"/>
        </w:rPr>
      </w:pPr>
      <w:r w:rsidRPr="007F4B65">
        <w:rPr>
          <w:rFonts w:ascii="Arial" w:eastAsiaTheme="minorHAnsi" w:hAnsi="Arial" w:cs="Arial"/>
          <w:color w:val="auto"/>
          <w:szCs w:val="24"/>
          <w:lang w:eastAsia="en-US"/>
        </w:rPr>
        <w:t>[1</w:t>
      </w:r>
      <w:r w:rsidR="0013200B">
        <w:rPr>
          <w:rFonts w:ascii="Arial" w:eastAsiaTheme="minorHAnsi" w:hAnsi="Arial" w:cs="Arial"/>
          <w:color w:val="auto"/>
          <w:szCs w:val="24"/>
          <w:lang w:eastAsia="en-US"/>
        </w:rPr>
        <w:t>1</w:t>
      </w:r>
      <w:r w:rsidRPr="007F4B65">
        <w:rPr>
          <w:rFonts w:ascii="Arial" w:eastAsiaTheme="minorHAnsi" w:hAnsi="Arial" w:cs="Arial"/>
          <w:color w:val="auto"/>
          <w:szCs w:val="24"/>
          <w:lang w:eastAsia="en-US"/>
        </w:rPr>
        <w:t xml:space="preserve">]  </w:t>
      </w:r>
      <w:r w:rsidR="00605627">
        <w:rPr>
          <w:rFonts w:ascii="Arial" w:eastAsiaTheme="minorHAnsi" w:hAnsi="Arial" w:cs="Arial"/>
          <w:color w:val="auto"/>
          <w:szCs w:val="24"/>
          <w:lang w:eastAsia="en-US"/>
        </w:rPr>
        <w:t>On behalf of the Respondents, Adv  N</w:t>
      </w:r>
      <w:r w:rsidR="00DD57D0">
        <w:rPr>
          <w:rFonts w:ascii="Arial" w:eastAsiaTheme="minorHAnsi" w:hAnsi="Arial" w:cs="Arial"/>
          <w:color w:val="auto"/>
          <w:szCs w:val="24"/>
          <w:lang w:eastAsia="en-US"/>
        </w:rPr>
        <w:t>gcukaitobi</w:t>
      </w:r>
      <w:r w:rsidR="00605627">
        <w:rPr>
          <w:rFonts w:ascii="Arial" w:eastAsiaTheme="minorHAnsi" w:hAnsi="Arial" w:cs="Arial"/>
          <w:color w:val="auto"/>
          <w:szCs w:val="24"/>
          <w:lang w:eastAsia="en-US"/>
        </w:rPr>
        <w:t xml:space="preserve"> SC </w:t>
      </w:r>
      <w:r w:rsidR="003C0BF4">
        <w:rPr>
          <w:rFonts w:ascii="Arial" w:eastAsiaTheme="minorHAnsi" w:hAnsi="Arial" w:cs="Arial"/>
          <w:color w:val="auto"/>
          <w:szCs w:val="24"/>
          <w:lang w:eastAsia="en-US"/>
        </w:rPr>
        <w:t>submitted</w:t>
      </w:r>
      <w:r w:rsidR="00605627">
        <w:rPr>
          <w:rFonts w:ascii="Arial" w:eastAsiaTheme="minorHAnsi" w:hAnsi="Arial" w:cs="Arial"/>
          <w:color w:val="auto"/>
          <w:szCs w:val="24"/>
          <w:lang w:eastAsia="en-US"/>
        </w:rPr>
        <w:t xml:space="preserve"> that in light of the fact that the order granted was not final in effect, it was therefor</w:t>
      </w:r>
      <w:r w:rsidR="003C0BF4">
        <w:rPr>
          <w:rFonts w:ascii="Arial" w:eastAsiaTheme="minorHAnsi" w:hAnsi="Arial" w:cs="Arial"/>
          <w:color w:val="auto"/>
          <w:szCs w:val="24"/>
          <w:lang w:eastAsia="en-US"/>
        </w:rPr>
        <w:t>e</w:t>
      </w:r>
      <w:r w:rsidR="00605627">
        <w:rPr>
          <w:rFonts w:ascii="Arial" w:eastAsiaTheme="minorHAnsi" w:hAnsi="Arial" w:cs="Arial"/>
          <w:color w:val="auto"/>
          <w:szCs w:val="24"/>
          <w:lang w:eastAsia="en-US"/>
        </w:rPr>
        <w:t xml:space="preserve"> not appealable and this Court should dismiss the application on this ground alone. Whilst Adv</w:t>
      </w:r>
      <w:r w:rsidR="00DD57D0">
        <w:rPr>
          <w:rFonts w:ascii="Arial" w:eastAsiaTheme="minorHAnsi" w:hAnsi="Arial" w:cs="Arial"/>
          <w:color w:val="auto"/>
          <w:szCs w:val="24"/>
          <w:lang w:eastAsia="en-US"/>
        </w:rPr>
        <w:t xml:space="preserve"> Ngcukaitobi </w:t>
      </w:r>
      <w:r w:rsidR="00605627">
        <w:rPr>
          <w:rFonts w:ascii="Arial" w:eastAsiaTheme="minorHAnsi" w:hAnsi="Arial" w:cs="Arial"/>
          <w:color w:val="auto"/>
          <w:szCs w:val="24"/>
          <w:lang w:eastAsia="en-US"/>
        </w:rPr>
        <w:t>SC</w:t>
      </w:r>
      <w:r w:rsidR="00904242">
        <w:rPr>
          <w:rFonts w:ascii="Arial" w:eastAsiaTheme="minorHAnsi" w:hAnsi="Arial" w:cs="Arial"/>
          <w:color w:val="auto"/>
          <w:szCs w:val="24"/>
          <w:lang w:eastAsia="en-US"/>
        </w:rPr>
        <w:t xml:space="preserve"> did not appear for the Respondents at the</w:t>
      </w:r>
      <w:r w:rsidR="0009178A">
        <w:rPr>
          <w:rFonts w:ascii="Arial" w:eastAsiaTheme="minorHAnsi" w:hAnsi="Arial" w:cs="Arial"/>
          <w:color w:val="auto"/>
          <w:szCs w:val="24"/>
          <w:lang w:eastAsia="en-US"/>
        </w:rPr>
        <w:t xml:space="preserve"> section 18</w:t>
      </w:r>
      <w:r w:rsidR="00904242">
        <w:rPr>
          <w:rFonts w:ascii="Arial" w:eastAsiaTheme="minorHAnsi" w:hAnsi="Arial" w:cs="Arial"/>
          <w:color w:val="auto"/>
          <w:szCs w:val="24"/>
          <w:lang w:eastAsia="en-US"/>
        </w:rPr>
        <w:t xml:space="preserve"> application the parties</w:t>
      </w:r>
      <w:r w:rsidR="00DD57D0">
        <w:rPr>
          <w:rFonts w:ascii="Arial" w:eastAsiaTheme="minorHAnsi" w:hAnsi="Arial" w:cs="Arial"/>
          <w:color w:val="auto"/>
          <w:szCs w:val="24"/>
          <w:lang w:eastAsia="en-US"/>
        </w:rPr>
        <w:t xml:space="preserve"> were </w:t>
      </w:r>
      <w:r w:rsidR="00904242" w:rsidRPr="00DD57D0">
        <w:rPr>
          <w:rFonts w:ascii="Arial" w:eastAsiaTheme="minorHAnsi" w:hAnsi="Arial" w:cs="Arial"/>
          <w:i/>
          <w:iCs/>
          <w:color w:val="auto"/>
          <w:szCs w:val="24"/>
          <w:lang w:eastAsia="en-US"/>
        </w:rPr>
        <w:t>a</w:t>
      </w:r>
      <w:r w:rsidR="00DD57D0" w:rsidRPr="00DD57D0">
        <w:rPr>
          <w:rFonts w:ascii="Arial" w:eastAsiaTheme="minorHAnsi" w:hAnsi="Arial" w:cs="Arial"/>
          <w:i/>
          <w:iCs/>
          <w:color w:val="auto"/>
          <w:szCs w:val="24"/>
          <w:lang w:eastAsia="en-US"/>
        </w:rPr>
        <w:t>d idem</w:t>
      </w:r>
      <w:r w:rsidR="00904242">
        <w:rPr>
          <w:rFonts w:ascii="Arial" w:eastAsiaTheme="minorHAnsi" w:hAnsi="Arial" w:cs="Arial"/>
          <w:color w:val="auto"/>
          <w:szCs w:val="24"/>
          <w:lang w:eastAsia="en-US"/>
        </w:rPr>
        <w:t xml:space="preserve"> </w:t>
      </w:r>
      <w:r w:rsidR="00DD7547">
        <w:rPr>
          <w:rFonts w:ascii="Arial" w:eastAsiaTheme="minorHAnsi" w:hAnsi="Arial" w:cs="Arial"/>
          <w:color w:val="auto"/>
          <w:szCs w:val="24"/>
          <w:lang w:eastAsia="en-US"/>
        </w:rPr>
        <w:t>at that application</w:t>
      </w:r>
      <w:r w:rsidR="00980695">
        <w:rPr>
          <w:rFonts w:ascii="Arial" w:eastAsiaTheme="minorHAnsi" w:hAnsi="Arial" w:cs="Arial"/>
          <w:color w:val="auto"/>
          <w:szCs w:val="24"/>
          <w:lang w:eastAsia="en-US"/>
        </w:rPr>
        <w:t xml:space="preserve"> </w:t>
      </w:r>
      <w:r w:rsidR="00904242">
        <w:rPr>
          <w:rFonts w:ascii="Arial" w:eastAsiaTheme="minorHAnsi" w:hAnsi="Arial" w:cs="Arial"/>
          <w:color w:val="auto"/>
          <w:szCs w:val="24"/>
          <w:lang w:eastAsia="en-US"/>
        </w:rPr>
        <w:t>that the order granted by this Court on the 12</w:t>
      </w:r>
      <w:r w:rsidR="00904242" w:rsidRPr="00904242">
        <w:rPr>
          <w:rFonts w:ascii="Arial" w:eastAsiaTheme="minorHAnsi" w:hAnsi="Arial" w:cs="Arial"/>
          <w:color w:val="auto"/>
          <w:szCs w:val="24"/>
          <w:vertAlign w:val="superscript"/>
          <w:lang w:eastAsia="en-US"/>
        </w:rPr>
        <w:t>th</w:t>
      </w:r>
      <w:r w:rsidR="00904242">
        <w:rPr>
          <w:rFonts w:ascii="Arial" w:eastAsiaTheme="minorHAnsi" w:hAnsi="Arial" w:cs="Arial"/>
          <w:color w:val="auto"/>
          <w:szCs w:val="24"/>
          <w:lang w:eastAsia="en-US"/>
        </w:rPr>
        <w:t xml:space="preserve"> of June 2023 </w:t>
      </w:r>
      <w:r w:rsidR="00DD57D0" w:rsidRPr="00980695">
        <w:rPr>
          <w:rFonts w:ascii="Arial" w:eastAsiaTheme="minorHAnsi" w:hAnsi="Arial" w:cs="Arial"/>
          <w:i/>
          <w:iCs/>
          <w:color w:val="auto"/>
          <w:szCs w:val="24"/>
          <w:lang w:eastAsia="en-US"/>
        </w:rPr>
        <w:t>did</w:t>
      </w:r>
      <w:r w:rsidR="00DD57D0">
        <w:rPr>
          <w:rFonts w:ascii="Arial" w:eastAsiaTheme="minorHAnsi" w:hAnsi="Arial" w:cs="Arial"/>
          <w:color w:val="auto"/>
          <w:szCs w:val="24"/>
          <w:lang w:eastAsia="en-US"/>
        </w:rPr>
        <w:t xml:space="preserve"> have the effect of a final judgment and was thus appealable</w:t>
      </w:r>
      <w:r w:rsidR="00277052">
        <w:rPr>
          <w:rStyle w:val="FootnoteReference"/>
          <w:rFonts w:ascii="Arial" w:eastAsiaTheme="minorHAnsi" w:hAnsi="Arial" w:cs="Arial"/>
          <w:color w:val="auto"/>
          <w:szCs w:val="24"/>
          <w:lang w:eastAsia="en-US"/>
        </w:rPr>
        <w:footnoteReference w:id="2"/>
      </w:r>
      <w:r w:rsidR="00DD57D0">
        <w:rPr>
          <w:rFonts w:ascii="Arial" w:eastAsiaTheme="minorHAnsi" w:hAnsi="Arial" w:cs="Arial"/>
          <w:color w:val="auto"/>
          <w:szCs w:val="24"/>
          <w:lang w:eastAsia="en-US"/>
        </w:rPr>
        <w:t>.</w:t>
      </w:r>
      <w:r w:rsidR="00E21DB1">
        <w:rPr>
          <w:rFonts w:ascii="Arial" w:eastAsiaTheme="minorHAnsi" w:hAnsi="Arial" w:cs="Arial"/>
          <w:color w:val="auto"/>
          <w:szCs w:val="24"/>
          <w:lang w:eastAsia="en-US"/>
        </w:rPr>
        <w:t xml:space="preserve"> Having heard full argument from both parties in respect of this issue</w:t>
      </w:r>
      <w:r w:rsidR="00DD57D0">
        <w:rPr>
          <w:rFonts w:ascii="Arial" w:eastAsiaTheme="minorHAnsi" w:hAnsi="Arial" w:cs="Arial"/>
          <w:color w:val="auto"/>
          <w:szCs w:val="24"/>
          <w:lang w:eastAsia="en-US"/>
        </w:rPr>
        <w:t>, this Court made a ruling in respect thereof</w:t>
      </w:r>
      <w:r w:rsidR="00E21DB1">
        <w:rPr>
          <w:rFonts w:ascii="Arial" w:eastAsiaTheme="minorHAnsi" w:hAnsi="Arial" w:cs="Arial"/>
          <w:color w:val="auto"/>
          <w:szCs w:val="24"/>
          <w:lang w:eastAsia="en-US"/>
        </w:rPr>
        <w:t xml:space="preserve"> that the order granted was of final effect and thus appealable.</w:t>
      </w:r>
      <w:r w:rsidR="00DD57D0">
        <w:rPr>
          <w:rFonts w:ascii="Arial" w:eastAsiaTheme="minorHAnsi" w:hAnsi="Arial" w:cs="Arial"/>
          <w:color w:val="auto"/>
          <w:szCs w:val="24"/>
          <w:lang w:eastAsia="en-US"/>
        </w:rPr>
        <w:t xml:space="preserve"> </w:t>
      </w:r>
      <w:r w:rsidR="00E21DB1">
        <w:rPr>
          <w:rFonts w:ascii="Arial" w:eastAsiaTheme="minorHAnsi" w:hAnsi="Arial" w:cs="Arial"/>
          <w:color w:val="auto"/>
          <w:szCs w:val="24"/>
          <w:lang w:eastAsia="en-US"/>
        </w:rPr>
        <w:t>A</w:t>
      </w:r>
      <w:r w:rsidR="00DD57D0">
        <w:rPr>
          <w:rFonts w:ascii="Arial" w:eastAsiaTheme="minorHAnsi" w:hAnsi="Arial" w:cs="Arial"/>
          <w:color w:val="auto"/>
          <w:szCs w:val="24"/>
          <w:lang w:eastAsia="en-US"/>
        </w:rPr>
        <w:t>s set out</w:t>
      </w:r>
      <w:r w:rsidR="00E21DB1">
        <w:rPr>
          <w:rFonts w:ascii="Arial" w:eastAsiaTheme="minorHAnsi" w:hAnsi="Arial" w:cs="Arial"/>
          <w:color w:val="auto"/>
          <w:szCs w:val="24"/>
          <w:lang w:eastAsia="en-US"/>
        </w:rPr>
        <w:t xml:space="preserve"> earlier in this judgment</w:t>
      </w:r>
      <w:r w:rsidR="00DD57D0">
        <w:rPr>
          <w:rFonts w:ascii="Arial" w:eastAsiaTheme="minorHAnsi" w:hAnsi="Arial" w:cs="Arial"/>
          <w:color w:val="auto"/>
          <w:szCs w:val="24"/>
          <w:lang w:eastAsia="en-US"/>
        </w:rPr>
        <w:t xml:space="preserve"> the application proceeded </w:t>
      </w:r>
      <w:r w:rsidR="00E21DB1">
        <w:rPr>
          <w:rFonts w:ascii="Arial" w:eastAsiaTheme="minorHAnsi" w:hAnsi="Arial" w:cs="Arial"/>
          <w:color w:val="auto"/>
          <w:szCs w:val="24"/>
          <w:lang w:eastAsia="en-US"/>
        </w:rPr>
        <w:t>with</w:t>
      </w:r>
      <w:r w:rsidR="00DD57D0">
        <w:rPr>
          <w:rFonts w:ascii="Arial" w:eastAsiaTheme="minorHAnsi" w:hAnsi="Arial" w:cs="Arial"/>
          <w:color w:val="auto"/>
          <w:szCs w:val="24"/>
          <w:lang w:eastAsia="en-US"/>
        </w:rPr>
        <w:t xml:space="preserve"> this Court ma</w:t>
      </w:r>
      <w:r w:rsidR="00E21DB1">
        <w:rPr>
          <w:rFonts w:ascii="Arial" w:eastAsiaTheme="minorHAnsi" w:hAnsi="Arial" w:cs="Arial"/>
          <w:color w:val="auto"/>
          <w:szCs w:val="24"/>
          <w:lang w:eastAsia="en-US"/>
        </w:rPr>
        <w:t>king</w:t>
      </w:r>
      <w:r w:rsidR="00DD57D0">
        <w:rPr>
          <w:rFonts w:ascii="Arial" w:eastAsiaTheme="minorHAnsi" w:hAnsi="Arial" w:cs="Arial"/>
          <w:color w:val="auto"/>
          <w:szCs w:val="24"/>
          <w:lang w:eastAsia="en-US"/>
        </w:rPr>
        <w:t xml:space="preserve"> an order on the 22</w:t>
      </w:r>
      <w:r w:rsidR="00DD57D0" w:rsidRPr="00DD57D0">
        <w:rPr>
          <w:rFonts w:ascii="Arial" w:eastAsiaTheme="minorHAnsi" w:hAnsi="Arial" w:cs="Arial"/>
          <w:color w:val="auto"/>
          <w:szCs w:val="24"/>
          <w:vertAlign w:val="superscript"/>
          <w:lang w:eastAsia="en-US"/>
        </w:rPr>
        <w:t>nd</w:t>
      </w:r>
      <w:r w:rsidR="00DD57D0">
        <w:rPr>
          <w:rFonts w:ascii="Arial" w:eastAsiaTheme="minorHAnsi" w:hAnsi="Arial" w:cs="Arial"/>
          <w:color w:val="auto"/>
          <w:szCs w:val="24"/>
          <w:lang w:eastAsia="en-US"/>
        </w:rPr>
        <w:t xml:space="preserve"> of August 2023</w:t>
      </w:r>
      <w:r w:rsidR="00277052">
        <w:rPr>
          <w:rStyle w:val="FootnoteReference"/>
          <w:rFonts w:ascii="Arial" w:eastAsiaTheme="minorHAnsi" w:hAnsi="Arial" w:cs="Arial"/>
          <w:color w:val="auto"/>
          <w:szCs w:val="24"/>
          <w:lang w:eastAsia="en-US"/>
        </w:rPr>
        <w:footnoteReference w:id="3"/>
      </w:r>
      <w:r w:rsidR="00DD57D0">
        <w:rPr>
          <w:rFonts w:ascii="Arial" w:eastAsiaTheme="minorHAnsi" w:hAnsi="Arial" w:cs="Arial"/>
          <w:color w:val="auto"/>
          <w:szCs w:val="24"/>
          <w:lang w:eastAsia="en-US"/>
        </w:rPr>
        <w:t xml:space="preserve">. </w:t>
      </w:r>
      <w:r w:rsidR="00E21DB1">
        <w:rPr>
          <w:rFonts w:ascii="Arial" w:eastAsiaTheme="minorHAnsi" w:hAnsi="Arial" w:cs="Arial"/>
          <w:color w:val="auto"/>
          <w:szCs w:val="24"/>
          <w:lang w:eastAsia="en-US"/>
        </w:rPr>
        <w:t xml:space="preserve">In the premises, this Court has already ruled on this issue. Further, even if this Court </w:t>
      </w:r>
      <w:r w:rsidR="006F5ED6">
        <w:rPr>
          <w:rFonts w:ascii="Arial" w:eastAsiaTheme="minorHAnsi" w:hAnsi="Arial" w:cs="Arial"/>
          <w:color w:val="auto"/>
          <w:szCs w:val="24"/>
          <w:lang w:eastAsia="en-US"/>
        </w:rPr>
        <w:t>was</w:t>
      </w:r>
      <w:r w:rsidR="00E21DB1">
        <w:rPr>
          <w:rFonts w:ascii="Arial" w:eastAsiaTheme="minorHAnsi" w:hAnsi="Arial" w:cs="Arial"/>
          <w:color w:val="auto"/>
          <w:szCs w:val="24"/>
          <w:lang w:eastAsia="en-US"/>
        </w:rPr>
        <w:t xml:space="preserve"> incorrect in that regard, in light of the decision reached</w:t>
      </w:r>
      <w:r w:rsidR="006F5ED6">
        <w:rPr>
          <w:rFonts w:ascii="Arial" w:eastAsiaTheme="minorHAnsi" w:hAnsi="Arial" w:cs="Arial"/>
          <w:color w:val="auto"/>
          <w:szCs w:val="24"/>
          <w:lang w:eastAsia="en-US"/>
        </w:rPr>
        <w:t xml:space="preserve"> in the </w:t>
      </w:r>
      <w:r w:rsidR="006F5ED6">
        <w:rPr>
          <w:rFonts w:ascii="Arial" w:eastAsiaTheme="minorHAnsi" w:hAnsi="Arial" w:cs="Arial"/>
          <w:color w:val="auto"/>
          <w:szCs w:val="24"/>
          <w:lang w:eastAsia="en-US"/>
        </w:rPr>
        <w:lastRenderedPageBreak/>
        <w:t>present application</w:t>
      </w:r>
      <w:r w:rsidR="00E21DB1">
        <w:rPr>
          <w:rFonts w:ascii="Arial" w:eastAsiaTheme="minorHAnsi" w:hAnsi="Arial" w:cs="Arial"/>
          <w:color w:val="auto"/>
          <w:szCs w:val="24"/>
          <w:lang w:eastAsia="en-US"/>
        </w:rPr>
        <w:t>, th</w:t>
      </w:r>
      <w:r w:rsidR="006F5ED6">
        <w:rPr>
          <w:rFonts w:ascii="Arial" w:eastAsiaTheme="minorHAnsi" w:hAnsi="Arial" w:cs="Arial"/>
          <w:color w:val="auto"/>
          <w:szCs w:val="24"/>
          <w:lang w:eastAsia="en-US"/>
        </w:rPr>
        <w:t>e appealability of the order</w:t>
      </w:r>
      <w:r w:rsidR="00E21DB1">
        <w:rPr>
          <w:rFonts w:ascii="Arial" w:eastAsiaTheme="minorHAnsi" w:hAnsi="Arial" w:cs="Arial"/>
          <w:color w:val="auto"/>
          <w:szCs w:val="24"/>
          <w:lang w:eastAsia="en-US"/>
        </w:rPr>
        <w:t xml:space="preserve"> ultimately has no bearing on the application by the Applicant for leave to appeal</w:t>
      </w:r>
      <w:r w:rsidR="006F5ED6">
        <w:rPr>
          <w:rFonts w:ascii="Arial" w:eastAsiaTheme="minorHAnsi" w:hAnsi="Arial" w:cs="Arial"/>
          <w:color w:val="auto"/>
          <w:szCs w:val="24"/>
          <w:lang w:eastAsia="en-US"/>
        </w:rPr>
        <w:t>.</w:t>
      </w:r>
    </w:p>
    <w:p w14:paraId="30EEBCCA" w14:textId="77777777" w:rsidR="00AE27DF" w:rsidRDefault="00AE27DF" w:rsidP="00367EEC">
      <w:pPr>
        <w:spacing w:after="0" w:line="480" w:lineRule="auto"/>
        <w:rPr>
          <w:rFonts w:ascii="Arial" w:eastAsiaTheme="minorHAnsi" w:hAnsi="Arial" w:cs="Arial"/>
          <w:color w:val="auto"/>
          <w:szCs w:val="24"/>
          <w:lang w:eastAsia="en-US"/>
        </w:rPr>
      </w:pPr>
    </w:p>
    <w:p w14:paraId="4D65592B" w14:textId="097A4EA5" w:rsidR="00AE27DF" w:rsidRPr="00AE27DF" w:rsidRDefault="00AE27DF" w:rsidP="00367EEC">
      <w:pPr>
        <w:spacing w:after="0" w:line="480" w:lineRule="auto"/>
        <w:rPr>
          <w:rFonts w:ascii="Arial" w:eastAsiaTheme="minorHAnsi" w:hAnsi="Arial" w:cs="Arial"/>
          <w:b/>
          <w:bCs/>
          <w:color w:val="auto"/>
          <w:szCs w:val="24"/>
          <w:u w:val="single"/>
          <w:lang w:eastAsia="en-US"/>
        </w:rPr>
      </w:pPr>
      <w:r w:rsidRPr="00AE27DF">
        <w:rPr>
          <w:rFonts w:ascii="Arial" w:eastAsiaTheme="minorHAnsi" w:hAnsi="Arial" w:cs="Arial"/>
          <w:b/>
          <w:bCs/>
          <w:color w:val="auto"/>
          <w:szCs w:val="24"/>
          <w:u w:val="single"/>
          <w:lang w:eastAsia="en-US"/>
        </w:rPr>
        <w:t>First main basis for leave to appeal</w:t>
      </w:r>
    </w:p>
    <w:p w14:paraId="76E0FD2A" w14:textId="77777777" w:rsidR="006F5ED6" w:rsidRDefault="006F5ED6" w:rsidP="00367EEC">
      <w:pPr>
        <w:spacing w:after="0" w:line="480" w:lineRule="auto"/>
        <w:rPr>
          <w:rFonts w:ascii="Arial" w:eastAsiaTheme="minorHAnsi" w:hAnsi="Arial" w:cs="Arial"/>
          <w:color w:val="auto"/>
          <w:szCs w:val="24"/>
          <w:lang w:eastAsia="en-US"/>
        </w:rPr>
      </w:pPr>
    </w:p>
    <w:p w14:paraId="1B9DBA4C" w14:textId="30C184D6" w:rsidR="006F5ED6" w:rsidRPr="003D2921" w:rsidRDefault="003D2921" w:rsidP="00367EEC">
      <w:pPr>
        <w:spacing w:after="0" w:line="480" w:lineRule="auto"/>
        <w:rPr>
          <w:rFonts w:ascii="Arial" w:eastAsiaTheme="minorHAnsi" w:hAnsi="Arial" w:cs="Arial"/>
          <w:b/>
          <w:bCs/>
          <w:color w:val="auto"/>
          <w:szCs w:val="24"/>
          <w:u w:val="single"/>
          <w:lang w:eastAsia="en-US"/>
        </w:rPr>
      </w:pPr>
      <w:r w:rsidRPr="003D2921">
        <w:rPr>
          <w:rFonts w:ascii="Arial" w:eastAsiaTheme="minorHAnsi" w:hAnsi="Arial" w:cs="Arial"/>
          <w:b/>
          <w:bCs/>
          <w:color w:val="auto"/>
          <w:szCs w:val="24"/>
          <w:u w:val="single"/>
          <w:lang w:eastAsia="en-US"/>
        </w:rPr>
        <w:t xml:space="preserve">The </w:t>
      </w:r>
      <w:r w:rsidRPr="00277052">
        <w:rPr>
          <w:rFonts w:ascii="Arial" w:eastAsiaTheme="minorHAnsi" w:hAnsi="Arial" w:cs="Arial"/>
          <w:b/>
          <w:bCs/>
          <w:i/>
          <w:color w:val="auto"/>
          <w:szCs w:val="24"/>
          <w:u w:val="single"/>
          <w:lang w:eastAsia="en-US"/>
        </w:rPr>
        <w:t>locus standi</w:t>
      </w:r>
      <w:r w:rsidRPr="003D2921">
        <w:rPr>
          <w:rFonts w:ascii="Arial" w:eastAsiaTheme="minorHAnsi" w:hAnsi="Arial" w:cs="Arial"/>
          <w:b/>
          <w:bCs/>
          <w:color w:val="auto"/>
          <w:szCs w:val="24"/>
          <w:u w:val="single"/>
          <w:lang w:eastAsia="en-US"/>
        </w:rPr>
        <w:t xml:space="preserve"> issue</w:t>
      </w:r>
    </w:p>
    <w:p w14:paraId="6F54D316" w14:textId="77777777" w:rsidR="006F5ED6" w:rsidRDefault="006F5ED6" w:rsidP="00367EEC">
      <w:pPr>
        <w:spacing w:after="0" w:line="480" w:lineRule="auto"/>
        <w:rPr>
          <w:rFonts w:ascii="Arial" w:eastAsiaTheme="minorHAnsi" w:hAnsi="Arial" w:cs="Arial"/>
          <w:color w:val="auto"/>
          <w:szCs w:val="24"/>
          <w:lang w:eastAsia="en-US"/>
        </w:rPr>
      </w:pPr>
    </w:p>
    <w:p w14:paraId="71D2EF94" w14:textId="1400675D" w:rsidR="006F5ED6" w:rsidRDefault="006F5ED6" w:rsidP="00367EEC">
      <w:pPr>
        <w:spacing w:after="0" w:line="480" w:lineRule="auto"/>
        <w:ind w:left="709" w:hanging="709"/>
        <w:rPr>
          <w:rFonts w:ascii="Arial" w:eastAsiaTheme="minorHAnsi" w:hAnsi="Arial" w:cs="Arial"/>
          <w:color w:val="auto"/>
          <w:szCs w:val="24"/>
          <w:lang w:eastAsia="en-US"/>
        </w:rPr>
      </w:pPr>
      <w:r>
        <w:rPr>
          <w:rFonts w:ascii="Arial" w:eastAsiaTheme="minorHAnsi" w:hAnsi="Arial" w:cs="Arial"/>
          <w:color w:val="auto"/>
          <w:szCs w:val="24"/>
          <w:lang w:eastAsia="en-US"/>
        </w:rPr>
        <w:t>[1</w:t>
      </w:r>
      <w:r w:rsidR="0013200B">
        <w:rPr>
          <w:rFonts w:ascii="Arial" w:eastAsiaTheme="minorHAnsi" w:hAnsi="Arial" w:cs="Arial"/>
          <w:color w:val="auto"/>
          <w:szCs w:val="24"/>
          <w:lang w:eastAsia="en-US"/>
        </w:rPr>
        <w:t>2</w:t>
      </w:r>
      <w:r>
        <w:rPr>
          <w:rFonts w:ascii="Arial" w:eastAsiaTheme="minorHAnsi" w:hAnsi="Arial" w:cs="Arial"/>
          <w:color w:val="auto"/>
          <w:szCs w:val="24"/>
          <w:lang w:eastAsia="en-US"/>
        </w:rPr>
        <w:t xml:space="preserve">]   </w:t>
      </w:r>
      <w:r w:rsidR="00E25442">
        <w:rPr>
          <w:rFonts w:ascii="Arial" w:eastAsiaTheme="minorHAnsi" w:hAnsi="Arial" w:cs="Arial"/>
          <w:color w:val="auto"/>
          <w:szCs w:val="24"/>
          <w:lang w:eastAsia="en-US"/>
        </w:rPr>
        <w:t xml:space="preserve"> </w:t>
      </w:r>
      <w:r>
        <w:rPr>
          <w:rFonts w:ascii="Arial" w:eastAsiaTheme="minorHAnsi" w:hAnsi="Arial" w:cs="Arial"/>
          <w:color w:val="auto"/>
          <w:szCs w:val="24"/>
          <w:lang w:eastAsia="en-US"/>
        </w:rPr>
        <w:t xml:space="preserve">For the Applicant, Adv van Nieuwenhuizen submitted that the Respondents had failed to establish that they had the requisite </w:t>
      </w:r>
      <w:r w:rsidRPr="006F5ED6">
        <w:rPr>
          <w:rFonts w:ascii="Arial" w:eastAsiaTheme="minorHAnsi" w:hAnsi="Arial" w:cs="Arial"/>
          <w:i/>
          <w:iCs/>
          <w:color w:val="auto"/>
          <w:szCs w:val="24"/>
          <w:lang w:eastAsia="en-US"/>
        </w:rPr>
        <w:t>locus standi</w:t>
      </w:r>
      <w:r>
        <w:rPr>
          <w:rFonts w:ascii="Arial" w:eastAsiaTheme="minorHAnsi" w:hAnsi="Arial" w:cs="Arial"/>
          <w:color w:val="auto"/>
          <w:szCs w:val="24"/>
          <w:lang w:eastAsia="en-US"/>
        </w:rPr>
        <w:t xml:space="preserve"> to institute the</w:t>
      </w:r>
      <w:r w:rsidR="0009178A">
        <w:rPr>
          <w:rFonts w:ascii="Arial" w:eastAsiaTheme="minorHAnsi" w:hAnsi="Arial" w:cs="Arial"/>
          <w:color w:val="auto"/>
          <w:szCs w:val="24"/>
          <w:lang w:eastAsia="en-US"/>
        </w:rPr>
        <w:t xml:space="preserve"> main</w:t>
      </w:r>
      <w:r>
        <w:rPr>
          <w:rFonts w:ascii="Arial" w:eastAsiaTheme="minorHAnsi" w:hAnsi="Arial" w:cs="Arial"/>
          <w:color w:val="auto"/>
          <w:szCs w:val="24"/>
          <w:lang w:eastAsia="en-US"/>
        </w:rPr>
        <w:t xml:space="preserve"> application for the relief sought and granted by this Court.</w:t>
      </w:r>
    </w:p>
    <w:p w14:paraId="14CFAA28" w14:textId="77777777" w:rsidR="009B3A5C" w:rsidRDefault="009B3A5C" w:rsidP="00367EEC">
      <w:pPr>
        <w:spacing w:after="0" w:line="480" w:lineRule="auto"/>
        <w:rPr>
          <w:rFonts w:ascii="Arial" w:eastAsiaTheme="minorHAnsi" w:hAnsi="Arial" w:cs="Arial"/>
          <w:color w:val="auto"/>
          <w:szCs w:val="24"/>
          <w:lang w:eastAsia="en-US"/>
        </w:rPr>
      </w:pPr>
    </w:p>
    <w:p w14:paraId="0D6E764C" w14:textId="6E8A117B" w:rsidR="00BA0977" w:rsidRDefault="009B3A5C" w:rsidP="00367EEC">
      <w:pPr>
        <w:spacing w:after="0" w:line="480" w:lineRule="auto"/>
        <w:ind w:left="709" w:hanging="709"/>
        <w:rPr>
          <w:rFonts w:ascii="Arial" w:eastAsiaTheme="minorHAnsi" w:hAnsi="Arial" w:cs="Arial"/>
          <w:color w:val="auto"/>
          <w:szCs w:val="24"/>
          <w:lang w:eastAsia="en-US"/>
        </w:rPr>
      </w:pPr>
      <w:r>
        <w:rPr>
          <w:rFonts w:ascii="Arial" w:eastAsiaTheme="minorHAnsi" w:hAnsi="Arial" w:cs="Arial"/>
          <w:color w:val="auto"/>
          <w:szCs w:val="24"/>
          <w:lang w:eastAsia="en-US"/>
        </w:rPr>
        <w:t>[1</w:t>
      </w:r>
      <w:r w:rsidR="0013200B">
        <w:rPr>
          <w:rFonts w:ascii="Arial" w:eastAsiaTheme="minorHAnsi" w:hAnsi="Arial" w:cs="Arial"/>
          <w:color w:val="auto"/>
          <w:szCs w:val="24"/>
          <w:lang w:eastAsia="en-US"/>
        </w:rPr>
        <w:t>3</w:t>
      </w:r>
      <w:r>
        <w:rPr>
          <w:rFonts w:ascii="Arial" w:eastAsiaTheme="minorHAnsi" w:hAnsi="Arial" w:cs="Arial"/>
          <w:color w:val="auto"/>
          <w:szCs w:val="24"/>
          <w:lang w:eastAsia="en-US"/>
        </w:rPr>
        <w:t xml:space="preserve">]  </w:t>
      </w:r>
      <w:r w:rsidR="00E25442">
        <w:rPr>
          <w:rFonts w:ascii="Arial" w:eastAsiaTheme="minorHAnsi" w:hAnsi="Arial" w:cs="Arial"/>
          <w:color w:val="auto"/>
          <w:szCs w:val="24"/>
          <w:lang w:eastAsia="en-US"/>
        </w:rPr>
        <w:t xml:space="preserve"> </w:t>
      </w:r>
      <w:r>
        <w:rPr>
          <w:rFonts w:ascii="Arial" w:eastAsiaTheme="minorHAnsi" w:hAnsi="Arial" w:cs="Arial"/>
          <w:color w:val="auto"/>
          <w:szCs w:val="24"/>
          <w:lang w:eastAsia="en-US"/>
        </w:rPr>
        <w:t>In the first instance, it is imperative to note that at the hearing of the</w:t>
      </w:r>
      <w:r w:rsidR="0009178A">
        <w:rPr>
          <w:rFonts w:ascii="Arial" w:eastAsiaTheme="minorHAnsi" w:hAnsi="Arial" w:cs="Arial"/>
          <w:color w:val="auto"/>
          <w:szCs w:val="24"/>
          <w:lang w:eastAsia="en-US"/>
        </w:rPr>
        <w:t xml:space="preserve"> section 18</w:t>
      </w:r>
      <w:r>
        <w:rPr>
          <w:rFonts w:ascii="Arial" w:eastAsiaTheme="minorHAnsi" w:hAnsi="Arial" w:cs="Arial"/>
          <w:color w:val="auto"/>
          <w:szCs w:val="24"/>
          <w:lang w:eastAsia="en-US"/>
        </w:rPr>
        <w:t xml:space="preserve"> application, Adv Baloyi SC (with her Adv van Nieuwenhuizen) on behalf of the Applicant </w:t>
      </w:r>
      <w:r w:rsidRPr="003D2921">
        <w:rPr>
          <w:rFonts w:ascii="Arial" w:eastAsiaTheme="minorHAnsi" w:hAnsi="Arial" w:cs="Arial"/>
          <w:i/>
          <w:iCs/>
          <w:color w:val="auto"/>
          <w:szCs w:val="24"/>
          <w:lang w:eastAsia="en-US"/>
        </w:rPr>
        <w:t>(the Respondent in that application)</w:t>
      </w:r>
      <w:r>
        <w:rPr>
          <w:rFonts w:ascii="Arial" w:eastAsiaTheme="minorHAnsi" w:hAnsi="Arial" w:cs="Arial"/>
          <w:color w:val="auto"/>
          <w:szCs w:val="24"/>
          <w:lang w:eastAsia="en-US"/>
        </w:rPr>
        <w:t xml:space="preserve"> specifically conceded and did not persist with the same point taken, </w:t>
      </w:r>
      <w:r w:rsidRPr="00352413">
        <w:rPr>
          <w:rFonts w:ascii="Arial" w:eastAsiaTheme="minorHAnsi" w:hAnsi="Arial" w:cs="Arial"/>
          <w:i/>
          <w:iCs/>
          <w:color w:val="auto"/>
          <w:szCs w:val="24"/>
          <w:lang w:eastAsia="en-US"/>
        </w:rPr>
        <w:t xml:space="preserve">in </w:t>
      </w:r>
      <w:r w:rsidR="0009178A" w:rsidRPr="00352413">
        <w:rPr>
          <w:rFonts w:ascii="Arial" w:eastAsiaTheme="minorHAnsi" w:hAnsi="Arial" w:cs="Arial"/>
          <w:i/>
          <w:iCs/>
          <w:color w:val="auto"/>
          <w:szCs w:val="24"/>
          <w:lang w:eastAsia="en-US"/>
        </w:rPr>
        <w:t>limine</w:t>
      </w:r>
      <w:r w:rsidR="0009178A">
        <w:rPr>
          <w:rFonts w:ascii="Arial" w:eastAsiaTheme="minorHAnsi" w:hAnsi="Arial" w:cs="Arial"/>
          <w:color w:val="auto"/>
          <w:szCs w:val="24"/>
          <w:lang w:eastAsia="en-US"/>
        </w:rPr>
        <w:t>, namely</w:t>
      </w:r>
      <w:r>
        <w:rPr>
          <w:rFonts w:ascii="Arial" w:eastAsiaTheme="minorHAnsi" w:hAnsi="Arial" w:cs="Arial"/>
          <w:color w:val="auto"/>
          <w:szCs w:val="24"/>
          <w:lang w:eastAsia="en-US"/>
        </w:rPr>
        <w:t xml:space="preserve"> that the Applicants</w:t>
      </w:r>
      <w:r w:rsidR="003D2921">
        <w:rPr>
          <w:rFonts w:ascii="Arial" w:eastAsiaTheme="minorHAnsi" w:hAnsi="Arial" w:cs="Arial"/>
          <w:color w:val="auto"/>
          <w:szCs w:val="24"/>
          <w:lang w:eastAsia="en-US"/>
        </w:rPr>
        <w:t xml:space="preserve"> </w:t>
      </w:r>
      <w:r w:rsidR="003D2921" w:rsidRPr="003D2921">
        <w:rPr>
          <w:rFonts w:ascii="Arial" w:eastAsiaTheme="minorHAnsi" w:hAnsi="Arial" w:cs="Arial"/>
          <w:i/>
          <w:iCs/>
          <w:color w:val="auto"/>
          <w:szCs w:val="24"/>
          <w:lang w:eastAsia="en-US"/>
        </w:rPr>
        <w:t>(Respondents in the present application)</w:t>
      </w:r>
      <w:r>
        <w:rPr>
          <w:rFonts w:ascii="Arial" w:eastAsiaTheme="minorHAnsi" w:hAnsi="Arial" w:cs="Arial"/>
          <w:color w:val="auto"/>
          <w:szCs w:val="24"/>
          <w:lang w:eastAsia="en-US"/>
        </w:rPr>
        <w:t xml:space="preserve"> did not have the requisite </w:t>
      </w:r>
      <w:r w:rsidRPr="00352413">
        <w:rPr>
          <w:rFonts w:ascii="Arial" w:eastAsiaTheme="minorHAnsi" w:hAnsi="Arial" w:cs="Arial"/>
          <w:i/>
          <w:iCs/>
          <w:color w:val="auto"/>
          <w:szCs w:val="24"/>
          <w:lang w:eastAsia="en-US"/>
        </w:rPr>
        <w:t>locus standi</w:t>
      </w:r>
      <w:r>
        <w:rPr>
          <w:rFonts w:ascii="Arial" w:eastAsiaTheme="minorHAnsi" w:hAnsi="Arial" w:cs="Arial"/>
          <w:color w:val="auto"/>
          <w:szCs w:val="24"/>
          <w:lang w:eastAsia="en-US"/>
        </w:rPr>
        <w:t xml:space="preserve"> to institute that application.</w:t>
      </w:r>
      <w:r w:rsidR="00352413">
        <w:rPr>
          <w:rFonts w:ascii="Arial" w:eastAsiaTheme="minorHAnsi" w:hAnsi="Arial" w:cs="Arial"/>
          <w:color w:val="auto"/>
          <w:szCs w:val="24"/>
          <w:lang w:eastAsia="en-US"/>
        </w:rPr>
        <w:t xml:space="preserve"> In its judgment in the section 18 application, this Court found that the said concession had been correctly made</w:t>
      </w:r>
      <w:r w:rsidR="00367EEC">
        <w:rPr>
          <w:rFonts w:ascii="Arial" w:eastAsiaTheme="minorHAnsi" w:hAnsi="Arial" w:cs="Arial"/>
          <w:color w:val="auto"/>
          <w:szCs w:val="24"/>
          <w:lang w:eastAsia="en-US"/>
        </w:rPr>
        <w:t xml:space="preserve">. </w:t>
      </w:r>
      <w:r w:rsidR="00352413">
        <w:rPr>
          <w:rFonts w:ascii="Arial" w:eastAsiaTheme="minorHAnsi" w:hAnsi="Arial" w:cs="Arial"/>
          <w:color w:val="auto"/>
          <w:szCs w:val="24"/>
          <w:lang w:eastAsia="en-US"/>
        </w:rPr>
        <w:t xml:space="preserve">For that reason, coupled with the reasons set out hereunder, this Court not only remains of the opinion that the Respondents had the requisite </w:t>
      </w:r>
      <w:r w:rsidR="00352413" w:rsidRPr="00352413">
        <w:rPr>
          <w:rFonts w:ascii="Arial" w:eastAsiaTheme="minorHAnsi" w:hAnsi="Arial" w:cs="Arial"/>
          <w:i/>
          <w:iCs/>
          <w:color w:val="auto"/>
          <w:szCs w:val="24"/>
          <w:lang w:eastAsia="en-US"/>
        </w:rPr>
        <w:t>locus standi</w:t>
      </w:r>
      <w:r w:rsidR="00352413">
        <w:rPr>
          <w:rFonts w:ascii="Arial" w:eastAsiaTheme="minorHAnsi" w:hAnsi="Arial" w:cs="Arial"/>
          <w:color w:val="auto"/>
          <w:szCs w:val="24"/>
          <w:lang w:eastAsia="en-US"/>
        </w:rPr>
        <w:t xml:space="preserve"> to institute the</w:t>
      </w:r>
      <w:r w:rsidR="0009178A">
        <w:rPr>
          <w:rFonts w:ascii="Arial" w:eastAsiaTheme="minorHAnsi" w:hAnsi="Arial" w:cs="Arial"/>
          <w:color w:val="auto"/>
          <w:szCs w:val="24"/>
          <w:lang w:eastAsia="en-US"/>
        </w:rPr>
        <w:t xml:space="preserve"> main</w:t>
      </w:r>
      <w:r w:rsidR="00352413">
        <w:rPr>
          <w:rFonts w:ascii="Arial" w:eastAsiaTheme="minorHAnsi" w:hAnsi="Arial" w:cs="Arial"/>
          <w:color w:val="auto"/>
          <w:szCs w:val="24"/>
          <w:lang w:eastAsia="en-US"/>
        </w:rPr>
        <w:t xml:space="preserve"> application but that, within the context of the present application, there is no reasonable prospect of another Court </w:t>
      </w:r>
      <w:r w:rsidR="00BA0977">
        <w:rPr>
          <w:rFonts w:ascii="Arial" w:eastAsiaTheme="minorHAnsi" w:hAnsi="Arial" w:cs="Arial"/>
          <w:color w:val="auto"/>
          <w:szCs w:val="24"/>
          <w:lang w:eastAsia="en-US"/>
        </w:rPr>
        <w:t>finding that the Respondents did not.</w:t>
      </w:r>
    </w:p>
    <w:p w14:paraId="2C68D841" w14:textId="77777777" w:rsidR="00BA0977" w:rsidRDefault="00BA0977" w:rsidP="00367EEC">
      <w:pPr>
        <w:spacing w:after="0" w:line="480" w:lineRule="auto"/>
        <w:rPr>
          <w:rFonts w:ascii="Arial" w:eastAsiaTheme="minorHAnsi" w:hAnsi="Arial" w:cs="Arial"/>
          <w:color w:val="auto"/>
          <w:szCs w:val="24"/>
          <w:lang w:eastAsia="en-US"/>
        </w:rPr>
      </w:pPr>
    </w:p>
    <w:p w14:paraId="4367BAD2" w14:textId="76A7EA35" w:rsidR="00503966" w:rsidRDefault="00BA0977" w:rsidP="00367EEC">
      <w:pPr>
        <w:spacing w:after="0" w:line="480" w:lineRule="auto"/>
        <w:ind w:left="709" w:hanging="675"/>
        <w:rPr>
          <w:rFonts w:ascii="Arial" w:eastAsiaTheme="minorHAnsi" w:hAnsi="Arial" w:cs="Arial"/>
          <w:color w:val="auto"/>
          <w:szCs w:val="24"/>
          <w:lang w:eastAsia="en-US"/>
        </w:rPr>
      </w:pPr>
      <w:r>
        <w:rPr>
          <w:rFonts w:ascii="Arial" w:eastAsiaTheme="minorHAnsi" w:hAnsi="Arial" w:cs="Arial"/>
          <w:color w:val="auto"/>
          <w:szCs w:val="24"/>
          <w:lang w:eastAsia="en-US"/>
        </w:rPr>
        <w:t>[1</w:t>
      </w:r>
      <w:r w:rsidR="0013200B">
        <w:rPr>
          <w:rFonts w:ascii="Arial" w:eastAsiaTheme="minorHAnsi" w:hAnsi="Arial" w:cs="Arial"/>
          <w:color w:val="auto"/>
          <w:szCs w:val="24"/>
          <w:lang w:eastAsia="en-US"/>
        </w:rPr>
        <w:t>4</w:t>
      </w:r>
      <w:r>
        <w:rPr>
          <w:rFonts w:ascii="Arial" w:eastAsiaTheme="minorHAnsi" w:hAnsi="Arial" w:cs="Arial"/>
          <w:color w:val="auto"/>
          <w:szCs w:val="24"/>
          <w:lang w:eastAsia="en-US"/>
        </w:rPr>
        <w:t xml:space="preserve">]   </w:t>
      </w:r>
      <w:r w:rsidR="00E25442">
        <w:rPr>
          <w:rFonts w:ascii="Arial" w:eastAsiaTheme="minorHAnsi" w:hAnsi="Arial" w:cs="Arial"/>
          <w:color w:val="auto"/>
          <w:szCs w:val="24"/>
          <w:lang w:eastAsia="en-US"/>
        </w:rPr>
        <w:t xml:space="preserve"> </w:t>
      </w:r>
      <w:r>
        <w:rPr>
          <w:rFonts w:ascii="Arial" w:eastAsiaTheme="minorHAnsi" w:hAnsi="Arial" w:cs="Arial"/>
          <w:color w:val="auto"/>
          <w:szCs w:val="24"/>
          <w:lang w:eastAsia="en-US"/>
        </w:rPr>
        <w:t xml:space="preserve">In this regard, it was pointed out by Adv Ngcukaitobi SC that there was nothing in either the various agreements entered into between the parties or the agreements entered </w:t>
      </w:r>
      <w:r>
        <w:rPr>
          <w:rFonts w:ascii="Arial" w:eastAsiaTheme="minorHAnsi" w:hAnsi="Arial" w:cs="Arial"/>
          <w:color w:val="auto"/>
          <w:szCs w:val="24"/>
          <w:lang w:eastAsia="en-US"/>
        </w:rPr>
        <w:lastRenderedPageBreak/>
        <w:t xml:space="preserve">into between the Respondents and </w:t>
      </w:r>
      <w:r w:rsidR="00D0264E">
        <w:rPr>
          <w:rFonts w:ascii="Arial" w:eastAsiaTheme="minorHAnsi" w:hAnsi="Arial" w:cs="Arial"/>
          <w:color w:val="auto"/>
          <w:szCs w:val="24"/>
          <w:lang w:eastAsia="en-US"/>
        </w:rPr>
        <w:t xml:space="preserve">third parties that prohibited the Respondents from seeking protection of their rights in and to certain songs (without the joinder of </w:t>
      </w:r>
      <w:r w:rsidR="0009178A">
        <w:rPr>
          <w:rFonts w:ascii="Arial" w:eastAsiaTheme="minorHAnsi" w:hAnsi="Arial" w:cs="Arial"/>
          <w:color w:val="auto"/>
          <w:szCs w:val="24"/>
          <w:lang w:eastAsia="en-US"/>
        </w:rPr>
        <w:t>any</w:t>
      </w:r>
      <w:r w:rsidR="00D0264E">
        <w:rPr>
          <w:rFonts w:ascii="Arial" w:eastAsiaTheme="minorHAnsi" w:hAnsi="Arial" w:cs="Arial"/>
          <w:color w:val="auto"/>
          <w:szCs w:val="24"/>
          <w:lang w:eastAsia="en-US"/>
        </w:rPr>
        <w:t xml:space="preserve"> other parties who may have been involved in the creation thereof and who may also have certain proprietary rights in relation to those songs).</w:t>
      </w:r>
      <w:r w:rsidR="00867221">
        <w:rPr>
          <w:rFonts w:ascii="Arial" w:eastAsiaTheme="minorHAnsi" w:hAnsi="Arial" w:cs="Arial"/>
          <w:color w:val="auto"/>
          <w:szCs w:val="24"/>
          <w:lang w:eastAsia="en-US"/>
        </w:rPr>
        <w:t>It is also worthy to note</w:t>
      </w:r>
      <w:r w:rsidR="0009178A">
        <w:rPr>
          <w:rFonts w:ascii="Arial" w:eastAsiaTheme="minorHAnsi" w:hAnsi="Arial" w:cs="Arial"/>
          <w:color w:val="auto"/>
          <w:szCs w:val="24"/>
          <w:lang w:eastAsia="en-US"/>
        </w:rPr>
        <w:t>,</w:t>
      </w:r>
      <w:r w:rsidR="00867221">
        <w:rPr>
          <w:rFonts w:ascii="Arial" w:eastAsiaTheme="minorHAnsi" w:hAnsi="Arial" w:cs="Arial"/>
          <w:color w:val="auto"/>
          <w:szCs w:val="24"/>
          <w:lang w:eastAsia="en-US"/>
        </w:rPr>
        <w:t xml:space="preserve"> at this stage</w:t>
      </w:r>
      <w:r w:rsidR="0009178A">
        <w:rPr>
          <w:rFonts w:ascii="Arial" w:eastAsiaTheme="minorHAnsi" w:hAnsi="Arial" w:cs="Arial"/>
          <w:color w:val="auto"/>
          <w:szCs w:val="24"/>
          <w:lang w:eastAsia="en-US"/>
        </w:rPr>
        <w:t>,</w:t>
      </w:r>
      <w:r w:rsidR="00867221">
        <w:rPr>
          <w:rFonts w:ascii="Arial" w:eastAsiaTheme="minorHAnsi" w:hAnsi="Arial" w:cs="Arial"/>
          <w:color w:val="auto"/>
          <w:szCs w:val="24"/>
          <w:lang w:eastAsia="en-US"/>
        </w:rPr>
        <w:t xml:space="preserve"> that a further point </w:t>
      </w:r>
      <w:r w:rsidR="00867221" w:rsidRPr="00867221">
        <w:rPr>
          <w:rFonts w:ascii="Arial" w:eastAsiaTheme="minorHAnsi" w:hAnsi="Arial" w:cs="Arial"/>
          <w:i/>
          <w:iCs/>
          <w:color w:val="auto"/>
          <w:szCs w:val="24"/>
          <w:lang w:eastAsia="en-US"/>
        </w:rPr>
        <w:t>in limine</w:t>
      </w:r>
      <w:r w:rsidR="00867221">
        <w:rPr>
          <w:rFonts w:ascii="Arial" w:eastAsiaTheme="minorHAnsi" w:hAnsi="Arial" w:cs="Arial"/>
          <w:color w:val="auto"/>
          <w:szCs w:val="24"/>
          <w:lang w:eastAsia="en-US"/>
        </w:rPr>
        <w:t xml:space="preserve"> raised by the Applicant at the hearing of the</w:t>
      </w:r>
      <w:r w:rsidR="0009178A">
        <w:rPr>
          <w:rFonts w:ascii="Arial" w:eastAsiaTheme="minorHAnsi" w:hAnsi="Arial" w:cs="Arial"/>
          <w:color w:val="auto"/>
          <w:szCs w:val="24"/>
          <w:lang w:eastAsia="en-US"/>
        </w:rPr>
        <w:t xml:space="preserve"> main</w:t>
      </w:r>
      <w:r w:rsidR="00867221">
        <w:rPr>
          <w:rFonts w:ascii="Arial" w:eastAsiaTheme="minorHAnsi" w:hAnsi="Arial" w:cs="Arial"/>
          <w:color w:val="auto"/>
          <w:szCs w:val="24"/>
          <w:lang w:eastAsia="en-US"/>
        </w:rPr>
        <w:t xml:space="preserve"> application</w:t>
      </w:r>
      <w:r w:rsidR="0009178A">
        <w:rPr>
          <w:rFonts w:ascii="Arial" w:eastAsiaTheme="minorHAnsi" w:hAnsi="Arial" w:cs="Arial"/>
          <w:color w:val="auto"/>
          <w:szCs w:val="24"/>
          <w:lang w:eastAsia="en-US"/>
        </w:rPr>
        <w:t>,</w:t>
      </w:r>
      <w:r w:rsidR="00867221">
        <w:rPr>
          <w:rFonts w:ascii="Arial" w:eastAsiaTheme="minorHAnsi" w:hAnsi="Arial" w:cs="Arial"/>
          <w:color w:val="auto"/>
          <w:szCs w:val="24"/>
          <w:lang w:eastAsia="en-US"/>
        </w:rPr>
        <w:t xml:space="preserve"> in respect of non-joinder</w:t>
      </w:r>
      <w:r w:rsidR="0009178A">
        <w:rPr>
          <w:rFonts w:ascii="Arial" w:eastAsiaTheme="minorHAnsi" w:hAnsi="Arial" w:cs="Arial"/>
          <w:color w:val="auto"/>
          <w:szCs w:val="24"/>
          <w:lang w:eastAsia="en-US"/>
        </w:rPr>
        <w:t>,</w:t>
      </w:r>
      <w:r w:rsidR="00867221">
        <w:rPr>
          <w:rFonts w:ascii="Arial" w:eastAsiaTheme="minorHAnsi" w:hAnsi="Arial" w:cs="Arial"/>
          <w:color w:val="auto"/>
          <w:szCs w:val="24"/>
          <w:lang w:eastAsia="en-US"/>
        </w:rPr>
        <w:t xml:space="preserve"> was abandoned by the Applicant, </w:t>
      </w:r>
      <w:r w:rsidR="00867221" w:rsidRPr="00867221">
        <w:rPr>
          <w:rFonts w:ascii="Arial" w:eastAsiaTheme="minorHAnsi" w:hAnsi="Arial" w:cs="Arial"/>
          <w:i/>
          <w:iCs/>
          <w:color w:val="auto"/>
          <w:szCs w:val="24"/>
          <w:lang w:eastAsia="en-US"/>
        </w:rPr>
        <w:t>alternatively</w:t>
      </w:r>
      <w:r w:rsidR="00867221">
        <w:rPr>
          <w:rFonts w:ascii="Arial" w:eastAsiaTheme="minorHAnsi" w:hAnsi="Arial" w:cs="Arial"/>
          <w:color w:val="auto"/>
          <w:szCs w:val="24"/>
          <w:lang w:eastAsia="en-US"/>
        </w:rPr>
        <w:t>, not persisted with</w:t>
      </w:r>
      <w:r w:rsidR="0064157C">
        <w:rPr>
          <w:rFonts w:ascii="Arial" w:eastAsiaTheme="minorHAnsi" w:hAnsi="Arial" w:cs="Arial"/>
          <w:color w:val="auto"/>
          <w:szCs w:val="24"/>
          <w:lang w:eastAsia="en-US"/>
        </w:rPr>
        <w:t xml:space="preserve"> (once again, correctly in the opinion of this Court).</w:t>
      </w:r>
      <w:r w:rsidR="00D0264E">
        <w:rPr>
          <w:rFonts w:ascii="Arial" w:eastAsiaTheme="minorHAnsi" w:hAnsi="Arial" w:cs="Arial"/>
          <w:color w:val="auto"/>
          <w:szCs w:val="24"/>
          <w:lang w:eastAsia="en-US"/>
        </w:rPr>
        <w:t xml:space="preserve"> </w:t>
      </w:r>
      <w:r w:rsidR="0009178A">
        <w:rPr>
          <w:rFonts w:ascii="Arial" w:eastAsiaTheme="minorHAnsi" w:hAnsi="Arial" w:cs="Arial"/>
          <w:color w:val="auto"/>
          <w:szCs w:val="24"/>
          <w:lang w:eastAsia="en-US"/>
        </w:rPr>
        <w:t>A</w:t>
      </w:r>
      <w:r w:rsidR="00D0264E">
        <w:rPr>
          <w:rFonts w:ascii="Arial" w:eastAsiaTheme="minorHAnsi" w:hAnsi="Arial" w:cs="Arial"/>
          <w:color w:val="auto"/>
          <w:szCs w:val="24"/>
          <w:lang w:eastAsia="en-US"/>
        </w:rPr>
        <w:t>s to the argument</w:t>
      </w:r>
      <w:r w:rsidR="0009178A">
        <w:rPr>
          <w:rFonts w:ascii="Arial" w:eastAsiaTheme="minorHAnsi" w:hAnsi="Arial" w:cs="Arial"/>
          <w:color w:val="auto"/>
          <w:szCs w:val="24"/>
          <w:lang w:eastAsia="en-US"/>
        </w:rPr>
        <w:t xml:space="preserve"> on behalf of the Applicant</w:t>
      </w:r>
      <w:r w:rsidR="00D0264E">
        <w:rPr>
          <w:rFonts w:ascii="Arial" w:eastAsiaTheme="minorHAnsi" w:hAnsi="Arial" w:cs="Arial"/>
          <w:color w:val="auto"/>
          <w:szCs w:val="24"/>
          <w:lang w:eastAsia="en-US"/>
        </w:rPr>
        <w:t xml:space="preserve"> that the Respondents</w:t>
      </w:r>
      <w:r w:rsidR="00867221">
        <w:rPr>
          <w:rFonts w:ascii="Arial" w:eastAsiaTheme="minorHAnsi" w:hAnsi="Arial" w:cs="Arial"/>
          <w:color w:val="auto"/>
          <w:szCs w:val="24"/>
          <w:lang w:eastAsia="en-US"/>
        </w:rPr>
        <w:t xml:space="preserve"> had failed to show that these other parties had</w:t>
      </w:r>
      <w:r w:rsidR="00D0264E">
        <w:rPr>
          <w:rFonts w:ascii="Arial" w:eastAsiaTheme="minorHAnsi" w:hAnsi="Arial" w:cs="Arial"/>
          <w:color w:val="auto"/>
          <w:szCs w:val="24"/>
          <w:lang w:eastAsia="en-US"/>
        </w:rPr>
        <w:t xml:space="preserve"> ceded their rights</w:t>
      </w:r>
      <w:r w:rsidR="00867221">
        <w:rPr>
          <w:rFonts w:ascii="Arial" w:eastAsiaTheme="minorHAnsi" w:hAnsi="Arial" w:cs="Arial"/>
          <w:color w:val="auto"/>
          <w:szCs w:val="24"/>
          <w:lang w:eastAsia="en-US"/>
        </w:rPr>
        <w:t xml:space="preserve"> to the Respondents</w:t>
      </w:r>
      <w:r w:rsidR="00D0264E">
        <w:rPr>
          <w:rFonts w:ascii="Arial" w:eastAsiaTheme="minorHAnsi" w:hAnsi="Arial" w:cs="Arial"/>
          <w:color w:val="auto"/>
          <w:szCs w:val="24"/>
          <w:lang w:eastAsia="en-US"/>
        </w:rPr>
        <w:t>, it was also pointed out by Counsel for the Respondents that this point had never been raised</w:t>
      </w:r>
      <w:r w:rsidR="00503966">
        <w:rPr>
          <w:rFonts w:ascii="Arial" w:eastAsiaTheme="minorHAnsi" w:hAnsi="Arial" w:cs="Arial"/>
          <w:color w:val="auto"/>
          <w:szCs w:val="24"/>
          <w:lang w:eastAsia="en-US"/>
        </w:rPr>
        <w:t xml:space="preserve"> (certainly not in oral argument before this Court)</w:t>
      </w:r>
      <w:r w:rsidR="00D0264E">
        <w:rPr>
          <w:rFonts w:ascii="Arial" w:eastAsiaTheme="minorHAnsi" w:hAnsi="Arial" w:cs="Arial"/>
          <w:color w:val="auto"/>
          <w:szCs w:val="24"/>
          <w:lang w:eastAsia="en-US"/>
        </w:rPr>
        <w:t xml:space="preserve"> on behalf of the Applicant when the</w:t>
      </w:r>
      <w:r w:rsidR="009B4570">
        <w:rPr>
          <w:rFonts w:ascii="Arial" w:eastAsiaTheme="minorHAnsi" w:hAnsi="Arial" w:cs="Arial"/>
          <w:color w:val="auto"/>
          <w:szCs w:val="24"/>
          <w:lang w:eastAsia="en-US"/>
        </w:rPr>
        <w:t xml:space="preserve"> main</w:t>
      </w:r>
      <w:r w:rsidR="00D0264E">
        <w:rPr>
          <w:rFonts w:ascii="Arial" w:eastAsiaTheme="minorHAnsi" w:hAnsi="Arial" w:cs="Arial"/>
          <w:color w:val="auto"/>
          <w:szCs w:val="24"/>
          <w:lang w:eastAsia="en-US"/>
        </w:rPr>
        <w:t xml:space="preserve"> application had been heard b</w:t>
      </w:r>
      <w:r w:rsidR="00503966">
        <w:rPr>
          <w:rFonts w:ascii="Arial" w:eastAsiaTheme="minorHAnsi" w:hAnsi="Arial" w:cs="Arial"/>
          <w:color w:val="auto"/>
          <w:szCs w:val="24"/>
          <w:lang w:eastAsia="en-US"/>
        </w:rPr>
        <w:t>y</w:t>
      </w:r>
      <w:r w:rsidR="00D0264E">
        <w:rPr>
          <w:rFonts w:ascii="Arial" w:eastAsiaTheme="minorHAnsi" w:hAnsi="Arial" w:cs="Arial"/>
          <w:color w:val="auto"/>
          <w:szCs w:val="24"/>
          <w:lang w:eastAsia="en-US"/>
        </w:rPr>
        <w:t xml:space="preserve"> this Court.</w:t>
      </w:r>
    </w:p>
    <w:p w14:paraId="64CDFCC1" w14:textId="77777777" w:rsidR="00503966" w:rsidRDefault="00503966" w:rsidP="00367EEC">
      <w:pPr>
        <w:spacing w:after="0" w:line="480" w:lineRule="auto"/>
        <w:rPr>
          <w:rFonts w:ascii="Arial" w:eastAsiaTheme="minorHAnsi" w:hAnsi="Arial" w:cs="Arial"/>
          <w:color w:val="auto"/>
          <w:szCs w:val="24"/>
          <w:lang w:eastAsia="en-US"/>
        </w:rPr>
      </w:pPr>
    </w:p>
    <w:p w14:paraId="569046D9" w14:textId="77777777" w:rsidR="00503966" w:rsidRDefault="00503966" w:rsidP="00367EEC">
      <w:pPr>
        <w:spacing w:after="0" w:line="480" w:lineRule="auto"/>
        <w:rPr>
          <w:rFonts w:ascii="Arial" w:eastAsiaTheme="minorHAnsi" w:hAnsi="Arial" w:cs="Arial"/>
          <w:color w:val="auto"/>
          <w:szCs w:val="24"/>
          <w:lang w:eastAsia="en-US"/>
        </w:rPr>
      </w:pPr>
    </w:p>
    <w:p w14:paraId="282BD835" w14:textId="5BAA5323" w:rsidR="00ED78DE" w:rsidRDefault="00503966" w:rsidP="00367EEC">
      <w:pPr>
        <w:spacing w:after="0" w:line="480" w:lineRule="auto"/>
        <w:ind w:left="709" w:hanging="567"/>
        <w:rPr>
          <w:rFonts w:ascii="Arial" w:eastAsiaTheme="minorHAnsi" w:hAnsi="Arial" w:cs="Arial"/>
          <w:color w:val="auto"/>
          <w:szCs w:val="24"/>
          <w:lang w:eastAsia="en-US"/>
        </w:rPr>
      </w:pPr>
      <w:r>
        <w:rPr>
          <w:rFonts w:ascii="Arial" w:eastAsiaTheme="minorHAnsi" w:hAnsi="Arial" w:cs="Arial"/>
          <w:color w:val="auto"/>
          <w:szCs w:val="24"/>
          <w:lang w:eastAsia="en-US"/>
        </w:rPr>
        <w:t xml:space="preserve">[15]   </w:t>
      </w:r>
      <w:r w:rsidR="009B4570">
        <w:rPr>
          <w:rFonts w:ascii="Arial" w:eastAsiaTheme="minorHAnsi" w:hAnsi="Arial" w:cs="Arial"/>
          <w:color w:val="auto"/>
          <w:szCs w:val="24"/>
          <w:lang w:eastAsia="en-US"/>
        </w:rPr>
        <w:t>With regard to</w:t>
      </w:r>
      <w:r w:rsidR="00F36AEF">
        <w:rPr>
          <w:rFonts w:ascii="Arial" w:eastAsiaTheme="minorHAnsi" w:hAnsi="Arial" w:cs="Arial"/>
          <w:color w:val="auto"/>
          <w:szCs w:val="24"/>
          <w:lang w:eastAsia="en-US"/>
        </w:rPr>
        <w:t xml:space="preserve"> the submission made on behalf of the Applicant that the failure of this Court to deal directly in its judgment with the </w:t>
      </w:r>
      <w:r w:rsidR="00F36AEF" w:rsidRPr="009B4570">
        <w:rPr>
          <w:rFonts w:ascii="Arial" w:eastAsiaTheme="minorHAnsi" w:hAnsi="Arial" w:cs="Arial"/>
          <w:i/>
          <w:iCs/>
          <w:color w:val="auto"/>
          <w:szCs w:val="24"/>
          <w:lang w:eastAsia="en-US"/>
        </w:rPr>
        <w:t>locus standi</w:t>
      </w:r>
      <w:r w:rsidR="00F36AEF">
        <w:rPr>
          <w:rFonts w:ascii="Arial" w:eastAsiaTheme="minorHAnsi" w:hAnsi="Arial" w:cs="Arial"/>
          <w:color w:val="auto"/>
          <w:szCs w:val="24"/>
          <w:lang w:eastAsia="en-US"/>
        </w:rPr>
        <w:t xml:space="preserve"> issue, making no specific finding in respect thereof and that this constitutes a ground for appeal</w:t>
      </w:r>
      <w:r w:rsidR="00ED78DE">
        <w:rPr>
          <w:rFonts w:ascii="Arial" w:eastAsiaTheme="minorHAnsi" w:hAnsi="Arial" w:cs="Arial"/>
          <w:color w:val="auto"/>
          <w:szCs w:val="24"/>
          <w:lang w:eastAsia="en-US"/>
        </w:rPr>
        <w:t>, Counsel for the Respondents submitted that in considering whether or not to grant the Applicant leave to appeal and when deciding whether there are reasonable prospects that another court would come to a different decision, it is the decision reached</w:t>
      </w:r>
      <w:r w:rsidR="009B4570">
        <w:rPr>
          <w:rFonts w:ascii="Arial" w:eastAsiaTheme="minorHAnsi" w:hAnsi="Arial" w:cs="Arial"/>
          <w:color w:val="auto"/>
          <w:szCs w:val="24"/>
          <w:lang w:eastAsia="en-US"/>
        </w:rPr>
        <w:t xml:space="preserve"> by the court </w:t>
      </w:r>
      <w:r w:rsidR="009B4570">
        <w:rPr>
          <w:rFonts w:ascii="Arial" w:eastAsiaTheme="minorHAnsi" w:hAnsi="Arial" w:cs="Arial"/>
          <w:i/>
          <w:iCs/>
          <w:color w:val="auto"/>
          <w:szCs w:val="24"/>
          <w:lang w:eastAsia="en-US"/>
        </w:rPr>
        <w:t>a</w:t>
      </w:r>
      <w:r w:rsidR="009B4570" w:rsidRPr="009B4570">
        <w:rPr>
          <w:rFonts w:ascii="Arial" w:eastAsiaTheme="minorHAnsi" w:hAnsi="Arial" w:cs="Arial"/>
          <w:i/>
          <w:iCs/>
          <w:color w:val="auto"/>
          <w:szCs w:val="24"/>
          <w:lang w:eastAsia="en-US"/>
        </w:rPr>
        <w:t xml:space="preserve"> quo</w:t>
      </w:r>
      <w:r w:rsidR="00ED78DE">
        <w:rPr>
          <w:rFonts w:ascii="Arial" w:eastAsiaTheme="minorHAnsi" w:hAnsi="Arial" w:cs="Arial"/>
          <w:color w:val="auto"/>
          <w:szCs w:val="24"/>
          <w:lang w:eastAsia="en-US"/>
        </w:rPr>
        <w:t xml:space="preserve"> which requires </w:t>
      </w:r>
      <w:r w:rsidR="009B4570">
        <w:rPr>
          <w:rFonts w:ascii="Arial" w:eastAsiaTheme="minorHAnsi" w:hAnsi="Arial" w:cs="Arial"/>
          <w:color w:val="auto"/>
          <w:szCs w:val="24"/>
          <w:lang w:eastAsia="en-US"/>
        </w:rPr>
        <w:t>examination</w:t>
      </w:r>
      <w:r w:rsidR="00ED78DE">
        <w:rPr>
          <w:rFonts w:ascii="Arial" w:eastAsiaTheme="minorHAnsi" w:hAnsi="Arial" w:cs="Arial"/>
          <w:color w:val="auto"/>
          <w:szCs w:val="24"/>
          <w:lang w:eastAsia="en-US"/>
        </w:rPr>
        <w:t xml:space="preserve"> and </w:t>
      </w:r>
      <w:r w:rsidR="00ED78DE" w:rsidRPr="009B4570">
        <w:rPr>
          <w:rFonts w:ascii="Arial" w:eastAsiaTheme="minorHAnsi" w:hAnsi="Arial" w:cs="Arial"/>
          <w:i/>
          <w:iCs/>
          <w:color w:val="auto"/>
          <w:szCs w:val="24"/>
          <w:lang w:eastAsia="en-US"/>
        </w:rPr>
        <w:t xml:space="preserve">not </w:t>
      </w:r>
      <w:r w:rsidR="00ED78DE">
        <w:rPr>
          <w:rFonts w:ascii="Arial" w:eastAsiaTheme="minorHAnsi" w:hAnsi="Arial" w:cs="Arial"/>
          <w:color w:val="auto"/>
          <w:szCs w:val="24"/>
          <w:lang w:eastAsia="en-US"/>
        </w:rPr>
        <w:t xml:space="preserve">the </w:t>
      </w:r>
      <w:r w:rsidR="00ED78DE" w:rsidRPr="009B4570">
        <w:rPr>
          <w:rFonts w:ascii="Arial" w:eastAsiaTheme="minorHAnsi" w:hAnsi="Arial" w:cs="Arial"/>
          <w:i/>
          <w:iCs/>
          <w:color w:val="auto"/>
          <w:szCs w:val="24"/>
          <w:lang w:eastAsia="en-US"/>
        </w:rPr>
        <w:t>reasons</w:t>
      </w:r>
      <w:r w:rsidR="00ED78DE">
        <w:rPr>
          <w:rFonts w:ascii="Arial" w:eastAsiaTheme="minorHAnsi" w:hAnsi="Arial" w:cs="Arial"/>
          <w:color w:val="auto"/>
          <w:szCs w:val="24"/>
          <w:lang w:eastAsia="en-US"/>
        </w:rPr>
        <w:t xml:space="preserve"> for reaching that decision. If the outcome is correct (and therefor</w:t>
      </w:r>
      <w:r w:rsidR="009B4570">
        <w:rPr>
          <w:rFonts w:ascii="Arial" w:eastAsiaTheme="minorHAnsi" w:hAnsi="Arial" w:cs="Arial"/>
          <w:color w:val="auto"/>
          <w:szCs w:val="24"/>
          <w:lang w:eastAsia="en-US"/>
        </w:rPr>
        <w:t>e</w:t>
      </w:r>
      <w:r w:rsidR="00ED78DE">
        <w:rPr>
          <w:rFonts w:ascii="Arial" w:eastAsiaTheme="minorHAnsi" w:hAnsi="Arial" w:cs="Arial"/>
          <w:color w:val="auto"/>
          <w:szCs w:val="24"/>
          <w:lang w:eastAsia="en-US"/>
        </w:rPr>
        <w:t xml:space="preserve"> would not be interfered with by an appeal court) then it matters not if the reasons for reaching that decision were incorrect.</w:t>
      </w:r>
    </w:p>
    <w:p w14:paraId="14FE8B6D" w14:textId="77777777" w:rsidR="00ED78DE" w:rsidRDefault="00ED78DE" w:rsidP="00367EEC">
      <w:pPr>
        <w:spacing w:after="0" w:line="480" w:lineRule="auto"/>
        <w:rPr>
          <w:rFonts w:ascii="Arial" w:eastAsiaTheme="minorHAnsi" w:hAnsi="Arial" w:cs="Arial"/>
          <w:color w:val="auto"/>
          <w:szCs w:val="24"/>
          <w:lang w:eastAsia="en-US"/>
        </w:rPr>
      </w:pPr>
    </w:p>
    <w:p w14:paraId="36E04ABC" w14:textId="4E43AE53" w:rsidR="009B3A5C" w:rsidRDefault="00ED78DE" w:rsidP="00922112">
      <w:pPr>
        <w:spacing w:after="0" w:line="480" w:lineRule="auto"/>
        <w:ind w:left="709" w:hanging="533"/>
        <w:rPr>
          <w:rFonts w:ascii="Arial" w:eastAsiaTheme="minorHAnsi" w:hAnsi="Arial" w:cs="Arial"/>
          <w:color w:val="auto"/>
          <w:szCs w:val="24"/>
          <w:lang w:eastAsia="en-US"/>
        </w:rPr>
      </w:pPr>
      <w:r>
        <w:rPr>
          <w:rFonts w:ascii="Arial" w:eastAsiaTheme="minorHAnsi" w:hAnsi="Arial" w:cs="Arial"/>
          <w:color w:val="auto"/>
          <w:szCs w:val="24"/>
          <w:lang w:eastAsia="en-US"/>
        </w:rPr>
        <w:lastRenderedPageBreak/>
        <w:t xml:space="preserve">[16] </w:t>
      </w:r>
      <w:r w:rsidR="00922112">
        <w:rPr>
          <w:rFonts w:ascii="Arial" w:eastAsiaTheme="minorHAnsi" w:hAnsi="Arial" w:cs="Arial"/>
          <w:color w:val="auto"/>
          <w:szCs w:val="24"/>
          <w:lang w:eastAsia="en-US"/>
        </w:rPr>
        <w:t xml:space="preserve">  </w:t>
      </w:r>
      <w:r>
        <w:rPr>
          <w:rFonts w:ascii="Arial" w:eastAsiaTheme="minorHAnsi" w:hAnsi="Arial" w:cs="Arial"/>
          <w:color w:val="auto"/>
          <w:szCs w:val="24"/>
          <w:lang w:eastAsia="en-US"/>
        </w:rPr>
        <w:t xml:space="preserve">In the premises, particularly since (on the submissions made by Adv </w:t>
      </w:r>
      <w:r w:rsidR="0064157C">
        <w:rPr>
          <w:rFonts w:ascii="Arial" w:eastAsiaTheme="minorHAnsi" w:hAnsi="Arial" w:cs="Arial"/>
          <w:color w:val="auto"/>
          <w:szCs w:val="24"/>
          <w:lang w:eastAsia="en-US"/>
        </w:rPr>
        <w:t>Ngcukaitobi SC) the conclusion reached by this Court</w:t>
      </w:r>
      <w:r w:rsidR="009B4570">
        <w:rPr>
          <w:rFonts w:ascii="Arial" w:eastAsiaTheme="minorHAnsi" w:hAnsi="Arial" w:cs="Arial"/>
          <w:color w:val="auto"/>
          <w:szCs w:val="24"/>
          <w:lang w:eastAsia="en-US"/>
        </w:rPr>
        <w:t>,</w:t>
      </w:r>
      <w:r w:rsidR="0064157C">
        <w:rPr>
          <w:rFonts w:ascii="Arial" w:eastAsiaTheme="minorHAnsi" w:hAnsi="Arial" w:cs="Arial"/>
          <w:color w:val="auto"/>
          <w:szCs w:val="24"/>
          <w:lang w:eastAsia="en-US"/>
        </w:rPr>
        <w:t xml:space="preserve"> after a proper consideration of the facts and the law</w:t>
      </w:r>
      <w:r w:rsidR="00277052">
        <w:rPr>
          <w:rStyle w:val="FootnoteReference"/>
          <w:rFonts w:ascii="Arial" w:eastAsiaTheme="minorHAnsi" w:hAnsi="Arial" w:cs="Arial"/>
          <w:color w:val="auto"/>
          <w:szCs w:val="24"/>
          <w:lang w:eastAsia="en-US"/>
        </w:rPr>
        <w:footnoteReference w:id="4"/>
      </w:r>
      <w:r w:rsidR="009B4570">
        <w:rPr>
          <w:rFonts w:ascii="Arial" w:eastAsiaTheme="minorHAnsi" w:hAnsi="Arial" w:cs="Arial"/>
          <w:color w:val="auto"/>
          <w:szCs w:val="24"/>
          <w:lang w:eastAsia="en-US"/>
        </w:rPr>
        <w:t>,</w:t>
      </w:r>
      <w:r w:rsidR="0064157C">
        <w:rPr>
          <w:rFonts w:ascii="Arial" w:eastAsiaTheme="minorHAnsi" w:hAnsi="Arial" w:cs="Arial"/>
          <w:color w:val="auto"/>
          <w:szCs w:val="24"/>
          <w:lang w:eastAsia="en-US"/>
        </w:rPr>
        <w:t xml:space="preserve"> was correct ,it matters not that this Court did not deal</w:t>
      </w:r>
      <w:r w:rsidR="009B4570">
        <w:rPr>
          <w:rFonts w:ascii="Arial" w:eastAsiaTheme="minorHAnsi" w:hAnsi="Arial" w:cs="Arial"/>
          <w:color w:val="auto"/>
          <w:szCs w:val="24"/>
          <w:lang w:eastAsia="en-US"/>
        </w:rPr>
        <w:t xml:space="preserve"> directly</w:t>
      </w:r>
      <w:r w:rsidR="0064157C">
        <w:rPr>
          <w:rFonts w:ascii="Arial" w:eastAsiaTheme="minorHAnsi" w:hAnsi="Arial" w:cs="Arial"/>
          <w:color w:val="auto"/>
          <w:szCs w:val="24"/>
          <w:lang w:eastAsia="en-US"/>
        </w:rPr>
        <w:t xml:space="preserve"> with the point taken on behalf of the Applicant that</w:t>
      </w:r>
      <w:r w:rsidR="00F36AEF">
        <w:rPr>
          <w:rFonts w:ascii="Arial" w:eastAsiaTheme="minorHAnsi" w:hAnsi="Arial" w:cs="Arial"/>
          <w:color w:val="auto"/>
          <w:szCs w:val="24"/>
          <w:lang w:eastAsia="en-US"/>
        </w:rPr>
        <w:t xml:space="preserve"> the Respondents lacked the requisite </w:t>
      </w:r>
      <w:r w:rsidR="00F36AEF" w:rsidRPr="00F36AEF">
        <w:rPr>
          <w:rFonts w:ascii="Arial" w:eastAsiaTheme="minorHAnsi" w:hAnsi="Arial" w:cs="Arial"/>
          <w:i/>
          <w:iCs/>
          <w:color w:val="auto"/>
          <w:szCs w:val="24"/>
          <w:lang w:eastAsia="en-US"/>
        </w:rPr>
        <w:t>locus standi</w:t>
      </w:r>
      <w:r w:rsidR="00F36AEF">
        <w:rPr>
          <w:rFonts w:ascii="Arial" w:eastAsiaTheme="minorHAnsi" w:hAnsi="Arial" w:cs="Arial"/>
          <w:color w:val="auto"/>
          <w:szCs w:val="24"/>
          <w:lang w:eastAsia="en-US"/>
        </w:rPr>
        <w:t xml:space="preserve"> to institute the application and, on the Applicant’s submissions, erred in finding that the only point </w:t>
      </w:r>
      <w:r w:rsidR="00F36AEF" w:rsidRPr="00B91B4E">
        <w:rPr>
          <w:rFonts w:ascii="Arial" w:eastAsiaTheme="minorHAnsi" w:hAnsi="Arial" w:cs="Arial"/>
          <w:i/>
          <w:iCs/>
          <w:color w:val="auto"/>
          <w:szCs w:val="24"/>
          <w:lang w:eastAsia="en-US"/>
        </w:rPr>
        <w:t>in limine</w:t>
      </w:r>
      <w:r w:rsidR="00F36AEF">
        <w:rPr>
          <w:rFonts w:ascii="Arial" w:eastAsiaTheme="minorHAnsi" w:hAnsi="Arial" w:cs="Arial"/>
          <w:color w:val="auto"/>
          <w:szCs w:val="24"/>
          <w:lang w:eastAsia="en-US"/>
        </w:rPr>
        <w:t xml:space="preserve"> ultimately relied upon by the</w:t>
      </w:r>
      <w:r w:rsidR="00B91B4E">
        <w:rPr>
          <w:rFonts w:ascii="Arial" w:eastAsiaTheme="minorHAnsi" w:hAnsi="Arial" w:cs="Arial"/>
          <w:color w:val="auto"/>
          <w:szCs w:val="24"/>
          <w:lang w:eastAsia="en-US"/>
        </w:rPr>
        <w:t xml:space="preserve"> Applicant was the </w:t>
      </w:r>
      <w:r w:rsidR="00B91B4E" w:rsidRPr="00B91B4E">
        <w:rPr>
          <w:rFonts w:ascii="Arial" w:eastAsiaTheme="minorHAnsi" w:hAnsi="Arial" w:cs="Arial"/>
          <w:i/>
          <w:iCs/>
          <w:color w:val="auto"/>
          <w:szCs w:val="24"/>
          <w:lang w:eastAsia="en-US"/>
        </w:rPr>
        <w:t>“no cause of action issue”</w:t>
      </w:r>
      <w:r w:rsidR="00B91B4E">
        <w:rPr>
          <w:rFonts w:ascii="Arial" w:eastAsiaTheme="minorHAnsi" w:hAnsi="Arial" w:cs="Arial"/>
          <w:color w:val="auto"/>
          <w:szCs w:val="24"/>
          <w:lang w:eastAsia="en-US"/>
        </w:rPr>
        <w:t>.</w:t>
      </w:r>
      <w:r w:rsidR="00367EEC">
        <w:rPr>
          <w:rStyle w:val="FootnoteReference"/>
          <w:rFonts w:ascii="Arial" w:eastAsiaTheme="minorHAnsi" w:hAnsi="Arial" w:cs="Arial"/>
          <w:color w:val="auto"/>
          <w:szCs w:val="24"/>
          <w:lang w:eastAsia="en-US"/>
        </w:rPr>
        <w:footnoteReference w:id="5"/>
      </w:r>
      <w:r w:rsidR="00F36AEF">
        <w:rPr>
          <w:rFonts w:ascii="Arial" w:eastAsiaTheme="minorHAnsi" w:hAnsi="Arial" w:cs="Arial"/>
          <w:color w:val="auto"/>
          <w:szCs w:val="24"/>
          <w:lang w:eastAsia="en-US"/>
        </w:rPr>
        <w:t xml:space="preserve"> </w:t>
      </w:r>
      <w:r w:rsidR="0064157C">
        <w:rPr>
          <w:rFonts w:ascii="Arial" w:eastAsiaTheme="minorHAnsi" w:hAnsi="Arial" w:cs="Arial"/>
          <w:color w:val="auto"/>
          <w:szCs w:val="24"/>
          <w:lang w:eastAsia="en-US"/>
        </w:rPr>
        <w:t xml:space="preserve"> </w:t>
      </w:r>
    </w:p>
    <w:p w14:paraId="19AF0BF3" w14:textId="77777777" w:rsidR="00B91B4E" w:rsidRDefault="00B91B4E" w:rsidP="00367EEC">
      <w:pPr>
        <w:spacing w:after="0" w:line="480" w:lineRule="auto"/>
        <w:rPr>
          <w:rFonts w:ascii="Arial" w:eastAsiaTheme="minorHAnsi" w:hAnsi="Arial" w:cs="Arial"/>
          <w:color w:val="auto"/>
          <w:szCs w:val="24"/>
          <w:lang w:eastAsia="en-US"/>
        </w:rPr>
      </w:pPr>
    </w:p>
    <w:p w14:paraId="63F18659" w14:textId="254D6A82" w:rsidR="00B91B4E" w:rsidRPr="00B91B4E" w:rsidRDefault="00B91B4E" w:rsidP="00367EEC">
      <w:pPr>
        <w:spacing w:after="0" w:line="480" w:lineRule="auto"/>
        <w:rPr>
          <w:rFonts w:ascii="Arial" w:eastAsiaTheme="minorHAnsi" w:hAnsi="Arial" w:cs="Arial"/>
          <w:b/>
          <w:bCs/>
          <w:color w:val="auto"/>
          <w:szCs w:val="24"/>
          <w:u w:val="single"/>
          <w:lang w:eastAsia="en-US"/>
        </w:rPr>
      </w:pPr>
      <w:r w:rsidRPr="00B91B4E">
        <w:rPr>
          <w:rFonts w:ascii="Arial" w:eastAsiaTheme="minorHAnsi" w:hAnsi="Arial" w:cs="Arial"/>
          <w:b/>
          <w:bCs/>
          <w:color w:val="auto"/>
          <w:szCs w:val="24"/>
          <w:u w:val="single"/>
          <w:lang w:eastAsia="en-US"/>
        </w:rPr>
        <w:t>The no cause of action issue</w:t>
      </w:r>
    </w:p>
    <w:p w14:paraId="2B7AEF38" w14:textId="77777777" w:rsidR="00E21DB1" w:rsidRDefault="00E21DB1" w:rsidP="00367EEC">
      <w:pPr>
        <w:spacing w:after="0" w:line="480" w:lineRule="auto"/>
        <w:rPr>
          <w:rFonts w:ascii="Arial" w:eastAsiaTheme="minorHAnsi" w:hAnsi="Arial" w:cs="Arial"/>
          <w:color w:val="auto"/>
          <w:szCs w:val="24"/>
          <w:lang w:eastAsia="en-US"/>
        </w:rPr>
      </w:pPr>
    </w:p>
    <w:p w14:paraId="7256186A" w14:textId="01DBA997" w:rsidR="00B91B4E" w:rsidRDefault="00B91B4E" w:rsidP="00922112">
      <w:pPr>
        <w:spacing w:after="0" w:line="480" w:lineRule="auto"/>
        <w:ind w:left="709" w:hanging="675"/>
        <w:rPr>
          <w:rFonts w:ascii="Arial" w:eastAsiaTheme="minorHAnsi" w:hAnsi="Arial" w:cs="Arial"/>
          <w:color w:val="auto"/>
          <w:szCs w:val="24"/>
          <w:lang w:eastAsia="en-US"/>
        </w:rPr>
      </w:pPr>
      <w:r>
        <w:rPr>
          <w:rFonts w:ascii="Arial" w:eastAsiaTheme="minorHAnsi" w:hAnsi="Arial" w:cs="Arial"/>
          <w:color w:val="auto"/>
          <w:szCs w:val="24"/>
          <w:lang w:eastAsia="en-US"/>
        </w:rPr>
        <w:t xml:space="preserve">[17]  </w:t>
      </w:r>
      <w:r w:rsidR="00922112">
        <w:rPr>
          <w:rFonts w:ascii="Arial" w:eastAsiaTheme="minorHAnsi" w:hAnsi="Arial" w:cs="Arial"/>
          <w:color w:val="auto"/>
          <w:szCs w:val="24"/>
          <w:lang w:eastAsia="en-US"/>
        </w:rPr>
        <w:t xml:space="preserve">  </w:t>
      </w:r>
      <w:r>
        <w:rPr>
          <w:rFonts w:ascii="Arial" w:eastAsiaTheme="minorHAnsi" w:hAnsi="Arial" w:cs="Arial"/>
          <w:color w:val="auto"/>
          <w:szCs w:val="24"/>
          <w:lang w:eastAsia="en-US"/>
        </w:rPr>
        <w:t>The Applicant attacks the finding that this Court made</w:t>
      </w:r>
      <w:r>
        <w:rPr>
          <w:rFonts w:ascii="Arial" w:hAnsi="Arial" w:cs="Arial"/>
          <w:bCs/>
          <w:szCs w:val="24"/>
        </w:rPr>
        <w:t xml:space="preserve"> by correctly holding that specific allegations as to fault were made in the Founding Affidavit but incorrectly finding that the Applicant causing several take down notices to be served upon YOUTUBE CHANNEL constituted fault in the form of intent and did not need to be specifically identified as such in the Founding Affidavit for the Respondents to satisfy the requirements of the </w:t>
      </w:r>
      <w:r w:rsidRPr="00F413A0">
        <w:rPr>
          <w:rFonts w:ascii="Arial" w:hAnsi="Arial" w:cs="Arial"/>
          <w:bCs/>
          <w:i/>
          <w:iCs/>
          <w:szCs w:val="24"/>
        </w:rPr>
        <w:t>lex aquilia</w:t>
      </w:r>
      <w:r w:rsidR="00367EEC">
        <w:rPr>
          <w:rStyle w:val="FootnoteReference"/>
          <w:rFonts w:ascii="Arial" w:hAnsi="Arial" w:cs="Arial"/>
          <w:bCs/>
          <w:i/>
          <w:iCs/>
          <w:szCs w:val="24"/>
        </w:rPr>
        <w:footnoteReference w:id="6"/>
      </w:r>
      <w:r>
        <w:rPr>
          <w:rFonts w:ascii="Arial" w:hAnsi="Arial" w:cs="Arial"/>
          <w:bCs/>
          <w:szCs w:val="24"/>
        </w:rPr>
        <w:t xml:space="preserve">. </w:t>
      </w:r>
    </w:p>
    <w:p w14:paraId="7C941DA6" w14:textId="77777777" w:rsidR="00B91B4E" w:rsidRDefault="00B91B4E" w:rsidP="00367EEC">
      <w:pPr>
        <w:spacing w:after="0" w:line="480" w:lineRule="auto"/>
        <w:rPr>
          <w:rFonts w:ascii="Arial" w:eastAsiaTheme="minorHAnsi" w:hAnsi="Arial" w:cs="Arial"/>
          <w:color w:val="auto"/>
          <w:szCs w:val="24"/>
          <w:lang w:eastAsia="en-US"/>
        </w:rPr>
      </w:pPr>
    </w:p>
    <w:p w14:paraId="0FBE37C8" w14:textId="2996FC3D" w:rsidR="004B5C54" w:rsidRDefault="00367EEC" w:rsidP="00922112">
      <w:pPr>
        <w:spacing w:after="0" w:line="480" w:lineRule="auto"/>
        <w:ind w:left="709" w:hanging="709"/>
        <w:rPr>
          <w:rFonts w:ascii="Arial" w:eastAsiaTheme="minorHAnsi" w:hAnsi="Arial" w:cs="Arial"/>
          <w:i/>
          <w:iCs/>
          <w:color w:val="auto"/>
          <w:szCs w:val="24"/>
          <w:lang w:eastAsia="en-US"/>
        </w:rPr>
      </w:pPr>
      <w:r>
        <w:rPr>
          <w:rFonts w:ascii="Arial" w:eastAsiaTheme="minorHAnsi" w:hAnsi="Arial" w:cs="Arial"/>
          <w:color w:val="auto"/>
          <w:szCs w:val="24"/>
          <w:lang w:eastAsia="en-US"/>
        </w:rPr>
        <w:t xml:space="preserve">[18]  </w:t>
      </w:r>
      <w:r w:rsidR="00922112">
        <w:rPr>
          <w:rFonts w:ascii="Arial" w:eastAsiaTheme="minorHAnsi" w:hAnsi="Arial" w:cs="Arial"/>
          <w:color w:val="auto"/>
          <w:szCs w:val="24"/>
          <w:lang w:eastAsia="en-US"/>
        </w:rPr>
        <w:t xml:space="preserve">  </w:t>
      </w:r>
      <w:r>
        <w:rPr>
          <w:rFonts w:ascii="Arial" w:eastAsiaTheme="minorHAnsi" w:hAnsi="Arial" w:cs="Arial"/>
          <w:color w:val="auto"/>
          <w:szCs w:val="24"/>
          <w:lang w:eastAsia="en-US"/>
        </w:rPr>
        <w:t>Once</w:t>
      </w:r>
      <w:r w:rsidR="00B91B4E">
        <w:rPr>
          <w:rFonts w:ascii="Arial" w:eastAsiaTheme="minorHAnsi" w:hAnsi="Arial" w:cs="Arial"/>
          <w:color w:val="auto"/>
          <w:szCs w:val="24"/>
          <w:lang w:eastAsia="en-US"/>
        </w:rPr>
        <w:t xml:space="preserve"> again, Counsel for the Respondents opposes this as a valid ground of appeal and relies on</w:t>
      </w:r>
      <w:r w:rsidR="004B5C54">
        <w:rPr>
          <w:rFonts w:ascii="Arial" w:eastAsiaTheme="minorHAnsi" w:hAnsi="Arial" w:cs="Arial"/>
          <w:color w:val="auto"/>
          <w:szCs w:val="24"/>
          <w:lang w:eastAsia="en-US"/>
        </w:rPr>
        <w:t xml:space="preserve"> the fact that this Court ultimately came to the correct finding which negates any reasonable prospects of another court coming to a different finding</w:t>
      </w:r>
      <w:r w:rsidR="00AA0CB8">
        <w:rPr>
          <w:rFonts w:ascii="Arial" w:eastAsiaTheme="minorHAnsi" w:hAnsi="Arial" w:cs="Arial"/>
          <w:i/>
          <w:iCs/>
          <w:color w:val="auto"/>
          <w:szCs w:val="24"/>
          <w:lang w:eastAsia="en-US"/>
        </w:rPr>
        <w:t>.</w:t>
      </w:r>
    </w:p>
    <w:p w14:paraId="50A0CF3B" w14:textId="443AF043" w:rsidR="00AA0CB8" w:rsidRDefault="00AA0CB8" w:rsidP="00367EEC">
      <w:pPr>
        <w:spacing w:after="0" w:line="480" w:lineRule="auto"/>
        <w:ind w:left="567" w:hanging="567"/>
        <w:rPr>
          <w:rFonts w:ascii="Arial" w:eastAsiaTheme="minorHAnsi" w:hAnsi="Arial" w:cs="Arial"/>
          <w:i/>
          <w:iCs/>
          <w:color w:val="auto"/>
          <w:szCs w:val="24"/>
          <w:lang w:eastAsia="en-US"/>
        </w:rPr>
      </w:pPr>
    </w:p>
    <w:p w14:paraId="24200E69" w14:textId="77777777" w:rsidR="00AA0CB8" w:rsidRDefault="00AA0CB8" w:rsidP="00367EEC">
      <w:pPr>
        <w:spacing w:after="0" w:line="480" w:lineRule="auto"/>
        <w:ind w:left="567" w:hanging="567"/>
        <w:rPr>
          <w:rFonts w:ascii="Arial" w:eastAsiaTheme="minorHAnsi" w:hAnsi="Arial" w:cs="Arial"/>
          <w:i/>
          <w:iCs/>
          <w:color w:val="auto"/>
          <w:szCs w:val="24"/>
          <w:lang w:eastAsia="en-US"/>
        </w:rPr>
      </w:pPr>
    </w:p>
    <w:p w14:paraId="45D99FBA" w14:textId="77777777" w:rsidR="00AE27DF" w:rsidRDefault="00AE27DF" w:rsidP="00367EEC">
      <w:pPr>
        <w:spacing w:after="0" w:line="480" w:lineRule="auto"/>
        <w:rPr>
          <w:rFonts w:ascii="Arial" w:eastAsiaTheme="minorHAnsi" w:hAnsi="Arial" w:cs="Arial"/>
          <w:i/>
          <w:iCs/>
          <w:color w:val="auto"/>
          <w:szCs w:val="24"/>
          <w:lang w:eastAsia="en-US"/>
        </w:rPr>
      </w:pPr>
    </w:p>
    <w:p w14:paraId="633ECBF8" w14:textId="3F8AC77C" w:rsidR="00AE27DF" w:rsidRDefault="00EA53B4" w:rsidP="00367EEC">
      <w:pPr>
        <w:spacing w:after="0" w:line="480" w:lineRule="auto"/>
        <w:rPr>
          <w:rFonts w:ascii="Arial" w:eastAsiaTheme="minorHAnsi" w:hAnsi="Arial" w:cs="Arial"/>
          <w:b/>
          <w:bCs/>
          <w:color w:val="auto"/>
          <w:szCs w:val="24"/>
          <w:u w:val="single"/>
          <w:lang w:eastAsia="en-US"/>
        </w:rPr>
      </w:pPr>
      <w:r>
        <w:rPr>
          <w:rFonts w:ascii="Arial" w:eastAsiaTheme="minorHAnsi" w:hAnsi="Arial" w:cs="Arial"/>
          <w:b/>
          <w:bCs/>
          <w:color w:val="auto"/>
          <w:szCs w:val="24"/>
          <w:u w:val="single"/>
          <w:lang w:eastAsia="en-US"/>
        </w:rPr>
        <w:lastRenderedPageBreak/>
        <w:t>Second</w:t>
      </w:r>
      <w:r w:rsidR="00AE27DF" w:rsidRPr="00AE27DF">
        <w:rPr>
          <w:rFonts w:ascii="Arial" w:eastAsiaTheme="minorHAnsi" w:hAnsi="Arial" w:cs="Arial"/>
          <w:b/>
          <w:bCs/>
          <w:color w:val="auto"/>
          <w:szCs w:val="24"/>
          <w:u w:val="single"/>
          <w:lang w:eastAsia="en-US"/>
        </w:rPr>
        <w:t xml:space="preserve"> main basis for leave to appeal</w:t>
      </w:r>
    </w:p>
    <w:p w14:paraId="6FF4C079" w14:textId="77777777" w:rsidR="00EA53B4" w:rsidRDefault="00EA53B4" w:rsidP="00367EEC">
      <w:pPr>
        <w:spacing w:after="0" w:line="480" w:lineRule="auto"/>
        <w:rPr>
          <w:rFonts w:ascii="Arial" w:eastAsiaTheme="minorHAnsi" w:hAnsi="Arial" w:cs="Arial"/>
          <w:b/>
          <w:bCs/>
          <w:color w:val="auto"/>
          <w:szCs w:val="24"/>
          <w:u w:val="single"/>
          <w:lang w:eastAsia="en-US"/>
        </w:rPr>
      </w:pPr>
    </w:p>
    <w:p w14:paraId="069467BC" w14:textId="4F44E930" w:rsidR="005D6300" w:rsidRDefault="00EA53B4" w:rsidP="00367EEC">
      <w:pPr>
        <w:spacing w:after="0" w:line="480" w:lineRule="auto"/>
        <w:ind w:left="709" w:hanging="709"/>
        <w:rPr>
          <w:rFonts w:ascii="Arial" w:hAnsi="Arial" w:cs="Arial"/>
          <w:bCs/>
          <w:szCs w:val="24"/>
        </w:rPr>
      </w:pPr>
      <w:r>
        <w:rPr>
          <w:rFonts w:ascii="Arial" w:eastAsiaTheme="minorHAnsi" w:hAnsi="Arial" w:cs="Arial"/>
          <w:color w:val="auto"/>
          <w:szCs w:val="24"/>
          <w:lang w:eastAsia="en-US"/>
        </w:rPr>
        <w:t xml:space="preserve">[19]   Based as this ground of appeal is on the </w:t>
      </w:r>
      <w:r>
        <w:rPr>
          <w:rFonts w:ascii="Arial" w:hAnsi="Arial" w:cs="Arial"/>
          <w:bCs/>
          <w:szCs w:val="24"/>
        </w:rPr>
        <w:t xml:space="preserve">submission that leave to appeal should be granted in light of the fact that this Court failed to consider the Applicant’s second point </w:t>
      </w:r>
      <w:r w:rsidRPr="00947A45">
        <w:rPr>
          <w:rFonts w:ascii="Arial" w:hAnsi="Arial" w:cs="Arial"/>
          <w:bCs/>
          <w:i/>
          <w:iCs/>
          <w:szCs w:val="24"/>
        </w:rPr>
        <w:t>in limine</w:t>
      </w:r>
      <w:r>
        <w:rPr>
          <w:rFonts w:ascii="Arial" w:hAnsi="Arial" w:cs="Arial"/>
          <w:bCs/>
          <w:i/>
          <w:iCs/>
          <w:szCs w:val="24"/>
        </w:rPr>
        <w:t xml:space="preserve"> </w:t>
      </w:r>
      <w:r w:rsidRPr="003D2921">
        <w:rPr>
          <w:rFonts w:ascii="Arial" w:hAnsi="Arial" w:cs="Arial"/>
          <w:bCs/>
          <w:szCs w:val="24"/>
        </w:rPr>
        <w:t>(the</w:t>
      </w:r>
      <w:r>
        <w:rPr>
          <w:rFonts w:ascii="Arial" w:hAnsi="Arial" w:cs="Arial"/>
          <w:bCs/>
          <w:i/>
          <w:iCs/>
          <w:szCs w:val="24"/>
        </w:rPr>
        <w:t xml:space="preserve"> locus standi </w:t>
      </w:r>
      <w:r w:rsidRPr="003D2921">
        <w:rPr>
          <w:rFonts w:ascii="Arial" w:hAnsi="Arial" w:cs="Arial"/>
          <w:bCs/>
          <w:szCs w:val="24"/>
        </w:rPr>
        <w:t>issue)</w:t>
      </w:r>
      <w:r>
        <w:rPr>
          <w:rFonts w:ascii="Arial" w:hAnsi="Arial" w:cs="Arial"/>
          <w:bCs/>
          <w:szCs w:val="24"/>
        </w:rPr>
        <w:t xml:space="preserve"> at all, together with the submissions made and authorities relied upon in respect thereof and the fact that, in terms of subsection 17(1)(a)(ii)</w:t>
      </w:r>
      <w:r w:rsidR="009B4570">
        <w:rPr>
          <w:rFonts w:ascii="Arial" w:hAnsi="Arial" w:cs="Arial"/>
          <w:bCs/>
          <w:szCs w:val="24"/>
        </w:rPr>
        <w:t xml:space="preserve"> of the Act,</w:t>
      </w:r>
      <w:r>
        <w:rPr>
          <w:rFonts w:ascii="Arial" w:hAnsi="Arial" w:cs="Arial"/>
          <w:bCs/>
          <w:szCs w:val="24"/>
        </w:rPr>
        <w:t xml:space="preserve">  there must be some compelling reason why the appeal should be heard, including conflicting judgments on the matter under consideration, it must follow</w:t>
      </w:r>
      <w:r w:rsidR="005D6300">
        <w:rPr>
          <w:rFonts w:ascii="Arial" w:hAnsi="Arial" w:cs="Arial"/>
          <w:bCs/>
          <w:szCs w:val="24"/>
        </w:rPr>
        <w:t xml:space="preserve">, for, </w:t>
      </w:r>
      <w:r w:rsidR="005D6300" w:rsidRPr="005D6300">
        <w:rPr>
          <w:rFonts w:ascii="Arial" w:hAnsi="Arial" w:cs="Arial"/>
          <w:bCs/>
          <w:i/>
          <w:iCs/>
          <w:szCs w:val="24"/>
        </w:rPr>
        <w:t>inter alia</w:t>
      </w:r>
      <w:r w:rsidR="005D6300">
        <w:rPr>
          <w:rFonts w:ascii="Arial" w:hAnsi="Arial" w:cs="Arial"/>
          <w:bCs/>
          <w:szCs w:val="24"/>
        </w:rPr>
        <w:t>, the reasons set out above, that this ground does not assist the Applicant in this application.</w:t>
      </w:r>
    </w:p>
    <w:p w14:paraId="1CE70887" w14:textId="77777777" w:rsidR="005D6300" w:rsidRDefault="005D6300" w:rsidP="00367EEC">
      <w:pPr>
        <w:spacing w:after="0" w:line="480" w:lineRule="auto"/>
        <w:rPr>
          <w:rFonts w:ascii="Arial" w:hAnsi="Arial" w:cs="Arial"/>
          <w:bCs/>
          <w:szCs w:val="24"/>
        </w:rPr>
      </w:pPr>
    </w:p>
    <w:p w14:paraId="6BB28393" w14:textId="25C79F74" w:rsidR="00EA53B4" w:rsidRPr="00EA53B4" w:rsidRDefault="00367EEC" w:rsidP="00922112">
      <w:pPr>
        <w:spacing w:after="0" w:line="480" w:lineRule="auto"/>
        <w:ind w:left="709" w:hanging="709"/>
        <w:rPr>
          <w:rFonts w:ascii="Arial" w:eastAsiaTheme="minorHAnsi" w:hAnsi="Arial" w:cs="Arial"/>
          <w:color w:val="auto"/>
          <w:szCs w:val="24"/>
          <w:lang w:eastAsia="en-US"/>
        </w:rPr>
      </w:pPr>
      <w:r>
        <w:rPr>
          <w:rFonts w:ascii="Arial" w:hAnsi="Arial" w:cs="Arial"/>
          <w:bCs/>
          <w:szCs w:val="24"/>
        </w:rPr>
        <w:t xml:space="preserve">[20] </w:t>
      </w:r>
      <w:r w:rsidR="00CA763F">
        <w:rPr>
          <w:rFonts w:ascii="Arial" w:hAnsi="Arial" w:cs="Arial"/>
          <w:bCs/>
          <w:szCs w:val="24"/>
        </w:rPr>
        <w:t xml:space="preserve"> </w:t>
      </w:r>
      <w:r w:rsidR="00922112">
        <w:rPr>
          <w:rFonts w:ascii="Arial" w:hAnsi="Arial" w:cs="Arial"/>
          <w:bCs/>
          <w:szCs w:val="24"/>
        </w:rPr>
        <w:t xml:space="preserve">  </w:t>
      </w:r>
      <w:r w:rsidR="005D6300">
        <w:rPr>
          <w:rFonts w:ascii="Arial" w:hAnsi="Arial" w:cs="Arial"/>
          <w:bCs/>
          <w:szCs w:val="24"/>
        </w:rPr>
        <w:t xml:space="preserve">Once again, even if this Court was incorrect in failing to consider the point </w:t>
      </w:r>
      <w:r w:rsidR="005D6300" w:rsidRPr="003C0BF4">
        <w:rPr>
          <w:rFonts w:ascii="Arial" w:hAnsi="Arial" w:cs="Arial"/>
          <w:bCs/>
          <w:i/>
          <w:iCs/>
          <w:szCs w:val="24"/>
        </w:rPr>
        <w:t>in limine</w:t>
      </w:r>
      <w:r w:rsidR="005D6300">
        <w:rPr>
          <w:rFonts w:ascii="Arial" w:hAnsi="Arial" w:cs="Arial"/>
          <w:bCs/>
          <w:szCs w:val="24"/>
        </w:rPr>
        <w:t xml:space="preserve"> raised by the Applicant with regard to the Respondents’ </w:t>
      </w:r>
      <w:r w:rsidR="005D6300" w:rsidRPr="005D6300">
        <w:rPr>
          <w:rFonts w:ascii="Arial" w:hAnsi="Arial" w:cs="Arial"/>
          <w:bCs/>
          <w:i/>
          <w:iCs/>
          <w:szCs w:val="24"/>
        </w:rPr>
        <w:t>locus standi</w:t>
      </w:r>
      <w:r w:rsidR="005D6300">
        <w:rPr>
          <w:rFonts w:ascii="Arial" w:hAnsi="Arial" w:cs="Arial"/>
          <w:bCs/>
          <w:szCs w:val="24"/>
        </w:rPr>
        <w:t xml:space="preserve"> this did not effect the finding made by this Court and whether another Court would reach a different decision when applying the correct principles of law to the facts of the matter.</w:t>
      </w:r>
      <w:r w:rsidR="00EA53B4">
        <w:rPr>
          <w:rFonts w:ascii="Arial" w:hAnsi="Arial" w:cs="Arial"/>
          <w:bCs/>
          <w:szCs w:val="24"/>
        </w:rPr>
        <w:t xml:space="preserve"> </w:t>
      </w:r>
      <w:r w:rsidR="005D6300">
        <w:rPr>
          <w:rFonts w:ascii="Arial" w:hAnsi="Arial" w:cs="Arial"/>
          <w:bCs/>
          <w:szCs w:val="24"/>
        </w:rPr>
        <w:t>There are no compelling reasons for this Court to grant the Applicant leave to appeal (within the meaning thereof in terms of subsection 17(1)(a)(ii) of the Act) and the judgment of this Co</w:t>
      </w:r>
      <w:r w:rsidR="003C0BF4">
        <w:rPr>
          <w:rFonts w:ascii="Arial" w:hAnsi="Arial" w:cs="Arial"/>
          <w:bCs/>
          <w:szCs w:val="24"/>
        </w:rPr>
        <w:t>u</w:t>
      </w:r>
      <w:r w:rsidR="005D6300">
        <w:rPr>
          <w:rFonts w:ascii="Arial" w:hAnsi="Arial" w:cs="Arial"/>
          <w:bCs/>
          <w:szCs w:val="24"/>
        </w:rPr>
        <w:t xml:space="preserve">rt is certainly not in conflict with any </w:t>
      </w:r>
      <w:r w:rsidR="009E4B8B">
        <w:rPr>
          <w:rFonts w:ascii="Arial" w:hAnsi="Arial" w:cs="Arial"/>
          <w:bCs/>
          <w:szCs w:val="24"/>
        </w:rPr>
        <w:t>previous judgments on the issues raised in the</w:t>
      </w:r>
      <w:r w:rsidR="004B7156">
        <w:rPr>
          <w:rFonts w:ascii="Arial" w:hAnsi="Arial" w:cs="Arial"/>
          <w:bCs/>
          <w:szCs w:val="24"/>
        </w:rPr>
        <w:t xml:space="preserve"> main</w:t>
      </w:r>
      <w:r w:rsidR="009E4B8B">
        <w:rPr>
          <w:rFonts w:ascii="Arial" w:hAnsi="Arial" w:cs="Arial"/>
          <w:bCs/>
          <w:szCs w:val="24"/>
        </w:rPr>
        <w:t xml:space="preserve"> application</w:t>
      </w:r>
      <w:r w:rsidR="004B7156">
        <w:rPr>
          <w:rFonts w:ascii="Arial" w:hAnsi="Arial" w:cs="Arial"/>
          <w:bCs/>
          <w:szCs w:val="24"/>
        </w:rPr>
        <w:t xml:space="preserve"> and</w:t>
      </w:r>
      <w:r w:rsidR="009E4B8B">
        <w:rPr>
          <w:rFonts w:ascii="Arial" w:hAnsi="Arial" w:cs="Arial"/>
          <w:bCs/>
          <w:szCs w:val="24"/>
        </w:rPr>
        <w:t xml:space="preserve"> adjudicated upon by this Court.</w:t>
      </w:r>
      <w:r w:rsidR="00EA53B4">
        <w:rPr>
          <w:rFonts w:ascii="Arial" w:hAnsi="Arial" w:cs="Arial"/>
          <w:bCs/>
          <w:szCs w:val="24"/>
        </w:rPr>
        <w:t xml:space="preserve"> </w:t>
      </w:r>
      <w:r w:rsidR="00EA53B4">
        <w:rPr>
          <w:rFonts w:ascii="Arial" w:eastAsiaTheme="minorHAnsi" w:hAnsi="Arial" w:cs="Arial"/>
          <w:color w:val="auto"/>
          <w:szCs w:val="24"/>
          <w:lang w:eastAsia="en-US"/>
        </w:rPr>
        <w:t xml:space="preserve">  </w:t>
      </w:r>
    </w:p>
    <w:p w14:paraId="3736F698" w14:textId="77777777" w:rsidR="004B5C54" w:rsidRDefault="004B5C54" w:rsidP="00367EEC">
      <w:pPr>
        <w:spacing w:after="0" w:line="480" w:lineRule="auto"/>
        <w:rPr>
          <w:rFonts w:ascii="Arial" w:eastAsiaTheme="minorHAnsi" w:hAnsi="Arial" w:cs="Arial"/>
          <w:i/>
          <w:iCs/>
          <w:color w:val="auto"/>
          <w:szCs w:val="24"/>
          <w:lang w:eastAsia="en-US"/>
        </w:rPr>
      </w:pPr>
    </w:p>
    <w:p w14:paraId="374FFAC6" w14:textId="3DBAEB04" w:rsidR="004B5C54" w:rsidRDefault="004B5C54" w:rsidP="00367EEC">
      <w:pPr>
        <w:spacing w:after="0" w:line="480" w:lineRule="auto"/>
        <w:rPr>
          <w:rFonts w:ascii="Arial" w:eastAsiaTheme="minorHAnsi" w:hAnsi="Arial" w:cs="Arial"/>
          <w:b/>
          <w:bCs/>
          <w:color w:val="auto"/>
          <w:szCs w:val="24"/>
          <w:u w:val="single"/>
          <w:lang w:eastAsia="en-US"/>
        </w:rPr>
      </w:pPr>
      <w:r w:rsidRPr="004B5C54">
        <w:rPr>
          <w:rFonts w:ascii="Arial" w:eastAsiaTheme="minorHAnsi" w:hAnsi="Arial" w:cs="Arial"/>
          <w:b/>
          <w:bCs/>
          <w:color w:val="auto"/>
          <w:szCs w:val="24"/>
          <w:u w:val="single"/>
          <w:lang w:eastAsia="en-US"/>
        </w:rPr>
        <w:t>Conclusion</w:t>
      </w:r>
    </w:p>
    <w:p w14:paraId="38E42937" w14:textId="77777777" w:rsidR="004B5C54" w:rsidRDefault="004B5C54" w:rsidP="00367EEC">
      <w:pPr>
        <w:spacing w:after="0" w:line="480" w:lineRule="auto"/>
        <w:rPr>
          <w:rFonts w:ascii="Arial" w:eastAsiaTheme="minorHAnsi" w:hAnsi="Arial" w:cs="Arial"/>
          <w:b/>
          <w:bCs/>
          <w:color w:val="auto"/>
          <w:szCs w:val="24"/>
          <w:u w:val="single"/>
          <w:lang w:eastAsia="en-US"/>
        </w:rPr>
      </w:pPr>
    </w:p>
    <w:p w14:paraId="61928C3C" w14:textId="4E019A49" w:rsidR="004B5C54" w:rsidRDefault="004B5C54" w:rsidP="00367EEC">
      <w:pPr>
        <w:spacing w:after="0" w:line="480" w:lineRule="auto"/>
        <w:ind w:left="709" w:hanging="709"/>
        <w:rPr>
          <w:rFonts w:ascii="Arial" w:eastAsiaTheme="minorHAnsi" w:hAnsi="Arial" w:cs="Arial"/>
          <w:color w:val="auto"/>
          <w:szCs w:val="24"/>
          <w:lang w:eastAsia="en-US"/>
        </w:rPr>
      </w:pPr>
      <w:r>
        <w:rPr>
          <w:rFonts w:ascii="Arial" w:eastAsiaTheme="minorHAnsi" w:hAnsi="Arial" w:cs="Arial"/>
          <w:color w:val="auto"/>
          <w:szCs w:val="24"/>
          <w:lang w:eastAsia="en-US"/>
        </w:rPr>
        <w:t>[</w:t>
      </w:r>
      <w:r w:rsidR="005D6300">
        <w:rPr>
          <w:rFonts w:ascii="Arial" w:eastAsiaTheme="minorHAnsi" w:hAnsi="Arial" w:cs="Arial"/>
          <w:color w:val="auto"/>
          <w:szCs w:val="24"/>
          <w:lang w:eastAsia="en-US"/>
        </w:rPr>
        <w:t>21</w:t>
      </w:r>
      <w:r>
        <w:rPr>
          <w:rFonts w:ascii="Arial" w:eastAsiaTheme="minorHAnsi" w:hAnsi="Arial" w:cs="Arial"/>
          <w:color w:val="auto"/>
          <w:szCs w:val="24"/>
          <w:lang w:eastAsia="en-US"/>
        </w:rPr>
        <w:t>]   After careful consideration, this Court is in agreement with the submissions made on behalf of the Respondents</w:t>
      </w:r>
      <w:r w:rsidR="005D6300">
        <w:rPr>
          <w:rFonts w:ascii="Arial" w:eastAsiaTheme="minorHAnsi" w:hAnsi="Arial" w:cs="Arial"/>
          <w:color w:val="auto"/>
          <w:szCs w:val="24"/>
          <w:lang w:eastAsia="en-US"/>
        </w:rPr>
        <w:t>.</w:t>
      </w:r>
      <w:r>
        <w:rPr>
          <w:rFonts w:ascii="Arial" w:eastAsiaTheme="minorHAnsi" w:hAnsi="Arial" w:cs="Arial"/>
          <w:color w:val="auto"/>
          <w:szCs w:val="24"/>
          <w:lang w:eastAsia="en-US"/>
        </w:rPr>
        <w:t xml:space="preserve"> At the end of the day, when applying the correct test to this </w:t>
      </w:r>
      <w:r>
        <w:rPr>
          <w:rFonts w:ascii="Arial" w:eastAsiaTheme="minorHAnsi" w:hAnsi="Arial" w:cs="Arial"/>
          <w:color w:val="auto"/>
          <w:szCs w:val="24"/>
          <w:lang w:eastAsia="en-US"/>
        </w:rPr>
        <w:lastRenderedPageBreak/>
        <w:t>application for leave to appeal, this Court must consider the substance of its judgment rather than the form.</w:t>
      </w:r>
    </w:p>
    <w:p w14:paraId="72CBD5FA" w14:textId="77777777" w:rsidR="004B5C54" w:rsidRDefault="004B5C54" w:rsidP="00367EEC">
      <w:pPr>
        <w:spacing w:after="0" w:line="480" w:lineRule="auto"/>
        <w:rPr>
          <w:rFonts w:ascii="Arial" w:eastAsiaTheme="minorHAnsi" w:hAnsi="Arial" w:cs="Arial"/>
          <w:color w:val="auto"/>
          <w:szCs w:val="24"/>
          <w:lang w:eastAsia="en-US"/>
        </w:rPr>
      </w:pPr>
    </w:p>
    <w:p w14:paraId="255EEC94" w14:textId="0067FAD4" w:rsidR="00AE27DF" w:rsidRDefault="004B5C54" w:rsidP="00367EEC">
      <w:pPr>
        <w:spacing w:after="0" w:line="480" w:lineRule="auto"/>
        <w:ind w:left="709" w:hanging="675"/>
        <w:rPr>
          <w:rFonts w:ascii="Arial" w:eastAsiaTheme="minorHAnsi" w:hAnsi="Arial" w:cs="Arial"/>
          <w:color w:val="auto"/>
          <w:szCs w:val="24"/>
          <w:lang w:eastAsia="en-US"/>
        </w:rPr>
      </w:pPr>
      <w:r>
        <w:rPr>
          <w:rFonts w:ascii="Arial" w:eastAsiaTheme="minorHAnsi" w:hAnsi="Arial" w:cs="Arial"/>
          <w:color w:val="auto"/>
          <w:szCs w:val="24"/>
          <w:lang w:eastAsia="en-US"/>
        </w:rPr>
        <w:t>[</w:t>
      </w:r>
      <w:r w:rsidR="005D6300">
        <w:rPr>
          <w:rFonts w:ascii="Arial" w:eastAsiaTheme="minorHAnsi" w:hAnsi="Arial" w:cs="Arial"/>
          <w:color w:val="auto"/>
          <w:szCs w:val="24"/>
          <w:lang w:eastAsia="en-US"/>
        </w:rPr>
        <w:t>22</w:t>
      </w:r>
      <w:r>
        <w:rPr>
          <w:rFonts w:ascii="Arial" w:eastAsiaTheme="minorHAnsi" w:hAnsi="Arial" w:cs="Arial"/>
          <w:color w:val="auto"/>
          <w:szCs w:val="24"/>
          <w:lang w:eastAsia="en-US"/>
        </w:rPr>
        <w:t xml:space="preserve">]   As to the prospects of whether another Court </w:t>
      </w:r>
      <w:r w:rsidRPr="00AE27DF">
        <w:rPr>
          <w:rFonts w:ascii="Arial" w:eastAsiaTheme="minorHAnsi" w:hAnsi="Arial" w:cs="Arial"/>
          <w:color w:val="auto"/>
          <w:szCs w:val="24"/>
          <w:u w:val="single"/>
          <w:lang w:eastAsia="en-US"/>
        </w:rPr>
        <w:t>would</w:t>
      </w:r>
      <w:r>
        <w:rPr>
          <w:rFonts w:ascii="Arial" w:eastAsiaTheme="minorHAnsi" w:hAnsi="Arial" w:cs="Arial"/>
          <w:color w:val="auto"/>
          <w:szCs w:val="24"/>
          <w:lang w:eastAsia="en-US"/>
        </w:rPr>
        <w:t xml:space="preserve"> </w:t>
      </w:r>
      <w:r w:rsidRPr="00AE27DF">
        <w:rPr>
          <w:rFonts w:ascii="Arial" w:eastAsiaTheme="minorHAnsi" w:hAnsi="Arial" w:cs="Arial"/>
          <w:i/>
          <w:iCs/>
          <w:color w:val="auto"/>
          <w:szCs w:val="24"/>
          <w:lang w:eastAsia="en-US"/>
        </w:rPr>
        <w:t>(not could)</w:t>
      </w:r>
      <w:r>
        <w:rPr>
          <w:rFonts w:ascii="Arial" w:eastAsiaTheme="minorHAnsi" w:hAnsi="Arial" w:cs="Arial"/>
          <w:color w:val="auto"/>
          <w:szCs w:val="24"/>
          <w:lang w:eastAsia="en-US"/>
        </w:rPr>
        <w:t xml:space="preserve"> come to a different decision, in addition to the reasons </w:t>
      </w:r>
      <w:r w:rsidR="004B7156">
        <w:rPr>
          <w:rFonts w:ascii="Arial" w:eastAsiaTheme="minorHAnsi" w:hAnsi="Arial" w:cs="Arial"/>
          <w:color w:val="auto"/>
          <w:szCs w:val="24"/>
          <w:lang w:eastAsia="en-US"/>
        </w:rPr>
        <w:t>negating</w:t>
      </w:r>
      <w:r>
        <w:rPr>
          <w:rFonts w:ascii="Arial" w:eastAsiaTheme="minorHAnsi" w:hAnsi="Arial" w:cs="Arial"/>
          <w:color w:val="auto"/>
          <w:szCs w:val="24"/>
          <w:lang w:eastAsia="en-US"/>
        </w:rPr>
        <w:t xml:space="preserve"> same</w:t>
      </w:r>
      <w:r w:rsidR="004B7156">
        <w:rPr>
          <w:rFonts w:ascii="Arial" w:eastAsiaTheme="minorHAnsi" w:hAnsi="Arial" w:cs="Arial"/>
          <w:color w:val="auto"/>
          <w:szCs w:val="24"/>
          <w:lang w:eastAsia="en-US"/>
        </w:rPr>
        <w:t xml:space="preserve"> and</w:t>
      </w:r>
      <w:r>
        <w:rPr>
          <w:rFonts w:ascii="Arial" w:eastAsiaTheme="minorHAnsi" w:hAnsi="Arial" w:cs="Arial"/>
          <w:color w:val="auto"/>
          <w:szCs w:val="24"/>
          <w:lang w:eastAsia="en-US"/>
        </w:rPr>
        <w:t xml:space="preserve"> as already set ou</w:t>
      </w:r>
      <w:r w:rsidR="00AE27DF">
        <w:rPr>
          <w:rFonts w:ascii="Arial" w:eastAsiaTheme="minorHAnsi" w:hAnsi="Arial" w:cs="Arial"/>
          <w:color w:val="auto"/>
          <w:szCs w:val="24"/>
          <w:lang w:eastAsia="en-US"/>
        </w:rPr>
        <w:t>t</w:t>
      </w:r>
      <w:r>
        <w:rPr>
          <w:rFonts w:ascii="Arial" w:eastAsiaTheme="minorHAnsi" w:hAnsi="Arial" w:cs="Arial"/>
          <w:color w:val="auto"/>
          <w:szCs w:val="24"/>
          <w:lang w:eastAsia="en-US"/>
        </w:rPr>
        <w:t xml:space="preserve"> in this judgment, is the fact that, in light of the relief sought </w:t>
      </w:r>
      <w:r w:rsidR="00AE27DF">
        <w:rPr>
          <w:rFonts w:ascii="Arial" w:eastAsiaTheme="minorHAnsi" w:hAnsi="Arial" w:cs="Arial"/>
          <w:color w:val="auto"/>
          <w:szCs w:val="24"/>
          <w:lang w:eastAsia="en-US"/>
        </w:rPr>
        <w:t xml:space="preserve">in PART B of the application, the less stringent test of establishing a </w:t>
      </w:r>
      <w:r w:rsidR="00AE27DF" w:rsidRPr="00AE27DF">
        <w:rPr>
          <w:rFonts w:ascii="Arial" w:eastAsiaTheme="minorHAnsi" w:hAnsi="Arial" w:cs="Arial"/>
          <w:i/>
          <w:iCs/>
          <w:color w:val="auto"/>
          <w:szCs w:val="24"/>
          <w:lang w:eastAsia="en-US"/>
        </w:rPr>
        <w:t>prima facie</w:t>
      </w:r>
      <w:r w:rsidR="00AE27DF">
        <w:rPr>
          <w:rFonts w:ascii="Arial" w:eastAsiaTheme="minorHAnsi" w:hAnsi="Arial" w:cs="Arial"/>
          <w:color w:val="auto"/>
          <w:szCs w:val="24"/>
          <w:lang w:eastAsia="en-US"/>
        </w:rPr>
        <w:t xml:space="preserve"> right applies,</w:t>
      </w:r>
      <w:r w:rsidR="004B7156">
        <w:rPr>
          <w:rFonts w:ascii="Arial" w:eastAsiaTheme="minorHAnsi" w:hAnsi="Arial" w:cs="Arial"/>
          <w:color w:val="auto"/>
          <w:szCs w:val="24"/>
          <w:lang w:eastAsia="en-US"/>
        </w:rPr>
        <w:t xml:space="preserve"> This was dealt with thoroughly in this Court’s judgment pertaining to the main application and will not be repeated herein</w:t>
      </w:r>
      <w:r w:rsidR="00367EEC">
        <w:rPr>
          <w:rStyle w:val="FootnoteReference"/>
          <w:rFonts w:ascii="Arial" w:eastAsiaTheme="minorHAnsi" w:hAnsi="Arial" w:cs="Arial"/>
          <w:color w:val="auto"/>
          <w:szCs w:val="24"/>
          <w:lang w:eastAsia="en-US"/>
        </w:rPr>
        <w:footnoteReference w:id="7"/>
      </w:r>
      <w:r w:rsidR="004B7156">
        <w:rPr>
          <w:rFonts w:ascii="Arial" w:eastAsiaTheme="minorHAnsi" w:hAnsi="Arial" w:cs="Arial"/>
          <w:color w:val="auto"/>
          <w:szCs w:val="24"/>
          <w:lang w:eastAsia="en-US"/>
        </w:rPr>
        <w:t>.</w:t>
      </w:r>
      <w:r w:rsidR="00AE27DF">
        <w:rPr>
          <w:rFonts w:ascii="Arial" w:eastAsiaTheme="minorHAnsi" w:hAnsi="Arial" w:cs="Arial"/>
          <w:color w:val="auto"/>
          <w:szCs w:val="24"/>
          <w:lang w:eastAsia="en-US"/>
        </w:rPr>
        <w:t xml:space="preserve"> In the premises, this strengthens the case for the Respondents that an appeal court would not come to a different finding to that of this Court.</w:t>
      </w:r>
    </w:p>
    <w:p w14:paraId="5E8EAD40" w14:textId="77777777" w:rsidR="00AE27DF" w:rsidRDefault="00AE27DF" w:rsidP="00367EEC">
      <w:pPr>
        <w:spacing w:after="0" w:line="480" w:lineRule="auto"/>
        <w:rPr>
          <w:rFonts w:ascii="Arial" w:eastAsiaTheme="minorHAnsi" w:hAnsi="Arial" w:cs="Arial"/>
          <w:color w:val="auto"/>
          <w:szCs w:val="24"/>
          <w:lang w:eastAsia="en-US"/>
        </w:rPr>
      </w:pPr>
    </w:p>
    <w:p w14:paraId="6FF54C6B" w14:textId="66124D14" w:rsidR="00AE27DF" w:rsidRDefault="00AE27DF" w:rsidP="00367EEC">
      <w:pPr>
        <w:spacing w:after="0" w:line="480" w:lineRule="auto"/>
        <w:ind w:left="709" w:hanging="675"/>
        <w:rPr>
          <w:rFonts w:ascii="Arial" w:eastAsiaTheme="minorHAnsi" w:hAnsi="Arial" w:cs="Arial"/>
          <w:color w:val="auto"/>
          <w:szCs w:val="24"/>
          <w:lang w:eastAsia="en-US"/>
        </w:rPr>
      </w:pPr>
      <w:r>
        <w:rPr>
          <w:rFonts w:ascii="Arial" w:eastAsiaTheme="minorHAnsi" w:hAnsi="Arial" w:cs="Arial"/>
          <w:color w:val="auto"/>
          <w:szCs w:val="24"/>
          <w:lang w:eastAsia="en-US"/>
        </w:rPr>
        <w:t>[</w:t>
      </w:r>
      <w:r w:rsidR="005D6300">
        <w:rPr>
          <w:rFonts w:ascii="Arial" w:eastAsiaTheme="minorHAnsi" w:hAnsi="Arial" w:cs="Arial"/>
          <w:color w:val="auto"/>
          <w:szCs w:val="24"/>
          <w:lang w:eastAsia="en-US"/>
        </w:rPr>
        <w:t>23</w:t>
      </w:r>
      <w:r>
        <w:rPr>
          <w:rFonts w:ascii="Arial" w:eastAsiaTheme="minorHAnsi" w:hAnsi="Arial" w:cs="Arial"/>
          <w:color w:val="auto"/>
          <w:szCs w:val="24"/>
          <w:lang w:eastAsia="en-US"/>
        </w:rPr>
        <w:t>]    In the premises, in light of</w:t>
      </w:r>
      <w:r w:rsidR="004B7156">
        <w:rPr>
          <w:rFonts w:ascii="Arial" w:eastAsiaTheme="minorHAnsi" w:hAnsi="Arial" w:cs="Arial"/>
          <w:color w:val="auto"/>
          <w:szCs w:val="24"/>
          <w:lang w:eastAsia="en-US"/>
        </w:rPr>
        <w:t xml:space="preserve"> all of</w:t>
      </w:r>
      <w:r>
        <w:rPr>
          <w:rFonts w:ascii="Arial" w:eastAsiaTheme="minorHAnsi" w:hAnsi="Arial" w:cs="Arial"/>
          <w:color w:val="auto"/>
          <w:szCs w:val="24"/>
          <w:lang w:eastAsia="en-US"/>
        </w:rPr>
        <w:t xml:space="preserve"> the aforegoing, this Court holds that</w:t>
      </w:r>
      <w:r w:rsidR="009E4B8B">
        <w:rPr>
          <w:rFonts w:ascii="Arial" w:eastAsiaTheme="minorHAnsi" w:hAnsi="Arial" w:cs="Arial"/>
          <w:color w:val="auto"/>
          <w:szCs w:val="24"/>
          <w:lang w:eastAsia="en-US"/>
        </w:rPr>
        <w:t xml:space="preserve"> the application for leave to appeal to the Full Bench of this Division (Applicant’s Counsel submitting during the course of argument that an appeal to the SCA was not appropriate)</w:t>
      </w:r>
      <w:r w:rsidR="003C0BF4">
        <w:rPr>
          <w:rFonts w:ascii="Arial" w:eastAsiaTheme="minorHAnsi" w:hAnsi="Arial" w:cs="Arial"/>
          <w:color w:val="auto"/>
          <w:szCs w:val="24"/>
          <w:lang w:eastAsia="en-US"/>
        </w:rPr>
        <w:t xml:space="preserve"> </w:t>
      </w:r>
      <w:r w:rsidR="009E4B8B">
        <w:rPr>
          <w:rFonts w:ascii="Arial" w:eastAsiaTheme="minorHAnsi" w:hAnsi="Arial" w:cs="Arial"/>
          <w:color w:val="auto"/>
          <w:szCs w:val="24"/>
          <w:lang w:eastAsia="en-US"/>
        </w:rPr>
        <w:t>should be dismissed</w:t>
      </w:r>
      <w:r w:rsidR="003C0BF4">
        <w:rPr>
          <w:rFonts w:ascii="Arial" w:eastAsiaTheme="minorHAnsi" w:hAnsi="Arial" w:cs="Arial"/>
          <w:color w:val="auto"/>
          <w:szCs w:val="24"/>
          <w:lang w:eastAsia="en-US"/>
        </w:rPr>
        <w:t>.</w:t>
      </w:r>
      <w:r w:rsidR="009E4B8B">
        <w:rPr>
          <w:rFonts w:ascii="Arial" w:eastAsiaTheme="minorHAnsi" w:hAnsi="Arial" w:cs="Arial"/>
          <w:color w:val="auto"/>
          <w:szCs w:val="24"/>
          <w:lang w:eastAsia="en-US"/>
        </w:rPr>
        <w:t xml:space="preserve"> As to costs, there are no exceptional circumstances present in this matter to justify an order departing from the usual order that costs should follow the result. </w:t>
      </w:r>
      <w:r>
        <w:rPr>
          <w:rFonts w:ascii="Arial" w:eastAsiaTheme="minorHAnsi" w:hAnsi="Arial" w:cs="Arial"/>
          <w:color w:val="auto"/>
          <w:szCs w:val="24"/>
          <w:lang w:eastAsia="en-US"/>
        </w:rPr>
        <w:t xml:space="preserve"> </w:t>
      </w:r>
    </w:p>
    <w:p w14:paraId="44EB7584" w14:textId="45A69F1D" w:rsidR="004B5C54" w:rsidRPr="004B5C54" w:rsidRDefault="004B5C54" w:rsidP="00367EEC">
      <w:pPr>
        <w:spacing w:after="0" w:line="480" w:lineRule="auto"/>
        <w:rPr>
          <w:rFonts w:ascii="Arial" w:eastAsiaTheme="minorHAnsi" w:hAnsi="Arial" w:cs="Arial"/>
          <w:color w:val="auto"/>
          <w:szCs w:val="24"/>
          <w:lang w:eastAsia="en-US"/>
        </w:rPr>
      </w:pPr>
    </w:p>
    <w:p w14:paraId="3A751CFB" w14:textId="5675EB91" w:rsidR="00B91B4E" w:rsidRDefault="009E4B8B" w:rsidP="00367EEC">
      <w:pPr>
        <w:spacing w:after="0" w:line="480" w:lineRule="auto"/>
        <w:ind w:left="0"/>
        <w:rPr>
          <w:rFonts w:ascii="Arial" w:eastAsiaTheme="minorHAnsi" w:hAnsi="Arial" w:cs="Arial"/>
          <w:color w:val="auto"/>
          <w:szCs w:val="24"/>
          <w:lang w:eastAsia="en-US"/>
        </w:rPr>
      </w:pPr>
      <w:r>
        <w:rPr>
          <w:rFonts w:ascii="Arial" w:eastAsiaTheme="minorHAnsi" w:hAnsi="Arial" w:cs="Arial"/>
          <w:color w:val="auto"/>
          <w:szCs w:val="24"/>
          <w:lang w:eastAsia="en-US"/>
        </w:rPr>
        <w:t xml:space="preserve">[24]  </w:t>
      </w:r>
      <w:r w:rsidR="00367EEC">
        <w:rPr>
          <w:rFonts w:ascii="Arial" w:eastAsiaTheme="minorHAnsi" w:hAnsi="Arial" w:cs="Arial"/>
          <w:color w:val="auto"/>
          <w:szCs w:val="24"/>
          <w:lang w:eastAsia="en-US"/>
        </w:rPr>
        <w:t xml:space="preserve">  </w:t>
      </w:r>
      <w:r>
        <w:rPr>
          <w:rFonts w:ascii="Arial" w:eastAsiaTheme="minorHAnsi" w:hAnsi="Arial" w:cs="Arial"/>
          <w:color w:val="auto"/>
          <w:szCs w:val="24"/>
          <w:lang w:eastAsia="en-US"/>
        </w:rPr>
        <w:t>This Court makes the following order:</w:t>
      </w:r>
    </w:p>
    <w:p w14:paraId="4E7491C2" w14:textId="77777777" w:rsidR="009E4B8B" w:rsidRDefault="009E4B8B" w:rsidP="00367EEC">
      <w:pPr>
        <w:spacing w:after="0" w:line="480" w:lineRule="auto"/>
        <w:rPr>
          <w:rFonts w:ascii="Arial" w:eastAsiaTheme="minorHAnsi" w:hAnsi="Arial" w:cs="Arial"/>
          <w:color w:val="auto"/>
          <w:szCs w:val="24"/>
          <w:lang w:eastAsia="en-US"/>
        </w:rPr>
      </w:pPr>
    </w:p>
    <w:p w14:paraId="0D72419F" w14:textId="6FC6B399" w:rsidR="009E4B8B" w:rsidRDefault="009E4B8B" w:rsidP="00922112">
      <w:pPr>
        <w:spacing w:after="0" w:line="480" w:lineRule="auto"/>
        <w:ind w:left="709"/>
        <w:rPr>
          <w:rFonts w:ascii="Arial" w:eastAsiaTheme="minorHAnsi" w:hAnsi="Arial" w:cs="Arial"/>
          <w:color w:val="auto"/>
          <w:szCs w:val="24"/>
          <w:lang w:eastAsia="en-US"/>
        </w:rPr>
      </w:pPr>
      <w:r>
        <w:rPr>
          <w:rFonts w:ascii="Arial" w:eastAsiaTheme="minorHAnsi" w:hAnsi="Arial" w:cs="Arial"/>
          <w:color w:val="auto"/>
          <w:szCs w:val="24"/>
          <w:lang w:eastAsia="en-US"/>
        </w:rPr>
        <w:t xml:space="preserve">           24.1 The application for leave to appeal is dismissed</w:t>
      </w:r>
      <w:r w:rsidR="004B7156">
        <w:rPr>
          <w:rFonts w:ascii="Arial" w:eastAsiaTheme="minorHAnsi" w:hAnsi="Arial" w:cs="Arial"/>
          <w:color w:val="auto"/>
          <w:szCs w:val="24"/>
          <w:lang w:eastAsia="en-US"/>
        </w:rPr>
        <w:t>.</w:t>
      </w:r>
    </w:p>
    <w:p w14:paraId="51E828C6" w14:textId="77777777" w:rsidR="009E4B8B" w:rsidRDefault="009E4B8B" w:rsidP="00367EEC">
      <w:pPr>
        <w:spacing w:after="0" w:line="480" w:lineRule="auto"/>
        <w:rPr>
          <w:rFonts w:ascii="Arial" w:eastAsiaTheme="minorHAnsi" w:hAnsi="Arial" w:cs="Arial"/>
          <w:color w:val="auto"/>
          <w:szCs w:val="24"/>
          <w:lang w:eastAsia="en-US"/>
        </w:rPr>
      </w:pPr>
    </w:p>
    <w:p w14:paraId="591E0E39" w14:textId="1065A397" w:rsidR="009E4B8B" w:rsidRDefault="00922112" w:rsidP="00922112">
      <w:pPr>
        <w:spacing w:after="0" w:line="480" w:lineRule="auto"/>
        <w:ind w:left="709"/>
        <w:rPr>
          <w:rFonts w:ascii="Arial" w:eastAsiaTheme="minorHAnsi" w:hAnsi="Arial" w:cs="Arial"/>
          <w:color w:val="auto"/>
          <w:szCs w:val="24"/>
          <w:lang w:eastAsia="en-US"/>
        </w:rPr>
      </w:pPr>
      <w:r>
        <w:rPr>
          <w:rFonts w:ascii="Arial" w:eastAsiaTheme="minorHAnsi" w:hAnsi="Arial" w:cs="Arial"/>
          <w:color w:val="auto"/>
          <w:szCs w:val="24"/>
          <w:lang w:eastAsia="en-US"/>
        </w:rPr>
        <w:t xml:space="preserve">           24.</w:t>
      </w:r>
      <w:r w:rsidR="009E4B8B">
        <w:rPr>
          <w:rFonts w:ascii="Arial" w:eastAsiaTheme="minorHAnsi" w:hAnsi="Arial" w:cs="Arial"/>
          <w:color w:val="auto"/>
          <w:szCs w:val="24"/>
          <w:lang w:eastAsia="en-US"/>
        </w:rPr>
        <w:t>2 The Applicant is to pay the costs of the application for leave to appeal.</w:t>
      </w:r>
    </w:p>
    <w:p w14:paraId="0F2D2D3A" w14:textId="4702CCDC" w:rsidR="007F4B65" w:rsidRPr="007F4B65" w:rsidRDefault="007F4B65" w:rsidP="00367EEC">
      <w:pPr>
        <w:spacing w:after="0" w:line="480" w:lineRule="auto"/>
        <w:rPr>
          <w:rFonts w:ascii="Arial" w:eastAsiaTheme="minorHAnsi" w:hAnsi="Arial" w:cs="Arial"/>
          <w:color w:val="auto"/>
          <w:szCs w:val="24"/>
          <w:lang w:eastAsia="en-US"/>
        </w:rPr>
      </w:pPr>
    </w:p>
    <w:p w14:paraId="500D27B5" w14:textId="77777777" w:rsidR="00CA763F" w:rsidRDefault="00CA763F" w:rsidP="006A7D07">
      <w:pPr>
        <w:spacing w:after="0" w:line="240" w:lineRule="auto"/>
        <w:ind w:left="0" w:right="-42" w:firstLine="720"/>
        <w:jc w:val="right"/>
        <w:rPr>
          <w:rFonts w:ascii="Arial" w:eastAsiaTheme="minorHAnsi" w:hAnsi="Arial" w:cs="Arial"/>
          <w:color w:val="auto"/>
          <w:szCs w:val="24"/>
          <w:lang w:eastAsia="en-US"/>
        </w:rPr>
      </w:pPr>
    </w:p>
    <w:p w14:paraId="6BCB93AF" w14:textId="5179FDDF"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4A6C67" w:rsidRPr="00B94C00">
        <w:rPr>
          <w:rFonts w:ascii="Arial" w:eastAsiaTheme="minorHAnsi" w:hAnsi="Arial" w:cs="Arial"/>
          <w:color w:val="auto"/>
          <w:szCs w:val="24"/>
          <w:lang w:eastAsia="en-US"/>
        </w:rPr>
        <w:t>_</w:t>
      </w:r>
      <w:r w:rsidR="007B109C" w:rsidRPr="00B94C00">
        <w:rPr>
          <w:rFonts w:ascii="Arial" w:eastAsiaTheme="minorHAnsi" w:hAnsi="Arial" w:cs="Arial"/>
          <w:color w:val="auto"/>
          <w:szCs w:val="24"/>
          <w:lang w:eastAsia="en-US"/>
        </w:rPr>
        <w:t>____</w:t>
      </w:r>
      <w:r w:rsidR="004A6C67" w:rsidRPr="00B94C00">
        <w:rPr>
          <w:rFonts w:ascii="Arial" w:eastAsiaTheme="minorHAnsi" w:hAnsi="Arial" w:cs="Arial"/>
          <w:color w:val="auto"/>
          <w:szCs w:val="24"/>
          <w:lang w:eastAsia="en-US"/>
        </w:rPr>
        <w:t>_</w:t>
      </w:r>
      <w:r w:rsidRPr="00B94C00">
        <w:rPr>
          <w:rFonts w:ascii="Arial" w:eastAsiaTheme="minorHAnsi" w:hAnsi="Arial" w:cs="Arial"/>
          <w:color w:val="auto"/>
          <w:szCs w:val="24"/>
          <w:lang w:eastAsia="en-US"/>
        </w:rPr>
        <w:t>_______________________</w:t>
      </w:r>
    </w:p>
    <w:p w14:paraId="7BED9695" w14:textId="5A02885B" w:rsidR="00394ED7" w:rsidRPr="00B94C00" w:rsidRDefault="00394ED7" w:rsidP="006A7D07">
      <w:pPr>
        <w:spacing w:after="0" w:line="240"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b/>
          <w:color w:val="auto"/>
          <w:szCs w:val="24"/>
          <w:lang w:eastAsia="en-US"/>
        </w:rPr>
        <w:t>B</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C</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 xml:space="preserve"> WANLESS</w:t>
      </w:r>
    </w:p>
    <w:p w14:paraId="64B6D5A0" w14:textId="14A2BEA3"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2F145F">
        <w:rPr>
          <w:rFonts w:ascii="Arial" w:eastAsiaTheme="minorHAnsi" w:hAnsi="Arial" w:cs="Arial"/>
          <w:color w:val="auto"/>
          <w:szCs w:val="24"/>
          <w:lang w:eastAsia="en-US"/>
        </w:rPr>
        <w:t>Acting</w:t>
      </w:r>
      <w:r w:rsidRPr="00B94C00">
        <w:rPr>
          <w:rFonts w:ascii="Arial" w:eastAsiaTheme="minorHAnsi" w:hAnsi="Arial" w:cs="Arial"/>
          <w:color w:val="auto"/>
          <w:szCs w:val="24"/>
          <w:lang w:eastAsia="en-US"/>
        </w:rPr>
        <w:tab/>
      </w:r>
      <w:r w:rsidR="00D20A49" w:rsidRPr="00B94C00">
        <w:rPr>
          <w:rFonts w:ascii="Arial" w:eastAsiaTheme="minorHAnsi" w:hAnsi="Arial" w:cs="Arial"/>
          <w:color w:val="auto"/>
          <w:szCs w:val="24"/>
          <w:lang w:eastAsia="en-US"/>
        </w:rPr>
        <w:t>Judge o</w:t>
      </w:r>
      <w:r w:rsidR="005866AD" w:rsidRPr="00B94C00">
        <w:rPr>
          <w:rFonts w:ascii="Arial" w:eastAsiaTheme="minorHAnsi" w:hAnsi="Arial" w:cs="Arial"/>
          <w:color w:val="auto"/>
          <w:szCs w:val="24"/>
          <w:lang w:eastAsia="en-US"/>
        </w:rPr>
        <w:t>f t</w:t>
      </w:r>
      <w:r w:rsidR="00D20A49" w:rsidRPr="00B94C00">
        <w:rPr>
          <w:rFonts w:ascii="Arial" w:eastAsiaTheme="minorHAnsi" w:hAnsi="Arial" w:cs="Arial"/>
          <w:color w:val="auto"/>
          <w:szCs w:val="24"/>
          <w:lang w:eastAsia="en-US"/>
        </w:rPr>
        <w:t>he High Court</w:t>
      </w:r>
    </w:p>
    <w:p w14:paraId="552E52EF" w14:textId="6820A96B" w:rsidR="00394ED7" w:rsidRPr="00B94C00" w:rsidRDefault="00D20A49"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B109C" w:rsidRPr="00B94C00">
        <w:rPr>
          <w:rFonts w:ascii="Arial" w:eastAsiaTheme="minorHAnsi" w:hAnsi="Arial" w:cs="Arial"/>
          <w:color w:val="auto"/>
          <w:szCs w:val="24"/>
          <w:lang w:eastAsia="en-US"/>
        </w:rPr>
        <w:t xml:space="preserve">Gauteng Division, </w:t>
      </w:r>
      <w:r w:rsidRPr="00B94C00">
        <w:rPr>
          <w:rFonts w:ascii="Arial" w:eastAsiaTheme="minorHAnsi" w:hAnsi="Arial" w:cs="Arial"/>
          <w:color w:val="auto"/>
          <w:szCs w:val="24"/>
          <w:lang w:eastAsia="en-US"/>
        </w:rPr>
        <w:t xml:space="preserve">Johannesburg </w:t>
      </w:r>
    </w:p>
    <w:p w14:paraId="6D3085AB" w14:textId="77777777" w:rsidR="00394ED7" w:rsidRPr="00B94C00" w:rsidRDefault="00394ED7" w:rsidP="007C296E">
      <w:pPr>
        <w:spacing w:after="0" w:line="240" w:lineRule="auto"/>
        <w:ind w:right="-42"/>
        <w:jc w:val="left"/>
        <w:rPr>
          <w:rFonts w:ascii="Arial" w:eastAsiaTheme="minorHAnsi" w:hAnsi="Arial" w:cs="Arial"/>
          <w:color w:val="auto"/>
          <w:szCs w:val="24"/>
          <w:lang w:eastAsia="en-US"/>
        </w:rPr>
      </w:pPr>
    </w:p>
    <w:p w14:paraId="7984F212" w14:textId="77777777" w:rsidR="00DF3156" w:rsidRDefault="00DF3156" w:rsidP="006A7D07">
      <w:pPr>
        <w:spacing w:after="0" w:line="240" w:lineRule="auto"/>
        <w:ind w:right="-42"/>
        <w:jc w:val="left"/>
        <w:rPr>
          <w:rFonts w:ascii="Arial" w:eastAsiaTheme="minorHAnsi" w:hAnsi="Arial" w:cs="Arial"/>
          <w:b/>
          <w:color w:val="auto"/>
          <w:szCs w:val="24"/>
          <w:lang w:eastAsia="en-US"/>
        </w:rPr>
      </w:pPr>
    </w:p>
    <w:p w14:paraId="4B98B6E8" w14:textId="77777777" w:rsidR="004B7156" w:rsidRDefault="004B7156" w:rsidP="006A7D07">
      <w:pPr>
        <w:spacing w:after="0" w:line="240" w:lineRule="auto"/>
        <w:ind w:right="-42"/>
        <w:jc w:val="left"/>
        <w:rPr>
          <w:rFonts w:ascii="Arial" w:eastAsiaTheme="minorHAnsi" w:hAnsi="Arial" w:cs="Arial"/>
          <w:b/>
          <w:color w:val="auto"/>
          <w:szCs w:val="24"/>
          <w:lang w:eastAsia="en-US"/>
        </w:rPr>
      </w:pPr>
    </w:p>
    <w:p w14:paraId="79248BD9" w14:textId="77777777" w:rsidR="004B7156" w:rsidRDefault="004B7156" w:rsidP="006A7D07">
      <w:pPr>
        <w:spacing w:after="0" w:line="240" w:lineRule="auto"/>
        <w:ind w:right="-42"/>
        <w:jc w:val="left"/>
        <w:rPr>
          <w:rFonts w:ascii="Arial" w:eastAsiaTheme="minorHAnsi" w:hAnsi="Arial" w:cs="Arial"/>
          <w:b/>
          <w:color w:val="auto"/>
          <w:szCs w:val="24"/>
          <w:lang w:eastAsia="en-US"/>
        </w:rPr>
      </w:pPr>
    </w:p>
    <w:p w14:paraId="08554E3A" w14:textId="77777777" w:rsidR="004B7156" w:rsidRDefault="004B7156" w:rsidP="006A7D07">
      <w:pPr>
        <w:spacing w:after="0" w:line="240" w:lineRule="auto"/>
        <w:ind w:right="-42"/>
        <w:jc w:val="left"/>
        <w:rPr>
          <w:rFonts w:ascii="Arial" w:eastAsiaTheme="minorHAnsi" w:hAnsi="Arial" w:cs="Arial"/>
          <w:b/>
          <w:color w:val="auto"/>
          <w:szCs w:val="24"/>
          <w:lang w:eastAsia="en-US"/>
        </w:rPr>
      </w:pPr>
    </w:p>
    <w:p w14:paraId="55D983D5" w14:textId="77777777" w:rsidR="004B7156" w:rsidRDefault="004B7156" w:rsidP="006A7D07">
      <w:pPr>
        <w:spacing w:after="0" w:line="240" w:lineRule="auto"/>
        <w:ind w:right="-42"/>
        <w:jc w:val="left"/>
        <w:rPr>
          <w:rFonts w:ascii="Arial" w:eastAsiaTheme="minorHAnsi" w:hAnsi="Arial" w:cs="Arial"/>
          <w:b/>
          <w:color w:val="auto"/>
          <w:szCs w:val="24"/>
          <w:lang w:eastAsia="en-US"/>
        </w:rPr>
      </w:pPr>
    </w:p>
    <w:p w14:paraId="7C478D9A" w14:textId="16102658" w:rsidR="006A7D07" w:rsidRPr="00B94C00" w:rsidRDefault="006A7D07" w:rsidP="00AA0CB8">
      <w:pPr>
        <w:spacing w:after="0" w:line="360" w:lineRule="auto"/>
        <w:ind w:right="-42"/>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Heard</w:t>
      </w:r>
      <w:r w:rsidRPr="00B94C00">
        <w:rPr>
          <w:rFonts w:ascii="Arial" w:eastAsiaTheme="minorHAnsi" w:hAnsi="Arial" w:cs="Arial"/>
          <w:color w:val="auto"/>
          <w:szCs w:val="24"/>
          <w:lang w:eastAsia="en-US"/>
        </w:rPr>
        <w:t>:</w:t>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C296E">
        <w:rPr>
          <w:rFonts w:ascii="Arial" w:eastAsiaTheme="minorHAnsi" w:hAnsi="Arial" w:cs="Arial"/>
          <w:color w:val="auto"/>
          <w:szCs w:val="24"/>
          <w:lang w:eastAsia="en-US"/>
        </w:rPr>
        <w:tab/>
      </w:r>
      <w:r w:rsidR="00AA0CB8">
        <w:rPr>
          <w:rFonts w:ascii="Arial" w:eastAsiaTheme="minorHAnsi" w:hAnsi="Arial" w:cs="Arial"/>
          <w:color w:val="auto"/>
          <w:szCs w:val="24"/>
          <w:lang w:eastAsia="en-US"/>
        </w:rPr>
        <w:tab/>
      </w:r>
      <w:r w:rsidR="00AA0CB8">
        <w:rPr>
          <w:rFonts w:ascii="Arial" w:eastAsiaTheme="minorHAnsi" w:hAnsi="Arial" w:cs="Arial"/>
          <w:color w:val="auto"/>
          <w:szCs w:val="24"/>
          <w:lang w:eastAsia="en-US"/>
        </w:rPr>
        <w:tab/>
      </w:r>
      <w:r w:rsidR="00AA0CB8">
        <w:rPr>
          <w:rFonts w:ascii="Arial" w:eastAsiaTheme="minorHAnsi" w:hAnsi="Arial" w:cs="Arial"/>
          <w:color w:val="auto"/>
          <w:szCs w:val="24"/>
          <w:lang w:eastAsia="en-US"/>
        </w:rPr>
        <w:tab/>
      </w:r>
      <w:r w:rsidR="002F220B">
        <w:rPr>
          <w:rFonts w:ascii="Arial" w:eastAsiaTheme="minorHAnsi" w:hAnsi="Arial" w:cs="Arial"/>
          <w:color w:val="auto"/>
          <w:szCs w:val="24"/>
          <w:lang w:eastAsia="en-US"/>
        </w:rPr>
        <w:t>28 August</w:t>
      </w:r>
      <w:r w:rsidR="00DF3156">
        <w:rPr>
          <w:rFonts w:ascii="Arial" w:eastAsiaTheme="minorHAnsi" w:hAnsi="Arial" w:cs="Arial"/>
          <w:color w:val="auto"/>
          <w:szCs w:val="24"/>
          <w:lang w:eastAsia="en-US"/>
        </w:rPr>
        <w:t xml:space="preserve"> 202</w:t>
      </w:r>
      <w:r w:rsidR="00CB26EC">
        <w:rPr>
          <w:rFonts w:ascii="Arial" w:eastAsiaTheme="minorHAnsi" w:hAnsi="Arial" w:cs="Arial"/>
          <w:color w:val="auto"/>
          <w:szCs w:val="24"/>
          <w:lang w:eastAsia="en-US"/>
        </w:rPr>
        <w:t>3</w:t>
      </w:r>
      <w:r w:rsidR="00775FC2">
        <w:rPr>
          <w:rFonts w:ascii="Arial" w:eastAsiaTheme="minorHAnsi" w:hAnsi="Arial" w:cs="Arial"/>
          <w:color w:val="auto"/>
          <w:szCs w:val="24"/>
          <w:lang w:eastAsia="en-US"/>
        </w:rPr>
        <w:t xml:space="preserve"> </w:t>
      </w:r>
    </w:p>
    <w:p w14:paraId="601050E4" w14:textId="7CD5A456" w:rsidR="006A7D07" w:rsidRDefault="006A7D07" w:rsidP="00AA0CB8">
      <w:pPr>
        <w:spacing w:after="0" w:line="360" w:lineRule="auto"/>
        <w:ind w:right="-42"/>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Judgment</w:t>
      </w:r>
      <w:r w:rsidRPr="00B94C00">
        <w:rPr>
          <w:rFonts w:ascii="Arial" w:eastAsiaTheme="minorHAnsi" w:hAnsi="Arial" w:cs="Arial"/>
          <w:color w:val="auto"/>
          <w:szCs w:val="24"/>
          <w:lang w:eastAsia="en-US"/>
        </w:rPr>
        <w:t>:</w:t>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color w:val="auto"/>
          <w:szCs w:val="24"/>
          <w:lang w:eastAsia="en-US"/>
        </w:rPr>
        <w:tab/>
      </w:r>
      <w:r w:rsidR="00AA0CB8">
        <w:rPr>
          <w:rFonts w:ascii="Arial" w:eastAsiaTheme="minorHAnsi" w:hAnsi="Arial" w:cs="Arial"/>
          <w:color w:val="auto"/>
          <w:szCs w:val="24"/>
          <w:lang w:eastAsia="en-US"/>
        </w:rPr>
        <w:tab/>
      </w:r>
      <w:r w:rsidR="00AA0CB8">
        <w:rPr>
          <w:rFonts w:ascii="Arial" w:eastAsiaTheme="minorHAnsi" w:hAnsi="Arial" w:cs="Arial"/>
          <w:color w:val="auto"/>
          <w:szCs w:val="24"/>
          <w:lang w:eastAsia="en-US"/>
        </w:rPr>
        <w:tab/>
      </w:r>
      <w:r w:rsidR="00AA0CB8">
        <w:rPr>
          <w:rFonts w:ascii="Arial" w:eastAsiaTheme="minorHAnsi" w:hAnsi="Arial" w:cs="Arial"/>
          <w:color w:val="auto"/>
          <w:szCs w:val="24"/>
          <w:lang w:eastAsia="en-US"/>
        </w:rPr>
        <w:tab/>
        <w:t>27</w:t>
      </w:r>
      <w:r w:rsidR="002F220B">
        <w:rPr>
          <w:rFonts w:ascii="Arial" w:eastAsiaTheme="minorHAnsi" w:hAnsi="Arial" w:cs="Arial"/>
          <w:color w:val="auto"/>
          <w:szCs w:val="24"/>
          <w:lang w:eastAsia="en-US"/>
        </w:rPr>
        <w:t xml:space="preserve"> September</w:t>
      </w:r>
      <w:r w:rsidR="007C296E">
        <w:rPr>
          <w:rFonts w:ascii="Arial" w:eastAsiaTheme="minorHAnsi" w:hAnsi="Arial" w:cs="Arial"/>
          <w:color w:val="auto"/>
          <w:szCs w:val="24"/>
          <w:lang w:eastAsia="en-US"/>
        </w:rPr>
        <w:t xml:space="preserve"> 202</w:t>
      </w:r>
      <w:r w:rsidR="002F145F">
        <w:rPr>
          <w:rFonts w:ascii="Arial" w:eastAsiaTheme="minorHAnsi" w:hAnsi="Arial" w:cs="Arial"/>
          <w:color w:val="auto"/>
          <w:szCs w:val="24"/>
          <w:lang w:eastAsia="en-US"/>
        </w:rPr>
        <w:t>3</w:t>
      </w:r>
    </w:p>
    <w:p w14:paraId="2B0E8169" w14:textId="77777777" w:rsidR="00AA0CB8" w:rsidRPr="00B94C00" w:rsidRDefault="00AA0CB8" w:rsidP="00AA0CB8">
      <w:pPr>
        <w:spacing w:after="0" w:line="360" w:lineRule="auto"/>
        <w:ind w:right="-42"/>
        <w:jc w:val="left"/>
        <w:rPr>
          <w:rFonts w:ascii="Arial" w:eastAsiaTheme="minorHAnsi" w:hAnsi="Arial" w:cs="Arial"/>
          <w:color w:val="auto"/>
          <w:szCs w:val="24"/>
          <w:lang w:eastAsia="en-US"/>
        </w:rPr>
      </w:pPr>
    </w:p>
    <w:p w14:paraId="6CFC3615" w14:textId="77777777" w:rsidR="006A7D07" w:rsidRPr="00B94C00" w:rsidRDefault="006A7D07" w:rsidP="00AA0CB8">
      <w:pPr>
        <w:spacing w:after="0" w:line="360" w:lineRule="auto"/>
        <w:ind w:right="-42"/>
        <w:jc w:val="left"/>
        <w:rPr>
          <w:rFonts w:ascii="Arial" w:eastAsiaTheme="minorHAnsi" w:hAnsi="Arial" w:cs="Arial"/>
          <w:color w:val="auto"/>
          <w:szCs w:val="24"/>
          <w:lang w:eastAsia="en-US"/>
        </w:rPr>
      </w:pPr>
    </w:p>
    <w:p w14:paraId="22B3BC1E" w14:textId="6D32581C" w:rsidR="00394ED7" w:rsidRPr="002F145F" w:rsidRDefault="00394ED7" w:rsidP="00AA0CB8">
      <w:pPr>
        <w:spacing w:after="0" w:line="360" w:lineRule="auto"/>
        <w:ind w:right="-42"/>
        <w:jc w:val="left"/>
        <w:rPr>
          <w:rFonts w:ascii="Arial" w:eastAsiaTheme="minorHAnsi" w:hAnsi="Arial" w:cs="Arial"/>
          <w:b/>
          <w:bCs/>
          <w:color w:val="auto"/>
          <w:szCs w:val="24"/>
          <w:lang w:eastAsia="en-US"/>
        </w:rPr>
      </w:pPr>
      <w:r w:rsidRPr="002F145F">
        <w:rPr>
          <w:rFonts w:ascii="Arial" w:eastAsiaTheme="minorHAnsi" w:hAnsi="Arial" w:cs="Arial"/>
          <w:b/>
          <w:bCs/>
          <w:color w:val="auto"/>
          <w:szCs w:val="24"/>
          <w:u w:val="single"/>
          <w:lang w:eastAsia="en-US"/>
        </w:rPr>
        <w:t>Appearances</w:t>
      </w:r>
    </w:p>
    <w:p w14:paraId="6444815F" w14:textId="77777777" w:rsidR="00394ED7" w:rsidRPr="00B94C00" w:rsidRDefault="00394ED7" w:rsidP="00AA0CB8">
      <w:pPr>
        <w:spacing w:after="0" w:line="360" w:lineRule="auto"/>
        <w:ind w:left="0"/>
        <w:jc w:val="left"/>
        <w:rPr>
          <w:rFonts w:ascii="Arial" w:eastAsiaTheme="minorHAnsi" w:hAnsi="Arial" w:cs="Arial"/>
          <w:color w:val="auto"/>
          <w:szCs w:val="24"/>
          <w:lang w:eastAsia="en-US"/>
        </w:rPr>
      </w:pPr>
    </w:p>
    <w:p w14:paraId="3323F560" w14:textId="0ABC2353" w:rsidR="00394ED7" w:rsidRPr="00AA0CB8" w:rsidRDefault="006A7D07" w:rsidP="00AA0CB8">
      <w:pPr>
        <w:spacing w:after="0" w:line="360" w:lineRule="auto"/>
        <w:ind w:left="0"/>
        <w:jc w:val="left"/>
        <w:rPr>
          <w:rFonts w:ascii="Arial" w:eastAsiaTheme="minorHAnsi" w:hAnsi="Arial" w:cs="Arial"/>
          <w:color w:val="auto"/>
          <w:szCs w:val="24"/>
          <w:lang w:eastAsia="en-US"/>
        </w:rPr>
      </w:pPr>
      <w:r w:rsidRPr="00AA0CB8">
        <w:rPr>
          <w:rFonts w:ascii="Arial" w:eastAsiaTheme="minorHAnsi" w:hAnsi="Arial" w:cs="Arial"/>
          <w:b/>
          <w:color w:val="auto"/>
          <w:szCs w:val="24"/>
          <w:lang w:eastAsia="en-US"/>
        </w:rPr>
        <w:t>For Applicant</w:t>
      </w:r>
      <w:r w:rsidRPr="00AA0CB8">
        <w:rPr>
          <w:rFonts w:ascii="Arial" w:eastAsiaTheme="minorHAnsi" w:hAnsi="Arial" w:cs="Arial"/>
          <w:color w:val="auto"/>
          <w:szCs w:val="24"/>
          <w:lang w:eastAsia="en-US"/>
        </w:rPr>
        <w:t>:</w:t>
      </w:r>
      <w:r w:rsidR="007C296E" w:rsidRPr="00AA0CB8">
        <w:rPr>
          <w:rFonts w:ascii="Arial" w:eastAsiaTheme="minorHAnsi" w:hAnsi="Arial" w:cs="Arial"/>
          <w:color w:val="auto"/>
          <w:szCs w:val="24"/>
          <w:lang w:eastAsia="en-US"/>
        </w:rPr>
        <w:tab/>
      </w:r>
      <w:r w:rsidR="007C296E" w:rsidRPr="00AA0CB8">
        <w:rPr>
          <w:rFonts w:ascii="Arial" w:eastAsiaTheme="minorHAnsi" w:hAnsi="Arial" w:cs="Arial"/>
          <w:color w:val="auto"/>
          <w:szCs w:val="24"/>
          <w:lang w:eastAsia="en-US"/>
        </w:rPr>
        <w:tab/>
      </w:r>
      <w:r w:rsidR="00AA0CB8">
        <w:rPr>
          <w:rFonts w:ascii="Arial" w:eastAsiaTheme="minorHAnsi" w:hAnsi="Arial" w:cs="Arial"/>
          <w:color w:val="auto"/>
          <w:szCs w:val="24"/>
          <w:lang w:eastAsia="en-US"/>
        </w:rPr>
        <w:tab/>
      </w:r>
      <w:r w:rsidR="00AA0CB8">
        <w:rPr>
          <w:rFonts w:ascii="Arial" w:eastAsiaTheme="minorHAnsi" w:hAnsi="Arial" w:cs="Arial"/>
          <w:color w:val="auto"/>
          <w:szCs w:val="24"/>
          <w:lang w:eastAsia="en-US"/>
        </w:rPr>
        <w:tab/>
      </w:r>
      <w:r w:rsidR="00AA0CB8">
        <w:rPr>
          <w:rFonts w:ascii="Arial" w:eastAsiaTheme="minorHAnsi" w:hAnsi="Arial" w:cs="Arial"/>
          <w:color w:val="auto"/>
          <w:szCs w:val="24"/>
          <w:lang w:eastAsia="en-US"/>
        </w:rPr>
        <w:tab/>
        <w:t>Adv. H. P. van Niewenhuizen</w:t>
      </w:r>
    </w:p>
    <w:p w14:paraId="058931E1" w14:textId="7FB359F4" w:rsidR="006A7D07" w:rsidRPr="00AA0CB8" w:rsidRDefault="006A7D07" w:rsidP="00AA0CB8">
      <w:pPr>
        <w:spacing w:after="0" w:line="360" w:lineRule="auto"/>
        <w:ind w:left="0"/>
        <w:jc w:val="left"/>
        <w:rPr>
          <w:rFonts w:ascii="Arial" w:eastAsiaTheme="minorHAnsi" w:hAnsi="Arial" w:cs="Arial"/>
          <w:color w:val="auto"/>
          <w:szCs w:val="24"/>
          <w:lang w:eastAsia="en-US"/>
        </w:rPr>
      </w:pPr>
      <w:r w:rsidRPr="00AA0CB8">
        <w:rPr>
          <w:rFonts w:ascii="Arial" w:eastAsiaTheme="minorHAnsi" w:hAnsi="Arial" w:cs="Arial"/>
          <w:b/>
          <w:color w:val="auto"/>
          <w:szCs w:val="24"/>
          <w:lang w:eastAsia="en-US"/>
        </w:rPr>
        <w:t>Instructed by</w:t>
      </w:r>
      <w:r w:rsidRPr="00AA0CB8">
        <w:rPr>
          <w:rFonts w:ascii="Arial" w:eastAsiaTheme="minorHAnsi" w:hAnsi="Arial" w:cs="Arial"/>
          <w:color w:val="auto"/>
          <w:szCs w:val="24"/>
          <w:lang w:eastAsia="en-US"/>
        </w:rPr>
        <w:t>:</w:t>
      </w:r>
      <w:r w:rsidR="007C296E" w:rsidRPr="00AA0CB8">
        <w:rPr>
          <w:rFonts w:ascii="Arial" w:eastAsiaTheme="minorHAnsi" w:hAnsi="Arial" w:cs="Arial"/>
          <w:color w:val="auto"/>
          <w:szCs w:val="24"/>
          <w:lang w:eastAsia="en-US"/>
        </w:rPr>
        <w:tab/>
      </w:r>
      <w:r w:rsidR="007C296E" w:rsidRPr="00AA0CB8">
        <w:rPr>
          <w:rFonts w:ascii="Arial" w:eastAsiaTheme="minorHAnsi" w:hAnsi="Arial" w:cs="Arial"/>
          <w:color w:val="auto"/>
          <w:szCs w:val="24"/>
          <w:lang w:eastAsia="en-US"/>
        </w:rPr>
        <w:tab/>
      </w:r>
      <w:r w:rsidR="00AA0CB8">
        <w:rPr>
          <w:rFonts w:ascii="Arial" w:eastAsiaTheme="minorHAnsi" w:hAnsi="Arial" w:cs="Arial"/>
          <w:color w:val="auto"/>
          <w:szCs w:val="24"/>
          <w:lang w:eastAsia="en-US"/>
        </w:rPr>
        <w:tab/>
      </w:r>
      <w:r w:rsidR="00AA0CB8">
        <w:rPr>
          <w:rFonts w:ascii="Arial" w:eastAsiaTheme="minorHAnsi" w:hAnsi="Arial" w:cs="Arial"/>
          <w:color w:val="auto"/>
          <w:szCs w:val="24"/>
          <w:lang w:eastAsia="en-US"/>
        </w:rPr>
        <w:tab/>
      </w:r>
      <w:r w:rsidR="00AA0CB8">
        <w:rPr>
          <w:rFonts w:ascii="Arial" w:eastAsiaTheme="minorHAnsi" w:hAnsi="Arial" w:cs="Arial"/>
          <w:color w:val="auto"/>
          <w:szCs w:val="24"/>
          <w:lang w:eastAsia="en-US"/>
        </w:rPr>
        <w:tab/>
        <w:t>Rechen Attorneys Inc.</w:t>
      </w:r>
    </w:p>
    <w:p w14:paraId="7B4B3B95" w14:textId="77777777" w:rsidR="006A7D07" w:rsidRPr="00AA0CB8" w:rsidRDefault="006A7D07" w:rsidP="00AA0CB8">
      <w:pPr>
        <w:spacing w:after="0" w:line="360" w:lineRule="auto"/>
        <w:ind w:left="0"/>
        <w:jc w:val="left"/>
        <w:rPr>
          <w:rFonts w:ascii="Arial" w:eastAsiaTheme="minorHAnsi" w:hAnsi="Arial" w:cs="Arial"/>
          <w:color w:val="auto"/>
          <w:szCs w:val="24"/>
          <w:lang w:eastAsia="en-US"/>
        </w:rPr>
      </w:pPr>
    </w:p>
    <w:p w14:paraId="1039C1D6" w14:textId="0708B11A" w:rsidR="006A7D07" w:rsidRPr="00AA0CB8" w:rsidRDefault="006A7D07" w:rsidP="00AA0CB8">
      <w:pPr>
        <w:spacing w:after="0" w:line="360" w:lineRule="auto"/>
        <w:ind w:left="5040" w:hanging="5040"/>
        <w:jc w:val="left"/>
        <w:rPr>
          <w:rFonts w:ascii="Arial" w:eastAsiaTheme="minorHAnsi" w:hAnsi="Arial" w:cs="Arial"/>
          <w:color w:val="auto"/>
          <w:szCs w:val="24"/>
          <w:lang w:eastAsia="en-US"/>
        </w:rPr>
      </w:pPr>
      <w:r w:rsidRPr="00AA0CB8">
        <w:rPr>
          <w:rFonts w:ascii="Arial" w:eastAsiaTheme="minorHAnsi" w:hAnsi="Arial" w:cs="Arial"/>
          <w:b/>
          <w:color w:val="auto"/>
          <w:szCs w:val="24"/>
          <w:lang w:eastAsia="en-US"/>
        </w:rPr>
        <w:t>For Respondent</w:t>
      </w:r>
      <w:r w:rsidR="002F220B" w:rsidRPr="00AA0CB8">
        <w:rPr>
          <w:rFonts w:ascii="Arial" w:eastAsiaTheme="minorHAnsi" w:hAnsi="Arial" w:cs="Arial"/>
          <w:b/>
          <w:color w:val="auto"/>
          <w:szCs w:val="24"/>
          <w:lang w:eastAsia="en-US"/>
        </w:rPr>
        <w:t>s</w:t>
      </w:r>
      <w:r w:rsidRPr="00AA0CB8">
        <w:rPr>
          <w:rFonts w:ascii="Arial" w:eastAsiaTheme="minorHAnsi" w:hAnsi="Arial" w:cs="Arial"/>
          <w:color w:val="auto"/>
          <w:szCs w:val="24"/>
          <w:lang w:eastAsia="en-US"/>
        </w:rPr>
        <w:t>:</w:t>
      </w:r>
      <w:r w:rsidR="007C296E" w:rsidRPr="00AA0CB8">
        <w:rPr>
          <w:rFonts w:ascii="Arial" w:eastAsiaTheme="minorHAnsi" w:hAnsi="Arial" w:cs="Arial"/>
          <w:color w:val="auto"/>
          <w:szCs w:val="24"/>
          <w:lang w:eastAsia="en-US"/>
        </w:rPr>
        <w:tab/>
      </w:r>
      <w:r w:rsidR="00AA0CB8">
        <w:rPr>
          <w:rFonts w:ascii="Arial" w:eastAsiaTheme="minorHAnsi" w:hAnsi="Arial" w:cs="Arial"/>
          <w:color w:val="auto"/>
          <w:szCs w:val="24"/>
          <w:lang w:eastAsia="en-US"/>
        </w:rPr>
        <w:t xml:space="preserve">Adv. T. N. </w:t>
      </w:r>
      <w:r w:rsidR="00352F86">
        <w:rPr>
          <w:rFonts w:ascii="Arial" w:eastAsiaTheme="minorHAnsi" w:hAnsi="Arial" w:cs="Arial"/>
          <w:color w:val="auto"/>
          <w:szCs w:val="24"/>
          <w:lang w:eastAsia="en-US"/>
        </w:rPr>
        <w:t>Ngcukaitobi</w:t>
      </w:r>
      <w:r w:rsidR="00AA0CB8">
        <w:rPr>
          <w:rFonts w:ascii="Arial" w:eastAsiaTheme="minorHAnsi" w:hAnsi="Arial" w:cs="Arial"/>
          <w:color w:val="auto"/>
          <w:szCs w:val="24"/>
          <w:lang w:eastAsia="en-US"/>
        </w:rPr>
        <w:t xml:space="preserve"> SC </w:t>
      </w:r>
    </w:p>
    <w:p w14:paraId="12CDE837" w14:textId="015A072A" w:rsidR="006A7D07" w:rsidRPr="00B94C00" w:rsidRDefault="006A7D07" w:rsidP="00AA0CB8">
      <w:pPr>
        <w:spacing w:after="0" w:line="360" w:lineRule="auto"/>
        <w:ind w:left="5040" w:hanging="5040"/>
        <w:jc w:val="left"/>
        <w:rPr>
          <w:rFonts w:ascii="Arial" w:eastAsiaTheme="minorHAnsi" w:hAnsi="Arial" w:cs="Arial"/>
          <w:color w:val="auto"/>
          <w:szCs w:val="24"/>
          <w:lang w:eastAsia="en-US"/>
        </w:rPr>
      </w:pPr>
      <w:r w:rsidRPr="00AA0CB8">
        <w:rPr>
          <w:rFonts w:ascii="Arial" w:eastAsiaTheme="minorHAnsi" w:hAnsi="Arial" w:cs="Arial"/>
          <w:b/>
          <w:color w:val="auto"/>
          <w:szCs w:val="24"/>
          <w:lang w:eastAsia="en-US"/>
        </w:rPr>
        <w:t>Instructed by</w:t>
      </w:r>
      <w:r w:rsidRPr="00AA0CB8">
        <w:rPr>
          <w:rFonts w:ascii="Arial" w:eastAsiaTheme="minorHAnsi" w:hAnsi="Arial" w:cs="Arial"/>
          <w:color w:val="auto"/>
          <w:szCs w:val="24"/>
          <w:lang w:eastAsia="en-US"/>
        </w:rPr>
        <w:t>:</w:t>
      </w:r>
      <w:r w:rsidR="00AA0CB8">
        <w:rPr>
          <w:rFonts w:ascii="Arial" w:eastAsiaTheme="minorHAnsi" w:hAnsi="Arial" w:cs="Arial"/>
          <w:color w:val="auto"/>
          <w:szCs w:val="24"/>
          <w:lang w:eastAsia="en-US"/>
        </w:rPr>
        <w:tab/>
        <w:t>Friedland Hart Solomon &amp; Nicolson Attorneys</w:t>
      </w:r>
      <w:r w:rsidR="007C296E">
        <w:rPr>
          <w:rFonts w:ascii="Arial" w:eastAsiaTheme="minorHAnsi" w:hAnsi="Arial" w:cs="Arial"/>
          <w:color w:val="auto"/>
          <w:szCs w:val="24"/>
          <w:lang w:eastAsia="en-US"/>
        </w:rPr>
        <w:tab/>
      </w:r>
      <w:r w:rsidR="007C296E">
        <w:rPr>
          <w:rFonts w:ascii="Arial" w:eastAsiaTheme="minorHAnsi" w:hAnsi="Arial" w:cs="Arial"/>
          <w:color w:val="auto"/>
          <w:szCs w:val="24"/>
          <w:lang w:eastAsia="en-US"/>
        </w:rPr>
        <w:tab/>
      </w:r>
    </w:p>
    <w:p w14:paraId="005245AC" w14:textId="77777777" w:rsidR="00D91B48" w:rsidRPr="00B94C00" w:rsidRDefault="00D91B48" w:rsidP="006A7D07">
      <w:pPr>
        <w:spacing w:after="0" w:line="240" w:lineRule="auto"/>
        <w:ind w:left="0"/>
        <w:rPr>
          <w:rFonts w:ascii="Arial" w:hAnsi="Arial" w:cs="Arial"/>
          <w:szCs w:val="24"/>
        </w:rPr>
      </w:pPr>
    </w:p>
    <w:sectPr w:rsidR="00D91B48" w:rsidRPr="00B94C00" w:rsidSect="007856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1A722" w14:textId="77777777" w:rsidR="0012403E" w:rsidRDefault="0012403E" w:rsidP="00A238D6">
      <w:pPr>
        <w:spacing w:after="0" w:line="240" w:lineRule="auto"/>
      </w:pPr>
      <w:r>
        <w:separator/>
      </w:r>
    </w:p>
  </w:endnote>
  <w:endnote w:type="continuationSeparator" w:id="0">
    <w:p w14:paraId="51639D43" w14:textId="77777777" w:rsidR="0012403E" w:rsidRDefault="0012403E" w:rsidP="00A238D6">
      <w:pPr>
        <w:spacing w:after="0" w:line="240" w:lineRule="auto"/>
      </w:pPr>
      <w:r>
        <w:continuationSeparator/>
      </w:r>
    </w:p>
  </w:endnote>
  <w:endnote w:type="continuationNotice" w:id="1">
    <w:p w14:paraId="6F7DF6CF" w14:textId="77777777" w:rsidR="0012403E" w:rsidRDefault="00124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03CAF" w14:textId="77777777" w:rsidR="0012403E" w:rsidRDefault="0012403E" w:rsidP="00A238D6">
      <w:pPr>
        <w:spacing w:after="0" w:line="240" w:lineRule="auto"/>
      </w:pPr>
      <w:r>
        <w:separator/>
      </w:r>
    </w:p>
  </w:footnote>
  <w:footnote w:type="continuationSeparator" w:id="0">
    <w:p w14:paraId="1096CF18" w14:textId="77777777" w:rsidR="0012403E" w:rsidRDefault="0012403E" w:rsidP="00A238D6">
      <w:pPr>
        <w:spacing w:after="0" w:line="240" w:lineRule="auto"/>
      </w:pPr>
      <w:r>
        <w:continuationSeparator/>
      </w:r>
    </w:p>
  </w:footnote>
  <w:footnote w:type="continuationNotice" w:id="1">
    <w:p w14:paraId="27B78788" w14:textId="77777777" w:rsidR="0012403E" w:rsidRDefault="0012403E">
      <w:pPr>
        <w:spacing w:after="0" w:line="240" w:lineRule="auto"/>
      </w:pPr>
    </w:p>
  </w:footnote>
  <w:footnote w:id="2">
    <w:p w14:paraId="4858331F" w14:textId="78D5B7C6" w:rsidR="00277052" w:rsidRPr="00277052" w:rsidRDefault="00277052">
      <w:pPr>
        <w:pStyle w:val="FootnoteText"/>
        <w:rPr>
          <w:lang w:val="en-GB"/>
        </w:rPr>
      </w:pPr>
      <w:r>
        <w:rPr>
          <w:rStyle w:val="FootnoteReference"/>
        </w:rPr>
        <w:footnoteRef/>
      </w:r>
      <w:r>
        <w:t xml:space="preserve"> </w:t>
      </w:r>
      <w:r w:rsidRPr="00277052">
        <w:rPr>
          <w:i/>
          <w:iCs/>
        </w:rPr>
        <w:t>Paragraphs [5] and [6] of this Court’s judgment (Section 18 application) dated 22 August 2023</w:t>
      </w:r>
    </w:p>
  </w:footnote>
  <w:footnote w:id="3">
    <w:p w14:paraId="7C69E968" w14:textId="1FD776D8" w:rsidR="00277052" w:rsidRPr="00277052" w:rsidRDefault="00277052">
      <w:pPr>
        <w:pStyle w:val="FootnoteText"/>
        <w:rPr>
          <w:lang w:val="en-GB"/>
        </w:rPr>
      </w:pPr>
      <w:r>
        <w:rPr>
          <w:rStyle w:val="FootnoteReference"/>
        </w:rPr>
        <w:footnoteRef/>
      </w:r>
      <w:r>
        <w:t xml:space="preserve"> </w:t>
      </w:r>
      <w:r w:rsidRPr="00277052">
        <w:rPr>
          <w:i/>
          <w:iCs/>
        </w:rPr>
        <w:t>Paragraph [3] ibid</w:t>
      </w:r>
    </w:p>
  </w:footnote>
  <w:footnote w:id="4">
    <w:p w14:paraId="0A725241" w14:textId="41B5F1C1" w:rsidR="00277052" w:rsidRPr="00277052" w:rsidRDefault="00277052">
      <w:pPr>
        <w:pStyle w:val="FootnoteText"/>
        <w:rPr>
          <w:lang w:val="en-GB"/>
        </w:rPr>
      </w:pPr>
      <w:r>
        <w:rPr>
          <w:rStyle w:val="FootnoteReference"/>
        </w:rPr>
        <w:footnoteRef/>
      </w:r>
      <w:r>
        <w:t xml:space="preserve"> </w:t>
      </w:r>
      <w:r w:rsidRPr="00277052">
        <w:rPr>
          <w:i/>
          <w:iCs/>
        </w:rPr>
        <w:t>Paragraphs [22] to [24] ,inclusive of this Court’s judgment</w:t>
      </w:r>
      <w:r w:rsidRPr="00277052">
        <w:t xml:space="preserve">  </w:t>
      </w:r>
    </w:p>
  </w:footnote>
  <w:footnote w:id="5">
    <w:p w14:paraId="6123B8DD" w14:textId="3113C80B" w:rsidR="00367EEC" w:rsidRPr="00367EEC" w:rsidRDefault="00367EEC">
      <w:pPr>
        <w:pStyle w:val="FootnoteText"/>
        <w:rPr>
          <w:lang w:val="en-GB"/>
        </w:rPr>
      </w:pPr>
      <w:r>
        <w:rPr>
          <w:rStyle w:val="FootnoteReference"/>
        </w:rPr>
        <w:footnoteRef/>
      </w:r>
      <w:r>
        <w:t xml:space="preserve"> </w:t>
      </w:r>
      <w:r w:rsidRPr="00367EEC">
        <w:rPr>
          <w:i/>
          <w:iCs/>
        </w:rPr>
        <w:t>Paragraph [16] of this Court’s judgment</w:t>
      </w:r>
      <w:r w:rsidRPr="00367EEC">
        <w:t xml:space="preserve">  </w:t>
      </w:r>
    </w:p>
  </w:footnote>
  <w:footnote w:id="6">
    <w:p w14:paraId="4076AFB3" w14:textId="352F89E7" w:rsidR="00367EEC" w:rsidRPr="00367EEC" w:rsidRDefault="00367EEC">
      <w:pPr>
        <w:pStyle w:val="FootnoteText"/>
        <w:rPr>
          <w:lang w:val="en-GB"/>
        </w:rPr>
      </w:pPr>
      <w:r>
        <w:rPr>
          <w:rStyle w:val="FootnoteReference"/>
        </w:rPr>
        <w:footnoteRef/>
      </w:r>
      <w:r>
        <w:t xml:space="preserve"> </w:t>
      </w:r>
      <w:r w:rsidRPr="00367EEC">
        <w:rPr>
          <w:i/>
          <w:iCs/>
        </w:rPr>
        <w:t>Paragraph [24] of this Court’s judgment</w:t>
      </w:r>
    </w:p>
  </w:footnote>
  <w:footnote w:id="7">
    <w:p w14:paraId="16769E07" w14:textId="77A52386" w:rsidR="00367EEC" w:rsidRPr="00367EEC" w:rsidRDefault="00367EEC">
      <w:pPr>
        <w:pStyle w:val="FootnoteText"/>
        <w:rPr>
          <w:lang w:val="en-GB"/>
        </w:rPr>
      </w:pPr>
      <w:r>
        <w:rPr>
          <w:rStyle w:val="FootnoteReference"/>
        </w:rPr>
        <w:footnoteRef/>
      </w:r>
      <w:r>
        <w:t xml:space="preserve"> </w:t>
      </w:r>
      <w:r w:rsidRPr="00367EEC">
        <w:rPr>
          <w:i/>
          <w:iCs/>
        </w:rPr>
        <w:t>Paragraphs [27] to [31] inclusive read with paragraph [33] of this Court’s judgment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29A7"/>
    <w:multiLevelType w:val="hybridMultilevel"/>
    <w:tmpl w:val="358ED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157DE"/>
    <w:multiLevelType w:val="multilevel"/>
    <w:tmpl w:val="598CBC96"/>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
    <w:nsid w:val="079C0D4B"/>
    <w:multiLevelType w:val="hybridMultilevel"/>
    <w:tmpl w:val="3842988A"/>
    <w:lvl w:ilvl="0" w:tplc="50FC37C6">
      <w:start w:val="24"/>
      <w:numFmt w:val="decimal"/>
      <w:lvlText w:val="%1"/>
      <w:lvlJc w:val="left"/>
      <w:pPr>
        <w:ind w:left="215"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1" w:tplc="05AE3AB0">
      <w:start w:val="1"/>
      <w:numFmt w:val="lowerLetter"/>
      <w:lvlText w:val="%2"/>
      <w:lvlJc w:val="left"/>
      <w:pPr>
        <w:ind w:left="10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2" w:tplc="00B6BCEC">
      <w:start w:val="1"/>
      <w:numFmt w:val="lowerRoman"/>
      <w:lvlText w:val="%3"/>
      <w:lvlJc w:val="left"/>
      <w:pPr>
        <w:ind w:left="18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3" w:tplc="58AEA70C">
      <w:start w:val="1"/>
      <w:numFmt w:val="decimal"/>
      <w:lvlText w:val="%4"/>
      <w:lvlJc w:val="left"/>
      <w:pPr>
        <w:ind w:left="25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4" w:tplc="F52E65B8">
      <w:start w:val="1"/>
      <w:numFmt w:val="lowerLetter"/>
      <w:lvlText w:val="%5"/>
      <w:lvlJc w:val="left"/>
      <w:pPr>
        <w:ind w:left="324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5" w:tplc="DEB08D16">
      <w:start w:val="1"/>
      <w:numFmt w:val="lowerRoman"/>
      <w:lvlText w:val="%6"/>
      <w:lvlJc w:val="left"/>
      <w:pPr>
        <w:ind w:left="396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6" w:tplc="E796FC68">
      <w:start w:val="1"/>
      <w:numFmt w:val="decimal"/>
      <w:lvlText w:val="%7"/>
      <w:lvlJc w:val="left"/>
      <w:pPr>
        <w:ind w:left="46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7" w:tplc="E8FEFCDA">
      <w:start w:val="1"/>
      <w:numFmt w:val="lowerLetter"/>
      <w:lvlText w:val="%8"/>
      <w:lvlJc w:val="left"/>
      <w:pPr>
        <w:ind w:left="54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8" w:tplc="B94E9672">
      <w:start w:val="1"/>
      <w:numFmt w:val="lowerRoman"/>
      <w:lvlText w:val="%9"/>
      <w:lvlJc w:val="left"/>
      <w:pPr>
        <w:ind w:left="61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abstractNum>
  <w:abstractNum w:abstractNumId="3">
    <w:nsid w:val="09FE7929"/>
    <w:multiLevelType w:val="hybridMultilevel"/>
    <w:tmpl w:val="9342DFAA"/>
    <w:lvl w:ilvl="0" w:tplc="0478D7B0">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AC731D4"/>
    <w:multiLevelType w:val="multilevel"/>
    <w:tmpl w:val="C42ECCAA"/>
    <w:lvl w:ilvl="0">
      <w:start w:val="12"/>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nsid w:val="1064081E"/>
    <w:multiLevelType w:val="multilevel"/>
    <w:tmpl w:val="225EFB72"/>
    <w:lvl w:ilvl="0">
      <w:start w:val="42"/>
      <w:numFmt w:val="decimal"/>
      <w:lvlText w:val="%1"/>
      <w:lvlJc w:val="left"/>
      <w:pPr>
        <w:ind w:left="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nsid w:val="12CF3537"/>
    <w:multiLevelType w:val="hybridMultilevel"/>
    <w:tmpl w:val="C67C00B0"/>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nsid w:val="15BC016A"/>
    <w:multiLevelType w:val="hybridMultilevel"/>
    <w:tmpl w:val="E564EEA8"/>
    <w:lvl w:ilvl="0" w:tplc="33B86F3C">
      <w:start w:val="26"/>
      <w:numFmt w:val="decimal"/>
      <w:lvlText w:val="%1"/>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31C985E">
      <w:start w:val="1"/>
      <w:numFmt w:val="lowerLetter"/>
      <w:lvlText w:val="%2"/>
      <w:lvlJc w:val="left"/>
      <w:pPr>
        <w:ind w:left="11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A60CEE">
      <w:start w:val="1"/>
      <w:numFmt w:val="lowerRoman"/>
      <w:lvlText w:val="%3"/>
      <w:lvlJc w:val="left"/>
      <w:pPr>
        <w:ind w:left="1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89816">
      <w:start w:val="1"/>
      <w:numFmt w:val="decimal"/>
      <w:lvlText w:val="%4"/>
      <w:lvlJc w:val="left"/>
      <w:pPr>
        <w:ind w:left="25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7CC8D0">
      <w:start w:val="1"/>
      <w:numFmt w:val="lowerLetter"/>
      <w:lvlText w:val="%5"/>
      <w:lvlJc w:val="left"/>
      <w:pPr>
        <w:ind w:left="32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2AD61E">
      <w:start w:val="1"/>
      <w:numFmt w:val="lowerRoman"/>
      <w:lvlText w:val="%6"/>
      <w:lvlJc w:val="left"/>
      <w:pPr>
        <w:ind w:left="39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9DE92D8">
      <w:start w:val="1"/>
      <w:numFmt w:val="decimal"/>
      <w:lvlText w:val="%7"/>
      <w:lvlJc w:val="left"/>
      <w:pPr>
        <w:ind w:left="47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CBF58">
      <w:start w:val="1"/>
      <w:numFmt w:val="lowerLetter"/>
      <w:lvlText w:val="%8"/>
      <w:lvlJc w:val="left"/>
      <w:pPr>
        <w:ind w:left="5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DA7AB0">
      <w:start w:val="1"/>
      <w:numFmt w:val="lowerRoman"/>
      <w:lvlText w:val="%9"/>
      <w:lvlJc w:val="left"/>
      <w:pPr>
        <w:ind w:left="6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9">
    <w:nsid w:val="1A3D5D36"/>
    <w:multiLevelType w:val="hybridMultilevel"/>
    <w:tmpl w:val="307EB532"/>
    <w:lvl w:ilvl="0" w:tplc="D234C970">
      <w:start w:val="29"/>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67E9A64">
      <w:start w:val="1"/>
      <w:numFmt w:val="lowerLetter"/>
      <w:lvlText w:val="%2"/>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58BFD2">
      <w:start w:val="1"/>
      <w:numFmt w:val="lowerRoman"/>
      <w:lvlText w:val="%3"/>
      <w:lvlJc w:val="left"/>
      <w:pPr>
        <w:ind w:left="18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F44E7E6">
      <w:start w:val="1"/>
      <w:numFmt w:val="decimal"/>
      <w:lvlText w:val="%4"/>
      <w:lvlJc w:val="left"/>
      <w:pPr>
        <w:ind w:left="25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69C7A10">
      <w:start w:val="1"/>
      <w:numFmt w:val="lowerLetter"/>
      <w:lvlText w:val="%5"/>
      <w:lvlJc w:val="left"/>
      <w:pPr>
        <w:ind w:left="3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E2AD900">
      <w:start w:val="1"/>
      <w:numFmt w:val="lowerRoman"/>
      <w:lvlText w:val="%6"/>
      <w:lvlJc w:val="left"/>
      <w:pPr>
        <w:ind w:left="39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2F849BE">
      <w:start w:val="1"/>
      <w:numFmt w:val="decimal"/>
      <w:lvlText w:val="%7"/>
      <w:lvlJc w:val="left"/>
      <w:pPr>
        <w:ind w:left="47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5020A38">
      <w:start w:val="1"/>
      <w:numFmt w:val="lowerLetter"/>
      <w:lvlText w:val="%8"/>
      <w:lvlJc w:val="left"/>
      <w:pPr>
        <w:ind w:left="54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8A6DEAA">
      <w:start w:val="1"/>
      <w:numFmt w:val="lowerRoman"/>
      <w:lvlText w:val="%9"/>
      <w:lvlJc w:val="left"/>
      <w:pPr>
        <w:ind w:left="61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0">
    <w:nsid w:val="2C4A5633"/>
    <w:multiLevelType w:val="hybridMultilevel"/>
    <w:tmpl w:val="2FDEA056"/>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4A354C"/>
    <w:multiLevelType w:val="hybridMultilevel"/>
    <w:tmpl w:val="118A31E2"/>
    <w:lvl w:ilvl="0" w:tplc="1AC202C4">
      <w:start w:val="1"/>
      <w:numFmt w:val="decimal"/>
      <w:lvlText w:val="[%1]"/>
      <w:lvlJc w:val="left"/>
      <w:pPr>
        <w:ind w:left="394" w:hanging="360"/>
      </w:pPr>
      <w:rPr>
        <w:rFonts w:hint="default"/>
        <w:i w:val="0"/>
        <w:iCs w:val="0"/>
      </w:r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39372946"/>
    <w:multiLevelType w:val="multilevel"/>
    <w:tmpl w:val="74845E42"/>
    <w:lvl w:ilvl="0">
      <w:start w:val="24"/>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BF565D8"/>
    <w:multiLevelType w:val="hybridMultilevel"/>
    <w:tmpl w:val="CD46B190"/>
    <w:lvl w:ilvl="0" w:tplc="31306468">
      <w:start w:val="8"/>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0F0EC5"/>
    <w:multiLevelType w:val="hybridMultilevel"/>
    <w:tmpl w:val="91E47DB4"/>
    <w:lvl w:ilvl="0" w:tplc="163A1BC4">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0CE7069"/>
    <w:multiLevelType w:val="multilevel"/>
    <w:tmpl w:val="93CC9C14"/>
    <w:lvl w:ilvl="0">
      <w:start w:val="1"/>
      <w:numFmt w:val="decimal"/>
      <w:lvlText w:val="%1"/>
      <w:lvlJc w:val="left"/>
      <w:pPr>
        <w:ind w:left="450" w:hanging="450"/>
      </w:pPr>
      <w:rPr>
        <w:rFonts w:hint="default"/>
      </w:rPr>
    </w:lvl>
    <w:lvl w:ilvl="1">
      <w:start w:val="1"/>
      <w:numFmt w:val="decimal"/>
      <w:lvlText w:val="%1.%2"/>
      <w:lvlJc w:val="left"/>
      <w:pPr>
        <w:ind w:left="484" w:hanging="45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16">
    <w:nsid w:val="471419EB"/>
    <w:multiLevelType w:val="hybridMultilevel"/>
    <w:tmpl w:val="087CC136"/>
    <w:lvl w:ilvl="0" w:tplc="11F8A3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162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4A457879"/>
    <w:multiLevelType w:val="hybridMultilevel"/>
    <w:tmpl w:val="2CAC1BE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6534DB"/>
    <w:multiLevelType w:val="hybridMultilevel"/>
    <w:tmpl w:val="FBE8819A"/>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285BB0"/>
    <w:multiLevelType w:val="multilevel"/>
    <w:tmpl w:val="859AE510"/>
    <w:lvl w:ilvl="0">
      <w:start w:val="2"/>
      <w:numFmt w:val="decimal"/>
      <w:lvlText w:val="%1"/>
      <w:lvlJc w:val="left"/>
      <w:pPr>
        <w:ind w:left="8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0">
    <w:nsid w:val="54661EF0"/>
    <w:multiLevelType w:val="hybridMultilevel"/>
    <w:tmpl w:val="38C0926E"/>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670CDD"/>
    <w:multiLevelType w:val="multilevel"/>
    <w:tmpl w:val="C294220C"/>
    <w:lvl w:ilvl="0">
      <w:start w:val="15"/>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722AC"/>
    <w:multiLevelType w:val="hybridMultilevel"/>
    <w:tmpl w:val="ABCE9C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nsid w:val="61DE3F91"/>
    <w:multiLevelType w:val="hybridMultilevel"/>
    <w:tmpl w:val="4920A2B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A505D3E"/>
    <w:multiLevelType w:val="hybridMultilevel"/>
    <w:tmpl w:val="BC8034F0"/>
    <w:lvl w:ilvl="0" w:tplc="5F6C1E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08B6618"/>
    <w:multiLevelType w:val="hybridMultilevel"/>
    <w:tmpl w:val="48C05662"/>
    <w:lvl w:ilvl="0" w:tplc="882EB01E">
      <w:start w:val="1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3"/>
  </w:num>
  <w:num w:numId="10">
    <w:abstractNumId w:val="13"/>
  </w:num>
  <w:num w:numId="11">
    <w:abstractNumId w:val="22"/>
  </w:num>
  <w:num w:numId="12">
    <w:abstractNumId w:val="2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20"/>
  </w:num>
  <w:num w:numId="17">
    <w:abstractNumId w:val="23"/>
  </w:num>
  <w:num w:numId="18">
    <w:abstractNumId w:val="25"/>
  </w:num>
  <w:num w:numId="19">
    <w:abstractNumId w:val="17"/>
  </w:num>
  <w:num w:numId="20">
    <w:abstractNumId w:val="18"/>
  </w:num>
  <w:num w:numId="21">
    <w:abstractNumId w:val="4"/>
  </w:num>
  <w:num w:numId="22">
    <w:abstractNumId w:val="1"/>
  </w:num>
  <w:num w:numId="23">
    <w:abstractNumId w:val="14"/>
  </w:num>
  <w:num w:numId="24">
    <w:abstractNumId w:val="15"/>
  </w:num>
  <w:num w:numId="25">
    <w:abstractNumId w:val="16"/>
  </w:num>
  <w:num w:numId="26">
    <w:abstractNumId w:val="11"/>
  </w:num>
  <w:num w:numId="27">
    <w:abstractNumId w:val="0"/>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D6"/>
    <w:rsid w:val="0007108C"/>
    <w:rsid w:val="00081F92"/>
    <w:rsid w:val="0009178A"/>
    <w:rsid w:val="000A3680"/>
    <w:rsid w:val="000B6057"/>
    <w:rsid w:val="000C2ADC"/>
    <w:rsid w:val="000C45B5"/>
    <w:rsid w:val="00107285"/>
    <w:rsid w:val="00114DE8"/>
    <w:rsid w:val="00116F0B"/>
    <w:rsid w:val="0012403E"/>
    <w:rsid w:val="0013200B"/>
    <w:rsid w:val="001375CB"/>
    <w:rsid w:val="00181C26"/>
    <w:rsid w:val="001A1738"/>
    <w:rsid w:val="001A2972"/>
    <w:rsid w:val="001D1F5D"/>
    <w:rsid w:val="001D42EA"/>
    <w:rsid w:val="00227627"/>
    <w:rsid w:val="00231DB3"/>
    <w:rsid w:val="00234D5C"/>
    <w:rsid w:val="002353B5"/>
    <w:rsid w:val="00270699"/>
    <w:rsid w:val="0027583F"/>
    <w:rsid w:val="00277052"/>
    <w:rsid w:val="00293101"/>
    <w:rsid w:val="002A7164"/>
    <w:rsid w:val="002B45F8"/>
    <w:rsid w:val="002F145F"/>
    <w:rsid w:val="002F220B"/>
    <w:rsid w:val="0030506E"/>
    <w:rsid w:val="00317BA0"/>
    <w:rsid w:val="00352413"/>
    <w:rsid w:val="00352F86"/>
    <w:rsid w:val="00367EEC"/>
    <w:rsid w:val="00377215"/>
    <w:rsid w:val="00394ED7"/>
    <w:rsid w:val="003A5370"/>
    <w:rsid w:val="003B2999"/>
    <w:rsid w:val="003C0BF4"/>
    <w:rsid w:val="003D2921"/>
    <w:rsid w:val="003F0B58"/>
    <w:rsid w:val="004035CA"/>
    <w:rsid w:val="00415E03"/>
    <w:rsid w:val="004646A1"/>
    <w:rsid w:val="004A6C67"/>
    <w:rsid w:val="004B5C54"/>
    <w:rsid w:val="004B7156"/>
    <w:rsid w:val="004D0FB4"/>
    <w:rsid w:val="004E0A9E"/>
    <w:rsid w:val="004E7124"/>
    <w:rsid w:val="00503966"/>
    <w:rsid w:val="005045F1"/>
    <w:rsid w:val="0052057C"/>
    <w:rsid w:val="0052167C"/>
    <w:rsid w:val="00523AD8"/>
    <w:rsid w:val="0053671F"/>
    <w:rsid w:val="005402F9"/>
    <w:rsid w:val="00564266"/>
    <w:rsid w:val="0056477F"/>
    <w:rsid w:val="005843EE"/>
    <w:rsid w:val="0058466B"/>
    <w:rsid w:val="005866AD"/>
    <w:rsid w:val="005A1803"/>
    <w:rsid w:val="005D36CD"/>
    <w:rsid w:val="005D6300"/>
    <w:rsid w:val="005E608C"/>
    <w:rsid w:val="00605627"/>
    <w:rsid w:val="0063635E"/>
    <w:rsid w:val="0064157C"/>
    <w:rsid w:val="00654D7B"/>
    <w:rsid w:val="00674F13"/>
    <w:rsid w:val="006806F8"/>
    <w:rsid w:val="00686085"/>
    <w:rsid w:val="006911A0"/>
    <w:rsid w:val="006929FE"/>
    <w:rsid w:val="006A7D07"/>
    <w:rsid w:val="006C5477"/>
    <w:rsid w:val="006D2520"/>
    <w:rsid w:val="006D4851"/>
    <w:rsid w:val="006D5BD7"/>
    <w:rsid w:val="006E42C4"/>
    <w:rsid w:val="006F370C"/>
    <w:rsid w:val="006F5ED6"/>
    <w:rsid w:val="00720041"/>
    <w:rsid w:val="007312F1"/>
    <w:rsid w:val="0074258D"/>
    <w:rsid w:val="007427C4"/>
    <w:rsid w:val="00742BE5"/>
    <w:rsid w:val="00745ACB"/>
    <w:rsid w:val="007602F1"/>
    <w:rsid w:val="00775FC2"/>
    <w:rsid w:val="00785619"/>
    <w:rsid w:val="007B109C"/>
    <w:rsid w:val="007C296E"/>
    <w:rsid w:val="007F4B65"/>
    <w:rsid w:val="00826101"/>
    <w:rsid w:val="00826491"/>
    <w:rsid w:val="00856124"/>
    <w:rsid w:val="00860A4A"/>
    <w:rsid w:val="00865E8B"/>
    <w:rsid w:val="00867221"/>
    <w:rsid w:val="008831CB"/>
    <w:rsid w:val="00890885"/>
    <w:rsid w:val="008A1AAF"/>
    <w:rsid w:val="008D72B7"/>
    <w:rsid w:val="00904242"/>
    <w:rsid w:val="00922112"/>
    <w:rsid w:val="00933245"/>
    <w:rsid w:val="00936429"/>
    <w:rsid w:val="00947A45"/>
    <w:rsid w:val="00954105"/>
    <w:rsid w:val="00966D1A"/>
    <w:rsid w:val="00973B21"/>
    <w:rsid w:val="00975136"/>
    <w:rsid w:val="00980695"/>
    <w:rsid w:val="00992EAA"/>
    <w:rsid w:val="009A271C"/>
    <w:rsid w:val="009B3A5C"/>
    <w:rsid w:val="009B3C5B"/>
    <w:rsid w:val="009B4570"/>
    <w:rsid w:val="009E4B8B"/>
    <w:rsid w:val="009F40F3"/>
    <w:rsid w:val="00A0490F"/>
    <w:rsid w:val="00A238D6"/>
    <w:rsid w:val="00A533E6"/>
    <w:rsid w:val="00A9009E"/>
    <w:rsid w:val="00A90E3F"/>
    <w:rsid w:val="00AA0CB8"/>
    <w:rsid w:val="00AA5DA5"/>
    <w:rsid w:val="00AE27DF"/>
    <w:rsid w:val="00AE4108"/>
    <w:rsid w:val="00B03896"/>
    <w:rsid w:val="00B05124"/>
    <w:rsid w:val="00B72EB2"/>
    <w:rsid w:val="00B913B0"/>
    <w:rsid w:val="00B91B4E"/>
    <w:rsid w:val="00B94C00"/>
    <w:rsid w:val="00BA0977"/>
    <w:rsid w:val="00BA31B8"/>
    <w:rsid w:val="00C31645"/>
    <w:rsid w:val="00C35227"/>
    <w:rsid w:val="00C73969"/>
    <w:rsid w:val="00C91BF7"/>
    <w:rsid w:val="00C91C6C"/>
    <w:rsid w:val="00C9253B"/>
    <w:rsid w:val="00CA2083"/>
    <w:rsid w:val="00CA692E"/>
    <w:rsid w:val="00CA763F"/>
    <w:rsid w:val="00CB03AB"/>
    <w:rsid w:val="00CB0D23"/>
    <w:rsid w:val="00CB26EC"/>
    <w:rsid w:val="00CB5402"/>
    <w:rsid w:val="00CD06A1"/>
    <w:rsid w:val="00CF2DF6"/>
    <w:rsid w:val="00D0264E"/>
    <w:rsid w:val="00D13121"/>
    <w:rsid w:val="00D20A49"/>
    <w:rsid w:val="00D273DB"/>
    <w:rsid w:val="00D448F5"/>
    <w:rsid w:val="00D91B48"/>
    <w:rsid w:val="00D93E8D"/>
    <w:rsid w:val="00DA22A9"/>
    <w:rsid w:val="00DD3AD9"/>
    <w:rsid w:val="00DD57D0"/>
    <w:rsid w:val="00DD7547"/>
    <w:rsid w:val="00DF11FB"/>
    <w:rsid w:val="00DF3156"/>
    <w:rsid w:val="00E20F59"/>
    <w:rsid w:val="00E21DB1"/>
    <w:rsid w:val="00E25442"/>
    <w:rsid w:val="00E26B65"/>
    <w:rsid w:val="00E27CA9"/>
    <w:rsid w:val="00E366F9"/>
    <w:rsid w:val="00E36B46"/>
    <w:rsid w:val="00E579BA"/>
    <w:rsid w:val="00E60E52"/>
    <w:rsid w:val="00E93384"/>
    <w:rsid w:val="00EA53B4"/>
    <w:rsid w:val="00ED35E1"/>
    <w:rsid w:val="00ED78DE"/>
    <w:rsid w:val="00EE61C7"/>
    <w:rsid w:val="00F32815"/>
    <w:rsid w:val="00F36AEF"/>
    <w:rsid w:val="00F37482"/>
    <w:rsid w:val="00F413A0"/>
    <w:rsid w:val="00F72473"/>
    <w:rsid w:val="00F84133"/>
    <w:rsid w:val="00F949A0"/>
    <w:rsid w:val="00FB1E21"/>
    <w:rsid w:val="00FD4171"/>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iPriority w:val="99"/>
    <w:semiHidden/>
    <w:unhideWhenUsed/>
    <w:rsid w:val="000B6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057"/>
    <w:rPr>
      <w:rFonts w:ascii="Calibri" w:eastAsia="Calibri" w:hAnsi="Calibri" w:cs="Calibri"/>
      <w:color w:val="000000"/>
      <w:sz w:val="20"/>
      <w:szCs w:val="20"/>
      <w:lang w:eastAsia="en-ZA"/>
    </w:rPr>
  </w:style>
  <w:style w:type="character" w:styleId="FootnoteReference">
    <w:name w:val="footnote reference"/>
    <w:basedOn w:val="DefaultParagraphFont"/>
    <w:uiPriority w:val="99"/>
    <w:semiHidden/>
    <w:unhideWhenUsed/>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FFDB6-75F1-47F9-A561-CB5325AE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dcterms:created xsi:type="dcterms:W3CDTF">2023-09-29T09:22:00Z</dcterms:created>
  <dcterms:modified xsi:type="dcterms:W3CDTF">2023-09-29T09:26:00Z</dcterms:modified>
</cp:coreProperties>
</file>