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6409" w14:textId="77777777" w:rsidR="00366A5E" w:rsidRDefault="00366A5E" w:rsidP="00366A5E">
      <w:pPr>
        <w:spacing w:line="360" w:lineRule="auto"/>
        <w:ind w:left="-84"/>
        <w:jc w:val="center"/>
        <w:rPr>
          <w:b/>
          <w:kern w:val="1"/>
        </w:rPr>
      </w:pPr>
      <w:r>
        <w:rPr>
          <w:rFonts w:ascii="Lato" w:hAnsi="Lato"/>
          <w:color w:val="212529"/>
          <w:kern w:val="1"/>
          <w:sz w:val="21"/>
        </w:rPr>
        <w:t>Editorial note: Certain information has been redacted from this judgment in compliance with the law.</w:t>
      </w:r>
      <w:r>
        <w:rPr>
          <w:b/>
          <w:kern w:val="1"/>
        </w:rPr>
        <w:t xml:space="preserve"> </w:t>
      </w:r>
    </w:p>
    <w:p w14:paraId="1F96FCC9" w14:textId="77777777" w:rsidR="00366A5E" w:rsidRDefault="00366A5E" w:rsidP="003D69CB">
      <w:pPr>
        <w:widowControl w:val="0"/>
        <w:spacing w:after="0" w:line="480" w:lineRule="auto"/>
        <w:jc w:val="center"/>
        <w:rPr>
          <w:rFonts w:ascii="Arial" w:hAnsi="Arial" w:cs="Arial"/>
          <w:sz w:val="25"/>
          <w:szCs w:val="25"/>
          <w:lang w:val="en-GB"/>
        </w:rPr>
      </w:pPr>
    </w:p>
    <w:p w14:paraId="7249016D" w14:textId="70FFC78A" w:rsidR="00BB117B" w:rsidRPr="007722EF" w:rsidRDefault="00386CF6" w:rsidP="003D69CB">
      <w:pPr>
        <w:widowControl w:val="0"/>
        <w:spacing w:after="0" w:line="480" w:lineRule="auto"/>
        <w:jc w:val="center"/>
        <w:rPr>
          <w:rFonts w:ascii="Arial" w:hAnsi="Arial" w:cs="Arial"/>
          <w:sz w:val="25"/>
          <w:szCs w:val="25"/>
          <w:lang w:val="en-GB"/>
        </w:rPr>
      </w:pPr>
      <w:r w:rsidRPr="007722EF">
        <w:rPr>
          <w:rFonts w:ascii="Arial" w:hAnsi="Arial" w:cs="Arial"/>
          <w:noProof/>
          <w:sz w:val="25"/>
          <w:szCs w:val="25"/>
          <w:lang w:eastAsia="en-ZA"/>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7722EF" w:rsidRDefault="00386CF6" w:rsidP="003D69CB">
      <w:pPr>
        <w:widowControl w:val="0"/>
        <w:spacing w:after="0" w:line="480" w:lineRule="auto"/>
        <w:jc w:val="center"/>
        <w:rPr>
          <w:rFonts w:ascii="Verdana" w:hAnsi="Verdana" w:cs="Arial"/>
          <w:b/>
          <w:lang w:val="en-GB"/>
        </w:rPr>
      </w:pPr>
      <w:r w:rsidRPr="007722EF">
        <w:rPr>
          <w:rFonts w:ascii="Verdana" w:hAnsi="Verdana" w:cs="Arial"/>
          <w:b/>
          <w:lang w:val="en-GB"/>
        </w:rPr>
        <w:t>IN THE HIGH COURT OF SOUTH AFRICA</w:t>
      </w:r>
    </w:p>
    <w:p w14:paraId="305AAA64" w14:textId="3A101DDC" w:rsidR="00386CF6" w:rsidRPr="007722EF" w:rsidRDefault="00723BCA" w:rsidP="003D69CB">
      <w:pPr>
        <w:widowControl w:val="0"/>
        <w:spacing w:line="480" w:lineRule="auto"/>
        <w:jc w:val="center"/>
        <w:rPr>
          <w:rFonts w:ascii="Verdana" w:hAnsi="Verdana" w:cs="Arial"/>
          <w:b/>
          <w:lang w:val="en-GB"/>
        </w:rPr>
      </w:pPr>
      <w:r w:rsidRPr="007722EF">
        <w:rPr>
          <w:rFonts w:ascii="Verdana" w:hAnsi="Verdana" w:cs="Arial"/>
          <w:b/>
          <w:lang w:val="en-GB"/>
        </w:rPr>
        <w:t>GAUTENG</w:t>
      </w:r>
      <w:r w:rsidR="0036664D" w:rsidRPr="007722EF">
        <w:rPr>
          <w:rFonts w:ascii="Verdana" w:hAnsi="Verdana" w:cs="Arial"/>
          <w:b/>
          <w:lang w:val="en-GB"/>
        </w:rPr>
        <w:t xml:space="preserve"> </w:t>
      </w:r>
      <w:r w:rsidR="00386CF6" w:rsidRPr="007722EF">
        <w:rPr>
          <w:rFonts w:ascii="Verdana" w:hAnsi="Verdana" w:cs="Arial"/>
          <w:b/>
          <w:lang w:val="en-GB"/>
        </w:rPr>
        <w:t xml:space="preserve">DIVISION, </w:t>
      </w:r>
      <w:r w:rsidR="0036664D" w:rsidRPr="007722EF">
        <w:rPr>
          <w:rFonts w:ascii="Verdana" w:hAnsi="Verdana" w:cs="Arial"/>
          <w:b/>
          <w:lang w:val="en-GB"/>
        </w:rPr>
        <w:t>JOHANNESBURG</w:t>
      </w:r>
    </w:p>
    <w:p w14:paraId="21479878" w14:textId="17248CE7" w:rsidR="00545AB4" w:rsidRPr="007722EF" w:rsidRDefault="001567BA" w:rsidP="003D69CB">
      <w:pPr>
        <w:widowControl w:val="0"/>
        <w:spacing w:line="480" w:lineRule="auto"/>
        <w:jc w:val="right"/>
        <w:rPr>
          <w:rFonts w:ascii="Verdana" w:hAnsi="Verdana" w:cs="Arial"/>
          <w:b/>
          <w:lang w:val="en-GB"/>
        </w:rPr>
      </w:pPr>
      <w:r w:rsidRPr="007722EF">
        <w:rPr>
          <w:rFonts w:ascii="Verdana" w:hAnsi="Verdana"/>
          <w:noProof/>
          <w:lang w:eastAsia="en-ZA"/>
        </w:rPr>
        <mc:AlternateContent>
          <mc:Choice Requires="wps">
            <w:drawing>
              <wp:anchor distT="0" distB="0" distL="114300" distR="114300" simplePos="0" relativeHeight="251659264" behindDoc="0" locked="0" layoutInCell="1" allowOverlap="1" wp14:anchorId="50FE586E" wp14:editId="56ED5847">
                <wp:simplePos x="0" y="0"/>
                <wp:positionH relativeFrom="column">
                  <wp:posOffset>0</wp:posOffset>
                </wp:positionH>
                <wp:positionV relativeFrom="paragraph">
                  <wp:posOffset>397510</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490AC0" w:rsidRDefault="00490AC0" w:rsidP="00386CF6">
                            <w:pPr>
                              <w:jc w:val="center"/>
                              <w:rPr>
                                <w:rFonts w:ascii="Century Gothic" w:hAnsi="Century Gothic"/>
                                <w:b/>
                                <w:sz w:val="20"/>
                                <w:szCs w:val="20"/>
                              </w:rPr>
                            </w:pPr>
                          </w:p>
                          <w:p w14:paraId="3FEDA994" w14:textId="7F2E1430" w:rsidR="00490AC0" w:rsidRDefault="00366A5E" w:rsidP="00366A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REPORTABLE:  NO</w:t>
                            </w:r>
                          </w:p>
                          <w:p w14:paraId="1B8F63EA" w14:textId="19482131" w:rsidR="00490AC0" w:rsidRDefault="00366A5E" w:rsidP="00366A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OF INTEREST TO OTHER JUDGES:  NO</w:t>
                            </w:r>
                          </w:p>
                          <w:p w14:paraId="66F8D6FB" w14:textId="5B74575B" w:rsidR="00490AC0" w:rsidRDefault="00366A5E" w:rsidP="00366A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2CDB2D0A" w14:textId="77777777" w:rsidR="004B7ED2" w:rsidRDefault="004B7ED2" w:rsidP="004B7ED2">
                            <w:pPr>
                              <w:spacing w:after="0" w:line="240" w:lineRule="auto"/>
                              <w:ind w:left="900"/>
                              <w:rPr>
                                <w:rFonts w:ascii="Century Gothic" w:hAnsi="Century Gothic"/>
                                <w:sz w:val="20"/>
                                <w:szCs w:val="20"/>
                              </w:rPr>
                            </w:pPr>
                          </w:p>
                          <w:p w14:paraId="002C27C2" w14:textId="3B1477E9" w:rsidR="00490AC0" w:rsidRPr="004B7ED2" w:rsidRDefault="00490AC0" w:rsidP="004B7ED2">
                            <w:pPr>
                              <w:spacing w:after="0" w:line="240" w:lineRule="auto"/>
                              <w:ind w:left="180"/>
                              <w:rPr>
                                <w:rFonts w:ascii="Century Gothic" w:hAnsi="Century Gothic"/>
                                <w:sz w:val="20"/>
                                <w:szCs w:val="20"/>
                              </w:rPr>
                            </w:pPr>
                            <w:r>
                              <w:rPr>
                                <w:rFonts w:ascii="Century Gothic" w:hAnsi="Century Gothic"/>
                                <w:sz w:val="20"/>
                                <w:szCs w:val="20"/>
                              </w:rPr>
                              <w:t xml:space="preserve">DATE: </w:t>
                            </w:r>
                            <w:r w:rsidR="004D0E40">
                              <w:rPr>
                                <w:rFonts w:ascii="Century Gothic" w:hAnsi="Century Gothic"/>
                                <w:sz w:val="20"/>
                                <w:szCs w:val="20"/>
                              </w:rPr>
                              <w:t>13 January</w:t>
                            </w:r>
                            <w:r w:rsidR="00603F5C">
                              <w:rPr>
                                <w:rFonts w:ascii="Century Gothic" w:hAnsi="Century Gothic"/>
                                <w:sz w:val="20"/>
                                <w:szCs w:val="20"/>
                              </w:rPr>
                              <w:t xml:space="preserve"> </w:t>
                            </w:r>
                            <w:r>
                              <w:rPr>
                                <w:rFonts w:ascii="Century Gothic" w:hAnsi="Century Gothic"/>
                                <w:sz w:val="20"/>
                                <w:szCs w:val="20"/>
                              </w:rPr>
                              <w:t>202</w:t>
                            </w:r>
                            <w:r w:rsidR="004D0E40">
                              <w:rPr>
                                <w:rFonts w:ascii="Century Gothic" w:hAnsi="Century Gothic"/>
                                <w:sz w:val="20"/>
                                <w:szCs w:val="20"/>
                              </w:rPr>
                              <w:t>3</w:t>
                            </w: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0;margin-top:31.3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GAbRAzeAAAABwEAAA8AAABkcnMvZG93bnJldi54bWxMj8FOwzAQRO9I/IO1&#10;SFxQ6zQF04Q4FUIC0Ru0CK5uvE0i7HWw3TT8PeYEx9GMZt5U68kaNqIPvSMJi3kGDKlxuqdWwtvu&#10;cbYCFqIirYwjlPCNAdb1+VmlSu1O9IrjNrYslVAolYQuxqHkPDQdWhXmbkBK3sF5q2KSvuXaq1Mq&#10;t4bnWSa4VT2lhU4N+NBh87k9Wgmr6+fxI2yWL++NOJgiXt2OT19eysuL6f4OWMQp/oXhFz+hQ52Y&#10;9u5IOjAjIR2JEkQugCX3JisWwPYS8mIpgNcV/89f/wAAAP//AwBQSwECLQAUAAYACAAAACEAtoM4&#10;kv4AAADhAQAAEwAAAAAAAAAAAAAAAAAAAAAAW0NvbnRlbnRfVHlwZXNdLnhtbFBLAQItABQABgAI&#10;AAAAIQA4/SH/1gAAAJQBAAALAAAAAAAAAAAAAAAAAC8BAABfcmVscy8ucmVsc1BLAQItABQABgAI&#10;AAAAIQC4eb2KGQIAACwEAAAOAAAAAAAAAAAAAAAAAC4CAABkcnMvZTJvRG9jLnhtbFBLAQItABQA&#10;BgAIAAAAIQBgG0QM3gAAAAcBAAAPAAAAAAAAAAAAAAAAAHMEAABkcnMvZG93bnJldi54bWxQSwUG&#10;AAAAAAQABADzAAAAfgUAAAAA&#10;">
                <v:textbox>
                  <w:txbxContent>
                    <w:p w14:paraId="7E208079" w14:textId="77777777" w:rsidR="00490AC0" w:rsidRDefault="00490AC0" w:rsidP="00386CF6">
                      <w:pPr>
                        <w:jc w:val="center"/>
                        <w:rPr>
                          <w:rFonts w:ascii="Century Gothic" w:hAnsi="Century Gothic"/>
                          <w:b/>
                          <w:sz w:val="20"/>
                          <w:szCs w:val="20"/>
                        </w:rPr>
                      </w:pPr>
                    </w:p>
                    <w:p w14:paraId="3FEDA994" w14:textId="7F2E1430" w:rsidR="00490AC0" w:rsidRDefault="00366A5E" w:rsidP="00366A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0AC0">
                        <w:rPr>
                          <w:rFonts w:ascii="Century Gothic" w:hAnsi="Century Gothic"/>
                          <w:sz w:val="20"/>
                          <w:szCs w:val="20"/>
                        </w:rPr>
                        <w:t>REPORTABLE:  NO</w:t>
                      </w:r>
                    </w:p>
                    <w:p w14:paraId="1B8F63EA" w14:textId="19482131" w:rsidR="00490AC0" w:rsidRDefault="00366A5E" w:rsidP="00366A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0AC0">
                        <w:rPr>
                          <w:rFonts w:ascii="Century Gothic" w:hAnsi="Century Gothic"/>
                          <w:sz w:val="20"/>
                          <w:szCs w:val="20"/>
                        </w:rPr>
                        <w:t>OF INTEREST TO OTHER JUDGES:  NO</w:t>
                      </w:r>
                    </w:p>
                    <w:p w14:paraId="66F8D6FB" w14:textId="5B74575B" w:rsidR="00490AC0" w:rsidRDefault="00366A5E" w:rsidP="00366A5E">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0AC0">
                        <w:rPr>
                          <w:rFonts w:ascii="Century Gothic" w:hAnsi="Century Gothic"/>
                          <w:sz w:val="20"/>
                          <w:szCs w:val="20"/>
                        </w:rPr>
                        <w:t>REVISED</w:t>
                      </w:r>
                      <w:r w:rsidR="00603F5C">
                        <w:rPr>
                          <w:rFonts w:ascii="Century Gothic" w:hAnsi="Century Gothic"/>
                          <w:sz w:val="20"/>
                          <w:szCs w:val="20"/>
                        </w:rPr>
                        <w:t>: YES</w:t>
                      </w:r>
                      <w:r w:rsidR="004D0E40">
                        <w:rPr>
                          <w:rFonts w:ascii="Century Gothic" w:hAnsi="Century Gothic"/>
                          <w:sz w:val="20"/>
                          <w:szCs w:val="20"/>
                        </w:rPr>
                        <w:t>.</w:t>
                      </w:r>
                    </w:p>
                    <w:p w14:paraId="2CDB2D0A" w14:textId="77777777" w:rsidR="004B7ED2" w:rsidRDefault="004B7ED2" w:rsidP="004B7ED2">
                      <w:pPr>
                        <w:spacing w:after="0" w:line="240" w:lineRule="auto"/>
                        <w:ind w:left="900"/>
                        <w:rPr>
                          <w:rFonts w:ascii="Century Gothic" w:hAnsi="Century Gothic"/>
                          <w:sz w:val="20"/>
                          <w:szCs w:val="20"/>
                        </w:rPr>
                      </w:pPr>
                    </w:p>
                    <w:p w14:paraId="002C27C2" w14:textId="3B1477E9" w:rsidR="00490AC0" w:rsidRPr="004B7ED2" w:rsidRDefault="00490AC0" w:rsidP="004B7ED2">
                      <w:pPr>
                        <w:spacing w:after="0" w:line="240" w:lineRule="auto"/>
                        <w:ind w:left="180"/>
                        <w:rPr>
                          <w:rFonts w:ascii="Century Gothic" w:hAnsi="Century Gothic"/>
                          <w:sz w:val="20"/>
                          <w:szCs w:val="20"/>
                        </w:rPr>
                      </w:pPr>
                      <w:r>
                        <w:rPr>
                          <w:rFonts w:ascii="Century Gothic" w:hAnsi="Century Gothic"/>
                          <w:sz w:val="20"/>
                          <w:szCs w:val="20"/>
                        </w:rPr>
                        <w:t xml:space="preserve">DATE: </w:t>
                      </w:r>
                      <w:r w:rsidR="004D0E40">
                        <w:rPr>
                          <w:rFonts w:ascii="Century Gothic" w:hAnsi="Century Gothic"/>
                          <w:sz w:val="20"/>
                          <w:szCs w:val="20"/>
                        </w:rPr>
                        <w:t>13 January</w:t>
                      </w:r>
                      <w:r w:rsidR="00603F5C">
                        <w:rPr>
                          <w:rFonts w:ascii="Century Gothic" w:hAnsi="Century Gothic"/>
                          <w:sz w:val="20"/>
                          <w:szCs w:val="20"/>
                        </w:rPr>
                        <w:t xml:space="preserve"> </w:t>
                      </w:r>
                      <w:r>
                        <w:rPr>
                          <w:rFonts w:ascii="Century Gothic" w:hAnsi="Century Gothic"/>
                          <w:sz w:val="20"/>
                          <w:szCs w:val="20"/>
                        </w:rPr>
                        <w:t>202</w:t>
                      </w:r>
                      <w:r w:rsidR="004D0E40">
                        <w:rPr>
                          <w:rFonts w:ascii="Century Gothic" w:hAnsi="Century Gothic"/>
                          <w:sz w:val="20"/>
                          <w:szCs w:val="20"/>
                        </w:rPr>
                        <w:t>3</w:t>
                      </w:r>
                      <w:r>
                        <w:rPr>
                          <w:rFonts w:ascii="Century Gothic" w:hAnsi="Century Gothic"/>
                          <w:sz w:val="20"/>
                          <w:szCs w:val="20"/>
                        </w:rPr>
                        <w:t>___________________</w:t>
                      </w:r>
                      <w:r>
                        <w:rPr>
                          <w:rFonts w:ascii="Century Gothic" w:hAnsi="Century Gothic"/>
                          <w:sz w:val="20"/>
                          <w:szCs w:val="20"/>
                        </w:rPr>
                        <w:tab/>
                      </w:r>
                    </w:p>
                    <w:p w14:paraId="36001B1C" w14:textId="5DFD1783" w:rsidR="00490AC0" w:rsidRDefault="00490AC0" w:rsidP="00386CF6">
                      <w:pPr>
                        <w:spacing w:after="0" w:line="240" w:lineRule="auto"/>
                        <w:ind w:firstLine="180"/>
                        <w:rPr>
                          <w:rFonts w:ascii="Century Gothic" w:hAnsi="Century Gothic"/>
                          <w:sz w:val="20"/>
                          <w:szCs w:val="20"/>
                        </w:rPr>
                      </w:pPr>
                    </w:p>
                    <w:p w14:paraId="3D1CBF70" w14:textId="77777777" w:rsidR="00490AC0" w:rsidRDefault="00490AC0" w:rsidP="00386CF6">
                      <w:pPr>
                        <w:rPr>
                          <w:rFonts w:ascii="Century Gothic" w:hAnsi="Century Gothic"/>
                          <w:b/>
                          <w:sz w:val="18"/>
                          <w:szCs w:val="18"/>
                        </w:rPr>
                      </w:pPr>
                    </w:p>
                    <w:p w14:paraId="12E9035B" w14:textId="77777777" w:rsidR="00490AC0" w:rsidRDefault="00490AC0"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r w:rsidR="00545AB4" w:rsidRPr="007722EF">
        <w:rPr>
          <w:rFonts w:ascii="Verdana" w:hAnsi="Verdana" w:cs="Arial"/>
          <w:b/>
          <w:lang w:val="en-GB"/>
        </w:rPr>
        <w:t>CASE N</w:t>
      </w:r>
      <w:r w:rsidR="000733E2" w:rsidRPr="007722EF">
        <w:rPr>
          <w:rFonts w:ascii="Verdana" w:hAnsi="Verdana" w:cs="Arial"/>
          <w:b/>
          <w:lang w:val="en-GB"/>
        </w:rPr>
        <w:t>UMBER</w:t>
      </w:r>
      <w:r w:rsidR="00545AB4" w:rsidRPr="007722EF">
        <w:rPr>
          <w:rFonts w:ascii="Verdana" w:hAnsi="Verdana" w:cs="Arial"/>
          <w:b/>
          <w:lang w:val="en-GB"/>
        </w:rPr>
        <w:t xml:space="preserve">: </w:t>
      </w:r>
      <w:r w:rsidR="0036664D" w:rsidRPr="007722EF">
        <w:rPr>
          <w:rFonts w:ascii="Verdana" w:hAnsi="Verdana" w:cs="Arial"/>
          <w:b/>
          <w:lang w:val="en-GB"/>
        </w:rPr>
        <w:t xml:space="preserve"> </w:t>
      </w:r>
      <w:r w:rsidR="00603F5C" w:rsidRPr="007722EF">
        <w:rPr>
          <w:rFonts w:ascii="Verdana" w:hAnsi="Verdana" w:cs="Arial"/>
          <w:b/>
          <w:lang w:val="en-GB"/>
        </w:rPr>
        <w:t>202</w:t>
      </w:r>
      <w:r w:rsidR="00BA3AA2" w:rsidRPr="007722EF">
        <w:rPr>
          <w:rFonts w:ascii="Verdana" w:hAnsi="Verdana" w:cs="Arial"/>
          <w:b/>
          <w:lang w:val="en-GB"/>
        </w:rPr>
        <w:t>1</w:t>
      </w:r>
      <w:r w:rsidR="00603F5C" w:rsidRPr="007722EF">
        <w:rPr>
          <w:rFonts w:ascii="Verdana" w:hAnsi="Verdana" w:cs="Arial"/>
          <w:b/>
          <w:lang w:val="en-GB"/>
        </w:rPr>
        <w:t>/</w:t>
      </w:r>
      <w:r w:rsidR="008A7D52" w:rsidRPr="007722EF">
        <w:rPr>
          <w:rFonts w:ascii="Verdana" w:hAnsi="Verdana" w:cs="Arial"/>
          <w:b/>
          <w:lang w:val="en-GB"/>
        </w:rPr>
        <w:t>58</w:t>
      </w:r>
      <w:r w:rsidR="00BA3AA2" w:rsidRPr="007722EF">
        <w:rPr>
          <w:rFonts w:ascii="Verdana" w:hAnsi="Verdana" w:cs="Arial"/>
          <w:b/>
          <w:lang w:val="en-GB"/>
        </w:rPr>
        <w:t>699</w:t>
      </w:r>
    </w:p>
    <w:p w14:paraId="52B0FAC6" w14:textId="6317EDC8" w:rsidR="00386CF6" w:rsidRPr="007722EF" w:rsidRDefault="00386CF6" w:rsidP="003D69CB">
      <w:pPr>
        <w:widowControl w:val="0"/>
        <w:spacing w:line="480" w:lineRule="auto"/>
        <w:jc w:val="right"/>
        <w:rPr>
          <w:rFonts w:ascii="Verdana" w:hAnsi="Verdana" w:cs="Arial"/>
          <w:b/>
          <w:lang w:val="en-GB"/>
        </w:rPr>
      </w:pPr>
    </w:p>
    <w:p w14:paraId="6A916D32" w14:textId="77777777" w:rsidR="00386CF6" w:rsidRPr="007722EF" w:rsidRDefault="00386CF6" w:rsidP="003D69CB">
      <w:pPr>
        <w:widowControl w:val="0"/>
        <w:spacing w:line="480" w:lineRule="auto"/>
        <w:jc w:val="center"/>
        <w:rPr>
          <w:rFonts w:ascii="Verdana" w:hAnsi="Verdana" w:cs="Arial"/>
          <w:b/>
          <w:lang w:val="en-GB"/>
        </w:rPr>
      </w:pPr>
    </w:p>
    <w:p w14:paraId="68170D40" w14:textId="77777777" w:rsidR="00386CF6" w:rsidRPr="007722EF" w:rsidRDefault="00386CF6" w:rsidP="003D69CB">
      <w:pPr>
        <w:widowControl w:val="0"/>
        <w:spacing w:line="480" w:lineRule="auto"/>
        <w:jc w:val="center"/>
        <w:rPr>
          <w:rFonts w:ascii="Verdana" w:hAnsi="Verdana" w:cs="Arial"/>
          <w:b/>
          <w:lang w:val="en-GB"/>
        </w:rPr>
      </w:pPr>
    </w:p>
    <w:p w14:paraId="3A367471" w14:textId="1FA79A5F" w:rsidR="00FF68FE" w:rsidRPr="007722EF" w:rsidRDefault="00FF68FE" w:rsidP="00CE7685">
      <w:pPr>
        <w:widowControl w:val="0"/>
        <w:spacing w:after="0" w:line="240" w:lineRule="auto"/>
        <w:rPr>
          <w:rFonts w:ascii="Verdana" w:hAnsi="Verdana" w:cs="Arial"/>
          <w:lang w:val="en-GB"/>
        </w:rPr>
      </w:pPr>
    </w:p>
    <w:p w14:paraId="7BD9F5B1" w14:textId="77777777" w:rsidR="005F14E7" w:rsidRPr="007722EF" w:rsidRDefault="005F14E7" w:rsidP="00CE7685">
      <w:pPr>
        <w:widowControl w:val="0"/>
        <w:spacing w:after="0" w:line="240" w:lineRule="auto"/>
        <w:rPr>
          <w:rFonts w:ascii="Verdana" w:hAnsi="Verdana" w:cs="Arial"/>
          <w:lang w:val="en-GB"/>
        </w:rPr>
      </w:pPr>
    </w:p>
    <w:p w14:paraId="561DD510" w14:textId="77777777" w:rsidR="00386CF6" w:rsidRPr="007722EF" w:rsidRDefault="00386CF6" w:rsidP="002D2073">
      <w:pPr>
        <w:widowControl w:val="0"/>
        <w:spacing w:after="0" w:line="312" w:lineRule="auto"/>
        <w:rPr>
          <w:rFonts w:ascii="Verdana" w:hAnsi="Verdana" w:cs="Arial"/>
          <w:lang w:val="en-GB"/>
        </w:rPr>
      </w:pPr>
      <w:r w:rsidRPr="007722EF">
        <w:rPr>
          <w:rFonts w:ascii="Verdana" w:hAnsi="Verdana" w:cs="Arial"/>
          <w:lang w:val="en-GB"/>
        </w:rPr>
        <w:t xml:space="preserve">In the </w:t>
      </w:r>
      <w:r w:rsidR="00545AB4" w:rsidRPr="007722EF">
        <w:rPr>
          <w:rFonts w:ascii="Verdana" w:hAnsi="Verdana" w:cs="Arial"/>
          <w:lang w:val="en-GB"/>
        </w:rPr>
        <w:t xml:space="preserve">matter </w:t>
      </w:r>
      <w:r w:rsidRPr="007722EF">
        <w:rPr>
          <w:rFonts w:ascii="Verdana" w:hAnsi="Verdana" w:cs="Arial"/>
          <w:lang w:val="en-GB"/>
        </w:rPr>
        <w:t>between:</w:t>
      </w:r>
      <w:r w:rsidR="003F5965" w:rsidRPr="007722EF">
        <w:rPr>
          <w:rFonts w:ascii="Verdana" w:hAnsi="Verdana" w:cs="Arial"/>
          <w:lang w:val="en-GB"/>
        </w:rPr>
        <w:t xml:space="preserve"> -</w:t>
      </w:r>
    </w:p>
    <w:p w14:paraId="5183A1A0" w14:textId="77777777" w:rsidR="0036664D" w:rsidRPr="007722EF" w:rsidRDefault="0036664D" w:rsidP="002D2073">
      <w:pPr>
        <w:widowControl w:val="0"/>
        <w:spacing w:after="0" w:line="312" w:lineRule="auto"/>
        <w:rPr>
          <w:rFonts w:ascii="Verdana" w:hAnsi="Verdana" w:cs="Arial"/>
          <w:lang w:val="en-GB"/>
        </w:rPr>
      </w:pPr>
    </w:p>
    <w:p w14:paraId="41DC56A9" w14:textId="76DAB627" w:rsidR="003F5965" w:rsidRPr="007722EF" w:rsidRDefault="008A7D52" w:rsidP="002D2073">
      <w:pPr>
        <w:widowControl w:val="0"/>
        <w:tabs>
          <w:tab w:val="right" w:pos="9026"/>
        </w:tabs>
        <w:spacing w:after="0" w:line="312" w:lineRule="auto"/>
        <w:rPr>
          <w:rFonts w:ascii="Verdana" w:hAnsi="Verdana" w:cs="Arial"/>
          <w:lang w:val="en-GB"/>
        </w:rPr>
      </w:pPr>
      <w:r w:rsidRPr="007722EF">
        <w:rPr>
          <w:rFonts w:ascii="Verdana" w:hAnsi="Verdana" w:cs="Arial"/>
          <w:b/>
          <w:lang w:val="en-GB"/>
        </w:rPr>
        <w:t>M</w:t>
      </w:r>
      <w:r w:rsidR="00BA3AA2" w:rsidRPr="007722EF">
        <w:rPr>
          <w:rFonts w:ascii="Verdana" w:hAnsi="Verdana" w:cs="Arial"/>
          <w:b/>
          <w:lang w:val="en-GB"/>
        </w:rPr>
        <w:t xml:space="preserve">&amp;J DA COSTA BROTHERS </w:t>
      </w:r>
      <w:r w:rsidR="00603F5C" w:rsidRPr="007722EF">
        <w:rPr>
          <w:rFonts w:ascii="Verdana" w:hAnsi="Verdana" w:cs="Arial"/>
          <w:b/>
          <w:lang w:val="en-GB"/>
        </w:rPr>
        <w:t>(PTY) LTD</w:t>
      </w:r>
      <w:r w:rsidR="003F5965" w:rsidRPr="007722EF">
        <w:rPr>
          <w:rFonts w:ascii="Verdana" w:hAnsi="Verdana" w:cs="Arial"/>
          <w:lang w:val="en-GB"/>
        </w:rPr>
        <w:tab/>
      </w:r>
      <w:r w:rsidR="00BA3AA2" w:rsidRPr="007722EF">
        <w:rPr>
          <w:rFonts w:ascii="Verdana" w:hAnsi="Verdana" w:cs="Arial"/>
          <w:lang w:val="en-GB"/>
        </w:rPr>
        <w:t>First plaintiff</w:t>
      </w:r>
    </w:p>
    <w:p w14:paraId="65852A94" w14:textId="5F47FCA6" w:rsidR="00E723A4" w:rsidRPr="007722EF" w:rsidRDefault="00603F5C" w:rsidP="00BA3AA2">
      <w:pPr>
        <w:widowControl w:val="0"/>
        <w:tabs>
          <w:tab w:val="right" w:pos="9026"/>
        </w:tabs>
        <w:spacing w:after="120" w:line="312" w:lineRule="auto"/>
        <w:rPr>
          <w:rFonts w:ascii="Verdana" w:hAnsi="Verdana" w:cs="Arial"/>
          <w:lang w:val="en-GB"/>
        </w:rPr>
      </w:pPr>
      <w:r w:rsidRPr="007722EF">
        <w:rPr>
          <w:rFonts w:ascii="Verdana" w:hAnsi="Verdana" w:cs="Arial"/>
          <w:lang w:val="en-GB"/>
        </w:rPr>
        <w:t xml:space="preserve">(REGISTRATION NUMBER: </w:t>
      </w:r>
      <w:r w:rsidR="00BA3AA2" w:rsidRPr="007722EF">
        <w:rPr>
          <w:rFonts w:ascii="Verdana" w:hAnsi="Verdana" w:cs="Arial"/>
          <w:lang w:val="en-GB"/>
        </w:rPr>
        <w:t>1985</w:t>
      </w:r>
      <w:r w:rsidRPr="007722EF">
        <w:rPr>
          <w:rFonts w:ascii="Verdana" w:hAnsi="Verdana" w:cs="Arial"/>
          <w:lang w:val="en-GB"/>
        </w:rPr>
        <w:t>/</w:t>
      </w:r>
      <w:r w:rsidR="00BA3AA2" w:rsidRPr="007722EF">
        <w:rPr>
          <w:rFonts w:ascii="Verdana" w:hAnsi="Verdana" w:cs="Arial"/>
          <w:lang w:val="en-GB"/>
        </w:rPr>
        <w:t>003906</w:t>
      </w:r>
      <w:r w:rsidRPr="007722EF">
        <w:rPr>
          <w:rFonts w:ascii="Verdana" w:hAnsi="Verdana" w:cs="Arial"/>
          <w:lang w:val="en-GB"/>
        </w:rPr>
        <w:t>/07)</w:t>
      </w:r>
    </w:p>
    <w:p w14:paraId="67B45FB1" w14:textId="120D5187" w:rsidR="00BA3AA2" w:rsidRPr="007722EF" w:rsidRDefault="00BA3AA2" w:rsidP="002D2073">
      <w:pPr>
        <w:widowControl w:val="0"/>
        <w:tabs>
          <w:tab w:val="right" w:pos="9026"/>
        </w:tabs>
        <w:spacing w:after="0" w:line="312" w:lineRule="auto"/>
        <w:rPr>
          <w:rFonts w:ascii="Verdana" w:hAnsi="Verdana" w:cs="Arial"/>
          <w:lang w:val="en-GB"/>
        </w:rPr>
      </w:pPr>
      <w:r w:rsidRPr="007722EF">
        <w:rPr>
          <w:rFonts w:ascii="Verdana" w:hAnsi="Verdana" w:cs="Arial"/>
          <w:b/>
          <w:bCs/>
          <w:lang w:val="en-GB"/>
        </w:rPr>
        <w:t>MANJOH RANCH (PTY) LTD</w:t>
      </w:r>
      <w:r w:rsidRPr="007722EF">
        <w:rPr>
          <w:rFonts w:ascii="Verdana" w:hAnsi="Verdana" w:cs="Arial"/>
          <w:lang w:val="en-GB"/>
        </w:rPr>
        <w:tab/>
        <w:t>Second plaintiff</w:t>
      </w:r>
    </w:p>
    <w:p w14:paraId="23FD59CC" w14:textId="71E22CD7" w:rsidR="00BA3AA2" w:rsidRPr="007722EF" w:rsidRDefault="00BA3AA2" w:rsidP="002D2073">
      <w:pPr>
        <w:widowControl w:val="0"/>
        <w:tabs>
          <w:tab w:val="right" w:pos="9026"/>
        </w:tabs>
        <w:spacing w:after="0" w:line="312" w:lineRule="auto"/>
        <w:rPr>
          <w:rFonts w:ascii="Verdana" w:hAnsi="Verdana" w:cs="Arial"/>
          <w:lang w:val="en-GB"/>
        </w:rPr>
      </w:pPr>
      <w:r w:rsidRPr="007722EF">
        <w:rPr>
          <w:rFonts w:ascii="Verdana" w:hAnsi="Verdana" w:cs="Arial"/>
          <w:lang w:val="en-GB"/>
        </w:rPr>
        <w:t>(REGISTRATION NUMBER: 1960/001756/07)</w:t>
      </w:r>
    </w:p>
    <w:p w14:paraId="32D55830" w14:textId="77777777" w:rsidR="00603F5C" w:rsidRPr="007722EF" w:rsidRDefault="00603F5C" w:rsidP="002D2073">
      <w:pPr>
        <w:widowControl w:val="0"/>
        <w:tabs>
          <w:tab w:val="right" w:pos="9026"/>
        </w:tabs>
        <w:spacing w:after="0" w:line="312" w:lineRule="auto"/>
        <w:rPr>
          <w:rFonts w:ascii="Verdana" w:hAnsi="Verdana" w:cs="Arial"/>
          <w:lang w:val="en-GB"/>
        </w:rPr>
      </w:pPr>
    </w:p>
    <w:p w14:paraId="08F897D7" w14:textId="36DD9BC8" w:rsidR="003F5965" w:rsidRPr="007722EF" w:rsidRDefault="003F5965" w:rsidP="002D2073">
      <w:pPr>
        <w:widowControl w:val="0"/>
        <w:tabs>
          <w:tab w:val="right" w:pos="9026"/>
        </w:tabs>
        <w:spacing w:after="0" w:line="312" w:lineRule="auto"/>
        <w:rPr>
          <w:rFonts w:ascii="Verdana" w:hAnsi="Verdana" w:cs="Arial"/>
          <w:lang w:val="en-GB"/>
        </w:rPr>
      </w:pPr>
      <w:r w:rsidRPr="007722EF">
        <w:rPr>
          <w:rFonts w:ascii="Verdana" w:hAnsi="Verdana" w:cs="Arial"/>
          <w:lang w:val="en-GB"/>
        </w:rPr>
        <w:t>and</w:t>
      </w:r>
    </w:p>
    <w:p w14:paraId="43E5B965" w14:textId="66F32A2A" w:rsidR="0036664D" w:rsidRPr="007722EF" w:rsidRDefault="0036664D" w:rsidP="002D2073">
      <w:pPr>
        <w:widowControl w:val="0"/>
        <w:tabs>
          <w:tab w:val="right" w:pos="9026"/>
        </w:tabs>
        <w:spacing w:after="0" w:line="312" w:lineRule="auto"/>
        <w:rPr>
          <w:rFonts w:ascii="Verdana" w:hAnsi="Verdana" w:cs="Arial"/>
          <w:b/>
          <w:lang w:val="en-GB"/>
        </w:rPr>
      </w:pPr>
    </w:p>
    <w:p w14:paraId="5F062A8F" w14:textId="40864FFE" w:rsidR="003F5965" w:rsidRPr="007722EF" w:rsidRDefault="00BA3AA2" w:rsidP="00BA3AA2">
      <w:pPr>
        <w:widowControl w:val="0"/>
        <w:tabs>
          <w:tab w:val="right" w:pos="9026"/>
        </w:tabs>
        <w:spacing w:after="0" w:line="312" w:lineRule="auto"/>
        <w:rPr>
          <w:rFonts w:ascii="Verdana" w:hAnsi="Verdana" w:cs="Arial"/>
          <w:lang w:val="en-GB"/>
        </w:rPr>
      </w:pPr>
      <w:r w:rsidRPr="007722EF">
        <w:rPr>
          <w:rFonts w:ascii="Verdana" w:hAnsi="Verdana" w:cs="Arial"/>
          <w:b/>
          <w:lang w:val="en-GB"/>
        </w:rPr>
        <w:t>IVOR MICHAEL KARAN</w:t>
      </w:r>
      <w:r w:rsidR="003F5965" w:rsidRPr="007722EF">
        <w:rPr>
          <w:rFonts w:ascii="Verdana" w:hAnsi="Verdana" w:cs="Arial"/>
          <w:b/>
          <w:lang w:val="en-GB"/>
        </w:rPr>
        <w:tab/>
      </w:r>
      <w:r w:rsidRPr="007722EF">
        <w:rPr>
          <w:rFonts w:ascii="Verdana" w:hAnsi="Verdana" w:cs="Arial"/>
          <w:lang w:val="en-GB"/>
        </w:rPr>
        <w:t>Defendant / Excipient</w:t>
      </w:r>
    </w:p>
    <w:p w14:paraId="798F44BA" w14:textId="226D9CEC" w:rsidR="001567BA" w:rsidRPr="007722EF" w:rsidRDefault="00BA3AA2" w:rsidP="003D69CB">
      <w:pPr>
        <w:widowControl w:val="0"/>
        <w:tabs>
          <w:tab w:val="right" w:pos="9026"/>
        </w:tabs>
        <w:spacing w:after="0" w:line="360" w:lineRule="auto"/>
        <w:rPr>
          <w:rFonts w:ascii="Verdana" w:hAnsi="Verdana" w:cs="Arial"/>
          <w:lang w:val="en-GB"/>
        </w:rPr>
      </w:pPr>
      <w:r w:rsidRPr="007722EF">
        <w:rPr>
          <w:rFonts w:ascii="Verdana" w:hAnsi="Verdana" w:cs="Arial"/>
          <w:lang w:val="en-GB"/>
        </w:rPr>
        <w:t xml:space="preserve">(IDENTITY NUMBER: </w:t>
      </w:r>
      <w:r w:rsidR="00366A5E">
        <w:rPr>
          <w:rFonts w:ascii="Verdana" w:hAnsi="Verdana" w:cs="Arial"/>
          <w:lang w:val="en-GB"/>
        </w:rPr>
        <w:t>[…]</w:t>
      </w:r>
      <w:r w:rsidRPr="007722EF">
        <w:rPr>
          <w:rFonts w:ascii="Verdana" w:hAnsi="Verdana" w:cs="Arial"/>
          <w:lang w:val="en-GB"/>
        </w:rPr>
        <w:t>)</w:t>
      </w:r>
    </w:p>
    <w:p w14:paraId="4B2AB4B4" w14:textId="127BCA9C" w:rsidR="00BA3AA2" w:rsidRPr="007722EF" w:rsidRDefault="00BA3AA2" w:rsidP="003D69CB">
      <w:pPr>
        <w:widowControl w:val="0"/>
        <w:tabs>
          <w:tab w:val="right" w:pos="9026"/>
        </w:tabs>
        <w:spacing w:after="0" w:line="360" w:lineRule="auto"/>
        <w:rPr>
          <w:rFonts w:ascii="Verdana" w:hAnsi="Verdana" w:cs="Arial"/>
          <w:lang w:val="en-GB"/>
        </w:rPr>
      </w:pPr>
    </w:p>
    <w:p w14:paraId="32188F40" w14:textId="77777777" w:rsidR="00BA3AA2" w:rsidRPr="007722EF" w:rsidRDefault="00BA3AA2" w:rsidP="003D69CB">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7722EF" w14:paraId="20EB356B" w14:textId="77777777" w:rsidTr="00AE6AE3">
        <w:tc>
          <w:tcPr>
            <w:tcW w:w="9242" w:type="dxa"/>
          </w:tcPr>
          <w:p w14:paraId="4CD84C12" w14:textId="4C5666F6" w:rsidR="00AE6AE3" w:rsidRPr="007722EF" w:rsidRDefault="00AE6AE3" w:rsidP="003D69CB">
            <w:pPr>
              <w:widowControl w:val="0"/>
              <w:spacing w:before="360" w:after="120" w:line="480" w:lineRule="auto"/>
              <w:jc w:val="center"/>
              <w:rPr>
                <w:rFonts w:ascii="Verdana" w:hAnsi="Verdana" w:cs="Arial"/>
                <w:b/>
                <w:sz w:val="24"/>
                <w:szCs w:val="24"/>
                <w:lang w:val="en-GB"/>
              </w:rPr>
            </w:pPr>
            <w:r w:rsidRPr="007722EF">
              <w:rPr>
                <w:rFonts w:ascii="Verdana" w:hAnsi="Verdana" w:cs="Arial"/>
                <w:b/>
                <w:sz w:val="24"/>
                <w:szCs w:val="24"/>
                <w:lang w:val="en-GB"/>
              </w:rPr>
              <w:lastRenderedPageBreak/>
              <w:t>J</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U</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D</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G</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M</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E</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N</w:t>
            </w:r>
            <w:r w:rsidR="008F1271" w:rsidRPr="007722EF">
              <w:rPr>
                <w:rFonts w:ascii="Verdana" w:hAnsi="Verdana" w:cs="Arial"/>
                <w:b/>
                <w:sz w:val="24"/>
                <w:szCs w:val="24"/>
                <w:lang w:val="en-GB"/>
              </w:rPr>
              <w:t xml:space="preserve"> </w:t>
            </w:r>
            <w:r w:rsidRPr="007722EF">
              <w:rPr>
                <w:rFonts w:ascii="Verdana" w:hAnsi="Verdana" w:cs="Arial"/>
                <w:b/>
                <w:sz w:val="24"/>
                <w:szCs w:val="24"/>
                <w:lang w:val="en-GB"/>
              </w:rPr>
              <w:t>T</w:t>
            </w:r>
          </w:p>
        </w:tc>
      </w:tr>
    </w:tbl>
    <w:p w14:paraId="776B82AA" w14:textId="1EE4EE18" w:rsidR="00E4432D" w:rsidRPr="007722EF" w:rsidRDefault="00E4432D" w:rsidP="00CE7685">
      <w:pPr>
        <w:widowControl w:val="0"/>
        <w:spacing w:before="600" w:after="360" w:line="360" w:lineRule="auto"/>
        <w:jc w:val="both"/>
        <w:rPr>
          <w:rFonts w:ascii="Verdana" w:hAnsi="Verdana" w:cs="Arial"/>
          <w:b/>
          <w:bCs/>
          <w:lang w:val="en-GB"/>
        </w:rPr>
      </w:pPr>
      <w:r w:rsidRPr="007722EF">
        <w:rPr>
          <w:rFonts w:ascii="Verdana" w:hAnsi="Verdana" w:cs="Arial"/>
          <w:b/>
          <w:bCs/>
          <w:u w:val="single"/>
          <w:lang w:val="en-GB"/>
        </w:rPr>
        <w:t>DELIVERED</w:t>
      </w:r>
      <w:r w:rsidRPr="007722EF">
        <w:rPr>
          <w:rFonts w:ascii="Verdana" w:hAnsi="Verdana" w:cs="Arial"/>
          <w:b/>
          <w:bCs/>
          <w:lang w:val="en-GB"/>
        </w:rPr>
        <w:t xml:space="preserve">: </w:t>
      </w:r>
      <w:r w:rsidR="001356F3" w:rsidRPr="007722EF">
        <w:rPr>
          <w:rFonts w:ascii="Verdana" w:hAnsi="Verdana" w:cs="Arial"/>
          <w:b/>
          <w:bCs/>
          <w:lang w:val="en-GB"/>
        </w:rPr>
        <w:t xml:space="preserve"> </w:t>
      </w:r>
      <w:r w:rsidRPr="007722EF">
        <w:rPr>
          <w:rFonts w:ascii="Verdana" w:hAnsi="Verdana"/>
          <w:lang w:val="en-GB"/>
        </w:rPr>
        <w:t>This judgment was handed down electronically by circulation to the parties’ legal representatives by e</w:t>
      </w:r>
      <w:r w:rsidR="001356F3" w:rsidRPr="007722EF">
        <w:rPr>
          <w:rFonts w:ascii="Verdana" w:hAnsi="Verdana"/>
          <w:lang w:val="en-GB"/>
        </w:rPr>
        <w:noBreakHyphen/>
      </w:r>
      <w:r w:rsidRPr="007722EF">
        <w:rPr>
          <w:rFonts w:ascii="Verdana" w:hAnsi="Verdana"/>
          <w:lang w:val="en-GB"/>
        </w:rPr>
        <w:t xml:space="preserve">mail and publication on </w:t>
      </w:r>
      <w:proofErr w:type="spellStart"/>
      <w:r w:rsidRPr="007722EF">
        <w:rPr>
          <w:rFonts w:ascii="Verdana" w:hAnsi="Verdana"/>
          <w:lang w:val="en-GB"/>
        </w:rPr>
        <w:t>CaseLines</w:t>
      </w:r>
      <w:proofErr w:type="spellEnd"/>
      <w:r w:rsidRPr="007722EF">
        <w:rPr>
          <w:rFonts w:ascii="Verdana" w:hAnsi="Verdana"/>
          <w:lang w:val="en-GB"/>
        </w:rPr>
        <w:t xml:space="preserve">. </w:t>
      </w:r>
      <w:r w:rsidR="001356F3" w:rsidRPr="007722EF">
        <w:rPr>
          <w:rFonts w:ascii="Verdana" w:hAnsi="Verdana"/>
          <w:lang w:val="en-GB"/>
        </w:rPr>
        <w:t xml:space="preserve"> </w:t>
      </w:r>
      <w:r w:rsidRPr="007722EF">
        <w:rPr>
          <w:rFonts w:ascii="Verdana" w:hAnsi="Verdana"/>
          <w:lang w:val="en-GB"/>
        </w:rPr>
        <w:t xml:space="preserve">The date and time for hand-down is deemed to be </w:t>
      </w:r>
      <w:r w:rsidR="0000665E" w:rsidRPr="007722EF">
        <w:rPr>
          <w:rFonts w:ascii="Verdana" w:hAnsi="Verdana"/>
          <w:lang w:val="en-GB"/>
        </w:rPr>
        <w:t>1</w:t>
      </w:r>
      <w:r w:rsidR="00232FE3">
        <w:rPr>
          <w:rFonts w:ascii="Verdana" w:hAnsi="Verdana"/>
          <w:lang w:val="en-GB"/>
        </w:rPr>
        <w:t>4</w:t>
      </w:r>
      <w:r w:rsidR="0000665E" w:rsidRPr="007722EF">
        <w:rPr>
          <w:rFonts w:ascii="Verdana" w:hAnsi="Verdana"/>
          <w:lang w:val="en-GB"/>
        </w:rPr>
        <w:t xml:space="preserve">h00 </w:t>
      </w:r>
      <w:r w:rsidRPr="007722EF">
        <w:rPr>
          <w:rFonts w:ascii="Verdana" w:hAnsi="Verdana"/>
          <w:lang w:val="en-GB"/>
        </w:rPr>
        <w:t>on</w:t>
      </w:r>
      <w:r w:rsidR="004D0E40" w:rsidRPr="007722EF">
        <w:rPr>
          <w:rFonts w:ascii="Verdana" w:hAnsi="Verdana"/>
          <w:lang w:val="en-GB"/>
        </w:rPr>
        <w:t xml:space="preserve"> 13 January </w:t>
      </w:r>
      <w:r w:rsidRPr="007722EF">
        <w:rPr>
          <w:rFonts w:ascii="Verdana" w:hAnsi="Verdana"/>
          <w:lang w:val="en-GB"/>
        </w:rPr>
        <w:t>202</w:t>
      </w:r>
      <w:r w:rsidR="002A3DF0" w:rsidRPr="007722EF">
        <w:rPr>
          <w:rFonts w:ascii="Verdana" w:hAnsi="Verdana"/>
          <w:lang w:val="en-GB"/>
        </w:rPr>
        <w:t>3</w:t>
      </w:r>
      <w:r w:rsidR="00335840" w:rsidRPr="007722EF">
        <w:rPr>
          <w:rFonts w:ascii="Verdana" w:hAnsi="Verdana"/>
          <w:lang w:val="en-GB"/>
        </w:rPr>
        <w:t>.</w:t>
      </w:r>
    </w:p>
    <w:p w14:paraId="4481D702" w14:textId="3C5D9D8D" w:rsidR="00386CF6" w:rsidRPr="007722EF" w:rsidRDefault="00CC79D8" w:rsidP="003D69CB">
      <w:pPr>
        <w:keepNext/>
        <w:widowControl w:val="0"/>
        <w:spacing w:after="320" w:line="432" w:lineRule="auto"/>
        <w:rPr>
          <w:rFonts w:ascii="Verdana" w:hAnsi="Verdana" w:cs="Arial"/>
          <w:u w:val="single"/>
          <w:lang w:val="en-GB"/>
        </w:rPr>
      </w:pPr>
      <w:r w:rsidRPr="007722EF">
        <w:rPr>
          <w:rFonts w:ascii="Verdana" w:hAnsi="Verdana" w:cs="Arial"/>
          <w:u w:val="single"/>
          <w:lang w:val="en-GB"/>
        </w:rPr>
        <w:t xml:space="preserve">F. </w:t>
      </w:r>
      <w:r w:rsidR="00F46B89" w:rsidRPr="007722EF">
        <w:rPr>
          <w:rFonts w:ascii="Verdana" w:hAnsi="Verdana" w:cs="Arial"/>
          <w:u w:val="single"/>
          <w:lang w:val="en-GB"/>
        </w:rPr>
        <w:t xml:space="preserve">BEZUIDENHOUT </w:t>
      </w:r>
      <w:r w:rsidR="00225130" w:rsidRPr="007722EF">
        <w:rPr>
          <w:rFonts w:ascii="Verdana" w:hAnsi="Verdana" w:cs="Arial"/>
          <w:u w:val="single"/>
          <w:lang w:val="en-GB"/>
        </w:rPr>
        <w:t>AJ:</w:t>
      </w:r>
    </w:p>
    <w:p w14:paraId="57C37267" w14:textId="14D63073" w:rsidR="008F1271" w:rsidRPr="007722EF" w:rsidRDefault="008F1271" w:rsidP="003D69CB">
      <w:pPr>
        <w:pStyle w:val="Indent"/>
        <w:keepNext/>
        <w:widowControl w:val="0"/>
        <w:numPr>
          <w:ilvl w:val="0"/>
          <w:numId w:val="0"/>
        </w:numPr>
        <w:spacing w:after="320" w:line="432" w:lineRule="auto"/>
        <w:jc w:val="both"/>
        <w:rPr>
          <w:rFonts w:ascii="Verdana" w:hAnsi="Verdana" w:cs="Arial"/>
          <w:b/>
          <w:sz w:val="22"/>
          <w:szCs w:val="22"/>
          <w:lang w:val="en-GB"/>
        </w:rPr>
      </w:pPr>
      <w:r w:rsidRPr="007722EF">
        <w:rPr>
          <w:rFonts w:ascii="Verdana" w:hAnsi="Verdana" w:cs="Arial"/>
          <w:b/>
          <w:sz w:val="22"/>
          <w:szCs w:val="22"/>
          <w:lang w:val="en-GB"/>
        </w:rPr>
        <w:t>INTRODUCTION</w:t>
      </w:r>
    </w:p>
    <w:p w14:paraId="4A3BD44D" w14:textId="18965CD7" w:rsidR="00603F5C"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[1]</w:t>
      </w:r>
      <w:r w:rsidRPr="007722EF">
        <w:rPr>
          <w:rFonts w:ascii="Verdana" w:hAnsi="Verdana" w:cs="Arial"/>
          <w:color w:val="000000" w:themeColor="text1"/>
          <w:sz w:val="22"/>
          <w:szCs w:val="22"/>
          <w:lang w:val="en-GB"/>
        </w:rPr>
        <w:tab/>
      </w:r>
      <w:r w:rsidR="00CE7685" w:rsidRPr="007722EF">
        <w:rPr>
          <w:rFonts w:ascii="Verdana" w:hAnsi="Verdana" w:cs="Arial"/>
          <w:sz w:val="22"/>
          <w:szCs w:val="22"/>
          <w:lang w:val="en-GB"/>
        </w:rPr>
        <w:t>Th</w:t>
      </w:r>
      <w:r w:rsidR="001567BA" w:rsidRPr="007722EF">
        <w:rPr>
          <w:rFonts w:ascii="Verdana" w:hAnsi="Verdana" w:cs="Arial"/>
          <w:sz w:val="22"/>
          <w:szCs w:val="22"/>
          <w:lang w:val="en-GB"/>
        </w:rPr>
        <w:t xml:space="preserve">e </w:t>
      </w:r>
      <w:r w:rsidR="002A3DF0" w:rsidRPr="007722EF">
        <w:rPr>
          <w:rFonts w:ascii="Verdana" w:hAnsi="Verdana" w:cs="Arial"/>
          <w:sz w:val="22"/>
          <w:szCs w:val="22"/>
          <w:lang w:val="en-GB"/>
        </w:rPr>
        <w:t xml:space="preserve">plaintiffs issued summons against the defendant for payment of various amounts of money. The defendant excepts to the claims on the ground that they lack averments necessary to sustain a cause of action. </w:t>
      </w:r>
    </w:p>
    <w:p w14:paraId="3C0F5C4F" w14:textId="392D43FF" w:rsidR="002C69F4"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[2]</w:t>
      </w:r>
      <w:r w:rsidRPr="007722EF">
        <w:rPr>
          <w:rFonts w:ascii="Verdana" w:hAnsi="Verdana" w:cs="Arial"/>
          <w:color w:val="000000" w:themeColor="text1"/>
          <w:sz w:val="22"/>
          <w:szCs w:val="22"/>
          <w:lang w:val="en-GB"/>
        </w:rPr>
        <w:tab/>
      </w:r>
      <w:r w:rsidR="002C69F4" w:rsidRPr="007722EF">
        <w:rPr>
          <w:rFonts w:ascii="Verdana" w:hAnsi="Verdana" w:cs="Arial"/>
          <w:sz w:val="22"/>
          <w:szCs w:val="22"/>
          <w:lang w:val="en-GB"/>
        </w:rPr>
        <w:t xml:space="preserve">The issues </w:t>
      </w:r>
      <w:r w:rsidR="002E2D18" w:rsidRPr="007722EF">
        <w:rPr>
          <w:rFonts w:ascii="Verdana" w:hAnsi="Verdana" w:cs="Arial"/>
          <w:sz w:val="22"/>
          <w:szCs w:val="22"/>
          <w:lang w:val="en-GB"/>
        </w:rPr>
        <w:t xml:space="preserve">for determination as formulated by the parties in </w:t>
      </w:r>
      <w:r w:rsidR="00A95E8E" w:rsidRPr="007722EF">
        <w:rPr>
          <w:rFonts w:ascii="Verdana" w:hAnsi="Verdana" w:cs="Arial"/>
          <w:sz w:val="22"/>
          <w:szCs w:val="22"/>
          <w:lang w:val="en-GB"/>
        </w:rPr>
        <w:t xml:space="preserve">a </w:t>
      </w:r>
      <w:r w:rsidR="002E2D18" w:rsidRPr="007722EF">
        <w:rPr>
          <w:rFonts w:ascii="Verdana" w:hAnsi="Verdana" w:cs="Arial"/>
          <w:sz w:val="22"/>
          <w:szCs w:val="22"/>
          <w:lang w:val="en-GB"/>
        </w:rPr>
        <w:t>joint practice note, are as follows:</w:t>
      </w:r>
      <w:r w:rsidR="00A30C01" w:rsidRPr="007722EF">
        <w:rPr>
          <w:rFonts w:ascii="Verdana" w:hAnsi="Verdana" w:cs="Arial"/>
          <w:sz w:val="22"/>
          <w:szCs w:val="22"/>
          <w:lang w:val="en-GB"/>
        </w:rPr>
        <w:t> -</w:t>
      </w:r>
    </w:p>
    <w:p w14:paraId="75DBA03C" w14:textId="3AF26C45" w:rsidR="002E2D18" w:rsidRPr="007722EF" w:rsidRDefault="00081CE3" w:rsidP="009714A3">
      <w:pPr>
        <w:pStyle w:val="Indent"/>
        <w:widowControl w:val="0"/>
        <w:numPr>
          <w:ilvl w:val="0"/>
          <w:numId w:val="0"/>
        </w:numPr>
        <w:spacing w:after="360" w:line="480" w:lineRule="auto"/>
        <w:ind w:left="1440" w:hanging="720"/>
        <w:jc w:val="both"/>
        <w:rPr>
          <w:rFonts w:ascii="Verdana" w:hAnsi="Verdana" w:cs="Arial"/>
          <w:sz w:val="22"/>
          <w:szCs w:val="22"/>
          <w:lang w:val="en-GB"/>
        </w:rPr>
      </w:pPr>
      <w:r w:rsidRPr="007722EF">
        <w:rPr>
          <w:rFonts w:ascii="Verdana" w:hAnsi="Verdana" w:cs="Arial"/>
          <w:sz w:val="22"/>
          <w:szCs w:val="22"/>
          <w:lang w:val="en-GB"/>
        </w:rPr>
        <w:t>2.1</w:t>
      </w:r>
      <w:r w:rsidRPr="007722EF">
        <w:rPr>
          <w:rFonts w:ascii="Verdana" w:hAnsi="Verdana" w:cs="Arial"/>
          <w:sz w:val="22"/>
          <w:szCs w:val="22"/>
          <w:lang w:val="en-GB"/>
        </w:rPr>
        <w:tab/>
        <w:t xml:space="preserve">Whether the </w:t>
      </w:r>
      <w:r w:rsidR="009714A3" w:rsidRPr="007722EF">
        <w:rPr>
          <w:rFonts w:ascii="Verdana" w:hAnsi="Verdana" w:cs="Arial"/>
          <w:sz w:val="22"/>
          <w:szCs w:val="22"/>
          <w:lang w:val="en-GB"/>
        </w:rPr>
        <w:t xml:space="preserve">first </w:t>
      </w:r>
      <w:r w:rsidRPr="007722EF">
        <w:rPr>
          <w:rFonts w:ascii="Verdana" w:hAnsi="Verdana" w:cs="Arial"/>
          <w:sz w:val="22"/>
          <w:szCs w:val="22"/>
          <w:lang w:val="en-GB"/>
        </w:rPr>
        <w:t>plaintiff</w:t>
      </w:r>
      <w:r w:rsidR="009714A3" w:rsidRPr="007722EF">
        <w:rPr>
          <w:rFonts w:ascii="Verdana" w:hAnsi="Verdana" w:cs="Arial"/>
          <w:sz w:val="22"/>
          <w:szCs w:val="22"/>
          <w:lang w:val="en-GB"/>
        </w:rPr>
        <w:t xml:space="preserve">’s </w:t>
      </w:r>
      <w:r w:rsidRPr="007722EF">
        <w:rPr>
          <w:rFonts w:ascii="Verdana" w:hAnsi="Verdana" w:cs="Arial"/>
          <w:sz w:val="22"/>
          <w:szCs w:val="22"/>
          <w:lang w:val="en-GB"/>
        </w:rPr>
        <w:t>claim</w:t>
      </w:r>
      <w:r w:rsidR="009714A3" w:rsidRPr="007722EF">
        <w:rPr>
          <w:rFonts w:ascii="Verdana" w:hAnsi="Verdana" w:cs="Arial"/>
          <w:sz w:val="22"/>
          <w:szCs w:val="22"/>
          <w:lang w:val="en-GB"/>
        </w:rPr>
        <w:t>, as well as the second and third plaintiff</w:t>
      </w:r>
      <w:r w:rsidR="00A30C01" w:rsidRPr="007722EF">
        <w:rPr>
          <w:rFonts w:ascii="Verdana" w:hAnsi="Verdana" w:cs="Arial"/>
          <w:sz w:val="22"/>
          <w:szCs w:val="22"/>
          <w:lang w:val="en-GB"/>
        </w:rPr>
        <w:t>s</w:t>
      </w:r>
      <w:r w:rsidR="009714A3" w:rsidRPr="007722EF">
        <w:rPr>
          <w:rFonts w:ascii="Verdana" w:hAnsi="Verdana" w:cs="Arial"/>
          <w:sz w:val="22"/>
          <w:szCs w:val="22"/>
          <w:lang w:val="en-GB"/>
        </w:rPr>
        <w:t>’ second and third claim</w:t>
      </w:r>
      <w:r w:rsidR="00F246A4" w:rsidRPr="007722EF">
        <w:rPr>
          <w:rFonts w:ascii="Verdana" w:hAnsi="Verdana" w:cs="Arial"/>
          <w:sz w:val="22"/>
          <w:szCs w:val="22"/>
          <w:lang w:val="en-GB"/>
        </w:rPr>
        <w:t>, lack averments to sustain a cause of action against the defendant.</w:t>
      </w:r>
    </w:p>
    <w:p w14:paraId="10EEB748" w14:textId="704F3D8C" w:rsidR="00F246A4" w:rsidRPr="007722EF" w:rsidRDefault="00F246A4" w:rsidP="009714A3">
      <w:pPr>
        <w:pStyle w:val="Indent"/>
        <w:widowControl w:val="0"/>
        <w:numPr>
          <w:ilvl w:val="0"/>
          <w:numId w:val="0"/>
        </w:numPr>
        <w:spacing w:after="360" w:line="480" w:lineRule="auto"/>
        <w:ind w:left="1440" w:hanging="720"/>
        <w:jc w:val="both"/>
        <w:rPr>
          <w:rFonts w:ascii="Verdana" w:hAnsi="Verdana" w:cs="Arial"/>
          <w:sz w:val="22"/>
          <w:szCs w:val="22"/>
          <w:lang w:val="en-GB"/>
        </w:rPr>
      </w:pPr>
      <w:r w:rsidRPr="007722EF">
        <w:rPr>
          <w:rFonts w:ascii="Verdana" w:hAnsi="Verdana" w:cs="Arial"/>
          <w:sz w:val="22"/>
          <w:szCs w:val="22"/>
          <w:lang w:val="en-GB"/>
        </w:rPr>
        <w:t>2.2</w:t>
      </w:r>
      <w:r w:rsidRPr="007722EF">
        <w:rPr>
          <w:rFonts w:ascii="Verdana" w:hAnsi="Verdana" w:cs="Arial"/>
          <w:sz w:val="22"/>
          <w:szCs w:val="22"/>
          <w:lang w:val="en-GB"/>
        </w:rPr>
        <w:tab/>
        <w:t xml:space="preserve">Whether on a proper interpretation of the </w:t>
      </w:r>
      <w:r w:rsidR="000A5580" w:rsidRPr="007722EF">
        <w:rPr>
          <w:rFonts w:ascii="Verdana" w:hAnsi="Verdana" w:cs="Arial"/>
          <w:sz w:val="22"/>
          <w:szCs w:val="22"/>
          <w:lang w:val="en-GB"/>
        </w:rPr>
        <w:t xml:space="preserve">agreement, </w:t>
      </w:r>
      <w:r w:rsidR="008E7B3C" w:rsidRPr="007722EF">
        <w:rPr>
          <w:rFonts w:ascii="Verdana" w:hAnsi="Verdana" w:cs="Arial"/>
          <w:sz w:val="22"/>
          <w:szCs w:val="22"/>
          <w:lang w:val="en-GB"/>
        </w:rPr>
        <w:t>the plaintiffs have a claim</w:t>
      </w:r>
      <w:r w:rsidR="00DC1130" w:rsidRPr="007722EF">
        <w:rPr>
          <w:rFonts w:ascii="Verdana" w:hAnsi="Verdana" w:cs="Arial"/>
          <w:sz w:val="22"/>
          <w:szCs w:val="22"/>
          <w:lang w:val="en-GB"/>
        </w:rPr>
        <w:t xml:space="preserve"> or whether they are excluded by the non-variation clause or </w:t>
      </w:r>
      <w:proofErr w:type="spellStart"/>
      <w:r w:rsidR="00DC1130" w:rsidRPr="007722EF">
        <w:rPr>
          <w:rFonts w:ascii="Verdana" w:hAnsi="Verdana" w:cs="Arial"/>
          <w:sz w:val="22"/>
          <w:szCs w:val="22"/>
          <w:lang w:val="en-GB"/>
        </w:rPr>
        <w:t>parol</w:t>
      </w:r>
      <w:proofErr w:type="spellEnd"/>
      <w:r w:rsidR="00DC1130" w:rsidRPr="007722EF">
        <w:rPr>
          <w:rFonts w:ascii="Verdana" w:hAnsi="Verdana" w:cs="Arial"/>
          <w:sz w:val="22"/>
          <w:szCs w:val="22"/>
          <w:lang w:val="en-GB"/>
        </w:rPr>
        <w:t xml:space="preserve"> evidence rule.</w:t>
      </w:r>
    </w:p>
    <w:p w14:paraId="3381A4A2" w14:textId="0D6A117B" w:rsidR="00DC1130"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[3]</w:t>
      </w:r>
      <w:r w:rsidRPr="007722EF">
        <w:rPr>
          <w:rFonts w:ascii="Verdana" w:hAnsi="Verdana" w:cs="Arial"/>
          <w:color w:val="000000" w:themeColor="text1"/>
          <w:sz w:val="22"/>
          <w:szCs w:val="22"/>
          <w:lang w:val="en-GB"/>
        </w:rPr>
        <w:tab/>
      </w:r>
      <w:r w:rsidR="00F33A98" w:rsidRPr="007722EF">
        <w:rPr>
          <w:rFonts w:ascii="Verdana" w:hAnsi="Verdana" w:cs="Arial"/>
          <w:sz w:val="22"/>
          <w:szCs w:val="22"/>
          <w:lang w:val="en-GB"/>
        </w:rPr>
        <w:t>It is common cause between the parties that for purpose</w:t>
      </w:r>
      <w:r w:rsidR="006B0CC1" w:rsidRPr="007722EF">
        <w:rPr>
          <w:rFonts w:ascii="Verdana" w:hAnsi="Verdana" w:cs="Arial"/>
          <w:sz w:val="22"/>
          <w:szCs w:val="22"/>
          <w:lang w:val="en-GB"/>
        </w:rPr>
        <w:t>s</w:t>
      </w:r>
      <w:r w:rsidR="00F33A98" w:rsidRPr="007722EF">
        <w:rPr>
          <w:rFonts w:ascii="Verdana" w:hAnsi="Verdana" w:cs="Arial"/>
          <w:sz w:val="22"/>
          <w:szCs w:val="22"/>
          <w:lang w:val="en-GB"/>
        </w:rPr>
        <w:t xml:space="preserve"> of determining the exception, the </w:t>
      </w:r>
      <w:r w:rsidR="00FE7445" w:rsidRPr="007722EF">
        <w:rPr>
          <w:rFonts w:ascii="Verdana" w:hAnsi="Verdana" w:cs="Arial"/>
          <w:sz w:val="22"/>
          <w:szCs w:val="22"/>
          <w:lang w:val="en-GB"/>
        </w:rPr>
        <w:t xml:space="preserve">facts alleged in the particulars of claim, are deemed to be </w:t>
      </w:r>
      <w:r w:rsidR="006B0CC1" w:rsidRPr="007722EF">
        <w:rPr>
          <w:rFonts w:ascii="Verdana" w:hAnsi="Verdana" w:cs="Arial"/>
          <w:sz w:val="22"/>
          <w:szCs w:val="22"/>
          <w:lang w:val="en-GB"/>
        </w:rPr>
        <w:t>correct.</w:t>
      </w:r>
    </w:p>
    <w:p w14:paraId="35DEF845" w14:textId="6624B3E9" w:rsidR="00DC1130" w:rsidRPr="007722EF" w:rsidRDefault="009C6848" w:rsidP="00A30C01">
      <w:pPr>
        <w:pStyle w:val="Indent"/>
        <w:keepNext/>
        <w:numPr>
          <w:ilvl w:val="0"/>
          <w:numId w:val="0"/>
        </w:numPr>
        <w:spacing w:after="360" w:line="480" w:lineRule="auto"/>
        <w:rPr>
          <w:rFonts w:ascii="Verdana" w:hAnsi="Verdana"/>
          <w:b/>
          <w:bCs/>
          <w:sz w:val="22"/>
          <w:szCs w:val="22"/>
          <w:lang w:val="en-GB"/>
        </w:rPr>
      </w:pPr>
      <w:r w:rsidRPr="007722EF">
        <w:rPr>
          <w:rFonts w:ascii="Verdana" w:hAnsi="Verdana"/>
          <w:b/>
          <w:bCs/>
          <w:sz w:val="22"/>
          <w:szCs w:val="22"/>
          <w:lang w:val="en-GB"/>
        </w:rPr>
        <w:lastRenderedPageBreak/>
        <w:t xml:space="preserve">THE SALE OF BUSINESSES AGREEMENT </w:t>
      </w:r>
    </w:p>
    <w:p w14:paraId="29C886E7" w14:textId="2CF350A8" w:rsidR="002A3DF0"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[4]</w:t>
      </w:r>
      <w:r w:rsidRPr="007722EF">
        <w:rPr>
          <w:rFonts w:ascii="Verdana" w:hAnsi="Verdana" w:cs="Arial"/>
          <w:color w:val="000000" w:themeColor="text1"/>
          <w:sz w:val="22"/>
          <w:szCs w:val="22"/>
          <w:lang w:val="en-GB"/>
        </w:rPr>
        <w:tab/>
      </w:r>
      <w:r w:rsidR="002A3DF0" w:rsidRPr="007722EF">
        <w:rPr>
          <w:rFonts w:ascii="Verdana" w:hAnsi="Verdana" w:cs="Arial"/>
          <w:sz w:val="22"/>
          <w:szCs w:val="22"/>
          <w:lang w:val="en-GB"/>
        </w:rPr>
        <w:t>The</w:t>
      </w:r>
      <w:r w:rsidR="00C56C21" w:rsidRPr="007722EF">
        <w:rPr>
          <w:rFonts w:ascii="Verdana" w:hAnsi="Verdana" w:cs="Arial"/>
          <w:sz w:val="22"/>
          <w:szCs w:val="22"/>
          <w:lang w:val="en-GB"/>
        </w:rPr>
        <w:t xml:space="preserve"> parties concluded a</w:t>
      </w:r>
      <w:r w:rsidR="002A3DF0" w:rsidRPr="007722EF">
        <w:rPr>
          <w:rFonts w:ascii="Verdana" w:hAnsi="Verdana" w:cs="Arial"/>
          <w:sz w:val="22"/>
          <w:szCs w:val="22"/>
          <w:lang w:val="en-GB"/>
        </w:rPr>
        <w:t xml:space="preserve"> written sale of business</w:t>
      </w:r>
      <w:r w:rsidR="00C56C21" w:rsidRPr="007722EF">
        <w:rPr>
          <w:rFonts w:ascii="Verdana" w:hAnsi="Verdana" w:cs="Arial"/>
          <w:sz w:val="22"/>
          <w:szCs w:val="22"/>
          <w:lang w:val="en-GB"/>
        </w:rPr>
        <w:t>es</w:t>
      </w:r>
      <w:r w:rsidR="002A3DF0" w:rsidRPr="007722EF">
        <w:rPr>
          <w:rFonts w:ascii="Verdana" w:hAnsi="Verdana" w:cs="Arial"/>
          <w:sz w:val="22"/>
          <w:szCs w:val="22"/>
          <w:lang w:val="en-GB"/>
        </w:rPr>
        <w:t xml:space="preserve"> agreement</w:t>
      </w:r>
      <w:r w:rsidR="00176A42" w:rsidRPr="007722EF">
        <w:rPr>
          <w:rFonts w:ascii="Verdana" w:hAnsi="Verdana" w:cs="Arial"/>
          <w:sz w:val="22"/>
          <w:szCs w:val="22"/>
          <w:lang w:val="en-GB"/>
        </w:rPr>
        <w:t xml:space="preserve"> (</w:t>
      </w:r>
      <w:r w:rsidR="00176A42" w:rsidRPr="007722EF">
        <w:rPr>
          <w:rFonts w:ascii="Verdana" w:hAnsi="Verdana" w:cs="Arial"/>
          <w:i/>
          <w:iCs/>
          <w:sz w:val="22"/>
          <w:szCs w:val="22"/>
          <w:lang w:val="en-GB"/>
        </w:rPr>
        <w:t>“the agreement”</w:t>
      </w:r>
      <w:r w:rsidR="00176A42" w:rsidRPr="007722EF">
        <w:rPr>
          <w:rFonts w:ascii="Verdana" w:hAnsi="Verdana" w:cs="Arial"/>
          <w:sz w:val="22"/>
          <w:szCs w:val="22"/>
          <w:lang w:val="en-GB"/>
        </w:rPr>
        <w:t>)</w:t>
      </w:r>
      <w:r w:rsidR="002A3DF0" w:rsidRPr="007722EF">
        <w:rPr>
          <w:rFonts w:ascii="Verdana" w:hAnsi="Verdana" w:cs="Arial"/>
          <w:sz w:val="22"/>
          <w:szCs w:val="22"/>
          <w:lang w:val="en-GB"/>
        </w:rPr>
        <w:t xml:space="preserve"> on 29 August 2018. The agreement provides for the sale of the plaintiffs’ business</w:t>
      </w:r>
      <w:r w:rsidR="00176A42" w:rsidRPr="007722EF">
        <w:rPr>
          <w:rFonts w:ascii="Verdana" w:hAnsi="Verdana" w:cs="Arial"/>
          <w:sz w:val="22"/>
          <w:szCs w:val="22"/>
          <w:lang w:val="en-GB"/>
        </w:rPr>
        <w:t>es,</w:t>
      </w:r>
      <w:r w:rsidR="002A3DF0" w:rsidRPr="007722EF">
        <w:rPr>
          <w:rFonts w:ascii="Verdana" w:hAnsi="Verdana" w:cs="Arial"/>
          <w:sz w:val="22"/>
          <w:szCs w:val="22"/>
          <w:lang w:val="en-GB"/>
        </w:rPr>
        <w:t xml:space="preserve"> as defined in the agreement, to the defendant. </w:t>
      </w:r>
    </w:p>
    <w:p w14:paraId="2DA093C5" w14:textId="5BE2F58F" w:rsidR="002A3DF0"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[5]</w:t>
      </w:r>
      <w:r w:rsidRPr="007722EF">
        <w:rPr>
          <w:rFonts w:ascii="Verdana" w:hAnsi="Verdana" w:cs="Arial"/>
          <w:color w:val="000000" w:themeColor="text1"/>
          <w:sz w:val="22"/>
          <w:szCs w:val="22"/>
          <w:lang w:val="en-GB"/>
        </w:rPr>
        <w:tab/>
      </w:r>
      <w:r w:rsidR="002A3DF0" w:rsidRPr="007722EF">
        <w:rPr>
          <w:rFonts w:ascii="Verdana" w:hAnsi="Verdana" w:cs="Arial"/>
          <w:sz w:val="22"/>
          <w:szCs w:val="22"/>
          <w:lang w:val="en-GB"/>
        </w:rPr>
        <w:t>The terms of the agreement relevant for the determination of the exception, are the following: -</w:t>
      </w:r>
    </w:p>
    <w:p w14:paraId="525F121C" w14:textId="2B5876A9" w:rsidR="002A3DF0"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[a]</w:t>
      </w:r>
      <w:r w:rsidRPr="007722EF">
        <w:rPr>
          <w:rFonts w:ascii="Verdana" w:hAnsi="Verdana" w:cs="Arial"/>
          <w:sz w:val="22"/>
          <w:szCs w:val="22"/>
          <w:lang w:val="en-GB"/>
        </w:rPr>
        <w:tab/>
      </w:r>
      <w:r w:rsidR="002A3DF0" w:rsidRPr="007722EF">
        <w:rPr>
          <w:rFonts w:ascii="Verdana" w:hAnsi="Verdana" w:cs="Arial"/>
          <w:sz w:val="22"/>
          <w:szCs w:val="22"/>
          <w:lang w:val="en-GB"/>
        </w:rPr>
        <w:t>The aggregate purchase consideration payable</w:t>
      </w:r>
      <w:r w:rsidR="00954D57" w:rsidRPr="007722EF">
        <w:rPr>
          <w:rFonts w:ascii="Verdana" w:hAnsi="Verdana" w:cs="Arial"/>
          <w:sz w:val="22"/>
          <w:szCs w:val="22"/>
          <w:lang w:val="en-GB"/>
        </w:rPr>
        <w:t xml:space="preserve"> on the transfer date</w:t>
      </w:r>
      <w:r w:rsidR="002A3DF0" w:rsidRPr="007722EF">
        <w:rPr>
          <w:rFonts w:ascii="Verdana" w:hAnsi="Verdana" w:cs="Arial"/>
          <w:sz w:val="22"/>
          <w:szCs w:val="22"/>
          <w:lang w:val="en-GB"/>
        </w:rPr>
        <w:t xml:space="preserve"> by the defendant to the plaintiffs for the businesses, excluding the </w:t>
      </w:r>
      <w:proofErr w:type="spellStart"/>
      <w:r w:rsidR="002A3DF0" w:rsidRPr="007722EF">
        <w:rPr>
          <w:rFonts w:ascii="Verdana" w:hAnsi="Verdana" w:cs="Arial"/>
          <w:sz w:val="22"/>
          <w:szCs w:val="22"/>
          <w:lang w:val="en-GB"/>
        </w:rPr>
        <w:t>Manjoh</w:t>
      </w:r>
      <w:proofErr w:type="spellEnd"/>
      <w:r w:rsidR="002A3DF0" w:rsidRPr="007722EF">
        <w:rPr>
          <w:rFonts w:ascii="Verdana" w:hAnsi="Verdana" w:cs="Arial"/>
          <w:sz w:val="22"/>
          <w:szCs w:val="22"/>
          <w:lang w:val="en-GB"/>
        </w:rPr>
        <w:t xml:space="preserve"> Ranch’s </w:t>
      </w:r>
      <w:r w:rsidR="002A3DF0" w:rsidRPr="007722EF">
        <w:rPr>
          <w:rFonts w:ascii="Verdana" w:hAnsi="Verdana" w:cs="Arial"/>
          <w:i/>
          <w:iCs/>
          <w:sz w:val="22"/>
          <w:szCs w:val="22"/>
          <w:lang w:val="en-GB"/>
        </w:rPr>
        <w:t>other assets</w:t>
      </w:r>
      <w:r w:rsidR="002A3DF0" w:rsidRPr="007722EF">
        <w:rPr>
          <w:rFonts w:ascii="Verdana" w:hAnsi="Verdana" w:cs="Arial"/>
          <w:sz w:val="22"/>
          <w:szCs w:val="22"/>
          <w:lang w:val="en-GB"/>
        </w:rPr>
        <w:t xml:space="preserve"> and the M&amp;J Da Costa Brothers’ </w:t>
      </w:r>
      <w:r w:rsidR="002A3DF0" w:rsidRPr="007722EF">
        <w:rPr>
          <w:rFonts w:ascii="Verdana" w:hAnsi="Verdana" w:cs="Arial"/>
          <w:i/>
          <w:iCs/>
          <w:sz w:val="22"/>
          <w:szCs w:val="22"/>
          <w:lang w:val="en-GB"/>
        </w:rPr>
        <w:t>other assets</w:t>
      </w:r>
      <w:r w:rsidR="002A3DF0" w:rsidRPr="007722EF">
        <w:rPr>
          <w:rFonts w:ascii="Verdana" w:hAnsi="Verdana" w:cs="Arial"/>
          <w:sz w:val="22"/>
          <w:szCs w:val="22"/>
          <w:lang w:val="en-GB"/>
        </w:rPr>
        <w:t xml:space="preserve">, would be an amount of </w:t>
      </w:r>
      <w:r w:rsidR="00752D2A">
        <w:rPr>
          <w:rFonts w:ascii="Verdana" w:hAnsi="Verdana" w:cs="Arial"/>
          <w:sz w:val="22"/>
          <w:szCs w:val="22"/>
          <w:lang w:val="en-GB"/>
        </w:rPr>
        <w:t>[…]</w:t>
      </w:r>
      <w:r w:rsidR="002A3DF0" w:rsidRPr="007722EF">
        <w:rPr>
          <w:rFonts w:ascii="Verdana" w:hAnsi="Verdana" w:cs="Arial"/>
          <w:sz w:val="22"/>
          <w:szCs w:val="22"/>
          <w:lang w:val="en-GB"/>
        </w:rPr>
        <w:t xml:space="preserve"> </w:t>
      </w:r>
      <w:r w:rsidR="002A3DF0" w:rsidRPr="007722EF">
        <w:rPr>
          <w:rFonts w:ascii="Verdana" w:hAnsi="Verdana" w:cs="Arial"/>
          <w:i/>
          <w:iCs/>
          <w:sz w:val="22"/>
          <w:szCs w:val="22"/>
          <w:lang w:val="en-GB"/>
        </w:rPr>
        <w:t>(vide clause 7.1</w:t>
      </w:r>
      <w:proofErr w:type="gramStart"/>
      <w:r w:rsidR="002A3DF0" w:rsidRPr="007722EF">
        <w:rPr>
          <w:rFonts w:ascii="Verdana" w:hAnsi="Verdana" w:cs="Arial"/>
          <w:i/>
          <w:iCs/>
          <w:sz w:val="22"/>
          <w:szCs w:val="22"/>
          <w:lang w:val="en-GB"/>
        </w:rPr>
        <w:t>)</w:t>
      </w:r>
      <w:r w:rsidR="002A3DF0" w:rsidRPr="007722EF">
        <w:rPr>
          <w:rFonts w:ascii="Verdana" w:hAnsi="Verdana" w:cs="Arial"/>
          <w:sz w:val="22"/>
          <w:szCs w:val="22"/>
          <w:lang w:val="en-GB"/>
        </w:rPr>
        <w:t>;</w:t>
      </w:r>
      <w:proofErr w:type="gramEnd"/>
      <w:r w:rsidR="002A3DF0" w:rsidRPr="007722EF">
        <w:rPr>
          <w:rFonts w:ascii="Verdana" w:hAnsi="Verdana" w:cs="Arial"/>
          <w:sz w:val="22"/>
          <w:szCs w:val="22"/>
          <w:lang w:val="en-GB"/>
        </w:rPr>
        <w:t xml:space="preserve"> </w:t>
      </w:r>
    </w:p>
    <w:p w14:paraId="2A0F7679" w14:textId="15327ACD" w:rsidR="00954D57"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[b]</w:t>
      </w:r>
      <w:r w:rsidRPr="007722EF">
        <w:rPr>
          <w:rFonts w:ascii="Verdana" w:hAnsi="Verdana" w:cs="Arial"/>
          <w:sz w:val="22"/>
          <w:szCs w:val="22"/>
          <w:lang w:val="en-GB"/>
        </w:rPr>
        <w:tab/>
      </w:r>
      <w:r w:rsidR="00954D57" w:rsidRPr="007722EF">
        <w:rPr>
          <w:rFonts w:ascii="Verdana" w:hAnsi="Verdana" w:cs="Arial"/>
          <w:sz w:val="22"/>
          <w:szCs w:val="22"/>
          <w:lang w:val="en-GB"/>
        </w:rPr>
        <w:t xml:space="preserve">The </w:t>
      </w:r>
      <w:r w:rsidR="00954D57" w:rsidRPr="007722EF">
        <w:rPr>
          <w:rFonts w:ascii="Verdana" w:hAnsi="Verdana" w:cs="Arial"/>
          <w:i/>
          <w:iCs/>
          <w:sz w:val="22"/>
          <w:szCs w:val="22"/>
          <w:lang w:val="en-GB"/>
        </w:rPr>
        <w:t xml:space="preserve">effective date (also referred to as the transfer date) </w:t>
      </w:r>
      <w:r w:rsidR="00954D57" w:rsidRPr="007722EF">
        <w:rPr>
          <w:rFonts w:ascii="Verdana" w:hAnsi="Verdana" w:cs="Arial"/>
          <w:sz w:val="22"/>
          <w:szCs w:val="22"/>
          <w:lang w:val="en-GB"/>
        </w:rPr>
        <w:t xml:space="preserve">of the agreement would be the date of the simultaneous transfer of the properties into the name of the defendant after the fulfilment or waiver, as the case may be, of all the conditions </w:t>
      </w:r>
      <w:r w:rsidR="00954D57" w:rsidRPr="007722EF">
        <w:rPr>
          <w:rFonts w:ascii="Verdana" w:hAnsi="Verdana" w:cs="Arial"/>
          <w:i/>
          <w:iCs/>
          <w:sz w:val="22"/>
          <w:szCs w:val="22"/>
          <w:lang w:val="en-GB"/>
        </w:rPr>
        <w:t>(vide definition clause 2.2.15</w:t>
      </w:r>
      <w:proofErr w:type="gramStart"/>
      <w:r w:rsidR="00954D57" w:rsidRPr="007722EF">
        <w:rPr>
          <w:rFonts w:ascii="Verdana" w:hAnsi="Verdana" w:cs="Arial"/>
          <w:i/>
          <w:iCs/>
          <w:sz w:val="22"/>
          <w:szCs w:val="22"/>
          <w:lang w:val="en-GB"/>
        </w:rPr>
        <w:t>)</w:t>
      </w:r>
      <w:r w:rsidR="00954D57" w:rsidRPr="007722EF">
        <w:rPr>
          <w:rFonts w:ascii="Verdana" w:hAnsi="Verdana" w:cs="Arial"/>
          <w:sz w:val="22"/>
          <w:szCs w:val="22"/>
          <w:lang w:val="en-GB"/>
        </w:rPr>
        <w:t>;</w:t>
      </w:r>
      <w:proofErr w:type="gramEnd"/>
    </w:p>
    <w:p w14:paraId="7397FCB1" w14:textId="19A62051" w:rsidR="00792CE4"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[c]</w:t>
      </w:r>
      <w:r w:rsidRPr="007722EF">
        <w:rPr>
          <w:rFonts w:ascii="Verdana" w:hAnsi="Verdana" w:cs="Arial"/>
          <w:sz w:val="22"/>
          <w:szCs w:val="22"/>
          <w:lang w:val="en-GB"/>
        </w:rPr>
        <w:tab/>
      </w:r>
      <w:r w:rsidR="00792CE4" w:rsidRPr="007722EF">
        <w:rPr>
          <w:rFonts w:ascii="Verdana" w:hAnsi="Verdana" w:cs="Arial"/>
          <w:sz w:val="22"/>
          <w:szCs w:val="22"/>
          <w:lang w:val="en-GB"/>
        </w:rPr>
        <w:t>“</w:t>
      </w:r>
      <w:r w:rsidR="00BB05A0" w:rsidRPr="007722EF">
        <w:rPr>
          <w:rFonts w:ascii="Verdana" w:hAnsi="Verdana" w:cs="Arial"/>
          <w:i/>
          <w:iCs/>
          <w:sz w:val="22"/>
          <w:szCs w:val="22"/>
          <w:lang w:val="en-GB"/>
        </w:rPr>
        <w:t>Other assets”</w:t>
      </w:r>
      <w:r w:rsidR="00BB05A0" w:rsidRPr="007722EF">
        <w:rPr>
          <w:rFonts w:ascii="Verdana" w:hAnsi="Verdana" w:cs="Arial"/>
          <w:sz w:val="22"/>
          <w:szCs w:val="22"/>
          <w:lang w:val="en-GB"/>
        </w:rPr>
        <w:t xml:space="preserve"> </w:t>
      </w:r>
      <w:r w:rsidR="00F84A6F" w:rsidRPr="007722EF">
        <w:rPr>
          <w:rFonts w:ascii="Verdana" w:hAnsi="Verdana" w:cs="Arial"/>
          <w:sz w:val="22"/>
          <w:szCs w:val="22"/>
          <w:lang w:val="en-GB"/>
        </w:rPr>
        <w:t xml:space="preserve">of both the </w:t>
      </w:r>
      <w:proofErr w:type="spellStart"/>
      <w:r w:rsidR="00F84A6F" w:rsidRPr="007722EF">
        <w:rPr>
          <w:rFonts w:ascii="Verdana" w:hAnsi="Verdana" w:cs="Arial"/>
          <w:sz w:val="22"/>
          <w:szCs w:val="22"/>
          <w:lang w:val="en-GB"/>
        </w:rPr>
        <w:t>Manjoh</w:t>
      </w:r>
      <w:proofErr w:type="spellEnd"/>
      <w:r w:rsidR="00F84A6F" w:rsidRPr="007722EF">
        <w:rPr>
          <w:rFonts w:ascii="Verdana" w:hAnsi="Verdana" w:cs="Arial"/>
          <w:sz w:val="22"/>
          <w:szCs w:val="22"/>
          <w:lang w:val="en-GB"/>
        </w:rPr>
        <w:t xml:space="preserve"> and the M&amp;J Da Costa Brothers’ business</w:t>
      </w:r>
      <w:r w:rsidR="00EB7FC8" w:rsidRPr="007722EF">
        <w:rPr>
          <w:rFonts w:ascii="Verdana" w:hAnsi="Verdana" w:cs="Arial"/>
          <w:sz w:val="22"/>
          <w:szCs w:val="22"/>
          <w:lang w:val="en-GB"/>
        </w:rPr>
        <w:t>es</w:t>
      </w:r>
      <w:r w:rsidR="00F84A6F" w:rsidRPr="007722EF">
        <w:rPr>
          <w:rFonts w:ascii="Verdana" w:hAnsi="Verdana" w:cs="Arial"/>
          <w:sz w:val="22"/>
          <w:szCs w:val="22"/>
          <w:lang w:val="en-GB"/>
        </w:rPr>
        <w:t xml:space="preserve"> </w:t>
      </w:r>
      <w:r w:rsidR="00CA601F" w:rsidRPr="007722EF">
        <w:rPr>
          <w:rFonts w:ascii="Verdana" w:hAnsi="Verdana" w:cs="Arial"/>
          <w:sz w:val="22"/>
          <w:szCs w:val="22"/>
          <w:lang w:val="en-GB"/>
        </w:rPr>
        <w:t xml:space="preserve">are defined as </w:t>
      </w:r>
      <w:r w:rsidR="006D3232" w:rsidRPr="007722EF">
        <w:rPr>
          <w:rFonts w:ascii="Verdana" w:hAnsi="Verdana" w:cs="Arial"/>
          <w:sz w:val="22"/>
          <w:szCs w:val="22"/>
          <w:lang w:val="en-GB"/>
        </w:rPr>
        <w:t>the raw materials</w:t>
      </w:r>
      <w:r w:rsidR="00622349" w:rsidRPr="007722EF">
        <w:rPr>
          <w:rFonts w:ascii="Verdana" w:hAnsi="Verdana" w:cs="Arial"/>
          <w:sz w:val="22"/>
          <w:szCs w:val="22"/>
          <w:lang w:val="en-GB"/>
        </w:rPr>
        <w:t>, seeds, standing crops, fertilisers, pesticides (whether in storage or worked into the properties in the 2018 crop cycle)</w:t>
      </w:r>
      <w:r w:rsidR="008E5AF0" w:rsidRPr="007722EF">
        <w:rPr>
          <w:rFonts w:ascii="Verdana" w:hAnsi="Verdana" w:cs="Arial"/>
          <w:sz w:val="22"/>
          <w:szCs w:val="22"/>
          <w:lang w:val="en-GB"/>
        </w:rPr>
        <w:t xml:space="preserve">, packaging materials, feeds, fuel, </w:t>
      </w:r>
      <w:proofErr w:type="gramStart"/>
      <w:r w:rsidR="008E5AF0" w:rsidRPr="007722EF">
        <w:rPr>
          <w:rFonts w:ascii="Verdana" w:hAnsi="Verdana" w:cs="Arial"/>
          <w:sz w:val="22"/>
          <w:szCs w:val="22"/>
          <w:lang w:val="en-GB"/>
        </w:rPr>
        <w:t>silage</w:t>
      </w:r>
      <w:proofErr w:type="gramEnd"/>
      <w:r w:rsidR="008E5AF0" w:rsidRPr="007722EF">
        <w:rPr>
          <w:rFonts w:ascii="Verdana" w:hAnsi="Verdana" w:cs="Arial"/>
          <w:sz w:val="22"/>
          <w:szCs w:val="22"/>
          <w:lang w:val="en-GB"/>
        </w:rPr>
        <w:t xml:space="preserve"> and other finished goods</w:t>
      </w:r>
      <w:r w:rsidR="00DB5409" w:rsidRPr="007722EF">
        <w:rPr>
          <w:rFonts w:ascii="Verdana" w:hAnsi="Verdana" w:cs="Arial"/>
          <w:sz w:val="22"/>
          <w:szCs w:val="22"/>
          <w:lang w:val="en-GB"/>
        </w:rPr>
        <w:t xml:space="preserve"> on the properties as at the effective date and including all other assets</w:t>
      </w:r>
      <w:r w:rsidR="00DB5409" w:rsidRPr="007722EF">
        <w:rPr>
          <w:rStyle w:val="FootnoteReference"/>
          <w:rFonts w:ascii="Verdana" w:hAnsi="Verdana" w:cs="Arial"/>
          <w:sz w:val="22"/>
          <w:szCs w:val="22"/>
          <w:lang w:val="en-GB"/>
        </w:rPr>
        <w:footnoteReference w:id="1"/>
      </w:r>
      <w:r w:rsidR="00DB5409" w:rsidRPr="007722EF">
        <w:rPr>
          <w:rFonts w:ascii="Verdana" w:hAnsi="Verdana" w:cs="Arial"/>
          <w:sz w:val="22"/>
          <w:szCs w:val="22"/>
          <w:lang w:val="en-GB"/>
        </w:rPr>
        <w:t xml:space="preserve"> not otherwise included in the sale assets</w:t>
      </w:r>
      <w:r w:rsidR="00A30C01" w:rsidRPr="007722EF">
        <w:rPr>
          <w:rFonts w:ascii="Verdana" w:hAnsi="Verdana" w:cs="Arial"/>
          <w:sz w:val="22"/>
          <w:szCs w:val="22"/>
          <w:lang w:val="en-GB"/>
        </w:rPr>
        <w:t>;</w:t>
      </w:r>
    </w:p>
    <w:p w14:paraId="6FC5B5B1" w14:textId="43406D19" w:rsidR="002A3DF0"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lastRenderedPageBreak/>
        <w:t>[d]</w:t>
      </w:r>
      <w:r w:rsidRPr="007722EF">
        <w:rPr>
          <w:rFonts w:ascii="Verdana" w:hAnsi="Verdana" w:cs="Arial"/>
          <w:sz w:val="22"/>
          <w:szCs w:val="22"/>
          <w:lang w:val="en-GB"/>
        </w:rPr>
        <w:tab/>
      </w:r>
      <w:r w:rsidR="002A3DF0" w:rsidRPr="007722EF">
        <w:rPr>
          <w:rFonts w:ascii="Verdana" w:hAnsi="Verdana" w:cs="Arial"/>
          <w:sz w:val="22"/>
          <w:szCs w:val="22"/>
          <w:lang w:val="en-GB"/>
        </w:rPr>
        <w:t xml:space="preserve">The purchase price payable for the </w:t>
      </w:r>
      <w:proofErr w:type="spellStart"/>
      <w:r w:rsidR="002A3DF0" w:rsidRPr="007722EF">
        <w:rPr>
          <w:rFonts w:ascii="Verdana" w:hAnsi="Verdana" w:cs="Arial"/>
          <w:sz w:val="22"/>
          <w:szCs w:val="22"/>
          <w:lang w:val="en-GB"/>
        </w:rPr>
        <w:t>Manjoh</w:t>
      </w:r>
      <w:proofErr w:type="spellEnd"/>
      <w:r w:rsidR="002A3DF0" w:rsidRPr="007722EF">
        <w:rPr>
          <w:rFonts w:ascii="Verdana" w:hAnsi="Verdana" w:cs="Arial"/>
          <w:sz w:val="22"/>
          <w:szCs w:val="22"/>
          <w:lang w:val="en-GB"/>
        </w:rPr>
        <w:t xml:space="preserve"> Ranch’s other assets and the M&amp;J Da Costa Brothers’ other assets would be an amount equal to the aggregate of the costs reflected on annexure “W” </w:t>
      </w:r>
      <w:r w:rsidR="002A3DF0" w:rsidRPr="007722EF">
        <w:rPr>
          <w:rFonts w:ascii="Verdana" w:hAnsi="Verdana" w:cs="Arial"/>
          <w:i/>
          <w:iCs/>
          <w:sz w:val="22"/>
          <w:szCs w:val="22"/>
          <w:lang w:val="en-GB"/>
        </w:rPr>
        <w:t>and where the cost of any item specified on annexure “W” was not reflected</w:t>
      </w:r>
      <w:r w:rsidR="002A3DF0" w:rsidRPr="007722EF">
        <w:rPr>
          <w:rFonts w:ascii="Verdana" w:hAnsi="Verdana" w:cs="Arial"/>
          <w:sz w:val="22"/>
          <w:szCs w:val="22"/>
          <w:lang w:val="en-GB"/>
        </w:rPr>
        <w:t xml:space="preserve">, or was still to be calculated or finalised as indicated in the aforesaid annexure, the aggregate of such costs calculated in accordance with the principles set out in annexure “W” and where applicable as read with the relevant line item/s on pages 84, 96 and 172 of the mechanisation guide </w:t>
      </w:r>
      <w:r w:rsidR="002A3DF0" w:rsidRPr="007722EF">
        <w:rPr>
          <w:rFonts w:ascii="Verdana" w:hAnsi="Verdana" w:cs="Arial"/>
          <w:i/>
          <w:iCs/>
          <w:sz w:val="22"/>
          <w:szCs w:val="22"/>
          <w:lang w:val="en-GB"/>
        </w:rPr>
        <w:t>(vide clauses 7.3.1 and 7.3.2)</w:t>
      </w:r>
      <w:r w:rsidR="002A3DF0" w:rsidRPr="007722EF">
        <w:rPr>
          <w:rFonts w:ascii="Verdana" w:hAnsi="Verdana" w:cs="Arial"/>
          <w:sz w:val="22"/>
          <w:szCs w:val="22"/>
          <w:lang w:val="en-GB"/>
        </w:rPr>
        <w:t xml:space="preserve">; </w:t>
      </w:r>
    </w:p>
    <w:p w14:paraId="7D854B58" w14:textId="03D9528C" w:rsidR="002A3DF0"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[e]</w:t>
      </w:r>
      <w:r w:rsidRPr="007722EF">
        <w:rPr>
          <w:rFonts w:ascii="Verdana" w:hAnsi="Verdana" w:cs="Arial"/>
          <w:sz w:val="22"/>
          <w:szCs w:val="22"/>
          <w:lang w:val="en-GB"/>
        </w:rPr>
        <w:tab/>
      </w:r>
      <w:r w:rsidR="002A3DF0" w:rsidRPr="007722EF">
        <w:rPr>
          <w:rFonts w:ascii="Verdana" w:hAnsi="Verdana" w:cs="Arial"/>
          <w:sz w:val="22"/>
          <w:szCs w:val="22"/>
          <w:lang w:val="en-GB"/>
        </w:rPr>
        <w:t>If no item of cost was specified on annexure “W”, then no amount would be payable by the defendant in respect thereof, such as depreciation and/or salaries and wages</w:t>
      </w:r>
      <w:r w:rsidR="00A202F9" w:rsidRPr="007722EF">
        <w:rPr>
          <w:rFonts w:ascii="Verdana" w:hAnsi="Verdana" w:cs="Arial"/>
          <w:sz w:val="22"/>
          <w:szCs w:val="22"/>
          <w:lang w:val="en-GB"/>
        </w:rPr>
        <w:t xml:space="preserve"> </w:t>
      </w:r>
      <w:r w:rsidR="00A202F9" w:rsidRPr="007722EF">
        <w:rPr>
          <w:rFonts w:ascii="Verdana" w:hAnsi="Verdana" w:cs="Arial"/>
          <w:i/>
          <w:iCs/>
          <w:sz w:val="22"/>
          <w:szCs w:val="22"/>
          <w:lang w:val="en-GB"/>
        </w:rPr>
        <w:t>(unnumbered clause following clause</w:t>
      </w:r>
      <w:r w:rsidR="00187A31" w:rsidRPr="007722EF">
        <w:rPr>
          <w:rFonts w:ascii="Verdana" w:hAnsi="Verdana" w:cs="Arial"/>
          <w:i/>
          <w:iCs/>
          <w:sz w:val="22"/>
          <w:szCs w:val="22"/>
          <w:lang w:val="en-GB"/>
        </w:rPr>
        <w:t xml:space="preserve"> 7.3 and the sub-clauses thereto)</w:t>
      </w:r>
      <w:r w:rsidR="00954770" w:rsidRPr="007722EF">
        <w:rPr>
          <w:rFonts w:ascii="Verdana" w:hAnsi="Verdana" w:cs="Arial"/>
          <w:i/>
          <w:iCs/>
          <w:sz w:val="22"/>
          <w:szCs w:val="22"/>
          <w:lang w:val="en-GB"/>
        </w:rPr>
        <w:t xml:space="preserve"> (“the rider”</w:t>
      </w:r>
      <w:proofErr w:type="gramStart"/>
      <w:r w:rsidR="00954770" w:rsidRPr="007722EF">
        <w:rPr>
          <w:rFonts w:ascii="Verdana" w:hAnsi="Verdana" w:cs="Arial"/>
          <w:sz w:val="22"/>
          <w:szCs w:val="22"/>
          <w:lang w:val="en-GB"/>
        </w:rPr>
        <w:t>)</w:t>
      </w:r>
      <w:r w:rsidR="002A3DF0" w:rsidRPr="007722EF">
        <w:rPr>
          <w:rFonts w:ascii="Verdana" w:hAnsi="Verdana" w:cs="Arial"/>
          <w:sz w:val="22"/>
          <w:szCs w:val="22"/>
          <w:lang w:val="en-GB"/>
        </w:rPr>
        <w:t>;</w:t>
      </w:r>
      <w:proofErr w:type="gramEnd"/>
      <w:r w:rsidR="002A3DF0" w:rsidRPr="007722EF">
        <w:rPr>
          <w:rFonts w:ascii="Verdana" w:hAnsi="Verdana" w:cs="Arial"/>
          <w:sz w:val="22"/>
          <w:szCs w:val="22"/>
          <w:lang w:val="en-GB"/>
        </w:rPr>
        <w:t xml:space="preserve"> </w:t>
      </w:r>
    </w:p>
    <w:p w14:paraId="2389A04F" w14:textId="205F51FE" w:rsidR="002A3DF0"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[f]</w:t>
      </w:r>
      <w:r w:rsidRPr="007722EF">
        <w:rPr>
          <w:rFonts w:ascii="Verdana" w:hAnsi="Verdana" w:cs="Arial"/>
          <w:sz w:val="22"/>
          <w:szCs w:val="22"/>
          <w:lang w:val="en-GB"/>
        </w:rPr>
        <w:tab/>
      </w:r>
      <w:r w:rsidR="002A3DF0" w:rsidRPr="007722EF">
        <w:rPr>
          <w:rFonts w:ascii="Verdana" w:hAnsi="Verdana" w:cs="Arial"/>
          <w:sz w:val="22"/>
          <w:szCs w:val="22"/>
          <w:lang w:val="en-GB"/>
        </w:rPr>
        <w:t xml:space="preserve">During the </w:t>
      </w:r>
      <w:r w:rsidR="002A3DF0" w:rsidRPr="007722EF">
        <w:rPr>
          <w:rFonts w:ascii="Verdana" w:hAnsi="Verdana" w:cs="Arial"/>
          <w:i/>
          <w:iCs/>
          <w:sz w:val="22"/>
          <w:szCs w:val="22"/>
          <w:lang w:val="en-GB"/>
        </w:rPr>
        <w:t>interim period</w:t>
      </w:r>
      <w:r w:rsidR="00F87402" w:rsidRPr="007722EF">
        <w:rPr>
          <w:rFonts w:ascii="Verdana" w:hAnsi="Verdana" w:cs="Arial"/>
          <w:sz w:val="22"/>
          <w:szCs w:val="22"/>
          <w:lang w:val="en-GB"/>
        </w:rPr>
        <w:t>, which is to be regarded as the period</w:t>
      </w:r>
      <w:r w:rsidR="00A15EC6" w:rsidRPr="007722EF">
        <w:rPr>
          <w:rFonts w:ascii="Verdana" w:hAnsi="Verdana" w:cs="Arial"/>
          <w:sz w:val="22"/>
          <w:szCs w:val="22"/>
          <w:lang w:val="en-GB"/>
        </w:rPr>
        <w:t xml:space="preserve"> from the signature date to the transfer date</w:t>
      </w:r>
      <w:r w:rsidR="00A30C01" w:rsidRPr="007722EF">
        <w:rPr>
          <w:rFonts w:ascii="Verdana" w:hAnsi="Verdana" w:cs="Arial"/>
          <w:sz w:val="22"/>
          <w:szCs w:val="22"/>
          <w:lang w:val="en-GB"/>
        </w:rPr>
        <w:t>,</w:t>
      </w:r>
      <w:r w:rsidR="00A15EC6" w:rsidRPr="007722EF">
        <w:rPr>
          <w:rStyle w:val="FootnoteReference"/>
          <w:rFonts w:ascii="Verdana" w:hAnsi="Verdana" w:cs="Arial"/>
          <w:sz w:val="22"/>
          <w:szCs w:val="22"/>
          <w:lang w:val="en-GB"/>
        </w:rPr>
        <w:footnoteReference w:id="2"/>
      </w:r>
      <w:r w:rsidR="002A3DF0" w:rsidRPr="007722EF">
        <w:rPr>
          <w:rFonts w:ascii="Verdana" w:hAnsi="Verdana" w:cs="Arial"/>
          <w:sz w:val="22"/>
          <w:szCs w:val="22"/>
          <w:lang w:val="en-GB"/>
        </w:rPr>
        <w:t xml:space="preserve"> the plaintiffs would in all respects carry on the businesses in the ordinary course, subject to the provisions of clause 12 </w:t>
      </w:r>
      <w:r w:rsidR="002A3DF0" w:rsidRPr="007722EF">
        <w:rPr>
          <w:rFonts w:ascii="Verdana" w:hAnsi="Verdana" w:cs="Arial"/>
          <w:i/>
          <w:iCs/>
          <w:sz w:val="22"/>
          <w:szCs w:val="22"/>
          <w:lang w:val="en-GB"/>
        </w:rPr>
        <w:t>(vide clause 12.1</w:t>
      </w:r>
      <w:proofErr w:type="gramStart"/>
      <w:r w:rsidR="002A3DF0" w:rsidRPr="007722EF">
        <w:rPr>
          <w:rFonts w:ascii="Verdana" w:hAnsi="Verdana" w:cs="Arial"/>
          <w:i/>
          <w:iCs/>
          <w:sz w:val="22"/>
          <w:szCs w:val="22"/>
          <w:lang w:val="en-GB"/>
        </w:rPr>
        <w:t>)</w:t>
      </w:r>
      <w:r w:rsidR="002A3DF0" w:rsidRPr="007722EF">
        <w:rPr>
          <w:rFonts w:ascii="Verdana" w:hAnsi="Verdana" w:cs="Arial"/>
          <w:sz w:val="22"/>
          <w:szCs w:val="22"/>
          <w:lang w:val="en-GB"/>
        </w:rPr>
        <w:t>;</w:t>
      </w:r>
      <w:proofErr w:type="gramEnd"/>
      <w:r w:rsidR="002A3DF0" w:rsidRPr="007722EF">
        <w:rPr>
          <w:rFonts w:ascii="Verdana" w:hAnsi="Verdana" w:cs="Arial"/>
          <w:sz w:val="22"/>
          <w:szCs w:val="22"/>
          <w:lang w:val="en-GB"/>
        </w:rPr>
        <w:t xml:space="preserve"> </w:t>
      </w:r>
    </w:p>
    <w:p w14:paraId="67A7763E" w14:textId="20CAD523" w:rsidR="005D0317"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[g]</w:t>
      </w:r>
      <w:r w:rsidRPr="007722EF">
        <w:rPr>
          <w:rFonts w:ascii="Verdana" w:hAnsi="Verdana" w:cs="Arial"/>
          <w:sz w:val="22"/>
          <w:szCs w:val="22"/>
          <w:lang w:val="en-GB"/>
        </w:rPr>
        <w:tab/>
      </w:r>
      <w:r w:rsidR="005D0317" w:rsidRPr="007722EF">
        <w:rPr>
          <w:rFonts w:ascii="Verdana" w:hAnsi="Verdana" w:cs="Arial"/>
          <w:sz w:val="22"/>
          <w:szCs w:val="22"/>
          <w:lang w:val="en-GB"/>
        </w:rPr>
        <w:t>Physical delivery of the businesses</w:t>
      </w:r>
      <w:r w:rsidR="008C13AF" w:rsidRPr="007722EF">
        <w:rPr>
          <w:rFonts w:ascii="Verdana" w:hAnsi="Verdana" w:cs="Arial"/>
          <w:sz w:val="22"/>
          <w:szCs w:val="22"/>
          <w:lang w:val="en-GB"/>
        </w:rPr>
        <w:t xml:space="preserve"> and the respective sale assets will be given to and taken by the purchaser on the transfer date</w:t>
      </w:r>
      <w:r w:rsidR="009A6BB7" w:rsidRPr="007722EF">
        <w:rPr>
          <w:rFonts w:ascii="Verdana" w:hAnsi="Verdana" w:cs="Arial"/>
          <w:sz w:val="22"/>
          <w:szCs w:val="22"/>
          <w:lang w:val="en-GB"/>
        </w:rPr>
        <w:t xml:space="preserve">, against payment of the portion of that purchase consideration referred to in clause 8.1 </w:t>
      </w:r>
      <w:r w:rsidR="00DC3C42" w:rsidRPr="007722EF">
        <w:rPr>
          <w:rFonts w:ascii="Verdana" w:hAnsi="Verdana" w:cs="Arial"/>
          <w:sz w:val="22"/>
          <w:szCs w:val="22"/>
          <w:lang w:val="en-GB"/>
        </w:rPr>
        <w:t xml:space="preserve">as a result whereof the defendant shall become the owner of the businesses and the sale asset relating thereto </w:t>
      </w:r>
      <w:r w:rsidR="00DC3C42" w:rsidRPr="007722EF">
        <w:rPr>
          <w:rFonts w:ascii="Verdana" w:hAnsi="Verdana" w:cs="Arial"/>
          <w:i/>
          <w:iCs/>
          <w:sz w:val="22"/>
          <w:szCs w:val="22"/>
          <w:lang w:val="en-GB"/>
        </w:rPr>
        <w:t>(vide clause</w:t>
      </w:r>
      <w:r w:rsidR="00A30C01" w:rsidRPr="007722EF">
        <w:rPr>
          <w:rFonts w:ascii="Verdana" w:hAnsi="Verdana" w:cs="Arial"/>
          <w:i/>
          <w:iCs/>
          <w:sz w:val="22"/>
          <w:szCs w:val="22"/>
          <w:lang w:val="en-GB"/>
        </w:rPr>
        <w:t> </w:t>
      </w:r>
      <w:r w:rsidR="002C7988" w:rsidRPr="007722EF">
        <w:rPr>
          <w:rFonts w:ascii="Verdana" w:hAnsi="Verdana" w:cs="Arial"/>
          <w:i/>
          <w:iCs/>
          <w:sz w:val="22"/>
          <w:szCs w:val="22"/>
          <w:lang w:val="en-GB"/>
        </w:rPr>
        <w:t>9.1</w:t>
      </w:r>
      <w:proofErr w:type="gramStart"/>
      <w:r w:rsidR="002C7988" w:rsidRPr="007722EF">
        <w:rPr>
          <w:rFonts w:ascii="Verdana" w:hAnsi="Verdana" w:cs="Arial"/>
          <w:i/>
          <w:iCs/>
          <w:sz w:val="22"/>
          <w:szCs w:val="22"/>
          <w:lang w:val="en-GB"/>
        </w:rPr>
        <w:t>)</w:t>
      </w:r>
      <w:r w:rsidR="002C7988" w:rsidRPr="007722EF">
        <w:rPr>
          <w:rFonts w:ascii="Verdana" w:hAnsi="Verdana" w:cs="Arial"/>
          <w:sz w:val="22"/>
          <w:szCs w:val="22"/>
          <w:lang w:val="en-GB"/>
        </w:rPr>
        <w:t>;</w:t>
      </w:r>
      <w:proofErr w:type="gramEnd"/>
    </w:p>
    <w:p w14:paraId="62C9EED6" w14:textId="74E8C497" w:rsidR="002A3DF0"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lastRenderedPageBreak/>
        <w:t>[h]</w:t>
      </w:r>
      <w:r w:rsidRPr="007722EF">
        <w:rPr>
          <w:rFonts w:ascii="Verdana" w:hAnsi="Verdana" w:cs="Arial"/>
          <w:sz w:val="22"/>
          <w:szCs w:val="22"/>
          <w:lang w:val="en-GB"/>
        </w:rPr>
        <w:tab/>
      </w:r>
      <w:r w:rsidR="002A3DF0" w:rsidRPr="007722EF">
        <w:rPr>
          <w:rFonts w:ascii="Verdana" w:hAnsi="Verdana" w:cs="Arial"/>
          <w:sz w:val="22"/>
          <w:szCs w:val="22"/>
          <w:lang w:val="en-GB"/>
        </w:rPr>
        <w:t xml:space="preserve">During the </w:t>
      </w:r>
      <w:r w:rsidR="002A3DF0" w:rsidRPr="007722EF">
        <w:rPr>
          <w:rFonts w:ascii="Verdana" w:hAnsi="Verdana" w:cs="Arial"/>
          <w:i/>
          <w:iCs/>
          <w:sz w:val="22"/>
          <w:szCs w:val="22"/>
          <w:lang w:val="en-GB"/>
        </w:rPr>
        <w:t>interim period</w:t>
      </w:r>
      <w:r w:rsidR="002A3DF0" w:rsidRPr="007722EF">
        <w:rPr>
          <w:rFonts w:ascii="Verdana" w:hAnsi="Verdana" w:cs="Arial"/>
          <w:sz w:val="22"/>
          <w:szCs w:val="22"/>
          <w:lang w:val="en-GB"/>
        </w:rPr>
        <w:t xml:space="preserve"> the plaintiffs would: -</w:t>
      </w:r>
    </w:p>
    <w:p w14:paraId="358753EB" w14:textId="2D8D0B9C" w:rsidR="002A3DF0" w:rsidRPr="007722EF" w:rsidRDefault="002A3DF0" w:rsidP="002A3DF0">
      <w:pPr>
        <w:pStyle w:val="Indent"/>
        <w:widowControl w:val="0"/>
        <w:numPr>
          <w:ilvl w:val="0"/>
          <w:numId w:val="0"/>
        </w:numPr>
        <w:spacing w:after="360" w:line="480" w:lineRule="auto"/>
        <w:ind w:left="2160" w:hanging="742"/>
        <w:jc w:val="both"/>
        <w:rPr>
          <w:rFonts w:ascii="Verdana" w:hAnsi="Verdana" w:cs="Arial"/>
          <w:sz w:val="22"/>
          <w:szCs w:val="22"/>
          <w:lang w:val="en-GB"/>
        </w:rPr>
      </w:pPr>
      <w:r w:rsidRPr="007722EF">
        <w:rPr>
          <w:rFonts w:ascii="Verdana" w:hAnsi="Verdana" w:cs="Arial"/>
          <w:sz w:val="22"/>
          <w:szCs w:val="22"/>
          <w:lang w:val="en-GB"/>
        </w:rPr>
        <w:t>[</w:t>
      </w:r>
      <w:proofErr w:type="spellStart"/>
      <w:r w:rsidRPr="007722EF">
        <w:rPr>
          <w:rFonts w:ascii="Verdana" w:hAnsi="Verdana" w:cs="Arial"/>
          <w:sz w:val="22"/>
          <w:szCs w:val="22"/>
          <w:lang w:val="en-GB"/>
        </w:rPr>
        <w:t>i</w:t>
      </w:r>
      <w:proofErr w:type="spellEnd"/>
      <w:r w:rsidRPr="007722EF">
        <w:rPr>
          <w:rFonts w:ascii="Verdana" w:hAnsi="Verdana" w:cs="Arial"/>
          <w:sz w:val="22"/>
          <w:szCs w:val="22"/>
          <w:lang w:val="en-GB"/>
        </w:rPr>
        <w:t xml:space="preserve">] </w:t>
      </w:r>
      <w:r w:rsidRPr="007722EF">
        <w:rPr>
          <w:rFonts w:ascii="Verdana" w:hAnsi="Verdana" w:cs="Arial"/>
          <w:sz w:val="22"/>
          <w:szCs w:val="22"/>
          <w:lang w:val="en-GB"/>
        </w:rPr>
        <w:tab/>
        <w:t xml:space="preserve">conduct and carry on their businesses in a normal and efficient manner </w:t>
      </w:r>
      <w:r w:rsidRPr="007722EF">
        <w:rPr>
          <w:rFonts w:ascii="Verdana" w:hAnsi="Verdana" w:cs="Arial"/>
          <w:i/>
          <w:iCs/>
          <w:sz w:val="22"/>
          <w:szCs w:val="22"/>
          <w:lang w:val="en-GB"/>
        </w:rPr>
        <w:t>(vide clause 12.2.1</w:t>
      </w:r>
      <w:proofErr w:type="gramStart"/>
      <w:r w:rsidRPr="007722EF">
        <w:rPr>
          <w:rFonts w:ascii="Verdana" w:hAnsi="Verdana" w:cs="Arial"/>
          <w:i/>
          <w:iCs/>
          <w:sz w:val="22"/>
          <w:szCs w:val="22"/>
          <w:lang w:val="en-GB"/>
        </w:rPr>
        <w:t>)</w:t>
      </w:r>
      <w:r w:rsidRPr="007722EF">
        <w:rPr>
          <w:rFonts w:ascii="Verdana" w:hAnsi="Verdana" w:cs="Arial"/>
          <w:sz w:val="22"/>
          <w:szCs w:val="22"/>
          <w:lang w:val="en-GB"/>
        </w:rPr>
        <w:t>;</w:t>
      </w:r>
      <w:proofErr w:type="gramEnd"/>
      <w:r w:rsidRPr="007722EF">
        <w:rPr>
          <w:rFonts w:ascii="Verdana" w:hAnsi="Verdana" w:cs="Arial"/>
          <w:sz w:val="22"/>
          <w:szCs w:val="22"/>
          <w:lang w:val="en-GB"/>
        </w:rPr>
        <w:t xml:space="preserve"> </w:t>
      </w:r>
    </w:p>
    <w:p w14:paraId="170336BE" w14:textId="1AF48920" w:rsidR="002A3DF0" w:rsidRPr="007722EF" w:rsidRDefault="002A3DF0" w:rsidP="002A3DF0">
      <w:pPr>
        <w:pStyle w:val="Indent"/>
        <w:widowControl w:val="0"/>
        <w:numPr>
          <w:ilvl w:val="0"/>
          <w:numId w:val="0"/>
        </w:numPr>
        <w:spacing w:after="360" w:line="480" w:lineRule="auto"/>
        <w:ind w:left="2160" w:hanging="742"/>
        <w:jc w:val="both"/>
        <w:rPr>
          <w:rFonts w:ascii="Verdana" w:hAnsi="Verdana" w:cs="Arial"/>
          <w:sz w:val="22"/>
          <w:szCs w:val="22"/>
          <w:lang w:val="en-GB"/>
        </w:rPr>
      </w:pPr>
      <w:r w:rsidRPr="007722EF">
        <w:rPr>
          <w:rFonts w:ascii="Verdana" w:hAnsi="Verdana" w:cs="Arial"/>
          <w:sz w:val="22"/>
          <w:szCs w:val="22"/>
          <w:lang w:val="en-GB"/>
        </w:rPr>
        <w:t xml:space="preserve">[ii] </w:t>
      </w:r>
      <w:r w:rsidRPr="007722EF">
        <w:rPr>
          <w:rFonts w:ascii="Verdana" w:hAnsi="Verdana" w:cs="Arial"/>
          <w:sz w:val="22"/>
          <w:szCs w:val="22"/>
          <w:lang w:val="en-GB"/>
        </w:rPr>
        <w:tab/>
        <w:t xml:space="preserve">continue best farming practice, including fertilising, spraying, planting, cultivating and harvesting and whatever else may be necessary to ensure the best crop possible </w:t>
      </w:r>
      <w:r w:rsidRPr="007722EF">
        <w:rPr>
          <w:rFonts w:ascii="Verdana" w:hAnsi="Verdana" w:cs="Arial"/>
          <w:i/>
          <w:iCs/>
          <w:sz w:val="22"/>
          <w:szCs w:val="22"/>
          <w:lang w:val="en-GB"/>
        </w:rPr>
        <w:t>(vide clause 12.2.5)</w:t>
      </w:r>
      <w:r w:rsidRPr="007722EF">
        <w:rPr>
          <w:rFonts w:ascii="Verdana" w:hAnsi="Verdana" w:cs="Arial"/>
          <w:sz w:val="22"/>
          <w:szCs w:val="22"/>
          <w:lang w:val="en-GB"/>
        </w:rPr>
        <w:t xml:space="preserve">; </w:t>
      </w:r>
    </w:p>
    <w:p w14:paraId="0C2A6735" w14:textId="5BC6CE64" w:rsidR="002A3DF0"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w:t>
      </w:r>
      <w:proofErr w:type="spellStart"/>
      <w:r w:rsidRPr="007722EF">
        <w:rPr>
          <w:rFonts w:ascii="Verdana" w:hAnsi="Verdana" w:cs="Arial"/>
          <w:sz w:val="22"/>
          <w:szCs w:val="22"/>
          <w:lang w:val="en-GB"/>
        </w:rPr>
        <w:t>i</w:t>
      </w:r>
      <w:proofErr w:type="spellEnd"/>
      <w:r w:rsidRPr="007722EF">
        <w:rPr>
          <w:rFonts w:ascii="Verdana" w:hAnsi="Verdana" w:cs="Arial"/>
          <w:sz w:val="22"/>
          <w:szCs w:val="22"/>
          <w:lang w:val="en-GB"/>
        </w:rPr>
        <w:t>]</w:t>
      </w:r>
      <w:r w:rsidRPr="007722EF">
        <w:rPr>
          <w:rFonts w:ascii="Verdana" w:hAnsi="Verdana" w:cs="Arial"/>
          <w:sz w:val="22"/>
          <w:szCs w:val="22"/>
          <w:lang w:val="en-GB"/>
        </w:rPr>
        <w:tab/>
      </w:r>
      <w:r w:rsidR="002A3DF0" w:rsidRPr="007722EF">
        <w:rPr>
          <w:rFonts w:ascii="Verdana" w:hAnsi="Verdana" w:cs="Arial"/>
          <w:sz w:val="22"/>
          <w:szCs w:val="22"/>
          <w:lang w:val="en-GB"/>
        </w:rPr>
        <w:t xml:space="preserve">Within 30 days from the effective date or such extended date as </w:t>
      </w:r>
      <w:r w:rsidR="0027464E" w:rsidRPr="007722EF">
        <w:rPr>
          <w:rFonts w:ascii="Verdana" w:hAnsi="Verdana" w:cs="Arial"/>
          <w:sz w:val="22"/>
          <w:szCs w:val="22"/>
          <w:lang w:val="en-GB"/>
        </w:rPr>
        <w:t xml:space="preserve">the defendant may require, the defendant </w:t>
      </w:r>
      <w:r w:rsidR="00774FFC" w:rsidRPr="007722EF">
        <w:rPr>
          <w:rFonts w:ascii="Verdana" w:hAnsi="Verdana" w:cs="Arial"/>
          <w:sz w:val="22"/>
          <w:szCs w:val="22"/>
          <w:lang w:val="en-GB"/>
        </w:rPr>
        <w:t>would</w:t>
      </w:r>
      <w:r w:rsidR="0027464E" w:rsidRPr="007722EF">
        <w:rPr>
          <w:rFonts w:ascii="Verdana" w:hAnsi="Verdana" w:cs="Arial"/>
          <w:sz w:val="22"/>
          <w:szCs w:val="22"/>
          <w:lang w:val="en-GB"/>
        </w:rPr>
        <w:t xml:space="preserve"> prepare an adjustment account as at the effective date as a credit to the plaintiffs and a debit to the defendant, all expenses which may have been or which may be prepaid by the plaintiffs in respect of the businesses for any period </w:t>
      </w:r>
      <w:r w:rsidR="0027464E" w:rsidRPr="007722EF">
        <w:rPr>
          <w:rFonts w:ascii="Verdana" w:hAnsi="Verdana" w:cs="Arial"/>
          <w:i/>
          <w:iCs/>
          <w:sz w:val="22"/>
          <w:szCs w:val="22"/>
          <w:lang w:val="en-GB"/>
        </w:rPr>
        <w:t>subsequent to the effective date</w:t>
      </w:r>
      <w:r w:rsidR="0027464E" w:rsidRPr="007722EF">
        <w:rPr>
          <w:rFonts w:ascii="Verdana" w:hAnsi="Verdana" w:cs="Arial"/>
          <w:sz w:val="22"/>
          <w:szCs w:val="22"/>
          <w:lang w:val="en-GB"/>
        </w:rPr>
        <w:t xml:space="preserve">, provided that only items in respect of which the defendant enjoys the benefits </w:t>
      </w:r>
      <w:r w:rsidR="00774FFC" w:rsidRPr="007722EF">
        <w:rPr>
          <w:rFonts w:ascii="Verdana" w:hAnsi="Verdana" w:cs="Arial"/>
          <w:sz w:val="22"/>
          <w:szCs w:val="22"/>
          <w:lang w:val="en-GB"/>
        </w:rPr>
        <w:t>would</w:t>
      </w:r>
      <w:r w:rsidR="0027464E" w:rsidRPr="007722EF">
        <w:rPr>
          <w:rFonts w:ascii="Verdana" w:hAnsi="Verdana" w:cs="Arial"/>
          <w:sz w:val="22"/>
          <w:szCs w:val="22"/>
          <w:lang w:val="en-GB"/>
        </w:rPr>
        <w:t xml:space="preserve"> be included in the adjustment account and as a credit to the defendant and a debit to the plaintiffs, </w:t>
      </w:r>
      <w:r w:rsidR="0027464E" w:rsidRPr="007722EF">
        <w:rPr>
          <w:rFonts w:ascii="Verdana" w:hAnsi="Verdana" w:cs="Arial"/>
          <w:i/>
          <w:iCs/>
          <w:sz w:val="22"/>
          <w:szCs w:val="22"/>
          <w:lang w:val="en-GB"/>
        </w:rPr>
        <w:t>all expenses payable by the defendant after the effective date relating to the businesses in respect of any period preceding the effective date</w:t>
      </w:r>
      <w:r w:rsidR="0027464E" w:rsidRPr="007722EF">
        <w:rPr>
          <w:rFonts w:ascii="Verdana" w:hAnsi="Verdana" w:cs="Arial"/>
          <w:sz w:val="22"/>
          <w:szCs w:val="22"/>
          <w:lang w:val="en-GB"/>
        </w:rPr>
        <w:t xml:space="preserve"> </w:t>
      </w:r>
      <w:r w:rsidR="0027464E" w:rsidRPr="007722EF">
        <w:rPr>
          <w:rFonts w:ascii="Verdana" w:hAnsi="Verdana" w:cs="Arial"/>
          <w:i/>
          <w:iCs/>
          <w:sz w:val="22"/>
          <w:szCs w:val="22"/>
          <w:lang w:val="en-GB"/>
        </w:rPr>
        <w:t>(vide clause 22.1, 22.1.1 and 22.1.2)</w:t>
      </w:r>
      <w:r w:rsidR="0027464E" w:rsidRPr="007722EF">
        <w:rPr>
          <w:rFonts w:ascii="Verdana" w:hAnsi="Verdana" w:cs="Arial"/>
          <w:sz w:val="22"/>
          <w:szCs w:val="22"/>
          <w:lang w:val="en-GB"/>
        </w:rPr>
        <w:t xml:space="preserve">; </w:t>
      </w:r>
    </w:p>
    <w:p w14:paraId="3C6F8F35" w14:textId="61462A04" w:rsidR="0027464E"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[j]</w:t>
      </w:r>
      <w:r w:rsidRPr="007722EF">
        <w:rPr>
          <w:rFonts w:ascii="Verdana" w:hAnsi="Verdana" w:cs="Arial"/>
          <w:sz w:val="22"/>
          <w:szCs w:val="22"/>
          <w:lang w:val="en-GB"/>
        </w:rPr>
        <w:tab/>
      </w:r>
      <w:r w:rsidR="0027464E" w:rsidRPr="007722EF">
        <w:rPr>
          <w:rFonts w:ascii="Verdana" w:hAnsi="Verdana" w:cs="Arial"/>
          <w:sz w:val="22"/>
          <w:szCs w:val="22"/>
          <w:lang w:val="en-GB"/>
        </w:rPr>
        <w:t>The</w:t>
      </w:r>
      <w:r w:rsidR="00C60743" w:rsidRPr="007722EF">
        <w:rPr>
          <w:rFonts w:ascii="Verdana" w:hAnsi="Verdana" w:cs="Arial"/>
          <w:sz w:val="22"/>
          <w:szCs w:val="22"/>
          <w:lang w:val="en-GB"/>
        </w:rPr>
        <w:t xml:space="preserve"> </w:t>
      </w:r>
      <w:r w:rsidR="0027464E" w:rsidRPr="007722EF">
        <w:rPr>
          <w:rFonts w:ascii="Verdana" w:hAnsi="Verdana" w:cs="Arial"/>
          <w:sz w:val="22"/>
          <w:szCs w:val="22"/>
          <w:lang w:val="en-GB"/>
        </w:rPr>
        <w:t xml:space="preserve">agreement </w:t>
      </w:r>
      <w:r w:rsidR="00C60743" w:rsidRPr="007722EF">
        <w:rPr>
          <w:rFonts w:ascii="Verdana" w:hAnsi="Verdana" w:cs="Arial"/>
          <w:sz w:val="22"/>
          <w:szCs w:val="22"/>
          <w:lang w:val="en-GB"/>
        </w:rPr>
        <w:t xml:space="preserve">would </w:t>
      </w:r>
      <w:r w:rsidR="000A74B9" w:rsidRPr="007722EF">
        <w:rPr>
          <w:rFonts w:ascii="Verdana" w:hAnsi="Verdana" w:cs="Arial"/>
          <w:sz w:val="22"/>
          <w:szCs w:val="22"/>
          <w:lang w:val="en-GB"/>
        </w:rPr>
        <w:t xml:space="preserve">contain </w:t>
      </w:r>
      <w:r w:rsidR="0027464E" w:rsidRPr="007722EF">
        <w:rPr>
          <w:rFonts w:ascii="Verdana" w:hAnsi="Verdana" w:cs="Arial"/>
          <w:sz w:val="22"/>
          <w:szCs w:val="22"/>
          <w:lang w:val="en-GB"/>
        </w:rPr>
        <w:t xml:space="preserve">the entire agreement between the parties relating to the </w:t>
      </w:r>
      <w:r w:rsidR="0027464E" w:rsidRPr="007722EF">
        <w:rPr>
          <w:rFonts w:ascii="Verdana" w:hAnsi="Verdana" w:cs="Arial"/>
          <w:i/>
          <w:iCs/>
          <w:sz w:val="22"/>
          <w:szCs w:val="22"/>
          <w:lang w:val="en-GB"/>
        </w:rPr>
        <w:t>subject matter</w:t>
      </w:r>
      <w:r w:rsidR="0027464E" w:rsidRPr="007722EF">
        <w:rPr>
          <w:rFonts w:ascii="Verdana" w:hAnsi="Verdana" w:cs="Arial"/>
          <w:sz w:val="22"/>
          <w:szCs w:val="22"/>
          <w:lang w:val="en-GB"/>
        </w:rPr>
        <w:t xml:space="preserve"> and none of them </w:t>
      </w:r>
      <w:r w:rsidR="0092579C" w:rsidRPr="007722EF">
        <w:rPr>
          <w:rFonts w:ascii="Verdana" w:hAnsi="Verdana" w:cs="Arial"/>
          <w:sz w:val="22"/>
          <w:szCs w:val="22"/>
          <w:lang w:val="en-GB"/>
        </w:rPr>
        <w:t>would</w:t>
      </w:r>
      <w:r w:rsidR="0027464E" w:rsidRPr="007722EF">
        <w:rPr>
          <w:rFonts w:ascii="Verdana" w:hAnsi="Verdana" w:cs="Arial"/>
          <w:sz w:val="22"/>
          <w:szCs w:val="22"/>
          <w:lang w:val="en-GB"/>
        </w:rPr>
        <w:t xml:space="preserve"> be bound by any undertakings, representations, warranties, promises or the like </w:t>
      </w:r>
      <w:r w:rsidR="0027464E" w:rsidRPr="007722EF">
        <w:rPr>
          <w:rFonts w:ascii="Verdana" w:hAnsi="Verdana" w:cs="Arial"/>
          <w:i/>
          <w:iCs/>
          <w:sz w:val="22"/>
          <w:szCs w:val="22"/>
          <w:lang w:val="en-GB"/>
        </w:rPr>
        <w:t>not recorded in the written agreement or in such other agreements</w:t>
      </w:r>
      <w:r w:rsidR="0027464E" w:rsidRPr="007722EF">
        <w:rPr>
          <w:rFonts w:ascii="Verdana" w:hAnsi="Verdana" w:cs="Arial"/>
          <w:sz w:val="22"/>
          <w:szCs w:val="22"/>
          <w:lang w:val="en-GB"/>
        </w:rPr>
        <w:t xml:space="preserve"> </w:t>
      </w:r>
      <w:r w:rsidR="0027464E" w:rsidRPr="007722EF">
        <w:rPr>
          <w:rFonts w:ascii="Verdana" w:hAnsi="Verdana" w:cs="Arial"/>
          <w:i/>
          <w:iCs/>
          <w:sz w:val="22"/>
          <w:szCs w:val="22"/>
          <w:lang w:val="en-GB"/>
        </w:rPr>
        <w:t>(vide clause 31.1</w:t>
      </w:r>
      <w:proofErr w:type="gramStart"/>
      <w:r w:rsidR="0027464E" w:rsidRPr="007722EF">
        <w:rPr>
          <w:rFonts w:ascii="Verdana" w:hAnsi="Verdana" w:cs="Arial"/>
          <w:i/>
          <w:iCs/>
          <w:sz w:val="22"/>
          <w:szCs w:val="22"/>
          <w:lang w:val="en-GB"/>
        </w:rPr>
        <w:t>)</w:t>
      </w:r>
      <w:r w:rsidR="0027464E" w:rsidRPr="007722EF">
        <w:rPr>
          <w:rFonts w:ascii="Verdana" w:hAnsi="Verdana" w:cs="Arial"/>
          <w:sz w:val="22"/>
          <w:szCs w:val="22"/>
          <w:lang w:val="en-GB"/>
        </w:rPr>
        <w:t>;</w:t>
      </w:r>
      <w:proofErr w:type="gramEnd"/>
      <w:r w:rsidR="0027464E" w:rsidRPr="007722EF">
        <w:rPr>
          <w:rFonts w:ascii="Verdana" w:hAnsi="Verdana" w:cs="Arial"/>
          <w:sz w:val="22"/>
          <w:szCs w:val="22"/>
          <w:lang w:val="en-GB"/>
        </w:rPr>
        <w:t xml:space="preserve"> </w:t>
      </w:r>
    </w:p>
    <w:p w14:paraId="704E4A5B" w14:textId="3A5B728C" w:rsidR="0027464E"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lastRenderedPageBreak/>
        <w:t>[k]</w:t>
      </w:r>
      <w:r w:rsidRPr="007722EF">
        <w:rPr>
          <w:rFonts w:ascii="Verdana" w:hAnsi="Verdana" w:cs="Arial"/>
          <w:sz w:val="22"/>
          <w:szCs w:val="22"/>
          <w:lang w:val="en-GB"/>
        </w:rPr>
        <w:tab/>
      </w:r>
      <w:r w:rsidR="0027464E" w:rsidRPr="007722EF">
        <w:rPr>
          <w:rFonts w:ascii="Verdana" w:hAnsi="Verdana" w:cs="Arial"/>
          <w:sz w:val="22"/>
          <w:szCs w:val="22"/>
          <w:lang w:val="en-GB"/>
        </w:rPr>
        <w:t xml:space="preserve">No alteration, variation, </w:t>
      </w:r>
      <w:proofErr w:type="gramStart"/>
      <w:r w:rsidR="0027464E" w:rsidRPr="007722EF">
        <w:rPr>
          <w:rFonts w:ascii="Verdana" w:hAnsi="Verdana" w:cs="Arial"/>
          <w:sz w:val="22"/>
          <w:szCs w:val="22"/>
          <w:lang w:val="en-GB"/>
        </w:rPr>
        <w:t>novation</w:t>
      </w:r>
      <w:proofErr w:type="gramEnd"/>
      <w:r w:rsidR="0027464E" w:rsidRPr="007722EF">
        <w:rPr>
          <w:rFonts w:ascii="Verdana" w:hAnsi="Verdana" w:cs="Arial"/>
          <w:sz w:val="22"/>
          <w:szCs w:val="22"/>
          <w:lang w:val="en-GB"/>
        </w:rPr>
        <w:t xml:space="preserve"> or cancellation by agreement of, addition or amendment to, or deletion from the agreement </w:t>
      </w:r>
      <w:r w:rsidR="0092579C" w:rsidRPr="007722EF">
        <w:rPr>
          <w:rFonts w:ascii="Verdana" w:hAnsi="Verdana" w:cs="Arial"/>
          <w:sz w:val="22"/>
          <w:szCs w:val="22"/>
          <w:lang w:val="en-GB"/>
        </w:rPr>
        <w:t>would</w:t>
      </w:r>
      <w:r w:rsidR="0027464E" w:rsidRPr="007722EF">
        <w:rPr>
          <w:rFonts w:ascii="Verdana" w:hAnsi="Verdana" w:cs="Arial"/>
          <w:sz w:val="22"/>
          <w:szCs w:val="22"/>
          <w:lang w:val="en-GB"/>
        </w:rPr>
        <w:t xml:space="preserve"> be of any force or effect, unless in writing and signed by or on behalf of the parties thereto </w:t>
      </w:r>
      <w:r w:rsidR="0027464E" w:rsidRPr="007722EF">
        <w:rPr>
          <w:rFonts w:ascii="Verdana" w:hAnsi="Verdana" w:cs="Arial"/>
          <w:i/>
          <w:iCs/>
          <w:sz w:val="22"/>
          <w:szCs w:val="22"/>
          <w:lang w:val="en-GB"/>
        </w:rPr>
        <w:t>(vide clause 31.2)</w:t>
      </w:r>
      <w:r w:rsidR="0027464E" w:rsidRPr="007722EF">
        <w:rPr>
          <w:rFonts w:ascii="Verdana" w:hAnsi="Verdana" w:cs="Arial"/>
          <w:sz w:val="22"/>
          <w:szCs w:val="22"/>
          <w:lang w:val="en-GB"/>
        </w:rPr>
        <w:t xml:space="preserve">. </w:t>
      </w:r>
    </w:p>
    <w:p w14:paraId="13D83128" w14:textId="7F715875" w:rsidR="001174F7"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[6]</w:t>
      </w:r>
      <w:r w:rsidRPr="007722EF">
        <w:rPr>
          <w:rFonts w:ascii="Verdana" w:hAnsi="Verdana" w:cs="Arial"/>
          <w:color w:val="000000" w:themeColor="text1"/>
          <w:sz w:val="22"/>
          <w:szCs w:val="22"/>
          <w:lang w:val="en-GB"/>
        </w:rPr>
        <w:tab/>
      </w:r>
      <w:r w:rsidR="001174F7" w:rsidRPr="007722EF">
        <w:rPr>
          <w:rFonts w:ascii="Verdana" w:hAnsi="Verdana" w:cs="Arial"/>
          <w:sz w:val="22"/>
          <w:szCs w:val="22"/>
          <w:lang w:val="en-GB"/>
        </w:rPr>
        <w:t>Annexure “W” to the agreement</w:t>
      </w:r>
      <w:r w:rsidR="00B507BA" w:rsidRPr="007722EF">
        <w:rPr>
          <w:rFonts w:ascii="Verdana" w:hAnsi="Verdana" w:cs="Arial"/>
          <w:sz w:val="22"/>
          <w:szCs w:val="22"/>
          <w:lang w:val="en-GB"/>
        </w:rPr>
        <w:t xml:space="preserve"> bears the</w:t>
      </w:r>
      <w:r w:rsidR="00207307" w:rsidRPr="007722EF">
        <w:rPr>
          <w:rFonts w:ascii="Verdana" w:hAnsi="Verdana" w:cs="Arial"/>
          <w:sz w:val="22"/>
          <w:szCs w:val="22"/>
          <w:lang w:val="en-GB"/>
        </w:rPr>
        <w:t>se two respective</w:t>
      </w:r>
      <w:r w:rsidR="00B507BA" w:rsidRPr="007722EF">
        <w:rPr>
          <w:rFonts w:ascii="Verdana" w:hAnsi="Verdana" w:cs="Arial"/>
          <w:sz w:val="22"/>
          <w:szCs w:val="22"/>
          <w:lang w:val="en-GB"/>
        </w:rPr>
        <w:t xml:space="preserve"> heading</w:t>
      </w:r>
      <w:r w:rsidR="00207307" w:rsidRPr="007722EF">
        <w:rPr>
          <w:rFonts w:ascii="Verdana" w:hAnsi="Verdana" w:cs="Arial"/>
          <w:sz w:val="22"/>
          <w:szCs w:val="22"/>
          <w:lang w:val="en-GB"/>
        </w:rPr>
        <w:t>:</w:t>
      </w:r>
      <w:r w:rsidR="00B507BA" w:rsidRPr="007722EF">
        <w:rPr>
          <w:rFonts w:ascii="Verdana" w:hAnsi="Verdana" w:cs="Arial"/>
          <w:sz w:val="22"/>
          <w:szCs w:val="22"/>
          <w:lang w:val="en-GB"/>
        </w:rPr>
        <w:t xml:space="preserve"> </w:t>
      </w:r>
      <w:r w:rsidR="00B507BA" w:rsidRPr="007722EF">
        <w:rPr>
          <w:rFonts w:ascii="Verdana" w:hAnsi="Verdana" w:cs="Arial"/>
          <w:i/>
          <w:iCs/>
          <w:sz w:val="22"/>
          <w:szCs w:val="22"/>
          <w:lang w:val="en-GB"/>
        </w:rPr>
        <w:t>“2018/2019 Crop cost to be recovered”</w:t>
      </w:r>
      <w:r w:rsidR="00207307" w:rsidRPr="007722EF">
        <w:rPr>
          <w:rFonts w:ascii="Verdana" w:hAnsi="Verdana" w:cs="Arial"/>
          <w:i/>
          <w:iCs/>
          <w:sz w:val="22"/>
          <w:szCs w:val="22"/>
          <w:lang w:val="en-GB"/>
        </w:rPr>
        <w:t xml:space="preserve"> and “S</w:t>
      </w:r>
      <w:r w:rsidR="00134B00" w:rsidRPr="007722EF">
        <w:rPr>
          <w:rFonts w:ascii="Verdana" w:hAnsi="Verdana" w:cs="Arial"/>
          <w:i/>
          <w:iCs/>
          <w:sz w:val="22"/>
          <w:szCs w:val="22"/>
          <w:lang w:val="en-GB"/>
        </w:rPr>
        <w:t>CHEDULE OF COSTS IN RESPECT OF OTHER ASSETS</w:t>
      </w:r>
      <w:r w:rsidR="00134B00" w:rsidRPr="007722EF">
        <w:rPr>
          <w:rFonts w:ascii="Verdana" w:hAnsi="Verdana" w:cs="Arial"/>
          <w:sz w:val="22"/>
          <w:szCs w:val="22"/>
          <w:lang w:val="en-GB"/>
        </w:rPr>
        <w:t xml:space="preserve">”. </w:t>
      </w:r>
      <w:r w:rsidR="00F84F1D" w:rsidRPr="007722EF">
        <w:rPr>
          <w:rFonts w:ascii="Verdana" w:hAnsi="Verdana" w:cs="Arial"/>
          <w:sz w:val="22"/>
          <w:szCs w:val="22"/>
          <w:lang w:val="en-GB"/>
        </w:rPr>
        <w:t xml:space="preserve">It lists </w:t>
      </w:r>
      <w:r w:rsidR="0038573C" w:rsidRPr="007722EF">
        <w:rPr>
          <w:rFonts w:ascii="Verdana" w:hAnsi="Verdana" w:cs="Arial"/>
          <w:sz w:val="22"/>
          <w:szCs w:val="22"/>
          <w:lang w:val="en-GB"/>
        </w:rPr>
        <w:t>the costs of certain seeds, fertiliser</w:t>
      </w:r>
      <w:r w:rsidR="008A04BD" w:rsidRPr="007722EF">
        <w:rPr>
          <w:rFonts w:ascii="Verdana" w:hAnsi="Verdana" w:cs="Arial"/>
          <w:sz w:val="22"/>
          <w:szCs w:val="22"/>
          <w:lang w:val="en-GB"/>
        </w:rPr>
        <w:t>,</w:t>
      </w:r>
      <w:r w:rsidR="0038573C" w:rsidRPr="007722EF">
        <w:rPr>
          <w:rFonts w:ascii="Verdana" w:hAnsi="Verdana" w:cs="Arial"/>
          <w:sz w:val="22"/>
          <w:szCs w:val="22"/>
          <w:lang w:val="en-GB"/>
        </w:rPr>
        <w:t xml:space="preserve"> </w:t>
      </w:r>
      <w:r w:rsidR="008A04BD" w:rsidRPr="007722EF">
        <w:rPr>
          <w:rFonts w:ascii="Verdana" w:hAnsi="Verdana" w:cs="Arial"/>
          <w:sz w:val="22"/>
          <w:szCs w:val="22"/>
          <w:lang w:val="en-GB"/>
        </w:rPr>
        <w:t>c</w:t>
      </w:r>
      <w:r w:rsidR="0038573C" w:rsidRPr="007722EF">
        <w:rPr>
          <w:rFonts w:ascii="Verdana" w:hAnsi="Verdana" w:cs="Arial"/>
          <w:sz w:val="22"/>
          <w:szCs w:val="22"/>
          <w:lang w:val="en-GB"/>
        </w:rPr>
        <w:t>hemicals</w:t>
      </w:r>
      <w:r w:rsidR="00DA2C33" w:rsidRPr="007722EF">
        <w:rPr>
          <w:rFonts w:ascii="Verdana" w:hAnsi="Verdana" w:cs="Arial"/>
          <w:sz w:val="22"/>
          <w:szCs w:val="22"/>
          <w:lang w:val="en-GB"/>
        </w:rPr>
        <w:t xml:space="preserve">, the transport of fertiliser and the </w:t>
      </w:r>
      <w:r w:rsidR="00A84673" w:rsidRPr="007722EF">
        <w:rPr>
          <w:rFonts w:ascii="Verdana" w:hAnsi="Verdana" w:cs="Arial"/>
          <w:sz w:val="22"/>
          <w:szCs w:val="22"/>
          <w:lang w:val="en-GB"/>
        </w:rPr>
        <w:t xml:space="preserve">cost relating to the application of the fertiliser </w:t>
      </w:r>
      <w:r w:rsidR="00FC210F" w:rsidRPr="007722EF">
        <w:rPr>
          <w:rFonts w:ascii="Verdana" w:hAnsi="Verdana" w:cs="Arial"/>
          <w:sz w:val="22"/>
          <w:szCs w:val="22"/>
          <w:lang w:val="en-GB"/>
        </w:rPr>
        <w:t>and</w:t>
      </w:r>
      <w:r w:rsidR="00A84673" w:rsidRPr="007722EF">
        <w:rPr>
          <w:rFonts w:ascii="Verdana" w:hAnsi="Verdana" w:cs="Arial"/>
          <w:sz w:val="22"/>
          <w:szCs w:val="22"/>
          <w:lang w:val="en-GB"/>
        </w:rPr>
        <w:t xml:space="preserve"> chemicals</w:t>
      </w:r>
      <w:r w:rsidR="009307B5" w:rsidRPr="007722EF">
        <w:rPr>
          <w:rFonts w:ascii="Verdana" w:hAnsi="Verdana" w:cs="Arial"/>
          <w:sz w:val="22"/>
          <w:szCs w:val="22"/>
          <w:lang w:val="en-GB"/>
        </w:rPr>
        <w:t>,</w:t>
      </w:r>
      <w:r w:rsidR="00FC210F" w:rsidRPr="007722EF">
        <w:rPr>
          <w:rFonts w:ascii="Verdana" w:hAnsi="Verdana" w:cs="Arial"/>
          <w:sz w:val="22"/>
          <w:szCs w:val="22"/>
          <w:lang w:val="en-GB"/>
        </w:rPr>
        <w:t xml:space="preserve"> </w:t>
      </w:r>
      <w:proofErr w:type="gramStart"/>
      <w:r w:rsidR="00FC210F" w:rsidRPr="007722EF">
        <w:rPr>
          <w:rFonts w:ascii="Verdana" w:hAnsi="Verdana" w:cs="Arial"/>
          <w:sz w:val="22"/>
          <w:szCs w:val="22"/>
          <w:lang w:val="en-GB"/>
        </w:rPr>
        <w:t>fuel</w:t>
      </w:r>
      <w:proofErr w:type="gramEnd"/>
      <w:r w:rsidR="009307B5" w:rsidRPr="007722EF">
        <w:rPr>
          <w:rFonts w:ascii="Verdana" w:hAnsi="Verdana" w:cs="Arial"/>
          <w:sz w:val="22"/>
          <w:szCs w:val="22"/>
          <w:lang w:val="en-GB"/>
        </w:rPr>
        <w:t xml:space="preserve"> and planting.</w:t>
      </w:r>
      <w:r w:rsidR="00FC49D8" w:rsidRPr="007722EF">
        <w:rPr>
          <w:rFonts w:ascii="Verdana" w:hAnsi="Verdana" w:cs="Arial"/>
          <w:sz w:val="22"/>
          <w:szCs w:val="22"/>
          <w:lang w:val="en-GB"/>
        </w:rPr>
        <w:t xml:space="preserve"> The annexure specifically provides </w:t>
      </w:r>
      <w:r w:rsidR="003C3A8C" w:rsidRPr="007722EF">
        <w:rPr>
          <w:rFonts w:ascii="Verdana" w:hAnsi="Verdana" w:cs="Arial"/>
          <w:sz w:val="22"/>
          <w:szCs w:val="22"/>
          <w:lang w:val="en-GB"/>
        </w:rPr>
        <w:t xml:space="preserve">that the calculation of the hectares </w:t>
      </w:r>
      <w:proofErr w:type="gramStart"/>
      <w:r w:rsidR="003C3A8C" w:rsidRPr="007722EF">
        <w:rPr>
          <w:rFonts w:ascii="Verdana" w:hAnsi="Verdana" w:cs="Arial"/>
          <w:sz w:val="22"/>
          <w:szCs w:val="22"/>
          <w:lang w:val="en-GB"/>
        </w:rPr>
        <w:t>covered</w:t>
      </w:r>
      <w:proofErr w:type="gramEnd"/>
      <w:r w:rsidR="003C3A8C" w:rsidRPr="007722EF">
        <w:rPr>
          <w:rFonts w:ascii="Verdana" w:hAnsi="Verdana" w:cs="Arial"/>
          <w:sz w:val="22"/>
          <w:szCs w:val="22"/>
          <w:lang w:val="en-GB"/>
        </w:rPr>
        <w:t xml:space="preserve"> </w:t>
      </w:r>
      <w:r w:rsidR="008C58FC" w:rsidRPr="007722EF">
        <w:rPr>
          <w:rFonts w:ascii="Verdana" w:hAnsi="Verdana" w:cs="Arial"/>
          <w:sz w:val="22"/>
          <w:szCs w:val="22"/>
          <w:lang w:val="en-GB"/>
        </w:rPr>
        <w:t xml:space="preserve">and tonnages purchased and transported, </w:t>
      </w:r>
      <w:r w:rsidR="00515A45" w:rsidRPr="007722EF">
        <w:rPr>
          <w:rFonts w:ascii="Verdana" w:hAnsi="Verdana" w:cs="Arial"/>
          <w:sz w:val="22"/>
          <w:szCs w:val="22"/>
          <w:lang w:val="en-GB"/>
        </w:rPr>
        <w:t>would</w:t>
      </w:r>
      <w:r w:rsidR="008C58FC" w:rsidRPr="007722EF">
        <w:rPr>
          <w:rFonts w:ascii="Verdana" w:hAnsi="Verdana" w:cs="Arial"/>
          <w:sz w:val="22"/>
          <w:szCs w:val="22"/>
          <w:lang w:val="en-GB"/>
        </w:rPr>
        <w:t xml:space="preserve"> be confirmed.</w:t>
      </w:r>
    </w:p>
    <w:p w14:paraId="28FFD58D" w14:textId="641593DE" w:rsidR="00DF3B15" w:rsidRPr="007722EF" w:rsidRDefault="00DF3B15" w:rsidP="008A04BD">
      <w:pPr>
        <w:pStyle w:val="Indent"/>
        <w:keepNext/>
        <w:widowControl w:val="0"/>
        <w:numPr>
          <w:ilvl w:val="0"/>
          <w:numId w:val="0"/>
        </w:numPr>
        <w:spacing w:after="360" w:line="480" w:lineRule="auto"/>
        <w:jc w:val="both"/>
        <w:rPr>
          <w:rFonts w:ascii="Verdana" w:hAnsi="Verdana" w:cs="Arial"/>
          <w:b/>
          <w:bCs/>
          <w:sz w:val="22"/>
          <w:szCs w:val="22"/>
          <w:lang w:val="en-GB"/>
        </w:rPr>
      </w:pPr>
      <w:r w:rsidRPr="007722EF">
        <w:rPr>
          <w:rFonts w:ascii="Verdana" w:hAnsi="Verdana" w:cs="Arial"/>
          <w:b/>
          <w:bCs/>
          <w:sz w:val="22"/>
          <w:szCs w:val="22"/>
          <w:lang w:val="en-GB"/>
        </w:rPr>
        <w:t>THE PLAIN</w:t>
      </w:r>
      <w:r w:rsidR="00F748CB" w:rsidRPr="007722EF">
        <w:rPr>
          <w:rFonts w:ascii="Verdana" w:hAnsi="Verdana" w:cs="Arial"/>
          <w:b/>
          <w:bCs/>
          <w:sz w:val="22"/>
          <w:szCs w:val="22"/>
          <w:lang w:val="en-GB"/>
        </w:rPr>
        <w:t>TIFFS’ CAUSE OF ACTION</w:t>
      </w:r>
    </w:p>
    <w:p w14:paraId="1A3E21CF" w14:textId="2F20267D" w:rsidR="002A3DF0"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[7]</w:t>
      </w:r>
      <w:r w:rsidRPr="007722EF">
        <w:rPr>
          <w:rFonts w:ascii="Verdana" w:hAnsi="Verdana" w:cs="Arial"/>
          <w:color w:val="000000" w:themeColor="text1"/>
          <w:sz w:val="22"/>
          <w:szCs w:val="22"/>
          <w:lang w:val="en-GB"/>
        </w:rPr>
        <w:tab/>
      </w:r>
      <w:r w:rsidR="0027464E" w:rsidRPr="007722EF">
        <w:rPr>
          <w:rFonts w:ascii="Verdana" w:hAnsi="Verdana" w:cs="Arial"/>
          <w:sz w:val="22"/>
          <w:szCs w:val="22"/>
          <w:lang w:val="en-GB"/>
        </w:rPr>
        <w:t xml:space="preserve">It is the plaintiffs’ case that during October 2018 the parties concluded an oral agreement in respect of the interim period </w:t>
      </w:r>
      <w:r w:rsidR="00B910BA" w:rsidRPr="007722EF">
        <w:rPr>
          <w:rFonts w:ascii="Verdana" w:hAnsi="Verdana" w:cs="Arial"/>
          <w:sz w:val="22"/>
          <w:szCs w:val="22"/>
          <w:lang w:val="en-GB"/>
        </w:rPr>
        <w:t>from the signature date</w:t>
      </w:r>
      <w:r w:rsidR="0027464E" w:rsidRPr="007722EF">
        <w:rPr>
          <w:rFonts w:ascii="Verdana" w:hAnsi="Verdana" w:cs="Arial"/>
          <w:sz w:val="22"/>
          <w:szCs w:val="22"/>
          <w:lang w:val="en-GB"/>
        </w:rPr>
        <w:t xml:space="preserve"> to the effective date. The express, alternatively tacit, further alternatively implied terms of the oral agreement were that: -</w:t>
      </w:r>
    </w:p>
    <w:p w14:paraId="7885EDE4" w14:textId="7A79D653" w:rsidR="0027464E"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[a]</w:t>
      </w:r>
      <w:r w:rsidRPr="007722EF">
        <w:rPr>
          <w:rFonts w:ascii="Verdana" w:hAnsi="Verdana" w:cs="Arial"/>
          <w:sz w:val="22"/>
          <w:szCs w:val="22"/>
          <w:lang w:val="en-GB"/>
        </w:rPr>
        <w:tab/>
      </w:r>
      <w:r w:rsidR="0027464E" w:rsidRPr="007722EF">
        <w:rPr>
          <w:rFonts w:ascii="Verdana" w:hAnsi="Verdana" w:cs="Arial"/>
          <w:sz w:val="22"/>
          <w:szCs w:val="22"/>
          <w:lang w:val="en-GB"/>
        </w:rPr>
        <w:t>It would be in respect of: -</w:t>
      </w:r>
    </w:p>
    <w:p w14:paraId="6B260DEE" w14:textId="7623F231" w:rsidR="0027464E" w:rsidRPr="007722EF" w:rsidRDefault="0027464E" w:rsidP="0027464E">
      <w:pPr>
        <w:pStyle w:val="Indent"/>
        <w:widowControl w:val="0"/>
        <w:numPr>
          <w:ilvl w:val="0"/>
          <w:numId w:val="0"/>
        </w:numPr>
        <w:spacing w:after="360" w:line="480" w:lineRule="auto"/>
        <w:ind w:left="2160" w:hanging="742"/>
        <w:jc w:val="both"/>
        <w:rPr>
          <w:rFonts w:ascii="Verdana" w:hAnsi="Verdana" w:cs="Arial"/>
          <w:sz w:val="22"/>
          <w:szCs w:val="22"/>
          <w:lang w:val="en-GB"/>
        </w:rPr>
      </w:pPr>
      <w:r w:rsidRPr="007722EF">
        <w:rPr>
          <w:rFonts w:ascii="Verdana" w:hAnsi="Verdana" w:cs="Arial"/>
          <w:sz w:val="22"/>
          <w:szCs w:val="22"/>
          <w:lang w:val="en-GB"/>
        </w:rPr>
        <w:t>[</w:t>
      </w:r>
      <w:proofErr w:type="spellStart"/>
      <w:r w:rsidRPr="007722EF">
        <w:rPr>
          <w:rFonts w:ascii="Verdana" w:hAnsi="Verdana" w:cs="Arial"/>
          <w:sz w:val="22"/>
          <w:szCs w:val="22"/>
          <w:lang w:val="en-GB"/>
        </w:rPr>
        <w:t>i</w:t>
      </w:r>
      <w:proofErr w:type="spellEnd"/>
      <w:r w:rsidRPr="007722EF">
        <w:rPr>
          <w:rFonts w:ascii="Verdana" w:hAnsi="Verdana" w:cs="Arial"/>
          <w:sz w:val="22"/>
          <w:szCs w:val="22"/>
          <w:lang w:val="en-GB"/>
        </w:rPr>
        <w:t xml:space="preserve">] </w:t>
      </w:r>
      <w:r w:rsidRPr="007722EF">
        <w:rPr>
          <w:rFonts w:ascii="Verdana" w:hAnsi="Verdana" w:cs="Arial"/>
          <w:sz w:val="22"/>
          <w:szCs w:val="22"/>
          <w:lang w:val="en-GB"/>
        </w:rPr>
        <w:tab/>
        <w:t xml:space="preserve">the purchase of raw material, seed, fertiliser, pesticides, herbicides, chemicals, fuel and packaging material </w:t>
      </w:r>
      <w:r w:rsidRPr="007722EF">
        <w:rPr>
          <w:rFonts w:ascii="Verdana" w:hAnsi="Verdana" w:cs="Arial"/>
          <w:i/>
          <w:iCs/>
          <w:sz w:val="22"/>
          <w:szCs w:val="22"/>
          <w:lang w:val="en-GB"/>
        </w:rPr>
        <w:t>not</w:t>
      </w:r>
      <w:r w:rsidRPr="007722EF">
        <w:rPr>
          <w:rFonts w:ascii="Verdana" w:hAnsi="Verdana" w:cs="Arial"/>
          <w:sz w:val="22"/>
          <w:szCs w:val="22"/>
          <w:lang w:val="en-GB"/>
        </w:rPr>
        <w:t xml:space="preserve"> identified or recorded in annexure “W</w:t>
      </w:r>
      <w:proofErr w:type="gramStart"/>
      <w:r w:rsidRPr="007722EF">
        <w:rPr>
          <w:rFonts w:ascii="Verdana" w:hAnsi="Verdana" w:cs="Arial"/>
          <w:sz w:val="22"/>
          <w:szCs w:val="22"/>
          <w:lang w:val="en-GB"/>
        </w:rPr>
        <w:t>”</w:t>
      </w:r>
      <w:proofErr w:type="gramEnd"/>
      <w:r w:rsidRPr="007722EF">
        <w:rPr>
          <w:rFonts w:ascii="Verdana" w:hAnsi="Verdana" w:cs="Arial"/>
          <w:sz w:val="22"/>
          <w:szCs w:val="22"/>
          <w:lang w:val="en-GB"/>
        </w:rPr>
        <w:t xml:space="preserve"> and which was </w:t>
      </w:r>
      <w:r w:rsidRPr="007722EF">
        <w:rPr>
          <w:rFonts w:ascii="Verdana" w:hAnsi="Verdana" w:cs="Arial"/>
          <w:i/>
          <w:iCs/>
          <w:sz w:val="22"/>
          <w:szCs w:val="22"/>
          <w:lang w:val="en-GB"/>
        </w:rPr>
        <w:t>not</w:t>
      </w:r>
      <w:r w:rsidRPr="007722EF">
        <w:rPr>
          <w:rFonts w:ascii="Verdana" w:hAnsi="Verdana" w:cs="Arial"/>
          <w:sz w:val="22"/>
          <w:szCs w:val="22"/>
          <w:lang w:val="en-GB"/>
        </w:rPr>
        <w:t xml:space="preserve"> on or worked into the properties of the plaintiffs; </w:t>
      </w:r>
    </w:p>
    <w:p w14:paraId="5C0F2B73" w14:textId="48E09ADB" w:rsidR="0027464E" w:rsidRPr="007722EF" w:rsidRDefault="0027464E" w:rsidP="0027464E">
      <w:pPr>
        <w:pStyle w:val="Indent"/>
        <w:widowControl w:val="0"/>
        <w:numPr>
          <w:ilvl w:val="0"/>
          <w:numId w:val="0"/>
        </w:numPr>
        <w:spacing w:after="360" w:line="480" w:lineRule="auto"/>
        <w:ind w:left="2160" w:hanging="742"/>
        <w:jc w:val="both"/>
        <w:rPr>
          <w:rFonts w:ascii="Verdana" w:hAnsi="Verdana" w:cs="Arial"/>
          <w:sz w:val="22"/>
          <w:szCs w:val="22"/>
          <w:lang w:val="en-GB"/>
        </w:rPr>
      </w:pPr>
      <w:r w:rsidRPr="007722EF">
        <w:rPr>
          <w:rFonts w:ascii="Verdana" w:hAnsi="Verdana" w:cs="Arial"/>
          <w:sz w:val="22"/>
          <w:szCs w:val="22"/>
          <w:lang w:val="en-GB"/>
        </w:rPr>
        <w:t xml:space="preserve">[ii] </w:t>
      </w:r>
      <w:r w:rsidRPr="007722EF">
        <w:rPr>
          <w:rFonts w:ascii="Verdana" w:hAnsi="Verdana" w:cs="Arial"/>
          <w:sz w:val="22"/>
          <w:szCs w:val="22"/>
          <w:lang w:val="en-GB"/>
        </w:rPr>
        <w:tab/>
        <w:t xml:space="preserve">the planting, cultivation, harvesting, fertilisation, spraying and </w:t>
      </w:r>
      <w:r w:rsidRPr="007722EF">
        <w:rPr>
          <w:rFonts w:ascii="Verdana" w:hAnsi="Verdana" w:cs="Arial"/>
          <w:sz w:val="22"/>
          <w:szCs w:val="22"/>
          <w:lang w:val="en-GB"/>
        </w:rPr>
        <w:lastRenderedPageBreak/>
        <w:t xml:space="preserve">management of all farming-related activities; </w:t>
      </w:r>
    </w:p>
    <w:p w14:paraId="6BA19767" w14:textId="06265D58" w:rsidR="0027464E" w:rsidRPr="007722EF" w:rsidRDefault="0027464E" w:rsidP="0027464E">
      <w:pPr>
        <w:pStyle w:val="Indent"/>
        <w:widowControl w:val="0"/>
        <w:numPr>
          <w:ilvl w:val="0"/>
          <w:numId w:val="0"/>
        </w:numPr>
        <w:spacing w:after="360" w:line="480" w:lineRule="auto"/>
        <w:ind w:left="2160" w:hanging="742"/>
        <w:jc w:val="both"/>
        <w:rPr>
          <w:rFonts w:ascii="Verdana" w:hAnsi="Verdana" w:cs="Arial"/>
          <w:sz w:val="22"/>
          <w:szCs w:val="22"/>
          <w:lang w:val="en-GB"/>
        </w:rPr>
      </w:pPr>
      <w:r w:rsidRPr="007722EF">
        <w:rPr>
          <w:rFonts w:ascii="Verdana" w:hAnsi="Verdana" w:cs="Arial"/>
          <w:sz w:val="22"/>
          <w:szCs w:val="22"/>
          <w:lang w:val="en-GB"/>
        </w:rPr>
        <w:t xml:space="preserve">[iii] </w:t>
      </w:r>
      <w:r w:rsidRPr="007722EF">
        <w:rPr>
          <w:rFonts w:ascii="Verdana" w:hAnsi="Verdana" w:cs="Arial"/>
          <w:sz w:val="22"/>
          <w:szCs w:val="22"/>
          <w:lang w:val="en-GB"/>
        </w:rPr>
        <w:tab/>
        <w:t xml:space="preserve">the management of new and standing crops; </w:t>
      </w:r>
    </w:p>
    <w:p w14:paraId="08D7ACE6" w14:textId="22E77917" w:rsidR="0027464E" w:rsidRPr="007722EF" w:rsidRDefault="0027464E" w:rsidP="0027464E">
      <w:pPr>
        <w:pStyle w:val="Indent"/>
        <w:widowControl w:val="0"/>
        <w:numPr>
          <w:ilvl w:val="0"/>
          <w:numId w:val="0"/>
        </w:numPr>
        <w:spacing w:after="360" w:line="480" w:lineRule="auto"/>
        <w:ind w:left="2160" w:hanging="742"/>
        <w:jc w:val="both"/>
        <w:rPr>
          <w:rFonts w:ascii="Verdana" w:hAnsi="Verdana" w:cs="Arial"/>
          <w:sz w:val="22"/>
          <w:szCs w:val="22"/>
          <w:lang w:val="en-GB"/>
        </w:rPr>
      </w:pPr>
      <w:r w:rsidRPr="007722EF">
        <w:rPr>
          <w:rFonts w:ascii="Verdana" w:hAnsi="Verdana" w:cs="Arial"/>
          <w:sz w:val="22"/>
          <w:szCs w:val="22"/>
          <w:lang w:val="en-GB"/>
        </w:rPr>
        <w:t xml:space="preserve">[iv] </w:t>
      </w:r>
      <w:r w:rsidRPr="007722EF">
        <w:rPr>
          <w:rFonts w:ascii="Verdana" w:hAnsi="Verdana" w:cs="Arial"/>
          <w:sz w:val="22"/>
          <w:szCs w:val="22"/>
          <w:lang w:val="en-GB"/>
        </w:rPr>
        <w:tab/>
        <w:t xml:space="preserve">the management of the businesses in general, the personnel and the payment of salaries and bonuses in the ordinary course to preserve the businesses of the plaintiffs for the benefit of the defendant; </w:t>
      </w:r>
    </w:p>
    <w:p w14:paraId="725A93A6" w14:textId="6AEA6A17" w:rsidR="0027464E" w:rsidRPr="007722EF" w:rsidRDefault="0027464E" w:rsidP="0027464E">
      <w:pPr>
        <w:pStyle w:val="Indent"/>
        <w:widowControl w:val="0"/>
        <w:numPr>
          <w:ilvl w:val="0"/>
          <w:numId w:val="0"/>
        </w:numPr>
        <w:spacing w:after="360" w:line="480" w:lineRule="auto"/>
        <w:ind w:left="2160" w:hanging="742"/>
        <w:jc w:val="both"/>
        <w:rPr>
          <w:rFonts w:ascii="Verdana" w:hAnsi="Verdana" w:cs="Arial"/>
          <w:sz w:val="22"/>
          <w:szCs w:val="22"/>
          <w:lang w:val="en-GB"/>
        </w:rPr>
      </w:pPr>
      <w:r w:rsidRPr="007722EF">
        <w:rPr>
          <w:rFonts w:ascii="Verdana" w:hAnsi="Verdana" w:cs="Arial"/>
          <w:sz w:val="22"/>
          <w:szCs w:val="22"/>
          <w:lang w:val="en-GB"/>
        </w:rPr>
        <w:t xml:space="preserve">[v] </w:t>
      </w:r>
      <w:r w:rsidRPr="007722EF">
        <w:rPr>
          <w:rFonts w:ascii="Verdana" w:hAnsi="Verdana" w:cs="Arial"/>
          <w:sz w:val="22"/>
          <w:szCs w:val="22"/>
          <w:lang w:val="en-GB"/>
        </w:rPr>
        <w:tab/>
        <w:t xml:space="preserve">the expenses incurred in respect of the purchase of </w:t>
      </w:r>
      <w:r w:rsidRPr="007722EF">
        <w:rPr>
          <w:rFonts w:ascii="Verdana" w:hAnsi="Verdana" w:cs="Arial"/>
          <w:i/>
          <w:iCs/>
          <w:sz w:val="22"/>
          <w:szCs w:val="22"/>
          <w:lang w:val="en-GB"/>
        </w:rPr>
        <w:t>inter alia</w:t>
      </w:r>
      <w:r w:rsidRPr="007722EF">
        <w:rPr>
          <w:rFonts w:ascii="Verdana" w:hAnsi="Verdana" w:cs="Arial"/>
          <w:sz w:val="22"/>
          <w:szCs w:val="22"/>
          <w:lang w:val="en-GB"/>
        </w:rPr>
        <w:t xml:space="preserve"> raw material, the planting, fertilisation, spraying and management of all farming-related activities, the management of new and standing crops and the management of the businesses in general, the personnel and the payment of salaries and bonuses </w:t>
      </w:r>
      <w:r w:rsidRPr="007722EF">
        <w:rPr>
          <w:rFonts w:ascii="Verdana" w:hAnsi="Verdana" w:cs="Arial"/>
          <w:i/>
          <w:iCs/>
          <w:sz w:val="22"/>
          <w:szCs w:val="22"/>
          <w:lang w:val="en-GB"/>
        </w:rPr>
        <w:t>would be included in</w:t>
      </w:r>
      <w:r w:rsidRPr="007722EF">
        <w:rPr>
          <w:rFonts w:ascii="Verdana" w:hAnsi="Verdana" w:cs="Arial"/>
          <w:sz w:val="22"/>
          <w:szCs w:val="22"/>
          <w:lang w:val="en-GB"/>
        </w:rPr>
        <w:t xml:space="preserve">, </w:t>
      </w:r>
      <w:r w:rsidRPr="007722EF">
        <w:rPr>
          <w:rFonts w:ascii="Verdana" w:hAnsi="Verdana" w:cs="Arial"/>
          <w:i/>
          <w:iCs/>
          <w:sz w:val="22"/>
          <w:szCs w:val="22"/>
          <w:lang w:val="en-GB"/>
        </w:rPr>
        <w:t>alternatively compounded separately</w:t>
      </w:r>
      <w:r w:rsidRPr="007722EF">
        <w:rPr>
          <w:rFonts w:ascii="Verdana" w:hAnsi="Verdana" w:cs="Arial"/>
          <w:sz w:val="22"/>
          <w:szCs w:val="22"/>
          <w:lang w:val="en-GB"/>
        </w:rPr>
        <w:t xml:space="preserve">, </w:t>
      </w:r>
      <w:r w:rsidRPr="007722EF">
        <w:rPr>
          <w:rFonts w:ascii="Verdana" w:hAnsi="Verdana" w:cs="Arial"/>
          <w:i/>
          <w:iCs/>
          <w:sz w:val="22"/>
          <w:szCs w:val="22"/>
          <w:lang w:val="en-GB"/>
        </w:rPr>
        <w:t>for payment when the adjustment account in respect of annexure “W” was prepared</w:t>
      </w:r>
      <w:r w:rsidR="008A04BD" w:rsidRPr="007722EF">
        <w:rPr>
          <w:rFonts w:ascii="Verdana" w:hAnsi="Verdana" w:cs="Arial"/>
          <w:i/>
          <w:iCs/>
          <w:sz w:val="22"/>
          <w:szCs w:val="22"/>
          <w:lang w:val="en-GB"/>
        </w:rPr>
        <w:t>.</w:t>
      </w:r>
      <w:r w:rsidRPr="007722EF">
        <w:rPr>
          <w:rStyle w:val="FootnoteReference"/>
          <w:rFonts w:ascii="Verdana" w:hAnsi="Verdana" w:cs="Arial"/>
          <w:sz w:val="22"/>
          <w:szCs w:val="22"/>
          <w:lang w:val="en-GB"/>
        </w:rPr>
        <w:footnoteReference w:id="3"/>
      </w:r>
      <w:r w:rsidRPr="007722EF">
        <w:rPr>
          <w:rFonts w:ascii="Verdana" w:hAnsi="Verdana" w:cs="Arial"/>
          <w:sz w:val="22"/>
          <w:szCs w:val="22"/>
          <w:lang w:val="en-GB"/>
        </w:rPr>
        <w:t xml:space="preserve"> </w:t>
      </w:r>
    </w:p>
    <w:p w14:paraId="284D8299" w14:textId="66CA505C" w:rsidR="00D8461B"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[8]</w:t>
      </w:r>
      <w:r w:rsidRPr="007722EF">
        <w:rPr>
          <w:rFonts w:ascii="Verdana" w:hAnsi="Verdana" w:cs="Arial"/>
          <w:color w:val="000000" w:themeColor="text1"/>
          <w:sz w:val="22"/>
          <w:szCs w:val="22"/>
          <w:lang w:val="en-GB"/>
        </w:rPr>
        <w:tab/>
      </w:r>
      <w:r w:rsidR="00D8461B" w:rsidRPr="007722EF">
        <w:rPr>
          <w:rFonts w:ascii="Verdana" w:hAnsi="Verdana" w:cs="Arial"/>
          <w:sz w:val="22"/>
          <w:szCs w:val="22"/>
          <w:lang w:val="en-GB"/>
        </w:rPr>
        <w:t xml:space="preserve">The first plaintiff instituted one claim against the defendant for costs and expenses incurred in the purchase of fertiliser, the transport and delivery of hay, diesel, the lending of money, repairs conducted on an asbestos house, the payment of defendant’s attorneys’ invoice and the purchase of chicken litter, during the period September/October 2018 to the effective date. </w:t>
      </w:r>
    </w:p>
    <w:p w14:paraId="18F1E9BA" w14:textId="73E657FC" w:rsidR="00EE0553"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[9]</w:t>
      </w:r>
      <w:r w:rsidRPr="007722EF">
        <w:rPr>
          <w:rFonts w:ascii="Verdana" w:hAnsi="Verdana" w:cs="Arial"/>
          <w:color w:val="000000" w:themeColor="text1"/>
          <w:sz w:val="22"/>
          <w:szCs w:val="22"/>
          <w:lang w:val="en-GB"/>
        </w:rPr>
        <w:tab/>
      </w:r>
      <w:r w:rsidR="0027464E" w:rsidRPr="007722EF">
        <w:rPr>
          <w:rFonts w:ascii="Verdana" w:hAnsi="Verdana" w:cs="Arial"/>
          <w:sz w:val="22"/>
          <w:szCs w:val="22"/>
          <w:lang w:val="en-GB"/>
        </w:rPr>
        <w:t xml:space="preserve">The second plaintiff instituted three claims against the defendant </w:t>
      </w:r>
      <w:r w:rsidR="00405F52" w:rsidRPr="007722EF">
        <w:rPr>
          <w:rFonts w:ascii="Verdana" w:hAnsi="Verdana" w:cs="Arial"/>
          <w:sz w:val="22"/>
          <w:szCs w:val="22"/>
          <w:lang w:val="en-GB"/>
        </w:rPr>
        <w:t xml:space="preserve">from </w:t>
      </w:r>
      <w:r w:rsidR="008A04BD" w:rsidRPr="007722EF">
        <w:rPr>
          <w:rFonts w:ascii="Verdana" w:hAnsi="Verdana" w:cs="Arial"/>
          <w:sz w:val="22"/>
          <w:szCs w:val="22"/>
          <w:lang w:val="en-GB"/>
        </w:rPr>
        <w:t xml:space="preserve">the </w:t>
      </w:r>
      <w:r w:rsidR="00405F52" w:rsidRPr="007722EF">
        <w:rPr>
          <w:rFonts w:ascii="Verdana" w:hAnsi="Verdana" w:cs="Arial"/>
          <w:sz w:val="22"/>
          <w:szCs w:val="22"/>
          <w:lang w:val="en-GB"/>
        </w:rPr>
        <w:lastRenderedPageBreak/>
        <w:t>September/</w:t>
      </w:r>
      <w:r w:rsidR="0027464E" w:rsidRPr="007722EF">
        <w:rPr>
          <w:rFonts w:ascii="Verdana" w:hAnsi="Verdana" w:cs="Arial"/>
          <w:sz w:val="22"/>
          <w:szCs w:val="22"/>
          <w:lang w:val="en-GB"/>
        </w:rPr>
        <w:t xml:space="preserve">October 2018 period to the effective date for expenses incurred in planting raw material and seeds, </w:t>
      </w:r>
      <w:proofErr w:type="gramStart"/>
      <w:r w:rsidR="0027464E" w:rsidRPr="007722EF">
        <w:rPr>
          <w:rFonts w:ascii="Verdana" w:hAnsi="Verdana" w:cs="Arial"/>
          <w:sz w:val="22"/>
          <w:szCs w:val="22"/>
          <w:lang w:val="en-GB"/>
        </w:rPr>
        <w:t>fertilisation</w:t>
      </w:r>
      <w:proofErr w:type="gramEnd"/>
      <w:r w:rsidR="0027464E" w:rsidRPr="007722EF">
        <w:rPr>
          <w:rFonts w:ascii="Verdana" w:hAnsi="Verdana" w:cs="Arial"/>
          <w:sz w:val="22"/>
          <w:szCs w:val="22"/>
          <w:lang w:val="en-GB"/>
        </w:rPr>
        <w:t xml:space="preserve"> and the spraying of chemicals. </w:t>
      </w:r>
    </w:p>
    <w:p w14:paraId="32C273FC" w14:textId="5B063A51" w:rsidR="0027464E" w:rsidRPr="007722EF" w:rsidRDefault="0027464E" w:rsidP="0027464E">
      <w:pPr>
        <w:pStyle w:val="Indent"/>
        <w:keepNext/>
        <w:widowControl w:val="0"/>
        <w:numPr>
          <w:ilvl w:val="0"/>
          <w:numId w:val="0"/>
        </w:numPr>
        <w:spacing w:after="360" w:line="480" w:lineRule="auto"/>
        <w:jc w:val="both"/>
        <w:rPr>
          <w:rFonts w:ascii="Verdana" w:hAnsi="Verdana" w:cs="Arial"/>
          <w:b/>
          <w:bCs/>
          <w:sz w:val="22"/>
          <w:szCs w:val="22"/>
          <w:lang w:val="en-GB"/>
        </w:rPr>
      </w:pPr>
      <w:r w:rsidRPr="007722EF">
        <w:rPr>
          <w:rFonts w:ascii="Verdana" w:hAnsi="Verdana" w:cs="Arial"/>
          <w:b/>
          <w:bCs/>
          <w:sz w:val="22"/>
          <w:szCs w:val="22"/>
          <w:lang w:val="en-GB"/>
        </w:rPr>
        <w:t>THE DEFENDANT’S EXCEPTION</w:t>
      </w:r>
    </w:p>
    <w:p w14:paraId="192A1304" w14:textId="71AF79F3" w:rsidR="002A3DF0"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[10]</w:t>
      </w:r>
      <w:r w:rsidRPr="007722EF">
        <w:rPr>
          <w:rFonts w:ascii="Verdana" w:hAnsi="Verdana" w:cs="Arial"/>
          <w:color w:val="000000" w:themeColor="text1"/>
          <w:sz w:val="22"/>
          <w:szCs w:val="22"/>
          <w:lang w:val="en-GB"/>
        </w:rPr>
        <w:tab/>
      </w:r>
      <w:r w:rsidR="0027464E" w:rsidRPr="007722EF">
        <w:rPr>
          <w:rFonts w:ascii="Verdana" w:hAnsi="Verdana" w:cs="Arial"/>
          <w:sz w:val="22"/>
          <w:szCs w:val="22"/>
          <w:lang w:val="en-GB"/>
        </w:rPr>
        <w:t>The defendant</w:t>
      </w:r>
      <w:r w:rsidR="00ED313D">
        <w:rPr>
          <w:rFonts w:ascii="Verdana" w:hAnsi="Verdana" w:cs="Arial"/>
          <w:sz w:val="22"/>
          <w:szCs w:val="22"/>
          <w:lang w:val="en-GB"/>
        </w:rPr>
        <w:t>’s exception</w:t>
      </w:r>
      <w:r w:rsidR="0027464E" w:rsidRPr="007722EF">
        <w:rPr>
          <w:rFonts w:ascii="Verdana" w:hAnsi="Verdana" w:cs="Arial"/>
          <w:sz w:val="22"/>
          <w:szCs w:val="22"/>
          <w:lang w:val="en-GB"/>
        </w:rPr>
        <w:t xml:space="preserve"> essentially </w:t>
      </w:r>
      <w:r w:rsidR="00ED313D">
        <w:rPr>
          <w:rFonts w:ascii="Verdana" w:hAnsi="Verdana" w:cs="Arial"/>
          <w:sz w:val="22"/>
          <w:szCs w:val="22"/>
          <w:lang w:val="en-GB"/>
        </w:rPr>
        <w:t xml:space="preserve">takes issues with </w:t>
      </w:r>
      <w:r w:rsidR="0027464E" w:rsidRPr="007722EF">
        <w:rPr>
          <w:rFonts w:ascii="Verdana" w:hAnsi="Verdana" w:cs="Arial"/>
          <w:sz w:val="22"/>
          <w:szCs w:val="22"/>
          <w:lang w:val="en-GB"/>
        </w:rPr>
        <w:t>the plaintiffs’ reliance on an oral agreement. The defendant complains that the oral agreement: -</w:t>
      </w:r>
    </w:p>
    <w:p w14:paraId="7D61619A" w14:textId="2AD2BD28" w:rsidR="0027464E"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[a]</w:t>
      </w:r>
      <w:r w:rsidRPr="007722EF">
        <w:rPr>
          <w:rFonts w:ascii="Verdana" w:hAnsi="Verdana" w:cs="Arial"/>
          <w:sz w:val="22"/>
          <w:szCs w:val="22"/>
          <w:lang w:val="en-GB"/>
        </w:rPr>
        <w:tab/>
      </w:r>
      <w:r w:rsidR="0027464E" w:rsidRPr="007722EF">
        <w:rPr>
          <w:rFonts w:ascii="Verdana" w:hAnsi="Verdana" w:cs="Arial"/>
          <w:sz w:val="22"/>
          <w:szCs w:val="22"/>
          <w:lang w:val="en-GB"/>
        </w:rPr>
        <w:t xml:space="preserve">pertains to the purchase price payable for the other assets already dealt with in clause 7.3 of the written agreement; </w:t>
      </w:r>
    </w:p>
    <w:p w14:paraId="3FAD8BD0" w14:textId="5A73E2DA" w:rsidR="0027464E"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[b]</w:t>
      </w:r>
      <w:r w:rsidRPr="007722EF">
        <w:rPr>
          <w:rFonts w:ascii="Verdana" w:hAnsi="Verdana" w:cs="Arial"/>
          <w:sz w:val="22"/>
          <w:szCs w:val="22"/>
          <w:lang w:val="en-GB"/>
        </w:rPr>
        <w:tab/>
      </w:r>
      <w:r w:rsidR="0027464E" w:rsidRPr="007722EF">
        <w:rPr>
          <w:rFonts w:ascii="Verdana" w:hAnsi="Verdana" w:cs="Arial"/>
          <w:sz w:val="22"/>
          <w:szCs w:val="22"/>
          <w:lang w:val="en-GB"/>
        </w:rPr>
        <w:t>provides for amounts payable by the defendant to the plaintiffs in respect of items of costs not specified on annexure “W</w:t>
      </w:r>
      <w:proofErr w:type="gramStart"/>
      <w:r w:rsidR="0027464E" w:rsidRPr="007722EF">
        <w:rPr>
          <w:rFonts w:ascii="Verdana" w:hAnsi="Verdana" w:cs="Arial"/>
          <w:sz w:val="22"/>
          <w:szCs w:val="22"/>
          <w:lang w:val="en-GB"/>
        </w:rPr>
        <w:t>”;</w:t>
      </w:r>
      <w:proofErr w:type="gramEnd"/>
      <w:r w:rsidR="0027464E" w:rsidRPr="007722EF">
        <w:rPr>
          <w:rFonts w:ascii="Verdana" w:hAnsi="Verdana" w:cs="Arial"/>
          <w:sz w:val="22"/>
          <w:szCs w:val="22"/>
          <w:lang w:val="en-GB"/>
        </w:rPr>
        <w:t xml:space="preserve"> </w:t>
      </w:r>
    </w:p>
    <w:p w14:paraId="47DAB4A3" w14:textId="35BE23E5" w:rsidR="0027464E"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[c]</w:t>
      </w:r>
      <w:r w:rsidRPr="007722EF">
        <w:rPr>
          <w:rFonts w:ascii="Verdana" w:hAnsi="Verdana" w:cs="Arial"/>
          <w:sz w:val="22"/>
          <w:szCs w:val="22"/>
          <w:lang w:val="en-GB"/>
        </w:rPr>
        <w:tab/>
      </w:r>
      <w:r w:rsidR="0027464E" w:rsidRPr="007722EF">
        <w:rPr>
          <w:rFonts w:ascii="Verdana" w:hAnsi="Verdana" w:cs="Arial"/>
          <w:sz w:val="22"/>
          <w:szCs w:val="22"/>
          <w:lang w:val="en-GB"/>
        </w:rPr>
        <w:t xml:space="preserve">contradicts the express terms of the written agreement, specifically clause 7.3 which provides that if no item of cost is specified on annexure “W”, then no amount shall be payable by the purchaser in respect thereof, such as depreciation and/or salaries and </w:t>
      </w:r>
      <w:proofErr w:type="gramStart"/>
      <w:r w:rsidR="0027464E" w:rsidRPr="007722EF">
        <w:rPr>
          <w:rFonts w:ascii="Verdana" w:hAnsi="Verdana" w:cs="Arial"/>
          <w:sz w:val="22"/>
          <w:szCs w:val="22"/>
          <w:lang w:val="en-GB"/>
        </w:rPr>
        <w:t>wages;</w:t>
      </w:r>
      <w:proofErr w:type="gramEnd"/>
      <w:r w:rsidR="0027464E" w:rsidRPr="007722EF">
        <w:rPr>
          <w:rFonts w:ascii="Verdana" w:hAnsi="Verdana" w:cs="Arial"/>
          <w:sz w:val="22"/>
          <w:szCs w:val="22"/>
          <w:lang w:val="en-GB"/>
        </w:rPr>
        <w:t xml:space="preserve"> </w:t>
      </w:r>
    </w:p>
    <w:p w14:paraId="532F868B" w14:textId="3490E56C" w:rsidR="0027464E" w:rsidRPr="007722EF" w:rsidRDefault="00366A5E" w:rsidP="00366A5E">
      <w:pPr>
        <w:pStyle w:val="Indent"/>
        <w:widowControl w:val="0"/>
        <w:numPr>
          <w:ilvl w:val="0"/>
          <w:numId w:val="0"/>
        </w:numPr>
        <w:spacing w:after="360" w:line="480" w:lineRule="auto"/>
        <w:ind w:left="708" w:hanging="738"/>
        <w:jc w:val="both"/>
        <w:rPr>
          <w:rFonts w:ascii="Verdana" w:hAnsi="Verdana" w:cs="Arial"/>
          <w:sz w:val="22"/>
          <w:szCs w:val="22"/>
          <w:lang w:val="en-GB"/>
        </w:rPr>
      </w:pPr>
      <w:r w:rsidRPr="007722EF">
        <w:rPr>
          <w:rFonts w:ascii="Verdana" w:hAnsi="Verdana" w:cs="Arial"/>
          <w:sz w:val="22"/>
          <w:szCs w:val="22"/>
          <w:lang w:val="en-GB"/>
        </w:rPr>
        <w:t>[d]</w:t>
      </w:r>
      <w:r w:rsidRPr="007722EF">
        <w:rPr>
          <w:rFonts w:ascii="Verdana" w:hAnsi="Verdana" w:cs="Arial"/>
          <w:sz w:val="22"/>
          <w:szCs w:val="22"/>
          <w:lang w:val="en-GB"/>
        </w:rPr>
        <w:tab/>
      </w:r>
      <w:r w:rsidR="0027464E" w:rsidRPr="007722EF">
        <w:rPr>
          <w:rFonts w:ascii="Verdana" w:hAnsi="Verdana" w:cs="Arial"/>
          <w:sz w:val="22"/>
          <w:szCs w:val="22"/>
          <w:lang w:val="en-GB"/>
        </w:rPr>
        <w:t xml:space="preserve">cannot exist in law by virtue of the provisions of clauses 33.1 and 33.2 of the written agreement, read with the principles pertaining to the </w:t>
      </w:r>
      <w:proofErr w:type="spellStart"/>
      <w:r w:rsidR="0027464E" w:rsidRPr="007722EF">
        <w:rPr>
          <w:rFonts w:ascii="Verdana" w:hAnsi="Verdana" w:cs="Arial"/>
          <w:sz w:val="22"/>
          <w:szCs w:val="22"/>
          <w:lang w:val="en-GB"/>
        </w:rPr>
        <w:t>parol</w:t>
      </w:r>
      <w:proofErr w:type="spellEnd"/>
      <w:r w:rsidR="0027464E" w:rsidRPr="007722EF">
        <w:rPr>
          <w:rFonts w:ascii="Verdana" w:hAnsi="Verdana" w:cs="Arial"/>
          <w:sz w:val="22"/>
          <w:szCs w:val="22"/>
          <w:lang w:val="en-GB"/>
        </w:rPr>
        <w:t xml:space="preserve"> evidence rule.</w:t>
      </w:r>
      <w:r w:rsidR="0027464E" w:rsidRPr="007722EF">
        <w:rPr>
          <w:rStyle w:val="FootnoteReference"/>
          <w:rFonts w:ascii="Verdana" w:hAnsi="Verdana" w:cs="Arial"/>
          <w:sz w:val="22"/>
          <w:szCs w:val="22"/>
          <w:lang w:val="en-GB"/>
        </w:rPr>
        <w:footnoteReference w:id="4"/>
      </w:r>
      <w:r w:rsidR="0027464E" w:rsidRPr="007722EF">
        <w:rPr>
          <w:rFonts w:ascii="Verdana" w:hAnsi="Verdana" w:cs="Arial"/>
          <w:sz w:val="22"/>
          <w:szCs w:val="22"/>
          <w:lang w:val="en-GB"/>
        </w:rPr>
        <w:t xml:space="preserve"> </w:t>
      </w:r>
    </w:p>
    <w:p w14:paraId="138CF89E" w14:textId="3AF7DD73" w:rsidR="0027464E" w:rsidRPr="007722EF" w:rsidRDefault="0027464E" w:rsidP="0027464E">
      <w:pPr>
        <w:pStyle w:val="Indent"/>
        <w:keepNext/>
        <w:widowControl w:val="0"/>
        <w:numPr>
          <w:ilvl w:val="0"/>
          <w:numId w:val="0"/>
        </w:numPr>
        <w:spacing w:after="360" w:line="480" w:lineRule="auto"/>
        <w:jc w:val="both"/>
        <w:rPr>
          <w:rFonts w:ascii="Verdana" w:hAnsi="Verdana" w:cs="Arial"/>
          <w:b/>
          <w:bCs/>
          <w:sz w:val="22"/>
          <w:szCs w:val="22"/>
          <w:lang w:val="en-GB"/>
        </w:rPr>
      </w:pPr>
      <w:r w:rsidRPr="007722EF">
        <w:rPr>
          <w:rFonts w:ascii="Verdana" w:hAnsi="Verdana" w:cs="Arial"/>
          <w:b/>
          <w:bCs/>
          <w:sz w:val="22"/>
          <w:szCs w:val="22"/>
          <w:lang w:val="en-GB"/>
        </w:rPr>
        <w:lastRenderedPageBreak/>
        <w:t>THE PLAINTIFFS’ CASE</w:t>
      </w:r>
    </w:p>
    <w:p w14:paraId="72DE4A52" w14:textId="705CD629" w:rsidR="00EF3DE1"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[11]</w:t>
      </w:r>
      <w:r w:rsidRPr="007722EF">
        <w:rPr>
          <w:rFonts w:ascii="Verdana" w:hAnsi="Verdana" w:cs="Arial"/>
          <w:color w:val="000000" w:themeColor="text1"/>
          <w:sz w:val="22"/>
          <w:szCs w:val="22"/>
          <w:lang w:val="en-GB"/>
        </w:rPr>
        <w:tab/>
      </w:r>
      <w:r w:rsidR="00EF3DE1" w:rsidRPr="007722EF">
        <w:rPr>
          <w:rFonts w:ascii="Verdana" w:hAnsi="Verdana" w:cs="Arial"/>
          <w:sz w:val="22"/>
          <w:szCs w:val="22"/>
          <w:lang w:val="en-GB"/>
        </w:rPr>
        <w:t xml:space="preserve">The plaintiffs </w:t>
      </w:r>
      <w:r w:rsidR="004A0E35" w:rsidRPr="007722EF">
        <w:rPr>
          <w:rFonts w:ascii="Verdana" w:hAnsi="Verdana" w:cs="Arial"/>
          <w:sz w:val="22"/>
          <w:szCs w:val="22"/>
          <w:lang w:val="en-GB"/>
        </w:rPr>
        <w:t xml:space="preserve">on the other hand, </w:t>
      </w:r>
      <w:r w:rsidR="00EF3DE1" w:rsidRPr="007722EF">
        <w:rPr>
          <w:rFonts w:ascii="Verdana" w:hAnsi="Verdana" w:cs="Arial"/>
          <w:sz w:val="22"/>
          <w:szCs w:val="22"/>
          <w:lang w:val="en-GB"/>
        </w:rPr>
        <w:t>contend that from a reading of the agreement it is apparent that a long time would have elapsed between the signing of the agreement on 29 August 2018</w:t>
      </w:r>
      <w:r w:rsidR="009C5F24" w:rsidRPr="007722EF">
        <w:rPr>
          <w:rFonts w:ascii="Verdana" w:hAnsi="Verdana" w:cs="Arial"/>
          <w:sz w:val="22"/>
          <w:szCs w:val="22"/>
          <w:lang w:val="en-GB"/>
        </w:rPr>
        <w:t xml:space="preserve"> and the </w:t>
      </w:r>
      <w:r w:rsidR="003E631D" w:rsidRPr="007722EF">
        <w:rPr>
          <w:rFonts w:ascii="Verdana" w:hAnsi="Verdana" w:cs="Arial"/>
          <w:sz w:val="22"/>
          <w:szCs w:val="22"/>
          <w:lang w:val="en-GB"/>
        </w:rPr>
        <w:t>effective</w:t>
      </w:r>
      <w:r w:rsidR="009C5F24" w:rsidRPr="007722EF">
        <w:rPr>
          <w:rFonts w:ascii="Verdana" w:hAnsi="Verdana" w:cs="Arial"/>
          <w:sz w:val="22"/>
          <w:szCs w:val="22"/>
          <w:lang w:val="en-GB"/>
        </w:rPr>
        <w:t xml:space="preserve"> date</w:t>
      </w:r>
      <w:r w:rsidR="00EF3DE1" w:rsidRPr="007722EF">
        <w:rPr>
          <w:rFonts w:ascii="Verdana" w:hAnsi="Verdana" w:cs="Arial"/>
          <w:sz w:val="22"/>
          <w:szCs w:val="22"/>
          <w:lang w:val="en-GB"/>
        </w:rPr>
        <w:t xml:space="preserve">, </w:t>
      </w:r>
      <w:r w:rsidR="009C5F24" w:rsidRPr="007722EF">
        <w:rPr>
          <w:rFonts w:ascii="Verdana" w:hAnsi="Verdana" w:cs="Arial"/>
          <w:sz w:val="22"/>
          <w:szCs w:val="22"/>
          <w:lang w:val="en-GB"/>
        </w:rPr>
        <w:t>which latter date would</w:t>
      </w:r>
      <w:r w:rsidR="00EF3DE1" w:rsidRPr="007722EF">
        <w:rPr>
          <w:rFonts w:ascii="Verdana" w:hAnsi="Verdana" w:cs="Arial"/>
          <w:sz w:val="22"/>
          <w:szCs w:val="22"/>
          <w:lang w:val="en-GB"/>
        </w:rPr>
        <w:t xml:space="preserve"> entit</w:t>
      </w:r>
      <w:r w:rsidR="009C5F24" w:rsidRPr="007722EF">
        <w:rPr>
          <w:rFonts w:ascii="Verdana" w:hAnsi="Verdana" w:cs="Arial"/>
          <w:sz w:val="22"/>
          <w:szCs w:val="22"/>
          <w:lang w:val="en-GB"/>
        </w:rPr>
        <w:t>le</w:t>
      </w:r>
      <w:r w:rsidR="00EF3DE1" w:rsidRPr="007722EF">
        <w:rPr>
          <w:rFonts w:ascii="Verdana" w:hAnsi="Verdana" w:cs="Arial"/>
          <w:sz w:val="22"/>
          <w:szCs w:val="22"/>
          <w:lang w:val="en-GB"/>
        </w:rPr>
        <w:t xml:space="preserve"> the defendant to gain physical possession and control of the businesses and the sale assets. </w:t>
      </w:r>
    </w:p>
    <w:p w14:paraId="54D619A2" w14:textId="1B42E521" w:rsidR="00EF3DE1"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[12]</w:t>
      </w:r>
      <w:r w:rsidRPr="007722EF">
        <w:rPr>
          <w:rFonts w:ascii="Verdana" w:hAnsi="Verdana" w:cs="Arial"/>
          <w:color w:val="000000" w:themeColor="text1"/>
          <w:sz w:val="22"/>
          <w:szCs w:val="22"/>
          <w:lang w:val="en-GB"/>
        </w:rPr>
        <w:tab/>
      </w:r>
      <w:r w:rsidR="00EF3DE1" w:rsidRPr="007722EF">
        <w:rPr>
          <w:rFonts w:ascii="Verdana" w:hAnsi="Verdana" w:cs="Arial"/>
          <w:sz w:val="22"/>
          <w:szCs w:val="22"/>
          <w:lang w:val="en-GB"/>
        </w:rPr>
        <w:t>It is common cause that the effective date occurred on the 10</w:t>
      </w:r>
      <w:r w:rsidR="00EF3DE1" w:rsidRPr="007722EF">
        <w:rPr>
          <w:rFonts w:ascii="Verdana" w:hAnsi="Verdana" w:cs="Arial"/>
          <w:sz w:val="22"/>
          <w:szCs w:val="22"/>
          <w:vertAlign w:val="superscript"/>
          <w:lang w:val="en-GB"/>
        </w:rPr>
        <w:t>th</w:t>
      </w:r>
      <w:r w:rsidR="00EF3DE1" w:rsidRPr="007722EF">
        <w:rPr>
          <w:rFonts w:ascii="Verdana" w:hAnsi="Verdana" w:cs="Arial"/>
          <w:sz w:val="22"/>
          <w:szCs w:val="22"/>
          <w:lang w:val="en-GB"/>
        </w:rPr>
        <w:t xml:space="preserve"> of June 2019 when the immovable properties of the plaintiffs were transferred to the defendant and the defendant paid the purchase price. </w:t>
      </w:r>
    </w:p>
    <w:p w14:paraId="34A240C8" w14:textId="5DD3A3E1" w:rsidR="00EF3DE1"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[13]</w:t>
      </w:r>
      <w:r w:rsidRPr="007722EF">
        <w:rPr>
          <w:rFonts w:ascii="Verdana" w:hAnsi="Verdana" w:cs="Arial"/>
          <w:color w:val="000000" w:themeColor="text1"/>
          <w:sz w:val="22"/>
          <w:szCs w:val="22"/>
          <w:lang w:val="en-GB"/>
        </w:rPr>
        <w:tab/>
      </w:r>
      <w:r w:rsidR="00EF3DE1" w:rsidRPr="007722EF">
        <w:rPr>
          <w:rFonts w:ascii="Verdana" w:hAnsi="Verdana" w:cs="Arial"/>
          <w:sz w:val="22"/>
          <w:szCs w:val="22"/>
          <w:lang w:val="en-GB"/>
        </w:rPr>
        <w:t xml:space="preserve">Because of the anticipated time lapse, provision was made for an interim period whereby the plaintiffs would retain physical and effective control and management of their businesses and sale assets and conduct such businesses as in the past. During the interim period the defendant was not to have physical control and management of the businesses and sale assets. </w:t>
      </w:r>
    </w:p>
    <w:p w14:paraId="07273BF3" w14:textId="23BB26FE" w:rsidR="002B0BA5"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[14]</w:t>
      </w:r>
      <w:r w:rsidRPr="007722EF">
        <w:rPr>
          <w:rFonts w:ascii="Verdana" w:hAnsi="Verdana" w:cs="Arial"/>
          <w:color w:val="000000" w:themeColor="text1"/>
          <w:sz w:val="22"/>
          <w:szCs w:val="22"/>
          <w:lang w:val="en-GB"/>
        </w:rPr>
        <w:tab/>
      </w:r>
      <w:r w:rsidR="00EF3DE1" w:rsidRPr="007722EF">
        <w:rPr>
          <w:rFonts w:ascii="Verdana" w:hAnsi="Verdana" w:cs="Arial"/>
          <w:sz w:val="22"/>
          <w:szCs w:val="22"/>
          <w:lang w:val="en-GB"/>
        </w:rPr>
        <w:t xml:space="preserve">However, </w:t>
      </w:r>
      <w:r w:rsidR="00D9574B" w:rsidRPr="007722EF">
        <w:rPr>
          <w:rFonts w:ascii="Verdana" w:hAnsi="Verdana" w:cs="Arial"/>
          <w:sz w:val="22"/>
          <w:szCs w:val="22"/>
          <w:lang w:val="en-GB"/>
        </w:rPr>
        <w:t xml:space="preserve">the </w:t>
      </w:r>
      <w:r w:rsidR="000D135F" w:rsidRPr="007722EF">
        <w:rPr>
          <w:rFonts w:ascii="Verdana" w:hAnsi="Verdana" w:cs="Arial"/>
          <w:sz w:val="22"/>
          <w:szCs w:val="22"/>
          <w:lang w:val="en-GB"/>
        </w:rPr>
        <w:t>plaintiffs</w:t>
      </w:r>
      <w:r w:rsidR="00D9574B" w:rsidRPr="007722EF">
        <w:rPr>
          <w:rFonts w:ascii="Verdana" w:hAnsi="Verdana" w:cs="Arial"/>
          <w:sz w:val="22"/>
          <w:szCs w:val="22"/>
          <w:lang w:val="en-GB"/>
        </w:rPr>
        <w:t xml:space="preserve"> submit that </w:t>
      </w:r>
      <w:r w:rsidR="00EF3DE1" w:rsidRPr="007722EF">
        <w:rPr>
          <w:rFonts w:ascii="Verdana" w:hAnsi="Verdana" w:cs="Arial"/>
          <w:sz w:val="22"/>
          <w:szCs w:val="22"/>
          <w:lang w:val="en-GB"/>
        </w:rPr>
        <w:t xml:space="preserve">what was anticipated and provided for in the agreement did not occur. </w:t>
      </w:r>
    </w:p>
    <w:p w14:paraId="1EC9F327" w14:textId="7B270A18" w:rsidR="009C1191"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[15]</w:t>
      </w:r>
      <w:r w:rsidRPr="007722EF">
        <w:rPr>
          <w:rFonts w:ascii="Verdana" w:hAnsi="Verdana" w:cs="Arial"/>
          <w:color w:val="000000" w:themeColor="text1"/>
          <w:sz w:val="22"/>
          <w:szCs w:val="22"/>
          <w:lang w:val="en-GB"/>
        </w:rPr>
        <w:tab/>
      </w:r>
      <w:r w:rsidR="002B0BA5" w:rsidRPr="007722EF">
        <w:rPr>
          <w:rFonts w:ascii="Verdana" w:hAnsi="Verdana" w:cs="Arial"/>
          <w:sz w:val="22"/>
          <w:szCs w:val="22"/>
          <w:lang w:val="en-GB"/>
        </w:rPr>
        <w:t xml:space="preserve">What in fact occurred was that </w:t>
      </w:r>
      <w:r w:rsidR="008A04BD" w:rsidRPr="007722EF">
        <w:rPr>
          <w:rFonts w:ascii="Verdana" w:hAnsi="Verdana" w:cs="Arial"/>
          <w:sz w:val="22"/>
          <w:szCs w:val="22"/>
          <w:lang w:val="en-GB"/>
        </w:rPr>
        <w:t xml:space="preserve">the </w:t>
      </w:r>
      <w:r w:rsidR="00EF3DE1" w:rsidRPr="007722EF">
        <w:rPr>
          <w:rFonts w:ascii="Verdana" w:hAnsi="Verdana" w:cs="Arial"/>
          <w:sz w:val="22"/>
          <w:szCs w:val="22"/>
          <w:lang w:val="en-GB"/>
        </w:rPr>
        <w:t xml:space="preserve">defendant took over effective control and management of the businesses of both the plaintiffs one day after the conclusion of the agreement and he started giving directions and instructions that were not contemplated by the provisions of the agreement. </w:t>
      </w:r>
    </w:p>
    <w:p w14:paraId="4F9C05D5" w14:textId="5402669A" w:rsidR="00EF3DE1"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[16]</w:t>
      </w:r>
      <w:r w:rsidRPr="007722EF">
        <w:rPr>
          <w:rFonts w:ascii="Verdana" w:hAnsi="Verdana" w:cs="Arial"/>
          <w:color w:val="000000" w:themeColor="text1"/>
          <w:sz w:val="22"/>
          <w:szCs w:val="22"/>
          <w:lang w:val="en-GB"/>
        </w:rPr>
        <w:tab/>
      </w:r>
      <w:r w:rsidR="00EF3DE1" w:rsidRPr="007722EF">
        <w:rPr>
          <w:rFonts w:ascii="Verdana" w:hAnsi="Verdana" w:cs="Arial"/>
          <w:sz w:val="22"/>
          <w:szCs w:val="22"/>
          <w:lang w:val="en-GB"/>
        </w:rPr>
        <w:t>The defendant therefore took over effective control and management of the businesses on the 30</w:t>
      </w:r>
      <w:r w:rsidR="00EF3DE1" w:rsidRPr="007722EF">
        <w:rPr>
          <w:rFonts w:ascii="Verdana" w:hAnsi="Verdana" w:cs="Arial"/>
          <w:sz w:val="22"/>
          <w:szCs w:val="22"/>
          <w:vertAlign w:val="superscript"/>
          <w:lang w:val="en-GB"/>
        </w:rPr>
        <w:t>th</w:t>
      </w:r>
      <w:r w:rsidR="00EF3DE1" w:rsidRPr="007722EF">
        <w:rPr>
          <w:rFonts w:ascii="Verdana" w:hAnsi="Verdana" w:cs="Arial"/>
          <w:sz w:val="22"/>
          <w:szCs w:val="22"/>
          <w:lang w:val="en-GB"/>
        </w:rPr>
        <w:t xml:space="preserve"> of August 2018, one day after the conclusion of the </w:t>
      </w:r>
      <w:r w:rsidR="00EF3DE1" w:rsidRPr="007722EF">
        <w:rPr>
          <w:rFonts w:ascii="Verdana" w:hAnsi="Verdana" w:cs="Arial"/>
          <w:sz w:val="22"/>
          <w:szCs w:val="22"/>
          <w:lang w:val="en-GB"/>
        </w:rPr>
        <w:lastRenderedPageBreak/>
        <w:t xml:space="preserve">agreement. The factual reality was therefore that the plaintiffs no longer had any control over their businesses and had to purchase other products and the like on the instructions of the defendant after the defendant took possession. </w:t>
      </w:r>
    </w:p>
    <w:p w14:paraId="2F9899AA" w14:textId="230D65AD" w:rsidR="00EF3DE1"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[17]</w:t>
      </w:r>
      <w:r w:rsidRPr="007722EF">
        <w:rPr>
          <w:rFonts w:ascii="Verdana" w:hAnsi="Verdana" w:cs="Arial"/>
          <w:color w:val="000000" w:themeColor="text1"/>
          <w:sz w:val="22"/>
          <w:szCs w:val="22"/>
          <w:lang w:val="en-GB"/>
        </w:rPr>
        <w:tab/>
      </w:r>
      <w:r w:rsidR="00EF3DE1" w:rsidRPr="007722EF">
        <w:rPr>
          <w:rFonts w:ascii="Verdana" w:hAnsi="Verdana" w:cs="Arial"/>
          <w:sz w:val="22"/>
          <w:szCs w:val="22"/>
          <w:lang w:val="en-GB"/>
        </w:rPr>
        <w:t>The changed circumstances necessitated the conclusion of an oral agreement</w:t>
      </w:r>
      <w:r w:rsidR="009C1191" w:rsidRPr="007722EF">
        <w:rPr>
          <w:rFonts w:ascii="Verdana" w:hAnsi="Verdana" w:cs="Arial"/>
          <w:sz w:val="22"/>
          <w:szCs w:val="22"/>
          <w:lang w:val="en-GB"/>
        </w:rPr>
        <w:t>, so the plaintiffs argue</w:t>
      </w:r>
      <w:r w:rsidR="000D135F" w:rsidRPr="007722EF">
        <w:rPr>
          <w:rFonts w:ascii="Verdana" w:hAnsi="Verdana" w:cs="Arial"/>
          <w:sz w:val="22"/>
          <w:szCs w:val="22"/>
          <w:lang w:val="en-GB"/>
        </w:rPr>
        <w:t>, and such oral agreement</w:t>
      </w:r>
      <w:r w:rsidR="00EF3DE1" w:rsidRPr="007722EF">
        <w:rPr>
          <w:rFonts w:ascii="Verdana" w:hAnsi="Verdana" w:cs="Arial"/>
          <w:sz w:val="22"/>
          <w:szCs w:val="22"/>
          <w:lang w:val="en-GB"/>
        </w:rPr>
        <w:t xml:space="preserve"> goes beyond the scope and ambit of the non-variation clause contained in the </w:t>
      </w:r>
      <w:r w:rsidR="002B7E42" w:rsidRPr="007722EF">
        <w:rPr>
          <w:rFonts w:ascii="Verdana" w:hAnsi="Verdana" w:cs="Arial"/>
          <w:sz w:val="22"/>
          <w:szCs w:val="22"/>
          <w:lang w:val="en-GB"/>
        </w:rPr>
        <w:t>written</w:t>
      </w:r>
      <w:r w:rsidR="00EF3DE1" w:rsidRPr="007722EF">
        <w:rPr>
          <w:rFonts w:ascii="Verdana" w:hAnsi="Verdana" w:cs="Arial"/>
          <w:sz w:val="22"/>
          <w:szCs w:val="22"/>
          <w:lang w:val="en-GB"/>
        </w:rPr>
        <w:t xml:space="preserve"> agreement. </w:t>
      </w:r>
    </w:p>
    <w:p w14:paraId="0C4BEE12" w14:textId="6EAAA1C8" w:rsidR="00EF3DE1"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[18]</w:t>
      </w:r>
      <w:r w:rsidRPr="007722EF">
        <w:rPr>
          <w:rFonts w:ascii="Verdana" w:hAnsi="Verdana" w:cs="Arial"/>
          <w:color w:val="000000" w:themeColor="text1"/>
          <w:sz w:val="22"/>
          <w:szCs w:val="22"/>
          <w:lang w:val="en-GB"/>
        </w:rPr>
        <w:tab/>
      </w:r>
      <w:r w:rsidR="00EF3DE1" w:rsidRPr="007722EF">
        <w:rPr>
          <w:rFonts w:ascii="Verdana" w:hAnsi="Verdana" w:cs="Arial"/>
          <w:sz w:val="22"/>
          <w:szCs w:val="22"/>
          <w:lang w:val="en-GB"/>
        </w:rPr>
        <w:t xml:space="preserve">Accordingly, the plaintiffs contend that the proper interpretation of clause 7.3 of the written agreement </w:t>
      </w:r>
      <w:proofErr w:type="gramStart"/>
      <w:r w:rsidR="00EF3DE1" w:rsidRPr="007722EF">
        <w:rPr>
          <w:rFonts w:ascii="Verdana" w:hAnsi="Verdana" w:cs="Arial"/>
          <w:sz w:val="22"/>
          <w:szCs w:val="22"/>
          <w:lang w:val="en-GB"/>
        </w:rPr>
        <w:t>and also</w:t>
      </w:r>
      <w:proofErr w:type="gramEnd"/>
      <w:r w:rsidR="00EF3DE1" w:rsidRPr="007722EF">
        <w:rPr>
          <w:rFonts w:ascii="Verdana" w:hAnsi="Verdana" w:cs="Arial"/>
          <w:sz w:val="22"/>
          <w:szCs w:val="22"/>
          <w:lang w:val="en-GB"/>
        </w:rPr>
        <w:t xml:space="preserve"> the non-variation clause is that they are limited to instances where the plaintiffs operated their businesses in the usual course and/or in the usual manner </w:t>
      </w:r>
      <w:r w:rsidR="002B7E42" w:rsidRPr="007722EF">
        <w:rPr>
          <w:rFonts w:ascii="Verdana" w:hAnsi="Verdana" w:cs="Arial"/>
          <w:sz w:val="22"/>
          <w:szCs w:val="22"/>
          <w:lang w:val="en-GB"/>
        </w:rPr>
        <w:t xml:space="preserve">and would be </w:t>
      </w:r>
      <w:r w:rsidR="00EF3DE1" w:rsidRPr="007722EF">
        <w:rPr>
          <w:rFonts w:ascii="Verdana" w:hAnsi="Verdana" w:cs="Arial"/>
          <w:sz w:val="22"/>
          <w:szCs w:val="22"/>
          <w:lang w:val="en-GB"/>
        </w:rPr>
        <w:t xml:space="preserve">limited to those items specifically listed in annexure “W”. </w:t>
      </w:r>
    </w:p>
    <w:p w14:paraId="57F8DDD0" w14:textId="7472AED9" w:rsidR="00EF3DE1"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[19]</w:t>
      </w:r>
      <w:r w:rsidRPr="007722EF">
        <w:rPr>
          <w:rFonts w:ascii="Verdana" w:hAnsi="Verdana" w:cs="Arial"/>
          <w:color w:val="000000" w:themeColor="text1"/>
          <w:sz w:val="22"/>
          <w:szCs w:val="22"/>
          <w:lang w:val="en-GB"/>
        </w:rPr>
        <w:tab/>
      </w:r>
      <w:r w:rsidR="00EF3DE1" w:rsidRPr="007722EF">
        <w:rPr>
          <w:rFonts w:ascii="Verdana" w:hAnsi="Verdana" w:cs="Arial"/>
          <w:sz w:val="22"/>
          <w:szCs w:val="22"/>
          <w:lang w:val="en-GB"/>
        </w:rPr>
        <w:t>Consequently</w:t>
      </w:r>
      <w:r w:rsidR="00466228" w:rsidRPr="007722EF">
        <w:rPr>
          <w:rFonts w:ascii="Verdana" w:hAnsi="Verdana" w:cs="Arial"/>
          <w:sz w:val="22"/>
          <w:szCs w:val="22"/>
          <w:lang w:val="en-GB"/>
        </w:rPr>
        <w:t>, it is the plaintiff</w:t>
      </w:r>
      <w:r w:rsidR="00627249" w:rsidRPr="007722EF">
        <w:rPr>
          <w:rFonts w:ascii="Verdana" w:hAnsi="Verdana" w:cs="Arial"/>
          <w:sz w:val="22"/>
          <w:szCs w:val="22"/>
          <w:lang w:val="en-GB"/>
        </w:rPr>
        <w:t>s</w:t>
      </w:r>
      <w:r w:rsidR="00466228" w:rsidRPr="007722EF">
        <w:rPr>
          <w:rFonts w:ascii="Verdana" w:hAnsi="Verdana" w:cs="Arial"/>
          <w:sz w:val="22"/>
          <w:szCs w:val="22"/>
          <w:lang w:val="en-GB"/>
        </w:rPr>
        <w:t>’ case that</w:t>
      </w:r>
      <w:r w:rsidR="00EF3DE1" w:rsidRPr="007722EF">
        <w:rPr>
          <w:rFonts w:ascii="Verdana" w:hAnsi="Verdana" w:cs="Arial"/>
          <w:sz w:val="22"/>
          <w:szCs w:val="22"/>
          <w:lang w:val="en-GB"/>
        </w:rPr>
        <w:t xml:space="preserve"> the</w:t>
      </w:r>
      <w:r w:rsidR="00466228" w:rsidRPr="007722EF">
        <w:rPr>
          <w:rFonts w:ascii="Verdana" w:hAnsi="Verdana" w:cs="Arial"/>
          <w:sz w:val="22"/>
          <w:szCs w:val="22"/>
          <w:lang w:val="en-GB"/>
        </w:rPr>
        <w:t>ir</w:t>
      </w:r>
      <w:r w:rsidR="00EF3DE1" w:rsidRPr="007722EF">
        <w:rPr>
          <w:rFonts w:ascii="Verdana" w:hAnsi="Verdana" w:cs="Arial"/>
          <w:sz w:val="22"/>
          <w:szCs w:val="22"/>
          <w:lang w:val="en-GB"/>
        </w:rPr>
        <w:t xml:space="preserve"> claims founded on the oral agreement do not add to, </w:t>
      </w:r>
      <w:proofErr w:type="gramStart"/>
      <w:r w:rsidR="00EF3DE1" w:rsidRPr="007722EF">
        <w:rPr>
          <w:rFonts w:ascii="Verdana" w:hAnsi="Verdana" w:cs="Arial"/>
          <w:sz w:val="22"/>
          <w:szCs w:val="22"/>
          <w:lang w:val="en-GB"/>
        </w:rPr>
        <w:t>alter</w:t>
      </w:r>
      <w:proofErr w:type="gramEnd"/>
      <w:r w:rsidR="00EF3DE1" w:rsidRPr="007722EF">
        <w:rPr>
          <w:rFonts w:ascii="Verdana" w:hAnsi="Verdana" w:cs="Arial"/>
          <w:sz w:val="22"/>
          <w:szCs w:val="22"/>
          <w:lang w:val="en-GB"/>
        </w:rPr>
        <w:t xml:space="preserve"> or contradict or vary clause 7.3 of the written agreement or the non-variation clause therein contained. The oral agreement is beyond the scope and ambit of the provisions of the written agreement. </w:t>
      </w:r>
    </w:p>
    <w:p w14:paraId="01625406" w14:textId="56A0DE08" w:rsidR="00EF3DE1"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[20]</w:t>
      </w:r>
      <w:r w:rsidRPr="007722EF">
        <w:rPr>
          <w:rFonts w:ascii="Verdana" w:hAnsi="Verdana" w:cs="Arial"/>
          <w:color w:val="000000" w:themeColor="text1"/>
          <w:sz w:val="22"/>
          <w:szCs w:val="22"/>
          <w:lang w:val="en-GB"/>
        </w:rPr>
        <w:tab/>
      </w:r>
      <w:r w:rsidR="00EF3DE1" w:rsidRPr="007722EF">
        <w:rPr>
          <w:rFonts w:ascii="Verdana" w:hAnsi="Verdana" w:cs="Arial"/>
          <w:sz w:val="22"/>
          <w:szCs w:val="22"/>
          <w:lang w:val="en-GB"/>
        </w:rPr>
        <w:t>Furthermore, the proper interpretation to be placed on clause 7.3, the non</w:t>
      </w:r>
      <w:r w:rsidR="00EF3DE1" w:rsidRPr="007722EF">
        <w:rPr>
          <w:rFonts w:ascii="Verdana" w:hAnsi="Verdana" w:cs="Arial"/>
          <w:sz w:val="22"/>
          <w:szCs w:val="22"/>
          <w:lang w:val="en-GB"/>
        </w:rPr>
        <w:noBreakHyphen/>
        <w:t xml:space="preserve">variation clause, reveals that the oral agreement relied on by the plaintiffs is truly extrinsic to the written agreements and therefore not in conflict with such agreement. </w:t>
      </w:r>
    </w:p>
    <w:p w14:paraId="5BC84A76" w14:textId="6C5A133C" w:rsidR="002F523C" w:rsidRPr="007722EF" w:rsidRDefault="00366A5E" w:rsidP="00366A5E">
      <w:pPr>
        <w:pStyle w:val="Indent"/>
        <w:widowControl w:val="0"/>
        <w:numPr>
          <w:ilvl w:val="0"/>
          <w:numId w:val="0"/>
        </w:numPr>
        <w:spacing w:after="360" w:line="480" w:lineRule="auto"/>
        <w:ind w:left="720" w:hanging="720"/>
        <w:jc w:val="both"/>
        <w:rPr>
          <w:rFonts w:ascii="Verdana" w:hAnsi="Verdana" w:cs="Arial"/>
          <w:sz w:val="22"/>
          <w:szCs w:val="22"/>
          <w:lang w:val="en-GB"/>
        </w:rPr>
      </w:pPr>
      <w:r w:rsidRPr="007722EF">
        <w:rPr>
          <w:rFonts w:ascii="Verdana" w:hAnsi="Verdana" w:cs="Arial"/>
          <w:color w:val="000000" w:themeColor="text1"/>
          <w:sz w:val="22"/>
          <w:szCs w:val="22"/>
          <w:lang w:val="en-GB"/>
        </w:rPr>
        <w:t>[21]</w:t>
      </w:r>
      <w:r w:rsidRPr="007722EF">
        <w:rPr>
          <w:rFonts w:ascii="Verdana" w:hAnsi="Verdana" w:cs="Arial"/>
          <w:color w:val="000000" w:themeColor="text1"/>
          <w:sz w:val="22"/>
          <w:szCs w:val="22"/>
          <w:lang w:val="en-GB"/>
        </w:rPr>
        <w:tab/>
      </w:r>
      <w:r w:rsidR="00EF3DE1" w:rsidRPr="007722EF">
        <w:rPr>
          <w:rFonts w:ascii="Verdana" w:hAnsi="Verdana" w:cs="Arial"/>
          <w:sz w:val="22"/>
          <w:szCs w:val="22"/>
          <w:lang w:val="en-GB"/>
        </w:rPr>
        <w:t xml:space="preserve">Accordingly, so the plaintiffs argue, they would be able to prove its terms </w:t>
      </w:r>
      <w:r w:rsidR="00EF3DE1" w:rsidRPr="007722EF">
        <w:rPr>
          <w:rFonts w:ascii="Verdana" w:hAnsi="Verdana" w:cs="Arial"/>
          <w:sz w:val="22"/>
          <w:szCs w:val="22"/>
          <w:lang w:val="en-GB"/>
        </w:rPr>
        <w:lastRenderedPageBreak/>
        <w:t xml:space="preserve">and therefore the entire function and/or purpose of an exception, which is to ensure the elimination of unnecessary evidence, has not been achieved. </w:t>
      </w:r>
    </w:p>
    <w:p w14:paraId="46AB9CFC" w14:textId="65F8E519" w:rsidR="00535715" w:rsidRPr="007722EF" w:rsidRDefault="00535715" w:rsidP="008B1845">
      <w:pPr>
        <w:pStyle w:val="Indent"/>
        <w:keepNext/>
        <w:widowControl w:val="0"/>
        <w:numPr>
          <w:ilvl w:val="0"/>
          <w:numId w:val="0"/>
        </w:numPr>
        <w:spacing w:after="120" w:line="480" w:lineRule="auto"/>
        <w:jc w:val="both"/>
        <w:rPr>
          <w:rFonts w:ascii="Verdana" w:hAnsi="Verdana" w:cs="Arial"/>
          <w:b/>
          <w:bCs/>
          <w:sz w:val="22"/>
          <w:szCs w:val="22"/>
          <w:lang w:val="en-GB"/>
        </w:rPr>
      </w:pPr>
      <w:r w:rsidRPr="007722EF">
        <w:rPr>
          <w:rFonts w:ascii="Verdana" w:hAnsi="Verdana" w:cs="Arial"/>
          <w:b/>
          <w:bCs/>
          <w:sz w:val="22"/>
          <w:szCs w:val="22"/>
          <w:lang w:val="en-GB"/>
        </w:rPr>
        <w:t>THE LAW</w:t>
      </w:r>
    </w:p>
    <w:p w14:paraId="5A88967E" w14:textId="441CCF83" w:rsidR="00906FAA" w:rsidRPr="007722EF" w:rsidRDefault="00906FAA" w:rsidP="00627249">
      <w:pPr>
        <w:pStyle w:val="Indent"/>
        <w:keepNext/>
        <w:widowControl w:val="0"/>
        <w:numPr>
          <w:ilvl w:val="0"/>
          <w:numId w:val="0"/>
        </w:numPr>
        <w:spacing w:after="360" w:line="480" w:lineRule="auto"/>
        <w:jc w:val="both"/>
        <w:rPr>
          <w:rFonts w:ascii="Verdana" w:hAnsi="Verdana" w:cs="Arial"/>
          <w:b/>
          <w:bCs/>
          <w:sz w:val="22"/>
          <w:szCs w:val="22"/>
          <w:lang w:val="en-GB"/>
        </w:rPr>
      </w:pPr>
      <w:r w:rsidRPr="007722EF">
        <w:rPr>
          <w:rFonts w:ascii="Verdana" w:hAnsi="Verdana" w:cs="Arial"/>
          <w:b/>
          <w:bCs/>
          <w:sz w:val="22"/>
          <w:szCs w:val="22"/>
          <w:lang w:val="en-GB"/>
        </w:rPr>
        <w:t>Exceptions</w:t>
      </w:r>
    </w:p>
    <w:p w14:paraId="512A44EC" w14:textId="30BA0B8E" w:rsidR="008D7E3B"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[22]</w:t>
      </w:r>
      <w:r w:rsidRPr="007722EF">
        <w:rPr>
          <w:rFonts w:ascii="Verdana" w:hAnsi="Verdana"/>
          <w:color w:val="000000" w:themeColor="text1"/>
          <w:sz w:val="22"/>
          <w:szCs w:val="22"/>
          <w:lang w:val="en-GB"/>
        </w:rPr>
        <w:tab/>
      </w:r>
      <w:r w:rsidR="008D7E3B" w:rsidRPr="007722EF">
        <w:rPr>
          <w:rFonts w:ascii="Verdana" w:hAnsi="Verdana"/>
          <w:sz w:val="22"/>
          <w:szCs w:val="22"/>
          <w:lang w:val="en-GB"/>
        </w:rPr>
        <w:t>This court ha</w:t>
      </w:r>
      <w:r w:rsidR="005F07EE" w:rsidRPr="007722EF">
        <w:rPr>
          <w:rFonts w:ascii="Verdana" w:hAnsi="Verdana"/>
          <w:sz w:val="22"/>
          <w:szCs w:val="22"/>
          <w:lang w:val="en-GB"/>
        </w:rPr>
        <w:t>s previously</w:t>
      </w:r>
      <w:r w:rsidR="007B1473" w:rsidRPr="007722EF">
        <w:rPr>
          <w:rStyle w:val="FootnoteReference"/>
          <w:rFonts w:ascii="Verdana" w:hAnsi="Verdana"/>
          <w:sz w:val="22"/>
          <w:szCs w:val="22"/>
          <w:lang w:val="en-GB"/>
        </w:rPr>
        <w:footnoteReference w:id="5"/>
      </w:r>
      <w:r w:rsidR="005F07EE" w:rsidRPr="007722EF">
        <w:rPr>
          <w:rFonts w:ascii="Verdana" w:hAnsi="Verdana"/>
          <w:sz w:val="22"/>
          <w:szCs w:val="22"/>
          <w:lang w:val="en-GB"/>
        </w:rPr>
        <w:t xml:space="preserve"> </w:t>
      </w:r>
      <w:r w:rsidR="0017092C" w:rsidRPr="007722EF">
        <w:rPr>
          <w:rFonts w:ascii="Verdana" w:hAnsi="Verdana"/>
          <w:sz w:val="22"/>
          <w:szCs w:val="22"/>
          <w:lang w:val="en-GB"/>
        </w:rPr>
        <w:t>crys</w:t>
      </w:r>
      <w:r w:rsidR="00627249" w:rsidRPr="007722EF">
        <w:rPr>
          <w:rFonts w:ascii="Verdana" w:hAnsi="Verdana"/>
          <w:sz w:val="22"/>
          <w:szCs w:val="22"/>
          <w:lang w:val="en-GB"/>
        </w:rPr>
        <w:t>t</w:t>
      </w:r>
      <w:r w:rsidR="0017092C" w:rsidRPr="007722EF">
        <w:rPr>
          <w:rFonts w:ascii="Verdana" w:hAnsi="Verdana"/>
          <w:sz w:val="22"/>
          <w:szCs w:val="22"/>
          <w:lang w:val="en-GB"/>
        </w:rPr>
        <w:t xml:space="preserve">alised </w:t>
      </w:r>
      <w:r w:rsidR="005F07EE" w:rsidRPr="007722EF">
        <w:rPr>
          <w:rFonts w:ascii="Verdana" w:hAnsi="Verdana"/>
          <w:sz w:val="22"/>
          <w:szCs w:val="22"/>
          <w:lang w:val="en-GB"/>
        </w:rPr>
        <w:t>the principles applicable to exception</w:t>
      </w:r>
      <w:r w:rsidR="0017092C" w:rsidRPr="007722EF">
        <w:rPr>
          <w:rFonts w:ascii="Verdana" w:hAnsi="Verdana"/>
          <w:sz w:val="22"/>
          <w:szCs w:val="22"/>
          <w:lang w:val="en-GB"/>
        </w:rPr>
        <w:t>s</w:t>
      </w:r>
      <w:r w:rsidR="005F07EE" w:rsidRPr="007722EF">
        <w:rPr>
          <w:rFonts w:ascii="Verdana" w:hAnsi="Verdana"/>
          <w:sz w:val="22"/>
          <w:szCs w:val="22"/>
          <w:lang w:val="en-GB"/>
        </w:rPr>
        <w:t xml:space="preserve">. </w:t>
      </w:r>
      <w:r w:rsidR="007B1473" w:rsidRPr="007722EF">
        <w:rPr>
          <w:rFonts w:ascii="Verdana" w:hAnsi="Verdana"/>
          <w:sz w:val="22"/>
          <w:szCs w:val="22"/>
          <w:lang w:val="en-GB"/>
        </w:rPr>
        <w:t>A refresher of these principles is always useful and instructive:</w:t>
      </w:r>
      <w:r w:rsidR="00627249" w:rsidRPr="007722EF">
        <w:rPr>
          <w:rFonts w:ascii="Verdana" w:hAnsi="Verdana"/>
          <w:sz w:val="22"/>
          <w:szCs w:val="22"/>
          <w:lang w:val="en-GB"/>
        </w:rPr>
        <w:t> -</w:t>
      </w:r>
    </w:p>
    <w:p w14:paraId="0A3EA695" w14:textId="3B64E6BD" w:rsidR="008C2605" w:rsidRPr="007722EF" w:rsidRDefault="008C2605" w:rsidP="00627249">
      <w:pPr>
        <w:pStyle w:val="Indent"/>
        <w:numPr>
          <w:ilvl w:val="0"/>
          <w:numId w:val="0"/>
        </w:numPr>
        <w:spacing w:line="480" w:lineRule="auto"/>
        <w:ind w:left="1560" w:hanging="851"/>
        <w:jc w:val="both"/>
        <w:rPr>
          <w:rFonts w:ascii="Verdana" w:hAnsi="Verdana"/>
          <w:sz w:val="22"/>
          <w:szCs w:val="22"/>
          <w:lang w:val="en-GB"/>
        </w:rPr>
      </w:pPr>
      <w:r w:rsidRPr="007722EF">
        <w:rPr>
          <w:rFonts w:ascii="Verdana" w:hAnsi="Verdana"/>
          <w:sz w:val="22"/>
          <w:szCs w:val="22"/>
          <w:lang w:val="en-GB"/>
        </w:rPr>
        <w:t>22.1</w:t>
      </w:r>
      <w:r w:rsidRPr="007722EF">
        <w:rPr>
          <w:rFonts w:ascii="Verdana" w:hAnsi="Verdana"/>
          <w:sz w:val="22"/>
          <w:szCs w:val="22"/>
          <w:lang w:val="en-GB"/>
        </w:rPr>
        <w:tab/>
        <w:t>In considering an exception that a pleading does not sustain a cause of action, the court will accept, as true, the allegations pleaded by</w:t>
      </w:r>
      <w:r w:rsidR="00627249" w:rsidRPr="007722EF">
        <w:rPr>
          <w:rFonts w:ascii="Verdana" w:hAnsi="Verdana"/>
          <w:sz w:val="22"/>
          <w:szCs w:val="22"/>
          <w:lang w:val="en-GB"/>
        </w:rPr>
        <w:t xml:space="preserve"> </w:t>
      </w:r>
      <w:r w:rsidRPr="007722EF">
        <w:rPr>
          <w:rFonts w:ascii="Verdana" w:hAnsi="Verdana"/>
          <w:sz w:val="22"/>
          <w:szCs w:val="22"/>
          <w:lang w:val="en-GB"/>
        </w:rPr>
        <w:t>the plaintiff to assess whether they disclose a cause of action.</w:t>
      </w:r>
    </w:p>
    <w:p w14:paraId="4EE275C6" w14:textId="77777777" w:rsidR="008C2605" w:rsidRPr="007722EF" w:rsidRDefault="008C2605" w:rsidP="008C2605">
      <w:pPr>
        <w:pStyle w:val="Indent"/>
        <w:numPr>
          <w:ilvl w:val="0"/>
          <w:numId w:val="0"/>
        </w:numPr>
        <w:spacing w:line="480" w:lineRule="auto"/>
        <w:ind w:left="1560" w:hanging="993"/>
        <w:jc w:val="both"/>
        <w:rPr>
          <w:rFonts w:ascii="Verdana" w:hAnsi="Verdana"/>
          <w:sz w:val="22"/>
          <w:szCs w:val="22"/>
          <w:lang w:val="en-GB"/>
        </w:rPr>
      </w:pPr>
    </w:p>
    <w:p w14:paraId="368B612A" w14:textId="005A5A79" w:rsidR="008C2605" w:rsidRPr="007722EF" w:rsidRDefault="008C2605" w:rsidP="00627249">
      <w:pPr>
        <w:pStyle w:val="Indent"/>
        <w:numPr>
          <w:ilvl w:val="0"/>
          <w:numId w:val="0"/>
        </w:numPr>
        <w:spacing w:line="480" w:lineRule="auto"/>
        <w:ind w:left="1560" w:hanging="851"/>
        <w:jc w:val="both"/>
        <w:rPr>
          <w:rFonts w:ascii="Verdana" w:hAnsi="Verdana"/>
          <w:sz w:val="22"/>
          <w:szCs w:val="22"/>
          <w:lang w:val="en-GB"/>
        </w:rPr>
      </w:pPr>
      <w:r w:rsidRPr="007722EF">
        <w:rPr>
          <w:rFonts w:ascii="Verdana" w:hAnsi="Verdana"/>
          <w:sz w:val="22"/>
          <w:szCs w:val="22"/>
          <w:lang w:val="en-GB"/>
        </w:rPr>
        <w:t>22.2</w:t>
      </w:r>
      <w:r w:rsidRPr="007722EF">
        <w:rPr>
          <w:rFonts w:ascii="Verdana" w:hAnsi="Verdana"/>
          <w:sz w:val="22"/>
          <w:szCs w:val="22"/>
          <w:lang w:val="en-GB"/>
        </w:rPr>
        <w:tab/>
        <w:t>The object of an exception is not to embarrass one's opponent or to take advantage of a technical flaw, but to dispose of the case or a portion thereof in an expeditious manner, or to protect oneself against an embarrassment which is so serious as to merit the costs</w:t>
      </w:r>
      <w:r w:rsidR="0006254A" w:rsidRPr="007722EF">
        <w:rPr>
          <w:rFonts w:ascii="Verdana" w:hAnsi="Verdana"/>
          <w:sz w:val="22"/>
          <w:szCs w:val="22"/>
          <w:lang w:val="en-GB"/>
        </w:rPr>
        <w:t xml:space="preserve"> </w:t>
      </w:r>
      <w:r w:rsidRPr="007722EF">
        <w:rPr>
          <w:rFonts w:ascii="Verdana" w:hAnsi="Verdana"/>
          <w:sz w:val="22"/>
          <w:szCs w:val="22"/>
          <w:lang w:val="en-GB"/>
        </w:rPr>
        <w:t>even of an exception.</w:t>
      </w:r>
      <w:r w:rsidR="0063603D" w:rsidRPr="007722EF">
        <w:rPr>
          <w:rStyle w:val="FootnoteReference"/>
          <w:rFonts w:ascii="Verdana" w:hAnsi="Verdana"/>
          <w:sz w:val="22"/>
          <w:szCs w:val="22"/>
          <w:lang w:val="en-GB"/>
        </w:rPr>
        <w:footnoteReference w:id="6"/>
      </w:r>
      <w:r w:rsidR="0063603D" w:rsidRPr="007722EF">
        <w:rPr>
          <w:rFonts w:ascii="Verdana" w:hAnsi="Verdana"/>
          <w:sz w:val="22"/>
          <w:szCs w:val="22"/>
          <w:lang w:val="en-GB"/>
        </w:rPr>
        <w:t xml:space="preserve"> </w:t>
      </w:r>
    </w:p>
    <w:p w14:paraId="6266C10D" w14:textId="77777777" w:rsidR="008C2605" w:rsidRPr="007722EF" w:rsidRDefault="008C2605" w:rsidP="008C2605">
      <w:pPr>
        <w:pStyle w:val="Indent"/>
        <w:numPr>
          <w:ilvl w:val="0"/>
          <w:numId w:val="0"/>
        </w:numPr>
        <w:spacing w:line="480" w:lineRule="auto"/>
        <w:ind w:left="1560" w:hanging="993"/>
        <w:jc w:val="both"/>
        <w:rPr>
          <w:rFonts w:ascii="Verdana" w:hAnsi="Verdana"/>
          <w:sz w:val="22"/>
          <w:szCs w:val="22"/>
          <w:lang w:val="en-GB"/>
        </w:rPr>
      </w:pPr>
    </w:p>
    <w:p w14:paraId="6D02B279" w14:textId="0993CC21" w:rsidR="0006254A" w:rsidRPr="007722EF" w:rsidRDefault="008C2605" w:rsidP="00627249">
      <w:pPr>
        <w:pStyle w:val="Indent"/>
        <w:numPr>
          <w:ilvl w:val="0"/>
          <w:numId w:val="0"/>
        </w:numPr>
        <w:spacing w:line="480" w:lineRule="auto"/>
        <w:ind w:left="1560" w:hanging="851"/>
        <w:jc w:val="both"/>
        <w:rPr>
          <w:rFonts w:ascii="Verdana" w:hAnsi="Verdana"/>
          <w:sz w:val="22"/>
          <w:szCs w:val="22"/>
          <w:lang w:val="en-GB"/>
        </w:rPr>
      </w:pPr>
      <w:r w:rsidRPr="007722EF">
        <w:rPr>
          <w:rFonts w:ascii="Verdana" w:hAnsi="Verdana"/>
          <w:sz w:val="22"/>
          <w:szCs w:val="22"/>
          <w:lang w:val="en-GB"/>
        </w:rPr>
        <w:t>22.3</w:t>
      </w:r>
      <w:r w:rsidRPr="007722EF">
        <w:rPr>
          <w:rFonts w:ascii="Verdana" w:hAnsi="Verdana"/>
          <w:sz w:val="22"/>
          <w:szCs w:val="22"/>
          <w:lang w:val="en-GB"/>
        </w:rPr>
        <w:tab/>
        <w:t>The purpose of an exception is to raise a substantive question of law which may have the effect of settling the dispute between the parties.</w:t>
      </w:r>
      <w:r w:rsidR="0006254A" w:rsidRPr="007722EF">
        <w:rPr>
          <w:rFonts w:ascii="Verdana" w:hAnsi="Verdana"/>
          <w:sz w:val="22"/>
          <w:szCs w:val="22"/>
          <w:lang w:val="en-GB"/>
        </w:rPr>
        <w:t xml:space="preserve"> </w:t>
      </w:r>
      <w:r w:rsidRPr="007722EF">
        <w:rPr>
          <w:rFonts w:ascii="Verdana" w:hAnsi="Verdana"/>
          <w:sz w:val="22"/>
          <w:szCs w:val="22"/>
          <w:lang w:val="en-GB"/>
        </w:rPr>
        <w:t>If the exception is not taken for that purpose, an excipient should</w:t>
      </w:r>
      <w:r w:rsidR="000C5FF6" w:rsidRPr="007722EF">
        <w:rPr>
          <w:rFonts w:ascii="Verdana" w:hAnsi="Verdana"/>
          <w:sz w:val="22"/>
          <w:szCs w:val="22"/>
          <w:lang w:val="en-GB"/>
        </w:rPr>
        <w:t xml:space="preserve"> </w:t>
      </w:r>
      <w:r w:rsidRPr="007722EF">
        <w:rPr>
          <w:rFonts w:ascii="Verdana" w:hAnsi="Verdana"/>
          <w:sz w:val="22"/>
          <w:szCs w:val="22"/>
          <w:lang w:val="en-GB"/>
        </w:rPr>
        <w:t>make out a very clear case before it would be allowed to succeed.</w:t>
      </w:r>
      <w:r w:rsidR="000C5FF6" w:rsidRPr="007722EF">
        <w:rPr>
          <w:rStyle w:val="FootnoteReference"/>
          <w:rFonts w:ascii="Verdana" w:hAnsi="Verdana"/>
          <w:sz w:val="22"/>
          <w:szCs w:val="22"/>
          <w:lang w:val="en-GB"/>
        </w:rPr>
        <w:footnoteReference w:id="7"/>
      </w:r>
      <w:r w:rsidR="00821680" w:rsidRPr="007722EF">
        <w:rPr>
          <w:rFonts w:ascii="Verdana" w:hAnsi="Verdana"/>
          <w:sz w:val="22"/>
          <w:szCs w:val="22"/>
          <w:lang w:val="en-GB"/>
        </w:rPr>
        <w:t xml:space="preserve"> </w:t>
      </w:r>
    </w:p>
    <w:p w14:paraId="3C783E43" w14:textId="64FD3BD0" w:rsidR="0006254A" w:rsidRPr="007722EF" w:rsidRDefault="0006254A" w:rsidP="00627249">
      <w:pPr>
        <w:pStyle w:val="Indent"/>
        <w:numPr>
          <w:ilvl w:val="0"/>
          <w:numId w:val="0"/>
        </w:numPr>
        <w:spacing w:line="480" w:lineRule="auto"/>
        <w:ind w:left="1560" w:hanging="851"/>
        <w:jc w:val="both"/>
        <w:rPr>
          <w:rFonts w:ascii="Verdana" w:hAnsi="Verdana"/>
          <w:sz w:val="22"/>
          <w:szCs w:val="22"/>
          <w:lang w:val="en-GB"/>
        </w:rPr>
      </w:pPr>
      <w:r w:rsidRPr="007722EF">
        <w:rPr>
          <w:rFonts w:ascii="Verdana" w:hAnsi="Verdana"/>
          <w:sz w:val="22"/>
          <w:szCs w:val="22"/>
          <w:lang w:val="en-GB"/>
        </w:rPr>
        <w:lastRenderedPageBreak/>
        <w:t>22.4</w:t>
      </w:r>
      <w:r w:rsidRPr="007722EF">
        <w:rPr>
          <w:rFonts w:ascii="Verdana" w:hAnsi="Verdana"/>
          <w:sz w:val="22"/>
          <w:szCs w:val="22"/>
          <w:lang w:val="en-GB"/>
        </w:rPr>
        <w:tab/>
      </w:r>
      <w:r w:rsidR="008C2605" w:rsidRPr="007722EF">
        <w:rPr>
          <w:rFonts w:ascii="Verdana" w:hAnsi="Verdana"/>
          <w:sz w:val="22"/>
          <w:szCs w:val="22"/>
          <w:lang w:val="en-GB"/>
        </w:rPr>
        <w:t>An excipient who alleges that a summons does not disclose a cause of action must establish that, upon any construction of the particulars of claim, no cause of action is disclosed.</w:t>
      </w:r>
      <w:r w:rsidR="00FB0A97" w:rsidRPr="007722EF">
        <w:rPr>
          <w:rStyle w:val="FootnoteReference"/>
          <w:rFonts w:ascii="Verdana" w:hAnsi="Verdana"/>
          <w:sz w:val="22"/>
          <w:szCs w:val="22"/>
          <w:lang w:val="en-GB"/>
        </w:rPr>
        <w:footnoteReference w:id="8"/>
      </w:r>
      <w:r w:rsidR="000C5FF6" w:rsidRPr="007722EF">
        <w:rPr>
          <w:rFonts w:ascii="Verdana" w:hAnsi="Verdana"/>
          <w:sz w:val="22"/>
          <w:szCs w:val="22"/>
          <w:lang w:val="en-GB"/>
        </w:rPr>
        <w:t xml:space="preserve"> </w:t>
      </w:r>
    </w:p>
    <w:p w14:paraId="5AB5F505" w14:textId="77777777" w:rsidR="0006254A" w:rsidRPr="007722EF" w:rsidRDefault="0006254A" w:rsidP="0006254A">
      <w:pPr>
        <w:pStyle w:val="Indent"/>
        <w:numPr>
          <w:ilvl w:val="0"/>
          <w:numId w:val="0"/>
        </w:numPr>
        <w:spacing w:line="480" w:lineRule="auto"/>
        <w:ind w:left="1560" w:hanging="993"/>
        <w:jc w:val="both"/>
        <w:rPr>
          <w:rFonts w:ascii="Verdana" w:hAnsi="Verdana"/>
          <w:sz w:val="22"/>
          <w:szCs w:val="22"/>
          <w:lang w:val="en-GB"/>
        </w:rPr>
      </w:pPr>
    </w:p>
    <w:p w14:paraId="3B21D911" w14:textId="0BE9B5B5" w:rsidR="0006254A" w:rsidRPr="007722EF" w:rsidRDefault="0006254A" w:rsidP="00627249">
      <w:pPr>
        <w:pStyle w:val="Indent"/>
        <w:numPr>
          <w:ilvl w:val="0"/>
          <w:numId w:val="0"/>
        </w:numPr>
        <w:spacing w:line="480" w:lineRule="auto"/>
        <w:ind w:left="1560" w:hanging="851"/>
        <w:jc w:val="both"/>
        <w:rPr>
          <w:rFonts w:ascii="Verdana" w:hAnsi="Verdana"/>
          <w:sz w:val="22"/>
          <w:szCs w:val="22"/>
          <w:lang w:val="en-GB"/>
        </w:rPr>
      </w:pPr>
      <w:r w:rsidRPr="007722EF">
        <w:rPr>
          <w:rFonts w:ascii="Verdana" w:hAnsi="Verdana"/>
          <w:sz w:val="22"/>
          <w:szCs w:val="22"/>
          <w:lang w:val="en-GB"/>
        </w:rPr>
        <w:t>22.5</w:t>
      </w:r>
      <w:r w:rsidRPr="007722EF">
        <w:rPr>
          <w:rFonts w:ascii="Verdana" w:hAnsi="Verdana"/>
          <w:sz w:val="22"/>
          <w:szCs w:val="22"/>
          <w:lang w:val="en-GB"/>
        </w:rPr>
        <w:tab/>
      </w:r>
      <w:r w:rsidR="008C2605" w:rsidRPr="007722EF">
        <w:rPr>
          <w:rFonts w:ascii="Verdana" w:hAnsi="Verdana"/>
          <w:sz w:val="22"/>
          <w:szCs w:val="22"/>
          <w:lang w:val="en-GB"/>
        </w:rPr>
        <w:t>An over-technical approach should be avoided because it destroys</w:t>
      </w:r>
      <w:r w:rsidR="00B65BC6" w:rsidRPr="007722EF">
        <w:rPr>
          <w:rFonts w:ascii="Verdana" w:hAnsi="Verdana"/>
          <w:sz w:val="22"/>
          <w:szCs w:val="22"/>
          <w:lang w:val="en-GB"/>
        </w:rPr>
        <w:t xml:space="preserve"> </w:t>
      </w:r>
      <w:r w:rsidR="008C2605" w:rsidRPr="007722EF">
        <w:rPr>
          <w:rFonts w:ascii="Verdana" w:hAnsi="Verdana"/>
          <w:sz w:val="22"/>
          <w:szCs w:val="22"/>
          <w:lang w:val="en-GB"/>
        </w:rPr>
        <w:t>the usefulness of the exception procedure, which is to weed out cases without legal merit.</w:t>
      </w:r>
      <w:r w:rsidR="00FB0A97" w:rsidRPr="007722EF">
        <w:rPr>
          <w:rStyle w:val="FootnoteReference"/>
          <w:rFonts w:ascii="Verdana" w:hAnsi="Verdana"/>
          <w:sz w:val="22"/>
          <w:szCs w:val="22"/>
          <w:lang w:val="en-GB"/>
        </w:rPr>
        <w:footnoteReference w:id="9"/>
      </w:r>
      <w:r w:rsidR="00FB0A97" w:rsidRPr="007722EF">
        <w:rPr>
          <w:rFonts w:ascii="Verdana" w:hAnsi="Verdana"/>
          <w:sz w:val="22"/>
          <w:szCs w:val="22"/>
          <w:lang w:val="en-GB"/>
        </w:rPr>
        <w:t xml:space="preserve"> </w:t>
      </w:r>
    </w:p>
    <w:p w14:paraId="0B49D1DA" w14:textId="77777777" w:rsidR="0006254A" w:rsidRPr="007722EF" w:rsidRDefault="0006254A" w:rsidP="0006254A">
      <w:pPr>
        <w:pStyle w:val="Indent"/>
        <w:numPr>
          <w:ilvl w:val="0"/>
          <w:numId w:val="0"/>
        </w:numPr>
        <w:spacing w:line="480" w:lineRule="auto"/>
        <w:ind w:left="1560" w:hanging="993"/>
        <w:jc w:val="both"/>
        <w:rPr>
          <w:rFonts w:ascii="Verdana" w:hAnsi="Verdana"/>
          <w:sz w:val="22"/>
          <w:szCs w:val="22"/>
          <w:lang w:val="en-GB"/>
        </w:rPr>
      </w:pPr>
    </w:p>
    <w:p w14:paraId="0051EC22" w14:textId="0F9FDE06" w:rsidR="0006254A" w:rsidRPr="007722EF" w:rsidRDefault="0006254A" w:rsidP="00627249">
      <w:pPr>
        <w:pStyle w:val="Indent"/>
        <w:numPr>
          <w:ilvl w:val="0"/>
          <w:numId w:val="0"/>
        </w:numPr>
        <w:spacing w:line="480" w:lineRule="auto"/>
        <w:ind w:left="1560" w:hanging="851"/>
        <w:jc w:val="both"/>
        <w:rPr>
          <w:rFonts w:ascii="Verdana" w:hAnsi="Verdana"/>
          <w:sz w:val="22"/>
          <w:szCs w:val="22"/>
          <w:lang w:val="en-GB"/>
        </w:rPr>
      </w:pPr>
      <w:r w:rsidRPr="007722EF">
        <w:rPr>
          <w:rFonts w:ascii="Verdana" w:hAnsi="Verdana"/>
          <w:sz w:val="22"/>
          <w:szCs w:val="22"/>
          <w:lang w:val="en-GB"/>
        </w:rPr>
        <w:t>22.6</w:t>
      </w:r>
      <w:r w:rsidRPr="007722EF">
        <w:rPr>
          <w:rFonts w:ascii="Verdana" w:hAnsi="Verdana"/>
          <w:sz w:val="22"/>
          <w:szCs w:val="22"/>
          <w:lang w:val="en-GB"/>
        </w:rPr>
        <w:tab/>
      </w:r>
      <w:r w:rsidR="008C2605" w:rsidRPr="007722EF">
        <w:rPr>
          <w:rFonts w:ascii="Verdana" w:hAnsi="Verdana"/>
          <w:sz w:val="22"/>
          <w:szCs w:val="22"/>
          <w:lang w:val="en-GB"/>
        </w:rPr>
        <w:t>Pleadings must be read as a whole and an exception cannot be taken to a paragraph or a part of a pleading that is not self-contained.</w:t>
      </w:r>
      <w:r w:rsidR="00F848B6" w:rsidRPr="007722EF">
        <w:rPr>
          <w:rStyle w:val="FootnoteReference"/>
          <w:rFonts w:ascii="Verdana" w:hAnsi="Verdana"/>
          <w:sz w:val="22"/>
          <w:szCs w:val="22"/>
          <w:lang w:val="en-GB"/>
        </w:rPr>
        <w:footnoteReference w:id="10"/>
      </w:r>
      <w:r w:rsidR="00F848B6" w:rsidRPr="007722EF">
        <w:rPr>
          <w:rFonts w:ascii="Verdana" w:hAnsi="Verdana"/>
          <w:sz w:val="22"/>
          <w:szCs w:val="22"/>
          <w:lang w:val="en-GB"/>
        </w:rPr>
        <w:t xml:space="preserve"> </w:t>
      </w:r>
    </w:p>
    <w:p w14:paraId="6436E2FB" w14:textId="77777777" w:rsidR="0006254A" w:rsidRPr="007722EF" w:rsidRDefault="0006254A" w:rsidP="0006254A">
      <w:pPr>
        <w:pStyle w:val="Indent"/>
        <w:numPr>
          <w:ilvl w:val="0"/>
          <w:numId w:val="0"/>
        </w:numPr>
        <w:spacing w:line="480" w:lineRule="auto"/>
        <w:ind w:left="1560" w:hanging="993"/>
        <w:jc w:val="both"/>
        <w:rPr>
          <w:rFonts w:ascii="Verdana" w:hAnsi="Verdana"/>
          <w:sz w:val="22"/>
          <w:szCs w:val="22"/>
          <w:lang w:val="en-GB"/>
        </w:rPr>
      </w:pPr>
    </w:p>
    <w:p w14:paraId="519D6865" w14:textId="2F0FA9B0" w:rsidR="008C2605" w:rsidRPr="007722EF" w:rsidRDefault="0006254A" w:rsidP="00627249">
      <w:pPr>
        <w:pStyle w:val="Indent"/>
        <w:numPr>
          <w:ilvl w:val="0"/>
          <w:numId w:val="0"/>
        </w:numPr>
        <w:spacing w:line="480" w:lineRule="auto"/>
        <w:ind w:left="1560" w:hanging="851"/>
        <w:jc w:val="both"/>
        <w:rPr>
          <w:rFonts w:ascii="Verdana" w:hAnsi="Verdana"/>
          <w:sz w:val="22"/>
          <w:szCs w:val="22"/>
          <w:lang w:val="en-GB"/>
        </w:rPr>
      </w:pPr>
      <w:r w:rsidRPr="007722EF">
        <w:rPr>
          <w:rFonts w:ascii="Verdana" w:hAnsi="Verdana"/>
          <w:sz w:val="22"/>
          <w:szCs w:val="22"/>
          <w:lang w:val="en-GB"/>
        </w:rPr>
        <w:t>22.7</w:t>
      </w:r>
      <w:r w:rsidRPr="007722EF">
        <w:rPr>
          <w:rFonts w:ascii="Verdana" w:hAnsi="Verdana"/>
          <w:sz w:val="22"/>
          <w:szCs w:val="22"/>
          <w:lang w:val="en-GB"/>
        </w:rPr>
        <w:tab/>
      </w:r>
      <w:r w:rsidR="008C2605" w:rsidRPr="007722EF">
        <w:rPr>
          <w:rFonts w:ascii="Verdana" w:hAnsi="Verdana"/>
          <w:sz w:val="22"/>
          <w:szCs w:val="22"/>
          <w:lang w:val="en-GB"/>
        </w:rPr>
        <w:t>Minor blemishes and unradical embarrassments caused by a pleading can and should be cured by further particulars.</w:t>
      </w:r>
      <w:r w:rsidR="00A4518E" w:rsidRPr="007722EF">
        <w:rPr>
          <w:rStyle w:val="FootnoteReference"/>
          <w:rFonts w:ascii="Verdana" w:hAnsi="Verdana"/>
          <w:sz w:val="22"/>
          <w:szCs w:val="22"/>
          <w:lang w:val="en-GB"/>
        </w:rPr>
        <w:footnoteReference w:id="11"/>
      </w:r>
      <w:r w:rsidR="00A4518E" w:rsidRPr="007722EF">
        <w:rPr>
          <w:rFonts w:ascii="Verdana" w:hAnsi="Verdana"/>
          <w:sz w:val="22"/>
          <w:szCs w:val="22"/>
          <w:lang w:val="en-GB"/>
        </w:rPr>
        <w:t xml:space="preserve"> </w:t>
      </w:r>
    </w:p>
    <w:p w14:paraId="2E2BA5A8" w14:textId="7067E338" w:rsidR="007B1473" w:rsidRPr="007722EF" w:rsidRDefault="007B1473" w:rsidP="0063603D">
      <w:pPr>
        <w:pStyle w:val="Indent"/>
        <w:numPr>
          <w:ilvl w:val="0"/>
          <w:numId w:val="0"/>
        </w:numPr>
        <w:spacing w:line="480" w:lineRule="auto"/>
        <w:rPr>
          <w:rFonts w:ascii="Verdana" w:hAnsi="Verdana"/>
          <w:sz w:val="22"/>
          <w:szCs w:val="22"/>
          <w:lang w:val="en-GB"/>
        </w:rPr>
      </w:pPr>
    </w:p>
    <w:p w14:paraId="7E919566" w14:textId="725E8FA8" w:rsidR="008A13A6"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[23]</w:t>
      </w:r>
      <w:r w:rsidRPr="007722EF">
        <w:rPr>
          <w:rFonts w:ascii="Verdana" w:hAnsi="Verdana"/>
          <w:color w:val="000000" w:themeColor="text1"/>
          <w:sz w:val="22"/>
          <w:szCs w:val="22"/>
          <w:lang w:val="en-GB"/>
        </w:rPr>
        <w:tab/>
      </w:r>
      <w:r w:rsidR="00A1646F" w:rsidRPr="007722EF">
        <w:rPr>
          <w:rFonts w:ascii="Verdana" w:hAnsi="Verdana"/>
          <w:sz w:val="22"/>
          <w:szCs w:val="22"/>
          <w:lang w:val="en-GB"/>
        </w:rPr>
        <w:t xml:space="preserve">An important principle to be added to this list is </w:t>
      </w:r>
      <w:r w:rsidR="00A1646F" w:rsidRPr="007722EF">
        <w:rPr>
          <w:rFonts w:ascii="Verdana" w:hAnsi="Verdana"/>
          <w:sz w:val="22"/>
          <w:szCs w:val="22"/>
          <w:shd w:val="clear" w:color="auto" w:fill="FFFFFF"/>
          <w:lang w:val="en-GB"/>
        </w:rPr>
        <w:t>that as a rule, courts are reluctant to decide upon exception questions concerning the interpretation of a contract</w:t>
      </w:r>
      <w:r w:rsidR="004D2C6C" w:rsidRPr="007722EF">
        <w:rPr>
          <w:rFonts w:ascii="Verdana" w:hAnsi="Verdana"/>
          <w:sz w:val="22"/>
          <w:szCs w:val="22"/>
          <w:shd w:val="clear" w:color="auto" w:fill="FFFFFF"/>
          <w:lang w:val="en-GB"/>
        </w:rPr>
        <w:t xml:space="preserve">, with the critical </w:t>
      </w:r>
      <w:r w:rsidR="004D2C6C" w:rsidRPr="007722EF">
        <w:rPr>
          <w:rFonts w:ascii="Verdana" w:hAnsi="Verdana"/>
          <w:i/>
          <w:iCs/>
          <w:sz w:val="22"/>
          <w:szCs w:val="22"/>
          <w:shd w:val="clear" w:color="auto" w:fill="FFFFFF"/>
          <w:lang w:val="en-GB"/>
        </w:rPr>
        <w:t>caveat</w:t>
      </w:r>
      <w:r w:rsidR="000C7E8C" w:rsidRPr="007722EF">
        <w:rPr>
          <w:rFonts w:ascii="Verdana" w:hAnsi="Verdana"/>
          <w:sz w:val="22"/>
          <w:szCs w:val="22"/>
          <w:shd w:val="clear" w:color="auto" w:fill="FFFFFF"/>
          <w:lang w:val="en-GB"/>
        </w:rPr>
        <w:t xml:space="preserve"> </w:t>
      </w:r>
      <w:r w:rsidR="00B579D4" w:rsidRPr="007722EF">
        <w:rPr>
          <w:rFonts w:ascii="Verdana" w:hAnsi="Verdana"/>
          <w:sz w:val="22"/>
          <w:szCs w:val="22"/>
          <w:shd w:val="clear" w:color="auto" w:fill="FFFFFF"/>
          <w:lang w:val="en-GB"/>
        </w:rPr>
        <w:t>that this is only the case where</w:t>
      </w:r>
      <w:r w:rsidR="00A1646F" w:rsidRPr="007722EF">
        <w:rPr>
          <w:rFonts w:ascii="Verdana" w:hAnsi="Verdana"/>
          <w:sz w:val="22"/>
          <w:szCs w:val="22"/>
          <w:shd w:val="clear" w:color="auto" w:fill="FFFFFF"/>
          <w:lang w:val="en-GB"/>
        </w:rPr>
        <w:t xml:space="preserve"> its meaning </w:t>
      </w:r>
      <w:r w:rsidR="00A1646F" w:rsidRPr="007722EF">
        <w:rPr>
          <w:rFonts w:ascii="Verdana" w:hAnsi="Verdana"/>
          <w:sz w:val="21"/>
          <w:szCs w:val="21"/>
          <w:shd w:val="clear" w:color="auto" w:fill="FFFFFF"/>
          <w:lang w:val="en-GB"/>
        </w:rPr>
        <w:t>is uncertain</w:t>
      </w:r>
      <w:r w:rsidR="0012209C" w:rsidRPr="007722EF">
        <w:rPr>
          <w:rFonts w:ascii="Verdana" w:hAnsi="Verdana"/>
          <w:sz w:val="21"/>
          <w:szCs w:val="21"/>
          <w:shd w:val="clear" w:color="auto" w:fill="FFFFFF"/>
          <w:lang w:val="en-GB"/>
        </w:rPr>
        <w:t>.</w:t>
      </w:r>
      <w:r w:rsidR="0012209C" w:rsidRPr="007722EF">
        <w:rPr>
          <w:rStyle w:val="FootnoteReference"/>
          <w:rFonts w:ascii="Verdana" w:hAnsi="Verdana"/>
          <w:sz w:val="21"/>
          <w:szCs w:val="21"/>
          <w:shd w:val="clear" w:color="auto" w:fill="FFFFFF"/>
          <w:lang w:val="en-GB"/>
        </w:rPr>
        <w:footnoteReference w:id="12"/>
      </w:r>
    </w:p>
    <w:p w14:paraId="7AA2EC5A" w14:textId="25B3F517" w:rsidR="00906FAA" w:rsidRPr="007722EF" w:rsidRDefault="00906FAA" w:rsidP="00B65BC6">
      <w:pPr>
        <w:pStyle w:val="Indent"/>
        <w:keepNext/>
        <w:widowControl w:val="0"/>
        <w:numPr>
          <w:ilvl w:val="0"/>
          <w:numId w:val="0"/>
        </w:numPr>
        <w:shd w:val="clear" w:color="auto" w:fill="FFFFFF" w:themeFill="background1"/>
        <w:spacing w:after="360" w:line="480" w:lineRule="auto"/>
        <w:jc w:val="both"/>
        <w:rPr>
          <w:rFonts w:ascii="Verdana" w:hAnsi="Verdana"/>
          <w:b/>
          <w:bCs/>
          <w:sz w:val="22"/>
          <w:szCs w:val="22"/>
          <w:lang w:val="en-GB"/>
        </w:rPr>
      </w:pPr>
      <w:proofErr w:type="spellStart"/>
      <w:r w:rsidRPr="007722EF">
        <w:rPr>
          <w:rFonts w:ascii="Verdana" w:hAnsi="Verdana"/>
          <w:b/>
          <w:bCs/>
          <w:sz w:val="22"/>
          <w:szCs w:val="22"/>
          <w:lang w:val="en-GB"/>
        </w:rPr>
        <w:t>Parol</w:t>
      </w:r>
      <w:proofErr w:type="spellEnd"/>
      <w:r w:rsidRPr="007722EF">
        <w:rPr>
          <w:rFonts w:ascii="Verdana" w:hAnsi="Verdana"/>
          <w:b/>
          <w:bCs/>
          <w:sz w:val="22"/>
          <w:szCs w:val="22"/>
          <w:lang w:val="en-GB"/>
        </w:rPr>
        <w:t xml:space="preserve"> evidence</w:t>
      </w:r>
    </w:p>
    <w:p w14:paraId="5BAC616C" w14:textId="6B352F25" w:rsidR="007F0256"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[24]</w:t>
      </w:r>
      <w:r w:rsidRPr="007722EF">
        <w:rPr>
          <w:rFonts w:ascii="Verdana" w:hAnsi="Verdana"/>
          <w:color w:val="000000" w:themeColor="text1"/>
          <w:sz w:val="22"/>
          <w:szCs w:val="22"/>
          <w:lang w:val="en-GB"/>
        </w:rPr>
        <w:tab/>
      </w:r>
      <w:r w:rsidR="00C63683" w:rsidRPr="007722EF">
        <w:rPr>
          <w:rFonts w:ascii="Verdana" w:hAnsi="Verdana"/>
          <w:sz w:val="22"/>
          <w:szCs w:val="22"/>
          <w:lang w:val="en-GB"/>
        </w:rPr>
        <w:t>It is trite that</w:t>
      </w:r>
      <w:r w:rsidR="00C63683" w:rsidRPr="007722EF">
        <w:rPr>
          <w:rFonts w:ascii="Verdana" w:hAnsi="Verdana"/>
          <w:sz w:val="22"/>
          <w:szCs w:val="22"/>
          <w:shd w:val="clear" w:color="auto" w:fill="FFFFFF"/>
          <w:lang w:val="en-GB"/>
        </w:rPr>
        <w:t xml:space="preserve"> the integration (or</w:t>
      </w:r>
      <w:r w:rsidR="00B65BC6" w:rsidRPr="007722EF">
        <w:rPr>
          <w:rFonts w:ascii="Verdana" w:hAnsi="Verdana"/>
          <w:sz w:val="22"/>
          <w:szCs w:val="22"/>
          <w:shd w:val="clear" w:color="auto" w:fill="FFFFFF"/>
          <w:lang w:val="en-GB"/>
        </w:rPr>
        <w:t xml:space="preserve"> </w:t>
      </w:r>
      <w:proofErr w:type="spellStart"/>
      <w:r w:rsidR="00C63683" w:rsidRPr="007722EF">
        <w:rPr>
          <w:rFonts w:ascii="Verdana" w:hAnsi="Verdana"/>
          <w:sz w:val="22"/>
          <w:szCs w:val="22"/>
          <w:lang w:val="en-GB"/>
        </w:rPr>
        <w:t>parol</w:t>
      </w:r>
      <w:proofErr w:type="spellEnd"/>
      <w:r w:rsidR="00B65BC6" w:rsidRPr="007722EF">
        <w:rPr>
          <w:rFonts w:ascii="Verdana" w:hAnsi="Verdana"/>
          <w:sz w:val="22"/>
          <w:szCs w:val="22"/>
          <w:lang w:val="en-GB"/>
        </w:rPr>
        <w:t xml:space="preserve"> </w:t>
      </w:r>
      <w:r w:rsidR="00C63683" w:rsidRPr="007722EF">
        <w:rPr>
          <w:rFonts w:ascii="Verdana" w:hAnsi="Verdana"/>
          <w:sz w:val="22"/>
          <w:szCs w:val="22"/>
          <w:lang w:val="en-GB"/>
        </w:rPr>
        <w:t>evidence</w:t>
      </w:r>
      <w:r w:rsidR="00C63683" w:rsidRPr="007722EF">
        <w:rPr>
          <w:rFonts w:ascii="Verdana" w:hAnsi="Verdana"/>
          <w:sz w:val="22"/>
          <w:szCs w:val="22"/>
          <w:shd w:val="clear" w:color="auto" w:fill="FFFFFF"/>
          <w:lang w:val="en-GB"/>
        </w:rPr>
        <w:t>) rule</w:t>
      </w:r>
      <w:r w:rsidR="0019653E" w:rsidRPr="007722EF">
        <w:rPr>
          <w:rFonts w:ascii="Verdana" w:hAnsi="Verdana"/>
          <w:sz w:val="22"/>
          <w:szCs w:val="22"/>
          <w:shd w:val="clear" w:color="auto" w:fill="FFFFFF"/>
          <w:lang w:val="en-GB"/>
        </w:rPr>
        <w:t xml:space="preserve"> (</w:t>
      </w:r>
      <w:r w:rsidR="0019653E" w:rsidRPr="007722EF">
        <w:rPr>
          <w:rFonts w:ascii="Verdana" w:hAnsi="Verdana"/>
          <w:i/>
          <w:iCs/>
          <w:sz w:val="22"/>
          <w:szCs w:val="22"/>
          <w:shd w:val="clear" w:color="auto" w:fill="FFFFFF"/>
          <w:lang w:val="en-GB"/>
        </w:rPr>
        <w:t>“the rule”</w:t>
      </w:r>
      <w:r w:rsidR="0019653E" w:rsidRPr="007722EF">
        <w:rPr>
          <w:rFonts w:ascii="Verdana" w:hAnsi="Verdana"/>
          <w:sz w:val="22"/>
          <w:szCs w:val="22"/>
          <w:shd w:val="clear" w:color="auto" w:fill="FFFFFF"/>
          <w:lang w:val="en-GB"/>
        </w:rPr>
        <w:t>)</w:t>
      </w:r>
      <w:r w:rsidR="00C63683" w:rsidRPr="007722EF">
        <w:rPr>
          <w:rFonts w:ascii="Verdana" w:hAnsi="Verdana"/>
          <w:sz w:val="22"/>
          <w:szCs w:val="22"/>
          <w:shd w:val="clear" w:color="auto" w:fill="FFFFFF"/>
          <w:lang w:val="en-GB"/>
        </w:rPr>
        <w:t xml:space="preserve"> remains </w:t>
      </w:r>
      <w:r w:rsidR="00C63683" w:rsidRPr="007722EF">
        <w:rPr>
          <w:rFonts w:ascii="Verdana" w:hAnsi="Verdana"/>
          <w:sz w:val="22"/>
          <w:szCs w:val="22"/>
          <w:shd w:val="clear" w:color="auto" w:fill="FFFFFF"/>
          <w:lang w:val="en-GB"/>
        </w:rPr>
        <w:lastRenderedPageBreak/>
        <w:t xml:space="preserve">part of our law. </w:t>
      </w:r>
    </w:p>
    <w:p w14:paraId="2A6F2DBE" w14:textId="1FC532A9" w:rsidR="007F0256" w:rsidRPr="007722EF" w:rsidRDefault="00366A5E" w:rsidP="00366A5E">
      <w:pPr>
        <w:pStyle w:val="Indent"/>
        <w:numPr>
          <w:ilvl w:val="0"/>
          <w:numId w:val="0"/>
        </w:numPr>
        <w:spacing w:line="480" w:lineRule="auto"/>
        <w:ind w:left="709" w:hanging="709"/>
        <w:rPr>
          <w:rFonts w:ascii="Verdana" w:hAnsi="Verdana"/>
          <w:sz w:val="22"/>
          <w:szCs w:val="22"/>
          <w:lang w:val="en-GB"/>
        </w:rPr>
      </w:pPr>
      <w:r w:rsidRPr="007722EF">
        <w:rPr>
          <w:rFonts w:ascii="Verdana" w:hAnsi="Verdana"/>
          <w:color w:val="000000" w:themeColor="text1"/>
          <w:sz w:val="22"/>
          <w:szCs w:val="22"/>
          <w:lang w:val="en-GB"/>
        </w:rPr>
        <w:t>[25]</w:t>
      </w:r>
      <w:r w:rsidRPr="007722EF">
        <w:rPr>
          <w:rFonts w:ascii="Verdana" w:hAnsi="Verdana"/>
          <w:color w:val="000000" w:themeColor="text1"/>
          <w:sz w:val="22"/>
          <w:szCs w:val="22"/>
          <w:lang w:val="en-GB"/>
        </w:rPr>
        <w:tab/>
      </w:r>
      <w:r w:rsidR="007F0256" w:rsidRPr="007722EF">
        <w:rPr>
          <w:rFonts w:ascii="Verdana" w:hAnsi="Verdana"/>
          <w:sz w:val="22"/>
          <w:szCs w:val="22"/>
          <w:lang w:val="en-GB"/>
        </w:rPr>
        <w:t>The rule consists of two subrules. This duality was outlined by Corbett JA in </w:t>
      </w:r>
      <w:r w:rsidR="007F0256" w:rsidRPr="007722EF">
        <w:rPr>
          <w:rFonts w:ascii="Verdana" w:hAnsi="Verdana"/>
          <w:i/>
          <w:iCs/>
          <w:sz w:val="22"/>
          <w:szCs w:val="22"/>
          <w:lang w:val="en-GB"/>
        </w:rPr>
        <w:t>Johnston</w:t>
      </w:r>
      <w:r w:rsidR="007F0256" w:rsidRPr="007722EF">
        <w:rPr>
          <w:rFonts w:ascii="Verdana" w:hAnsi="Verdana"/>
          <w:sz w:val="22"/>
          <w:szCs w:val="22"/>
          <w:lang w:val="en-GB"/>
        </w:rPr>
        <w:t>:</w:t>
      </w:r>
    </w:p>
    <w:p w14:paraId="063A9F81" w14:textId="77777777" w:rsidR="007F0256" w:rsidRPr="007722EF" w:rsidRDefault="007F0256" w:rsidP="007F0256">
      <w:pPr>
        <w:pStyle w:val="Indent"/>
        <w:numPr>
          <w:ilvl w:val="0"/>
          <w:numId w:val="0"/>
        </w:numPr>
        <w:spacing w:line="480" w:lineRule="auto"/>
        <w:ind w:left="709"/>
        <w:rPr>
          <w:rFonts w:ascii="Verdana" w:hAnsi="Verdana"/>
          <w:sz w:val="22"/>
          <w:szCs w:val="22"/>
          <w:lang w:val="en-GB"/>
        </w:rPr>
      </w:pPr>
    </w:p>
    <w:p w14:paraId="1205C44D" w14:textId="77777777" w:rsidR="007F0256" w:rsidRPr="007722EF" w:rsidRDefault="007F0256" w:rsidP="00B65BC6">
      <w:pPr>
        <w:pStyle w:val="Indent"/>
        <w:numPr>
          <w:ilvl w:val="0"/>
          <w:numId w:val="0"/>
        </w:numPr>
        <w:spacing w:after="480" w:line="360" w:lineRule="auto"/>
        <w:ind w:left="709"/>
        <w:jc w:val="both"/>
        <w:rPr>
          <w:rFonts w:ascii="Verdana" w:hAnsi="Verdana"/>
          <w:i/>
          <w:iCs/>
          <w:sz w:val="22"/>
          <w:szCs w:val="22"/>
          <w:lang w:val="en-GB"/>
        </w:rPr>
      </w:pPr>
      <w:r w:rsidRPr="007722EF">
        <w:rPr>
          <w:rFonts w:ascii="Verdana" w:hAnsi="Verdana"/>
          <w:i/>
          <w:iCs/>
          <w:sz w:val="22"/>
          <w:szCs w:val="22"/>
          <w:lang w:val="en-GB"/>
        </w:rPr>
        <w:t xml:space="preserve">'As has been indicated, the </w:t>
      </w:r>
      <w:proofErr w:type="spellStart"/>
      <w:r w:rsidRPr="007722EF">
        <w:rPr>
          <w:rFonts w:ascii="Verdana" w:hAnsi="Verdana"/>
          <w:i/>
          <w:iCs/>
          <w:sz w:val="22"/>
          <w:szCs w:val="22"/>
          <w:lang w:val="en-GB"/>
        </w:rPr>
        <w:t>parol</w:t>
      </w:r>
      <w:proofErr w:type="spellEnd"/>
      <w:r w:rsidRPr="007722EF">
        <w:rPr>
          <w:rFonts w:ascii="Verdana" w:hAnsi="Verdana"/>
          <w:i/>
          <w:iCs/>
          <w:sz w:val="22"/>
          <w:szCs w:val="22"/>
          <w:lang w:val="en-GB"/>
        </w:rPr>
        <w:t xml:space="preserve"> evidence rule is not a single rule. It in fact branches into two independent rules or sets of rules: (1) the integration rule . . . which defines the limits of the contract, and (2) the [interpretation] rule, or set of rules, which determines when and to what extent extrinsic evidence may be adduced to explain or affect the meaning of the words contained in a written contract.”</w:t>
      </w:r>
      <w:r w:rsidRPr="007722EF">
        <w:rPr>
          <w:rStyle w:val="FootnoteReference"/>
          <w:rFonts w:ascii="Verdana" w:hAnsi="Verdana"/>
          <w:i/>
          <w:iCs/>
          <w:sz w:val="22"/>
          <w:szCs w:val="22"/>
          <w:lang w:val="en-GB"/>
        </w:rPr>
        <w:footnoteReference w:id="13"/>
      </w:r>
    </w:p>
    <w:p w14:paraId="2E8E8D76" w14:textId="4BE15D4D" w:rsidR="007F0256" w:rsidRPr="007722EF" w:rsidRDefault="00366A5E" w:rsidP="00366A5E">
      <w:pPr>
        <w:pStyle w:val="Indent"/>
        <w:numPr>
          <w:ilvl w:val="0"/>
          <w:numId w:val="0"/>
        </w:numPr>
        <w:spacing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[26]</w:t>
      </w:r>
      <w:r w:rsidRPr="007722EF">
        <w:rPr>
          <w:rFonts w:ascii="Verdana" w:hAnsi="Verdana"/>
          <w:color w:val="000000" w:themeColor="text1"/>
          <w:sz w:val="22"/>
          <w:szCs w:val="22"/>
          <w:lang w:val="en-GB"/>
        </w:rPr>
        <w:tab/>
      </w:r>
      <w:r w:rsidR="007F0256" w:rsidRPr="007722EF">
        <w:rPr>
          <w:rFonts w:ascii="Verdana" w:hAnsi="Verdana"/>
          <w:sz w:val="22"/>
          <w:szCs w:val="22"/>
          <w:lang w:val="en-GB"/>
        </w:rPr>
        <w:t xml:space="preserve">It is the </w:t>
      </w:r>
      <w:r w:rsidR="00E056CE" w:rsidRPr="007722EF">
        <w:rPr>
          <w:rFonts w:ascii="Verdana" w:hAnsi="Verdana"/>
          <w:sz w:val="22"/>
          <w:szCs w:val="22"/>
          <w:lang w:val="en-GB"/>
        </w:rPr>
        <w:t>interpretation</w:t>
      </w:r>
      <w:r w:rsidR="007F0256" w:rsidRPr="007722EF">
        <w:rPr>
          <w:rFonts w:ascii="Verdana" w:hAnsi="Verdana"/>
          <w:sz w:val="22"/>
          <w:szCs w:val="22"/>
          <w:lang w:val="en-GB"/>
        </w:rPr>
        <w:t xml:space="preserve"> facet that was relied on by the Supreme Court of Appeal</w:t>
      </w:r>
      <w:r w:rsidR="00E056CE" w:rsidRPr="007722EF">
        <w:rPr>
          <w:rFonts w:ascii="Verdana" w:hAnsi="Verdana"/>
          <w:sz w:val="22"/>
          <w:szCs w:val="22"/>
          <w:lang w:val="en-GB"/>
        </w:rPr>
        <w:t xml:space="preserve"> (</w:t>
      </w:r>
      <w:r w:rsidR="00E056CE" w:rsidRPr="007722EF">
        <w:rPr>
          <w:rFonts w:ascii="Verdana" w:hAnsi="Verdana"/>
          <w:i/>
          <w:iCs/>
          <w:sz w:val="22"/>
          <w:szCs w:val="22"/>
          <w:lang w:val="en-GB"/>
        </w:rPr>
        <w:t>“SCA”</w:t>
      </w:r>
      <w:r w:rsidR="00E056CE" w:rsidRPr="007722EF">
        <w:rPr>
          <w:rFonts w:ascii="Verdana" w:hAnsi="Verdana"/>
          <w:sz w:val="22"/>
          <w:szCs w:val="22"/>
          <w:lang w:val="en-GB"/>
        </w:rPr>
        <w:t xml:space="preserve">) and </w:t>
      </w:r>
      <w:r w:rsidR="007F0256" w:rsidRPr="007722EF">
        <w:rPr>
          <w:rFonts w:ascii="Verdana" w:hAnsi="Verdana"/>
          <w:sz w:val="22"/>
          <w:szCs w:val="22"/>
          <w:lang w:val="en-GB"/>
        </w:rPr>
        <w:t>explained by Corbett JA as follows:</w:t>
      </w:r>
      <w:r w:rsidR="00B65BC6" w:rsidRPr="007722EF">
        <w:rPr>
          <w:rFonts w:ascii="Verdana" w:hAnsi="Verdana"/>
          <w:sz w:val="22"/>
          <w:szCs w:val="22"/>
          <w:lang w:val="en-GB"/>
        </w:rPr>
        <w:t> -</w:t>
      </w:r>
    </w:p>
    <w:p w14:paraId="2DD5B93E" w14:textId="77777777" w:rsidR="007F0256" w:rsidRPr="007722EF" w:rsidRDefault="007F0256" w:rsidP="007F0256">
      <w:pPr>
        <w:pStyle w:val="Indent"/>
        <w:numPr>
          <w:ilvl w:val="0"/>
          <w:numId w:val="0"/>
        </w:numPr>
        <w:spacing w:line="480" w:lineRule="auto"/>
        <w:ind w:left="709"/>
        <w:jc w:val="both"/>
        <w:rPr>
          <w:rFonts w:ascii="Verdana" w:hAnsi="Verdana"/>
          <w:sz w:val="22"/>
          <w:szCs w:val="22"/>
          <w:lang w:val="en-GB"/>
        </w:rPr>
      </w:pPr>
    </w:p>
    <w:p w14:paraId="0814FFA5" w14:textId="4B42E4C1" w:rsidR="007F0256" w:rsidRPr="007722EF" w:rsidRDefault="007F0256" w:rsidP="00B65BC6">
      <w:pPr>
        <w:pStyle w:val="Indent"/>
        <w:numPr>
          <w:ilvl w:val="0"/>
          <w:numId w:val="0"/>
        </w:numPr>
        <w:spacing w:after="480" w:line="360" w:lineRule="auto"/>
        <w:ind w:left="709"/>
        <w:jc w:val="both"/>
        <w:rPr>
          <w:rStyle w:val="footnoteanchor"/>
          <w:rFonts w:ascii="Verdana" w:hAnsi="Verdana"/>
          <w:i/>
          <w:iCs/>
          <w:sz w:val="22"/>
          <w:szCs w:val="22"/>
          <w:vertAlign w:val="superscript"/>
          <w:lang w:val="en-GB"/>
        </w:rPr>
      </w:pPr>
      <w:r w:rsidRPr="007722EF">
        <w:rPr>
          <w:rFonts w:ascii="Verdana" w:hAnsi="Verdana"/>
          <w:i/>
          <w:iCs/>
          <w:sz w:val="22"/>
          <w:szCs w:val="22"/>
          <w:lang w:val="en-GB"/>
        </w:rPr>
        <w:t xml:space="preserve">“In many instances recourse to evidence of </w:t>
      </w:r>
      <w:r w:rsidRPr="007722EF">
        <w:rPr>
          <w:rFonts w:ascii="Verdana" w:hAnsi="Verdana"/>
          <w:b/>
          <w:bCs/>
          <w:i/>
          <w:iCs/>
          <w:sz w:val="22"/>
          <w:szCs w:val="22"/>
          <w:lang w:val="en-GB"/>
        </w:rPr>
        <w:t>an earlier or contemporaneous</w:t>
      </w:r>
      <w:r w:rsidRPr="007722EF">
        <w:rPr>
          <w:rFonts w:ascii="Verdana" w:hAnsi="Verdana"/>
          <w:i/>
          <w:iCs/>
          <w:sz w:val="22"/>
          <w:szCs w:val="22"/>
          <w:lang w:val="en-GB"/>
        </w:rPr>
        <w:t xml:space="preserve"> oral agreement would, in any event, be precluded by .</w:t>
      </w:r>
      <w:r w:rsidR="00B65BC6" w:rsidRPr="007722EF">
        <w:rPr>
          <w:rFonts w:ascii="Verdana" w:hAnsi="Verdana"/>
          <w:i/>
          <w:iCs/>
          <w:sz w:val="22"/>
          <w:szCs w:val="22"/>
          <w:lang w:val="en-GB"/>
        </w:rPr>
        <w:t> </w:t>
      </w:r>
      <w:r w:rsidRPr="007722EF">
        <w:rPr>
          <w:rFonts w:ascii="Verdana" w:hAnsi="Verdana"/>
          <w:i/>
          <w:iCs/>
          <w:sz w:val="22"/>
          <w:szCs w:val="22"/>
          <w:lang w:val="en-GB"/>
        </w:rPr>
        <w:t>.</w:t>
      </w:r>
      <w:r w:rsidR="00B65BC6" w:rsidRPr="007722EF">
        <w:rPr>
          <w:rFonts w:ascii="Verdana" w:hAnsi="Verdana"/>
          <w:i/>
          <w:iCs/>
          <w:sz w:val="22"/>
          <w:szCs w:val="22"/>
          <w:lang w:val="en-GB"/>
        </w:rPr>
        <w:t> </w:t>
      </w:r>
      <w:r w:rsidRPr="007722EF">
        <w:rPr>
          <w:rFonts w:ascii="Verdana" w:hAnsi="Verdana"/>
          <w:i/>
          <w:iCs/>
          <w:sz w:val="22"/>
          <w:szCs w:val="22"/>
          <w:lang w:val="en-GB"/>
        </w:rPr>
        <w:t xml:space="preserve">. that branch of the rule which prescribes that, subject to certain qualifications, when a contract has been reduced to writing, </w:t>
      </w:r>
      <w:r w:rsidRPr="007722EF">
        <w:rPr>
          <w:rFonts w:ascii="Verdana" w:hAnsi="Verdana"/>
          <w:b/>
          <w:bCs/>
          <w:i/>
          <w:iCs/>
          <w:sz w:val="22"/>
          <w:szCs w:val="22"/>
          <w:lang w:val="en-GB"/>
        </w:rPr>
        <w:t>the writing is regarded as the exclusive embodiment or memorial of the transaction and no extrinsic evidence may be given of other utterances or jural acts by the parties which would have the effect of contradicting, altering, adding to or varying the written contract</w:t>
      </w:r>
      <w:r w:rsidRPr="007722EF">
        <w:rPr>
          <w:rFonts w:ascii="Verdana" w:hAnsi="Verdana"/>
          <w:i/>
          <w:iCs/>
          <w:sz w:val="22"/>
          <w:szCs w:val="22"/>
          <w:lang w:val="en-GB"/>
        </w:rPr>
        <w:t>. The extrinsic evidence is excluded because it relates to matters which, by reason of the reduction of the contract to writing and its integration in a single memorial, have become legally immaterial or irrelevant.”</w:t>
      </w:r>
      <w:r w:rsidRPr="007722EF">
        <w:rPr>
          <w:rStyle w:val="FootnoteReference"/>
          <w:rFonts w:ascii="Verdana" w:hAnsi="Verdana"/>
          <w:i/>
          <w:iCs/>
          <w:sz w:val="22"/>
          <w:szCs w:val="22"/>
          <w:lang w:val="en-GB"/>
        </w:rPr>
        <w:footnoteReference w:id="14"/>
      </w:r>
      <w:r w:rsidR="00372AF3" w:rsidRPr="007722EF">
        <w:rPr>
          <w:rFonts w:ascii="Verdana" w:hAnsi="Verdana"/>
          <w:i/>
          <w:iCs/>
          <w:sz w:val="22"/>
          <w:szCs w:val="22"/>
          <w:lang w:val="en-GB"/>
        </w:rPr>
        <w:t xml:space="preserve"> </w:t>
      </w:r>
      <w:r w:rsidR="00EC3A23" w:rsidRPr="007722EF">
        <w:rPr>
          <w:rFonts w:ascii="Verdana" w:hAnsi="Verdana"/>
          <w:sz w:val="22"/>
          <w:szCs w:val="22"/>
          <w:lang w:val="en-GB"/>
        </w:rPr>
        <w:t>(</w:t>
      </w:r>
      <w:r w:rsidR="00B65BC6" w:rsidRPr="007722EF">
        <w:rPr>
          <w:rFonts w:ascii="Verdana" w:hAnsi="Verdana"/>
          <w:sz w:val="22"/>
          <w:szCs w:val="22"/>
          <w:lang w:val="en-GB"/>
        </w:rPr>
        <w:t>E</w:t>
      </w:r>
      <w:r w:rsidR="00EC3A23" w:rsidRPr="007722EF">
        <w:rPr>
          <w:rFonts w:ascii="Verdana" w:hAnsi="Verdana"/>
          <w:sz w:val="22"/>
          <w:szCs w:val="22"/>
          <w:lang w:val="en-GB"/>
        </w:rPr>
        <w:t>mphasis</w:t>
      </w:r>
      <w:r w:rsidR="00B65BC6" w:rsidRPr="007722EF">
        <w:rPr>
          <w:rFonts w:ascii="Verdana" w:hAnsi="Verdana"/>
          <w:sz w:val="22"/>
          <w:szCs w:val="22"/>
          <w:lang w:val="en-GB"/>
        </w:rPr>
        <w:t> </w:t>
      </w:r>
      <w:r w:rsidR="00372AF3" w:rsidRPr="007722EF">
        <w:rPr>
          <w:rFonts w:ascii="Verdana" w:hAnsi="Verdana"/>
          <w:sz w:val="22"/>
          <w:szCs w:val="22"/>
          <w:lang w:val="en-GB"/>
        </w:rPr>
        <w:t>added)</w:t>
      </w:r>
    </w:p>
    <w:p w14:paraId="28A001BC" w14:textId="2D37AC7F" w:rsidR="007F0256" w:rsidRPr="007722EF" w:rsidRDefault="00366A5E" w:rsidP="00366A5E">
      <w:pPr>
        <w:pStyle w:val="Indent"/>
        <w:numPr>
          <w:ilvl w:val="0"/>
          <w:numId w:val="0"/>
        </w:numPr>
        <w:spacing w:after="360" w:line="480" w:lineRule="auto"/>
        <w:jc w:val="both"/>
        <w:rPr>
          <w:rFonts w:ascii="Verdana" w:hAnsi="Verdana"/>
          <w:sz w:val="22"/>
          <w:szCs w:val="22"/>
          <w:lang w:val="en-GB"/>
        </w:rPr>
      </w:pPr>
      <w:r w:rsidRPr="007722EF">
        <w:rPr>
          <w:rFonts w:ascii="Verdana" w:hAnsi="Verdana"/>
          <w:color w:val="000000" w:themeColor="text1"/>
          <w:sz w:val="22"/>
          <w:szCs w:val="22"/>
          <w:lang w:val="en-GB"/>
        </w:rPr>
        <w:lastRenderedPageBreak/>
        <w:t>[27]</w:t>
      </w:r>
      <w:r w:rsidRPr="007722EF">
        <w:rPr>
          <w:rFonts w:ascii="Verdana" w:hAnsi="Verdana"/>
          <w:color w:val="000000" w:themeColor="text1"/>
          <w:sz w:val="22"/>
          <w:szCs w:val="22"/>
          <w:lang w:val="en-GB"/>
        </w:rPr>
        <w:tab/>
      </w:r>
      <w:r w:rsidR="007F0256" w:rsidRPr="007722EF">
        <w:rPr>
          <w:rFonts w:ascii="Verdana" w:hAnsi="Verdana"/>
          <w:sz w:val="22"/>
          <w:szCs w:val="22"/>
          <w:lang w:val="en-GB"/>
        </w:rPr>
        <w:t>He continued to say:</w:t>
      </w:r>
      <w:r w:rsidR="00B65BC6" w:rsidRPr="007722EF">
        <w:rPr>
          <w:rFonts w:ascii="Verdana" w:hAnsi="Verdana"/>
          <w:sz w:val="22"/>
          <w:szCs w:val="22"/>
          <w:lang w:val="en-GB"/>
        </w:rPr>
        <w:t> -</w:t>
      </w:r>
    </w:p>
    <w:p w14:paraId="65118898" w14:textId="10EE5BB4" w:rsidR="007F0256" w:rsidRPr="007722EF" w:rsidRDefault="007F0256" w:rsidP="00B65BC6">
      <w:pPr>
        <w:pStyle w:val="Indent"/>
        <w:numPr>
          <w:ilvl w:val="0"/>
          <w:numId w:val="0"/>
        </w:numPr>
        <w:spacing w:after="480" w:line="360" w:lineRule="auto"/>
        <w:ind w:left="709"/>
        <w:jc w:val="both"/>
        <w:rPr>
          <w:rFonts w:ascii="Verdana" w:hAnsi="Verdana"/>
          <w:i/>
          <w:iCs/>
          <w:sz w:val="22"/>
          <w:szCs w:val="22"/>
          <w:lang w:val="en-GB"/>
        </w:rPr>
      </w:pPr>
      <w:r w:rsidRPr="007722EF">
        <w:rPr>
          <w:rFonts w:ascii="Verdana" w:hAnsi="Verdana"/>
          <w:i/>
          <w:iCs/>
          <w:sz w:val="22"/>
          <w:szCs w:val="22"/>
          <w:lang w:val="en-GB"/>
        </w:rPr>
        <w:t xml:space="preserve">“(I)t is clear to me that the aim and effect of [the integration] rule is to </w:t>
      </w:r>
      <w:r w:rsidRPr="007722EF">
        <w:rPr>
          <w:rFonts w:ascii="Verdana" w:hAnsi="Verdana"/>
          <w:b/>
          <w:bCs/>
          <w:i/>
          <w:iCs/>
          <w:sz w:val="22"/>
          <w:szCs w:val="22"/>
          <w:lang w:val="en-GB"/>
        </w:rPr>
        <w:t>prevent a party to a contract which has been integrated into a single and complete written memorial from seeking to contradict, add to or modify the writing by reference to extrinsic evidence and in that way to redefine the terms of the contract.</w:t>
      </w:r>
      <w:r w:rsidRPr="007722EF">
        <w:rPr>
          <w:rFonts w:ascii="Verdana" w:hAnsi="Verdana"/>
          <w:i/>
          <w:iCs/>
          <w:sz w:val="22"/>
          <w:szCs w:val="22"/>
          <w:lang w:val="en-GB"/>
        </w:rPr>
        <w:t xml:space="preserve"> The object of the party seeking to adduce such extrinsic evidence is usually to enforce the contract as redefined or, at any rate, to rely upon the contractual force of the additional or varied terms, as established by the extrinsic evidence.'</w:t>
      </w:r>
      <w:r w:rsidRPr="007722EF">
        <w:rPr>
          <w:rStyle w:val="FootnoteReference"/>
          <w:rFonts w:ascii="Verdana" w:hAnsi="Verdana"/>
          <w:i/>
          <w:iCs/>
          <w:sz w:val="22"/>
          <w:szCs w:val="22"/>
          <w:lang w:val="en-GB"/>
        </w:rPr>
        <w:footnoteReference w:id="15"/>
      </w:r>
      <w:r w:rsidR="00B65BC6" w:rsidRPr="007722EF">
        <w:rPr>
          <w:rFonts w:ascii="Verdana" w:hAnsi="Verdana"/>
          <w:i/>
          <w:iCs/>
          <w:sz w:val="22"/>
          <w:szCs w:val="22"/>
          <w:lang w:val="en-GB"/>
        </w:rPr>
        <w:t xml:space="preserve"> </w:t>
      </w:r>
      <w:r w:rsidR="00C1546F" w:rsidRPr="007722EF">
        <w:rPr>
          <w:rFonts w:ascii="Verdana" w:hAnsi="Verdana"/>
          <w:sz w:val="22"/>
          <w:szCs w:val="22"/>
          <w:lang w:val="en-GB"/>
        </w:rPr>
        <w:t>(</w:t>
      </w:r>
      <w:r w:rsidR="00B65BC6" w:rsidRPr="007722EF">
        <w:rPr>
          <w:rFonts w:ascii="Verdana" w:hAnsi="Verdana"/>
          <w:sz w:val="22"/>
          <w:szCs w:val="22"/>
          <w:lang w:val="en-GB"/>
        </w:rPr>
        <w:t>E</w:t>
      </w:r>
      <w:r w:rsidR="00C1546F" w:rsidRPr="007722EF">
        <w:rPr>
          <w:rFonts w:ascii="Verdana" w:hAnsi="Verdana"/>
          <w:sz w:val="22"/>
          <w:szCs w:val="22"/>
          <w:lang w:val="en-GB"/>
        </w:rPr>
        <w:t>mphasis added)</w:t>
      </w:r>
    </w:p>
    <w:p w14:paraId="4CA752E3" w14:textId="34E0C022" w:rsidR="00535715"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[28]</w:t>
      </w:r>
      <w:r w:rsidRPr="007722EF">
        <w:rPr>
          <w:rFonts w:ascii="Verdana" w:hAnsi="Verdana"/>
          <w:color w:val="000000" w:themeColor="text1"/>
          <w:sz w:val="22"/>
          <w:szCs w:val="22"/>
          <w:lang w:val="en-GB"/>
        </w:rPr>
        <w:tab/>
      </w:r>
      <w:r w:rsidR="00E23392" w:rsidRPr="007722EF">
        <w:rPr>
          <w:rFonts w:ascii="Verdana" w:hAnsi="Verdana"/>
          <w:sz w:val="22"/>
          <w:szCs w:val="22"/>
          <w:shd w:val="clear" w:color="auto" w:fill="FFFFFF"/>
          <w:lang w:val="en-GB"/>
        </w:rPr>
        <w:t>The SCA</w:t>
      </w:r>
      <w:r w:rsidR="00B41353" w:rsidRPr="007722EF">
        <w:rPr>
          <w:rFonts w:ascii="Verdana" w:hAnsi="Verdana"/>
          <w:sz w:val="22"/>
          <w:szCs w:val="22"/>
          <w:shd w:val="clear" w:color="auto" w:fill="FFFFFF"/>
          <w:lang w:val="en-GB"/>
        </w:rPr>
        <w:t xml:space="preserve"> </w:t>
      </w:r>
      <w:r w:rsidR="002F0513" w:rsidRPr="007722EF">
        <w:rPr>
          <w:rFonts w:ascii="Verdana" w:hAnsi="Verdana"/>
          <w:sz w:val="22"/>
          <w:szCs w:val="22"/>
          <w:shd w:val="clear" w:color="auto" w:fill="FFFFFF"/>
          <w:lang w:val="en-GB"/>
        </w:rPr>
        <w:t xml:space="preserve">has </w:t>
      </w:r>
      <w:r w:rsidR="00BF097E" w:rsidRPr="007722EF">
        <w:rPr>
          <w:rFonts w:ascii="Verdana" w:hAnsi="Verdana"/>
          <w:sz w:val="22"/>
          <w:szCs w:val="22"/>
          <w:shd w:val="clear" w:color="auto" w:fill="FFFFFF"/>
          <w:lang w:val="en-GB"/>
        </w:rPr>
        <w:t xml:space="preserve">also recently </w:t>
      </w:r>
      <w:r w:rsidR="00EC00CD" w:rsidRPr="007722EF">
        <w:rPr>
          <w:rFonts w:ascii="Verdana" w:hAnsi="Verdana"/>
          <w:sz w:val="22"/>
          <w:szCs w:val="22"/>
          <w:shd w:val="clear" w:color="auto" w:fill="FFFFFF"/>
          <w:lang w:val="en-GB"/>
        </w:rPr>
        <w:t>re-</w:t>
      </w:r>
      <w:r w:rsidR="002F0513" w:rsidRPr="007722EF">
        <w:rPr>
          <w:rFonts w:ascii="Verdana" w:hAnsi="Verdana"/>
          <w:sz w:val="22"/>
          <w:szCs w:val="22"/>
          <w:shd w:val="clear" w:color="auto" w:fill="FFFFFF"/>
          <w:lang w:val="en-GB"/>
        </w:rPr>
        <w:t>affirmed</w:t>
      </w:r>
      <w:r w:rsidR="00BF097E" w:rsidRPr="007722EF">
        <w:rPr>
          <w:rFonts w:ascii="Verdana" w:hAnsi="Verdana"/>
          <w:sz w:val="22"/>
          <w:szCs w:val="22"/>
          <w:shd w:val="clear" w:color="auto" w:fill="FFFFFF"/>
          <w:lang w:val="en-GB"/>
        </w:rPr>
        <w:t xml:space="preserve"> </w:t>
      </w:r>
      <w:r w:rsidR="00545858" w:rsidRPr="007722EF">
        <w:rPr>
          <w:rFonts w:ascii="Verdana" w:hAnsi="Verdana"/>
          <w:sz w:val="22"/>
          <w:szCs w:val="22"/>
          <w:shd w:val="clear" w:color="auto" w:fill="FFFFFF"/>
          <w:lang w:val="en-GB"/>
        </w:rPr>
        <w:t xml:space="preserve">its </w:t>
      </w:r>
      <w:r w:rsidR="00B41353" w:rsidRPr="007722EF">
        <w:rPr>
          <w:rFonts w:ascii="Verdana" w:hAnsi="Verdana"/>
          <w:sz w:val="22"/>
          <w:szCs w:val="22"/>
          <w:shd w:val="clear" w:color="auto" w:fill="FFFFFF"/>
          <w:lang w:val="en-GB"/>
        </w:rPr>
        <w:t>position that</w:t>
      </w:r>
      <w:r w:rsidR="00C63683" w:rsidRPr="007722EF">
        <w:rPr>
          <w:rFonts w:ascii="Verdana" w:hAnsi="Verdana"/>
          <w:sz w:val="22"/>
          <w:szCs w:val="22"/>
          <w:shd w:val="clear" w:color="auto" w:fill="FFFFFF"/>
          <w:lang w:val="en-GB"/>
        </w:rPr>
        <w:t xml:space="preserve"> </w:t>
      </w:r>
      <w:r w:rsidR="00B41353" w:rsidRPr="007722EF">
        <w:rPr>
          <w:rFonts w:ascii="Verdana" w:hAnsi="Verdana"/>
          <w:sz w:val="22"/>
          <w:szCs w:val="22"/>
          <w:shd w:val="clear" w:color="auto" w:fill="FFFFFF"/>
          <w:lang w:val="en-GB"/>
        </w:rPr>
        <w:t xml:space="preserve">where </w:t>
      </w:r>
      <w:r w:rsidR="00C63683" w:rsidRPr="007722EF">
        <w:rPr>
          <w:rFonts w:ascii="Verdana" w:hAnsi="Verdana"/>
          <w:sz w:val="22"/>
          <w:szCs w:val="22"/>
          <w:shd w:val="clear" w:color="auto" w:fill="FFFFFF"/>
          <w:lang w:val="en-GB"/>
        </w:rPr>
        <w:t xml:space="preserve">a document </w:t>
      </w:r>
      <w:r w:rsidR="00B41353" w:rsidRPr="007722EF">
        <w:rPr>
          <w:rFonts w:ascii="Verdana" w:hAnsi="Verdana"/>
          <w:sz w:val="22"/>
          <w:szCs w:val="22"/>
          <w:shd w:val="clear" w:color="auto" w:fill="FFFFFF"/>
          <w:lang w:val="en-GB"/>
        </w:rPr>
        <w:t xml:space="preserve">that </w:t>
      </w:r>
      <w:r w:rsidR="00C63683" w:rsidRPr="007722EF">
        <w:rPr>
          <w:rFonts w:ascii="Verdana" w:hAnsi="Verdana"/>
          <w:sz w:val="22"/>
          <w:szCs w:val="22"/>
          <w:shd w:val="clear" w:color="auto" w:fill="FFFFFF"/>
          <w:lang w:val="en-GB"/>
        </w:rPr>
        <w:t xml:space="preserve">was </w:t>
      </w:r>
      <w:r w:rsidR="00B41353" w:rsidRPr="007722EF">
        <w:rPr>
          <w:rFonts w:ascii="Verdana" w:hAnsi="Verdana"/>
          <w:sz w:val="22"/>
          <w:szCs w:val="22"/>
          <w:shd w:val="clear" w:color="auto" w:fill="FFFFFF"/>
          <w:lang w:val="en-GB"/>
        </w:rPr>
        <w:t>“</w:t>
      </w:r>
      <w:r w:rsidR="00C63683" w:rsidRPr="007722EF">
        <w:rPr>
          <w:rFonts w:ascii="Verdana" w:hAnsi="Verdana"/>
          <w:i/>
          <w:iCs/>
          <w:sz w:val="22"/>
          <w:szCs w:val="22"/>
          <w:shd w:val="clear" w:color="auto" w:fill="FFFFFF"/>
          <w:lang w:val="en-GB"/>
        </w:rPr>
        <w:t>intended to provide a complete memorial of a jural act, extrinsic </w:t>
      </w:r>
      <w:r w:rsidR="00C63683" w:rsidRPr="007722EF">
        <w:rPr>
          <w:rFonts w:ascii="Verdana" w:hAnsi="Verdana"/>
          <w:i/>
          <w:iCs/>
          <w:sz w:val="22"/>
          <w:szCs w:val="22"/>
          <w:lang w:val="en-GB"/>
        </w:rPr>
        <w:t>evidence</w:t>
      </w:r>
      <w:r w:rsidR="00C63683" w:rsidRPr="007722EF">
        <w:rPr>
          <w:rFonts w:ascii="Verdana" w:hAnsi="Verdana"/>
          <w:i/>
          <w:iCs/>
          <w:sz w:val="22"/>
          <w:szCs w:val="22"/>
          <w:shd w:val="clear" w:color="auto" w:fill="FFFFFF"/>
          <w:lang w:val="en-GB"/>
        </w:rPr>
        <w:t> may not contradict,</w:t>
      </w:r>
      <w:r w:rsidR="00831798" w:rsidRPr="007722EF">
        <w:rPr>
          <w:rFonts w:ascii="Verdana" w:hAnsi="Verdana"/>
          <w:i/>
          <w:iCs/>
          <w:sz w:val="22"/>
          <w:szCs w:val="22"/>
          <w:shd w:val="clear" w:color="auto" w:fill="FFFFFF"/>
          <w:lang w:val="en-GB"/>
        </w:rPr>
        <w:t xml:space="preserve"> </w:t>
      </w:r>
      <w:r w:rsidR="00C63683" w:rsidRPr="007722EF">
        <w:rPr>
          <w:rFonts w:ascii="Verdana" w:hAnsi="Verdana"/>
          <w:i/>
          <w:iCs/>
          <w:sz w:val="22"/>
          <w:szCs w:val="22"/>
          <w:shd w:val="clear" w:color="auto" w:fill="FFFFFF"/>
          <w:lang w:val="en-GB"/>
        </w:rPr>
        <w:t>add to or modify its meaning</w:t>
      </w:r>
      <w:r w:rsidR="00B41353" w:rsidRPr="007722EF">
        <w:rPr>
          <w:rFonts w:ascii="Verdana" w:hAnsi="Verdana"/>
          <w:i/>
          <w:iCs/>
          <w:sz w:val="22"/>
          <w:szCs w:val="22"/>
          <w:shd w:val="clear" w:color="auto" w:fill="FFFFFF"/>
          <w:lang w:val="en-GB"/>
        </w:rPr>
        <w:t>”</w:t>
      </w:r>
      <w:r w:rsidR="00BF097E" w:rsidRPr="007722EF">
        <w:rPr>
          <w:rFonts w:ascii="Verdana" w:hAnsi="Verdana"/>
          <w:sz w:val="22"/>
          <w:szCs w:val="22"/>
          <w:shd w:val="clear" w:color="auto" w:fill="FFFFFF"/>
          <w:lang w:val="en-GB"/>
        </w:rPr>
        <w:t>,</w:t>
      </w:r>
      <w:r w:rsidR="00B41353" w:rsidRPr="007722EF">
        <w:rPr>
          <w:rStyle w:val="FootnoteReference"/>
          <w:rFonts w:ascii="Verdana" w:hAnsi="Verdana"/>
          <w:sz w:val="22"/>
          <w:szCs w:val="22"/>
          <w:shd w:val="clear" w:color="auto" w:fill="FFFFFF"/>
          <w:lang w:val="en-GB"/>
        </w:rPr>
        <w:footnoteReference w:id="16"/>
      </w:r>
      <w:r w:rsidR="00C63683" w:rsidRPr="007722EF">
        <w:rPr>
          <w:rFonts w:ascii="Verdana" w:hAnsi="Verdana"/>
          <w:sz w:val="22"/>
          <w:szCs w:val="22"/>
          <w:shd w:val="clear" w:color="auto" w:fill="FFFFFF"/>
          <w:lang w:val="en-GB"/>
        </w:rPr>
        <w:t xml:space="preserve"> </w:t>
      </w:r>
      <w:r w:rsidR="00BF097E" w:rsidRPr="007722EF">
        <w:rPr>
          <w:rFonts w:ascii="Verdana" w:hAnsi="Verdana"/>
          <w:sz w:val="22"/>
          <w:szCs w:val="22"/>
          <w:shd w:val="clear" w:color="auto" w:fill="FFFFFF"/>
          <w:lang w:val="en-GB"/>
        </w:rPr>
        <w:t xml:space="preserve">but has, in no uncertain terms, expressed its dismay </w:t>
      </w:r>
      <w:r w:rsidR="00C91641" w:rsidRPr="007722EF">
        <w:rPr>
          <w:rFonts w:ascii="Verdana" w:hAnsi="Verdana"/>
          <w:sz w:val="22"/>
          <w:szCs w:val="22"/>
          <w:shd w:val="clear" w:color="auto" w:fill="FFFFFF"/>
          <w:lang w:val="en-GB"/>
        </w:rPr>
        <w:t>at</w:t>
      </w:r>
      <w:r w:rsidR="00BF097E" w:rsidRPr="007722EF">
        <w:rPr>
          <w:rFonts w:ascii="Verdana" w:hAnsi="Verdana"/>
          <w:sz w:val="22"/>
          <w:szCs w:val="22"/>
          <w:shd w:val="clear" w:color="auto" w:fill="FFFFFF"/>
          <w:lang w:val="en-GB"/>
        </w:rPr>
        <w:t xml:space="preserve"> this “</w:t>
      </w:r>
      <w:r w:rsidR="00BF097E" w:rsidRPr="007722EF">
        <w:rPr>
          <w:rFonts w:ascii="Verdana" w:hAnsi="Verdana"/>
          <w:i/>
          <w:iCs/>
          <w:sz w:val="22"/>
          <w:szCs w:val="22"/>
          <w:shd w:val="clear" w:color="auto" w:fill="FFFFFF"/>
          <w:lang w:val="en-GB"/>
        </w:rPr>
        <w:t>rule being frequently ignored by practitioners and seldom enforced by trial courts”.</w:t>
      </w:r>
      <w:r w:rsidR="00BF097E" w:rsidRPr="007722EF">
        <w:rPr>
          <w:rStyle w:val="FootnoteReference"/>
          <w:rFonts w:ascii="Verdana" w:hAnsi="Verdana"/>
          <w:i/>
          <w:iCs/>
          <w:sz w:val="22"/>
          <w:szCs w:val="22"/>
          <w:shd w:val="clear" w:color="auto" w:fill="FFFFFF"/>
          <w:lang w:val="en-GB"/>
        </w:rPr>
        <w:footnoteReference w:id="17"/>
      </w:r>
    </w:p>
    <w:p w14:paraId="363E2E48" w14:textId="66ED3395" w:rsidR="00B0705F"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[29]</w:t>
      </w:r>
      <w:r w:rsidRPr="007722EF">
        <w:rPr>
          <w:rFonts w:ascii="Verdana" w:hAnsi="Verdana"/>
          <w:color w:val="000000" w:themeColor="text1"/>
          <w:sz w:val="22"/>
          <w:szCs w:val="22"/>
          <w:lang w:val="en-GB"/>
        </w:rPr>
        <w:tab/>
      </w:r>
      <w:r w:rsidR="00B0705F" w:rsidRPr="00FB5FAE">
        <w:rPr>
          <w:rFonts w:ascii="Verdana" w:hAnsi="Verdana"/>
          <w:sz w:val="22"/>
          <w:szCs w:val="22"/>
          <w:shd w:val="clear" w:color="auto" w:fill="FFFFFF"/>
          <w:lang w:val="en-GB"/>
        </w:rPr>
        <w:t xml:space="preserve">The approach to interpretation as enunciated in </w:t>
      </w:r>
      <w:proofErr w:type="spellStart"/>
      <w:r w:rsidR="00B0705F" w:rsidRPr="00FB5FAE">
        <w:rPr>
          <w:rFonts w:ascii="Verdana" w:hAnsi="Verdana"/>
          <w:i/>
          <w:iCs/>
          <w:sz w:val="22"/>
          <w:szCs w:val="22"/>
          <w:shd w:val="clear" w:color="auto" w:fill="FFFFFF"/>
          <w:lang w:val="en-GB"/>
        </w:rPr>
        <w:t>Endumeni</w:t>
      </w:r>
      <w:proofErr w:type="spellEnd"/>
      <w:r w:rsidR="00B0705F" w:rsidRPr="00FB5FAE">
        <w:rPr>
          <w:rFonts w:ascii="Verdana" w:hAnsi="Verdana"/>
          <w:sz w:val="22"/>
          <w:szCs w:val="22"/>
          <w:shd w:val="clear" w:color="auto" w:fill="FFFFFF"/>
          <w:lang w:val="en-GB"/>
        </w:rPr>
        <w:t xml:space="preserve"> requires that </w:t>
      </w:r>
      <w:r w:rsidR="00AF439F" w:rsidRPr="00FB5FAE">
        <w:rPr>
          <w:rFonts w:ascii="Verdana" w:hAnsi="Verdana"/>
          <w:i/>
          <w:iCs/>
          <w:sz w:val="22"/>
          <w:szCs w:val="22"/>
          <w:shd w:val="clear" w:color="auto" w:fill="FFFFFF"/>
          <w:lang w:val="en-GB"/>
        </w:rPr>
        <w:t>“</w:t>
      </w:r>
      <w:r w:rsidR="00B0705F" w:rsidRPr="00FB5FAE">
        <w:rPr>
          <w:rFonts w:ascii="Verdana" w:hAnsi="Verdana"/>
          <w:i/>
          <w:iCs/>
          <w:sz w:val="22"/>
          <w:szCs w:val="22"/>
          <w:shd w:val="clear" w:color="auto" w:fill="FFFFFF"/>
          <w:lang w:val="en-GB"/>
        </w:rPr>
        <w:t>from the outset one considers the context and the language together, with neither predominating over the other</w:t>
      </w:r>
      <w:r w:rsidR="00AF439F" w:rsidRPr="00FB5FAE">
        <w:rPr>
          <w:rFonts w:ascii="Verdana" w:hAnsi="Verdana"/>
          <w:i/>
          <w:iCs/>
          <w:sz w:val="22"/>
          <w:szCs w:val="22"/>
          <w:shd w:val="clear" w:color="auto" w:fill="FFFFFF"/>
          <w:lang w:val="en-GB"/>
        </w:rPr>
        <w:t>”</w:t>
      </w:r>
      <w:r w:rsidR="00B0705F" w:rsidRPr="00FB5FAE">
        <w:rPr>
          <w:rFonts w:ascii="Verdana" w:hAnsi="Verdana"/>
          <w:sz w:val="22"/>
          <w:szCs w:val="22"/>
          <w:shd w:val="clear" w:color="auto" w:fill="FFFFFF"/>
          <w:lang w:val="en-GB"/>
        </w:rPr>
        <w:t>.</w:t>
      </w:r>
      <w:r w:rsidR="00B0705F" w:rsidRPr="00FB5FAE">
        <w:rPr>
          <w:rStyle w:val="FootnoteReference"/>
          <w:rFonts w:ascii="Verdana" w:hAnsi="Verdana"/>
          <w:sz w:val="22"/>
          <w:szCs w:val="22"/>
          <w:shd w:val="clear" w:color="auto" w:fill="FFFFFF"/>
          <w:lang w:val="en-GB"/>
        </w:rPr>
        <w:footnoteReference w:id="18"/>
      </w:r>
      <w:r w:rsidR="00B0705F" w:rsidRPr="00FB5FAE">
        <w:rPr>
          <w:rFonts w:ascii="Verdana" w:hAnsi="Verdana"/>
          <w:sz w:val="22"/>
          <w:szCs w:val="22"/>
          <w:shd w:val="clear" w:color="auto" w:fill="FFFFFF"/>
          <w:lang w:val="en-GB"/>
        </w:rPr>
        <w:t xml:space="preserve"> </w:t>
      </w:r>
      <w:r w:rsidR="00B65BC6" w:rsidRPr="00FB5FAE">
        <w:rPr>
          <w:rFonts w:ascii="Verdana" w:hAnsi="Verdana"/>
          <w:sz w:val="22"/>
          <w:szCs w:val="22"/>
          <w:shd w:val="clear" w:color="auto" w:fill="FFFFFF"/>
          <w:lang w:val="en-GB"/>
        </w:rPr>
        <w:t xml:space="preserve"> </w:t>
      </w:r>
      <w:r w:rsidR="00B0705F" w:rsidRPr="00FB5FAE">
        <w:rPr>
          <w:rFonts w:ascii="Verdana" w:hAnsi="Verdana"/>
          <w:sz w:val="22"/>
          <w:szCs w:val="22"/>
          <w:shd w:val="clear" w:color="auto" w:fill="FFFFFF"/>
          <w:lang w:val="en-GB"/>
        </w:rPr>
        <w:t>In</w:t>
      </w:r>
      <w:r w:rsidR="00B65BC6" w:rsidRPr="00FB5FAE">
        <w:rPr>
          <w:rFonts w:ascii="Verdana" w:hAnsi="Verdana"/>
          <w:sz w:val="22"/>
          <w:szCs w:val="22"/>
          <w:shd w:val="clear" w:color="auto" w:fill="FFFFFF"/>
          <w:lang w:val="en-GB"/>
        </w:rPr>
        <w:t xml:space="preserve"> </w:t>
      </w:r>
      <w:proofErr w:type="spellStart"/>
      <w:r w:rsidR="00B0705F" w:rsidRPr="00FB5FAE">
        <w:rPr>
          <w:rFonts w:ascii="Verdana" w:hAnsi="Verdana"/>
          <w:i/>
          <w:iCs/>
          <w:sz w:val="22"/>
          <w:szCs w:val="22"/>
          <w:shd w:val="clear" w:color="auto" w:fill="FFFFFF"/>
          <w:lang w:val="en-GB"/>
        </w:rPr>
        <w:t>Chisuse</w:t>
      </w:r>
      <w:proofErr w:type="spellEnd"/>
      <w:r w:rsidR="00B0705F" w:rsidRPr="00FB5FAE">
        <w:rPr>
          <w:rFonts w:ascii="Verdana" w:hAnsi="Verdana"/>
          <w:sz w:val="22"/>
          <w:szCs w:val="22"/>
          <w:shd w:val="clear" w:color="auto" w:fill="FFFFFF"/>
          <w:lang w:val="en-GB"/>
        </w:rPr>
        <w:t xml:space="preserve">, although speaking in the context of statutory interpretation, the Constitutional Court held that this </w:t>
      </w:r>
      <w:r w:rsidR="00B0705F" w:rsidRPr="00FB5FAE">
        <w:rPr>
          <w:rFonts w:ascii="Verdana" w:hAnsi="Verdana"/>
          <w:i/>
          <w:iCs/>
          <w:sz w:val="22"/>
          <w:szCs w:val="22"/>
          <w:shd w:val="clear" w:color="auto" w:fill="FFFFFF"/>
          <w:lang w:val="en-GB"/>
        </w:rPr>
        <w:t>'now settled' approach to interpretation, is a 'unitary' exercise</w:t>
      </w:r>
      <w:r w:rsidR="00B0705F" w:rsidRPr="00FB5FAE">
        <w:rPr>
          <w:rFonts w:ascii="Verdana" w:hAnsi="Verdana"/>
          <w:sz w:val="22"/>
          <w:szCs w:val="22"/>
          <w:shd w:val="clear" w:color="auto" w:fill="FFFFFF"/>
          <w:lang w:val="en-GB"/>
        </w:rPr>
        <w:t>.</w:t>
      </w:r>
      <w:r w:rsidR="00B0705F" w:rsidRPr="00FB5FAE">
        <w:rPr>
          <w:rStyle w:val="FootnoteReference"/>
          <w:rFonts w:ascii="Verdana" w:hAnsi="Verdana"/>
          <w:sz w:val="22"/>
          <w:szCs w:val="22"/>
          <w:shd w:val="clear" w:color="auto" w:fill="FFFFFF"/>
          <w:lang w:val="en-GB"/>
        </w:rPr>
        <w:footnoteReference w:id="19"/>
      </w:r>
      <w:r w:rsidR="00B0705F" w:rsidRPr="00FB5FAE">
        <w:rPr>
          <w:rFonts w:ascii="Verdana" w:hAnsi="Verdana"/>
          <w:sz w:val="22"/>
          <w:szCs w:val="22"/>
          <w:shd w:val="clear" w:color="auto" w:fill="FFFFFF"/>
          <w:lang w:val="en-GB"/>
        </w:rPr>
        <w:t xml:space="preserve"> This means that interpretation is to be approached holistically: simultaneously </w:t>
      </w:r>
      <w:r w:rsidR="00B0705F" w:rsidRPr="00FB5FAE">
        <w:rPr>
          <w:rFonts w:ascii="Verdana" w:hAnsi="Verdana"/>
          <w:sz w:val="22"/>
          <w:szCs w:val="22"/>
          <w:shd w:val="clear" w:color="auto" w:fill="FFFFFF"/>
          <w:lang w:val="en-GB"/>
        </w:rPr>
        <w:lastRenderedPageBreak/>
        <w:t>considering</w:t>
      </w:r>
      <w:r w:rsidR="00B0705F" w:rsidRPr="007722EF">
        <w:rPr>
          <w:rFonts w:ascii="Verdana" w:hAnsi="Verdana"/>
          <w:sz w:val="21"/>
          <w:szCs w:val="21"/>
          <w:shd w:val="clear" w:color="auto" w:fill="FFFFFF"/>
          <w:lang w:val="en-GB"/>
        </w:rPr>
        <w:t xml:space="preserve"> the text, context and purpose.</w:t>
      </w:r>
    </w:p>
    <w:p w14:paraId="0A824AF0" w14:textId="3571B9AF" w:rsidR="00B0705F" w:rsidRPr="0053434D"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53434D">
        <w:rPr>
          <w:rFonts w:ascii="Verdana" w:hAnsi="Verdana"/>
          <w:color w:val="000000" w:themeColor="text1"/>
          <w:sz w:val="22"/>
          <w:szCs w:val="22"/>
          <w:lang w:val="en-GB"/>
        </w:rPr>
        <w:t>[30]</w:t>
      </w:r>
      <w:r w:rsidRPr="0053434D">
        <w:rPr>
          <w:rFonts w:ascii="Verdana" w:hAnsi="Verdana"/>
          <w:color w:val="000000" w:themeColor="text1"/>
          <w:sz w:val="22"/>
          <w:szCs w:val="22"/>
          <w:lang w:val="en-GB"/>
        </w:rPr>
        <w:tab/>
      </w:r>
      <w:r w:rsidR="00B0705F" w:rsidRPr="0053434D">
        <w:rPr>
          <w:rFonts w:ascii="Verdana" w:hAnsi="Verdana"/>
          <w:sz w:val="22"/>
          <w:szCs w:val="22"/>
          <w:shd w:val="clear" w:color="auto" w:fill="FFFFFF"/>
          <w:lang w:val="en-GB"/>
        </w:rPr>
        <w:t>The Supreme Court of Appeal has explicitly pointed out in cases subsequent to </w:t>
      </w:r>
      <w:proofErr w:type="spellStart"/>
      <w:r w:rsidR="00B0705F" w:rsidRPr="0053434D">
        <w:rPr>
          <w:rFonts w:ascii="Verdana" w:hAnsi="Verdana"/>
          <w:i/>
          <w:iCs/>
          <w:sz w:val="22"/>
          <w:szCs w:val="22"/>
          <w:shd w:val="clear" w:color="auto" w:fill="FFFFFF"/>
          <w:lang w:val="en-GB"/>
        </w:rPr>
        <w:t>Endumeni</w:t>
      </w:r>
      <w:proofErr w:type="spellEnd"/>
      <w:r w:rsidR="00B0705F" w:rsidRPr="0053434D">
        <w:rPr>
          <w:rFonts w:ascii="Verdana" w:hAnsi="Verdana"/>
          <w:sz w:val="22"/>
          <w:szCs w:val="22"/>
          <w:shd w:val="clear" w:color="auto" w:fill="FFFFFF"/>
          <w:lang w:val="en-GB"/>
        </w:rPr>
        <w:t> that context and purpose must be taken into account as a matter of course, whether or not the words used in the contract are ambiguous.</w:t>
      </w:r>
      <w:r w:rsidR="00B0705F" w:rsidRPr="0053434D">
        <w:rPr>
          <w:rStyle w:val="FootnoteReference"/>
          <w:rFonts w:ascii="Verdana" w:hAnsi="Verdana"/>
          <w:sz w:val="22"/>
          <w:szCs w:val="22"/>
          <w:shd w:val="clear" w:color="auto" w:fill="FFFFFF"/>
          <w:lang w:val="en-GB"/>
        </w:rPr>
        <w:footnoteReference w:id="20"/>
      </w:r>
      <w:r w:rsidR="00B65BC6" w:rsidRPr="0053434D">
        <w:rPr>
          <w:rFonts w:ascii="Verdana" w:hAnsi="Verdana"/>
          <w:sz w:val="22"/>
          <w:szCs w:val="22"/>
          <w:shd w:val="clear" w:color="auto" w:fill="FFFFFF"/>
          <w:lang w:val="en-GB"/>
        </w:rPr>
        <w:t xml:space="preserve"> </w:t>
      </w:r>
      <w:r w:rsidR="00B0705F" w:rsidRPr="0053434D">
        <w:rPr>
          <w:rFonts w:ascii="Verdana" w:hAnsi="Verdana"/>
          <w:sz w:val="22"/>
          <w:szCs w:val="22"/>
          <w:shd w:val="clear" w:color="auto" w:fill="FFFFFF"/>
          <w:lang w:val="en-GB"/>
        </w:rPr>
        <w:t>A court interpreting a contract has to, from the onset, consider the contract's factual matrix, its purpose, the circumstances leading up to its conclusion, and the knowledge at the time of those who negotiated and produced the contract.</w:t>
      </w:r>
      <w:r w:rsidR="00B0705F" w:rsidRPr="0053434D">
        <w:rPr>
          <w:rStyle w:val="FootnoteReference"/>
          <w:rFonts w:ascii="Verdana" w:hAnsi="Verdana"/>
          <w:sz w:val="22"/>
          <w:szCs w:val="22"/>
          <w:shd w:val="clear" w:color="auto" w:fill="FFFFFF"/>
          <w:lang w:val="en-GB"/>
        </w:rPr>
        <w:footnoteReference w:id="21"/>
      </w:r>
      <w:r w:rsidR="00B0705F" w:rsidRPr="0053434D">
        <w:rPr>
          <w:rFonts w:ascii="Verdana" w:hAnsi="Verdana"/>
          <w:sz w:val="22"/>
          <w:szCs w:val="22"/>
          <w:lang w:val="en-GB"/>
        </w:rPr>
        <w:t xml:space="preserve"> </w:t>
      </w:r>
    </w:p>
    <w:p w14:paraId="5D965510" w14:textId="65EFA3F4" w:rsidR="00B0705F" w:rsidRPr="0053434D"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53434D">
        <w:rPr>
          <w:rFonts w:ascii="Verdana" w:hAnsi="Verdana"/>
          <w:color w:val="000000" w:themeColor="text1"/>
          <w:sz w:val="22"/>
          <w:szCs w:val="22"/>
          <w:lang w:val="en-GB"/>
        </w:rPr>
        <w:t>[31]</w:t>
      </w:r>
      <w:r w:rsidRPr="0053434D">
        <w:rPr>
          <w:rFonts w:ascii="Verdana" w:hAnsi="Verdana"/>
          <w:color w:val="000000" w:themeColor="text1"/>
          <w:sz w:val="22"/>
          <w:szCs w:val="22"/>
          <w:lang w:val="en-GB"/>
        </w:rPr>
        <w:tab/>
      </w:r>
      <w:r w:rsidR="00B0705F" w:rsidRPr="0053434D">
        <w:rPr>
          <w:rFonts w:ascii="Verdana" w:hAnsi="Verdana"/>
          <w:sz w:val="22"/>
          <w:szCs w:val="22"/>
          <w:shd w:val="clear" w:color="auto" w:fill="FFFFFF"/>
          <w:lang w:val="en-GB"/>
        </w:rPr>
        <w:t>This means that parties will invariably have to adduce evidence to establish the context and purpose of the relevant contractual provisions.</w:t>
      </w:r>
      <w:r w:rsidR="001360FE" w:rsidRPr="0053434D">
        <w:rPr>
          <w:rFonts w:ascii="Verdana" w:hAnsi="Verdana"/>
          <w:sz w:val="22"/>
          <w:szCs w:val="22"/>
          <w:lang w:val="en-GB"/>
        </w:rPr>
        <w:t xml:space="preserve"> </w:t>
      </w:r>
      <w:r w:rsidR="00B0705F" w:rsidRPr="0053434D">
        <w:rPr>
          <w:rFonts w:ascii="Verdana" w:hAnsi="Verdana"/>
          <w:sz w:val="22"/>
          <w:szCs w:val="22"/>
          <w:shd w:val="clear" w:color="auto" w:fill="FFFFFF"/>
          <w:lang w:val="en-GB"/>
        </w:rPr>
        <w:t>This does</w:t>
      </w:r>
      <w:r w:rsidR="001360FE" w:rsidRPr="0053434D">
        <w:rPr>
          <w:rFonts w:ascii="Verdana" w:hAnsi="Verdana"/>
          <w:sz w:val="22"/>
          <w:szCs w:val="22"/>
          <w:shd w:val="clear" w:color="auto" w:fill="FFFFFF"/>
          <w:lang w:val="en-GB"/>
        </w:rPr>
        <w:t>, however,</w:t>
      </w:r>
      <w:r w:rsidR="00B0705F" w:rsidRPr="0053434D">
        <w:rPr>
          <w:rFonts w:ascii="Verdana" w:hAnsi="Verdana"/>
          <w:sz w:val="22"/>
          <w:szCs w:val="22"/>
          <w:shd w:val="clear" w:color="auto" w:fill="FFFFFF"/>
          <w:lang w:val="en-GB"/>
        </w:rPr>
        <w:t xml:space="preserve"> not mean that extrinsic evidence is </w:t>
      </w:r>
      <w:r w:rsidR="00B0705F" w:rsidRPr="0053434D">
        <w:rPr>
          <w:rFonts w:ascii="Verdana" w:hAnsi="Verdana"/>
          <w:i/>
          <w:iCs/>
          <w:sz w:val="22"/>
          <w:szCs w:val="22"/>
          <w:shd w:val="clear" w:color="auto" w:fill="FFFFFF"/>
          <w:lang w:val="en-GB"/>
        </w:rPr>
        <w:t>always</w:t>
      </w:r>
      <w:r w:rsidR="00B0705F" w:rsidRPr="0053434D">
        <w:rPr>
          <w:rFonts w:ascii="Verdana" w:hAnsi="Verdana"/>
          <w:sz w:val="22"/>
          <w:szCs w:val="22"/>
          <w:shd w:val="clear" w:color="auto" w:fill="FFFFFF"/>
          <w:lang w:val="en-GB"/>
        </w:rPr>
        <w:t xml:space="preserve"> admissible. </w:t>
      </w:r>
      <w:r w:rsidR="00F60DED" w:rsidRPr="0053434D">
        <w:rPr>
          <w:rFonts w:ascii="Verdana" w:hAnsi="Verdana"/>
          <w:sz w:val="22"/>
          <w:szCs w:val="22"/>
          <w:shd w:val="clear" w:color="auto" w:fill="FFFFFF"/>
          <w:lang w:val="en-GB"/>
        </w:rPr>
        <w:t>A</w:t>
      </w:r>
      <w:r w:rsidR="00B0705F" w:rsidRPr="0053434D">
        <w:rPr>
          <w:rFonts w:ascii="Verdana" w:hAnsi="Verdana"/>
          <w:sz w:val="22"/>
          <w:szCs w:val="22"/>
          <w:shd w:val="clear" w:color="auto" w:fill="FFFFFF"/>
          <w:lang w:val="en-GB"/>
        </w:rPr>
        <w:t xml:space="preserve"> court's recourse to extrinsic evidence is not limitless because </w:t>
      </w:r>
      <w:r w:rsidR="00B0705F" w:rsidRPr="0053434D">
        <w:rPr>
          <w:rFonts w:ascii="Verdana" w:hAnsi="Verdana"/>
          <w:i/>
          <w:iCs/>
          <w:sz w:val="22"/>
          <w:szCs w:val="22"/>
          <w:shd w:val="clear" w:color="auto" w:fill="FFFFFF"/>
          <w:lang w:val="en-GB"/>
        </w:rPr>
        <w:t xml:space="preserve">'interpretation is a matter of law and not fact. Interpretation is a matter for the court and not for </w:t>
      </w:r>
      <w:proofErr w:type="gramStart"/>
      <w:r w:rsidR="00B0705F" w:rsidRPr="0053434D">
        <w:rPr>
          <w:rFonts w:ascii="Verdana" w:hAnsi="Verdana"/>
          <w:i/>
          <w:iCs/>
          <w:sz w:val="22"/>
          <w:szCs w:val="22"/>
          <w:shd w:val="clear" w:color="auto" w:fill="FFFFFF"/>
          <w:lang w:val="en-GB"/>
        </w:rPr>
        <w:t>witnesses'</w:t>
      </w:r>
      <w:proofErr w:type="gramEnd"/>
      <w:r w:rsidR="00B0705F" w:rsidRPr="0053434D">
        <w:rPr>
          <w:rFonts w:ascii="Verdana" w:hAnsi="Verdana"/>
          <w:sz w:val="22"/>
          <w:szCs w:val="22"/>
          <w:shd w:val="clear" w:color="auto" w:fill="FFFFFF"/>
          <w:lang w:val="en-GB"/>
        </w:rPr>
        <w:t>.</w:t>
      </w:r>
      <w:r w:rsidR="00B0705F" w:rsidRPr="0053434D">
        <w:rPr>
          <w:rStyle w:val="FootnoteReference"/>
          <w:rFonts w:ascii="Verdana" w:hAnsi="Verdana"/>
          <w:sz w:val="22"/>
          <w:szCs w:val="22"/>
          <w:shd w:val="clear" w:color="auto" w:fill="FFFFFF"/>
          <w:lang w:val="en-GB"/>
        </w:rPr>
        <w:footnoteReference w:id="22"/>
      </w:r>
    </w:p>
    <w:p w14:paraId="21BBCE98" w14:textId="54CA0A07" w:rsidR="004B7A47"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[32]</w:t>
      </w:r>
      <w:r w:rsidRPr="007722EF">
        <w:rPr>
          <w:rFonts w:ascii="Verdana" w:hAnsi="Verdana"/>
          <w:color w:val="000000" w:themeColor="text1"/>
          <w:sz w:val="22"/>
          <w:szCs w:val="22"/>
          <w:lang w:val="en-GB"/>
        </w:rPr>
        <w:tab/>
      </w:r>
      <w:r w:rsidR="004B7A47" w:rsidRPr="007722EF">
        <w:rPr>
          <w:rFonts w:ascii="Verdana" w:hAnsi="Verdana"/>
          <w:sz w:val="22"/>
          <w:szCs w:val="22"/>
          <w:shd w:val="clear" w:color="auto" w:fill="FFFFFF"/>
          <w:lang w:val="en-GB"/>
        </w:rPr>
        <w:t xml:space="preserve">The rules </w:t>
      </w:r>
      <w:r w:rsidR="0035771F" w:rsidRPr="007722EF">
        <w:rPr>
          <w:rFonts w:ascii="Verdana" w:hAnsi="Verdana"/>
          <w:sz w:val="22"/>
          <w:szCs w:val="22"/>
          <w:shd w:val="clear" w:color="auto" w:fill="FFFFFF"/>
          <w:lang w:val="en-GB"/>
        </w:rPr>
        <w:t>on</w:t>
      </w:r>
      <w:r w:rsidR="004B7A47" w:rsidRPr="007722EF">
        <w:rPr>
          <w:rFonts w:ascii="Verdana" w:hAnsi="Verdana"/>
          <w:sz w:val="22"/>
          <w:szCs w:val="22"/>
          <w:shd w:val="clear" w:color="auto" w:fill="FFFFFF"/>
          <w:lang w:val="en-GB"/>
        </w:rPr>
        <w:t xml:space="preserve"> admissibility of</w:t>
      </w:r>
      <w:r w:rsidR="007722EF" w:rsidRPr="007722EF">
        <w:rPr>
          <w:rFonts w:ascii="Verdana" w:hAnsi="Verdana"/>
          <w:sz w:val="22"/>
          <w:szCs w:val="22"/>
          <w:shd w:val="clear" w:color="auto" w:fill="FFFFFF"/>
          <w:lang w:val="en-GB"/>
        </w:rPr>
        <w:t xml:space="preserve"> </w:t>
      </w:r>
      <w:r w:rsidR="004B7A47" w:rsidRPr="007722EF">
        <w:rPr>
          <w:rFonts w:ascii="Verdana" w:hAnsi="Verdana"/>
          <w:sz w:val="22"/>
          <w:szCs w:val="22"/>
          <w:shd w:val="clear" w:color="auto" w:fill="FFFFFF"/>
          <w:lang w:val="en-GB"/>
        </w:rPr>
        <w:t xml:space="preserve">extrinsic </w:t>
      </w:r>
      <w:r w:rsidR="004B7A47" w:rsidRPr="007722EF">
        <w:rPr>
          <w:rFonts w:ascii="Verdana" w:hAnsi="Verdana"/>
          <w:sz w:val="22"/>
          <w:szCs w:val="22"/>
          <w:lang w:val="en-GB"/>
        </w:rPr>
        <w:t>evidence</w:t>
      </w:r>
      <w:r w:rsidR="007722EF" w:rsidRPr="007722EF">
        <w:rPr>
          <w:rFonts w:ascii="Verdana" w:hAnsi="Verdana"/>
          <w:sz w:val="22"/>
          <w:szCs w:val="22"/>
          <w:shd w:val="clear" w:color="auto" w:fill="FFFFFF"/>
          <w:lang w:val="en-GB"/>
        </w:rPr>
        <w:t xml:space="preserve"> </w:t>
      </w:r>
      <w:r w:rsidR="004B7A47" w:rsidRPr="007722EF">
        <w:rPr>
          <w:rFonts w:ascii="Verdana" w:hAnsi="Verdana"/>
          <w:sz w:val="22"/>
          <w:szCs w:val="22"/>
          <w:shd w:val="clear" w:color="auto" w:fill="FFFFFF"/>
          <w:lang w:val="en-GB"/>
        </w:rPr>
        <w:t>do not depend on the nature of the document</w:t>
      </w:r>
      <w:r w:rsidR="007722EF" w:rsidRPr="007722EF">
        <w:rPr>
          <w:rFonts w:ascii="Verdana" w:hAnsi="Verdana"/>
          <w:sz w:val="22"/>
          <w:szCs w:val="22"/>
          <w:shd w:val="clear" w:color="auto" w:fill="FFFFFF"/>
          <w:lang w:val="en-GB"/>
        </w:rPr>
        <w:t>.</w:t>
      </w:r>
      <w:r w:rsidR="004B7A47" w:rsidRPr="007722EF">
        <w:rPr>
          <w:rStyle w:val="FootnoteReference"/>
          <w:rFonts w:ascii="Verdana" w:hAnsi="Verdana"/>
          <w:sz w:val="22"/>
          <w:szCs w:val="22"/>
          <w:shd w:val="clear" w:color="auto" w:fill="FFFFFF"/>
          <w:lang w:val="en-GB"/>
        </w:rPr>
        <w:footnoteReference w:id="23"/>
      </w:r>
      <w:r w:rsidR="004B7A47" w:rsidRPr="007722EF">
        <w:rPr>
          <w:rFonts w:ascii="Verdana" w:hAnsi="Verdana"/>
          <w:sz w:val="22"/>
          <w:szCs w:val="22"/>
          <w:shd w:val="clear" w:color="auto" w:fill="FFFFFF"/>
          <w:lang w:val="en-GB"/>
        </w:rPr>
        <w:t xml:space="preserve"> The </w:t>
      </w:r>
      <w:r w:rsidR="00B2733B" w:rsidRPr="007722EF">
        <w:rPr>
          <w:rFonts w:ascii="Verdana" w:hAnsi="Verdana"/>
          <w:sz w:val="22"/>
          <w:szCs w:val="22"/>
          <w:shd w:val="clear" w:color="auto" w:fill="FFFFFF"/>
          <w:lang w:val="en-GB"/>
        </w:rPr>
        <w:t xml:space="preserve">position held by the SCA is that the </w:t>
      </w:r>
      <w:r w:rsidR="004B7A47" w:rsidRPr="007722EF">
        <w:rPr>
          <w:rFonts w:ascii="Verdana" w:hAnsi="Verdana"/>
          <w:sz w:val="22"/>
          <w:szCs w:val="22"/>
          <w:shd w:val="clear" w:color="auto" w:fill="FFFFFF"/>
          <w:lang w:val="en-GB"/>
        </w:rPr>
        <w:t>extent that</w:t>
      </w:r>
      <w:r w:rsidR="007722EF" w:rsidRPr="007722EF">
        <w:rPr>
          <w:rFonts w:ascii="Verdana" w:hAnsi="Verdana"/>
          <w:sz w:val="22"/>
          <w:szCs w:val="22"/>
          <w:shd w:val="clear" w:color="auto" w:fill="FFFFFF"/>
          <w:lang w:val="en-GB"/>
        </w:rPr>
        <w:t xml:space="preserve"> </w:t>
      </w:r>
      <w:r w:rsidR="004B7A47" w:rsidRPr="007722EF">
        <w:rPr>
          <w:rFonts w:ascii="Verdana" w:hAnsi="Verdana"/>
          <w:sz w:val="22"/>
          <w:szCs w:val="22"/>
          <w:lang w:val="en-GB"/>
        </w:rPr>
        <w:t>evidence</w:t>
      </w:r>
      <w:r w:rsidR="007722EF" w:rsidRPr="007722EF">
        <w:rPr>
          <w:rFonts w:ascii="Verdana" w:hAnsi="Verdana"/>
          <w:sz w:val="22"/>
          <w:szCs w:val="22"/>
          <w:lang w:val="en-GB"/>
        </w:rPr>
        <w:t xml:space="preserve"> </w:t>
      </w:r>
      <w:r w:rsidR="004B7A47" w:rsidRPr="007722EF">
        <w:rPr>
          <w:rFonts w:ascii="Verdana" w:hAnsi="Verdana"/>
          <w:sz w:val="22"/>
          <w:szCs w:val="22"/>
          <w:shd w:val="clear" w:color="auto" w:fill="FFFFFF"/>
          <w:lang w:val="en-GB"/>
        </w:rPr>
        <w:t>may be admissible to contextualise the document to establish its factual matrix or purpose or for purposes of identification, must be used as conservatively as possible.</w:t>
      </w:r>
      <w:r w:rsidR="004B7A47" w:rsidRPr="007722EF">
        <w:rPr>
          <w:rStyle w:val="FootnoteReference"/>
          <w:rFonts w:ascii="Verdana" w:hAnsi="Verdana"/>
          <w:sz w:val="22"/>
          <w:szCs w:val="22"/>
          <w:shd w:val="clear" w:color="auto" w:fill="FFFFFF"/>
          <w:lang w:val="en-GB"/>
        </w:rPr>
        <w:footnoteReference w:id="24"/>
      </w:r>
    </w:p>
    <w:p w14:paraId="67497C01" w14:textId="03FE7B3A" w:rsidR="00564AED"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i/>
          <w:iCs/>
          <w:sz w:val="22"/>
          <w:szCs w:val="22"/>
          <w:lang w:val="en-GB"/>
        </w:rPr>
      </w:pPr>
      <w:r w:rsidRPr="007722EF">
        <w:rPr>
          <w:rFonts w:ascii="Verdana" w:hAnsi="Verdana"/>
          <w:iCs/>
          <w:color w:val="000000" w:themeColor="text1"/>
          <w:sz w:val="22"/>
          <w:szCs w:val="22"/>
          <w:lang w:val="en-GB"/>
        </w:rPr>
        <w:lastRenderedPageBreak/>
        <w:t>[33]</w:t>
      </w:r>
      <w:r w:rsidRPr="007722EF">
        <w:rPr>
          <w:rFonts w:ascii="Verdana" w:hAnsi="Verdana"/>
          <w:iCs/>
          <w:color w:val="000000" w:themeColor="text1"/>
          <w:sz w:val="22"/>
          <w:szCs w:val="22"/>
          <w:lang w:val="en-GB"/>
        </w:rPr>
        <w:tab/>
      </w:r>
      <w:r w:rsidR="00B2733B" w:rsidRPr="007722EF">
        <w:rPr>
          <w:rFonts w:ascii="Verdana" w:hAnsi="Verdana"/>
          <w:sz w:val="22"/>
          <w:szCs w:val="22"/>
          <w:lang w:val="en-GB"/>
        </w:rPr>
        <w:t xml:space="preserve">The Constitutional Court </w:t>
      </w:r>
      <w:r w:rsidR="00CA7174">
        <w:rPr>
          <w:rFonts w:ascii="Verdana" w:hAnsi="Verdana"/>
          <w:sz w:val="22"/>
          <w:szCs w:val="22"/>
          <w:lang w:val="en-GB"/>
        </w:rPr>
        <w:t>favours</w:t>
      </w:r>
      <w:r w:rsidR="00564AED" w:rsidRPr="007722EF">
        <w:rPr>
          <w:rFonts w:ascii="Verdana" w:hAnsi="Verdana"/>
          <w:sz w:val="22"/>
          <w:szCs w:val="22"/>
          <w:lang w:val="en-GB"/>
        </w:rPr>
        <w:t xml:space="preserve"> </w:t>
      </w:r>
      <w:r w:rsidR="00565551" w:rsidRPr="007722EF">
        <w:rPr>
          <w:rFonts w:ascii="Verdana" w:hAnsi="Verdana"/>
          <w:sz w:val="22"/>
          <w:szCs w:val="22"/>
          <w:lang w:val="en-GB"/>
        </w:rPr>
        <w:t>an expansive approach</w:t>
      </w:r>
      <w:r w:rsidR="00791BE5" w:rsidRPr="007722EF">
        <w:rPr>
          <w:rFonts w:ascii="Verdana" w:hAnsi="Verdana"/>
          <w:sz w:val="22"/>
          <w:szCs w:val="22"/>
          <w:lang w:val="en-GB"/>
        </w:rPr>
        <w:t xml:space="preserve"> to interpretation</w:t>
      </w:r>
      <w:r w:rsidR="00564AED" w:rsidRPr="007722EF">
        <w:rPr>
          <w:rFonts w:ascii="Verdana" w:hAnsi="Verdana"/>
          <w:i/>
          <w:iCs/>
          <w:sz w:val="21"/>
          <w:szCs w:val="21"/>
          <w:shd w:val="clear" w:color="auto" w:fill="FFFFFF"/>
          <w:lang w:val="en-GB"/>
        </w:rPr>
        <w:t>:</w:t>
      </w:r>
      <w:r w:rsidR="00674E8C" w:rsidRPr="007722EF">
        <w:rPr>
          <w:rStyle w:val="FootnoteReference"/>
          <w:rFonts w:ascii="Verdana" w:hAnsi="Verdana"/>
          <w:i/>
          <w:iCs/>
          <w:sz w:val="21"/>
          <w:szCs w:val="21"/>
          <w:shd w:val="clear" w:color="auto" w:fill="FFFFFF"/>
          <w:lang w:val="en-GB"/>
        </w:rPr>
        <w:footnoteReference w:id="25"/>
      </w:r>
      <w:r w:rsidR="007722EF" w:rsidRPr="007722EF">
        <w:rPr>
          <w:rFonts w:ascii="Verdana" w:hAnsi="Verdana"/>
          <w:i/>
          <w:iCs/>
          <w:sz w:val="21"/>
          <w:szCs w:val="21"/>
          <w:shd w:val="clear" w:color="auto" w:fill="FFFFFF"/>
          <w:lang w:val="en-GB"/>
        </w:rPr>
        <w:t> -</w:t>
      </w:r>
      <w:r w:rsidR="00674E8C" w:rsidRPr="007722EF">
        <w:rPr>
          <w:rFonts w:ascii="Verdana" w:hAnsi="Verdana"/>
          <w:i/>
          <w:iCs/>
          <w:sz w:val="21"/>
          <w:szCs w:val="21"/>
          <w:shd w:val="clear" w:color="auto" w:fill="FFFFFF"/>
          <w:lang w:val="en-GB"/>
        </w:rPr>
        <w:t xml:space="preserve"> </w:t>
      </w:r>
    </w:p>
    <w:p w14:paraId="3E26BD61" w14:textId="75480735" w:rsidR="00674E8C" w:rsidRPr="007722EF" w:rsidRDefault="00674E8C" w:rsidP="007722EF">
      <w:pPr>
        <w:pStyle w:val="Indent"/>
        <w:widowControl w:val="0"/>
        <w:numPr>
          <w:ilvl w:val="0"/>
          <w:numId w:val="0"/>
        </w:numPr>
        <w:shd w:val="clear" w:color="auto" w:fill="FFFFFF" w:themeFill="background1"/>
        <w:spacing w:after="480" w:line="360" w:lineRule="auto"/>
        <w:ind w:left="709"/>
        <w:jc w:val="both"/>
        <w:rPr>
          <w:rFonts w:ascii="Verdana" w:hAnsi="Verdana"/>
          <w:i/>
          <w:iCs/>
          <w:sz w:val="22"/>
          <w:szCs w:val="22"/>
          <w:shd w:val="clear" w:color="auto" w:fill="FFFFFF"/>
          <w:lang w:val="en-GB"/>
        </w:rPr>
      </w:pPr>
      <w:r w:rsidRPr="007722EF">
        <w:rPr>
          <w:rFonts w:ascii="Verdana" w:hAnsi="Verdana"/>
          <w:sz w:val="22"/>
          <w:szCs w:val="22"/>
          <w:shd w:val="clear" w:color="auto" w:fill="FFFFFF"/>
          <w:lang w:val="en-GB"/>
        </w:rPr>
        <w:t>“</w:t>
      </w:r>
      <w:r w:rsidRPr="007722EF">
        <w:rPr>
          <w:rFonts w:ascii="Verdana" w:hAnsi="Verdana"/>
          <w:i/>
          <w:iCs/>
          <w:sz w:val="22"/>
          <w:szCs w:val="22"/>
          <w:shd w:val="clear" w:color="auto" w:fill="FFFFFF"/>
          <w:lang w:val="en-GB"/>
        </w:rPr>
        <w:t xml:space="preserve">Where, </w:t>
      </w:r>
      <w:proofErr w:type="gramStart"/>
      <w:r w:rsidRPr="007722EF">
        <w:rPr>
          <w:rFonts w:ascii="Verdana" w:hAnsi="Verdana"/>
          <w:i/>
          <w:iCs/>
          <w:sz w:val="22"/>
          <w:szCs w:val="22"/>
          <w:shd w:val="clear" w:color="auto" w:fill="FFFFFF"/>
          <w:lang w:val="en-GB"/>
        </w:rPr>
        <w:t>in a given</w:t>
      </w:r>
      <w:proofErr w:type="gramEnd"/>
      <w:r w:rsidRPr="007722EF">
        <w:rPr>
          <w:rFonts w:ascii="Verdana" w:hAnsi="Verdana"/>
          <w:i/>
          <w:iCs/>
          <w:sz w:val="22"/>
          <w:szCs w:val="22"/>
          <w:shd w:val="clear" w:color="auto" w:fill="FFFFFF"/>
          <w:lang w:val="en-GB"/>
        </w:rPr>
        <w:t xml:space="preserve"> case, reasonable people may disagree on the admissibility of the contextual evidence in question, the unitary approach to contractual interpretation enjoins a court to err on the side of admitting the evidence. There would, of course, still be sufficient checks against any undue reach of such evidence because the court dealing with the evidence could still disregard it on the basis that it lacks weight. When dealing with evidence in this context, it is important not to conflate admissibility and weight.”</w:t>
      </w:r>
    </w:p>
    <w:p w14:paraId="46CE048B" w14:textId="2BC01BFD" w:rsidR="008F17A8" w:rsidRPr="007722EF" w:rsidRDefault="00366A5E" w:rsidP="00366A5E">
      <w:pPr>
        <w:pStyle w:val="Indent"/>
        <w:numPr>
          <w:ilvl w:val="0"/>
          <w:numId w:val="0"/>
        </w:numPr>
        <w:spacing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[34]</w:t>
      </w:r>
      <w:r w:rsidRPr="007722EF">
        <w:rPr>
          <w:rFonts w:ascii="Verdana" w:hAnsi="Verdana"/>
          <w:color w:val="000000" w:themeColor="text1"/>
          <w:sz w:val="22"/>
          <w:szCs w:val="22"/>
          <w:lang w:val="en-GB"/>
        </w:rPr>
        <w:tab/>
      </w:r>
      <w:r w:rsidR="00055AC9">
        <w:rPr>
          <w:rFonts w:ascii="Verdana" w:hAnsi="Verdana"/>
          <w:sz w:val="22"/>
          <w:szCs w:val="22"/>
          <w:lang w:val="en-GB"/>
        </w:rPr>
        <w:t>Having said that, the</w:t>
      </w:r>
      <w:r w:rsidR="008F17A8" w:rsidRPr="007722EF">
        <w:rPr>
          <w:rFonts w:ascii="Verdana" w:hAnsi="Verdana"/>
          <w:sz w:val="22"/>
          <w:szCs w:val="22"/>
          <w:lang w:val="en-GB"/>
        </w:rPr>
        <w:t xml:space="preserve"> Constitutional Court in </w:t>
      </w:r>
      <w:r w:rsidR="008F17A8" w:rsidRPr="007722EF">
        <w:rPr>
          <w:rFonts w:ascii="Verdana" w:hAnsi="Verdana"/>
          <w:i/>
          <w:iCs/>
          <w:sz w:val="22"/>
          <w:szCs w:val="22"/>
          <w:lang w:val="en-GB"/>
        </w:rPr>
        <w:t>University of Johannesburg</w:t>
      </w:r>
      <w:r w:rsidR="008F17A8" w:rsidRPr="007722EF">
        <w:rPr>
          <w:rFonts w:ascii="Verdana" w:hAnsi="Verdana"/>
          <w:sz w:val="22"/>
          <w:szCs w:val="22"/>
          <w:lang w:val="en-GB"/>
        </w:rPr>
        <w:t xml:space="preserve"> also recognised the </w:t>
      </w:r>
      <w:proofErr w:type="spellStart"/>
      <w:r w:rsidR="008F17A8" w:rsidRPr="007722EF">
        <w:rPr>
          <w:rFonts w:ascii="Verdana" w:hAnsi="Verdana"/>
          <w:sz w:val="22"/>
          <w:szCs w:val="22"/>
          <w:lang w:val="en-GB"/>
        </w:rPr>
        <w:t>parol</w:t>
      </w:r>
      <w:proofErr w:type="spellEnd"/>
      <w:r w:rsidR="008F17A8" w:rsidRPr="007722EF">
        <w:rPr>
          <w:rFonts w:ascii="Verdana" w:hAnsi="Verdana"/>
          <w:sz w:val="22"/>
          <w:szCs w:val="22"/>
          <w:lang w:val="en-GB"/>
        </w:rPr>
        <w:t xml:space="preserve"> evidence rule in our law. </w:t>
      </w:r>
      <w:r w:rsidR="00173680" w:rsidRPr="007722EF">
        <w:rPr>
          <w:rFonts w:ascii="Verdana" w:hAnsi="Verdana"/>
          <w:sz w:val="22"/>
          <w:szCs w:val="22"/>
          <w:lang w:val="en-GB"/>
        </w:rPr>
        <w:t>“</w:t>
      </w:r>
      <w:r w:rsidR="008F17A8" w:rsidRPr="007722EF">
        <w:rPr>
          <w:rFonts w:ascii="Verdana" w:hAnsi="Verdana"/>
          <w:i/>
          <w:iCs/>
          <w:sz w:val="22"/>
          <w:szCs w:val="22"/>
          <w:lang w:val="en-GB"/>
        </w:rPr>
        <w:t xml:space="preserve">It sought to reconcile the generous admissibility of extrinsic evidence of context and purpose with the strictures of the </w:t>
      </w:r>
      <w:proofErr w:type="spellStart"/>
      <w:r w:rsidR="008F17A8" w:rsidRPr="007722EF">
        <w:rPr>
          <w:rFonts w:ascii="Verdana" w:hAnsi="Verdana"/>
          <w:i/>
          <w:iCs/>
          <w:sz w:val="22"/>
          <w:szCs w:val="22"/>
          <w:lang w:val="en-GB"/>
        </w:rPr>
        <w:t>parol</w:t>
      </w:r>
      <w:proofErr w:type="spellEnd"/>
      <w:r w:rsidR="008F17A8" w:rsidRPr="007722EF">
        <w:rPr>
          <w:rFonts w:ascii="Verdana" w:hAnsi="Verdana"/>
          <w:i/>
          <w:iCs/>
          <w:sz w:val="22"/>
          <w:szCs w:val="22"/>
          <w:lang w:val="en-GB"/>
        </w:rPr>
        <w:t xml:space="preserve"> evidence rule in the following way</w:t>
      </w:r>
      <w:r w:rsidR="00173680" w:rsidRPr="007722EF">
        <w:rPr>
          <w:rFonts w:ascii="Verdana" w:hAnsi="Verdana"/>
          <w:i/>
          <w:iCs/>
          <w:sz w:val="22"/>
          <w:szCs w:val="22"/>
          <w:lang w:val="en-GB"/>
        </w:rPr>
        <w:t>”</w:t>
      </w:r>
      <w:r w:rsidR="008F17A8" w:rsidRPr="007722EF">
        <w:rPr>
          <w:rFonts w:ascii="Verdana" w:hAnsi="Verdana"/>
          <w:sz w:val="22"/>
          <w:szCs w:val="22"/>
          <w:lang w:val="en-GB"/>
        </w:rPr>
        <w:t>:</w:t>
      </w:r>
      <w:r w:rsidR="009D1B22" w:rsidRPr="007722EF">
        <w:rPr>
          <w:rStyle w:val="FootnoteReference"/>
          <w:rFonts w:ascii="Verdana" w:hAnsi="Verdana"/>
          <w:sz w:val="22"/>
          <w:szCs w:val="22"/>
          <w:lang w:val="en-GB"/>
        </w:rPr>
        <w:footnoteReference w:id="26"/>
      </w:r>
    </w:p>
    <w:p w14:paraId="4B9EC7BF" w14:textId="77777777" w:rsidR="00173680" w:rsidRPr="007722EF" w:rsidRDefault="00173680" w:rsidP="00173680">
      <w:pPr>
        <w:pStyle w:val="Indent"/>
        <w:numPr>
          <w:ilvl w:val="0"/>
          <w:numId w:val="0"/>
        </w:numPr>
        <w:spacing w:line="480" w:lineRule="auto"/>
        <w:jc w:val="both"/>
        <w:rPr>
          <w:rFonts w:ascii="Verdana" w:hAnsi="Verdana"/>
          <w:sz w:val="22"/>
          <w:szCs w:val="22"/>
          <w:lang w:val="en-GB"/>
        </w:rPr>
      </w:pPr>
    </w:p>
    <w:p w14:paraId="68911119" w14:textId="7A5B29E0" w:rsidR="008F17A8" w:rsidRPr="007722EF" w:rsidRDefault="008F17A8" w:rsidP="007722EF">
      <w:pPr>
        <w:pStyle w:val="Indent"/>
        <w:numPr>
          <w:ilvl w:val="0"/>
          <w:numId w:val="0"/>
        </w:numPr>
        <w:spacing w:after="480" w:line="360" w:lineRule="auto"/>
        <w:ind w:left="709"/>
        <w:jc w:val="both"/>
        <w:rPr>
          <w:rFonts w:ascii="Verdana" w:hAnsi="Verdana"/>
          <w:sz w:val="22"/>
          <w:szCs w:val="22"/>
          <w:lang w:val="en-GB"/>
        </w:rPr>
      </w:pPr>
      <w:r w:rsidRPr="007722EF">
        <w:rPr>
          <w:rFonts w:ascii="Verdana" w:hAnsi="Verdana"/>
          <w:i/>
          <w:iCs/>
          <w:sz w:val="22"/>
          <w:szCs w:val="22"/>
          <w:lang w:val="en-GB"/>
        </w:rPr>
        <w:t xml:space="preserve">'The integration facet of the </w:t>
      </w:r>
      <w:proofErr w:type="spellStart"/>
      <w:r w:rsidRPr="007722EF">
        <w:rPr>
          <w:rFonts w:ascii="Verdana" w:hAnsi="Verdana"/>
          <w:i/>
          <w:iCs/>
          <w:sz w:val="22"/>
          <w:szCs w:val="22"/>
          <w:lang w:val="en-GB"/>
        </w:rPr>
        <w:t>parol</w:t>
      </w:r>
      <w:proofErr w:type="spellEnd"/>
      <w:r w:rsidRPr="007722EF">
        <w:rPr>
          <w:rFonts w:ascii="Verdana" w:hAnsi="Verdana"/>
          <w:i/>
          <w:iCs/>
          <w:sz w:val="22"/>
          <w:szCs w:val="22"/>
          <w:lang w:val="en-GB"/>
        </w:rPr>
        <w:t xml:space="preserve"> evidence rule relied on by the Supreme Court of Appeal is relevant when a court is concerned with </w:t>
      </w:r>
      <w:r w:rsidRPr="007722EF">
        <w:rPr>
          <w:rFonts w:ascii="Verdana" w:hAnsi="Verdana"/>
          <w:b/>
          <w:bCs/>
          <w:i/>
          <w:iCs/>
          <w:sz w:val="22"/>
          <w:szCs w:val="22"/>
          <w:lang w:val="en-GB"/>
        </w:rPr>
        <w:t>an attempted amendment of a contract</w:t>
      </w:r>
      <w:r w:rsidRPr="007722EF">
        <w:rPr>
          <w:rFonts w:ascii="Verdana" w:hAnsi="Verdana"/>
          <w:i/>
          <w:iCs/>
          <w:sz w:val="22"/>
          <w:szCs w:val="22"/>
          <w:lang w:val="en-GB"/>
        </w:rPr>
        <w:t xml:space="preserve">. It does not prevent contextual evidence from being adduced. </w:t>
      </w:r>
      <w:r w:rsidRPr="007722EF">
        <w:rPr>
          <w:rFonts w:ascii="Verdana" w:hAnsi="Verdana"/>
          <w:b/>
          <w:bCs/>
          <w:i/>
          <w:iCs/>
          <w:sz w:val="22"/>
          <w:szCs w:val="22"/>
          <w:lang w:val="en-GB"/>
        </w:rPr>
        <w:t>The rule is concerned with cases where the evidence in question seeks to vary, contradict or add to (as opposed to assist the court to interpret) the terms of the agreement</w:t>
      </w:r>
      <w:r w:rsidRPr="007722EF">
        <w:rPr>
          <w:rFonts w:ascii="Verdana" w:hAnsi="Verdana"/>
          <w:i/>
          <w:iCs/>
          <w:sz w:val="22"/>
          <w:szCs w:val="22"/>
          <w:lang w:val="en-GB"/>
        </w:rPr>
        <w:t>. . . .</w:t>
      </w:r>
      <w:r w:rsidRPr="007722EF">
        <w:rPr>
          <w:rFonts w:ascii="Verdana" w:hAnsi="Verdana"/>
          <w:sz w:val="22"/>
          <w:szCs w:val="22"/>
          <w:lang w:val="en-GB"/>
        </w:rPr>
        <w:t>'</w:t>
      </w:r>
      <w:r w:rsidR="00173680" w:rsidRPr="007722EF">
        <w:rPr>
          <w:rStyle w:val="FootnoteReference"/>
          <w:rFonts w:ascii="Verdana" w:hAnsi="Verdana"/>
          <w:sz w:val="22"/>
          <w:szCs w:val="22"/>
          <w:lang w:val="en-GB"/>
        </w:rPr>
        <w:footnoteReference w:id="27"/>
      </w:r>
      <w:r w:rsidR="003C4DC0" w:rsidRPr="007722EF">
        <w:rPr>
          <w:rFonts w:ascii="Verdana" w:hAnsi="Verdana"/>
          <w:sz w:val="22"/>
          <w:szCs w:val="22"/>
          <w:lang w:val="en-GB"/>
        </w:rPr>
        <w:t xml:space="preserve"> </w:t>
      </w:r>
      <w:r w:rsidR="007722EF" w:rsidRPr="007722EF">
        <w:rPr>
          <w:rFonts w:ascii="Verdana" w:hAnsi="Verdana"/>
          <w:sz w:val="22"/>
          <w:szCs w:val="22"/>
          <w:lang w:val="en-GB"/>
        </w:rPr>
        <w:t xml:space="preserve"> </w:t>
      </w:r>
      <w:r w:rsidR="003C4DC0" w:rsidRPr="007722EF">
        <w:rPr>
          <w:rFonts w:ascii="Verdana" w:hAnsi="Verdana"/>
          <w:sz w:val="22"/>
          <w:szCs w:val="22"/>
          <w:lang w:val="en-GB"/>
        </w:rPr>
        <w:t>(</w:t>
      </w:r>
      <w:r w:rsidR="007722EF" w:rsidRPr="007722EF">
        <w:rPr>
          <w:rFonts w:ascii="Verdana" w:hAnsi="Verdana"/>
          <w:sz w:val="22"/>
          <w:szCs w:val="22"/>
          <w:lang w:val="en-GB"/>
        </w:rPr>
        <w:t>E</w:t>
      </w:r>
      <w:r w:rsidR="003C4DC0" w:rsidRPr="007722EF">
        <w:rPr>
          <w:rFonts w:ascii="Verdana" w:hAnsi="Verdana"/>
          <w:sz w:val="22"/>
          <w:szCs w:val="22"/>
          <w:lang w:val="en-GB"/>
        </w:rPr>
        <w:t>mphasis added)</w:t>
      </w:r>
    </w:p>
    <w:p w14:paraId="12070495" w14:textId="08792D00" w:rsidR="00F36E71"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i/>
          <w:iCs/>
          <w:sz w:val="22"/>
          <w:szCs w:val="22"/>
          <w:lang w:val="en-GB"/>
        </w:rPr>
      </w:pPr>
      <w:r w:rsidRPr="007722EF">
        <w:rPr>
          <w:rFonts w:ascii="Verdana" w:hAnsi="Verdana"/>
          <w:iCs/>
          <w:color w:val="000000" w:themeColor="text1"/>
          <w:sz w:val="22"/>
          <w:szCs w:val="22"/>
          <w:lang w:val="en-GB"/>
        </w:rPr>
        <w:t>[35]</w:t>
      </w:r>
      <w:r w:rsidRPr="007722EF">
        <w:rPr>
          <w:rFonts w:ascii="Verdana" w:hAnsi="Verdana"/>
          <w:iCs/>
          <w:color w:val="000000" w:themeColor="text1"/>
          <w:sz w:val="22"/>
          <w:szCs w:val="22"/>
          <w:lang w:val="en-GB"/>
        </w:rPr>
        <w:tab/>
      </w:r>
      <w:r w:rsidR="00F36E71" w:rsidRPr="007722EF">
        <w:rPr>
          <w:rFonts w:ascii="Verdana" w:hAnsi="Verdana"/>
          <w:sz w:val="22"/>
          <w:szCs w:val="22"/>
          <w:lang w:val="en-GB"/>
        </w:rPr>
        <w:t xml:space="preserve">In </w:t>
      </w:r>
      <w:r w:rsidR="007E1879" w:rsidRPr="007722EF">
        <w:rPr>
          <w:rFonts w:ascii="Verdana" w:hAnsi="Verdana"/>
          <w:i/>
          <w:iCs/>
          <w:sz w:val="22"/>
          <w:szCs w:val="22"/>
          <w:lang w:val="en-GB"/>
        </w:rPr>
        <w:t xml:space="preserve">Capitec, </w:t>
      </w:r>
      <w:r w:rsidR="007E1879" w:rsidRPr="007722EF">
        <w:rPr>
          <w:rFonts w:ascii="Verdana" w:hAnsi="Verdana"/>
          <w:sz w:val="22"/>
          <w:szCs w:val="22"/>
          <w:lang w:val="en-GB"/>
        </w:rPr>
        <w:t xml:space="preserve">the SCA </w:t>
      </w:r>
      <w:r w:rsidR="003847AB" w:rsidRPr="007722EF">
        <w:rPr>
          <w:rFonts w:ascii="Verdana" w:hAnsi="Verdana"/>
          <w:sz w:val="22"/>
          <w:szCs w:val="22"/>
          <w:lang w:val="en-GB"/>
        </w:rPr>
        <w:t>summarised the</w:t>
      </w:r>
      <w:r w:rsidR="00660DD8" w:rsidRPr="007722EF">
        <w:rPr>
          <w:rFonts w:ascii="Verdana" w:hAnsi="Verdana"/>
          <w:sz w:val="22"/>
          <w:szCs w:val="22"/>
          <w:lang w:val="en-GB"/>
        </w:rPr>
        <w:t xml:space="preserve"> interplay between the</w:t>
      </w:r>
      <w:r w:rsidR="003847AB" w:rsidRPr="007722EF">
        <w:rPr>
          <w:rFonts w:ascii="Verdana" w:hAnsi="Verdana"/>
          <w:sz w:val="22"/>
          <w:szCs w:val="22"/>
          <w:lang w:val="en-GB"/>
        </w:rPr>
        <w:t xml:space="preserve"> </w:t>
      </w:r>
      <w:r w:rsidR="00230F2C" w:rsidRPr="007722EF">
        <w:rPr>
          <w:rFonts w:ascii="Verdana" w:hAnsi="Verdana"/>
          <w:sz w:val="22"/>
          <w:szCs w:val="22"/>
          <w:lang w:val="en-GB"/>
        </w:rPr>
        <w:t xml:space="preserve">leading of </w:t>
      </w:r>
      <w:r w:rsidR="00230F2C" w:rsidRPr="007722EF">
        <w:rPr>
          <w:rFonts w:ascii="Verdana" w:hAnsi="Verdana"/>
          <w:sz w:val="22"/>
          <w:szCs w:val="22"/>
          <w:lang w:val="en-GB"/>
        </w:rPr>
        <w:lastRenderedPageBreak/>
        <w:t xml:space="preserve">evidence and the governing of the </w:t>
      </w:r>
      <w:proofErr w:type="spellStart"/>
      <w:r w:rsidR="00230F2C" w:rsidRPr="007722EF">
        <w:rPr>
          <w:rFonts w:ascii="Verdana" w:hAnsi="Verdana"/>
          <w:sz w:val="22"/>
          <w:szCs w:val="22"/>
          <w:lang w:val="en-GB"/>
        </w:rPr>
        <w:t>parol</w:t>
      </w:r>
      <w:proofErr w:type="spellEnd"/>
      <w:r w:rsidR="00230F2C" w:rsidRPr="007722EF">
        <w:rPr>
          <w:rFonts w:ascii="Verdana" w:hAnsi="Verdana"/>
          <w:sz w:val="22"/>
          <w:szCs w:val="22"/>
          <w:lang w:val="en-GB"/>
        </w:rPr>
        <w:t xml:space="preserve"> evidence rule with reference to </w:t>
      </w:r>
      <w:r w:rsidR="00230F2C" w:rsidRPr="00055AC9">
        <w:rPr>
          <w:rFonts w:ascii="Verdana" w:hAnsi="Verdana"/>
          <w:i/>
          <w:iCs/>
          <w:sz w:val="22"/>
          <w:szCs w:val="22"/>
          <w:lang w:val="en-GB"/>
        </w:rPr>
        <w:t>University of Johannesburg</w:t>
      </w:r>
      <w:r w:rsidR="00230F2C" w:rsidRPr="007722EF">
        <w:rPr>
          <w:rFonts w:ascii="Verdana" w:hAnsi="Verdana"/>
          <w:sz w:val="22"/>
          <w:szCs w:val="22"/>
          <w:lang w:val="en-GB"/>
        </w:rPr>
        <w:t xml:space="preserve"> as follows</w:t>
      </w:r>
      <w:r w:rsidR="00230F2C" w:rsidRPr="007722EF">
        <w:rPr>
          <w:rFonts w:ascii="Verdana" w:hAnsi="Verdana"/>
          <w:i/>
          <w:iCs/>
          <w:sz w:val="22"/>
          <w:szCs w:val="22"/>
          <w:lang w:val="en-GB"/>
        </w:rPr>
        <w:t>:</w:t>
      </w:r>
      <w:r w:rsidR="00660DD8" w:rsidRPr="007722EF">
        <w:rPr>
          <w:rStyle w:val="FootnoteReference"/>
          <w:rFonts w:ascii="Verdana" w:hAnsi="Verdana"/>
          <w:i/>
          <w:iCs/>
          <w:sz w:val="22"/>
          <w:szCs w:val="22"/>
          <w:lang w:val="en-GB"/>
        </w:rPr>
        <w:footnoteReference w:id="28"/>
      </w:r>
      <w:r w:rsidR="007722EF" w:rsidRPr="007722EF">
        <w:rPr>
          <w:rFonts w:ascii="Verdana" w:hAnsi="Verdana"/>
          <w:i/>
          <w:iCs/>
          <w:sz w:val="22"/>
          <w:szCs w:val="22"/>
          <w:lang w:val="en-GB"/>
        </w:rPr>
        <w:t> -</w:t>
      </w:r>
    </w:p>
    <w:p w14:paraId="512F54BB" w14:textId="278B791E" w:rsidR="00044237" w:rsidRPr="007722EF" w:rsidRDefault="00F36E71" w:rsidP="007722EF">
      <w:pPr>
        <w:pStyle w:val="Indent"/>
        <w:widowControl w:val="0"/>
        <w:numPr>
          <w:ilvl w:val="0"/>
          <w:numId w:val="0"/>
        </w:numPr>
        <w:shd w:val="clear" w:color="auto" w:fill="FFFFFF" w:themeFill="background1"/>
        <w:spacing w:after="480" w:line="360" w:lineRule="auto"/>
        <w:ind w:left="709"/>
        <w:jc w:val="both"/>
        <w:rPr>
          <w:rFonts w:ascii="Verdana" w:hAnsi="Verdana"/>
          <w:sz w:val="22"/>
          <w:szCs w:val="22"/>
          <w:shd w:val="clear" w:color="auto" w:fill="FFFFFF"/>
          <w:lang w:val="en-GB"/>
        </w:rPr>
      </w:pPr>
      <w:r w:rsidRPr="007722EF">
        <w:rPr>
          <w:rFonts w:ascii="Verdana" w:hAnsi="Verdana"/>
          <w:sz w:val="22"/>
          <w:szCs w:val="22"/>
          <w:shd w:val="clear" w:color="auto" w:fill="FFFFFF"/>
          <w:lang w:val="en-GB"/>
        </w:rPr>
        <w:t>“</w:t>
      </w:r>
      <w:r w:rsidR="007D2DF4" w:rsidRPr="007722EF">
        <w:rPr>
          <w:rFonts w:ascii="Verdana" w:hAnsi="Verdana"/>
          <w:i/>
          <w:iCs/>
          <w:sz w:val="22"/>
          <w:szCs w:val="22"/>
          <w:shd w:val="clear" w:color="auto" w:fill="FFFFFF"/>
          <w:lang w:val="en-GB"/>
        </w:rPr>
        <w:t xml:space="preserve">… </w:t>
      </w:r>
      <w:r w:rsidR="00D2651C" w:rsidRPr="007722EF">
        <w:rPr>
          <w:rFonts w:ascii="Verdana" w:hAnsi="Verdana"/>
          <w:i/>
          <w:iCs/>
          <w:sz w:val="22"/>
          <w:szCs w:val="22"/>
          <w:shd w:val="clear" w:color="auto" w:fill="FFFFFF"/>
          <w:lang w:val="en-GB"/>
        </w:rPr>
        <w:t xml:space="preserve">since the text of an agreement enjoys no interpretational primacy, and the meaning of the text must be determined before a court can decide whether evidence seeks to alter the terms of that contract, the </w:t>
      </w:r>
      <w:proofErr w:type="spellStart"/>
      <w:r w:rsidR="00D2651C" w:rsidRPr="007722EF">
        <w:rPr>
          <w:rFonts w:ascii="Verdana" w:hAnsi="Verdana"/>
          <w:i/>
          <w:iCs/>
          <w:sz w:val="22"/>
          <w:szCs w:val="22"/>
          <w:shd w:val="clear" w:color="auto" w:fill="FFFFFF"/>
          <w:lang w:val="en-GB"/>
        </w:rPr>
        <w:t>parol</w:t>
      </w:r>
      <w:proofErr w:type="spellEnd"/>
      <w:r w:rsidR="00D2651C" w:rsidRPr="007722EF">
        <w:rPr>
          <w:rFonts w:ascii="Verdana" w:hAnsi="Verdana"/>
          <w:i/>
          <w:iCs/>
          <w:sz w:val="22"/>
          <w:szCs w:val="22"/>
          <w:shd w:val="clear" w:color="auto" w:fill="FFFFFF"/>
          <w:lang w:val="en-GB"/>
        </w:rPr>
        <w:t xml:space="preserve"> evidence rule does not govern admissibility. </w:t>
      </w:r>
      <w:r w:rsidR="00D2651C" w:rsidRPr="007722EF">
        <w:rPr>
          <w:rFonts w:ascii="Verdana" w:hAnsi="Verdana"/>
          <w:b/>
          <w:bCs/>
          <w:i/>
          <w:iCs/>
          <w:sz w:val="22"/>
          <w:szCs w:val="22"/>
          <w:shd w:val="clear" w:color="auto" w:fill="FFFFFF"/>
          <w:lang w:val="en-GB"/>
        </w:rPr>
        <w:t>Rather, the question is whether the evidence is relevant to context so as to ascertain the meaning of the contract</w:t>
      </w:r>
      <w:r w:rsidR="00D2651C" w:rsidRPr="007722EF">
        <w:rPr>
          <w:rFonts w:ascii="Verdana" w:hAnsi="Verdana"/>
          <w:i/>
          <w:iCs/>
          <w:sz w:val="22"/>
          <w:szCs w:val="22"/>
          <w:shd w:val="clear" w:color="auto" w:fill="FFFFFF"/>
          <w:lang w:val="en-GB"/>
        </w:rPr>
        <w:t>.</w:t>
      </w:r>
      <w:r w:rsidRPr="007722EF">
        <w:rPr>
          <w:rFonts w:ascii="Verdana" w:hAnsi="Verdana"/>
          <w:i/>
          <w:iCs/>
          <w:sz w:val="22"/>
          <w:szCs w:val="22"/>
          <w:shd w:val="clear" w:color="auto" w:fill="FFFFFF"/>
          <w:lang w:val="en-GB"/>
        </w:rPr>
        <w:t>”</w:t>
      </w:r>
      <w:r w:rsidR="007D2DF4" w:rsidRPr="007722EF">
        <w:rPr>
          <w:rFonts w:ascii="Verdana" w:hAnsi="Verdana"/>
          <w:i/>
          <w:iCs/>
          <w:sz w:val="22"/>
          <w:szCs w:val="22"/>
          <w:shd w:val="clear" w:color="auto" w:fill="FFFFFF"/>
          <w:lang w:val="en-GB"/>
        </w:rPr>
        <w:t xml:space="preserve"> </w:t>
      </w:r>
      <w:r w:rsidR="007D2DF4" w:rsidRPr="007722EF">
        <w:rPr>
          <w:rFonts w:ascii="Verdana" w:hAnsi="Verdana"/>
          <w:sz w:val="22"/>
          <w:szCs w:val="22"/>
          <w:shd w:val="clear" w:color="auto" w:fill="FFFFFF"/>
          <w:lang w:val="en-GB"/>
        </w:rPr>
        <w:t>(</w:t>
      </w:r>
      <w:r w:rsidR="007722EF" w:rsidRPr="007722EF">
        <w:rPr>
          <w:rFonts w:ascii="Verdana" w:hAnsi="Verdana"/>
          <w:sz w:val="22"/>
          <w:szCs w:val="22"/>
          <w:shd w:val="clear" w:color="auto" w:fill="FFFFFF"/>
          <w:lang w:val="en-GB"/>
        </w:rPr>
        <w:t>E</w:t>
      </w:r>
      <w:r w:rsidR="007D2DF4" w:rsidRPr="007722EF">
        <w:rPr>
          <w:rFonts w:ascii="Verdana" w:hAnsi="Verdana"/>
          <w:sz w:val="22"/>
          <w:szCs w:val="22"/>
          <w:shd w:val="clear" w:color="auto" w:fill="FFFFFF"/>
          <w:lang w:val="en-GB"/>
        </w:rPr>
        <w:t>mphasis added)</w:t>
      </w:r>
    </w:p>
    <w:p w14:paraId="555237F0" w14:textId="31A22A1F" w:rsidR="00591FA8" w:rsidRPr="007722EF" w:rsidRDefault="00DB6095" w:rsidP="007722EF">
      <w:pPr>
        <w:pStyle w:val="Indent"/>
        <w:keepNext/>
        <w:widowControl w:val="0"/>
        <w:numPr>
          <w:ilvl w:val="0"/>
          <w:numId w:val="0"/>
        </w:numPr>
        <w:shd w:val="clear" w:color="auto" w:fill="FFFFFF" w:themeFill="background1"/>
        <w:spacing w:after="360" w:line="480" w:lineRule="auto"/>
        <w:jc w:val="both"/>
        <w:rPr>
          <w:rFonts w:ascii="Verdana" w:hAnsi="Verdana"/>
          <w:b/>
          <w:bCs/>
          <w:sz w:val="22"/>
          <w:szCs w:val="22"/>
          <w:lang w:val="en-GB"/>
        </w:rPr>
      </w:pPr>
      <w:r w:rsidRPr="007722EF">
        <w:rPr>
          <w:rFonts w:ascii="Verdana" w:hAnsi="Verdana"/>
          <w:b/>
          <w:bCs/>
          <w:sz w:val="22"/>
          <w:szCs w:val="22"/>
          <w:shd w:val="clear" w:color="auto" w:fill="FFFFFF"/>
          <w:lang w:val="en-GB"/>
        </w:rPr>
        <w:t>NON-VARIATION CLAUSES</w:t>
      </w:r>
    </w:p>
    <w:p w14:paraId="4796D32E" w14:textId="32628446" w:rsidR="00032720"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[36]</w:t>
      </w:r>
      <w:r w:rsidRPr="007722EF">
        <w:rPr>
          <w:rFonts w:ascii="Verdana" w:hAnsi="Verdana"/>
          <w:color w:val="000000" w:themeColor="text1"/>
          <w:sz w:val="22"/>
          <w:szCs w:val="22"/>
          <w:lang w:val="en-GB"/>
        </w:rPr>
        <w:tab/>
      </w:r>
      <w:r w:rsidR="00032720" w:rsidRPr="007722EF">
        <w:rPr>
          <w:rFonts w:ascii="Verdana" w:hAnsi="Verdana"/>
          <w:sz w:val="21"/>
          <w:szCs w:val="21"/>
          <w:shd w:val="clear" w:color="auto" w:fill="FFFFFF"/>
          <w:lang w:val="en-GB"/>
        </w:rPr>
        <w:t>It is a trite principle of our law that the privity and sanctity of a contract should prevail and should be enforced by the courts.</w:t>
      </w:r>
      <w:r w:rsidR="00032720" w:rsidRPr="007722EF">
        <w:rPr>
          <w:rStyle w:val="FootnoteReference"/>
          <w:rFonts w:ascii="Verdana" w:hAnsi="Verdana"/>
          <w:sz w:val="21"/>
          <w:szCs w:val="21"/>
          <w:shd w:val="clear" w:color="auto" w:fill="FFFFFF"/>
          <w:lang w:val="en-GB"/>
        </w:rPr>
        <w:footnoteReference w:id="29"/>
      </w:r>
    </w:p>
    <w:p w14:paraId="6B61F7E3" w14:textId="0C584BD9" w:rsidR="000D1641"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[37]</w:t>
      </w:r>
      <w:r w:rsidRPr="007722EF">
        <w:rPr>
          <w:rFonts w:ascii="Verdana" w:hAnsi="Verdana"/>
          <w:color w:val="000000" w:themeColor="text1"/>
          <w:sz w:val="22"/>
          <w:szCs w:val="22"/>
          <w:lang w:val="en-GB"/>
        </w:rPr>
        <w:tab/>
      </w:r>
      <w:r w:rsidR="00D30BBD" w:rsidRPr="007722EF">
        <w:rPr>
          <w:rFonts w:ascii="Verdana" w:hAnsi="Verdana"/>
          <w:sz w:val="22"/>
          <w:szCs w:val="22"/>
          <w:shd w:val="clear" w:color="auto" w:fill="FFFFFF"/>
          <w:lang w:val="en-GB"/>
        </w:rPr>
        <w:t>The principle laid down in</w:t>
      </w:r>
      <w:r w:rsidR="007722EF">
        <w:rPr>
          <w:rFonts w:ascii="Verdana" w:hAnsi="Verdana"/>
          <w:sz w:val="22"/>
          <w:szCs w:val="22"/>
          <w:shd w:val="clear" w:color="auto" w:fill="FFFFFF"/>
          <w:lang w:val="en-GB"/>
        </w:rPr>
        <w:t xml:space="preserve"> </w:t>
      </w:r>
      <w:proofErr w:type="spellStart"/>
      <w:r w:rsidR="00D30BBD" w:rsidRPr="007722EF">
        <w:rPr>
          <w:rFonts w:ascii="Verdana" w:hAnsi="Verdana"/>
          <w:i/>
          <w:iCs/>
          <w:sz w:val="22"/>
          <w:szCs w:val="22"/>
          <w:shd w:val="clear" w:color="auto" w:fill="FFFFFF"/>
          <w:lang w:val="en-GB"/>
        </w:rPr>
        <w:t>Shifren</w:t>
      </w:r>
      <w:proofErr w:type="spellEnd"/>
      <w:r w:rsidR="00F549A5" w:rsidRPr="007722EF">
        <w:rPr>
          <w:rStyle w:val="FootnoteReference"/>
          <w:rFonts w:ascii="Verdana" w:hAnsi="Verdana"/>
          <w:i/>
          <w:iCs/>
          <w:sz w:val="22"/>
          <w:szCs w:val="22"/>
          <w:shd w:val="clear" w:color="auto" w:fill="FFFFFF"/>
          <w:lang w:val="en-GB"/>
        </w:rPr>
        <w:footnoteReference w:id="30"/>
      </w:r>
      <w:r w:rsidR="00F549A5" w:rsidRPr="007722EF">
        <w:rPr>
          <w:rFonts w:ascii="Verdana" w:hAnsi="Verdana"/>
          <w:i/>
          <w:iCs/>
          <w:sz w:val="22"/>
          <w:szCs w:val="22"/>
          <w:shd w:val="clear" w:color="auto" w:fill="FFFFFF"/>
          <w:lang w:val="en-GB"/>
        </w:rPr>
        <w:t xml:space="preserve"> </w:t>
      </w:r>
      <w:r w:rsidR="00D30BBD" w:rsidRPr="007722EF">
        <w:rPr>
          <w:rFonts w:ascii="Verdana" w:hAnsi="Verdana"/>
          <w:sz w:val="22"/>
          <w:szCs w:val="22"/>
          <w:shd w:val="clear" w:color="auto" w:fill="FFFFFF"/>
          <w:lang w:val="en-GB"/>
        </w:rPr>
        <w:t xml:space="preserve">that a term (an entrenchment clause) in a written contract providing that all amendments to the contract </w:t>
      </w:r>
      <w:proofErr w:type="gramStart"/>
      <w:r w:rsidR="00D30BBD" w:rsidRPr="007722EF">
        <w:rPr>
          <w:rFonts w:ascii="Verdana" w:hAnsi="Verdana"/>
          <w:sz w:val="22"/>
          <w:szCs w:val="22"/>
          <w:shd w:val="clear" w:color="auto" w:fill="FFFFFF"/>
          <w:lang w:val="en-GB"/>
        </w:rPr>
        <w:t>have to</w:t>
      </w:r>
      <w:proofErr w:type="gramEnd"/>
      <w:r w:rsidR="00D30BBD" w:rsidRPr="007722EF">
        <w:rPr>
          <w:rFonts w:ascii="Verdana" w:hAnsi="Verdana"/>
          <w:sz w:val="22"/>
          <w:szCs w:val="22"/>
          <w:shd w:val="clear" w:color="auto" w:fill="FFFFFF"/>
          <w:lang w:val="en-GB"/>
        </w:rPr>
        <w:t xml:space="preserve"> comply with specified formalities is binding still remains in force.</w:t>
      </w:r>
      <w:r w:rsidR="00F549A5" w:rsidRPr="007722EF">
        <w:rPr>
          <w:rStyle w:val="FootnoteReference"/>
          <w:rFonts w:ascii="Verdana" w:hAnsi="Verdana"/>
          <w:sz w:val="22"/>
          <w:szCs w:val="22"/>
          <w:shd w:val="clear" w:color="auto" w:fill="FFFFFF"/>
          <w:lang w:val="en-GB"/>
        </w:rPr>
        <w:footnoteReference w:id="31"/>
      </w:r>
    </w:p>
    <w:p w14:paraId="61CDDE52" w14:textId="50B35F35" w:rsidR="000D1641"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[38]</w:t>
      </w:r>
      <w:r w:rsidRPr="007722EF">
        <w:rPr>
          <w:rFonts w:ascii="Verdana" w:hAnsi="Verdana"/>
          <w:color w:val="000000" w:themeColor="text1"/>
          <w:sz w:val="22"/>
          <w:szCs w:val="22"/>
          <w:lang w:val="en-GB"/>
        </w:rPr>
        <w:tab/>
      </w:r>
      <w:r w:rsidR="000D1641" w:rsidRPr="007722EF">
        <w:rPr>
          <w:rFonts w:ascii="Verdana" w:hAnsi="Verdana"/>
          <w:sz w:val="22"/>
          <w:szCs w:val="22"/>
          <w:lang w:val="en-GB"/>
        </w:rPr>
        <w:t>In </w:t>
      </w:r>
      <w:r w:rsidR="000D1641" w:rsidRPr="007722EF">
        <w:rPr>
          <w:rStyle w:val="italic"/>
          <w:rFonts w:ascii="Verdana" w:hAnsi="Verdana"/>
          <w:i/>
          <w:iCs/>
          <w:sz w:val="22"/>
          <w:szCs w:val="22"/>
          <w:lang w:val="en-GB"/>
        </w:rPr>
        <w:t>Media 24 Ltd</w:t>
      </w:r>
      <w:r w:rsidR="000D1641" w:rsidRPr="007722EF">
        <w:rPr>
          <w:rStyle w:val="FootnoteReference"/>
          <w:rFonts w:ascii="Verdana" w:hAnsi="Verdana"/>
          <w:i/>
          <w:iCs/>
          <w:sz w:val="22"/>
          <w:szCs w:val="22"/>
          <w:lang w:val="en-GB"/>
        </w:rPr>
        <w:footnoteReference w:id="32"/>
      </w:r>
      <w:r w:rsidR="007722EF">
        <w:rPr>
          <w:rFonts w:ascii="Verdana" w:hAnsi="Verdana"/>
          <w:sz w:val="22"/>
          <w:szCs w:val="22"/>
          <w:lang w:val="en-GB"/>
        </w:rPr>
        <w:t xml:space="preserve"> </w:t>
      </w:r>
      <w:r w:rsidR="000D1641" w:rsidRPr="007722EF">
        <w:rPr>
          <w:rFonts w:ascii="Verdana" w:hAnsi="Verdana"/>
          <w:sz w:val="22"/>
          <w:szCs w:val="22"/>
          <w:lang w:val="en-GB"/>
        </w:rPr>
        <w:t>at para</w:t>
      </w:r>
      <w:r w:rsidR="00627249" w:rsidRPr="007722EF">
        <w:rPr>
          <w:rFonts w:ascii="Verdana" w:hAnsi="Verdana"/>
          <w:sz w:val="22"/>
          <w:szCs w:val="22"/>
          <w:lang w:val="en-GB"/>
        </w:rPr>
        <w:t>graph</w:t>
      </w:r>
      <w:r w:rsidR="000D1641" w:rsidRPr="007722EF">
        <w:rPr>
          <w:rFonts w:ascii="Verdana" w:hAnsi="Verdana"/>
          <w:sz w:val="22"/>
          <w:szCs w:val="22"/>
          <w:lang w:val="en-GB"/>
        </w:rPr>
        <w:t xml:space="preserve"> 35 Brand JA said:</w:t>
      </w:r>
      <w:r w:rsidR="007722EF">
        <w:rPr>
          <w:rFonts w:ascii="Verdana" w:hAnsi="Verdana"/>
          <w:sz w:val="22"/>
          <w:szCs w:val="22"/>
          <w:lang w:val="en-GB"/>
        </w:rPr>
        <w:t> -</w:t>
      </w:r>
    </w:p>
    <w:p w14:paraId="31D6CD27" w14:textId="75746CB8" w:rsidR="000D1641" w:rsidRPr="007722EF" w:rsidRDefault="000D1641" w:rsidP="007722EF">
      <w:pPr>
        <w:pStyle w:val="Indent"/>
        <w:numPr>
          <w:ilvl w:val="0"/>
          <w:numId w:val="0"/>
        </w:numPr>
        <w:spacing w:after="480" w:line="360" w:lineRule="auto"/>
        <w:ind w:left="709"/>
        <w:jc w:val="both"/>
        <w:rPr>
          <w:rFonts w:ascii="Verdana" w:hAnsi="Verdana"/>
          <w:i/>
          <w:iCs/>
          <w:sz w:val="22"/>
          <w:szCs w:val="22"/>
          <w:lang w:val="en-GB"/>
        </w:rPr>
      </w:pPr>
      <w:r w:rsidRPr="007722EF">
        <w:rPr>
          <w:rFonts w:ascii="Verdana" w:hAnsi="Verdana"/>
          <w:sz w:val="22"/>
          <w:szCs w:val="22"/>
          <w:lang w:val="en-GB"/>
        </w:rPr>
        <w:t>"</w:t>
      </w:r>
      <w:r w:rsidRPr="007722EF">
        <w:rPr>
          <w:rFonts w:ascii="Verdana" w:hAnsi="Verdana"/>
          <w:i/>
          <w:iCs/>
          <w:sz w:val="22"/>
          <w:szCs w:val="22"/>
          <w:lang w:val="en-GB"/>
        </w:rPr>
        <w:t>As explained in</w:t>
      </w:r>
      <w:r w:rsidR="007722EF">
        <w:rPr>
          <w:rFonts w:ascii="Verdana" w:hAnsi="Verdana"/>
          <w:i/>
          <w:iCs/>
          <w:sz w:val="22"/>
          <w:szCs w:val="22"/>
          <w:lang w:val="en-GB"/>
        </w:rPr>
        <w:t xml:space="preserve"> </w:t>
      </w:r>
      <w:proofErr w:type="spellStart"/>
      <w:r w:rsidRPr="007722EF">
        <w:rPr>
          <w:rStyle w:val="italic"/>
          <w:rFonts w:ascii="Verdana" w:hAnsi="Verdana"/>
          <w:i/>
          <w:iCs/>
          <w:sz w:val="22"/>
          <w:szCs w:val="22"/>
          <w:lang w:val="en-GB"/>
        </w:rPr>
        <w:t>Brisley</w:t>
      </w:r>
      <w:proofErr w:type="spellEnd"/>
      <w:r w:rsidRPr="007722EF">
        <w:rPr>
          <w:rStyle w:val="italic"/>
          <w:rFonts w:ascii="Verdana" w:hAnsi="Verdana"/>
          <w:i/>
          <w:iCs/>
          <w:sz w:val="22"/>
          <w:szCs w:val="22"/>
          <w:lang w:val="en-GB"/>
        </w:rPr>
        <w:t xml:space="preserve"> v </w:t>
      </w:r>
      <w:proofErr w:type="spellStart"/>
      <w:r w:rsidRPr="007722EF">
        <w:rPr>
          <w:rStyle w:val="italic"/>
          <w:rFonts w:ascii="Verdana" w:hAnsi="Verdana"/>
          <w:i/>
          <w:iCs/>
          <w:sz w:val="22"/>
          <w:szCs w:val="22"/>
          <w:lang w:val="en-GB"/>
        </w:rPr>
        <w:t>Drotsky</w:t>
      </w:r>
      <w:proofErr w:type="spellEnd"/>
      <w:r w:rsidR="007722EF">
        <w:rPr>
          <w:rStyle w:val="italic"/>
          <w:rFonts w:ascii="Verdana" w:hAnsi="Verdana"/>
          <w:i/>
          <w:iCs/>
          <w:sz w:val="22"/>
          <w:szCs w:val="22"/>
          <w:lang w:val="en-GB"/>
        </w:rPr>
        <w:t xml:space="preserve"> 2002 (4) SA 1 (SCA) </w:t>
      </w:r>
      <w:r w:rsidRPr="007722EF">
        <w:rPr>
          <w:rFonts w:ascii="Verdana" w:hAnsi="Verdana"/>
          <w:i/>
          <w:iCs/>
          <w:sz w:val="22"/>
          <w:szCs w:val="22"/>
          <w:lang w:val="en-GB"/>
        </w:rPr>
        <w:t xml:space="preserve">(para 8), when this court has taken a policy decision, we cannot change it just because we would have decided the matter differently. We must live with that policy decision, bearing in mind that litigants and legal practitioners have arranged their affairs in accordance with that decision. Unless we are therefore </w:t>
      </w:r>
      <w:r w:rsidRPr="007722EF">
        <w:rPr>
          <w:rFonts w:ascii="Verdana" w:hAnsi="Verdana"/>
          <w:i/>
          <w:iCs/>
          <w:sz w:val="22"/>
          <w:szCs w:val="22"/>
          <w:lang w:val="en-GB"/>
        </w:rPr>
        <w:lastRenderedPageBreak/>
        <w:t>satisfied that there are good reasons for change, we should confirm the status quo."'</w:t>
      </w:r>
    </w:p>
    <w:p w14:paraId="2AB19E01" w14:textId="35C90215" w:rsidR="003D7420" w:rsidRPr="007722EF" w:rsidRDefault="003D7420" w:rsidP="007722EF">
      <w:pPr>
        <w:pStyle w:val="Indent"/>
        <w:keepNext/>
        <w:numPr>
          <w:ilvl w:val="0"/>
          <w:numId w:val="0"/>
        </w:numPr>
        <w:spacing w:after="360" w:line="480" w:lineRule="auto"/>
        <w:jc w:val="both"/>
        <w:rPr>
          <w:rFonts w:ascii="Verdana" w:hAnsi="Verdana"/>
          <w:b/>
          <w:bCs/>
          <w:sz w:val="22"/>
          <w:szCs w:val="22"/>
          <w:lang w:val="en-GB"/>
        </w:rPr>
      </w:pPr>
      <w:r w:rsidRPr="007722EF">
        <w:rPr>
          <w:rFonts w:ascii="Verdana" w:hAnsi="Verdana"/>
          <w:b/>
          <w:bCs/>
          <w:sz w:val="22"/>
          <w:szCs w:val="22"/>
          <w:lang w:val="en-GB"/>
        </w:rPr>
        <w:t>DELIBERATION</w:t>
      </w:r>
    </w:p>
    <w:p w14:paraId="701F9072" w14:textId="250F22B6" w:rsidR="00795C2D"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[39]</w:t>
      </w:r>
      <w:r w:rsidRPr="007722EF">
        <w:rPr>
          <w:rFonts w:ascii="Verdana" w:hAnsi="Verdana"/>
          <w:color w:val="000000" w:themeColor="text1"/>
          <w:sz w:val="22"/>
          <w:szCs w:val="22"/>
          <w:lang w:val="en-GB"/>
        </w:rPr>
        <w:tab/>
      </w:r>
      <w:r w:rsidR="00082B70" w:rsidRPr="007722EF">
        <w:rPr>
          <w:rFonts w:ascii="Verdana" w:hAnsi="Verdana"/>
          <w:sz w:val="22"/>
          <w:szCs w:val="22"/>
          <w:lang w:val="en-GB"/>
        </w:rPr>
        <w:t>It is not the plaintiffs’ case, as I understand it, that clause 7.3</w:t>
      </w:r>
      <w:r w:rsidR="002206E7" w:rsidRPr="007722EF">
        <w:rPr>
          <w:rFonts w:ascii="Verdana" w:hAnsi="Verdana"/>
          <w:sz w:val="22"/>
          <w:szCs w:val="22"/>
          <w:lang w:val="en-GB"/>
        </w:rPr>
        <w:t xml:space="preserve"> or the rider,</w:t>
      </w:r>
      <w:r w:rsidR="00082B70" w:rsidRPr="007722EF">
        <w:rPr>
          <w:rFonts w:ascii="Verdana" w:hAnsi="Verdana"/>
          <w:sz w:val="22"/>
          <w:szCs w:val="22"/>
          <w:lang w:val="en-GB"/>
        </w:rPr>
        <w:t xml:space="preserve"> is uncertain or ambiguous.</w:t>
      </w:r>
      <w:r w:rsidR="005D57F1" w:rsidRPr="007722EF">
        <w:rPr>
          <w:rFonts w:ascii="Verdana" w:hAnsi="Verdana"/>
          <w:sz w:val="22"/>
          <w:szCs w:val="22"/>
          <w:lang w:val="en-GB"/>
        </w:rPr>
        <w:t xml:space="preserve"> </w:t>
      </w:r>
    </w:p>
    <w:p w14:paraId="1F0429F7" w14:textId="5575D8E8" w:rsidR="00377962"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[40]</w:t>
      </w:r>
      <w:r w:rsidRPr="007722EF">
        <w:rPr>
          <w:rFonts w:ascii="Verdana" w:hAnsi="Verdana"/>
          <w:color w:val="000000" w:themeColor="text1"/>
          <w:sz w:val="22"/>
          <w:szCs w:val="22"/>
          <w:lang w:val="en-GB"/>
        </w:rPr>
        <w:tab/>
      </w:r>
      <w:r w:rsidR="005D57F1" w:rsidRPr="007722EF">
        <w:rPr>
          <w:rFonts w:ascii="Verdana" w:hAnsi="Verdana"/>
          <w:sz w:val="22"/>
          <w:szCs w:val="22"/>
          <w:lang w:val="en-GB"/>
        </w:rPr>
        <w:t>They also do not deny that the agreement contains a non-variation clause</w:t>
      </w:r>
      <w:r w:rsidR="00795C2D" w:rsidRPr="007722EF">
        <w:rPr>
          <w:rFonts w:ascii="Verdana" w:hAnsi="Verdana"/>
          <w:sz w:val="22"/>
          <w:szCs w:val="22"/>
          <w:lang w:val="en-GB"/>
        </w:rPr>
        <w:t>, althoug</w:t>
      </w:r>
      <w:r w:rsidR="00F244AA" w:rsidRPr="007722EF">
        <w:rPr>
          <w:rFonts w:ascii="Verdana" w:hAnsi="Verdana"/>
          <w:sz w:val="22"/>
          <w:szCs w:val="22"/>
          <w:lang w:val="en-GB"/>
        </w:rPr>
        <w:t xml:space="preserve">h it was submitted on their behalf that the </w:t>
      </w:r>
      <w:r w:rsidR="00884DD3" w:rsidRPr="007722EF">
        <w:rPr>
          <w:rFonts w:ascii="Verdana" w:hAnsi="Verdana"/>
          <w:sz w:val="22"/>
          <w:szCs w:val="22"/>
          <w:lang w:val="en-GB"/>
        </w:rPr>
        <w:t>clause self-destructs by the addition of the words</w:t>
      </w:r>
      <w:r w:rsidR="00F244AA" w:rsidRPr="007722EF">
        <w:rPr>
          <w:rFonts w:ascii="Verdana" w:hAnsi="Verdana"/>
          <w:sz w:val="22"/>
          <w:szCs w:val="22"/>
          <w:lang w:val="en-GB"/>
        </w:rPr>
        <w:t xml:space="preserve"> </w:t>
      </w:r>
      <w:r w:rsidR="00F244AA" w:rsidRPr="007722EF">
        <w:rPr>
          <w:rFonts w:ascii="Verdana" w:hAnsi="Verdana"/>
          <w:i/>
          <w:iCs/>
          <w:sz w:val="22"/>
          <w:szCs w:val="22"/>
          <w:lang w:val="en-GB"/>
        </w:rPr>
        <w:t>“or any such other agreements”</w:t>
      </w:r>
      <w:r w:rsidR="00884DD3" w:rsidRPr="007722EF">
        <w:rPr>
          <w:rFonts w:ascii="Verdana" w:hAnsi="Verdana"/>
          <w:sz w:val="22"/>
          <w:szCs w:val="22"/>
          <w:lang w:val="en-GB"/>
        </w:rPr>
        <w:t>.</w:t>
      </w:r>
      <w:r w:rsidR="00F244AA" w:rsidRPr="007722EF">
        <w:rPr>
          <w:rFonts w:ascii="Verdana" w:hAnsi="Verdana"/>
          <w:sz w:val="22"/>
          <w:szCs w:val="22"/>
          <w:lang w:val="en-GB"/>
        </w:rPr>
        <w:t xml:space="preserve"> </w:t>
      </w:r>
    </w:p>
    <w:p w14:paraId="695E134E" w14:textId="48007ADA" w:rsidR="00AF4F34" w:rsidRPr="00763174"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63174">
        <w:rPr>
          <w:rFonts w:ascii="Verdana" w:hAnsi="Verdana"/>
          <w:color w:val="000000" w:themeColor="text1"/>
          <w:sz w:val="22"/>
          <w:szCs w:val="22"/>
          <w:lang w:val="en-GB"/>
        </w:rPr>
        <w:t>[41]</w:t>
      </w:r>
      <w:r w:rsidRPr="00763174">
        <w:rPr>
          <w:rFonts w:ascii="Verdana" w:hAnsi="Verdana"/>
          <w:color w:val="000000" w:themeColor="text1"/>
          <w:sz w:val="22"/>
          <w:szCs w:val="22"/>
          <w:lang w:val="en-GB"/>
        </w:rPr>
        <w:tab/>
      </w:r>
      <w:r w:rsidR="00B81E0C" w:rsidRPr="007722EF">
        <w:rPr>
          <w:rFonts w:ascii="Verdana" w:hAnsi="Verdana"/>
          <w:sz w:val="22"/>
          <w:szCs w:val="22"/>
          <w:lang w:val="en-GB"/>
        </w:rPr>
        <w:t xml:space="preserve">The plaintiffs’ case is rather that the oral agreement </w:t>
      </w:r>
      <w:r w:rsidR="00FB7BEB" w:rsidRPr="007722EF">
        <w:rPr>
          <w:rFonts w:ascii="Verdana" w:hAnsi="Verdana"/>
          <w:sz w:val="22"/>
          <w:szCs w:val="22"/>
          <w:lang w:val="en-GB"/>
        </w:rPr>
        <w:t>relied on</w:t>
      </w:r>
      <w:r w:rsidR="007541EE" w:rsidRPr="007722EF">
        <w:rPr>
          <w:rFonts w:ascii="Verdana" w:hAnsi="Verdana"/>
          <w:sz w:val="22"/>
          <w:szCs w:val="22"/>
          <w:lang w:val="en-GB"/>
        </w:rPr>
        <w:t>, goes beyond the agreement and its non-variation clause. The high</w:t>
      </w:r>
      <w:r w:rsidR="007C69E7">
        <w:rPr>
          <w:rFonts w:ascii="Verdana" w:hAnsi="Verdana"/>
          <w:sz w:val="22"/>
          <w:szCs w:val="22"/>
          <w:lang w:val="en-GB"/>
        </w:rPr>
        <w:t>-</w:t>
      </w:r>
      <w:r w:rsidR="007541EE" w:rsidRPr="007722EF">
        <w:rPr>
          <w:rFonts w:ascii="Verdana" w:hAnsi="Verdana"/>
          <w:sz w:val="22"/>
          <w:szCs w:val="22"/>
          <w:lang w:val="en-GB"/>
        </w:rPr>
        <w:t>water</w:t>
      </w:r>
      <w:r w:rsidR="007C69E7">
        <w:rPr>
          <w:rFonts w:ascii="Verdana" w:hAnsi="Verdana"/>
          <w:sz w:val="22"/>
          <w:szCs w:val="22"/>
          <w:lang w:val="en-GB"/>
        </w:rPr>
        <w:t xml:space="preserve"> </w:t>
      </w:r>
      <w:r w:rsidR="007541EE" w:rsidRPr="007722EF">
        <w:rPr>
          <w:rFonts w:ascii="Verdana" w:hAnsi="Verdana"/>
          <w:sz w:val="22"/>
          <w:szCs w:val="22"/>
          <w:lang w:val="en-GB"/>
        </w:rPr>
        <w:t>mark of th</w:t>
      </w:r>
      <w:r w:rsidR="00061E3E" w:rsidRPr="007722EF">
        <w:rPr>
          <w:rFonts w:ascii="Verdana" w:hAnsi="Verdana"/>
          <w:sz w:val="22"/>
          <w:szCs w:val="22"/>
          <w:lang w:val="en-GB"/>
        </w:rPr>
        <w:t>eir</w:t>
      </w:r>
      <w:r w:rsidR="007541EE" w:rsidRPr="007722EF">
        <w:rPr>
          <w:rFonts w:ascii="Verdana" w:hAnsi="Verdana"/>
          <w:sz w:val="22"/>
          <w:szCs w:val="22"/>
          <w:lang w:val="en-GB"/>
        </w:rPr>
        <w:t xml:space="preserve"> argument is that the defendant took control and possession of the businesses before </w:t>
      </w:r>
      <w:r w:rsidR="00673C11" w:rsidRPr="007722EF">
        <w:rPr>
          <w:rFonts w:ascii="Verdana" w:hAnsi="Verdana"/>
          <w:sz w:val="22"/>
          <w:szCs w:val="22"/>
          <w:lang w:val="en-GB"/>
        </w:rPr>
        <w:t>the effective date</w:t>
      </w:r>
      <w:r w:rsidR="00061E3E" w:rsidRPr="007722EF">
        <w:rPr>
          <w:rFonts w:ascii="Verdana" w:hAnsi="Verdana"/>
          <w:sz w:val="22"/>
          <w:szCs w:val="22"/>
          <w:lang w:val="en-GB"/>
        </w:rPr>
        <w:t xml:space="preserve"> - </w:t>
      </w:r>
      <w:r w:rsidR="00673C11" w:rsidRPr="007722EF">
        <w:rPr>
          <w:rFonts w:ascii="Verdana" w:hAnsi="Verdana"/>
          <w:sz w:val="22"/>
          <w:szCs w:val="22"/>
          <w:lang w:val="en-GB"/>
        </w:rPr>
        <w:t>a scenario which had not been catered for in the agreement.</w:t>
      </w:r>
      <w:r w:rsidR="00B60A06" w:rsidRPr="007722EF">
        <w:rPr>
          <w:rFonts w:ascii="Verdana" w:hAnsi="Verdana"/>
          <w:sz w:val="22"/>
          <w:szCs w:val="22"/>
          <w:lang w:val="en-GB"/>
        </w:rPr>
        <w:t xml:space="preserve"> The plaintiffs are therefore not relying on</w:t>
      </w:r>
      <w:r w:rsidR="006E75E9" w:rsidRPr="007722EF">
        <w:rPr>
          <w:rFonts w:ascii="Verdana" w:hAnsi="Verdana"/>
          <w:sz w:val="22"/>
          <w:szCs w:val="22"/>
          <w:lang w:val="en-GB"/>
        </w:rPr>
        <w:t xml:space="preserve"> evidence </w:t>
      </w:r>
      <w:r w:rsidR="009408E0" w:rsidRPr="007722EF">
        <w:rPr>
          <w:rFonts w:ascii="Verdana" w:hAnsi="Verdana"/>
          <w:sz w:val="22"/>
          <w:szCs w:val="22"/>
          <w:lang w:val="en-GB"/>
        </w:rPr>
        <w:t>relating to circumstances</w:t>
      </w:r>
      <w:r w:rsidR="00871BE0" w:rsidRPr="007722EF">
        <w:rPr>
          <w:rFonts w:ascii="Verdana" w:hAnsi="Verdana"/>
          <w:sz w:val="22"/>
          <w:szCs w:val="22"/>
          <w:lang w:val="en-GB"/>
        </w:rPr>
        <w:t xml:space="preserve"> that prevailed before the agreement was signed or during the negotiations of its terms.</w:t>
      </w:r>
      <w:r w:rsidR="003C5093" w:rsidRPr="007722EF">
        <w:rPr>
          <w:rFonts w:ascii="Verdana" w:hAnsi="Verdana"/>
          <w:sz w:val="22"/>
          <w:szCs w:val="22"/>
          <w:lang w:val="en-GB"/>
        </w:rPr>
        <w:t xml:space="preserve"> </w:t>
      </w:r>
      <w:r w:rsidR="00763174" w:rsidRPr="00763174">
        <w:rPr>
          <w:rFonts w:ascii="Verdana" w:hAnsi="Verdana"/>
          <w:sz w:val="22"/>
          <w:szCs w:val="22"/>
          <w:lang w:val="en-GB"/>
        </w:rPr>
        <w:t xml:space="preserve">The evidence, in my view, is therefore not relevant to </w:t>
      </w:r>
      <w:r w:rsidR="00763174" w:rsidRPr="00763174">
        <w:rPr>
          <w:rFonts w:ascii="Verdana" w:hAnsi="Verdana"/>
          <w:sz w:val="22"/>
          <w:szCs w:val="22"/>
          <w:shd w:val="clear" w:color="auto" w:fill="FFFFFF"/>
          <w:lang w:val="en-GB"/>
        </w:rPr>
        <w:t xml:space="preserve">context </w:t>
      </w:r>
      <w:proofErr w:type="gramStart"/>
      <w:r w:rsidR="00763174" w:rsidRPr="00763174">
        <w:rPr>
          <w:rFonts w:ascii="Verdana" w:hAnsi="Verdana"/>
          <w:sz w:val="22"/>
          <w:szCs w:val="22"/>
          <w:shd w:val="clear" w:color="auto" w:fill="FFFFFF"/>
          <w:lang w:val="en-GB"/>
        </w:rPr>
        <w:t>so as to</w:t>
      </w:r>
      <w:proofErr w:type="gramEnd"/>
      <w:r w:rsidR="00763174" w:rsidRPr="00763174">
        <w:rPr>
          <w:rFonts w:ascii="Verdana" w:hAnsi="Verdana"/>
          <w:sz w:val="22"/>
          <w:szCs w:val="22"/>
          <w:shd w:val="clear" w:color="auto" w:fill="FFFFFF"/>
          <w:lang w:val="en-GB"/>
        </w:rPr>
        <w:t xml:space="preserve"> ascertain the meaning of the contract</w:t>
      </w:r>
      <w:r w:rsidR="00763174">
        <w:rPr>
          <w:rFonts w:ascii="Verdana" w:hAnsi="Verdana"/>
          <w:sz w:val="22"/>
          <w:szCs w:val="22"/>
          <w:shd w:val="clear" w:color="auto" w:fill="FFFFFF"/>
          <w:lang w:val="en-GB"/>
        </w:rPr>
        <w:t>. The evidence seeks to achieve something more.</w:t>
      </w:r>
    </w:p>
    <w:p w14:paraId="7396E9E8" w14:textId="3BBFCBF6" w:rsidR="00B81E0C"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[42]</w:t>
      </w:r>
      <w:r w:rsidRPr="007722EF">
        <w:rPr>
          <w:rFonts w:ascii="Verdana" w:hAnsi="Verdana"/>
          <w:color w:val="000000" w:themeColor="text1"/>
          <w:sz w:val="22"/>
          <w:szCs w:val="22"/>
          <w:lang w:val="en-GB"/>
        </w:rPr>
        <w:tab/>
      </w:r>
      <w:r w:rsidR="009D565D" w:rsidRPr="007722EF">
        <w:rPr>
          <w:rFonts w:ascii="Verdana" w:hAnsi="Verdana"/>
          <w:sz w:val="22"/>
          <w:szCs w:val="22"/>
          <w:lang w:val="en-GB"/>
        </w:rPr>
        <w:t>I</w:t>
      </w:r>
      <w:r w:rsidR="003C5093" w:rsidRPr="007722EF">
        <w:rPr>
          <w:rFonts w:ascii="Verdana" w:hAnsi="Verdana"/>
          <w:sz w:val="22"/>
          <w:szCs w:val="22"/>
          <w:lang w:val="en-GB"/>
        </w:rPr>
        <w:t>f the</w:t>
      </w:r>
      <w:r w:rsidR="009D565D" w:rsidRPr="007722EF">
        <w:rPr>
          <w:rFonts w:ascii="Verdana" w:hAnsi="Verdana"/>
          <w:sz w:val="22"/>
          <w:szCs w:val="22"/>
          <w:lang w:val="en-GB"/>
        </w:rPr>
        <w:t>ir</w:t>
      </w:r>
      <w:r w:rsidR="003C5093" w:rsidRPr="007722EF">
        <w:rPr>
          <w:rFonts w:ascii="Verdana" w:hAnsi="Verdana"/>
          <w:sz w:val="22"/>
          <w:szCs w:val="22"/>
          <w:lang w:val="en-GB"/>
        </w:rPr>
        <w:t xml:space="preserve"> reliance w</w:t>
      </w:r>
      <w:r w:rsidR="00A25A71" w:rsidRPr="007722EF">
        <w:rPr>
          <w:rFonts w:ascii="Verdana" w:hAnsi="Verdana"/>
          <w:sz w:val="22"/>
          <w:szCs w:val="22"/>
          <w:lang w:val="en-GB"/>
        </w:rPr>
        <w:t>ere</w:t>
      </w:r>
      <w:r w:rsidR="003C5093" w:rsidRPr="007722EF">
        <w:rPr>
          <w:rFonts w:ascii="Verdana" w:hAnsi="Verdana"/>
          <w:sz w:val="22"/>
          <w:szCs w:val="22"/>
          <w:lang w:val="en-GB"/>
        </w:rPr>
        <w:t xml:space="preserve"> on contextual evidence</w:t>
      </w:r>
      <w:r w:rsidR="009D565D" w:rsidRPr="007722EF">
        <w:rPr>
          <w:rFonts w:ascii="Verdana" w:hAnsi="Verdana"/>
          <w:sz w:val="22"/>
          <w:szCs w:val="22"/>
          <w:lang w:val="en-GB"/>
        </w:rPr>
        <w:t>,</w:t>
      </w:r>
      <w:r w:rsidR="003C5093" w:rsidRPr="007722EF">
        <w:rPr>
          <w:rFonts w:ascii="Verdana" w:hAnsi="Verdana"/>
          <w:sz w:val="22"/>
          <w:szCs w:val="22"/>
          <w:lang w:val="en-GB"/>
        </w:rPr>
        <w:t xml:space="preserve"> </w:t>
      </w:r>
      <w:proofErr w:type="spellStart"/>
      <w:r w:rsidR="009D565D" w:rsidRPr="007722EF">
        <w:rPr>
          <w:rFonts w:ascii="Verdana" w:hAnsi="Verdana"/>
          <w:sz w:val="22"/>
          <w:szCs w:val="22"/>
          <w:lang w:val="en-GB"/>
        </w:rPr>
        <w:t>parol</w:t>
      </w:r>
      <w:proofErr w:type="spellEnd"/>
      <w:r w:rsidR="009D565D" w:rsidRPr="007722EF">
        <w:rPr>
          <w:rFonts w:ascii="Verdana" w:hAnsi="Verdana"/>
          <w:sz w:val="22"/>
          <w:szCs w:val="22"/>
          <w:lang w:val="en-GB"/>
        </w:rPr>
        <w:t xml:space="preserve"> evidence </w:t>
      </w:r>
      <w:r w:rsidR="001A51B8" w:rsidRPr="007722EF">
        <w:rPr>
          <w:rFonts w:ascii="Verdana" w:hAnsi="Verdana"/>
          <w:sz w:val="22"/>
          <w:szCs w:val="22"/>
          <w:lang w:val="en-GB"/>
        </w:rPr>
        <w:t>would not have</w:t>
      </w:r>
      <w:r w:rsidR="009D565D" w:rsidRPr="007722EF">
        <w:rPr>
          <w:rFonts w:ascii="Verdana" w:hAnsi="Verdana"/>
          <w:sz w:val="22"/>
          <w:szCs w:val="22"/>
          <w:lang w:val="en-GB"/>
        </w:rPr>
        <w:t xml:space="preserve"> been precluded as</w:t>
      </w:r>
      <w:r w:rsidR="00D7074E" w:rsidRPr="007722EF">
        <w:rPr>
          <w:rFonts w:ascii="Verdana" w:hAnsi="Verdana"/>
          <w:sz w:val="22"/>
          <w:szCs w:val="22"/>
          <w:lang w:val="en-GB"/>
        </w:rPr>
        <w:t>, at exception stage</w:t>
      </w:r>
      <w:r w:rsidR="00261C7A" w:rsidRPr="007722EF">
        <w:rPr>
          <w:rFonts w:ascii="Verdana" w:hAnsi="Verdana"/>
          <w:sz w:val="22"/>
          <w:szCs w:val="22"/>
          <w:lang w:val="en-GB"/>
        </w:rPr>
        <w:t xml:space="preserve"> at the very least</w:t>
      </w:r>
      <w:r w:rsidR="00D7074E" w:rsidRPr="007722EF">
        <w:rPr>
          <w:rFonts w:ascii="Verdana" w:hAnsi="Verdana"/>
          <w:sz w:val="22"/>
          <w:szCs w:val="22"/>
          <w:lang w:val="en-GB"/>
        </w:rPr>
        <w:t>,</w:t>
      </w:r>
      <w:r w:rsidR="009D565D" w:rsidRPr="007722EF">
        <w:rPr>
          <w:rFonts w:ascii="Verdana" w:hAnsi="Verdana"/>
          <w:sz w:val="22"/>
          <w:szCs w:val="22"/>
          <w:lang w:val="en-GB"/>
        </w:rPr>
        <w:t xml:space="preserve"> it </w:t>
      </w:r>
      <w:r w:rsidR="00F347E9" w:rsidRPr="007722EF">
        <w:rPr>
          <w:rFonts w:ascii="Verdana" w:hAnsi="Verdana"/>
          <w:sz w:val="22"/>
          <w:szCs w:val="22"/>
          <w:lang w:val="en-GB"/>
        </w:rPr>
        <w:t xml:space="preserve">would not </w:t>
      </w:r>
      <w:r w:rsidR="00DA12B7" w:rsidRPr="007722EF">
        <w:rPr>
          <w:rFonts w:ascii="Verdana" w:hAnsi="Verdana"/>
          <w:sz w:val="22"/>
          <w:szCs w:val="22"/>
          <w:lang w:val="en-GB"/>
        </w:rPr>
        <w:t xml:space="preserve">appear to be </w:t>
      </w:r>
      <w:r w:rsidR="00F347E9" w:rsidRPr="007722EF">
        <w:rPr>
          <w:rFonts w:ascii="Verdana" w:hAnsi="Verdana"/>
          <w:sz w:val="22"/>
          <w:szCs w:val="22"/>
          <w:lang w:val="en-GB"/>
        </w:rPr>
        <w:t>seek</w:t>
      </w:r>
      <w:r w:rsidR="00DA12B7" w:rsidRPr="007722EF">
        <w:rPr>
          <w:rFonts w:ascii="Verdana" w:hAnsi="Verdana"/>
          <w:sz w:val="22"/>
          <w:szCs w:val="22"/>
          <w:lang w:val="en-GB"/>
        </w:rPr>
        <w:t>ing</w:t>
      </w:r>
      <w:r w:rsidR="00F347E9" w:rsidRPr="007722EF">
        <w:rPr>
          <w:rFonts w:ascii="Verdana" w:hAnsi="Verdana"/>
          <w:sz w:val="22"/>
          <w:szCs w:val="22"/>
          <w:lang w:val="en-GB"/>
        </w:rPr>
        <w:t xml:space="preserve"> to add to, vary, </w:t>
      </w:r>
      <w:proofErr w:type="gramStart"/>
      <w:r w:rsidR="00F347E9" w:rsidRPr="007722EF">
        <w:rPr>
          <w:rFonts w:ascii="Verdana" w:hAnsi="Verdana"/>
          <w:sz w:val="22"/>
          <w:szCs w:val="22"/>
          <w:lang w:val="en-GB"/>
        </w:rPr>
        <w:t>modify</w:t>
      </w:r>
      <w:proofErr w:type="gramEnd"/>
      <w:r w:rsidR="00F347E9" w:rsidRPr="007722EF">
        <w:rPr>
          <w:rFonts w:ascii="Verdana" w:hAnsi="Verdana"/>
          <w:sz w:val="22"/>
          <w:szCs w:val="22"/>
          <w:lang w:val="en-GB"/>
        </w:rPr>
        <w:t xml:space="preserve"> or contradict the terms of the contract.</w:t>
      </w:r>
    </w:p>
    <w:p w14:paraId="5EF21AD8" w14:textId="7A5F795D" w:rsidR="000653F2"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[43]</w:t>
      </w:r>
      <w:r w:rsidRPr="007722EF">
        <w:rPr>
          <w:rFonts w:ascii="Verdana" w:hAnsi="Verdana"/>
          <w:color w:val="000000" w:themeColor="text1"/>
          <w:sz w:val="22"/>
          <w:szCs w:val="22"/>
          <w:lang w:val="en-GB"/>
        </w:rPr>
        <w:tab/>
      </w:r>
      <w:r w:rsidR="00187994" w:rsidRPr="007722EF">
        <w:rPr>
          <w:rFonts w:ascii="Verdana" w:hAnsi="Verdana"/>
          <w:sz w:val="22"/>
          <w:szCs w:val="22"/>
          <w:shd w:val="clear" w:color="auto" w:fill="FFFFFF"/>
          <w:lang w:val="en-GB"/>
        </w:rPr>
        <w:t>However, t</w:t>
      </w:r>
      <w:r w:rsidR="00BE507A" w:rsidRPr="007722EF">
        <w:rPr>
          <w:rFonts w:ascii="Verdana" w:hAnsi="Verdana"/>
          <w:sz w:val="22"/>
          <w:szCs w:val="22"/>
          <w:shd w:val="clear" w:color="auto" w:fill="FFFFFF"/>
          <w:lang w:val="en-GB"/>
        </w:rPr>
        <w:t xml:space="preserve">he plaintiffs’ evidence relates to </w:t>
      </w:r>
      <w:r w:rsidR="00DB70B1" w:rsidRPr="007722EF">
        <w:rPr>
          <w:rFonts w:ascii="Verdana" w:hAnsi="Verdana"/>
          <w:sz w:val="22"/>
          <w:szCs w:val="22"/>
          <w:shd w:val="clear" w:color="auto" w:fill="FFFFFF"/>
          <w:lang w:val="en-GB"/>
        </w:rPr>
        <w:t xml:space="preserve">a factual scenario following the conclusion of the agreement. </w:t>
      </w:r>
      <w:r w:rsidR="00BE507A" w:rsidRPr="007722EF">
        <w:rPr>
          <w:rFonts w:ascii="Verdana" w:hAnsi="Verdana"/>
          <w:sz w:val="22"/>
          <w:szCs w:val="22"/>
          <w:shd w:val="clear" w:color="auto" w:fill="FFFFFF"/>
          <w:lang w:val="en-GB"/>
        </w:rPr>
        <w:t xml:space="preserve"> </w:t>
      </w:r>
      <w:r w:rsidR="000653F2" w:rsidRPr="007722EF">
        <w:rPr>
          <w:rFonts w:ascii="Verdana" w:hAnsi="Verdana"/>
          <w:sz w:val="22"/>
          <w:szCs w:val="22"/>
          <w:lang w:val="en-GB"/>
        </w:rPr>
        <w:t>In</w:t>
      </w:r>
      <w:r w:rsidR="009A4B32" w:rsidRPr="007722EF">
        <w:rPr>
          <w:rFonts w:ascii="Verdana" w:hAnsi="Verdana"/>
          <w:sz w:val="22"/>
          <w:szCs w:val="22"/>
          <w:lang w:val="en-GB"/>
        </w:rPr>
        <w:t xml:space="preserve"> </w:t>
      </w:r>
      <w:r w:rsidR="009A4B32" w:rsidRPr="007722EF">
        <w:rPr>
          <w:rFonts w:ascii="Verdana" w:hAnsi="Verdana"/>
          <w:i/>
          <w:iCs/>
          <w:sz w:val="22"/>
          <w:szCs w:val="22"/>
          <w:lang w:val="en-GB"/>
        </w:rPr>
        <w:t xml:space="preserve">Capitec </w:t>
      </w:r>
      <w:r w:rsidR="000653F2" w:rsidRPr="007722EF">
        <w:rPr>
          <w:rFonts w:ascii="Verdana" w:hAnsi="Verdana"/>
          <w:sz w:val="22"/>
          <w:szCs w:val="22"/>
          <w:lang w:val="en-GB"/>
        </w:rPr>
        <w:t xml:space="preserve">the SCA was faced with a similar </w:t>
      </w:r>
      <w:r w:rsidR="000653F2" w:rsidRPr="007722EF">
        <w:rPr>
          <w:rFonts w:ascii="Verdana" w:hAnsi="Verdana"/>
          <w:sz w:val="22"/>
          <w:szCs w:val="22"/>
          <w:lang w:val="en-GB"/>
        </w:rPr>
        <w:lastRenderedPageBreak/>
        <w:t xml:space="preserve">factual scenario. </w:t>
      </w:r>
      <w:r w:rsidR="00260F74" w:rsidRPr="007722EF">
        <w:rPr>
          <w:rFonts w:ascii="Verdana" w:hAnsi="Verdana"/>
          <w:sz w:val="22"/>
          <w:szCs w:val="22"/>
          <w:lang w:val="en-GB"/>
        </w:rPr>
        <w:t xml:space="preserve">The court was called upon to determine the </w:t>
      </w:r>
      <w:r w:rsidR="000D41AB" w:rsidRPr="007722EF">
        <w:rPr>
          <w:rFonts w:ascii="Verdana" w:hAnsi="Verdana"/>
          <w:sz w:val="22"/>
          <w:szCs w:val="22"/>
          <w:lang w:val="en-GB"/>
        </w:rPr>
        <w:t>admissibility</w:t>
      </w:r>
      <w:r w:rsidR="00260F74" w:rsidRPr="007722EF">
        <w:rPr>
          <w:rFonts w:ascii="Verdana" w:hAnsi="Verdana"/>
          <w:sz w:val="22"/>
          <w:szCs w:val="22"/>
          <w:lang w:val="en-GB"/>
        </w:rPr>
        <w:t xml:space="preserve"> </w:t>
      </w:r>
      <w:r w:rsidR="000D41AB" w:rsidRPr="007722EF">
        <w:rPr>
          <w:rFonts w:ascii="Verdana" w:hAnsi="Verdana"/>
          <w:sz w:val="22"/>
          <w:szCs w:val="22"/>
          <w:lang w:val="en-GB"/>
        </w:rPr>
        <w:t>of evidence relating to</w:t>
      </w:r>
      <w:r w:rsidR="003020E8" w:rsidRPr="007722EF">
        <w:rPr>
          <w:rFonts w:ascii="Verdana" w:hAnsi="Verdana"/>
          <w:sz w:val="22"/>
          <w:szCs w:val="22"/>
          <w:lang w:val="en-GB"/>
        </w:rPr>
        <w:t xml:space="preserve"> the conduct of the parties in implementing the written contract. </w:t>
      </w:r>
      <w:r w:rsidR="0020722B" w:rsidRPr="007722EF">
        <w:rPr>
          <w:rFonts w:ascii="Verdana" w:hAnsi="Verdana"/>
          <w:sz w:val="22"/>
          <w:szCs w:val="22"/>
          <w:lang w:val="en-GB"/>
        </w:rPr>
        <w:t>The conduct was at odds with the terms of the written contract</w:t>
      </w:r>
      <w:r w:rsidR="000D41AB" w:rsidRPr="007722EF">
        <w:rPr>
          <w:rFonts w:ascii="Verdana" w:hAnsi="Verdana"/>
          <w:sz w:val="22"/>
          <w:szCs w:val="22"/>
          <w:lang w:val="en-GB"/>
        </w:rPr>
        <w:t>,</w:t>
      </w:r>
      <w:r w:rsidR="0020722B" w:rsidRPr="007722EF">
        <w:rPr>
          <w:rFonts w:ascii="Verdana" w:hAnsi="Verdana"/>
          <w:sz w:val="22"/>
          <w:szCs w:val="22"/>
          <w:lang w:val="en-GB"/>
        </w:rPr>
        <w:t xml:space="preserve"> as is the case in the matter at hand. </w:t>
      </w:r>
    </w:p>
    <w:p w14:paraId="139C3FFE" w14:textId="20947529" w:rsidR="000653F2"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[44]</w:t>
      </w:r>
      <w:r w:rsidRPr="007722EF">
        <w:rPr>
          <w:rFonts w:ascii="Verdana" w:hAnsi="Verdana"/>
          <w:color w:val="000000" w:themeColor="text1"/>
          <w:sz w:val="22"/>
          <w:szCs w:val="22"/>
          <w:lang w:val="en-GB"/>
        </w:rPr>
        <w:tab/>
      </w:r>
      <w:r w:rsidR="008E758B" w:rsidRPr="007722EF">
        <w:rPr>
          <w:rFonts w:ascii="Verdana" w:hAnsi="Verdana"/>
          <w:sz w:val="22"/>
          <w:szCs w:val="22"/>
          <w:lang w:val="en-GB"/>
        </w:rPr>
        <w:t>The SCA</w:t>
      </w:r>
      <w:r w:rsidR="00156DAA" w:rsidRPr="007722EF">
        <w:rPr>
          <w:rFonts w:ascii="Verdana" w:hAnsi="Verdana"/>
          <w:sz w:val="22"/>
          <w:szCs w:val="22"/>
          <w:lang w:val="en-GB"/>
        </w:rPr>
        <w:t xml:space="preserve"> referred to its earlier judgment in </w:t>
      </w:r>
      <w:proofErr w:type="spellStart"/>
      <w:r w:rsidR="00156DAA" w:rsidRPr="007722EF">
        <w:rPr>
          <w:rFonts w:ascii="Verdana" w:hAnsi="Verdana"/>
          <w:i/>
          <w:iCs/>
          <w:sz w:val="22"/>
          <w:szCs w:val="22"/>
          <w:lang w:val="en-GB"/>
        </w:rPr>
        <w:t>Comwezi</w:t>
      </w:r>
      <w:proofErr w:type="spellEnd"/>
      <w:r w:rsidR="00156DAA" w:rsidRPr="007722EF">
        <w:rPr>
          <w:rStyle w:val="FootnoteReference"/>
          <w:rFonts w:ascii="Verdana" w:hAnsi="Verdana"/>
          <w:i/>
          <w:iCs/>
          <w:sz w:val="22"/>
          <w:szCs w:val="22"/>
          <w:lang w:val="en-GB"/>
        </w:rPr>
        <w:footnoteReference w:id="33"/>
      </w:r>
      <w:r w:rsidR="00156DAA" w:rsidRPr="007722EF">
        <w:rPr>
          <w:rFonts w:ascii="Verdana" w:hAnsi="Verdana"/>
          <w:i/>
          <w:iCs/>
          <w:sz w:val="22"/>
          <w:szCs w:val="22"/>
          <w:lang w:val="en-GB"/>
        </w:rPr>
        <w:t xml:space="preserve"> </w:t>
      </w:r>
      <w:r w:rsidR="00156DAA" w:rsidRPr="007722EF">
        <w:rPr>
          <w:rFonts w:ascii="Verdana" w:hAnsi="Verdana"/>
          <w:sz w:val="22"/>
          <w:szCs w:val="22"/>
          <w:lang w:val="en-GB"/>
        </w:rPr>
        <w:t>where it</w:t>
      </w:r>
      <w:r w:rsidR="008E758B" w:rsidRPr="007722EF">
        <w:rPr>
          <w:rFonts w:ascii="Verdana" w:hAnsi="Verdana"/>
          <w:sz w:val="22"/>
          <w:szCs w:val="22"/>
          <w:lang w:val="en-GB"/>
        </w:rPr>
        <w:t xml:space="preserve"> explained that </w:t>
      </w:r>
      <w:r w:rsidR="008E758B" w:rsidRPr="007722EF">
        <w:rPr>
          <w:rFonts w:ascii="Verdana" w:hAnsi="Verdana"/>
          <w:sz w:val="22"/>
          <w:szCs w:val="22"/>
          <w:shd w:val="clear" w:color="auto" w:fill="FFFFFF"/>
          <w:lang w:val="en-GB"/>
        </w:rPr>
        <w:t>in the past, where there was perceived ambiguity in a contract, the courts held that the subsequent conduct of the parties in implementing their agreement was a factor that could be taken into account in preferring one interpretation to another.</w:t>
      </w:r>
      <w:r w:rsidR="00A814BF" w:rsidRPr="007722EF">
        <w:rPr>
          <w:rStyle w:val="FootnoteReference"/>
          <w:rFonts w:ascii="Verdana" w:hAnsi="Verdana"/>
          <w:sz w:val="22"/>
          <w:szCs w:val="22"/>
          <w:shd w:val="clear" w:color="auto" w:fill="FFFFFF"/>
          <w:lang w:val="en-GB"/>
        </w:rPr>
        <w:footnoteReference w:id="34"/>
      </w:r>
      <w:r w:rsidR="007C69E7">
        <w:rPr>
          <w:rFonts w:ascii="Verdana" w:hAnsi="Verdana"/>
          <w:sz w:val="22"/>
          <w:szCs w:val="22"/>
          <w:shd w:val="clear" w:color="auto" w:fill="FFFFFF"/>
          <w:lang w:val="en-GB"/>
        </w:rPr>
        <w:t xml:space="preserve">  </w:t>
      </w:r>
      <w:r w:rsidR="00156DAA" w:rsidRPr="007722EF">
        <w:rPr>
          <w:rFonts w:ascii="Verdana" w:hAnsi="Verdana"/>
          <w:sz w:val="22"/>
          <w:szCs w:val="22"/>
          <w:shd w:val="clear" w:color="auto" w:fill="FFFFFF"/>
          <w:lang w:val="en-GB"/>
        </w:rPr>
        <w:t xml:space="preserve">In </w:t>
      </w:r>
      <w:proofErr w:type="spellStart"/>
      <w:r w:rsidR="00156DAA" w:rsidRPr="007722EF">
        <w:rPr>
          <w:rFonts w:ascii="Verdana" w:hAnsi="Verdana"/>
          <w:i/>
          <w:iCs/>
          <w:sz w:val="22"/>
          <w:szCs w:val="22"/>
          <w:shd w:val="clear" w:color="auto" w:fill="FFFFFF"/>
          <w:lang w:val="en-GB"/>
        </w:rPr>
        <w:t>Comwezi</w:t>
      </w:r>
      <w:proofErr w:type="spellEnd"/>
      <w:r w:rsidR="00156DAA" w:rsidRPr="007722EF">
        <w:rPr>
          <w:rFonts w:ascii="Verdana" w:hAnsi="Verdana"/>
          <w:i/>
          <w:iCs/>
          <w:sz w:val="22"/>
          <w:szCs w:val="22"/>
          <w:shd w:val="clear" w:color="auto" w:fill="FFFFFF"/>
          <w:lang w:val="en-GB"/>
        </w:rPr>
        <w:t xml:space="preserve"> </w:t>
      </w:r>
      <w:r w:rsidR="00156DAA" w:rsidRPr="007722EF">
        <w:rPr>
          <w:rFonts w:ascii="Verdana" w:hAnsi="Verdana"/>
          <w:sz w:val="22"/>
          <w:szCs w:val="22"/>
          <w:shd w:val="clear" w:color="auto" w:fill="FFFFFF"/>
          <w:lang w:val="en-GB"/>
        </w:rPr>
        <w:t>the</w:t>
      </w:r>
      <w:r w:rsidR="00392194" w:rsidRPr="007722EF">
        <w:rPr>
          <w:rFonts w:ascii="Verdana" w:hAnsi="Verdana"/>
          <w:sz w:val="22"/>
          <w:szCs w:val="22"/>
          <w:shd w:val="clear" w:color="auto" w:fill="FFFFFF"/>
          <w:lang w:val="en-GB"/>
        </w:rPr>
        <w:t xml:space="preserve"> court went further to state that n</w:t>
      </w:r>
      <w:r w:rsidR="008E758B" w:rsidRPr="007722EF">
        <w:rPr>
          <w:rFonts w:ascii="Verdana" w:hAnsi="Verdana"/>
          <w:sz w:val="22"/>
          <w:szCs w:val="22"/>
          <w:shd w:val="clear" w:color="auto" w:fill="FFFFFF"/>
          <w:lang w:val="en-GB"/>
        </w:rPr>
        <w:t>ow that regard is had to all relevant context, irrespective of whether there is a perceived ambiguity,</w:t>
      </w:r>
      <w:r w:rsidR="00492C5D" w:rsidRPr="007722EF">
        <w:rPr>
          <w:rStyle w:val="FootnoteReference"/>
          <w:rFonts w:ascii="Verdana" w:hAnsi="Verdana"/>
          <w:sz w:val="22"/>
          <w:szCs w:val="22"/>
          <w:shd w:val="clear" w:color="auto" w:fill="FFFFFF"/>
          <w:lang w:val="en-GB"/>
        </w:rPr>
        <w:footnoteReference w:id="35"/>
      </w:r>
      <w:r w:rsidR="00492C5D" w:rsidRPr="007722EF">
        <w:rPr>
          <w:rFonts w:ascii="Verdana" w:hAnsi="Verdana"/>
          <w:sz w:val="22"/>
          <w:szCs w:val="22"/>
          <w:lang w:val="en-GB"/>
        </w:rPr>
        <w:t xml:space="preserve"> </w:t>
      </w:r>
      <w:r w:rsidR="00392194" w:rsidRPr="007722EF">
        <w:rPr>
          <w:rFonts w:ascii="Verdana" w:hAnsi="Verdana"/>
          <w:sz w:val="22"/>
          <w:szCs w:val="22"/>
          <w:shd w:val="clear" w:color="auto" w:fill="FFFFFF"/>
          <w:lang w:val="en-GB"/>
        </w:rPr>
        <w:t>there is no reason not to look at the conduct of the parties in implementing the agreement.</w:t>
      </w:r>
      <w:r w:rsidR="007C69E7">
        <w:rPr>
          <w:rFonts w:ascii="Verdana" w:hAnsi="Verdana"/>
          <w:sz w:val="22"/>
          <w:szCs w:val="22"/>
          <w:shd w:val="clear" w:color="auto" w:fill="FFFFFF"/>
          <w:lang w:val="en-GB"/>
        </w:rPr>
        <w:t xml:space="preserve"> </w:t>
      </w:r>
      <w:r w:rsidR="00DF18FD" w:rsidRPr="007722EF">
        <w:rPr>
          <w:rFonts w:ascii="Verdana" w:hAnsi="Verdana"/>
          <w:sz w:val="22"/>
          <w:szCs w:val="22"/>
          <w:shd w:val="clear" w:color="auto" w:fill="FFFFFF"/>
          <w:lang w:val="en-GB"/>
        </w:rPr>
        <w:t>The court concluded as follows:</w:t>
      </w:r>
      <w:r w:rsidR="00594961" w:rsidRPr="007C69E7">
        <w:rPr>
          <w:rStyle w:val="FootnoteReference"/>
          <w:rFonts w:ascii="Verdana" w:hAnsi="Verdana"/>
          <w:sz w:val="22"/>
          <w:szCs w:val="22"/>
          <w:shd w:val="clear" w:color="auto" w:fill="FFFFFF"/>
          <w:lang w:val="en-GB"/>
        </w:rPr>
        <w:footnoteReference w:id="36"/>
      </w:r>
      <w:r w:rsidR="007C69E7" w:rsidRPr="007C69E7">
        <w:rPr>
          <w:rFonts w:ascii="Verdana" w:hAnsi="Verdana"/>
          <w:sz w:val="22"/>
          <w:szCs w:val="22"/>
          <w:shd w:val="clear" w:color="auto" w:fill="FFFFFF"/>
          <w:lang w:val="en-GB"/>
        </w:rPr>
        <w:t> -</w:t>
      </w:r>
    </w:p>
    <w:p w14:paraId="1AAA93D1" w14:textId="2EB25AF8" w:rsidR="00DF18FD" w:rsidRPr="007C69E7" w:rsidRDefault="00594961" w:rsidP="007C69E7">
      <w:pPr>
        <w:pStyle w:val="Indent"/>
        <w:widowControl w:val="0"/>
        <w:numPr>
          <w:ilvl w:val="0"/>
          <w:numId w:val="0"/>
        </w:numPr>
        <w:shd w:val="clear" w:color="auto" w:fill="FFFFFF" w:themeFill="background1"/>
        <w:spacing w:after="480" w:line="360" w:lineRule="auto"/>
        <w:ind w:left="709"/>
        <w:jc w:val="both"/>
        <w:rPr>
          <w:rFonts w:ascii="Verdana" w:hAnsi="Verdana"/>
          <w:sz w:val="22"/>
          <w:szCs w:val="22"/>
          <w:lang w:val="en-GB"/>
        </w:rPr>
      </w:pPr>
      <w:r w:rsidRPr="007C69E7">
        <w:rPr>
          <w:rFonts w:ascii="Verdana" w:hAnsi="Verdana"/>
          <w:i/>
          <w:iCs/>
          <w:sz w:val="22"/>
          <w:szCs w:val="22"/>
          <w:shd w:val="clear" w:color="auto" w:fill="FFFFFF"/>
          <w:lang w:val="en-GB"/>
        </w:rPr>
        <w:t xml:space="preserve">“It is therefore relevant to an objective determination of the meaning of the words they have used and the selection of the appropriate meaning from among those postulated by the parties. </w:t>
      </w:r>
      <w:r w:rsidRPr="007C69E7">
        <w:rPr>
          <w:rFonts w:ascii="Verdana" w:hAnsi="Verdana"/>
          <w:b/>
          <w:bCs/>
          <w:i/>
          <w:iCs/>
          <w:sz w:val="22"/>
          <w:szCs w:val="22"/>
          <w:shd w:val="clear" w:color="auto" w:fill="FFFFFF"/>
          <w:lang w:val="en-GB"/>
        </w:rPr>
        <w:t>This does not mean that, if the parties have implemented their agreement in a manner that is inconsistent with any possible meaning of the language used, the court can use their conduct to give that language an otherwise impermissible meaning</w:t>
      </w:r>
      <w:r w:rsidRPr="007C69E7">
        <w:rPr>
          <w:rFonts w:ascii="Verdana" w:hAnsi="Verdana"/>
          <w:i/>
          <w:iCs/>
          <w:sz w:val="22"/>
          <w:szCs w:val="22"/>
          <w:shd w:val="clear" w:color="auto" w:fill="FFFFFF"/>
          <w:lang w:val="en-GB"/>
        </w:rPr>
        <w:t xml:space="preserve">. In that situation their conduct may be relevant to a claim for rectification of the agreement or may found an estoppel, but it does not affect the proper construction of the provision under </w:t>
      </w:r>
      <w:r w:rsidRPr="007C69E7">
        <w:rPr>
          <w:rFonts w:ascii="Verdana" w:hAnsi="Verdana"/>
          <w:i/>
          <w:iCs/>
          <w:sz w:val="22"/>
          <w:szCs w:val="22"/>
          <w:shd w:val="clear" w:color="auto" w:fill="FFFFFF"/>
          <w:lang w:val="en-GB"/>
        </w:rPr>
        <w:lastRenderedPageBreak/>
        <w:t>consideration.”</w:t>
      </w:r>
      <w:r w:rsidR="007C69E7">
        <w:rPr>
          <w:rFonts w:ascii="Verdana" w:hAnsi="Verdana"/>
          <w:i/>
          <w:iCs/>
          <w:sz w:val="22"/>
          <w:szCs w:val="22"/>
          <w:shd w:val="clear" w:color="auto" w:fill="FFFFFF"/>
          <w:lang w:val="en-GB"/>
        </w:rPr>
        <w:t xml:space="preserve"> </w:t>
      </w:r>
      <w:r w:rsidR="00C06EB3" w:rsidRPr="007C69E7">
        <w:rPr>
          <w:rFonts w:ascii="Verdana" w:hAnsi="Verdana"/>
          <w:i/>
          <w:iCs/>
          <w:sz w:val="22"/>
          <w:szCs w:val="22"/>
          <w:shd w:val="clear" w:color="auto" w:fill="FFFFFF"/>
          <w:lang w:val="en-GB"/>
        </w:rPr>
        <w:t xml:space="preserve"> </w:t>
      </w:r>
      <w:r w:rsidR="00C06EB3" w:rsidRPr="007C69E7">
        <w:rPr>
          <w:rFonts w:ascii="Verdana" w:hAnsi="Verdana"/>
          <w:sz w:val="22"/>
          <w:szCs w:val="22"/>
          <w:shd w:val="clear" w:color="auto" w:fill="FFFFFF"/>
          <w:lang w:val="en-GB"/>
        </w:rPr>
        <w:t>(</w:t>
      </w:r>
      <w:r w:rsidR="007C69E7">
        <w:rPr>
          <w:rFonts w:ascii="Verdana" w:hAnsi="Verdana"/>
          <w:sz w:val="22"/>
          <w:szCs w:val="22"/>
          <w:shd w:val="clear" w:color="auto" w:fill="FFFFFF"/>
          <w:lang w:val="en-GB"/>
        </w:rPr>
        <w:t>E</w:t>
      </w:r>
      <w:r w:rsidR="00C06EB3" w:rsidRPr="007C69E7">
        <w:rPr>
          <w:rFonts w:ascii="Verdana" w:hAnsi="Verdana"/>
          <w:sz w:val="22"/>
          <w:szCs w:val="22"/>
          <w:shd w:val="clear" w:color="auto" w:fill="FFFFFF"/>
          <w:lang w:val="en-GB"/>
        </w:rPr>
        <w:t>mphasis added)</w:t>
      </w:r>
    </w:p>
    <w:p w14:paraId="4852FF5B" w14:textId="40DE05E2" w:rsidR="002B4AC4"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[45]</w:t>
      </w:r>
      <w:r w:rsidRPr="007722EF">
        <w:rPr>
          <w:rFonts w:ascii="Verdana" w:hAnsi="Verdana"/>
          <w:color w:val="000000" w:themeColor="text1"/>
          <w:sz w:val="22"/>
          <w:szCs w:val="22"/>
          <w:lang w:val="en-GB"/>
        </w:rPr>
        <w:tab/>
      </w:r>
      <w:r w:rsidR="006C4FC1" w:rsidRPr="007722EF">
        <w:rPr>
          <w:rFonts w:ascii="Verdana" w:hAnsi="Verdana"/>
          <w:sz w:val="22"/>
          <w:szCs w:val="22"/>
          <w:lang w:val="en-GB"/>
        </w:rPr>
        <w:t xml:space="preserve">In </w:t>
      </w:r>
      <w:r w:rsidR="006C4FC1" w:rsidRPr="007722EF">
        <w:rPr>
          <w:rFonts w:ascii="Verdana" w:hAnsi="Verdana"/>
          <w:i/>
          <w:iCs/>
          <w:sz w:val="22"/>
          <w:szCs w:val="22"/>
          <w:lang w:val="en-GB"/>
        </w:rPr>
        <w:t xml:space="preserve">Capitec </w:t>
      </w:r>
      <w:r w:rsidR="006C4FC1" w:rsidRPr="007722EF">
        <w:rPr>
          <w:rFonts w:ascii="Verdana" w:hAnsi="Verdana"/>
          <w:sz w:val="22"/>
          <w:szCs w:val="22"/>
          <w:lang w:val="en-GB"/>
        </w:rPr>
        <w:t xml:space="preserve">the SCA ultimately concluded </w:t>
      </w:r>
      <w:r w:rsidR="002B4AC4" w:rsidRPr="007722EF">
        <w:rPr>
          <w:rFonts w:ascii="Verdana" w:hAnsi="Verdana"/>
          <w:sz w:val="22"/>
          <w:szCs w:val="22"/>
          <w:lang w:val="en-GB"/>
        </w:rPr>
        <w:t>as follows:</w:t>
      </w:r>
      <w:r w:rsidR="00731A93" w:rsidRPr="007722EF">
        <w:rPr>
          <w:rStyle w:val="FootnoteReference"/>
          <w:rFonts w:ascii="Verdana" w:hAnsi="Verdana"/>
          <w:sz w:val="22"/>
          <w:szCs w:val="22"/>
          <w:lang w:val="en-GB"/>
        </w:rPr>
        <w:footnoteReference w:id="37"/>
      </w:r>
      <w:r w:rsidR="007C69E7">
        <w:rPr>
          <w:rFonts w:ascii="Verdana" w:hAnsi="Verdana"/>
          <w:sz w:val="22"/>
          <w:szCs w:val="22"/>
          <w:lang w:val="en-GB"/>
        </w:rPr>
        <w:t> -</w:t>
      </w:r>
    </w:p>
    <w:p w14:paraId="2E11A376" w14:textId="53C9F7A1" w:rsidR="002B4AC4" w:rsidRPr="007C69E7" w:rsidRDefault="00AA2135" w:rsidP="007C69E7">
      <w:pPr>
        <w:pStyle w:val="Indent"/>
        <w:numPr>
          <w:ilvl w:val="0"/>
          <w:numId w:val="0"/>
        </w:numPr>
        <w:spacing w:after="480" w:line="360" w:lineRule="auto"/>
        <w:ind w:left="709"/>
        <w:jc w:val="both"/>
        <w:rPr>
          <w:rFonts w:ascii="Verdana" w:hAnsi="Verdana"/>
          <w:i/>
          <w:iCs/>
          <w:sz w:val="22"/>
          <w:szCs w:val="22"/>
          <w:lang w:val="en-GB"/>
        </w:rPr>
      </w:pPr>
      <w:r w:rsidRPr="007C69E7">
        <w:rPr>
          <w:rFonts w:ascii="Verdana" w:hAnsi="Verdana"/>
          <w:i/>
          <w:iCs/>
          <w:sz w:val="22"/>
          <w:szCs w:val="22"/>
          <w:lang w:val="en-GB"/>
        </w:rPr>
        <w:t>“</w:t>
      </w:r>
      <w:r w:rsidR="002B4AC4" w:rsidRPr="007C69E7">
        <w:rPr>
          <w:rFonts w:ascii="Verdana" w:hAnsi="Verdana"/>
          <w:i/>
          <w:iCs/>
          <w:sz w:val="22"/>
          <w:szCs w:val="22"/>
          <w:lang w:val="en-GB"/>
        </w:rPr>
        <w:t xml:space="preserve">That a party </w:t>
      </w:r>
      <w:proofErr w:type="gramStart"/>
      <w:r w:rsidR="002B4AC4" w:rsidRPr="007C69E7">
        <w:rPr>
          <w:rFonts w:ascii="Verdana" w:hAnsi="Verdana"/>
          <w:i/>
          <w:iCs/>
          <w:sz w:val="22"/>
          <w:szCs w:val="22"/>
          <w:lang w:val="en-GB"/>
        </w:rPr>
        <w:t>has an understanding of</w:t>
      </w:r>
      <w:proofErr w:type="gramEnd"/>
      <w:r w:rsidR="002B4AC4" w:rsidRPr="007C69E7">
        <w:rPr>
          <w:rFonts w:ascii="Verdana" w:hAnsi="Verdana"/>
          <w:i/>
          <w:iCs/>
          <w:sz w:val="22"/>
          <w:szCs w:val="22"/>
          <w:lang w:val="en-GB"/>
        </w:rPr>
        <w:t xml:space="preserve"> its rights under a contract and then changes its stance may be cynical or it may be based on its better appreciation of the contract. This ultimately matters little because the weight of th</w:t>
      </w:r>
      <w:r w:rsidRPr="007C69E7">
        <w:rPr>
          <w:rFonts w:ascii="Verdana" w:hAnsi="Verdana"/>
          <w:i/>
          <w:iCs/>
          <w:sz w:val="22"/>
          <w:szCs w:val="22"/>
          <w:lang w:val="en-GB"/>
        </w:rPr>
        <w:t xml:space="preserve">e </w:t>
      </w:r>
      <w:r w:rsidR="002B4AC4" w:rsidRPr="007C69E7">
        <w:rPr>
          <w:rFonts w:ascii="Verdana" w:hAnsi="Verdana"/>
          <w:i/>
          <w:iCs/>
          <w:sz w:val="22"/>
          <w:szCs w:val="22"/>
          <w:lang w:val="en-GB"/>
        </w:rPr>
        <w:t>evidence of its understanding of clause 8.3 does not displace the outcome of the interpretative exercise, set out above, which shows that the meaning of clause 8.3 imports no requirement that Capitec Holdings' consent is necessary for Coral to conclude a demarcated sale.</w:t>
      </w:r>
      <w:r w:rsidR="00731A93" w:rsidRPr="007C69E7">
        <w:rPr>
          <w:rFonts w:ascii="Verdana" w:hAnsi="Verdana"/>
          <w:i/>
          <w:iCs/>
          <w:sz w:val="22"/>
          <w:szCs w:val="22"/>
          <w:lang w:val="en-GB"/>
        </w:rPr>
        <w:t>”</w:t>
      </w:r>
    </w:p>
    <w:p w14:paraId="51D8C729" w14:textId="7A26E2F7" w:rsidR="008649E5"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[46]</w:t>
      </w:r>
      <w:r w:rsidRPr="007722EF">
        <w:rPr>
          <w:rFonts w:ascii="Verdana" w:hAnsi="Verdana"/>
          <w:color w:val="000000" w:themeColor="text1"/>
          <w:sz w:val="22"/>
          <w:szCs w:val="22"/>
          <w:lang w:val="en-GB"/>
        </w:rPr>
        <w:tab/>
      </w:r>
      <w:r w:rsidR="00504E7F" w:rsidRPr="007722EF">
        <w:rPr>
          <w:rFonts w:ascii="Verdana" w:hAnsi="Verdana"/>
          <w:sz w:val="22"/>
          <w:szCs w:val="22"/>
          <w:shd w:val="clear" w:color="auto" w:fill="FFFFFF"/>
          <w:lang w:val="en-GB"/>
        </w:rPr>
        <w:t>I</w:t>
      </w:r>
      <w:r w:rsidR="0017007C" w:rsidRPr="007722EF">
        <w:rPr>
          <w:rFonts w:ascii="Verdana" w:hAnsi="Verdana"/>
          <w:sz w:val="22"/>
          <w:szCs w:val="22"/>
          <w:shd w:val="clear" w:color="auto" w:fill="FFFFFF"/>
          <w:lang w:val="en-GB"/>
        </w:rPr>
        <w:t xml:space="preserve">n my view, </w:t>
      </w:r>
      <w:r w:rsidR="00355FC6">
        <w:rPr>
          <w:rFonts w:ascii="Verdana" w:hAnsi="Verdana"/>
          <w:sz w:val="22"/>
          <w:szCs w:val="22"/>
          <w:shd w:val="clear" w:color="auto" w:fill="FFFFFF"/>
          <w:lang w:val="en-GB"/>
        </w:rPr>
        <w:t xml:space="preserve">the plaintiffs’ case as currently formulated in the particulars of claim </w:t>
      </w:r>
      <w:r w:rsidR="00504E7F" w:rsidRPr="007722EF">
        <w:rPr>
          <w:rFonts w:ascii="Verdana" w:hAnsi="Verdana"/>
          <w:sz w:val="22"/>
          <w:szCs w:val="22"/>
          <w:shd w:val="clear" w:color="auto" w:fill="FFFFFF"/>
          <w:lang w:val="en-GB"/>
        </w:rPr>
        <w:t xml:space="preserve">cannot </w:t>
      </w:r>
      <w:r w:rsidR="00533A6E">
        <w:rPr>
          <w:rFonts w:ascii="Verdana" w:hAnsi="Verdana"/>
          <w:sz w:val="22"/>
          <w:szCs w:val="22"/>
          <w:shd w:val="clear" w:color="auto" w:fill="FFFFFF"/>
          <w:lang w:val="en-GB"/>
        </w:rPr>
        <w:t xml:space="preserve">arise from </w:t>
      </w:r>
      <w:r w:rsidR="00504E7F" w:rsidRPr="007722EF">
        <w:rPr>
          <w:rFonts w:ascii="Verdana" w:hAnsi="Verdana"/>
          <w:sz w:val="22"/>
          <w:szCs w:val="22"/>
          <w:shd w:val="clear" w:color="auto" w:fill="FFFFFF"/>
          <w:lang w:val="en-GB"/>
        </w:rPr>
        <w:t xml:space="preserve">evidence of context or surrounding circumstances. It </w:t>
      </w:r>
      <w:r w:rsidR="000A07BC" w:rsidRPr="007722EF">
        <w:rPr>
          <w:rFonts w:ascii="Verdana" w:hAnsi="Verdana"/>
          <w:sz w:val="22"/>
          <w:szCs w:val="22"/>
          <w:shd w:val="clear" w:color="auto" w:fill="FFFFFF"/>
          <w:lang w:val="en-GB"/>
        </w:rPr>
        <w:t>would be</w:t>
      </w:r>
      <w:r w:rsidR="00504E7F" w:rsidRPr="007722EF">
        <w:rPr>
          <w:rFonts w:ascii="Verdana" w:hAnsi="Verdana"/>
          <w:sz w:val="22"/>
          <w:szCs w:val="22"/>
          <w:shd w:val="clear" w:color="auto" w:fill="FFFFFF"/>
          <w:lang w:val="en-GB"/>
        </w:rPr>
        <w:t xml:space="preserve"> evidence which </w:t>
      </w:r>
      <w:r w:rsidR="000A07BC" w:rsidRPr="007722EF">
        <w:rPr>
          <w:rFonts w:ascii="Verdana" w:hAnsi="Verdana"/>
          <w:sz w:val="22"/>
          <w:szCs w:val="22"/>
          <w:shd w:val="clear" w:color="auto" w:fill="FFFFFF"/>
          <w:lang w:val="en-GB"/>
        </w:rPr>
        <w:t>would be</w:t>
      </w:r>
      <w:r w:rsidR="00504E7F" w:rsidRPr="007722EF">
        <w:rPr>
          <w:rFonts w:ascii="Verdana" w:hAnsi="Verdana"/>
          <w:sz w:val="22"/>
          <w:szCs w:val="22"/>
          <w:shd w:val="clear" w:color="auto" w:fill="FFFFFF"/>
          <w:lang w:val="en-GB"/>
        </w:rPr>
        <w:t xml:space="preserve"> at odds with the written contract</w:t>
      </w:r>
      <w:r w:rsidR="002651E7" w:rsidRPr="007722EF">
        <w:rPr>
          <w:rFonts w:ascii="Verdana" w:hAnsi="Verdana"/>
          <w:sz w:val="22"/>
          <w:szCs w:val="22"/>
          <w:shd w:val="clear" w:color="auto" w:fill="FFFFFF"/>
          <w:lang w:val="en-GB"/>
        </w:rPr>
        <w:t>, with the clear intention of varying the agreement,</w:t>
      </w:r>
      <w:r w:rsidR="00260719" w:rsidRPr="007722EF">
        <w:rPr>
          <w:rFonts w:ascii="Verdana" w:hAnsi="Verdana"/>
          <w:sz w:val="22"/>
          <w:szCs w:val="22"/>
          <w:shd w:val="clear" w:color="auto" w:fill="FFFFFF"/>
          <w:lang w:val="en-GB"/>
        </w:rPr>
        <w:t xml:space="preserve"> and would be in a manner inconsistent with any possible meaning of the </w:t>
      </w:r>
      <w:r w:rsidR="008649E5" w:rsidRPr="007722EF">
        <w:rPr>
          <w:rFonts w:ascii="Verdana" w:hAnsi="Verdana"/>
          <w:sz w:val="22"/>
          <w:szCs w:val="22"/>
          <w:shd w:val="clear" w:color="auto" w:fill="FFFFFF"/>
          <w:lang w:val="en-GB"/>
        </w:rPr>
        <w:t xml:space="preserve">plain and unambiguous </w:t>
      </w:r>
      <w:r w:rsidR="00260719" w:rsidRPr="007722EF">
        <w:rPr>
          <w:rFonts w:ascii="Verdana" w:hAnsi="Verdana"/>
          <w:sz w:val="22"/>
          <w:szCs w:val="22"/>
          <w:shd w:val="clear" w:color="auto" w:fill="FFFFFF"/>
          <w:lang w:val="en-GB"/>
        </w:rPr>
        <w:t>language used</w:t>
      </w:r>
      <w:r w:rsidR="008649E5" w:rsidRPr="007722EF">
        <w:rPr>
          <w:rFonts w:ascii="Verdana" w:hAnsi="Verdana"/>
          <w:sz w:val="22"/>
          <w:szCs w:val="22"/>
          <w:shd w:val="clear" w:color="auto" w:fill="FFFFFF"/>
          <w:lang w:val="en-GB"/>
        </w:rPr>
        <w:t>, which is that:</w:t>
      </w:r>
      <w:r w:rsidR="007C69E7">
        <w:rPr>
          <w:rFonts w:ascii="Verdana" w:hAnsi="Verdana"/>
          <w:sz w:val="22"/>
          <w:szCs w:val="22"/>
          <w:shd w:val="clear" w:color="auto" w:fill="FFFFFF"/>
          <w:lang w:val="en-GB"/>
        </w:rPr>
        <w:t> -</w:t>
      </w:r>
    </w:p>
    <w:p w14:paraId="5AF3BB41" w14:textId="68EC44C9" w:rsidR="000C5D01" w:rsidRPr="007722EF" w:rsidRDefault="007C69E7" w:rsidP="00822B8D">
      <w:pPr>
        <w:pStyle w:val="Indent"/>
        <w:widowControl w:val="0"/>
        <w:numPr>
          <w:ilvl w:val="0"/>
          <w:numId w:val="0"/>
        </w:numPr>
        <w:shd w:val="clear" w:color="auto" w:fill="FFFFFF" w:themeFill="background1"/>
        <w:spacing w:after="360" w:line="480" w:lineRule="auto"/>
        <w:ind w:left="1440" w:hanging="731"/>
        <w:jc w:val="both"/>
        <w:rPr>
          <w:rFonts w:ascii="Verdana" w:hAnsi="Verdana"/>
          <w:sz w:val="22"/>
          <w:szCs w:val="22"/>
          <w:shd w:val="clear" w:color="auto" w:fill="FFFFFF"/>
          <w:lang w:val="en-GB"/>
        </w:rPr>
      </w:pPr>
      <w:r>
        <w:rPr>
          <w:rFonts w:ascii="Verdana" w:hAnsi="Verdana"/>
          <w:sz w:val="22"/>
          <w:szCs w:val="22"/>
          <w:shd w:val="clear" w:color="auto" w:fill="FFFFFF"/>
          <w:lang w:val="en-GB"/>
        </w:rPr>
        <w:t>45</w:t>
      </w:r>
      <w:r w:rsidR="00711263" w:rsidRPr="007722EF">
        <w:rPr>
          <w:rFonts w:ascii="Verdana" w:hAnsi="Verdana"/>
          <w:sz w:val="22"/>
          <w:szCs w:val="22"/>
          <w:shd w:val="clear" w:color="auto" w:fill="FFFFFF"/>
          <w:lang w:val="en-GB"/>
        </w:rPr>
        <w:t>.1</w:t>
      </w:r>
      <w:r w:rsidR="00711263" w:rsidRPr="007722EF">
        <w:rPr>
          <w:rFonts w:ascii="Verdana" w:hAnsi="Verdana"/>
          <w:sz w:val="22"/>
          <w:szCs w:val="22"/>
          <w:shd w:val="clear" w:color="auto" w:fill="FFFFFF"/>
          <w:lang w:val="en-GB"/>
        </w:rPr>
        <w:tab/>
      </w:r>
      <w:r>
        <w:rPr>
          <w:rFonts w:ascii="Verdana" w:hAnsi="Verdana"/>
          <w:sz w:val="22"/>
          <w:szCs w:val="22"/>
          <w:shd w:val="clear" w:color="auto" w:fill="FFFFFF"/>
          <w:lang w:val="en-GB"/>
        </w:rPr>
        <w:t>T</w:t>
      </w:r>
      <w:r w:rsidR="00711263" w:rsidRPr="007722EF">
        <w:rPr>
          <w:rFonts w:ascii="Verdana" w:hAnsi="Verdana"/>
          <w:sz w:val="22"/>
          <w:szCs w:val="22"/>
          <w:shd w:val="clear" w:color="auto" w:fill="FFFFFF"/>
          <w:lang w:val="en-GB"/>
        </w:rPr>
        <w:t>he parties had already</w:t>
      </w:r>
      <w:r w:rsidR="00822B8D" w:rsidRPr="007722EF">
        <w:rPr>
          <w:rFonts w:ascii="Verdana" w:hAnsi="Verdana"/>
          <w:sz w:val="22"/>
          <w:szCs w:val="22"/>
          <w:shd w:val="clear" w:color="auto" w:fill="FFFFFF"/>
          <w:lang w:val="en-GB"/>
        </w:rPr>
        <w:t xml:space="preserve"> provided for an interim period in writing</w:t>
      </w:r>
      <w:r w:rsidR="005A1A09" w:rsidRPr="007722EF">
        <w:rPr>
          <w:rFonts w:ascii="Verdana" w:hAnsi="Verdana"/>
          <w:sz w:val="22"/>
          <w:szCs w:val="22"/>
          <w:shd w:val="clear" w:color="auto" w:fill="FFFFFF"/>
          <w:lang w:val="en-GB"/>
        </w:rPr>
        <w:t>.</w:t>
      </w:r>
    </w:p>
    <w:p w14:paraId="3DE9C379" w14:textId="66D0B6C6" w:rsidR="005A1A09" w:rsidRPr="007722EF" w:rsidRDefault="005A1A09" w:rsidP="00822B8D">
      <w:pPr>
        <w:pStyle w:val="Indent"/>
        <w:widowControl w:val="0"/>
        <w:numPr>
          <w:ilvl w:val="0"/>
          <w:numId w:val="0"/>
        </w:numPr>
        <w:shd w:val="clear" w:color="auto" w:fill="FFFFFF" w:themeFill="background1"/>
        <w:spacing w:after="360" w:line="480" w:lineRule="auto"/>
        <w:ind w:left="1440" w:hanging="731"/>
        <w:jc w:val="both"/>
        <w:rPr>
          <w:rFonts w:ascii="Verdana" w:hAnsi="Verdana" w:cs="Arial"/>
          <w:sz w:val="22"/>
          <w:szCs w:val="22"/>
          <w:lang w:val="en-GB"/>
        </w:rPr>
      </w:pPr>
      <w:r w:rsidRPr="007722EF">
        <w:rPr>
          <w:rFonts w:ascii="Verdana" w:hAnsi="Verdana"/>
          <w:sz w:val="22"/>
          <w:szCs w:val="22"/>
          <w:shd w:val="clear" w:color="auto" w:fill="FFFFFF"/>
          <w:lang w:val="en-GB"/>
        </w:rPr>
        <w:t>4</w:t>
      </w:r>
      <w:r w:rsidR="007C69E7">
        <w:rPr>
          <w:rFonts w:ascii="Verdana" w:hAnsi="Verdana"/>
          <w:sz w:val="22"/>
          <w:szCs w:val="22"/>
          <w:shd w:val="clear" w:color="auto" w:fill="FFFFFF"/>
          <w:lang w:val="en-GB"/>
        </w:rPr>
        <w:t>5</w:t>
      </w:r>
      <w:r w:rsidRPr="007722EF">
        <w:rPr>
          <w:rFonts w:ascii="Verdana" w:hAnsi="Verdana"/>
          <w:sz w:val="22"/>
          <w:szCs w:val="22"/>
          <w:shd w:val="clear" w:color="auto" w:fill="FFFFFF"/>
          <w:lang w:val="en-GB"/>
        </w:rPr>
        <w:t>.2</w:t>
      </w:r>
      <w:r w:rsidRPr="007722EF">
        <w:rPr>
          <w:rFonts w:ascii="Verdana" w:hAnsi="Verdana"/>
          <w:sz w:val="22"/>
          <w:szCs w:val="22"/>
          <w:shd w:val="clear" w:color="auto" w:fill="FFFFFF"/>
          <w:lang w:val="en-GB"/>
        </w:rPr>
        <w:tab/>
      </w:r>
      <w:r w:rsidR="007C69E7">
        <w:rPr>
          <w:rFonts w:ascii="Verdana" w:hAnsi="Verdana"/>
          <w:sz w:val="22"/>
          <w:szCs w:val="22"/>
          <w:shd w:val="clear" w:color="auto" w:fill="FFFFFF"/>
          <w:lang w:val="en-GB"/>
        </w:rPr>
        <w:t>I</w:t>
      </w:r>
      <w:r w:rsidRPr="007722EF">
        <w:rPr>
          <w:rFonts w:ascii="Verdana" w:hAnsi="Verdana" w:cs="Arial"/>
          <w:sz w:val="22"/>
          <w:szCs w:val="22"/>
          <w:lang w:val="en-GB"/>
        </w:rPr>
        <w:t>f no item of cost was specified on annexure “W”, then no amount would be payable by the defendant in respect thereof</w:t>
      </w:r>
      <w:r w:rsidR="009D1B9C" w:rsidRPr="007722EF">
        <w:rPr>
          <w:rFonts w:ascii="Verdana" w:hAnsi="Verdana" w:cs="Arial"/>
          <w:sz w:val="22"/>
          <w:szCs w:val="22"/>
          <w:lang w:val="en-GB"/>
        </w:rPr>
        <w:t>.</w:t>
      </w:r>
    </w:p>
    <w:p w14:paraId="4BB849F1" w14:textId="68DE9174" w:rsidR="00A55FFE" w:rsidRPr="007722EF" w:rsidRDefault="00A55FFE" w:rsidP="00822B8D">
      <w:pPr>
        <w:pStyle w:val="Indent"/>
        <w:widowControl w:val="0"/>
        <w:numPr>
          <w:ilvl w:val="0"/>
          <w:numId w:val="0"/>
        </w:numPr>
        <w:shd w:val="clear" w:color="auto" w:fill="FFFFFF" w:themeFill="background1"/>
        <w:spacing w:after="360" w:line="480" w:lineRule="auto"/>
        <w:ind w:left="1440" w:hanging="731"/>
        <w:jc w:val="both"/>
        <w:rPr>
          <w:rFonts w:ascii="Verdana" w:hAnsi="Verdana"/>
          <w:sz w:val="22"/>
          <w:szCs w:val="22"/>
          <w:lang w:val="en-GB"/>
        </w:rPr>
      </w:pPr>
      <w:r w:rsidRPr="007722EF">
        <w:rPr>
          <w:rFonts w:ascii="Verdana" w:hAnsi="Verdana"/>
          <w:sz w:val="22"/>
          <w:szCs w:val="22"/>
          <w:shd w:val="clear" w:color="auto" w:fill="FFFFFF"/>
          <w:lang w:val="en-GB"/>
        </w:rPr>
        <w:t>4</w:t>
      </w:r>
      <w:r w:rsidR="007C69E7">
        <w:rPr>
          <w:rFonts w:ascii="Verdana" w:hAnsi="Verdana"/>
          <w:sz w:val="22"/>
          <w:szCs w:val="22"/>
          <w:shd w:val="clear" w:color="auto" w:fill="FFFFFF"/>
          <w:lang w:val="en-GB"/>
        </w:rPr>
        <w:t>5</w:t>
      </w:r>
      <w:r w:rsidRPr="007722EF">
        <w:rPr>
          <w:rFonts w:ascii="Verdana" w:hAnsi="Verdana"/>
          <w:sz w:val="22"/>
          <w:szCs w:val="22"/>
          <w:shd w:val="clear" w:color="auto" w:fill="FFFFFF"/>
          <w:lang w:val="en-GB"/>
        </w:rPr>
        <w:t>.3</w:t>
      </w:r>
      <w:r w:rsidRPr="007722EF">
        <w:rPr>
          <w:rFonts w:ascii="Verdana" w:hAnsi="Verdana"/>
          <w:sz w:val="22"/>
          <w:szCs w:val="22"/>
          <w:shd w:val="clear" w:color="auto" w:fill="FFFFFF"/>
          <w:lang w:val="en-GB"/>
        </w:rPr>
        <w:tab/>
      </w:r>
      <w:r w:rsidR="007C69E7">
        <w:rPr>
          <w:rFonts w:ascii="Verdana" w:hAnsi="Verdana"/>
          <w:sz w:val="22"/>
          <w:szCs w:val="22"/>
          <w:shd w:val="clear" w:color="auto" w:fill="FFFFFF"/>
          <w:lang w:val="en-GB"/>
        </w:rPr>
        <w:t>A</w:t>
      </w:r>
      <w:r w:rsidRPr="007722EF">
        <w:rPr>
          <w:rFonts w:ascii="Verdana" w:hAnsi="Verdana"/>
          <w:sz w:val="22"/>
          <w:szCs w:val="22"/>
          <w:shd w:val="clear" w:color="auto" w:fill="FFFFFF"/>
          <w:lang w:val="en-GB"/>
        </w:rPr>
        <w:t>ny variation is to be reduced to writing and signed by both parties.</w:t>
      </w:r>
    </w:p>
    <w:p w14:paraId="765D4ADF" w14:textId="1811B3AE" w:rsidR="00257041" w:rsidRPr="00257041"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257041">
        <w:rPr>
          <w:rFonts w:ascii="Verdana" w:hAnsi="Verdana"/>
          <w:color w:val="000000" w:themeColor="text1"/>
          <w:sz w:val="22"/>
          <w:szCs w:val="22"/>
          <w:lang w:val="en-GB"/>
        </w:rPr>
        <w:t>[47]</w:t>
      </w:r>
      <w:r w:rsidRPr="00257041">
        <w:rPr>
          <w:rFonts w:ascii="Verdana" w:hAnsi="Verdana"/>
          <w:color w:val="000000" w:themeColor="text1"/>
          <w:sz w:val="22"/>
          <w:szCs w:val="22"/>
          <w:lang w:val="en-GB"/>
        </w:rPr>
        <w:tab/>
      </w:r>
      <w:r w:rsidR="00DF7573">
        <w:rPr>
          <w:rFonts w:ascii="Verdana" w:hAnsi="Verdana"/>
          <w:sz w:val="22"/>
          <w:szCs w:val="22"/>
          <w:shd w:val="clear" w:color="auto" w:fill="FFFFFF"/>
          <w:lang w:val="en-GB"/>
        </w:rPr>
        <w:t xml:space="preserve">To me it is of no moment that the defendant took control of the businesses earlier than </w:t>
      </w:r>
      <w:r w:rsidR="000D5FD7">
        <w:rPr>
          <w:rFonts w:ascii="Verdana" w:hAnsi="Verdana"/>
          <w:sz w:val="22"/>
          <w:szCs w:val="22"/>
          <w:shd w:val="clear" w:color="auto" w:fill="FFFFFF"/>
          <w:lang w:val="en-GB"/>
        </w:rPr>
        <w:t>agreed to in writing. It does not detract from the fa</w:t>
      </w:r>
      <w:r w:rsidR="00A07498">
        <w:rPr>
          <w:rFonts w:ascii="Verdana" w:hAnsi="Verdana"/>
          <w:sz w:val="22"/>
          <w:szCs w:val="22"/>
          <w:shd w:val="clear" w:color="auto" w:fill="FFFFFF"/>
          <w:lang w:val="en-GB"/>
        </w:rPr>
        <w:t>c</w:t>
      </w:r>
      <w:r w:rsidR="000D5FD7">
        <w:rPr>
          <w:rFonts w:ascii="Verdana" w:hAnsi="Verdana"/>
          <w:sz w:val="22"/>
          <w:szCs w:val="22"/>
          <w:shd w:val="clear" w:color="auto" w:fill="FFFFFF"/>
          <w:lang w:val="en-GB"/>
        </w:rPr>
        <w:t>t that</w:t>
      </w:r>
      <w:r w:rsidR="00F74733">
        <w:rPr>
          <w:rFonts w:ascii="Verdana" w:hAnsi="Verdana"/>
          <w:sz w:val="22"/>
          <w:szCs w:val="22"/>
          <w:shd w:val="clear" w:color="auto" w:fill="FFFFFF"/>
          <w:lang w:val="en-GB"/>
        </w:rPr>
        <w:t xml:space="preserve"> the </w:t>
      </w:r>
      <w:r w:rsidR="00F74733">
        <w:rPr>
          <w:rFonts w:ascii="Verdana" w:hAnsi="Verdana"/>
          <w:sz w:val="22"/>
          <w:szCs w:val="22"/>
          <w:shd w:val="clear" w:color="auto" w:fill="FFFFFF"/>
          <w:lang w:val="en-GB"/>
        </w:rPr>
        <w:lastRenderedPageBreak/>
        <w:t xml:space="preserve">plaintiffs on their own </w:t>
      </w:r>
      <w:r w:rsidR="00447980">
        <w:rPr>
          <w:rFonts w:ascii="Verdana" w:hAnsi="Verdana"/>
          <w:sz w:val="22"/>
          <w:szCs w:val="22"/>
          <w:shd w:val="clear" w:color="auto" w:fill="FFFFFF"/>
          <w:lang w:val="en-GB"/>
        </w:rPr>
        <w:t>version as pleaded</w:t>
      </w:r>
      <w:r w:rsidR="00F74733">
        <w:rPr>
          <w:rFonts w:ascii="Verdana" w:hAnsi="Verdana"/>
          <w:sz w:val="22"/>
          <w:szCs w:val="22"/>
          <w:shd w:val="clear" w:color="auto" w:fill="FFFFFF"/>
          <w:lang w:val="en-GB"/>
        </w:rPr>
        <w:t xml:space="preserve"> in the particulars of claim </w:t>
      </w:r>
      <w:r w:rsidR="00447980">
        <w:rPr>
          <w:rFonts w:ascii="Verdana" w:hAnsi="Verdana"/>
          <w:sz w:val="22"/>
          <w:szCs w:val="22"/>
          <w:shd w:val="clear" w:color="auto" w:fill="FFFFFF"/>
          <w:lang w:val="en-GB"/>
        </w:rPr>
        <w:t xml:space="preserve">at paragraph </w:t>
      </w:r>
      <w:r w:rsidR="00C57C5C">
        <w:rPr>
          <w:rFonts w:ascii="Verdana" w:hAnsi="Verdana"/>
          <w:sz w:val="22"/>
          <w:szCs w:val="22"/>
          <w:shd w:val="clear" w:color="auto" w:fill="FFFFFF"/>
          <w:lang w:val="en-GB"/>
        </w:rPr>
        <w:t xml:space="preserve">6.2, </w:t>
      </w:r>
      <w:r w:rsidR="00F74733">
        <w:rPr>
          <w:rFonts w:ascii="Verdana" w:hAnsi="Verdana"/>
          <w:sz w:val="22"/>
          <w:szCs w:val="22"/>
          <w:shd w:val="clear" w:color="auto" w:fill="FFFFFF"/>
          <w:lang w:val="en-GB"/>
        </w:rPr>
        <w:t>c</w:t>
      </w:r>
      <w:r w:rsidR="003A382C">
        <w:rPr>
          <w:rFonts w:ascii="Verdana" w:hAnsi="Verdana"/>
          <w:sz w:val="22"/>
          <w:szCs w:val="22"/>
          <w:shd w:val="clear" w:color="auto" w:fill="FFFFFF"/>
          <w:lang w:val="en-GB"/>
        </w:rPr>
        <w:t>arried on and conducted the business</w:t>
      </w:r>
      <w:r w:rsidR="00C57C5C">
        <w:rPr>
          <w:rFonts w:ascii="Verdana" w:hAnsi="Verdana"/>
          <w:sz w:val="22"/>
          <w:szCs w:val="22"/>
          <w:shd w:val="clear" w:color="auto" w:fill="FFFFFF"/>
          <w:lang w:val="en-GB"/>
        </w:rPr>
        <w:t>es</w:t>
      </w:r>
      <w:r w:rsidR="003A382C">
        <w:rPr>
          <w:rFonts w:ascii="Verdana" w:hAnsi="Verdana"/>
          <w:sz w:val="22"/>
          <w:szCs w:val="22"/>
          <w:shd w:val="clear" w:color="auto" w:fill="FFFFFF"/>
          <w:lang w:val="en-GB"/>
        </w:rPr>
        <w:t xml:space="preserve"> </w:t>
      </w:r>
      <w:r w:rsidR="00AB5364">
        <w:rPr>
          <w:rFonts w:ascii="Verdana" w:hAnsi="Verdana"/>
          <w:sz w:val="22"/>
          <w:szCs w:val="22"/>
          <w:shd w:val="clear" w:color="auto" w:fill="FFFFFF"/>
          <w:lang w:val="en-GB"/>
        </w:rPr>
        <w:t>and farming enterprises in the ordinary course</w:t>
      </w:r>
      <w:r w:rsidR="00257041">
        <w:rPr>
          <w:rFonts w:ascii="Verdana" w:hAnsi="Verdana"/>
          <w:sz w:val="22"/>
          <w:szCs w:val="22"/>
          <w:shd w:val="clear" w:color="auto" w:fill="FFFFFF"/>
          <w:lang w:val="en-GB"/>
        </w:rPr>
        <w:t xml:space="preserve">, which </w:t>
      </w:r>
      <w:r w:rsidR="00C57C5C">
        <w:rPr>
          <w:rFonts w:ascii="Verdana" w:hAnsi="Verdana"/>
          <w:sz w:val="22"/>
          <w:szCs w:val="22"/>
          <w:shd w:val="clear" w:color="auto" w:fill="FFFFFF"/>
          <w:lang w:val="en-GB"/>
        </w:rPr>
        <w:t xml:space="preserve">is what </w:t>
      </w:r>
      <w:r w:rsidR="00257041">
        <w:rPr>
          <w:rFonts w:ascii="Verdana" w:hAnsi="Verdana"/>
          <w:sz w:val="22"/>
          <w:szCs w:val="22"/>
          <w:shd w:val="clear" w:color="auto" w:fill="FFFFFF"/>
          <w:lang w:val="en-GB"/>
        </w:rPr>
        <w:t>was specifically provided for in the agreement.</w:t>
      </w:r>
      <w:r w:rsidR="00AB5364">
        <w:rPr>
          <w:rFonts w:ascii="Verdana" w:hAnsi="Verdana"/>
          <w:sz w:val="22"/>
          <w:szCs w:val="22"/>
          <w:shd w:val="clear" w:color="auto" w:fill="FFFFFF"/>
          <w:lang w:val="en-GB"/>
        </w:rPr>
        <w:t xml:space="preserve"> </w:t>
      </w:r>
      <w:r w:rsidR="000D5FD7">
        <w:rPr>
          <w:rFonts w:ascii="Verdana" w:hAnsi="Verdana"/>
          <w:sz w:val="22"/>
          <w:szCs w:val="22"/>
          <w:shd w:val="clear" w:color="auto" w:fill="FFFFFF"/>
          <w:lang w:val="en-GB"/>
        </w:rPr>
        <w:t xml:space="preserve"> </w:t>
      </w:r>
    </w:p>
    <w:p w14:paraId="0364E0B2" w14:textId="282B16AD" w:rsidR="009E2FAD"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[48]</w:t>
      </w:r>
      <w:r w:rsidRPr="007722EF">
        <w:rPr>
          <w:rFonts w:ascii="Verdana" w:hAnsi="Verdana"/>
          <w:color w:val="000000" w:themeColor="text1"/>
          <w:sz w:val="22"/>
          <w:szCs w:val="22"/>
          <w:lang w:val="en-GB"/>
        </w:rPr>
        <w:tab/>
      </w:r>
      <w:r w:rsidR="00260719" w:rsidRPr="007722EF">
        <w:rPr>
          <w:rFonts w:ascii="Verdana" w:hAnsi="Verdana"/>
          <w:sz w:val="22"/>
          <w:szCs w:val="22"/>
          <w:shd w:val="clear" w:color="auto" w:fill="FFFFFF"/>
          <w:lang w:val="en-GB"/>
        </w:rPr>
        <w:t>Consequently, the</w:t>
      </w:r>
      <w:r w:rsidR="009D1E54" w:rsidRPr="007722EF">
        <w:rPr>
          <w:rFonts w:ascii="Verdana" w:hAnsi="Verdana"/>
          <w:sz w:val="22"/>
          <w:szCs w:val="22"/>
          <w:shd w:val="clear" w:color="auto" w:fill="FFFFFF"/>
          <w:lang w:val="en-GB"/>
        </w:rPr>
        <w:t xml:space="preserve"> only way in which evidence contrary to the terms of the </w:t>
      </w:r>
      <w:r w:rsidR="0038274A">
        <w:rPr>
          <w:rFonts w:ascii="Verdana" w:hAnsi="Verdana"/>
          <w:sz w:val="22"/>
          <w:szCs w:val="22"/>
          <w:shd w:val="clear" w:color="auto" w:fill="FFFFFF"/>
          <w:lang w:val="en-GB"/>
        </w:rPr>
        <w:t>agreement</w:t>
      </w:r>
      <w:r w:rsidR="009D1E54" w:rsidRPr="007722EF">
        <w:rPr>
          <w:rFonts w:ascii="Verdana" w:hAnsi="Verdana"/>
          <w:sz w:val="22"/>
          <w:szCs w:val="22"/>
          <w:shd w:val="clear" w:color="auto" w:fill="FFFFFF"/>
          <w:lang w:val="en-GB"/>
        </w:rPr>
        <w:t xml:space="preserve"> could</w:t>
      </w:r>
      <w:r w:rsidR="00260719" w:rsidRPr="007722EF">
        <w:rPr>
          <w:rFonts w:ascii="Verdana" w:hAnsi="Verdana"/>
          <w:sz w:val="22"/>
          <w:szCs w:val="22"/>
          <w:shd w:val="clear" w:color="auto" w:fill="FFFFFF"/>
          <w:lang w:val="en-GB"/>
        </w:rPr>
        <w:t xml:space="preserve"> be </w:t>
      </w:r>
      <w:r w:rsidR="009D1E54" w:rsidRPr="007722EF">
        <w:rPr>
          <w:rFonts w:ascii="Verdana" w:hAnsi="Verdana"/>
          <w:sz w:val="22"/>
          <w:szCs w:val="22"/>
          <w:shd w:val="clear" w:color="auto" w:fill="FFFFFF"/>
          <w:lang w:val="en-GB"/>
        </w:rPr>
        <w:t>led</w:t>
      </w:r>
      <w:r w:rsidR="00260719" w:rsidRPr="007722EF">
        <w:rPr>
          <w:rFonts w:ascii="Verdana" w:hAnsi="Verdana"/>
          <w:sz w:val="22"/>
          <w:szCs w:val="22"/>
          <w:shd w:val="clear" w:color="auto" w:fill="FFFFFF"/>
          <w:lang w:val="en-GB"/>
        </w:rPr>
        <w:t>, is</w:t>
      </w:r>
      <w:r w:rsidR="009D1E54" w:rsidRPr="007722EF">
        <w:rPr>
          <w:rFonts w:ascii="Verdana" w:hAnsi="Verdana"/>
          <w:sz w:val="22"/>
          <w:szCs w:val="22"/>
          <w:shd w:val="clear" w:color="auto" w:fill="FFFFFF"/>
          <w:lang w:val="en-GB"/>
        </w:rPr>
        <w:t xml:space="preserve"> in support of a claim for rectification of the written contract.</w:t>
      </w:r>
      <w:r w:rsidR="002C4939" w:rsidRPr="007722EF">
        <w:rPr>
          <w:rStyle w:val="FootnoteReference"/>
          <w:rFonts w:ascii="Verdana" w:hAnsi="Verdana"/>
          <w:sz w:val="22"/>
          <w:szCs w:val="22"/>
          <w:shd w:val="clear" w:color="auto" w:fill="FFFFFF"/>
          <w:lang w:val="en-GB"/>
        </w:rPr>
        <w:footnoteReference w:id="38"/>
      </w:r>
      <w:r w:rsidR="009D1E54" w:rsidRPr="007722EF">
        <w:rPr>
          <w:rFonts w:ascii="Verdana" w:hAnsi="Verdana"/>
          <w:sz w:val="22"/>
          <w:szCs w:val="22"/>
          <w:shd w:val="clear" w:color="auto" w:fill="FFFFFF"/>
          <w:lang w:val="en-GB"/>
        </w:rPr>
        <w:t xml:space="preserve"> Rectification is a well-established common-law right that provides an equitable remedy designed to correct the failure of a written contract to reflect the true agreement between the parties to the contract. It thereby enables effect to be given to the parties' actual agreement</w:t>
      </w:r>
      <w:r w:rsidR="0011675D" w:rsidRPr="007722EF">
        <w:rPr>
          <w:rFonts w:ascii="Verdana" w:hAnsi="Verdana"/>
          <w:sz w:val="22"/>
          <w:szCs w:val="22"/>
          <w:shd w:val="clear" w:color="auto" w:fill="FFFFFF"/>
          <w:lang w:val="en-GB"/>
        </w:rPr>
        <w:t>.</w:t>
      </w:r>
      <w:r w:rsidR="0011675D" w:rsidRPr="007722EF">
        <w:rPr>
          <w:rStyle w:val="FootnoteReference"/>
          <w:rFonts w:ascii="Verdana" w:hAnsi="Verdana"/>
          <w:sz w:val="22"/>
          <w:szCs w:val="22"/>
          <w:shd w:val="clear" w:color="auto" w:fill="FFFFFF"/>
          <w:lang w:val="en-GB"/>
        </w:rPr>
        <w:footnoteReference w:id="39"/>
      </w:r>
      <w:r w:rsidR="00AD7E13" w:rsidRPr="007722EF">
        <w:rPr>
          <w:rFonts w:ascii="Verdana" w:hAnsi="Verdana"/>
          <w:sz w:val="22"/>
          <w:szCs w:val="22"/>
          <w:shd w:val="clear" w:color="auto" w:fill="FFFFFF"/>
          <w:lang w:val="en-GB"/>
        </w:rPr>
        <w:t xml:space="preserve"> </w:t>
      </w:r>
      <w:r w:rsidR="009D1E54" w:rsidRPr="007722EF">
        <w:rPr>
          <w:rFonts w:ascii="Verdana" w:hAnsi="Verdana"/>
          <w:sz w:val="22"/>
          <w:szCs w:val="22"/>
          <w:shd w:val="clear" w:color="auto" w:fill="FFFFFF"/>
          <w:lang w:val="en-GB"/>
        </w:rPr>
        <w:t xml:space="preserve">However, the </w:t>
      </w:r>
      <w:r w:rsidR="00BE5603" w:rsidRPr="007722EF">
        <w:rPr>
          <w:rFonts w:ascii="Verdana" w:hAnsi="Verdana"/>
          <w:sz w:val="22"/>
          <w:szCs w:val="22"/>
          <w:shd w:val="clear" w:color="auto" w:fill="FFFFFF"/>
          <w:lang w:val="en-GB"/>
        </w:rPr>
        <w:t>plaintiffs</w:t>
      </w:r>
      <w:r w:rsidR="009D1E54" w:rsidRPr="007722EF">
        <w:rPr>
          <w:rFonts w:ascii="Verdana" w:hAnsi="Verdana"/>
          <w:sz w:val="22"/>
          <w:szCs w:val="22"/>
          <w:shd w:val="clear" w:color="auto" w:fill="FFFFFF"/>
          <w:lang w:val="en-GB"/>
        </w:rPr>
        <w:t xml:space="preserve"> did not invoke rectification.</w:t>
      </w:r>
      <w:r w:rsidR="009D1E54" w:rsidRPr="007722EF">
        <w:rPr>
          <w:sz w:val="22"/>
          <w:szCs w:val="22"/>
          <w:lang w:val="en-GB"/>
        </w:rPr>
        <w:t xml:space="preserve"> </w:t>
      </w:r>
    </w:p>
    <w:p w14:paraId="7B06E8B9" w14:textId="50107760" w:rsidR="00DD4068"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[49]</w:t>
      </w:r>
      <w:r w:rsidRPr="007722EF">
        <w:rPr>
          <w:rFonts w:ascii="Verdana" w:hAnsi="Verdana"/>
          <w:color w:val="000000" w:themeColor="text1"/>
          <w:sz w:val="22"/>
          <w:szCs w:val="22"/>
          <w:lang w:val="en-GB"/>
        </w:rPr>
        <w:tab/>
      </w:r>
      <w:r w:rsidR="00DD4068" w:rsidRPr="007722EF">
        <w:rPr>
          <w:rFonts w:ascii="Verdana" w:hAnsi="Verdana"/>
          <w:sz w:val="22"/>
          <w:szCs w:val="22"/>
          <w:lang w:val="en-GB"/>
        </w:rPr>
        <w:t xml:space="preserve">In the premises, I </w:t>
      </w:r>
      <w:r w:rsidR="0038274A">
        <w:rPr>
          <w:rFonts w:ascii="Verdana" w:hAnsi="Verdana"/>
          <w:sz w:val="22"/>
          <w:szCs w:val="22"/>
          <w:lang w:val="en-GB"/>
        </w:rPr>
        <w:t xml:space="preserve">do </w:t>
      </w:r>
      <w:r w:rsidR="00DD4068" w:rsidRPr="007722EF">
        <w:rPr>
          <w:rFonts w:ascii="Verdana" w:hAnsi="Verdana"/>
          <w:sz w:val="22"/>
          <w:szCs w:val="22"/>
          <w:lang w:val="en-GB"/>
        </w:rPr>
        <w:t xml:space="preserve">find that the </w:t>
      </w:r>
      <w:proofErr w:type="gramStart"/>
      <w:r w:rsidR="00DD4068" w:rsidRPr="007722EF">
        <w:rPr>
          <w:rFonts w:ascii="Verdana" w:hAnsi="Verdana"/>
          <w:sz w:val="22"/>
          <w:szCs w:val="22"/>
          <w:lang w:val="en-GB"/>
        </w:rPr>
        <w:t>particulars</w:t>
      </w:r>
      <w:proofErr w:type="gramEnd"/>
      <w:r w:rsidR="00DD4068" w:rsidRPr="007722EF">
        <w:rPr>
          <w:rFonts w:ascii="Verdana" w:hAnsi="Verdana"/>
          <w:sz w:val="22"/>
          <w:szCs w:val="22"/>
          <w:lang w:val="en-GB"/>
        </w:rPr>
        <w:t xml:space="preserve"> of claim lacks the necessary averments to sustain </w:t>
      </w:r>
      <w:r w:rsidR="00DB1440" w:rsidRPr="007722EF">
        <w:rPr>
          <w:rFonts w:ascii="Verdana" w:hAnsi="Verdana"/>
          <w:sz w:val="22"/>
          <w:szCs w:val="22"/>
          <w:lang w:val="en-GB"/>
        </w:rPr>
        <w:t>a cause of action.</w:t>
      </w:r>
    </w:p>
    <w:p w14:paraId="3B89C1F5" w14:textId="742F27A2" w:rsidR="00D53237"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[50]</w:t>
      </w:r>
      <w:r w:rsidRPr="007722EF">
        <w:rPr>
          <w:rFonts w:ascii="Verdana" w:hAnsi="Verdana"/>
          <w:color w:val="000000" w:themeColor="text1"/>
          <w:sz w:val="22"/>
          <w:szCs w:val="22"/>
          <w:lang w:val="en-GB"/>
        </w:rPr>
        <w:tab/>
      </w:r>
      <w:r w:rsidR="0075274E" w:rsidRPr="007722EF">
        <w:rPr>
          <w:rFonts w:ascii="Verdana" w:hAnsi="Verdana"/>
          <w:sz w:val="22"/>
          <w:szCs w:val="22"/>
          <w:lang w:val="en-GB"/>
        </w:rPr>
        <w:t xml:space="preserve">I now turn to deal with the issue </w:t>
      </w:r>
      <w:r w:rsidR="00721741" w:rsidRPr="007722EF">
        <w:rPr>
          <w:rFonts w:ascii="Verdana" w:hAnsi="Verdana"/>
          <w:sz w:val="22"/>
          <w:szCs w:val="22"/>
          <w:lang w:val="en-GB"/>
        </w:rPr>
        <w:t xml:space="preserve">of </w:t>
      </w:r>
      <w:r w:rsidR="0075274E" w:rsidRPr="007722EF">
        <w:rPr>
          <w:rFonts w:ascii="Verdana" w:hAnsi="Verdana"/>
          <w:sz w:val="22"/>
          <w:szCs w:val="22"/>
          <w:lang w:val="en-GB"/>
        </w:rPr>
        <w:t xml:space="preserve">the non-variation clause. </w:t>
      </w:r>
      <w:proofErr w:type="gramStart"/>
      <w:r w:rsidR="0052498C" w:rsidRPr="007722EF">
        <w:rPr>
          <w:rFonts w:ascii="Verdana" w:hAnsi="Verdana"/>
          <w:sz w:val="22"/>
          <w:szCs w:val="22"/>
          <w:lang w:val="en-GB"/>
        </w:rPr>
        <w:t>In light of</w:t>
      </w:r>
      <w:proofErr w:type="gramEnd"/>
      <w:r w:rsidR="0052498C" w:rsidRPr="007722EF">
        <w:rPr>
          <w:rFonts w:ascii="Verdana" w:hAnsi="Verdana"/>
          <w:sz w:val="22"/>
          <w:szCs w:val="22"/>
          <w:lang w:val="en-GB"/>
        </w:rPr>
        <w:t xml:space="preserve"> my </w:t>
      </w:r>
      <w:r w:rsidR="00F932F5" w:rsidRPr="007722EF">
        <w:rPr>
          <w:rFonts w:ascii="Verdana" w:hAnsi="Verdana"/>
          <w:sz w:val="22"/>
          <w:szCs w:val="22"/>
          <w:lang w:val="en-GB"/>
        </w:rPr>
        <w:t xml:space="preserve">earlier </w:t>
      </w:r>
      <w:r w:rsidR="0052498C" w:rsidRPr="007722EF">
        <w:rPr>
          <w:rFonts w:ascii="Verdana" w:hAnsi="Verdana"/>
          <w:sz w:val="22"/>
          <w:szCs w:val="22"/>
          <w:lang w:val="en-GB"/>
        </w:rPr>
        <w:t xml:space="preserve">finding </w:t>
      </w:r>
      <w:r w:rsidR="00F932F5" w:rsidRPr="007722EF">
        <w:rPr>
          <w:rFonts w:ascii="Verdana" w:hAnsi="Verdana"/>
          <w:sz w:val="22"/>
          <w:szCs w:val="22"/>
          <w:lang w:val="en-GB"/>
        </w:rPr>
        <w:t xml:space="preserve">that the particulars of claim lacks averments to sustain a cause of action, </w:t>
      </w:r>
      <w:r w:rsidR="00E043EB" w:rsidRPr="007722EF">
        <w:rPr>
          <w:rFonts w:ascii="Verdana" w:hAnsi="Verdana"/>
          <w:sz w:val="22"/>
          <w:szCs w:val="22"/>
          <w:lang w:val="en-GB"/>
        </w:rPr>
        <w:t>it must follow</w:t>
      </w:r>
      <w:r w:rsidR="00721741" w:rsidRPr="007722EF">
        <w:rPr>
          <w:rFonts w:ascii="Verdana" w:hAnsi="Verdana"/>
          <w:sz w:val="22"/>
          <w:szCs w:val="22"/>
          <w:lang w:val="en-GB"/>
        </w:rPr>
        <w:t>, in my view,</w:t>
      </w:r>
      <w:r w:rsidR="00E043EB" w:rsidRPr="007722EF">
        <w:rPr>
          <w:rFonts w:ascii="Verdana" w:hAnsi="Verdana"/>
          <w:sz w:val="22"/>
          <w:szCs w:val="22"/>
          <w:lang w:val="en-GB"/>
        </w:rPr>
        <w:t xml:space="preserve"> that the non-variation clause </w:t>
      </w:r>
      <w:r w:rsidR="00721741" w:rsidRPr="007722EF">
        <w:rPr>
          <w:rFonts w:ascii="Verdana" w:hAnsi="Verdana"/>
          <w:sz w:val="22"/>
          <w:szCs w:val="22"/>
          <w:lang w:val="en-GB"/>
        </w:rPr>
        <w:t>stands</w:t>
      </w:r>
      <w:r w:rsidR="00564B8D" w:rsidRPr="007722EF">
        <w:rPr>
          <w:rFonts w:ascii="Verdana" w:hAnsi="Verdana"/>
          <w:sz w:val="22"/>
          <w:szCs w:val="22"/>
          <w:lang w:val="en-GB"/>
        </w:rPr>
        <w:t xml:space="preserve"> and applies. I am not persuaded by the argument that the non-variation clause self-destruct</w:t>
      </w:r>
      <w:r w:rsidR="000C5DF9" w:rsidRPr="007722EF">
        <w:rPr>
          <w:rFonts w:ascii="Verdana" w:hAnsi="Verdana"/>
          <w:sz w:val="22"/>
          <w:szCs w:val="22"/>
          <w:lang w:val="en-GB"/>
        </w:rPr>
        <w:t>s</w:t>
      </w:r>
      <w:r w:rsidR="00564B8D" w:rsidRPr="007722EF">
        <w:rPr>
          <w:rFonts w:ascii="Verdana" w:hAnsi="Verdana"/>
          <w:sz w:val="22"/>
          <w:szCs w:val="22"/>
          <w:lang w:val="en-GB"/>
        </w:rPr>
        <w:t xml:space="preserve"> by the addition of the wording</w:t>
      </w:r>
      <w:r w:rsidR="00F932F5" w:rsidRPr="007722EF">
        <w:rPr>
          <w:rFonts w:ascii="Verdana" w:hAnsi="Verdana"/>
          <w:sz w:val="22"/>
          <w:szCs w:val="22"/>
          <w:lang w:val="en-GB"/>
        </w:rPr>
        <w:t xml:space="preserve"> </w:t>
      </w:r>
      <w:r w:rsidR="00564B8D" w:rsidRPr="007722EF">
        <w:rPr>
          <w:rFonts w:ascii="Verdana" w:hAnsi="Verdana"/>
          <w:i/>
          <w:iCs/>
          <w:sz w:val="22"/>
          <w:szCs w:val="22"/>
          <w:lang w:val="en-GB"/>
        </w:rPr>
        <w:t xml:space="preserve">“or any such </w:t>
      </w:r>
      <w:r w:rsidR="00B329BD" w:rsidRPr="007722EF">
        <w:rPr>
          <w:rFonts w:ascii="Verdana" w:hAnsi="Verdana"/>
          <w:i/>
          <w:iCs/>
          <w:sz w:val="22"/>
          <w:szCs w:val="22"/>
          <w:lang w:val="en-GB"/>
        </w:rPr>
        <w:t xml:space="preserve">other </w:t>
      </w:r>
      <w:r w:rsidR="00564B8D" w:rsidRPr="007722EF">
        <w:rPr>
          <w:rFonts w:ascii="Verdana" w:hAnsi="Verdana"/>
          <w:i/>
          <w:iCs/>
          <w:sz w:val="22"/>
          <w:szCs w:val="22"/>
          <w:lang w:val="en-GB"/>
        </w:rPr>
        <w:t>agreements”</w:t>
      </w:r>
      <w:r w:rsidR="00564B8D" w:rsidRPr="007722EF">
        <w:rPr>
          <w:rFonts w:ascii="Verdana" w:hAnsi="Verdana"/>
          <w:sz w:val="22"/>
          <w:szCs w:val="22"/>
          <w:lang w:val="en-GB"/>
        </w:rPr>
        <w:t>.</w:t>
      </w:r>
      <w:r w:rsidR="0052498C" w:rsidRPr="007722EF">
        <w:rPr>
          <w:rFonts w:ascii="Verdana" w:hAnsi="Verdana"/>
          <w:sz w:val="22"/>
          <w:szCs w:val="22"/>
          <w:lang w:val="en-GB"/>
        </w:rPr>
        <w:t xml:space="preserve"> </w:t>
      </w:r>
      <w:r w:rsidR="000C5DF9" w:rsidRPr="007722EF">
        <w:rPr>
          <w:rFonts w:ascii="Verdana" w:hAnsi="Verdana"/>
          <w:sz w:val="22"/>
          <w:szCs w:val="22"/>
          <w:lang w:val="en-GB"/>
        </w:rPr>
        <w:t xml:space="preserve">This clause cannot be </w:t>
      </w:r>
      <w:r w:rsidR="00514649" w:rsidRPr="007722EF">
        <w:rPr>
          <w:rFonts w:ascii="Verdana" w:hAnsi="Verdana"/>
          <w:sz w:val="22"/>
          <w:szCs w:val="22"/>
          <w:lang w:val="en-GB"/>
        </w:rPr>
        <w:t>considered</w:t>
      </w:r>
      <w:r w:rsidR="000C5DF9" w:rsidRPr="007722EF">
        <w:rPr>
          <w:rFonts w:ascii="Verdana" w:hAnsi="Verdana"/>
          <w:sz w:val="22"/>
          <w:szCs w:val="22"/>
          <w:lang w:val="en-GB"/>
        </w:rPr>
        <w:t xml:space="preserve"> in isolation. It </w:t>
      </w:r>
      <w:proofErr w:type="gramStart"/>
      <w:r w:rsidR="000C5DF9" w:rsidRPr="007722EF">
        <w:rPr>
          <w:rFonts w:ascii="Verdana" w:hAnsi="Verdana"/>
          <w:sz w:val="22"/>
          <w:szCs w:val="22"/>
          <w:lang w:val="en-GB"/>
        </w:rPr>
        <w:t>has to</w:t>
      </w:r>
      <w:proofErr w:type="gramEnd"/>
      <w:r w:rsidR="000C5DF9" w:rsidRPr="007722EF">
        <w:rPr>
          <w:rFonts w:ascii="Verdana" w:hAnsi="Verdana"/>
          <w:sz w:val="22"/>
          <w:szCs w:val="22"/>
          <w:lang w:val="en-GB"/>
        </w:rPr>
        <w:t xml:space="preserve"> be </w:t>
      </w:r>
      <w:r w:rsidR="000B6226" w:rsidRPr="007722EF">
        <w:rPr>
          <w:rFonts w:ascii="Verdana" w:hAnsi="Verdana"/>
          <w:sz w:val="22"/>
          <w:szCs w:val="22"/>
          <w:lang w:val="en-GB"/>
        </w:rPr>
        <w:t xml:space="preserve">read with clause 31.2 which provides that </w:t>
      </w:r>
      <w:r w:rsidR="00514649" w:rsidRPr="007722EF">
        <w:rPr>
          <w:rFonts w:ascii="Verdana" w:hAnsi="Verdana"/>
          <w:sz w:val="22"/>
          <w:szCs w:val="22"/>
          <w:lang w:val="en-GB"/>
        </w:rPr>
        <w:t>no</w:t>
      </w:r>
      <w:r w:rsidR="000B6226" w:rsidRPr="007722EF">
        <w:rPr>
          <w:rFonts w:ascii="Verdana" w:hAnsi="Verdana"/>
          <w:sz w:val="22"/>
          <w:szCs w:val="22"/>
          <w:lang w:val="en-GB"/>
        </w:rPr>
        <w:t xml:space="preserve"> amendments, additions or variations </w:t>
      </w:r>
      <w:r w:rsidR="00514649" w:rsidRPr="007722EF">
        <w:rPr>
          <w:rFonts w:ascii="Verdana" w:hAnsi="Verdana"/>
          <w:sz w:val="22"/>
          <w:szCs w:val="22"/>
          <w:lang w:val="en-GB"/>
        </w:rPr>
        <w:t>shall be of any force or effect unless reduced to writing an</w:t>
      </w:r>
      <w:r w:rsidR="00873DB5" w:rsidRPr="007722EF">
        <w:rPr>
          <w:rFonts w:ascii="Verdana" w:hAnsi="Verdana"/>
          <w:sz w:val="22"/>
          <w:szCs w:val="22"/>
          <w:lang w:val="en-GB"/>
        </w:rPr>
        <w:t>d</w:t>
      </w:r>
      <w:r w:rsidR="00514649" w:rsidRPr="007722EF">
        <w:rPr>
          <w:rFonts w:ascii="Verdana" w:hAnsi="Verdana"/>
          <w:sz w:val="22"/>
          <w:szCs w:val="22"/>
          <w:lang w:val="en-GB"/>
        </w:rPr>
        <w:t xml:space="preserve"> signed by both parties.</w:t>
      </w:r>
      <w:r w:rsidR="00873DB5" w:rsidRPr="007722EF">
        <w:rPr>
          <w:rFonts w:ascii="Verdana" w:hAnsi="Verdana"/>
          <w:sz w:val="22"/>
          <w:szCs w:val="22"/>
          <w:lang w:val="en-GB"/>
        </w:rPr>
        <w:t xml:space="preserve"> </w:t>
      </w:r>
      <w:r w:rsidR="003D1753" w:rsidRPr="007722EF">
        <w:rPr>
          <w:rFonts w:ascii="Verdana" w:hAnsi="Verdana"/>
          <w:sz w:val="22"/>
          <w:szCs w:val="22"/>
          <w:lang w:val="en-GB"/>
        </w:rPr>
        <w:t>On a plain reading I cannot find that</w:t>
      </w:r>
      <w:r w:rsidR="00873DB5" w:rsidRPr="007722EF">
        <w:rPr>
          <w:rFonts w:ascii="Verdana" w:hAnsi="Verdana"/>
          <w:sz w:val="22"/>
          <w:szCs w:val="22"/>
          <w:lang w:val="en-GB"/>
        </w:rPr>
        <w:t xml:space="preserve"> </w:t>
      </w:r>
      <w:r w:rsidR="00873DB5" w:rsidRPr="007722EF">
        <w:rPr>
          <w:rFonts w:ascii="Verdana" w:hAnsi="Verdana"/>
          <w:i/>
          <w:iCs/>
          <w:sz w:val="22"/>
          <w:szCs w:val="22"/>
          <w:lang w:val="en-GB"/>
        </w:rPr>
        <w:t>“an</w:t>
      </w:r>
      <w:r w:rsidR="00B329BD" w:rsidRPr="007722EF">
        <w:rPr>
          <w:rFonts w:ascii="Verdana" w:hAnsi="Verdana"/>
          <w:i/>
          <w:iCs/>
          <w:sz w:val="22"/>
          <w:szCs w:val="22"/>
          <w:lang w:val="en-GB"/>
        </w:rPr>
        <w:t xml:space="preserve">y such other </w:t>
      </w:r>
      <w:r w:rsidR="00B329BD" w:rsidRPr="007722EF">
        <w:rPr>
          <w:rFonts w:ascii="Verdana" w:hAnsi="Verdana"/>
          <w:i/>
          <w:iCs/>
          <w:sz w:val="22"/>
          <w:szCs w:val="22"/>
          <w:lang w:val="en-GB"/>
        </w:rPr>
        <w:lastRenderedPageBreak/>
        <w:t>agreements”</w:t>
      </w:r>
      <w:r w:rsidR="00B329BD" w:rsidRPr="007722EF">
        <w:rPr>
          <w:rFonts w:ascii="Verdana" w:hAnsi="Verdana"/>
          <w:sz w:val="22"/>
          <w:szCs w:val="22"/>
          <w:lang w:val="en-GB"/>
        </w:rPr>
        <w:t xml:space="preserve"> </w:t>
      </w:r>
      <w:r w:rsidR="002061C5" w:rsidRPr="007722EF">
        <w:rPr>
          <w:rFonts w:ascii="Verdana" w:hAnsi="Verdana"/>
          <w:sz w:val="22"/>
          <w:szCs w:val="22"/>
          <w:lang w:val="en-GB"/>
        </w:rPr>
        <w:t>includes oral agreements.</w:t>
      </w:r>
      <w:r w:rsidR="00C05208" w:rsidRPr="007722EF">
        <w:rPr>
          <w:rFonts w:ascii="Verdana" w:hAnsi="Verdana"/>
          <w:sz w:val="22"/>
          <w:szCs w:val="22"/>
          <w:lang w:val="en-GB"/>
        </w:rPr>
        <w:t xml:space="preserve"> </w:t>
      </w:r>
      <w:r w:rsidR="001E0AB9" w:rsidRPr="007722EF">
        <w:rPr>
          <w:rFonts w:ascii="Verdana" w:hAnsi="Verdana"/>
          <w:sz w:val="22"/>
          <w:szCs w:val="22"/>
          <w:lang w:val="en-GB"/>
        </w:rPr>
        <w:t>Moreover, the</w:t>
      </w:r>
      <w:r w:rsidR="00C05208" w:rsidRPr="007722EF">
        <w:rPr>
          <w:rFonts w:ascii="Verdana" w:hAnsi="Verdana"/>
          <w:sz w:val="22"/>
          <w:szCs w:val="22"/>
          <w:lang w:val="en-GB"/>
        </w:rPr>
        <w:t xml:space="preserve"> plaintiffs </w:t>
      </w:r>
      <w:r w:rsidR="00C05208" w:rsidRPr="007722EF">
        <w:rPr>
          <w:rFonts w:ascii="Verdana" w:hAnsi="Verdana"/>
          <w:sz w:val="22"/>
          <w:szCs w:val="22"/>
          <w:shd w:val="clear" w:color="auto" w:fill="FFFFFF"/>
          <w:lang w:val="en-GB"/>
        </w:rPr>
        <w:t>have not advanced any reason for the relaxation of the</w:t>
      </w:r>
      <w:r w:rsidR="007C69E7">
        <w:rPr>
          <w:rFonts w:ascii="Verdana" w:hAnsi="Verdana"/>
          <w:sz w:val="22"/>
          <w:szCs w:val="22"/>
          <w:shd w:val="clear" w:color="auto" w:fill="FFFFFF"/>
          <w:lang w:val="en-GB"/>
        </w:rPr>
        <w:t xml:space="preserve"> </w:t>
      </w:r>
      <w:proofErr w:type="spellStart"/>
      <w:r w:rsidR="00C05208" w:rsidRPr="007722EF">
        <w:rPr>
          <w:rFonts w:ascii="Verdana" w:hAnsi="Verdana"/>
          <w:sz w:val="22"/>
          <w:szCs w:val="22"/>
          <w:lang w:val="en-GB"/>
        </w:rPr>
        <w:t>Shifren</w:t>
      </w:r>
      <w:proofErr w:type="spellEnd"/>
      <w:r w:rsidR="007C69E7">
        <w:rPr>
          <w:rFonts w:ascii="Verdana" w:hAnsi="Verdana"/>
          <w:sz w:val="22"/>
          <w:szCs w:val="22"/>
          <w:lang w:val="en-GB"/>
        </w:rPr>
        <w:t xml:space="preserve"> </w:t>
      </w:r>
      <w:r w:rsidR="00C05208" w:rsidRPr="007722EF">
        <w:rPr>
          <w:rFonts w:ascii="Verdana" w:hAnsi="Verdana"/>
          <w:sz w:val="22"/>
          <w:szCs w:val="22"/>
          <w:shd w:val="clear" w:color="auto" w:fill="FFFFFF"/>
          <w:lang w:val="en-GB"/>
        </w:rPr>
        <w:t>principle</w:t>
      </w:r>
      <w:r w:rsidR="001E0AB9" w:rsidRPr="007722EF">
        <w:rPr>
          <w:rFonts w:ascii="Verdana" w:hAnsi="Verdana"/>
          <w:sz w:val="22"/>
          <w:szCs w:val="22"/>
          <w:shd w:val="clear" w:color="auto" w:fill="FFFFFF"/>
          <w:lang w:val="en-GB"/>
        </w:rPr>
        <w:t xml:space="preserve"> either.</w:t>
      </w:r>
      <w:r w:rsidR="00E03701" w:rsidRPr="007722EF">
        <w:rPr>
          <w:rFonts w:ascii="Verdana" w:hAnsi="Verdana"/>
          <w:sz w:val="22"/>
          <w:szCs w:val="22"/>
          <w:shd w:val="clear" w:color="auto" w:fill="FFFFFF"/>
          <w:lang w:val="en-GB"/>
        </w:rPr>
        <w:t xml:space="preserve"> </w:t>
      </w:r>
    </w:p>
    <w:p w14:paraId="5994D5AB" w14:textId="30CD32B7" w:rsidR="00535715" w:rsidRPr="007722EF" w:rsidRDefault="00535715" w:rsidP="007C69E7">
      <w:pPr>
        <w:pStyle w:val="Indent"/>
        <w:keepNext/>
        <w:widowControl w:val="0"/>
        <w:numPr>
          <w:ilvl w:val="0"/>
          <w:numId w:val="0"/>
        </w:numPr>
        <w:shd w:val="clear" w:color="auto" w:fill="FFFFFF" w:themeFill="background1"/>
        <w:spacing w:after="360" w:line="480" w:lineRule="auto"/>
        <w:jc w:val="both"/>
        <w:rPr>
          <w:rFonts w:ascii="Verdana" w:hAnsi="Verdana"/>
          <w:b/>
          <w:bCs/>
          <w:sz w:val="22"/>
          <w:szCs w:val="22"/>
          <w:lang w:val="en-GB"/>
        </w:rPr>
      </w:pPr>
      <w:r w:rsidRPr="007722EF">
        <w:rPr>
          <w:rFonts w:ascii="Verdana" w:hAnsi="Verdana"/>
          <w:b/>
          <w:bCs/>
          <w:sz w:val="22"/>
          <w:szCs w:val="22"/>
          <w:lang w:val="en-GB"/>
        </w:rPr>
        <w:t>ORDER</w:t>
      </w:r>
    </w:p>
    <w:p w14:paraId="3BBEC366" w14:textId="28C6F845" w:rsidR="00F02BDF" w:rsidRPr="007722EF" w:rsidRDefault="00366A5E" w:rsidP="00366A5E">
      <w:pPr>
        <w:pStyle w:val="Indent"/>
        <w:widowControl w:val="0"/>
        <w:numPr>
          <w:ilvl w:val="0"/>
          <w:numId w:val="0"/>
        </w:numPr>
        <w:shd w:val="clear" w:color="auto" w:fill="FFFFFF" w:themeFill="background1"/>
        <w:spacing w:after="360" w:line="480" w:lineRule="auto"/>
        <w:ind w:left="709" w:hanging="709"/>
        <w:jc w:val="both"/>
        <w:rPr>
          <w:rFonts w:ascii="Verdana" w:hAnsi="Verdana"/>
          <w:sz w:val="22"/>
          <w:szCs w:val="22"/>
          <w:lang w:val="en-GB"/>
        </w:rPr>
      </w:pPr>
      <w:r w:rsidRPr="007722EF">
        <w:rPr>
          <w:rFonts w:ascii="Verdana" w:hAnsi="Verdana"/>
          <w:color w:val="000000" w:themeColor="text1"/>
          <w:sz w:val="22"/>
          <w:szCs w:val="22"/>
          <w:lang w:val="en-GB"/>
        </w:rPr>
        <w:t>[51]</w:t>
      </w:r>
      <w:r w:rsidRPr="007722EF">
        <w:rPr>
          <w:rFonts w:ascii="Verdana" w:hAnsi="Verdana"/>
          <w:color w:val="000000" w:themeColor="text1"/>
          <w:sz w:val="22"/>
          <w:szCs w:val="22"/>
          <w:lang w:val="en-GB"/>
        </w:rPr>
        <w:tab/>
      </w:r>
      <w:r w:rsidR="00CF5EF4" w:rsidRPr="007722EF">
        <w:rPr>
          <w:rFonts w:ascii="Verdana" w:hAnsi="Verdana"/>
          <w:sz w:val="22"/>
          <w:szCs w:val="22"/>
          <w:lang w:val="en-GB"/>
        </w:rPr>
        <w:t>In the circumstances I make the following order: -</w:t>
      </w:r>
    </w:p>
    <w:p w14:paraId="0864B914" w14:textId="76782DA7" w:rsidR="00603F5C" w:rsidRPr="007722EF" w:rsidRDefault="00CF5EF4" w:rsidP="00CF5EF4">
      <w:pPr>
        <w:pStyle w:val="Indent"/>
        <w:widowControl w:val="0"/>
        <w:numPr>
          <w:ilvl w:val="0"/>
          <w:numId w:val="0"/>
        </w:numPr>
        <w:shd w:val="clear" w:color="auto" w:fill="FFFFFF" w:themeFill="background1"/>
        <w:spacing w:after="240" w:line="360" w:lineRule="auto"/>
        <w:ind w:left="2160" w:hanging="720"/>
        <w:jc w:val="both"/>
        <w:rPr>
          <w:rFonts w:ascii="Verdana" w:hAnsi="Verdana"/>
          <w:i/>
          <w:sz w:val="22"/>
          <w:szCs w:val="22"/>
          <w:lang w:val="en-GB"/>
        </w:rPr>
      </w:pPr>
      <w:r w:rsidRPr="007722EF">
        <w:rPr>
          <w:rFonts w:ascii="Verdana" w:hAnsi="Verdana"/>
          <w:i/>
          <w:sz w:val="22"/>
          <w:szCs w:val="22"/>
          <w:lang w:val="en-GB"/>
        </w:rPr>
        <w:t>“1.</w:t>
      </w:r>
      <w:r w:rsidR="00143B46" w:rsidRPr="007722EF">
        <w:rPr>
          <w:rFonts w:ascii="Verdana" w:hAnsi="Verdana"/>
          <w:i/>
          <w:sz w:val="22"/>
          <w:szCs w:val="22"/>
          <w:lang w:val="en-GB"/>
        </w:rPr>
        <w:t xml:space="preserve"> </w:t>
      </w:r>
      <w:r w:rsidRPr="007722EF">
        <w:rPr>
          <w:rFonts w:ascii="Verdana" w:hAnsi="Verdana"/>
          <w:i/>
          <w:sz w:val="22"/>
          <w:szCs w:val="22"/>
          <w:lang w:val="en-GB"/>
        </w:rPr>
        <w:tab/>
      </w:r>
      <w:r w:rsidR="001C6E99" w:rsidRPr="007722EF">
        <w:rPr>
          <w:rFonts w:ascii="Verdana" w:hAnsi="Verdana"/>
          <w:i/>
          <w:sz w:val="22"/>
          <w:szCs w:val="22"/>
          <w:lang w:val="en-GB"/>
        </w:rPr>
        <w:t>The exception is upheld.</w:t>
      </w:r>
    </w:p>
    <w:p w14:paraId="0550A2AC" w14:textId="6DDBEAAE" w:rsidR="00CF5EF4" w:rsidRPr="007722EF" w:rsidRDefault="00366A5E" w:rsidP="00366A5E">
      <w:pPr>
        <w:pStyle w:val="Indent"/>
        <w:widowControl w:val="0"/>
        <w:numPr>
          <w:ilvl w:val="0"/>
          <w:numId w:val="0"/>
        </w:numPr>
        <w:shd w:val="clear" w:color="auto" w:fill="FFFFFF" w:themeFill="background1"/>
        <w:spacing w:after="240" w:line="360" w:lineRule="auto"/>
        <w:ind w:left="2160" w:hanging="720"/>
        <w:jc w:val="both"/>
        <w:rPr>
          <w:rFonts w:ascii="Verdana" w:hAnsi="Verdana"/>
          <w:i/>
          <w:sz w:val="22"/>
          <w:szCs w:val="22"/>
          <w:lang w:val="en-GB"/>
        </w:rPr>
      </w:pPr>
      <w:r w:rsidRPr="007722EF">
        <w:rPr>
          <w:rFonts w:ascii="Verdana" w:hAnsi="Verdana"/>
          <w:i/>
          <w:sz w:val="22"/>
          <w:szCs w:val="22"/>
          <w:lang w:val="en-GB"/>
        </w:rPr>
        <w:t>2.</w:t>
      </w:r>
      <w:r w:rsidRPr="007722EF">
        <w:rPr>
          <w:rFonts w:ascii="Verdana" w:hAnsi="Verdana"/>
          <w:i/>
          <w:sz w:val="22"/>
          <w:szCs w:val="22"/>
          <w:lang w:val="en-GB"/>
        </w:rPr>
        <w:tab/>
      </w:r>
      <w:r w:rsidR="004F72A5" w:rsidRPr="007722EF">
        <w:rPr>
          <w:rFonts w:ascii="Verdana" w:hAnsi="Verdana"/>
          <w:i/>
          <w:sz w:val="22"/>
          <w:szCs w:val="22"/>
          <w:lang w:val="en-GB"/>
        </w:rPr>
        <w:t>The plaintiffs are afforded a period of 15 (fifteen) days from date of this order to deliver amended particulars of claim.</w:t>
      </w:r>
    </w:p>
    <w:p w14:paraId="14A22664" w14:textId="61AE1156" w:rsidR="00143B46" w:rsidRPr="007722EF" w:rsidRDefault="00366A5E" w:rsidP="00366A5E">
      <w:pPr>
        <w:pStyle w:val="Indent"/>
        <w:widowControl w:val="0"/>
        <w:numPr>
          <w:ilvl w:val="0"/>
          <w:numId w:val="0"/>
        </w:numPr>
        <w:shd w:val="clear" w:color="auto" w:fill="FFFFFF" w:themeFill="background1"/>
        <w:spacing w:after="240" w:line="360" w:lineRule="auto"/>
        <w:ind w:left="2160" w:hanging="720"/>
        <w:jc w:val="both"/>
        <w:rPr>
          <w:rFonts w:ascii="Verdana" w:hAnsi="Verdana"/>
          <w:i/>
          <w:sz w:val="22"/>
          <w:szCs w:val="22"/>
          <w:lang w:val="en-GB"/>
        </w:rPr>
      </w:pPr>
      <w:r w:rsidRPr="007722EF">
        <w:rPr>
          <w:rFonts w:ascii="Verdana" w:hAnsi="Verdana"/>
          <w:i/>
          <w:sz w:val="22"/>
          <w:szCs w:val="22"/>
          <w:lang w:val="en-GB"/>
        </w:rPr>
        <w:t>3.</w:t>
      </w:r>
      <w:r w:rsidRPr="007722EF">
        <w:rPr>
          <w:rFonts w:ascii="Verdana" w:hAnsi="Verdana"/>
          <w:i/>
          <w:sz w:val="22"/>
          <w:szCs w:val="22"/>
          <w:lang w:val="en-GB"/>
        </w:rPr>
        <w:tab/>
      </w:r>
      <w:r w:rsidR="00AD1ABE" w:rsidRPr="007722EF">
        <w:rPr>
          <w:rFonts w:ascii="Verdana" w:hAnsi="Verdana"/>
          <w:i/>
          <w:sz w:val="22"/>
          <w:szCs w:val="22"/>
          <w:lang w:val="en-GB"/>
        </w:rPr>
        <w:t>The plaintiffs are to pay the defendant’s costs, including the costs of two counsel</w:t>
      </w:r>
      <w:r w:rsidR="009403B2" w:rsidRPr="007722EF">
        <w:rPr>
          <w:rFonts w:ascii="Verdana" w:hAnsi="Verdana"/>
          <w:i/>
          <w:sz w:val="22"/>
          <w:szCs w:val="22"/>
          <w:lang w:val="en-GB"/>
        </w:rPr>
        <w:t xml:space="preserve"> where employed</w:t>
      </w:r>
      <w:r w:rsidR="00AD1ABE" w:rsidRPr="007722EF">
        <w:rPr>
          <w:rFonts w:ascii="Verdana" w:hAnsi="Verdana"/>
          <w:i/>
          <w:sz w:val="22"/>
          <w:szCs w:val="22"/>
          <w:lang w:val="en-GB"/>
        </w:rPr>
        <w:t>.”</w:t>
      </w:r>
    </w:p>
    <w:p w14:paraId="6AC6D7F1" w14:textId="77777777" w:rsidR="00143B46" w:rsidRPr="007722EF" w:rsidRDefault="00143B46" w:rsidP="003D69CB">
      <w:pPr>
        <w:keepNext/>
        <w:widowControl w:val="0"/>
        <w:spacing w:after="0" w:line="360" w:lineRule="auto"/>
        <w:ind w:left="3600" w:firstLine="720"/>
        <w:rPr>
          <w:rFonts w:ascii="Verdana" w:hAnsi="Verdana" w:cs="Arial"/>
          <w:lang w:val="en-GB"/>
        </w:rPr>
      </w:pPr>
    </w:p>
    <w:p w14:paraId="1E96BEAD" w14:textId="065AF71D" w:rsidR="00D16AA1" w:rsidRPr="007722EF" w:rsidRDefault="00CD05FE" w:rsidP="003D69CB">
      <w:pPr>
        <w:keepNext/>
        <w:widowControl w:val="0"/>
        <w:spacing w:after="0" w:line="360" w:lineRule="auto"/>
        <w:ind w:left="3600" w:firstLine="720"/>
        <w:rPr>
          <w:rFonts w:ascii="Verdana" w:hAnsi="Verdana" w:cs="Arial"/>
          <w:lang w:val="en-GB"/>
        </w:rPr>
      </w:pPr>
      <w:r w:rsidRPr="007722EF">
        <w:rPr>
          <w:rFonts w:ascii="Verdana" w:hAnsi="Verdana" w:cs="Arial"/>
          <w:lang w:val="en-GB"/>
        </w:rPr>
        <w:t xml:space="preserve">      </w:t>
      </w:r>
      <w:r w:rsidRPr="007722EF">
        <w:rPr>
          <w:noProof/>
          <w:lang w:eastAsia="en-ZA"/>
        </w:rPr>
        <w:drawing>
          <wp:inline distT="0" distB="0" distL="0" distR="0" wp14:anchorId="44C2E90F" wp14:editId="22C278E6">
            <wp:extent cx="2288540" cy="800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5677" cy="810344"/>
                    </a:xfrm>
                    <a:prstGeom prst="rect">
                      <a:avLst/>
                    </a:prstGeom>
                    <a:noFill/>
                    <a:ln>
                      <a:noFill/>
                    </a:ln>
                  </pic:spPr>
                </pic:pic>
              </a:graphicData>
            </a:graphic>
          </wp:inline>
        </w:drawing>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7722EF" w:rsidRPr="007722EF" w14:paraId="78DE0AC8" w14:textId="77777777" w:rsidTr="00386CF6">
        <w:tc>
          <w:tcPr>
            <w:tcW w:w="4598" w:type="dxa"/>
            <w:tcBorders>
              <w:top w:val="single" w:sz="4" w:space="0" w:color="auto"/>
            </w:tcBorders>
          </w:tcPr>
          <w:p w14:paraId="2FAC1CEA" w14:textId="77777777" w:rsidR="00386CF6" w:rsidRPr="007722EF" w:rsidRDefault="00386CF6" w:rsidP="003D69CB">
            <w:pPr>
              <w:keepNext/>
              <w:widowControl w:val="0"/>
              <w:jc w:val="center"/>
              <w:rPr>
                <w:rFonts w:ascii="Verdana" w:hAnsi="Verdana" w:cs="Arial"/>
                <w:b/>
                <w:lang w:val="en-GB"/>
              </w:rPr>
            </w:pPr>
          </w:p>
        </w:tc>
      </w:tr>
      <w:tr w:rsidR="007722EF" w:rsidRPr="007722EF" w14:paraId="21B119EF" w14:textId="77777777" w:rsidTr="00386CF6">
        <w:tc>
          <w:tcPr>
            <w:tcW w:w="4598" w:type="dxa"/>
          </w:tcPr>
          <w:p w14:paraId="79508952" w14:textId="6B57DA6E" w:rsidR="00386CF6" w:rsidRPr="007722EF" w:rsidRDefault="00CA7DFE" w:rsidP="003D69CB">
            <w:pPr>
              <w:keepNext/>
              <w:widowControl w:val="0"/>
              <w:jc w:val="center"/>
              <w:rPr>
                <w:rFonts w:ascii="Verdana" w:hAnsi="Verdana" w:cs="Arial"/>
                <w:b/>
                <w:lang w:val="en-GB"/>
              </w:rPr>
            </w:pPr>
            <w:r w:rsidRPr="007722EF">
              <w:rPr>
                <w:rFonts w:ascii="Verdana" w:hAnsi="Verdana" w:cs="Arial"/>
                <w:b/>
                <w:lang w:val="en-GB"/>
              </w:rPr>
              <w:t>F BEZUIDENHOUT</w:t>
            </w:r>
          </w:p>
        </w:tc>
      </w:tr>
      <w:tr w:rsidR="007722EF" w:rsidRPr="007722EF" w14:paraId="0B981C37" w14:textId="77777777" w:rsidTr="00386CF6">
        <w:tc>
          <w:tcPr>
            <w:tcW w:w="4598" w:type="dxa"/>
          </w:tcPr>
          <w:p w14:paraId="223CA524" w14:textId="77777777" w:rsidR="00386CF6" w:rsidRPr="007722EF" w:rsidRDefault="00386CF6" w:rsidP="003D69CB">
            <w:pPr>
              <w:keepNext/>
              <w:widowControl w:val="0"/>
              <w:jc w:val="center"/>
              <w:rPr>
                <w:rFonts w:ascii="Verdana" w:hAnsi="Verdana" w:cs="Arial"/>
                <w:b/>
                <w:lang w:val="en-GB"/>
              </w:rPr>
            </w:pPr>
          </w:p>
        </w:tc>
      </w:tr>
      <w:tr w:rsidR="00386CF6" w:rsidRPr="007722EF" w14:paraId="14E05DDE" w14:textId="77777777" w:rsidTr="00386CF6">
        <w:tc>
          <w:tcPr>
            <w:tcW w:w="4598" w:type="dxa"/>
          </w:tcPr>
          <w:p w14:paraId="657F1E0E" w14:textId="77777777" w:rsidR="00E478FD" w:rsidRPr="007722EF" w:rsidRDefault="00E478FD" w:rsidP="003D69CB">
            <w:pPr>
              <w:keepNext/>
              <w:widowControl w:val="0"/>
              <w:jc w:val="center"/>
              <w:rPr>
                <w:rFonts w:ascii="Verdana" w:hAnsi="Verdana" w:cs="Arial"/>
                <w:b/>
                <w:lang w:val="en-GB"/>
              </w:rPr>
            </w:pPr>
            <w:r w:rsidRPr="007722EF">
              <w:rPr>
                <w:rFonts w:ascii="Verdana" w:hAnsi="Verdana" w:cs="Arial"/>
                <w:b/>
                <w:lang w:val="en-GB"/>
              </w:rPr>
              <w:t xml:space="preserve">ACTING </w:t>
            </w:r>
            <w:r w:rsidR="00386CF6" w:rsidRPr="007722EF">
              <w:rPr>
                <w:rFonts w:ascii="Verdana" w:hAnsi="Verdana" w:cs="Arial"/>
                <w:b/>
                <w:lang w:val="en-GB"/>
              </w:rPr>
              <w:t xml:space="preserve">JUDGE OF </w:t>
            </w:r>
          </w:p>
          <w:p w14:paraId="58B0E224" w14:textId="77777777" w:rsidR="00386CF6" w:rsidRPr="007722EF" w:rsidRDefault="00386CF6" w:rsidP="003D69CB">
            <w:pPr>
              <w:keepNext/>
              <w:widowControl w:val="0"/>
              <w:jc w:val="center"/>
              <w:rPr>
                <w:rFonts w:ascii="Verdana" w:hAnsi="Verdana" w:cs="Arial"/>
                <w:lang w:val="en-GB"/>
              </w:rPr>
            </w:pPr>
            <w:r w:rsidRPr="007722EF">
              <w:rPr>
                <w:rFonts w:ascii="Verdana" w:hAnsi="Verdana" w:cs="Arial"/>
                <w:b/>
                <w:lang w:val="en-GB"/>
              </w:rPr>
              <w:t>THE HIGH COURT</w:t>
            </w:r>
          </w:p>
        </w:tc>
      </w:tr>
    </w:tbl>
    <w:p w14:paraId="6B1048F6" w14:textId="630F310A" w:rsidR="00BC696C" w:rsidRPr="007722EF" w:rsidRDefault="00BC696C" w:rsidP="003D69CB">
      <w:pPr>
        <w:widowControl w:val="0"/>
        <w:spacing w:after="360" w:line="240" w:lineRule="auto"/>
        <w:rPr>
          <w:rFonts w:ascii="Verdana" w:hAnsi="Verdana" w:cs="Arial"/>
          <w:b/>
          <w:lang w:val="en-GB"/>
        </w:rPr>
      </w:pPr>
    </w:p>
    <w:p w14:paraId="58D934C8" w14:textId="77777777" w:rsidR="00410D25" w:rsidRPr="007722EF" w:rsidRDefault="00410D25" w:rsidP="003D69CB">
      <w:pPr>
        <w:widowControl w:val="0"/>
        <w:spacing w:after="360" w:line="240" w:lineRule="auto"/>
        <w:rPr>
          <w:rFonts w:ascii="Verdana" w:hAnsi="Verdana" w:cs="Arial"/>
          <w:b/>
          <w:lang w:val="en-GB"/>
        </w:rPr>
      </w:pPr>
    </w:p>
    <w:p w14:paraId="7C344E2A" w14:textId="422385E0" w:rsidR="005E68B0" w:rsidRPr="007722EF" w:rsidRDefault="005E68B0" w:rsidP="00C96C10">
      <w:pPr>
        <w:keepNext/>
        <w:widowControl w:val="0"/>
        <w:tabs>
          <w:tab w:val="left" w:pos="3969"/>
        </w:tabs>
        <w:spacing w:after="360" w:line="240" w:lineRule="auto"/>
        <w:rPr>
          <w:rFonts w:ascii="Verdana" w:hAnsi="Verdana" w:cs="Arial"/>
          <w:b/>
          <w:lang w:val="en-GB"/>
        </w:rPr>
      </w:pPr>
      <w:r w:rsidRPr="007722EF">
        <w:rPr>
          <w:rFonts w:ascii="Verdana" w:hAnsi="Verdana" w:cs="Arial"/>
          <w:b/>
          <w:lang w:val="en-GB"/>
        </w:rPr>
        <w:t>DATE OF HEARING:</w:t>
      </w:r>
      <w:r w:rsidRPr="007722EF">
        <w:rPr>
          <w:rFonts w:ascii="Verdana" w:hAnsi="Verdana" w:cs="Arial"/>
          <w:b/>
          <w:lang w:val="en-GB"/>
        </w:rPr>
        <w:tab/>
      </w:r>
      <w:r w:rsidR="00267371" w:rsidRPr="007722EF">
        <w:rPr>
          <w:rFonts w:ascii="Verdana" w:hAnsi="Verdana" w:cs="Arial"/>
          <w:b/>
          <w:lang w:val="en-GB"/>
        </w:rPr>
        <w:t>15</w:t>
      </w:r>
      <w:r w:rsidR="00603F5C" w:rsidRPr="007722EF">
        <w:rPr>
          <w:rFonts w:ascii="Verdana" w:hAnsi="Verdana" w:cs="Arial"/>
          <w:b/>
          <w:lang w:val="en-GB"/>
        </w:rPr>
        <w:t xml:space="preserve"> November 2022</w:t>
      </w:r>
    </w:p>
    <w:p w14:paraId="33BAE81D" w14:textId="1C2F62D1" w:rsidR="005F12F1" w:rsidRPr="007722EF" w:rsidRDefault="005F12F1" w:rsidP="005E68B0">
      <w:pPr>
        <w:widowControl w:val="0"/>
        <w:tabs>
          <w:tab w:val="left" w:pos="3969"/>
        </w:tabs>
        <w:spacing w:after="360" w:line="240" w:lineRule="auto"/>
        <w:rPr>
          <w:rFonts w:ascii="Verdana" w:hAnsi="Verdana" w:cs="Arial"/>
          <w:b/>
          <w:lang w:val="en-GB"/>
        </w:rPr>
      </w:pPr>
      <w:r w:rsidRPr="007722EF">
        <w:rPr>
          <w:rFonts w:ascii="Verdana" w:hAnsi="Verdana" w:cs="Arial"/>
          <w:b/>
          <w:lang w:val="en-GB"/>
        </w:rPr>
        <w:t>DATE OF JUDGMENT:</w:t>
      </w:r>
      <w:r w:rsidR="004D0E40" w:rsidRPr="007722EF">
        <w:rPr>
          <w:rFonts w:ascii="Verdana" w:hAnsi="Verdana" w:cs="Arial"/>
          <w:b/>
          <w:lang w:val="en-GB"/>
        </w:rPr>
        <w:tab/>
        <w:t>13 January 2023</w:t>
      </w:r>
    </w:p>
    <w:p w14:paraId="60684066" w14:textId="32EE8490" w:rsidR="00C4685D" w:rsidRPr="007722EF" w:rsidRDefault="00C4685D" w:rsidP="003D69CB">
      <w:pPr>
        <w:widowControl w:val="0"/>
        <w:spacing w:after="360" w:line="240" w:lineRule="auto"/>
        <w:rPr>
          <w:rFonts w:ascii="Verdana" w:hAnsi="Verdana" w:cs="Arial"/>
          <w:b/>
          <w:lang w:val="en-GB"/>
        </w:rPr>
      </w:pPr>
    </w:p>
    <w:p w14:paraId="036055A4" w14:textId="77777777" w:rsidR="00410D25" w:rsidRPr="007722EF" w:rsidRDefault="00410D25" w:rsidP="003D69CB">
      <w:pPr>
        <w:widowControl w:val="0"/>
        <w:spacing w:after="360" w:line="240" w:lineRule="auto"/>
        <w:rPr>
          <w:rFonts w:ascii="Verdana" w:hAnsi="Verdana" w:cs="Arial"/>
          <w:b/>
          <w:lang w:val="en-GB"/>
        </w:rPr>
      </w:pPr>
    </w:p>
    <w:p w14:paraId="32B78198" w14:textId="38653DC4" w:rsidR="00386CF6" w:rsidRPr="007722EF" w:rsidRDefault="00386CF6" w:rsidP="00410D25">
      <w:pPr>
        <w:keepNext/>
        <w:widowControl w:val="0"/>
        <w:spacing w:after="120" w:line="240" w:lineRule="auto"/>
        <w:rPr>
          <w:rFonts w:ascii="Verdana" w:hAnsi="Verdana" w:cs="Arial"/>
          <w:b/>
          <w:lang w:val="en-GB"/>
        </w:rPr>
      </w:pPr>
      <w:r w:rsidRPr="007722EF">
        <w:rPr>
          <w:rFonts w:ascii="Verdana" w:hAnsi="Verdana" w:cs="Arial"/>
          <w:b/>
          <w:lang w:val="en-GB"/>
        </w:rPr>
        <w:lastRenderedPageBreak/>
        <w:t>APPEARANCES</w:t>
      </w:r>
      <w:r w:rsidR="00857F8F" w:rsidRPr="007722EF">
        <w:rPr>
          <w:rFonts w:ascii="Verdana" w:hAnsi="Verdana" w:cs="Arial"/>
          <w:b/>
          <w:lang w:val="en-GB"/>
        </w:rPr>
        <w:t>:</w:t>
      </w:r>
    </w:p>
    <w:p w14:paraId="1EFF4B6B" w14:textId="77777777" w:rsidR="00410D25" w:rsidRPr="007722EF" w:rsidRDefault="00410D25" w:rsidP="00410D25">
      <w:pPr>
        <w:keepNext/>
        <w:widowControl w:val="0"/>
        <w:spacing w:after="120" w:line="240" w:lineRule="auto"/>
        <w:rPr>
          <w:rFonts w:ascii="Verdana" w:hAnsi="Verdana" w:cs="Arial"/>
          <w:b/>
          <w:lang w:val="en-GB"/>
        </w:rPr>
      </w:pPr>
    </w:p>
    <w:p w14:paraId="7DD3BFFC" w14:textId="7B7969A8" w:rsidR="00CC128D" w:rsidRPr="007722EF" w:rsidRDefault="00386CF6" w:rsidP="00410D25">
      <w:pPr>
        <w:keepNext/>
        <w:widowControl w:val="0"/>
        <w:tabs>
          <w:tab w:val="left" w:pos="3969"/>
        </w:tabs>
        <w:spacing w:after="120" w:line="240" w:lineRule="auto"/>
        <w:rPr>
          <w:rFonts w:ascii="Verdana" w:hAnsi="Verdana" w:cs="Arial"/>
          <w:b/>
          <w:lang w:val="en-GB"/>
        </w:rPr>
      </w:pPr>
      <w:r w:rsidRPr="007722EF">
        <w:rPr>
          <w:rFonts w:ascii="Verdana" w:hAnsi="Verdana" w:cs="Arial"/>
          <w:b/>
          <w:lang w:val="en-GB"/>
        </w:rPr>
        <w:t xml:space="preserve">On </w:t>
      </w:r>
      <w:r w:rsidR="00D136E5" w:rsidRPr="007722EF">
        <w:rPr>
          <w:rFonts w:ascii="Verdana" w:hAnsi="Verdana" w:cs="Arial"/>
          <w:b/>
          <w:lang w:val="en-GB"/>
        </w:rPr>
        <w:t>b</w:t>
      </w:r>
      <w:r w:rsidRPr="007722EF">
        <w:rPr>
          <w:rFonts w:ascii="Verdana" w:hAnsi="Verdana" w:cs="Arial"/>
          <w:b/>
          <w:lang w:val="en-GB"/>
        </w:rPr>
        <w:t xml:space="preserve">ehalf of </w:t>
      </w:r>
      <w:r w:rsidR="00CC128D" w:rsidRPr="007722EF">
        <w:rPr>
          <w:rFonts w:ascii="Verdana" w:hAnsi="Verdana" w:cs="Arial"/>
          <w:b/>
          <w:lang w:val="en-GB"/>
        </w:rPr>
        <w:t xml:space="preserve">excipient / </w:t>
      </w:r>
    </w:p>
    <w:p w14:paraId="44F369FA" w14:textId="0BD43811" w:rsidR="001226BB" w:rsidRPr="007722EF" w:rsidRDefault="00CC128D" w:rsidP="00410D25">
      <w:pPr>
        <w:keepNext/>
        <w:widowControl w:val="0"/>
        <w:tabs>
          <w:tab w:val="left" w:pos="3969"/>
        </w:tabs>
        <w:spacing w:after="120" w:line="240" w:lineRule="auto"/>
        <w:rPr>
          <w:rFonts w:ascii="Verdana" w:hAnsi="Verdana" w:cs="Arial"/>
          <w:lang w:val="en-GB"/>
        </w:rPr>
      </w:pPr>
      <w:r w:rsidRPr="007722EF">
        <w:rPr>
          <w:rFonts w:ascii="Verdana" w:hAnsi="Verdana" w:cs="Arial"/>
          <w:b/>
          <w:lang w:val="en-GB"/>
        </w:rPr>
        <w:t>defendant</w:t>
      </w:r>
      <w:r w:rsidR="00386CF6" w:rsidRPr="007722EF">
        <w:rPr>
          <w:rFonts w:ascii="Verdana" w:hAnsi="Verdana" w:cs="Arial"/>
          <w:b/>
          <w:lang w:val="en-GB"/>
        </w:rPr>
        <w:t xml:space="preserve">: </w:t>
      </w:r>
      <w:r w:rsidR="00386CF6" w:rsidRPr="007722EF">
        <w:rPr>
          <w:rFonts w:ascii="Verdana" w:hAnsi="Verdana" w:cs="Arial"/>
          <w:b/>
          <w:lang w:val="en-GB"/>
        </w:rPr>
        <w:tab/>
      </w:r>
      <w:r w:rsidR="00AC20D2" w:rsidRPr="007722EF">
        <w:rPr>
          <w:rFonts w:ascii="Verdana" w:hAnsi="Verdana" w:cs="Arial"/>
          <w:lang w:val="en-GB"/>
        </w:rPr>
        <w:t xml:space="preserve">Adv </w:t>
      </w:r>
      <w:r w:rsidRPr="007722EF">
        <w:rPr>
          <w:rFonts w:ascii="Verdana" w:hAnsi="Verdana" w:cs="Arial"/>
          <w:lang w:val="en-GB"/>
        </w:rPr>
        <w:t>B Swart SC;</w:t>
      </w:r>
    </w:p>
    <w:p w14:paraId="56A3268C" w14:textId="6E46C47B" w:rsidR="00CC128D" w:rsidRPr="007722EF" w:rsidRDefault="00CC128D" w:rsidP="00CC128D">
      <w:pPr>
        <w:keepNext/>
        <w:widowControl w:val="0"/>
        <w:tabs>
          <w:tab w:val="left" w:pos="3969"/>
        </w:tabs>
        <w:spacing w:after="120" w:line="240" w:lineRule="auto"/>
        <w:ind w:left="3969"/>
        <w:rPr>
          <w:rFonts w:ascii="Verdana" w:hAnsi="Verdana" w:cs="Arial"/>
          <w:lang w:val="en-GB"/>
        </w:rPr>
      </w:pPr>
      <w:r w:rsidRPr="007722EF">
        <w:rPr>
          <w:rFonts w:ascii="Verdana" w:hAnsi="Verdana" w:cs="Arial"/>
          <w:lang w:val="en-GB"/>
        </w:rPr>
        <w:t>Adv N Marshall</w:t>
      </w:r>
    </w:p>
    <w:p w14:paraId="4E889C2A" w14:textId="77777777" w:rsidR="001768C6" w:rsidRPr="007722EF" w:rsidRDefault="001768C6" w:rsidP="00410D25">
      <w:pPr>
        <w:keepNext/>
        <w:widowControl w:val="0"/>
        <w:tabs>
          <w:tab w:val="left" w:pos="3969"/>
        </w:tabs>
        <w:spacing w:after="120" w:line="240" w:lineRule="auto"/>
        <w:ind w:left="3969"/>
        <w:rPr>
          <w:rFonts w:ascii="Verdana" w:hAnsi="Verdana" w:cs="Arial"/>
          <w:bCs/>
          <w:lang w:val="en-GB"/>
        </w:rPr>
      </w:pPr>
    </w:p>
    <w:p w14:paraId="5979FA63" w14:textId="2429D69F" w:rsidR="00267371" w:rsidRPr="007722EF" w:rsidRDefault="005D7F7B" w:rsidP="00267371">
      <w:pPr>
        <w:keepNext/>
        <w:widowControl w:val="0"/>
        <w:tabs>
          <w:tab w:val="left" w:pos="3969"/>
        </w:tabs>
        <w:spacing w:after="120" w:line="240" w:lineRule="auto"/>
        <w:ind w:firstLine="720"/>
        <w:rPr>
          <w:rFonts w:ascii="Verdana" w:hAnsi="Verdana" w:cs="Arial"/>
          <w:lang w:val="en-GB"/>
        </w:rPr>
      </w:pPr>
      <w:r w:rsidRPr="007722EF">
        <w:rPr>
          <w:rFonts w:ascii="Verdana" w:hAnsi="Verdana" w:cs="Arial"/>
          <w:b/>
          <w:lang w:val="en-GB"/>
        </w:rPr>
        <w:t>Instructed by:</w:t>
      </w:r>
      <w:r w:rsidRPr="007722EF">
        <w:rPr>
          <w:rFonts w:ascii="Verdana" w:hAnsi="Verdana" w:cs="Arial"/>
          <w:lang w:val="en-GB"/>
        </w:rPr>
        <w:t xml:space="preserve"> </w:t>
      </w:r>
      <w:r w:rsidRPr="007722EF">
        <w:rPr>
          <w:rFonts w:ascii="Verdana" w:hAnsi="Verdana" w:cs="Arial"/>
          <w:lang w:val="en-GB"/>
        </w:rPr>
        <w:tab/>
      </w:r>
      <w:r w:rsidR="00CC128D" w:rsidRPr="007722EF">
        <w:rPr>
          <w:rFonts w:ascii="Verdana" w:hAnsi="Verdana" w:cs="Arial"/>
          <w:lang w:val="en-GB"/>
        </w:rPr>
        <w:t xml:space="preserve">Jaco </w:t>
      </w:r>
      <w:proofErr w:type="spellStart"/>
      <w:r w:rsidR="00CC128D" w:rsidRPr="007722EF">
        <w:rPr>
          <w:rFonts w:ascii="Verdana" w:hAnsi="Verdana" w:cs="Arial"/>
          <w:lang w:val="en-GB"/>
        </w:rPr>
        <w:t>Roos</w:t>
      </w:r>
      <w:proofErr w:type="spellEnd"/>
      <w:r w:rsidR="00CC128D" w:rsidRPr="007722EF">
        <w:rPr>
          <w:rFonts w:ascii="Verdana" w:hAnsi="Verdana" w:cs="Arial"/>
          <w:lang w:val="en-GB"/>
        </w:rPr>
        <w:t xml:space="preserve"> Attorneys Incorporated</w:t>
      </w:r>
    </w:p>
    <w:p w14:paraId="37878507" w14:textId="58914096" w:rsidR="00267371" w:rsidRPr="007722EF" w:rsidRDefault="00CC128D" w:rsidP="00267371">
      <w:pPr>
        <w:keepNext/>
        <w:widowControl w:val="0"/>
        <w:tabs>
          <w:tab w:val="left" w:pos="3969"/>
        </w:tabs>
        <w:spacing w:after="120" w:line="240" w:lineRule="auto"/>
        <w:ind w:left="3600" w:firstLine="369"/>
        <w:rPr>
          <w:rFonts w:ascii="Verdana" w:hAnsi="Verdana" w:cs="Arial"/>
          <w:lang w:val="en-GB"/>
        </w:rPr>
      </w:pPr>
      <w:r w:rsidRPr="007722EF">
        <w:rPr>
          <w:rFonts w:ascii="Verdana" w:hAnsi="Verdana" w:cs="Arial"/>
          <w:lang w:val="en-GB"/>
        </w:rPr>
        <w:t>066-392-2291</w:t>
      </w:r>
    </w:p>
    <w:p w14:paraId="51ABCC16" w14:textId="57097424" w:rsidR="00267371" w:rsidRPr="007722EF" w:rsidRDefault="00000000" w:rsidP="00267371">
      <w:pPr>
        <w:keepNext/>
        <w:widowControl w:val="0"/>
        <w:tabs>
          <w:tab w:val="left" w:pos="3969"/>
        </w:tabs>
        <w:spacing w:after="120" w:line="240" w:lineRule="auto"/>
        <w:ind w:left="3600" w:firstLine="369"/>
        <w:rPr>
          <w:rFonts w:ascii="Verdana" w:hAnsi="Verdana" w:cs="Arial"/>
          <w:lang w:val="en-GB"/>
        </w:rPr>
      </w:pPr>
      <w:hyperlink r:id="rId10" w:history="1">
        <w:r w:rsidR="00CC128D" w:rsidRPr="007722EF">
          <w:rPr>
            <w:rStyle w:val="Hyperlink"/>
            <w:rFonts w:ascii="Verdana" w:hAnsi="Verdana" w:cs="Arial"/>
            <w:color w:val="auto"/>
            <w:lang w:val="en-GB"/>
          </w:rPr>
          <w:t>jaco@jacoroos.co.za</w:t>
        </w:r>
      </w:hyperlink>
      <w:r w:rsidR="00CC128D" w:rsidRPr="007722EF">
        <w:rPr>
          <w:rFonts w:ascii="Verdana" w:hAnsi="Verdana" w:cs="Arial"/>
          <w:lang w:val="en-GB"/>
        </w:rPr>
        <w:t xml:space="preserve"> </w:t>
      </w:r>
    </w:p>
    <w:p w14:paraId="3B4BE232" w14:textId="77777777" w:rsidR="005D7F7B" w:rsidRPr="007722EF" w:rsidRDefault="005D7F7B" w:rsidP="00410D25">
      <w:pPr>
        <w:widowControl w:val="0"/>
        <w:tabs>
          <w:tab w:val="left" w:pos="3969"/>
        </w:tabs>
        <w:spacing w:after="240" w:line="240" w:lineRule="auto"/>
        <w:rPr>
          <w:rFonts w:ascii="Verdana" w:hAnsi="Verdana" w:cs="Arial"/>
          <w:lang w:val="en-GB"/>
        </w:rPr>
      </w:pPr>
    </w:p>
    <w:p w14:paraId="76DE37F5" w14:textId="13E89DF4" w:rsidR="00AC20D2" w:rsidRPr="007722EF" w:rsidRDefault="00386CF6" w:rsidP="00410D25">
      <w:pPr>
        <w:keepNext/>
        <w:widowControl w:val="0"/>
        <w:tabs>
          <w:tab w:val="left" w:pos="3969"/>
        </w:tabs>
        <w:spacing w:after="120" w:line="240" w:lineRule="auto"/>
        <w:rPr>
          <w:rFonts w:ascii="Verdana" w:hAnsi="Verdana" w:cs="Arial"/>
          <w:lang w:val="en-GB"/>
        </w:rPr>
      </w:pPr>
      <w:r w:rsidRPr="007722EF">
        <w:rPr>
          <w:rFonts w:ascii="Verdana" w:hAnsi="Verdana" w:cs="Arial"/>
          <w:b/>
          <w:lang w:val="en-GB"/>
        </w:rPr>
        <w:t xml:space="preserve">On </w:t>
      </w:r>
      <w:r w:rsidR="00D136E5" w:rsidRPr="007722EF">
        <w:rPr>
          <w:rFonts w:ascii="Verdana" w:hAnsi="Verdana" w:cs="Arial"/>
          <w:b/>
          <w:lang w:val="en-GB"/>
        </w:rPr>
        <w:t>b</w:t>
      </w:r>
      <w:r w:rsidRPr="007722EF">
        <w:rPr>
          <w:rFonts w:ascii="Verdana" w:hAnsi="Verdana" w:cs="Arial"/>
          <w:b/>
          <w:lang w:val="en-GB"/>
        </w:rPr>
        <w:t xml:space="preserve">ehalf of </w:t>
      </w:r>
      <w:r w:rsidR="00CC128D" w:rsidRPr="007722EF">
        <w:rPr>
          <w:rFonts w:ascii="Verdana" w:hAnsi="Verdana" w:cs="Arial"/>
          <w:b/>
          <w:lang w:val="en-GB"/>
        </w:rPr>
        <w:t>plaintiffs</w:t>
      </w:r>
      <w:r w:rsidRPr="007722EF">
        <w:rPr>
          <w:rFonts w:ascii="Verdana" w:hAnsi="Verdana" w:cs="Arial"/>
          <w:b/>
          <w:lang w:val="en-GB"/>
        </w:rPr>
        <w:t xml:space="preserve">: </w:t>
      </w:r>
      <w:r w:rsidR="0006790C" w:rsidRPr="007722EF">
        <w:rPr>
          <w:rFonts w:ascii="Verdana" w:hAnsi="Verdana" w:cs="Arial"/>
          <w:lang w:val="en-GB"/>
        </w:rPr>
        <w:t xml:space="preserve"> </w:t>
      </w:r>
      <w:r w:rsidR="00D136E5" w:rsidRPr="007722EF">
        <w:rPr>
          <w:rFonts w:ascii="Verdana" w:hAnsi="Verdana" w:cs="Arial"/>
          <w:lang w:val="en-GB"/>
        </w:rPr>
        <w:tab/>
      </w:r>
      <w:r w:rsidR="00AC20D2" w:rsidRPr="007722EF">
        <w:rPr>
          <w:rFonts w:ascii="Verdana" w:hAnsi="Verdana" w:cs="Arial"/>
          <w:lang w:val="en-GB"/>
        </w:rPr>
        <w:t xml:space="preserve">Adv </w:t>
      </w:r>
      <w:r w:rsidR="00CC128D" w:rsidRPr="007722EF">
        <w:rPr>
          <w:rFonts w:ascii="Verdana" w:hAnsi="Verdana" w:cs="Arial"/>
          <w:lang w:val="en-GB"/>
        </w:rPr>
        <w:t>M Leathern;</w:t>
      </w:r>
    </w:p>
    <w:p w14:paraId="5E006158" w14:textId="16527DF4" w:rsidR="00CC128D" w:rsidRPr="007722EF" w:rsidRDefault="00CC128D" w:rsidP="00CC128D">
      <w:pPr>
        <w:keepNext/>
        <w:widowControl w:val="0"/>
        <w:tabs>
          <w:tab w:val="left" w:pos="3969"/>
        </w:tabs>
        <w:spacing w:after="120" w:line="240" w:lineRule="auto"/>
        <w:ind w:left="3969"/>
        <w:rPr>
          <w:rFonts w:ascii="Verdana" w:hAnsi="Verdana" w:cs="Arial"/>
          <w:lang w:val="en-GB"/>
        </w:rPr>
      </w:pPr>
      <w:r w:rsidRPr="007722EF">
        <w:rPr>
          <w:rFonts w:ascii="Verdana" w:hAnsi="Verdana" w:cs="Arial"/>
          <w:lang w:val="en-GB"/>
        </w:rPr>
        <w:t xml:space="preserve">Adv L </w:t>
      </w:r>
      <w:proofErr w:type="spellStart"/>
      <w:r w:rsidRPr="007722EF">
        <w:rPr>
          <w:rFonts w:ascii="Verdana" w:hAnsi="Verdana" w:cs="Arial"/>
          <w:lang w:val="en-GB"/>
        </w:rPr>
        <w:t>Meintjes</w:t>
      </w:r>
      <w:proofErr w:type="spellEnd"/>
    </w:p>
    <w:p w14:paraId="4A7BAC35" w14:textId="77777777" w:rsidR="001768C6" w:rsidRPr="007722EF" w:rsidRDefault="001768C6" w:rsidP="00410D25">
      <w:pPr>
        <w:keepNext/>
        <w:widowControl w:val="0"/>
        <w:tabs>
          <w:tab w:val="left" w:pos="3969"/>
        </w:tabs>
        <w:spacing w:after="120" w:line="240" w:lineRule="auto"/>
        <w:ind w:left="3969"/>
        <w:rPr>
          <w:rFonts w:ascii="Verdana" w:hAnsi="Verdana" w:cs="Arial"/>
          <w:bCs/>
          <w:lang w:val="en-GB"/>
        </w:rPr>
      </w:pPr>
    </w:p>
    <w:p w14:paraId="49471E31" w14:textId="4174B3C5" w:rsidR="00267371" w:rsidRPr="007722EF" w:rsidRDefault="00AC20D2" w:rsidP="00267371">
      <w:pPr>
        <w:keepNext/>
        <w:widowControl w:val="0"/>
        <w:tabs>
          <w:tab w:val="left" w:pos="3969"/>
        </w:tabs>
        <w:spacing w:after="120" w:line="240" w:lineRule="auto"/>
        <w:ind w:firstLine="720"/>
        <w:rPr>
          <w:rFonts w:ascii="Verdana" w:hAnsi="Verdana" w:cs="Arial"/>
          <w:lang w:val="en-GB"/>
        </w:rPr>
      </w:pPr>
      <w:r w:rsidRPr="007722EF">
        <w:rPr>
          <w:rFonts w:ascii="Verdana" w:hAnsi="Verdana" w:cs="Arial"/>
          <w:b/>
          <w:lang w:val="en-GB"/>
        </w:rPr>
        <w:t>Instructed by:</w:t>
      </w:r>
      <w:r w:rsidRPr="007722EF">
        <w:rPr>
          <w:rFonts w:ascii="Verdana" w:hAnsi="Verdana" w:cs="Arial"/>
          <w:lang w:val="en-GB"/>
        </w:rPr>
        <w:t xml:space="preserve"> </w:t>
      </w:r>
      <w:r w:rsidRPr="007722EF">
        <w:rPr>
          <w:rFonts w:ascii="Verdana" w:hAnsi="Verdana" w:cs="Arial"/>
          <w:lang w:val="en-GB"/>
        </w:rPr>
        <w:tab/>
      </w:r>
      <w:proofErr w:type="spellStart"/>
      <w:r w:rsidR="00CC128D" w:rsidRPr="007722EF">
        <w:rPr>
          <w:rFonts w:ascii="Verdana" w:hAnsi="Verdana" w:cs="Arial"/>
          <w:lang w:val="en-GB"/>
        </w:rPr>
        <w:t>Kyriacou</w:t>
      </w:r>
      <w:proofErr w:type="spellEnd"/>
      <w:r w:rsidR="00CC128D" w:rsidRPr="007722EF">
        <w:rPr>
          <w:rFonts w:ascii="Verdana" w:hAnsi="Verdana" w:cs="Arial"/>
          <w:lang w:val="en-GB"/>
        </w:rPr>
        <w:t xml:space="preserve"> Incorporated</w:t>
      </w:r>
    </w:p>
    <w:p w14:paraId="50FED01B" w14:textId="478077EC" w:rsidR="00267371" w:rsidRPr="007722EF" w:rsidRDefault="00CC128D" w:rsidP="00410D25">
      <w:pPr>
        <w:keepNext/>
        <w:widowControl w:val="0"/>
        <w:tabs>
          <w:tab w:val="left" w:pos="3969"/>
        </w:tabs>
        <w:spacing w:after="120" w:line="240" w:lineRule="auto"/>
        <w:ind w:left="3969"/>
        <w:rPr>
          <w:rFonts w:ascii="Verdana" w:hAnsi="Verdana" w:cs="Arial"/>
          <w:lang w:val="en-GB"/>
        </w:rPr>
      </w:pPr>
      <w:r w:rsidRPr="007722EF">
        <w:rPr>
          <w:rFonts w:ascii="Verdana" w:hAnsi="Verdana" w:cs="Arial"/>
          <w:lang w:val="en-GB"/>
        </w:rPr>
        <w:t>082-261-9310</w:t>
      </w:r>
    </w:p>
    <w:p w14:paraId="10EB97A1" w14:textId="560AFC5D" w:rsidR="00AC20D2" w:rsidRPr="007722EF" w:rsidRDefault="00000000" w:rsidP="00410D25">
      <w:pPr>
        <w:keepNext/>
        <w:widowControl w:val="0"/>
        <w:tabs>
          <w:tab w:val="left" w:pos="3969"/>
        </w:tabs>
        <w:spacing w:after="120" w:line="240" w:lineRule="auto"/>
        <w:ind w:left="3969"/>
        <w:rPr>
          <w:rFonts w:ascii="Verdana" w:hAnsi="Verdana" w:cs="Arial"/>
          <w:lang w:val="en-GB"/>
        </w:rPr>
      </w:pPr>
      <w:hyperlink r:id="rId11" w:history="1">
        <w:r w:rsidR="00CC128D" w:rsidRPr="007722EF">
          <w:rPr>
            <w:rStyle w:val="Hyperlink"/>
            <w:rFonts w:ascii="Verdana" w:hAnsi="Verdana" w:cs="Arial"/>
            <w:color w:val="auto"/>
            <w:lang w:val="en-GB"/>
          </w:rPr>
          <w:t>mario@kincorporated.co.za</w:t>
        </w:r>
      </w:hyperlink>
      <w:r w:rsidR="00CC128D" w:rsidRPr="007722EF">
        <w:rPr>
          <w:rFonts w:ascii="Verdana" w:hAnsi="Verdana" w:cs="Arial"/>
          <w:lang w:val="en-GB"/>
        </w:rPr>
        <w:t xml:space="preserve"> </w:t>
      </w:r>
    </w:p>
    <w:sectPr w:rsidR="00AC20D2" w:rsidRPr="007722EF" w:rsidSect="00F46B89">
      <w:headerReference w:type="default" r:id="rId12"/>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C12E" w14:textId="77777777" w:rsidR="00200AA6" w:rsidRDefault="00200AA6" w:rsidP="009760D6">
      <w:pPr>
        <w:spacing w:after="0" w:line="240" w:lineRule="auto"/>
      </w:pPr>
      <w:r>
        <w:separator/>
      </w:r>
    </w:p>
  </w:endnote>
  <w:endnote w:type="continuationSeparator" w:id="0">
    <w:p w14:paraId="436E5CE4" w14:textId="77777777" w:rsidR="00200AA6" w:rsidRDefault="00200AA6"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88F5" w14:textId="77777777" w:rsidR="00200AA6" w:rsidRDefault="00200AA6" w:rsidP="009760D6">
      <w:pPr>
        <w:spacing w:after="0" w:line="240" w:lineRule="auto"/>
      </w:pPr>
      <w:r>
        <w:separator/>
      </w:r>
    </w:p>
  </w:footnote>
  <w:footnote w:type="continuationSeparator" w:id="0">
    <w:p w14:paraId="4AC1ADC2" w14:textId="77777777" w:rsidR="00200AA6" w:rsidRDefault="00200AA6" w:rsidP="009760D6">
      <w:pPr>
        <w:spacing w:after="0" w:line="240" w:lineRule="auto"/>
      </w:pPr>
      <w:r>
        <w:continuationSeparator/>
      </w:r>
    </w:p>
  </w:footnote>
  <w:footnote w:id="1">
    <w:p w14:paraId="703EC140" w14:textId="3B181156" w:rsidR="00DB5409" w:rsidRPr="00627249" w:rsidRDefault="00DB5409" w:rsidP="008B1845">
      <w:pPr>
        <w:pStyle w:val="FootnoteText"/>
        <w:spacing w:after="40"/>
        <w:jc w:val="both"/>
        <w:rPr>
          <w:szCs w:val="18"/>
          <w:lang w:val="en-US"/>
        </w:rPr>
      </w:pPr>
      <w:r w:rsidRPr="00627249">
        <w:rPr>
          <w:rStyle w:val="FootnoteReference"/>
          <w:szCs w:val="18"/>
        </w:rPr>
        <w:footnoteRef/>
      </w:r>
      <w:r w:rsidRPr="00627249">
        <w:rPr>
          <w:szCs w:val="18"/>
        </w:rPr>
        <w:t xml:space="preserve"> </w:t>
      </w:r>
      <w:r w:rsidRPr="00627249">
        <w:rPr>
          <w:szCs w:val="18"/>
          <w:lang w:val="en-US"/>
        </w:rPr>
        <w:tab/>
        <w:t>Excluding the excluded assets.</w:t>
      </w:r>
    </w:p>
  </w:footnote>
  <w:footnote w:id="2">
    <w:p w14:paraId="6911DC0B" w14:textId="70395764" w:rsidR="00A15EC6" w:rsidRPr="00627249" w:rsidRDefault="00A15EC6" w:rsidP="008B1845">
      <w:pPr>
        <w:pStyle w:val="FootnoteText"/>
        <w:spacing w:after="40"/>
        <w:jc w:val="both"/>
        <w:rPr>
          <w:szCs w:val="18"/>
        </w:rPr>
      </w:pPr>
      <w:r w:rsidRPr="00627249">
        <w:rPr>
          <w:rStyle w:val="FootnoteReference"/>
          <w:szCs w:val="18"/>
        </w:rPr>
        <w:footnoteRef/>
      </w:r>
      <w:r w:rsidRPr="00627249">
        <w:rPr>
          <w:szCs w:val="18"/>
        </w:rPr>
        <w:t xml:space="preserve"> </w:t>
      </w:r>
      <w:r w:rsidRPr="00627249">
        <w:rPr>
          <w:szCs w:val="18"/>
        </w:rPr>
        <w:tab/>
        <w:t xml:space="preserve">Clause </w:t>
      </w:r>
      <w:r w:rsidR="00D21421" w:rsidRPr="00627249">
        <w:rPr>
          <w:szCs w:val="18"/>
        </w:rPr>
        <w:t>2.2.25</w:t>
      </w:r>
      <w:r w:rsidR="00A30C01" w:rsidRPr="00627249">
        <w:rPr>
          <w:szCs w:val="18"/>
        </w:rPr>
        <w:t>.</w:t>
      </w:r>
    </w:p>
  </w:footnote>
  <w:footnote w:id="3">
    <w:p w14:paraId="58CAFC24" w14:textId="392D7E5E" w:rsidR="0027464E" w:rsidRPr="00627249" w:rsidRDefault="0027464E" w:rsidP="008B1845">
      <w:pPr>
        <w:pStyle w:val="FootnoteText"/>
        <w:spacing w:after="40"/>
        <w:ind w:left="720" w:hanging="720"/>
        <w:jc w:val="both"/>
        <w:rPr>
          <w:szCs w:val="18"/>
        </w:rPr>
      </w:pPr>
      <w:r w:rsidRPr="00627249">
        <w:rPr>
          <w:rStyle w:val="FootnoteReference"/>
          <w:szCs w:val="18"/>
        </w:rPr>
        <w:footnoteRef/>
      </w:r>
      <w:r w:rsidRPr="00627249">
        <w:rPr>
          <w:szCs w:val="18"/>
        </w:rPr>
        <w:t xml:space="preserve"> </w:t>
      </w:r>
      <w:r w:rsidRPr="00627249">
        <w:rPr>
          <w:szCs w:val="18"/>
        </w:rPr>
        <w:tab/>
        <w:t xml:space="preserve">Plaintiff’s particulars of claim: paragraph 8, including sub-paragraphs 8.1 to 8.3. </w:t>
      </w:r>
    </w:p>
  </w:footnote>
  <w:footnote w:id="4">
    <w:p w14:paraId="256411B0" w14:textId="682EC1AE" w:rsidR="0027464E" w:rsidRPr="00627249" w:rsidRDefault="0027464E" w:rsidP="008B1845">
      <w:pPr>
        <w:pStyle w:val="FootnoteText"/>
        <w:spacing w:after="40"/>
        <w:ind w:left="720" w:hanging="720"/>
        <w:jc w:val="both"/>
        <w:rPr>
          <w:szCs w:val="18"/>
        </w:rPr>
      </w:pPr>
      <w:r w:rsidRPr="00627249">
        <w:rPr>
          <w:rStyle w:val="FootnoteReference"/>
          <w:szCs w:val="18"/>
        </w:rPr>
        <w:footnoteRef/>
      </w:r>
      <w:r w:rsidRPr="00627249">
        <w:rPr>
          <w:szCs w:val="18"/>
        </w:rPr>
        <w:t xml:space="preserve"> </w:t>
      </w:r>
      <w:r w:rsidRPr="00627249">
        <w:rPr>
          <w:szCs w:val="18"/>
        </w:rPr>
        <w:tab/>
        <w:t>Notice of exception: paragraph 5, including sub-paragraphs 5.3 to 5.4 and paragraphs 6, 6.1 and 6.2.</w:t>
      </w:r>
    </w:p>
  </w:footnote>
  <w:footnote w:id="5">
    <w:p w14:paraId="30EF5813" w14:textId="24823564" w:rsidR="007B1473" w:rsidRPr="00627249" w:rsidRDefault="007B1473" w:rsidP="008B1845">
      <w:pPr>
        <w:pStyle w:val="FootnoteText"/>
        <w:spacing w:after="40"/>
        <w:ind w:left="709" w:hanging="709"/>
        <w:jc w:val="both"/>
        <w:rPr>
          <w:szCs w:val="18"/>
        </w:rPr>
      </w:pPr>
      <w:r w:rsidRPr="00627249">
        <w:rPr>
          <w:rStyle w:val="FootnoteReference"/>
          <w:szCs w:val="18"/>
        </w:rPr>
        <w:footnoteRef/>
      </w:r>
      <w:r w:rsidRPr="00627249">
        <w:rPr>
          <w:szCs w:val="18"/>
        </w:rPr>
        <w:t xml:space="preserve"> </w:t>
      </w:r>
      <w:r w:rsidRPr="00627249">
        <w:rPr>
          <w:szCs w:val="18"/>
        </w:rPr>
        <w:tab/>
      </w:r>
      <w:r w:rsidR="00793046" w:rsidRPr="00627249">
        <w:rPr>
          <w:i/>
          <w:iCs/>
          <w:szCs w:val="18"/>
        </w:rPr>
        <w:t>Living</w:t>
      </w:r>
      <w:r w:rsidR="00793046" w:rsidRPr="00627249">
        <w:rPr>
          <w:i/>
          <w:iCs/>
          <w:szCs w:val="18"/>
          <w:shd w:val="clear" w:color="auto" w:fill="FFFFFF"/>
        </w:rPr>
        <w:t> </w:t>
      </w:r>
      <w:r w:rsidR="00793046" w:rsidRPr="00627249">
        <w:rPr>
          <w:i/>
          <w:iCs/>
          <w:szCs w:val="18"/>
        </w:rPr>
        <w:t>Hands</w:t>
      </w:r>
      <w:r w:rsidR="00793046" w:rsidRPr="00627249">
        <w:rPr>
          <w:i/>
          <w:iCs/>
          <w:szCs w:val="18"/>
          <w:shd w:val="clear" w:color="auto" w:fill="FFFFFF"/>
        </w:rPr>
        <w:t> (Pty) Ltd and Another </w:t>
      </w:r>
      <w:r w:rsidR="00793046" w:rsidRPr="00627249">
        <w:rPr>
          <w:i/>
          <w:iCs/>
          <w:szCs w:val="18"/>
        </w:rPr>
        <w:t>v</w:t>
      </w:r>
      <w:r w:rsidR="00793046" w:rsidRPr="00627249">
        <w:rPr>
          <w:i/>
          <w:iCs/>
          <w:szCs w:val="18"/>
          <w:shd w:val="clear" w:color="auto" w:fill="FFFFFF"/>
        </w:rPr>
        <w:t> </w:t>
      </w:r>
      <w:r w:rsidR="00793046" w:rsidRPr="00627249">
        <w:rPr>
          <w:i/>
          <w:iCs/>
          <w:szCs w:val="18"/>
        </w:rPr>
        <w:t>Ditz</w:t>
      </w:r>
      <w:r w:rsidR="00793046" w:rsidRPr="00627249">
        <w:rPr>
          <w:i/>
          <w:iCs/>
          <w:szCs w:val="18"/>
          <w:shd w:val="clear" w:color="auto" w:fill="FFFFFF"/>
        </w:rPr>
        <w:t> and Others</w:t>
      </w:r>
      <w:r w:rsidR="00793046" w:rsidRPr="00627249">
        <w:rPr>
          <w:b/>
          <w:bCs/>
          <w:szCs w:val="18"/>
        </w:rPr>
        <w:t xml:space="preserve"> </w:t>
      </w:r>
      <w:r w:rsidR="00793046" w:rsidRPr="00627249">
        <w:rPr>
          <w:szCs w:val="18"/>
          <w:shd w:val="clear" w:color="auto" w:fill="FFFFFF"/>
        </w:rPr>
        <w:t>2013 (2) SA 368 (GSJ) par [</w:t>
      </w:r>
      <w:r w:rsidR="000612F7" w:rsidRPr="00627249">
        <w:rPr>
          <w:szCs w:val="18"/>
          <w:shd w:val="clear" w:color="auto" w:fill="FFFFFF"/>
        </w:rPr>
        <w:t>1</w:t>
      </w:r>
      <w:r w:rsidR="00793046" w:rsidRPr="00627249">
        <w:rPr>
          <w:szCs w:val="18"/>
          <w:shd w:val="clear" w:color="auto" w:fill="FFFFFF"/>
        </w:rPr>
        <w:t>5</w:t>
      </w:r>
      <w:r w:rsidR="000612F7" w:rsidRPr="00627249">
        <w:rPr>
          <w:szCs w:val="18"/>
          <w:shd w:val="clear" w:color="auto" w:fill="FFFFFF"/>
        </w:rPr>
        <w:t>]</w:t>
      </w:r>
      <w:r w:rsidR="00627249" w:rsidRPr="00627249">
        <w:rPr>
          <w:szCs w:val="18"/>
          <w:shd w:val="clear" w:color="auto" w:fill="FFFFFF"/>
        </w:rPr>
        <w:t>.</w:t>
      </w:r>
    </w:p>
  </w:footnote>
  <w:footnote w:id="6">
    <w:p w14:paraId="254D87F6" w14:textId="041A9BEF" w:rsidR="0063603D" w:rsidRPr="00627249" w:rsidRDefault="0063603D" w:rsidP="008B1845">
      <w:pPr>
        <w:pStyle w:val="FootnoteText"/>
        <w:spacing w:after="40"/>
        <w:ind w:left="709" w:hanging="709"/>
        <w:jc w:val="both"/>
        <w:rPr>
          <w:szCs w:val="18"/>
        </w:rPr>
      </w:pPr>
      <w:r w:rsidRPr="00627249">
        <w:rPr>
          <w:rStyle w:val="FootnoteReference"/>
          <w:szCs w:val="18"/>
        </w:rPr>
        <w:footnoteRef/>
      </w:r>
      <w:r w:rsidRPr="00627249">
        <w:rPr>
          <w:szCs w:val="18"/>
        </w:rPr>
        <w:t xml:space="preserve"> </w:t>
      </w:r>
      <w:r w:rsidRPr="00627249">
        <w:rPr>
          <w:szCs w:val="18"/>
        </w:rPr>
        <w:tab/>
      </w:r>
      <w:r w:rsidR="00821680" w:rsidRPr="00627249">
        <w:rPr>
          <w:i/>
          <w:iCs/>
          <w:szCs w:val="18"/>
          <w:shd w:val="clear" w:color="auto" w:fill="FFFFFF"/>
        </w:rPr>
        <w:t>Barclays Bank International Ltd v African Diamond Exporters (Pty) Ltd (2)</w:t>
      </w:r>
      <w:r w:rsidR="00627249" w:rsidRPr="00627249">
        <w:rPr>
          <w:i/>
          <w:iCs/>
          <w:szCs w:val="18"/>
          <w:shd w:val="clear" w:color="auto" w:fill="FFFFFF"/>
        </w:rPr>
        <w:t xml:space="preserve"> </w:t>
      </w:r>
      <w:r w:rsidR="00627249" w:rsidRPr="00627249">
        <w:rPr>
          <w:szCs w:val="18"/>
          <w:shd w:val="clear" w:color="auto" w:fill="FFFFFF"/>
        </w:rPr>
        <w:t>1976 (1) SA 100 (W)</w:t>
      </w:r>
      <w:r w:rsidR="00821680" w:rsidRPr="00627249">
        <w:rPr>
          <w:szCs w:val="18"/>
          <w:shd w:val="clear" w:color="auto" w:fill="FFFFFF"/>
        </w:rPr>
        <w:t>.</w:t>
      </w:r>
    </w:p>
  </w:footnote>
  <w:footnote w:id="7">
    <w:p w14:paraId="13AD4503" w14:textId="7CA2DE6F" w:rsidR="000C5FF6" w:rsidRPr="00627249" w:rsidRDefault="000C5FF6" w:rsidP="008B1845">
      <w:pPr>
        <w:pStyle w:val="FootnoteText"/>
        <w:spacing w:after="40"/>
        <w:jc w:val="both"/>
        <w:rPr>
          <w:szCs w:val="18"/>
          <w:lang w:val="nl-NL"/>
        </w:rPr>
      </w:pPr>
      <w:r w:rsidRPr="00627249">
        <w:rPr>
          <w:rStyle w:val="FootnoteReference"/>
          <w:szCs w:val="18"/>
        </w:rPr>
        <w:footnoteRef/>
      </w:r>
      <w:r w:rsidRPr="00627249">
        <w:rPr>
          <w:szCs w:val="18"/>
          <w:lang w:val="nl-NL"/>
        </w:rPr>
        <w:t xml:space="preserve"> </w:t>
      </w:r>
      <w:r w:rsidRPr="00627249">
        <w:rPr>
          <w:szCs w:val="18"/>
          <w:lang w:val="nl-NL"/>
        </w:rPr>
        <w:tab/>
      </w:r>
      <w:r w:rsidRPr="00627249">
        <w:rPr>
          <w:i/>
          <w:iCs/>
          <w:szCs w:val="18"/>
          <w:shd w:val="clear" w:color="auto" w:fill="FFFFFF"/>
          <w:lang w:val="nl-NL"/>
        </w:rPr>
        <w:t>Van der Westhuizen v Le Roux and Le Roux</w:t>
      </w:r>
      <w:r w:rsidRPr="00627249">
        <w:rPr>
          <w:szCs w:val="18"/>
          <w:shd w:val="clear" w:color="auto" w:fill="FFFFFF"/>
          <w:lang w:val="nl-NL"/>
        </w:rPr>
        <w:t> </w:t>
      </w:r>
      <w:r w:rsidR="00627249" w:rsidRPr="00627249">
        <w:rPr>
          <w:szCs w:val="18"/>
          <w:shd w:val="clear" w:color="auto" w:fill="FFFFFF"/>
          <w:lang w:val="nl-NL"/>
        </w:rPr>
        <w:t xml:space="preserve">1947 (3) SA 385 (C) </w:t>
      </w:r>
      <w:r w:rsidRPr="00627249">
        <w:rPr>
          <w:szCs w:val="18"/>
          <w:shd w:val="clear" w:color="auto" w:fill="FFFFFF"/>
          <w:lang w:val="nl-NL"/>
        </w:rPr>
        <w:t>at 390.</w:t>
      </w:r>
    </w:p>
  </w:footnote>
  <w:footnote w:id="8">
    <w:p w14:paraId="61EC7AEB" w14:textId="69FCDDD6" w:rsidR="00FB0A97" w:rsidRPr="00627249" w:rsidRDefault="00FB0A97" w:rsidP="008B1845">
      <w:pPr>
        <w:pStyle w:val="FootnoteText"/>
        <w:spacing w:after="40"/>
        <w:ind w:left="709" w:hanging="709"/>
        <w:jc w:val="both"/>
        <w:rPr>
          <w:szCs w:val="18"/>
        </w:rPr>
      </w:pPr>
      <w:r w:rsidRPr="00627249">
        <w:rPr>
          <w:rStyle w:val="FootnoteReference"/>
          <w:szCs w:val="18"/>
        </w:rPr>
        <w:footnoteRef/>
      </w:r>
      <w:r w:rsidRPr="00627249">
        <w:rPr>
          <w:szCs w:val="18"/>
        </w:rPr>
        <w:t xml:space="preserve"> </w:t>
      </w:r>
      <w:r w:rsidRPr="00627249">
        <w:rPr>
          <w:szCs w:val="18"/>
        </w:rPr>
        <w:tab/>
      </w:r>
      <w:proofErr w:type="spellStart"/>
      <w:r w:rsidRPr="00627249">
        <w:rPr>
          <w:i/>
          <w:iCs/>
          <w:szCs w:val="18"/>
          <w:shd w:val="clear" w:color="auto" w:fill="FFFFFF"/>
        </w:rPr>
        <w:t>Fairoaks</w:t>
      </w:r>
      <w:proofErr w:type="spellEnd"/>
      <w:r w:rsidRPr="00627249">
        <w:rPr>
          <w:i/>
          <w:iCs/>
          <w:szCs w:val="18"/>
          <w:shd w:val="clear" w:color="auto" w:fill="FFFFFF"/>
        </w:rPr>
        <w:t xml:space="preserve"> Investment Holdings (Pty) Ltd and Another v Oliver and Others</w:t>
      </w:r>
      <w:r w:rsidRPr="00627249">
        <w:rPr>
          <w:szCs w:val="18"/>
          <w:shd w:val="clear" w:color="auto" w:fill="FFFFFF"/>
        </w:rPr>
        <w:t> </w:t>
      </w:r>
      <w:r w:rsidR="00627249" w:rsidRPr="00627249">
        <w:rPr>
          <w:szCs w:val="18"/>
          <w:shd w:val="clear" w:color="auto" w:fill="FFFFFF"/>
        </w:rPr>
        <w:t>2008 (4) SA 302 (SCA)</w:t>
      </w:r>
      <w:hyperlink r:id="rId1" w:history="1"/>
      <w:r w:rsidRPr="00627249">
        <w:rPr>
          <w:szCs w:val="18"/>
          <w:shd w:val="clear" w:color="auto" w:fill="FFFFFF"/>
        </w:rPr>
        <w:t xml:space="preserve"> par</w:t>
      </w:r>
      <w:r w:rsidRPr="00627249">
        <w:rPr>
          <w:i/>
          <w:iCs/>
          <w:szCs w:val="18"/>
          <w:shd w:val="clear" w:color="auto" w:fill="FFFFFF"/>
        </w:rPr>
        <w:t xml:space="preserve"> </w:t>
      </w:r>
      <w:r w:rsidRPr="00627249">
        <w:rPr>
          <w:szCs w:val="18"/>
          <w:shd w:val="clear" w:color="auto" w:fill="FFFFFF"/>
        </w:rPr>
        <w:t>12</w:t>
      </w:r>
      <w:r w:rsidR="00627249" w:rsidRPr="00627249">
        <w:rPr>
          <w:szCs w:val="18"/>
          <w:shd w:val="clear" w:color="auto" w:fill="FFFFFF"/>
        </w:rPr>
        <w:t>.</w:t>
      </w:r>
    </w:p>
  </w:footnote>
  <w:footnote w:id="9">
    <w:p w14:paraId="425D7FC4" w14:textId="32AC8588" w:rsidR="00FB0A97" w:rsidRPr="00627249" w:rsidRDefault="00FB0A97" w:rsidP="008B1845">
      <w:pPr>
        <w:pStyle w:val="FootnoteText"/>
        <w:spacing w:after="40"/>
        <w:ind w:left="709" w:hanging="709"/>
        <w:jc w:val="both"/>
        <w:rPr>
          <w:szCs w:val="18"/>
        </w:rPr>
      </w:pPr>
      <w:r w:rsidRPr="00627249">
        <w:rPr>
          <w:rStyle w:val="FootnoteReference"/>
          <w:szCs w:val="18"/>
        </w:rPr>
        <w:footnoteRef/>
      </w:r>
      <w:r w:rsidRPr="00627249">
        <w:rPr>
          <w:szCs w:val="18"/>
        </w:rPr>
        <w:t xml:space="preserve"> </w:t>
      </w:r>
      <w:r w:rsidRPr="00627249">
        <w:rPr>
          <w:szCs w:val="18"/>
        </w:rPr>
        <w:tab/>
      </w:r>
      <w:proofErr w:type="spellStart"/>
      <w:r w:rsidR="00F848B6" w:rsidRPr="00627249">
        <w:rPr>
          <w:i/>
          <w:iCs/>
          <w:szCs w:val="18"/>
          <w:shd w:val="clear" w:color="auto" w:fill="FFFFFF"/>
        </w:rPr>
        <w:t>Telematrix</w:t>
      </w:r>
      <w:proofErr w:type="spellEnd"/>
      <w:r w:rsidR="00F848B6" w:rsidRPr="00627249">
        <w:rPr>
          <w:i/>
          <w:iCs/>
          <w:szCs w:val="18"/>
          <w:shd w:val="clear" w:color="auto" w:fill="FFFFFF"/>
        </w:rPr>
        <w:t xml:space="preserve"> (Pty) Ltd t/a Matrix Vehicle Tracking v Advertising Standards Authority SA</w:t>
      </w:r>
      <w:r w:rsidR="00627249" w:rsidRPr="00627249">
        <w:rPr>
          <w:szCs w:val="18"/>
          <w:shd w:val="clear" w:color="auto" w:fill="FFFFFF"/>
        </w:rPr>
        <w:t xml:space="preserve"> 2006 (1) SA 461 (SCA) </w:t>
      </w:r>
      <w:r w:rsidR="00F848B6" w:rsidRPr="00627249">
        <w:rPr>
          <w:szCs w:val="18"/>
        </w:rPr>
        <w:t>par 3</w:t>
      </w:r>
      <w:r w:rsidR="00627249" w:rsidRPr="00627249">
        <w:rPr>
          <w:szCs w:val="18"/>
        </w:rPr>
        <w:t>.</w:t>
      </w:r>
    </w:p>
  </w:footnote>
  <w:footnote w:id="10">
    <w:p w14:paraId="0315577D" w14:textId="15199159" w:rsidR="00F848B6" w:rsidRPr="00627249" w:rsidRDefault="00F848B6" w:rsidP="008B1845">
      <w:pPr>
        <w:pStyle w:val="FootnoteText"/>
        <w:spacing w:after="40"/>
        <w:jc w:val="both"/>
        <w:rPr>
          <w:szCs w:val="18"/>
        </w:rPr>
      </w:pPr>
      <w:r w:rsidRPr="00627249">
        <w:rPr>
          <w:rStyle w:val="FootnoteReference"/>
          <w:szCs w:val="18"/>
        </w:rPr>
        <w:footnoteRef/>
      </w:r>
      <w:r w:rsidRPr="00627249">
        <w:rPr>
          <w:szCs w:val="18"/>
        </w:rPr>
        <w:t xml:space="preserve"> </w:t>
      </w:r>
      <w:r w:rsidRPr="00627249">
        <w:rPr>
          <w:szCs w:val="18"/>
        </w:rPr>
        <w:tab/>
      </w:r>
      <w:r w:rsidR="00A4518E" w:rsidRPr="00627249">
        <w:rPr>
          <w:i/>
          <w:iCs/>
          <w:szCs w:val="18"/>
          <w:shd w:val="clear" w:color="auto" w:fill="FFFFFF"/>
        </w:rPr>
        <w:t>Jowell v Bramwell-Jones and Others</w:t>
      </w:r>
      <w:r w:rsidR="00627249" w:rsidRPr="00627249">
        <w:rPr>
          <w:i/>
          <w:iCs/>
          <w:szCs w:val="18"/>
          <w:shd w:val="clear" w:color="auto" w:fill="FFFFFF"/>
        </w:rPr>
        <w:t xml:space="preserve"> </w:t>
      </w:r>
      <w:r w:rsidR="00627249" w:rsidRPr="00627249">
        <w:rPr>
          <w:szCs w:val="18"/>
          <w:shd w:val="clear" w:color="auto" w:fill="FFFFFF"/>
        </w:rPr>
        <w:t xml:space="preserve">1998 (1) SA 836 (W) </w:t>
      </w:r>
      <w:r w:rsidR="00A4518E" w:rsidRPr="00627249">
        <w:rPr>
          <w:szCs w:val="18"/>
        </w:rPr>
        <w:t>at 902J</w:t>
      </w:r>
      <w:r w:rsidR="00627249" w:rsidRPr="00627249">
        <w:rPr>
          <w:szCs w:val="18"/>
        </w:rPr>
        <w:t>.</w:t>
      </w:r>
    </w:p>
  </w:footnote>
  <w:footnote w:id="11">
    <w:p w14:paraId="06ED8D66" w14:textId="195CCC57" w:rsidR="00A4518E" w:rsidRPr="00627249" w:rsidRDefault="00A4518E" w:rsidP="008B1845">
      <w:pPr>
        <w:pStyle w:val="FootnoteText"/>
        <w:spacing w:after="40"/>
        <w:jc w:val="both"/>
        <w:rPr>
          <w:szCs w:val="18"/>
        </w:rPr>
      </w:pPr>
      <w:r w:rsidRPr="00627249">
        <w:rPr>
          <w:rStyle w:val="FootnoteReference"/>
          <w:szCs w:val="18"/>
        </w:rPr>
        <w:footnoteRef/>
      </w:r>
      <w:r w:rsidRPr="00627249">
        <w:rPr>
          <w:szCs w:val="18"/>
        </w:rPr>
        <w:t xml:space="preserve"> </w:t>
      </w:r>
      <w:r w:rsidRPr="00627249">
        <w:rPr>
          <w:szCs w:val="18"/>
        </w:rPr>
        <w:tab/>
      </w:r>
      <w:r w:rsidRPr="00627249">
        <w:rPr>
          <w:i/>
          <w:iCs/>
          <w:szCs w:val="18"/>
          <w:shd w:val="clear" w:color="auto" w:fill="FFFFFF"/>
        </w:rPr>
        <w:t>Jowell</w:t>
      </w:r>
      <w:r w:rsidRPr="00627249">
        <w:rPr>
          <w:szCs w:val="18"/>
          <w:shd w:val="clear" w:color="auto" w:fill="FFFFFF"/>
        </w:rPr>
        <w:t> </w:t>
      </w:r>
      <w:r w:rsidR="00627249" w:rsidRPr="00627249">
        <w:rPr>
          <w:szCs w:val="18"/>
          <w:shd w:val="clear" w:color="auto" w:fill="FFFFFF"/>
        </w:rPr>
        <w:t>(</w:t>
      </w:r>
      <w:r w:rsidRPr="00627249">
        <w:rPr>
          <w:i/>
          <w:iCs/>
          <w:szCs w:val="18"/>
          <w:shd w:val="clear" w:color="auto" w:fill="FFFFFF"/>
        </w:rPr>
        <w:t>supra</w:t>
      </w:r>
      <w:r w:rsidR="00627249" w:rsidRPr="00627249">
        <w:rPr>
          <w:szCs w:val="18"/>
          <w:shd w:val="clear" w:color="auto" w:fill="FFFFFF"/>
        </w:rPr>
        <w:t>)</w:t>
      </w:r>
      <w:r w:rsidRPr="00627249">
        <w:rPr>
          <w:szCs w:val="18"/>
          <w:shd w:val="clear" w:color="auto" w:fill="FFFFFF"/>
        </w:rPr>
        <w:t xml:space="preserve"> at 900J.</w:t>
      </w:r>
    </w:p>
  </w:footnote>
  <w:footnote w:id="12">
    <w:p w14:paraId="3164EEE6" w14:textId="48B89A8D" w:rsidR="0012209C" w:rsidRPr="00627249" w:rsidRDefault="0012209C" w:rsidP="008B1845">
      <w:pPr>
        <w:pStyle w:val="Indent"/>
        <w:numPr>
          <w:ilvl w:val="0"/>
          <w:numId w:val="0"/>
        </w:numPr>
        <w:spacing w:after="40"/>
        <w:jc w:val="both"/>
        <w:rPr>
          <w:rFonts w:ascii="Verdana" w:hAnsi="Verdana"/>
          <w:sz w:val="18"/>
          <w:szCs w:val="18"/>
        </w:rPr>
      </w:pPr>
      <w:r w:rsidRPr="00627249">
        <w:rPr>
          <w:rStyle w:val="FootnoteReference"/>
          <w:rFonts w:ascii="Verdana" w:hAnsi="Verdana"/>
          <w:sz w:val="18"/>
          <w:szCs w:val="18"/>
        </w:rPr>
        <w:footnoteRef/>
      </w:r>
      <w:r w:rsidRPr="00627249">
        <w:rPr>
          <w:rFonts w:ascii="Verdana" w:hAnsi="Verdana"/>
          <w:sz w:val="18"/>
          <w:szCs w:val="18"/>
        </w:rPr>
        <w:t xml:space="preserve"> </w:t>
      </w:r>
      <w:r w:rsidRPr="00627249">
        <w:rPr>
          <w:rFonts w:ascii="Verdana" w:hAnsi="Verdana"/>
          <w:sz w:val="18"/>
          <w:szCs w:val="18"/>
        </w:rPr>
        <w:tab/>
      </w:r>
      <w:proofErr w:type="spellStart"/>
      <w:r w:rsidRPr="00627249">
        <w:rPr>
          <w:rFonts w:ascii="Verdana" w:hAnsi="Verdana"/>
          <w:i/>
          <w:iCs/>
          <w:sz w:val="18"/>
          <w:szCs w:val="18"/>
          <w:shd w:val="clear" w:color="auto" w:fill="FFFFFF"/>
        </w:rPr>
        <w:t>Dettmann</w:t>
      </w:r>
      <w:proofErr w:type="spellEnd"/>
      <w:r w:rsidRPr="00627249">
        <w:rPr>
          <w:rFonts w:ascii="Verdana" w:hAnsi="Verdana"/>
          <w:i/>
          <w:iCs/>
          <w:sz w:val="18"/>
          <w:szCs w:val="18"/>
          <w:shd w:val="clear" w:color="auto" w:fill="FFFFFF"/>
        </w:rPr>
        <w:t xml:space="preserve"> v </w:t>
      </w:r>
      <w:proofErr w:type="spellStart"/>
      <w:r w:rsidRPr="00627249">
        <w:rPr>
          <w:rFonts w:ascii="Verdana" w:hAnsi="Verdana"/>
          <w:i/>
          <w:iCs/>
          <w:sz w:val="18"/>
          <w:szCs w:val="18"/>
          <w:shd w:val="clear" w:color="auto" w:fill="FFFFFF"/>
        </w:rPr>
        <w:t>Goldfain</w:t>
      </w:r>
      <w:proofErr w:type="spellEnd"/>
      <w:r w:rsidRPr="00627249">
        <w:rPr>
          <w:rFonts w:ascii="Verdana" w:hAnsi="Verdana"/>
          <w:i/>
          <w:iCs/>
          <w:sz w:val="18"/>
          <w:szCs w:val="18"/>
          <w:shd w:val="clear" w:color="auto" w:fill="FFFFFF"/>
        </w:rPr>
        <w:t xml:space="preserve"> and Another</w:t>
      </w:r>
      <w:r w:rsidR="00627249" w:rsidRPr="00627249">
        <w:rPr>
          <w:rFonts w:ascii="Verdana" w:hAnsi="Verdana"/>
          <w:sz w:val="18"/>
          <w:szCs w:val="18"/>
          <w:shd w:val="clear" w:color="auto" w:fill="FFFFFF"/>
        </w:rPr>
        <w:t xml:space="preserve"> 1975 (3) SA 385 (A) </w:t>
      </w:r>
      <w:r w:rsidRPr="00627249">
        <w:rPr>
          <w:rFonts w:ascii="Verdana" w:hAnsi="Verdana"/>
          <w:sz w:val="18"/>
          <w:szCs w:val="18"/>
          <w:shd w:val="clear" w:color="auto" w:fill="FFFFFF"/>
        </w:rPr>
        <w:t>at 400A</w:t>
      </w:r>
      <w:r w:rsidR="00627249" w:rsidRPr="00627249">
        <w:rPr>
          <w:rFonts w:ascii="Verdana" w:hAnsi="Verdana"/>
          <w:sz w:val="18"/>
          <w:szCs w:val="18"/>
          <w:shd w:val="clear" w:color="auto" w:fill="FFFFFF"/>
        </w:rPr>
        <w:t>.</w:t>
      </w:r>
    </w:p>
  </w:footnote>
  <w:footnote w:id="13">
    <w:p w14:paraId="33E4BDF3" w14:textId="5FB8CFCD" w:rsidR="007F0256" w:rsidRPr="00627249" w:rsidRDefault="007F0256" w:rsidP="008B1845">
      <w:pPr>
        <w:pStyle w:val="FootnoteText"/>
        <w:spacing w:after="40"/>
        <w:jc w:val="both"/>
        <w:rPr>
          <w:szCs w:val="18"/>
        </w:rPr>
      </w:pPr>
      <w:r w:rsidRPr="00627249">
        <w:rPr>
          <w:rStyle w:val="FootnoteReference"/>
          <w:szCs w:val="18"/>
        </w:rPr>
        <w:footnoteRef/>
      </w:r>
      <w:r w:rsidRPr="00627249">
        <w:rPr>
          <w:szCs w:val="18"/>
        </w:rPr>
        <w:t xml:space="preserve"> </w:t>
      </w:r>
      <w:r w:rsidRPr="00627249">
        <w:rPr>
          <w:szCs w:val="18"/>
        </w:rPr>
        <w:tab/>
        <w:t>J</w:t>
      </w:r>
      <w:r w:rsidRPr="00627249">
        <w:rPr>
          <w:i/>
          <w:iCs/>
          <w:szCs w:val="18"/>
          <w:shd w:val="clear" w:color="auto" w:fill="FFFFFF"/>
        </w:rPr>
        <w:t>ohnston v Leal</w:t>
      </w:r>
      <w:r w:rsidR="00627249" w:rsidRPr="00627249">
        <w:rPr>
          <w:szCs w:val="18"/>
          <w:shd w:val="clear" w:color="auto" w:fill="FFFFFF"/>
        </w:rPr>
        <w:t xml:space="preserve"> 1980 (3) SA 927 (A) </w:t>
      </w:r>
      <w:r w:rsidRPr="00627249">
        <w:rPr>
          <w:szCs w:val="18"/>
          <w:shd w:val="clear" w:color="auto" w:fill="FFFFFF"/>
        </w:rPr>
        <w:t>at 942H – 943A.</w:t>
      </w:r>
    </w:p>
  </w:footnote>
  <w:footnote w:id="14">
    <w:p w14:paraId="6957DEBA" w14:textId="77777777" w:rsidR="007F0256" w:rsidRPr="00627249" w:rsidRDefault="007F0256" w:rsidP="008B1845">
      <w:pPr>
        <w:pStyle w:val="FootnoteText"/>
        <w:spacing w:after="40"/>
        <w:jc w:val="both"/>
        <w:rPr>
          <w:szCs w:val="18"/>
        </w:rPr>
      </w:pPr>
      <w:r w:rsidRPr="00627249">
        <w:rPr>
          <w:rStyle w:val="FootnoteReference"/>
          <w:szCs w:val="18"/>
        </w:rPr>
        <w:footnoteRef/>
      </w:r>
      <w:r w:rsidRPr="00627249">
        <w:rPr>
          <w:szCs w:val="18"/>
        </w:rPr>
        <w:t xml:space="preserve"> </w:t>
      </w:r>
      <w:r w:rsidRPr="00627249">
        <w:rPr>
          <w:szCs w:val="18"/>
        </w:rPr>
        <w:tab/>
      </w:r>
      <w:r w:rsidRPr="00627249">
        <w:rPr>
          <w:szCs w:val="18"/>
          <w:shd w:val="clear" w:color="auto" w:fill="FFFFFF"/>
        </w:rPr>
        <w:t>Id at 938C – F.</w:t>
      </w:r>
    </w:p>
  </w:footnote>
  <w:footnote w:id="15">
    <w:p w14:paraId="6B088266" w14:textId="77777777" w:rsidR="007F0256" w:rsidRPr="00627249" w:rsidRDefault="007F0256" w:rsidP="008B1845">
      <w:pPr>
        <w:pStyle w:val="FootnoteText"/>
        <w:spacing w:after="40"/>
        <w:jc w:val="both"/>
        <w:rPr>
          <w:szCs w:val="18"/>
        </w:rPr>
      </w:pPr>
      <w:r w:rsidRPr="00627249">
        <w:rPr>
          <w:rStyle w:val="FootnoteReference"/>
          <w:szCs w:val="18"/>
        </w:rPr>
        <w:footnoteRef/>
      </w:r>
      <w:r w:rsidRPr="00627249">
        <w:rPr>
          <w:szCs w:val="18"/>
        </w:rPr>
        <w:t xml:space="preserve"> </w:t>
      </w:r>
      <w:r w:rsidRPr="00627249">
        <w:rPr>
          <w:szCs w:val="18"/>
        </w:rPr>
        <w:tab/>
      </w:r>
      <w:r w:rsidRPr="00627249">
        <w:rPr>
          <w:szCs w:val="18"/>
          <w:shd w:val="clear" w:color="auto" w:fill="FFFFFF"/>
        </w:rPr>
        <w:t>Id at 943B – C.</w:t>
      </w:r>
    </w:p>
  </w:footnote>
  <w:footnote w:id="16">
    <w:p w14:paraId="64D9DA4E" w14:textId="0BA1BFC2" w:rsidR="00B41353" w:rsidRPr="00627249" w:rsidRDefault="00B41353" w:rsidP="008B1845">
      <w:pPr>
        <w:pStyle w:val="FootnoteText"/>
        <w:spacing w:after="40"/>
        <w:ind w:left="709" w:hanging="709"/>
        <w:jc w:val="both"/>
        <w:rPr>
          <w:i/>
          <w:iCs/>
          <w:szCs w:val="18"/>
          <w:lang w:val="en-US"/>
        </w:rPr>
      </w:pPr>
      <w:r w:rsidRPr="00627249">
        <w:rPr>
          <w:rStyle w:val="FootnoteReference"/>
          <w:szCs w:val="18"/>
        </w:rPr>
        <w:footnoteRef/>
      </w:r>
      <w:r w:rsidRPr="00627249">
        <w:rPr>
          <w:szCs w:val="18"/>
        </w:rPr>
        <w:t xml:space="preserve"> </w:t>
      </w:r>
      <w:r w:rsidRPr="00627249">
        <w:rPr>
          <w:szCs w:val="18"/>
          <w:lang w:val="en-US"/>
        </w:rPr>
        <w:tab/>
      </w:r>
      <w:r w:rsidRPr="00627249">
        <w:rPr>
          <w:i/>
          <w:iCs/>
          <w:szCs w:val="18"/>
        </w:rPr>
        <w:t>KPMG</w:t>
      </w:r>
      <w:r w:rsidRPr="00627249">
        <w:rPr>
          <w:i/>
          <w:iCs/>
          <w:szCs w:val="18"/>
          <w:shd w:val="clear" w:color="auto" w:fill="FFFFFF"/>
        </w:rPr>
        <w:t> Chartered Accountants (SA) </w:t>
      </w:r>
      <w:r w:rsidRPr="00627249">
        <w:rPr>
          <w:i/>
          <w:iCs/>
          <w:szCs w:val="18"/>
        </w:rPr>
        <w:t>v</w:t>
      </w:r>
      <w:r w:rsidRPr="00627249">
        <w:rPr>
          <w:i/>
          <w:iCs/>
          <w:szCs w:val="18"/>
          <w:shd w:val="clear" w:color="auto" w:fill="FFFFFF"/>
        </w:rPr>
        <w:t> </w:t>
      </w:r>
      <w:proofErr w:type="spellStart"/>
      <w:r w:rsidRPr="00627249">
        <w:rPr>
          <w:i/>
          <w:iCs/>
          <w:szCs w:val="18"/>
        </w:rPr>
        <w:t>Securefin</w:t>
      </w:r>
      <w:proofErr w:type="spellEnd"/>
      <w:r w:rsidRPr="00627249">
        <w:rPr>
          <w:szCs w:val="18"/>
          <w:shd w:val="clear" w:color="auto" w:fill="FFFFFF"/>
        </w:rPr>
        <w:t> </w:t>
      </w:r>
      <w:r w:rsidRPr="00627249">
        <w:rPr>
          <w:i/>
          <w:iCs/>
          <w:szCs w:val="18"/>
          <w:shd w:val="clear" w:color="auto" w:fill="FFFFFF"/>
        </w:rPr>
        <w:t xml:space="preserve">supra </w:t>
      </w:r>
      <w:r w:rsidRPr="00627249">
        <w:rPr>
          <w:szCs w:val="18"/>
          <w:shd w:val="clear" w:color="auto" w:fill="FFFFFF"/>
        </w:rPr>
        <w:t xml:space="preserve">par </w:t>
      </w:r>
      <w:r w:rsidR="0057496B" w:rsidRPr="00627249">
        <w:rPr>
          <w:szCs w:val="18"/>
          <w:shd w:val="clear" w:color="auto" w:fill="FFFFFF"/>
        </w:rPr>
        <w:t>[39]</w:t>
      </w:r>
      <w:r w:rsidR="00D07823" w:rsidRPr="00627249">
        <w:rPr>
          <w:i/>
          <w:iCs/>
          <w:szCs w:val="18"/>
          <w:shd w:val="clear" w:color="auto" w:fill="FFFFFF"/>
        </w:rPr>
        <w:t xml:space="preserve">; </w:t>
      </w:r>
      <w:r w:rsidR="00D07823" w:rsidRPr="00627249">
        <w:rPr>
          <w:szCs w:val="18"/>
          <w:shd w:val="clear" w:color="auto" w:fill="FFFFFF"/>
        </w:rPr>
        <w:t>see also</w:t>
      </w:r>
      <w:r w:rsidR="00D07823" w:rsidRPr="00627249">
        <w:rPr>
          <w:i/>
          <w:iCs/>
          <w:szCs w:val="18"/>
          <w:shd w:val="clear" w:color="auto" w:fill="FFFFFF"/>
        </w:rPr>
        <w:t xml:space="preserve"> Johnson v Leal</w:t>
      </w:r>
      <w:r w:rsidR="00627249" w:rsidRPr="00627249">
        <w:rPr>
          <w:szCs w:val="18"/>
          <w:shd w:val="clear" w:color="auto" w:fill="FFFFFF"/>
        </w:rPr>
        <w:t xml:space="preserve"> 1980 (3) SA 927 (A) </w:t>
      </w:r>
      <w:r w:rsidR="00D07823" w:rsidRPr="00627249">
        <w:rPr>
          <w:szCs w:val="18"/>
          <w:shd w:val="clear" w:color="auto" w:fill="FFFFFF"/>
        </w:rPr>
        <w:t>at 943B</w:t>
      </w:r>
      <w:r w:rsidR="00992AB6" w:rsidRPr="00627249">
        <w:rPr>
          <w:szCs w:val="18"/>
          <w:shd w:val="clear" w:color="auto" w:fill="FFFFFF"/>
        </w:rPr>
        <w:t>.</w:t>
      </w:r>
    </w:p>
  </w:footnote>
  <w:footnote w:id="17">
    <w:p w14:paraId="381004D4" w14:textId="0431C134" w:rsidR="00BF097E" w:rsidRPr="00627249" w:rsidRDefault="00BF097E" w:rsidP="008B1845">
      <w:pPr>
        <w:pStyle w:val="FootnoteText"/>
        <w:spacing w:after="40"/>
        <w:ind w:left="709" w:hanging="709"/>
        <w:jc w:val="both"/>
        <w:rPr>
          <w:szCs w:val="18"/>
          <w:lang w:val="en-US"/>
        </w:rPr>
      </w:pPr>
      <w:r w:rsidRPr="00627249">
        <w:rPr>
          <w:rStyle w:val="FootnoteReference"/>
          <w:szCs w:val="18"/>
        </w:rPr>
        <w:footnoteRef/>
      </w:r>
      <w:r w:rsidRPr="00627249">
        <w:rPr>
          <w:szCs w:val="18"/>
        </w:rPr>
        <w:t xml:space="preserve"> </w:t>
      </w:r>
      <w:r w:rsidRPr="00627249">
        <w:rPr>
          <w:szCs w:val="18"/>
          <w:lang w:val="en-US"/>
        </w:rPr>
        <w:tab/>
      </w:r>
      <w:r w:rsidRPr="00627249">
        <w:rPr>
          <w:i/>
          <w:iCs/>
          <w:szCs w:val="18"/>
        </w:rPr>
        <w:t>KPMG</w:t>
      </w:r>
      <w:r w:rsidRPr="00627249">
        <w:rPr>
          <w:i/>
          <w:iCs/>
          <w:szCs w:val="18"/>
          <w:shd w:val="clear" w:color="auto" w:fill="FFFFFF"/>
        </w:rPr>
        <w:t> Chartered Accountants (SA) </w:t>
      </w:r>
      <w:r w:rsidRPr="00627249">
        <w:rPr>
          <w:i/>
          <w:iCs/>
          <w:szCs w:val="18"/>
        </w:rPr>
        <w:t>v</w:t>
      </w:r>
      <w:r w:rsidRPr="00627249">
        <w:rPr>
          <w:i/>
          <w:iCs/>
          <w:szCs w:val="18"/>
          <w:shd w:val="clear" w:color="auto" w:fill="FFFFFF"/>
        </w:rPr>
        <w:t> </w:t>
      </w:r>
      <w:proofErr w:type="spellStart"/>
      <w:r w:rsidRPr="00627249">
        <w:rPr>
          <w:i/>
          <w:iCs/>
          <w:szCs w:val="18"/>
        </w:rPr>
        <w:t>Securefin</w:t>
      </w:r>
      <w:proofErr w:type="spellEnd"/>
      <w:r w:rsidRPr="00627249">
        <w:rPr>
          <w:i/>
          <w:iCs/>
          <w:szCs w:val="18"/>
          <w:shd w:val="clear" w:color="auto" w:fill="FFFFFF"/>
        </w:rPr>
        <w:t> Ltd and Another</w:t>
      </w:r>
      <w:r w:rsidRPr="00627249">
        <w:rPr>
          <w:szCs w:val="18"/>
        </w:rPr>
        <w:t xml:space="preserve"> </w:t>
      </w:r>
      <w:r w:rsidRPr="00627249">
        <w:rPr>
          <w:szCs w:val="18"/>
          <w:shd w:val="clear" w:color="auto" w:fill="FFFFFF"/>
        </w:rPr>
        <w:t>2009 (4) SA 399 (SCA) par</w:t>
      </w:r>
      <w:r w:rsidR="00627249" w:rsidRPr="00627249">
        <w:rPr>
          <w:szCs w:val="18"/>
          <w:shd w:val="clear" w:color="auto" w:fill="FFFFFF"/>
        </w:rPr>
        <w:t> </w:t>
      </w:r>
      <w:r w:rsidRPr="00627249">
        <w:rPr>
          <w:szCs w:val="18"/>
          <w:shd w:val="clear" w:color="auto" w:fill="FFFFFF"/>
        </w:rPr>
        <w:t>[39].</w:t>
      </w:r>
    </w:p>
  </w:footnote>
  <w:footnote w:id="18">
    <w:p w14:paraId="6B4A3CD2" w14:textId="1685A299" w:rsidR="00B0705F" w:rsidRPr="00627249" w:rsidRDefault="00B0705F" w:rsidP="008B1845">
      <w:pPr>
        <w:pStyle w:val="FootnoteText"/>
        <w:spacing w:after="40"/>
        <w:ind w:left="709" w:hanging="709"/>
        <w:jc w:val="both"/>
        <w:rPr>
          <w:szCs w:val="18"/>
        </w:rPr>
      </w:pPr>
      <w:r w:rsidRPr="00627249">
        <w:rPr>
          <w:rStyle w:val="FootnoteReference"/>
          <w:szCs w:val="18"/>
        </w:rPr>
        <w:footnoteRef/>
      </w:r>
      <w:r w:rsidRPr="00627249">
        <w:rPr>
          <w:szCs w:val="18"/>
        </w:rPr>
        <w:t xml:space="preserve"> </w:t>
      </w:r>
      <w:r w:rsidRPr="00627249">
        <w:rPr>
          <w:szCs w:val="18"/>
        </w:rPr>
        <w:tab/>
      </w:r>
      <w:r w:rsidRPr="00627249">
        <w:rPr>
          <w:i/>
          <w:iCs/>
          <w:szCs w:val="18"/>
          <w:shd w:val="clear" w:color="auto" w:fill="FFFFFF"/>
        </w:rPr>
        <w:t xml:space="preserve">Natal Joint Municipal Pension Fund v </w:t>
      </w:r>
      <w:proofErr w:type="spellStart"/>
      <w:r w:rsidRPr="00627249">
        <w:rPr>
          <w:i/>
          <w:iCs/>
          <w:szCs w:val="18"/>
          <w:shd w:val="clear" w:color="auto" w:fill="FFFFFF"/>
        </w:rPr>
        <w:t>Endumeni</w:t>
      </w:r>
      <w:proofErr w:type="spellEnd"/>
      <w:r w:rsidRPr="00627249">
        <w:rPr>
          <w:i/>
          <w:iCs/>
          <w:szCs w:val="18"/>
          <w:shd w:val="clear" w:color="auto" w:fill="FFFFFF"/>
        </w:rPr>
        <w:t xml:space="preserve"> Municipality</w:t>
      </w:r>
      <w:r w:rsidRPr="00627249">
        <w:rPr>
          <w:szCs w:val="18"/>
          <w:shd w:val="clear" w:color="auto" w:fill="FFFFFF"/>
        </w:rPr>
        <w:t> </w:t>
      </w:r>
      <w:hyperlink r:id="rId2" w:history="1">
        <w:r w:rsidRPr="00627249">
          <w:rPr>
            <w:rStyle w:val="Hyperlink"/>
            <w:color w:val="auto"/>
            <w:szCs w:val="18"/>
            <w:u w:val="none"/>
            <w:shd w:val="clear" w:color="auto" w:fill="FFFFFF"/>
          </w:rPr>
          <w:t>2012 (4) SA 593 (SCA)</w:t>
        </w:r>
      </w:hyperlink>
      <w:r w:rsidRPr="00627249">
        <w:rPr>
          <w:szCs w:val="18"/>
        </w:rPr>
        <w:t xml:space="preserve"> par</w:t>
      </w:r>
      <w:r w:rsidR="00627249" w:rsidRPr="00627249">
        <w:rPr>
          <w:szCs w:val="18"/>
        </w:rPr>
        <w:t> </w:t>
      </w:r>
      <w:r w:rsidRPr="00627249">
        <w:rPr>
          <w:szCs w:val="18"/>
        </w:rPr>
        <w:t>18</w:t>
      </w:r>
      <w:r w:rsidRPr="00627249">
        <w:rPr>
          <w:szCs w:val="18"/>
          <w:shd w:val="clear" w:color="auto" w:fill="FFFFFF"/>
        </w:rPr>
        <w:t>.</w:t>
      </w:r>
    </w:p>
  </w:footnote>
  <w:footnote w:id="19">
    <w:p w14:paraId="1A0C47B7" w14:textId="7C92604F" w:rsidR="00B0705F" w:rsidRPr="00627249" w:rsidRDefault="00B0705F" w:rsidP="008B1845">
      <w:pPr>
        <w:pStyle w:val="FootnoteText"/>
        <w:spacing w:after="40"/>
        <w:jc w:val="both"/>
        <w:rPr>
          <w:rStyle w:val="FootnoteReference"/>
          <w:rFonts w:eastAsia="Times New Roman" w:cs="Times New Roman"/>
          <w:szCs w:val="18"/>
          <w:lang w:eastAsia="en-ZA"/>
        </w:rPr>
      </w:pPr>
      <w:r w:rsidRPr="00627249">
        <w:rPr>
          <w:rStyle w:val="FootnoteReference"/>
          <w:szCs w:val="18"/>
        </w:rPr>
        <w:footnoteRef/>
      </w:r>
      <w:r w:rsidRPr="00627249">
        <w:rPr>
          <w:szCs w:val="18"/>
        </w:rPr>
        <w:t xml:space="preserve"> </w:t>
      </w:r>
      <w:r w:rsidRPr="00627249">
        <w:rPr>
          <w:szCs w:val="18"/>
        </w:rPr>
        <w:tab/>
      </w:r>
      <w:proofErr w:type="spellStart"/>
      <w:r w:rsidRPr="00627249">
        <w:rPr>
          <w:i/>
          <w:iCs/>
          <w:szCs w:val="18"/>
          <w:shd w:val="clear" w:color="auto" w:fill="FFFFFF"/>
        </w:rPr>
        <w:t>Chisuse</w:t>
      </w:r>
      <w:proofErr w:type="spellEnd"/>
      <w:r w:rsidRPr="00627249">
        <w:rPr>
          <w:i/>
          <w:iCs/>
          <w:szCs w:val="18"/>
          <w:shd w:val="clear" w:color="auto" w:fill="FFFFFF"/>
        </w:rPr>
        <w:t xml:space="preserve"> v Director-General, Department of Home Affairs</w:t>
      </w:r>
      <w:r w:rsidRPr="00627249">
        <w:rPr>
          <w:szCs w:val="18"/>
          <w:shd w:val="clear" w:color="auto" w:fill="FFFFFF"/>
        </w:rPr>
        <w:t> </w:t>
      </w:r>
      <w:hyperlink r:id="rId3" w:history="1">
        <w:r w:rsidRPr="00627249">
          <w:rPr>
            <w:rStyle w:val="Hyperlink"/>
            <w:color w:val="auto"/>
            <w:szCs w:val="18"/>
            <w:u w:val="none"/>
            <w:shd w:val="clear" w:color="auto" w:fill="FFFFFF"/>
          </w:rPr>
          <w:t>2020 (6) SA 14 (CC)</w:t>
        </w:r>
      </w:hyperlink>
      <w:r w:rsidRPr="00627249">
        <w:rPr>
          <w:szCs w:val="18"/>
        </w:rPr>
        <w:t xml:space="preserve"> par 52.</w:t>
      </w:r>
    </w:p>
  </w:footnote>
  <w:footnote w:id="20">
    <w:p w14:paraId="64280208" w14:textId="544A8431" w:rsidR="00B0705F" w:rsidRPr="00627249" w:rsidRDefault="00B0705F" w:rsidP="008B1845">
      <w:pPr>
        <w:pStyle w:val="FootnoteText"/>
        <w:spacing w:after="40"/>
        <w:ind w:left="567" w:hanging="567"/>
        <w:jc w:val="both"/>
        <w:rPr>
          <w:szCs w:val="18"/>
        </w:rPr>
      </w:pPr>
      <w:r w:rsidRPr="00627249">
        <w:rPr>
          <w:rStyle w:val="FootnoteReference"/>
          <w:szCs w:val="18"/>
        </w:rPr>
        <w:footnoteRef/>
      </w:r>
      <w:r w:rsidRPr="00627249">
        <w:rPr>
          <w:szCs w:val="18"/>
        </w:rPr>
        <w:t xml:space="preserve"> </w:t>
      </w:r>
      <w:r w:rsidRPr="00627249">
        <w:rPr>
          <w:szCs w:val="18"/>
        </w:rPr>
        <w:tab/>
      </w:r>
      <w:r w:rsidRPr="00627249">
        <w:rPr>
          <w:i/>
          <w:iCs/>
          <w:szCs w:val="18"/>
          <w:shd w:val="clear" w:color="auto" w:fill="FFFFFF"/>
        </w:rPr>
        <w:t>Novartis</w:t>
      </w:r>
      <w:r w:rsidRPr="00627249">
        <w:rPr>
          <w:szCs w:val="18"/>
          <w:shd w:val="clear" w:color="auto" w:fill="FFFFFF"/>
        </w:rPr>
        <w:t> above n38 par 28; </w:t>
      </w:r>
      <w:r w:rsidRPr="00627249">
        <w:rPr>
          <w:i/>
          <w:iCs/>
          <w:szCs w:val="18"/>
          <w:shd w:val="clear" w:color="auto" w:fill="FFFFFF"/>
        </w:rPr>
        <w:t xml:space="preserve">Unica Iron &amp; Steel (Pty) Ltd and Another v </w:t>
      </w:r>
      <w:proofErr w:type="spellStart"/>
      <w:r w:rsidRPr="00627249">
        <w:rPr>
          <w:i/>
          <w:iCs/>
          <w:szCs w:val="18"/>
          <w:shd w:val="clear" w:color="auto" w:fill="FFFFFF"/>
        </w:rPr>
        <w:t>Mirchandani</w:t>
      </w:r>
      <w:proofErr w:type="spellEnd"/>
      <w:r w:rsidR="00627249" w:rsidRPr="00627249">
        <w:rPr>
          <w:szCs w:val="18"/>
          <w:shd w:val="clear" w:color="auto" w:fill="FFFFFF"/>
        </w:rPr>
        <w:t xml:space="preserve"> 2016 (2) SA 307 (SCA) </w:t>
      </w:r>
      <w:r w:rsidRPr="00627249">
        <w:rPr>
          <w:szCs w:val="18"/>
          <w:shd w:val="clear" w:color="auto" w:fill="FFFFFF"/>
        </w:rPr>
        <w:t xml:space="preserve">par 21; </w:t>
      </w:r>
      <w:proofErr w:type="gramStart"/>
      <w:r w:rsidRPr="00627249">
        <w:rPr>
          <w:i/>
          <w:iCs/>
          <w:szCs w:val="18"/>
          <w:shd w:val="clear" w:color="auto" w:fill="FFFFFF"/>
        </w:rPr>
        <w:t>North East</w:t>
      </w:r>
      <w:proofErr w:type="gramEnd"/>
      <w:r w:rsidRPr="00627249">
        <w:rPr>
          <w:i/>
          <w:iCs/>
          <w:szCs w:val="18"/>
          <w:shd w:val="clear" w:color="auto" w:fill="FFFFFF"/>
        </w:rPr>
        <w:t xml:space="preserve"> Finance (Pty) Ltd v Standard Bank of South Africa Ltd</w:t>
      </w:r>
      <w:r w:rsidR="00627249" w:rsidRPr="00627249">
        <w:rPr>
          <w:szCs w:val="18"/>
          <w:shd w:val="clear" w:color="auto" w:fill="FFFFFF"/>
        </w:rPr>
        <w:t xml:space="preserve"> 2013 (5) SA 1 (SCA) </w:t>
      </w:r>
      <w:r w:rsidRPr="00627249">
        <w:rPr>
          <w:szCs w:val="18"/>
          <w:shd w:val="clear" w:color="auto" w:fill="FFFFFF"/>
        </w:rPr>
        <w:t>([2013] ZASCA 76) par 24.</w:t>
      </w:r>
    </w:p>
  </w:footnote>
  <w:footnote w:id="21">
    <w:p w14:paraId="6DE2E2D7" w14:textId="22826A8A" w:rsidR="00B0705F" w:rsidRPr="00627249" w:rsidRDefault="00B0705F" w:rsidP="008B1845">
      <w:pPr>
        <w:pStyle w:val="FootnoteText"/>
        <w:tabs>
          <w:tab w:val="left" w:pos="567"/>
        </w:tabs>
        <w:spacing w:after="40"/>
        <w:jc w:val="both"/>
        <w:rPr>
          <w:szCs w:val="18"/>
        </w:rPr>
      </w:pPr>
      <w:r w:rsidRPr="00627249">
        <w:rPr>
          <w:rStyle w:val="FootnoteReference"/>
          <w:szCs w:val="18"/>
        </w:rPr>
        <w:footnoteRef/>
      </w:r>
      <w:r w:rsidRPr="00627249">
        <w:rPr>
          <w:szCs w:val="18"/>
        </w:rPr>
        <w:t xml:space="preserve"> </w:t>
      </w:r>
      <w:r w:rsidRPr="00627249">
        <w:rPr>
          <w:szCs w:val="18"/>
        </w:rPr>
        <w:tab/>
      </w:r>
      <w:proofErr w:type="spellStart"/>
      <w:r w:rsidRPr="00627249">
        <w:rPr>
          <w:i/>
          <w:iCs/>
          <w:szCs w:val="18"/>
          <w:shd w:val="clear" w:color="auto" w:fill="FFFFFF"/>
        </w:rPr>
        <w:t>Endumeni</w:t>
      </w:r>
      <w:proofErr w:type="spellEnd"/>
      <w:r w:rsidRPr="00627249">
        <w:rPr>
          <w:szCs w:val="18"/>
          <w:shd w:val="clear" w:color="auto" w:fill="FFFFFF"/>
        </w:rPr>
        <w:t> </w:t>
      </w:r>
      <w:r w:rsidR="00627249" w:rsidRPr="00627249">
        <w:rPr>
          <w:szCs w:val="18"/>
          <w:shd w:val="clear" w:color="auto" w:fill="FFFFFF"/>
        </w:rPr>
        <w:t>(</w:t>
      </w:r>
      <w:r w:rsidR="00627249" w:rsidRPr="00627249">
        <w:rPr>
          <w:i/>
          <w:iCs/>
          <w:szCs w:val="18"/>
          <w:shd w:val="clear" w:color="auto" w:fill="FFFFFF"/>
        </w:rPr>
        <w:t>supra</w:t>
      </w:r>
      <w:r w:rsidR="00627249" w:rsidRPr="00627249">
        <w:rPr>
          <w:szCs w:val="18"/>
          <w:shd w:val="clear" w:color="auto" w:fill="FFFFFF"/>
        </w:rPr>
        <w:t>)</w:t>
      </w:r>
      <w:r w:rsidRPr="00627249">
        <w:rPr>
          <w:szCs w:val="18"/>
          <w:shd w:val="clear" w:color="auto" w:fill="FFFFFF"/>
        </w:rPr>
        <w:t xml:space="preserve"> n14 par 18 and </w:t>
      </w:r>
      <w:r w:rsidRPr="00627249">
        <w:rPr>
          <w:i/>
          <w:iCs/>
          <w:szCs w:val="18"/>
          <w:shd w:val="clear" w:color="auto" w:fill="FFFFFF"/>
        </w:rPr>
        <w:t>KPMG</w:t>
      </w:r>
      <w:r w:rsidRPr="00627249">
        <w:rPr>
          <w:szCs w:val="18"/>
          <w:shd w:val="clear" w:color="auto" w:fill="FFFFFF"/>
        </w:rPr>
        <w:t> </w:t>
      </w:r>
      <w:r w:rsidR="00627249" w:rsidRPr="00627249">
        <w:rPr>
          <w:szCs w:val="18"/>
          <w:shd w:val="clear" w:color="auto" w:fill="FFFFFF"/>
        </w:rPr>
        <w:t>(</w:t>
      </w:r>
      <w:r w:rsidR="00627249" w:rsidRPr="00627249">
        <w:rPr>
          <w:i/>
          <w:iCs/>
          <w:szCs w:val="18"/>
          <w:shd w:val="clear" w:color="auto" w:fill="FFFFFF"/>
        </w:rPr>
        <w:t>supra</w:t>
      </w:r>
      <w:r w:rsidR="00627249" w:rsidRPr="00627249">
        <w:rPr>
          <w:szCs w:val="18"/>
          <w:shd w:val="clear" w:color="auto" w:fill="FFFFFF"/>
        </w:rPr>
        <w:t>)</w:t>
      </w:r>
      <w:r w:rsidRPr="00627249">
        <w:rPr>
          <w:szCs w:val="18"/>
          <w:shd w:val="clear" w:color="auto" w:fill="FFFFFF"/>
        </w:rPr>
        <w:t xml:space="preserve"> n11 at par 3</w:t>
      </w:r>
      <w:r w:rsidR="00627249" w:rsidRPr="00627249">
        <w:rPr>
          <w:szCs w:val="18"/>
          <w:shd w:val="clear" w:color="auto" w:fill="FFFFFF"/>
        </w:rPr>
        <w:t>.</w:t>
      </w:r>
    </w:p>
  </w:footnote>
  <w:footnote w:id="22">
    <w:p w14:paraId="34254E90" w14:textId="003DFDB0" w:rsidR="00B0705F" w:rsidRPr="00627249" w:rsidRDefault="00B0705F" w:rsidP="008B1845">
      <w:pPr>
        <w:pStyle w:val="FootnoteText"/>
        <w:tabs>
          <w:tab w:val="left" w:pos="567"/>
        </w:tabs>
        <w:spacing w:after="40"/>
        <w:jc w:val="both"/>
        <w:rPr>
          <w:szCs w:val="18"/>
        </w:rPr>
      </w:pPr>
      <w:r w:rsidRPr="00627249">
        <w:rPr>
          <w:rStyle w:val="FootnoteReference"/>
          <w:szCs w:val="18"/>
        </w:rPr>
        <w:footnoteRef/>
      </w:r>
      <w:r w:rsidRPr="00627249">
        <w:rPr>
          <w:szCs w:val="18"/>
        </w:rPr>
        <w:t xml:space="preserve"> </w:t>
      </w:r>
      <w:r w:rsidRPr="00627249">
        <w:rPr>
          <w:szCs w:val="18"/>
        </w:rPr>
        <w:tab/>
      </w:r>
      <w:r w:rsidRPr="00627249">
        <w:rPr>
          <w:i/>
          <w:iCs/>
          <w:szCs w:val="18"/>
          <w:shd w:val="clear" w:color="auto" w:fill="FFFFFF"/>
        </w:rPr>
        <w:t>KPMG</w:t>
      </w:r>
      <w:r w:rsidRPr="00627249">
        <w:rPr>
          <w:szCs w:val="18"/>
          <w:shd w:val="clear" w:color="auto" w:fill="FFFFFF"/>
        </w:rPr>
        <w:t> </w:t>
      </w:r>
      <w:r w:rsidR="00627249" w:rsidRPr="00627249">
        <w:rPr>
          <w:szCs w:val="18"/>
          <w:shd w:val="clear" w:color="auto" w:fill="FFFFFF"/>
        </w:rPr>
        <w:t>(</w:t>
      </w:r>
      <w:r w:rsidR="00627249" w:rsidRPr="00627249">
        <w:rPr>
          <w:i/>
          <w:iCs/>
          <w:szCs w:val="18"/>
          <w:shd w:val="clear" w:color="auto" w:fill="FFFFFF"/>
        </w:rPr>
        <w:t>supra</w:t>
      </w:r>
      <w:r w:rsidR="00627249" w:rsidRPr="00627249">
        <w:rPr>
          <w:szCs w:val="18"/>
          <w:shd w:val="clear" w:color="auto" w:fill="FFFFFF"/>
        </w:rPr>
        <w:t>)</w:t>
      </w:r>
      <w:r w:rsidRPr="00627249">
        <w:rPr>
          <w:szCs w:val="18"/>
          <w:shd w:val="clear" w:color="auto" w:fill="FFFFFF"/>
        </w:rPr>
        <w:t xml:space="preserve"> n11 par 39.</w:t>
      </w:r>
    </w:p>
  </w:footnote>
  <w:footnote w:id="23">
    <w:p w14:paraId="3CF153D8" w14:textId="0FAE515F" w:rsidR="004B7A47" w:rsidRPr="00627249" w:rsidRDefault="004B7A47" w:rsidP="008B1845">
      <w:pPr>
        <w:pStyle w:val="FootnoteText"/>
        <w:tabs>
          <w:tab w:val="left" w:pos="567"/>
        </w:tabs>
        <w:spacing w:after="40"/>
        <w:ind w:left="567" w:hanging="567"/>
        <w:jc w:val="both"/>
        <w:rPr>
          <w:szCs w:val="18"/>
          <w:lang w:val="en-US"/>
        </w:rPr>
      </w:pPr>
      <w:r w:rsidRPr="00627249">
        <w:rPr>
          <w:rStyle w:val="FootnoteReference"/>
          <w:szCs w:val="18"/>
        </w:rPr>
        <w:footnoteRef/>
      </w:r>
      <w:r w:rsidRPr="00627249">
        <w:rPr>
          <w:szCs w:val="18"/>
        </w:rPr>
        <w:t xml:space="preserve"> </w:t>
      </w:r>
      <w:r w:rsidRPr="00627249">
        <w:rPr>
          <w:szCs w:val="18"/>
        </w:rPr>
        <w:tab/>
      </w:r>
      <w:r w:rsidRPr="00627249">
        <w:rPr>
          <w:i/>
          <w:iCs/>
          <w:szCs w:val="18"/>
          <w:shd w:val="clear" w:color="auto" w:fill="FFFFFF"/>
        </w:rPr>
        <w:t>Johnson &amp; Johnson (Pty) Ltd v Kimberly-Clark Corporation and Kimberly-Clark of South Africa (Pty) Ltd</w:t>
      </w:r>
      <w:r w:rsidR="00627249" w:rsidRPr="00627249">
        <w:rPr>
          <w:szCs w:val="18"/>
          <w:shd w:val="clear" w:color="auto" w:fill="FFFFFF"/>
        </w:rPr>
        <w:t xml:space="preserve"> 1985 BP 126 (A) </w:t>
      </w:r>
      <w:r w:rsidRPr="00627249">
        <w:rPr>
          <w:szCs w:val="18"/>
          <w:shd w:val="clear" w:color="auto" w:fill="FFFFFF"/>
        </w:rPr>
        <w:t>([1985] ZASCA 132 (at www.saflii.org.za)).</w:t>
      </w:r>
    </w:p>
  </w:footnote>
  <w:footnote w:id="24">
    <w:p w14:paraId="112A48E8" w14:textId="3DE488D0" w:rsidR="004B7A47" w:rsidRPr="00627249" w:rsidRDefault="004B7A47" w:rsidP="008B1845">
      <w:pPr>
        <w:pStyle w:val="FootnoteText"/>
        <w:spacing w:after="40"/>
        <w:ind w:left="567" w:hanging="567"/>
        <w:jc w:val="both"/>
        <w:rPr>
          <w:szCs w:val="18"/>
          <w:lang w:val="en-US"/>
        </w:rPr>
      </w:pPr>
      <w:r w:rsidRPr="00627249">
        <w:rPr>
          <w:rStyle w:val="FootnoteReference"/>
          <w:szCs w:val="18"/>
        </w:rPr>
        <w:footnoteRef/>
      </w:r>
      <w:r w:rsidRPr="00627249">
        <w:rPr>
          <w:szCs w:val="18"/>
        </w:rPr>
        <w:t xml:space="preserve"> </w:t>
      </w:r>
      <w:r w:rsidR="00230F2C" w:rsidRPr="00627249">
        <w:rPr>
          <w:szCs w:val="18"/>
        </w:rPr>
        <w:tab/>
      </w:r>
      <w:r w:rsidRPr="00627249">
        <w:rPr>
          <w:i/>
          <w:iCs/>
          <w:szCs w:val="18"/>
          <w:shd w:val="clear" w:color="auto" w:fill="FFFFFF"/>
        </w:rPr>
        <w:t>Delmas Milling Co Ltd v Du Plessis</w:t>
      </w:r>
      <w:r w:rsidR="00627249" w:rsidRPr="00627249">
        <w:rPr>
          <w:szCs w:val="18"/>
          <w:shd w:val="clear" w:color="auto" w:fill="FFFFFF"/>
        </w:rPr>
        <w:t xml:space="preserve"> 1955 (3) SA 447 (A) </w:t>
      </w:r>
      <w:r w:rsidRPr="00627249">
        <w:rPr>
          <w:szCs w:val="18"/>
          <w:shd w:val="clear" w:color="auto" w:fill="FFFFFF"/>
        </w:rPr>
        <w:t>at 455B - C).</w:t>
      </w:r>
    </w:p>
  </w:footnote>
  <w:footnote w:id="25">
    <w:p w14:paraId="36B00CAB" w14:textId="76274104" w:rsidR="00674E8C" w:rsidRPr="00627249" w:rsidRDefault="00674E8C" w:rsidP="008B1845">
      <w:pPr>
        <w:pStyle w:val="FootnoteText"/>
        <w:spacing w:after="40"/>
        <w:ind w:left="567" w:hanging="567"/>
        <w:jc w:val="both"/>
        <w:rPr>
          <w:szCs w:val="18"/>
        </w:rPr>
      </w:pPr>
      <w:r w:rsidRPr="00627249">
        <w:rPr>
          <w:rStyle w:val="FootnoteReference"/>
          <w:szCs w:val="18"/>
        </w:rPr>
        <w:footnoteRef/>
      </w:r>
      <w:r w:rsidRPr="00627249">
        <w:rPr>
          <w:szCs w:val="18"/>
        </w:rPr>
        <w:t xml:space="preserve"> </w:t>
      </w:r>
      <w:r w:rsidRPr="00627249">
        <w:rPr>
          <w:szCs w:val="18"/>
        </w:rPr>
        <w:tab/>
      </w:r>
      <w:r w:rsidRPr="00627249">
        <w:rPr>
          <w:i/>
          <w:iCs/>
          <w:szCs w:val="18"/>
          <w:shd w:val="clear" w:color="auto" w:fill="FFFFFF"/>
        </w:rPr>
        <w:t>University of Johannesburg v Auckland Park Theological Seminary and Another</w:t>
      </w:r>
      <w:r w:rsidR="00627249" w:rsidRPr="00627249">
        <w:rPr>
          <w:szCs w:val="18"/>
          <w:shd w:val="clear" w:color="auto" w:fill="FFFFFF"/>
        </w:rPr>
        <w:t xml:space="preserve"> 2021 (6) SA 1 (CC) par 68.</w:t>
      </w:r>
    </w:p>
  </w:footnote>
  <w:footnote w:id="26">
    <w:p w14:paraId="50BD7376" w14:textId="04E56E34" w:rsidR="009D1B22" w:rsidRPr="00627249" w:rsidRDefault="009D1B22" w:rsidP="008B1845">
      <w:pPr>
        <w:pStyle w:val="FootnoteText"/>
        <w:spacing w:after="40"/>
        <w:ind w:left="567" w:hanging="567"/>
        <w:jc w:val="both"/>
        <w:rPr>
          <w:szCs w:val="18"/>
          <w:lang w:val="en-US"/>
        </w:rPr>
      </w:pPr>
      <w:r w:rsidRPr="00627249">
        <w:rPr>
          <w:rStyle w:val="FootnoteReference"/>
          <w:szCs w:val="18"/>
        </w:rPr>
        <w:footnoteRef/>
      </w:r>
      <w:r w:rsidRPr="00627249">
        <w:rPr>
          <w:szCs w:val="18"/>
        </w:rPr>
        <w:t xml:space="preserve"> </w:t>
      </w:r>
      <w:r w:rsidRPr="00627249">
        <w:rPr>
          <w:szCs w:val="18"/>
          <w:lang w:val="en-US"/>
        </w:rPr>
        <w:tab/>
      </w:r>
      <w:r w:rsidR="0034091B" w:rsidRPr="00627249">
        <w:rPr>
          <w:i/>
          <w:iCs/>
          <w:szCs w:val="18"/>
        </w:rPr>
        <w:t>Capitec</w:t>
      </w:r>
      <w:r w:rsidR="00627249" w:rsidRPr="00627249">
        <w:rPr>
          <w:i/>
          <w:iCs/>
          <w:szCs w:val="18"/>
        </w:rPr>
        <w:t xml:space="preserve"> </w:t>
      </w:r>
      <w:r w:rsidR="0034091B" w:rsidRPr="00627249">
        <w:rPr>
          <w:i/>
          <w:iCs/>
          <w:szCs w:val="18"/>
          <w:shd w:val="clear" w:color="auto" w:fill="FFFFFF"/>
        </w:rPr>
        <w:t>Bank Holdings Ltd and Another v Coral Lagoon Investments 194 (Pty) Ltd and Others</w:t>
      </w:r>
      <w:r w:rsidR="0034091B" w:rsidRPr="00627249">
        <w:rPr>
          <w:i/>
          <w:iCs/>
          <w:szCs w:val="18"/>
        </w:rPr>
        <w:t xml:space="preserve"> </w:t>
      </w:r>
      <w:r w:rsidR="0034091B" w:rsidRPr="00627249">
        <w:rPr>
          <w:szCs w:val="18"/>
          <w:shd w:val="clear" w:color="auto" w:fill="FFFFFF"/>
        </w:rPr>
        <w:t>2022 (1) SA 100 (SCA) par [41]</w:t>
      </w:r>
      <w:r w:rsidR="00627249" w:rsidRPr="00627249">
        <w:rPr>
          <w:szCs w:val="18"/>
          <w:shd w:val="clear" w:color="auto" w:fill="FFFFFF"/>
        </w:rPr>
        <w:t>.</w:t>
      </w:r>
    </w:p>
  </w:footnote>
  <w:footnote w:id="27">
    <w:p w14:paraId="1CFFE7D4" w14:textId="1FBB90A4" w:rsidR="00173680" w:rsidRPr="00627249" w:rsidRDefault="00173680" w:rsidP="008B1845">
      <w:pPr>
        <w:pStyle w:val="FootnoteText"/>
        <w:tabs>
          <w:tab w:val="left" w:pos="567"/>
        </w:tabs>
        <w:spacing w:after="40"/>
        <w:jc w:val="both"/>
        <w:rPr>
          <w:szCs w:val="18"/>
        </w:rPr>
      </w:pPr>
      <w:r w:rsidRPr="00627249">
        <w:rPr>
          <w:rStyle w:val="FootnoteReference"/>
          <w:szCs w:val="18"/>
        </w:rPr>
        <w:footnoteRef/>
      </w:r>
      <w:r w:rsidRPr="00627249">
        <w:rPr>
          <w:szCs w:val="18"/>
        </w:rPr>
        <w:t xml:space="preserve"> </w:t>
      </w:r>
      <w:r w:rsidRPr="00627249">
        <w:rPr>
          <w:szCs w:val="18"/>
        </w:rPr>
        <w:tab/>
      </w:r>
      <w:r w:rsidR="009D1B22" w:rsidRPr="00627249">
        <w:rPr>
          <w:szCs w:val="18"/>
        </w:rPr>
        <w:t>Id par 92</w:t>
      </w:r>
      <w:r w:rsidR="00627249" w:rsidRPr="00627249">
        <w:rPr>
          <w:szCs w:val="18"/>
        </w:rPr>
        <w:t>.</w:t>
      </w:r>
    </w:p>
  </w:footnote>
  <w:footnote w:id="28">
    <w:p w14:paraId="1CDD0F4A" w14:textId="1953B790" w:rsidR="00660DD8" w:rsidRPr="00627249" w:rsidRDefault="00660DD8" w:rsidP="008B1845">
      <w:pPr>
        <w:pStyle w:val="lrcasename"/>
        <w:shd w:val="clear" w:color="auto" w:fill="FFFFFF"/>
        <w:spacing w:before="0" w:beforeAutospacing="0" w:after="40" w:afterAutospacing="0"/>
        <w:ind w:left="567" w:hanging="567"/>
        <w:jc w:val="both"/>
        <w:rPr>
          <w:rFonts w:ascii="Verdana" w:hAnsi="Verdana"/>
          <w:sz w:val="18"/>
          <w:szCs w:val="18"/>
        </w:rPr>
      </w:pPr>
      <w:r w:rsidRPr="00627249">
        <w:rPr>
          <w:rStyle w:val="FootnoteReference"/>
          <w:rFonts w:ascii="Verdana" w:hAnsi="Verdana"/>
          <w:sz w:val="18"/>
          <w:szCs w:val="18"/>
        </w:rPr>
        <w:footnoteRef/>
      </w:r>
      <w:r w:rsidRPr="00627249">
        <w:rPr>
          <w:rFonts w:ascii="Verdana" w:hAnsi="Verdana"/>
          <w:sz w:val="18"/>
          <w:szCs w:val="18"/>
        </w:rPr>
        <w:t xml:space="preserve"> </w:t>
      </w:r>
      <w:r w:rsidRPr="00627249">
        <w:rPr>
          <w:rFonts w:ascii="Verdana" w:hAnsi="Verdana"/>
          <w:sz w:val="18"/>
          <w:szCs w:val="18"/>
        </w:rPr>
        <w:tab/>
      </w:r>
      <w:r w:rsidR="00B40671" w:rsidRPr="00627249">
        <w:rPr>
          <w:rFonts w:ascii="Verdana" w:hAnsi="Verdana"/>
          <w:i/>
          <w:iCs/>
          <w:sz w:val="18"/>
          <w:szCs w:val="18"/>
        </w:rPr>
        <w:t>Capitec Bank Holdings Ltd and Another v Coral Lagoon</w:t>
      </w:r>
      <w:r w:rsidR="009402EA" w:rsidRPr="00627249">
        <w:rPr>
          <w:rFonts w:ascii="Verdana" w:hAnsi="Verdana"/>
          <w:i/>
          <w:iCs/>
          <w:sz w:val="18"/>
          <w:szCs w:val="18"/>
        </w:rPr>
        <w:t xml:space="preserve"> </w:t>
      </w:r>
      <w:r w:rsidR="00B40671" w:rsidRPr="00627249">
        <w:rPr>
          <w:rFonts w:ascii="Verdana" w:hAnsi="Verdana"/>
          <w:i/>
          <w:iCs/>
          <w:sz w:val="18"/>
          <w:szCs w:val="18"/>
        </w:rPr>
        <w:t>Investments 194 (Pty) Ltd and Others</w:t>
      </w:r>
      <w:r w:rsidR="00627249" w:rsidRPr="00627249">
        <w:rPr>
          <w:rFonts w:ascii="Verdana" w:hAnsi="Verdana"/>
          <w:i/>
          <w:iCs/>
          <w:sz w:val="18"/>
          <w:szCs w:val="18"/>
        </w:rPr>
        <w:t xml:space="preserve"> </w:t>
      </w:r>
      <w:r w:rsidR="00B40671" w:rsidRPr="00627249">
        <w:rPr>
          <w:rFonts w:ascii="Verdana" w:hAnsi="Verdana"/>
          <w:sz w:val="18"/>
          <w:szCs w:val="18"/>
        </w:rPr>
        <w:t>2022 (1) SA 100 (SCA)</w:t>
      </w:r>
      <w:r w:rsidR="009402EA" w:rsidRPr="00627249">
        <w:rPr>
          <w:rFonts w:ascii="Verdana" w:hAnsi="Verdana"/>
          <w:sz w:val="18"/>
          <w:szCs w:val="18"/>
        </w:rPr>
        <w:t xml:space="preserve"> par 53</w:t>
      </w:r>
      <w:r w:rsidR="00627249" w:rsidRPr="00627249">
        <w:rPr>
          <w:rFonts w:ascii="Verdana" w:hAnsi="Verdana"/>
          <w:sz w:val="18"/>
          <w:szCs w:val="18"/>
        </w:rPr>
        <w:t>.</w:t>
      </w:r>
    </w:p>
  </w:footnote>
  <w:footnote w:id="29">
    <w:p w14:paraId="65CDEBA9" w14:textId="3FF9F632" w:rsidR="00032720" w:rsidRPr="00627249" w:rsidRDefault="00032720" w:rsidP="008B1845">
      <w:pPr>
        <w:pStyle w:val="FootnoteText"/>
        <w:spacing w:after="40"/>
        <w:ind w:left="567" w:hanging="567"/>
        <w:jc w:val="both"/>
        <w:rPr>
          <w:szCs w:val="18"/>
        </w:rPr>
      </w:pPr>
      <w:r w:rsidRPr="00627249">
        <w:rPr>
          <w:rStyle w:val="FootnoteReference"/>
          <w:szCs w:val="18"/>
        </w:rPr>
        <w:footnoteRef/>
      </w:r>
      <w:r w:rsidRPr="00627249">
        <w:rPr>
          <w:szCs w:val="18"/>
        </w:rPr>
        <w:t xml:space="preserve"> </w:t>
      </w:r>
      <w:r w:rsidR="008209D1" w:rsidRPr="00627249">
        <w:rPr>
          <w:szCs w:val="18"/>
        </w:rPr>
        <w:tab/>
      </w:r>
      <w:proofErr w:type="spellStart"/>
      <w:r w:rsidR="008209D1" w:rsidRPr="00627249">
        <w:rPr>
          <w:i/>
          <w:iCs/>
          <w:szCs w:val="18"/>
          <w:shd w:val="clear" w:color="auto" w:fill="FFFFFF"/>
        </w:rPr>
        <w:t>Beadica</w:t>
      </w:r>
      <w:proofErr w:type="spellEnd"/>
      <w:r w:rsidR="008209D1" w:rsidRPr="00627249">
        <w:rPr>
          <w:i/>
          <w:iCs/>
          <w:szCs w:val="18"/>
          <w:shd w:val="clear" w:color="auto" w:fill="FFFFFF"/>
        </w:rPr>
        <w:t xml:space="preserve"> 231 and </w:t>
      </w:r>
      <w:proofErr w:type="gramStart"/>
      <w:r w:rsidR="008209D1" w:rsidRPr="00627249">
        <w:rPr>
          <w:i/>
          <w:iCs/>
          <w:szCs w:val="18"/>
          <w:shd w:val="clear" w:color="auto" w:fill="FFFFFF"/>
        </w:rPr>
        <w:t>Others</w:t>
      </w:r>
      <w:proofErr w:type="gramEnd"/>
      <w:r w:rsidR="008209D1" w:rsidRPr="00627249">
        <w:rPr>
          <w:i/>
          <w:iCs/>
          <w:szCs w:val="18"/>
          <w:shd w:val="clear" w:color="auto" w:fill="FFFFFF"/>
        </w:rPr>
        <w:t xml:space="preserve"> v Trustees for the Time Being of Oregon Trust and Others </w:t>
      </w:r>
      <w:r w:rsidR="004C5131" w:rsidRPr="008B1845">
        <w:rPr>
          <w:szCs w:val="18"/>
          <w:shd w:val="clear" w:color="auto" w:fill="FFFFFF"/>
        </w:rPr>
        <w:t>2020 (5) SA 247 (CC)</w:t>
      </w:r>
      <w:r w:rsidR="008B1845">
        <w:rPr>
          <w:szCs w:val="18"/>
          <w:shd w:val="clear" w:color="auto" w:fill="FFFFFF"/>
        </w:rPr>
        <w:t>.</w:t>
      </w:r>
    </w:p>
  </w:footnote>
  <w:footnote w:id="30">
    <w:p w14:paraId="1DABB7BF" w14:textId="761C7742" w:rsidR="00F549A5" w:rsidRPr="00627249" w:rsidRDefault="00F549A5" w:rsidP="008B1845">
      <w:pPr>
        <w:pStyle w:val="FootnoteText"/>
        <w:spacing w:after="40"/>
        <w:ind w:left="567" w:hanging="567"/>
        <w:jc w:val="both"/>
        <w:rPr>
          <w:szCs w:val="18"/>
          <w:lang w:val="nl-NL"/>
        </w:rPr>
      </w:pPr>
      <w:r w:rsidRPr="00627249">
        <w:rPr>
          <w:rStyle w:val="FootnoteReference"/>
          <w:szCs w:val="18"/>
        </w:rPr>
        <w:footnoteRef/>
      </w:r>
      <w:r w:rsidRPr="00627249">
        <w:rPr>
          <w:szCs w:val="18"/>
          <w:lang w:val="nl-NL"/>
        </w:rPr>
        <w:t xml:space="preserve"> </w:t>
      </w:r>
      <w:r w:rsidRPr="00627249">
        <w:rPr>
          <w:szCs w:val="18"/>
          <w:lang w:val="nl-NL"/>
        </w:rPr>
        <w:tab/>
      </w:r>
      <w:r w:rsidRPr="00627249">
        <w:rPr>
          <w:i/>
          <w:iCs/>
          <w:szCs w:val="18"/>
          <w:shd w:val="clear" w:color="auto" w:fill="FFFFFF"/>
          <w:lang w:val="nl-NL"/>
        </w:rPr>
        <w:t>SA Sentrale Ko-opGraanmaatskappy Bpk v Shifren en Andere</w:t>
      </w:r>
      <w:r w:rsidR="008B1845">
        <w:rPr>
          <w:szCs w:val="18"/>
          <w:shd w:val="clear" w:color="auto" w:fill="FFFFFF"/>
          <w:lang w:val="nl-NL"/>
        </w:rPr>
        <w:t xml:space="preserve"> 1964 (4) SA 760 (A).</w:t>
      </w:r>
    </w:p>
  </w:footnote>
  <w:footnote w:id="31">
    <w:p w14:paraId="4646EA56" w14:textId="5A8528DD" w:rsidR="00F549A5" w:rsidRPr="00627249" w:rsidRDefault="00F549A5" w:rsidP="008B1845">
      <w:pPr>
        <w:pStyle w:val="FootnoteText"/>
        <w:spacing w:after="40"/>
        <w:ind w:left="567" w:hanging="567"/>
        <w:jc w:val="both"/>
        <w:rPr>
          <w:szCs w:val="18"/>
        </w:rPr>
      </w:pPr>
      <w:r w:rsidRPr="00627249">
        <w:rPr>
          <w:rStyle w:val="FootnoteReference"/>
          <w:szCs w:val="18"/>
        </w:rPr>
        <w:footnoteRef/>
      </w:r>
      <w:r w:rsidRPr="00627249">
        <w:rPr>
          <w:szCs w:val="18"/>
        </w:rPr>
        <w:t xml:space="preserve"> </w:t>
      </w:r>
      <w:r w:rsidRPr="00627249">
        <w:rPr>
          <w:szCs w:val="18"/>
        </w:rPr>
        <w:tab/>
      </w:r>
      <w:proofErr w:type="spellStart"/>
      <w:r w:rsidRPr="008B1845">
        <w:rPr>
          <w:i/>
          <w:iCs/>
          <w:szCs w:val="18"/>
        </w:rPr>
        <w:t>Brisley</w:t>
      </w:r>
      <w:proofErr w:type="spellEnd"/>
      <w:r w:rsidRPr="008B1845">
        <w:rPr>
          <w:i/>
          <w:iCs/>
          <w:szCs w:val="18"/>
        </w:rPr>
        <w:t xml:space="preserve"> v </w:t>
      </w:r>
      <w:proofErr w:type="spellStart"/>
      <w:r w:rsidRPr="008B1845">
        <w:rPr>
          <w:i/>
          <w:iCs/>
          <w:szCs w:val="18"/>
        </w:rPr>
        <w:t>Drotsky</w:t>
      </w:r>
      <w:proofErr w:type="spellEnd"/>
      <w:r w:rsidRPr="00627249">
        <w:rPr>
          <w:szCs w:val="18"/>
        </w:rPr>
        <w:t xml:space="preserve"> </w:t>
      </w:r>
      <w:r w:rsidR="00202C74" w:rsidRPr="00627249">
        <w:rPr>
          <w:szCs w:val="18"/>
        </w:rPr>
        <w:t>2002 (4) SA 1 (SCA)</w:t>
      </w:r>
      <w:r w:rsidR="00377962" w:rsidRPr="00627249">
        <w:rPr>
          <w:szCs w:val="18"/>
        </w:rPr>
        <w:t xml:space="preserve"> par [6] to [10]</w:t>
      </w:r>
      <w:r w:rsidR="008B1845">
        <w:rPr>
          <w:szCs w:val="18"/>
        </w:rPr>
        <w:t>.</w:t>
      </w:r>
    </w:p>
  </w:footnote>
  <w:footnote w:id="32">
    <w:p w14:paraId="2BE68E13" w14:textId="3BA8EC7C" w:rsidR="000D1641" w:rsidRPr="00627249" w:rsidRDefault="000D1641" w:rsidP="008B1845">
      <w:pPr>
        <w:pStyle w:val="FootnoteText"/>
        <w:tabs>
          <w:tab w:val="left" w:pos="567"/>
        </w:tabs>
        <w:spacing w:after="40"/>
        <w:ind w:left="567" w:hanging="567"/>
        <w:jc w:val="both"/>
        <w:rPr>
          <w:szCs w:val="18"/>
          <w:lang w:val="en-US"/>
        </w:rPr>
      </w:pPr>
      <w:r w:rsidRPr="00627249">
        <w:rPr>
          <w:rStyle w:val="FootnoteReference"/>
          <w:szCs w:val="18"/>
        </w:rPr>
        <w:footnoteRef/>
      </w:r>
      <w:r w:rsidRPr="00627249">
        <w:rPr>
          <w:szCs w:val="18"/>
        </w:rPr>
        <w:t xml:space="preserve"> </w:t>
      </w:r>
      <w:r w:rsidRPr="00627249">
        <w:rPr>
          <w:szCs w:val="18"/>
          <w:lang w:val="en-US"/>
        </w:rPr>
        <w:tab/>
      </w:r>
      <w:r w:rsidRPr="00627249">
        <w:rPr>
          <w:rStyle w:val="italic"/>
          <w:i/>
          <w:iCs/>
          <w:szCs w:val="18"/>
        </w:rPr>
        <w:t>Media 24 Ltd and Others v SA Taxi Securitisation (Pty) Ltd (AVUSA Media Ltd and Others as Amici Curiae)</w:t>
      </w:r>
      <w:r w:rsidR="008B1845">
        <w:rPr>
          <w:rStyle w:val="italic"/>
          <w:szCs w:val="18"/>
        </w:rPr>
        <w:t xml:space="preserve"> 2011 (5) SA 329 (SCA).</w:t>
      </w:r>
      <w:r w:rsidR="008B1845" w:rsidRPr="00627249">
        <w:rPr>
          <w:szCs w:val="18"/>
          <w:lang w:val="en-US"/>
        </w:rPr>
        <w:t xml:space="preserve"> </w:t>
      </w:r>
    </w:p>
  </w:footnote>
  <w:footnote w:id="33">
    <w:p w14:paraId="759CF6D3" w14:textId="283523C1" w:rsidR="00156DAA" w:rsidRPr="00627249" w:rsidRDefault="00156DAA" w:rsidP="008B1845">
      <w:pPr>
        <w:pStyle w:val="lrcasename"/>
        <w:shd w:val="clear" w:color="auto" w:fill="FFFFFF"/>
        <w:tabs>
          <w:tab w:val="left" w:pos="709"/>
        </w:tabs>
        <w:spacing w:before="0" w:beforeAutospacing="0" w:after="40" w:afterAutospacing="0"/>
        <w:ind w:left="709" w:hanging="709"/>
        <w:jc w:val="both"/>
        <w:rPr>
          <w:rFonts w:ascii="Verdana" w:hAnsi="Verdana"/>
          <w:sz w:val="18"/>
          <w:szCs w:val="18"/>
        </w:rPr>
      </w:pPr>
      <w:r w:rsidRPr="00627249">
        <w:rPr>
          <w:rStyle w:val="FootnoteReference"/>
          <w:rFonts w:ascii="Verdana" w:hAnsi="Verdana"/>
          <w:sz w:val="18"/>
          <w:szCs w:val="18"/>
        </w:rPr>
        <w:footnoteRef/>
      </w:r>
      <w:r w:rsidRPr="00627249">
        <w:rPr>
          <w:rFonts w:ascii="Verdana" w:hAnsi="Verdana"/>
          <w:sz w:val="18"/>
          <w:szCs w:val="18"/>
        </w:rPr>
        <w:t xml:space="preserve">     </w:t>
      </w:r>
      <w:r w:rsidR="008B1845">
        <w:rPr>
          <w:rFonts w:ascii="Verdana" w:hAnsi="Verdana"/>
          <w:sz w:val="18"/>
          <w:szCs w:val="18"/>
        </w:rPr>
        <w:tab/>
      </w:r>
      <w:r w:rsidRPr="008B1845">
        <w:rPr>
          <w:rFonts w:ascii="Verdana" w:hAnsi="Verdana"/>
          <w:i/>
          <w:iCs/>
          <w:sz w:val="18"/>
          <w:szCs w:val="18"/>
        </w:rPr>
        <w:t>Comwezi Security Services (Pty) Ltd v Cape Empowerment Trust Limited</w:t>
      </w:r>
      <w:r w:rsidRPr="00627249">
        <w:rPr>
          <w:rFonts w:ascii="Verdana" w:hAnsi="Verdana"/>
          <w:sz w:val="18"/>
          <w:szCs w:val="18"/>
        </w:rPr>
        <w:t xml:space="preserve"> 2012 JDR 1734 (SCA)</w:t>
      </w:r>
      <w:r w:rsidR="008B1845">
        <w:rPr>
          <w:rFonts w:ascii="Verdana" w:hAnsi="Verdana"/>
          <w:sz w:val="18"/>
          <w:szCs w:val="18"/>
        </w:rPr>
        <w:t>.</w:t>
      </w:r>
    </w:p>
  </w:footnote>
  <w:footnote w:id="34">
    <w:p w14:paraId="4356D73D" w14:textId="3FCBD19B" w:rsidR="00A814BF" w:rsidRPr="00627249" w:rsidRDefault="00A814BF" w:rsidP="008B1845">
      <w:pPr>
        <w:pStyle w:val="FootnoteText"/>
        <w:spacing w:after="40"/>
        <w:ind w:left="720" w:hanging="720"/>
        <w:jc w:val="both"/>
        <w:rPr>
          <w:szCs w:val="18"/>
        </w:rPr>
      </w:pPr>
      <w:r w:rsidRPr="00627249">
        <w:rPr>
          <w:rStyle w:val="FootnoteReference"/>
          <w:szCs w:val="18"/>
        </w:rPr>
        <w:footnoteRef/>
      </w:r>
      <w:r w:rsidRPr="00627249">
        <w:rPr>
          <w:szCs w:val="18"/>
        </w:rPr>
        <w:t xml:space="preserve"> </w:t>
      </w:r>
      <w:r w:rsidRPr="00627249">
        <w:rPr>
          <w:szCs w:val="18"/>
        </w:rPr>
        <w:tab/>
      </w:r>
      <w:r w:rsidRPr="00627249">
        <w:rPr>
          <w:i/>
          <w:iCs/>
          <w:szCs w:val="18"/>
          <w:shd w:val="clear" w:color="auto" w:fill="FFFFFF"/>
        </w:rPr>
        <w:t>Shill v Milner</w:t>
      </w:r>
      <w:r w:rsidR="008B1845">
        <w:rPr>
          <w:szCs w:val="18"/>
          <w:shd w:val="clear" w:color="auto" w:fill="FFFFFF"/>
        </w:rPr>
        <w:t xml:space="preserve"> 1937 AD 101 </w:t>
      </w:r>
      <w:r w:rsidRPr="00627249">
        <w:rPr>
          <w:szCs w:val="18"/>
          <w:shd w:val="clear" w:color="auto" w:fill="FFFFFF"/>
        </w:rPr>
        <w:t>at 110-111; </w:t>
      </w:r>
      <w:r w:rsidRPr="00627249">
        <w:rPr>
          <w:i/>
          <w:iCs/>
          <w:szCs w:val="18"/>
          <w:shd w:val="clear" w:color="auto" w:fill="FFFFFF"/>
        </w:rPr>
        <w:t>Shacklock v Shacklock</w:t>
      </w:r>
      <w:r w:rsidR="008B1845">
        <w:rPr>
          <w:szCs w:val="18"/>
          <w:shd w:val="clear" w:color="auto" w:fill="FFFFFF"/>
        </w:rPr>
        <w:t xml:space="preserve"> 1949 (1) SA 91 (A) </w:t>
      </w:r>
      <w:r w:rsidRPr="00627249">
        <w:rPr>
          <w:szCs w:val="18"/>
          <w:shd w:val="clear" w:color="auto" w:fill="FFFFFF"/>
        </w:rPr>
        <w:t>at 101;</w:t>
      </w:r>
      <w:r w:rsidR="008B1845">
        <w:rPr>
          <w:szCs w:val="18"/>
          <w:shd w:val="clear" w:color="auto" w:fill="FFFFFF"/>
        </w:rPr>
        <w:t xml:space="preserve"> </w:t>
      </w:r>
      <w:r w:rsidRPr="00627249">
        <w:rPr>
          <w:i/>
          <w:iCs/>
          <w:szCs w:val="18"/>
          <w:shd w:val="clear" w:color="auto" w:fill="FFFFFF"/>
        </w:rPr>
        <w:t xml:space="preserve">MTK </w:t>
      </w:r>
      <w:proofErr w:type="spellStart"/>
      <w:r w:rsidRPr="00627249">
        <w:rPr>
          <w:i/>
          <w:iCs/>
          <w:szCs w:val="18"/>
          <w:shd w:val="clear" w:color="auto" w:fill="FFFFFF"/>
        </w:rPr>
        <w:t>Saagmeule</w:t>
      </w:r>
      <w:proofErr w:type="spellEnd"/>
      <w:r w:rsidRPr="00627249">
        <w:rPr>
          <w:i/>
          <w:iCs/>
          <w:szCs w:val="18"/>
          <w:shd w:val="clear" w:color="auto" w:fill="FFFFFF"/>
        </w:rPr>
        <w:t xml:space="preserve"> (Pty) Ltd v </w:t>
      </w:r>
      <w:proofErr w:type="spellStart"/>
      <w:r w:rsidRPr="00627249">
        <w:rPr>
          <w:i/>
          <w:iCs/>
          <w:szCs w:val="18"/>
          <w:shd w:val="clear" w:color="auto" w:fill="FFFFFF"/>
        </w:rPr>
        <w:t>Killyman</w:t>
      </w:r>
      <w:proofErr w:type="spellEnd"/>
      <w:r w:rsidRPr="00627249">
        <w:rPr>
          <w:i/>
          <w:iCs/>
          <w:szCs w:val="18"/>
          <w:shd w:val="clear" w:color="auto" w:fill="FFFFFF"/>
        </w:rPr>
        <w:t xml:space="preserve"> Estates (Pty) Ltd</w:t>
      </w:r>
      <w:r w:rsidR="008B1845">
        <w:rPr>
          <w:szCs w:val="18"/>
          <w:shd w:val="clear" w:color="auto" w:fill="FFFFFF"/>
        </w:rPr>
        <w:t xml:space="preserve"> 1980 (3) SA 1 (A) </w:t>
      </w:r>
      <w:r w:rsidRPr="00627249">
        <w:rPr>
          <w:szCs w:val="18"/>
          <w:shd w:val="clear" w:color="auto" w:fill="FFFFFF"/>
        </w:rPr>
        <w:t>at 12F-H.</w:t>
      </w:r>
    </w:p>
  </w:footnote>
  <w:footnote w:id="35">
    <w:p w14:paraId="38E43643" w14:textId="08C71B70" w:rsidR="00492C5D" w:rsidRPr="00627249" w:rsidRDefault="00492C5D" w:rsidP="008B1845">
      <w:pPr>
        <w:pStyle w:val="FootnoteText"/>
        <w:spacing w:after="40"/>
        <w:ind w:left="720" w:hanging="720"/>
        <w:jc w:val="both"/>
        <w:rPr>
          <w:szCs w:val="18"/>
        </w:rPr>
      </w:pPr>
      <w:r w:rsidRPr="00627249">
        <w:rPr>
          <w:rStyle w:val="FootnoteReference"/>
          <w:szCs w:val="18"/>
        </w:rPr>
        <w:footnoteRef/>
      </w:r>
      <w:r w:rsidRPr="00627249">
        <w:rPr>
          <w:szCs w:val="18"/>
        </w:rPr>
        <w:t xml:space="preserve"> </w:t>
      </w:r>
      <w:r w:rsidRPr="00627249">
        <w:rPr>
          <w:szCs w:val="18"/>
        </w:rPr>
        <w:tab/>
      </w:r>
      <w:r w:rsidR="005E3D73" w:rsidRPr="008B1845">
        <w:rPr>
          <w:i/>
          <w:iCs/>
          <w:szCs w:val="18"/>
        </w:rPr>
        <w:t>K</w:t>
      </w:r>
      <w:r w:rsidR="005E3D73" w:rsidRPr="00627249">
        <w:rPr>
          <w:i/>
          <w:iCs/>
          <w:szCs w:val="18"/>
          <w:shd w:val="clear" w:color="auto" w:fill="FFFFFF"/>
        </w:rPr>
        <w:t xml:space="preserve">PMG Chartered Accountants (SA) v </w:t>
      </w:r>
      <w:proofErr w:type="spellStart"/>
      <w:r w:rsidR="005E3D73" w:rsidRPr="00627249">
        <w:rPr>
          <w:i/>
          <w:iCs/>
          <w:szCs w:val="18"/>
          <w:shd w:val="clear" w:color="auto" w:fill="FFFFFF"/>
        </w:rPr>
        <w:t>Securefin</w:t>
      </w:r>
      <w:proofErr w:type="spellEnd"/>
      <w:r w:rsidR="005E3D73" w:rsidRPr="00627249">
        <w:rPr>
          <w:i/>
          <w:iCs/>
          <w:szCs w:val="18"/>
          <w:shd w:val="clear" w:color="auto" w:fill="FFFFFF"/>
        </w:rPr>
        <w:t xml:space="preserve"> Ltd &amp; another</w:t>
      </w:r>
      <w:r w:rsidR="008B1845">
        <w:rPr>
          <w:szCs w:val="18"/>
          <w:shd w:val="clear" w:color="auto" w:fill="FFFFFF"/>
        </w:rPr>
        <w:t xml:space="preserve"> 2009 (4) SA 399 (SCA)</w:t>
      </w:r>
      <w:r w:rsidR="005E3D73" w:rsidRPr="00627249">
        <w:rPr>
          <w:szCs w:val="18"/>
          <w:shd w:val="clear" w:color="auto" w:fill="FFFFFF"/>
        </w:rPr>
        <w:t> par 39</w:t>
      </w:r>
      <w:r w:rsidR="008B1845">
        <w:rPr>
          <w:szCs w:val="18"/>
          <w:shd w:val="clear" w:color="auto" w:fill="FFFFFF"/>
        </w:rPr>
        <w:t>.</w:t>
      </w:r>
    </w:p>
  </w:footnote>
  <w:footnote w:id="36">
    <w:p w14:paraId="6074F219" w14:textId="6BC32C78" w:rsidR="00594961" w:rsidRPr="00627249" w:rsidRDefault="00594961" w:rsidP="008B1845">
      <w:pPr>
        <w:pStyle w:val="FootnoteText"/>
        <w:spacing w:after="40"/>
        <w:jc w:val="both"/>
        <w:rPr>
          <w:szCs w:val="18"/>
        </w:rPr>
      </w:pPr>
      <w:r w:rsidRPr="00627249">
        <w:rPr>
          <w:rStyle w:val="FootnoteReference"/>
          <w:szCs w:val="18"/>
        </w:rPr>
        <w:footnoteRef/>
      </w:r>
      <w:r w:rsidRPr="00627249">
        <w:rPr>
          <w:szCs w:val="18"/>
        </w:rPr>
        <w:t xml:space="preserve"> </w:t>
      </w:r>
      <w:r w:rsidRPr="00627249">
        <w:rPr>
          <w:szCs w:val="18"/>
        </w:rPr>
        <w:tab/>
      </w:r>
      <w:proofErr w:type="spellStart"/>
      <w:r w:rsidRPr="008B1845">
        <w:rPr>
          <w:i/>
          <w:iCs/>
          <w:szCs w:val="18"/>
        </w:rPr>
        <w:t>Comwezi</w:t>
      </w:r>
      <w:proofErr w:type="spellEnd"/>
      <w:r w:rsidRPr="00627249">
        <w:rPr>
          <w:szCs w:val="18"/>
        </w:rPr>
        <w:t xml:space="preserve"> </w:t>
      </w:r>
      <w:r w:rsidRPr="00627249">
        <w:rPr>
          <w:i/>
          <w:iCs/>
          <w:szCs w:val="18"/>
        </w:rPr>
        <w:t xml:space="preserve">supra </w:t>
      </w:r>
      <w:r w:rsidRPr="00627249">
        <w:rPr>
          <w:szCs w:val="18"/>
        </w:rPr>
        <w:t xml:space="preserve">at </w:t>
      </w:r>
      <w:r w:rsidR="00976640" w:rsidRPr="00627249">
        <w:rPr>
          <w:szCs w:val="18"/>
        </w:rPr>
        <w:t>par [15]</w:t>
      </w:r>
      <w:r w:rsidR="008B1845">
        <w:rPr>
          <w:szCs w:val="18"/>
        </w:rPr>
        <w:t>.</w:t>
      </w:r>
    </w:p>
  </w:footnote>
  <w:footnote w:id="37">
    <w:p w14:paraId="22476C8D" w14:textId="398DF194" w:rsidR="00731A93" w:rsidRPr="00627249" w:rsidRDefault="00731A93" w:rsidP="008B1845">
      <w:pPr>
        <w:pStyle w:val="FootnoteText"/>
        <w:spacing w:after="40"/>
        <w:jc w:val="both"/>
        <w:rPr>
          <w:szCs w:val="18"/>
        </w:rPr>
      </w:pPr>
      <w:r w:rsidRPr="00627249">
        <w:rPr>
          <w:rStyle w:val="FootnoteReference"/>
          <w:szCs w:val="18"/>
        </w:rPr>
        <w:footnoteRef/>
      </w:r>
      <w:r w:rsidRPr="00627249">
        <w:rPr>
          <w:szCs w:val="18"/>
        </w:rPr>
        <w:t xml:space="preserve"> </w:t>
      </w:r>
      <w:r w:rsidRPr="00627249">
        <w:rPr>
          <w:szCs w:val="18"/>
        </w:rPr>
        <w:tab/>
        <w:t>Par [56]</w:t>
      </w:r>
      <w:r w:rsidR="008B1845">
        <w:rPr>
          <w:szCs w:val="18"/>
        </w:rPr>
        <w:t>.</w:t>
      </w:r>
    </w:p>
  </w:footnote>
  <w:footnote w:id="38">
    <w:p w14:paraId="74D03950" w14:textId="729D631E" w:rsidR="002C4939" w:rsidRPr="00627249" w:rsidRDefault="002C4939" w:rsidP="008B1845">
      <w:pPr>
        <w:pStyle w:val="lrcasename"/>
        <w:shd w:val="clear" w:color="auto" w:fill="FFFFFF"/>
        <w:spacing w:before="0" w:beforeAutospacing="0" w:after="40" w:afterAutospacing="0"/>
        <w:jc w:val="both"/>
        <w:rPr>
          <w:rFonts w:ascii="Verdana" w:hAnsi="Verdana"/>
          <w:sz w:val="18"/>
          <w:szCs w:val="18"/>
        </w:rPr>
      </w:pPr>
      <w:r w:rsidRPr="00627249">
        <w:rPr>
          <w:rStyle w:val="FootnoteReference"/>
          <w:rFonts w:ascii="Verdana" w:hAnsi="Verdana"/>
          <w:sz w:val="18"/>
          <w:szCs w:val="18"/>
        </w:rPr>
        <w:footnoteRef/>
      </w:r>
      <w:r w:rsidRPr="00627249">
        <w:rPr>
          <w:rFonts w:ascii="Verdana" w:hAnsi="Verdana"/>
          <w:sz w:val="18"/>
          <w:szCs w:val="18"/>
        </w:rPr>
        <w:t xml:space="preserve"> </w:t>
      </w:r>
      <w:r w:rsidR="00D30754" w:rsidRPr="00627249">
        <w:rPr>
          <w:rFonts w:ascii="Verdana" w:hAnsi="Verdana"/>
          <w:sz w:val="18"/>
          <w:szCs w:val="18"/>
        </w:rPr>
        <w:tab/>
      </w:r>
      <w:proofErr w:type="spellStart"/>
      <w:r w:rsidR="00D30754" w:rsidRPr="008B1845">
        <w:rPr>
          <w:rFonts w:ascii="Verdana" w:hAnsi="Verdana"/>
          <w:i/>
          <w:iCs/>
          <w:sz w:val="18"/>
          <w:szCs w:val="18"/>
        </w:rPr>
        <w:t>Beijers</w:t>
      </w:r>
      <w:proofErr w:type="spellEnd"/>
      <w:r w:rsidR="00D30754" w:rsidRPr="008B1845">
        <w:rPr>
          <w:rFonts w:ascii="Verdana" w:hAnsi="Verdana"/>
          <w:i/>
          <w:iCs/>
          <w:sz w:val="18"/>
          <w:szCs w:val="18"/>
        </w:rPr>
        <w:t> v Harlequin Duck Properties 231 (Pty) Ltd</w:t>
      </w:r>
      <w:r w:rsidR="00D30754" w:rsidRPr="00627249">
        <w:rPr>
          <w:rFonts w:ascii="Verdana" w:hAnsi="Verdana"/>
          <w:sz w:val="18"/>
          <w:szCs w:val="18"/>
        </w:rPr>
        <w:t xml:space="preserve"> 2019 JDR 0986 (SCA) par</w:t>
      </w:r>
      <w:r w:rsidR="0037223F" w:rsidRPr="00627249">
        <w:rPr>
          <w:rFonts w:ascii="Verdana" w:hAnsi="Verdana"/>
          <w:sz w:val="18"/>
          <w:szCs w:val="18"/>
        </w:rPr>
        <w:t xml:space="preserve"> [10]</w:t>
      </w:r>
      <w:r w:rsidR="008B1845">
        <w:rPr>
          <w:rFonts w:ascii="Verdana" w:hAnsi="Verdana"/>
          <w:sz w:val="18"/>
          <w:szCs w:val="18"/>
        </w:rPr>
        <w:t>.</w:t>
      </w:r>
    </w:p>
  </w:footnote>
  <w:footnote w:id="39">
    <w:p w14:paraId="7AD78750" w14:textId="1AF071C2" w:rsidR="0011675D" w:rsidRPr="00627249" w:rsidRDefault="0011675D" w:rsidP="008B1845">
      <w:pPr>
        <w:pStyle w:val="FootnoteText"/>
        <w:spacing w:after="40"/>
        <w:jc w:val="both"/>
        <w:rPr>
          <w:szCs w:val="18"/>
          <w:lang w:val="en-US"/>
        </w:rPr>
      </w:pPr>
      <w:r w:rsidRPr="00627249">
        <w:rPr>
          <w:rStyle w:val="FootnoteReference"/>
          <w:szCs w:val="18"/>
        </w:rPr>
        <w:footnoteRef/>
      </w:r>
      <w:r w:rsidRPr="00627249">
        <w:rPr>
          <w:szCs w:val="18"/>
        </w:rPr>
        <w:t xml:space="preserve"> </w:t>
      </w:r>
      <w:r w:rsidRPr="00627249">
        <w:rPr>
          <w:szCs w:val="18"/>
          <w:lang w:val="en-US"/>
        </w:rPr>
        <w:tab/>
      </w:r>
      <w:r w:rsidR="00A6525A" w:rsidRPr="008B1845">
        <w:rPr>
          <w:i/>
          <w:iCs/>
          <w:szCs w:val="18"/>
          <w:lang w:val="en-US"/>
        </w:rPr>
        <w:t xml:space="preserve">Intercontinental Exports (Pty) Limited v </w:t>
      </w:r>
      <w:r w:rsidR="000D5729" w:rsidRPr="008B1845">
        <w:rPr>
          <w:i/>
          <w:iCs/>
          <w:szCs w:val="18"/>
          <w:lang w:val="en-US"/>
        </w:rPr>
        <w:t>Fowles</w:t>
      </w:r>
      <w:r w:rsidR="000D5729" w:rsidRPr="00627249">
        <w:rPr>
          <w:szCs w:val="18"/>
          <w:lang w:val="en-US"/>
        </w:rPr>
        <w:t xml:space="preserve"> [1999] </w:t>
      </w:r>
      <w:r w:rsidR="00D22D36" w:rsidRPr="00627249">
        <w:rPr>
          <w:szCs w:val="18"/>
          <w:lang w:val="en-US"/>
        </w:rPr>
        <w:t>Z</w:t>
      </w:r>
      <w:r w:rsidR="000D5729" w:rsidRPr="00627249">
        <w:rPr>
          <w:szCs w:val="18"/>
          <w:lang w:val="en-US"/>
        </w:rPr>
        <w:t>AS</w:t>
      </w:r>
      <w:r w:rsidR="00D22D36" w:rsidRPr="00627249">
        <w:rPr>
          <w:szCs w:val="18"/>
          <w:lang w:val="en-US"/>
        </w:rPr>
        <w:t>C</w:t>
      </w:r>
      <w:r w:rsidR="000D5729" w:rsidRPr="00627249">
        <w:rPr>
          <w:szCs w:val="18"/>
          <w:lang w:val="en-US"/>
        </w:rPr>
        <w:t>A 15</w:t>
      </w:r>
      <w:r w:rsidR="008B1845">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5847"/>
      <w:docPartObj>
        <w:docPartGallery w:val="Page Numbers (Top of Page)"/>
        <w:docPartUnique/>
      </w:docPartObj>
    </w:sdtPr>
    <w:sdtEndPr>
      <w:rPr>
        <w:noProof/>
      </w:rPr>
    </w:sdtEndPr>
    <w:sdtContent>
      <w:p w14:paraId="07CE8E0A" w14:textId="30B00644" w:rsidR="00490AC0" w:rsidRDefault="00490AC0">
        <w:pPr>
          <w:pStyle w:val="Header"/>
          <w:jc w:val="center"/>
          <w:rPr>
            <w:noProof/>
          </w:rPr>
        </w:pPr>
        <w:r>
          <w:fldChar w:fldCharType="begin"/>
        </w:r>
        <w:r>
          <w:instrText xml:space="preserve"> PAGE   \* MERGEFORMAT </w:instrText>
        </w:r>
        <w:r>
          <w:fldChar w:fldCharType="separate"/>
        </w:r>
        <w:r w:rsidR="004B7ED2">
          <w:rPr>
            <w:noProof/>
          </w:rPr>
          <w:t>22</w:t>
        </w:r>
        <w:r>
          <w:rPr>
            <w:noProof/>
          </w:rPr>
          <w:fldChar w:fldCharType="end"/>
        </w:r>
      </w:p>
      <w:p w14:paraId="1A2BCE82" w14:textId="77777777" w:rsidR="00490AC0" w:rsidRDefault="00000000">
        <w:pPr>
          <w:pStyle w:val="Header"/>
          <w:jc w:val="center"/>
        </w:pPr>
      </w:p>
    </w:sdtContent>
  </w:sdt>
  <w:p w14:paraId="1D9DFF89" w14:textId="77777777" w:rsidR="00490AC0" w:rsidRDefault="00490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04B365B1"/>
    <w:multiLevelType w:val="multilevel"/>
    <w:tmpl w:val="BEDC7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15:restartNumberingAfterBreak="0">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15:restartNumberingAfterBreak="0">
    <w:nsid w:val="1057022D"/>
    <w:multiLevelType w:val="multilevel"/>
    <w:tmpl w:val="5A469D40"/>
    <w:lvl w:ilvl="0">
      <w:start w:val="1"/>
      <w:numFmt w:val="decimal"/>
      <w:pStyle w:val="Indent"/>
      <w:lvlText w:val="[%1]"/>
      <w:lvlJc w:val="left"/>
      <w:pPr>
        <w:ind w:left="0" w:firstLine="0"/>
      </w:pPr>
      <w:rPr>
        <w:rFonts w:ascii="Verdana" w:hAnsi="Verdana" w:hint="default"/>
        <w:b w:val="0"/>
        <w:bCs w:val="0"/>
        <w:i w:val="0"/>
        <w:color w:val="000000" w:themeColor="text1"/>
        <w:sz w:val="22"/>
        <w:szCs w:val="22"/>
      </w:rPr>
    </w:lvl>
    <w:lvl w:ilvl="1">
      <w:start w:val="1"/>
      <w:numFmt w:val="lowerLetter"/>
      <w:lvlText w:val="[%2]"/>
      <w:lvlJc w:val="left"/>
      <w:pPr>
        <w:ind w:left="708" w:hanging="738"/>
      </w:pPr>
      <w:rPr>
        <w:rFonts w:ascii="Verdana" w:hAnsi="Verdana" w:hint="default"/>
        <w:i w:val="0"/>
        <w:sz w:val="22"/>
      </w:rPr>
    </w:lvl>
    <w:lvl w:ilvl="2">
      <w:start w:val="1"/>
      <w:numFmt w:val="decimal"/>
      <w:lvlText w:val="[%1.%2.%3]"/>
      <w:lvlJc w:val="left"/>
      <w:pPr>
        <w:tabs>
          <w:tab w:val="num" w:pos="424"/>
        </w:tabs>
        <w:ind w:left="-710" w:firstLine="0"/>
      </w:pPr>
      <w:rPr>
        <w:rFonts w:hint="default"/>
      </w:rPr>
    </w:lvl>
    <w:lvl w:ilvl="3">
      <w:start w:val="1"/>
      <w:numFmt w:val="decimal"/>
      <w:lvlText w:val="%1.%2.%3.%4"/>
      <w:lvlJc w:val="left"/>
      <w:pPr>
        <w:tabs>
          <w:tab w:val="num" w:pos="3259"/>
        </w:tabs>
        <w:ind w:left="3259" w:hanging="1134"/>
      </w:pPr>
      <w:rPr>
        <w:rFonts w:hint="default"/>
      </w:rPr>
    </w:lvl>
    <w:lvl w:ilvl="4">
      <w:start w:val="1"/>
      <w:numFmt w:val="decimal"/>
      <w:lvlText w:val="%1.%2.%3.%4.%5"/>
      <w:lvlJc w:val="left"/>
      <w:pPr>
        <w:tabs>
          <w:tab w:val="num" w:pos="4562"/>
        </w:tabs>
        <w:ind w:left="4562" w:hanging="1303"/>
      </w:pPr>
      <w:rPr>
        <w:rFonts w:hint="default"/>
      </w:rPr>
    </w:lvl>
    <w:lvl w:ilvl="5">
      <w:start w:val="1"/>
      <w:numFmt w:val="decimal"/>
      <w:lvlText w:val="%1.%2.%3.%4.%5.%6"/>
      <w:lvlJc w:val="left"/>
      <w:pPr>
        <w:tabs>
          <w:tab w:val="num" w:pos="6632"/>
        </w:tabs>
        <w:ind w:left="6632" w:hanging="1582"/>
      </w:pPr>
      <w:rPr>
        <w:rFonts w:hint="default"/>
      </w:rPr>
    </w:lvl>
    <w:lvl w:ilvl="6">
      <w:start w:val="1"/>
      <w:numFmt w:val="decimal"/>
      <w:lvlText w:val="%1.%2.%3.%4.%5.%6.%7"/>
      <w:lvlJc w:val="left"/>
      <w:pPr>
        <w:tabs>
          <w:tab w:val="num" w:pos="8361"/>
        </w:tabs>
        <w:ind w:left="8361" w:hanging="1729"/>
      </w:pPr>
      <w:rPr>
        <w:rFonts w:hint="default"/>
      </w:rPr>
    </w:lvl>
    <w:lvl w:ilvl="7">
      <w:start w:val="1"/>
      <w:numFmt w:val="decimal"/>
      <w:lvlText w:val="%1.%2.%3.%4.%5.%6.%7.%8."/>
      <w:lvlJc w:val="left"/>
      <w:pPr>
        <w:tabs>
          <w:tab w:val="num" w:pos="10521"/>
        </w:tabs>
        <w:ind w:left="10090" w:hanging="1729"/>
      </w:pPr>
      <w:rPr>
        <w:rFonts w:hint="default"/>
      </w:rPr>
    </w:lvl>
    <w:lvl w:ilvl="8">
      <w:start w:val="1"/>
      <w:numFmt w:val="decimal"/>
      <w:lvlText w:val="%1.%2.%3.%4.%5.%6.%7.%8.%9."/>
      <w:lvlJc w:val="left"/>
      <w:pPr>
        <w:tabs>
          <w:tab w:val="num" w:pos="12250"/>
        </w:tabs>
        <w:ind w:left="11819" w:hanging="1729"/>
      </w:pPr>
      <w:rPr>
        <w:rFonts w:hint="default"/>
      </w:rPr>
    </w:lvl>
  </w:abstractNum>
  <w:abstractNum w:abstractNumId="6" w15:restartNumberingAfterBreak="0">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9" w15:restartNumberingAfterBreak="0">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0" w15:restartNumberingAfterBreak="0">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1" w15:restartNumberingAfterBreak="0">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9" w15:restartNumberingAfterBreak="0">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0" w15:restartNumberingAfterBreak="0">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1" w15:restartNumberingAfterBreak="0">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3" w15:restartNumberingAfterBreak="0">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5" w15:restartNumberingAfterBreak="0">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26" w15:restartNumberingAfterBreak="0">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8" w15:restartNumberingAfterBreak="0">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16cid:durableId="1358065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420079">
    <w:abstractNumId w:val="13"/>
  </w:num>
  <w:num w:numId="3" w16cid:durableId="409887450">
    <w:abstractNumId w:val="25"/>
  </w:num>
  <w:num w:numId="4" w16cid:durableId="1020816870">
    <w:abstractNumId w:val="2"/>
  </w:num>
  <w:num w:numId="5" w16cid:durableId="1901944090">
    <w:abstractNumId w:val="6"/>
  </w:num>
  <w:num w:numId="6" w16cid:durableId="12823459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0200055">
    <w:abstractNumId w:val="5"/>
  </w:num>
  <w:num w:numId="8" w16cid:durableId="1643846970">
    <w:abstractNumId w:val="9"/>
  </w:num>
  <w:num w:numId="9" w16cid:durableId="416368707">
    <w:abstractNumId w:val="15"/>
  </w:num>
  <w:num w:numId="10" w16cid:durableId="188220668">
    <w:abstractNumId w:val="18"/>
  </w:num>
  <w:num w:numId="11" w16cid:durableId="1097218061">
    <w:abstractNumId w:val="23"/>
  </w:num>
  <w:num w:numId="12" w16cid:durableId="1686394428">
    <w:abstractNumId w:val="16"/>
  </w:num>
  <w:num w:numId="13" w16cid:durableId="2092845358">
    <w:abstractNumId w:val="0"/>
  </w:num>
  <w:num w:numId="14" w16cid:durableId="264192678">
    <w:abstractNumId w:val="22"/>
  </w:num>
  <w:num w:numId="15" w16cid:durableId="2041779884">
    <w:abstractNumId w:val="27"/>
  </w:num>
  <w:num w:numId="16" w16cid:durableId="1696072589">
    <w:abstractNumId w:val="14"/>
  </w:num>
  <w:num w:numId="17" w16cid:durableId="902331632">
    <w:abstractNumId w:val="24"/>
  </w:num>
  <w:num w:numId="18" w16cid:durableId="987051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2146963">
    <w:abstractNumId w:val="21"/>
  </w:num>
  <w:num w:numId="20" w16cid:durableId="863056243">
    <w:abstractNumId w:val="3"/>
  </w:num>
  <w:num w:numId="21" w16cid:durableId="2120711025">
    <w:abstractNumId w:val="17"/>
  </w:num>
  <w:num w:numId="22" w16cid:durableId="842432085">
    <w:abstractNumId w:val="8"/>
  </w:num>
  <w:num w:numId="23" w16cid:durableId="258636990">
    <w:abstractNumId w:val="11"/>
  </w:num>
  <w:num w:numId="24" w16cid:durableId="1783763441">
    <w:abstractNumId w:val="12"/>
  </w:num>
  <w:num w:numId="25" w16cid:durableId="1987004985">
    <w:abstractNumId w:val="26"/>
  </w:num>
  <w:num w:numId="26" w16cid:durableId="884373996">
    <w:abstractNumId w:val="10"/>
  </w:num>
  <w:num w:numId="27" w16cid:durableId="1457258912">
    <w:abstractNumId w:val="19"/>
  </w:num>
  <w:num w:numId="28" w16cid:durableId="1329556775">
    <w:abstractNumId w:val="28"/>
  </w:num>
  <w:num w:numId="29" w16cid:durableId="1455100252">
    <w:abstractNumId w:val="7"/>
  </w:num>
  <w:num w:numId="30" w16cid:durableId="1073963648">
    <w:abstractNumId w:val="20"/>
  </w:num>
  <w:num w:numId="31" w16cid:durableId="1383166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17"/>
    <w:rsid w:val="00000B51"/>
    <w:rsid w:val="000036DC"/>
    <w:rsid w:val="00003925"/>
    <w:rsid w:val="00005071"/>
    <w:rsid w:val="00005A42"/>
    <w:rsid w:val="000065EB"/>
    <w:rsid w:val="0000665E"/>
    <w:rsid w:val="00006D75"/>
    <w:rsid w:val="0001066B"/>
    <w:rsid w:val="00013159"/>
    <w:rsid w:val="00013828"/>
    <w:rsid w:val="000177BB"/>
    <w:rsid w:val="00026B84"/>
    <w:rsid w:val="00027707"/>
    <w:rsid w:val="000309D1"/>
    <w:rsid w:val="0003153D"/>
    <w:rsid w:val="00032720"/>
    <w:rsid w:val="00032E28"/>
    <w:rsid w:val="00034C30"/>
    <w:rsid w:val="000413C6"/>
    <w:rsid w:val="00043456"/>
    <w:rsid w:val="00044237"/>
    <w:rsid w:val="000442F6"/>
    <w:rsid w:val="0004658E"/>
    <w:rsid w:val="00050546"/>
    <w:rsid w:val="00050CB2"/>
    <w:rsid w:val="00055AC9"/>
    <w:rsid w:val="000612F7"/>
    <w:rsid w:val="00061555"/>
    <w:rsid w:val="00061E3E"/>
    <w:rsid w:val="0006254A"/>
    <w:rsid w:val="000633E6"/>
    <w:rsid w:val="00063BCA"/>
    <w:rsid w:val="000653F2"/>
    <w:rsid w:val="00066329"/>
    <w:rsid w:val="0006790C"/>
    <w:rsid w:val="00072C59"/>
    <w:rsid w:val="000733E2"/>
    <w:rsid w:val="00073600"/>
    <w:rsid w:val="00074EC4"/>
    <w:rsid w:val="000760C8"/>
    <w:rsid w:val="000809BC"/>
    <w:rsid w:val="00081A1A"/>
    <w:rsid w:val="00081CE3"/>
    <w:rsid w:val="00082B70"/>
    <w:rsid w:val="00084528"/>
    <w:rsid w:val="000857DF"/>
    <w:rsid w:val="00087B9E"/>
    <w:rsid w:val="00093A25"/>
    <w:rsid w:val="000952A1"/>
    <w:rsid w:val="0009619E"/>
    <w:rsid w:val="00096674"/>
    <w:rsid w:val="000A07BC"/>
    <w:rsid w:val="000A12D2"/>
    <w:rsid w:val="000A17B0"/>
    <w:rsid w:val="000A5580"/>
    <w:rsid w:val="000A569F"/>
    <w:rsid w:val="000A74A1"/>
    <w:rsid w:val="000A74B9"/>
    <w:rsid w:val="000B0272"/>
    <w:rsid w:val="000B1280"/>
    <w:rsid w:val="000B426A"/>
    <w:rsid w:val="000B5D7B"/>
    <w:rsid w:val="000B6226"/>
    <w:rsid w:val="000B742D"/>
    <w:rsid w:val="000B7CDB"/>
    <w:rsid w:val="000C14B7"/>
    <w:rsid w:val="000C4BB1"/>
    <w:rsid w:val="000C5D01"/>
    <w:rsid w:val="000C5DF9"/>
    <w:rsid w:val="000C5FF6"/>
    <w:rsid w:val="000C644E"/>
    <w:rsid w:val="000C6DFA"/>
    <w:rsid w:val="000C7E8C"/>
    <w:rsid w:val="000C7F8B"/>
    <w:rsid w:val="000D135F"/>
    <w:rsid w:val="000D1641"/>
    <w:rsid w:val="000D233F"/>
    <w:rsid w:val="000D37B6"/>
    <w:rsid w:val="000D3BCB"/>
    <w:rsid w:val="000D3ED5"/>
    <w:rsid w:val="000D41AB"/>
    <w:rsid w:val="000D5729"/>
    <w:rsid w:val="000D5FD7"/>
    <w:rsid w:val="000E4DAB"/>
    <w:rsid w:val="000E616B"/>
    <w:rsid w:val="000E661B"/>
    <w:rsid w:val="000F1800"/>
    <w:rsid w:val="000F1D4E"/>
    <w:rsid w:val="000F4970"/>
    <w:rsid w:val="000F4A64"/>
    <w:rsid w:val="000F53D1"/>
    <w:rsid w:val="000F7427"/>
    <w:rsid w:val="00101D55"/>
    <w:rsid w:val="001025BA"/>
    <w:rsid w:val="00103202"/>
    <w:rsid w:val="0010425B"/>
    <w:rsid w:val="001047CF"/>
    <w:rsid w:val="00106258"/>
    <w:rsid w:val="00107604"/>
    <w:rsid w:val="00110047"/>
    <w:rsid w:val="00114C78"/>
    <w:rsid w:val="0011675D"/>
    <w:rsid w:val="001171F0"/>
    <w:rsid w:val="001174F7"/>
    <w:rsid w:val="0011765A"/>
    <w:rsid w:val="001206E9"/>
    <w:rsid w:val="0012209C"/>
    <w:rsid w:val="001226BB"/>
    <w:rsid w:val="00123728"/>
    <w:rsid w:val="0012503B"/>
    <w:rsid w:val="001308C7"/>
    <w:rsid w:val="00131E0E"/>
    <w:rsid w:val="00134663"/>
    <w:rsid w:val="00134AA0"/>
    <w:rsid w:val="00134B00"/>
    <w:rsid w:val="001356F3"/>
    <w:rsid w:val="0013584A"/>
    <w:rsid w:val="00135E37"/>
    <w:rsid w:val="001360FE"/>
    <w:rsid w:val="00136B08"/>
    <w:rsid w:val="00137B73"/>
    <w:rsid w:val="00140ED4"/>
    <w:rsid w:val="0014164A"/>
    <w:rsid w:val="001435D7"/>
    <w:rsid w:val="00143B46"/>
    <w:rsid w:val="0014403E"/>
    <w:rsid w:val="00146CBA"/>
    <w:rsid w:val="001477EC"/>
    <w:rsid w:val="00150061"/>
    <w:rsid w:val="00152AEC"/>
    <w:rsid w:val="00152C73"/>
    <w:rsid w:val="001539DB"/>
    <w:rsid w:val="00153B91"/>
    <w:rsid w:val="00155981"/>
    <w:rsid w:val="001567BA"/>
    <w:rsid w:val="00156DAA"/>
    <w:rsid w:val="0015744E"/>
    <w:rsid w:val="00157ADF"/>
    <w:rsid w:val="001601E9"/>
    <w:rsid w:val="001624F2"/>
    <w:rsid w:val="00162F9C"/>
    <w:rsid w:val="00163B86"/>
    <w:rsid w:val="001664B0"/>
    <w:rsid w:val="0017007C"/>
    <w:rsid w:val="0017092C"/>
    <w:rsid w:val="00171847"/>
    <w:rsid w:val="00173680"/>
    <w:rsid w:val="00175A74"/>
    <w:rsid w:val="001768C6"/>
    <w:rsid w:val="00176A42"/>
    <w:rsid w:val="001800B1"/>
    <w:rsid w:val="00180D5D"/>
    <w:rsid w:val="00185D78"/>
    <w:rsid w:val="0018685A"/>
    <w:rsid w:val="001878E2"/>
    <w:rsid w:val="00187994"/>
    <w:rsid w:val="00187A31"/>
    <w:rsid w:val="00190A4F"/>
    <w:rsid w:val="001944BB"/>
    <w:rsid w:val="0019653E"/>
    <w:rsid w:val="001A51B8"/>
    <w:rsid w:val="001A69C7"/>
    <w:rsid w:val="001A7C41"/>
    <w:rsid w:val="001B07F4"/>
    <w:rsid w:val="001B5DAC"/>
    <w:rsid w:val="001C2696"/>
    <w:rsid w:val="001C356C"/>
    <w:rsid w:val="001C4E4D"/>
    <w:rsid w:val="001C648E"/>
    <w:rsid w:val="001C686D"/>
    <w:rsid w:val="001C6E99"/>
    <w:rsid w:val="001D2694"/>
    <w:rsid w:val="001D3D4F"/>
    <w:rsid w:val="001D41D1"/>
    <w:rsid w:val="001D4298"/>
    <w:rsid w:val="001D52D8"/>
    <w:rsid w:val="001D719B"/>
    <w:rsid w:val="001E0AB9"/>
    <w:rsid w:val="001E256F"/>
    <w:rsid w:val="001E2685"/>
    <w:rsid w:val="001E4C66"/>
    <w:rsid w:val="001E68AE"/>
    <w:rsid w:val="001F044B"/>
    <w:rsid w:val="001F4AA4"/>
    <w:rsid w:val="002004FA"/>
    <w:rsid w:val="00200AA6"/>
    <w:rsid w:val="00201123"/>
    <w:rsid w:val="00201AF2"/>
    <w:rsid w:val="00202C74"/>
    <w:rsid w:val="002033E0"/>
    <w:rsid w:val="00206115"/>
    <w:rsid w:val="002061C5"/>
    <w:rsid w:val="0020722B"/>
    <w:rsid w:val="00207307"/>
    <w:rsid w:val="0020776E"/>
    <w:rsid w:val="002122ED"/>
    <w:rsid w:val="00214580"/>
    <w:rsid w:val="0021739E"/>
    <w:rsid w:val="002206E7"/>
    <w:rsid w:val="00224629"/>
    <w:rsid w:val="00225130"/>
    <w:rsid w:val="002254BC"/>
    <w:rsid w:val="00226AB1"/>
    <w:rsid w:val="00230F2C"/>
    <w:rsid w:val="00232FE3"/>
    <w:rsid w:val="00233130"/>
    <w:rsid w:val="00243CAF"/>
    <w:rsid w:val="002441D3"/>
    <w:rsid w:val="00246C7C"/>
    <w:rsid w:val="00247D5E"/>
    <w:rsid w:val="00257041"/>
    <w:rsid w:val="00260719"/>
    <w:rsid w:val="00260F74"/>
    <w:rsid w:val="00261C7A"/>
    <w:rsid w:val="00263471"/>
    <w:rsid w:val="00263F5E"/>
    <w:rsid w:val="00264BFD"/>
    <w:rsid w:val="002650D6"/>
    <w:rsid w:val="002651E7"/>
    <w:rsid w:val="002654F4"/>
    <w:rsid w:val="00265676"/>
    <w:rsid w:val="00265FE1"/>
    <w:rsid w:val="00267371"/>
    <w:rsid w:val="002676B8"/>
    <w:rsid w:val="00267A86"/>
    <w:rsid w:val="002720C2"/>
    <w:rsid w:val="00272943"/>
    <w:rsid w:val="00273FDC"/>
    <w:rsid w:val="0027463B"/>
    <w:rsid w:val="0027464E"/>
    <w:rsid w:val="002751C2"/>
    <w:rsid w:val="00276C02"/>
    <w:rsid w:val="002778B3"/>
    <w:rsid w:val="00281683"/>
    <w:rsid w:val="0028691F"/>
    <w:rsid w:val="00287E7C"/>
    <w:rsid w:val="00287E9F"/>
    <w:rsid w:val="0029062F"/>
    <w:rsid w:val="00291E45"/>
    <w:rsid w:val="0029250F"/>
    <w:rsid w:val="00293AA9"/>
    <w:rsid w:val="002944F0"/>
    <w:rsid w:val="00294A9D"/>
    <w:rsid w:val="00294FB1"/>
    <w:rsid w:val="00297DE3"/>
    <w:rsid w:val="002A07EE"/>
    <w:rsid w:val="002A1540"/>
    <w:rsid w:val="002A18EB"/>
    <w:rsid w:val="002A3B0E"/>
    <w:rsid w:val="002A3DF0"/>
    <w:rsid w:val="002A3DFA"/>
    <w:rsid w:val="002A735A"/>
    <w:rsid w:val="002B01A6"/>
    <w:rsid w:val="002B0BA5"/>
    <w:rsid w:val="002B4AC4"/>
    <w:rsid w:val="002B6CA1"/>
    <w:rsid w:val="002B722F"/>
    <w:rsid w:val="002B7E42"/>
    <w:rsid w:val="002C1CA5"/>
    <w:rsid w:val="002C2076"/>
    <w:rsid w:val="002C22F2"/>
    <w:rsid w:val="002C2FDB"/>
    <w:rsid w:val="002C3424"/>
    <w:rsid w:val="002C3974"/>
    <w:rsid w:val="002C40C0"/>
    <w:rsid w:val="002C4939"/>
    <w:rsid w:val="002C6183"/>
    <w:rsid w:val="002C6694"/>
    <w:rsid w:val="002C69F4"/>
    <w:rsid w:val="002C71D8"/>
    <w:rsid w:val="002C78FD"/>
    <w:rsid w:val="002C7988"/>
    <w:rsid w:val="002D090F"/>
    <w:rsid w:val="002D2073"/>
    <w:rsid w:val="002D4B8F"/>
    <w:rsid w:val="002E2D18"/>
    <w:rsid w:val="002E3181"/>
    <w:rsid w:val="002E73AF"/>
    <w:rsid w:val="002F0412"/>
    <w:rsid w:val="002F0513"/>
    <w:rsid w:val="002F0730"/>
    <w:rsid w:val="002F1C9C"/>
    <w:rsid w:val="002F2D81"/>
    <w:rsid w:val="002F35E3"/>
    <w:rsid w:val="002F523C"/>
    <w:rsid w:val="002F648F"/>
    <w:rsid w:val="00300131"/>
    <w:rsid w:val="00300D21"/>
    <w:rsid w:val="00301C33"/>
    <w:rsid w:val="00301C94"/>
    <w:rsid w:val="003020E8"/>
    <w:rsid w:val="003028A5"/>
    <w:rsid w:val="0030333C"/>
    <w:rsid w:val="00305AC6"/>
    <w:rsid w:val="00305C9E"/>
    <w:rsid w:val="00306F0A"/>
    <w:rsid w:val="003102F5"/>
    <w:rsid w:val="00311A05"/>
    <w:rsid w:val="00312ABF"/>
    <w:rsid w:val="00313FF0"/>
    <w:rsid w:val="003151CC"/>
    <w:rsid w:val="00315958"/>
    <w:rsid w:val="00315E14"/>
    <w:rsid w:val="0032067C"/>
    <w:rsid w:val="003207B3"/>
    <w:rsid w:val="00322364"/>
    <w:rsid w:val="003238F6"/>
    <w:rsid w:val="00323F46"/>
    <w:rsid w:val="003240E7"/>
    <w:rsid w:val="00324AC1"/>
    <w:rsid w:val="00330E68"/>
    <w:rsid w:val="003315E1"/>
    <w:rsid w:val="00331DC9"/>
    <w:rsid w:val="00333B12"/>
    <w:rsid w:val="00335840"/>
    <w:rsid w:val="003370EE"/>
    <w:rsid w:val="0034091B"/>
    <w:rsid w:val="0034360B"/>
    <w:rsid w:val="00344CFC"/>
    <w:rsid w:val="00345545"/>
    <w:rsid w:val="00354917"/>
    <w:rsid w:val="00355FC6"/>
    <w:rsid w:val="0035771F"/>
    <w:rsid w:val="00357EA3"/>
    <w:rsid w:val="00360DE4"/>
    <w:rsid w:val="00363C53"/>
    <w:rsid w:val="0036664D"/>
    <w:rsid w:val="00366A5E"/>
    <w:rsid w:val="00370530"/>
    <w:rsid w:val="00372017"/>
    <w:rsid w:val="0037223F"/>
    <w:rsid w:val="00372784"/>
    <w:rsid w:val="00372AF3"/>
    <w:rsid w:val="00377962"/>
    <w:rsid w:val="00377EF5"/>
    <w:rsid w:val="00381233"/>
    <w:rsid w:val="003812AC"/>
    <w:rsid w:val="00382328"/>
    <w:rsid w:val="0038274A"/>
    <w:rsid w:val="003831C0"/>
    <w:rsid w:val="003847AB"/>
    <w:rsid w:val="0038573C"/>
    <w:rsid w:val="003868E0"/>
    <w:rsid w:val="0038697F"/>
    <w:rsid w:val="00386CBB"/>
    <w:rsid w:val="00386CF6"/>
    <w:rsid w:val="00387263"/>
    <w:rsid w:val="00387C80"/>
    <w:rsid w:val="00391362"/>
    <w:rsid w:val="00392194"/>
    <w:rsid w:val="00394DCB"/>
    <w:rsid w:val="003974EF"/>
    <w:rsid w:val="00397837"/>
    <w:rsid w:val="00397CA3"/>
    <w:rsid w:val="00397E16"/>
    <w:rsid w:val="003A1A70"/>
    <w:rsid w:val="003A382C"/>
    <w:rsid w:val="003A3A3E"/>
    <w:rsid w:val="003A4FAA"/>
    <w:rsid w:val="003A50CA"/>
    <w:rsid w:val="003A5E99"/>
    <w:rsid w:val="003B23AF"/>
    <w:rsid w:val="003B493E"/>
    <w:rsid w:val="003B5284"/>
    <w:rsid w:val="003C0B89"/>
    <w:rsid w:val="003C0D3A"/>
    <w:rsid w:val="003C3042"/>
    <w:rsid w:val="003C3A8C"/>
    <w:rsid w:val="003C4DC0"/>
    <w:rsid w:val="003C5093"/>
    <w:rsid w:val="003C7AF3"/>
    <w:rsid w:val="003D1753"/>
    <w:rsid w:val="003D17B4"/>
    <w:rsid w:val="003D4233"/>
    <w:rsid w:val="003D4528"/>
    <w:rsid w:val="003D4E0E"/>
    <w:rsid w:val="003D64BB"/>
    <w:rsid w:val="003D68B9"/>
    <w:rsid w:val="003D68D4"/>
    <w:rsid w:val="003D69CB"/>
    <w:rsid w:val="003D7420"/>
    <w:rsid w:val="003D7C8B"/>
    <w:rsid w:val="003E04FB"/>
    <w:rsid w:val="003E2973"/>
    <w:rsid w:val="003E2FBD"/>
    <w:rsid w:val="003E631D"/>
    <w:rsid w:val="003E7039"/>
    <w:rsid w:val="003F0BC0"/>
    <w:rsid w:val="003F2B58"/>
    <w:rsid w:val="003F2E06"/>
    <w:rsid w:val="003F41F0"/>
    <w:rsid w:val="003F5965"/>
    <w:rsid w:val="00400342"/>
    <w:rsid w:val="0040068E"/>
    <w:rsid w:val="00401A0F"/>
    <w:rsid w:val="00401FC4"/>
    <w:rsid w:val="0040336E"/>
    <w:rsid w:val="004040C3"/>
    <w:rsid w:val="0040458C"/>
    <w:rsid w:val="00404B57"/>
    <w:rsid w:val="00404C53"/>
    <w:rsid w:val="00405F52"/>
    <w:rsid w:val="0041013C"/>
    <w:rsid w:val="00410D25"/>
    <w:rsid w:val="004153A5"/>
    <w:rsid w:val="00416357"/>
    <w:rsid w:val="00416496"/>
    <w:rsid w:val="00416633"/>
    <w:rsid w:val="004214EF"/>
    <w:rsid w:val="00424F9E"/>
    <w:rsid w:val="00425E6A"/>
    <w:rsid w:val="004348BD"/>
    <w:rsid w:val="00436423"/>
    <w:rsid w:val="00437B2C"/>
    <w:rsid w:val="004429CE"/>
    <w:rsid w:val="00445736"/>
    <w:rsid w:val="00445D79"/>
    <w:rsid w:val="00445FCA"/>
    <w:rsid w:val="00446F53"/>
    <w:rsid w:val="004471F0"/>
    <w:rsid w:val="00447980"/>
    <w:rsid w:val="00447F55"/>
    <w:rsid w:val="0045128A"/>
    <w:rsid w:val="004536BE"/>
    <w:rsid w:val="00453B97"/>
    <w:rsid w:val="004568E6"/>
    <w:rsid w:val="00457904"/>
    <w:rsid w:val="0046015C"/>
    <w:rsid w:val="004609AD"/>
    <w:rsid w:val="0046168E"/>
    <w:rsid w:val="00462B15"/>
    <w:rsid w:val="004630D9"/>
    <w:rsid w:val="0046515D"/>
    <w:rsid w:val="00465779"/>
    <w:rsid w:val="00465FF0"/>
    <w:rsid w:val="00466228"/>
    <w:rsid w:val="004748F3"/>
    <w:rsid w:val="00475812"/>
    <w:rsid w:val="0047785C"/>
    <w:rsid w:val="00481CF6"/>
    <w:rsid w:val="0048240E"/>
    <w:rsid w:val="0048307D"/>
    <w:rsid w:val="0048439D"/>
    <w:rsid w:val="004846D1"/>
    <w:rsid w:val="00484F67"/>
    <w:rsid w:val="00490AC0"/>
    <w:rsid w:val="004928B5"/>
    <w:rsid w:val="00492C5D"/>
    <w:rsid w:val="00494DB1"/>
    <w:rsid w:val="004968B1"/>
    <w:rsid w:val="004A0E35"/>
    <w:rsid w:val="004A1490"/>
    <w:rsid w:val="004A200B"/>
    <w:rsid w:val="004A33AD"/>
    <w:rsid w:val="004A6929"/>
    <w:rsid w:val="004B20DB"/>
    <w:rsid w:val="004B3ABA"/>
    <w:rsid w:val="004B584A"/>
    <w:rsid w:val="004B62F8"/>
    <w:rsid w:val="004B7A47"/>
    <w:rsid w:val="004B7ED2"/>
    <w:rsid w:val="004C0D2C"/>
    <w:rsid w:val="004C2634"/>
    <w:rsid w:val="004C3228"/>
    <w:rsid w:val="004C34FC"/>
    <w:rsid w:val="004C448B"/>
    <w:rsid w:val="004C5131"/>
    <w:rsid w:val="004D0E40"/>
    <w:rsid w:val="004D0E50"/>
    <w:rsid w:val="004D2C6C"/>
    <w:rsid w:val="004D5220"/>
    <w:rsid w:val="004D6741"/>
    <w:rsid w:val="004D71E6"/>
    <w:rsid w:val="004D7935"/>
    <w:rsid w:val="004D794D"/>
    <w:rsid w:val="004E19D5"/>
    <w:rsid w:val="004E238B"/>
    <w:rsid w:val="004E320E"/>
    <w:rsid w:val="004E33A9"/>
    <w:rsid w:val="004E3D04"/>
    <w:rsid w:val="004E5097"/>
    <w:rsid w:val="004E6248"/>
    <w:rsid w:val="004F1F8D"/>
    <w:rsid w:val="004F2C5E"/>
    <w:rsid w:val="004F3125"/>
    <w:rsid w:val="004F7163"/>
    <w:rsid w:val="004F72A5"/>
    <w:rsid w:val="005011B8"/>
    <w:rsid w:val="005032BD"/>
    <w:rsid w:val="00504E7F"/>
    <w:rsid w:val="00510081"/>
    <w:rsid w:val="005129FC"/>
    <w:rsid w:val="005138AD"/>
    <w:rsid w:val="00514564"/>
    <w:rsid w:val="00514649"/>
    <w:rsid w:val="00515A45"/>
    <w:rsid w:val="005177E3"/>
    <w:rsid w:val="0052498C"/>
    <w:rsid w:val="00524A02"/>
    <w:rsid w:val="00524CAA"/>
    <w:rsid w:val="00526A82"/>
    <w:rsid w:val="00526E28"/>
    <w:rsid w:val="0053295D"/>
    <w:rsid w:val="00533A6E"/>
    <w:rsid w:val="00533CAD"/>
    <w:rsid w:val="0053434D"/>
    <w:rsid w:val="0053492C"/>
    <w:rsid w:val="00534C37"/>
    <w:rsid w:val="00535715"/>
    <w:rsid w:val="00541206"/>
    <w:rsid w:val="00541229"/>
    <w:rsid w:val="00543511"/>
    <w:rsid w:val="0054404B"/>
    <w:rsid w:val="005448FC"/>
    <w:rsid w:val="00545858"/>
    <w:rsid w:val="00545AB4"/>
    <w:rsid w:val="00545BD2"/>
    <w:rsid w:val="00560ECD"/>
    <w:rsid w:val="005643C6"/>
    <w:rsid w:val="00564AED"/>
    <w:rsid w:val="00564B8D"/>
    <w:rsid w:val="00565386"/>
    <w:rsid w:val="00565551"/>
    <w:rsid w:val="00565D4C"/>
    <w:rsid w:val="00565D87"/>
    <w:rsid w:val="00566341"/>
    <w:rsid w:val="0056645D"/>
    <w:rsid w:val="00572926"/>
    <w:rsid w:val="0057355B"/>
    <w:rsid w:val="00573DEC"/>
    <w:rsid w:val="00574158"/>
    <w:rsid w:val="0057496B"/>
    <w:rsid w:val="00574ED8"/>
    <w:rsid w:val="00577F42"/>
    <w:rsid w:val="00580FDE"/>
    <w:rsid w:val="00581684"/>
    <w:rsid w:val="00584706"/>
    <w:rsid w:val="00584FBA"/>
    <w:rsid w:val="00585B3A"/>
    <w:rsid w:val="0059123A"/>
    <w:rsid w:val="00591FA8"/>
    <w:rsid w:val="00593702"/>
    <w:rsid w:val="00594961"/>
    <w:rsid w:val="005A1A09"/>
    <w:rsid w:val="005A2220"/>
    <w:rsid w:val="005A22F4"/>
    <w:rsid w:val="005A3D28"/>
    <w:rsid w:val="005A5268"/>
    <w:rsid w:val="005A6F8E"/>
    <w:rsid w:val="005B2541"/>
    <w:rsid w:val="005B39A2"/>
    <w:rsid w:val="005B3B13"/>
    <w:rsid w:val="005B47FC"/>
    <w:rsid w:val="005B5D94"/>
    <w:rsid w:val="005B64CD"/>
    <w:rsid w:val="005C173D"/>
    <w:rsid w:val="005C6001"/>
    <w:rsid w:val="005C7381"/>
    <w:rsid w:val="005C7A27"/>
    <w:rsid w:val="005D0317"/>
    <w:rsid w:val="005D5065"/>
    <w:rsid w:val="005D57F1"/>
    <w:rsid w:val="005D64CC"/>
    <w:rsid w:val="005D70A5"/>
    <w:rsid w:val="005D7F7B"/>
    <w:rsid w:val="005E19C0"/>
    <w:rsid w:val="005E3D73"/>
    <w:rsid w:val="005E6148"/>
    <w:rsid w:val="005E6780"/>
    <w:rsid w:val="005E68B0"/>
    <w:rsid w:val="005F024F"/>
    <w:rsid w:val="005F07EE"/>
    <w:rsid w:val="005F12F1"/>
    <w:rsid w:val="005F14E7"/>
    <w:rsid w:val="005F481A"/>
    <w:rsid w:val="005F54C0"/>
    <w:rsid w:val="005F6CEB"/>
    <w:rsid w:val="005F7BC7"/>
    <w:rsid w:val="005F7F9D"/>
    <w:rsid w:val="006023C9"/>
    <w:rsid w:val="00603F5C"/>
    <w:rsid w:val="00605101"/>
    <w:rsid w:val="00607DF0"/>
    <w:rsid w:val="00610AF7"/>
    <w:rsid w:val="0061570E"/>
    <w:rsid w:val="00616347"/>
    <w:rsid w:val="00617261"/>
    <w:rsid w:val="00621DDA"/>
    <w:rsid w:val="00622349"/>
    <w:rsid w:val="00625CAA"/>
    <w:rsid w:val="00625F6F"/>
    <w:rsid w:val="006266F7"/>
    <w:rsid w:val="00627249"/>
    <w:rsid w:val="00627B69"/>
    <w:rsid w:val="00632E58"/>
    <w:rsid w:val="006339CF"/>
    <w:rsid w:val="006354B6"/>
    <w:rsid w:val="0063603D"/>
    <w:rsid w:val="006369E5"/>
    <w:rsid w:val="006431D0"/>
    <w:rsid w:val="00643885"/>
    <w:rsid w:val="00644741"/>
    <w:rsid w:val="00645344"/>
    <w:rsid w:val="00650EFA"/>
    <w:rsid w:val="00652801"/>
    <w:rsid w:val="006578F2"/>
    <w:rsid w:val="00657C00"/>
    <w:rsid w:val="00660DD8"/>
    <w:rsid w:val="0066162E"/>
    <w:rsid w:val="00661893"/>
    <w:rsid w:val="006628F0"/>
    <w:rsid w:val="0066331F"/>
    <w:rsid w:val="00666DDC"/>
    <w:rsid w:val="00667241"/>
    <w:rsid w:val="006705E0"/>
    <w:rsid w:val="006726B2"/>
    <w:rsid w:val="00673C11"/>
    <w:rsid w:val="00674E8C"/>
    <w:rsid w:val="006767A0"/>
    <w:rsid w:val="0067743C"/>
    <w:rsid w:val="006806ED"/>
    <w:rsid w:val="00680837"/>
    <w:rsid w:val="00691758"/>
    <w:rsid w:val="00691837"/>
    <w:rsid w:val="00694610"/>
    <w:rsid w:val="00695B92"/>
    <w:rsid w:val="006A02F3"/>
    <w:rsid w:val="006A188A"/>
    <w:rsid w:val="006A1C99"/>
    <w:rsid w:val="006A286D"/>
    <w:rsid w:val="006A3026"/>
    <w:rsid w:val="006A4AA8"/>
    <w:rsid w:val="006A5C7E"/>
    <w:rsid w:val="006B0A14"/>
    <w:rsid w:val="006B0CC1"/>
    <w:rsid w:val="006C0416"/>
    <w:rsid w:val="006C12C8"/>
    <w:rsid w:val="006C47BA"/>
    <w:rsid w:val="006C4FC1"/>
    <w:rsid w:val="006C5988"/>
    <w:rsid w:val="006C6384"/>
    <w:rsid w:val="006D0C59"/>
    <w:rsid w:val="006D1B25"/>
    <w:rsid w:val="006D28DC"/>
    <w:rsid w:val="006D2C1D"/>
    <w:rsid w:val="006D3232"/>
    <w:rsid w:val="006E2294"/>
    <w:rsid w:val="006E53C6"/>
    <w:rsid w:val="006E62C6"/>
    <w:rsid w:val="006E6908"/>
    <w:rsid w:val="006E71BB"/>
    <w:rsid w:val="006E7535"/>
    <w:rsid w:val="006E75E9"/>
    <w:rsid w:val="006F19E8"/>
    <w:rsid w:val="006F5E01"/>
    <w:rsid w:val="00703C42"/>
    <w:rsid w:val="00705BB7"/>
    <w:rsid w:val="007100D5"/>
    <w:rsid w:val="00711128"/>
    <w:rsid w:val="00711263"/>
    <w:rsid w:val="0071370A"/>
    <w:rsid w:val="00713B69"/>
    <w:rsid w:val="00715BD0"/>
    <w:rsid w:val="00716987"/>
    <w:rsid w:val="00720CA5"/>
    <w:rsid w:val="00721741"/>
    <w:rsid w:val="0072368D"/>
    <w:rsid w:val="00723BCA"/>
    <w:rsid w:val="0072458D"/>
    <w:rsid w:val="00731A93"/>
    <w:rsid w:val="00734F75"/>
    <w:rsid w:val="0073549B"/>
    <w:rsid w:val="007360BA"/>
    <w:rsid w:val="0074165F"/>
    <w:rsid w:val="00742076"/>
    <w:rsid w:val="00742CD3"/>
    <w:rsid w:val="00745928"/>
    <w:rsid w:val="00746FCD"/>
    <w:rsid w:val="00747737"/>
    <w:rsid w:val="0075274E"/>
    <w:rsid w:val="00752D2A"/>
    <w:rsid w:val="007536BD"/>
    <w:rsid w:val="007541EE"/>
    <w:rsid w:val="007558FB"/>
    <w:rsid w:val="007571FE"/>
    <w:rsid w:val="00763174"/>
    <w:rsid w:val="00765686"/>
    <w:rsid w:val="00770C88"/>
    <w:rsid w:val="007722EF"/>
    <w:rsid w:val="00772EA0"/>
    <w:rsid w:val="0077428B"/>
    <w:rsid w:val="007746D3"/>
    <w:rsid w:val="00774FFC"/>
    <w:rsid w:val="00777651"/>
    <w:rsid w:val="00782B05"/>
    <w:rsid w:val="00783696"/>
    <w:rsid w:val="00784D5D"/>
    <w:rsid w:val="007852F0"/>
    <w:rsid w:val="00785389"/>
    <w:rsid w:val="00787C2C"/>
    <w:rsid w:val="00791BE5"/>
    <w:rsid w:val="00792CE4"/>
    <w:rsid w:val="00793046"/>
    <w:rsid w:val="00795C2D"/>
    <w:rsid w:val="007A28D0"/>
    <w:rsid w:val="007B1473"/>
    <w:rsid w:val="007B2F9C"/>
    <w:rsid w:val="007B4695"/>
    <w:rsid w:val="007B5138"/>
    <w:rsid w:val="007B5B10"/>
    <w:rsid w:val="007B6412"/>
    <w:rsid w:val="007B7D71"/>
    <w:rsid w:val="007C4050"/>
    <w:rsid w:val="007C620D"/>
    <w:rsid w:val="007C69E7"/>
    <w:rsid w:val="007D090B"/>
    <w:rsid w:val="007D1F2A"/>
    <w:rsid w:val="007D2DF4"/>
    <w:rsid w:val="007D2DF5"/>
    <w:rsid w:val="007D5D4E"/>
    <w:rsid w:val="007E019C"/>
    <w:rsid w:val="007E0396"/>
    <w:rsid w:val="007E0A01"/>
    <w:rsid w:val="007E1879"/>
    <w:rsid w:val="007E5891"/>
    <w:rsid w:val="007E5D9D"/>
    <w:rsid w:val="007E7797"/>
    <w:rsid w:val="007E7EFB"/>
    <w:rsid w:val="007F0256"/>
    <w:rsid w:val="007F0A3D"/>
    <w:rsid w:val="007F2DDC"/>
    <w:rsid w:val="007F46C9"/>
    <w:rsid w:val="007F6A06"/>
    <w:rsid w:val="007F755E"/>
    <w:rsid w:val="007F7B2F"/>
    <w:rsid w:val="008001A6"/>
    <w:rsid w:val="008045B8"/>
    <w:rsid w:val="00804A2E"/>
    <w:rsid w:val="00805FFE"/>
    <w:rsid w:val="0080717D"/>
    <w:rsid w:val="0081021D"/>
    <w:rsid w:val="008109A0"/>
    <w:rsid w:val="008117EA"/>
    <w:rsid w:val="00811E6B"/>
    <w:rsid w:val="0081556A"/>
    <w:rsid w:val="00815E05"/>
    <w:rsid w:val="00820348"/>
    <w:rsid w:val="008209D1"/>
    <w:rsid w:val="00821145"/>
    <w:rsid w:val="00821680"/>
    <w:rsid w:val="00822B05"/>
    <w:rsid w:val="00822B8D"/>
    <w:rsid w:val="00824C09"/>
    <w:rsid w:val="00826444"/>
    <w:rsid w:val="00826978"/>
    <w:rsid w:val="00831798"/>
    <w:rsid w:val="008326DF"/>
    <w:rsid w:val="00832A22"/>
    <w:rsid w:val="00840050"/>
    <w:rsid w:val="0084035F"/>
    <w:rsid w:val="008442AC"/>
    <w:rsid w:val="00851B08"/>
    <w:rsid w:val="0085228A"/>
    <w:rsid w:val="008524DD"/>
    <w:rsid w:val="00855B2E"/>
    <w:rsid w:val="008566DC"/>
    <w:rsid w:val="00856C0B"/>
    <w:rsid w:val="00856E63"/>
    <w:rsid w:val="00857F8F"/>
    <w:rsid w:val="00860199"/>
    <w:rsid w:val="008615F0"/>
    <w:rsid w:val="008649E5"/>
    <w:rsid w:val="008705B3"/>
    <w:rsid w:val="00871694"/>
    <w:rsid w:val="00871BE0"/>
    <w:rsid w:val="00873DB5"/>
    <w:rsid w:val="008748E9"/>
    <w:rsid w:val="00874EEF"/>
    <w:rsid w:val="00874F12"/>
    <w:rsid w:val="008752A2"/>
    <w:rsid w:val="00876724"/>
    <w:rsid w:val="00882AAD"/>
    <w:rsid w:val="0088384C"/>
    <w:rsid w:val="00884DD3"/>
    <w:rsid w:val="00890432"/>
    <w:rsid w:val="008915F5"/>
    <w:rsid w:val="008925B1"/>
    <w:rsid w:val="008957EC"/>
    <w:rsid w:val="008A04BD"/>
    <w:rsid w:val="008A13A6"/>
    <w:rsid w:val="008A16A5"/>
    <w:rsid w:val="008A38C5"/>
    <w:rsid w:val="008A6649"/>
    <w:rsid w:val="008A6664"/>
    <w:rsid w:val="008A7D52"/>
    <w:rsid w:val="008B1429"/>
    <w:rsid w:val="008B1845"/>
    <w:rsid w:val="008B3BBC"/>
    <w:rsid w:val="008B45F2"/>
    <w:rsid w:val="008C13AF"/>
    <w:rsid w:val="008C2605"/>
    <w:rsid w:val="008C58FC"/>
    <w:rsid w:val="008C672B"/>
    <w:rsid w:val="008D2D79"/>
    <w:rsid w:val="008D2DD4"/>
    <w:rsid w:val="008D3171"/>
    <w:rsid w:val="008D4475"/>
    <w:rsid w:val="008D6223"/>
    <w:rsid w:val="008D7E3B"/>
    <w:rsid w:val="008E07FE"/>
    <w:rsid w:val="008E1CBE"/>
    <w:rsid w:val="008E2389"/>
    <w:rsid w:val="008E5030"/>
    <w:rsid w:val="008E5AF0"/>
    <w:rsid w:val="008E7352"/>
    <w:rsid w:val="008E758B"/>
    <w:rsid w:val="008E7B3C"/>
    <w:rsid w:val="008F0FA1"/>
    <w:rsid w:val="008F1271"/>
    <w:rsid w:val="008F17A8"/>
    <w:rsid w:val="008F2334"/>
    <w:rsid w:val="008F6AD8"/>
    <w:rsid w:val="008F7DF3"/>
    <w:rsid w:val="009024F7"/>
    <w:rsid w:val="009025FC"/>
    <w:rsid w:val="0090639B"/>
    <w:rsid w:val="00906FAA"/>
    <w:rsid w:val="00907804"/>
    <w:rsid w:val="00907FB5"/>
    <w:rsid w:val="00913544"/>
    <w:rsid w:val="0091585F"/>
    <w:rsid w:val="00916000"/>
    <w:rsid w:val="00920C13"/>
    <w:rsid w:val="00924657"/>
    <w:rsid w:val="0092541F"/>
    <w:rsid w:val="0092579C"/>
    <w:rsid w:val="00926603"/>
    <w:rsid w:val="009277E8"/>
    <w:rsid w:val="009301AC"/>
    <w:rsid w:val="009307B5"/>
    <w:rsid w:val="00930FC3"/>
    <w:rsid w:val="009337A7"/>
    <w:rsid w:val="00934C98"/>
    <w:rsid w:val="00935FE8"/>
    <w:rsid w:val="00936B81"/>
    <w:rsid w:val="009402EA"/>
    <w:rsid w:val="009403B2"/>
    <w:rsid w:val="00940646"/>
    <w:rsid w:val="009408E0"/>
    <w:rsid w:val="00946E35"/>
    <w:rsid w:val="0095038D"/>
    <w:rsid w:val="00952A79"/>
    <w:rsid w:val="00953017"/>
    <w:rsid w:val="0095458D"/>
    <w:rsid w:val="00954770"/>
    <w:rsid w:val="00954D57"/>
    <w:rsid w:val="00956648"/>
    <w:rsid w:val="0095793F"/>
    <w:rsid w:val="00963053"/>
    <w:rsid w:val="009634C5"/>
    <w:rsid w:val="00964313"/>
    <w:rsid w:val="00964590"/>
    <w:rsid w:val="0096527D"/>
    <w:rsid w:val="00967B21"/>
    <w:rsid w:val="009714A3"/>
    <w:rsid w:val="00971D1D"/>
    <w:rsid w:val="00972737"/>
    <w:rsid w:val="009760D6"/>
    <w:rsid w:val="00976640"/>
    <w:rsid w:val="00977986"/>
    <w:rsid w:val="009779F2"/>
    <w:rsid w:val="00977E3F"/>
    <w:rsid w:val="00980FA1"/>
    <w:rsid w:val="009825E8"/>
    <w:rsid w:val="00987AAD"/>
    <w:rsid w:val="00992407"/>
    <w:rsid w:val="00992AB6"/>
    <w:rsid w:val="009936D7"/>
    <w:rsid w:val="00994D06"/>
    <w:rsid w:val="0099540D"/>
    <w:rsid w:val="00997B66"/>
    <w:rsid w:val="00997FD1"/>
    <w:rsid w:val="009A2697"/>
    <w:rsid w:val="009A3630"/>
    <w:rsid w:val="009A4B32"/>
    <w:rsid w:val="009A4C27"/>
    <w:rsid w:val="009A610D"/>
    <w:rsid w:val="009A679C"/>
    <w:rsid w:val="009A6BB7"/>
    <w:rsid w:val="009A77CE"/>
    <w:rsid w:val="009A7A47"/>
    <w:rsid w:val="009B08AA"/>
    <w:rsid w:val="009B1D55"/>
    <w:rsid w:val="009B645B"/>
    <w:rsid w:val="009C05AB"/>
    <w:rsid w:val="009C0F88"/>
    <w:rsid w:val="009C1191"/>
    <w:rsid w:val="009C4F73"/>
    <w:rsid w:val="009C5F24"/>
    <w:rsid w:val="009C6848"/>
    <w:rsid w:val="009D0776"/>
    <w:rsid w:val="009D0B6A"/>
    <w:rsid w:val="009D101F"/>
    <w:rsid w:val="009D1B13"/>
    <w:rsid w:val="009D1B22"/>
    <w:rsid w:val="009D1B9C"/>
    <w:rsid w:val="009D1E54"/>
    <w:rsid w:val="009D3DC1"/>
    <w:rsid w:val="009D4DD5"/>
    <w:rsid w:val="009D4FF3"/>
    <w:rsid w:val="009D565D"/>
    <w:rsid w:val="009E2FAD"/>
    <w:rsid w:val="009F01A0"/>
    <w:rsid w:val="009F088B"/>
    <w:rsid w:val="009F5EF5"/>
    <w:rsid w:val="009F6615"/>
    <w:rsid w:val="009F66EE"/>
    <w:rsid w:val="009F7732"/>
    <w:rsid w:val="00A0030E"/>
    <w:rsid w:val="00A027C7"/>
    <w:rsid w:val="00A0288F"/>
    <w:rsid w:val="00A038A6"/>
    <w:rsid w:val="00A06374"/>
    <w:rsid w:val="00A07498"/>
    <w:rsid w:val="00A07A88"/>
    <w:rsid w:val="00A100A7"/>
    <w:rsid w:val="00A13CA4"/>
    <w:rsid w:val="00A157E6"/>
    <w:rsid w:val="00A15EC6"/>
    <w:rsid w:val="00A1646F"/>
    <w:rsid w:val="00A202F9"/>
    <w:rsid w:val="00A20807"/>
    <w:rsid w:val="00A22D83"/>
    <w:rsid w:val="00A231B1"/>
    <w:rsid w:val="00A25A71"/>
    <w:rsid w:val="00A26885"/>
    <w:rsid w:val="00A3035C"/>
    <w:rsid w:val="00A30A30"/>
    <w:rsid w:val="00A30C01"/>
    <w:rsid w:val="00A30E54"/>
    <w:rsid w:val="00A31FA9"/>
    <w:rsid w:val="00A3228B"/>
    <w:rsid w:val="00A32E5F"/>
    <w:rsid w:val="00A335AF"/>
    <w:rsid w:val="00A35857"/>
    <w:rsid w:val="00A35EE4"/>
    <w:rsid w:val="00A36080"/>
    <w:rsid w:val="00A363AD"/>
    <w:rsid w:val="00A37E01"/>
    <w:rsid w:val="00A4280A"/>
    <w:rsid w:val="00A4518E"/>
    <w:rsid w:val="00A46078"/>
    <w:rsid w:val="00A47250"/>
    <w:rsid w:val="00A47E4D"/>
    <w:rsid w:val="00A5018A"/>
    <w:rsid w:val="00A5451E"/>
    <w:rsid w:val="00A55FFE"/>
    <w:rsid w:val="00A60CE5"/>
    <w:rsid w:val="00A6428E"/>
    <w:rsid w:val="00A64957"/>
    <w:rsid w:val="00A6525A"/>
    <w:rsid w:val="00A65698"/>
    <w:rsid w:val="00A65973"/>
    <w:rsid w:val="00A65C74"/>
    <w:rsid w:val="00A6624E"/>
    <w:rsid w:val="00A67E16"/>
    <w:rsid w:val="00A73F9B"/>
    <w:rsid w:val="00A744ED"/>
    <w:rsid w:val="00A7511E"/>
    <w:rsid w:val="00A765E1"/>
    <w:rsid w:val="00A814BF"/>
    <w:rsid w:val="00A82138"/>
    <w:rsid w:val="00A82776"/>
    <w:rsid w:val="00A831CA"/>
    <w:rsid w:val="00A83DDE"/>
    <w:rsid w:val="00A8434B"/>
    <w:rsid w:val="00A84673"/>
    <w:rsid w:val="00A8621B"/>
    <w:rsid w:val="00A87720"/>
    <w:rsid w:val="00A95E8E"/>
    <w:rsid w:val="00A96869"/>
    <w:rsid w:val="00AA2135"/>
    <w:rsid w:val="00AA3000"/>
    <w:rsid w:val="00AA44F6"/>
    <w:rsid w:val="00AA4C86"/>
    <w:rsid w:val="00AA4CC3"/>
    <w:rsid w:val="00AA5999"/>
    <w:rsid w:val="00AA7CBD"/>
    <w:rsid w:val="00AB25B2"/>
    <w:rsid w:val="00AB357A"/>
    <w:rsid w:val="00AB392F"/>
    <w:rsid w:val="00AB5364"/>
    <w:rsid w:val="00AB55A1"/>
    <w:rsid w:val="00AB5C59"/>
    <w:rsid w:val="00AC09A7"/>
    <w:rsid w:val="00AC20D2"/>
    <w:rsid w:val="00AC30C1"/>
    <w:rsid w:val="00AC5332"/>
    <w:rsid w:val="00AC7FDB"/>
    <w:rsid w:val="00AD0B3D"/>
    <w:rsid w:val="00AD1ABE"/>
    <w:rsid w:val="00AD2E96"/>
    <w:rsid w:val="00AD3327"/>
    <w:rsid w:val="00AD487F"/>
    <w:rsid w:val="00AD7E13"/>
    <w:rsid w:val="00AD7E6F"/>
    <w:rsid w:val="00AE2D42"/>
    <w:rsid w:val="00AE6AE3"/>
    <w:rsid w:val="00AE6FCA"/>
    <w:rsid w:val="00AF03EA"/>
    <w:rsid w:val="00AF3219"/>
    <w:rsid w:val="00AF3F09"/>
    <w:rsid w:val="00AF439F"/>
    <w:rsid w:val="00AF4F34"/>
    <w:rsid w:val="00AF5F95"/>
    <w:rsid w:val="00B07024"/>
    <w:rsid w:val="00B0705F"/>
    <w:rsid w:val="00B07E47"/>
    <w:rsid w:val="00B107BD"/>
    <w:rsid w:val="00B149BE"/>
    <w:rsid w:val="00B21824"/>
    <w:rsid w:val="00B247CF"/>
    <w:rsid w:val="00B25D1A"/>
    <w:rsid w:val="00B26CAF"/>
    <w:rsid w:val="00B2733B"/>
    <w:rsid w:val="00B3024A"/>
    <w:rsid w:val="00B318F2"/>
    <w:rsid w:val="00B329BD"/>
    <w:rsid w:val="00B34825"/>
    <w:rsid w:val="00B35F1B"/>
    <w:rsid w:val="00B40104"/>
    <w:rsid w:val="00B40671"/>
    <w:rsid w:val="00B41353"/>
    <w:rsid w:val="00B4227A"/>
    <w:rsid w:val="00B47C09"/>
    <w:rsid w:val="00B507BA"/>
    <w:rsid w:val="00B51B59"/>
    <w:rsid w:val="00B51D5B"/>
    <w:rsid w:val="00B53512"/>
    <w:rsid w:val="00B54836"/>
    <w:rsid w:val="00B55450"/>
    <w:rsid w:val="00B5641B"/>
    <w:rsid w:val="00B57673"/>
    <w:rsid w:val="00B579D4"/>
    <w:rsid w:val="00B57C72"/>
    <w:rsid w:val="00B60A06"/>
    <w:rsid w:val="00B628F7"/>
    <w:rsid w:val="00B64501"/>
    <w:rsid w:val="00B65BC6"/>
    <w:rsid w:val="00B66BD7"/>
    <w:rsid w:val="00B66EC7"/>
    <w:rsid w:val="00B67C87"/>
    <w:rsid w:val="00B72121"/>
    <w:rsid w:val="00B74F15"/>
    <w:rsid w:val="00B754BA"/>
    <w:rsid w:val="00B77FC4"/>
    <w:rsid w:val="00B807C4"/>
    <w:rsid w:val="00B815CD"/>
    <w:rsid w:val="00B81E0C"/>
    <w:rsid w:val="00B832B7"/>
    <w:rsid w:val="00B841D3"/>
    <w:rsid w:val="00B874F1"/>
    <w:rsid w:val="00B877EF"/>
    <w:rsid w:val="00B910BA"/>
    <w:rsid w:val="00B946BA"/>
    <w:rsid w:val="00B97263"/>
    <w:rsid w:val="00BA08D5"/>
    <w:rsid w:val="00BA3AA2"/>
    <w:rsid w:val="00BA44A5"/>
    <w:rsid w:val="00BA6A5A"/>
    <w:rsid w:val="00BB05A0"/>
    <w:rsid w:val="00BB06C6"/>
    <w:rsid w:val="00BB117B"/>
    <w:rsid w:val="00BB16BA"/>
    <w:rsid w:val="00BB1B72"/>
    <w:rsid w:val="00BC2977"/>
    <w:rsid w:val="00BC3822"/>
    <w:rsid w:val="00BC49DF"/>
    <w:rsid w:val="00BC696C"/>
    <w:rsid w:val="00BC6C45"/>
    <w:rsid w:val="00BC6FA3"/>
    <w:rsid w:val="00BD02B0"/>
    <w:rsid w:val="00BD11A9"/>
    <w:rsid w:val="00BD1A23"/>
    <w:rsid w:val="00BD1DD6"/>
    <w:rsid w:val="00BD1FCC"/>
    <w:rsid w:val="00BD23CC"/>
    <w:rsid w:val="00BD2668"/>
    <w:rsid w:val="00BD3FA4"/>
    <w:rsid w:val="00BD6342"/>
    <w:rsid w:val="00BE0DC0"/>
    <w:rsid w:val="00BE13C2"/>
    <w:rsid w:val="00BE3593"/>
    <w:rsid w:val="00BE45FF"/>
    <w:rsid w:val="00BE4BFA"/>
    <w:rsid w:val="00BE507A"/>
    <w:rsid w:val="00BE5603"/>
    <w:rsid w:val="00BE698D"/>
    <w:rsid w:val="00BE7CAA"/>
    <w:rsid w:val="00BF097E"/>
    <w:rsid w:val="00BF25F5"/>
    <w:rsid w:val="00BF29E9"/>
    <w:rsid w:val="00BF568B"/>
    <w:rsid w:val="00BF5BD4"/>
    <w:rsid w:val="00BF6435"/>
    <w:rsid w:val="00BF6C4E"/>
    <w:rsid w:val="00C02119"/>
    <w:rsid w:val="00C02D91"/>
    <w:rsid w:val="00C05208"/>
    <w:rsid w:val="00C05839"/>
    <w:rsid w:val="00C05FB1"/>
    <w:rsid w:val="00C06EB3"/>
    <w:rsid w:val="00C10C95"/>
    <w:rsid w:val="00C13AE9"/>
    <w:rsid w:val="00C1546F"/>
    <w:rsid w:val="00C16361"/>
    <w:rsid w:val="00C169BE"/>
    <w:rsid w:val="00C16EBD"/>
    <w:rsid w:val="00C2190D"/>
    <w:rsid w:val="00C21DA0"/>
    <w:rsid w:val="00C235EC"/>
    <w:rsid w:val="00C240A5"/>
    <w:rsid w:val="00C26A75"/>
    <w:rsid w:val="00C272E5"/>
    <w:rsid w:val="00C27EB8"/>
    <w:rsid w:val="00C31641"/>
    <w:rsid w:val="00C32024"/>
    <w:rsid w:val="00C32A5D"/>
    <w:rsid w:val="00C32DF2"/>
    <w:rsid w:val="00C34321"/>
    <w:rsid w:val="00C34C11"/>
    <w:rsid w:val="00C3621E"/>
    <w:rsid w:val="00C36302"/>
    <w:rsid w:val="00C37F9F"/>
    <w:rsid w:val="00C40125"/>
    <w:rsid w:val="00C4074B"/>
    <w:rsid w:val="00C40884"/>
    <w:rsid w:val="00C4202A"/>
    <w:rsid w:val="00C4224D"/>
    <w:rsid w:val="00C42795"/>
    <w:rsid w:val="00C43A1D"/>
    <w:rsid w:val="00C43D4E"/>
    <w:rsid w:val="00C44D66"/>
    <w:rsid w:val="00C4685D"/>
    <w:rsid w:val="00C47A2D"/>
    <w:rsid w:val="00C50496"/>
    <w:rsid w:val="00C50EAE"/>
    <w:rsid w:val="00C540B7"/>
    <w:rsid w:val="00C56C21"/>
    <w:rsid w:val="00C57257"/>
    <w:rsid w:val="00C57A59"/>
    <w:rsid w:val="00C57C5C"/>
    <w:rsid w:val="00C60743"/>
    <w:rsid w:val="00C61626"/>
    <w:rsid w:val="00C61B9B"/>
    <w:rsid w:val="00C626C0"/>
    <w:rsid w:val="00C63683"/>
    <w:rsid w:val="00C63D8D"/>
    <w:rsid w:val="00C64627"/>
    <w:rsid w:val="00C66BCC"/>
    <w:rsid w:val="00C67371"/>
    <w:rsid w:val="00C67A4B"/>
    <w:rsid w:val="00C70683"/>
    <w:rsid w:val="00C72B96"/>
    <w:rsid w:val="00C732C3"/>
    <w:rsid w:val="00C76DD1"/>
    <w:rsid w:val="00C90423"/>
    <w:rsid w:val="00C90E55"/>
    <w:rsid w:val="00C91641"/>
    <w:rsid w:val="00C91F6B"/>
    <w:rsid w:val="00C927E4"/>
    <w:rsid w:val="00C93FAE"/>
    <w:rsid w:val="00C96C10"/>
    <w:rsid w:val="00CA049F"/>
    <w:rsid w:val="00CA4BA8"/>
    <w:rsid w:val="00CA601F"/>
    <w:rsid w:val="00CA6258"/>
    <w:rsid w:val="00CA7174"/>
    <w:rsid w:val="00CA7DFE"/>
    <w:rsid w:val="00CB14BB"/>
    <w:rsid w:val="00CB4369"/>
    <w:rsid w:val="00CC128D"/>
    <w:rsid w:val="00CC3442"/>
    <w:rsid w:val="00CC34EB"/>
    <w:rsid w:val="00CC3626"/>
    <w:rsid w:val="00CC40CF"/>
    <w:rsid w:val="00CC43A0"/>
    <w:rsid w:val="00CC574A"/>
    <w:rsid w:val="00CC79D8"/>
    <w:rsid w:val="00CD040F"/>
    <w:rsid w:val="00CD05FE"/>
    <w:rsid w:val="00CD1E2B"/>
    <w:rsid w:val="00CD1EC8"/>
    <w:rsid w:val="00CE18EC"/>
    <w:rsid w:val="00CE5C46"/>
    <w:rsid w:val="00CE7685"/>
    <w:rsid w:val="00CF5EF4"/>
    <w:rsid w:val="00CF7DBF"/>
    <w:rsid w:val="00D02D13"/>
    <w:rsid w:val="00D06143"/>
    <w:rsid w:val="00D07203"/>
    <w:rsid w:val="00D07823"/>
    <w:rsid w:val="00D12C4A"/>
    <w:rsid w:val="00D136E5"/>
    <w:rsid w:val="00D1534A"/>
    <w:rsid w:val="00D162AE"/>
    <w:rsid w:val="00D16AA1"/>
    <w:rsid w:val="00D21421"/>
    <w:rsid w:val="00D21E91"/>
    <w:rsid w:val="00D22D36"/>
    <w:rsid w:val="00D25FE0"/>
    <w:rsid w:val="00D2651C"/>
    <w:rsid w:val="00D2666C"/>
    <w:rsid w:val="00D27D47"/>
    <w:rsid w:val="00D30754"/>
    <w:rsid w:val="00D30BBD"/>
    <w:rsid w:val="00D31E76"/>
    <w:rsid w:val="00D37358"/>
    <w:rsid w:val="00D376DF"/>
    <w:rsid w:val="00D37D16"/>
    <w:rsid w:val="00D40798"/>
    <w:rsid w:val="00D43074"/>
    <w:rsid w:val="00D4345B"/>
    <w:rsid w:val="00D43E31"/>
    <w:rsid w:val="00D44D18"/>
    <w:rsid w:val="00D519AB"/>
    <w:rsid w:val="00D52574"/>
    <w:rsid w:val="00D53237"/>
    <w:rsid w:val="00D53C73"/>
    <w:rsid w:val="00D56006"/>
    <w:rsid w:val="00D56765"/>
    <w:rsid w:val="00D56F05"/>
    <w:rsid w:val="00D576B7"/>
    <w:rsid w:val="00D57DC9"/>
    <w:rsid w:val="00D616A9"/>
    <w:rsid w:val="00D624FF"/>
    <w:rsid w:val="00D63CB6"/>
    <w:rsid w:val="00D649E4"/>
    <w:rsid w:val="00D70436"/>
    <w:rsid w:val="00D7074E"/>
    <w:rsid w:val="00D71DEA"/>
    <w:rsid w:val="00D73478"/>
    <w:rsid w:val="00D76391"/>
    <w:rsid w:val="00D773F5"/>
    <w:rsid w:val="00D82614"/>
    <w:rsid w:val="00D829BE"/>
    <w:rsid w:val="00D83C22"/>
    <w:rsid w:val="00D8461B"/>
    <w:rsid w:val="00D910A0"/>
    <w:rsid w:val="00D9574B"/>
    <w:rsid w:val="00D96A2A"/>
    <w:rsid w:val="00DA12B7"/>
    <w:rsid w:val="00DA2C33"/>
    <w:rsid w:val="00DA42F6"/>
    <w:rsid w:val="00DA593D"/>
    <w:rsid w:val="00DB1440"/>
    <w:rsid w:val="00DB17E9"/>
    <w:rsid w:val="00DB3A65"/>
    <w:rsid w:val="00DB5409"/>
    <w:rsid w:val="00DB5DFF"/>
    <w:rsid w:val="00DB6095"/>
    <w:rsid w:val="00DB70B1"/>
    <w:rsid w:val="00DC0D4E"/>
    <w:rsid w:val="00DC1130"/>
    <w:rsid w:val="00DC1B48"/>
    <w:rsid w:val="00DC3C42"/>
    <w:rsid w:val="00DC4B54"/>
    <w:rsid w:val="00DC5E44"/>
    <w:rsid w:val="00DC658F"/>
    <w:rsid w:val="00DC6AA6"/>
    <w:rsid w:val="00DC7144"/>
    <w:rsid w:val="00DD1D2C"/>
    <w:rsid w:val="00DD2FA9"/>
    <w:rsid w:val="00DD4068"/>
    <w:rsid w:val="00DE2F64"/>
    <w:rsid w:val="00DE7F68"/>
    <w:rsid w:val="00DF145E"/>
    <w:rsid w:val="00DF155D"/>
    <w:rsid w:val="00DF18FD"/>
    <w:rsid w:val="00DF1EA3"/>
    <w:rsid w:val="00DF3B15"/>
    <w:rsid w:val="00DF6DB0"/>
    <w:rsid w:val="00DF73BB"/>
    <w:rsid w:val="00DF7573"/>
    <w:rsid w:val="00E0094B"/>
    <w:rsid w:val="00E011F5"/>
    <w:rsid w:val="00E01415"/>
    <w:rsid w:val="00E02267"/>
    <w:rsid w:val="00E03070"/>
    <w:rsid w:val="00E03701"/>
    <w:rsid w:val="00E043EB"/>
    <w:rsid w:val="00E056CE"/>
    <w:rsid w:val="00E0683D"/>
    <w:rsid w:val="00E113D6"/>
    <w:rsid w:val="00E11565"/>
    <w:rsid w:val="00E12DB4"/>
    <w:rsid w:val="00E23392"/>
    <w:rsid w:val="00E26620"/>
    <w:rsid w:val="00E31DD5"/>
    <w:rsid w:val="00E32A7D"/>
    <w:rsid w:val="00E346ED"/>
    <w:rsid w:val="00E34B60"/>
    <w:rsid w:val="00E359FC"/>
    <w:rsid w:val="00E375B6"/>
    <w:rsid w:val="00E40344"/>
    <w:rsid w:val="00E42A07"/>
    <w:rsid w:val="00E4432D"/>
    <w:rsid w:val="00E456B3"/>
    <w:rsid w:val="00E465B9"/>
    <w:rsid w:val="00E478FD"/>
    <w:rsid w:val="00E47ADB"/>
    <w:rsid w:val="00E507E9"/>
    <w:rsid w:val="00E53691"/>
    <w:rsid w:val="00E55518"/>
    <w:rsid w:val="00E5594F"/>
    <w:rsid w:val="00E62774"/>
    <w:rsid w:val="00E6327A"/>
    <w:rsid w:val="00E643F1"/>
    <w:rsid w:val="00E649AA"/>
    <w:rsid w:val="00E66175"/>
    <w:rsid w:val="00E672F3"/>
    <w:rsid w:val="00E723A4"/>
    <w:rsid w:val="00E73E75"/>
    <w:rsid w:val="00E74D7C"/>
    <w:rsid w:val="00E75F7B"/>
    <w:rsid w:val="00E81123"/>
    <w:rsid w:val="00E8498D"/>
    <w:rsid w:val="00E86BE9"/>
    <w:rsid w:val="00E91E52"/>
    <w:rsid w:val="00E97EF2"/>
    <w:rsid w:val="00EA1BD3"/>
    <w:rsid w:val="00EA2D84"/>
    <w:rsid w:val="00EA3149"/>
    <w:rsid w:val="00EB0FD9"/>
    <w:rsid w:val="00EB1EA5"/>
    <w:rsid w:val="00EB3C65"/>
    <w:rsid w:val="00EB45FD"/>
    <w:rsid w:val="00EB48A1"/>
    <w:rsid w:val="00EB49D7"/>
    <w:rsid w:val="00EB52CC"/>
    <w:rsid w:val="00EB54F9"/>
    <w:rsid w:val="00EB7FC8"/>
    <w:rsid w:val="00EC00CD"/>
    <w:rsid w:val="00EC3A23"/>
    <w:rsid w:val="00EC53CE"/>
    <w:rsid w:val="00EC555B"/>
    <w:rsid w:val="00EC5E3B"/>
    <w:rsid w:val="00ED03AB"/>
    <w:rsid w:val="00ED07D7"/>
    <w:rsid w:val="00ED313D"/>
    <w:rsid w:val="00ED3ED5"/>
    <w:rsid w:val="00ED4F83"/>
    <w:rsid w:val="00ED648B"/>
    <w:rsid w:val="00EE0037"/>
    <w:rsid w:val="00EE0505"/>
    <w:rsid w:val="00EE0553"/>
    <w:rsid w:val="00EE28F0"/>
    <w:rsid w:val="00EE3AB8"/>
    <w:rsid w:val="00EE3F75"/>
    <w:rsid w:val="00EF159D"/>
    <w:rsid w:val="00EF3517"/>
    <w:rsid w:val="00EF3DE1"/>
    <w:rsid w:val="00EF5C8E"/>
    <w:rsid w:val="00F02BDF"/>
    <w:rsid w:val="00F036F6"/>
    <w:rsid w:val="00F0463B"/>
    <w:rsid w:val="00F05915"/>
    <w:rsid w:val="00F06C8A"/>
    <w:rsid w:val="00F10BEF"/>
    <w:rsid w:val="00F10C31"/>
    <w:rsid w:val="00F11E94"/>
    <w:rsid w:val="00F161FE"/>
    <w:rsid w:val="00F23A8C"/>
    <w:rsid w:val="00F23D63"/>
    <w:rsid w:val="00F244AA"/>
    <w:rsid w:val="00F246A4"/>
    <w:rsid w:val="00F25380"/>
    <w:rsid w:val="00F25542"/>
    <w:rsid w:val="00F2711B"/>
    <w:rsid w:val="00F2736C"/>
    <w:rsid w:val="00F335F7"/>
    <w:rsid w:val="00F33A98"/>
    <w:rsid w:val="00F347E9"/>
    <w:rsid w:val="00F36E71"/>
    <w:rsid w:val="00F42190"/>
    <w:rsid w:val="00F46B89"/>
    <w:rsid w:val="00F47386"/>
    <w:rsid w:val="00F53FEC"/>
    <w:rsid w:val="00F549A5"/>
    <w:rsid w:val="00F54AFD"/>
    <w:rsid w:val="00F55FF3"/>
    <w:rsid w:val="00F5769F"/>
    <w:rsid w:val="00F57891"/>
    <w:rsid w:val="00F607F7"/>
    <w:rsid w:val="00F60DED"/>
    <w:rsid w:val="00F612A7"/>
    <w:rsid w:val="00F633E6"/>
    <w:rsid w:val="00F67675"/>
    <w:rsid w:val="00F70386"/>
    <w:rsid w:val="00F71A0F"/>
    <w:rsid w:val="00F71BDD"/>
    <w:rsid w:val="00F74733"/>
    <w:rsid w:val="00F748CB"/>
    <w:rsid w:val="00F76DDB"/>
    <w:rsid w:val="00F7730B"/>
    <w:rsid w:val="00F81797"/>
    <w:rsid w:val="00F81831"/>
    <w:rsid w:val="00F83DCA"/>
    <w:rsid w:val="00F848B6"/>
    <w:rsid w:val="00F84A6F"/>
    <w:rsid w:val="00F84F1D"/>
    <w:rsid w:val="00F8522A"/>
    <w:rsid w:val="00F85D43"/>
    <w:rsid w:val="00F87402"/>
    <w:rsid w:val="00F87916"/>
    <w:rsid w:val="00F932F5"/>
    <w:rsid w:val="00F93BAA"/>
    <w:rsid w:val="00F960A4"/>
    <w:rsid w:val="00FA1657"/>
    <w:rsid w:val="00FB0A97"/>
    <w:rsid w:val="00FB117D"/>
    <w:rsid w:val="00FB25B4"/>
    <w:rsid w:val="00FB2E68"/>
    <w:rsid w:val="00FB4618"/>
    <w:rsid w:val="00FB48A7"/>
    <w:rsid w:val="00FB5FAE"/>
    <w:rsid w:val="00FB6950"/>
    <w:rsid w:val="00FB7BEB"/>
    <w:rsid w:val="00FC210F"/>
    <w:rsid w:val="00FC3526"/>
    <w:rsid w:val="00FC47E5"/>
    <w:rsid w:val="00FC49D8"/>
    <w:rsid w:val="00FC63BE"/>
    <w:rsid w:val="00FC793D"/>
    <w:rsid w:val="00FC7AE0"/>
    <w:rsid w:val="00FC7B8E"/>
    <w:rsid w:val="00FC7CC0"/>
    <w:rsid w:val="00FD3262"/>
    <w:rsid w:val="00FD3ED4"/>
    <w:rsid w:val="00FD43BF"/>
    <w:rsid w:val="00FD6E47"/>
    <w:rsid w:val="00FD6F72"/>
    <w:rsid w:val="00FE011F"/>
    <w:rsid w:val="00FE158C"/>
    <w:rsid w:val="00FE2D12"/>
    <w:rsid w:val="00FE49F1"/>
    <w:rsid w:val="00FE5B38"/>
    <w:rsid w:val="00FE6A8A"/>
    <w:rsid w:val="00FE7445"/>
    <w:rsid w:val="00FF0050"/>
    <w:rsid w:val="00FF0E63"/>
    <w:rsid w:val="00FF0FCA"/>
    <w:rsid w:val="00FF3769"/>
    <w:rsid w:val="00FF3840"/>
    <w:rsid w:val="00FF3E1A"/>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numPr>
        <w:numId w:val="7"/>
      </w:num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UnresolvedMention2">
    <w:name w:val="Unresolved Mention2"/>
    <w:basedOn w:val="DefaultParagraphFont"/>
    <w:uiPriority w:val="99"/>
    <w:semiHidden/>
    <w:unhideWhenUsed/>
    <w:rsid w:val="00603F5C"/>
    <w:rPr>
      <w:color w:val="605E5C"/>
      <w:shd w:val="clear" w:color="auto" w:fill="E1DFDD"/>
    </w:rPr>
  </w:style>
  <w:style w:type="character" w:customStyle="1" w:styleId="footnoteanchor">
    <w:name w:val="footnoteanchor"/>
    <w:basedOn w:val="DefaultParagraphFont"/>
    <w:rsid w:val="009D1E54"/>
  </w:style>
  <w:style w:type="paragraph" w:customStyle="1" w:styleId="lrcasename">
    <w:name w:val="lrcasename"/>
    <w:basedOn w:val="Normal"/>
    <w:rsid w:val="00D3075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
    <w:name w:val="lrpara"/>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flindent">
    <w:name w:val="lrquoteflindent"/>
    <w:basedOn w:val="Normal"/>
    <w:rsid w:val="004101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1hang">
    <w:name w:val="lrquoteindt1hang"/>
    <w:basedOn w:val="Normal"/>
    <w:rsid w:val="008326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indt1hang">
    <w:name w:val="lrparaindt1hang"/>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2hang">
    <w:name w:val="lrquoteindt2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talic">
    <w:name w:val="italic"/>
    <w:basedOn w:val="DefaultParagraphFont"/>
    <w:rsid w:val="000D1641"/>
  </w:style>
  <w:style w:type="paragraph" w:customStyle="1" w:styleId="lrquoteindt3hang">
    <w:name w:val="lrquoteindt3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65061">
      <w:bodyDiv w:val="1"/>
      <w:marLeft w:val="0"/>
      <w:marRight w:val="0"/>
      <w:marTop w:val="0"/>
      <w:marBottom w:val="0"/>
      <w:divBdr>
        <w:top w:val="none" w:sz="0" w:space="0" w:color="auto"/>
        <w:left w:val="none" w:sz="0" w:space="0" w:color="auto"/>
        <w:bottom w:val="none" w:sz="0" w:space="0" w:color="auto"/>
        <w:right w:val="none" w:sz="0" w:space="0" w:color="auto"/>
      </w:divBdr>
    </w:div>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897280943">
      <w:bodyDiv w:val="1"/>
      <w:marLeft w:val="0"/>
      <w:marRight w:val="0"/>
      <w:marTop w:val="0"/>
      <w:marBottom w:val="0"/>
      <w:divBdr>
        <w:top w:val="none" w:sz="0" w:space="0" w:color="auto"/>
        <w:left w:val="none" w:sz="0" w:space="0" w:color="auto"/>
        <w:bottom w:val="none" w:sz="0" w:space="0" w:color="auto"/>
        <w:right w:val="none" w:sz="0" w:space="0" w:color="auto"/>
      </w:divBdr>
      <w:divsChild>
        <w:div w:id="730691413">
          <w:marLeft w:val="0"/>
          <w:marRight w:val="0"/>
          <w:marTop w:val="0"/>
          <w:marBottom w:val="0"/>
          <w:divBdr>
            <w:top w:val="none" w:sz="0" w:space="0" w:color="auto"/>
            <w:left w:val="none" w:sz="0" w:space="0" w:color="auto"/>
            <w:bottom w:val="none" w:sz="0" w:space="0" w:color="auto"/>
            <w:right w:val="none" w:sz="0" w:space="0" w:color="auto"/>
          </w:divBdr>
        </w:div>
      </w:divsChild>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271938927">
      <w:bodyDiv w:val="1"/>
      <w:marLeft w:val="0"/>
      <w:marRight w:val="0"/>
      <w:marTop w:val="0"/>
      <w:marBottom w:val="0"/>
      <w:divBdr>
        <w:top w:val="none" w:sz="0" w:space="0" w:color="auto"/>
        <w:left w:val="none" w:sz="0" w:space="0" w:color="auto"/>
        <w:bottom w:val="none" w:sz="0" w:space="0" w:color="auto"/>
        <w:right w:val="none" w:sz="0" w:space="0" w:color="auto"/>
      </w:divBdr>
    </w:div>
    <w:div w:id="1272123496">
      <w:bodyDiv w:val="1"/>
      <w:marLeft w:val="0"/>
      <w:marRight w:val="0"/>
      <w:marTop w:val="0"/>
      <w:marBottom w:val="0"/>
      <w:divBdr>
        <w:top w:val="none" w:sz="0" w:space="0" w:color="auto"/>
        <w:left w:val="none" w:sz="0" w:space="0" w:color="auto"/>
        <w:bottom w:val="none" w:sz="0" w:space="0" w:color="auto"/>
        <w:right w:val="none" w:sz="0" w:space="0" w:color="auto"/>
      </w:divBdr>
    </w:div>
    <w:div w:id="1275288874">
      <w:bodyDiv w:val="1"/>
      <w:marLeft w:val="0"/>
      <w:marRight w:val="0"/>
      <w:marTop w:val="0"/>
      <w:marBottom w:val="0"/>
      <w:divBdr>
        <w:top w:val="none" w:sz="0" w:space="0" w:color="auto"/>
        <w:left w:val="none" w:sz="0" w:space="0" w:color="auto"/>
        <w:bottom w:val="none" w:sz="0" w:space="0" w:color="auto"/>
        <w:right w:val="none" w:sz="0" w:space="0" w:color="auto"/>
      </w:divBdr>
      <w:divsChild>
        <w:div w:id="1974092006">
          <w:marLeft w:val="0"/>
          <w:marRight w:val="0"/>
          <w:marTop w:val="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332372177">
      <w:bodyDiv w:val="1"/>
      <w:marLeft w:val="0"/>
      <w:marRight w:val="0"/>
      <w:marTop w:val="0"/>
      <w:marBottom w:val="0"/>
      <w:divBdr>
        <w:top w:val="none" w:sz="0" w:space="0" w:color="auto"/>
        <w:left w:val="none" w:sz="0" w:space="0" w:color="auto"/>
        <w:bottom w:val="none" w:sz="0" w:space="0" w:color="auto"/>
        <w:right w:val="none" w:sz="0" w:space="0" w:color="auto"/>
      </w:divBdr>
    </w:div>
    <w:div w:id="1545825094">
      <w:bodyDiv w:val="1"/>
      <w:marLeft w:val="0"/>
      <w:marRight w:val="0"/>
      <w:marTop w:val="0"/>
      <w:marBottom w:val="0"/>
      <w:divBdr>
        <w:top w:val="none" w:sz="0" w:space="0" w:color="auto"/>
        <w:left w:val="none" w:sz="0" w:space="0" w:color="auto"/>
        <w:bottom w:val="none" w:sz="0" w:space="0" w:color="auto"/>
        <w:right w:val="none" w:sz="0" w:space="0" w:color="auto"/>
      </w:divBdr>
    </w:div>
    <w:div w:id="1639608850">
      <w:bodyDiv w:val="1"/>
      <w:marLeft w:val="0"/>
      <w:marRight w:val="0"/>
      <w:marTop w:val="0"/>
      <w:marBottom w:val="0"/>
      <w:divBdr>
        <w:top w:val="none" w:sz="0" w:space="0" w:color="auto"/>
        <w:left w:val="none" w:sz="0" w:space="0" w:color="auto"/>
        <w:bottom w:val="none" w:sz="0" w:space="0" w:color="auto"/>
        <w:right w:val="none" w:sz="0" w:space="0" w:color="auto"/>
      </w:divBdr>
    </w:div>
    <w:div w:id="1693874741">
      <w:bodyDiv w:val="1"/>
      <w:marLeft w:val="0"/>
      <w:marRight w:val="0"/>
      <w:marTop w:val="0"/>
      <w:marBottom w:val="0"/>
      <w:divBdr>
        <w:top w:val="none" w:sz="0" w:space="0" w:color="auto"/>
        <w:left w:val="none" w:sz="0" w:space="0" w:color="auto"/>
        <w:bottom w:val="none" w:sz="0" w:space="0" w:color="auto"/>
        <w:right w:val="none" w:sz="0" w:space="0" w:color="auto"/>
      </w:divBdr>
    </w:div>
    <w:div w:id="1711606905">
      <w:bodyDiv w:val="1"/>
      <w:marLeft w:val="0"/>
      <w:marRight w:val="0"/>
      <w:marTop w:val="0"/>
      <w:marBottom w:val="0"/>
      <w:divBdr>
        <w:top w:val="none" w:sz="0" w:space="0" w:color="auto"/>
        <w:left w:val="none" w:sz="0" w:space="0" w:color="auto"/>
        <w:bottom w:val="none" w:sz="0" w:space="0" w:color="auto"/>
        <w:right w:val="none" w:sz="0" w:space="0" w:color="auto"/>
      </w:divBdr>
    </w:div>
    <w:div w:id="1757969184">
      <w:bodyDiv w:val="1"/>
      <w:marLeft w:val="0"/>
      <w:marRight w:val="0"/>
      <w:marTop w:val="0"/>
      <w:marBottom w:val="0"/>
      <w:divBdr>
        <w:top w:val="none" w:sz="0" w:space="0" w:color="auto"/>
        <w:left w:val="none" w:sz="0" w:space="0" w:color="auto"/>
        <w:bottom w:val="none" w:sz="0" w:space="0" w:color="auto"/>
        <w:right w:val="none" w:sz="0" w:space="0" w:color="auto"/>
      </w:divBdr>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 w:id="20940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kincorporated.co.za" TargetMode="External"/><Relationship Id="rId5" Type="http://schemas.openxmlformats.org/officeDocument/2006/relationships/webSettings" Target="webSettings.xml"/><Relationship Id="rId10" Type="http://schemas.openxmlformats.org/officeDocument/2006/relationships/hyperlink" Target="mailto:jaco@jacoroos.co.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pp.jutastatevolve.co.za/y2020v6SApg14" TargetMode="External"/><Relationship Id="rId2" Type="http://schemas.openxmlformats.org/officeDocument/2006/relationships/hyperlink" Target="https://app.jutastatevolve.co.za/y2012v4SApg593" TargetMode="External"/><Relationship Id="rId1" Type="http://schemas.openxmlformats.org/officeDocument/2006/relationships/hyperlink" Target="https://app.jutastatevolve.co.za/y2008v4SApg3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33CC-7DD6-4021-8D6A-34C58A8F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18</TotalTime>
  <Pages>23</Pages>
  <Words>4028</Words>
  <Characters>24172</Characters>
  <Application>Microsoft Office Word</Application>
  <DocSecurity>0</DocSecurity>
  <Lines>2014</Lines>
  <Paragraphs>1484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Franciska Bezuidenhout</dc:creator>
  <cp:lastModifiedBy>Mariana Anguelov</cp:lastModifiedBy>
  <cp:revision>4</cp:revision>
  <cp:lastPrinted>2021-09-02T14:27:00Z</cp:lastPrinted>
  <dcterms:created xsi:type="dcterms:W3CDTF">2023-01-17T19:14:00Z</dcterms:created>
  <dcterms:modified xsi:type="dcterms:W3CDTF">2023-01-17T19:32:00Z</dcterms:modified>
</cp:coreProperties>
</file>