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0401" w14:textId="77777777" w:rsidR="00300D09" w:rsidRPr="00822349" w:rsidRDefault="00300D09" w:rsidP="00300D09">
      <w:pPr>
        <w:jc w:val="center"/>
        <w:rPr>
          <w:rFonts w:cs="Arial"/>
          <w:b/>
          <w:bCs/>
          <w:lang w:eastAsia="en-GB"/>
        </w:rPr>
      </w:pPr>
      <w:r w:rsidRPr="00822349">
        <w:rPr>
          <w:rFonts w:cs="Arial"/>
          <w:b/>
          <w:bCs/>
          <w:lang w:eastAsia="en-GB"/>
        </w:rPr>
        <w:t>REPUBLIC OF SOUTH AFRICA</w:t>
      </w:r>
    </w:p>
    <w:p w14:paraId="474287FC" w14:textId="77777777" w:rsidR="006E45F7" w:rsidRPr="00822349" w:rsidRDefault="006E45F7" w:rsidP="00300D09">
      <w:pPr>
        <w:jc w:val="center"/>
        <w:rPr>
          <w:rFonts w:cs="Arial"/>
          <w:lang w:eastAsia="en-GB"/>
        </w:rPr>
      </w:pPr>
    </w:p>
    <w:p w14:paraId="5E679E6B" w14:textId="77777777" w:rsidR="00300D09" w:rsidRPr="00822349" w:rsidRDefault="00033914" w:rsidP="00300D09">
      <w:pPr>
        <w:jc w:val="center"/>
        <w:rPr>
          <w:rFonts w:cs="Arial"/>
          <w:lang w:eastAsia="en-GB"/>
        </w:rPr>
      </w:pPr>
      <w:r w:rsidRPr="00822349">
        <w:rPr>
          <w:rFonts w:cs="Arial"/>
          <w:noProof/>
          <w:lang w:val="en-US"/>
        </w:rPr>
        <w:drawing>
          <wp:inline distT="0" distB="0" distL="0" distR="0" wp14:anchorId="0FF64619" wp14:editId="75EBE87F">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83560D6" w14:textId="77777777" w:rsidR="006E45F7" w:rsidRPr="00822349" w:rsidRDefault="006E45F7" w:rsidP="00300D09">
      <w:pPr>
        <w:jc w:val="center"/>
        <w:rPr>
          <w:rFonts w:cs="Arial"/>
          <w:lang w:eastAsia="en-GB"/>
        </w:rPr>
      </w:pPr>
    </w:p>
    <w:p w14:paraId="42D0D625" w14:textId="77777777" w:rsidR="00300D09" w:rsidRPr="00822349" w:rsidRDefault="00300D09" w:rsidP="00300D09">
      <w:pPr>
        <w:jc w:val="center"/>
        <w:rPr>
          <w:rFonts w:cs="Arial"/>
          <w:b/>
          <w:bCs/>
          <w:lang w:eastAsia="en-GB"/>
        </w:rPr>
      </w:pPr>
      <w:r w:rsidRPr="00822349">
        <w:rPr>
          <w:rFonts w:cs="Arial"/>
          <w:b/>
          <w:bCs/>
          <w:lang w:eastAsia="en-GB"/>
        </w:rPr>
        <w:t>IN THE HIGH COURT OF SOUTH AFRICA</w:t>
      </w:r>
    </w:p>
    <w:p w14:paraId="60B43290" w14:textId="5DCCA43C" w:rsidR="00300D09" w:rsidRDefault="00300D09" w:rsidP="00300D09">
      <w:pPr>
        <w:jc w:val="center"/>
        <w:rPr>
          <w:rFonts w:cs="Arial"/>
          <w:b/>
          <w:bCs/>
          <w:lang w:eastAsia="en-GB"/>
        </w:rPr>
      </w:pPr>
      <w:r w:rsidRPr="00822349">
        <w:rPr>
          <w:rFonts w:cs="Arial"/>
          <w:b/>
          <w:bCs/>
          <w:lang w:eastAsia="en-GB"/>
        </w:rPr>
        <w:t xml:space="preserve">GAUTENG </w:t>
      </w:r>
      <w:r w:rsidR="00FF0C24">
        <w:rPr>
          <w:rFonts w:cs="Arial"/>
          <w:b/>
          <w:bCs/>
          <w:lang w:eastAsia="en-GB"/>
        </w:rPr>
        <w:t xml:space="preserve">LOCAL </w:t>
      </w:r>
      <w:r w:rsidRPr="00822349">
        <w:rPr>
          <w:rFonts w:cs="Arial"/>
          <w:b/>
          <w:bCs/>
          <w:lang w:eastAsia="en-GB"/>
        </w:rPr>
        <w:t xml:space="preserve">DIVISION, </w:t>
      </w:r>
      <w:r w:rsidR="00A20EB3">
        <w:rPr>
          <w:rFonts w:cs="Arial"/>
          <w:b/>
          <w:bCs/>
          <w:lang w:eastAsia="en-GB"/>
        </w:rPr>
        <w:t xml:space="preserve">JOHANNESBURG </w:t>
      </w:r>
    </w:p>
    <w:p w14:paraId="7C04B871" w14:textId="77777777" w:rsidR="004D4DBF" w:rsidRDefault="004D4DBF" w:rsidP="00300D09">
      <w:pPr>
        <w:jc w:val="center"/>
        <w:rPr>
          <w:rFonts w:cs="Arial"/>
          <w:b/>
          <w:bCs/>
          <w:lang w:eastAsia="en-GB"/>
        </w:rPr>
      </w:pPr>
    </w:p>
    <w:p w14:paraId="5C24CA19" w14:textId="77777777" w:rsidR="004D4DBF" w:rsidRPr="00822349" w:rsidRDefault="004D4DBF" w:rsidP="00300D09">
      <w:pPr>
        <w:jc w:val="center"/>
        <w:rPr>
          <w:rFonts w:cs="Arial"/>
          <w:b/>
          <w:bCs/>
          <w:lang w:eastAsia="en-GB"/>
        </w:rPr>
      </w:pPr>
    </w:p>
    <w:p w14:paraId="0A6A1573" w14:textId="76754486" w:rsidR="00066BC7" w:rsidRDefault="00066BC7" w:rsidP="00066BC7">
      <w:pPr>
        <w:jc w:val="right"/>
      </w:pPr>
      <w:r w:rsidRPr="00F73C09">
        <w:t>Case No</w:t>
      </w:r>
      <w:r w:rsidR="00FE5053">
        <w:t>:</w:t>
      </w:r>
      <w:r w:rsidR="00D46EBB">
        <w:t xml:space="preserve"> </w:t>
      </w:r>
      <w:r w:rsidR="00FF0C24">
        <w:t>21/48263</w:t>
      </w:r>
    </w:p>
    <w:p w14:paraId="2E01EE94" w14:textId="562D3AE7" w:rsidR="00FE5053" w:rsidRDefault="00FE5053" w:rsidP="00066BC7">
      <w:pPr>
        <w:jc w:val="right"/>
      </w:pPr>
    </w:p>
    <w:p w14:paraId="22C593A1" w14:textId="77777777" w:rsidR="00066BC7" w:rsidRPr="00F73C09" w:rsidRDefault="00066BC7" w:rsidP="00066BC7">
      <w:pPr>
        <w:jc w:val="right"/>
      </w:pPr>
      <w:r w:rsidRPr="00F73C09">
        <w:rPr>
          <w:noProof/>
          <w:lang w:val="en-US"/>
        </w:rPr>
        <mc:AlternateContent>
          <mc:Choice Requires="wps">
            <w:drawing>
              <wp:anchor distT="0" distB="0" distL="114300" distR="114300" simplePos="0" relativeHeight="251659264" behindDoc="0" locked="0" layoutInCell="1" allowOverlap="1" wp14:anchorId="764351E9" wp14:editId="0BFE0DED">
                <wp:simplePos x="0" y="0"/>
                <wp:positionH relativeFrom="column">
                  <wp:posOffset>7620</wp:posOffset>
                </wp:positionH>
                <wp:positionV relativeFrom="paragraph">
                  <wp:posOffset>15240</wp:posOffset>
                </wp:positionV>
                <wp:extent cx="3314700" cy="2042160"/>
                <wp:effectExtent l="0" t="0" r="19050" b="152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2042160"/>
                        </a:xfrm>
                        <a:prstGeom prst="rect">
                          <a:avLst/>
                        </a:prstGeom>
                        <a:solidFill>
                          <a:srgbClr val="FFFFFF"/>
                        </a:solidFill>
                        <a:ln w="9525">
                          <a:solidFill>
                            <a:srgbClr val="000000"/>
                          </a:solidFill>
                          <a:miter lim="800000"/>
                          <a:headEnd/>
                          <a:tailEnd/>
                        </a:ln>
                      </wps:spPr>
                      <wps:txbx>
                        <w:txbxContent>
                          <w:p w14:paraId="7F38C777" w14:textId="77777777" w:rsidR="00066BC7" w:rsidRPr="004120A8" w:rsidRDefault="00066BC7" w:rsidP="00066BC7">
                            <w:pPr>
                              <w:jc w:val="center"/>
                              <w:rPr>
                                <w:rFonts w:ascii="Century Gothic" w:hAnsi="Century Gothic"/>
                                <w:b/>
                                <w:sz w:val="2"/>
                                <w:szCs w:val="18"/>
                              </w:rPr>
                            </w:pPr>
                          </w:p>
                          <w:p w14:paraId="404910A0" w14:textId="151E652C"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7E3A1401"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7830ABC1"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NO</w:t>
                            </w:r>
                          </w:p>
                          <w:p w14:paraId="70887AFB" w14:textId="77777777" w:rsidR="00066BC7" w:rsidRDefault="00066BC7" w:rsidP="00066BC7">
                            <w:pPr>
                              <w:rPr>
                                <w:rFonts w:cs="Arial"/>
                                <w:b/>
                                <w:sz w:val="18"/>
                                <w:szCs w:val="18"/>
                              </w:rPr>
                            </w:pPr>
                          </w:p>
                          <w:p w14:paraId="1B4CCAC0" w14:textId="77777777" w:rsidR="004B6487" w:rsidRDefault="004B6487" w:rsidP="00066BC7">
                            <w:pPr>
                              <w:rPr>
                                <w:rFonts w:cs="Arial"/>
                                <w:b/>
                                <w:sz w:val="18"/>
                                <w:szCs w:val="18"/>
                              </w:rPr>
                            </w:pPr>
                          </w:p>
                          <w:p w14:paraId="2CAED832" w14:textId="77777777" w:rsidR="004B6487" w:rsidRDefault="004B6487" w:rsidP="00066BC7">
                            <w:pPr>
                              <w:rPr>
                                <w:rFonts w:cs="Arial"/>
                                <w:b/>
                                <w:sz w:val="18"/>
                                <w:szCs w:val="18"/>
                              </w:rPr>
                            </w:pPr>
                          </w:p>
                          <w:p w14:paraId="48DECC6F" w14:textId="77777777" w:rsidR="004B6487" w:rsidRDefault="004B6487" w:rsidP="00066BC7">
                            <w:pPr>
                              <w:rPr>
                                <w:rFonts w:cs="Arial"/>
                                <w:b/>
                                <w:sz w:val="18"/>
                                <w:szCs w:val="18"/>
                              </w:rPr>
                            </w:pPr>
                          </w:p>
                          <w:p w14:paraId="3AAA6CBA" w14:textId="77777777" w:rsidR="004B6487" w:rsidRDefault="004B6487" w:rsidP="00066BC7">
                            <w:pPr>
                              <w:rPr>
                                <w:rFonts w:cs="Arial"/>
                                <w:b/>
                                <w:sz w:val="18"/>
                                <w:szCs w:val="18"/>
                              </w:rPr>
                            </w:pPr>
                          </w:p>
                          <w:p w14:paraId="4320473F" w14:textId="0220F2D3" w:rsidR="00F45967" w:rsidRPr="00F45967" w:rsidRDefault="00F45967" w:rsidP="00066BC7">
                            <w:pPr>
                              <w:rPr>
                                <w:rFonts w:cs="Arial"/>
                                <w:b/>
                                <w:sz w:val="22"/>
                                <w:szCs w:val="22"/>
                              </w:rPr>
                            </w:pPr>
                            <w:r>
                              <w:rPr>
                                <w:rFonts w:cs="Arial"/>
                                <w:b/>
                                <w:sz w:val="18"/>
                                <w:szCs w:val="18"/>
                              </w:rPr>
                              <w:tab/>
                            </w:r>
                            <w:r>
                              <w:rPr>
                                <w:rFonts w:cs="Arial"/>
                                <w:b/>
                                <w:sz w:val="18"/>
                                <w:szCs w:val="18"/>
                              </w:rPr>
                              <w:tab/>
                            </w:r>
                            <w:r w:rsidR="004B6487">
                              <w:rPr>
                                <w:rFonts w:cs="Arial"/>
                                <w:b/>
                                <w:sz w:val="18"/>
                                <w:szCs w:val="18"/>
                              </w:rPr>
                              <w:tab/>
                            </w:r>
                            <w:r w:rsidR="004B6487">
                              <w:rPr>
                                <w:rFonts w:cs="Arial"/>
                                <w:b/>
                                <w:sz w:val="18"/>
                                <w:szCs w:val="18"/>
                              </w:rPr>
                              <w:tab/>
                            </w:r>
                            <w:r>
                              <w:rPr>
                                <w:rFonts w:cs="Arial"/>
                                <w:b/>
                                <w:sz w:val="22"/>
                                <w:szCs w:val="22"/>
                              </w:rPr>
                              <w:t>26 September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351E9" id="_x0000_t202" coordsize="21600,21600" o:spt="202" path="m,l,21600r21600,l21600,xe">
                <v:stroke joinstyle="miter"/>
                <v:path gradientshapeok="t" o:connecttype="rect"/>
              </v:shapetype>
              <v:shape id="Text Box 2" o:spid="_x0000_s1026" type="#_x0000_t202" style="position:absolute;left:0;text-align:left;margin-left:.6pt;margin-top:1.2pt;width:261pt;height:1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">
                <o:lock v:ext="edit" aspectratio="t" verticies="t" text="t" shapetype="t"/>
                <v:textbox>
                  <w:txbxContent>
                    <w:p w14:paraId="7F38C777" w14:textId="77777777" w:rsidR="00066BC7" w:rsidRPr="004120A8" w:rsidRDefault="00066BC7" w:rsidP="00066BC7">
                      <w:pPr>
                        <w:jc w:val="center"/>
                        <w:rPr>
                          <w:rFonts w:ascii="Century Gothic" w:hAnsi="Century Gothic"/>
                          <w:b/>
                          <w:sz w:val="2"/>
                          <w:szCs w:val="18"/>
                        </w:rPr>
                      </w:pPr>
                    </w:p>
                    <w:p w14:paraId="404910A0" w14:textId="151E652C"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066BC7" w:rsidRPr="00EE6CBE">
                        <w:rPr>
                          <w:rFonts w:cs="Arial"/>
                          <w:sz w:val="18"/>
                          <w:szCs w:val="18"/>
                        </w:rPr>
                        <w:t xml:space="preserve">REPORTABLE: </w:t>
                      </w:r>
                      <w:r w:rsidR="00066BC7">
                        <w:rPr>
                          <w:rFonts w:cs="Arial"/>
                          <w:sz w:val="18"/>
                          <w:szCs w:val="18"/>
                        </w:rPr>
                        <w:t>NO</w:t>
                      </w:r>
                    </w:p>
                    <w:p w14:paraId="4E0F8F49" w14:textId="7E3A1401"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066BC7" w:rsidRPr="00EE6CBE">
                        <w:rPr>
                          <w:rFonts w:cs="Arial"/>
                          <w:sz w:val="18"/>
                          <w:szCs w:val="18"/>
                        </w:rPr>
                        <w:t xml:space="preserve">OF INTEREST TO OTHER JUDGES: </w:t>
                      </w:r>
                      <w:r w:rsidR="00066BC7">
                        <w:rPr>
                          <w:rFonts w:cs="Arial"/>
                          <w:sz w:val="18"/>
                          <w:szCs w:val="18"/>
                        </w:rPr>
                        <w:t>NO</w:t>
                      </w:r>
                    </w:p>
                    <w:p w14:paraId="45F8B019" w14:textId="7830ABC1" w:rsidR="00066BC7" w:rsidRPr="00EE6CBE" w:rsidRDefault="001F6FF1" w:rsidP="001F6FF1">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066BC7" w:rsidRPr="00EE6CBE">
                        <w:rPr>
                          <w:rFonts w:cs="Arial"/>
                          <w:sz w:val="18"/>
                          <w:szCs w:val="18"/>
                        </w:rPr>
                        <w:t>REVISED</w:t>
                      </w:r>
                      <w:r w:rsidR="00066BC7">
                        <w:rPr>
                          <w:rFonts w:cs="Arial"/>
                          <w:sz w:val="18"/>
                          <w:szCs w:val="18"/>
                        </w:rPr>
                        <w:t xml:space="preserve"> NO</w:t>
                      </w:r>
                    </w:p>
                    <w:p w14:paraId="70887AFB" w14:textId="77777777" w:rsidR="00066BC7" w:rsidRDefault="00066BC7" w:rsidP="00066BC7">
                      <w:pPr>
                        <w:rPr>
                          <w:rFonts w:cs="Arial"/>
                          <w:b/>
                          <w:sz w:val="18"/>
                          <w:szCs w:val="18"/>
                        </w:rPr>
                      </w:pPr>
                    </w:p>
                    <w:p w14:paraId="1B4CCAC0" w14:textId="77777777" w:rsidR="004B6487" w:rsidRDefault="004B6487" w:rsidP="00066BC7">
                      <w:pPr>
                        <w:rPr>
                          <w:rFonts w:cs="Arial"/>
                          <w:b/>
                          <w:sz w:val="18"/>
                          <w:szCs w:val="18"/>
                        </w:rPr>
                      </w:pPr>
                    </w:p>
                    <w:p w14:paraId="2CAED832" w14:textId="77777777" w:rsidR="004B6487" w:rsidRDefault="004B6487" w:rsidP="00066BC7">
                      <w:pPr>
                        <w:rPr>
                          <w:rFonts w:cs="Arial"/>
                          <w:b/>
                          <w:sz w:val="18"/>
                          <w:szCs w:val="18"/>
                        </w:rPr>
                      </w:pPr>
                    </w:p>
                    <w:p w14:paraId="48DECC6F" w14:textId="77777777" w:rsidR="004B6487" w:rsidRDefault="004B6487" w:rsidP="00066BC7">
                      <w:pPr>
                        <w:rPr>
                          <w:rFonts w:cs="Arial"/>
                          <w:b/>
                          <w:sz w:val="18"/>
                          <w:szCs w:val="18"/>
                        </w:rPr>
                      </w:pPr>
                    </w:p>
                    <w:p w14:paraId="3AAA6CBA" w14:textId="77777777" w:rsidR="004B6487" w:rsidRDefault="004B6487" w:rsidP="00066BC7">
                      <w:pPr>
                        <w:rPr>
                          <w:rFonts w:cs="Arial"/>
                          <w:b/>
                          <w:sz w:val="18"/>
                          <w:szCs w:val="18"/>
                        </w:rPr>
                      </w:pPr>
                    </w:p>
                    <w:p w14:paraId="4320473F" w14:textId="0220F2D3" w:rsidR="00F45967" w:rsidRPr="00F45967" w:rsidRDefault="00F45967" w:rsidP="00066BC7">
                      <w:pPr>
                        <w:rPr>
                          <w:rFonts w:cs="Arial"/>
                          <w:b/>
                          <w:sz w:val="22"/>
                          <w:szCs w:val="22"/>
                        </w:rPr>
                      </w:pPr>
                      <w:r>
                        <w:rPr>
                          <w:rFonts w:cs="Arial"/>
                          <w:b/>
                          <w:sz w:val="18"/>
                          <w:szCs w:val="18"/>
                        </w:rPr>
                        <w:tab/>
                      </w:r>
                      <w:r>
                        <w:rPr>
                          <w:rFonts w:cs="Arial"/>
                          <w:b/>
                          <w:sz w:val="18"/>
                          <w:szCs w:val="18"/>
                        </w:rPr>
                        <w:tab/>
                      </w:r>
                      <w:r w:rsidR="004B6487">
                        <w:rPr>
                          <w:rFonts w:cs="Arial"/>
                          <w:b/>
                          <w:sz w:val="18"/>
                          <w:szCs w:val="18"/>
                        </w:rPr>
                        <w:tab/>
                      </w:r>
                      <w:r w:rsidR="004B6487">
                        <w:rPr>
                          <w:rFonts w:cs="Arial"/>
                          <w:b/>
                          <w:sz w:val="18"/>
                          <w:szCs w:val="18"/>
                        </w:rPr>
                        <w:tab/>
                      </w:r>
                      <w:r>
                        <w:rPr>
                          <w:rFonts w:cs="Arial"/>
                          <w:b/>
                          <w:sz w:val="22"/>
                          <w:szCs w:val="22"/>
                        </w:rPr>
                        <w:t>26 September 2023</w:t>
                      </w:r>
                    </w:p>
                    <w:p w14:paraId="3EE2EF76" w14:textId="77777777" w:rsidR="00066BC7" w:rsidRDefault="00066BC7" w:rsidP="00066BC7">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23095A82" w14:textId="77777777" w:rsidR="00066BC7" w:rsidRPr="00EE6CBE" w:rsidRDefault="00066BC7" w:rsidP="00066BC7">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38E2027F" w14:textId="77777777" w:rsidR="00066BC7" w:rsidRPr="004120A8" w:rsidRDefault="00066BC7" w:rsidP="00066BC7">
                      <w:pPr>
                        <w:rPr>
                          <w:rFonts w:ascii="Century Gothic" w:hAnsi="Century Gothic"/>
                          <w:b/>
                          <w:sz w:val="2"/>
                          <w:szCs w:val="18"/>
                        </w:rPr>
                      </w:pPr>
                    </w:p>
                  </w:txbxContent>
                </v:textbox>
              </v:shape>
            </w:pict>
          </mc:Fallback>
        </mc:AlternateContent>
      </w:r>
    </w:p>
    <w:p w14:paraId="10BD3978" w14:textId="77777777" w:rsidR="00066BC7" w:rsidRPr="00F73C09" w:rsidRDefault="00066BC7" w:rsidP="00066BC7">
      <w:pPr>
        <w:jc w:val="center"/>
        <w:rPr>
          <w:rFonts w:cs="Arial"/>
          <w:b/>
        </w:rPr>
      </w:pPr>
    </w:p>
    <w:p w14:paraId="465269FD" w14:textId="77777777" w:rsidR="00066BC7" w:rsidRPr="00F73C09" w:rsidRDefault="00066BC7" w:rsidP="00066BC7">
      <w:pPr>
        <w:jc w:val="right"/>
        <w:rPr>
          <w:rFonts w:cs="Arial"/>
          <w:b/>
        </w:rPr>
      </w:pPr>
      <w:bookmarkStart w:id="0" w:name="_Hlk88546104"/>
    </w:p>
    <w:p w14:paraId="62B8EDFE" w14:textId="77777777" w:rsidR="00066BC7" w:rsidRPr="00F73C09" w:rsidRDefault="00066BC7" w:rsidP="00066BC7">
      <w:pPr>
        <w:jc w:val="left"/>
        <w:rPr>
          <w:rFonts w:cs="Arial"/>
          <w:u w:val="single"/>
        </w:rPr>
      </w:pPr>
    </w:p>
    <w:p w14:paraId="6B8F165E" w14:textId="77777777" w:rsidR="00066BC7" w:rsidRPr="00F73C09" w:rsidRDefault="00066BC7" w:rsidP="00066BC7">
      <w:pPr>
        <w:jc w:val="left"/>
        <w:rPr>
          <w:rFonts w:cs="Arial"/>
          <w:u w:val="single"/>
        </w:rPr>
      </w:pPr>
    </w:p>
    <w:p w14:paraId="6B59FFF8" w14:textId="77777777" w:rsidR="00066BC7" w:rsidRPr="00F73C09" w:rsidRDefault="00066BC7" w:rsidP="00066BC7">
      <w:pPr>
        <w:jc w:val="left"/>
        <w:rPr>
          <w:rFonts w:cs="Arial"/>
          <w:u w:val="single"/>
        </w:rPr>
      </w:pPr>
    </w:p>
    <w:p w14:paraId="76BDB59E" w14:textId="77777777" w:rsidR="00066BC7" w:rsidRPr="00F73C09" w:rsidRDefault="00066BC7" w:rsidP="00066BC7">
      <w:pPr>
        <w:jc w:val="left"/>
        <w:rPr>
          <w:rFonts w:cs="Arial"/>
          <w:u w:val="single"/>
        </w:rPr>
      </w:pPr>
    </w:p>
    <w:bookmarkEnd w:id="0"/>
    <w:p w14:paraId="66ED5739" w14:textId="77777777" w:rsidR="00066BC7" w:rsidRPr="00F73C09" w:rsidRDefault="00066BC7" w:rsidP="00066BC7"/>
    <w:p w14:paraId="3A38040B" w14:textId="77777777" w:rsidR="00066BC7" w:rsidRPr="00F73C09" w:rsidRDefault="00066BC7" w:rsidP="00066BC7">
      <w:pPr>
        <w:tabs>
          <w:tab w:val="left" w:pos="4917"/>
        </w:tabs>
        <w:jc w:val="right"/>
        <w:rPr>
          <w:rFonts w:cs="Arial"/>
          <w:b/>
          <w:sz w:val="28"/>
          <w:szCs w:val="28"/>
          <w:u w:val="single"/>
        </w:rPr>
      </w:pPr>
    </w:p>
    <w:p w14:paraId="11FFE7C6" w14:textId="77777777" w:rsidR="00066BC7" w:rsidRPr="00F73C09" w:rsidRDefault="00066BC7" w:rsidP="00066BC7">
      <w:pPr>
        <w:jc w:val="right"/>
        <w:rPr>
          <w:rFonts w:cs="Arial"/>
          <w:b/>
          <w:bCs/>
        </w:rPr>
      </w:pPr>
    </w:p>
    <w:p w14:paraId="216B5F3D" w14:textId="281E0D86" w:rsidR="00066BC7" w:rsidRPr="00F73C09" w:rsidRDefault="00066BC7" w:rsidP="00066BC7">
      <w:pPr>
        <w:rPr>
          <w:rFonts w:cs="Arial"/>
        </w:rPr>
      </w:pPr>
      <w:r w:rsidRPr="00F73C09">
        <w:rPr>
          <w:rFonts w:cs="Arial"/>
        </w:rPr>
        <w:t xml:space="preserve">In the </w:t>
      </w:r>
      <w:r w:rsidR="001F035B">
        <w:rPr>
          <w:rFonts w:cs="Arial"/>
        </w:rPr>
        <w:t>exception</w:t>
      </w:r>
      <w:r w:rsidRPr="00F73C09">
        <w:rPr>
          <w:rFonts w:cs="Arial"/>
        </w:rPr>
        <w:t xml:space="preserve"> </w:t>
      </w:r>
      <w:r w:rsidR="00FE5053">
        <w:rPr>
          <w:rFonts w:cs="Arial"/>
        </w:rPr>
        <w:t xml:space="preserve">between </w:t>
      </w:r>
      <w:r w:rsidR="00A20EB3">
        <w:rPr>
          <w:rFonts w:cs="Arial"/>
        </w:rPr>
        <w:t xml:space="preserve"> </w:t>
      </w:r>
      <w:r w:rsidRPr="00F73C09">
        <w:rPr>
          <w:rFonts w:cs="Arial"/>
        </w:rPr>
        <w:t>:</w:t>
      </w:r>
    </w:p>
    <w:p w14:paraId="2F316580" w14:textId="77777777" w:rsidR="00066BC7" w:rsidRPr="00F73C09" w:rsidRDefault="00066BC7" w:rsidP="00066BC7">
      <w:pPr>
        <w:rPr>
          <w:rFonts w:cs="Arial"/>
        </w:rPr>
      </w:pPr>
    </w:p>
    <w:p w14:paraId="0785C630" w14:textId="2A220514" w:rsidR="002D0CA6" w:rsidRPr="00FB10E8" w:rsidRDefault="00FF0C24" w:rsidP="00A20EB3">
      <w:pPr>
        <w:pStyle w:val="Parties"/>
        <w:tabs>
          <w:tab w:val="clear" w:pos="8732"/>
          <w:tab w:val="right" w:pos="8931"/>
        </w:tabs>
        <w:spacing w:before="200"/>
      </w:pPr>
      <w:r>
        <w:rPr>
          <w:b/>
          <w:bCs/>
        </w:rPr>
        <w:t>MAHARAJ, ASHNEE</w:t>
      </w:r>
      <w:r w:rsidR="00D46EBB">
        <w:rPr>
          <w:b/>
          <w:bCs/>
        </w:rPr>
        <w:tab/>
      </w:r>
      <w:r w:rsidR="001D1780">
        <w:t xml:space="preserve">Plaintiff / </w:t>
      </w:r>
      <w:r>
        <w:t>Respondent</w:t>
      </w:r>
    </w:p>
    <w:p w14:paraId="478EAB09" w14:textId="77777777" w:rsidR="00A20EB3" w:rsidRDefault="00A20EB3" w:rsidP="002D0CA6"/>
    <w:p w14:paraId="3210DF47" w14:textId="1A64FBA1" w:rsidR="002D0CA6" w:rsidRDefault="00FB10E8" w:rsidP="002D0CA6">
      <w:r>
        <w:t>and</w:t>
      </w:r>
    </w:p>
    <w:p w14:paraId="050D4CAC" w14:textId="4F6B07BE" w:rsidR="00FE5053" w:rsidRDefault="00FF0C24" w:rsidP="00D46EBB">
      <w:pPr>
        <w:pStyle w:val="Parties"/>
        <w:tabs>
          <w:tab w:val="clear" w:pos="8732"/>
          <w:tab w:val="right" w:pos="8931"/>
        </w:tabs>
        <w:spacing w:before="200"/>
      </w:pPr>
      <w:r>
        <w:rPr>
          <w:b/>
          <w:bCs/>
        </w:rPr>
        <w:t>STRATE (PTY) LTD</w:t>
      </w:r>
      <w:r w:rsidR="006A46AF">
        <w:rPr>
          <w:b/>
          <w:bCs/>
        </w:rPr>
        <w:t xml:space="preserve"> </w:t>
      </w:r>
      <w:r w:rsidR="00D46EBB">
        <w:rPr>
          <w:b/>
          <w:bCs/>
        </w:rPr>
        <w:tab/>
      </w:r>
      <w:r w:rsidRPr="00FF0C24">
        <w:t>First</w:t>
      </w:r>
      <w:r>
        <w:rPr>
          <w:b/>
          <w:bCs/>
        </w:rPr>
        <w:t xml:space="preserve"> </w:t>
      </w:r>
      <w:r w:rsidR="001D1780" w:rsidRPr="001D1780">
        <w:t>Defendant /</w:t>
      </w:r>
      <w:r w:rsidR="001D1780">
        <w:rPr>
          <w:b/>
          <w:bCs/>
        </w:rPr>
        <w:t xml:space="preserve"> </w:t>
      </w:r>
      <w:r>
        <w:t xml:space="preserve">First Excipient </w:t>
      </w:r>
    </w:p>
    <w:p w14:paraId="44090C54" w14:textId="70E614A1" w:rsidR="00FF0C24" w:rsidRDefault="00FF0C24" w:rsidP="00D46EBB">
      <w:pPr>
        <w:pStyle w:val="Parties"/>
        <w:tabs>
          <w:tab w:val="clear" w:pos="8732"/>
          <w:tab w:val="right" w:pos="8931"/>
        </w:tabs>
        <w:spacing w:before="200"/>
      </w:pPr>
      <w:r>
        <w:rPr>
          <w:b/>
          <w:bCs/>
        </w:rPr>
        <w:t>NORTJE</w:t>
      </w:r>
      <w:r w:rsidR="001B2E80">
        <w:rPr>
          <w:b/>
          <w:bCs/>
        </w:rPr>
        <w:t xml:space="preserve">, </w:t>
      </w:r>
      <w:r>
        <w:rPr>
          <w:b/>
          <w:bCs/>
        </w:rPr>
        <w:t xml:space="preserve"> ANDRE</w:t>
      </w:r>
      <w:r>
        <w:rPr>
          <w:b/>
          <w:bCs/>
        </w:rPr>
        <w:tab/>
      </w:r>
      <w:r>
        <w:t>Second Defendant / Second Excipient</w:t>
      </w:r>
    </w:p>
    <w:p w14:paraId="2A164308" w14:textId="45B24AFD" w:rsidR="00FF0C24" w:rsidRPr="00FF0C24" w:rsidRDefault="00FF0C24" w:rsidP="00D46EBB">
      <w:pPr>
        <w:pStyle w:val="Parties"/>
        <w:tabs>
          <w:tab w:val="clear" w:pos="8732"/>
          <w:tab w:val="right" w:pos="8931"/>
        </w:tabs>
        <w:spacing w:before="200"/>
      </w:pPr>
      <w:r>
        <w:rPr>
          <w:b/>
          <w:bCs/>
        </w:rPr>
        <w:t xml:space="preserve">PAYNE, </w:t>
      </w:r>
      <w:r w:rsidR="001B2E80">
        <w:rPr>
          <w:b/>
          <w:bCs/>
        </w:rPr>
        <w:t xml:space="preserve"> </w:t>
      </w:r>
      <w:r>
        <w:rPr>
          <w:b/>
          <w:bCs/>
        </w:rPr>
        <w:t>NIGEL GEORGE</w:t>
      </w:r>
      <w:r>
        <w:tab/>
        <w:t>Third Defendant / Third Excipient</w:t>
      </w:r>
    </w:p>
    <w:p w14:paraId="2B59DE97" w14:textId="77777777" w:rsidR="006A46AF" w:rsidRDefault="006A46AF" w:rsidP="00066BC7">
      <w:pPr>
        <w:pStyle w:val="Parties"/>
        <w:tabs>
          <w:tab w:val="center" w:pos="4111"/>
        </w:tabs>
      </w:pPr>
    </w:p>
    <w:p w14:paraId="3B6BEE93" w14:textId="77777777" w:rsidR="006A46AF" w:rsidRDefault="006A46AF" w:rsidP="00066BC7">
      <w:pPr>
        <w:pStyle w:val="Parties"/>
        <w:tabs>
          <w:tab w:val="center" w:pos="4111"/>
        </w:tabs>
      </w:pPr>
    </w:p>
    <w:p w14:paraId="6455DBA0" w14:textId="31BD04BF" w:rsidR="00066BC7" w:rsidRPr="00F73C09" w:rsidRDefault="00066BC7" w:rsidP="00066BC7">
      <w:pPr>
        <w:pStyle w:val="Parties"/>
        <w:tabs>
          <w:tab w:val="center" w:pos="4111"/>
        </w:tabs>
      </w:pPr>
      <w:r w:rsidRPr="00F73C09">
        <w:tab/>
      </w:r>
    </w:p>
    <w:p w14:paraId="4CD7759F" w14:textId="77777777" w:rsidR="00066BC7" w:rsidRDefault="00066BC7" w:rsidP="001F035B">
      <w:pPr>
        <w:jc w:val="center"/>
      </w:pPr>
      <w:r w:rsidRPr="00F73C09">
        <w:t>JUDGMENT</w:t>
      </w:r>
    </w:p>
    <w:p w14:paraId="490F4A67" w14:textId="4C405A71" w:rsidR="001F035B" w:rsidRDefault="001F035B" w:rsidP="001F035B">
      <w:pPr>
        <w:spacing w:line="360" w:lineRule="auto"/>
        <w:ind w:left="1418" w:hanging="1418"/>
        <w:rPr>
          <w:rFonts w:cs="Arial"/>
          <w:b/>
          <w:lang w:val="en-ZA"/>
        </w:rPr>
      </w:pPr>
      <w:r>
        <w:rPr>
          <w:rFonts w:cs="Arial"/>
          <w:b/>
          <w:bCs/>
          <w:lang w:val="en-ZA"/>
        </w:rPr>
        <w:t>Heard</w:t>
      </w:r>
      <w:r>
        <w:rPr>
          <w:rFonts w:cs="Arial"/>
          <w:lang w:val="en-ZA"/>
        </w:rPr>
        <w:t>:</w:t>
      </w:r>
      <w:r>
        <w:rPr>
          <w:rFonts w:cs="Arial"/>
          <w:lang w:val="en-ZA"/>
        </w:rPr>
        <w:tab/>
      </w:r>
      <w:r>
        <w:rPr>
          <w:rFonts w:cs="Arial"/>
          <w:lang w:val="en-ZA"/>
        </w:rPr>
        <w:tab/>
        <w:t xml:space="preserve"> </w:t>
      </w:r>
      <w:r w:rsidR="00897EA3">
        <w:rPr>
          <w:rFonts w:cs="Arial"/>
          <w:lang w:val="en-ZA"/>
        </w:rPr>
        <w:t>16</w:t>
      </w:r>
      <w:r>
        <w:rPr>
          <w:rFonts w:cs="Arial"/>
          <w:lang w:val="en-ZA"/>
        </w:rPr>
        <w:t xml:space="preserve">  January 2023</w:t>
      </w:r>
    </w:p>
    <w:p w14:paraId="6AA63705" w14:textId="3F08C763" w:rsidR="001F035B" w:rsidRDefault="001F035B" w:rsidP="001F035B">
      <w:pPr>
        <w:spacing w:after="120" w:line="360" w:lineRule="auto"/>
        <w:ind w:left="1418" w:hanging="1418"/>
        <w:rPr>
          <w:rFonts w:cs="Arial"/>
          <w:lang w:val="en-ZA"/>
        </w:rPr>
      </w:pPr>
      <w:r>
        <w:rPr>
          <w:rFonts w:cs="Arial"/>
          <w:b/>
          <w:lang w:val="en-ZA"/>
        </w:rPr>
        <w:t>Delivered:</w:t>
      </w:r>
      <w:r>
        <w:rPr>
          <w:rFonts w:cs="Arial"/>
          <w:b/>
          <w:lang w:val="en-ZA"/>
        </w:rPr>
        <w:tab/>
      </w:r>
      <w:r>
        <w:rPr>
          <w:rFonts w:cs="Arial"/>
          <w:b/>
          <w:lang w:val="en-ZA"/>
        </w:rPr>
        <w:tab/>
      </w:r>
      <w:r>
        <w:rPr>
          <w:rFonts w:cs="Arial"/>
          <w:lang w:val="en-ZA"/>
        </w:rPr>
        <w:t>26 September</w:t>
      </w:r>
      <w:r w:rsidR="00F45967">
        <w:rPr>
          <w:rFonts w:cs="Arial"/>
          <w:lang w:val="en-ZA"/>
        </w:rPr>
        <w:t xml:space="preserve"> </w:t>
      </w:r>
      <w:r>
        <w:rPr>
          <w:rFonts w:cs="Arial"/>
          <w:lang w:val="en-ZA"/>
        </w:rPr>
        <w:t xml:space="preserve">2023 – This judgment was handed down electronically by circulation to the parties' representatives by email and uploaded to </w:t>
      </w:r>
      <w:r>
        <w:rPr>
          <w:rFonts w:cs="Arial"/>
          <w:i/>
          <w:lang w:val="en-ZA"/>
        </w:rPr>
        <w:t>CaseLines</w:t>
      </w:r>
      <w:r>
        <w:rPr>
          <w:rFonts w:cs="Arial"/>
          <w:lang w:val="en-ZA"/>
        </w:rPr>
        <w:t>. The date and time for hand-down is deemed to be 10:00 on 26 September 2023.</w:t>
      </w:r>
    </w:p>
    <w:p w14:paraId="0599A059" w14:textId="77777777" w:rsidR="001F035B" w:rsidRDefault="001F035B" w:rsidP="001F035B">
      <w:pPr>
        <w:rPr>
          <w:rFonts w:cs="Arial"/>
          <w:b/>
          <w:bCs/>
          <w:lang w:val="en-ZA"/>
        </w:rPr>
      </w:pPr>
    </w:p>
    <w:p w14:paraId="51B0FFC3" w14:textId="77777777" w:rsidR="001B2E80" w:rsidRDefault="001F035B" w:rsidP="001F035B">
      <w:pPr>
        <w:rPr>
          <w:rFonts w:cs="Arial"/>
          <w:b/>
          <w:bCs/>
          <w:lang w:val="en-ZA"/>
        </w:rPr>
      </w:pPr>
      <w:r w:rsidRPr="00E9240D">
        <w:rPr>
          <w:rFonts w:cs="Arial"/>
          <w:b/>
          <w:bCs/>
          <w:lang w:val="en-ZA"/>
        </w:rPr>
        <w:t>Summary:</w:t>
      </w:r>
      <w:r>
        <w:rPr>
          <w:rFonts w:cs="Arial"/>
          <w:b/>
          <w:bCs/>
          <w:lang w:val="en-ZA"/>
        </w:rPr>
        <w:t xml:space="preserve"> </w:t>
      </w:r>
    </w:p>
    <w:p w14:paraId="69944211" w14:textId="27E786F2" w:rsidR="001B2E80" w:rsidRPr="001B2E80" w:rsidRDefault="001F6FF1" w:rsidP="001F6FF1">
      <w:pPr>
        <w:ind w:left="720" w:hanging="360"/>
      </w:pPr>
      <w:r w:rsidRPr="001B2E80">
        <w:rPr>
          <w:sz w:val="22"/>
          <w:szCs w:val="16"/>
          <w:lang w:eastAsia="en-ZA"/>
        </w:rPr>
        <w:t>-</w:t>
      </w:r>
      <w:r w:rsidRPr="001B2E80">
        <w:rPr>
          <w:sz w:val="22"/>
          <w:szCs w:val="16"/>
          <w:lang w:eastAsia="en-ZA"/>
        </w:rPr>
        <w:tab/>
      </w:r>
      <w:r w:rsidR="001B2E80" w:rsidRPr="001F6FF1">
        <w:rPr>
          <w:rFonts w:cs="Arial"/>
          <w:i/>
          <w:iCs/>
          <w:lang w:val="en-ZA"/>
        </w:rPr>
        <w:t>Exception to particulars of claim</w:t>
      </w:r>
      <w:r w:rsidR="001B2E80" w:rsidRPr="001F6FF1">
        <w:rPr>
          <w:rFonts w:cs="Arial"/>
          <w:b/>
          <w:bCs/>
          <w:lang w:val="en-ZA"/>
        </w:rPr>
        <w:t xml:space="preserve"> – </w:t>
      </w:r>
      <w:r w:rsidR="001B2E80" w:rsidRPr="001F6FF1">
        <w:rPr>
          <w:rFonts w:cs="Arial"/>
          <w:lang w:val="en-ZA"/>
        </w:rPr>
        <w:t xml:space="preserve">No cause of action - </w:t>
      </w:r>
      <w:r w:rsidR="001B2E80">
        <w:t>Excipient restricted to the grounds recorded in exception notice</w:t>
      </w:r>
      <w:r w:rsidR="001B2E80" w:rsidRPr="001F6FF1">
        <w:rPr>
          <w:i/>
          <w:iCs/>
        </w:rPr>
        <w:t xml:space="preserve"> </w:t>
      </w:r>
    </w:p>
    <w:p w14:paraId="58994B05" w14:textId="0E2A4537" w:rsidR="001F035B" w:rsidRDefault="001F6FF1" w:rsidP="001F6FF1">
      <w:pPr>
        <w:ind w:left="720" w:hanging="360"/>
      </w:pPr>
      <w:r>
        <w:rPr>
          <w:sz w:val="22"/>
          <w:szCs w:val="16"/>
          <w:lang w:eastAsia="en-ZA"/>
        </w:rPr>
        <w:lastRenderedPageBreak/>
        <w:t>-</w:t>
      </w:r>
      <w:r>
        <w:rPr>
          <w:sz w:val="22"/>
          <w:szCs w:val="16"/>
          <w:lang w:eastAsia="en-ZA"/>
        </w:rPr>
        <w:tab/>
      </w:r>
      <w:r w:rsidR="001F035B" w:rsidRPr="001F6FF1">
        <w:rPr>
          <w:i/>
          <w:iCs/>
        </w:rPr>
        <w:t>Protected Disclosures Act</w:t>
      </w:r>
      <w:r w:rsidR="001F035B">
        <w:t xml:space="preserve"> – adequacy of pleading to establish cause of action under </w:t>
      </w:r>
      <w:r w:rsidR="00506A86">
        <w:t>Act.</w:t>
      </w:r>
    </w:p>
    <w:p w14:paraId="1935010F" w14:textId="54A0B3A3" w:rsidR="001F035B" w:rsidRDefault="001F6FF1" w:rsidP="001F6FF1">
      <w:pPr>
        <w:ind w:left="720" w:hanging="360"/>
      </w:pPr>
      <w:r>
        <w:rPr>
          <w:sz w:val="22"/>
          <w:szCs w:val="16"/>
          <w:lang w:eastAsia="en-ZA"/>
        </w:rPr>
        <w:t>-</w:t>
      </w:r>
      <w:r>
        <w:rPr>
          <w:sz w:val="22"/>
          <w:szCs w:val="16"/>
          <w:lang w:eastAsia="en-ZA"/>
        </w:rPr>
        <w:tab/>
      </w:r>
      <w:r w:rsidR="001F035B" w:rsidRPr="001F6FF1">
        <w:rPr>
          <w:i/>
          <w:iCs/>
        </w:rPr>
        <w:t xml:space="preserve">Delict </w:t>
      </w:r>
      <w:r w:rsidR="001F035B">
        <w:t>– no separate delictual claim for repudiation of contract</w:t>
      </w:r>
      <w:r w:rsidR="00897EA3">
        <w:t>.</w:t>
      </w:r>
    </w:p>
    <w:p w14:paraId="4412FADB" w14:textId="23AB7F40" w:rsidR="001F035B" w:rsidRDefault="001F6FF1" w:rsidP="001F6FF1">
      <w:pPr>
        <w:ind w:left="720" w:hanging="360"/>
      </w:pPr>
      <w:r>
        <w:rPr>
          <w:sz w:val="22"/>
          <w:szCs w:val="16"/>
          <w:lang w:eastAsia="en-ZA"/>
        </w:rPr>
        <w:t>-</w:t>
      </w:r>
      <w:r>
        <w:rPr>
          <w:sz w:val="22"/>
          <w:szCs w:val="16"/>
          <w:lang w:eastAsia="en-ZA"/>
        </w:rPr>
        <w:tab/>
      </w:r>
      <w:r w:rsidR="001F035B" w:rsidRPr="001F6FF1">
        <w:rPr>
          <w:i/>
          <w:iCs/>
        </w:rPr>
        <w:t>Companies Act</w:t>
      </w:r>
      <w:r w:rsidR="001F035B">
        <w:t xml:space="preserve"> - </w:t>
      </w:r>
      <w:r w:rsidR="00897EA3">
        <w:t>S</w:t>
      </w:r>
      <w:r w:rsidR="001F035B">
        <w:t xml:space="preserve">ection 76(2) and section 218(2) </w:t>
      </w:r>
      <w:r w:rsidR="00897EA3">
        <w:t>on Companies Act do not provide a basis for an</w:t>
      </w:r>
      <w:r w:rsidR="001F035B">
        <w:t xml:space="preserve"> employee to claim </w:t>
      </w:r>
      <w:r w:rsidR="00897EA3">
        <w:t xml:space="preserve">damages </w:t>
      </w:r>
      <w:r w:rsidR="001F035B">
        <w:t xml:space="preserve">against </w:t>
      </w:r>
      <w:r w:rsidR="00897EA3">
        <w:t xml:space="preserve">a </w:t>
      </w:r>
      <w:r w:rsidR="001F035B">
        <w:t>director</w:t>
      </w:r>
      <w:r w:rsidR="00897EA3">
        <w:t xml:space="preserve">.  </w:t>
      </w:r>
    </w:p>
    <w:p w14:paraId="06C0BA9E" w14:textId="60097250" w:rsidR="001F035B" w:rsidRPr="00F73C09" w:rsidRDefault="001F035B" w:rsidP="00897EA3">
      <w:pPr>
        <w:pStyle w:val="ListParagraph"/>
        <w:numPr>
          <w:ilvl w:val="0"/>
          <w:numId w:val="0"/>
        </w:numPr>
        <w:ind w:left="720"/>
      </w:pPr>
    </w:p>
    <w:p w14:paraId="00C82F34" w14:textId="77777777" w:rsidR="00066BC7" w:rsidRPr="00F73C09" w:rsidRDefault="00066BC7" w:rsidP="00066BC7"/>
    <w:p w14:paraId="1AC79A96" w14:textId="77777777" w:rsidR="00066BC7" w:rsidRPr="00F73C09" w:rsidRDefault="00066BC7" w:rsidP="00066BC7"/>
    <w:p w14:paraId="768224E9" w14:textId="4BAB7EAD" w:rsidR="00066BC7" w:rsidRDefault="00FF0C24" w:rsidP="00066BC7">
      <w:pPr>
        <w:rPr>
          <w:b/>
          <w:bCs/>
        </w:rPr>
      </w:pPr>
      <w:r>
        <w:rPr>
          <w:b/>
          <w:bCs/>
        </w:rPr>
        <w:t xml:space="preserve">TURNER AJ </w:t>
      </w:r>
    </w:p>
    <w:p w14:paraId="000CDD11" w14:textId="0B7AEAA7" w:rsidR="00421D5E" w:rsidRDefault="001F6FF1" w:rsidP="001F6FF1">
      <w:pPr>
        <w:pStyle w:val="1"/>
        <w:numPr>
          <w:ilvl w:val="0"/>
          <w:numId w:val="0"/>
        </w:numPr>
        <w:tabs>
          <w:tab w:val="left" w:pos="567"/>
        </w:tabs>
        <w:ind w:left="567" w:hanging="567"/>
      </w:pPr>
      <w:r>
        <w:t>[1]</w:t>
      </w:r>
      <w:r>
        <w:tab/>
      </w:r>
      <w:r w:rsidR="00FF0C24">
        <w:t xml:space="preserve">This is an exception brought by the defendants against the particulars of claim </w:t>
      </w:r>
      <w:r w:rsidR="00A72F0B">
        <w:t xml:space="preserve">delivered by the plaintiff. The plaintiff </w:t>
      </w:r>
      <w:r w:rsidR="001F035B">
        <w:t xml:space="preserve">pleads </w:t>
      </w:r>
      <w:r w:rsidR="00A72F0B">
        <w:t>four different claims</w:t>
      </w:r>
      <w:r w:rsidR="001F035B">
        <w:t xml:space="preserve"> in which she claims the same damages</w:t>
      </w:r>
      <w:r w:rsidR="00A72F0B">
        <w:t>:</w:t>
      </w:r>
      <w:r w:rsidR="001F035B">
        <w:t xml:space="preserve"> </w:t>
      </w:r>
    </w:p>
    <w:p w14:paraId="395914D3" w14:textId="1F5498E9" w:rsidR="00A72F0B" w:rsidRDefault="001F6FF1" w:rsidP="001F6FF1">
      <w:pPr>
        <w:pStyle w:val="2"/>
        <w:numPr>
          <w:ilvl w:val="0"/>
          <w:numId w:val="0"/>
        </w:numPr>
        <w:tabs>
          <w:tab w:val="left" w:pos="1701"/>
        </w:tabs>
        <w:ind w:left="1701" w:hanging="1134"/>
      </w:pPr>
      <w:r>
        <w:t>1.1</w:t>
      </w:r>
      <w:r>
        <w:tab/>
      </w:r>
      <w:r w:rsidR="00A72F0B">
        <w:t xml:space="preserve">Claim A is a claim for contractual damages; </w:t>
      </w:r>
    </w:p>
    <w:p w14:paraId="53F5A049" w14:textId="154BFDCF" w:rsidR="00A72F0B" w:rsidRDefault="001F6FF1" w:rsidP="001F6FF1">
      <w:pPr>
        <w:pStyle w:val="2"/>
        <w:numPr>
          <w:ilvl w:val="0"/>
          <w:numId w:val="0"/>
        </w:numPr>
        <w:tabs>
          <w:tab w:val="left" w:pos="1701"/>
        </w:tabs>
        <w:ind w:left="1701" w:hanging="1134"/>
      </w:pPr>
      <w:r>
        <w:t>1.2</w:t>
      </w:r>
      <w:r>
        <w:tab/>
      </w:r>
      <w:r w:rsidR="00A72F0B">
        <w:t xml:space="preserve">Claim B seeks compensation in terms of the Protected Disclosures Act, 26 of 2000 (“the PDA”); </w:t>
      </w:r>
    </w:p>
    <w:p w14:paraId="7E291718" w14:textId="18411EEC" w:rsidR="00A72F0B" w:rsidRDefault="001F6FF1" w:rsidP="001F6FF1">
      <w:pPr>
        <w:pStyle w:val="2"/>
        <w:numPr>
          <w:ilvl w:val="0"/>
          <w:numId w:val="0"/>
        </w:numPr>
        <w:tabs>
          <w:tab w:val="left" w:pos="1701"/>
        </w:tabs>
        <w:ind w:left="1701" w:hanging="1134"/>
      </w:pPr>
      <w:r>
        <w:t>1.3</w:t>
      </w:r>
      <w:r>
        <w:tab/>
      </w:r>
      <w:r w:rsidR="00A72F0B">
        <w:t>Claim C</w:t>
      </w:r>
      <w:r w:rsidR="001F035B">
        <w:t>, in the alternative to A,</w:t>
      </w:r>
      <w:r w:rsidR="00A72F0B">
        <w:t xml:space="preserve"> is made in delict. </w:t>
      </w:r>
    </w:p>
    <w:p w14:paraId="691596A2" w14:textId="6E2EE62C" w:rsidR="00A72F0B" w:rsidRDefault="001F6FF1" w:rsidP="001F6FF1">
      <w:pPr>
        <w:pStyle w:val="2"/>
        <w:numPr>
          <w:ilvl w:val="0"/>
          <w:numId w:val="0"/>
        </w:numPr>
        <w:tabs>
          <w:tab w:val="left" w:pos="1701"/>
        </w:tabs>
        <w:ind w:left="1701" w:hanging="1134"/>
      </w:pPr>
      <w:r>
        <w:t>1.4</w:t>
      </w:r>
      <w:r>
        <w:tab/>
      </w:r>
      <w:r w:rsidR="00A72F0B">
        <w:t xml:space="preserve">Claim D is made against the second and third defendants under the Companies Act, relying on alleged breaches of their obligations in terms of section 76(2)(a) of the Companies Act. </w:t>
      </w:r>
    </w:p>
    <w:p w14:paraId="0B209062" w14:textId="53C95782" w:rsidR="00A72F0B" w:rsidRDefault="001F6FF1" w:rsidP="001F6FF1">
      <w:pPr>
        <w:pStyle w:val="1"/>
        <w:numPr>
          <w:ilvl w:val="0"/>
          <w:numId w:val="0"/>
        </w:numPr>
        <w:tabs>
          <w:tab w:val="left" w:pos="567"/>
        </w:tabs>
        <w:ind w:left="567" w:hanging="567"/>
      </w:pPr>
      <w:r>
        <w:t>[2]</w:t>
      </w:r>
      <w:r>
        <w:tab/>
      </w:r>
      <w:r w:rsidR="00A72F0B">
        <w:t xml:space="preserve">The defendants </w:t>
      </w:r>
      <w:r w:rsidR="001F035B">
        <w:t xml:space="preserve">have </w:t>
      </w:r>
      <w:r w:rsidR="00A72F0B">
        <w:t>take</w:t>
      </w:r>
      <w:r w:rsidR="001F035B">
        <w:t>n</w:t>
      </w:r>
      <w:r w:rsidR="00A72F0B">
        <w:t xml:space="preserve"> exception </w:t>
      </w:r>
      <w:r w:rsidR="001F035B">
        <w:t>to</w:t>
      </w:r>
      <w:r w:rsidR="00A72F0B">
        <w:t xml:space="preserve"> each of the four claims on the basis that they lack averments which are necessary to sustain an action. The defendants’ exception does not assert that the pleading is vague and embarrassing. </w:t>
      </w:r>
    </w:p>
    <w:p w14:paraId="363DFE9F" w14:textId="40673E2F" w:rsidR="00A72F0B" w:rsidRDefault="001F6FF1" w:rsidP="001F6FF1">
      <w:pPr>
        <w:pStyle w:val="1"/>
        <w:numPr>
          <w:ilvl w:val="0"/>
          <w:numId w:val="0"/>
        </w:numPr>
        <w:tabs>
          <w:tab w:val="left" w:pos="567"/>
        </w:tabs>
        <w:ind w:left="567" w:hanging="567"/>
      </w:pPr>
      <w:r>
        <w:t>[3]</w:t>
      </w:r>
      <w:bookmarkStart w:id="1" w:name="_GoBack"/>
      <w:bookmarkEnd w:id="1"/>
      <w:r>
        <w:tab/>
      </w:r>
      <w:r w:rsidR="00A72F0B">
        <w:t>The principles applicable to deciding exceptions are well established. The principles relevant to the current matter include –</w:t>
      </w:r>
    </w:p>
    <w:p w14:paraId="3010A219" w14:textId="66E6D431" w:rsidR="00A72F0B" w:rsidRDefault="001F6FF1" w:rsidP="001F6FF1">
      <w:pPr>
        <w:pStyle w:val="2"/>
        <w:numPr>
          <w:ilvl w:val="0"/>
          <w:numId w:val="0"/>
        </w:numPr>
        <w:tabs>
          <w:tab w:val="left" w:pos="1701"/>
        </w:tabs>
        <w:ind w:left="1701" w:hanging="1134"/>
      </w:pPr>
      <w:r>
        <w:t>3.1</w:t>
      </w:r>
      <w:r>
        <w:tab/>
      </w:r>
      <w:r w:rsidR="00A72F0B">
        <w:t>An excipient is obliged to confine his complaint to the stated grounds of his exception.</w:t>
      </w:r>
      <w:r w:rsidR="00A72F0B">
        <w:rPr>
          <w:rStyle w:val="FootnoteReference"/>
        </w:rPr>
        <w:footnoteReference w:id="1"/>
      </w:r>
    </w:p>
    <w:p w14:paraId="396E61BA" w14:textId="7A35395E" w:rsidR="00A72F0B" w:rsidRDefault="001F6FF1" w:rsidP="001F6FF1">
      <w:pPr>
        <w:pStyle w:val="2"/>
        <w:numPr>
          <w:ilvl w:val="0"/>
          <w:numId w:val="0"/>
        </w:numPr>
        <w:tabs>
          <w:tab w:val="left" w:pos="1701"/>
        </w:tabs>
        <w:ind w:left="1701" w:hanging="1134"/>
      </w:pPr>
      <w:r>
        <w:t>3.2</w:t>
      </w:r>
      <w:r>
        <w:tab/>
      </w:r>
      <w:r w:rsidR="00A72F0B">
        <w:t xml:space="preserve">Exceptions provide a useful procedural tool to weed out bad claims at an early stage but they must be dealt with sensibly. An over-technical approach destroys </w:t>
      </w:r>
      <w:r w:rsidR="007C4954">
        <w:t>their</w:t>
      </w:r>
      <w:r w:rsidR="00A72F0B">
        <w:t xml:space="preserve"> utility and must be avoided.</w:t>
      </w:r>
      <w:r w:rsidR="00A72F0B">
        <w:rPr>
          <w:rStyle w:val="FootnoteReference"/>
        </w:rPr>
        <w:footnoteReference w:id="2"/>
      </w:r>
    </w:p>
    <w:p w14:paraId="43577C4E" w14:textId="28D47911" w:rsidR="0067568F" w:rsidRDefault="001F6FF1" w:rsidP="001F6FF1">
      <w:pPr>
        <w:pStyle w:val="2"/>
        <w:numPr>
          <w:ilvl w:val="0"/>
          <w:numId w:val="0"/>
        </w:numPr>
        <w:tabs>
          <w:tab w:val="left" w:pos="1701"/>
        </w:tabs>
        <w:ind w:left="1701" w:hanging="1134"/>
      </w:pPr>
      <w:r>
        <w:lastRenderedPageBreak/>
        <w:t>3.3</w:t>
      </w:r>
      <w:r>
        <w:tab/>
      </w:r>
      <w:r w:rsidR="0067568F">
        <w:t xml:space="preserve">In deciding an exception the </w:t>
      </w:r>
      <w:r w:rsidR="007C4954">
        <w:t>C</w:t>
      </w:r>
      <w:r w:rsidR="0067568F">
        <w:t xml:space="preserve">ourt will accept all allegations of fact made in the particulars of claim as true and will uphold the exception to the pleading only when the excipient has satisfied the </w:t>
      </w:r>
      <w:r w:rsidR="007C4954">
        <w:t>C</w:t>
      </w:r>
      <w:r w:rsidR="0067568F">
        <w:t>ourt that the cause of action or conclusion of law in the pleading cannot be supported on every interpretation that can be put on the facts.</w:t>
      </w:r>
      <w:r w:rsidR="0067568F">
        <w:rPr>
          <w:rStyle w:val="FootnoteReference"/>
        </w:rPr>
        <w:footnoteReference w:id="3"/>
      </w:r>
    </w:p>
    <w:p w14:paraId="2E3010AA" w14:textId="10C6771E" w:rsidR="0067568F" w:rsidRDefault="001F6FF1" w:rsidP="001F6FF1">
      <w:pPr>
        <w:pStyle w:val="1"/>
        <w:numPr>
          <w:ilvl w:val="0"/>
          <w:numId w:val="0"/>
        </w:numPr>
        <w:tabs>
          <w:tab w:val="left" w:pos="567"/>
        </w:tabs>
        <w:ind w:left="567" w:hanging="567"/>
      </w:pPr>
      <w:r>
        <w:t>[4]</w:t>
      </w:r>
      <w:r>
        <w:tab/>
      </w:r>
      <w:r w:rsidR="007C4954">
        <w:t xml:space="preserve">Additional principles </w:t>
      </w:r>
      <w:r w:rsidR="0067568F">
        <w:t>appl</w:t>
      </w:r>
      <w:r w:rsidR="007C4954">
        <w:t>y</w:t>
      </w:r>
      <w:r w:rsidR="0067568F">
        <w:t xml:space="preserve"> </w:t>
      </w:r>
      <w:r w:rsidR="007C4954">
        <w:t xml:space="preserve">when </w:t>
      </w:r>
      <w:r w:rsidR="0067568F">
        <w:t>deal</w:t>
      </w:r>
      <w:r w:rsidR="007C4954">
        <w:t>ing</w:t>
      </w:r>
      <w:r w:rsidR="0067568F">
        <w:t xml:space="preserve"> with pleadings that are vague and embarrassing but, as noted above, the defendants have not raised this as a ground of exception and consequently, they must either succeed or fail on the “no cause of action” grounds. </w:t>
      </w:r>
    </w:p>
    <w:p w14:paraId="4D02E22E" w14:textId="0C677E48" w:rsidR="0067568F" w:rsidRDefault="0067568F" w:rsidP="0067568F">
      <w:pPr>
        <w:pStyle w:val="Heading1"/>
      </w:pPr>
      <w:r>
        <w:t>The claim</w:t>
      </w:r>
    </w:p>
    <w:p w14:paraId="1510A036" w14:textId="3A59595F" w:rsidR="0067568F" w:rsidRDefault="001F6FF1" w:rsidP="001F6FF1">
      <w:pPr>
        <w:pStyle w:val="1"/>
        <w:numPr>
          <w:ilvl w:val="0"/>
          <w:numId w:val="0"/>
        </w:numPr>
        <w:tabs>
          <w:tab w:val="left" w:pos="567"/>
        </w:tabs>
        <w:ind w:left="567" w:hanging="567"/>
      </w:pPr>
      <w:r>
        <w:t>[5]</w:t>
      </w:r>
      <w:r>
        <w:tab/>
      </w:r>
      <w:r w:rsidR="0067568F">
        <w:t xml:space="preserve">The following facts appear from the particulars of claim, </w:t>
      </w:r>
      <w:r w:rsidR="007C4954">
        <w:t xml:space="preserve">giving the document </w:t>
      </w:r>
      <w:r w:rsidR="0067568F">
        <w:t>an interpretation favourable the plaintiff</w:t>
      </w:r>
      <w:r w:rsidR="007C4954">
        <w:t>, as required</w:t>
      </w:r>
      <w:r w:rsidR="0067568F">
        <w:t xml:space="preserve">. </w:t>
      </w:r>
    </w:p>
    <w:p w14:paraId="2FE3AAA7" w14:textId="366ACD79" w:rsidR="0006666A" w:rsidRDefault="001F6FF1" w:rsidP="001F6FF1">
      <w:pPr>
        <w:pStyle w:val="1"/>
        <w:numPr>
          <w:ilvl w:val="0"/>
          <w:numId w:val="0"/>
        </w:numPr>
        <w:tabs>
          <w:tab w:val="left" w:pos="567"/>
        </w:tabs>
        <w:ind w:left="567" w:hanging="567"/>
      </w:pPr>
      <w:r>
        <w:t>[6]</w:t>
      </w:r>
      <w:r>
        <w:tab/>
      </w:r>
      <w:r w:rsidR="0006666A">
        <w:t xml:space="preserve">The plaintiff was employed by the first defendant as its Chief Financial Officer from April 2016 to November 2018. The terms of her employment contract included her entitlement to remuneration (total cost to company package) of R2,000,000 per annum; the provisions of the agreement included a code of conduct policy, a disciplinary procedure policy, a long-term incentive scheme rules policy. The plaintiff was nominated to participate in the long-term incentive scheme rules policy and to receive the financial benefits as a result of her participation. </w:t>
      </w:r>
    </w:p>
    <w:p w14:paraId="1BAEA96F" w14:textId="26842421" w:rsidR="0006666A" w:rsidRPr="00E10C4B" w:rsidRDefault="001F6FF1" w:rsidP="001F6FF1">
      <w:pPr>
        <w:pStyle w:val="1"/>
        <w:numPr>
          <w:ilvl w:val="0"/>
          <w:numId w:val="0"/>
        </w:numPr>
        <w:tabs>
          <w:tab w:val="left" w:pos="567"/>
        </w:tabs>
        <w:ind w:left="567" w:hanging="567"/>
      </w:pPr>
      <w:r w:rsidRPr="00E10C4B">
        <w:t>[7]</w:t>
      </w:r>
      <w:r w:rsidRPr="00E10C4B">
        <w:tab/>
      </w:r>
      <w:r w:rsidR="0006666A">
        <w:t xml:space="preserve">In November 2018, disciplinary proceedings were brought against the plaintiff by the first defendant. The plaintiff was charged with dishonesty and on 14 November 2018, she was found guilty of those charges and was ultimately dismissed. The charges for dishonesty arose from allegations that the plaintiff had </w:t>
      </w:r>
      <w:r w:rsidR="0006666A" w:rsidRPr="00E10C4B">
        <w:t>“doctored an email” alternatively relied on an email which she knew had been manipulated</w:t>
      </w:r>
      <w:r w:rsidR="007C4954">
        <w:t xml:space="preserve"> to gain a benefit for herself</w:t>
      </w:r>
      <w:r w:rsidR="0006666A" w:rsidRPr="00E10C4B">
        <w:t xml:space="preserve">. </w:t>
      </w:r>
    </w:p>
    <w:p w14:paraId="26948087" w14:textId="0F0DFBDE" w:rsidR="0006666A" w:rsidRPr="00E10C4B" w:rsidRDefault="001F6FF1" w:rsidP="001F6FF1">
      <w:pPr>
        <w:pStyle w:val="1"/>
        <w:numPr>
          <w:ilvl w:val="0"/>
          <w:numId w:val="0"/>
        </w:numPr>
        <w:tabs>
          <w:tab w:val="left" w:pos="567"/>
        </w:tabs>
        <w:ind w:left="567" w:hanging="567"/>
      </w:pPr>
      <w:r w:rsidRPr="00E10C4B">
        <w:t>[8]</w:t>
      </w:r>
      <w:r w:rsidRPr="00E10C4B">
        <w:tab/>
      </w:r>
      <w:r w:rsidR="0006666A" w:rsidRPr="00E10C4B">
        <w:t xml:space="preserve">It appears from paragraphs 16 and 17 of the particulars of claim that the plaintiff acknowledges that there was a “doctored email” but she asserts that the email was “doctored” by someone else “without the plaintiff’s knowledge and/or consent and/or coercion”. </w:t>
      </w:r>
    </w:p>
    <w:p w14:paraId="08A29B6D" w14:textId="5308AE27" w:rsidR="007C4954" w:rsidRDefault="001F6FF1" w:rsidP="001F6FF1">
      <w:pPr>
        <w:pStyle w:val="1"/>
        <w:numPr>
          <w:ilvl w:val="0"/>
          <w:numId w:val="0"/>
        </w:numPr>
        <w:tabs>
          <w:tab w:val="left" w:pos="567"/>
        </w:tabs>
        <w:ind w:left="567" w:hanging="567"/>
      </w:pPr>
      <w:r>
        <w:lastRenderedPageBreak/>
        <w:t>[9]</w:t>
      </w:r>
      <w:r>
        <w:tab/>
      </w:r>
      <w:r w:rsidR="0006666A" w:rsidRPr="00E10C4B">
        <w:t>In Claim A, the plaintiff relies on the above facts to assert that</w:t>
      </w:r>
      <w:r w:rsidR="007C4954">
        <w:t>, in bringing the disciplinary proceedings and in dismissing her,</w:t>
      </w:r>
      <w:r w:rsidR="0006666A" w:rsidRPr="00E10C4B">
        <w:t xml:space="preserve"> the first defendant breached </w:t>
      </w:r>
      <w:r w:rsidR="007C4954">
        <w:t>the</w:t>
      </w:r>
      <w:r w:rsidR="0006666A" w:rsidRPr="00E10C4B">
        <w:t xml:space="preserve"> employment </w:t>
      </w:r>
      <w:r w:rsidR="007C4954">
        <w:t>contrac</w:t>
      </w:r>
      <w:r w:rsidR="0006666A" w:rsidRPr="00E10C4B">
        <w:t xml:space="preserve">t, alternatively “intimated by conduct and without lawful excuse, that all or some of the obligations arising from the agreement ... will not be performed”. </w:t>
      </w:r>
    </w:p>
    <w:p w14:paraId="4B08A06D" w14:textId="63E13DB1" w:rsidR="0006666A" w:rsidRPr="00E10C4B" w:rsidRDefault="001F6FF1" w:rsidP="001F6FF1">
      <w:pPr>
        <w:pStyle w:val="1"/>
        <w:numPr>
          <w:ilvl w:val="0"/>
          <w:numId w:val="0"/>
        </w:numPr>
        <w:tabs>
          <w:tab w:val="left" w:pos="567"/>
        </w:tabs>
        <w:ind w:left="567" w:hanging="567"/>
      </w:pPr>
      <w:r w:rsidRPr="00E10C4B">
        <w:t>[10]</w:t>
      </w:r>
      <w:r w:rsidRPr="00E10C4B">
        <w:tab/>
      </w:r>
      <w:r w:rsidR="007C4954" w:rsidRPr="00E10C4B">
        <w:t xml:space="preserve">At the time of her dismissal, she was 41 years old </w:t>
      </w:r>
      <w:r w:rsidR="007C4954">
        <w:t>and t</w:t>
      </w:r>
      <w:r w:rsidR="00774D00" w:rsidRPr="00E10C4B">
        <w:t xml:space="preserve">he plaintiff </w:t>
      </w:r>
      <w:r w:rsidR="007C4954">
        <w:t>plead</w:t>
      </w:r>
      <w:r w:rsidR="00774D00" w:rsidRPr="00E10C4B">
        <w:t xml:space="preserve">s that her employment </w:t>
      </w:r>
      <w:r w:rsidR="007C4954">
        <w:t>contract</w:t>
      </w:r>
      <w:r w:rsidR="00774D00" w:rsidRPr="00E10C4B">
        <w:t xml:space="preserve"> would have continued to apply until she reached the age of 65. </w:t>
      </w:r>
      <w:r w:rsidR="007C4954">
        <w:t>S</w:t>
      </w:r>
      <w:r w:rsidR="00774D00" w:rsidRPr="00E10C4B">
        <w:t>he quantifies her claim at R109,029.897.00, being “</w:t>
      </w:r>
      <w:r w:rsidR="007C4954">
        <w:t>L</w:t>
      </w:r>
      <w:r w:rsidR="00774D00" w:rsidRPr="00E10C4B">
        <w:t>osses relating to performance” calculated from December 2018 to the date of her reaching her 65</w:t>
      </w:r>
      <w:r w:rsidR="00774D00" w:rsidRPr="00E10C4B">
        <w:rPr>
          <w:vertAlign w:val="superscript"/>
        </w:rPr>
        <w:t>th</w:t>
      </w:r>
      <w:r w:rsidR="00774D00" w:rsidRPr="00E10C4B">
        <w:t xml:space="preserve"> birthday, including inflationary increases. In addition, the plaintiff claims R300,000 which she alleges are “</w:t>
      </w:r>
      <w:r w:rsidR="007C4954">
        <w:t>C</w:t>
      </w:r>
      <w:r w:rsidR="00774D00" w:rsidRPr="00E10C4B">
        <w:t xml:space="preserve">onsequential losses caused by the first defendant’s breach” arising from her liquidating an investment property and liquidating her money market investments. </w:t>
      </w:r>
    </w:p>
    <w:p w14:paraId="6CEB28AE" w14:textId="51DB448A" w:rsidR="00774D00" w:rsidRPr="00E10C4B" w:rsidRDefault="001F6FF1" w:rsidP="001F6FF1">
      <w:pPr>
        <w:pStyle w:val="1"/>
        <w:numPr>
          <w:ilvl w:val="0"/>
          <w:numId w:val="0"/>
        </w:numPr>
        <w:tabs>
          <w:tab w:val="left" w:pos="567"/>
        </w:tabs>
        <w:ind w:left="567" w:hanging="567"/>
      </w:pPr>
      <w:r w:rsidRPr="00E10C4B">
        <w:t>[11]</w:t>
      </w:r>
      <w:r w:rsidRPr="00E10C4B">
        <w:tab/>
      </w:r>
      <w:r w:rsidR="00774D00" w:rsidRPr="00E10C4B">
        <w:t>In Claim B, the plaintiff alleges that she made certain disclosures to the first defendant (her employer) which qualify as “protected disclosures” in terms of the PDA. She says that:</w:t>
      </w:r>
    </w:p>
    <w:p w14:paraId="58C5EF16" w14:textId="179BDF89" w:rsidR="00774D00" w:rsidRPr="00E10C4B" w:rsidRDefault="001F6FF1" w:rsidP="001F6FF1">
      <w:pPr>
        <w:pStyle w:val="2"/>
        <w:numPr>
          <w:ilvl w:val="0"/>
          <w:numId w:val="0"/>
        </w:numPr>
        <w:tabs>
          <w:tab w:val="left" w:pos="1701"/>
        </w:tabs>
        <w:ind w:left="1701" w:hanging="1134"/>
      </w:pPr>
      <w:r w:rsidRPr="00E10C4B">
        <w:t>11.1</w:t>
      </w:r>
      <w:r w:rsidRPr="00E10C4B">
        <w:tab/>
      </w:r>
      <w:r w:rsidR="00774D00" w:rsidRPr="00E10C4B">
        <w:t xml:space="preserve">During November </w:t>
      </w:r>
      <w:r w:rsidR="00852916" w:rsidRPr="00E10C4B">
        <w:t xml:space="preserve">2017, she disclosed information to the first defendant’s Chief Executive Officer and/or </w:t>
      </w:r>
      <w:r w:rsidR="007C4954" w:rsidRPr="00E10C4B">
        <w:t xml:space="preserve">audit &amp; risk committee </w:t>
      </w:r>
      <w:r w:rsidR="00852916" w:rsidRPr="00E10C4B">
        <w:t>(including the third defendant) that the first defendant was non-compliant with section 27 of the Employment Equity Act, 45 of 1998 and that the first defendant was remunerating employees based on, alternatively partly based on</w:t>
      </w:r>
      <w:r w:rsidR="007C4954">
        <w:t>,</w:t>
      </w:r>
      <w:r w:rsidR="00852916" w:rsidRPr="00E10C4B">
        <w:t xml:space="preserve"> race and/or sex. </w:t>
      </w:r>
    </w:p>
    <w:p w14:paraId="34B4560D" w14:textId="12F9E391" w:rsidR="00852916" w:rsidRPr="00E10C4B" w:rsidRDefault="001F6FF1" w:rsidP="001F6FF1">
      <w:pPr>
        <w:pStyle w:val="2"/>
        <w:numPr>
          <w:ilvl w:val="0"/>
          <w:numId w:val="0"/>
        </w:numPr>
        <w:tabs>
          <w:tab w:val="left" w:pos="1701"/>
        </w:tabs>
        <w:ind w:left="1701" w:hanging="1134"/>
      </w:pPr>
      <w:r w:rsidRPr="00E10C4B">
        <w:t>11.2</w:t>
      </w:r>
      <w:r w:rsidRPr="00E10C4B">
        <w:tab/>
      </w:r>
      <w:r w:rsidR="007C4954">
        <w:t>D</w:t>
      </w:r>
      <w:r w:rsidR="00852916" w:rsidRPr="00E10C4B">
        <w:t xml:space="preserve">uring March 2017, she disclosed to the Chief Executive Officer and/or Audit &amp; Risk Committee that the first defendant was non-compliant with section 28 of the Value Added Tax Act. </w:t>
      </w:r>
    </w:p>
    <w:p w14:paraId="5496670D" w14:textId="196A02CB" w:rsidR="00852916" w:rsidRPr="00E10C4B" w:rsidRDefault="001F6FF1" w:rsidP="001F6FF1">
      <w:pPr>
        <w:pStyle w:val="2"/>
        <w:numPr>
          <w:ilvl w:val="0"/>
          <w:numId w:val="0"/>
        </w:numPr>
        <w:tabs>
          <w:tab w:val="left" w:pos="1701"/>
        </w:tabs>
        <w:ind w:left="1701" w:hanging="1134"/>
      </w:pPr>
      <w:r w:rsidRPr="00E10C4B">
        <w:t>11.3</w:t>
      </w:r>
      <w:r w:rsidRPr="00E10C4B">
        <w:tab/>
      </w:r>
      <w:r w:rsidR="007C4954">
        <w:t>D</w:t>
      </w:r>
      <w:r w:rsidR="00852916" w:rsidRPr="00E10C4B">
        <w:t>uring July 2018, she disclosed to the first defendant, particularly to the Chairman of the “Chief Executive Officer Appointment Committee” at the first defendant</w:t>
      </w:r>
      <w:r w:rsidR="002C47C9">
        <w:t>,</w:t>
      </w:r>
      <w:r w:rsidR="00852916" w:rsidRPr="00E10C4B">
        <w:t xml:space="preserve"> information relating to the second defendant. At the time, the second defendant was a candidate for appointment as Chief Executive of the first defendant and the information disclosed was that the </w:t>
      </w:r>
      <w:r w:rsidR="002C47C9">
        <w:t>second</w:t>
      </w:r>
      <w:r w:rsidR="00852916" w:rsidRPr="00E10C4B">
        <w:t xml:space="preserve"> defendant had received negative references from his previous employer which would make him unsuitable for the position of Chief Executive Officer at the first defendant. </w:t>
      </w:r>
    </w:p>
    <w:p w14:paraId="5975EAD9" w14:textId="0F8C6E24" w:rsidR="00852916" w:rsidRPr="00E10C4B" w:rsidRDefault="001F6FF1" w:rsidP="001F6FF1">
      <w:pPr>
        <w:pStyle w:val="1"/>
        <w:numPr>
          <w:ilvl w:val="0"/>
          <w:numId w:val="0"/>
        </w:numPr>
        <w:tabs>
          <w:tab w:val="left" w:pos="567"/>
        </w:tabs>
        <w:ind w:left="567" w:hanging="567"/>
      </w:pPr>
      <w:r w:rsidRPr="00E10C4B">
        <w:lastRenderedPageBreak/>
        <w:t>[12]</w:t>
      </w:r>
      <w:r w:rsidRPr="00E10C4B">
        <w:tab/>
      </w:r>
      <w:r w:rsidR="00852916" w:rsidRPr="00E10C4B">
        <w:t xml:space="preserve">The plaintiff contends that the information she disclosed was information “of an exceptionally serious nature” and that the disclosures were reasonably made. </w:t>
      </w:r>
    </w:p>
    <w:p w14:paraId="45B93791" w14:textId="040D5BEE" w:rsidR="00852916" w:rsidRPr="00E10C4B" w:rsidRDefault="001F6FF1" w:rsidP="001F6FF1">
      <w:pPr>
        <w:pStyle w:val="1"/>
        <w:numPr>
          <w:ilvl w:val="0"/>
          <w:numId w:val="0"/>
        </w:numPr>
        <w:tabs>
          <w:tab w:val="left" w:pos="567"/>
        </w:tabs>
        <w:ind w:left="567" w:hanging="567"/>
      </w:pPr>
      <w:r w:rsidRPr="00E10C4B">
        <w:t>[13]</w:t>
      </w:r>
      <w:r w:rsidRPr="00E10C4B">
        <w:tab/>
      </w:r>
      <w:r w:rsidR="00852916" w:rsidRPr="00E10C4B">
        <w:t xml:space="preserve">The second defendant was subsequently appointed as Chief Executive Officer at the first defendant from 1 August 2018. </w:t>
      </w:r>
      <w:r w:rsidR="002C47C9">
        <w:t>T</w:t>
      </w:r>
      <w:r w:rsidR="00852916" w:rsidRPr="00E10C4B">
        <w:t xml:space="preserve">he plaintiff alleges that as a result of having made the protected disclosures, </w:t>
      </w:r>
      <w:r w:rsidR="002C47C9">
        <w:t xml:space="preserve">after his appointment </w:t>
      </w:r>
      <w:r w:rsidR="00852916" w:rsidRPr="00E10C4B">
        <w:t xml:space="preserve">she was subjected to the disciplinary action and subsequent dismissal in November 2018. </w:t>
      </w:r>
    </w:p>
    <w:p w14:paraId="24638457" w14:textId="109A21BF" w:rsidR="00852916" w:rsidRPr="00E10C4B" w:rsidRDefault="001F6FF1" w:rsidP="001F6FF1">
      <w:pPr>
        <w:pStyle w:val="1"/>
        <w:numPr>
          <w:ilvl w:val="0"/>
          <w:numId w:val="0"/>
        </w:numPr>
        <w:tabs>
          <w:tab w:val="left" w:pos="567"/>
        </w:tabs>
        <w:ind w:left="567" w:hanging="567"/>
      </w:pPr>
      <w:r w:rsidRPr="00E10C4B">
        <w:t>[14]</w:t>
      </w:r>
      <w:r w:rsidRPr="00E10C4B">
        <w:tab/>
      </w:r>
      <w:r w:rsidR="00852916" w:rsidRPr="00E10C4B">
        <w:t xml:space="preserve">The plaintiff claims the same quantum of damages (as in Claim A) arising from the alleged breaches in Claim B. </w:t>
      </w:r>
    </w:p>
    <w:p w14:paraId="4733F9AB" w14:textId="248B5720" w:rsidR="00852916" w:rsidRPr="00E10C4B" w:rsidRDefault="001F6FF1" w:rsidP="001F6FF1">
      <w:pPr>
        <w:pStyle w:val="1"/>
        <w:numPr>
          <w:ilvl w:val="0"/>
          <w:numId w:val="0"/>
        </w:numPr>
        <w:tabs>
          <w:tab w:val="left" w:pos="567"/>
        </w:tabs>
        <w:ind w:left="567" w:hanging="567"/>
      </w:pPr>
      <w:r w:rsidRPr="00E10C4B">
        <w:t>[15]</w:t>
      </w:r>
      <w:r w:rsidRPr="00E10C4B">
        <w:tab/>
      </w:r>
      <w:r w:rsidR="00852916" w:rsidRPr="00E10C4B">
        <w:t xml:space="preserve">Claim C is premised on an allegation that the first defendant intentionally repudiated the employment agreement, alternatively intentionally or negligently subjected the plaintiff to </w:t>
      </w:r>
      <w:r w:rsidR="002C47C9">
        <w:t>“</w:t>
      </w:r>
      <w:r w:rsidR="00852916" w:rsidRPr="00E10C4B">
        <w:t>occupational detriment</w:t>
      </w:r>
      <w:r w:rsidR="002C47C9">
        <w:t>”</w:t>
      </w:r>
      <w:r w:rsidR="00852916" w:rsidRPr="00E10C4B">
        <w:t xml:space="preserve"> (as contemplated in the PDA). She alleges that the </w:t>
      </w:r>
      <w:r w:rsidR="002C47C9">
        <w:t xml:space="preserve">first defendant </w:t>
      </w:r>
      <w:r w:rsidR="00852916" w:rsidRPr="00E10C4B">
        <w:t>had a legal duty not to do so and, as a result of its conduct</w:t>
      </w:r>
      <w:r w:rsidR="002C47C9">
        <w:t xml:space="preserve">, it </w:t>
      </w:r>
      <w:r w:rsidR="00852916" w:rsidRPr="00E10C4B">
        <w:t xml:space="preserve">“wrongfully caused the plaintiff damages”. In its formulation, and as acknowledged in the heads of argument, Claim C is formulated as a delictual claim flowing from an alleged repudiation or breach of the employment agreement. </w:t>
      </w:r>
    </w:p>
    <w:p w14:paraId="58AE5D6A" w14:textId="380EA2E1" w:rsidR="00852916" w:rsidRPr="00E10C4B" w:rsidRDefault="001F6FF1" w:rsidP="001F6FF1">
      <w:pPr>
        <w:pStyle w:val="1"/>
        <w:numPr>
          <w:ilvl w:val="0"/>
          <w:numId w:val="0"/>
        </w:numPr>
        <w:tabs>
          <w:tab w:val="left" w:pos="567"/>
        </w:tabs>
        <w:ind w:left="567" w:hanging="567"/>
      </w:pPr>
      <w:r w:rsidRPr="00E10C4B">
        <w:t>[16]</w:t>
      </w:r>
      <w:r w:rsidRPr="00E10C4B">
        <w:tab/>
      </w:r>
      <w:r w:rsidR="00852916" w:rsidRPr="00E10C4B">
        <w:t>Claim D is directed against the second and third defendants who are both directors of the first defendant. The plaintiff claims the same quantum of damages from the second and third defendants which she says flow from their respective breaches of section 76(2)(a) of the Companies Act 71 of 2008</w:t>
      </w:r>
      <w:r w:rsidR="002C47C9">
        <w:t>.</w:t>
      </w:r>
      <w:r w:rsidR="00852916" w:rsidRPr="00E10C4B">
        <w:t xml:space="preserve"> </w:t>
      </w:r>
    </w:p>
    <w:p w14:paraId="24A595E5" w14:textId="362EAF7A" w:rsidR="002C47C9" w:rsidRDefault="001F6FF1" w:rsidP="001F6FF1">
      <w:pPr>
        <w:pStyle w:val="1"/>
        <w:numPr>
          <w:ilvl w:val="0"/>
          <w:numId w:val="0"/>
        </w:numPr>
        <w:tabs>
          <w:tab w:val="left" w:pos="567"/>
        </w:tabs>
        <w:ind w:left="567" w:hanging="567"/>
      </w:pPr>
      <w:r>
        <w:t>[17]</w:t>
      </w:r>
      <w:r>
        <w:tab/>
      </w:r>
      <w:r w:rsidR="00852916" w:rsidRPr="00E10C4B">
        <w:t xml:space="preserve">The </w:t>
      </w:r>
      <w:r w:rsidR="002C47C9">
        <w:t>inference from the allegations made in Claim D i</w:t>
      </w:r>
      <w:r w:rsidR="00852916" w:rsidRPr="00E10C4B">
        <w:t xml:space="preserve">s that the second defendant, reacting to the plaintiff’s disclosure of the negative references from his previous employer, used his position as Chief Executive Officer (from August 2018) to dismiss the plaintiff </w:t>
      </w:r>
      <w:r w:rsidR="002C47C9">
        <w:t>.  The plaintiff characterises this as</w:t>
      </w:r>
      <w:r w:rsidR="00852916" w:rsidRPr="00E10C4B">
        <w:t xml:space="preserve"> conduct in which the second defendant used his position as a director to gain an advantage for himself</w:t>
      </w:r>
      <w:r w:rsidR="002C47C9">
        <w:t>,</w:t>
      </w:r>
      <w:r w:rsidR="00852916" w:rsidRPr="00E10C4B">
        <w:t xml:space="preserve"> which advantage included “</w:t>
      </w:r>
      <w:r w:rsidR="00852916" w:rsidRPr="002C47C9">
        <w:rPr>
          <w:i/>
          <w:iCs w:val="0"/>
        </w:rPr>
        <w:t>less resistance [from the plaintiff] to decisions which would be beneficial to the second defendant</w:t>
      </w:r>
      <w:r w:rsidR="00852916" w:rsidRPr="00E10C4B">
        <w:t xml:space="preserve">.” </w:t>
      </w:r>
    </w:p>
    <w:p w14:paraId="2DAC0421" w14:textId="78A03C1A" w:rsidR="00852916" w:rsidRPr="00AE6629" w:rsidRDefault="001F6FF1" w:rsidP="001F6FF1">
      <w:pPr>
        <w:pStyle w:val="1"/>
        <w:numPr>
          <w:ilvl w:val="0"/>
          <w:numId w:val="0"/>
        </w:numPr>
        <w:tabs>
          <w:tab w:val="left" w:pos="567"/>
        </w:tabs>
        <w:ind w:left="567" w:hanging="567"/>
      </w:pPr>
      <w:r w:rsidRPr="00AE6629">
        <w:t>[18]</w:t>
      </w:r>
      <w:r w:rsidRPr="00AE6629">
        <w:tab/>
      </w:r>
      <w:r w:rsidR="00852916" w:rsidRPr="00E10C4B">
        <w:t xml:space="preserve">The plaintiff makes a </w:t>
      </w:r>
      <w:r w:rsidR="00852916">
        <w:t xml:space="preserve">similar allegation against the third defendant. She alleges that her disclosure of the first defendant’s non-compliance with the Value </w:t>
      </w:r>
      <w:r w:rsidR="00AE6629">
        <w:t xml:space="preserve">Added Tax Act was a matter to which the third defendant reacted, using his position as Chairman of the first defendant’s board to dismiss the plaintiff </w:t>
      </w:r>
      <w:r w:rsidR="00AE6629">
        <w:rPr>
          <w:i/>
          <w:iCs w:val="0"/>
        </w:rPr>
        <w:t xml:space="preserve">“in order to gain an advantage for himself </w:t>
      </w:r>
      <w:r w:rsidR="00AE6629">
        <w:rPr>
          <w:i/>
          <w:iCs w:val="0"/>
        </w:rPr>
        <w:lastRenderedPageBreak/>
        <w:t xml:space="preserve">which advantages included </w:t>
      </w:r>
      <w:r w:rsidR="00AE6629" w:rsidRPr="00AE6629">
        <w:rPr>
          <w:bCs/>
          <w:i/>
          <w:iCs w:val="0"/>
        </w:rPr>
        <w:t>inter alia</w:t>
      </w:r>
      <w:r w:rsidR="00AE6629">
        <w:rPr>
          <w:i/>
          <w:iCs w:val="0"/>
        </w:rPr>
        <w:t xml:space="preserve"> less resistance to decisions which would be </w:t>
      </w:r>
      <w:r w:rsidR="00CB1544">
        <w:rPr>
          <w:i/>
          <w:iCs w:val="0"/>
        </w:rPr>
        <w:t>beneficial</w:t>
      </w:r>
      <w:r w:rsidR="00AE6629">
        <w:rPr>
          <w:i/>
          <w:iCs w:val="0"/>
        </w:rPr>
        <w:t xml:space="preserve"> to the third defendant.”</w:t>
      </w:r>
    </w:p>
    <w:p w14:paraId="0CD89ADC" w14:textId="4D067B85" w:rsidR="00AE6629" w:rsidRDefault="00AE6629" w:rsidP="00AE6629">
      <w:pPr>
        <w:pStyle w:val="Heading1"/>
      </w:pPr>
      <w:r>
        <w:t xml:space="preserve">The exception </w:t>
      </w:r>
    </w:p>
    <w:p w14:paraId="5DC751B9" w14:textId="30C109C3" w:rsidR="00AE6629" w:rsidRDefault="001F6FF1" w:rsidP="001F6FF1">
      <w:pPr>
        <w:pStyle w:val="1"/>
        <w:numPr>
          <w:ilvl w:val="0"/>
          <w:numId w:val="0"/>
        </w:numPr>
        <w:tabs>
          <w:tab w:val="left" w:pos="567"/>
        </w:tabs>
        <w:ind w:left="567" w:hanging="567"/>
      </w:pPr>
      <w:r>
        <w:t>[19]</w:t>
      </w:r>
      <w:r>
        <w:tab/>
      </w:r>
      <w:r w:rsidR="00AE6629">
        <w:t xml:space="preserve">Two grounds of exception are directed at </w:t>
      </w:r>
      <w:r w:rsidR="008E1602" w:rsidRPr="008E1602">
        <w:rPr>
          <w:u w:val="single"/>
        </w:rPr>
        <w:t>Claim A</w:t>
      </w:r>
      <w:r w:rsidR="008E1602">
        <w:t xml:space="preserve">. </w:t>
      </w:r>
    </w:p>
    <w:p w14:paraId="48BDFBE5" w14:textId="61CDD714" w:rsidR="008E1602" w:rsidRPr="00E10C4B" w:rsidRDefault="001F6FF1" w:rsidP="001F6FF1">
      <w:pPr>
        <w:pStyle w:val="1"/>
        <w:numPr>
          <w:ilvl w:val="0"/>
          <w:numId w:val="0"/>
        </w:numPr>
        <w:tabs>
          <w:tab w:val="left" w:pos="567"/>
        </w:tabs>
        <w:ind w:left="567" w:hanging="567"/>
      </w:pPr>
      <w:r w:rsidRPr="00E10C4B">
        <w:t>[20]</w:t>
      </w:r>
      <w:r w:rsidRPr="00E10C4B">
        <w:tab/>
      </w:r>
      <w:r w:rsidR="008E1602">
        <w:t xml:space="preserve">The first alleges that there is no cause of action for the damages claimed. The </w:t>
      </w:r>
      <w:r w:rsidR="002C47C9">
        <w:t xml:space="preserve">exception is directed at the formulation of the damages claimed and not at the elements of the breach relied on. The </w:t>
      </w:r>
      <w:r w:rsidR="008E1602">
        <w:t xml:space="preserve">first defendant contends that the </w:t>
      </w:r>
      <w:r w:rsidR="008E1602">
        <w:rPr>
          <w:i/>
          <w:iCs w:val="0"/>
        </w:rPr>
        <w:t>“limited damages rule”</w:t>
      </w:r>
      <w:r w:rsidR="008E1602">
        <w:t xml:space="preserve"> which derives from common law </w:t>
      </w:r>
      <w:r w:rsidR="008E1602" w:rsidRPr="00E10C4B">
        <w:t>principles of contract precludes the plaintiff from recovering the quantum she claims – calculated as her losses until retirement age. The first defendant asserts that the particulars of claim do not contain averments to sustain the “</w:t>
      </w:r>
      <w:r w:rsidR="008E1602" w:rsidRPr="002C47C9">
        <w:rPr>
          <w:i/>
          <w:iCs w:val="0"/>
        </w:rPr>
        <w:t>legal conclusion pleaded by the plaintiff that she would have been able to remain in the employ of the first defendant until retirement age</w:t>
      </w:r>
      <w:r w:rsidR="008E1602" w:rsidRPr="00E10C4B">
        <w:t>”.</w:t>
      </w:r>
    </w:p>
    <w:p w14:paraId="0D7EE5D6" w14:textId="562197EA" w:rsidR="008E1602" w:rsidRPr="00E10C4B" w:rsidRDefault="001F6FF1" w:rsidP="001F6FF1">
      <w:pPr>
        <w:pStyle w:val="1"/>
        <w:numPr>
          <w:ilvl w:val="0"/>
          <w:numId w:val="0"/>
        </w:numPr>
        <w:tabs>
          <w:tab w:val="left" w:pos="567"/>
        </w:tabs>
        <w:ind w:left="567" w:hanging="567"/>
      </w:pPr>
      <w:r w:rsidRPr="00E10C4B">
        <w:t>[21]</w:t>
      </w:r>
      <w:r w:rsidRPr="00E10C4B">
        <w:tab/>
      </w:r>
      <w:r w:rsidR="008E1602" w:rsidRPr="00E10C4B">
        <w:t xml:space="preserve">The problem with this ground of exception is that it does not strike at the heart of the cause of action in Claim A. Claim A identifies the contract relied upon, it specifies the alleged breaches and it sets out the damages which are alleged to have flowed from the breaches. Whether those damages are sustainable or not, is a matter for evidence. To the extent that the pleading of the damages lacks particularity that may cause the defendant embarrassment, such </w:t>
      </w:r>
      <w:r w:rsidR="002C47C9">
        <w:t xml:space="preserve">ground of </w:t>
      </w:r>
      <w:r w:rsidR="008E1602" w:rsidRPr="00E10C4B">
        <w:t xml:space="preserve">objection </w:t>
      </w:r>
      <w:r w:rsidR="002C47C9">
        <w:t xml:space="preserve">is not recorded in the notice of exception </w:t>
      </w:r>
      <w:r w:rsidR="008E1602" w:rsidRPr="00E10C4B">
        <w:t xml:space="preserve">and consequently, it is not open for the defendant to rely on such embarrassment in these proceedings. </w:t>
      </w:r>
    </w:p>
    <w:p w14:paraId="5F23E96C" w14:textId="3B2D5BA5" w:rsidR="008E1602" w:rsidRPr="00E10C4B" w:rsidRDefault="001F6FF1" w:rsidP="001F6FF1">
      <w:pPr>
        <w:pStyle w:val="1"/>
        <w:numPr>
          <w:ilvl w:val="0"/>
          <w:numId w:val="0"/>
        </w:numPr>
        <w:tabs>
          <w:tab w:val="left" w:pos="567"/>
        </w:tabs>
        <w:ind w:left="567" w:hanging="567"/>
      </w:pPr>
      <w:r w:rsidRPr="00E10C4B">
        <w:t>[22]</w:t>
      </w:r>
      <w:r w:rsidRPr="00E10C4B">
        <w:tab/>
      </w:r>
      <w:r w:rsidR="00577243" w:rsidRPr="00E10C4B">
        <w:t>To the extent that the first defendant requires further particularity as to the basis on which the plaintiff contends she would have been entitled to remain employed until the age of 65, the provisions of Uniform Rule 21</w:t>
      </w:r>
      <w:r w:rsidR="0038279A" w:rsidRPr="00E10C4B">
        <w:t xml:space="preserve"> provide the defendant with the opportunity to request particulars. </w:t>
      </w:r>
      <w:r w:rsidR="002C47C9" w:rsidRPr="00E10C4B">
        <w:t xml:space="preserve">If the defendant is correct </w:t>
      </w:r>
      <w:r w:rsidR="005B35B5">
        <w:t xml:space="preserve">in its interpretation of the employment contract </w:t>
      </w:r>
      <w:r w:rsidR="002C47C9" w:rsidRPr="00E10C4B">
        <w:t xml:space="preserve">and </w:t>
      </w:r>
      <w:r w:rsidR="005B35B5">
        <w:t xml:space="preserve">that </w:t>
      </w:r>
      <w:r w:rsidR="002C47C9" w:rsidRPr="00E10C4B">
        <w:t>the “</w:t>
      </w:r>
      <w:r w:rsidR="002C47C9" w:rsidRPr="002C47C9">
        <w:rPr>
          <w:i/>
          <w:iCs w:val="0"/>
        </w:rPr>
        <w:t>limited damages rule</w:t>
      </w:r>
      <w:r w:rsidR="002C47C9" w:rsidRPr="00E10C4B">
        <w:t xml:space="preserve">” applies as it contends, then the plaintiff will not succeed </w:t>
      </w:r>
      <w:r w:rsidR="002C47C9">
        <w:t xml:space="preserve">at trial </w:t>
      </w:r>
      <w:r w:rsidR="002C47C9" w:rsidRPr="00E10C4B">
        <w:t>in recovering the full extent of her claimed quantum</w:t>
      </w:r>
      <w:r w:rsidR="002C47C9">
        <w:t>, but it cannot strike out the claim on the basis that it does not disclose a cause of action</w:t>
      </w:r>
      <w:r w:rsidR="002C47C9" w:rsidRPr="00E10C4B">
        <w:t>.</w:t>
      </w:r>
    </w:p>
    <w:p w14:paraId="64C70428" w14:textId="3D532E8B" w:rsidR="0038279A" w:rsidRPr="00E10C4B" w:rsidRDefault="001F6FF1" w:rsidP="001F6FF1">
      <w:pPr>
        <w:pStyle w:val="1"/>
        <w:numPr>
          <w:ilvl w:val="0"/>
          <w:numId w:val="0"/>
        </w:numPr>
        <w:tabs>
          <w:tab w:val="left" w:pos="567"/>
        </w:tabs>
        <w:ind w:left="567" w:hanging="567"/>
      </w:pPr>
      <w:r w:rsidRPr="00E10C4B">
        <w:t>[23]</w:t>
      </w:r>
      <w:r w:rsidRPr="00E10C4B">
        <w:tab/>
      </w:r>
      <w:r w:rsidR="0038279A" w:rsidRPr="00E10C4B">
        <w:t xml:space="preserve">In the circumstances, the first ground of exception is dismissed. </w:t>
      </w:r>
    </w:p>
    <w:p w14:paraId="31DAE4A7" w14:textId="5C7CDDBB" w:rsidR="0038279A" w:rsidRPr="00E10C4B" w:rsidRDefault="001F6FF1" w:rsidP="001F6FF1">
      <w:pPr>
        <w:pStyle w:val="1"/>
        <w:numPr>
          <w:ilvl w:val="0"/>
          <w:numId w:val="0"/>
        </w:numPr>
        <w:tabs>
          <w:tab w:val="left" w:pos="567"/>
        </w:tabs>
        <w:ind w:left="567" w:hanging="567"/>
      </w:pPr>
      <w:r w:rsidRPr="00E10C4B">
        <w:lastRenderedPageBreak/>
        <w:t>[24]</w:t>
      </w:r>
      <w:r w:rsidRPr="00E10C4B">
        <w:tab/>
      </w:r>
      <w:r w:rsidR="0038279A" w:rsidRPr="00E10C4B">
        <w:t xml:space="preserve">The second ground of exception, directed at Claim A, asserts that the R300,000 claimed as “consequential losses” constitute special damages and the particulars of claim do not establish a basis to recover such special damages. </w:t>
      </w:r>
    </w:p>
    <w:p w14:paraId="471392CB" w14:textId="376C9AD6" w:rsidR="0038279A" w:rsidRPr="00E10C4B" w:rsidRDefault="001F6FF1" w:rsidP="001F6FF1">
      <w:pPr>
        <w:pStyle w:val="1"/>
        <w:numPr>
          <w:ilvl w:val="0"/>
          <w:numId w:val="0"/>
        </w:numPr>
        <w:tabs>
          <w:tab w:val="left" w:pos="567"/>
        </w:tabs>
        <w:ind w:left="567" w:hanging="567"/>
      </w:pPr>
      <w:r w:rsidRPr="00E10C4B">
        <w:t>[25]</w:t>
      </w:r>
      <w:r w:rsidRPr="00E10C4B">
        <w:tab/>
      </w:r>
      <w:r w:rsidR="0038279A" w:rsidRPr="00E10C4B">
        <w:t xml:space="preserve">I have </w:t>
      </w:r>
      <w:r w:rsidR="005B35B5">
        <w:t xml:space="preserve">found </w:t>
      </w:r>
      <w:r w:rsidR="0038279A" w:rsidRPr="00E10C4B">
        <w:t xml:space="preserve">above that the Claim A does disclose a cause of action. The second ground of exception is merely directed at the manner in which the plaintiff seeks to quantify </w:t>
      </w:r>
      <w:r w:rsidR="005B35B5">
        <w:t xml:space="preserve">the second part of </w:t>
      </w:r>
      <w:r w:rsidR="0038279A" w:rsidRPr="00E10C4B">
        <w:t xml:space="preserve">her damages. While the pleading may lack particularity </w:t>
      </w:r>
      <w:r w:rsidR="005B35B5">
        <w:t xml:space="preserve">of the </w:t>
      </w:r>
      <w:r w:rsidR="0038279A" w:rsidRPr="00E10C4B">
        <w:t xml:space="preserve">special circumstances that would entitle the plaintiff to recover these special damages, this again is merely a defect in the particularity pleaded and does not go to the </w:t>
      </w:r>
      <w:r w:rsidR="005B35B5">
        <w:t xml:space="preserve">existence </w:t>
      </w:r>
      <w:r w:rsidR="0038279A" w:rsidRPr="00E10C4B">
        <w:t xml:space="preserve">of the cause of action. While the pleading is not a picture of clarity, the bones of the cause of action are present and consequently the second ground also falls to be dismissed. </w:t>
      </w:r>
    </w:p>
    <w:p w14:paraId="295D8254" w14:textId="5D8E4EA9" w:rsidR="0038279A" w:rsidRPr="00E10C4B" w:rsidRDefault="001F6FF1" w:rsidP="001F6FF1">
      <w:pPr>
        <w:pStyle w:val="1"/>
        <w:numPr>
          <w:ilvl w:val="0"/>
          <w:numId w:val="0"/>
        </w:numPr>
        <w:tabs>
          <w:tab w:val="left" w:pos="567"/>
        </w:tabs>
        <w:ind w:left="567" w:hanging="567"/>
      </w:pPr>
      <w:r w:rsidRPr="00E10C4B">
        <w:t>[26]</w:t>
      </w:r>
      <w:r w:rsidRPr="00E10C4B">
        <w:tab/>
      </w:r>
      <w:r w:rsidR="0038279A" w:rsidRPr="00E10C4B">
        <w:t xml:space="preserve">The third, fourth and fifth grounds of exception are directed at </w:t>
      </w:r>
      <w:r w:rsidR="0038279A" w:rsidRPr="00E10C4B">
        <w:rPr>
          <w:u w:val="single"/>
        </w:rPr>
        <w:t>Claim B</w:t>
      </w:r>
      <w:r w:rsidR="0038279A" w:rsidRPr="00E10C4B">
        <w:t xml:space="preserve">. </w:t>
      </w:r>
    </w:p>
    <w:p w14:paraId="06B234A6" w14:textId="67C722C8" w:rsidR="0038279A" w:rsidRPr="00E10C4B" w:rsidRDefault="001F6FF1" w:rsidP="001F6FF1">
      <w:pPr>
        <w:pStyle w:val="1"/>
        <w:numPr>
          <w:ilvl w:val="0"/>
          <w:numId w:val="0"/>
        </w:numPr>
        <w:tabs>
          <w:tab w:val="left" w:pos="567"/>
        </w:tabs>
        <w:ind w:left="567" w:hanging="567"/>
      </w:pPr>
      <w:r w:rsidRPr="00E10C4B">
        <w:t>[27]</w:t>
      </w:r>
      <w:r w:rsidRPr="00E10C4B">
        <w:tab/>
      </w:r>
      <w:r w:rsidR="00CB1544" w:rsidRPr="00E10C4B">
        <w:t xml:space="preserve">While I sympathise with the defendant in that the pleading is </w:t>
      </w:r>
      <w:r w:rsidR="005B35B5">
        <w:t>difficult to follow</w:t>
      </w:r>
      <w:r w:rsidR="00CB1544" w:rsidRPr="00E10C4B">
        <w:t xml:space="preserve">, </w:t>
      </w:r>
      <w:r w:rsidR="005B35B5">
        <w:t xml:space="preserve">at exception stage, </w:t>
      </w:r>
      <w:r w:rsidR="00CB1544" w:rsidRPr="00E10C4B">
        <w:t>it is necessary for me to read the pleading in a manner most advantageous for the plaintiff in order to see whether, on such a bene</w:t>
      </w:r>
      <w:r w:rsidR="00CB1544">
        <w:t>v</w:t>
      </w:r>
      <w:r w:rsidR="00CB1544" w:rsidRPr="00E10C4B">
        <w:t xml:space="preserve">olent reading, a cause of action may exist. </w:t>
      </w:r>
      <w:r w:rsidR="0038279A" w:rsidRPr="00E10C4B">
        <w:t xml:space="preserve">Again, I am not asked to establish whether the pleading is vague and embarrassing. </w:t>
      </w:r>
    </w:p>
    <w:p w14:paraId="11643FBF" w14:textId="19A19B15" w:rsidR="005B35B5" w:rsidRDefault="001F6FF1" w:rsidP="001F6FF1">
      <w:pPr>
        <w:pStyle w:val="1"/>
        <w:numPr>
          <w:ilvl w:val="0"/>
          <w:numId w:val="0"/>
        </w:numPr>
        <w:tabs>
          <w:tab w:val="left" w:pos="567"/>
        </w:tabs>
        <w:ind w:left="567" w:hanging="567"/>
      </w:pPr>
      <w:r>
        <w:t>[28]</w:t>
      </w:r>
      <w:r>
        <w:tab/>
      </w:r>
      <w:r w:rsidR="0038279A" w:rsidRPr="00E10C4B">
        <w:t xml:space="preserve">The plaintiff relies on three disclosures. Two of these disclosures allege a failure by the first defendant to have </w:t>
      </w:r>
      <w:r w:rsidR="00CB1544" w:rsidRPr="00E10C4B">
        <w:t>complied</w:t>
      </w:r>
      <w:r w:rsidR="0038279A" w:rsidRPr="00E10C4B">
        <w:t xml:space="preserve"> with legal obligations in terms of legislation – the Employment Equity Act and the Value Added Tax Act. </w:t>
      </w:r>
      <w:r w:rsidR="0038279A" w:rsidRPr="005B35B5">
        <w:rPr>
          <w:i/>
          <w:iCs w:val="0"/>
        </w:rPr>
        <w:t>Prima facie</w:t>
      </w:r>
      <w:r w:rsidR="0038279A" w:rsidRPr="00E10C4B">
        <w:t xml:space="preserve">, these disclosures would fall under </w:t>
      </w:r>
      <w:r w:rsidR="00AA1ED6" w:rsidRPr="00E10C4B">
        <w:t xml:space="preserve">sub-paragraph (b) of the Protected Disclosures Act. Although the pleading does not disclose the actual information that is alleged to have been uncovered </w:t>
      </w:r>
      <w:r w:rsidR="005B35B5">
        <w:t xml:space="preserve">and disclosed </w:t>
      </w:r>
      <w:r w:rsidR="00AA1ED6" w:rsidRPr="00E10C4B">
        <w:t xml:space="preserve">and as a </w:t>
      </w:r>
      <w:r w:rsidR="00CB1544" w:rsidRPr="00E10C4B">
        <w:t>consequence</w:t>
      </w:r>
      <w:r w:rsidR="00AA1ED6" w:rsidRPr="00E10C4B">
        <w:t xml:space="preserve">, the defendant may be embarrassed thereby, the </w:t>
      </w:r>
      <w:r w:rsidR="00CB1544" w:rsidRPr="00E10C4B">
        <w:t>absence</w:t>
      </w:r>
      <w:r w:rsidR="00AA1ED6" w:rsidRPr="00E10C4B">
        <w:t xml:space="preserve"> of such </w:t>
      </w:r>
      <w:r w:rsidR="00CB1544" w:rsidRPr="00E10C4B">
        <w:t>particularity</w:t>
      </w:r>
      <w:r w:rsidR="00AA1ED6" w:rsidRPr="00E10C4B">
        <w:t xml:space="preserve"> does not mean that the claim fails to disclose a </w:t>
      </w:r>
      <w:r w:rsidR="00CB1544" w:rsidRPr="00E10C4B">
        <w:t>cause of</w:t>
      </w:r>
      <w:r w:rsidR="00AA1ED6" w:rsidRPr="00E10C4B">
        <w:t xml:space="preserve"> action. </w:t>
      </w:r>
    </w:p>
    <w:p w14:paraId="207A2DD5" w14:textId="65055BDA" w:rsidR="0038279A" w:rsidRPr="00E10C4B" w:rsidRDefault="001F6FF1" w:rsidP="001F6FF1">
      <w:pPr>
        <w:pStyle w:val="1"/>
        <w:numPr>
          <w:ilvl w:val="0"/>
          <w:numId w:val="0"/>
        </w:numPr>
        <w:tabs>
          <w:tab w:val="left" w:pos="567"/>
        </w:tabs>
        <w:ind w:left="567" w:hanging="567"/>
      </w:pPr>
      <w:r w:rsidRPr="00E10C4B">
        <w:t>[29]</w:t>
      </w:r>
      <w:r w:rsidRPr="00E10C4B">
        <w:tab/>
      </w:r>
      <w:r w:rsidR="00AA1ED6" w:rsidRPr="00E10C4B">
        <w:t>The plaintiff alleges that the non-disclosure of the</w:t>
      </w:r>
      <w:r w:rsidR="005B35B5">
        <w:t xml:space="preserve"> second defendant’s employment </w:t>
      </w:r>
      <w:r w:rsidR="00AA1ED6" w:rsidRPr="00E10C4B">
        <w:t>references may have caused a “miscarriage of justice to occur”. Whilst this seems unlikely, given that the second defendant was appointed notwithstanding the disclosure of these ref</w:t>
      </w:r>
      <w:r w:rsidR="005B35B5">
        <w:t>erence</w:t>
      </w:r>
      <w:r w:rsidR="00AA1ED6" w:rsidRPr="00E10C4B">
        <w:t xml:space="preserve">s, it is not necessary for me to decide the matter at this stage. Once the relevant </w:t>
      </w:r>
      <w:r w:rsidR="00CB1544" w:rsidRPr="00E10C4B">
        <w:t>particularity</w:t>
      </w:r>
      <w:r w:rsidR="00AA1ED6" w:rsidRPr="00E10C4B">
        <w:t xml:space="preserve"> and/or evidence has been presented, a determination of this issue can be made</w:t>
      </w:r>
      <w:r w:rsidR="005B35B5">
        <w:t xml:space="preserve"> by the trial Court</w:t>
      </w:r>
      <w:r w:rsidR="00AA1ED6" w:rsidRPr="00E10C4B">
        <w:t xml:space="preserve">. </w:t>
      </w:r>
      <w:r w:rsidR="005B35B5">
        <w:t xml:space="preserve">As I have found that </w:t>
      </w:r>
      <w:r w:rsidR="005B35B5" w:rsidRPr="00E10C4B">
        <w:t>the alleged legislative breaches</w:t>
      </w:r>
      <w:r w:rsidR="005B35B5">
        <w:t xml:space="preserve"> could qualify as protected disclosures and the loss-causing event (the dismissal) is alleged to </w:t>
      </w:r>
      <w:r w:rsidR="005B35B5">
        <w:lastRenderedPageBreak/>
        <w:t>have flowed from a combination of the three pleaded disclosures</w:t>
      </w:r>
      <w:r w:rsidR="005B35B5" w:rsidRPr="00E10C4B">
        <w:t>,</w:t>
      </w:r>
      <w:r w:rsidR="005B35B5">
        <w:t xml:space="preserve"> the exception to that claim falls to be dismissed.  I</w:t>
      </w:r>
      <w:r w:rsidR="005B35B5" w:rsidRPr="00E10C4B">
        <w:t>t is</w:t>
      </w:r>
      <w:r w:rsidR="00463C95">
        <w:t xml:space="preserve">, </w:t>
      </w:r>
      <w:r w:rsidR="00506A86">
        <w:t>therefore,</w:t>
      </w:r>
      <w:r w:rsidR="00463C95">
        <w:t xml:space="preserve"> </w:t>
      </w:r>
      <w:r w:rsidR="005B35B5" w:rsidRPr="00E10C4B">
        <w:t xml:space="preserve">not necessary for me to </w:t>
      </w:r>
      <w:r w:rsidR="005B35B5">
        <w:t>decide whether</w:t>
      </w:r>
      <w:r w:rsidR="005B35B5" w:rsidRPr="00E10C4B">
        <w:t xml:space="preserve"> the disclosure relat</w:t>
      </w:r>
      <w:r w:rsidR="00463C95">
        <w:t>ing</w:t>
      </w:r>
      <w:r w:rsidR="005B35B5" w:rsidRPr="00E10C4B">
        <w:t xml:space="preserve"> to the second defendant’s employment references</w:t>
      </w:r>
      <w:r w:rsidR="005B35B5">
        <w:t xml:space="preserve"> also falls to be classified as a “protected disclosure” under the PDA.</w:t>
      </w:r>
      <w:r w:rsidR="00463C95">
        <w:t xml:space="preserve">  This can be dealt with by the trial Court.</w:t>
      </w:r>
      <w:r w:rsidR="005B35B5">
        <w:t xml:space="preserve">  </w:t>
      </w:r>
    </w:p>
    <w:p w14:paraId="37E219B5" w14:textId="47AA22C9" w:rsidR="00AA1ED6" w:rsidRDefault="001F6FF1" w:rsidP="001F6FF1">
      <w:pPr>
        <w:pStyle w:val="1"/>
        <w:numPr>
          <w:ilvl w:val="0"/>
          <w:numId w:val="0"/>
        </w:numPr>
        <w:tabs>
          <w:tab w:val="left" w:pos="567"/>
        </w:tabs>
        <w:ind w:left="567" w:hanging="567"/>
      </w:pPr>
      <w:r>
        <w:t>[30]</w:t>
      </w:r>
      <w:r>
        <w:tab/>
      </w:r>
      <w:r w:rsidR="00AA1ED6" w:rsidRPr="00E10C4B">
        <w:t xml:space="preserve">The fourth ground of exception asserts that liability in terms of the PDA is not strict liability and that in the absence of allegations of intention or culpa, Claim B fails to </w:t>
      </w:r>
      <w:r w:rsidR="00AA1ED6">
        <w:t xml:space="preserve">disclose a cause of action. The </w:t>
      </w:r>
      <w:r w:rsidR="00463C95">
        <w:t xml:space="preserve">relevant provisions in the </w:t>
      </w:r>
      <w:r w:rsidR="00AA1ED6">
        <w:t xml:space="preserve">PDA </w:t>
      </w:r>
      <w:r w:rsidR="00463C95">
        <w:t>are recorded</w:t>
      </w:r>
      <w:r w:rsidR="00AA1ED6">
        <w:t xml:space="preserve"> in section</w:t>
      </w:r>
      <w:r w:rsidR="00463C95">
        <w:t>s 3 and</w:t>
      </w:r>
      <w:r w:rsidR="00AA1ED6">
        <w:t xml:space="preserve"> 4 as follows:</w:t>
      </w:r>
    </w:p>
    <w:p w14:paraId="36FA7B30" w14:textId="77777777" w:rsidR="00463C95" w:rsidRPr="00463C95" w:rsidRDefault="00AA1ED6" w:rsidP="00463C95">
      <w:pPr>
        <w:pStyle w:val="Quote"/>
        <w:rPr>
          <w:b/>
          <w:bCs/>
          <w:lang w:val="en-ZA"/>
        </w:rPr>
      </w:pPr>
      <w:r>
        <w:t>“</w:t>
      </w:r>
      <w:hyperlink r:id="rId9" w:tgtFrame="main" w:history="1">
        <w:r w:rsidR="00463C95" w:rsidRPr="00463C95">
          <w:rPr>
            <w:rStyle w:val="Hyperlink"/>
            <w:b/>
            <w:bCs/>
            <w:lang w:val="en-ZA"/>
          </w:rPr>
          <w:t>3</w:t>
        </w:r>
      </w:hyperlink>
      <w:r w:rsidR="00463C95" w:rsidRPr="00463C95">
        <w:rPr>
          <w:b/>
          <w:bCs/>
          <w:lang w:val="en-ZA"/>
        </w:rPr>
        <w:t>  Employee or worker making protected disclosure not to be subjected to occupational detriment</w:t>
      </w:r>
    </w:p>
    <w:p w14:paraId="4254B69B" w14:textId="77777777" w:rsidR="00463C95" w:rsidRPr="00463C95" w:rsidRDefault="00463C95" w:rsidP="00463C95">
      <w:pPr>
        <w:pStyle w:val="Quote"/>
        <w:rPr>
          <w:lang w:val="en-ZA"/>
        </w:rPr>
      </w:pPr>
      <w:r w:rsidRPr="00463C95">
        <w:rPr>
          <w:lang w:val="en-ZA"/>
        </w:rPr>
        <w:t>No </w:t>
      </w:r>
      <w:r w:rsidRPr="00463C95">
        <w:rPr>
          <w:i/>
          <w:lang w:val="en-ZA"/>
        </w:rPr>
        <w:t>employee</w:t>
      </w:r>
      <w:r w:rsidRPr="00463C95">
        <w:rPr>
          <w:lang w:val="en-ZA"/>
        </w:rPr>
        <w:t> or </w:t>
      </w:r>
      <w:r w:rsidRPr="00463C95">
        <w:rPr>
          <w:i/>
          <w:lang w:val="en-ZA"/>
        </w:rPr>
        <w:t>worker</w:t>
      </w:r>
      <w:r w:rsidRPr="00463C95">
        <w:rPr>
          <w:lang w:val="en-ZA"/>
        </w:rPr>
        <w:t> may be subjected to any </w:t>
      </w:r>
      <w:r w:rsidRPr="00463C95">
        <w:rPr>
          <w:i/>
          <w:lang w:val="en-ZA"/>
        </w:rPr>
        <w:t>occupational detriment</w:t>
      </w:r>
      <w:r w:rsidRPr="00463C95">
        <w:rPr>
          <w:lang w:val="en-ZA"/>
        </w:rPr>
        <w:t> by his or her </w:t>
      </w:r>
      <w:r w:rsidRPr="00463C95">
        <w:rPr>
          <w:i/>
          <w:lang w:val="en-ZA"/>
        </w:rPr>
        <w:t>employer</w:t>
      </w:r>
      <w:r w:rsidRPr="00463C95">
        <w:rPr>
          <w:lang w:val="en-ZA"/>
        </w:rPr>
        <w:t> on account, or partly on account, of having made </w:t>
      </w:r>
      <w:r w:rsidRPr="00463C95">
        <w:rPr>
          <w:i/>
          <w:lang w:val="en-ZA"/>
        </w:rPr>
        <w:t>a protected disclosure.</w:t>
      </w:r>
    </w:p>
    <w:p w14:paraId="38DAB752" w14:textId="46EE2DCD" w:rsidR="00463C95" w:rsidRDefault="00463C95" w:rsidP="00AA1ED6">
      <w:pPr>
        <w:pStyle w:val="Quote"/>
      </w:pPr>
    </w:p>
    <w:p w14:paraId="538146A0" w14:textId="43FC15BC" w:rsidR="00AA1ED6" w:rsidRPr="00463C95" w:rsidRDefault="00463C95" w:rsidP="00AA1ED6">
      <w:pPr>
        <w:pStyle w:val="Quote"/>
        <w:rPr>
          <w:b/>
          <w:bCs/>
        </w:rPr>
      </w:pPr>
      <w:r w:rsidRPr="00463C95">
        <w:rPr>
          <w:b/>
          <w:bCs/>
        </w:rPr>
        <w:t xml:space="preserve">4 </w:t>
      </w:r>
      <w:r w:rsidR="00AA1ED6" w:rsidRPr="00463C95">
        <w:rPr>
          <w:b/>
          <w:bCs/>
        </w:rPr>
        <w:t>Remedies</w:t>
      </w:r>
    </w:p>
    <w:p w14:paraId="1653DFF8" w14:textId="01B63F61" w:rsidR="00AA1ED6" w:rsidRDefault="001F6FF1" w:rsidP="001F6FF1">
      <w:pPr>
        <w:pStyle w:val="Quote"/>
        <w:ind w:left="2061" w:hanging="360"/>
      </w:pPr>
      <w:r>
        <w:t>(1)</w:t>
      </w:r>
      <w:r>
        <w:tab/>
      </w:r>
      <w:r w:rsidR="00AA1ED6">
        <w:t xml:space="preserve">Any </w:t>
      </w:r>
      <w:r w:rsidR="00AA1ED6" w:rsidRPr="00463C95">
        <w:rPr>
          <w:i/>
          <w:iCs w:val="0"/>
        </w:rPr>
        <w:t>employee</w:t>
      </w:r>
      <w:r w:rsidR="00AA1ED6">
        <w:t xml:space="preserve"> who has been subjected, is subjected or may be subjected, to an </w:t>
      </w:r>
      <w:r w:rsidR="00AA1ED6" w:rsidRPr="00463C95">
        <w:rPr>
          <w:i/>
          <w:iCs w:val="0"/>
        </w:rPr>
        <w:t>occupational detriment</w:t>
      </w:r>
      <w:r w:rsidR="00AA1ED6">
        <w:t xml:space="preserve"> in breach of s 3, or anyone acting on behalf of an employee who is not able to act in his or her own name, may -</w:t>
      </w:r>
    </w:p>
    <w:p w14:paraId="3BDD5228" w14:textId="61E552CD" w:rsidR="00AA1ED6" w:rsidRDefault="00AA1ED6" w:rsidP="00AA1ED6">
      <w:pPr>
        <w:pStyle w:val="Quote"/>
        <w:ind w:left="2061"/>
      </w:pPr>
      <w:r>
        <w:t xml:space="preserve">(a)  approach any court having jurisdiction ... for appropriate relief; or </w:t>
      </w:r>
    </w:p>
    <w:p w14:paraId="4D88D432" w14:textId="596E6D68" w:rsidR="00AA1ED6" w:rsidRDefault="00AA1ED6" w:rsidP="00AA1ED6">
      <w:pPr>
        <w:pStyle w:val="Quote"/>
        <w:ind w:left="2061"/>
      </w:pPr>
      <w:r>
        <w:t>(b) pursue any other process allowed or prescribed by any law.</w:t>
      </w:r>
    </w:p>
    <w:p w14:paraId="34A128D5" w14:textId="5F15DB53" w:rsidR="00AA1ED6" w:rsidRDefault="00AA1ED6" w:rsidP="00AA1ED6">
      <w:pPr>
        <w:pStyle w:val="Quote"/>
      </w:pPr>
      <w:r>
        <w:t>(1B)</w:t>
      </w:r>
      <w:r>
        <w:tab/>
        <w:t xml:space="preserve">If the court or tribunal ... is satisfied that an </w:t>
      </w:r>
      <w:r w:rsidRPr="00463C95">
        <w:rPr>
          <w:i/>
          <w:iCs w:val="0"/>
        </w:rPr>
        <w:t>employee or worker</w:t>
      </w:r>
      <w:r>
        <w:t xml:space="preserve"> has been subjected to or will be subjected to an </w:t>
      </w:r>
      <w:r w:rsidRPr="00463C95">
        <w:rPr>
          <w:i/>
          <w:iCs w:val="0"/>
        </w:rPr>
        <w:t xml:space="preserve">occupational </w:t>
      </w:r>
      <w:r w:rsidR="00CB1544" w:rsidRPr="00463C95">
        <w:rPr>
          <w:i/>
          <w:iCs w:val="0"/>
        </w:rPr>
        <w:t>detriment</w:t>
      </w:r>
      <w:r>
        <w:t xml:space="preserve"> on account of a protected disclosure, it may make an order that is just and equitable in the circumstances, including –</w:t>
      </w:r>
    </w:p>
    <w:p w14:paraId="2F2BC9B2" w14:textId="1573A511" w:rsidR="00AA1ED6" w:rsidRDefault="00AA1ED6" w:rsidP="00AA1ED6">
      <w:pPr>
        <w:pStyle w:val="Quote"/>
        <w:ind w:left="2160"/>
      </w:pPr>
      <w:r>
        <w:t xml:space="preserve">(a)  payment of compensation by the employer or client, as the case may be, to that </w:t>
      </w:r>
      <w:r w:rsidRPr="00463C95">
        <w:rPr>
          <w:i/>
          <w:iCs w:val="0"/>
        </w:rPr>
        <w:t>employee or worker</w:t>
      </w:r>
      <w:r>
        <w:t xml:space="preserve">; </w:t>
      </w:r>
    </w:p>
    <w:p w14:paraId="06458CBE" w14:textId="5FB17633" w:rsidR="00AA1ED6" w:rsidRDefault="00AA1ED6" w:rsidP="00AA1ED6">
      <w:pPr>
        <w:pStyle w:val="Quote"/>
        <w:ind w:left="2160"/>
      </w:pPr>
      <w:r>
        <w:t xml:space="preserve">(b)  payment by the </w:t>
      </w:r>
      <w:r w:rsidRPr="00463C95">
        <w:rPr>
          <w:i/>
          <w:iCs w:val="0"/>
        </w:rPr>
        <w:t>employer</w:t>
      </w:r>
      <w:r>
        <w:t xml:space="preserve"> or client, as the case may be, of</w:t>
      </w:r>
      <w:r w:rsidR="00B03DA2">
        <w:t xml:space="preserve"> actual damages suffered by the </w:t>
      </w:r>
      <w:r w:rsidR="00B03DA2" w:rsidRPr="00463C95">
        <w:rPr>
          <w:i/>
          <w:iCs w:val="0"/>
        </w:rPr>
        <w:t>employee or worker</w:t>
      </w:r>
      <w:r w:rsidR="00B03DA2">
        <w:t xml:space="preserve">; or </w:t>
      </w:r>
    </w:p>
    <w:p w14:paraId="30466AB2" w14:textId="7E027764" w:rsidR="00B03DA2" w:rsidRDefault="00B03DA2" w:rsidP="00AA1ED6">
      <w:pPr>
        <w:pStyle w:val="Quote"/>
        <w:ind w:left="2160"/>
      </w:pPr>
      <w:r>
        <w:t xml:space="preserve">(c) an order directing the </w:t>
      </w:r>
      <w:r w:rsidRPr="00463C95">
        <w:rPr>
          <w:i/>
          <w:iCs w:val="0"/>
        </w:rPr>
        <w:t>employer</w:t>
      </w:r>
      <w:r>
        <w:t xml:space="preserve"> or client, as the case may be, to take steps to remedy the occupational detriment.”</w:t>
      </w:r>
    </w:p>
    <w:p w14:paraId="254A9BEB" w14:textId="3FC19D24" w:rsidR="00B03DA2" w:rsidRDefault="001F6FF1" w:rsidP="001F6FF1">
      <w:pPr>
        <w:pStyle w:val="1"/>
        <w:numPr>
          <w:ilvl w:val="0"/>
          <w:numId w:val="0"/>
        </w:numPr>
        <w:tabs>
          <w:tab w:val="left" w:pos="567"/>
        </w:tabs>
        <w:ind w:left="567" w:hanging="567"/>
      </w:pPr>
      <w:r>
        <w:lastRenderedPageBreak/>
        <w:t>[31]</w:t>
      </w:r>
      <w:r>
        <w:tab/>
      </w:r>
      <w:r w:rsidR="00B03DA2">
        <w:t>The term “</w:t>
      </w:r>
      <w:r w:rsidR="00B03DA2" w:rsidRPr="00463C95">
        <w:rPr>
          <w:i/>
          <w:iCs w:val="0"/>
        </w:rPr>
        <w:t>occupational detriment</w:t>
      </w:r>
      <w:r w:rsidR="00B03DA2">
        <w:t>” is defined in the PDA in relation to an employee</w:t>
      </w:r>
      <w:r w:rsidR="00463C95">
        <w:t xml:space="preserve"> and</w:t>
      </w:r>
      <w:r w:rsidR="00B03DA2">
        <w:t xml:space="preserve"> </w:t>
      </w:r>
      <w:r w:rsidR="00463C95">
        <w:t>includes</w:t>
      </w:r>
      <w:r w:rsidR="00B03DA2">
        <w:t>:</w:t>
      </w:r>
    </w:p>
    <w:p w14:paraId="23E73E7E" w14:textId="1C9E6A0C" w:rsidR="00B03DA2" w:rsidRDefault="00B03DA2" w:rsidP="00B03DA2">
      <w:pPr>
        <w:pStyle w:val="Quote"/>
      </w:pPr>
      <w:r>
        <w:t xml:space="preserve">“... (a)  being subjected to any disciplinary action; </w:t>
      </w:r>
    </w:p>
    <w:p w14:paraId="31B6C6E4" w14:textId="078714A2" w:rsidR="00B03DA2" w:rsidRDefault="00B03DA2" w:rsidP="00B03DA2">
      <w:pPr>
        <w:pStyle w:val="Quote"/>
      </w:pPr>
      <w:r>
        <w:t>(b) being dismissed, suspended, demoted, harassed or intimidated ...”</w:t>
      </w:r>
    </w:p>
    <w:p w14:paraId="02D31590" w14:textId="1B73AD07" w:rsidR="00B03DA2" w:rsidRDefault="001F6FF1" w:rsidP="001F6FF1">
      <w:pPr>
        <w:pStyle w:val="1"/>
        <w:numPr>
          <w:ilvl w:val="0"/>
          <w:numId w:val="0"/>
        </w:numPr>
        <w:tabs>
          <w:tab w:val="left" w:pos="567"/>
        </w:tabs>
        <w:ind w:left="567" w:hanging="567"/>
      </w:pPr>
      <w:r>
        <w:t>[32]</w:t>
      </w:r>
      <w:r>
        <w:tab/>
      </w:r>
      <w:r w:rsidR="00B03DA2">
        <w:t xml:space="preserve">As appears from these statutory provisions, there is no </w:t>
      </w:r>
      <w:r w:rsidR="00463C95">
        <w:t xml:space="preserve">express </w:t>
      </w:r>
      <w:r w:rsidR="00B03DA2">
        <w:t xml:space="preserve">requirement for a complainant to allege intention or fault. </w:t>
      </w:r>
      <w:r w:rsidR="00463C95">
        <w:t>However, in my view, the debate is an unnecessary one.  W</w:t>
      </w:r>
      <w:r w:rsidR="00B03DA2">
        <w:t>here a</w:t>
      </w:r>
      <w:r w:rsidR="00463C95">
        <w:t>n employer</w:t>
      </w:r>
      <w:r w:rsidR="00B03DA2">
        <w:t xml:space="preserve"> has subjected an employee to disciplinary action</w:t>
      </w:r>
      <w:r w:rsidR="00463C95">
        <w:t xml:space="preserve"> or has dismissed the employee</w:t>
      </w:r>
      <w:r w:rsidR="00B03DA2">
        <w:t>, such conduct is necessarily intentional conduct</w:t>
      </w:r>
      <w:r w:rsidR="00463C95">
        <w:t xml:space="preserve"> - the employer intended to dismiss the employee and did so.  </w:t>
      </w:r>
      <w:r w:rsidR="00B03DA2">
        <w:t xml:space="preserve">Consequently, if the plaintiff can prove that the disciplinary action and/or dismissal </w:t>
      </w:r>
      <w:r w:rsidR="00463C95">
        <w:t xml:space="preserve">took place and it </w:t>
      </w:r>
      <w:r w:rsidR="00B03DA2">
        <w:t xml:space="preserve">was the consequence of her having made a protected disclosure (as contemplated in sections 3 and 4 of the PDA), then she is entitled to the remedies in section 4. </w:t>
      </w:r>
    </w:p>
    <w:p w14:paraId="4F63720D" w14:textId="06E50814" w:rsidR="00B03DA2" w:rsidRDefault="001F6FF1" w:rsidP="001F6FF1">
      <w:pPr>
        <w:pStyle w:val="1"/>
        <w:numPr>
          <w:ilvl w:val="0"/>
          <w:numId w:val="0"/>
        </w:numPr>
        <w:tabs>
          <w:tab w:val="left" w:pos="567"/>
        </w:tabs>
        <w:ind w:left="567" w:hanging="567"/>
      </w:pPr>
      <w:r>
        <w:t>[33]</w:t>
      </w:r>
      <w:r>
        <w:tab/>
      </w:r>
      <w:r w:rsidR="00364234">
        <w:t xml:space="preserve">Those remedies include “just and equitable” compensation or damages and will be quantified by the court after hearing the relevant evidence (if a breach is established). </w:t>
      </w:r>
    </w:p>
    <w:p w14:paraId="1FA4699C" w14:textId="2094C8B8" w:rsidR="00364234" w:rsidRDefault="001F6FF1" w:rsidP="001F6FF1">
      <w:pPr>
        <w:pStyle w:val="1"/>
        <w:numPr>
          <w:ilvl w:val="0"/>
          <w:numId w:val="0"/>
        </w:numPr>
        <w:tabs>
          <w:tab w:val="left" w:pos="567"/>
        </w:tabs>
        <w:ind w:left="567" w:hanging="567"/>
      </w:pPr>
      <w:r>
        <w:t>[34]</w:t>
      </w:r>
      <w:r>
        <w:tab/>
      </w:r>
      <w:r w:rsidR="00364234">
        <w:t xml:space="preserve">In his heads of argument, the defendants counsel contended that the particulars of claim </w:t>
      </w:r>
      <w:r w:rsidR="00364234" w:rsidRPr="00E10C4B">
        <w:t>are defective because the plaintiff was not permitted to plead a “legal conclusion without alleging the material facts which, if proven, would warrant that conclusion”.</w:t>
      </w:r>
      <w:r w:rsidR="00364234" w:rsidRPr="00E10C4B">
        <w:rPr>
          <w:rStyle w:val="FootnoteReference"/>
        </w:rPr>
        <w:footnoteReference w:id="4"/>
      </w:r>
      <w:r w:rsidR="00266E62" w:rsidRPr="00E10C4B">
        <w:t xml:space="preserve"> In my view, while the plaintiff has not provided much </w:t>
      </w:r>
      <w:r w:rsidR="00CB1544" w:rsidRPr="00E10C4B">
        <w:t>particularity</w:t>
      </w:r>
      <w:r w:rsidR="00266E62" w:rsidRPr="00E10C4B">
        <w:t xml:space="preserve">, she has met the low </w:t>
      </w:r>
      <w:r w:rsidR="00266E62">
        <w:t xml:space="preserve">threshold required to plead a cause of action. Her ability to recover at trial will depend on the particulars of her claim and the evidence she is able to present. In argument, I was pointed to </w:t>
      </w:r>
      <w:r w:rsidR="00994AA8">
        <w:t xml:space="preserve">an example of where these provisions have been successfully invoked,  In </w:t>
      </w:r>
      <w:r w:rsidR="00266E62">
        <w:t xml:space="preserve">the decision in </w:t>
      </w:r>
      <w:r w:rsidR="00266E62">
        <w:rPr>
          <w:i/>
          <w:iCs w:val="0"/>
        </w:rPr>
        <w:t>Chowan</w:t>
      </w:r>
      <w:r w:rsidR="00266E62">
        <w:rPr>
          <w:rStyle w:val="FootnoteReference"/>
          <w:i/>
          <w:iCs w:val="0"/>
        </w:rPr>
        <w:footnoteReference w:id="5"/>
      </w:r>
      <w:r w:rsidR="00994AA8">
        <w:rPr>
          <w:i/>
          <w:iCs w:val="0"/>
        </w:rPr>
        <w:t>,</w:t>
      </w:r>
      <w:r w:rsidR="00266E62">
        <w:t xml:space="preserve"> this </w:t>
      </w:r>
      <w:r w:rsidR="00994AA8">
        <w:t>C</w:t>
      </w:r>
      <w:r w:rsidR="00266E62">
        <w:t xml:space="preserve">ourt </w:t>
      </w:r>
      <w:r w:rsidR="00994AA8">
        <w:t>upheld</w:t>
      </w:r>
      <w:r w:rsidR="00266E62">
        <w:t xml:space="preserve"> the plaintiff</w:t>
      </w:r>
      <w:r w:rsidR="00994AA8">
        <w:t>’s</w:t>
      </w:r>
      <w:r w:rsidR="00266E62">
        <w:t xml:space="preserve"> </w:t>
      </w:r>
      <w:r w:rsidR="00994AA8">
        <w:t>claim and awarded</w:t>
      </w:r>
      <w:r w:rsidR="00266E62">
        <w:t xml:space="preserve"> damages flowing from a breach of the PDA. </w:t>
      </w:r>
    </w:p>
    <w:p w14:paraId="504F4258" w14:textId="10F1A006" w:rsidR="00266E62" w:rsidRDefault="001F6FF1" w:rsidP="001F6FF1">
      <w:pPr>
        <w:pStyle w:val="1"/>
        <w:numPr>
          <w:ilvl w:val="0"/>
          <w:numId w:val="0"/>
        </w:numPr>
        <w:tabs>
          <w:tab w:val="left" w:pos="567"/>
        </w:tabs>
        <w:ind w:left="567" w:hanging="567"/>
      </w:pPr>
      <w:r>
        <w:t>[35]</w:t>
      </w:r>
      <w:r>
        <w:tab/>
      </w:r>
      <w:r w:rsidR="00266E62">
        <w:t xml:space="preserve">In the circumstances, the fourth and fifth grounds of exception are dismissed. </w:t>
      </w:r>
    </w:p>
    <w:p w14:paraId="777BEA1D" w14:textId="003F216A" w:rsidR="00266E62" w:rsidRDefault="001F6FF1" w:rsidP="001F6FF1">
      <w:pPr>
        <w:pStyle w:val="1"/>
        <w:numPr>
          <w:ilvl w:val="0"/>
          <w:numId w:val="0"/>
        </w:numPr>
        <w:tabs>
          <w:tab w:val="left" w:pos="567"/>
        </w:tabs>
        <w:ind w:left="567" w:hanging="567"/>
      </w:pPr>
      <w:r>
        <w:t>[36]</w:t>
      </w:r>
      <w:r>
        <w:tab/>
      </w:r>
      <w:r w:rsidR="00266E62" w:rsidRPr="00994AA8">
        <w:rPr>
          <w:u w:val="single"/>
        </w:rPr>
        <w:t>Claim C</w:t>
      </w:r>
      <w:r w:rsidR="00266E62">
        <w:t xml:space="preserve"> relies squarely on the first defendant’s conduct in allegedly repudiating the employment </w:t>
      </w:r>
      <w:r w:rsidR="00994AA8">
        <w:t>contract</w:t>
      </w:r>
      <w:r w:rsidR="00266E62">
        <w:t xml:space="preserve"> and/or subjecting the plaintiff to an occupational </w:t>
      </w:r>
      <w:r w:rsidR="00CB1544">
        <w:t>detriment</w:t>
      </w:r>
      <w:r w:rsidR="00266E62">
        <w:t>. This claim</w:t>
      </w:r>
      <w:r w:rsidR="00E10C4B">
        <w:t xml:space="preserve"> </w:t>
      </w:r>
      <w:r w:rsidR="00266E62">
        <w:t xml:space="preserve">is made separately from Claims A and B and pleaded on the basis that there exists a delictual “legal duty” separate from the contractual obligation relied upon in Claim A </w:t>
      </w:r>
      <w:r w:rsidR="00266E62">
        <w:lastRenderedPageBreak/>
        <w:t xml:space="preserve">and the statutory obligation relied upon in Claim B. The claim is for pure economic loss allegedly arising from a breach of this unarticulated duty. </w:t>
      </w:r>
    </w:p>
    <w:p w14:paraId="6F94312F" w14:textId="5D96E0E9" w:rsidR="00D16242" w:rsidRDefault="001F6FF1" w:rsidP="001F6FF1">
      <w:pPr>
        <w:pStyle w:val="1"/>
        <w:numPr>
          <w:ilvl w:val="0"/>
          <w:numId w:val="0"/>
        </w:numPr>
        <w:tabs>
          <w:tab w:val="left" w:pos="567"/>
        </w:tabs>
        <w:ind w:left="567" w:hanging="567"/>
      </w:pPr>
      <w:r>
        <w:t>[37]</w:t>
      </w:r>
      <w:r>
        <w:tab/>
      </w:r>
      <w:r w:rsidR="00266E62">
        <w:t>I agree with the defendants</w:t>
      </w:r>
      <w:r w:rsidR="00D81E15">
        <w:t>’</w:t>
      </w:r>
      <w:r w:rsidR="00266E62">
        <w:t xml:space="preserve"> submission that Claim C does not disclose a cause of action. If the plaintiff is not successful in her contractual Claim A, she would have failed to have proved the alleged repudiation or breach which is alleged to arise from the disciplinary proceedings instituted against her. </w:t>
      </w:r>
    </w:p>
    <w:p w14:paraId="3A62CECE" w14:textId="3A294DB5" w:rsidR="00D16242" w:rsidRDefault="001F6FF1" w:rsidP="001F6FF1">
      <w:pPr>
        <w:pStyle w:val="1"/>
        <w:numPr>
          <w:ilvl w:val="0"/>
          <w:numId w:val="0"/>
        </w:numPr>
        <w:tabs>
          <w:tab w:val="left" w:pos="567"/>
        </w:tabs>
        <w:ind w:left="567" w:hanging="567"/>
      </w:pPr>
      <w:r>
        <w:t>[38]</w:t>
      </w:r>
      <w:r>
        <w:tab/>
      </w:r>
      <w:r w:rsidR="00D16242" w:rsidRPr="00D16242">
        <w:rPr>
          <w:i/>
          <w:iCs w:val="0"/>
        </w:rPr>
        <w:t>Lillicrap</w:t>
      </w:r>
      <w:r w:rsidR="00D16242">
        <w:rPr>
          <w:rStyle w:val="FootnoteReference"/>
        </w:rPr>
        <w:footnoteReference w:id="6"/>
      </w:r>
      <w:r w:rsidR="00D16242">
        <w:t xml:space="preserve">  decided that no claim is maintainable in delict where the  negligence relied on consists in the breach of a term in a contract.</w:t>
      </w:r>
    </w:p>
    <w:p w14:paraId="7BA480CF" w14:textId="290BA18F" w:rsidR="00D16242" w:rsidRDefault="00D16242" w:rsidP="00D16242">
      <w:pPr>
        <w:pStyle w:val="Quote"/>
      </w:pPr>
      <w:r>
        <w:t>“In applying the test of reasonableness to the facts of the present case, the first consideration to be borne in mind is that the respondent does  not contend that the appellant would have been under a duty to the respondent to exercise diligence if no contract had been concluded requiring it to perform professional services.</w:t>
      </w:r>
    </w:p>
    <w:p w14:paraId="70EE8C71" w14:textId="179DBA2A" w:rsidR="00D16242" w:rsidRDefault="00D16242" w:rsidP="00D16242">
      <w:pPr>
        <w:pStyle w:val="Quote"/>
      </w:pPr>
      <w:r>
        <w:t>.....</w:t>
      </w:r>
    </w:p>
    <w:p w14:paraId="7B1C0979" w14:textId="16869094" w:rsidR="00D16242" w:rsidRDefault="00D16242" w:rsidP="00D16242">
      <w:pPr>
        <w:pStyle w:val="Quote"/>
      </w:pPr>
      <w:r>
        <w:t xml:space="preserve">   The only infringement of which the respondent complains is the infringement of the appellant's contractual duty to perform specific professional work with due diligence; and the damages which the respondent claims, are those which would place it in the position it would have occupied if the contract had been properly performed. In determining the present appeal we accordingly have to decide whether the infringement of this duty is a wrongful act for purposes of Aquilian  liability. “</w:t>
      </w:r>
    </w:p>
    <w:p w14:paraId="1BF3CB23" w14:textId="6E3D2109" w:rsidR="00D16242" w:rsidRDefault="001F6FF1" w:rsidP="001F6FF1">
      <w:pPr>
        <w:pStyle w:val="1"/>
        <w:numPr>
          <w:ilvl w:val="0"/>
          <w:numId w:val="0"/>
        </w:numPr>
        <w:tabs>
          <w:tab w:val="left" w:pos="567"/>
        </w:tabs>
        <w:ind w:left="567" w:hanging="567"/>
      </w:pPr>
      <w:r>
        <w:t>[39]</w:t>
      </w:r>
      <w:r>
        <w:tab/>
      </w:r>
      <w:r w:rsidR="00D16242">
        <w:t>The Court found that such conduct was not wrongful for purposes of Aquilian liability.</w:t>
      </w:r>
    </w:p>
    <w:p w14:paraId="1B8A8288" w14:textId="4E2EA357" w:rsidR="00D81E15" w:rsidRDefault="001F6FF1" w:rsidP="001F6FF1">
      <w:pPr>
        <w:pStyle w:val="1"/>
        <w:numPr>
          <w:ilvl w:val="0"/>
          <w:numId w:val="0"/>
        </w:numPr>
        <w:tabs>
          <w:tab w:val="left" w:pos="567"/>
        </w:tabs>
        <w:ind w:left="567" w:hanging="567"/>
      </w:pPr>
      <w:r>
        <w:t>[40]</w:t>
      </w:r>
      <w:r>
        <w:tab/>
      </w:r>
      <w:r w:rsidR="00266E62">
        <w:t>The</w:t>
      </w:r>
      <w:r w:rsidR="00D16242">
        <w:t xml:space="preserve"> plaintiff in the current matter does not plead allegations to establish</w:t>
      </w:r>
      <w:r w:rsidR="00266E62">
        <w:t xml:space="preserve"> </w:t>
      </w:r>
      <w:r w:rsidR="00D16242">
        <w:t xml:space="preserve">a </w:t>
      </w:r>
      <w:r w:rsidR="00266E62">
        <w:t>separate legal duty</w:t>
      </w:r>
      <w:r w:rsidR="00D16242">
        <w:t xml:space="preserve">, </w:t>
      </w:r>
      <w:r w:rsidR="00266E62">
        <w:t xml:space="preserve">actionable in delict, that exists independently of the </w:t>
      </w:r>
      <w:r w:rsidR="00CB1544">
        <w:t>contractual</w:t>
      </w:r>
      <w:r w:rsidR="00266E62">
        <w:t xml:space="preserve"> and statutory obligations pleaded in Claims A and B</w:t>
      </w:r>
      <w:r w:rsidR="00D16242">
        <w:t>.</w:t>
      </w:r>
      <w:r w:rsidR="00266E62">
        <w:t xml:space="preserve"> </w:t>
      </w:r>
      <w:r w:rsidR="00D16242">
        <w:t xml:space="preserve">  </w:t>
      </w:r>
      <w:r w:rsidR="00D81E15">
        <w:t xml:space="preserve">Consequently, I uphold the sixth ground of exception and find that Claim C does not disclose a cause of action. </w:t>
      </w:r>
    </w:p>
    <w:p w14:paraId="0EE8A14E" w14:textId="7CBBDD88" w:rsidR="002C47C9" w:rsidRPr="00E10C4B" w:rsidRDefault="001F6FF1" w:rsidP="001F6FF1">
      <w:pPr>
        <w:pStyle w:val="1"/>
        <w:numPr>
          <w:ilvl w:val="0"/>
          <w:numId w:val="0"/>
        </w:numPr>
        <w:tabs>
          <w:tab w:val="left" w:pos="567"/>
        </w:tabs>
        <w:ind w:left="567" w:hanging="567"/>
      </w:pPr>
      <w:r w:rsidRPr="00E10C4B">
        <w:t>[41]</w:t>
      </w:r>
      <w:r w:rsidRPr="00E10C4B">
        <w:tab/>
      </w:r>
      <w:r w:rsidR="00D81E15" w:rsidRPr="00D16242">
        <w:rPr>
          <w:u w:val="single"/>
        </w:rPr>
        <w:t>Claim D</w:t>
      </w:r>
      <w:r w:rsidR="00D81E15">
        <w:t xml:space="preserve"> relies on section 76(2)(a) </w:t>
      </w:r>
      <w:r w:rsidR="00E4413A">
        <w:t xml:space="preserve">read together with section 218(2) </w:t>
      </w:r>
      <w:r w:rsidR="00D81E15">
        <w:t>of the Companies Act</w:t>
      </w:r>
      <w:r w:rsidR="00E4413A">
        <w:t xml:space="preserve">.  Section 76(2)(a) </w:t>
      </w:r>
      <w:r w:rsidR="002C47C9" w:rsidRPr="00E10C4B">
        <w:t>provide</w:t>
      </w:r>
      <w:r w:rsidR="00E4413A">
        <w:t>s (in relevant part)</w:t>
      </w:r>
      <w:r w:rsidR="002C47C9" w:rsidRPr="00E10C4B">
        <w:t>:</w:t>
      </w:r>
    </w:p>
    <w:p w14:paraId="0D80E4B6" w14:textId="52E1FD23" w:rsidR="002C47C9" w:rsidRPr="00E10C4B" w:rsidRDefault="002C47C9" w:rsidP="002C47C9">
      <w:pPr>
        <w:pStyle w:val="Quote"/>
      </w:pPr>
      <w:r w:rsidRPr="00E10C4B">
        <w:t>“</w:t>
      </w:r>
      <w:r w:rsidR="00E4413A">
        <w:t xml:space="preserve">76 (2) </w:t>
      </w:r>
      <w:r w:rsidRPr="00E10C4B">
        <w:t xml:space="preserve">A director of a company must – </w:t>
      </w:r>
    </w:p>
    <w:p w14:paraId="24D2D683" w14:textId="77777777" w:rsidR="002C47C9" w:rsidRPr="00E10C4B" w:rsidRDefault="002C47C9" w:rsidP="002C47C9">
      <w:pPr>
        <w:pStyle w:val="Quote"/>
      </w:pPr>
      <w:r w:rsidRPr="00E10C4B">
        <w:lastRenderedPageBreak/>
        <w:t xml:space="preserve">(a) not use the position of director or any information obtained while acting in a capacity of a director - </w:t>
      </w:r>
    </w:p>
    <w:p w14:paraId="477C2280" w14:textId="77777777" w:rsidR="002C47C9" w:rsidRPr="00E10C4B" w:rsidRDefault="002C47C9" w:rsidP="002C47C9">
      <w:pPr>
        <w:pStyle w:val="Quote"/>
        <w:ind w:left="2160"/>
      </w:pPr>
      <w:r w:rsidRPr="00E10C4B">
        <w:t xml:space="preserve">(i) to gain an advantage for the director, or for another person other than the company or a wholly owned subsidiary of the company; or </w:t>
      </w:r>
    </w:p>
    <w:p w14:paraId="00446A36" w14:textId="77777777" w:rsidR="002C47C9" w:rsidRPr="00E10C4B" w:rsidRDefault="002C47C9" w:rsidP="002C47C9">
      <w:pPr>
        <w:pStyle w:val="Quote"/>
        <w:ind w:left="2160"/>
      </w:pPr>
      <w:r w:rsidRPr="00E10C4B">
        <w:t>(ii) to knowingly cause harm to the company or a subsidiary of a company.”</w:t>
      </w:r>
    </w:p>
    <w:p w14:paraId="53B311F4" w14:textId="6B3AF095" w:rsidR="00D81E15" w:rsidRDefault="00E4413A" w:rsidP="002C47C9">
      <w:pPr>
        <w:pStyle w:val="1"/>
        <w:numPr>
          <w:ilvl w:val="0"/>
          <w:numId w:val="0"/>
        </w:numPr>
        <w:ind w:left="567"/>
      </w:pPr>
      <w:r>
        <w:t>Section 218(2) provides</w:t>
      </w:r>
      <w:r w:rsidR="00506A86">
        <w:t>:</w:t>
      </w:r>
    </w:p>
    <w:p w14:paraId="628FAB01" w14:textId="1C88D810" w:rsidR="00D81E15" w:rsidRDefault="00D81E15" w:rsidP="00D81E15">
      <w:pPr>
        <w:pStyle w:val="Quote"/>
      </w:pPr>
      <w:r>
        <w:t>“</w:t>
      </w:r>
      <w:r w:rsidR="00E4413A">
        <w:t xml:space="preserve">218(2)  </w:t>
      </w:r>
      <w:r>
        <w:t>Any person who contravenes</w:t>
      </w:r>
      <w:r w:rsidR="00B61498">
        <w:t xml:space="preserve"> any provision of this Act is liable to any other person for any loss or damage suffered by that person as a result of that contravention.”</w:t>
      </w:r>
    </w:p>
    <w:p w14:paraId="10750972" w14:textId="2E187E8E" w:rsidR="00E4413A" w:rsidRDefault="001F6FF1" w:rsidP="001F6FF1">
      <w:pPr>
        <w:pStyle w:val="1"/>
        <w:numPr>
          <w:ilvl w:val="0"/>
          <w:numId w:val="0"/>
        </w:numPr>
        <w:tabs>
          <w:tab w:val="left" w:pos="567"/>
        </w:tabs>
        <w:ind w:left="567" w:hanging="567"/>
      </w:pPr>
      <w:r>
        <w:t>[42]</w:t>
      </w:r>
      <w:r>
        <w:tab/>
      </w:r>
      <w:r w:rsidR="005A5CC3">
        <w:t xml:space="preserve">In </w:t>
      </w:r>
      <w:r w:rsidR="005A5CC3">
        <w:rPr>
          <w:i/>
          <w:iCs w:val="0"/>
        </w:rPr>
        <w:t>Hlumisa,</w:t>
      </w:r>
      <w:r w:rsidR="005A5CC3">
        <w:rPr>
          <w:rStyle w:val="FootnoteReference"/>
          <w:i/>
          <w:iCs w:val="0"/>
        </w:rPr>
        <w:footnoteReference w:id="7"/>
      </w:r>
      <w:r w:rsidR="005A5CC3">
        <w:t xml:space="preserve"> the SCA addressed the proper interpretation and application of section 218(2) in the context of an alleged breach by a director of section 76(3) of the Companies Act. </w:t>
      </w:r>
      <w:r w:rsidR="005A5CC3" w:rsidRPr="00E10C4B">
        <w:t xml:space="preserve">The </w:t>
      </w:r>
      <w:r w:rsidR="00E4413A">
        <w:t>C</w:t>
      </w:r>
      <w:r w:rsidR="005A5CC3" w:rsidRPr="00E10C4B">
        <w:t>ourt confirmed that</w:t>
      </w:r>
      <w:r w:rsidR="00E4413A">
        <w:t>:</w:t>
      </w:r>
    </w:p>
    <w:p w14:paraId="2D9F9EE3" w14:textId="664F6F7D" w:rsidR="00B61498" w:rsidRDefault="005A5CC3" w:rsidP="00E4413A">
      <w:pPr>
        <w:pStyle w:val="Quote"/>
      </w:pPr>
      <w:r w:rsidRPr="00E10C4B">
        <w:t xml:space="preserve"> “the provision [s 218] thus provides a statutory remedy to ‘any person’ who can bring themselves within its ambit... It is not necessary in this case to make any findings in relation to </w:t>
      </w:r>
      <w:r w:rsidR="00E10C4B">
        <w:t xml:space="preserve">the precise contours of this remedy and we deliberately eschew doing so.” </w:t>
      </w:r>
    </w:p>
    <w:p w14:paraId="4402E479" w14:textId="3868F8AB" w:rsidR="00E10C4B" w:rsidRDefault="001F6FF1" w:rsidP="001F6FF1">
      <w:pPr>
        <w:pStyle w:val="1"/>
        <w:numPr>
          <w:ilvl w:val="0"/>
          <w:numId w:val="0"/>
        </w:numPr>
        <w:tabs>
          <w:tab w:val="left" w:pos="567"/>
        </w:tabs>
        <w:ind w:left="567" w:hanging="567"/>
      </w:pPr>
      <w:r>
        <w:t>[43]</w:t>
      </w:r>
      <w:r>
        <w:tab/>
      </w:r>
      <w:r w:rsidR="001B2E80">
        <w:t xml:space="preserve">In </w:t>
      </w:r>
      <w:r w:rsidR="001B2E80">
        <w:rPr>
          <w:i/>
          <w:iCs w:val="0"/>
        </w:rPr>
        <w:t>Hlumisa</w:t>
      </w:r>
      <w:r w:rsidR="001B2E80">
        <w:t xml:space="preserve">, the claimants were shareholders in the relevant company </w:t>
      </w:r>
      <w:r w:rsidR="00DE5A60">
        <w:t>who alleged that their shares in the company had lost their value as a result of breaches by the directors of section 76(3).  T</w:t>
      </w:r>
      <w:r w:rsidR="001B2E80">
        <w:t xml:space="preserve">he SCA confirmed that section 218 does not establish a right in the hands of shareholders to recover a </w:t>
      </w:r>
      <w:r w:rsidR="001B2E80" w:rsidRPr="00E10C4B">
        <w:t>reflective loss</w:t>
      </w:r>
      <w:r w:rsidR="001B2E80">
        <w:t xml:space="preserve"> where the direct loss was</w:t>
      </w:r>
      <w:r w:rsidR="001B2E80" w:rsidRPr="00E10C4B">
        <w:t xml:space="preserve"> suffered by the company. </w:t>
      </w:r>
      <w:r w:rsidR="001B2E80">
        <w:t xml:space="preserve"> </w:t>
      </w:r>
      <w:r w:rsidR="00E10C4B">
        <w:t xml:space="preserve">In the current case, the plaintiff claims in respect of losses which she alleges were sustained directly by her and not as a result of reflective </w:t>
      </w:r>
      <w:r w:rsidR="00CB1544">
        <w:t>losses</w:t>
      </w:r>
      <w:r w:rsidR="00E10C4B">
        <w:t xml:space="preserve"> as a shareholder. Theoretically, the plaintiff could be “a person” if she can show that the provisions of the Companies Act on which she relies are actionable by her. </w:t>
      </w:r>
    </w:p>
    <w:p w14:paraId="4A1106BB" w14:textId="598758DD" w:rsidR="001B2E80" w:rsidRDefault="001F6FF1" w:rsidP="001F6FF1">
      <w:pPr>
        <w:pStyle w:val="1"/>
        <w:numPr>
          <w:ilvl w:val="0"/>
          <w:numId w:val="0"/>
        </w:numPr>
        <w:tabs>
          <w:tab w:val="left" w:pos="567"/>
        </w:tabs>
        <w:ind w:left="567" w:hanging="567"/>
      </w:pPr>
      <w:r>
        <w:t>[44]</w:t>
      </w:r>
      <w:r>
        <w:tab/>
      </w:r>
      <w:r w:rsidR="00DE5A60">
        <w:t xml:space="preserve">However, </w:t>
      </w:r>
      <w:r w:rsidR="001B2E80">
        <w:t xml:space="preserve">the SCA </w:t>
      </w:r>
      <w:r w:rsidR="00DE5A60">
        <w:t xml:space="preserve">In </w:t>
      </w:r>
      <w:r w:rsidR="00DE5A60" w:rsidRPr="008F7F1A">
        <w:rPr>
          <w:i/>
          <w:iCs w:val="0"/>
        </w:rPr>
        <w:t>Hlumisa</w:t>
      </w:r>
      <w:r w:rsidR="00DE5A60">
        <w:t xml:space="preserve"> </w:t>
      </w:r>
      <w:r w:rsidR="001B2E80">
        <w:t xml:space="preserve">confirmed </w:t>
      </w:r>
      <w:r w:rsidR="008F7F1A">
        <w:t xml:space="preserve">the findings of the High Court, that </w:t>
      </w:r>
      <w:r w:rsidR="001B2E80">
        <w:t xml:space="preserve">section 76 had to be read together </w:t>
      </w:r>
      <w:r w:rsidR="008F7F1A">
        <w:t>with 77(2)</w:t>
      </w:r>
      <w:r w:rsidR="00DE5A60" w:rsidRPr="00DE5A60">
        <w:rPr>
          <w:rStyle w:val="FootnoteReference"/>
        </w:rPr>
        <w:t xml:space="preserve"> </w:t>
      </w:r>
      <w:r w:rsidR="00DE5A60">
        <w:rPr>
          <w:rStyle w:val="FootnoteReference"/>
        </w:rPr>
        <w:footnoteReference w:id="8"/>
      </w:r>
      <w:r w:rsidR="008F7F1A">
        <w:t xml:space="preserve">, as: </w:t>
      </w:r>
      <w:bookmarkStart w:id="2" w:name="0-0-0-98551"/>
      <w:bookmarkEnd w:id="2"/>
    </w:p>
    <w:p w14:paraId="0A3C0875" w14:textId="77777777" w:rsidR="001B2E80" w:rsidRDefault="001B2E80" w:rsidP="001B2E80">
      <w:pPr>
        <w:pStyle w:val="Quote"/>
      </w:pPr>
      <w:r>
        <w:t>“</w:t>
      </w:r>
      <w:r w:rsidRPr="00EC653E">
        <w:t xml:space="preserve">These provisions of the Companies Act make it clear that the legislature decided where liability should lie for conduct by directors in contravention of certain </w:t>
      </w:r>
      <w:r w:rsidRPr="00EC653E">
        <w:lastRenderedPageBreak/>
        <w:t>sections of the Act and who could recover the resultant loss. It is also clear that the legislature was astute to preserve certain common-law principles. It makes for a harmonious blend.</w:t>
      </w:r>
      <w:r>
        <w:t>”</w:t>
      </w:r>
    </w:p>
    <w:p w14:paraId="084CEB47" w14:textId="714D564C" w:rsidR="00E10C4B" w:rsidRDefault="001F6FF1" w:rsidP="001F6FF1">
      <w:pPr>
        <w:pStyle w:val="1"/>
        <w:numPr>
          <w:ilvl w:val="0"/>
          <w:numId w:val="0"/>
        </w:numPr>
        <w:tabs>
          <w:tab w:val="left" w:pos="567"/>
        </w:tabs>
        <w:ind w:left="567" w:hanging="567"/>
      </w:pPr>
      <w:r>
        <w:t>[45]</w:t>
      </w:r>
      <w:r>
        <w:tab/>
      </w:r>
      <w:r w:rsidR="008F7F1A">
        <w:t>The SCA confirmed that liability for a breach of s 76(3) is limited by section 77(2) to be only 'in accordance with the principles of the common law'.  In my view, t</w:t>
      </w:r>
      <w:r w:rsidR="000249D0">
        <w:t xml:space="preserve">he provisions of section 76(2) of the Companies Act must be read in </w:t>
      </w:r>
      <w:r w:rsidR="008F7F1A">
        <w:t>the same way</w:t>
      </w:r>
      <w:r w:rsidR="00DE5A60">
        <w:t xml:space="preserve"> - namely,</w:t>
      </w:r>
      <w:r w:rsidR="008F7F1A">
        <w:t xml:space="preserve"> </w:t>
      </w:r>
      <w:r w:rsidR="000249D0">
        <w:t xml:space="preserve">in the context of </w:t>
      </w:r>
      <w:r w:rsidR="008F7F1A">
        <w:t xml:space="preserve">and subject to the limitations in </w:t>
      </w:r>
      <w:r w:rsidR="000249D0">
        <w:t>section 77</w:t>
      </w:r>
      <w:r w:rsidR="008F7F1A">
        <w:t>(2)</w:t>
      </w:r>
      <w:r w:rsidR="000249D0">
        <w:t xml:space="preserve"> which </w:t>
      </w:r>
      <w:r w:rsidR="00DE5A60">
        <w:t>provides for</w:t>
      </w:r>
      <w:r w:rsidR="000249D0">
        <w:t xml:space="preserve"> the “</w:t>
      </w:r>
      <w:r w:rsidR="00E4413A">
        <w:t>L</w:t>
      </w:r>
      <w:r w:rsidR="000249D0">
        <w:t>iability of directors”</w:t>
      </w:r>
      <w:r w:rsidR="00E4413A">
        <w:t xml:space="preserve"> under the Act</w:t>
      </w:r>
      <w:r w:rsidR="008F7F1A">
        <w:t xml:space="preserve"> a</w:t>
      </w:r>
      <w:r w:rsidR="00DE5A60">
        <w:t>s follows</w:t>
      </w:r>
      <w:r w:rsidR="000249D0">
        <w:t>:</w:t>
      </w:r>
    </w:p>
    <w:p w14:paraId="0D191B55" w14:textId="5B3F6E16" w:rsidR="000249D0" w:rsidRDefault="000249D0" w:rsidP="000249D0">
      <w:pPr>
        <w:pStyle w:val="Quote"/>
      </w:pPr>
      <w:r>
        <w:t>“</w:t>
      </w:r>
      <w:r w:rsidR="008F7E48">
        <w:t xml:space="preserve">77 (2) </w:t>
      </w:r>
      <w:r>
        <w:t>A director of a company may be held liable –</w:t>
      </w:r>
    </w:p>
    <w:p w14:paraId="3D2BC331" w14:textId="024DA9AF" w:rsidR="000249D0" w:rsidRDefault="000249D0" w:rsidP="000249D0">
      <w:pPr>
        <w:pStyle w:val="Quote"/>
      </w:pPr>
      <w:r>
        <w:t xml:space="preserve">(a) in accordance with the principles of the common law relating to breach of a fiduciary duty </w:t>
      </w:r>
      <w:r w:rsidRPr="008F7F1A">
        <w:rPr>
          <w:u w:val="single"/>
        </w:rPr>
        <w:t xml:space="preserve">for </w:t>
      </w:r>
      <w:r w:rsidR="00CB1544" w:rsidRPr="008F7F1A">
        <w:rPr>
          <w:u w:val="single"/>
        </w:rPr>
        <w:t>any loss</w:t>
      </w:r>
      <w:r>
        <w:t xml:space="preserve">, damages or costs </w:t>
      </w:r>
      <w:r>
        <w:rPr>
          <w:u w:val="single"/>
        </w:rPr>
        <w:t>sustained by the company</w:t>
      </w:r>
      <w:r>
        <w:t xml:space="preserve"> as a consequence of any breach by the director of a duty contemplated in s 75, 76(2) or 76(3)(a) or (b) ...”</w:t>
      </w:r>
      <w:r w:rsidR="008F7F1A" w:rsidRPr="008F7F1A">
        <w:t xml:space="preserve"> </w:t>
      </w:r>
      <w:r w:rsidR="008F7F1A">
        <w:t>(emphasis added)</w:t>
      </w:r>
    </w:p>
    <w:p w14:paraId="791FF654" w14:textId="47A0724A" w:rsidR="00E4413A" w:rsidRDefault="001F6FF1" w:rsidP="001F6FF1">
      <w:pPr>
        <w:pStyle w:val="1"/>
        <w:numPr>
          <w:ilvl w:val="0"/>
          <w:numId w:val="0"/>
        </w:numPr>
        <w:tabs>
          <w:tab w:val="left" w:pos="567"/>
        </w:tabs>
        <w:ind w:left="567" w:hanging="567"/>
      </w:pPr>
      <w:r>
        <w:t>[46]</w:t>
      </w:r>
      <w:r>
        <w:tab/>
      </w:r>
      <w:r w:rsidR="000249D0">
        <w:t>The limitation of the directors</w:t>
      </w:r>
      <w:r w:rsidR="00E4413A">
        <w:t>’</w:t>
      </w:r>
      <w:r w:rsidR="000249D0">
        <w:t xml:space="preserve"> liability to the company itself accords with the provisions of section 76(2)</w:t>
      </w:r>
      <w:r w:rsidR="00DE5A60">
        <w:t>(a)</w:t>
      </w:r>
      <w:r w:rsidR="000249D0">
        <w:t xml:space="preserve"> which are directed at ensuring that the director does not use his position to obtain benefits in preference to or to the detriment of the company. </w:t>
      </w:r>
      <w:r w:rsidR="008F7F1A">
        <w:t xml:space="preserve"> </w:t>
      </w:r>
      <w:r w:rsidR="000249D0">
        <w:t>I</w:t>
      </w:r>
      <w:r w:rsidR="00E4413A">
        <w:t>f he breaches these obligations</w:t>
      </w:r>
      <w:r w:rsidR="000249D0">
        <w:t xml:space="preserve">, the company </w:t>
      </w:r>
      <w:r w:rsidR="00E4413A">
        <w:t xml:space="preserve">suffers the loss and only the company (or someone on its behalf) </w:t>
      </w:r>
      <w:r w:rsidR="000249D0">
        <w:t xml:space="preserve">can be the proper plaintiff to enforce a claim against the director for a breach of section 76(2). </w:t>
      </w:r>
      <w:r w:rsidR="00E4413A">
        <w:t xml:space="preserve">  </w:t>
      </w:r>
      <w:r w:rsidR="00DE5A60">
        <w:t>S</w:t>
      </w:r>
      <w:r w:rsidR="001B2E80">
        <w:t>ection</w:t>
      </w:r>
      <w:r w:rsidR="00DE5A60">
        <w:t xml:space="preserve"> 76(2)</w:t>
      </w:r>
      <w:r w:rsidR="00E4413A">
        <w:t xml:space="preserve"> confirms and reinforces the </w:t>
      </w:r>
      <w:r w:rsidR="001B2E80">
        <w:t>common law</w:t>
      </w:r>
      <w:r w:rsidR="00E4413A">
        <w:t xml:space="preserve"> fiduciary obligations on a director in company law</w:t>
      </w:r>
      <w:r w:rsidR="00DE5A60">
        <w:t xml:space="preserve"> and section 7</w:t>
      </w:r>
      <w:r w:rsidR="00BA731A">
        <w:t>7</w:t>
      </w:r>
      <w:r w:rsidR="00DE5A60">
        <w:t>(</w:t>
      </w:r>
      <w:r w:rsidR="00BA731A">
        <w:t>2</w:t>
      </w:r>
      <w:r w:rsidR="00DE5A60">
        <w:t xml:space="preserve">) confirms that liability </w:t>
      </w:r>
      <w:r w:rsidR="00BA731A">
        <w:t>is determined in accordance with the common law</w:t>
      </w:r>
      <w:r w:rsidR="00DE5A60">
        <w:t>.  T</w:t>
      </w:r>
      <w:r w:rsidR="008F7E48">
        <w:t>here is no indication that the legislature intended to extend the scope of the director’s obligations to cover the interests of third parties, including employees or other directors</w:t>
      </w:r>
      <w:r w:rsidR="00BA731A">
        <w:t>, and to create a new right of action for them personally</w:t>
      </w:r>
      <w:r w:rsidR="00E4413A">
        <w:t>.</w:t>
      </w:r>
    </w:p>
    <w:p w14:paraId="216E6632" w14:textId="38203BBC" w:rsidR="000249D0" w:rsidRDefault="001F6FF1" w:rsidP="001F6FF1">
      <w:pPr>
        <w:pStyle w:val="1"/>
        <w:numPr>
          <w:ilvl w:val="0"/>
          <w:numId w:val="0"/>
        </w:numPr>
        <w:tabs>
          <w:tab w:val="left" w:pos="567"/>
        </w:tabs>
        <w:ind w:left="567" w:hanging="567"/>
      </w:pPr>
      <w:r>
        <w:t>[47]</w:t>
      </w:r>
      <w:r>
        <w:tab/>
      </w:r>
      <w:r w:rsidR="00EC653E">
        <w:t xml:space="preserve">This </w:t>
      </w:r>
      <w:r w:rsidR="00DE5A60">
        <w:t xml:space="preserve">SCA </w:t>
      </w:r>
      <w:r w:rsidR="00EC653E">
        <w:t>authority confirms, i</w:t>
      </w:r>
      <w:r w:rsidR="000249D0">
        <w:t xml:space="preserve">n my view, </w:t>
      </w:r>
      <w:r w:rsidR="00EC653E">
        <w:t xml:space="preserve">that </w:t>
      </w:r>
      <w:r w:rsidR="008F7E48">
        <w:t xml:space="preserve">section 218(2) </w:t>
      </w:r>
      <w:r w:rsidR="000249D0">
        <w:t xml:space="preserve">does not provide a right of action </w:t>
      </w:r>
      <w:r w:rsidR="00BA731A">
        <w:t xml:space="preserve">under section 76(2) </w:t>
      </w:r>
      <w:r w:rsidR="000249D0">
        <w:t>to a person in the position of the plaintiff</w:t>
      </w:r>
      <w:r w:rsidR="00E4413A">
        <w:t xml:space="preserve">, whether as </w:t>
      </w:r>
      <w:r w:rsidR="000249D0">
        <w:t>an employee or co-director</w:t>
      </w:r>
      <w:r w:rsidR="00E4413A">
        <w:t>,</w:t>
      </w:r>
      <w:r w:rsidR="000249D0">
        <w:t xml:space="preserve"> who claims damages </w:t>
      </w:r>
      <w:r w:rsidR="008F7E48">
        <w:t xml:space="preserve">(for herself) </w:t>
      </w:r>
      <w:r w:rsidR="000249D0">
        <w:t>because a</w:t>
      </w:r>
      <w:r w:rsidR="00DE5A60">
        <w:t>nother</w:t>
      </w:r>
      <w:r w:rsidR="000249D0">
        <w:t xml:space="preserve"> director used his position to gain a</w:t>
      </w:r>
      <w:r w:rsidR="00E4413A">
        <w:t xml:space="preserve"> potential</w:t>
      </w:r>
      <w:r w:rsidR="000249D0">
        <w:t xml:space="preserve"> advantage</w:t>
      </w:r>
      <w:r w:rsidR="00E4413A">
        <w:t xml:space="preserve"> for himself.  </w:t>
      </w:r>
      <w:r w:rsidR="00BA731A">
        <w:t xml:space="preserve">Not only is this interpretation supported by the text and the purpose of these provisions, but it </w:t>
      </w:r>
      <w:r w:rsidR="00EC653E">
        <w:t>is also the sensible interpretation</w:t>
      </w:r>
      <w:r w:rsidR="00BA731A">
        <w:t>. I</w:t>
      </w:r>
      <w:r w:rsidR="00EC653E">
        <w:t>f the contrary were tru</w:t>
      </w:r>
      <w:r w:rsidR="00BA731A">
        <w:t>e</w:t>
      </w:r>
      <w:r w:rsidR="00EC653E">
        <w:t>, th</w:t>
      </w:r>
      <w:r w:rsidR="00E4413A">
        <w:t>e scope for unwanted litigation by disgruntled competing directors or employees would be endless</w:t>
      </w:r>
      <w:r w:rsidR="008F7E48">
        <w:t xml:space="preserve"> and directors would be unable to </w:t>
      </w:r>
      <w:r w:rsidR="008F7E48">
        <w:lastRenderedPageBreak/>
        <w:t>identify the limits of their duties under the Act</w:t>
      </w:r>
      <w:r w:rsidR="000249D0">
        <w:t xml:space="preserve">. I have no doubt that </w:t>
      </w:r>
      <w:r w:rsidR="00CB1544">
        <w:t>the legislature</w:t>
      </w:r>
      <w:r w:rsidR="000249D0">
        <w:t xml:space="preserve"> did not intend to create such a </w:t>
      </w:r>
      <w:r w:rsidR="008F7E48">
        <w:t xml:space="preserve">new </w:t>
      </w:r>
      <w:r w:rsidR="00EC653E">
        <w:t>right</w:t>
      </w:r>
      <w:r w:rsidR="008F7E48">
        <w:t xml:space="preserve"> of action or </w:t>
      </w:r>
      <w:r w:rsidR="000249D0">
        <w:t xml:space="preserve">remedy. </w:t>
      </w:r>
    </w:p>
    <w:p w14:paraId="7C4F3973" w14:textId="18F63371" w:rsidR="000249D0" w:rsidRDefault="001F6FF1" w:rsidP="001F6FF1">
      <w:pPr>
        <w:pStyle w:val="1"/>
        <w:numPr>
          <w:ilvl w:val="0"/>
          <w:numId w:val="0"/>
        </w:numPr>
        <w:tabs>
          <w:tab w:val="left" w:pos="567"/>
        </w:tabs>
        <w:ind w:left="567" w:hanging="567"/>
      </w:pPr>
      <w:r>
        <w:t>[48]</w:t>
      </w:r>
      <w:r>
        <w:tab/>
      </w:r>
      <w:r w:rsidR="000249D0">
        <w:t>In the circumstances, the defendants’ exception against Claim D is upheld on the basis that Claim D does not disclose a cause of action against either the second defendant or the third defendant.</w:t>
      </w:r>
    </w:p>
    <w:p w14:paraId="6332D02C" w14:textId="26D01D06" w:rsidR="000249D0" w:rsidRDefault="001F6FF1" w:rsidP="001F6FF1">
      <w:pPr>
        <w:pStyle w:val="1"/>
        <w:numPr>
          <w:ilvl w:val="0"/>
          <w:numId w:val="0"/>
        </w:numPr>
        <w:tabs>
          <w:tab w:val="left" w:pos="567"/>
        </w:tabs>
        <w:ind w:left="567" w:hanging="567"/>
      </w:pPr>
      <w:r>
        <w:t>[49]</w:t>
      </w:r>
      <w:r>
        <w:tab/>
      </w:r>
      <w:r w:rsidR="000249D0">
        <w:t>The plaintiff and the defendants have both been partially successful in this exception. In my view, the correct result is to make no order as to costs</w:t>
      </w:r>
      <w:r w:rsidR="00EC653E">
        <w:t>,</w:t>
      </w:r>
      <w:r w:rsidR="000249D0">
        <w:t xml:space="preserve"> so that each party bears their own costs in the exception. </w:t>
      </w:r>
    </w:p>
    <w:p w14:paraId="567065E8" w14:textId="05DA67E3" w:rsidR="000249D0" w:rsidRPr="000249D0" w:rsidRDefault="001F6FF1" w:rsidP="001F6FF1">
      <w:pPr>
        <w:pStyle w:val="1"/>
        <w:numPr>
          <w:ilvl w:val="0"/>
          <w:numId w:val="0"/>
        </w:numPr>
        <w:tabs>
          <w:tab w:val="left" w:pos="567"/>
        </w:tabs>
        <w:ind w:left="567" w:hanging="567"/>
      </w:pPr>
      <w:r w:rsidRPr="000249D0">
        <w:t>[50]</w:t>
      </w:r>
      <w:r w:rsidRPr="000249D0">
        <w:tab/>
      </w:r>
      <w:r w:rsidR="000249D0">
        <w:t>In the result I make the following order:</w:t>
      </w:r>
    </w:p>
    <w:p w14:paraId="49936124" w14:textId="31EDAB89" w:rsidR="00421D5E" w:rsidRDefault="001F6FF1" w:rsidP="001F6FF1">
      <w:pPr>
        <w:pStyle w:val="2"/>
        <w:numPr>
          <w:ilvl w:val="0"/>
          <w:numId w:val="0"/>
        </w:numPr>
        <w:tabs>
          <w:tab w:val="left" w:pos="1701"/>
        </w:tabs>
        <w:ind w:left="1701" w:hanging="1134"/>
      </w:pPr>
      <w:r>
        <w:t>50.1</w:t>
      </w:r>
      <w:r>
        <w:tab/>
      </w:r>
      <w:r w:rsidR="000249D0">
        <w:t xml:space="preserve">The defendants’ exceptions to Claim A and Claim B are dismissed. </w:t>
      </w:r>
    </w:p>
    <w:p w14:paraId="0AAC91FC" w14:textId="7F426A1C" w:rsidR="00BA731A" w:rsidRDefault="001F6FF1" w:rsidP="001F6FF1">
      <w:pPr>
        <w:pStyle w:val="2"/>
        <w:numPr>
          <w:ilvl w:val="0"/>
          <w:numId w:val="0"/>
        </w:numPr>
        <w:tabs>
          <w:tab w:val="left" w:pos="1701"/>
        </w:tabs>
        <w:ind w:left="1701" w:hanging="1134"/>
      </w:pPr>
      <w:r>
        <w:t>50.2</w:t>
      </w:r>
      <w:r>
        <w:tab/>
      </w:r>
      <w:r w:rsidR="000249D0">
        <w:t xml:space="preserve">The defendants’ exceptions against Claim C and Claim D are upheld on the basis that neither Claim C nor Claim D discloses a cause of action. </w:t>
      </w:r>
    </w:p>
    <w:p w14:paraId="73C20DEF" w14:textId="67DC0897" w:rsidR="000249D0" w:rsidRDefault="001F6FF1" w:rsidP="001F6FF1">
      <w:pPr>
        <w:pStyle w:val="2"/>
        <w:numPr>
          <w:ilvl w:val="0"/>
          <w:numId w:val="0"/>
        </w:numPr>
        <w:tabs>
          <w:tab w:val="left" w:pos="1701"/>
        </w:tabs>
        <w:ind w:left="1701" w:hanging="1134"/>
      </w:pPr>
      <w:r>
        <w:t>50.3</w:t>
      </w:r>
      <w:r>
        <w:tab/>
      </w:r>
      <w:r w:rsidR="000249D0">
        <w:t xml:space="preserve">The plaintiff is afforded a period of 15 </w:t>
      </w:r>
      <w:r w:rsidR="00BA731A">
        <w:t xml:space="preserve">court </w:t>
      </w:r>
      <w:r w:rsidR="000249D0">
        <w:t xml:space="preserve">days to amend her particulars of claim, if so advised. </w:t>
      </w:r>
    </w:p>
    <w:p w14:paraId="0C334A93" w14:textId="46773FEC" w:rsidR="000249D0" w:rsidRDefault="001F6FF1" w:rsidP="001F6FF1">
      <w:pPr>
        <w:pStyle w:val="2"/>
        <w:numPr>
          <w:ilvl w:val="0"/>
          <w:numId w:val="0"/>
        </w:numPr>
        <w:tabs>
          <w:tab w:val="left" w:pos="1701"/>
        </w:tabs>
        <w:ind w:left="1701" w:hanging="1134"/>
      </w:pPr>
      <w:r>
        <w:t>50.4</w:t>
      </w:r>
      <w:r>
        <w:tab/>
      </w:r>
      <w:r w:rsidR="000249D0">
        <w:t>There is no order as to costs.</w:t>
      </w:r>
    </w:p>
    <w:p w14:paraId="4496D0E7" w14:textId="2B004E35" w:rsidR="005E0460" w:rsidRDefault="005E0460" w:rsidP="000459D1">
      <w:pPr>
        <w:pStyle w:val="1"/>
        <w:numPr>
          <w:ilvl w:val="0"/>
          <w:numId w:val="0"/>
        </w:numPr>
        <w:ind w:left="2880"/>
      </w:pPr>
    </w:p>
    <w:p w14:paraId="3A02CB91" w14:textId="039380BF" w:rsidR="00066BC7" w:rsidRPr="00F73C09" w:rsidRDefault="00066BC7" w:rsidP="00040D4E">
      <w:pPr>
        <w:ind w:left="4962"/>
        <w:jc w:val="left"/>
      </w:pPr>
    </w:p>
    <w:p w14:paraId="18484056" w14:textId="7680173C" w:rsidR="00066BC7" w:rsidRPr="00EC653E" w:rsidRDefault="00FF0C24" w:rsidP="00040D4E">
      <w:pPr>
        <w:ind w:left="4962"/>
        <w:rPr>
          <w:b/>
          <w:bCs/>
        </w:rPr>
      </w:pPr>
      <w:r w:rsidRPr="00EC653E">
        <w:rPr>
          <w:b/>
          <w:bCs/>
        </w:rPr>
        <w:t>TURNER AJ</w:t>
      </w:r>
    </w:p>
    <w:p w14:paraId="351F6C9D" w14:textId="1B05F14C" w:rsidR="00CE4325" w:rsidRDefault="003C6443" w:rsidP="00040D4E">
      <w:pPr>
        <w:ind w:left="4962"/>
      </w:pPr>
      <w:r>
        <w:t>Acting Judge of the High Court</w:t>
      </w:r>
    </w:p>
    <w:p w14:paraId="70C326CC" w14:textId="4C2EF82C" w:rsidR="003C6443" w:rsidRDefault="003C6443" w:rsidP="00040D4E">
      <w:pPr>
        <w:ind w:left="4962"/>
      </w:pPr>
      <w:r>
        <w:t xml:space="preserve">Gauteng Division, Johannesburg </w:t>
      </w:r>
    </w:p>
    <w:p w14:paraId="587A06A7" w14:textId="77777777" w:rsidR="003C6443" w:rsidRDefault="003C6443" w:rsidP="00040D4E">
      <w:pPr>
        <w:ind w:left="4962"/>
      </w:pPr>
    </w:p>
    <w:p w14:paraId="2192C98D" w14:textId="77777777" w:rsidR="003C6443" w:rsidRDefault="003C6443" w:rsidP="00040D4E">
      <w:pPr>
        <w:ind w:left="4962"/>
      </w:pPr>
    </w:p>
    <w:p w14:paraId="0A51C946" w14:textId="7FDE2EED" w:rsidR="00066BC7" w:rsidRPr="00F73C09" w:rsidRDefault="00066BC7" w:rsidP="00066BC7">
      <w:pPr>
        <w:pStyle w:val="BodyText"/>
        <w:tabs>
          <w:tab w:val="left" w:pos="567"/>
        </w:tabs>
        <w:spacing w:before="120"/>
        <w:outlineLvl w:val="0"/>
        <w:rPr>
          <w:rFonts w:cs="Arial"/>
          <w:sz w:val="22"/>
          <w:szCs w:val="22"/>
        </w:rPr>
      </w:pPr>
      <w:r w:rsidRPr="00F73C09">
        <w:rPr>
          <w:rFonts w:cs="Arial"/>
          <w:sz w:val="22"/>
          <w:szCs w:val="22"/>
        </w:rPr>
        <w:t xml:space="preserve">Counsel for the </w:t>
      </w:r>
      <w:r w:rsidR="00EC653E">
        <w:rPr>
          <w:rFonts w:cs="Arial"/>
          <w:sz w:val="22"/>
          <w:szCs w:val="22"/>
        </w:rPr>
        <w:t>Plaintiff</w:t>
      </w:r>
      <w:r w:rsidR="00FF0C24">
        <w:rPr>
          <w:rFonts w:cs="Arial"/>
          <w:sz w:val="22"/>
          <w:szCs w:val="22"/>
        </w:rPr>
        <w:t>/Respondent</w:t>
      </w:r>
      <w:r w:rsidR="00EC653E">
        <w:rPr>
          <w:rFonts w:cs="Arial"/>
          <w:sz w:val="22"/>
          <w:szCs w:val="22"/>
        </w:rPr>
        <w:t xml:space="preserve">  - </w:t>
      </w:r>
      <w:r w:rsidR="001B2E80">
        <w:rPr>
          <w:rFonts w:cs="Arial"/>
          <w:sz w:val="22"/>
          <w:szCs w:val="22"/>
        </w:rPr>
        <w:t>Plaintiff i</w:t>
      </w:r>
      <w:r w:rsidR="00EC653E">
        <w:rPr>
          <w:rFonts w:cs="Arial"/>
          <w:sz w:val="22"/>
          <w:szCs w:val="22"/>
        </w:rPr>
        <w:t>n person</w:t>
      </w:r>
    </w:p>
    <w:p w14:paraId="571B4E28" w14:textId="022486D6" w:rsidR="00066BC7" w:rsidRDefault="00040D4E" w:rsidP="00066BC7">
      <w:pPr>
        <w:pStyle w:val="BodyText"/>
        <w:tabs>
          <w:tab w:val="left" w:pos="567"/>
        </w:tabs>
        <w:spacing w:before="120"/>
        <w:rPr>
          <w:rFonts w:cs="Arial"/>
          <w:sz w:val="22"/>
          <w:szCs w:val="22"/>
        </w:rPr>
      </w:pPr>
      <w:r>
        <w:rPr>
          <w:rFonts w:cs="Arial"/>
          <w:sz w:val="22"/>
          <w:szCs w:val="22"/>
        </w:rPr>
        <w:t xml:space="preserve">Instructed by: </w:t>
      </w:r>
    </w:p>
    <w:p w14:paraId="79FC2ABC" w14:textId="77777777" w:rsidR="00040D4E" w:rsidRDefault="00040D4E" w:rsidP="00066BC7">
      <w:pPr>
        <w:pStyle w:val="BodyText"/>
        <w:tabs>
          <w:tab w:val="left" w:pos="567"/>
        </w:tabs>
        <w:spacing w:before="120"/>
        <w:rPr>
          <w:rFonts w:cs="Arial"/>
          <w:sz w:val="22"/>
          <w:szCs w:val="22"/>
        </w:rPr>
      </w:pPr>
    </w:p>
    <w:p w14:paraId="5C62A46B" w14:textId="6E6A9C50" w:rsidR="00040D4E" w:rsidRPr="00F73C09" w:rsidRDefault="002C5E26" w:rsidP="00066BC7">
      <w:pPr>
        <w:pStyle w:val="BodyText"/>
        <w:tabs>
          <w:tab w:val="left" w:pos="567"/>
        </w:tabs>
        <w:spacing w:before="120"/>
        <w:rPr>
          <w:rFonts w:cs="Arial"/>
          <w:sz w:val="22"/>
          <w:szCs w:val="22"/>
        </w:rPr>
      </w:pPr>
      <w:r>
        <w:rPr>
          <w:rFonts w:cs="Arial"/>
          <w:sz w:val="22"/>
          <w:szCs w:val="22"/>
        </w:rPr>
        <w:t xml:space="preserve">Counsel for the </w:t>
      </w:r>
      <w:r w:rsidR="00FF0C24">
        <w:rPr>
          <w:rFonts w:cs="Arial"/>
          <w:sz w:val="22"/>
          <w:szCs w:val="22"/>
        </w:rPr>
        <w:t>Defendants/Excipients</w:t>
      </w:r>
      <w:r w:rsidR="00EC653E">
        <w:rPr>
          <w:rFonts w:cs="Arial"/>
          <w:sz w:val="22"/>
          <w:szCs w:val="22"/>
        </w:rPr>
        <w:t xml:space="preserve"> </w:t>
      </w:r>
      <w:r w:rsidR="00897EA3">
        <w:rPr>
          <w:rFonts w:cs="Arial"/>
          <w:sz w:val="22"/>
          <w:szCs w:val="22"/>
        </w:rPr>
        <w:t>–</w:t>
      </w:r>
      <w:r w:rsidR="00EC653E">
        <w:rPr>
          <w:rFonts w:cs="Arial"/>
          <w:sz w:val="22"/>
          <w:szCs w:val="22"/>
        </w:rPr>
        <w:t xml:space="preserve"> </w:t>
      </w:r>
      <w:r w:rsidR="00897EA3">
        <w:rPr>
          <w:rFonts w:cs="Arial"/>
          <w:sz w:val="22"/>
          <w:szCs w:val="22"/>
        </w:rPr>
        <w:t>Adv HM Viljoen</w:t>
      </w:r>
      <w:r>
        <w:rPr>
          <w:rFonts w:cs="Arial"/>
          <w:sz w:val="22"/>
          <w:szCs w:val="22"/>
        </w:rPr>
        <w:br/>
      </w:r>
      <w:r w:rsidR="00897EA3">
        <w:rPr>
          <w:rFonts w:cs="Arial"/>
          <w:sz w:val="22"/>
          <w:szCs w:val="22"/>
        </w:rPr>
        <w:t>I</w:t>
      </w:r>
      <w:r>
        <w:rPr>
          <w:rFonts w:cs="Arial"/>
          <w:sz w:val="22"/>
          <w:szCs w:val="22"/>
        </w:rPr>
        <w:t xml:space="preserve">nstructed by: </w:t>
      </w:r>
      <w:r w:rsidR="00897EA3">
        <w:rPr>
          <w:rFonts w:cs="Arial"/>
          <w:sz w:val="22"/>
          <w:szCs w:val="22"/>
        </w:rPr>
        <w:t xml:space="preserve"> Cowan Harper Madikizela Attorneys</w:t>
      </w:r>
    </w:p>
    <w:p w14:paraId="3E89B1FA" w14:textId="77777777" w:rsidR="00066BC7" w:rsidRPr="00F73C09" w:rsidRDefault="00066BC7" w:rsidP="00066BC7">
      <w:pPr>
        <w:pStyle w:val="BodyText"/>
        <w:tabs>
          <w:tab w:val="left" w:pos="567"/>
        </w:tabs>
        <w:spacing w:before="120"/>
        <w:rPr>
          <w:rFonts w:cs="Arial"/>
          <w:sz w:val="22"/>
          <w:szCs w:val="22"/>
        </w:rPr>
      </w:pPr>
    </w:p>
    <w:p w14:paraId="437DA2E8" w14:textId="5D6FCE52" w:rsidR="00066BC7" w:rsidRPr="00F73C09" w:rsidRDefault="00066BC7" w:rsidP="00897EA3">
      <w:pPr>
        <w:pStyle w:val="BodyText"/>
        <w:tabs>
          <w:tab w:val="left" w:pos="567"/>
          <w:tab w:val="left" w:pos="1890"/>
        </w:tabs>
        <w:spacing w:before="120"/>
        <w:rPr>
          <w:rFonts w:cs="Arial"/>
          <w:sz w:val="22"/>
          <w:szCs w:val="22"/>
        </w:rPr>
      </w:pPr>
      <w:r w:rsidRPr="00F73C09">
        <w:rPr>
          <w:rFonts w:cs="Arial"/>
          <w:sz w:val="22"/>
          <w:szCs w:val="22"/>
        </w:rPr>
        <w:t xml:space="preserve">Date of hearing: </w:t>
      </w:r>
      <w:r w:rsidR="00897EA3">
        <w:rPr>
          <w:rFonts w:cs="Arial"/>
          <w:sz w:val="22"/>
          <w:szCs w:val="22"/>
        </w:rPr>
        <w:tab/>
        <w:t>16 January 2023</w:t>
      </w:r>
    </w:p>
    <w:p w14:paraId="45DF6503" w14:textId="77777777" w:rsidR="004B74B9" w:rsidRDefault="004B74B9" w:rsidP="004B74B9">
      <w:pPr>
        <w:tabs>
          <w:tab w:val="left" w:pos="4917"/>
        </w:tabs>
        <w:rPr>
          <w:rFonts w:cs="Arial"/>
          <w:sz w:val="22"/>
          <w:szCs w:val="22"/>
        </w:rPr>
      </w:pPr>
    </w:p>
    <w:p w14:paraId="26330FEA" w14:textId="63593B82" w:rsidR="00300D09" w:rsidRPr="00822349" w:rsidRDefault="00066BC7" w:rsidP="004B74B9">
      <w:pPr>
        <w:tabs>
          <w:tab w:val="left" w:pos="4917"/>
        </w:tabs>
        <w:rPr>
          <w:rFonts w:cs="Arial"/>
          <w:b/>
          <w:sz w:val="28"/>
          <w:szCs w:val="28"/>
          <w:u w:val="single"/>
        </w:rPr>
      </w:pPr>
      <w:r w:rsidRPr="00F73C09">
        <w:rPr>
          <w:rFonts w:cs="Arial"/>
          <w:sz w:val="22"/>
          <w:szCs w:val="22"/>
        </w:rPr>
        <w:t>Date of Judgment:</w:t>
      </w:r>
      <w:r w:rsidR="00040D4E">
        <w:rPr>
          <w:rFonts w:cs="Arial"/>
          <w:sz w:val="22"/>
          <w:szCs w:val="22"/>
        </w:rPr>
        <w:t xml:space="preserve"> </w:t>
      </w:r>
      <w:r w:rsidR="00897EA3">
        <w:rPr>
          <w:rFonts w:cs="Arial"/>
          <w:sz w:val="22"/>
          <w:szCs w:val="22"/>
        </w:rPr>
        <w:t xml:space="preserve">   26 September 2023</w:t>
      </w:r>
    </w:p>
    <w:sectPr w:rsidR="00300D09" w:rsidRPr="00822349" w:rsidSect="006E45F7">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1E287" w14:textId="77777777" w:rsidR="007F5AB3" w:rsidRDefault="007F5AB3" w:rsidP="00115245">
      <w:r>
        <w:separator/>
      </w:r>
    </w:p>
  </w:endnote>
  <w:endnote w:type="continuationSeparator" w:id="0">
    <w:p w14:paraId="3FC5A1E5" w14:textId="77777777" w:rsidR="007F5AB3" w:rsidRDefault="007F5AB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93F" w14:textId="77777777" w:rsidR="007F5AB3" w:rsidRDefault="007F5AB3" w:rsidP="00115245">
      <w:r>
        <w:separator/>
      </w:r>
    </w:p>
  </w:footnote>
  <w:footnote w:type="continuationSeparator" w:id="0">
    <w:p w14:paraId="183AAA61" w14:textId="77777777" w:rsidR="007F5AB3" w:rsidRDefault="007F5AB3" w:rsidP="00115245">
      <w:r>
        <w:continuationSeparator/>
      </w:r>
    </w:p>
  </w:footnote>
  <w:footnote w:id="1">
    <w:p w14:paraId="6E854FA1" w14:textId="6905FD8B" w:rsidR="00A72F0B" w:rsidRDefault="00A72F0B">
      <w:pPr>
        <w:pStyle w:val="FootnoteText"/>
      </w:pPr>
      <w:r>
        <w:rPr>
          <w:rStyle w:val="FootnoteReference"/>
        </w:rPr>
        <w:footnoteRef/>
      </w:r>
      <w:r>
        <w:t xml:space="preserve"> </w:t>
      </w:r>
      <w:r>
        <w:tab/>
      </w:r>
      <w:r w:rsidRPr="005A5CC3">
        <w:rPr>
          <w:i/>
          <w:iCs/>
        </w:rPr>
        <w:t>Feldman v EMI Music</w:t>
      </w:r>
      <w:r>
        <w:t xml:space="preserve"> [2009] ZASCA 75 at para 7.</w:t>
      </w:r>
    </w:p>
  </w:footnote>
  <w:footnote w:id="2">
    <w:p w14:paraId="2CFF5C95" w14:textId="0AD21CE3" w:rsidR="00A72F0B" w:rsidRDefault="00A72F0B">
      <w:pPr>
        <w:pStyle w:val="FootnoteText"/>
      </w:pPr>
      <w:r>
        <w:rPr>
          <w:rStyle w:val="FootnoteReference"/>
        </w:rPr>
        <w:footnoteRef/>
      </w:r>
      <w:r>
        <w:t xml:space="preserve"> </w:t>
      </w:r>
      <w:r>
        <w:tab/>
      </w:r>
      <w:r w:rsidRPr="005A5CC3">
        <w:rPr>
          <w:i/>
          <w:iCs/>
        </w:rPr>
        <w:t>Telematrix (Pty) Ltd v Advertising Standards Authority SA</w:t>
      </w:r>
      <w:r>
        <w:t xml:space="preserve"> 2006 (1) SA 461 (SCA) at 465H.</w:t>
      </w:r>
    </w:p>
  </w:footnote>
  <w:footnote w:id="3">
    <w:p w14:paraId="16600881" w14:textId="150AC676" w:rsidR="0067568F" w:rsidRDefault="0067568F">
      <w:pPr>
        <w:pStyle w:val="FootnoteText"/>
      </w:pPr>
      <w:r>
        <w:rPr>
          <w:rStyle w:val="FootnoteReference"/>
        </w:rPr>
        <w:footnoteRef/>
      </w:r>
      <w:r>
        <w:t xml:space="preserve"> </w:t>
      </w:r>
      <w:r>
        <w:tab/>
      </w:r>
      <w:r w:rsidRPr="005A5CC3">
        <w:rPr>
          <w:i/>
          <w:iCs/>
        </w:rPr>
        <w:t>Pretorius and Another v Transport Pension Fund and Others</w:t>
      </w:r>
      <w:r>
        <w:t xml:space="preserve"> 2018 ZACC 10 para 15.</w:t>
      </w:r>
    </w:p>
  </w:footnote>
  <w:footnote w:id="4">
    <w:p w14:paraId="22050E37" w14:textId="000C3B79" w:rsidR="00364234" w:rsidRDefault="00364234">
      <w:pPr>
        <w:pStyle w:val="FootnoteText"/>
      </w:pPr>
      <w:r>
        <w:rPr>
          <w:rStyle w:val="FootnoteReference"/>
        </w:rPr>
        <w:footnoteRef/>
      </w:r>
      <w:r>
        <w:t xml:space="preserve"> </w:t>
      </w:r>
      <w:r>
        <w:tab/>
        <w:t xml:space="preserve">Reliance was placed on </w:t>
      </w:r>
      <w:r w:rsidRPr="005A5CC3">
        <w:rPr>
          <w:i/>
          <w:iCs/>
        </w:rPr>
        <w:t>Du Plessis NO v Phelps</w:t>
      </w:r>
      <w:r>
        <w:t xml:space="preserve"> 1995 (4) SA 165 (C) at 172D</w:t>
      </w:r>
      <w:r w:rsidR="00266E62">
        <w:t>.</w:t>
      </w:r>
    </w:p>
  </w:footnote>
  <w:footnote w:id="5">
    <w:p w14:paraId="284CD1FC" w14:textId="43B65692" w:rsidR="00266E62" w:rsidRDefault="00266E62">
      <w:pPr>
        <w:pStyle w:val="FootnoteText"/>
      </w:pPr>
      <w:r>
        <w:rPr>
          <w:rStyle w:val="FootnoteReference"/>
        </w:rPr>
        <w:footnoteRef/>
      </w:r>
      <w:r>
        <w:t xml:space="preserve"> </w:t>
      </w:r>
      <w:r>
        <w:tab/>
      </w:r>
      <w:r w:rsidRPr="005A5CC3">
        <w:rPr>
          <w:i/>
          <w:iCs/>
        </w:rPr>
        <w:t>Chowan v Associated Motor Holdings (Pty) Ltd and others</w:t>
      </w:r>
      <w:r>
        <w:t xml:space="preserve"> </w:t>
      </w:r>
      <w:r w:rsidR="00994AA8">
        <w:t>2</w:t>
      </w:r>
      <w:r w:rsidR="00994AA8" w:rsidRPr="00994AA8">
        <w:t xml:space="preserve">018 (4) SA 145 (GJ) </w:t>
      </w:r>
    </w:p>
  </w:footnote>
  <w:footnote w:id="6">
    <w:p w14:paraId="29E33A2B" w14:textId="1EA4F912" w:rsidR="00D16242" w:rsidRPr="00D16242" w:rsidRDefault="00D16242" w:rsidP="00D16242">
      <w:pPr>
        <w:pStyle w:val="FootnoteText"/>
        <w:rPr>
          <w:lang w:val="en-US"/>
        </w:rPr>
      </w:pPr>
      <w:r>
        <w:rPr>
          <w:rStyle w:val="FootnoteReference"/>
        </w:rPr>
        <w:footnoteRef/>
      </w:r>
      <w:r>
        <w:t xml:space="preserve"> </w:t>
      </w:r>
      <w:r>
        <w:rPr>
          <w:lang w:val="en-US"/>
        </w:rPr>
        <w:tab/>
      </w:r>
      <w:r w:rsidRPr="00D16242">
        <w:rPr>
          <w:i/>
          <w:iCs/>
        </w:rPr>
        <w:t>Lillicrap</w:t>
      </w:r>
      <w:r w:rsidRPr="00D16242">
        <w:t>, </w:t>
      </w:r>
      <w:r w:rsidRPr="00D16242">
        <w:rPr>
          <w:i/>
          <w:iCs/>
        </w:rPr>
        <w:t>Wassenaar and Partners v Pilkington Brothers (SA) (Pty) Ltd</w:t>
      </w:r>
      <w:r w:rsidRPr="00D16242">
        <w:t> </w:t>
      </w:r>
      <w:hyperlink r:id="rId1" w:tgtFrame="main" w:history="1">
        <w:r w:rsidRPr="00D16242">
          <w:rPr>
            <w:rStyle w:val="Hyperlink"/>
            <w:color w:val="auto"/>
            <w:u w:val="none"/>
          </w:rPr>
          <w:t>1985 (1) SA 475 (A)</w:t>
        </w:r>
      </w:hyperlink>
      <w:r w:rsidRPr="00D16242">
        <w:t>  at 499A</w:t>
      </w:r>
      <w:r>
        <w:t xml:space="preserve"> - F; see too </w:t>
      </w:r>
      <w:r w:rsidRPr="00D16242">
        <w:rPr>
          <w:i/>
          <w:iCs/>
        </w:rPr>
        <w:t>Holtzhausen v Absa Bank Ltd</w:t>
      </w:r>
      <w:r w:rsidRPr="00D16242">
        <w:t xml:space="preserve"> 2008 (5) SA 630 (SCA)</w:t>
      </w:r>
      <w:r>
        <w:t xml:space="preserve"> at [6]</w:t>
      </w:r>
    </w:p>
  </w:footnote>
  <w:footnote w:id="7">
    <w:p w14:paraId="76B03917" w14:textId="4BCED3B2" w:rsidR="005A5CC3" w:rsidRPr="005A5CC3" w:rsidRDefault="005A5CC3">
      <w:pPr>
        <w:pStyle w:val="FootnoteText"/>
      </w:pPr>
      <w:r>
        <w:rPr>
          <w:rStyle w:val="FootnoteReference"/>
        </w:rPr>
        <w:footnoteRef/>
      </w:r>
      <w:r>
        <w:t xml:space="preserve"> </w:t>
      </w:r>
      <w:r>
        <w:tab/>
      </w:r>
      <w:r>
        <w:rPr>
          <w:i/>
          <w:iCs/>
        </w:rPr>
        <w:t xml:space="preserve">Hlumisa Investment Holdings RF Ltd and Another v Kirkinis and others </w:t>
      </w:r>
      <w:r>
        <w:t>2020 (5) SA 419 (SCA) at 45 – 52.</w:t>
      </w:r>
    </w:p>
  </w:footnote>
  <w:footnote w:id="8">
    <w:p w14:paraId="03BAFBDC" w14:textId="77777777" w:rsidR="00DE5A60" w:rsidRPr="008F7E48" w:rsidRDefault="00DE5A60" w:rsidP="00DE5A60">
      <w:pPr>
        <w:pStyle w:val="FootnoteText"/>
        <w:rPr>
          <w:lang w:val="en-US"/>
        </w:rPr>
      </w:pPr>
      <w:r>
        <w:rPr>
          <w:rStyle w:val="FootnoteReference"/>
        </w:rPr>
        <w:footnoteRef/>
      </w:r>
      <w:r>
        <w:t xml:space="preserve"> </w:t>
      </w:r>
      <w:r>
        <w:rPr>
          <w:lang w:val="en-US"/>
        </w:rPr>
        <w:tab/>
      </w:r>
      <w:r w:rsidRPr="008F7E48">
        <w:rPr>
          <w:i/>
          <w:iCs/>
          <w:lang w:val="en-US"/>
        </w:rPr>
        <w:t>Hlumisa</w:t>
      </w:r>
      <w:r>
        <w:rPr>
          <w:lang w:val="en-US"/>
        </w:rPr>
        <w:t xml:space="preserve"> (supra) at [12] to [14] and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956A5" w14:textId="51966DC0" w:rsidR="0011705A" w:rsidRDefault="0011705A">
    <w:pPr>
      <w:jc w:val="right"/>
    </w:pPr>
    <w:r>
      <w:fldChar w:fldCharType="begin"/>
    </w:r>
    <w:r>
      <w:instrText xml:space="preserve"> PAGE   \* MERGEFORMAT </w:instrText>
    </w:r>
    <w:r>
      <w:fldChar w:fldCharType="separate"/>
    </w:r>
    <w:r w:rsidR="001F6FF1">
      <w:rPr>
        <w:noProof/>
      </w:rPr>
      <w:t>2</w:t>
    </w:r>
    <w:r>
      <w:rPr>
        <w:noProof/>
      </w:rPr>
      <w:fldChar w:fldCharType="end"/>
    </w:r>
  </w:p>
  <w:p w14:paraId="304E046F" w14:textId="77777777" w:rsidR="0011705A" w:rsidRDefault="00117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28" style="width:0;height:1.5pt" o:hralign="center" o:bullet="t" o:hrstd="t" o:hr="t" fillcolor="#a0a0a0" stroked="f"/>
    </w:pict>
  </w:numPicBullet>
  <w:abstractNum w:abstractNumId="0">
    <w:nsid w:val="FFFFFF88"/>
    <w:multiLevelType w:val="singleLevel"/>
    <w:tmpl w:val="958E17E6"/>
    <w:lvl w:ilvl="0">
      <w:start w:val="1"/>
      <w:numFmt w:val="decimal"/>
      <w:lvlText w:val="%1."/>
      <w:lvlJc w:val="left"/>
      <w:pPr>
        <w:ind w:left="360" w:hanging="360"/>
      </w:pPr>
    </w:lvl>
  </w:abstractNum>
  <w:abstractNum w:abstractNumId="1">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0000005"/>
    <w:multiLevelType w:val="singleLevel"/>
    <w:tmpl w:val="00000005"/>
    <w:name w:val="WW8Num7"/>
    <w:lvl w:ilvl="0">
      <w:start w:val="1"/>
      <w:numFmt w:val="lowerLetter"/>
      <w:lvlText w:val="(%1)"/>
      <w:lvlJc w:val="left"/>
      <w:pPr>
        <w:ind w:left="795" w:hanging="435"/>
      </w:pPr>
    </w:lvl>
  </w:abstractNum>
  <w:abstractNum w:abstractNumId="3">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B627269"/>
    <w:multiLevelType w:val="hybridMultilevel"/>
    <w:tmpl w:val="C6DA1926"/>
    <w:lvl w:ilvl="0" w:tplc="FFFFFFFF">
      <w:start w:val="1"/>
      <w:numFmt w:val="decimal"/>
      <w:lvlText w:val="(%1)"/>
      <w:lvlJc w:val="left"/>
      <w:pPr>
        <w:ind w:left="927" w:hanging="360"/>
      </w:pPr>
      <w:rPr>
        <w:rFonts w:hint="default"/>
      </w:rPr>
    </w:lvl>
    <w:lvl w:ilvl="1" w:tplc="FFFFFFFF">
      <w:start w:val="1"/>
      <w:numFmt w:val="lowerLetter"/>
      <w:lvlText w:val="%2."/>
      <w:lvlJc w:val="left"/>
      <w:pPr>
        <w:ind w:left="1647" w:hanging="360"/>
      </w:pPr>
    </w:lvl>
    <w:lvl w:ilvl="2" w:tplc="08090019">
      <w:start w:val="1"/>
      <w:numFmt w:val="lowerLetter"/>
      <w:lvlText w:val="%3."/>
      <w:lvlJc w:val="left"/>
      <w:pPr>
        <w:ind w:left="2547" w:hanging="36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nsid w:val="151738CF"/>
    <w:multiLevelType w:val="hybridMultilevel"/>
    <w:tmpl w:val="F46A18FA"/>
    <w:lvl w:ilvl="0" w:tplc="61C6873E">
      <w:start w:val="17"/>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961A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32EAB"/>
    <w:multiLevelType w:val="multilevel"/>
    <w:tmpl w:val="57781536"/>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701"/>
        </w:tabs>
        <w:ind w:left="1701" w:hanging="1134"/>
      </w:pPr>
      <w:rPr>
        <w:rFonts w:hint="default"/>
        <w:b w:val="0"/>
        <w:i w:val="0"/>
      </w:rPr>
    </w:lvl>
    <w:lvl w:ilvl="2">
      <w:start w:val="1"/>
      <w:numFmt w:val="decimal"/>
      <w:pStyle w:val="3"/>
      <w:lvlText w:val="%1.%2.%3"/>
      <w:lvlJc w:val="left"/>
      <w:pPr>
        <w:tabs>
          <w:tab w:val="num" w:pos="2835"/>
        </w:tabs>
        <w:ind w:left="2835" w:hanging="1134"/>
      </w:pPr>
      <w:rPr>
        <w:rFonts w:hint="default"/>
        <w:b w:val="0"/>
        <w:i w:val="0"/>
      </w:rPr>
    </w:lvl>
    <w:lvl w:ilvl="3">
      <w:start w:val="1"/>
      <w:numFmt w:val="lowerLetter"/>
      <w:pStyle w:val="4"/>
      <w:lvlText w:val="(%4)"/>
      <w:lvlJc w:val="left"/>
      <w:pPr>
        <w:tabs>
          <w:tab w:val="num" w:pos="2268"/>
        </w:tabs>
        <w:ind w:left="2268" w:hanging="567"/>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10">
    <w:nsid w:val="32B50F1A"/>
    <w:multiLevelType w:val="multilevel"/>
    <w:tmpl w:val="0409001F"/>
    <w:lvl w:ilvl="0">
      <w:start w:val="1"/>
      <w:numFmt w:val="decimal"/>
      <w:lvlText w:val="%1."/>
      <w:lvlJc w:val="left"/>
      <w:pPr>
        <w:ind w:left="262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2558E0"/>
    <w:multiLevelType w:val="hybridMultilevel"/>
    <w:tmpl w:val="02C6D90E"/>
    <w:lvl w:ilvl="0" w:tplc="F264854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339D5"/>
    <w:multiLevelType w:val="hybridMultilevel"/>
    <w:tmpl w:val="F17816E2"/>
    <w:lvl w:ilvl="0" w:tplc="E8ACA6F0">
      <w:start w:val="1"/>
      <w:numFmt w:val="lowerLetter"/>
      <w:lvlText w:val="%1."/>
      <w:lvlJc w:val="left"/>
      <w:pPr>
        <w:ind w:left="2061" w:hanging="360"/>
      </w:pPr>
      <w:rPr>
        <w:rFonts w:hint="default"/>
        <w:color w:val="auto"/>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5">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6">
    <w:nsid w:val="49C540C0"/>
    <w:multiLevelType w:val="hybridMultilevel"/>
    <w:tmpl w:val="A77821F8"/>
    <w:lvl w:ilvl="0" w:tplc="5FF0FE0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49CD079D"/>
    <w:multiLevelType w:val="hybridMultilevel"/>
    <w:tmpl w:val="4330ECE2"/>
    <w:lvl w:ilvl="0" w:tplc="013A456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C3717E"/>
    <w:multiLevelType w:val="hybridMultilevel"/>
    <w:tmpl w:val="685C252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nsid w:val="4FCE5092"/>
    <w:multiLevelType w:val="hybridMultilevel"/>
    <w:tmpl w:val="928EDFCA"/>
    <w:lvl w:ilvl="0" w:tplc="4804252C">
      <w:start w:val="1"/>
      <w:numFmt w:val="decimal"/>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21">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22">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6BA328D4"/>
    <w:multiLevelType w:val="hybridMultilevel"/>
    <w:tmpl w:val="964A4260"/>
    <w:lvl w:ilvl="0" w:tplc="CD165886">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D2902B3"/>
    <w:multiLevelType w:val="hybridMultilevel"/>
    <w:tmpl w:val="B184BE5E"/>
    <w:lvl w:ilvl="0" w:tplc="CBAC22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763344C8"/>
    <w:multiLevelType w:val="hybridMultilevel"/>
    <w:tmpl w:val="CD720C18"/>
    <w:lvl w:ilvl="0" w:tplc="A2F878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nsid w:val="7B9020D0"/>
    <w:multiLevelType w:val="hybridMultilevel"/>
    <w:tmpl w:val="15442F4A"/>
    <w:lvl w:ilvl="0" w:tplc="11FC344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9"/>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8"/>
  </w:num>
  <w:num w:numId="7">
    <w:abstractNumId w:val="2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15"/>
  </w:num>
  <w:num w:numId="12">
    <w:abstractNumId w:val="14"/>
  </w:num>
  <w:num w:numId="13">
    <w:abstractNumId w:val="12"/>
  </w:num>
  <w:num w:numId="14">
    <w:abstractNumId w:val="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3"/>
  </w:num>
  <w:num w:numId="18">
    <w:abstractNumId w:val="26"/>
  </w:num>
  <w:num w:numId="19">
    <w:abstractNumId w:val="23"/>
  </w:num>
  <w:num w:numId="20">
    <w:abstractNumId w:val="8"/>
  </w:num>
  <w:num w:numId="21">
    <w:abstractNumId w:val="7"/>
  </w:num>
  <w:num w:numId="22">
    <w:abstractNumId w:val="7"/>
  </w:num>
  <w:num w:numId="23">
    <w:abstractNumId w:val="10"/>
  </w:num>
  <w:num w:numId="24">
    <w:abstractNumId w:val="9"/>
  </w:num>
  <w:num w:numId="25">
    <w:abstractNumId w:val="17"/>
  </w:num>
  <w:num w:numId="26">
    <w:abstractNumId w:val="9"/>
  </w:num>
  <w:num w:numId="27">
    <w:abstractNumId w:val="5"/>
  </w:num>
  <w:num w:numId="28">
    <w:abstractNumId w:val="9"/>
  </w:num>
  <w:num w:numId="29">
    <w:abstractNumId w:val="9"/>
  </w:num>
  <w:num w:numId="30">
    <w:abstractNumId w:val="9"/>
  </w:num>
  <w:num w:numId="31">
    <w:abstractNumId w:val="9"/>
  </w:num>
  <w:num w:numId="32">
    <w:abstractNumId w:val="19"/>
  </w:num>
  <w:num w:numId="33">
    <w:abstractNumId w:val="11"/>
  </w:num>
  <w:num w:numId="34">
    <w:abstractNumId w:val="24"/>
  </w:num>
  <w:num w:numId="35">
    <w:abstractNumId w:val="18"/>
  </w:num>
  <w:num w:numId="36">
    <w:abstractNumId w:val="16"/>
  </w:num>
  <w:num w:numId="3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4C"/>
    <w:rsid w:val="00001F2D"/>
    <w:rsid w:val="000025D3"/>
    <w:rsid w:val="000026D9"/>
    <w:rsid w:val="00002E04"/>
    <w:rsid w:val="00003D4F"/>
    <w:rsid w:val="000043C3"/>
    <w:rsid w:val="0000489E"/>
    <w:rsid w:val="00004C50"/>
    <w:rsid w:val="00004FF5"/>
    <w:rsid w:val="00005393"/>
    <w:rsid w:val="00005635"/>
    <w:rsid w:val="00006D89"/>
    <w:rsid w:val="00006FFA"/>
    <w:rsid w:val="0000721E"/>
    <w:rsid w:val="000075D6"/>
    <w:rsid w:val="00007A1E"/>
    <w:rsid w:val="00007BEB"/>
    <w:rsid w:val="0001069D"/>
    <w:rsid w:val="00011D5E"/>
    <w:rsid w:val="00011D7E"/>
    <w:rsid w:val="00011F6D"/>
    <w:rsid w:val="00012BC9"/>
    <w:rsid w:val="00013492"/>
    <w:rsid w:val="00013956"/>
    <w:rsid w:val="0001479D"/>
    <w:rsid w:val="00014A75"/>
    <w:rsid w:val="00015055"/>
    <w:rsid w:val="00016B15"/>
    <w:rsid w:val="00016D7D"/>
    <w:rsid w:val="000205BB"/>
    <w:rsid w:val="00020C06"/>
    <w:rsid w:val="00021839"/>
    <w:rsid w:val="000223BA"/>
    <w:rsid w:val="000249D0"/>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E5D"/>
    <w:rsid w:val="00043330"/>
    <w:rsid w:val="00043B8D"/>
    <w:rsid w:val="0004454D"/>
    <w:rsid w:val="00044CB9"/>
    <w:rsid w:val="000459D1"/>
    <w:rsid w:val="00046726"/>
    <w:rsid w:val="0004700B"/>
    <w:rsid w:val="000471C4"/>
    <w:rsid w:val="00047380"/>
    <w:rsid w:val="00047496"/>
    <w:rsid w:val="00047864"/>
    <w:rsid w:val="00047964"/>
    <w:rsid w:val="00051139"/>
    <w:rsid w:val="000526FC"/>
    <w:rsid w:val="00053DD2"/>
    <w:rsid w:val="000541F4"/>
    <w:rsid w:val="00054540"/>
    <w:rsid w:val="00054B84"/>
    <w:rsid w:val="00054D7C"/>
    <w:rsid w:val="000552C4"/>
    <w:rsid w:val="000554AC"/>
    <w:rsid w:val="000569B1"/>
    <w:rsid w:val="0005747E"/>
    <w:rsid w:val="00057FE1"/>
    <w:rsid w:val="00060177"/>
    <w:rsid w:val="000603D2"/>
    <w:rsid w:val="00061062"/>
    <w:rsid w:val="0006122D"/>
    <w:rsid w:val="000614DC"/>
    <w:rsid w:val="00061632"/>
    <w:rsid w:val="0006281D"/>
    <w:rsid w:val="00062AC4"/>
    <w:rsid w:val="000630C0"/>
    <w:rsid w:val="00063347"/>
    <w:rsid w:val="00063586"/>
    <w:rsid w:val="00064037"/>
    <w:rsid w:val="000643EE"/>
    <w:rsid w:val="00064417"/>
    <w:rsid w:val="000648C6"/>
    <w:rsid w:val="0006505E"/>
    <w:rsid w:val="00065D25"/>
    <w:rsid w:val="00065DBA"/>
    <w:rsid w:val="0006666A"/>
    <w:rsid w:val="00066BC7"/>
    <w:rsid w:val="00067403"/>
    <w:rsid w:val="00067C14"/>
    <w:rsid w:val="0007054D"/>
    <w:rsid w:val="00071171"/>
    <w:rsid w:val="000711D9"/>
    <w:rsid w:val="000713C6"/>
    <w:rsid w:val="000715B5"/>
    <w:rsid w:val="00071C04"/>
    <w:rsid w:val="0007238B"/>
    <w:rsid w:val="00073213"/>
    <w:rsid w:val="000743C1"/>
    <w:rsid w:val="00074490"/>
    <w:rsid w:val="00075A7B"/>
    <w:rsid w:val="000768B7"/>
    <w:rsid w:val="00076AEB"/>
    <w:rsid w:val="00076C32"/>
    <w:rsid w:val="000772E3"/>
    <w:rsid w:val="00077A72"/>
    <w:rsid w:val="00077DA0"/>
    <w:rsid w:val="00081B44"/>
    <w:rsid w:val="000821DD"/>
    <w:rsid w:val="00082997"/>
    <w:rsid w:val="00083DA8"/>
    <w:rsid w:val="00084A85"/>
    <w:rsid w:val="00085710"/>
    <w:rsid w:val="0008644F"/>
    <w:rsid w:val="00087F0F"/>
    <w:rsid w:val="00090D1E"/>
    <w:rsid w:val="00090E6B"/>
    <w:rsid w:val="00091EF1"/>
    <w:rsid w:val="00092FE0"/>
    <w:rsid w:val="00093750"/>
    <w:rsid w:val="00094423"/>
    <w:rsid w:val="00094488"/>
    <w:rsid w:val="000949F0"/>
    <w:rsid w:val="00095CA6"/>
    <w:rsid w:val="00095F1C"/>
    <w:rsid w:val="00096082"/>
    <w:rsid w:val="0009617B"/>
    <w:rsid w:val="000968A2"/>
    <w:rsid w:val="000975B2"/>
    <w:rsid w:val="00097C41"/>
    <w:rsid w:val="000A0398"/>
    <w:rsid w:val="000A0B88"/>
    <w:rsid w:val="000A1B6E"/>
    <w:rsid w:val="000A1C84"/>
    <w:rsid w:val="000A1CF7"/>
    <w:rsid w:val="000A2515"/>
    <w:rsid w:val="000A260F"/>
    <w:rsid w:val="000A3154"/>
    <w:rsid w:val="000A5992"/>
    <w:rsid w:val="000A6549"/>
    <w:rsid w:val="000A7F92"/>
    <w:rsid w:val="000B0497"/>
    <w:rsid w:val="000B1B70"/>
    <w:rsid w:val="000B2B54"/>
    <w:rsid w:val="000B2C72"/>
    <w:rsid w:val="000B2E1A"/>
    <w:rsid w:val="000B3A8F"/>
    <w:rsid w:val="000B4A7E"/>
    <w:rsid w:val="000B4E9C"/>
    <w:rsid w:val="000B5890"/>
    <w:rsid w:val="000B66A1"/>
    <w:rsid w:val="000B77A3"/>
    <w:rsid w:val="000B7F3F"/>
    <w:rsid w:val="000C07AB"/>
    <w:rsid w:val="000C0C9A"/>
    <w:rsid w:val="000C0E29"/>
    <w:rsid w:val="000C12AC"/>
    <w:rsid w:val="000C15AC"/>
    <w:rsid w:val="000C2D83"/>
    <w:rsid w:val="000C2E2C"/>
    <w:rsid w:val="000C3186"/>
    <w:rsid w:val="000C4EA2"/>
    <w:rsid w:val="000C5E4D"/>
    <w:rsid w:val="000C726A"/>
    <w:rsid w:val="000C7D3C"/>
    <w:rsid w:val="000D0A14"/>
    <w:rsid w:val="000D1047"/>
    <w:rsid w:val="000D1169"/>
    <w:rsid w:val="000D1A9F"/>
    <w:rsid w:val="000D1DE1"/>
    <w:rsid w:val="000D22FD"/>
    <w:rsid w:val="000D26DF"/>
    <w:rsid w:val="000D3864"/>
    <w:rsid w:val="000D4335"/>
    <w:rsid w:val="000D4A71"/>
    <w:rsid w:val="000D531E"/>
    <w:rsid w:val="000D5E07"/>
    <w:rsid w:val="000D628E"/>
    <w:rsid w:val="000D6F64"/>
    <w:rsid w:val="000D7CFD"/>
    <w:rsid w:val="000E0006"/>
    <w:rsid w:val="000E0F39"/>
    <w:rsid w:val="000E14B4"/>
    <w:rsid w:val="000E1C17"/>
    <w:rsid w:val="000E1D43"/>
    <w:rsid w:val="000E272E"/>
    <w:rsid w:val="000E3218"/>
    <w:rsid w:val="000E3453"/>
    <w:rsid w:val="000E3A32"/>
    <w:rsid w:val="000E3A64"/>
    <w:rsid w:val="000E3F6A"/>
    <w:rsid w:val="000E43C6"/>
    <w:rsid w:val="000E4996"/>
    <w:rsid w:val="000E4B30"/>
    <w:rsid w:val="000E5A5D"/>
    <w:rsid w:val="000E5EE7"/>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FE4"/>
    <w:rsid w:val="000F58E7"/>
    <w:rsid w:val="000F59D2"/>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4D89"/>
    <w:rsid w:val="001150B9"/>
    <w:rsid w:val="00115245"/>
    <w:rsid w:val="00116524"/>
    <w:rsid w:val="001165F1"/>
    <w:rsid w:val="00116ADA"/>
    <w:rsid w:val="0011705A"/>
    <w:rsid w:val="001173C1"/>
    <w:rsid w:val="0011763B"/>
    <w:rsid w:val="0011783C"/>
    <w:rsid w:val="0012061B"/>
    <w:rsid w:val="00120DB7"/>
    <w:rsid w:val="001210C6"/>
    <w:rsid w:val="00121310"/>
    <w:rsid w:val="001214B2"/>
    <w:rsid w:val="0012259D"/>
    <w:rsid w:val="00122942"/>
    <w:rsid w:val="0012364D"/>
    <w:rsid w:val="00123DC2"/>
    <w:rsid w:val="0012426D"/>
    <w:rsid w:val="001243FC"/>
    <w:rsid w:val="00124662"/>
    <w:rsid w:val="00125BDA"/>
    <w:rsid w:val="0012605F"/>
    <w:rsid w:val="00126A19"/>
    <w:rsid w:val="00126ABB"/>
    <w:rsid w:val="00127ADA"/>
    <w:rsid w:val="00130F92"/>
    <w:rsid w:val="00131007"/>
    <w:rsid w:val="00131CCD"/>
    <w:rsid w:val="00131FC6"/>
    <w:rsid w:val="00132013"/>
    <w:rsid w:val="00133466"/>
    <w:rsid w:val="00133A23"/>
    <w:rsid w:val="00134036"/>
    <w:rsid w:val="00134B79"/>
    <w:rsid w:val="00137B70"/>
    <w:rsid w:val="00140B02"/>
    <w:rsid w:val="00141AF1"/>
    <w:rsid w:val="0014208E"/>
    <w:rsid w:val="001429DD"/>
    <w:rsid w:val="00143E0F"/>
    <w:rsid w:val="00143F69"/>
    <w:rsid w:val="001441DA"/>
    <w:rsid w:val="00145B6A"/>
    <w:rsid w:val="001468BA"/>
    <w:rsid w:val="00146DDD"/>
    <w:rsid w:val="00147720"/>
    <w:rsid w:val="0015010C"/>
    <w:rsid w:val="00150C6C"/>
    <w:rsid w:val="0015121B"/>
    <w:rsid w:val="00151489"/>
    <w:rsid w:val="00153BCD"/>
    <w:rsid w:val="00154728"/>
    <w:rsid w:val="0015650B"/>
    <w:rsid w:val="0015676D"/>
    <w:rsid w:val="001567D0"/>
    <w:rsid w:val="00157759"/>
    <w:rsid w:val="0015786A"/>
    <w:rsid w:val="00157C3E"/>
    <w:rsid w:val="00160F54"/>
    <w:rsid w:val="00161B42"/>
    <w:rsid w:val="0016348C"/>
    <w:rsid w:val="00164BE7"/>
    <w:rsid w:val="001650A8"/>
    <w:rsid w:val="001652B4"/>
    <w:rsid w:val="0016546B"/>
    <w:rsid w:val="00165F11"/>
    <w:rsid w:val="00167B5A"/>
    <w:rsid w:val="00167BB4"/>
    <w:rsid w:val="0017016C"/>
    <w:rsid w:val="00170D47"/>
    <w:rsid w:val="0017129E"/>
    <w:rsid w:val="00171543"/>
    <w:rsid w:val="00171A7F"/>
    <w:rsid w:val="00172322"/>
    <w:rsid w:val="00172E31"/>
    <w:rsid w:val="00172F5D"/>
    <w:rsid w:val="00173B17"/>
    <w:rsid w:val="00173C62"/>
    <w:rsid w:val="00173DFC"/>
    <w:rsid w:val="0017472F"/>
    <w:rsid w:val="001750DB"/>
    <w:rsid w:val="0017518A"/>
    <w:rsid w:val="00175E7C"/>
    <w:rsid w:val="001779BC"/>
    <w:rsid w:val="00180CD7"/>
    <w:rsid w:val="001812DE"/>
    <w:rsid w:val="001822E1"/>
    <w:rsid w:val="00183192"/>
    <w:rsid w:val="00183E73"/>
    <w:rsid w:val="00184911"/>
    <w:rsid w:val="001875BD"/>
    <w:rsid w:val="001879BC"/>
    <w:rsid w:val="00192693"/>
    <w:rsid w:val="00193169"/>
    <w:rsid w:val="0019325C"/>
    <w:rsid w:val="001935AD"/>
    <w:rsid w:val="00193712"/>
    <w:rsid w:val="00193F31"/>
    <w:rsid w:val="00194234"/>
    <w:rsid w:val="0019451B"/>
    <w:rsid w:val="00195605"/>
    <w:rsid w:val="0019568E"/>
    <w:rsid w:val="001969C8"/>
    <w:rsid w:val="00196AFF"/>
    <w:rsid w:val="00197791"/>
    <w:rsid w:val="00197C67"/>
    <w:rsid w:val="001A00B3"/>
    <w:rsid w:val="001A00C1"/>
    <w:rsid w:val="001A0391"/>
    <w:rsid w:val="001A20AA"/>
    <w:rsid w:val="001A2212"/>
    <w:rsid w:val="001A2FD7"/>
    <w:rsid w:val="001A3CF6"/>
    <w:rsid w:val="001A6457"/>
    <w:rsid w:val="001A7558"/>
    <w:rsid w:val="001A7D24"/>
    <w:rsid w:val="001B053D"/>
    <w:rsid w:val="001B0765"/>
    <w:rsid w:val="001B091A"/>
    <w:rsid w:val="001B09A6"/>
    <w:rsid w:val="001B09DA"/>
    <w:rsid w:val="001B0E3A"/>
    <w:rsid w:val="001B1309"/>
    <w:rsid w:val="001B2D50"/>
    <w:rsid w:val="001B2E80"/>
    <w:rsid w:val="001B576D"/>
    <w:rsid w:val="001B65A6"/>
    <w:rsid w:val="001B7B60"/>
    <w:rsid w:val="001C057A"/>
    <w:rsid w:val="001C0BDD"/>
    <w:rsid w:val="001C318A"/>
    <w:rsid w:val="001C3706"/>
    <w:rsid w:val="001C38A1"/>
    <w:rsid w:val="001C58CC"/>
    <w:rsid w:val="001C5BE4"/>
    <w:rsid w:val="001C5EF4"/>
    <w:rsid w:val="001C5FF8"/>
    <w:rsid w:val="001C61FF"/>
    <w:rsid w:val="001C77DD"/>
    <w:rsid w:val="001C7BF6"/>
    <w:rsid w:val="001C7C4D"/>
    <w:rsid w:val="001D0DC4"/>
    <w:rsid w:val="001D1780"/>
    <w:rsid w:val="001D204D"/>
    <w:rsid w:val="001D2565"/>
    <w:rsid w:val="001D260C"/>
    <w:rsid w:val="001D397D"/>
    <w:rsid w:val="001D41F1"/>
    <w:rsid w:val="001D55F9"/>
    <w:rsid w:val="001D5949"/>
    <w:rsid w:val="001D636C"/>
    <w:rsid w:val="001D7859"/>
    <w:rsid w:val="001E0460"/>
    <w:rsid w:val="001E060F"/>
    <w:rsid w:val="001E0613"/>
    <w:rsid w:val="001E0775"/>
    <w:rsid w:val="001E1114"/>
    <w:rsid w:val="001E142F"/>
    <w:rsid w:val="001E174B"/>
    <w:rsid w:val="001E1F7D"/>
    <w:rsid w:val="001E23CC"/>
    <w:rsid w:val="001E2974"/>
    <w:rsid w:val="001E3931"/>
    <w:rsid w:val="001E3CE9"/>
    <w:rsid w:val="001E3E25"/>
    <w:rsid w:val="001E447A"/>
    <w:rsid w:val="001E5131"/>
    <w:rsid w:val="001E77C7"/>
    <w:rsid w:val="001E7DA7"/>
    <w:rsid w:val="001F035B"/>
    <w:rsid w:val="001F0581"/>
    <w:rsid w:val="001F05C0"/>
    <w:rsid w:val="001F1468"/>
    <w:rsid w:val="001F1531"/>
    <w:rsid w:val="001F1D54"/>
    <w:rsid w:val="001F2977"/>
    <w:rsid w:val="001F2E35"/>
    <w:rsid w:val="001F36A0"/>
    <w:rsid w:val="001F3CAE"/>
    <w:rsid w:val="001F6FF1"/>
    <w:rsid w:val="001F7561"/>
    <w:rsid w:val="001F7976"/>
    <w:rsid w:val="001F7FC2"/>
    <w:rsid w:val="0020161E"/>
    <w:rsid w:val="00201FE1"/>
    <w:rsid w:val="0020229A"/>
    <w:rsid w:val="00202F97"/>
    <w:rsid w:val="00203048"/>
    <w:rsid w:val="002034A7"/>
    <w:rsid w:val="00203FBE"/>
    <w:rsid w:val="002053DD"/>
    <w:rsid w:val="00207AFE"/>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A1B"/>
    <w:rsid w:val="002204A3"/>
    <w:rsid w:val="00221808"/>
    <w:rsid w:val="0022241E"/>
    <w:rsid w:val="002234ED"/>
    <w:rsid w:val="002235CA"/>
    <w:rsid w:val="00223928"/>
    <w:rsid w:val="00223968"/>
    <w:rsid w:val="00223AC3"/>
    <w:rsid w:val="0022426E"/>
    <w:rsid w:val="00227680"/>
    <w:rsid w:val="00230D61"/>
    <w:rsid w:val="00231437"/>
    <w:rsid w:val="00232962"/>
    <w:rsid w:val="00232E52"/>
    <w:rsid w:val="00233F36"/>
    <w:rsid w:val="002346DB"/>
    <w:rsid w:val="00234C6F"/>
    <w:rsid w:val="00234E67"/>
    <w:rsid w:val="00234F48"/>
    <w:rsid w:val="0023625A"/>
    <w:rsid w:val="0023769E"/>
    <w:rsid w:val="0023795E"/>
    <w:rsid w:val="00237B60"/>
    <w:rsid w:val="002400E6"/>
    <w:rsid w:val="00241917"/>
    <w:rsid w:val="00242380"/>
    <w:rsid w:val="002423C2"/>
    <w:rsid w:val="00242CFB"/>
    <w:rsid w:val="00243294"/>
    <w:rsid w:val="00243730"/>
    <w:rsid w:val="002437F9"/>
    <w:rsid w:val="0024456B"/>
    <w:rsid w:val="00245436"/>
    <w:rsid w:val="00245933"/>
    <w:rsid w:val="00246473"/>
    <w:rsid w:val="0024690C"/>
    <w:rsid w:val="00246FA7"/>
    <w:rsid w:val="002476CA"/>
    <w:rsid w:val="00247A69"/>
    <w:rsid w:val="00250982"/>
    <w:rsid w:val="002509A5"/>
    <w:rsid w:val="00250BB3"/>
    <w:rsid w:val="00251183"/>
    <w:rsid w:val="002516D7"/>
    <w:rsid w:val="00251D3D"/>
    <w:rsid w:val="00253B4E"/>
    <w:rsid w:val="002543D0"/>
    <w:rsid w:val="00254988"/>
    <w:rsid w:val="00254E57"/>
    <w:rsid w:val="00254EE5"/>
    <w:rsid w:val="00254EFF"/>
    <w:rsid w:val="0025579B"/>
    <w:rsid w:val="0025707E"/>
    <w:rsid w:val="00257764"/>
    <w:rsid w:val="0026073B"/>
    <w:rsid w:val="0026229C"/>
    <w:rsid w:val="00262464"/>
    <w:rsid w:val="0026250F"/>
    <w:rsid w:val="00263E02"/>
    <w:rsid w:val="0026449D"/>
    <w:rsid w:val="00264DCB"/>
    <w:rsid w:val="002665ED"/>
    <w:rsid w:val="00266C60"/>
    <w:rsid w:val="00266D99"/>
    <w:rsid w:val="00266E62"/>
    <w:rsid w:val="0026703D"/>
    <w:rsid w:val="00267073"/>
    <w:rsid w:val="00270095"/>
    <w:rsid w:val="00270F2A"/>
    <w:rsid w:val="00272701"/>
    <w:rsid w:val="00272F4E"/>
    <w:rsid w:val="002738C6"/>
    <w:rsid w:val="00273E45"/>
    <w:rsid w:val="00273FB9"/>
    <w:rsid w:val="00274568"/>
    <w:rsid w:val="002749DA"/>
    <w:rsid w:val="00275010"/>
    <w:rsid w:val="0027593C"/>
    <w:rsid w:val="00275C46"/>
    <w:rsid w:val="00276A99"/>
    <w:rsid w:val="00276AA7"/>
    <w:rsid w:val="0027781A"/>
    <w:rsid w:val="0027791B"/>
    <w:rsid w:val="00277E90"/>
    <w:rsid w:val="00282000"/>
    <w:rsid w:val="00282F55"/>
    <w:rsid w:val="00283001"/>
    <w:rsid w:val="0028385F"/>
    <w:rsid w:val="00283DF8"/>
    <w:rsid w:val="0028471A"/>
    <w:rsid w:val="00284DC8"/>
    <w:rsid w:val="002858B6"/>
    <w:rsid w:val="00285E30"/>
    <w:rsid w:val="00286941"/>
    <w:rsid w:val="00286E0F"/>
    <w:rsid w:val="00287E8B"/>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55E"/>
    <w:rsid w:val="002A1876"/>
    <w:rsid w:val="002A20ED"/>
    <w:rsid w:val="002A218B"/>
    <w:rsid w:val="002A27C9"/>
    <w:rsid w:val="002A29CB"/>
    <w:rsid w:val="002A3E4C"/>
    <w:rsid w:val="002A414E"/>
    <w:rsid w:val="002A41E2"/>
    <w:rsid w:val="002A42E3"/>
    <w:rsid w:val="002A4D60"/>
    <w:rsid w:val="002A53A6"/>
    <w:rsid w:val="002A5F21"/>
    <w:rsid w:val="002A6480"/>
    <w:rsid w:val="002A72E7"/>
    <w:rsid w:val="002B00FA"/>
    <w:rsid w:val="002B04FF"/>
    <w:rsid w:val="002B1672"/>
    <w:rsid w:val="002B3426"/>
    <w:rsid w:val="002B4223"/>
    <w:rsid w:val="002B4B3D"/>
    <w:rsid w:val="002B6034"/>
    <w:rsid w:val="002B6910"/>
    <w:rsid w:val="002C0251"/>
    <w:rsid w:val="002C0292"/>
    <w:rsid w:val="002C239D"/>
    <w:rsid w:val="002C2A8C"/>
    <w:rsid w:val="002C2FC7"/>
    <w:rsid w:val="002C3D8A"/>
    <w:rsid w:val="002C3E50"/>
    <w:rsid w:val="002C47C9"/>
    <w:rsid w:val="002C47ED"/>
    <w:rsid w:val="002C4854"/>
    <w:rsid w:val="002C4AE6"/>
    <w:rsid w:val="002C4E67"/>
    <w:rsid w:val="002C5866"/>
    <w:rsid w:val="002C5E26"/>
    <w:rsid w:val="002C72C1"/>
    <w:rsid w:val="002C7E8F"/>
    <w:rsid w:val="002D0463"/>
    <w:rsid w:val="002D06B4"/>
    <w:rsid w:val="002D0CA6"/>
    <w:rsid w:val="002D0D85"/>
    <w:rsid w:val="002D1185"/>
    <w:rsid w:val="002D1A05"/>
    <w:rsid w:val="002D1D8D"/>
    <w:rsid w:val="002D1F01"/>
    <w:rsid w:val="002D307B"/>
    <w:rsid w:val="002D34CB"/>
    <w:rsid w:val="002D3BDC"/>
    <w:rsid w:val="002D4178"/>
    <w:rsid w:val="002D436D"/>
    <w:rsid w:val="002D494B"/>
    <w:rsid w:val="002D4F6A"/>
    <w:rsid w:val="002D54F2"/>
    <w:rsid w:val="002D616A"/>
    <w:rsid w:val="002D6260"/>
    <w:rsid w:val="002D635F"/>
    <w:rsid w:val="002D64B9"/>
    <w:rsid w:val="002D6A5F"/>
    <w:rsid w:val="002D71F1"/>
    <w:rsid w:val="002D7496"/>
    <w:rsid w:val="002E1E8E"/>
    <w:rsid w:val="002E30D6"/>
    <w:rsid w:val="002E3223"/>
    <w:rsid w:val="002E3B6F"/>
    <w:rsid w:val="002E3F05"/>
    <w:rsid w:val="002E48E8"/>
    <w:rsid w:val="002E4B25"/>
    <w:rsid w:val="002E59C3"/>
    <w:rsid w:val="002E68D9"/>
    <w:rsid w:val="002E6C8A"/>
    <w:rsid w:val="002F03B7"/>
    <w:rsid w:val="002F12CF"/>
    <w:rsid w:val="002F179E"/>
    <w:rsid w:val="002F23AD"/>
    <w:rsid w:val="002F2584"/>
    <w:rsid w:val="002F269D"/>
    <w:rsid w:val="002F3120"/>
    <w:rsid w:val="002F38B6"/>
    <w:rsid w:val="002F3D9A"/>
    <w:rsid w:val="002F3F6E"/>
    <w:rsid w:val="002F4438"/>
    <w:rsid w:val="002F44A8"/>
    <w:rsid w:val="002F450F"/>
    <w:rsid w:val="002F5701"/>
    <w:rsid w:val="002F5E51"/>
    <w:rsid w:val="002F62EF"/>
    <w:rsid w:val="002F6A67"/>
    <w:rsid w:val="002F7953"/>
    <w:rsid w:val="002F7E5A"/>
    <w:rsid w:val="00300D09"/>
    <w:rsid w:val="00301246"/>
    <w:rsid w:val="003015A2"/>
    <w:rsid w:val="003027FB"/>
    <w:rsid w:val="00302F6F"/>
    <w:rsid w:val="0030423E"/>
    <w:rsid w:val="00306A46"/>
    <w:rsid w:val="00306F13"/>
    <w:rsid w:val="0030786B"/>
    <w:rsid w:val="0030786F"/>
    <w:rsid w:val="0031001C"/>
    <w:rsid w:val="0031072D"/>
    <w:rsid w:val="00310E3A"/>
    <w:rsid w:val="00311540"/>
    <w:rsid w:val="00311EF2"/>
    <w:rsid w:val="003142CB"/>
    <w:rsid w:val="003144DF"/>
    <w:rsid w:val="00314652"/>
    <w:rsid w:val="00314713"/>
    <w:rsid w:val="00315C08"/>
    <w:rsid w:val="0031674B"/>
    <w:rsid w:val="00320434"/>
    <w:rsid w:val="0032085D"/>
    <w:rsid w:val="00320976"/>
    <w:rsid w:val="003210CC"/>
    <w:rsid w:val="00321382"/>
    <w:rsid w:val="00321949"/>
    <w:rsid w:val="00321AF2"/>
    <w:rsid w:val="00322320"/>
    <w:rsid w:val="0032281E"/>
    <w:rsid w:val="003233E5"/>
    <w:rsid w:val="003237DC"/>
    <w:rsid w:val="00323A05"/>
    <w:rsid w:val="00323B14"/>
    <w:rsid w:val="003243A3"/>
    <w:rsid w:val="00324CE5"/>
    <w:rsid w:val="00324ECD"/>
    <w:rsid w:val="00325DA4"/>
    <w:rsid w:val="00326267"/>
    <w:rsid w:val="00327290"/>
    <w:rsid w:val="003277DB"/>
    <w:rsid w:val="00332113"/>
    <w:rsid w:val="0033242B"/>
    <w:rsid w:val="00332969"/>
    <w:rsid w:val="00332E2C"/>
    <w:rsid w:val="0033345D"/>
    <w:rsid w:val="0033361E"/>
    <w:rsid w:val="00333727"/>
    <w:rsid w:val="00333BED"/>
    <w:rsid w:val="00333EAB"/>
    <w:rsid w:val="00334DDA"/>
    <w:rsid w:val="0033663E"/>
    <w:rsid w:val="00337520"/>
    <w:rsid w:val="003377E4"/>
    <w:rsid w:val="0033792D"/>
    <w:rsid w:val="003379B6"/>
    <w:rsid w:val="00337BFA"/>
    <w:rsid w:val="0034022B"/>
    <w:rsid w:val="003402BE"/>
    <w:rsid w:val="00340833"/>
    <w:rsid w:val="00340835"/>
    <w:rsid w:val="00340D11"/>
    <w:rsid w:val="003411B4"/>
    <w:rsid w:val="0034200E"/>
    <w:rsid w:val="00342371"/>
    <w:rsid w:val="003423FB"/>
    <w:rsid w:val="00343D1C"/>
    <w:rsid w:val="00344380"/>
    <w:rsid w:val="00345162"/>
    <w:rsid w:val="0034585F"/>
    <w:rsid w:val="00345E57"/>
    <w:rsid w:val="00346597"/>
    <w:rsid w:val="0034732B"/>
    <w:rsid w:val="00347644"/>
    <w:rsid w:val="00347A57"/>
    <w:rsid w:val="00347D50"/>
    <w:rsid w:val="00350E9F"/>
    <w:rsid w:val="00351867"/>
    <w:rsid w:val="00351EB9"/>
    <w:rsid w:val="0035298A"/>
    <w:rsid w:val="00353582"/>
    <w:rsid w:val="00355250"/>
    <w:rsid w:val="0035551B"/>
    <w:rsid w:val="00355B81"/>
    <w:rsid w:val="0035666A"/>
    <w:rsid w:val="003574FA"/>
    <w:rsid w:val="00361B40"/>
    <w:rsid w:val="0036200C"/>
    <w:rsid w:val="00362780"/>
    <w:rsid w:val="00362E58"/>
    <w:rsid w:val="003631D1"/>
    <w:rsid w:val="00363775"/>
    <w:rsid w:val="00364101"/>
    <w:rsid w:val="00364234"/>
    <w:rsid w:val="00365830"/>
    <w:rsid w:val="00365917"/>
    <w:rsid w:val="00365A12"/>
    <w:rsid w:val="00365BE3"/>
    <w:rsid w:val="003663D8"/>
    <w:rsid w:val="00366B8C"/>
    <w:rsid w:val="003675A8"/>
    <w:rsid w:val="00367714"/>
    <w:rsid w:val="0037030F"/>
    <w:rsid w:val="00370D8B"/>
    <w:rsid w:val="003718A7"/>
    <w:rsid w:val="00372281"/>
    <w:rsid w:val="00372CBD"/>
    <w:rsid w:val="00373547"/>
    <w:rsid w:val="003739AA"/>
    <w:rsid w:val="00373C3F"/>
    <w:rsid w:val="00373C7E"/>
    <w:rsid w:val="00373F9A"/>
    <w:rsid w:val="00375BE7"/>
    <w:rsid w:val="00376B0F"/>
    <w:rsid w:val="00377B92"/>
    <w:rsid w:val="00377B94"/>
    <w:rsid w:val="003804B1"/>
    <w:rsid w:val="003806EF"/>
    <w:rsid w:val="00381242"/>
    <w:rsid w:val="0038157E"/>
    <w:rsid w:val="00381DE5"/>
    <w:rsid w:val="0038279A"/>
    <w:rsid w:val="003848B1"/>
    <w:rsid w:val="00384ED6"/>
    <w:rsid w:val="00386437"/>
    <w:rsid w:val="00386BC7"/>
    <w:rsid w:val="00387DE2"/>
    <w:rsid w:val="0039031B"/>
    <w:rsid w:val="00390810"/>
    <w:rsid w:val="00390B8B"/>
    <w:rsid w:val="00390CD4"/>
    <w:rsid w:val="00391307"/>
    <w:rsid w:val="00392844"/>
    <w:rsid w:val="0039441B"/>
    <w:rsid w:val="00394779"/>
    <w:rsid w:val="003947BF"/>
    <w:rsid w:val="00395DFD"/>
    <w:rsid w:val="0039615F"/>
    <w:rsid w:val="00396313"/>
    <w:rsid w:val="00396697"/>
    <w:rsid w:val="0039673B"/>
    <w:rsid w:val="00396FE4"/>
    <w:rsid w:val="00397D1B"/>
    <w:rsid w:val="003A0084"/>
    <w:rsid w:val="003A0085"/>
    <w:rsid w:val="003A01AE"/>
    <w:rsid w:val="003A0313"/>
    <w:rsid w:val="003A0790"/>
    <w:rsid w:val="003A0E19"/>
    <w:rsid w:val="003A0F42"/>
    <w:rsid w:val="003A1665"/>
    <w:rsid w:val="003A2561"/>
    <w:rsid w:val="003A269B"/>
    <w:rsid w:val="003A367D"/>
    <w:rsid w:val="003A3A10"/>
    <w:rsid w:val="003A463D"/>
    <w:rsid w:val="003A5026"/>
    <w:rsid w:val="003A516F"/>
    <w:rsid w:val="003A54CA"/>
    <w:rsid w:val="003A54EC"/>
    <w:rsid w:val="003A56C5"/>
    <w:rsid w:val="003A60E8"/>
    <w:rsid w:val="003A64C9"/>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F8B"/>
    <w:rsid w:val="003B7156"/>
    <w:rsid w:val="003B7524"/>
    <w:rsid w:val="003C060F"/>
    <w:rsid w:val="003C075C"/>
    <w:rsid w:val="003C0D92"/>
    <w:rsid w:val="003C0DF1"/>
    <w:rsid w:val="003C0F44"/>
    <w:rsid w:val="003C20C9"/>
    <w:rsid w:val="003C40D7"/>
    <w:rsid w:val="003C42BE"/>
    <w:rsid w:val="003C46C0"/>
    <w:rsid w:val="003C4E9C"/>
    <w:rsid w:val="003C6443"/>
    <w:rsid w:val="003C6F44"/>
    <w:rsid w:val="003C7290"/>
    <w:rsid w:val="003C74B4"/>
    <w:rsid w:val="003C76B2"/>
    <w:rsid w:val="003C785A"/>
    <w:rsid w:val="003C78B6"/>
    <w:rsid w:val="003C7EF1"/>
    <w:rsid w:val="003D130B"/>
    <w:rsid w:val="003D139F"/>
    <w:rsid w:val="003D24B8"/>
    <w:rsid w:val="003D3D85"/>
    <w:rsid w:val="003D4381"/>
    <w:rsid w:val="003D4D27"/>
    <w:rsid w:val="003D4EFC"/>
    <w:rsid w:val="003D5332"/>
    <w:rsid w:val="003D6C2F"/>
    <w:rsid w:val="003D6D58"/>
    <w:rsid w:val="003D6F8F"/>
    <w:rsid w:val="003D766C"/>
    <w:rsid w:val="003D7FD0"/>
    <w:rsid w:val="003E0545"/>
    <w:rsid w:val="003E0F70"/>
    <w:rsid w:val="003E24EA"/>
    <w:rsid w:val="003E2957"/>
    <w:rsid w:val="003E36B6"/>
    <w:rsid w:val="003E3ADD"/>
    <w:rsid w:val="003E44A5"/>
    <w:rsid w:val="003E4764"/>
    <w:rsid w:val="003E4A0B"/>
    <w:rsid w:val="003E5F73"/>
    <w:rsid w:val="003E63AC"/>
    <w:rsid w:val="003E63C2"/>
    <w:rsid w:val="003E64CD"/>
    <w:rsid w:val="003E6788"/>
    <w:rsid w:val="003E754A"/>
    <w:rsid w:val="003E7624"/>
    <w:rsid w:val="003F09BA"/>
    <w:rsid w:val="003F0E59"/>
    <w:rsid w:val="003F1888"/>
    <w:rsid w:val="003F2E19"/>
    <w:rsid w:val="003F3D84"/>
    <w:rsid w:val="003F462F"/>
    <w:rsid w:val="003F50E3"/>
    <w:rsid w:val="003F5B4E"/>
    <w:rsid w:val="003F6BE7"/>
    <w:rsid w:val="003F7FBE"/>
    <w:rsid w:val="004008D2"/>
    <w:rsid w:val="00400A31"/>
    <w:rsid w:val="0040188D"/>
    <w:rsid w:val="00402DEF"/>
    <w:rsid w:val="00403234"/>
    <w:rsid w:val="00404CAF"/>
    <w:rsid w:val="00404F05"/>
    <w:rsid w:val="00404F42"/>
    <w:rsid w:val="00405E30"/>
    <w:rsid w:val="0040616D"/>
    <w:rsid w:val="0040676E"/>
    <w:rsid w:val="00406923"/>
    <w:rsid w:val="00407776"/>
    <w:rsid w:val="0041008C"/>
    <w:rsid w:val="004102F8"/>
    <w:rsid w:val="0041032D"/>
    <w:rsid w:val="00411184"/>
    <w:rsid w:val="004112E3"/>
    <w:rsid w:val="00411ECB"/>
    <w:rsid w:val="00412D3E"/>
    <w:rsid w:val="004138A7"/>
    <w:rsid w:val="00413A73"/>
    <w:rsid w:val="00414491"/>
    <w:rsid w:val="00414F15"/>
    <w:rsid w:val="004158AA"/>
    <w:rsid w:val="004159A7"/>
    <w:rsid w:val="004203D2"/>
    <w:rsid w:val="00420462"/>
    <w:rsid w:val="0042067C"/>
    <w:rsid w:val="00421D5E"/>
    <w:rsid w:val="004225C0"/>
    <w:rsid w:val="0042348C"/>
    <w:rsid w:val="004236B7"/>
    <w:rsid w:val="0042399B"/>
    <w:rsid w:val="00423AA2"/>
    <w:rsid w:val="0042517A"/>
    <w:rsid w:val="004263DD"/>
    <w:rsid w:val="00427140"/>
    <w:rsid w:val="00427427"/>
    <w:rsid w:val="00427A9D"/>
    <w:rsid w:val="00430E10"/>
    <w:rsid w:val="00431021"/>
    <w:rsid w:val="0043126A"/>
    <w:rsid w:val="004315A6"/>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C23"/>
    <w:rsid w:val="004444FE"/>
    <w:rsid w:val="004462A3"/>
    <w:rsid w:val="004469AE"/>
    <w:rsid w:val="00446DAF"/>
    <w:rsid w:val="004472C4"/>
    <w:rsid w:val="004475C5"/>
    <w:rsid w:val="0044775E"/>
    <w:rsid w:val="0045091A"/>
    <w:rsid w:val="00450988"/>
    <w:rsid w:val="00450A43"/>
    <w:rsid w:val="004513B9"/>
    <w:rsid w:val="00451B01"/>
    <w:rsid w:val="00452C5E"/>
    <w:rsid w:val="00452EDC"/>
    <w:rsid w:val="00452F24"/>
    <w:rsid w:val="00454018"/>
    <w:rsid w:val="004544EC"/>
    <w:rsid w:val="0045457A"/>
    <w:rsid w:val="004548FA"/>
    <w:rsid w:val="00455CF9"/>
    <w:rsid w:val="00456E51"/>
    <w:rsid w:val="00456FFD"/>
    <w:rsid w:val="004571E7"/>
    <w:rsid w:val="00457466"/>
    <w:rsid w:val="004574B7"/>
    <w:rsid w:val="00457DD8"/>
    <w:rsid w:val="004609DA"/>
    <w:rsid w:val="0046101D"/>
    <w:rsid w:val="00461699"/>
    <w:rsid w:val="00461849"/>
    <w:rsid w:val="00461854"/>
    <w:rsid w:val="00461C68"/>
    <w:rsid w:val="00462590"/>
    <w:rsid w:val="00462E67"/>
    <w:rsid w:val="00463C95"/>
    <w:rsid w:val="004643C0"/>
    <w:rsid w:val="00464948"/>
    <w:rsid w:val="004651B8"/>
    <w:rsid w:val="00465206"/>
    <w:rsid w:val="004661F8"/>
    <w:rsid w:val="00466EED"/>
    <w:rsid w:val="00467E72"/>
    <w:rsid w:val="0047035C"/>
    <w:rsid w:val="00470636"/>
    <w:rsid w:val="00470CE1"/>
    <w:rsid w:val="004711BE"/>
    <w:rsid w:val="004712CC"/>
    <w:rsid w:val="00471CD6"/>
    <w:rsid w:val="00471DAE"/>
    <w:rsid w:val="004724C4"/>
    <w:rsid w:val="00472D3B"/>
    <w:rsid w:val="004730CF"/>
    <w:rsid w:val="00473818"/>
    <w:rsid w:val="00474025"/>
    <w:rsid w:val="004742B6"/>
    <w:rsid w:val="0047447E"/>
    <w:rsid w:val="004744FB"/>
    <w:rsid w:val="00475159"/>
    <w:rsid w:val="004751E6"/>
    <w:rsid w:val="0047570E"/>
    <w:rsid w:val="0047571E"/>
    <w:rsid w:val="00475B92"/>
    <w:rsid w:val="004763AB"/>
    <w:rsid w:val="00476EC1"/>
    <w:rsid w:val="004776BE"/>
    <w:rsid w:val="00480AAB"/>
    <w:rsid w:val="004818C0"/>
    <w:rsid w:val="00481CBE"/>
    <w:rsid w:val="0048276D"/>
    <w:rsid w:val="00482EB0"/>
    <w:rsid w:val="00484575"/>
    <w:rsid w:val="0048472E"/>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6AD"/>
    <w:rsid w:val="004962E9"/>
    <w:rsid w:val="004A02B0"/>
    <w:rsid w:val="004A1968"/>
    <w:rsid w:val="004A1EA1"/>
    <w:rsid w:val="004A383D"/>
    <w:rsid w:val="004A468E"/>
    <w:rsid w:val="004A5A06"/>
    <w:rsid w:val="004A63CC"/>
    <w:rsid w:val="004A6508"/>
    <w:rsid w:val="004A7652"/>
    <w:rsid w:val="004A7B23"/>
    <w:rsid w:val="004B08C4"/>
    <w:rsid w:val="004B0E80"/>
    <w:rsid w:val="004B1421"/>
    <w:rsid w:val="004B2BDB"/>
    <w:rsid w:val="004B3290"/>
    <w:rsid w:val="004B4530"/>
    <w:rsid w:val="004B45BF"/>
    <w:rsid w:val="004B5C5F"/>
    <w:rsid w:val="004B5EE2"/>
    <w:rsid w:val="004B6487"/>
    <w:rsid w:val="004B6E2D"/>
    <w:rsid w:val="004B74B9"/>
    <w:rsid w:val="004C0BEF"/>
    <w:rsid w:val="004C24BA"/>
    <w:rsid w:val="004C24F9"/>
    <w:rsid w:val="004C39F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B97"/>
    <w:rsid w:val="004D1C16"/>
    <w:rsid w:val="004D27EB"/>
    <w:rsid w:val="004D2A60"/>
    <w:rsid w:val="004D37A4"/>
    <w:rsid w:val="004D3988"/>
    <w:rsid w:val="004D3B5E"/>
    <w:rsid w:val="004D4143"/>
    <w:rsid w:val="004D452A"/>
    <w:rsid w:val="004D457C"/>
    <w:rsid w:val="004D4DBF"/>
    <w:rsid w:val="004D551D"/>
    <w:rsid w:val="004D575D"/>
    <w:rsid w:val="004D6199"/>
    <w:rsid w:val="004D70F5"/>
    <w:rsid w:val="004D757C"/>
    <w:rsid w:val="004D7A0D"/>
    <w:rsid w:val="004D7A4A"/>
    <w:rsid w:val="004D7BD2"/>
    <w:rsid w:val="004D7E05"/>
    <w:rsid w:val="004E0260"/>
    <w:rsid w:val="004E0498"/>
    <w:rsid w:val="004E06EC"/>
    <w:rsid w:val="004E06FF"/>
    <w:rsid w:val="004E17AF"/>
    <w:rsid w:val="004E1D23"/>
    <w:rsid w:val="004E2560"/>
    <w:rsid w:val="004E269A"/>
    <w:rsid w:val="004E4B03"/>
    <w:rsid w:val="004E4FE3"/>
    <w:rsid w:val="004E596A"/>
    <w:rsid w:val="004E5C2E"/>
    <w:rsid w:val="004E5EEE"/>
    <w:rsid w:val="004E7445"/>
    <w:rsid w:val="004E7CA6"/>
    <w:rsid w:val="004F0181"/>
    <w:rsid w:val="004F054E"/>
    <w:rsid w:val="004F1B26"/>
    <w:rsid w:val="004F1EAF"/>
    <w:rsid w:val="004F2CEC"/>
    <w:rsid w:val="004F31FC"/>
    <w:rsid w:val="004F42BF"/>
    <w:rsid w:val="004F4393"/>
    <w:rsid w:val="004F4A02"/>
    <w:rsid w:val="004F4F72"/>
    <w:rsid w:val="004F530C"/>
    <w:rsid w:val="004F6227"/>
    <w:rsid w:val="004F68B9"/>
    <w:rsid w:val="004F6A3A"/>
    <w:rsid w:val="004F731B"/>
    <w:rsid w:val="004F7339"/>
    <w:rsid w:val="00500193"/>
    <w:rsid w:val="005017C8"/>
    <w:rsid w:val="00502C53"/>
    <w:rsid w:val="0050338C"/>
    <w:rsid w:val="00503410"/>
    <w:rsid w:val="005035D5"/>
    <w:rsid w:val="00503CDE"/>
    <w:rsid w:val="005044F3"/>
    <w:rsid w:val="00504CC9"/>
    <w:rsid w:val="005052C4"/>
    <w:rsid w:val="00505D97"/>
    <w:rsid w:val="00506A86"/>
    <w:rsid w:val="00507D25"/>
    <w:rsid w:val="00510489"/>
    <w:rsid w:val="0051064B"/>
    <w:rsid w:val="0051066F"/>
    <w:rsid w:val="005109B3"/>
    <w:rsid w:val="005114A5"/>
    <w:rsid w:val="00511B85"/>
    <w:rsid w:val="005123D3"/>
    <w:rsid w:val="00513291"/>
    <w:rsid w:val="0051369A"/>
    <w:rsid w:val="005136CD"/>
    <w:rsid w:val="00513836"/>
    <w:rsid w:val="0051406F"/>
    <w:rsid w:val="00514229"/>
    <w:rsid w:val="00514CC8"/>
    <w:rsid w:val="0051516F"/>
    <w:rsid w:val="005154BB"/>
    <w:rsid w:val="005156AA"/>
    <w:rsid w:val="00515EAB"/>
    <w:rsid w:val="00517ABC"/>
    <w:rsid w:val="005203C2"/>
    <w:rsid w:val="00520868"/>
    <w:rsid w:val="005209FD"/>
    <w:rsid w:val="00520E50"/>
    <w:rsid w:val="0052190D"/>
    <w:rsid w:val="00522162"/>
    <w:rsid w:val="005222C1"/>
    <w:rsid w:val="005223A3"/>
    <w:rsid w:val="005252B6"/>
    <w:rsid w:val="00525D24"/>
    <w:rsid w:val="00530B4F"/>
    <w:rsid w:val="00530D60"/>
    <w:rsid w:val="00530E68"/>
    <w:rsid w:val="0053146C"/>
    <w:rsid w:val="005314DD"/>
    <w:rsid w:val="00531925"/>
    <w:rsid w:val="0053282F"/>
    <w:rsid w:val="00532D77"/>
    <w:rsid w:val="005332D4"/>
    <w:rsid w:val="005344E4"/>
    <w:rsid w:val="00534716"/>
    <w:rsid w:val="00535879"/>
    <w:rsid w:val="005373A1"/>
    <w:rsid w:val="00537C86"/>
    <w:rsid w:val="00537E0E"/>
    <w:rsid w:val="005400FB"/>
    <w:rsid w:val="00540749"/>
    <w:rsid w:val="00541EE1"/>
    <w:rsid w:val="0054290D"/>
    <w:rsid w:val="00543D3A"/>
    <w:rsid w:val="00544141"/>
    <w:rsid w:val="00544BE3"/>
    <w:rsid w:val="005457F7"/>
    <w:rsid w:val="00545B27"/>
    <w:rsid w:val="00546262"/>
    <w:rsid w:val="00546717"/>
    <w:rsid w:val="0054696E"/>
    <w:rsid w:val="0054707B"/>
    <w:rsid w:val="0054767E"/>
    <w:rsid w:val="00547FD4"/>
    <w:rsid w:val="005507D0"/>
    <w:rsid w:val="00550EAC"/>
    <w:rsid w:val="00551A73"/>
    <w:rsid w:val="00552147"/>
    <w:rsid w:val="00552FB3"/>
    <w:rsid w:val="00553E08"/>
    <w:rsid w:val="00554224"/>
    <w:rsid w:val="00554CD7"/>
    <w:rsid w:val="00554EF8"/>
    <w:rsid w:val="00555F21"/>
    <w:rsid w:val="00560DD0"/>
    <w:rsid w:val="00561227"/>
    <w:rsid w:val="005612A9"/>
    <w:rsid w:val="00561C6F"/>
    <w:rsid w:val="005637A2"/>
    <w:rsid w:val="00563923"/>
    <w:rsid w:val="00563D90"/>
    <w:rsid w:val="00564495"/>
    <w:rsid w:val="0056552B"/>
    <w:rsid w:val="00565D72"/>
    <w:rsid w:val="005666C9"/>
    <w:rsid w:val="00567620"/>
    <w:rsid w:val="00567967"/>
    <w:rsid w:val="00570225"/>
    <w:rsid w:val="00570362"/>
    <w:rsid w:val="00570F1E"/>
    <w:rsid w:val="005716B7"/>
    <w:rsid w:val="005718E1"/>
    <w:rsid w:val="00571C4F"/>
    <w:rsid w:val="00571F3E"/>
    <w:rsid w:val="0057274A"/>
    <w:rsid w:val="00573270"/>
    <w:rsid w:val="00573692"/>
    <w:rsid w:val="005741C7"/>
    <w:rsid w:val="0057450D"/>
    <w:rsid w:val="00574DBE"/>
    <w:rsid w:val="00575F5B"/>
    <w:rsid w:val="00576BEF"/>
    <w:rsid w:val="00577105"/>
    <w:rsid w:val="00577243"/>
    <w:rsid w:val="0057755A"/>
    <w:rsid w:val="00577A0F"/>
    <w:rsid w:val="005812AB"/>
    <w:rsid w:val="00581451"/>
    <w:rsid w:val="0058281E"/>
    <w:rsid w:val="0058288F"/>
    <w:rsid w:val="00582F7F"/>
    <w:rsid w:val="00584275"/>
    <w:rsid w:val="005843B7"/>
    <w:rsid w:val="00584AD8"/>
    <w:rsid w:val="00585497"/>
    <w:rsid w:val="005854CE"/>
    <w:rsid w:val="00585F96"/>
    <w:rsid w:val="00586A1F"/>
    <w:rsid w:val="00586B39"/>
    <w:rsid w:val="00587F7A"/>
    <w:rsid w:val="0059041D"/>
    <w:rsid w:val="00590CCF"/>
    <w:rsid w:val="00590D69"/>
    <w:rsid w:val="0059103F"/>
    <w:rsid w:val="00591472"/>
    <w:rsid w:val="00591A7E"/>
    <w:rsid w:val="00594751"/>
    <w:rsid w:val="00594EB5"/>
    <w:rsid w:val="00595AAE"/>
    <w:rsid w:val="005960BA"/>
    <w:rsid w:val="005960DB"/>
    <w:rsid w:val="005A147A"/>
    <w:rsid w:val="005A3258"/>
    <w:rsid w:val="005A32FD"/>
    <w:rsid w:val="005A33A3"/>
    <w:rsid w:val="005A3500"/>
    <w:rsid w:val="005A3D8D"/>
    <w:rsid w:val="005A4303"/>
    <w:rsid w:val="005A486A"/>
    <w:rsid w:val="005A4E6B"/>
    <w:rsid w:val="005A4F6A"/>
    <w:rsid w:val="005A5949"/>
    <w:rsid w:val="005A5CC3"/>
    <w:rsid w:val="005A5D07"/>
    <w:rsid w:val="005A69D9"/>
    <w:rsid w:val="005A6A74"/>
    <w:rsid w:val="005A6AC1"/>
    <w:rsid w:val="005B0196"/>
    <w:rsid w:val="005B1165"/>
    <w:rsid w:val="005B16DB"/>
    <w:rsid w:val="005B1C40"/>
    <w:rsid w:val="005B1E71"/>
    <w:rsid w:val="005B2585"/>
    <w:rsid w:val="005B2DB9"/>
    <w:rsid w:val="005B35B5"/>
    <w:rsid w:val="005B376C"/>
    <w:rsid w:val="005B413D"/>
    <w:rsid w:val="005B46F0"/>
    <w:rsid w:val="005B489E"/>
    <w:rsid w:val="005B5209"/>
    <w:rsid w:val="005B57B7"/>
    <w:rsid w:val="005B5912"/>
    <w:rsid w:val="005B6A29"/>
    <w:rsid w:val="005B78AA"/>
    <w:rsid w:val="005B7B61"/>
    <w:rsid w:val="005C0A86"/>
    <w:rsid w:val="005C131F"/>
    <w:rsid w:val="005C16CD"/>
    <w:rsid w:val="005C2295"/>
    <w:rsid w:val="005C29A7"/>
    <w:rsid w:val="005C2D99"/>
    <w:rsid w:val="005C3F98"/>
    <w:rsid w:val="005C6D9F"/>
    <w:rsid w:val="005C7C32"/>
    <w:rsid w:val="005C7DAA"/>
    <w:rsid w:val="005D0375"/>
    <w:rsid w:val="005D1ECB"/>
    <w:rsid w:val="005D3038"/>
    <w:rsid w:val="005D38B1"/>
    <w:rsid w:val="005D3D10"/>
    <w:rsid w:val="005D4B40"/>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C08"/>
    <w:rsid w:val="005E6E48"/>
    <w:rsid w:val="005E6F74"/>
    <w:rsid w:val="005E7E2F"/>
    <w:rsid w:val="005E7F90"/>
    <w:rsid w:val="005F0A5B"/>
    <w:rsid w:val="005F0C97"/>
    <w:rsid w:val="005F0D5D"/>
    <w:rsid w:val="005F11AB"/>
    <w:rsid w:val="005F137A"/>
    <w:rsid w:val="005F15F6"/>
    <w:rsid w:val="005F3F0C"/>
    <w:rsid w:val="005F445F"/>
    <w:rsid w:val="005F44AE"/>
    <w:rsid w:val="005F4AA8"/>
    <w:rsid w:val="005F530F"/>
    <w:rsid w:val="005F53A4"/>
    <w:rsid w:val="005F56D9"/>
    <w:rsid w:val="005F61A0"/>
    <w:rsid w:val="005F691A"/>
    <w:rsid w:val="005F6FC0"/>
    <w:rsid w:val="005F778B"/>
    <w:rsid w:val="0060017D"/>
    <w:rsid w:val="00600B0A"/>
    <w:rsid w:val="006011F7"/>
    <w:rsid w:val="00601661"/>
    <w:rsid w:val="00602A19"/>
    <w:rsid w:val="00603007"/>
    <w:rsid w:val="00603A0A"/>
    <w:rsid w:val="00603B35"/>
    <w:rsid w:val="006056DC"/>
    <w:rsid w:val="00605908"/>
    <w:rsid w:val="00605A86"/>
    <w:rsid w:val="00606C62"/>
    <w:rsid w:val="00606DD4"/>
    <w:rsid w:val="00610BF7"/>
    <w:rsid w:val="00611FA8"/>
    <w:rsid w:val="0061204F"/>
    <w:rsid w:val="006134D3"/>
    <w:rsid w:val="006134FA"/>
    <w:rsid w:val="0061444D"/>
    <w:rsid w:val="006144EF"/>
    <w:rsid w:val="00614802"/>
    <w:rsid w:val="00614AD0"/>
    <w:rsid w:val="00614BC6"/>
    <w:rsid w:val="00614D83"/>
    <w:rsid w:val="0061521C"/>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5859"/>
    <w:rsid w:val="00626111"/>
    <w:rsid w:val="00626420"/>
    <w:rsid w:val="006272A6"/>
    <w:rsid w:val="006278F6"/>
    <w:rsid w:val="006302C0"/>
    <w:rsid w:val="00630E40"/>
    <w:rsid w:val="006314E0"/>
    <w:rsid w:val="00632AC5"/>
    <w:rsid w:val="00633445"/>
    <w:rsid w:val="006340A2"/>
    <w:rsid w:val="00634B78"/>
    <w:rsid w:val="006350B9"/>
    <w:rsid w:val="00635408"/>
    <w:rsid w:val="00635B97"/>
    <w:rsid w:val="00635CB9"/>
    <w:rsid w:val="00636231"/>
    <w:rsid w:val="00636258"/>
    <w:rsid w:val="0063684F"/>
    <w:rsid w:val="00636BB7"/>
    <w:rsid w:val="0063748C"/>
    <w:rsid w:val="006379C7"/>
    <w:rsid w:val="0064062A"/>
    <w:rsid w:val="00640825"/>
    <w:rsid w:val="0064115D"/>
    <w:rsid w:val="00641993"/>
    <w:rsid w:val="006425B9"/>
    <w:rsid w:val="00643734"/>
    <w:rsid w:val="006437E7"/>
    <w:rsid w:val="006437EC"/>
    <w:rsid w:val="00643CC5"/>
    <w:rsid w:val="00644E64"/>
    <w:rsid w:val="0064511D"/>
    <w:rsid w:val="00645CAF"/>
    <w:rsid w:val="00646B84"/>
    <w:rsid w:val="00647518"/>
    <w:rsid w:val="006476E3"/>
    <w:rsid w:val="00647762"/>
    <w:rsid w:val="00647F50"/>
    <w:rsid w:val="00650080"/>
    <w:rsid w:val="00652AC7"/>
    <w:rsid w:val="00652D48"/>
    <w:rsid w:val="00653292"/>
    <w:rsid w:val="0065480C"/>
    <w:rsid w:val="00654C02"/>
    <w:rsid w:val="00654E38"/>
    <w:rsid w:val="00655A7B"/>
    <w:rsid w:val="00655B63"/>
    <w:rsid w:val="0065617A"/>
    <w:rsid w:val="0065693F"/>
    <w:rsid w:val="00656E37"/>
    <w:rsid w:val="00657E4C"/>
    <w:rsid w:val="00660331"/>
    <w:rsid w:val="00660BBF"/>
    <w:rsid w:val="00660DF9"/>
    <w:rsid w:val="0066240C"/>
    <w:rsid w:val="0066294A"/>
    <w:rsid w:val="00662B17"/>
    <w:rsid w:val="00663523"/>
    <w:rsid w:val="006635B3"/>
    <w:rsid w:val="0066468B"/>
    <w:rsid w:val="00664C6F"/>
    <w:rsid w:val="00664D3A"/>
    <w:rsid w:val="00664E18"/>
    <w:rsid w:val="00665CAD"/>
    <w:rsid w:val="00666A0C"/>
    <w:rsid w:val="00670E31"/>
    <w:rsid w:val="00671882"/>
    <w:rsid w:val="00673703"/>
    <w:rsid w:val="00673D00"/>
    <w:rsid w:val="0067481E"/>
    <w:rsid w:val="00675363"/>
    <w:rsid w:val="0067568F"/>
    <w:rsid w:val="00676B91"/>
    <w:rsid w:val="00677A92"/>
    <w:rsid w:val="00677B1F"/>
    <w:rsid w:val="00677D95"/>
    <w:rsid w:val="00680F4C"/>
    <w:rsid w:val="0068236E"/>
    <w:rsid w:val="0068254C"/>
    <w:rsid w:val="006825DC"/>
    <w:rsid w:val="006829E9"/>
    <w:rsid w:val="00682D2A"/>
    <w:rsid w:val="006831D1"/>
    <w:rsid w:val="00683827"/>
    <w:rsid w:val="00683D4E"/>
    <w:rsid w:val="006841A4"/>
    <w:rsid w:val="006848ED"/>
    <w:rsid w:val="006856E3"/>
    <w:rsid w:val="00686F5D"/>
    <w:rsid w:val="00690E83"/>
    <w:rsid w:val="00690E99"/>
    <w:rsid w:val="00692E50"/>
    <w:rsid w:val="00692FB3"/>
    <w:rsid w:val="00693232"/>
    <w:rsid w:val="00694A20"/>
    <w:rsid w:val="00694BF1"/>
    <w:rsid w:val="00694F2E"/>
    <w:rsid w:val="0069614B"/>
    <w:rsid w:val="00696913"/>
    <w:rsid w:val="00696963"/>
    <w:rsid w:val="006975D3"/>
    <w:rsid w:val="0069796C"/>
    <w:rsid w:val="00697DB8"/>
    <w:rsid w:val="006A0705"/>
    <w:rsid w:val="006A07EA"/>
    <w:rsid w:val="006A1EC8"/>
    <w:rsid w:val="006A2951"/>
    <w:rsid w:val="006A3476"/>
    <w:rsid w:val="006A46AF"/>
    <w:rsid w:val="006A51B7"/>
    <w:rsid w:val="006A5ADF"/>
    <w:rsid w:val="006A5B0B"/>
    <w:rsid w:val="006A62CC"/>
    <w:rsid w:val="006A661B"/>
    <w:rsid w:val="006A6C14"/>
    <w:rsid w:val="006A6CAB"/>
    <w:rsid w:val="006A779E"/>
    <w:rsid w:val="006A79E4"/>
    <w:rsid w:val="006B05C9"/>
    <w:rsid w:val="006B11CF"/>
    <w:rsid w:val="006B14A8"/>
    <w:rsid w:val="006B3381"/>
    <w:rsid w:val="006B371E"/>
    <w:rsid w:val="006B3CD6"/>
    <w:rsid w:val="006B3E27"/>
    <w:rsid w:val="006B3E48"/>
    <w:rsid w:val="006B448A"/>
    <w:rsid w:val="006B54B3"/>
    <w:rsid w:val="006B5603"/>
    <w:rsid w:val="006B633B"/>
    <w:rsid w:val="006B7635"/>
    <w:rsid w:val="006B7A6F"/>
    <w:rsid w:val="006B7FF0"/>
    <w:rsid w:val="006C0608"/>
    <w:rsid w:val="006C0C3F"/>
    <w:rsid w:val="006C1344"/>
    <w:rsid w:val="006C1D50"/>
    <w:rsid w:val="006C1E95"/>
    <w:rsid w:val="006C32E4"/>
    <w:rsid w:val="006C3EF5"/>
    <w:rsid w:val="006C400A"/>
    <w:rsid w:val="006C476B"/>
    <w:rsid w:val="006C4B20"/>
    <w:rsid w:val="006C4C0A"/>
    <w:rsid w:val="006C54B0"/>
    <w:rsid w:val="006C5B02"/>
    <w:rsid w:val="006C5E5F"/>
    <w:rsid w:val="006C6176"/>
    <w:rsid w:val="006C67B4"/>
    <w:rsid w:val="006C74DC"/>
    <w:rsid w:val="006C7E80"/>
    <w:rsid w:val="006D06C8"/>
    <w:rsid w:val="006D0932"/>
    <w:rsid w:val="006D2119"/>
    <w:rsid w:val="006D37D9"/>
    <w:rsid w:val="006D3DBA"/>
    <w:rsid w:val="006D3E4B"/>
    <w:rsid w:val="006D4089"/>
    <w:rsid w:val="006D420D"/>
    <w:rsid w:val="006D4568"/>
    <w:rsid w:val="006D5CA8"/>
    <w:rsid w:val="006D5F06"/>
    <w:rsid w:val="006D66EA"/>
    <w:rsid w:val="006D6C0F"/>
    <w:rsid w:val="006D7476"/>
    <w:rsid w:val="006D7F36"/>
    <w:rsid w:val="006E041D"/>
    <w:rsid w:val="006E0D36"/>
    <w:rsid w:val="006E0D59"/>
    <w:rsid w:val="006E1413"/>
    <w:rsid w:val="006E1923"/>
    <w:rsid w:val="006E2DEB"/>
    <w:rsid w:val="006E2EE5"/>
    <w:rsid w:val="006E3828"/>
    <w:rsid w:val="006E45F7"/>
    <w:rsid w:val="006E46A0"/>
    <w:rsid w:val="006E510B"/>
    <w:rsid w:val="006E5254"/>
    <w:rsid w:val="006E66C6"/>
    <w:rsid w:val="006E67BF"/>
    <w:rsid w:val="006E69D3"/>
    <w:rsid w:val="006E6DBD"/>
    <w:rsid w:val="006F06A4"/>
    <w:rsid w:val="006F19D7"/>
    <w:rsid w:val="006F5732"/>
    <w:rsid w:val="006F58A2"/>
    <w:rsid w:val="006F60E8"/>
    <w:rsid w:val="006F7949"/>
    <w:rsid w:val="006F7B56"/>
    <w:rsid w:val="00700236"/>
    <w:rsid w:val="00700A55"/>
    <w:rsid w:val="007010F9"/>
    <w:rsid w:val="00701423"/>
    <w:rsid w:val="007014D6"/>
    <w:rsid w:val="00701632"/>
    <w:rsid w:val="00701889"/>
    <w:rsid w:val="00701E1F"/>
    <w:rsid w:val="00702242"/>
    <w:rsid w:val="007037FE"/>
    <w:rsid w:val="00703D7C"/>
    <w:rsid w:val="007040AC"/>
    <w:rsid w:val="0070488C"/>
    <w:rsid w:val="00704D22"/>
    <w:rsid w:val="00705C94"/>
    <w:rsid w:val="00706140"/>
    <w:rsid w:val="00707995"/>
    <w:rsid w:val="00707DB5"/>
    <w:rsid w:val="007105AB"/>
    <w:rsid w:val="00710D98"/>
    <w:rsid w:val="0071125E"/>
    <w:rsid w:val="00713272"/>
    <w:rsid w:val="00713BD4"/>
    <w:rsid w:val="00714501"/>
    <w:rsid w:val="007156CE"/>
    <w:rsid w:val="00715CB6"/>
    <w:rsid w:val="00716002"/>
    <w:rsid w:val="00717D57"/>
    <w:rsid w:val="007202B6"/>
    <w:rsid w:val="00721116"/>
    <w:rsid w:val="0072136B"/>
    <w:rsid w:val="007220C0"/>
    <w:rsid w:val="0072374D"/>
    <w:rsid w:val="0072431A"/>
    <w:rsid w:val="007262BD"/>
    <w:rsid w:val="00726980"/>
    <w:rsid w:val="0072758D"/>
    <w:rsid w:val="007277E3"/>
    <w:rsid w:val="00727B63"/>
    <w:rsid w:val="00727D45"/>
    <w:rsid w:val="00730D43"/>
    <w:rsid w:val="007319C3"/>
    <w:rsid w:val="00732DA4"/>
    <w:rsid w:val="00733185"/>
    <w:rsid w:val="00734401"/>
    <w:rsid w:val="00734865"/>
    <w:rsid w:val="00735525"/>
    <w:rsid w:val="007358AF"/>
    <w:rsid w:val="00735C5A"/>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50099"/>
    <w:rsid w:val="007503A3"/>
    <w:rsid w:val="00750B5E"/>
    <w:rsid w:val="00751C88"/>
    <w:rsid w:val="007522A3"/>
    <w:rsid w:val="00752481"/>
    <w:rsid w:val="0075271B"/>
    <w:rsid w:val="00752873"/>
    <w:rsid w:val="00752A47"/>
    <w:rsid w:val="00752FE8"/>
    <w:rsid w:val="0075329F"/>
    <w:rsid w:val="00753438"/>
    <w:rsid w:val="007543BD"/>
    <w:rsid w:val="007545DE"/>
    <w:rsid w:val="00756F9A"/>
    <w:rsid w:val="00757FCD"/>
    <w:rsid w:val="0076049F"/>
    <w:rsid w:val="00760A17"/>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D88"/>
    <w:rsid w:val="00770ED5"/>
    <w:rsid w:val="00771DED"/>
    <w:rsid w:val="00772095"/>
    <w:rsid w:val="00772615"/>
    <w:rsid w:val="00772ABA"/>
    <w:rsid w:val="00772C04"/>
    <w:rsid w:val="00773303"/>
    <w:rsid w:val="00773941"/>
    <w:rsid w:val="00773F00"/>
    <w:rsid w:val="00774613"/>
    <w:rsid w:val="00774C6C"/>
    <w:rsid w:val="00774D00"/>
    <w:rsid w:val="00774F4F"/>
    <w:rsid w:val="007754AE"/>
    <w:rsid w:val="00775E63"/>
    <w:rsid w:val="00776160"/>
    <w:rsid w:val="00776193"/>
    <w:rsid w:val="00776F85"/>
    <w:rsid w:val="00777B30"/>
    <w:rsid w:val="0078013D"/>
    <w:rsid w:val="0078019A"/>
    <w:rsid w:val="00780F93"/>
    <w:rsid w:val="00781041"/>
    <w:rsid w:val="00781091"/>
    <w:rsid w:val="0078122A"/>
    <w:rsid w:val="00785920"/>
    <w:rsid w:val="00785A50"/>
    <w:rsid w:val="00786F58"/>
    <w:rsid w:val="0079015D"/>
    <w:rsid w:val="007906AA"/>
    <w:rsid w:val="0079072C"/>
    <w:rsid w:val="00790FC5"/>
    <w:rsid w:val="007911A4"/>
    <w:rsid w:val="007920D3"/>
    <w:rsid w:val="007928E6"/>
    <w:rsid w:val="007929DC"/>
    <w:rsid w:val="00792CC9"/>
    <w:rsid w:val="0079309E"/>
    <w:rsid w:val="00793C30"/>
    <w:rsid w:val="00793EFA"/>
    <w:rsid w:val="00794BBA"/>
    <w:rsid w:val="00794CC2"/>
    <w:rsid w:val="00794D66"/>
    <w:rsid w:val="00795C4E"/>
    <w:rsid w:val="0079646F"/>
    <w:rsid w:val="007965AD"/>
    <w:rsid w:val="007969C8"/>
    <w:rsid w:val="007977DE"/>
    <w:rsid w:val="007A014D"/>
    <w:rsid w:val="007A1ECE"/>
    <w:rsid w:val="007A2891"/>
    <w:rsid w:val="007A55A8"/>
    <w:rsid w:val="007A568E"/>
    <w:rsid w:val="007A6675"/>
    <w:rsid w:val="007A689E"/>
    <w:rsid w:val="007A6B41"/>
    <w:rsid w:val="007A7B28"/>
    <w:rsid w:val="007B0DE6"/>
    <w:rsid w:val="007B2965"/>
    <w:rsid w:val="007B2D43"/>
    <w:rsid w:val="007B3AE5"/>
    <w:rsid w:val="007B450F"/>
    <w:rsid w:val="007B4E80"/>
    <w:rsid w:val="007B50BF"/>
    <w:rsid w:val="007B59ED"/>
    <w:rsid w:val="007B5BB2"/>
    <w:rsid w:val="007B6C1D"/>
    <w:rsid w:val="007B75B7"/>
    <w:rsid w:val="007B7606"/>
    <w:rsid w:val="007B7F2D"/>
    <w:rsid w:val="007C02D9"/>
    <w:rsid w:val="007C0B1C"/>
    <w:rsid w:val="007C0C1D"/>
    <w:rsid w:val="007C196E"/>
    <w:rsid w:val="007C21A0"/>
    <w:rsid w:val="007C2CE8"/>
    <w:rsid w:val="007C3A70"/>
    <w:rsid w:val="007C4370"/>
    <w:rsid w:val="007C4954"/>
    <w:rsid w:val="007C56D1"/>
    <w:rsid w:val="007C5B4E"/>
    <w:rsid w:val="007C5CE6"/>
    <w:rsid w:val="007C5DC8"/>
    <w:rsid w:val="007C5E58"/>
    <w:rsid w:val="007C6854"/>
    <w:rsid w:val="007D1519"/>
    <w:rsid w:val="007D1F48"/>
    <w:rsid w:val="007D243A"/>
    <w:rsid w:val="007D32D0"/>
    <w:rsid w:val="007D3E38"/>
    <w:rsid w:val="007D5039"/>
    <w:rsid w:val="007D5FE2"/>
    <w:rsid w:val="007D653E"/>
    <w:rsid w:val="007D66A8"/>
    <w:rsid w:val="007D67F3"/>
    <w:rsid w:val="007D6E06"/>
    <w:rsid w:val="007D79CB"/>
    <w:rsid w:val="007E01AE"/>
    <w:rsid w:val="007E0FA8"/>
    <w:rsid w:val="007E2713"/>
    <w:rsid w:val="007E3A9B"/>
    <w:rsid w:val="007E3B9D"/>
    <w:rsid w:val="007E48FF"/>
    <w:rsid w:val="007E5101"/>
    <w:rsid w:val="007E5C89"/>
    <w:rsid w:val="007E6C31"/>
    <w:rsid w:val="007E71AC"/>
    <w:rsid w:val="007F00FA"/>
    <w:rsid w:val="007F1245"/>
    <w:rsid w:val="007F1A45"/>
    <w:rsid w:val="007F1CA7"/>
    <w:rsid w:val="007F2A01"/>
    <w:rsid w:val="007F37D9"/>
    <w:rsid w:val="007F4619"/>
    <w:rsid w:val="007F499D"/>
    <w:rsid w:val="007F5315"/>
    <w:rsid w:val="007F5AB3"/>
    <w:rsid w:val="007F5AE5"/>
    <w:rsid w:val="007F5CCA"/>
    <w:rsid w:val="007F5F88"/>
    <w:rsid w:val="007F60B8"/>
    <w:rsid w:val="007F7E8B"/>
    <w:rsid w:val="00800525"/>
    <w:rsid w:val="00800C33"/>
    <w:rsid w:val="00800F34"/>
    <w:rsid w:val="0080214C"/>
    <w:rsid w:val="008027CE"/>
    <w:rsid w:val="00803A24"/>
    <w:rsid w:val="00803C5E"/>
    <w:rsid w:val="00804017"/>
    <w:rsid w:val="008045FB"/>
    <w:rsid w:val="00804E77"/>
    <w:rsid w:val="008061A4"/>
    <w:rsid w:val="008064BE"/>
    <w:rsid w:val="00810E43"/>
    <w:rsid w:val="00810EA8"/>
    <w:rsid w:val="00811713"/>
    <w:rsid w:val="008119F1"/>
    <w:rsid w:val="00812C54"/>
    <w:rsid w:val="00812ED0"/>
    <w:rsid w:val="00812FB2"/>
    <w:rsid w:val="00814625"/>
    <w:rsid w:val="0081504C"/>
    <w:rsid w:val="00815488"/>
    <w:rsid w:val="008159FC"/>
    <w:rsid w:val="00815FE2"/>
    <w:rsid w:val="00816560"/>
    <w:rsid w:val="0081678C"/>
    <w:rsid w:val="00817040"/>
    <w:rsid w:val="00820579"/>
    <w:rsid w:val="008209B0"/>
    <w:rsid w:val="00821003"/>
    <w:rsid w:val="008210C1"/>
    <w:rsid w:val="00821B93"/>
    <w:rsid w:val="00821D8E"/>
    <w:rsid w:val="00822054"/>
    <w:rsid w:val="00822349"/>
    <w:rsid w:val="00822BBA"/>
    <w:rsid w:val="0082410F"/>
    <w:rsid w:val="008253AC"/>
    <w:rsid w:val="00825566"/>
    <w:rsid w:val="00825633"/>
    <w:rsid w:val="00825AC0"/>
    <w:rsid w:val="00825FE0"/>
    <w:rsid w:val="0082718E"/>
    <w:rsid w:val="00827368"/>
    <w:rsid w:val="00827999"/>
    <w:rsid w:val="00830912"/>
    <w:rsid w:val="00830B4C"/>
    <w:rsid w:val="008338AF"/>
    <w:rsid w:val="00833A89"/>
    <w:rsid w:val="00833C0B"/>
    <w:rsid w:val="00833D39"/>
    <w:rsid w:val="008357F0"/>
    <w:rsid w:val="008362A6"/>
    <w:rsid w:val="008363C8"/>
    <w:rsid w:val="00836F39"/>
    <w:rsid w:val="00840BE7"/>
    <w:rsid w:val="00841D7D"/>
    <w:rsid w:val="008424C5"/>
    <w:rsid w:val="00842AAE"/>
    <w:rsid w:val="00843037"/>
    <w:rsid w:val="00843A42"/>
    <w:rsid w:val="00844108"/>
    <w:rsid w:val="008445F5"/>
    <w:rsid w:val="00844F2D"/>
    <w:rsid w:val="008468AE"/>
    <w:rsid w:val="0084742B"/>
    <w:rsid w:val="00847780"/>
    <w:rsid w:val="00847BD5"/>
    <w:rsid w:val="00847C74"/>
    <w:rsid w:val="00850236"/>
    <w:rsid w:val="00851D1F"/>
    <w:rsid w:val="00852916"/>
    <w:rsid w:val="0085383A"/>
    <w:rsid w:val="00855B54"/>
    <w:rsid w:val="00855E69"/>
    <w:rsid w:val="00856A9E"/>
    <w:rsid w:val="00856D5E"/>
    <w:rsid w:val="00856DAB"/>
    <w:rsid w:val="00857A49"/>
    <w:rsid w:val="00861F11"/>
    <w:rsid w:val="00862109"/>
    <w:rsid w:val="00862519"/>
    <w:rsid w:val="008625AA"/>
    <w:rsid w:val="00862F60"/>
    <w:rsid w:val="008638BB"/>
    <w:rsid w:val="00863980"/>
    <w:rsid w:val="00863B86"/>
    <w:rsid w:val="008651CC"/>
    <w:rsid w:val="008654FC"/>
    <w:rsid w:val="0086560A"/>
    <w:rsid w:val="00865A47"/>
    <w:rsid w:val="00865B22"/>
    <w:rsid w:val="0086727D"/>
    <w:rsid w:val="00867CF3"/>
    <w:rsid w:val="00867E33"/>
    <w:rsid w:val="00872927"/>
    <w:rsid w:val="00873332"/>
    <w:rsid w:val="0087478D"/>
    <w:rsid w:val="00874B70"/>
    <w:rsid w:val="008750D3"/>
    <w:rsid w:val="00876DD7"/>
    <w:rsid w:val="00877A07"/>
    <w:rsid w:val="008821AD"/>
    <w:rsid w:val="00882FB4"/>
    <w:rsid w:val="00884004"/>
    <w:rsid w:val="008842FC"/>
    <w:rsid w:val="008850FF"/>
    <w:rsid w:val="0088586C"/>
    <w:rsid w:val="00885A5C"/>
    <w:rsid w:val="00886B20"/>
    <w:rsid w:val="00887F40"/>
    <w:rsid w:val="00890FB1"/>
    <w:rsid w:val="00891EA3"/>
    <w:rsid w:val="008926CC"/>
    <w:rsid w:val="00892BE1"/>
    <w:rsid w:val="00893049"/>
    <w:rsid w:val="0089310B"/>
    <w:rsid w:val="00893168"/>
    <w:rsid w:val="008959C6"/>
    <w:rsid w:val="00895B8D"/>
    <w:rsid w:val="008960A8"/>
    <w:rsid w:val="00896CAB"/>
    <w:rsid w:val="00896D9E"/>
    <w:rsid w:val="00897EA3"/>
    <w:rsid w:val="00897F04"/>
    <w:rsid w:val="008A159E"/>
    <w:rsid w:val="008A1627"/>
    <w:rsid w:val="008A19A5"/>
    <w:rsid w:val="008A32BD"/>
    <w:rsid w:val="008A3F8C"/>
    <w:rsid w:val="008A4065"/>
    <w:rsid w:val="008A49ED"/>
    <w:rsid w:val="008A4B81"/>
    <w:rsid w:val="008A77E4"/>
    <w:rsid w:val="008A7F86"/>
    <w:rsid w:val="008B02D2"/>
    <w:rsid w:val="008B0A09"/>
    <w:rsid w:val="008B1AA3"/>
    <w:rsid w:val="008B234F"/>
    <w:rsid w:val="008B2EAF"/>
    <w:rsid w:val="008B3E3C"/>
    <w:rsid w:val="008B483D"/>
    <w:rsid w:val="008B5955"/>
    <w:rsid w:val="008B6D68"/>
    <w:rsid w:val="008B6ED6"/>
    <w:rsid w:val="008B725B"/>
    <w:rsid w:val="008B7569"/>
    <w:rsid w:val="008B757A"/>
    <w:rsid w:val="008B772F"/>
    <w:rsid w:val="008B7969"/>
    <w:rsid w:val="008B7C46"/>
    <w:rsid w:val="008B7F1A"/>
    <w:rsid w:val="008C04D4"/>
    <w:rsid w:val="008C16F9"/>
    <w:rsid w:val="008C304F"/>
    <w:rsid w:val="008C3899"/>
    <w:rsid w:val="008C3BEE"/>
    <w:rsid w:val="008C7383"/>
    <w:rsid w:val="008C74CE"/>
    <w:rsid w:val="008D0049"/>
    <w:rsid w:val="008D02AC"/>
    <w:rsid w:val="008D0F44"/>
    <w:rsid w:val="008D1A80"/>
    <w:rsid w:val="008D2338"/>
    <w:rsid w:val="008D24C1"/>
    <w:rsid w:val="008D24E7"/>
    <w:rsid w:val="008D2B99"/>
    <w:rsid w:val="008D2C10"/>
    <w:rsid w:val="008D4069"/>
    <w:rsid w:val="008D469C"/>
    <w:rsid w:val="008D4DED"/>
    <w:rsid w:val="008D5BB4"/>
    <w:rsid w:val="008D5E87"/>
    <w:rsid w:val="008D732C"/>
    <w:rsid w:val="008D7367"/>
    <w:rsid w:val="008E0664"/>
    <w:rsid w:val="008E0CEC"/>
    <w:rsid w:val="008E0E6C"/>
    <w:rsid w:val="008E1602"/>
    <w:rsid w:val="008E1986"/>
    <w:rsid w:val="008E26B2"/>
    <w:rsid w:val="008E36FB"/>
    <w:rsid w:val="008E3EBB"/>
    <w:rsid w:val="008E4383"/>
    <w:rsid w:val="008E49F1"/>
    <w:rsid w:val="008E4ADD"/>
    <w:rsid w:val="008E4DFA"/>
    <w:rsid w:val="008E5751"/>
    <w:rsid w:val="008E5DCC"/>
    <w:rsid w:val="008E6313"/>
    <w:rsid w:val="008E6F91"/>
    <w:rsid w:val="008E718A"/>
    <w:rsid w:val="008E7BB1"/>
    <w:rsid w:val="008F0029"/>
    <w:rsid w:val="008F0155"/>
    <w:rsid w:val="008F19A2"/>
    <w:rsid w:val="008F32D2"/>
    <w:rsid w:val="008F3A0B"/>
    <w:rsid w:val="008F3BDF"/>
    <w:rsid w:val="008F487F"/>
    <w:rsid w:val="008F5612"/>
    <w:rsid w:val="008F572D"/>
    <w:rsid w:val="008F6B7A"/>
    <w:rsid w:val="008F7CAD"/>
    <w:rsid w:val="008F7E48"/>
    <w:rsid w:val="008F7F1A"/>
    <w:rsid w:val="00900624"/>
    <w:rsid w:val="009009A9"/>
    <w:rsid w:val="009010D9"/>
    <w:rsid w:val="009013F0"/>
    <w:rsid w:val="0090145E"/>
    <w:rsid w:val="0090244B"/>
    <w:rsid w:val="00902884"/>
    <w:rsid w:val="009032E4"/>
    <w:rsid w:val="009033EB"/>
    <w:rsid w:val="00904B90"/>
    <w:rsid w:val="00905D45"/>
    <w:rsid w:val="00906D64"/>
    <w:rsid w:val="00906EF4"/>
    <w:rsid w:val="00907883"/>
    <w:rsid w:val="00912ED8"/>
    <w:rsid w:val="00912F9A"/>
    <w:rsid w:val="00914428"/>
    <w:rsid w:val="009160CF"/>
    <w:rsid w:val="00917287"/>
    <w:rsid w:val="009205B0"/>
    <w:rsid w:val="0092080C"/>
    <w:rsid w:val="00920864"/>
    <w:rsid w:val="0092134B"/>
    <w:rsid w:val="009221AC"/>
    <w:rsid w:val="009224F2"/>
    <w:rsid w:val="009225B3"/>
    <w:rsid w:val="00922A15"/>
    <w:rsid w:val="0092456D"/>
    <w:rsid w:val="00924C9C"/>
    <w:rsid w:val="00925590"/>
    <w:rsid w:val="00925C68"/>
    <w:rsid w:val="00925EBC"/>
    <w:rsid w:val="0092657F"/>
    <w:rsid w:val="00926967"/>
    <w:rsid w:val="00927518"/>
    <w:rsid w:val="009278B4"/>
    <w:rsid w:val="00927953"/>
    <w:rsid w:val="00927BD5"/>
    <w:rsid w:val="00927C79"/>
    <w:rsid w:val="00927FC3"/>
    <w:rsid w:val="00930557"/>
    <w:rsid w:val="009312C7"/>
    <w:rsid w:val="0093170E"/>
    <w:rsid w:val="00931C1C"/>
    <w:rsid w:val="009332BA"/>
    <w:rsid w:val="00933397"/>
    <w:rsid w:val="00933706"/>
    <w:rsid w:val="0093465C"/>
    <w:rsid w:val="009346C4"/>
    <w:rsid w:val="00934A8F"/>
    <w:rsid w:val="009350BF"/>
    <w:rsid w:val="009359A1"/>
    <w:rsid w:val="009367D9"/>
    <w:rsid w:val="009401A8"/>
    <w:rsid w:val="00941909"/>
    <w:rsid w:val="009435CD"/>
    <w:rsid w:val="0094396D"/>
    <w:rsid w:val="00943CF4"/>
    <w:rsid w:val="0094420F"/>
    <w:rsid w:val="00944846"/>
    <w:rsid w:val="00945EA1"/>
    <w:rsid w:val="009469B5"/>
    <w:rsid w:val="009473CE"/>
    <w:rsid w:val="00947563"/>
    <w:rsid w:val="00947A5C"/>
    <w:rsid w:val="009508D4"/>
    <w:rsid w:val="00950BA8"/>
    <w:rsid w:val="00950D10"/>
    <w:rsid w:val="00950F84"/>
    <w:rsid w:val="00952B7A"/>
    <w:rsid w:val="0095425C"/>
    <w:rsid w:val="00954DC0"/>
    <w:rsid w:val="00955978"/>
    <w:rsid w:val="009560F0"/>
    <w:rsid w:val="009566EF"/>
    <w:rsid w:val="00956809"/>
    <w:rsid w:val="00957B1D"/>
    <w:rsid w:val="00957BF9"/>
    <w:rsid w:val="009606E5"/>
    <w:rsid w:val="00960EC8"/>
    <w:rsid w:val="009637F9"/>
    <w:rsid w:val="009639CC"/>
    <w:rsid w:val="00963AA1"/>
    <w:rsid w:val="0096405B"/>
    <w:rsid w:val="009646D8"/>
    <w:rsid w:val="00964FEB"/>
    <w:rsid w:val="009658B2"/>
    <w:rsid w:val="009659E0"/>
    <w:rsid w:val="00966710"/>
    <w:rsid w:val="00966C23"/>
    <w:rsid w:val="009674A0"/>
    <w:rsid w:val="00967B54"/>
    <w:rsid w:val="00970AD2"/>
    <w:rsid w:val="0097113C"/>
    <w:rsid w:val="00971C7B"/>
    <w:rsid w:val="00971DA8"/>
    <w:rsid w:val="00971DDD"/>
    <w:rsid w:val="0097213C"/>
    <w:rsid w:val="00972753"/>
    <w:rsid w:val="00973026"/>
    <w:rsid w:val="00973E42"/>
    <w:rsid w:val="00974119"/>
    <w:rsid w:val="009741CB"/>
    <w:rsid w:val="00974E3E"/>
    <w:rsid w:val="00976A8C"/>
    <w:rsid w:val="0097721C"/>
    <w:rsid w:val="00982912"/>
    <w:rsid w:val="00982918"/>
    <w:rsid w:val="00982AEF"/>
    <w:rsid w:val="00982E37"/>
    <w:rsid w:val="009834B4"/>
    <w:rsid w:val="00983AAA"/>
    <w:rsid w:val="00983F4B"/>
    <w:rsid w:val="0098418F"/>
    <w:rsid w:val="00984A6F"/>
    <w:rsid w:val="009859D1"/>
    <w:rsid w:val="00986741"/>
    <w:rsid w:val="009875D2"/>
    <w:rsid w:val="00990DA1"/>
    <w:rsid w:val="00990FFB"/>
    <w:rsid w:val="00992EA9"/>
    <w:rsid w:val="00992F5E"/>
    <w:rsid w:val="00993083"/>
    <w:rsid w:val="00993E78"/>
    <w:rsid w:val="00993FDF"/>
    <w:rsid w:val="00994AA8"/>
    <w:rsid w:val="00995141"/>
    <w:rsid w:val="009964E9"/>
    <w:rsid w:val="00996DF6"/>
    <w:rsid w:val="009972CA"/>
    <w:rsid w:val="009A0846"/>
    <w:rsid w:val="009A0F21"/>
    <w:rsid w:val="009A1561"/>
    <w:rsid w:val="009A1BFB"/>
    <w:rsid w:val="009A32DF"/>
    <w:rsid w:val="009A42CF"/>
    <w:rsid w:val="009A4886"/>
    <w:rsid w:val="009A48FD"/>
    <w:rsid w:val="009A4A88"/>
    <w:rsid w:val="009A5A3F"/>
    <w:rsid w:val="009A6A12"/>
    <w:rsid w:val="009A6F33"/>
    <w:rsid w:val="009B07A9"/>
    <w:rsid w:val="009B08D9"/>
    <w:rsid w:val="009B08DD"/>
    <w:rsid w:val="009B140A"/>
    <w:rsid w:val="009B16A0"/>
    <w:rsid w:val="009B179E"/>
    <w:rsid w:val="009B1CF9"/>
    <w:rsid w:val="009B34C8"/>
    <w:rsid w:val="009B3635"/>
    <w:rsid w:val="009B4D01"/>
    <w:rsid w:val="009B546B"/>
    <w:rsid w:val="009B5D2F"/>
    <w:rsid w:val="009B60C4"/>
    <w:rsid w:val="009B752F"/>
    <w:rsid w:val="009B7AFD"/>
    <w:rsid w:val="009C08DC"/>
    <w:rsid w:val="009C0B76"/>
    <w:rsid w:val="009C1126"/>
    <w:rsid w:val="009C1F07"/>
    <w:rsid w:val="009C201E"/>
    <w:rsid w:val="009C3A52"/>
    <w:rsid w:val="009C4FB7"/>
    <w:rsid w:val="009C79AD"/>
    <w:rsid w:val="009C7A03"/>
    <w:rsid w:val="009D0335"/>
    <w:rsid w:val="009D0EF3"/>
    <w:rsid w:val="009D2508"/>
    <w:rsid w:val="009D363A"/>
    <w:rsid w:val="009D37D2"/>
    <w:rsid w:val="009D38DC"/>
    <w:rsid w:val="009D3DA2"/>
    <w:rsid w:val="009D4E2D"/>
    <w:rsid w:val="009D51E8"/>
    <w:rsid w:val="009D5C39"/>
    <w:rsid w:val="009D6C16"/>
    <w:rsid w:val="009D7263"/>
    <w:rsid w:val="009D7321"/>
    <w:rsid w:val="009D745C"/>
    <w:rsid w:val="009E0074"/>
    <w:rsid w:val="009E013A"/>
    <w:rsid w:val="009E02DB"/>
    <w:rsid w:val="009E0ACD"/>
    <w:rsid w:val="009E1F33"/>
    <w:rsid w:val="009E51C0"/>
    <w:rsid w:val="009E5337"/>
    <w:rsid w:val="009E6205"/>
    <w:rsid w:val="009E66F7"/>
    <w:rsid w:val="009E69EF"/>
    <w:rsid w:val="009E6B90"/>
    <w:rsid w:val="009E7279"/>
    <w:rsid w:val="009E72F0"/>
    <w:rsid w:val="009E762B"/>
    <w:rsid w:val="009F138A"/>
    <w:rsid w:val="009F24F8"/>
    <w:rsid w:val="009F262A"/>
    <w:rsid w:val="009F2D01"/>
    <w:rsid w:val="009F301C"/>
    <w:rsid w:val="009F39A9"/>
    <w:rsid w:val="009F438A"/>
    <w:rsid w:val="009F4566"/>
    <w:rsid w:val="009F50E2"/>
    <w:rsid w:val="009F6121"/>
    <w:rsid w:val="009F64CA"/>
    <w:rsid w:val="009F65CA"/>
    <w:rsid w:val="009F687A"/>
    <w:rsid w:val="009F7160"/>
    <w:rsid w:val="009F775C"/>
    <w:rsid w:val="009F7A9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AAA"/>
    <w:rsid w:val="00A16A32"/>
    <w:rsid w:val="00A16D1F"/>
    <w:rsid w:val="00A173FC"/>
    <w:rsid w:val="00A1749E"/>
    <w:rsid w:val="00A17F10"/>
    <w:rsid w:val="00A207E2"/>
    <w:rsid w:val="00A20856"/>
    <w:rsid w:val="00A20CD2"/>
    <w:rsid w:val="00A20EB3"/>
    <w:rsid w:val="00A21616"/>
    <w:rsid w:val="00A21B47"/>
    <w:rsid w:val="00A21C40"/>
    <w:rsid w:val="00A21D69"/>
    <w:rsid w:val="00A21DA5"/>
    <w:rsid w:val="00A22328"/>
    <w:rsid w:val="00A228C0"/>
    <w:rsid w:val="00A22E58"/>
    <w:rsid w:val="00A22F56"/>
    <w:rsid w:val="00A23357"/>
    <w:rsid w:val="00A23DA4"/>
    <w:rsid w:val="00A2426D"/>
    <w:rsid w:val="00A24FB8"/>
    <w:rsid w:val="00A260ED"/>
    <w:rsid w:val="00A30051"/>
    <w:rsid w:val="00A30321"/>
    <w:rsid w:val="00A3070E"/>
    <w:rsid w:val="00A32998"/>
    <w:rsid w:val="00A32BC1"/>
    <w:rsid w:val="00A32CC3"/>
    <w:rsid w:val="00A3340F"/>
    <w:rsid w:val="00A341FD"/>
    <w:rsid w:val="00A3466E"/>
    <w:rsid w:val="00A35947"/>
    <w:rsid w:val="00A36150"/>
    <w:rsid w:val="00A36570"/>
    <w:rsid w:val="00A37B47"/>
    <w:rsid w:val="00A404AE"/>
    <w:rsid w:val="00A40A1A"/>
    <w:rsid w:val="00A4180C"/>
    <w:rsid w:val="00A4317E"/>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E51"/>
    <w:rsid w:val="00A60F71"/>
    <w:rsid w:val="00A6129B"/>
    <w:rsid w:val="00A61B38"/>
    <w:rsid w:val="00A61DF7"/>
    <w:rsid w:val="00A6288D"/>
    <w:rsid w:val="00A634D7"/>
    <w:rsid w:val="00A63A59"/>
    <w:rsid w:val="00A64AB2"/>
    <w:rsid w:val="00A65FDE"/>
    <w:rsid w:val="00A70791"/>
    <w:rsid w:val="00A72319"/>
    <w:rsid w:val="00A7270E"/>
    <w:rsid w:val="00A727F1"/>
    <w:rsid w:val="00A72F0B"/>
    <w:rsid w:val="00A73822"/>
    <w:rsid w:val="00A73EDC"/>
    <w:rsid w:val="00A74F5C"/>
    <w:rsid w:val="00A764AA"/>
    <w:rsid w:val="00A766F3"/>
    <w:rsid w:val="00A76B98"/>
    <w:rsid w:val="00A77D81"/>
    <w:rsid w:val="00A77E1A"/>
    <w:rsid w:val="00A8043B"/>
    <w:rsid w:val="00A80682"/>
    <w:rsid w:val="00A80CE8"/>
    <w:rsid w:val="00A82D49"/>
    <w:rsid w:val="00A832D7"/>
    <w:rsid w:val="00A8358C"/>
    <w:rsid w:val="00A83592"/>
    <w:rsid w:val="00A83993"/>
    <w:rsid w:val="00A84595"/>
    <w:rsid w:val="00A84B94"/>
    <w:rsid w:val="00A86059"/>
    <w:rsid w:val="00A8753B"/>
    <w:rsid w:val="00A876EC"/>
    <w:rsid w:val="00A877D4"/>
    <w:rsid w:val="00A9023D"/>
    <w:rsid w:val="00A9137B"/>
    <w:rsid w:val="00A91780"/>
    <w:rsid w:val="00A91AA7"/>
    <w:rsid w:val="00A91B1C"/>
    <w:rsid w:val="00A92874"/>
    <w:rsid w:val="00A928FE"/>
    <w:rsid w:val="00A92CAD"/>
    <w:rsid w:val="00A948E2"/>
    <w:rsid w:val="00A9519E"/>
    <w:rsid w:val="00A959DD"/>
    <w:rsid w:val="00A95DDE"/>
    <w:rsid w:val="00A95E8E"/>
    <w:rsid w:val="00A963C6"/>
    <w:rsid w:val="00A96857"/>
    <w:rsid w:val="00A9685E"/>
    <w:rsid w:val="00A97660"/>
    <w:rsid w:val="00A97746"/>
    <w:rsid w:val="00A97D68"/>
    <w:rsid w:val="00AA00FD"/>
    <w:rsid w:val="00AA01EC"/>
    <w:rsid w:val="00AA114C"/>
    <w:rsid w:val="00AA1ED6"/>
    <w:rsid w:val="00AA2B8C"/>
    <w:rsid w:val="00AA2D83"/>
    <w:rsid w:val="00AA2ED1"/>
    <w:rsid w:val="00AA38F5"/>
    <w:rsid w:val="00AA4211"/>
    <w:rsid w:val="00AA480F"/>
    <w:rsid w:val="00AA5121"/>
    <w:rsid w:val="00AA5956"/>
    <w:rsid w:val="00AA5994"/>
    <w:rsid w:val="00AA5B6C"/>
    <w:rsid w:val="00AA68E5"/>
    <w:rsid w:val="00AA70D2"/>
    <w:rsid w:val="00AB03AC"/>
    <w:rsid w:val="00AB0892"/>
    <w:rsid w:val="00AB0ACB"/>
    <w:rsid w:val="00AB0B4A"/>
    <w:rsid w:val="00AB0DFF"/>
    <w:rsid w:val="00AB2487"/>
    <w:rsid w:val="00AB3FB3"/>
    <w:rsid w:val="00AB4AA7"/>
    <w:rsid w:val="00AB4EF7"/>
    <w:rsid w:val="00AB6EEA"/>
    <w:rsid w:val="00AC0D99"/>
    <w:rsid w:val="00AC0F80"/>
    <w:rsid w:val="00AC118A"/>
    <w:rsid w:val="00AC1EA2"/>
    <w:rsid w:val="00AC24B0"/>
    <w:rsid w:val="00AC2D2F"/>
    <w:rsid w:val="00AC47DD"/>
    <w:rsid w:val="00AC4D76"/>
    <w:rsid w:val="00AC6021"/>
    <w:rsid w:val="00AC614B"/>
    <w:rsid w:val="00AC79F2"/>
    <w:rsid w:val="00AC7B02"/>
    <w:rsid w:val="00AD01AC"/>
    <w:rsid w:val="00AD1821"/>
    <w:rsid w:val="00AD2776"/>
    <w:rsid w:val="00AD2BE0"/>
    <w:rsid w:val="00AD6705"/>
    <w:rsid w:val="00AD6FCE"/>
    <w:rsid w:val="00AD7476"/>
    <w:rsid w:val="00AD7F4C"/>
    <w:rsid w:val="00AE06BD"/>
    <w:rsid w:val="00AE06EC"/>
    <w:rsid w:val="00AE34DB"/>
    <w:rsid w:val="00AE38AB"/>
    <w:rsid w:val="00AE53D5"/>
    <w:rsid w:val="00AE5D03"/>
    <w:rsid w:val="00AE5D4D"/>
    <w:rsid w:val="00AE62EA"/>
    <w:rsid w:val="00AE6629"/>
    <w:rsid w:val="00AE75EF"/>
    <w:rsid w:val="00AE78F3"/>
    <w:rsid w:val="00AF091B"/>
    <w:rsid w:val="00AF113D"/>
    <w:rsid w:val="00AF1185"/>
    <w:rsid w:val="00AF1A00"/>
    <w:rsid w:val="00AF21CD"/>
    <w:rsid w:val="00AF3CEB"/>
    <w:rsid w:val="00AF3EB7"/>
    <w:rsid w:val="00AF4849"/>
    <w:rsid w:val="00AF4B9E"/>
    <w:rsid w:val="00AF4D70"/>
    <w:rsid w:val="00AF5521"/>
    <w:rsid w:val="00AF60FB"/>
    <w:rsid w:val="00B00C9E"/>
    <w:rsid w:val="00B00ED7"/>
    <w:rsid w:val="00B02384"/>
    <w:rsid w:val="00B0264A"/>
    <w:rsid w:val="00B0291F"/>
    <w:rsid w:val="00B02C04"/>
    <w:rsid w:val="00B02C2F"/>
    <w:rsid w:val="00B034D6"/>
    <w:rsid w:val="00B03B24"/>
    <w:rsid w:val="00B03DA2"/>
    <w:rsid w:val="00B03DDF"/>
    <w:rsid w:val="00B05234"/>
    <w:rsid w:val="00B05306"/>
    <w:rsid w:val="00B056E4"/>
    <w:rsid w:val="00B057F8"/>
    <w:rsid w:val="00B05B66"/>
    <w:rsid w:val="00B05B94"/>
    <w:rsid w:val="00B06003"/>
    <w:rsid w:val="00B076ED"/>
    <w:rsid w:val="00B10B00"/>
    <w:rsid w:val="00B11B4C"/>
    <w:rsid w:val="00B11B8E"/>
    <w:rsid w:val="00B14837"/>
    <w:rsid w:val="00B149AA"/>
    <w:rsid w:val="00B14B3C"/>
    <w:rsid w:val="00B15609"/>
    <w:rsid w:val="00B1641E"/>
    <w:rsid w:val="00B16527"/>
    <w:rsid w:val="00B16B0B"/>
    <w:rsid w:val="00B173A2"/>
    <w:rsid w:val="00B17562"/>
    <w:rsid w:val="00B17B9C"/>
    <w:rsid w:val="00B200F3"/>
    <w:rsid w:val="00B20781"/>
    <w:rsid w:val="00B20AFE"/>
    <w:rsid w:val="00B20F0D"/>
    <w:rsid w:val="00B211D4"/>
    <w:rsid w:val="00B2132A"/>
    <w:rsid w:val="00B22017"/>
    <w:rsid w:val="00B22FCF"/>
    <w:rsid w:val="00B235A8"/>
    <w:rsid w:val="00B2420A"/>
    <w:rsid w:val="00B2664A"/>
    <w:rsid w:val="00B26929"/>
    <w:rsid w:val="00B26C1C"/>
    <w:rsid w:val="00B26E73"/>
    <w:rsid w:val="00B27154"/>
    <w:rsid w:val="00B27628"/>
    <w:rsid w:val="00B3047B"/>
    <w:rsid w:val="00B3133D"/>
    <w:rsid w:val="00B31E4B"/>
    <w:rsid w:val="00B328F5"/>
    <w:rsid w:val="00B33055"/>
    <w:rsid w:val="00B33297"/>
    <w:rsid w:val="00B33DE3"/>
    <w:rsid w:val="00B341F9"/>
    <w:rsid w:val="00B34F3E"/>
    <w:rsid w:val="00B35619"/>
    <w:rsid w:val="00B36038"/>
    <w:rsid w:val="00B362B9"/>
    <w:rsid w:val="00B36A1A"/>
    <w:rsid w:val="00B375B2"/>
    <w:rsid w:val="00B37DD9"/>
    <w:rsid w:val="00B37DE8"/>
    <w:rsid w:val="00B413CC"/>
    <w:rsid w:val="00B4160D"/>
    <w:rsid w:val="00B42339"/>
    <w:rsid w:val="00B424C7"/>
    <w:rsid w:val="00B4275E"/>
    <w:rsid w:val="00B42C26"/>
    <w:rsid w:val="00B43CD0"/>
    <w:rsid w:val="00B43DFF"/>
    <w:rsid w:val="00B43EBB"/>
    <w:rsid w:val="00B44267"/>
    <w:rsid w:val="00B44C6C"/>
    <w:rsid w:val="00B45A37"/>
    <w:rsid w:val="00B462ED"/>
    <w:rsid w:val="00B46537"/>
    <w:rsid w:val="00B5029A"/>
    <w:rsid w:val="00B507B2"/>
    <w:rsid w:val="00B51C75"/>
    <w:rsid w:val="00B51E2D"/>
    <w:rsid w:val="00B52827"/>
    <w:rsid w:val="00B53BDD"/>
    <w:rsid w:val="00B5424C"/>
    <w:rsid w:val="00B55380"/>
    <w:rsid w:val="00B553E9"/>
    <w:rsid w:val="00B55BA1"/>
    <w:rsid w:val="00B55C52"/>
    <w:rsid w:val="00B5601E"/>
    <w:rsid w:val="00B56360"/>
    <w:rsid w:val="00B564D4"/>
    <w:rsid w:val="00B56D2D"/>
    <w:rsid w:val="00B56EFE"/>
    <w:rsid w:val="00B60F2B"/>
    <w:rsid w:val="00B60FB6"/>
    <w:rsid w:val="00B61498"/>
    <w:rsid w:val="00B619FC"/>
    <w:rsid w:val="00B61DBC"/>
    <w:rsid w:val="00B61DC2"/>
    <w:rsid w:val="00B622EE"/>
    <w:rsid w:val="00B62A91"/>
    <w:rsid w:val="00B62D98"/>
    <w:rsid w:val="00B63AF6"/>
    <w:rsid w:val="00B64CDB"/>
    <w:rsid w:val="00B65848"/>
    <w:rsid w:val="00B66575"/>
    <w:rsid w:val="00B66974"/>
    <w:rsid w:val="00B67790"/>
    <w:rsid w:val="00B67C37"/>
    <w:rsid w:val="00B705FE"/>
    <w:rsid w:val="00B70848"/>
    <w:rsid w:val="00B7094C"/>
    <w:rsid w:val="00B7225A"/>
    <w:rsid w:val="00B73628"/>
    <w:rsid w:val="00B73EEB"/>
    <w:rsid w:val="00B7408F"/>
    <w:rsid w:val="00B74321"/>
    <w:rsid w:val="00B755FE"/>
    <w:rsid w:val="00B75A6A"/>
    <w:rsid w:val="00B75B7C"/>
    <w:rsid w:val="00B75E01"/>
    <w:rsid w:val="00B76474"/>
    <w:rsid w:val="00B76565"/>
    <w:rsid w:val="00B810A6"/>
    <w:rsid w:val="00B81AB1"/>
    <w:rsid w:val="00B8229E"/>
    <w:rsid w:val="00B82EB4"/>
    <w:rsid w:val="00B84055"/>
    <w:rsid w:val="00B8429E"/>
    <w:rsid w:val="00B8496B"/>
    <w:rsid w:val="00B860AD"/>
    <w:rsid w:val="00B86EFE"/>
    <w:rsid w:val="00B903E3"/>
    <w:rsid w:val="00B90439"/>
    <w:rsid w:val="00B904C2"/>
    <w:rsid w:val="00B92B1A"/>
    <w:rsid w:val="00B92E14"/>
    <w:rsid w:val="00B92E2E"/>
    <w:rsid w:val="00B93A29"/>
    <w:rsid w:val="00B93BB5"/>
    <w:rsid w:val="00B93D55"/>
    <w:rsid w:val="00B949F0"/>
    <w:rsid w:val="00B94BB4"/>
    <w:rsid w:val="00B94CAA"/>
    <w:rsid w:val="00B96E7C"/>
    <w:rsid w:val="00B96EBC"/>
    <w:rsid w:val="00B9723B"/>
    <w:rsid w:val="00BA0588"/>
    <w:rsid w:val="00BA0903"/>
    <w:rsid w:val="00BA1483"/>
    <w:rsid w:val="00BA184E"/>
    <w:rsid w:val="00BA1F9F"/>
    <w:rsid w:val="00BA221F"/>
    <w:rsid w:val="00BA25E5"/>
    <w:rsid w:val="00BA2F49"/>
    <w:rsid w:val="00BA327F"/>
    <w:rsid w:val="00BA38F2"/>
    <w:rsid w:val="00BA401C"/>
    <w:rsid w:val="00BA574E"/>
    <w:rsid w:val="00BA5FBC"/>
    <w:rsid w:val="00BA607B"/>
    <w:rsid w:val="00BA6266"/>
    <w:rsid w:val="00BA731A"/>
    <w:rsid w:val="00BA7927"/>
    <w:rsid w:val="00BA7AE5"/>
    <w:rsid w:val="00BB0495"/>
    <w:rsid w:val="00BB1344"/>
    <w:rsid w:val="00BB1D4A"/>
    <w:rsid w:val="00BB2F5A"/>
    <w:rsid w:val="00BB35C6"/>
    <w:rsid w:val="00BB3724"/>
    <w:rsid w:val="00BB3A62"/>
    <w:rsid w:val="00BB56FA"/>
    <w:rsid w:val="00BB5EF5"/>
    <w:rsid w:val="00BB631C"/>
    <w:rsid w:val="00BB69C8"/>
    <w:rsid w:val="00BB7D2D"/>
    <w:rsid w:val="00BC1041"/>
    <w:rsid w:val="00BC1ED0"/>
    <w:rsid w:val="00BC39D5"/>
    <w:rsid w:val="00BC6399"/>
    <w:rsid w:val="00BC73AB"/>
    <w:rsid w:val="00BD138A"/>
    <w:rsid w:val="00BD1F09"/>
    <w:rsid w:val="00BD1F42"/>
    <w:rsid w:val="00BD20DD"/>
    <w:rsid w:val="00BD27C2"/>
    <w:rsid w:val="00BD2907"/>
    <w:rsid w:val="00BD3A5E"/>
    <w:rsid w:val="00BD486C"/>
    <w:rsid w:val="00BD6168"/>
    <w:rsid w:val="00BD61A3"/>
    <w:rsid w:val="00BD67F8"/>
    <w:rsid w:val="00BD6B8C"/>
    <w:rsid w:val="00BD6DDB"/>
    <w:rsid w:val="00BE2B70"/>
    <w:rsid w:val="00BE378A"/>
    <w:rsid w:val="00BE3C7F"/>
    <w:rsid w:val="00BE7551"/>
    <w:rsid w:val="00BF005C"/>
    <w:rsid w:val="00BF0211"/>
    <w:rsid w:val="00BF0801"/>
    <w:rsid w:val="00BF0A6B"/>
    <w:rsid w:val="00BF0C0E"/>
    <w:rsid w:val="00BF0E01"/>
    <w:rsid w:val="00BF15BC"/>
    <w:rsid w:val="00BF15C6"/>
    <w:rsid w:val="00BF1C93"/>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5717"/>
    <w:rsid w:val="00C05755"/>
    <w:rsid w:val="00C06B36"/>
    <w:rsid w:val="00C06E5D"/>
    <w:rsid w:val="00C071A7"/>
    <w:rsid w:val="00C074E8"/>
    <w:rsid w:val="00C07C94"/>
    <w:rsid w:val="00C07F85"/>
    <w:rsid w:val="00C10361"/>
    <w:rsid w:val="00C103ED"/>
    <w:rsid w:val="00C10E39"/>
    <w:rsid w:val="00C10FBC"/>
    <w:rsid w:val="00C112C3"/>
    <w:rsid w:val="00C11451"/>
    <w:rsid w:val="00C118E8"/>
    <w:rsid w:val="00C11DAC"/>
    <w:rsid w:val="00C1209F"/>
    <w:rsid w:val="00C126A0"/>
    <w:rsid w:val="00C127A8"/>
    <w:rsid w:val="00C12A1C"/>
    <w:rsid w:val="00C12D89"/>
    <w:rsid w:val="00C141AF"/>
    <w:rsid w:val="00C142C3"/>
    <w:rsid w:val="00C14926"/>
    <w:rsid w:val="00C16327"/>
    <w:rsid w:val="00C16C0F"/>
    <w:rsid w:val="00C16CAD"/>
    <w:rsid w:val="00C176F3"/>
    <w:rsid w:val="00C20FE8"/>
    <w:rsid w:val="00C21F8D"/>
    <w:rsid w:val="00C22453"/>
    <w:rsid w:val="00C2463A"/>
    <w:rsid w:val="00C252D9"/>
    <w:rsid w:val="00C2593E"/>
    <w:rsid w:val="00C2596A"/>
    <w:rsid w:val="00C263D3"/>
    <w:rsid w:val="00C26569"/>
    <w:rsid w:val="00C26AB4"/>
    <w:rsid w:val="00C27053"/>
    <w:rsid w:val="00C27D9E"/>
    <w:rsid w:val="00C30B78"/>
    <w:rsid w:val="00C32E15"/>
    <w:rsid w:val="00C32E66"/>
    <w:rsid w:val="00C33017"/>
    <w:rsid w:val="00C3330B"/>
    <w:rsid w:val="00C34566"/>
    <w:rsid w:val="00C349D9"/>
    <w:rsid w:val="00C357F0"/>
    <w:rsid w:val="00C36728"/>
    <w:rsid w:val="00C37011"/>
    <w:rsid w:val="00C37D48"/>
    <w:rsid w:val="00C40C52"/>
    <w:rsid w:val="00C414D4"/>
    <w:rsid w:val="00C42A4B"/>
    <w:rsid w:val="00C43046"/>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D4A"/>
    <w:rsid w:val="00C53392"/>
    <w:rsid w:val="00C543C1"/>
    <w:rsid w:val="00C54751"/>
    <w:rsid w:val="00C556FD"/>
    <w:rsid w:val="00C56536"/>
    <w:rsid w:val="00C56662"/>
    <w:rsid w:val="00C56742"/>
    <w:rsid w:val="00C56FF6"/>
    <w:rsid w:val="00C5744D"/>
    <w:rsid w:val="00C57707"/>
    <w:rsid w:val="00C62853"/>
    <w:rsid w:val="00C63AFE"/>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55E"/>
    <w:rsid w:val="00C74A38"/>
    <w:rsid w:val="00C74CFA"/>
    <w:rsid w:val="00C75627"/>
    <w:rsid w:val="00C75736"/>
    <w:rsid w:val="00C76864"/>
    <w:rsid w:val="00C7696D"/>
    <w:rsid w:val="00C775F9"/>
    <w:rsid w:val="00C77E56"/>
    <w:rsid w:val="00C803D9"/>
    <w:rsid w:val="00C81152"/>
    <w:rsid w:val="00C81894"/>
    <w:rsid w:val="00C81955"/>
    <w:rsid w:val="00C81AC4"/>
    <w:rsid w:val="00C827D8"/>
    <w:rsid w:val="00C83FA0"/>
    <w:rsid w:val="00C8409A"/>
    <w:rsid w:val="00C842F0"/>
    <w:rsid w:val="00C845E7"/>
    <w:rsid w:val="00C85194"/>
    <w:rsid w:val="00C85249"/>
    <w:rsid w:val="00C85D5A"/>
    <w:rsid w:val="00C865A8"/>
    <w:rsid w:val="00C86959"/>
    <w:rsid w:val="00C873F4"/>
    <w:rsid w:val="00C87F3D"/>
    <w:rsid w:val="00C902DE"/>
    <w:rsid w:val="00C9058F"/>
    <w:rsid w:val="00C93095"/>
    <w:rsid w:val="00C938CF"/>
    <w:rsid w:val="00C95141"/>
    <w:rsid w:val="00C95A13"/>
    <w:rsid w:val="00C95B24"/>
    <w:rsid w:val="00C96627"/>
    <w:rsid w:val="00C96D93"/>
    <w:rsid w:val="00C9783D"/>
    <w:rsid w:val="00C97AAA"/>
    <w:rsid w:val="00C97B02"/>
    <w:rsid w:val="00C97B5F"/>
    <w:rsid w:val="00C97EFD"/>
    <w:rsid w:val="00C97FDB"/>
    <w:rsid w:val="00CA032B"/>
    <w:rsid w:val="00CA0354"/>
    <w:rsid w:val="00CA041E"/>
    <w:rsid w:val="00CA0791"/>
    <w:rsid w:val="00CA085D"/>
    <w:rsid w:val="00CA14CE"/>
    <w:rsid w:val="00CA1DB5"/>
    <w:rsid w:val="00CA1EFC"/>
    <w:rsid w:val="00CA29EC"/>
    <w:rsid w:val="00CA46CA"/>
    <w:rsid w:val="00CA5789"/>
    <w:rsid w:val="00CA60F4"/>
    <w:rsid w:val="00CA61C9"/>
    <w:rsid w:val="00CA680B"/>
    <w:rsid w:val="00CA686D"/>
    <w:rsid w:val="00CA6D0E"/>
    <w:rsid w:val="00CA70EF"/>
    <w:rsid w:val="00CA7250"/>
    <w:rsid w:val="00CA7C91"/>
    <w:rsid w:val="00CB1544"/>
    <w:rsid w:val="00CB2501"/>
    <w:rsid w:val="00CB39E0"/>
    <w:rsid w:val="00CB3BA5"/>
    <w:rsid w:val="00CB3E90"/>
    <w:rsid w:val="00CB3F60"/>
    <w:rsid w:val="00CB4AF8"/>
    <w:rsid w:val="00CB4D0E"/>
    <w:rsid w:val="00CB5F33"/>
    <w:rsid w:val="00CB68A7"/>
    <w:rsid w:val="00CB6C62"/>
    <w:rsid w:val="00CB7462"/>
    <w:rsid w:val="00CB7710"/>
    <w:rsid w:val="00CB7765"/>
    <w:rsid w:val="00CC0B78"/>
    <w:rsid w:val="00CC166E"/>
    <w:rsid w:val="00CC2172"/>
    <w:rsid w:val="00CC22D8"/>
    <w:rsid w:val="00CC414D"/>
    <w:rsid w:val="00CC4311"/>
    <w:rsid w:val="00CC45F3"/>
    <w:rsid w:val="00CC4676"/>
    <w:rsid w:val="00CC4E00"/>
    <w:rsid w:val="00CC78F3"/>
    <w:rsid w:val="00CD173B"/>
    <w:rsid w:val="00CD24F1"/>
    <w:rsid w:val="00CD2F77"/>
    <w:rsid w:val="00CD3399"/>
    <w:rsid w:val="00CD3673"/>
    <w:rsid w:val="00CD446B"/>
    <w:rsid w:val="00CE0174"/>
    <w:rsid w:val="00CE025E"/>
    <w:rsid w:val="00CE0287"/>
    <w:rsid w:val="00CE0B6C"/>
    <w:rsid w:val="00CE1961"/>
    <w:rsid w:val="00CE1C99"/>
    <w:rsid w:val="00CE2859"/>
    <w:rsid w:val="00CE2CBD"/>
    <w:rsid w:val="00CE2E3C"/>
    <w:rsid w:val="00CE3DF0"/>
    <w:rsid w:val="00CE3ED3"/>
    <w:rsid w:val="00CE4325"/>
    <w:rsid w:val="00CE4A5F"/>
    <w:rsid w:val="00CE5298"/>
    <w:rsid w:val="00CE5995"/>
    <w:rsid w:val="00CE701B"/>
    <w:rsid w:val="00CE71D7"/>
    <w:rsid w:val="00CE72F1"/>
    <w:rsid w:val="00CE7AA0"/>
    <w:rsid w:val="00CF258E"/>
    <w:rsid w:val="00CF2B39"/>
    <w:rsid w:val="00CF4F71"/>
    <w:rsid w:val="00CF5366"/>
    <w:rsid w:val="00CF5FEA"/>
    <w:rsid w:val="00CF6FC2"/>
    <w:rsid w:val="00CF70AB"/>
    <w:rsid w:val="00CF73FA"/>
    <w:rsid w:val="00D002C5"/>
    <w:rsid w:val="00D00748"/>
    <w:rsid w:val="00D00CFF"/>
    <w:rsid w:val="00D00D65"/>
    <w:rsid w:val="00D00FEA"/>
    <w:rsid w:val="00D01967"/>
    <w:rsid w:val="00D01DD5"/>
    <w:rsid w:val="00D02211"/>
    <w:rsid w:val="00D02C88"/>
    <w:rsid w:val="00D031C9"/>
    <w:rsid w:val="00D03233"/>
    <w:rsid w:val="00D0376A"/>
    <w:rsid w:val="00D0395C"/>
    <w:rsid w:val="00D0399A"/>
    <w:rsid w:val="00D03ACF"/>
    <w:rsid w:val="00D04DF4"/>
    <w:rsid w:val="00D04F8D"/>
    <w:rsid w:val="00D05020"/>
    <w:rsid w:val="00D05BBC"/>
    <w:rsid w:val="00D06F0E"/>
    <w:rsid w:val="00D0760C"/>
    <w:rsid w:val="00D076E6"/>
    <w:rsid w:val="00D077DA"/>
    <w:rsid w:val="00D10D24"/>
    <w:rsid w:val="00D11194"/>
    <w:rsid w:val="00D113BD"/>
    <w:rsid w:val="00D11FA9"/>
    <w:rsid w:val="00D12082"/>
    <w:rsid w:val="00D13012"/>
    <w:rsid w:val="00D131AB"/>
    <w:rsid w:val="00D1440D"/>
    <w:rsid w:val="00D14CBB"/>
    <w:rsid w:val="00D159C4"/>
    <w:rsid w:val="00D16242"/>
    <w:rsid w:val="00D17E00"/>
    <w:rsid w:val="00D207D4"/>
    <w:rsid w:val="00D21A20"/>
    <w:rsid w:val="00D21C3F"/>
    <w:rsid w:val="00D22234"/>
    <w:rsid w:val="00D22FD5"/>
    <w:rsid w:val="00D2369D"/>
    <w:rsid w:val="00D23769"/>
    <w:rsid w:val="00D23EE7"/>
    <w:rsid w:val="00D26F58"/>
    <w:rsid w:val="00D31438"/>
    <w:rsid w:val="00D32E03"/>
    <w:rsid w:val="00D3382F"/>
    <w:rsid w:val="00D338BB"/>
    <w:rsid w:val="00D33EE7"/>
    <w:rsid w:val="00D33F62"/>
    <w:rsid w:val="00D341DC"/>
    <w:rsid w:val="00D35312"/>
    <w:rsid w:val="00D35DF4"/>
    <w:rsid w:val="00D3649E"/>
    <w:rsid w:val="00D37305"/>
    <w:rsid w:val="00D37611"/>
    <w:rsid w:val="00D376C0"/>
    <w:rsid w:val="00D37993"/>
    <w:rsid w:val="00D4196F"/>
    <w:rsid w:val="00D42C25"/>
    <w:rsid w:val="00D4444E"/>
    <w:rsid w:val="00D44CDB"/>
    <w:rsid w:val="00D45D66"/>
    <w:rsid w:val="00D46150"/>
    <w:rsid w:val="00D465EA"/>
    <w:rsid w:val="00D46968"/>
    <w:rsid w:val="00D46EBB"/>
    <w:rsid w:val="00D504D2"/>
    <w:rsid w:val="00D51393"/>
    <w:rsid w:val="00D51672"/>
    <w:rsid w:val="00D51A92"/>
    <w:rsid w:val="00D52E5E"/>
    <w:rsid w:val="00D52EF1"/>
    <w:rsid w:val="00D5324B"/>
    <w:rsid w:val="00D53CD8"/>
    <w:rsid w:val="00D54BEF"/>
    <w:rsid w:val="00D553B3"/>
    <w:rsid w:val="00D5581C"/>
    <w:rsid w:val="00D55E23"/>
    <w:rsid w:val="00D56109"/>
    <w:rsid w:val="00D568DC"/>
    <w:rsid w:val="00D57375"/>
    <w:rsid w:val="00D57693"/>
    <w:rsid w:val="00D576AA"/>
    <w:rsid w:val="00D5777B"/>
    <w:rsid w:val="00D57E34"/>
    <w:rsid w:val="00D608B5"/>
    <w:rsid w:val="00D60AD5"/>
    <w:rsid w:val="00D60B1C"/>
    <w:rsid w:val="00D6148A"/>
    <w:rsid w:val="00D61911"/>
    <w:rsid w:val="00D61A45"/>
    <w:rsid w:val="00D6585F"/>
    <w:rsid w:val="00D6608B"/>
    <w:rsid w:val="00D6627E"/>
    <w:rsid w:val="00D663C7"/>
    <w:rsid w:val="00D66825"/>
    <w:rsid w:val="00D66917"/>
    <w:rsid w:val="00D66FFB"/>
    <w:rsid w:val="00D67994"/>
    <w:rsid w:val="00D7074C"/>
    <w:rsid w:val="00D70D6F"/>
    <w:rsid w:val="00D70F76"/>
    <w:rsid w:val="00D716D2"/>
    <w:rsid w:val="00D71C18"/>
    <w:rsid w:val="00D71D49"/>
    <w:rsid w:val="00D738B5"/>
    <w:rsid w:val="00D74158"/>
    <w:rsid w:val="00D747AA"/>
    <w:rsid w:val="00D80209"/>
    <w:rsid w:val="00D80430"/>
    <w:rsid w:val="00D8088B"/>
    <w:rsid w:val="00D80BCF"/>
    <w:rsid w:val="00D80F11"/>
    <w:rsid w:val="00D81D75"/>
    <w:rsid w:val="00D81E15"/>
    <w:rsid w:val="00D81F8C"/>
    <w:rsid w:val="00D82485"/>
    <w:rsid w:val="00D82595"/>
    <w:rsid w:val="00D82750"/>
    <w:rsid w:val="00D82A5E"/>
    <w:rsid w:val="00D834CD"/>
    <w:rsid w:val="00D83B83"/>
    <w:rsid w:val="00D845F9"/>
    <w:rsid w:val="00D84BBF"/>
    <w:rsid w:val="00D861A9"/>
    <w:rsid w:val="00D86F52"/>
    <w:rsid w:val="00D874B0"/>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97BBE"/>
    <w:rsid w:val="00D97E1A"/>
    <w:rsid w:val="00DA0BBE"/>
    <w:rsid w:val="00DA11B6"/>
    <w:rsid w:val="00DA175B"/>
    <w:rsid w:val="00DA18AA"/>
    <w:rsid w:val="00DA1B54"/>
    <w:rsid w:val="00DA1BE2"/>
    <w:rsid w:val="00DA1F0E"/>
    <w:rsid w:val="00DA32FC"/>
    <w:rsid w:val="00DA495B"/>
    <w:rsid w:val="00DA556F"/>
    <w:rsid w:val="00DA74E7"/>
    <w:rsid w:val="00DA7CF8"/>
    <w:rsid w:val="00DA7FE2"/>
    <w:rsid w:val="00DB0F2C"/>
    <w:rsid w:val="00DB0F71"/>
    <w:rsid w:val="00DB16A2"/>
    <w:rsid w:val="00DB17B4"/>
    <w:rsid w:val="00DB2646"/>
    <w:rsid w:val="00DB307C"/>
    <w:rsid w:val="00DB3894"/>
    <w:rsid w:val="00DB3A0B"/>
    <w:rsid w:val="00DB4C26"/>
    <w:rsid w:val="00DB6FBB"/>
    <w:rsid w:val="00DB73E4"/>
    <w:rsid w:val="00DB7AD3"/>
    <w:rsid w:val="00DB7E20"/>
    <w:rsid w:val="00DC1372"/>
    <w:rsid w:val="00DC186D"/>
    <w:rsid w:val="00DC1C08"/>
    <w:rsid w:val="00DC1E0D"/>
    <w:rsid w:val="00DC321B"/>
    <w:rsid w:val="00DC34D0"/>
    <w:rsid w:val="00DC3CC3"/>
    <w:rsid w:val="00DC3E3C"/>
    <w:rsid w:val="00DC41FC"/>
    <w:rsid w:val="00DC45AD"/>
    <w:rsid w:val="00DC497C"/>
    <w:rsid w:val="00DC55DE"/>
    <w:rsid w:val="00DC5D66"/>
    <w:rsid w:val="00DC688C"/>
    <w:rsid w:val="00DC6C2C"/>
    <w:rsid w:val="00DC7052"/>
    <w:rsid w:val="00DC7CDF"/>
    <w:rsid w:val="00DC7E32"/>
    <w:rsid w:val="00DD04B7"/>
    <w:rsid w:val="00DD0ACD"/>
    <w:rsid w:val="00DD1169"/>
    <w:rsid w:val="00DD2A50"/>
    <w:rsid w:val="00DD3319"/>
    <w:rsid w:val="00DD3B1D"/>
    <w:rsid w:val="00DD430A"/>
    <w:rsid w:val="00DD5083"/>
    <w:rsid w:val="00DD5278"/>
    <w:rsid w:val="00DD5881"/>
    <w:rsid w:val="00DD5B48"/>
    <w:rsid w:val="00DD7529"/>
    <w:rsid w:val="00DE0B30"/>
    <w:rsid w:val="00DE13C9"/>
    <w:rsid w:val="00DE19BA"/>
    <w:rsid w:val="00DE1BAF"/>
    <w:rsid w:val="00DE1DE6"/>
    <w:rsid w:val="00DE1F37"/>
    <w:rsid w:val="00DE34E4"/>
    <w:rsid w:val="00DE38B6"/>
    <w:rsid w:val="00DE3D30"/>
    <w:rsid w:val="00DE3F78"/>
    <w:rsid w:val="00DE4A8B"/>
    <w:rsid w:val="00DE5238"/>
    <w:rsid w:val="00DE5293"/>
    <w:rsid w:val="00DE5A60"/>
    <w:rsid w:val="00DE6C2D"/>
    <w:rsid w:val="00DE7019"/>
    <w:rsid w:val="00DE7BDF"/>
    <w:rsid w:val="00DF10A4"/>
    <w:rsid w:val="00DF1343"/>
    <w:rsid w:val="00DF2C5C"/>
    <w:rsid w:val="00DF4572"/>
    <w:rsid w:val="00DF614A"/>
    <w:rsid w:val="00DF7B85"/>
    <w:rsid w:val="00DF7D60"/>
    <w:rsid w:val="00DF7ED7"/>
    <w:rsid w:val="00E01F65"/>
    <w:rsid w:val="00E0204C"/>
    <w:rsid w:val="00E03A22"/>
    <w:rsid w:val="00E03C2B"/>
    <w:rsid w:val="00E04926"/>
    <w:rsid w:val="00E04A3E"/>
    <w:rsid w:val="00E053AE"/>
    <w:rsid w:val="00E074F0"/>
    <w:rsid w:val="00E07FFD"/>
    <w:rsid w:val="00E10C4B"/>
    <w:rsid w:val="00E10D7F"/>
    <w:rsid w:val="00E12C19"/>
    <w:rsid w:val="00E12FB6"/>
    <w:rsid w:val="00E138DB"/>
    <w:rsid w:val="00E13C60"/>
    <w:rsid w:val="00E14205"/>
    <w:rsid w:val="00E14CF1"/>
    <w:rsid w:val="00E15148"/>
    <w:rsid w:val="00E16401"/>
    <w:rsid w:val="00E177A0"/>
    <w:rsid w:val="00E17C64"/>
    <w:rsid w:val="00E20852"/>
    <w:rsid w:val="00E21533"/>
    <w:rsid w:val="00E21675"/>
    <w:rsid w:val="00E217F5"/>
    <w:rsid w:val="00E21F6A"/>
    <w:rsid w:val="00E23955"/>
    <w:rsid w:val="00E243F2"/>
    <w:rsid w:val="00E249F3"/>
    <w:rsid w:val="00E24E2B"/>
    <w:rsid w:val="00E25339"/>
    <w:rsid w:val="00E25833"/>
    <w:rsid w:val="00E25964"/>
    <w:rsid w:val="00E25CA1"/>
    <w:rsid w:val="00E260FB"/>
    <w:rsid w:val="00E267CE"/>
    <w:rsid w:val="00E26817"/>
    <w:rsid w:val="00E27BE9"/>
    <w:rsid w:val="00E3087F"/>
    <w:rsid w:val="00E309D6"/>
    <w:rsid w:val="00E30AA8"/>
    <w:rsid w:val="00E31247"/>
    <w:rsid w:val="00E32342"/>
    <w:rsid w:val="00E331DB"/>
    <w:rsid w:val="00E333EC"/>
    <w:rsid w:val="00E3397C"/>
    <w:rsid w:val="00E33F98"/>
    <w:rsid w:val="00E33FAF"/>
    <w:rsid w:val="00E350E2"/>
    <w:rsid w:val="00E3547F"/>
    <w:rsid w:val="00E366D2"/>
    <w:rsid w:val="00E37146"/>
    <w:rsid w:val="00E41665"/>
    <w:rsid w:val="00E416B1"/>
    <w:rsid w:val="00E42227"/>
    <w:rsid w:val="00E424C9"/>
    <w:rsid w:val="00E42A97"/>
    <w:rsid w:val="00E438B0"/>
    <w:rsid w:val="00E43E50"/>
    <w:rsid w:val="00E4413A"/>
    <w:rsid w:val="00E446AA"/>
    <w:rsid w:val="00E4503E"/>
    <w:rsid w:val="00E4550D"/>
    <w:rsid w:val="00E464DF"/>
    <w:rsid w:val="00E472A8"/>
    <w:rsid w:val="00E507D1"/>
    <w:rsid w:val="00E50E29"/>
    <w:rsid w:val="00E51A96"/>
    <w:rsid w:val="00E52518"/>
    <w:rsid w:val="00E531EB"/>
    <w:rsid w:val="00E5359B"/>
    <w:rsid w:val="00E535DF"/>
    <w:rsid w:val="00E5387E"/>
    <w:rsid w:val="00E54691"/>
    <w:rsid w:val="00E553E7"/>
    <w:rsid w:val="00E55AD4"/>
    <w:rsid w:val="00E5704C"/>
    <w:rsid w:val="00E61A39"/>
    <w:rsid w:val="00E61BBA"/>
    <w:rsid w:val="00E61BBC"/>
    <w:rsid w:val="00E62519"/>
    <w:rsid w:val="00E62920"/>
    <w:rsid w:val="00E62FE6"/>
    <w:rsid w:val="00E6492A"/>
    <w:rsid w:val="00E66EA9"/>
    <w:rsid w:val="00E677BE"/>
    <w:rsid w:val="00E67E88"/>
    <w:rsid w:val="00E71FAB"/>
    <w:rsid w:val="00E72056"/>
    <w:rsid w:val="00E7242C"/>
    <w:rsid w:val="00E729BB"/>
    <w:rsid w:val="00E72AAE"/>
    <w:rsid w:val="00E72B09"/>
    <w:rsid w:val="00E72F07"/>
    <w:rsid w:val="00E7311B"/>
    <w:rsid w:val="00E75135"/>
    <w:rsid w:val="00E7641E"/>
    <w:rsid w:val="00E76712"/>
    <w:rsid w:val="00E76CA3"/>
    <w:rsid w:val="00E8039D"/>
    <w:rsid w:val="00E81176"/>
    <w:rsid w:val="00E8148D"/>
    <w:rsid w:val="00E81518"/>
    <w:rsid w:val="00E8208A"/>
    <w:rsid w:val="00E82475"/>
    <w:rsid w:val="00E824B1"/>
    <w:rsid w:val="00E83B26"/>
    <w:rsid w:val="00E83E8D"/>
    <w:rsid w:val="00E856C3"/>
    <w:rsid w:val="00E85E82"/>
    <w:rsid w:val="00E86E87"/>
    <w:rsid w:val="00E87129"/>
    <w:rsid w:val="00E87449"/>
    <w:rsid w:val="00E9037C"/>
    <w:rsid w:val="00E90458"/>
    <w:rsid w:val="00E91199"/>
    <w:rsid w:val="00E9288B"/>
    <w:rsid w:val="00E9421B"/>
    <w:rsid w:val="00E94ABC"/>
    <w:rsid w:val="00E95202"/>
    <w:rsid w:val="00E952A7"/>
    <w:rsid w:val="00E95E1B"/>
    <w:rsid w:val="00E962BC"/>
    <w:rsid w:val="00E9661F"/>
    <w:rsid w:val="00E96872"/>
    <w:rsid w:val="00E972E4"/>
    <w:rsid w:val="00EA06E1"/>
    <w:rsid w:val="00EA088F"/>
    <w:rsid w:val="00EA0D78"/>
    <w:rsid w:val="00EA1161"/>
    <w:rsid w:val="00EA1879"/>
    <w:rsid w:val="00EA19DF"/>
    <w:rsid w:val="00EA1D45"/>
    <w:rsid w:val="00EA2B5B"/>
    <w:rsid w:val="00EA5083"/>
    <w:rsid w:val="00EA556B"/>
    <w:rsid w:val="00EA563F"/>
    <w:rsid w:val="00EA5833"/>
    <w:rsid w:val="00EA5900"/>
    <w:rsid w:val="00EA5B72"/>
    <w:rsid w:val="00EA5F06"/>
    <w:rsid w:val="00EA6992"/>
    <w:rsid w:val="00EA7A20"/>
    <w:rsid w:val="00EA7CFD"/>
    <w:rsid w:val="00EA7F8B"/>
    <w:rsid w:val="00EB2C18"/>
    <w:rsid w:val="00EB2C92"/>
    <w:rsid w:val="00EB441F"/>
    <w:rsid w:val="00EB484C"/>
    <w:rsid w:val="00EB4932"/>
    <w:rsid w:val="00EB4C30"/>
    <w:rsid w:val="00EB6036"/>
    <w:rsid w:val="00EB66BC"/>
    <w:rsid w:val="00EB6F5F"/>
    <w:rsid w:val="00EB70CC"/>
    <w:rsid w:val="00EC000E"/>
    <w:rsid w:val="00EC07B6"/>
    <w:rsid w:val="00EC0D88"/>
    <w:rsid w:val="00EC1905"/>
    <w:rsid w:val="00EC2110"/>
    <w:rsid w:val="00EC2BF7"/>
    <w:rsid w:val="00EC2C46"/>
    <w:rsid w:val="00EC307B"/>
    <w:rsid w:val="00EC381B"/>
    <w:rsid w:val="00EC510C"/>
    <w:rsid w:val="00EC6135"/>
    <w:rsid w:val="00EC653E"/>
    <w:rsid w:val="00EC6750"/>
    <w:rsid w:val="00EC75C9"/>
    <w:rsid w:val="00ED02BB"/>
    <w:rsid w:val="00ED1706"/>
    <w:rsid w:val="00ED25D4"/>
    <w:rsid w:val="00ED3634"/>
    <w:rsid w:val="00ED366C"/>
    <w:rsid w:val="00ED3C7E"/>
    <w:rsid w:val="00ED4223"/>
    <w:rsid w:val="00ED57DB"/>
    <w:rsid w:val="00ED65F5"/>
    <w:rsid w:val="00ED6676"/>
    <w:rsid w:val="00ED674B"/>
    <w:rsid w:val="00ED67A7"/>
    <w:rsid w:val="00ED6E72"/>
    <w:rsid w:val="00ED77F6"/>
    <w:rsid w:val="00ED7B55"/>
    <w:rsid w:val="00EE010B"/>
    <w:rsid w:val="00EE0952"/>
    <w:rsid w:val="00EE0DBA"/>
    <w:rsid w:val="00EE2537"/>
    <w:rsid w:val="00EE26AD"/>
    <w:rsid w:val="00EE26C3"/>
    <w:rsid w:val="00EE289E"/>
    <w:rsid w:val="00EE2E2D"/>
    <w:rsid w:val="00EE33D5"/>
    <w:rsid w:val="00EE3E5F"/>
    <w:rsid w:val="00EE4CFD"/>
    <w:rsid w:val="00EE4D8B"/>
    <w:rsid w:val="00EE5485"/>
    <w:rsid w:val="00EE66CF"/>
    <w:rsid w:val="00EE6A78"/>
    <w:rsid w:val="00EE6D73"/>
    <w:rsid w:val="00EE72F8"/>
    <w:rsid w:val="00EF1B56"/>
    <w:rsid w:val="00EF1EB3"/>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2014"/>
    <w:rsid w:val="00F023F4"/>
    <w:rsid w:val="00F025B9"/>
    <w:rsid w:val="00F02E4E"/>
    <w:rsid w:val="00F030B1"/>
    <w:rsid w:val="00F03F47"/>
    <w:rsid w:val="00F04595"/>
    <w:rsid w:val="00F05EE2"/>
    <w:rsid w:val="00F06439"/>
    <w:rsid w:val="00F06569"/>
    <w:rsid w:val="00F0772A"/>
    <w:rsid w:val="00F07DA8"/>
    <w:rsid w:val="00F10565"/>
    <w:rsid w:val="00F10DB3"/>
    <w:rsid w:val="00F1101C"/>
    <w:rsid w:val="00F1268C"/>
    <w:rsid w:val="00F13C84"/>
    <w:rsid w:val="00F14830"/>
    <w:rsid w:val="00F14B7E"/>
    <w:rsid w:val="00F15789"/>
    <w:rsid w:val="00F15C36"/>
    <w:rsid w:val="00F165B2"/>
    <w:rsid w:val="00F1678B"/>
    <w:rsid w:val="00F16895"/>
    <w:rsid w:val="00F168F1"/>
    <w:rsid w:val="00F168F6"/>
    <w:rsid w:val="00F16D33"/>
    <w:rsid w:val="00F16E3A"/>
    <w:rsid w:val="00F17416"/>
    <w:rsid w:val="00F202BC"/>
    <w:rsid w:val="00F203DB"/>
    <w:rsid w:val="00F20BA3"/>
    <w:rsid w:val="00F21396"/>
    <w:rsid w:val="00F21AC4"/>
    <w:rsid w:val="00F222E5"/>
    <w:rsid w:val="00F2265B"/>
    <w:rsid w:val="00F22EE6"/>
    <w:rsid w:val="00F2487C"/>
    <w:rsid w:val="00F25353"/>
    <w:rsid w:val="00F255C6"/>
    <w:rsid w:val="00F25AC3"/>
    <w:rsid w:val="00F27153"/>
    <w:rsid w:val="00F27B63"/>
    <w:rsid w:val="00F27CE9"/>
    <w:rsid w:val="00F30D92"/>
    <w:rsid w:val="00F317CF"/>
    <w:rsid w:val="00F31AF1"/>
    <w:rsid w:val="00F31DA7"/>
    <w:rsid w:val="00F31F35"/>
    <w:rsid w:val="00F31FF5"/>
    <w:rsid w:val="00F32365"/>
    <w:rsid w:val="00F35ED4"/>
    <w:rsid w:val="00F36064"/>
    <w:rsid w:val="00F363E9"/>
    <w:rsid w:val="00F3654D"/>
    <w:rsid w:val="00F368A4"/>
    <w:rsid w:val="00F36CAF"/>
    <w:rsid w:val="00F36CB0"/>
    <w:rsid w:val="00F37339"/>
    <w:rsid w:val="00F37B0F"/>
    <w:rsid w:val="00F37E92"/>
    <w:rsid w:val="00F4005A"/>
    <w:rsid w:val="00F40E13"/>
    <w:rsid w:val="00F40E83"/>
    <w:rsid w:val="00F41688"/>
    <w:rsid w:val="00F42033"/>
    <w:rsid w:val="00F4372E"/>
    <w:rsid w:val="00F4529B"/>
    <w:rsid w:val="00F45967"/>
    <w:rsid w:val="00F46513"/>
    <w:rsid w:val="00F46586"/>
    <w:rsid w:val="00F46A07"/>
    <w:rsid w:val="00F47562"/>
    <w:rsid w:val="00F509A4"/>
    <w:rsid w:val="00F51491"/>
    <w:rsid w:val="00F5220C"/>
    <w:rsid w:val="00F52BE6"/>
    <w:rsid w:val="00F52D7A"/>
    <w:rsid w:val="00F53995"/>
    <w:rsid w:val="00F53A2C"/>
    <w:rsid w:val="00F546AE"/>
    <w:rsid w:val="00F567F4"/>
    <w:rsid w:val="00F574BB"/>
    <w:rsid w:val="00F60C31"/>
    <w:rsid w:val="00F60F89"/>
    <w:rsid w:val="00F61531"/>
    <w:rsid w:val="00F644C2"/>
    <w:rsid w:val="00F648D6"/>
    <w:rsid w:val="00F64B26"/>
    <w:rsid w:val="00F66EF3"/>
    <w:rsid w:val="00F66F44"/>
    <w:rsid w:val="00F70954"/>
    <w:rsid w:val="00F72258"/>
    <w:rsid w:val="00F72A90"/>
    <w:rsid w:val="00F74A5D"/>
    <w:rsid w:val="00F75882"/>
    <w:rsid w:val="00F7665C"/>
    <w:rsid w:val="00F76A03"/>
    <w:rsid w:val="00F76C5B"/>
    <w:rsid w:val="00F8053A"/>
    <w:rsid w:val="00F80B0D"/>
    <w:rsid w:val="00F80E32"/>
    <w:rsid w:val="00F824CA"/>
    <w:rsid w:val="00F82F0A"/>
    <w:rsid w:val="00F83AF7"/>
    <w:rsid w:val="00F846B8"/>
    <w:rsid w:val="00F84882"/>
    <w:rsid w:val="00F84F60"/>
    <w:rsid w:val="00F8532C"/>
    <w:rsid w:val="00F85A13"/>
    <w:rsid w:val="00F8649E"/>
    <w:rsid w:val="00F87CF3"/>
    <w:rsid w:val="00F90464"/>
    <w:rsid w:val="00F90D2E"/>
    <w:rsid w:val="00F90ED0"/>
    <w:rsid w:val="00F91A03"/>
    <w:rsid w:val="00F91A66"/>
    <w:rsid w:val="00F92818"/>
    <w:rsid w:val="00F92A92"/>
    <w:rsid w:val="00F92AF5"/>
    <w:rsid w:val="00F92CE8"/>
    <w:rsid w:val="00F93EA8"/>
    <w:rsid w:val="00F94907"/>
    <w:rsid w:val="00F9581C"/>
    <w:rsid w:val="00F967B0"/>
    <w:rsid w:val="00F96A33"/>
    <w:rsid w:val="00FA055D"/>
    <w:rsid w:val="00FA089C"/>
    <w:rsid w:val="00FA1820"/>
    <w:rsid w:val="00FA198B"/>
    <w:rsid w:val="00FA35D2"/>
    <w:rsid w:val="00FA3BF1"/>
    <w:rsid w:val="00FA4097"/>
    <w:rsid w:val="00FA7360"/>
    <w:rsid w:val="00FA738F"/>
    <w:rsid w:val="00FB10E8"/>
    <w:rsid w:val="00FB2364"/>
    <w:rsid w:val="00FB2D63"/>
    <w:rsid w:val="00FB3053"/>
    <w:rsid w:val="00FB3BA3"/>
    <w:rsid w:val="00FB4099"/>
    <w:rsid w:val="00FB420E"/>
    <w:rsid w:val="00FB4520"/>
    <w:rsid w:val="00FB4C02"/>
    <w:rsid w:val="00FB4CAC"/>
    <w:rsid w:val="00FB4CCC"/>
    <w:rsid w:val="00FB6031"/>
    <w:rsid w:val="00FB6F32"/>
    <w:rsid w:val="00FB71F5"/>
    <w:rsid w:val="00FB7376"/>
    <w:rsid w:val="00FB784A"/>
    <w:rsid w:val="00FC0E69"/>
    <w:rsid w:val="00FC1E0D"/>
    <w:rsid w:val="00FC24BB"/>
    <w:rsid w:val="00FC313F"/>
    <w:rsid w:val="00FC3FFF"/>
    <w:rsid w:val="00FC47FA"/>
    <w:rsid w:val="00FC5508"/>
    <w:rsid w:val="00FC5BF0"/>
    <w:rsid w:val="00FC5DD8"/>
    <w:rsid w:val="00FC61FF"/>
    <w:rsid w:val="00FC6260"/>
    <w:rsid w:val="00FC67A2"/>
    <w:rsid w:val="00FC6997"/>
    <w:rsid w:val="00FC7AFA"/>
    <w:rsid w:val="00FD00EC"/>
    <w:rsid w:val="00FD049B"/>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7DC"/>
    <w:rsid w:val="00FE23A2"/>
    <w:rsid w:val="00FE2820"/>
    <w:rsid w:val="00FE33CF"/>
    <w:rsid w:val="00FE358D"/>
    <w:rsid w:val="00FE364F"/>
    <w:rsid w:val="00FE37B9"/>
    <w:rsid w:val="00FE41E3"/>
    <w:rsid w:val="00FE4447"/>
    <w:rsid w:val="00FE4684"/>
    <w:rsid w:val="00FE4F1A"/>
    <w:rsid w:val="00FE5053"/>
    <w:rsid w:val="00FE51D1"/>
    <w:rsid w:val="00FE5640"/>
    <w:rsid w:val="00FE5BA4"/>
    <w:rsid w:val="00FE7B1A"/>
    <w:rsid w:val="00FE7FA1"/>
    <w:rsid w:val="00FF00C6"/>
    <w:rsid w:val="00FF034B"/>
    <w:rsid w:val="00FF0804"/>
    <w:rsid w:val="00FF0C24"/>
    <w:rsid w:val="00FF18C5"/>
    <w:rsid w:val="00FF18DE"/>
    <w:rsid w:val="00FF278C"/>
    <w:rsid w:val="00FF3215"/>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09911"/>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24"/>
    <w:pPr>
      <w:jc w:val="both"/>
    </w:pPr>
    <w:rPr>
      <w:rFonts w:ascii="Times New Roman" w:hAnsi="Times New Roman"/>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0459D1"/>
    <w:pPr>
      <w:numPr>
        <w:numId w:val="1"/>
      </w:numPr>
      <w:spacing w:before="240" w:line="36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4D4DBF"/>
    <w:pPr>
      <w:numPr>
        <w:ilvl w:val="1"/>
      </w:numPr>
    </w:pPr>
  </w:style>
  <w:style w:type="paragraph" w:customStyle="1" w:styleId="3">
    <w:name w:val="3"/>
    <w:basedOn w:val="2"/>
    <w:qFormat/>
    <w:rsid w:val="004D4DBF"/>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423AA2"/>
    <w:pPr>
      <w:numPr>
        <w:ilvl w:val="4"/>
      </w:numPr>
      <w:tabs>
        <w:tab w:val="clear" w:pos="5670"/>
        <w:tab w:val="num" w:pos="3515"/>
      </w:tabs>
      <w:ind w:left="3515" w:hanging="453"/>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unhideWhenUsed/>
    <w:qFormat/>
    <w:rsid w:val="00300D09"/>
    <w:rPr>
      <w:vertAlign w:val="superscript"/>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qFormat/>
    <w:rsid w:val="00300D09"/>
    <w:pPr>
      <w:spacing w:after="120"/>
      <w:ind w:left="284" w:hanging="284"/>
    </w:pPr>
    <w:rPr>
      <w:sz w:val="18"/>
      <w:szCs w:val="22"/>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link w:val="FootnoteText"/>
    <w:rsid w:val="00300D09"/>
    <w:rPr>
      <w:rFonts w:ascii="Arial" w:hAnsi="Arial"/>
      <w:sz w:val="18"/>
      <w:szCs w:val="22"/>
      <w:lang w:eastAsia="en-US"/>
    </w:rPr>
  </w:style>
  <w:style w:type="paragraph" w:styleId="Quote">
    <w:name w:val="Quote"/>
    <w:basedOn w:val="Normal"/>
    <w:link w:val="QuoteChar"/>
    <w:uiPriority w:val="29"/>
    <w:qFormat/>
    <w:rsid w:val="00D31438"/>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D31438"/>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customStyle="1" w:styleId="Parties">
    <w:name w:val="Parties"/>
    <w:basedOn w:val="Normal"/>
    <w:rsid w:val="00300D09"/>
    <w:pPr>
      <w:tabs>
        <w:tab w:val="right" w:pos="8732"/>
      </w:tabs>
      <w:suppressAutoHyphens/>
    </w:pPr>
    <w:rPr>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character" w:customStyle="1" w:styleId="footnote-link">
    <w:name w:val="footnote-link"/>
    <w:basedOn w:val="DefaultParagraphFont"/>
    <w:rsid w:val="00D83B83"/>
  </w:style>
  <w:style w:type="character" w:customStyle="1" w:styleId="1Char">
    <w:name w:val="1 Char"/>
    <w:link w:val="1"/>
    <w:rsid w:val="000459D1"/>
    <w:rPr>
      <w:rFonts w:ascii="Arial" w:hAnsi="Arial"/>
      <w:iCs/>
      <w:color w:val="000000"/>
      <w:sz w:val="24"/>
      <w:szCs w:val="22"/>
      <w:lang w:eastAsia="en-US"/>
    </w:rPr>
  </w:style>
  <w:style w:type="character" w:customStyle="1" w:styleId="2Char">
    <w:name w:val="2 Char"/>
    <w:link w:val="2"/>
    <w:rsid w:val="004D4DBF"/>
    <w:rPr>
      <w:rFonts w:ascii="Arial" w:hAnsi="Arial"/>
      <w:iCs/>
      <w:color w:val="000000"/>
      <w:sz w:val="24"/>
      <w:szCs w:val="22"/>
      <w:lang w:eastAsia="en-US"/>
    </w:rPr>
  </w:style>
  <w:style w:type="paragraph" w:styleId="ListNumber">
    <w:name w:val="List Number"/>
    <w:basedOn w:val="Normal"/>
    <w:uiPriority w:val="99"/>
    <w:unhideWhenUsed/>
    <w:rsid w:val="00300D09"/>
    <w:pPr>
      <w:spacing w:before="9738"/>
      <w:ind w:left="360" w:hanging="360"/>
    </w:pPr>
  </w:style>
  <w:style w:type="character" w:styleId="Emphasis">
    <w:name w:val="Emphasis"/>
    <w:uiPriority w:val="20"/>
    <w:qFormat/>
    <w:rsid w:val="00820579"/>
    <w:rPr>
      <w:i/>
      <w:iCs/>
    </w:rPr>
  </w:style>
  <w:style w:type="character" w:customStyle="1" w:styleId="UnresolvedMention">
    <w:name w:val="Unresolved Mention"/>
    <w:basedOn w:val="DefaultParagraphFont"/>
    <w:uiPriority w:val="99"/>
    <w:semiHidden/>
    <w:unhideWhenUsed/>
    <w:rsid w:val="00463C95"/>
    <w:rPr>
      <w:color w:val="605E5C"/>
      <w:shd w:val="clear" w:color="auto" w:fill="E1DFDD"/>
    </w:rPr>
  </w:style>
  <w:style w:type="character" w:customStyle="1" w:styleId="g1">
    <w:name w:val="g1"/>
    <w:basedOn w:val="DefaultParagraphFont"/>
    <w:rsid w:val="008F7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94380239">
      <w:bodyDiv w:val="1"/>
      <w:marLeft w:val="0"/>
      <w:marRight w:val="0"/>
      <w:marTop w:val="0"/>
      <w:marBottom w:val="0"/>
      <w:divBdr>
        <w:top w:val="none" w:sz="0" w:space="0" w:color="auto"/>
        <w:left w:val="none" w:sz="0" w:space="0" w:color="auto"/>
        <w:bottom w:val="none" w:sz="0" w:space="0" w:color="auto"/>
        <w:right w:val="none" w:sz="0" w:space="0" w:color="auto"/>
      </w:divBdr>
      <w:divsChild>
        <w:div w:id="521627552">
          <w:marLeft w:val="0"/>
          <w:marRight w:val="0"/>
          <w:marTop w:val="120"/>
          <w:marBottom w:val="0"/>
          <w:divBdr>
            <w:top w:val="none" w:sz="0" w:space="0" w:color="auto"/>
            <w:left w:val="none" w:sz="0" w:space="0" w:color="auto"/>
            <w:bottom w:val="none" w:sz="0" w:space="0" w:color="auto"/>
            <w:right w:val="none" w:sz="0" w:space="0" w:color="auto"/>
          </w:divBdr>
        </w:div>
        <w:div w:id="98840671">
          <w:marLeft w:val="1134"/>
          <w:marRight w:val="0"/>
          <w:marTop w:val="60"/>
          <w:marBottom w:val="0"/>
          <w:divBdr>
            <w:top w:val="none" w:sz="0" w:space="0" w:color="auto"/>
            <w:left w:val="none" w:sz="0" w:space="0" w:color="auto"/>
            <w:bottom w:val="none" w:sz="0" w:space="0" w:color="auto"/>
            <w:right w:val="none" w:sz="0" w:space="0" w:color="auto"/>
          </w:divBdr>
        </w:div>
        <w:div w:id="1255165651">
          <w:marLeft w:val="1134"/>
          <w:marRight w:val="0"/>
          <w:marTop w:val="60"/>
          <w:marBottom w:val="0"/>
          <w:divBdr>
            <w:top w:val="none" w:sz="0" w:space="0" w:color="auto"/>
            <w:left w:val="none" w:sz="0" w:space="0" w:color="auto"/>
            <w:bottom w:val="none" w:sz="0" w:space="0" w:color="auto"/>
            <w:right w:val="none" w:sz="0" w:space="0" w:color="auto"/>
          </w:divBdr>
        </w:div>
        <w:div w:id="498734019">
          <w:marLeft w:val="1134"/>
          <w:marRight w:val="0"/>
          <w:marTop w:val="60"/>
          <w:marBottom w:val="0"/>
          <w:divBdr>
            <w:top w:val="none" w:sz="0" w:space="0" w:color="auto"/>
            <w:left w:val="none" w:sz="0" w:space="0" w:color="auto"/>
            <w:bottom w:val="none" w:sz="0" w:space="0" w:color="auto"/>
            <w:right w:val="none" w:sz="0" w:space="0" w:color="auto"/>
          </w:divBdr>
        </w:div>
        <w:div w:id="867988633">
          <w:marLeft w:val="1134"/>
          <w:marRight w:val="0"/>
          <w:marTop w:val="60"/>
          <w:marBottom w:val="0"/>
          <w:divBdr>
            <w:top w:val="none" w:sz="0" w:space="0" w:color="auto"/>
            <w:left w:val="none" w:sz="0" w:space="0" w:color="auto"/>
            <w:bottom w:val="none" w:sz="0" w:space="0" w:color="auto"/>
            <w:right w:val="none" w:sz="0" w:space="0" w:color="auto"/>
          </w:divBdr>
        </w:div>
      </w:divsChild>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02952587">
      <w:bodyDiv w:val="1"/>
      <w:marLeft w:val="0"/>
      <w:marRight w:val="0"/>
      <w:marTop w:val="0"/>
      <w:marBottom w:val="0"/>
      <w:divBdr>
        <w:top w:val="none" w:sz="0" w:space="0" w:color="auto"/>
        <w:left w:val="none" w:sz="0" w:space="0" w:color="auto"/>
        <w:bottom w:val="none" w:sz="0" w:space="0" w:color="auto"/>
        <w:right w:val="none" w:sz="0" w:space="0" w:color="auto"/>
      </w:divBdr>
      <w:divsChild>
        <w:div w:id="922756899">
          <w:marLeft w:val="284"/>
          <w:marRight w:val="0"/>
          <w:marTop w:val="80"/>
          <w:marBottom w:val="0"/>
          <w:divBdr>
            <w:top w:val="none" w:sz="0" w:space="0" w:color="auto"/>
            <w:left w:val="none" w:sz="0" w:space="0" w:color="auto"/>
            <w:bottom w:val="none" w:sz="0" w:space="0" w:color="auto"/>
            <w:right w:val="none" w:sz="0" w:space="0" w:color="auto"/>
          </w:divBdr>
        </w:div>
        <w:div w:id="2024816437">
          <w:marLeft w:val="1134"/>
          <w:marRight w:val="0"/>
          <w:marTop w:val="60"/>
          <w:marBottom w:val="0"/>
          <w:divBdr>
            <w:top w:val="none" w:sz="0" w:space="0" w:color="auto"/>
            <w:left w:val="none" w:sz="0" w:space="0" w:color="auto"/>
            <w:bottom w:val="none" w:sz="0" w:space="0" w:color="auto"/>
            <w:right w:val="none" w:sz="0" w:space="0" w:color="auto"/>
          </w:divBdr>
        </w:div>
        <w:div w:id="1562253620">
          <w:marLeft w:val="1985"/>
          <w:marRight w:val="0"/>
          <w:marTop w:val="60"/>
          <w:marBottom w:val="0"/>
          <w:divBdr>
            <w:top w:val="none" w:sz="0" w:space="0" w:color="auto"/>
            <w:left w:val="none" w:sz="0" w:space="0" w:color="auto"/>
            <w:bottom w:val="none" w:sz="0" w:space="0" w:color="auto"/>
            <w:right w:val="none" w:sz="0" w:space="0" w:color="auto"/>
          </w:divBdr>
        </w:div>
        <w:div w:id="15618991">
          <w:marLeft w:val="1985"/>
          <w:marRight w:val="0"/>
          <w:marTop w:val="60"/>
          <w:marBottom w:val="0"/>
          <w:divBdr>
            <w:top w:val="none" w:sz="0" w:space="0" w:color="auto"/>
            <w:left w:val="none" w:sz="0" w:space="0" w:color="auto"/>
            <w:bottom w:val="none" w:sz="0" w:space="0" w:color="auto"/>
            <w:right w:val="none" w:sz="0" w:space="0" w:color="auto"/>
          </w:divBdr>
        </w:div>
        <w:div w:id="264045588">
          <w:marLeft w:val="1985"/>
          <w:marRight w:val="0"/>
          <w:marTop w:val="60"/>
          <w:marBottom w:val="0"/>
          <w:divBdr>
            <w:top w:val="none" w:sz="0" w:space="0" w:color="auto"/>
            <w:left w:val="none" w:sz="0" w:space="0" w:color="auto"/>
            <w:bottom w:val="none" w:sz="0" w:space="0" w:color="auto"/>
            <w:right w:val="none" w:sz="0" w:space="0" w:color="auto"/>
          </w:divBdr>
        </w:div>
        <w:div w:id="1851293674">
          <w:marLeft w:val="1134"/>
          <w:marRight w:val="0"/>
          <w:marTop w:val="60"/>
          <w:marBottom w:val="0"/>
          <w:divBdr>
            <w:top w:val="none" w:sz="0" w:space="0" w:color="auto"/>
            <w:left w:val="none" w:sz="0" w:space="0" w:color="auto"/>
            <w:bottom w:val="none" w:sz="0" w:space="0" w:color="auto"/>
            <w:right w:val="none" w:sz="0" w:space="0" w:color="auto"/>
          </w:divBdr>
        </w:div>
      </w:divsChild>
    </w:div>
    <w:div w:id="1679233643">
      <w:bodyDiv w:val="1"/>
      <w:marLeft w:val="0"/>
      <w:marRight w:val="0"/>
      <w:marTop w:val="0"/>
      <w:marBottom w:val="0"/>
      <w:divBdr>
        <w:top w:val="none" w:sz="0" w:space="0" w:color="auto"/>
        <w:left w:val="none" w:sz="0" w:space="0" w:color="auto"/>
        <w:bottom w:val="none" w:sz="0" w:space="0" w:color="auto"/>
        <w:right w:val="none" w:sz="0" w:space="0" w:color="auto"/>
      </w:divBdr>
      <w:divsChild>
        <w:div w:id="317341715">
          <w:marLeft w:val="0"/>
          <w:marRight w:val="0"/>
          <w:marTop w:val="120"/>
          <w:marBottom w:val="0"/>
          <w:divBdr>
            <w:top w:val="none" w:sz="0" w:space="0" w:color="auto"/>
            <w:left w:val="none" w:sz="0" w:space="0" w:color="auto"/>
            <w:bottom w:val="none" w:sz="0" w:space="0" w:color="auto"/>
            <w:right w:val="none" w:sz="0" w:space="0" w:color="auto"/>
          </w:divBdr>
        </w:div>
        <w:div w:id="678388792">
          <w:marLeft w:val="567"/>
          <w:marRight w:val="0"/>
          <w:marTop w:val="60"/>
          <w:marBottom w:val="0"/>
          <w:divBdr>
            <w:top w:val="none" w:sz="0" w:space="0" w:color="auto"/>
            <w:left w:val="none" w:sz="0" w:space="0" w:color="auto"/>
            <w:bottom w:val="none" w:sz="0" w:space="0" w:color="auto"/>
            <w:right w:val="none" w:sz="0" w:space="0" w:color="auto"/>
          </w:divBdr>
        </w:div>
      </w:divsChild>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36258925">
      <w:bodyDiv w:val="1"/>
      <w:marLeft w:val="0"/>
      <w:marRight w:val="0"/>
      <w:marTop w:val="0"/>
      <w:marBottom w:val="0"/>
      <w:divBdr>
        <w:top w:val="none" w:sz="0" w:space="0" w:color="auto"/>
        <w:left w:val="none" w:sz="0" w:space="0" w:color="auto"/>
        <w:bottom w:val="none" w:sz="0" w:space="0" w:color="auto"/>
        <w:right w:val="none" w:sz="0" w:space="0" w:color="auto"/>
      </w:divBdr>
      <w:divsChild>
        <w:div w:id="1933662635">
          <w:marLeft w:val="0"/>
          <w:marRight w:val="0"/>
          <w:marTop w:val="240"/>
          <w:marBottom w:val="0"/>
          <w:divBdr>
            <w:top w:val="none" w:sz="0" w:space="0" w:color="auto"/>
            <w:left w:val="none" w:sz="0" w:space="0" w:color="auto"/>
            <w:bottom w:val="none" w:sz="0" w:space="0" w:color="auto"/>
            <w:right w:val="none" w:sz="0" w:space="0" w:color="auto"/>
          </w:divBdr>
        </w:div>
        <w:div w:id="630748077">
          <w:marLeft w:val="0"/>
          <w:marRight w:val="0"/>
          <w:marTop w:val="120"/>
          <w:marBottom w:val="0"/>
          <w:divBdr>
            <w:top w:val="none" w:sz="0" w:space="0" w:color="auto"/>
            <w:left w:val="none" w:sz="0" w:space="0" w:color="auto"/>
            <w:bottom w:val="none" w:sz="0" w:space="0" w:color="auto"/>
            <w:right w:val="none" w:sz="0" w:space="0" w:color="auto"/>
          </w:divBdr>
        </w:div>
      </w:divsChild>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26y2000s3%27%5d&amp;xhitlist_md=target-id=0-0-0-2126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51475%27%5d&amp;xhitlist_md=target-id=0-0-0-24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2C62-4FAF-4014-AF2E-9EF4EF26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13</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Mokone</cp:lastModifiedBy>
  <cp:revision>3</cp:revision>
  <cp:lastPrinted>2019-03-18T05:48:00Z</cp:lastPrinted>
  <dcterms:created xsi:type="dcterms:W3CDTF">2023-10-02T07:38:00Z</dcterms:created>
  <dcterms:modified xsi:type="dcterms:W3CDTF">2023-10-02T07:38:00Z</dcterms:modified>
</cp:coreProperties>
</file>