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FD55DA" w:rsidRDefault="006C43D7" w:rsidP="00C74E97">
      <w:pPr>
        <w:spacing w:after="120" w:line="360" w:lineRule="auto"/>
        <w:jc w:val="center"/>
        <w:rPr>
          <w:rFonts w:cs="Arial"/>
          <w:b/>
          <w:bCs/>
          <w:szCs w:val="22"/>
        </w:rPr>
      </w:pPr>
      <w:r w:rsidRPr="00FD55D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2D0186" w:rsidRDefault="006C43D7" w:rsidP="00C74E97">
      <w:pPr>
        <w:spacing w:line="360" w:lineRule="auto"/>
        <w:jc w:val="center"/>
        <w:rPr>
          <w:rFonts w:cs="Arial"/>
          <w:b/>
          <w:szCs w:val="22"/>
        </w:rPr>
      </w:pPr>
      <w:r w:rsidRPr="002D0186">
        <w:rPr>
          <w:rFonts w:cs="Arial"/>
          <w:b/>
          <w:szCs w:val="22"/>
        </w:rPr>
        <w:t xml:space="preserve">IN THE HIGH COURT OF SOUTH AFRICA, </w:t>
      </w:r>
    </w:p>
    <w:p w14:paraId="566C4D1B" w14:textId="77777777" w:rsidR="006C43D7" w:rsidRPr="002D0186" w:rsidRDefault="006C43D7" w:rsidP="00C74E97">
      <w:pPr>
        <w:spacing w:line="360" w:lineRule="auto"/>
        <w:jc w:val="center"/>
        <w:rPr>
          <w:rFonts w:cs="Arial"/>
          <w:b/>
          <w:szCs w:val="22"/>
        </w:rPr>
      </w:pPr>
      <w:r w:rsidRPr="002D0186">
        <w:rPr>
          <w:rFonts w:cs="Arial"/>
          <w:b/>
          <w:szCs w:val="22"/>
        </w:rPr>
        <w:t>GAUTENG DIVISION, JOHANNESBURG</w:t>
      </w:r>
    </w:p>
    <w:p w14:paraId="13D6E83E" w14:textId="77777777" w:rsidR="006C43D7" w:rsidRPr="002D0186" w:rsidRDefault="006C43D7" w:rsidP="00C74E97">
      <w:pPr>
        <w:spacing w:line="360" w:lineRule="auto"/>
        <w:jc w:val="both"/>
        <w:rPr>
          <w:rFonts w:cs="Arial"/>
          <w:b/>
          <w:szCs w:val="22"/>
        </w:rPr>
      </w:pPr>
    </w:p>
    <w:p w14:paraId="3698476C" w14:textId="2ECB73A0" w:rsidR="006C43D7" w:rsidRPr="00C1000B" w:rsidRDefault="006C43D7" w:rsidP="00C74E97">
      <w:pPr>
        <w:spacing w:line="360" w:lineRule="auto"/>
        <w:jc w:val="right"/>
        <w:rPr>
          <w:rFonts w:cs="Arial"/>
          <w:b/>
          <w:szCs w:val="22"/>
        </w:rPr>
      </w:pPr>
      <w:r w:rsidRPr="00C1000B">
        <w:rPr>
          <w:rFonts w:cs="Arial"/>
          <w:b/>
          <w:szCs w:val="22"/>
        </w:rPr>
        <w:t xml:space="preserve">CASE NO: </w:t>
      </w:r>
      <w:r w:rsidR="008C7019" w:rsidRPr="00C1000B">
        <w:rPr>
          <w:rFonts w:cs="Arial"/>
          <w:b/>
          <w:szCs w:val="22"/>
        </w:rPr>
        <w:t>2023</w:t>
      </w:r>
      <w:r w:rsidR="00224405" w:rsidRPr="00C1000B">
        <w:rPr>
          <w:rFonts w:cs="Arial"/>
          <w:b/>
          <w:szCs w:val="22"/>
        </w:rPr>
        <w:t>-032</w:t>
      </w:r>
      <w:r w:rsidR="00C1000B" w:rsidRPr="00C1000B">
        <w:rPr>
          <w:rFonts w:cs="Arial"/>
          <w:b/>
          <w:szCs w:val="22"/>
        </w:rPr>
        <w:t>3</w:t>
      </w:r>
      <w:r w:rsidR="00224405" w:rsidRPr="00C1000B">
        <w:rPr>
          <w:rFonts w:cs="Arial"/>
          <w:b/>
          <w:szCs w:val="22"/>
        </w:rPr>
        <w:t>74</w:t>
      </w:r>
    </w:p>
    <w:p w14:paraId="0AF8DD38" w14:textId="77777777" w:rsidR="006C43D7" w:rsidRPr="002D0186" w:rsidRDefault="006C43D7" w:rsidP="00C74E97">
      <w:pPr>
        <w:spacing w:line="360" w:lineRule="auto"/>
        <w:jc w:val="right"/>
        <w:rPr>
          <w:rFonts w:cs="Arial"/>
          <w:szCs w:val="22"/>
        </w:rPr>
      </w:pPr>
      <w:r w:rsidRPr="002D0186">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6BF3FA1E" w:rsidR="00D645C6" w:rsidRDefault="00615E41" w:rsidP="00615E4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5844A1">
                              <w:rPr>
                                <w:rFonts w:ascii="Century Gothic" w:hAnsi="Century Gothic"/>
                                <w:sz w:val="20"/>
                                <w:szCs w:val="20"/>
                              </w:rPr>
                              <w:t>NO</w:t>
                            </w:r>
                          </w:p>
                          <w:p w14:paraId="3A4C7296" w14:textId="67BA2A41" w:rsidR="00D645C6" w:rsidRPr="001D3CC2" w:rsidRDefault="00615E41" w:rsidP="00615E41">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5844A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6BF3FA1E" w:rsidR="00D645C6" w:rsidRDefault="00615E41" w:rsidP="00615E4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5844A1">
                        <w:rPr>
                          <w:rFonts w:ascii="Century Gothic" w:hAnsi="Century Gothic"/>
                          <w:sz w:val="20"/>
                          <w:szCs w:val="20"/>
                        </w:rPr>
                        <w:t>NO</w:t>
                      </w:r>
                    </w:p>
                    <w:p w14:paraId="3A4C7296" w14:textId="67BA2A41" w:rsidR="00D645C6" w:rsidRPr="001D3CC2" w:rsidRDefault="00615E41" w:rsidP="00615E41">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5844A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2D0186" w:rsidRDefault="006C43D7" w:rsidP="00C74E97">
      <w:pPr>
        <w:spacing w:line="360" w:lineRule="auto"/>
        <w:jc w:val="both"/>
        <w:rPr>
          <w:rFonts w:cs="Arial"/>
          <w:szCs w:val="22"/>
        </w:rPr>
      </w:pPr>
    </w:p>
    <w:p w14:paraId="4E808D74" w14:textId="77777777" w:rsidR="006C43D7" w:rsidRPr="002D0186" w:rsidRDefault="006C43D7" w:rsidP="00C74E97">
      <w:pPr>
        <w:spacing w:line="360" w:lineRule="auto"/>
        <w:jc w:val="both"/>
        <w:rPr>
          <w:rFonts w:cs="Arial"/>
          <w:szCs w:val="22"/>
        </w:rPr>
      </w:pPr>
    </w:p>
    <w:p w14:paraId="34BF70B6" w14:textId="77777777" w:rsidR="006C43D7" w:rsidRPr="002D0186" w:rsidRDefault="006C43D7" w:rsidP="00C74E97">
      <w:pPr>
        <w:spacing w:line="360" w:lineRule="auto"/>
        <w:jc w:val="both"/>
        <w:rPr>
          <w:rFonts w:cs="Arial"/>
          <w:szCs w:val="22"/>
        </w:rPr>
      </w:pPr>
    </w:p>
    <w:p w14:paraId="2F53BA3A" w14:textId="77777777" w:rsidR="006C43D7" w:rsidRPr="002D0186" w:rsidRDefault="006C43D7" w:rsidP="00C74E97">
      <w:pPr>
        <w:spacing w:line="360" w:lineRule="auto"/>
        <w:jc w:val="both"/>
        <w:rPr>
          <w:rFonts w:cs="Arial"/>
          <w:szCs w:val="22"/>
        </w:rPr>
      </w:pPr>
    </w:p>
    <w:p w14:paraId="3A1C212E" w14:textId="77777777" w:rsidR="006C43D7" w:rsidRPr="002D0186" w:rsidRDefault="006C43D7" w:rsidP="00C74E97">
      <w:pPr>
        <w:spacing w:line="360" w:lineRule="auto"/>
        <w:jc w:val="both"/>
        <w:rPr>
          <w:rFonts w:cs="Arial"/>
          <w:szCs w:val="22"/>
        </w:rPr>
      </w:pPr>
    </w:p>
    <w:p w14:paraId="04919B1B" w14:textId="77777777" w:rsidR="001D3CC2" w:rsidRPr="002D0186" w:rsidRDefault="001D3CC2" w:rsidP="00C74E97">
      <w:pPr>
        <w:spacing w:line="360" w:lineRule="auto"/>
        <w:jc w:val="both"/>
        <w:rPr>
          <w:rFonts w:cs="Arial"/>
          <w:szCs w:val="22"/>
        </w:rPr>
      </w:pPr>
    </w:p>
    <w:p w14:paraId="65EE98C6" w14:textId="1CE21322" w:rsidR="00AA7A76" w:rsidRPr="002D0186" w:rsidRDefault="00AA7A76" w:rsidP="00C74E97">
      <w:pPr>
        <w:spacing w:line="360" w:lineRule="auto"/>
        <w:jc w:val="both"/>
        <w:rPr>
          <w:rFonts w:cs="Arial"/>
          <w:szCs w:val="22"/>
        </w:rPr>
      </w:pPr>
      <w:r w:rsidRPr="002D0186">
        <w:rPr>
          <w:rFonts w:cs="Arial"/>
          <w:szCs w:val="22"/>
        </w:rPr>
        <w:t>In the matter between:</w:t>
      </w:r>
    </w:p>
    <w:p w14:paraId="045D3852" w14:textId="77777777" w:rsidR="00E57446" w:rsidRPr="002D0186" w:rsidRDefault="00E57446" w:rsidP="00C74E97">
      <w:pPr>
        <w:spacing w:line="360" w:lineRule="auto"/>
        <w:jc w:val="both"/>
        <w:rPr>
          <w:rFonts w:cs="Arial"/>
          <w:szCs w:val="22"/>
        </w:rPr>
      </w:pPr>
    </w:p>
    <w:p w14:paraId="2804C32A" w14:textId="6C8D50AF" w:rsidR="00E57446" w:rsidRPr="002D0186" w:rsidRDefault="00E57446" w:rsidP="00C74E97">
      <w:pPr>
        <w:spacing w:line="360" w:lineRule="auto"/>
        <w:jc w:val="both"/>
        <w:rPr>
          <w:rFonts w:cs="Arial"/>
          <w:szCs w:val="22"/>
        </w:rPr>
      </w:pPr>
      <w:r w:rsidRPr="002D0186">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2D0186" w14:paraId="4CBFF906" w14:textId="77777777" w:rsidTr="00F013A6">
        <w:tc>
          <w:tcPr>
            <w:tcW w:w="6305" w:type="dxa"/>
          </w:tcPr>
          <w:p w14:paraId="07466740" w14:textId="76EE1C0F" w:rsidR="00E57446" w:rsidRPr="002D0186" w:rsidRDefault="008C7019" w:rsidP="00F013A6">
            <w:pPr>
              <w:spacing w:line="360" w:lineRule="auto"/>
              <w:jc w:val="both"/>
              <w:rPr>
                <w:rFonts w:cs="Arial"/>
                <w:b/>
                <w:szCs w:val="22"/>
              </w:rPr>
            </w:pPr>
            <w:r w:rsidRPr="002D0186">
              <w:rPr>
                <w:rFonts w:cs="Arial"/>
                <w:b/>
                <w:szCs w:val="22"/>
              </w:rPr>
              <w:t>ALTECH RADIO HOLDINGS (PTY) LTD</w:t>
            </w:r>
          </w:p>
        </w:tc>
        <w:tc>
          <w:tcPr>
            <w:tcW w:w="2246" w:type="dxa"/>
          </w:tcPr>
          <w:p w14:paraId="32F3C456" w14:textId="4542077E" w:rsidR="00E57446" w:rsidRPr="002D0186" w:rsidRDefault="00E57446" w:rsidP="00F013A6">
            <w:pPr>
              <w:spacing w:line="360" w:lineRule="auto"/>
              <w:rPr>
                <w:rFonts w:cs="Arial"/>
                <w:szCs w:val="22"/>
              </w:rPr>
            </w:pPr>
            <w:r w:rsidRPr="002D0186">
              <w:rPr>
                <w:rFonts w:cs="Arial"/>
                <w:szCs w:val="22"/>
              </w:rPr>
              <w:t>Applicant</w:t>
            </w:r>
          </w:p>
        </w:tc>
      </w:tr>
      <w:tr w:rsidR="00E57446" w:rsidRPr="002D0186" w14:paraId="582D8E94" w14:textId="77777777" w:rsidTr="00F013A6">
        <w:tc>
          <w:tcPr>
            <w:tcW w:w="6305" w:type="dxa"/>
          </w:tcPr>
          <w:p w14:paraId="7BC13697" w14:textId="77777777" w:rsidR="00E57446" w:rsidRPr="002D0186" w:rsidRDefault="00E57446" w:rsidP="00F013A6">
            <w:pPr>
              <w:spacing w:line="360" w:lineRule="auto"/>
              <w:jc w:val="both"/>
              <w:rPr>
                <w:rFonts w:cs="Arial"/>
                <w:szCs w:val="22"/>
              </w:rPr>
            </w:pPr>
            <w:r w:rsidRPr="002D0186">
              <w:rPr>
                <w:rFonts w:cs="Arial"/>
                <w:szCs w:val="22"/>
              </w:rPr>
              <w:t xml:space="preserve">and  </w:t>
            </w:r>
          </w:p>
        </w:tc>
        <w:tc>
          <w:tcPr>
            <w:tcW w:w="2246" w:type="dxa"/>
          </w:tcPr>
          <w:p w14:paraId="3E582FC6" w14:textId="77777777" w:rsidR="00E57446" w:rsidRPr="002D0186" w:rsidRDefault="00E57446" w:rsidP="00F013A6">
            <w:pPr>
              <w:spacing w:line="360" w:lineRule="auto"/>
              <w:jc w:val="right"/>
              <w:rPr>
                <w:rFonts w:cs="Arial"/>
                <w:szCs w:val="22"/>
              </w:rPr>
            </w:pPr>
          </w:p>
        </w:tc>
      </w:tr>
      <w:tr w:rsidR="00E57446" w:rsidRPr="002D0186" w14:paraId="143F83E0" w14:textId="77777777" w:rsidTr="00F013A6">
        <w:tc>
          <w:tcPr>
            <w:tcW w:w="6305" w:type="dxa"/>
          </w:tcPr>
          <w:p w14:paraId="66C3A0D3" w14:textId="2A3A4B72" w:rsidR="00E57446" w:rsidRPr="002D0186" w:rsidRDefault="008C7019" w:rsidP="00F013A6">
            <w:pPr>
              <w:spacing w:line="360" w:lineRule="auto"/>
              <w:jc w:val="both"/>
              <w:rPr>
                <w:rFonts w:cs="Arial"/>
                <w:b/>
                <w:szCs w:val="22"/>
              </w:rPr>
            </w:pPr>
            <w:r w:rsidRPr="002D0186">
              <w:rPr>
                <w:rFonts w:cs="Arial"/>
                <w:b/>
                <w:szCs w:val="22"/>
              </w:rPr>
              <w:t>AEONOVA360 MANAGEMENT SERVICES (PTY) LTD</w:t>
            </w:r>
          </w:p>
        </w:tc>
        <w:tc>
          <w:tcPr>
            <w:tcW w:w="2246" w:type="dxa"/>
          </w:tcPr>
          <w:p w14:paraId="79FDAF6B" w14:textId="155244AA" w:rsidR="00E57446" w:rsidRPr="002D0186" w:rsidRDefault="008C7019" w:rsidP="00F013A6">
            <w:pPr>
              <w:spacing w:line="360" w:lineRule="auto"/>
              <w:rPr>
                <w:rFonts w:cs="Arial"/>
                <w:szCs w:val="22"/>
              </w:rPr>
            </w:pPr>
            <w:r w:rsidRPr="002D0186">
              <w:rPr>
                <w:rFonts w:cs="Arial"/>
                <w:szCs w:val="22"/>
              </w:rPr>
              <w:t xml:space="preserve">First </w:t>
            </w:r>
            <w:r w:rsidR="00E57446" w:rsidRPr="002D0186">
              <w:rPr>
                <w:rFonts w:cs="Arial"/>
                <w:szCs w:val="22"/>
              </w:rPr>
              <w:t>Respondent</w:t>
            </w:r>
          </w:p>
        </w:tc>
      </w:tr>
      <w:tr w:rsidR="008C7019" w:rsidRPr="002D0186" w14:paraId="77CF61B5" w14:textId="77777777" w:rsidTr="00F013A6">
        <w:tc>
          <w:tcPr>
            <w:tcW w:w="6305" w:type="dxa"/>
          </w:tcPr>
          <w:p w14:paraId="7D5559A9" w14:textId="6ADDAA9B" w:rsidR="008C7019" w:rsidRPr="002D0186" w:rsidRDefault="008C7019" w:rsidP="00F013A6">
            <w:pPr>
              <w:spacing w:line="360" w:lineRule="auto"/>
              <w:jc w:val="both"/>
              <w:rPr>
                <w:rFonts w:cs="Arial"/>
                <w:b/>
                <w:szCs w:val="22"/>
              </w:rPr>
            </w:pPr>
            <w:r w:rsidRPr="002D0186">
              <w:rPr>
                <w:rFonts w:cs="Arial"/>
                <w:b/>
                <w:szCs w:val="22"/>
              </w:rPr>
              <w:t>RETIRED JUSTICE BR SOUTHWOOD</w:t>
            </w:r>
          </w:p>
        </w:tc>
        <w:tc>
          <w:tcPr>
            <w:tcW w:w="2246" w:type="dxa"/>
          </w:tcPr>
          <w:p w14:paraId="4E5D9950" w14:textId="537AFF21" w:rsidR="008C7019" w:rsidRPr="002D0186" w:rsidRDefault="008C7019" w:rsidP="00F013A6">
            <w:pPr>
              <w:spacing w:line="360" w:lineRule="auto"/>
              <w:rPr>
                <w:rFonts w:cs="Arial"/>
                <w:szCs w:val="22"/>
              </w:rPr>
            </w:pPr>
            <w:r w:rsidRPr="002D0186">
              <w:rPr>
                <w:rFonts w:cs="Arial"/>
                <w:szCs w:val="22"/>
              </w:rPr>
              <w:t>Second Respondent</w:t>
            </w:r>
          </w:p>
        </w:tc>
      </w:tr>
    </w:tbl>
    <w:p w14:paraId="25A9B909" w14:textId="77777777" w:rsidR="00C1108E" w:rsidRPr="002D0186" w:rsidRDefault="00C1108E" w:rsidP="00C1108E">
      <w:pPr>
        <w:spacing w:line="360" w:lineRule="auto"/>
        <w:jc w:val="both"/>
        <w:rPr>
          <w:rFonts w:cs="Arial"/>
          <w:b/>
          <w:szCs w:val="22"/>
        </w:rPr>
      </w:pPr>
    </w:p>
    <w:p w14:paraId="73A7E259" w14:textId="77777777" w:rsidR="00C1108E" w:rsidRPr="002D0186" w:rsidRDefault="00C1108E" w:rsidP="00C74E97">
      <w:pPr>
        <w:pBdr>
          <w:bottom w:val="single" w:sz="4" w:space="1" w:color="auto"/>
        </w:pBdr>
        <w:spacing w:line="360" w:lineRule="auto"/>
        <w:jc w:val="both"/>
        <w:rPr>
          <w:rFonts w:cs="Arial"/>
          <w:szCs w:val="22"/>
        </w:rPr>
      </w:pPr>
    </w:p>
    <w:p w14:paraId="58DE5549" w14:textId="77777777" w:rsidR="006C43D7" w:rsidRPr="002D0186" w:rsidRDefault="006C43D7" w:rsidP="00C74E97">
      <w:pPr>
        <w:spacing w:line="360" w:lineRule="auto"/>
        <w:jc w:val="both"/>
        <w:rPr>
          <w:rFonts w:cs="Arial"/>
          <w:szCs w:val="22"/>
        </w:rPr>
      </w:pPr>
    </w:p>
    <w:p w14:paraId="647AB70C" w14:textId="77777777" w:rsidR="006C43D7" w:rsidRPr="002D0186" w:rsidRDefault="006C43D7" w:rsidP="00C74E97">
      <w:pPr>
        <w:keepNext/>
        <w:spacing w:line="360" w:lineRule="auto"/>
        <w:jc w:val="center"/>
        <w:outlineLvl w:val="1"/>
        <w:rPr>
          <w:rFonts w:cs="Arial"/>
          <w:b/>
          <w:bCs/>
          <w:szCs w:val="22"/>
        </w:rPr>
      </w:pPr>
      <w:r w:rsidRPr="002D0186">
        <w:rPr>
          <w:rFonts w:cs="Arial"/>
          <w:b/>
          <w:bCs/>
          <w:szCs w:val="22"/>
        </w:rPr>
        <w:t>JUDGMENT</w:t>
      </w:r>
    </w:p>
    <w:p w14:paraId="52CD25EB" w14:textId="77777777" w:rsidR="006C43D7" w:rsidRPr="002D0186" w:rsidRDefault="006C43D7" w:rsidP="00C74E97">
      <w:pPr>
        <w:pBdr>
          <w:bottom w:val="single" w:sz="4" w:space="1" w:color="auto"/>
        </w:pBdr>
        <w:spacing w:line="360" w:lineRule="auto"/>
        <w:jc w:val="both"/>
        <w:rPr>
          <w:rFonts w:cs="Arial"/>
          <w:szCs w:val="22"/>
        </w:rPr>
      </w:pPr>
    </w:p>
    <w:p w14:paraId="0CA76DA1" w14:textId="77777777" w:rsidR="00DC621D" w:rsidRPr="002D0186" w:rsidRDefault="00DC621D" w:rsidP="00C74E97">
      <w:pPr>
        <w:spacing w:line="360" w:lineRule="auto"/>
        <w:jc w:val="both"/>
        <w:rPr>
          <w:rFonts w:cs="Arial"/>
          <w:b/>
          <w:szCs w:val="22"/>
        </w:rPr>
      </w:pPr>
    </w:p>
    <w:p w14:paraId="5BD82EFE" w14:textId="0F8FBF70" w:rsidR="00BE6AB8" w:rsidRPr="002D0186" w:rsidRDefault="00C676F3" w:rsidP="00C74E97">
      <w:pPr>
        <w:spacing w:after="480" w:line="360" w:lineRule="auto"/>
        <w:jc w:val="both"/>
        <w:rPr>
          <w:rFonts w:cs="Arial"/>
          <w:b/>
          <w:szCs w:val="22"/>
        </w:rPr>
      </w:pPr>
      <w:r w:rsidRPr="002D0186">
        <w:rPr>
          <w:rFonts w:cs="Arial"/>
          <w:b/>
          <w:szCs w:val="22"/>
        </w:rPr>
        <w:t>MOORCROFT</w:t>
      </w:r>
      <w:r w:rsidR="006C43D7" w:rsidRPr="002D0186">
        <w:rPr>
          <w:rFonts w:cs="Arial"/>
          <w:b/>
          <w:szCs w:val="22"/>
        </w:rPr>
        <w:t xml:space="preserve"> AJ:</w:t>
      </w:r>
    </w:p>
    <w:p w14:paraId="09239A78" w14:textId="202EF25D" w:rsidR="00C460A0" w:rsidRPr="002D0186" w:rsidRDefault="00C460A0" w:rsidP="00C74E97">
      <w:pPr>
        <w:keepNext/>
        <w:spacing w:after="480" w:line="360" w:lineRule="auto"/>
        <w:jc w:val="both"/>
        <w:rPr>
          <w:rFonts w:cs="Arial"/>
          <w:bCs/>
          <w:i/>
          <w:iCs/>
          <w:szCs w:val="22"/>
          <w:u w:val="single"/>
        </w:rPr>
      </w:pPr>
      <w:r w:rsidRPr="002D0186">
        <w:rPr>
          <w:rFonts w:cs="Arial"/>
          <w:bCs/>
          <w:i/>
          <w:iCs/>
          <w:szCs w:val="22"/>
          <w:u w:val="single"/>
        </w:rPr>
        <w:lastRenderedPageBreak/>
        <w:t>Summary</w:t>
      </w:r>
    </w:p>
    <w:p w14:paraId="4B3C4919" w14:textId="01000E07" w:rsidR="00B61484" w:rsidRPr="002D0186" w:rsidRDefault="002954C0" w:rsidP="00C74E97">
      <w:pPr>
        <w:spacing w:after="480" w:line="360" w:lineRule="auto"/>
        <w:jc w:val="both"/>
        <w:rPr>
          <w:rFonts w:cs="Arial"/>
          <w:bCs/>
          <w:i/>
          <w:iCs/>
          <w:szCs w:val="22"/>
        </w:rPr>
      </w:pPr>
      <w:bookmarkStart w:id="0" w:name="_Hlk146780795"/>
      <w:r w:rsidRPr="002D0186">
        <w:rPr>
          <w:rFonts w:cs="Arial"/>
          <w:bCs/>
          <w:i/>
          <w:iCs/>
          <w:szCs w:val="22"/>
        </w:rPr>
        <w:t xml:space="preserve">Application for leave to appeal </w:t>
      </w:r>
      <w:r w:rsidR="00CA2DC5" w:rsidRPr="002D0186">
        <w:rPr>
          <w:rFonts w:cs="Arial"/>
          <w:bCs/>
          <w:i/>
          <w:iCs/>
          <w:szCs w:val="22"/>
        </w:rPr>
        <w:t>– section 17(1)(a)(i) and (ii) of the Superior Courts Act, 10 of 2013 – reasonable prospect of success or other compelling reason why appeal should be heard</w:t>
      </w:r>
    </w:p>
    <w:p w14:paraId="3C3B6E87" w14:textId="34910B75" w:rsidR="00CA2DC5" w:rsidRPr="002D0186" w:rsidRDefault="00CA2DC5" w:rsidP="00C74E97">
      <w:pPr>
        <w:spacing w:after="480" w:line="360" w:lineRule="auto"/>
        <w:jc w:val="both"/>
        <w:rPr>
          <w:rFonts w:cs="Arial"/>
          <w:bCs/>
          <w:i/>
          <w:iCs/>
          <w:szCs w:val="22"/>
          <w:lang w:val="en-GB"/>
        </w:rPr>
      </w:pPr>
      <w:r w:rsidRPr="002D0186">
        <w:rPr>
          <w:rFonts w:cs="Arial"/>
          <w:bCs/>
          <w:i/>
          <w:iCs/>
          <w:szCs w:val="22"/>
        </w:rPr>
        <w:t>Setting aside arbitral award on ground of gross</w:t>
      </w:r>
      <w:r w:rsidRPr="002D0186">
        <w:rPr>
          <w:rFonts w:cs="Arial"/>
          <w:bCs/>
          <w:i/>
          <w:iCs/>
          <w:szCs w:val="22"/>
          <w:lang w:val="en-GB"/>
        </w:rPr>
        <w:t xml:space="preserve"> irregularity - section 33(1)(a) of Arbitration Act, 42 of 1965 – submission of dispute to new arbitral tribunal – section 33(4)</w:t>
      </w:r>
    </w:p>
    <w:bookmarkEnd w:id="0"/>
    <w:p w14:paraId="06404F33" w14:textId="69D80C4A" w:rsidR="00CA2DC5" w:rsidRPr="002D0186" w:rsidRDefault="00CA2DC5" w:rsidP="00C74E97">
      <w:pPr>
        <w:spacing w:after="480" w:line="360" w:lineRule="auto"/>
        <w:jc w:val="both"/>
        <w:rPr>
          <w:rFonts w:cs="Arial"/>
          <w:bCs/>
          <w:i/>
          <w:iCs/>
          <w:szCs w:val="22"/>
        </w:rPr>
      </w:pPr>
      <w:r w:rsidRPr="002D0186">
        <w:rPr>
          <w:rFonts w:cs="Arial"/>
          <w:i/>
          <w:iCs/>
          <w:szCs w:val="22"/>
        </w:rPr>
        <w:t>Termination or setting aside of appointment of arbitrator – section 13(2) of Arbitration Act</w:t>
      </w:r>
    </w:p>
    <w:p w14:paraId="452C028C" w14:textId="65FF6206" w:rsidR="00F80C1E" w:rsidRPr="002D0186" w:rsidRDefault="00F80C1E" w:rsidP="00C74E97">
      <w:pPr>
        <w:spacing w:after="480" w:line="360" w:lineRule="auto"/>
        <w:jc w:val="both"/>
        <w:rPr>
          <w:rFonts w:cs="Arial"/>
          <w:bCs/>
          <w:i/>
          <w:iCs/>
          <w:szCs w:val="22"/>
        </w:rPr>
      </w:pPr>
    </w:p>
    <w:p w14:paraId="18AFD427" w14:textId="35E99A54" w:rsidR="00BE6AB8" w:rsidRPr="002D0186" w:rsidRDefault="00BE6AB8" w:rsidP="00C74E97">
      <w:pPr>
        <w:keepNext/>
        <w:spacing w:after="480" w:line="360" w:lineRule="auto"/>
        <w:jc w:val="both"/>
        <w:rPr>
          <w:rFonts w:cs="Arial"/>
          <w:bCs/>
          <w:szCs w:val="22"/>
          <w:u w:val="single"/>
        </w:rPr>
      </w:pPr>
      <w:r w:rsidRPr="002D0186">
        <w:rPr>
          <w:rFonts w:cs="Arial"/>
          <w:bCs/>
          <w:szCs w:val="22"/>
          <w:u w:val="single"/>
        </w:rPr>
        <w:t>Order</w:t>
      </w:r>
    </w:p>
    <w:p w14:paraId="762B2D46" w14:textId="67BD6435" w:rsidR="001144FB" w:rsidRPr="002D0186" w:rsidRDefault="00615E41" w:rsidP="00615E41">
      <w:pPr>
        <w:tabs>
          <w:tab w:val="left" w:pos="567"/>
        </w:tabs>
        <w:spacing w:after="480" w:line="360" w:lineRule="auto"/>
        <w:jc w:val="both"/>
        <w:rPr>
          <w:rFonts w:cs="Arial"/>
          <w:bCs/>
          <w:szCs w:val="22"/>
        </w:rPr>
      </w:pPr>
      <w:r w:rsidRPr="002D0186">
        <w:rPr>
          <w:rFonts w:cs="Arial"/>
          <w:bCs/>
          <w:szCs w:val="22"/>
        </w:rPr>
        <w:t>[1]</w:t>
      </w:r>
      <w:r w:rsidRPr="002D0186">
        <w:rPr>
          <w:rFonts w:cs="Arial"/>
          <w:bCs/>
          <w:szCs w:val="22"/>
        </w:rPr>
        <w:tab/>
      </w:r>
      <w:r w:rsidR="001144FB" w:rsidRPr="002D0186">
        <w:rPr>
          <w:rFonts w:cs="Arial"/>
          <w:bCs/>
          <w:szCs w:val="22"/>
        </w:rPr>
        <w:t>In this matter I make the following order:</w:t>
      </w:r>
    </w:p>
    <w:p w14:paraId="7174DCEC" w14:textId="534A62CE" w:rsidR="001144FB" w:rsidRPr="00615E41" w:rsidRDefault="00615E41" w:rsidP="00615E41">
      <w:pPr>
        <w:spacing w:before="120" w:after="120" w:line="360" w:lineRule="auto"/>
        <w:ind w:left="360" w:hanging="360"/>
        <w:rPr>
          <w:rFonts w:cs="Arial"/>
          <w:i/>
          <w:iCs/>
          <w:szCs w:val="22"/>
        </w:rPr>
      </w:pPr>
      <w:r w:rsidRPr="002D0186">
        <w:rPr>
          <w:rFonts w:cs="Arial"/>
          <w:i/>
          <w:iCs/>
          <w:szCs w:val="22"/>
        </w:rPr>
        <w:t>1)</w:t>
      </w:r>
      <w:r w:rsidRPr="002D0186">
        <w:rPr>
          <w:rFonts w:cs="Arial"/>
          <w:i/>
          <w:iCs/>
          <w:szCs w:val="22"/>
        </w:rPr>
        <w:tab/>
      </w:r>
      <w:r w:rsidR="00BF0A2A" w:rsidRPr="00615E41">
        <w:rPr>
          <w:rFonts w:cs="Arial"/>
          <w:i/>
          <w:iCs/>
          <w:szCs w:val="22"/>
        </w:rPr>
        <w:t>The application for leave to appeal is dismissed</w:t>
      </w:r>
      <w:r w:rsidR="001144FB" w:rsidRPr="00615E41">
        <w:rPr>
          <w:rFonts w:cs="Arial"/>
          <w:i/>
          <w:iCs/>
          <w:szCs w:val="22"/>
        </w:rPr>
        <w:t>;</w:t>
      </w:r>
    </w:p>
    <w:p w14:paraId="2B4C4BBD" w14:textId="67131A65" w:rsidR="001144FB" w:rsidRPr="00615E41" w:rsidRDefault="00615E41" w:rsidP="00615E41">
      <w:pPr>
        <w:spacing w:before="120" w:after="120" w:line="360" w:lineRule="auto"/>
        <w:ind w:left="360" w:hanging="360"/>
        <w:rPr>
          <w:rFonts w:cs="Arial"/>
          <w:i/>
          <w:iCs/>
          <w:szCs w:val="22"/>
        </w:rPr>
      </w:pPr>
      <w:r w:rsidRPr="002D0186">
        <w:rPr>
          <w:rFonts w:cs="Arial"/>
          <w:i/>
          <w:iCs/>
          <w:szCs w:val="22"/>
        </w:rPr>
        <w:t>2)</w:t>
      </w:r>
      <w:r w:rsidRPr="002D0186">
        <w:rPr>
          <w:rFonts w:cs="Arial"/>
          <w:i/>
          <w:iCs/>
          <w:szCs w:val="22"/>
        </w:rPr>
        <w:tab/>
      </w:r>
      <w:r w:rsidR="00BF0A2A" w:rsidRPr="00615E41">
        <w:rPr>
          <w:rFonts w:cs="Arial"/>
          <w:i/>
          <w:iCs/>
          <w:szCs w:val="22"/>
        </w:rPr>
        <w:t>The applicant is ordered to pay the first respondent’s costs</w:t>
      </w:r>
      <w:r w:rsidR="00516734" w:rsidRPr="00615E41">
        <w:rPr>
          <w:rFonts w:cs="Arial"/>
          <w:i/>
          <w:iCs/>
          <w:szCs w:val="22"/>
        </w:rPr>
        <w:t>, including the costs of two counsel where so employed.</w:t>
      </w:r>
    </w:p>
    <w:p w14:paraId="3AF61580" w14:textId="77777777" w:rsidR="000264AE" w:rsidRPr="002D0186" w:rsidRDefault="000264AE" w:rsidP="000264AE">
      <w:pPr>
        <w:spacing w:before="120" w:after="120" w:line="360" w:lineRule="auto"/>
        <w:rPr>
          <w:rFonts w:cs="Arial"/>
          <w:i/>
          <w:iCs/>
          <w:szCs w:val="22"/>
        </w:rPr>
      </w:pPr>
    </w:p>
    <w:p w14:paraId="08540072" w14:textId="42A15716" w:rsidR="00C9310B" w:rsidRPr="00615E41" w:rsidRDefault="00615E41" w:rsidP="00615E41">
      <w:pPr>
        <w:widowControl w:val="0"/>
        <w:tabs>
          <w:tab w:val="left" w:pos="567"/>
        </w:tabs>
        <w:spacing w:before="480" w:after="480" w:line="360" w:lineRule="auto"/>
        <w:jc w:val="both"/>
        <w:rPr>
          <w:rFonts w:cs="Arial"/>
          <w:bCs/>
          <w:szCs w:val="22"/>
          <w:u w:val="single"/>
        </w:rPr>
      </w:pPr>
      <w:r w:rsidRPr="002D0186">
        <w:rPr>
          <w:rFonts w:cs="Arial"/>
          <w:bCs/>
          <w:szCs w:val="22"/>
        </w:rPr>
        <w:t>[2]</w:t>
      </w:r>
      <w:r w:rsidRPr="002D0186">
        <w:rPr>
          <w:rFonts w:cs="Arial"/>
          <w:bCs/>
          <w:szCs w:val="22"/>
        </w:rPr>
        <w:tab/>
      </w:r>
      <w:r w:rsidR="00573FF9" w:rsidRPr="00615E41">
        <w:rPr>
          <w:rFonts w:cs="Arial"/>
          <w:bCs/>
          <w:szCs w:val="22"/>
        </w:rPr>
        <w:t xml:space="preserve">The reasons for the order </w:t>
      </w:r>
      <w:r w:rsidR="00A63709" w:rsidRPr="00615E41">
        <w:rPr>
          <w:rFonts w:cs="Arial"/>
          <w:bCs/>
          <w:szCs w:val="22"/>
        </w:rPr>
        <w:t>follow</w:t>
      </w:r>
      <w:r w:rsidR="00573FF9" w:rsidRPr="00615E41">
        <w:rPr>
          <w:rFonts w:cs="Arial"/>
          <w:bCs/>
          <w:szCs w:val="22"/>
        </w:rPr>
        <w:t xml:space="preserve"> below.</w:t>
      </w:r>
    </w:p>
    <w:p w14:paraId="0AB4F47C" w14:textId="77777777" w:rsidR="00552DE9" w:rsidRDefault="00552DE9" w:rsidP="00C74E97">
      <w:pPr>
        <w:keepNext/>
        <w:widowControl w:val="0"/>
        <w:spacing w:before="480" w:after="480" w:line="360" w:lineRule="auto"/>
        <w:jc w:val="both"/>
        <w:rPr>
          <w:rFonts w:cs="Arial"/>
          <w:bCs/>
          <w:szCs w:val="22"/>
          <w:u w:val="single"/>
        </w:rPr>
      </w:pPr>
    </w:p>
    <w:p w14:paraId="3658C913" w14:textId="245C79AF" w:rsidR="00573FF9" w:rsidRPr="002D0186" w:rsidRDefault="00D9086C" w:rsidP="00C74E97">
      <w:pPr>
        <w:keepNext/>
        <w:widowControl w:val="0"/>
        <w:spacing w:before="480" w:after="480" w:line="360" w:lineRule="auto"/>
        <w:jc w:val="both"/>
        <w:rPr>
          <w:rFonts w:cs="Arial"/>
          <w:bCs/>
          <w:szCs w:val="22"/>
          <w:u w:val="single"/>
        </w:rPr>
      </w:pPr>
      <w:r w:rsidRPr="002D0186">
        <w:rPr>
          <w:rFonts w:cs="Arial"/>
          <w:bCs/>
          <w:szCs w:val="22"/>
          <w:u w:val="single"/>
        </w:rPr>
        <w:t>Introduction</w:t>
      </w:r>
    </w:p>
    <w:p w14:paraId="1F49F856" w14:textId="60ABD2D7" w:rsidR="00A82F3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w:t>
      </w:r>
      <w:r w:rsidRPr="002D0186">
        <w:rPr>
          <w:rFonts w:cs="Arial"/>
          <w:bCs/>
          <w:szCs w:val="22"/>
        </w:rPr>
        <w:tab/>
      </w:r>
      <w:r w:rsidR="00A82F31" w:rsidRPr="002D0186">
        <w:rPr>
          <w:rFonts w:cs="Arial"/>
          <w:bCs/>
          <w:szCs w:val="22"/>
        </w:rPr>
        <w:t xml:space="preserve">The applicant (“Altech”) and the first respondent (“Aeonova”) are engaged in a domestic arbitration before the second respondent (“the </w:t>
      </w:r>
      <w:r w:rsidR="004E6890" w:rsidRPr="002D0186">
        <w:rPr>
          <w:rFonts w:cs="Arial"/>
          <w:bCs/>
          <w:szCs w:val="22"/>
        </w:rPr>
        <w:t>arbitrator</w:t>
      </w:r>
      <w:r w:rsidR="00A82F31" w:rsidRPr="002D0186">
        <w:rPr>
          <w:rFonts w:cs="Arial"/>
          <w:bCs/>
          <w:szCs w:val="22"/>
        </w:rPr>
        <w:t>”) in terms of the Commercial Rules of the Arbitration Foundation of Southern Africa (“AFSA”).</w:t>
      </w:r>
    </w:p>
    <w:p w14:paraId="557F14E7" w14:textId="74A7B3DB" w:rsidR="00A82F3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[4]</w:t>
      </w:r>
      <w:r w:rsidRPr="002D0186">
        <w:rPr>
          <w:rFonts w:cs="Arial"/>
          <w:bCs/>
          <w:szCs w:val="22"/>
        </w:rPr>
        <w:tab/>
      </w:r>
      <w:r w:rsidR="00A82F31" w:rsidRPr="002D0186">
        <w:rPr>
          <w:rFonts w:cs="Arial"/>
          <w:bCs/>
          <w:szCs w:val="22"/>
        </w:rPr>
        <w:t xml:space="preserve">The applicant brought two applications, both heard by me. In the first application </w:t>
      </w:r>
      <w:r w:rsidR="00A82F31" w:rsidRPr="002D0186">
        <w:rPr>
          <w:rFonts w:cs="Arial"/>
          <w:bCs/>
          <w:szCs w:val="22"/>
        </w:rPr>
        <w:lastRenderedPageBreak/>
        <w:t xml:space="preserve">heard </w:t>
      </w:r>
      <w:r w:rsidR="00564BAB">
        <w:rPr>
          <w:rFonts w:cs="Arial"/>
          <w:bCs/>
          <w:szCs w:val="22"/>
        </w:rPr>
        <w:t>on 11</w:t>
      </w:r>
      <w:r w:rsidR="00A82F31" w:rsidRPr="002D0186">
        <w:rPr>
          <w:rFonts w:cs="Arial"/>
          <w:bCs/>
          <w:szCs w:val="22"/>
        </w:rPr>
        <w:t xml:space="preserve"> May 2023</w:t>
      </w:r>
      <w:r w:rsidR="00A82F31" w:rsidRPr="002D0186">
        <w:rPr>
          <w:rStyle w:val="FootnoteReference"/>
          <w:rFonts w:cs="Arial"/>
          <w:bCs/>
          <w:szCs w:val="22"/>
        </w:rPr>
        <w:footnoteReference w:id="1"/>
      </w:r>
      <w:r w:rsidR="00A82F31" w:rsidRPr="002D0186">
        <w:rPr>
          <w:rFonts w:cs="Arial"/>
          <w:bCs/>
          <w:szCs w:val="22"/>
        </w:rPr>
        <w:t xml:space="preserve"> the applicant sought an order that an award made by the </w:t>
      </w:r>
      <w:r w:rsidR="004E6890" w:rsidRPr="002D0186">
        <w:rPr>
          <w:rFonts w:cs="Arial"/>
          <w:bCs/>
          <w:szCs w:val="22"/>
        </w:rPr>
        <w:t>arbitrator</w:t>
      </w:r>
      <w:r w:rsidR="00A82F31" w:rsidRPr="002D0186">
        <w:rPr>
          <w:rFonts w:cs="Arial"/>
          <w:bCs/>
          <w:szCs w:val="22"/>
        </w:rPr>
        <w:t xml:space="preserve"> be set aside on the basis of a gross irregularity in terms of section 33(1)(</w:t>
      </w:r>
      <w:r w:rsidR="00837CB7" w:rsidRPr="002D0186">
        <w:rPr>
          <w:rFonts w:cs="Arial"/>
          <w:bCs/>
          <w:szCs w:val="22"/>
        </w:rPr>
        <w:t>b</w:t>
      </w:r>
      <w:r w:rsidR="00A82F31" w:rsidRPr="002D0186">
        <w:rPr>
          <w:rFonts w:cs="Arial"/>
          <w:bCs/>
          <w:szCs w:val="22"/>
        </w:rPr>
        <w:t xml:space="preserve">) of the Arbitration Act, 42 of 1965, and the appointment of a new arbitral tribunal in terms of section 33(4) of the Act. </w:t>
      </w:r>
    </w:p>
    <w:p w14:paraId="0751D0D1" w14:textId="4BB833CA" w:rsidR="00A82F3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[5]</w:t>
      </w:r>
      <w:r w:rsidRPr="002D0186">
        <w:rPr>
          <w:rFonts w:cs="Arial"/>
          <w:bCs/>
          <w:szCs w:val="22"/>
        </w:rPr>
        <w:tab/>
      </w:r>
      <w:r w:rsidR="00A82F31" w:rsidRPr="002D0186">
        <w:rPr>
          <w:rFonts w:cs="Arial"/>
          <w:bCs/>
          <w:szCs w:val="22"/>
        </w:rPr>
        <w:t>In the second application</w:t>
      </w:r>
      <w:r w:rsidR="00A82F31" w:rsidRPr="002D0186">
        <w:rPr>
          <w:rStyle w:val="FootnoteReference"/>
          <w:rFonts w:cs="Arial"/>
          <w:bCs/>
          <w:szCs w:val="22"/>
        </w:rPr>
        <w:footnoteReference w:id="2"/>
      </w:r>
      <w:r w:rsidR="00A82F31" w:rsidRPr="002D0186">
        <w:rPr>
          <w:rFonts w:cs="Arial"/>
          <w:bCs/>
          <w:szCs w:val="22"/>
        </w:rPr>
        <w:t xml:space="preserve"> heard </w:t>
      </w:r>
      <w:r w:rsidR="00564BAB">
        <w:rPr>
          <w:rFonts w:cs="Arial"/>
          <w:bCs/>
          <w:szCs w:val="22"/>
        </w:rPr>
        <w:t xml:space="preserve">on 26 May </w:t>
      </w:r>
      <w:r w:rsidR="00A82F31" w:rsidRPr="002D0186">
        <w:rPr>
          <w:rFonts w:cs="Arial"/>
          <w:bCs/>
          <w:szCs w:val="22"/>
        </w:rPr>
        <w:t xml:space="preserve">2023 Altech sought an order for the setting aside and the removal of the </w:t>
      </w:r>
      <w:r w:rsidR="004E6890" w:rsidRPr="002D0186">
        <w:rPr>
          <w:rFonts w:cs="Arial"/>
          <w:bCs/>
          <w:szCs w:val="22"/>
        </w:rPr>
        <w:t>arbitrator</w:t>
      </w:r>
      <w:r w:rsidR="00A82F31" w:rsidRPr="002D0186">
        <w:rPr>
          <w:rFonts w:cs="Arial"/>
          <w:bCs/>
          <w:szCs w:val="22"/>
        </w:rPr>
        <w:t xml:space="preserve"> in terms of section 13(2)(a) of the Arbitration Act, and setting aside his decision taken on 9 March 2023 in an application for his recusal in terms of section 33(1)(</w:t>
      </w:r>
      <w:r w:rsidR="00837CB7" w:rsidRPr="002D0186">
        <w:rPr>
          <w:rFonts w:cs="Arial"/>
          <w:bCs/>
          <w:szCs w:val="22"/>
        </w:rPr>
        <w:t>b</w:t>
      </w:r>
      <w:r w:rsidR="00A82F31" w:rsidRPr="002D0186">
        <w:rPr>
          <w:rFonts w:cs="Arial"/>
          <w:bCs/>
          <w:szCs w:val="22"/>
        </w:rPr>
        <w:t>) of the Act.</w:t>
      </w:r>
      <w:r w:rsidR="00837CB7" w:rsidRPr="002D0186">
        <w:rPr>
          <w:rFonts w:cs="Arial"/>
          <w:bCs/>
          <w:szCs w:val="22"/>
        </w:rPr>
        <w:t xml:space="preserve"> This is the application for leave to appeal against the decision in the second application.</w:t>
      </w:r>
    </w:p>
    <w:p w14:paraId="58633281" w14:textId="50E3BC36" w:rsidR="00A82F3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[6]</w:t>
      </w:r>
      <w:r w:rsidRPr="002D0186">
        <w:rPr>
          <w:rFonts w:cs="Arial"/>
          <w:bCs/>
          <w:szCs w:val="22"/>
        </w:rPr>
        <w:tab/>
      </w:r>
      <w:r w:rsidR="00A82F31" w:rsidRPr="002D0186">
        <w:rPr>
          <w:rFonts w:cs="Arial"/>
          <w:szCs w:val="22"/>
        </w:rPr>
        <w:t xml:space="preserve">I dismissed both applications and the applicant seeks leave to appeal against both decisions in terms of section 16(1)(a) of the Superior Courts Act, 10 of 2013. The two applications for leave to appeal were argued sequentially on 18 September 2023. The facts and the legal principles overlap to an extent, and so do the two judgments in the applications for leave to appeal. </w:t>
      </w:r>
    </w:p>
    <w:p w14:paraId="286ECF56" w14:textId="0B4AD540" w:rsidR="0021262A"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[7]</w:t>
      </w:r>
      <w:r w:rsidRPr="002D0186">
        <w:rPr>
          <w:rFonts w:cs="Arial"/>
          <w:bCs/>
          <w:szCs w:val="22"/>
        </w:rPr>
        <w:tab/>
      </w:r>
      <w:r w:rsidR="0021262A" w:rsidRPr="002D0186">
        <w:rPr>
          <w:rFonts w:cs="Arial"/>
          <w:szCs w:val="22"/>
        </w:rPr>
        <w:t xml:space="preserve">I deal with the </w:t>
      </w:r>
      <w:r w:rsidR="0021262A" w:rsidRPr="002D0186">
        <w:rPr>
          <w:rFonts w:cs="Arial"/>
          <w:szCs w:val="22"/>
          <w:lang w:val="en-GB"/>
        </w:rPr>
        <w:t xml:space="preserve">application under a number of </w:t>
      </w:r>
      <w:r w:rsidR="003007C7" w:rsidRPr="002D0186">
        <w:rPr>
          <w:rFonts w:cs="Arial"/>
          <w:szCs w:val="22"/>
          <w:lang w:val="en-GB"/>
        </w:rPr>
        <w:t xml:space="preserve">convenient </w:t>
      </w:r>
      <w:r w:rsidR="0021262A" w:rsidRPr="002D0186">
        <w:rPr>
          <w:rFonts w:cs="Arial"/>
          <w:szCs w:val="22"/>
          <w:lang w:val="en-GB"/>
        </w:rPr>
        <w:t>headings below.</w:t>
      </w:r>
    </w:p>
    <w:p w14:paraId="43F81B80" w14:textId="77777777" w:rsidR="00A82F31" w:rsidRPr="002D0186" w:rsidRDefault="00A82F31" w:rsidP="00331CF7">
      <w:pPr>
        <w:keepNext/>
        <w:widowControl w:val="0"/>
        <w:spacing w:before="480" w:after="480" w:line="480" w:lineRule="auto"/>
        <w:jc w:val="both"/>
        <w:rPr>
          <w:rFonts w:cs="Arial"/>
          <w:bCs/>
          <w:szCs w:val="22"/>
          <w:u w:val="single"/>
        </w:rPr>
      </w:pPr>
      <w:bookmarkStart w:id="2" w:name="_Hlk146086241"/>
    </w:p>
    <w:p w14:paraId="2406406A" w14:textId="6458F692" w:rsidR="00331CF7" w:rsidRPr="002D0186" w:rsidRDefault="00A82F31" w:rsidP="00331CF7">
      <w:pPr>
        <w:keepNext/>
        <w:widowControl w:val="0"/>
        <w:spacing w:before="480" w:after="480" w:line="480" w:lineRule="auto"/>
        <w:jc w:val="both"/>
        <w:rPr>
          <w:rFonts w:cs="Arial"/>
          <w:bCs/>
          <w:szCs w:val="22"/>
          <w:u w:val="single"/>
        </w:rPr>
      </w:pPr>
      <w:r w:rsidRPr="002D0186">
        <w:rPr>
          <w:rFonts w:cs="Arial"/>
          <w:bCs/>
          <w:szCs w:val="22"/>
          <w:u w:val="single"/>
        </w:rPr>
        <w:t>T</w:t>
      </w:r>
      <w:r w:rsidR="00331CF7" w:rsidRPr="002D0186">
        <w:rPr>
          <w:rFonts w:cs="Arial"/>
          <w:bCs/>
          <w:szCs w:val="22"/>
          <w:u w:val="single"/>
        </w:rPr>
        <w:t>he applicable principles in an application for leave to appeal</w:t>
      </w:r>
    </w:p>
    <w:p w14:paraId="1EE1E56C" w14:textId="4CBD445C" w:rsidR="00331CF7" w:rsidRPr="002D0186" w:rsidRDefault="00615E41" w:rsidP="00615E41">
      <w:pPr>
        <w:keepNext/>
        <w:widowControl w:val="0"/>
        <w:tabs>
          <w:tab w:val="left" w:pos="567"/>
        </w:tabs>
        <w:spacing w:before="480" w:after="480" w:line="480" w:lineRule="auto"/>
        <w:jc w:val="both"/>
        <w:rPr>
          <w:rFonts w:cs="Arial"/>
          <w:bCs/>
          <w:szCs w:val="22"/>
        </w:rPr>
      </w:pPr>
      <w:r w:rsidRPr="002D0186">
        <w:rPr>
          <w:rFonts w:cs="Arial"/>
          <w:bCs/>
          <w:szCs w:val="22"/>
        </w:rPr>
        <w:t>[8]</w:t>
      </w:r>
      <w:r w:rsidRPr="002D0186">
        <w:rPr>
          <w:rFonts w:cs="Arial"/>
          <w:bCs/>
          <w:szCs w:val="22"/>
        </w:rPr>
        <w:tab/>
      </w:r>
      <w:r w:rsidR="00331CF7" w:rsidRPr="002D0186">
        <w:rPr>
          <w:rFonts w:eastAsia="Calibri" w:cs="Arial"/>
          <w:szCs w:val="22"/>
        </w:rPr>
        <w:t>Section 17(1)(a)(i) and (ii) of the Superior Courts Act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00331CF7" w:rsidRPr="002D0186">
        <w:rPr>
          <w:rFonts w:cs="Arial"/>
          <w:szCs w:val="22"/>
        </w:rPr>
        <w:t xml:space="preserve"> Once such an opinion is formed leave may not be refused. Importantly, a Judge hearing an application for leave to appeal is not called upon to decide if his or her </w:t>
      </w:r>
      <w:r w:rsidR="00331CF7" w:rsidRPr="002D0186">
        <w:rPr>
          <w:rFonts w:cs="Arial"/>
          <w:szCs w:val="22"/>
        </w:rPr>
        <w:lastRenderedPageBreak/>
        <w:t>decision was right or wrong.</w:t>
      </w:r>
    </w:p>
    <w:p w14:paraId="3CE89EF2" w14:textId="660E46C1" w:rsidR="0064365B" w:rsidRPr="002D0186" w:rsidRDefault="00615E41" w:rsidP="00615E41">
      <w:pPr>
        <w:tabs>
          <w:tab w:val="left" w:pos="567"/>
        </w:tabs>
        <w:spacing w:before="480" w:after="480" w:line="480" w:lineRule="auto"/>
        <w:jc w:val="both"/>
        <w:rPr>
          <w:rFonts w:cs="Arial"/>
          <w:bCs/>
          <w:szCs w:val="22"/>
        </w:rPr>
      </w:pPr>
      <w:r w:rsidRPr="002D0186">
        <w:rPr>
          <w:rFonts w:cs="Arial"/>
          <w:bCs/>
          <w:szCs w:val="22"/>
        </w:rPr>
        <w:t>[9]</w:t>
      </w:r>
      <w:r w:rsidRPr="002D0186">
        <w:rPr>
          <w:rFonts w:cs="Arial"/>
          <w:bCs/>
          <w:szCs w:val="22"/>
        </w:rPr>
        <w:tab/>
      </w:r>
      <w:r w:rsidR="0064365B" w:rsidRPr="002D0186">
        <w:rPr>
          <w:rFonts w:eastAsia="Calibri" w:cs="Arial"/>
          <w:szCs w:val="22"/>
        </w:rPr>
        <w:t xml:space="preserve">In </w:t>
      </w:r>
      <w:r w:rsidR="0064365B" w:rsidRPr="002D0186">
        <w:rPr>
          <w:rFonts w:eastAsia="Calibri" w:cs="Arial"/>
          <w:i/>
          <w:iCs/>
          <w:szCs w:val="22"/>
        </w:rPr>
        <w:t>KwaZulu-Natal Law Society v Sharma</w:t>
      </w:r>
      <w:r w:rsidR="0064365B" w:rsidRPr="002D0186">
        <w:rPr>
          <w:rStyle w:val="FootnoteReference"/>
          <w:rFonts w:eastAsia="Calibri" w:cs="Arial"/>
          <w:i/>
          <w:iCs/>
          <w:szCs w:val="22"/>
        </w:rPr>
        <w:footnoteReference w:id="3"/>
      </w:r>
      <w:r w:rsidR="0064365B" w:rsidRPr="002D0186">
        <w:rPr>
          <w:rFonts w:eastAsia="Calibri" w:cs="Arial"/>
          <w:szCs w:val="22"/>
        </w:rPr>
        <w:t xml:space="preserve"> Van Zyl J held that the test enunciated in </w:t>
      </w:r>
      <w:r w:rsidR="0064365B" w:rsidRPr="002D0186">
        <w:rPr>
          <w:rFonts w:eastAsia="Calibri" w:cs="Arial"/>
          <w:i/>
          <w:iCs/>
          <w:szCs w:val="22"/>
        </w:rPr>
        <w:t>S v Smith</w:t>
      </w:r>
      <w:r w:rsidR="0064365B" w:rsidRPr="002D0186">
        <w:rPr>
          <w:rStyle w:val="FootnoteReference"/>
          <w:rFonts w:eastAsia="Calibri" w:cs="Arial"/>
          <w:i/>
          <w:iCs/>
          <w:szCs w:val="22"/>
        </w:rPr>
        <w:footnoteReference w:id="4"/>
      </w:r>
      <w:r w:rsidR="0064365B" w:rsidRPr="002D0186">
        <w:rPr>
          <w:rFonts w:eastAsia="Calibri" w:cs="Arial"/>
          <w:szCs w:val="22"/>
        </w:rPr>
        <w:t xml:space="preserve"> still holds good</w:t>
      </w:r>
      <w:r w:rsidR="00CA2DC5" w:rsidRPr="002D0186">
        <w:rPr>
          <w:rFonts w:eastAsia="Calibri" w:cs="Arial"/>
          <w:szCs w:val="22"/>
        </w:rPr>
        <w:t xml:space="preserve"> under the Act of 2013</w:t>
      </w:r>
      <w:r w:rsidR="0064365B" w:rsidRPr="002D0186">
        <w:rPr>
          <w:rFonts w:eastAsia="Calibri" w:cs="Arial"/>
          <w:szCs w:val="22"/>
        </w:rPr>
        <w:t>. An appellant must convince the court of appeal that the prospects of success are not remote but have a realistic chance of succeeding. A mere possibility of success is not enough. There must be a sound and rational basis for the conclusion that there are reasonable prospect of success on appeal.</w:t>
      </w:r>
    </w:p>
    <w:p w14:paraId="1E98ED37" w14:textId="28C9F023" w:rsidR="00735F90" w:rsidRPr="002D0186" w:rsidRDefault="00615E41" w:rsidP="00615E41">
      <w:pPr>
        <w:tabs>
          <w:tab w:val="left" w:pos="567"/>
        </w:tabs>
        <w:spacing w:before="480" w:after="480" w:line="480" w:lineRule="auto"/>
        <w:jc w:val="both"/>
        <w:rPr>
          <w:rFonts w:cs="Arial"/>
          <w:bCs/>
          <w:color w:val="000000" w:themeColor="text1"/>
          <w:szCs w:val="22"/>
        </w:rPr>
      </w:pPr>
      <w:r w:rsidRPr="002D0186">
        <w:rPr>
          <w:rFonts w:cs="Arial"/>
          <w:bCs/>
          <w:szCs w:val="22"/>
        </w:rPr>
        <w:t>[10]</w:t>
      </w:r>
      <w:r w:rsidRPr="002D0186">
        <w:rPr>
          <w:rFonts w:cs="Arial"/>
          <w:bCs/>
          <w:szCs w:val="22"/>
        </w:rPr>
        <w:tab/>
      </w:r>
      <w:r w:rsidR="00331CF7" w:rsidRPr="002D0186">
        <w:rPr>
          <w:rFonts w:eastAsia="Calibri" w:cs="Arial"/>
          <w:szCs w:val="22"/>
        </w:rPr>
        <w:t xml:space="preserve">In an </w:t>
      </w:r>
      <w:r w:rsidR="00331CF7" w:rsidRPr="002D0186">
        <w:rPr>
          <w:rFonts w:eastAsia="Calibri" w:cs="Arial"/>
          <w:i/>
          <w:iCs/>
          <w:szCs w:val="22"/>
        </w:rPr>
        <w:t>obiter dictum</w:t>
      </w:r>
      <w:r w:rsidR="00331CF7" w:rsidRPr="002D0186">
        <w:rPr>
          <w:rFonts w:eastAsia="Calibri" w:cs="Arial"/>
          <w:szCs w:val="22"/>
        </w:rPr>
        <w:t xml:space="preserve"> the Land Claims Court in </w:t>
      </w:r>
      <w:r w:rsidR="00331CF7" w:rsidRPr="002D0186">
        <w:rPr>
          <w:rFonts w:eastAsia="Calibri" w:cs="Arial"/>
          <w:i/>
          <w:iCs/>
          <w:szCs w:val="22"/>
        </w:rPr>
        <w:t xml:space="preserve">Mont Chevaux Trust </w:t>
      </w:r>
      <w:r w:rsidR="00331CF7" w:rsidRPr="002D0186">
        <w:rPr>
          <w:rFonts w:cs="Arial"/>
          <w:i/>
          <w:iCs/>
          <w:szCs w:val="22"/>
        </w:rPr>
        <w:t xml:space="preserve">(IT 2012/28) </w:t>
      </w:r>
      <w:r w:rsidR="00331CF7" w:rsidRPr="002D0186">
        <w:rPr>
          <w:rFonts w:eastAsia="Calibri" w:cs="Arial"/>
          <w:i/>
          <w:iCs/>
          <w:szCs w:val="22"/>
        </w:rPr>
        <w:t>v Tina Goosen</w:t>
      </w:r>
      <w:r w:rsidR="00331CF7" w:rsidRPr="002D0186">
        <w:rPr>
          <w:rStyle w:val="FootnoteReference"/>
          <w:rFonts w:eastAsia="Calibri" w:cs="Arial"/>
          <w:i/>
          <w:iCs/>
          <w:szCs w:val="22"/>
        </w:rPr>
        <w:footnoteReference w:id="5"/>
      </w:r>
      <w:r w:rsidR="00331CF7" w:rsidRPr="002D0186">
        <w:rPr>
          <w:rFonts w:eastAsia="Calibri" w:cs="Arial"/>
          <w:szCs w:val="22"/>
        </w:rPr>
        <w:t xml:space="preserve"> held that the test for leave to appeal is more stringent under the Superior Courts Act of 2013 than it was under the repealed Supreme Court Act, 59 of 1959. The sentiment in </w:t>
      </w:r>
      <w:r w:rsidR="00331CF7" w:rsidRPr="002D0186">
        <w:rPr>
          <w:rFonts w:eastAsia="Calibri" w:cs="Arial"/>
          <w:i/>
          <w:iCs/>
          <w:szCs w:val="22"/>
        </w:rPr>
        <w:t>Mont Chevaux Trust</w:t>
      </w:r>
      <w:r w:rsidR="00331CF7" w:rsidRPr="002D0186">
        <w:rPr>
          <w:rFonts w:eastAsia="Calibri" w:cs="Arial"/>
          <w:szCs w:val="22"/>
        </w:rPr>
        <w:t xml:space="preserve"> was echoed</w:t>
      </w:r>
      <w:r w:rsidR="00E65CE8" w:rsidRPr="002D0186">
        <w:rPr>
          <w:rFonts w:eastAsia="Calibri" w:cs="Arial"/>
          <w:szCs w:val="22"/>
        </w:rPr>
        <w:t xml:space="preserve"> in the Supreme Court of Appeal</w:t>
      </w:r>
      <w:r w:rsidR="00331CF7" w:rsidRPr="002D0186">
        <w:rPr>
          <w:rFonts w:eastAsia="Calibri" w:cs="Arial"/>
          <w:szCs w:val="22"/>
        </w:rPr>
        <w:t xml:space="preserve"> by Shongwe JA in </w:t>
      </w:r>
      <w:r w:rsidR="00331CF7" w:rsidRPr="002D0186">
        <w:rPr>
          <w:rFonts w:eastAsia="Calibri" w:cs="Arial"/>
          <w:i/>
          <w:iCs/>
          <w:szCs w:val="22"/>
        </w:rPr>
        <w:t>S v Notshokovu</w:t>
      </w:r>
      <w:r w:rsidR="00331CF7" w:rsidRPr="002D0186">
        <w:rPr>
          <w:rStyle w:val="FootnoteReference"/>
          <w:rFonts w:eastAsia="Calibri" w:cs="Arial"/>
          <w:szCs w:val="22"/>
        </w:rPr>
        <w:footnoteReference w:id="6"/>
      </w:r>
      <w:r w:rsidR="00331CF7" w:rsidRPr="002D0186">
        <w:rPr>
          <w:rFonts w:eastAsia="Calibri" w:cs="Arial"/>
          <w:i/>
          <w:iCs/>
          <w:szCs w:val="22"/>
        </w:rPr>
        <w:t xml:space="preserve"> </w:t>
      </w:r>
      <w:r w:rsidR="00331CF7" w:rsidRPr="002D0186">
        <w:rPr>
          <w:rFonts w:eastAsia="Calibri" w:cs="Arial"/>
          <w:szCs w:val="22"/>
        </w:rPr>
        <w:t xml:space="preserve">and </w:t>
      </w:r>
      <w:r w:rsidR="0021262A" w:rsidRPr="002D0186">
        <w:rPr>
          <w:rFonts w:eastAsia="Calibri" w:cs="Arial"/>
          <w:szCs w:val="22"/>
        </w:rPr>
        <w:t xml:space="preserve">by </w:t>
      </w:r>
      <w:r w:rsidR="00E65CE8" w:rsidRPr="002D0186">
        <w:rPr>
          <w:rFonts w:cs="Arial"/>
          <w:color w:val="000000"/>
          <w:szCs w:val="22"/>
          <w:shd w:val="clear" w:color="auto" w:fill="FFFFFF"/>
        </w:rPr>
        <w:t xml:space="preserve">Schippers AJA in </w:t>
      </w:r>
      <w:r w:rsidR="00E65CE8" w:rsidRPr="002D0186">
        <w:rPr>
          <w:rFonts w:cs="Arial"/>
          <w:i/>
          <w:iCs/>
          <w:szCs w:val="22"/>
          <w:lang w:eastAsia="en-ZA"/>
        </w:rPr>
        <w:t>Member of the Executive Council for Health, Eastern Cape v Mkhitha and another</w:t>
      </w:r>
      <w:r w:rsidR="007A6B7F" w:rsidRPr="002D0186">
        <w:rPr>
          <w:rFonts w:cs="Arial"/>
          <w:i/>
          <w:iCs/>
          <w:szCs w:val="22"/>
          <w:lang w:eastAsia="en-ZA"/>
        </w:rPr>
        <w:t>.</w:t>
      </w:r>
      <w:r w:rsidR="00E65CE8" w:rsidRPr="002D0186">
        <w:rPr>
          <w:rStyle w:val="FootnoteReference"/>
          <w:rFonts w:cs="Arial"/>
          <w:i/>
          <w:iCs/>
          <w:szCs w:val="22"/>
          <w:lang w:eastAsia="en-ZA"/>
        </w:rPr>
        <w:footnoteReference w:id="7"/>
      </w:r>
      <w:r w:rsidR="00E65CE8" w:rsidRPr="002D0186">
        <w:rPr>
          <w:rFonts w:eastAsia="Calibri" w:cs="Arial"/>
          <w:szCs w:val="22"/>
        </w:rPr>
        <w:t xml:space="preserve"> </w:t>
      </w:r>
    </w:p>
    <w:p w14:paraId="66B9B371" w14:textId="4BEEF215" w:rsidR="00331CF7"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[11]</w:t>
      </w:r>
      <w:r w:rsidRPr="002D0186">
        <w:rPr>
          <w:rFonts w:cs="Arial"/>
          <w:bCs/>
          <w:szCs w:val="22"/>
        </w:rPr>
        <w:tab/>
      </w:r>
      <w:r w:rsidR="00331CF7" w:rsidRPr="002D0186">
        <w:rPr>
          <w:rFonts w:cs="Arial"/>
          <w:bCs/>
          <w:szCs w:val="22"/>
        </w:rPr>
        <w:t xml:space="preserve">In </w:t>
      </w:r>
      <w:r w:rsidR="00331CF7" w:rsidRPr="002D0186">
        <w:rPr>
          <w:rStyle w:val="searchhit"/>
          <w:rFonts w:cs="Arial"/>
          <w:i/>
          <w:iCs/>
          <w:color w:val="000000"/>
          <w:szCs w:val="22"/>
          <w:bdr w:val="none" w:sz="0" w:space="0" w:color="auto" w:frame="1"/>
          <w:shd w:val="clear" w:color="auto" w:fill="F9F9F9"/>
        </w:rPr>
        <w:t>Ramakatsa</w:t>
      </w:r>
      <w:r w:rsidR="00331CF7" w:rsidRPr="002D0186">
        <w:rPr>
          <w:rFonts w:cs="Arial"/>
          <w:i/>
          <w:iCs/>
          <w:color w:val="000000"/>
          <w:szCs w:val="22"/>
          <w:shd w:val="clear" w:color="auto" w:fill="F9F9F9"/>
        </w:rPr>
        <w:t> and others v African National Congress and another</w:t>
      </w:r>
      <w:r w:rsidR="00331CF7" w:rsidRPr="002D0186">
        <w:rPr>
          <w:rStyle w:val="FootnoteReference"/>
          <w:rFonts w:cs="Arial"/>
          <w:bCs/>
          <w:i/>
          <w:iCs/>
          <w:szCs w:val="22"/>
        </w:rPr>
        <w:t xml:space="preserve"> </w:t>
      </w:r>
      <w:r w:rsidR="00331CF7" w:rsidRPr="002D0186">
        <w:rPr>
          <w:rStyle w:val="FootnoteReference"/>
          <w:rFonts w:cs="Arial"/>
          <w:bCs/>
          <w:i/>
          <w:iCs/>
          <w:szCs w:val="22"/>
        </w:rPr>
        <w:footnoteReference w:id="8"/>
      </w:r>
      <w:r w:rsidR="00331CF7" w:rsidRPr="002D0186">
        <w:rPr>
          <w:rFonts w:cs="Arial"/>
          <w:bCs/>
          <w:i/>
          <w:iCs/>
          <w:szCs w:val="22"/>
        </w:rPr>
        <w:t xml:space="preserve"> </w:t>
      </w:r>
      <w:r w:rsidR="00331CF7" w:rsidRPr="002D0186">
        <w:rPr>
          <w:rFonts w:cs="Arial"/>
          <w:bCs/>
          <w:szCs w:val="22"/>
        </w:rPr>
        <w:t xml:space="preserve"> Dlodlo JA placed the authorities in perspective. He said:</w:t>
      </w:r>
    </w:p>
    <w:p w14:paraId="7D25F606" w14:textId="78AEB6F9" w:rsidR="00331CF7" w:rsidRPr="002D0186" w:rsidRDefault="00331CF7" w:rsidP="00331CF7">
      <w:pPr>
        <w:widowControl w:val="0"/>
        <w:spacing w:before="480" w:after="480" w:line="360" w:lineRule="auto"/>
        <w:ind w:left="1440"/>
        <w:jc w:val="both"/>
        <w:rPr>
          <w:rFonts w:cs="Arial"/>
          <w:bCs/>
          <w:i/>
          <w:iCs/>
          <w:szCs w:val="22"/>
        </w:rPr>
      </w:pPr>
      <w:r w:rsidRPr="002D0186">
        <w:rPr>
          <w:rFonts w:cs="Arial"/>
          <w:bCs/>
          <w:i/>
          <w:iCs/>
          <w:szCs w:val="22"/>
        </w:rPr>
        <w:t xml:space="preserve">“[10] </w:t>
      </w:r>
      <w:r w:rsidR="009D1D21" w:rsidRPr="002D0186">
        <w:rPr>
          <w:rFonts w:cs="Arial"/>
          <w:i/>
          <w:iCs/>
          <w:szCs w:val="22"/>
        </w:rPr>
        <w:t xml:space="preserve">Turning the focus to the relevant provisions of the Superior Courts Act (the SC Act), leave to appeal may only be granted where the judges </w:t>
      </w:r>
      <w:r w:rsidR="009D1D21" w:rsidRPr="002D0186">
        <w:rPr>
          <w:rFonts w:cs="Arial"/>
          <w:i/>
          <w:iCs/>
          <w:szCs w:val="22"/>
        </w:rPr>
        <w:lastRenderedPageBreak/>
        <w:t>concerned are of the opinion that the appeal would have a reasonable prospect of success or there are compelling reasons which exist why the appeal should be heard such as the interests of justice. This Court in Caratco</w:t>
      </w:r>
      <w:r w:rsidR="009D1D21" w:rsidRPr="002D0186">
        <w:rPr>
          <w:rStyle w:val="FootnoteReference"/>
          <w:rFonts w:cs="Arial"/>
          <w:i/>
          <w:iCs/>
          <w:szCs w:val="22"/>
        </w:rPr>
        <w:footnoteReference w:id="9"/>
      </w:r>
      <w:r w:rsidR="009D1D21" w:rsidRPr="002D0186">
        <w:rPr>
          <w:rFonts w:cs="Arial"/>
          <w:i/>
          <w:iCs/>
          <w:szCs w:val="22"/>
        </w:rPr>
        <w:t>,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w:t>
      </w:r>
      <w:r w:rsidRPr="002D0186">
        <w:rPr>
          <w:rFonts w:cs="Arial"/>
          <w:bCs/>
          <w:i/>
          <w:iCs/>
          <w:szCs w:val="22"/>
        </w:rPr>
        <w:t xml:space="preserve"> </w:t>
      </w:r>
      <w:r w:rsidRPr="002D0186">
        <w:rPr>
          <w:rFonts w:cs="Arial"/>
          <w:i/>
          <w:iCs/>
          <w:szCs w:val="22"/>
        </w:rPr>
        <w:t>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2D0186">
        <w:rPr>
          <w:rFonts w:cs="Arial"/>
          <w:bCs/>
          <w:i/>
          <w:iCs/>
          <w:szCs w:val="22"/>
        </w:rPr>
        <w:t>”</w:t>
      </w:r>
      <w:r w:rsidRPr="002D0186">
        <w:rPr>
          <w:rStyle w:val="FootnoteReference"/>
          <w:rFonts w:cs="Arial"/>
          <w:bCs/>
          <w:i/>
          <w:iCs/>
          <w:szCs w:val="22"/>
        </w:rPr>
        <w:footnoteReference w:id="10"/>
      </w:r>
    </w:p>
    <w:bookmarkEnd w:id="2"/>
    <w:p w14:paraId="4D796F4D" w14:textId="77777777" w:rsidR="007E250D" w:rsidRPr="002D0186" w:rsidRDefault="007E250D" w:rsidP="007E250D">
      <w:pPr>
        <w:widowControl w:val="0"/>
        <w:spacing w:before="480" w:after="480" w:line="360" w:lineRule="auto"/>
        <w:jc w:val="both"/>
        <w:rPr>
          <w:rFonts w:cs="Arial"/>
          <w:bCs/>
          <w:szCs w:val="22"/>
          <w:u w:val="single"/>
        </w:rPr>
      </w:pPr>
    </w:p>
    <w:p w14:paraId="75008810" w14:textId="77777777" w:rsidR="001753A1" w:rsidRPr="002D0186" w:rsidRDefault="001753A1" w:rsidP="001753A1">
      <w:pPr>
        <w:widowControl w:val="0"/>
        <w:spacing w:before="480" w:after="480" w:line="360" w:lineRule="auto"/>
        <w:jc w:val="both"/>
        <w:rPr>
          <w:rFonts w:cs="Arial"/>
          <w:bCs/>
          <w:szCs w:val="22"/>
          <w:u w:val="single"/>
        </w:rPr>
      </w:pPr>
      <w:r w:rsidRPr="002D0186">
        <w:rPr>
          <w:rFonts w:cs="Arial"/>
          <w:bCs/>
          <w:szCs w:val="22"/>
          <w:u w:val="single"/>
        </w:rPr>
        <w:t>The failure of the arbitrator to file affidavits</w:t>
      </w:r>
    </w:p>
    <w:p w14:paraId="3070C5ED" w14:textId="123D122D" w:rsidR="001753A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[12]</w:t>
      </w:r>
      <w:r w:rsidRPr="002D0186">
        <w:rPr>
          <w:rFonts w:cs="Arial"/>
          <w:bCs/>
          <w:szCs w:val="22"/>
        </w:rPr>
        <w:tab/>
      </w:r>
      <w:r w:rsidR="001753A1" w:rsidRPr="002D0186">
        <w:rPr>
          <w:rFonts w:cs="Arial"/>
          <w:bCs/>
          <w:szCs w:val="22"/>
        </w:rPr>
        <w:t xml:space="preserve">The arbitrator did not file any affidavits in defence of his awards and rulings, and Altech argues that the failure to do so merit a negative inference and that the Altech’s evidence is uncontested for this reason. I do not agree. Evidence by the arbitrator to explain </w:t>
      </w:r>
      <w:r w:rsidR="001753A1" w:rsidRPr="002D0186">
        <w:rPr>
          <w:rFonts w:cs="Arial"/>
          <w:bCs/>
          <w:i/>
          <w:iCs/>
          <w:szCs w:val="22"/>
        </w:rPr>
        <w:t>ex post facto</w:t>
      </w:r>
      <w:r w:rsidR="001753A1" w:rsidRPr="002D0186">
        <w:rPr>
          <w:rFonts w:cs="Arial"/>
          <w:bCs/>
          <w:szCs w:val="22"/>
        </w:rPr>
        <w:t xml:space="preserve"> what he meant in his letters and awards would in my view be of no </w:t>
      </w:r>
      <w:r w:rsidR="001753A1" w:rsidRPr="002D0186">
        <w:rPr>
          <w:rFonts w:cs="Arial"/>
          <w:bCs/>
          <w:szCs w:val="22"/>
        </w:rPr>
        <w:lastRenderedPageBreak/>
        <w:t>value. The arbitrator’s letters and awards must be read like any other document.</w:t>
      </w:r>
      <w:r w:rsidR="001753A1" w:rsidRPr="002D0186">
        <w:rPr>
          <w:rStyle w:val="FootnoteReference"/>
          <w:rFonts w:cs="Arial"/>
          <w:bCs/>
          <w:szCs w:val="22"/>
        </w:rPr>
        <w:footnoteReference w:id="11"/>
      </w:r>
      <w:r w:rsidR="001753A1" w:rsidRPr="002D0186">
        <w:rPr>
          <w:rFonts w:cs="Arial"/>
          <w:bCs/>
          <w:szCs w:val="22"/>
        </w:rPr>
        <w:t xml:space="preserve"> </w:t>
      </w:r>
    </w:p>
    <w:p w14:paraId="7165CF2A" w14:textId="610B86BE" w:rsidR="001753A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[13]</w:t>
      </w:r>
      <w:r w:rsidRPr="002D0186">
        <w:rPr>
          <w:rFonts w:cs="Arial"/>
          <w:bCs/>
          <w:szCs w:val="22"/>
        </w:rPr>
        <w:tab/>
      </w:r>
      <w:r w:rsidR="001753A1" w:rsidRPr="002D0186">
        <w:rPr>
          <w:rFonts w:cs="Arial"/>
          <w:bCs/>
          <w:szCs w:val="22"/>
        </w:rPr>
        <w:t>In</w:t>
      </w:r>
      <w:r w:rsidR="001753A1" w:rsidRPr="002D0186">
        <w:rPr>
          <w:rFonts w:cs="Arial"/>
          <w:i/>
          <w:iCs/>
          <w:szCs w:val="22"/>
        </w:rPr>
        <w:t xml:space="preserve"> Natal Joint Municipal Pension Fund v Endumeni Municipality</w:t>
      </w:r>
      <w:r w:rsidR="001753A1" w:rsidRPr="002D0186">
        <w:rPr>
          <w:rFonts w:cs="Arial"/>
          <w:bCs/>
          <w:szCs w:val="22"/>
        </w:rPr>
        <w:t>,</w:t>
      </w:r>
      <w:r w:rsidR="001753A1" w:rsidRPr="002D0186">
        <w:rPr>
          <w:rStyle w:val="FootnoteReference"/>
          <w:rFonts w:cs="Arial"/>
          <w:bCs/>
          <w:szCs w:val="22"/>
        </w:rPr>
        <w:footnoteReference w:id="12"/>
      </w:r>
      <w:r w:rsidR="001753A1" w:rsidRPr="002D0186">
        <w:rPr>
          <w:rFonts w:cs="Arial"/>
          <w:bCs/>
          <w:szCs w:val="22"/>
        </w:rPr>
        <w:t xml:space="preserve"> Wallis JA said:</w:t>
      </w:r>
    </w:p>
    <w:p w14:paraId="69C975B1" w14:textId="77777777" w:rsidR="001753A1" w:rsidRPr="002D0186" w:rsidRDefault="001753A1" w:rsidP="001753A1">
      <w:pPr>
        <w:widowControl w:val="0"/>
        <w:spacing w:before="120" w:after="120" w:line="360" w:lineRule="auto"/>
        <w:ind w:left="720"/>
        <w:jc w:val="both"/>
        <w:rPr>
          <w:rFonts w:cs="Arial"/>
          <w:bCs/>
          <w:szCs w:val="22"/>
        </w:rPr>
      </w:pPr>
      <w:r w:rsidRPr="002D0186">
        <w:rPr>
          <w:rFonts w:cs="Arial"/>
          <w:i/>
          <w:iCs/>
          <w:szCs w:val="22"/>
        </w:rPr>
        <w:t xml:space="preserve">[18] ……. The present state of the law can be expressed as follows: Interpretation is the process of </w:t>
      </w:r>
      <w:r w:rsidRPr="002D0186">
        <w:rPr>
          <w:rFonts w:cs="Arial"/>
          <w:i/>
          <w:iCs/>
          <w:szCs w:val="22"/>
          <w:u w:val="single"/>
        </w:rPr>
        <w:t>attributing meaning to the words</w:t>
      </w:r>
      <w:r w:rsidRPr="002D0186">
        <w:rPr>
          <w:rFonts w:cs="Arial"/>
          <w:i/>
          <w:iCs/>
          <w:szCs w:val="22"/>
        </w:rPr>
        <w:t xml:space="preserve"> used in a document … having regard to the </w:t>
      </w:r>
      <w:r w:rsidRPr="002D0186">
        <w:rPr>
          <w:rFonts w:cs="Arial"/>
          <w:i/>
          <w:iCs/>
          <w:szCs w:val="22"/>
          <w:u w:val="single"/>
        </w:rPr>
        <w:t>context</w:t>
      </w:r>
      <w:r w:rsidRPr="002D0186">
        <w:rPr>
          <w:rFonts w:cs="Arial"/>
          <w:i/>
          <w:iCs/>
          <w:szCs w:val="22"/>
        </w:rPr>
        <w:t xml:space="preserve"> provided by reading the particular provision or provisions in the light of the </w:t>
      </w:r>
      <w:r w:rsidRPr="002D0186">
        <w:rPr>
          <w:rFonts w:cs="Arial"/>
          <w:i/>
          <w:iCs/>
          <w:szCs w:val="22"/>
          <w:u w:val="single"/>
        </w:rPr>
        <w:t>document as a whole</w:t>
      </w:r>
      <w:r w:rsidRPr="002D0186">
        <w:rPr>
          <w:rFonts w:cs="Arial"/>
          <w:i/>
          <w:iCs/>
          <w:szCs w:val="22"/>
        </w:rPr>
        <w:t xml:space="preserve"> and the </w:t>
      </w:r>
      <w:r w:rsidRPr="002D0186">
        <w:rPr>
          <w:rFonts w:cs="Arial"/>
          <w:i/>
          <w:iCs/>
          <w:szCs w:val="22"/>
          <w:u w:val="single"/>
        </w:rPr>
        <w:t>circumstances attendant</w:t>
      </w:r>
      <w:r w:rsidRPr="002D0186">
        <w:rPr>
          <w:rFonts w:cs="Arial"/>
          <w:i/>
          <w:iCs/>
          <w:szCs w:val="22"/>
        </w:rPr>
        <w:t xml:space="preserve"> upon its coming into existence….The </w:t>
      </w:r>
      <w:r w:rsidRPr="002D0186">
        <w:rPr>
          <w:rFonts w:cs="Arial"/>
          <w:i/>
          <w:iCs/>
          <w:szCs w:val="22"/>
          <w:u w:val="single"/>
        </w:rPr>
        <w:t>process is objective, not subjective</w:t>
      </w:r>
      <w:r w:rsidRPr="002D0186">
        <w:rPr>
          <w:rFonts w:cs="Arial"/>
          <w:i/>
          <w:iCs/>
          <w:szCs w:val="22"/>
        </w:rPr>
        <w:t xml:space="preserve">. A </w:t>
      </w:r>
      <w:r w:rsidRPr="002D0186">
        <w:rPr>
          <w:rFonts w:cs="Arial"/>
          <w:i/>
          <w:iCs/>
          <w:szCs w:val="22"/>
          <w:u w:val="single"/>
        </w:rPr>
        <w:t>sensible meaning</w:t>
      </w:r>
      <w:r w:rsidRPr="002D0186">
        <w:rPr>
          <w:rFonts w:cs="Arial"/>
          <w:i/>
          <w:iCs/>
          <w:szCs w:val="22"/>
        </w:rPr>
        <w:t xml:space="preserve"> is to be preferred to one that leads to insensible or unbusinesslike results or undermines the apparent purpose of the document. Judges must be alert to, and </w:t>
      </w:r>
      <w:r w:rsidRPr="002D0186">
        <w:rPr>
          <w:rFonts w:cs="Arial"/>
          <w:i/>
          <w:iCs/>
          <w:szCs w:val="22"/>
          <w:u w:val="single"/>
        </w:rPr>
        <w:t>guard against</w:t>
      </w:r>
      <w:r w:rsidRPr="002D0186">
        <w:rPr>
          <w:rFonts w:cs="Arial"/>
          <w:i/>
          <w:iCs/>
          <w:szCs w:val="22"/>
        </w:rPr>
        <w:t xml:space="preserve">, the </w:t>
      </w:r>
      <w:r w:rsidRPr="002D0186">
        <w:rPr>
          <w:rFonts w:cs="Arial"/>
          <w:i/>
          <w:iCs/>
          <w:szCs w:val="22"/>
          <w:u w:val="single"/>
        </w:rPr>
        <w:t>temptation to substitute</w:t>
      </w:r>
      <w:r w:rsidRPr="002D0186">
        <w:rPr>
          <w:rFonts w:cs="Arial"/>
          <w:i/>
          <w:iCs/>
          <w:szCs w:val="22"/>
        </w:rPr>
        <w:t xml:space="preserve"> what they regard as reasonable, sensible or businesslike for the words actually used….” </w:t>
      </w:r>
      <w:r w:rsidRPr="002D0186">
        <w:rPr>
          <w:rFonts w:cs="Arial"/>
          <w:szCs w:val="22"/>
        </w:rPr>
        <w:t>[emphasis added]</w:t>
      </w:r>
    </w:p>
    <w:p w14:paraId="70B4F5D1" w14:textId="67B9E177" w:rsidR="001753A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[14]</w:t>
      </w:r>
      <w:r w:rsidRPr="002D0186">
        <w:rPr>
          <w:rFonts w:cs="Arial"/>
          <w:bCs/>
          <w:szCs w:val="22"/>
        </w:rPr>
        <w:tab/>
      </w:r>
      <w:r w:rsidR="001753A1" w:rsidRPr="002D0186">
        <w:rPr>
          <w:rFonts w:cs="Arial"/>
          <w:szCs w:val="22"/>
        </w:rPr>
        <w:t xml:space="preserve">The purpose of interpretation is to </w:t>
      </w:r>
      <w:r w:rsidR="001753A1" w:rsidRPr="002D0186">
        <w:rPr>
          <w:rFonts w:cs="Arial"/>
          <w:bCs/>
          <w:szCs w:val="22"/>
        </w:rPr>
        <w:t xml:space="preserve">ascertain the </w:t>
      </w:r>
      <w:r w:rsidR="001753A1" w:rsidRPr="002D0186">
        <w:rPr>
          <w:rFonts w:cs="Arial"/>
          <w:bCs/>
          <w:i/>
          <w:iCs/>
          <w:szCs w:val="22"/>
        </w:rPr>
        <w:t>meaning</w:t>
      </w:r>
      <w:r w:rsidR="001753A1" w:rsidRPr="002D0186">
        <w:rPr>
          <w:rFonts w:cs="Arial"/>
          <w:bCs/>
          <w:szCs w:val="22"/>
        </w:rPr>
        <w:t xml:space="preserve"> of the language of the document.</w:t>
      </w:r>
      <w:r w:rsidR="001753A1" w:rsidRPr="002D0186">
        <w:rPr>
          <w:rStyle w:val="FootnoteReference"/>
          <w:rFonts w:cs="Arial"/>
          <w:bCs/>
          <w:szCs w:val="22"/>
        </w:rPr>
        <w:footnoteReference w:id="13"/>
      </w:r>
    </w:p>
    <w:p w14:paraId="6947500E" w14:textId="33FC0E35" w:rsidR="001753A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[15]</w:t>
      </w:r>
      <w:r w:rsidRPr="002D0186">
        <w:rPr>
          <w:rFonts w:cs="Arial"/>
          <w:bCs/>
          <w:szCs w:val="22"/>
        </w:rPr>
        <w:tab/>
      </w:r>
      <w:r w:rsidR="001753A1" w:rsidRPr="002D0186">
        <w:rPr>
          <w:rFonts w:cs="Arial"/>
          <w:bCs/>
          <w:szCs w:val="22"/>
        </w:rPr>
        <w:t xml:space="preserve">In </w:t>
      </w:r>
      <w:r w:rsidR="001753A1" w:rsidRPr="002D0186">
        <w:rPr>
          <w:rFonts w:cs="Arial"/>
          <w:i/>
          <w:iCs/>
          <w:szCs w:val="22"/>
        </w:rPr>
        <w:t>Telkom SA SOC Ltd v Commissioner, South African Revenue Service</w:t>
      </w:r>
      <w:r w:rsidR="001753A1" w:rsidRPr="002D0186">
        <w:rPr>
          <w:rFonts w:cs="Arial"/>
          <w:szCs w:val="22"/>
        </w:rPr>
        <w:br/>
        <w:t xml:space="preserve">and in </w:t>
      </w:r>
      <w:r w:rsidR="001753A1" w:rsidRPr="002D0186">
        <w:rPr>
          <w:rFonts w:cs="Arial"/>
          <w:i/>
          <w:iCs/>
          <w:szCs w:val="22"/>
        </w:rPr>
        <w:t>Commissioner, South African Revenue Service v United Manganese of Kalahari (Pty) Ltd</w:t>
      </w:r>
      <w:r w:rsidR="001753A1" w:rsidRPr="002D0186">
        <w:rPr>
          <w:rStyle w:val="FootnoteReference"/>
          <w:rFonts w:cs="Arial"/>
          <w:szCs w:val="22"/>
        </w:rPr>
        <w:footnoteReference w:id="14"/>
      </w:r>
      <w:r w:rsidR="001753A1" w:rsidRPr="002D0186">
        <w:rPr>
          <w:rFonts w:cs="Arial"/>
          <w:szCs w:val="22"/>
        </w:rPr>
        <w:t xml:space="preserve"> the Supreme Court of Appeal held that the interpretation of documents will not vary depending on the characteristics of the document in question. </w:t>
      </w:r>
      <w:r w:rsidR="001753A1" w:rsidRPr="002D0186">
        <w:rPr>
          <w:rFonts w:cs="Arial"/>
          <w:bCs/>
          <w:szCs w:val="22"/>
        </w:rPr>
        <w:t xml:space="preserve">The </w:t>
      </w:r>
      <w:r w:rsidR="001753A1" w:rsidRPr="002D0186">
        <w:rPr>
          <w:rFonts w:cs="Arial"/>
          <w:bCs/>
          <w:i/>
          <w:iCs/>
          <w:szCs w:val="22"/>
        </w:rPr>
        <w:t>Endumeni</w:t>
      </w:r>
      <w:r w:rsidR="001753A1" w:rsidRPr="002D0186">
        <w:rPr>
          <w:rFonts w:cs="Arial"/>
          <w:bCs/>
          <w:szCs w:val="22"/>
        </w:rPr>
        <w:t xml:space="preserve"> principles are of universal application and were applied for instance to the interpretation of a trust deed in </w:t>
      </w:r>
      <w:r w:rsidR="001753A1" w:rsidRPr="002D0186">
        <w:rPr>
          <w:rFonts w:cs="Arial"/>
          <w:i/>
          <w:iCs/>
          <w:szCs w:val="22"/>
        </w:rPr>
        <w:t>Harvey NO and Others v Crawford NO and Others</w:t>
      </w:r>
      <w:r w:rsidR="001753A1" w:rsidRPr="002D0186">
        <w:rPr>
          <w:rStyle w:val="FootnoteReference"/>
          <w:rFonts w:cs="Arial"/>
          <w:i/>
          <w:iCs/>
          <w:szCs w:val="22"/>
        </w:rPr>
        <w:footnoteReference w:id="15"/>
      </w:r>
      <w:r w:rsidR="001753A1" w:rsidRPr="002D0186">
        <w:rPr>
          <w:rFonts w:cs="Arial"/>
          <w:i/>
          <w:iCs/>
          <w:szCs w:val="22"/>
        </w:rPr>
        <w:t xml:space="preserve"> </w:t>
      </w:r>
      <w:r w:rsidR="001753A1" w:rsidRPr="002D0186">
        <w:rPr>
          <w:rFonts w:cs="Arial"/>
          <w:szCs w:val="22"/>
        </w:rPr>
        <w:t xml:space="preserve">and to the interpretation of a will in </w:t>
      </w:r>
      <w:r w:rsidR="001753A1" w:rsidRPr="002D0186">
        <w:rPr>
          <w:rFonts w:cs="Arial"/>
          <w:i/>
          <w:szCs w:val="22"/>
        </w:rPr>
        <w:t>Strauss v Strauss and Others.</w:t>
      </w:r>
      <w:r w:rsidR="001753A1" w:rsidRPr="002D0186">
        <w:rPr>
          <w:rStyle w:val="FootnoteReference"/>
          <w:rFonts w:cs="Arial"/>
          <w:i/>
          <w:szCs w:val="22"/>
        </w:rPr>
        <w:footnoteReference w:id="16"/>
      </w:r>
      <w:r w:rsidR="001753A1" w:rsidRPr="002D0186">
        <w:rPr>
          <w:rFonts w:cs="Arial"/>
          <w:szCs w:val="22"/>
        </w:rPr>
        <w:t xml:space="preserve"> There are however </w:t>
      </w:r>
      <w:r w:rsidR="001753A1" w:rsidRPr="002D0186">
        <w:rPr>
          <w:rFonts w:cs="Arial"/>
          <w:i/>
          <w:iCs/>
          <w:color w:val="000000" w:themeColor="text1"/>
          <w:szCs w:val="22"/>
        </w:rPr>
        <w:t>“</w:t>
      </w:r>
      <w:r w:rsidR="001753A1" w:rsidRPr="002D0186">
        <w:rPr>
          <w:rFonts w:cs="Arial"/>
          <w:i/>
          <w:iCs/>
          <w:color w:val="000000" w:themeColor="text1"/>
          <w:szCs w:val="22"/>
          <w:shd w:val="clear" w:color="auto" w:fill="FFFFFF"/>
        </w:rPr>
        <w:t>differences in context with different documents, including the nature of the document itself.”</w:t>
      </w:r>
      <w:r w:rsidR="001753A1" w:rsidRPr="002D0186">
        <w:rPr>
          <w:rStyle w:val="FootnoteReference"/>
          <w:rFonts w:cs="Arial"/>
          <w:szCs w:val="22"/>
        </w:rPr>
        <w:t xml:space="preserve"> </w:t>
      </w:r>
      <w:r w:rsidR="001753A1" w:rsidRPr="002D0186">
        <w:rPr>
          <w:rStyle w:val="FootnoteReference"/>
          <w:rFonts w:cs="Arial"/>
          <w:szCs w:val="22"/>
        </w:rPr>
        <w:footnoteReference w:id="17"/>
      </w:r>
      <w:r w:rsidR="001753A1" w:rsidRPr="002D0186">
        <w:rPr>
          <w:rFonts w:cs="Arial"/>
          <w:szCs w:val="22"/>
        </w:rPr>
        <w:t xml:space="preserve"> </w:t>
      </w:r>
    </w:p>
    <w:p w14:paraId="6FD7101C" w14:textId="066D8E63" w:rsidR="001753A1"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[16]</w:t>
      </w:r>
      <w:r w:rsidRPr="002D0186">
        <w:rPr>
          <w:rFonts w:cs="Arial"/>
          <w:bCs/>
          <w:szCs w:val="22"/>
        </w:rPr>
        <w:tab/>
      </w:r>
      <w:r w:rsidR="001753A1" w:rsidRPr="002D0186">
        <w:rPr>
          <w:rFonts w:cs="Arial"/>
          <w:szCs w:val="22"/>
        </w:rPr>
        <w:t xml:space="preserve">I am not suggesting that the conclusion that affidavit or </w:t>
      </w:r>
      <w:r w:rsidR="001753A1" w:rsidRPr="002D0186">
        <w:rPr>
          <w:rFonts w:cs="Arial"/>
          <w:i/>
          <w:iCs/>
          <w:szCs w:val="22"/>
        </w:rPr>
        <w:t>viva voce</w:t>
      </w:r>
      <w:r w:rsidR="001753A1" w:rsidRPr="002D0186">
        <w:rPr>
          <w:rFonts w:cs="Arial"/>
          <w:szCs w:val="22"/>
        </w:rPr>
        <w:t xml:space="preserve"> evidence by an arbitrator will never be relevant, just as evidence is admitted when it is appropriate to do </w:t>
      </w:r>
      <w:r w:rsidR="001753A1" w:rsidRPr="002D0186">
        <w:rPr>
          <w:rFonts w:cs="Arial"/>
          <w:szCs w:val="22"/>
        </w:rPr>
        <w:lastRenderedPageBreak/>
        <w:t xml:space="preserve">so on </w:t>
      </w:r>
      <w:r w:rsidR="001753A1" w:rsidRPr="002D0186">
        <w:rPr>
          <w:rFonts w:cs="Arial"/>
          <w:i/>
          <w:iCs/>
          <w:szCs w:val="22"/>
        </w:rPr>
        <w:t xml:space="preserve">Endumeni </w:t>
      </w:r>
      <w:r w:rsidR="001753A1" w:rsidRPr="002D0186">
        <w:rPr>
          <w:rFonts w:cs="Arial"/>
          <w:szCs w:val="22"/>
        </w:rPr>
        <w:t>principles when contracts are to be interpreted. On the facts of this matter no case was made out that such evidence would be relevant and therefore admissible</w:t>
      </w:r>
      <w:r w:rsidR="004A2651">
        <w:rPr>
          <w:rFonts w:cs="Arial"/>
          <w:szCs w:val="22"/>
        </w:rPr>
        <w:t>, or that the absence of affidavits by the arbitrator merits a negative inference</w:t>
      </w:r>
      <w:r w:rsidR="004A2651" w:rsidRPr="00637554">
        <w:rPr>
          <w:rFonts w:cs="Arial"/>
          <w:szCs w:val="22"/>
        </w:rPr>
        <w:t>.</w:t>
      </w:r>
      <w:r w:rsidR="001753A1" w:rsidRPr="002D0186">
        <w:rPr>
          <w:rFonts w:cs="Arial"/>
          <w:szCs w:val="22"/>
        </w:rPr>
        <w:t>.</w:t>
      </w:r>
    </w:p>
    <w:p w14:paraId="05C1C072" w14:textId="77777777" w:rsidR="001753A1" w:rsidRPr="002D0186" w:rsidRDefault="001753A1" w:rsidP="007E250D">
      <w:pPr>
        <w:widowControl w:val="0"/>
        <w:spacing w:before="480" w:after="480" w:line="360" w:lineRule="auto"/>
        <w:jc w:val="both"/>
        <w:rPr>
          <w:rFonts w:cs="Arial"/>
          <w:bCs/>
          <w:szCs w:val="22"/>
          <w:u w:val="single"/>
        </w:rPr>
      </w:pPr>
    </w:p>
    <w:p w14:paraId="1C7A3ECE" w14:textId="77777777" w:rsidR="009D40CB" w:rsidRPr="002D0186" w:rsidRDefault="009D40CB" w:rsidP="009D40CB">
      <w:pPr>
        <w:widowControl w:val="0"/>
        <w:spacing w:before="480" w:after="480" w:line="360" w:lineRule="auto"/>
        <w:jc w:val="both"/>
        <w:rPr>
          <w:rFonts w:cs="Arial"/>
          <w:bCs/>
          <w:szCs w:val="22"/>
          <w:u w:val="single"/>
        </w:rPr>
      </w:pPr>
      <w:r w:rsidRPr="002D0186">
        <w:rPr>
          <w:rFonts w:cs="Arial"/>
          <w:bCs/>
          <w:szCs w:val="22"/>
          <w:u w:val="single"/>
        </w:rPr>
        <w:t>The standard to be applied</w:t>
      </w:r>
    </w:p>
    <w:p w14:paraId="291A6330" w14:textId="5FC0E712" w:rsidR="00552DE9" w:rsidRPr="00552DE9" w:rsidRDefault="00615E41" w:rsidP="00615E41">
      <w:pPr>
        <w:widowControl w:val="0"/>
        <w:tabs>
          <w:tab w:val="left" w:pos="567"/>
        </w:tabs>
        <w:spacing w:before="480" w:after="480" w:line="360" w:lineRule="auto"/>
        <w:jc w:val="both"/>
        <w:rPr>
          <w:rFonts w:cs="Arial"/>
          <w:bCs/>
          <w:szCs w:val="22"/>
        </w:rPr>
      </w:pPr>
      <w:r w:rsidRPr="00552DE9">
        <w:rPr>
          <w:rFonts w:cs="Arial"/>
          <w:bCs/>
          <w:szCs w:val="22"/>
        </w:rPr>
        <w:t>[17]</w:t>
      </w:r>
      <w:r w:rsidRPr="00552DE9">
        <w:rPr>
          <w:rFonts w:cs="Arial"/>
          <w:bCs/>
          <w:szCs w:val="22"/>
        </w:rPr>
        <w:tab/>
      </w:r>
      <w:r w:rsidR="009D40CB" w:rsidRPr="002D0186">
        <w:rPr>
          <w:rFonts w:cs="Arial"/>
          <w:bCs/>
          <w:szCs w:val="22"/>
        </w:rPr>
        <w:t>A Court should not shirk from its duty to set aside an award if it found that a gross irregularity had been committed or to remove an arbitrator</w:t>
      </w:r>
      <w:r w:rsidR="009D40CB" w:rsidRPr="002D0186">
        <w:rPr>
          <w:rStyle w:val="FootnoteReference"/>
          <w:rFonts w:cs="Arial"/>
          <w:bCs/>
          <w:szCs w:val="22"/>
        </w:rPr>
        <w:footnoteReference w:id="18"/>
      </w:r>
      <w:r w:rsidR="009D40CB" w:rsidRPr="002D0186">
        <w:rPr>
          <w:rFonts w:cs="Arial"/>
          <w:bCs/>
          <w:szCs w:val="22"/>
        </w:rPr>
        <w:t xml:space="preserve"> on the ground of bias, but should at all times remain mindful of the paramount importance of party autonomy.</w:t>
      </w:r>
      <w:r w:rsidR="009D40CB" w:rsidRPr="002D0186">
        <w:rPr>
          <w:rStyle w:val="FootnoteReference"/>
          <w:rFonts w:cs="Arial"/>
          <w:bCs/>
          <w:szCs w:val="22"/>
        </w:rPr>
        <w:footnoteReference w:id="19"/>
      </w:r>
      <w:r w:rsidR="009D40CB" w:rsidRPr="002D0186">
        <w:rPr>
          <w:rFonts w:cs="Arial"/>
          <w:szCs w:val="22"/>
        </w:rPr>
        <w:t xml:space="preserve"> </w:t>
      </w:r>
    </w:p>
    <w:p w14:paraId="18C81DA2" w14:textId="5B13FE94" w:rsidR="009D40CB" w:rsidRPr="002D0186" w:rsidRDefault="009D40CB" w:rsidP="00552DE9">
      <w:pPr>
        <w:widowControl w:val="0"/>
        <w:spacing w:before="480" w:after="480" w:line="360" w:lineRule="auto"/>
        <w:jc w:val="both"/>
        <w:rPr>
          <w:rFonts w:cs="Arial"/>
          <w:bCs/>
          <w:szCs w:val="22"/>
        </w:rPr>
      </w:pPr>
      <w:r w:rsidRPr="002D0186">
        <w:rPr>
          <w:rFonts w:cs="Arial"/>
          <w:szCs w:val="22"/>
        </w:rPr>
        <w:t>A court must not be too quick to find fault or to conclude that a faulty procedure constitutes a gross irregularity</w:t>
      </w:r>
      <w:r w:rsidR="003B67B7" w:rsidRPr="002D0186">
        <w:rPr>
          <w:rFonts w:cs="Arial"/>
          <w:szCs w:val="22"/>
        </w:rPr>
        <w:t xml:space="preserve">, or that </w:t>
      </w:r>
      <w:r w:rsidR="001D2410" w:rsidRPr="002D0186">
        <w:rPr>
          <w:rFonts w:cs="Arial"/>
          <w:szCs w:val="22"/>
        </w:rPr>
        <w:t xml:space="preserve">an arbitrator’s conduct amounts to bias. </w:t>
      </w:r>
    </w:p>
    <w:p w14:paraId="3E154057" w14:textId="77777777" w:rsidR="001E255B" w:rsidRPr="002D0186" w:rsidRDefault="001E255B" w:rsidP="00504E0F">
      <w:pPr>
        <w:widowControl w:val="0"/>
        <w:spacing w:before="480" w:after="480" w:line="360" w:lineRule="auto"/>
        <w:jc w:val="both"/>
        <w:rPr>
          <w:rFonts w:cs="Arial"/>
          <w:bCs/>
          <w:szCs w:val="22"/>
          <w:u w:val="single"/>
        </w:rPr>
      </w:pPr>
    </w:p>
    <w:p w14:paraId="2CDC95FC" w14:textId="420111D0" w:rsidR="00504E0F" w:rsidRPr="002D0186" w:rsidRDefault="00504E0F" w:rsidP="00504E0F">
      <w:pPr>
        <w:widowControl w:val="0"/>
        <w:spacing w:before="480" w:after="480" w:line="360" w:lineRule="auto"/>
        <w:jc w:val="both"/>
        <w:rPr>
          <w:rFonts w:cs="Arial"/>
          <w:bCs/>
          <w:szCs w:val="22"/>
          <w:u w:val="single"/>
        </w:rPr>
      </w:pPr>
      <w:r w:rsidRPr="002D0186">
        <w:rPr>
          <w:rFonts w:cs="Arial"/>
          <w:bCs/>
          <w:szCs w:val="22"/>
          <w:u w:val="single"/>
        </w:rPr>
        <w:t>Reactive bias</w:t>
      </w:r>
    </w:p>
    <w:p w14:paraId="2572B4CC" w14:textId="15BF1CCF" w:rsidR="00504E0F"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[18]</w:t>
      </w:r>
      <w:r w:rsidRPr="002D0186">
        <w:rPr>
          <w:rFonts w:cs="Arial"/>
          <w:bCs/>
          <w:szCs w:val="22"/>
        </w:rPr>
        <w:tab/>
      </w:r>
      <w:r w:rsidR="005D60C3" w:rsidRPr="002D0186">
        <w:rPr>
          <w:rFonts w:cs="Arial"/>
          <w:bCs/>
          <w:szCs w:val="22"/>
        </w:rPr>
        <w:t>T</w:t>
      </w:r>
      <w:r w:rsidR="00504E0F" w:rsidRPr="002D0186">
        <w:rPr>
          <w:rFonts w:cs="Arial"/>
          <w:bCs/>
          <w:szCs w:val="22"/>
        </w:rPr>
        <w:t xml:space="preserve">he term </w:t>
      </w:r>
      <w:r w:rsidR="00504E0F" w:rsidRPr="002D0186">
        <w:rPr>
          <w:rFonts w:cs="Arial"/>
          <w:bCs/>
          <w:i/>
          <w:iCs/>
          <w:szCs w:val="22"/>
        </w:rPr>
        <w:t>‘reactive bias’</w:t>
      </w:r>
      <w:r w:rsidR="00504E0F" w:rsidRPr="002D0186">
        <w:rPr>
          <w:rFonts w:cs="Arial"/>
          <w:bCs/>
          <w:szCs w:val="22"/>
        </w:rPr>
        <w:t xml:space="preserve"> </w:t>
      </w:r>
      <w:r w:rsidR="005D60C3" w:rsidRPr="002D0186">
        <w:rPr>
          <w:rFonts w:cs="Arial"/>
          <w:bCs/>
          <w:szCs w:val="22"/>
        </w:rPr>
        <w:t xml:space="preserve">as it is used in the judgment </w:t>
      </w:r>
      <w:r w:rsidR="00504E0F" w:rsidRPr="002D0186">
        <w:rPr>
          <w:rFonts w:cs="Arial"/>
          <w:bCs/>
          <w:szCs w:val="22"/>
        </w:rPr>
        <w:t xml:space="preserve">is merely a descriptive term used to distinguish an allegation of bias that arises </w:t>
      </w:r>
      <w:r w:rsidR="00504E0F" w:rsidRPr="002D0186">
        <w:rPr>
          <w:rFonts w:cs="Arial"/>
          <w:bCs/>
          <w:i/>
          <w:iCs/>
          <w:szCs w:val="22"/>
        </w:rPr>
        <w:t>during</w:t>
      </w:r>
      <w:r w:rsidR="00504E0F" w:rsidRPr="002D0186">
        <w:rPr>
          <w:rFonts w:cs="Arial"/>
          <w:bCs/>
          <w:szCs w:val="22"/>
        </w:rPr>
        <w:t xml:space="preserve"> an arbitration from an allegation of bias arising from events </w:t>
      </w:r>
      <w:r w:rsidR="00504E0F" w:rsidRPr="002D0186">
        <w:rPr>
          <w:rFonts w:cs="Arial"/>
          <w:bCs/>
          <w:i/>
          <w:iCs/>
          <w:szCs w:val="22"/>
        </w:rPr>
        <w:t>outside</w:t>
      </w:r>
      <w:r w:rsidR="00504E0F" w:rsidRPr="002D0186">
        <w:rPr>
          <w:rFonts w:cs="Arial"/>
          <w:bCs/>
          <w:szCs w:val="22"/>
        </w:rPr>
        <w:t xml:space="preserve"> the arbitration, such as prior enmity between </w:t>
      </w:r>
      <w:r w:rsidR="004E6890" w:rsidRPr="002D0186">
        <w:rPr>
          <w:rFonts w:cs="Arial"/>
          <w:bCs/>
          <w:szCs w:val="22"/>
        </w:rPr>
        <w:t>arbitrator</w:t>
      </w:r>
      <w:r w:rsidR="00504E0F" w:rsidRPr="002D0186">
        <w:rPr>
          <w:rFonts w:cs="Arial"/>
          <w:bCs/>
          <w:szCs w:val="22"/>
        </w:rPr>
        <w:t xml:space="preserve"> and one of the parties, a witness, or a legal representative, or other outside interests.</w:t>
      </w:r>
      <w:r w:rsidR="00504E0F" w:rsidRPr="002D0186">
        <w:rPr>
          <w:rStyle w:val="FootnoteReference"/>
          <w:rFonts w:cs="Arial"/>
          <w:bCs/>
          <w:szCs w:val="22"/>
        </w:rPr>
        <w:footnoteReference w:id="20"/>
      </w:r>
      <w:r w:rsidR="00504E0F" w:rsidRPr="002D0186">
        <w:rPr>
          <w:rFonts w:cs="Arial"/>
          <w:bCs/>
          <w:szCs w:val="22"/>
        </w:rPr>
        <w:t xml:space="preserve"> No legal principle flow from the use of the term</w:t>
      </w:r>
      <w:r w:rsidR="001E255B" w:rsidRPr="002D0186">
        <w:rPr>
          <w:rFonts w:cs="Arial"/>
          <w:bCs/>
          <w:szCs w:val="22"/>
        </w:rPr>
        <w:t xml:space="preserve"> in this judgment</w:t>
      </w:r>
      <w:r w:rsidR="00504E0F" w:rsidRPr="002D0186">
        <w:rPr>
          <w:rFonts w:cs="Arial"/>
          <w:bCs/>
          <w:szCs w:val="22"/>
        </w:rPr>
        <w:t>.</w:t>
      </w:r>
    </w:p>
    <w:p w14:paraId="3C8EBE31" w14:textId="1E9A0504" w:rsidR="00504E0F"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[19]</w:t>
      </w:r>
      <w:r w:rsidRPr="002D0186">
        <w:rPr>
          <w:rFonts w:cs="Arial"/>
          <w:bCs/>
          <w:szCs w:val="22"/>
        </w:rPr>
        <w:tab/>
      </w:r>
      <w:r w:rsidR="00504E0F" w:rsidRPr="002D0186">
        <w:rPr>
          <w:rFonts w:cs="Arial"/>
          <w:bCs/>
          <w:szCs w:val="22"/>
        </w:rPr>
        <w:t xml:space="preserve">It was never suggested in the papers or in argument that Altech adopted a stratagem to insult the </w:t>
      </w:r>
      <w:r w:rsidR="004E6890" w:rsidRPr="002D0186">
        <w:rPr>
          <w:rFonts w:cs="Arial"/>
          <w:bCs/>
          <w:szCs w:val="22"/>
        </w:rPr>
        <w:t>arbitrator</w:t>
      </w:r>
      <w:r w:rsidR="00504E0F" w:rsidRPr="002D0186">
        <w:rPr>
          <w:rFonts w:cs="Arial"/>
          <w:bCs/>
          <w:szCs w:val="22"/>
        </w:rPr>
        <w:t xml:space="preserve"> and then claim that he could no longer be perceived to </w:t>
      </w:r>
      <w:r w:rsidR="00504E0F" w:rsidRPr="002D0186">
        <w:rPr>
          <w:rFonts w:cs="Arial"/>
          <w:bCs/>
          <w:szCs w:val="22"/>
        </w:rPr>
        <w:lastRenderedPageBreak/>
        <w:t>be impartial. This is acknowledged in the judgment.</w:t>
      </w:r>
      <w:r w:rsidR="00504E0F" w:rsidRPr="002D0186">
        <w:rPr>
          <w:rStyle w:val="FootnoteReference"/>
          <w:rFonts w:cs="Arial"/>
          <w:bCs/>
          <w:szCs w:val="22"/>
        </w:rPr>
        <w:footnoteReference w:id="21"/>
      </w:r>
    </w:p>
    <w:p w14:paraId="2CBB517B" w14:textId="77777777" w:rsidR="001E255B" w:rsidRPr="002D0186" w:rsidRDefault="001E255B" w:rsidP="00E72A43">
      <w:pPr>
        <w:widowControl w:val="0"/>
        <w:spacing w:before="480" w:after="480" w:line="360" w:lineRule="auto"/>
        <w:jc w:val="both"/>
        <w:rPr>
          <w:rFonts w:cs="Arial"/>
          <w:szCs w:val="22"/>
          <w:u w:val="single"/>
        </w:rPr>
      </w:pPr>
    </w:p>
    <w:p w14:paraId="0C964EE4" w14:textId="0C36C8A0" w:rsidR="00E72A43" w:rsidRPr="002D0186" w:rsidRDefault="00E72A43" w:rsidP="00E72A43">
      <w:pPr>
        <w:widowControl w:val="0"/>
        <w:spacing w:before="480" w:after="480" w:line="360" w:lineRule="auto"/>
        <w:jc w:val="both"/>
        <w:rPr>
          <w:rFonts w:cs="Arial"/>
          <w:bCs/>
          <w:szCs w:val="22"/>
          <w:u w:val="single"/>
        </w:rPr>
      </w:pPr>
      <w:r w:rsidRPr="002D0186">
        <w:rPr>
          <w:rFonts w:cs="Arial"/>
          <w:szCs w:val="22"/>
          <w:u w:val="single"/>
        </w:rPr>
        <w:t xml:space="preserve">The distinction between the </w:t>
      </w:r>
      <w:r w:rsidR="00504E0F" w:rsidRPr="002D0186">
        <w:rPr>
          <w:rFonts w:cs="Arial"/>
          <w:szCs w:val="22"/>
          <w:u w:val="single"/>
        </w:rPr>
        <w:t xml:space="preserve">applicant’s </w:t>
      </w:r>
      <w:r w:rsidRPr="002D0186">
        <w:rPr>
          <w:rFonts w:cs="Arial"/>
          <w:szCs w:val="22"/>
          <w:u w:val="single"/>
        </w:rPr>
        <w:t xml:space="preserve">letter </w:t>
      </w:r>
      <w:r w:rsidR="00504E0F" w:rsidRPr="002D0186">
        <w:rPr>
          <w:rFonts w:cs="Arial"/>
          <w:szCs w:val="22"/>
          <w:u w:val="single"/>
        </w:rPr>
        <w:t xml:space="preserve">of 6 March 2023 </w:t>
      </w:r>
      <w:r w:rsidRPr="002D0186">
        <w:rPr>
          <w:rFonts w:cs="Arial"/>
          <w:szCs w:val="22"/>
          <w:u w:val="single"/>
        </w:rPr>
        <w:t>and the application</w:t>
      </w:r>
      <w:r w:rsidR="00504E0F" w:rsidRPr="002D0186">
        <w:rPr>
          <w:rFonts w:cs="Arial"/>
          <w:szCs w:val="22"/>
          <w:u w:val="single"/>
        </w:rPr>
        <w:t xml:space="preserve"> of 8 March 2023</w:t>
      </w:r>
    </w:p>
    <w:p w14:paraId="7AA9B1A5" w14:textId="6371C4DC" w:rsidR="00E72A43"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[20]</w:t>
      </w:r>
      <w:r w:rsidRPr="002D0186">
        <w:rPr>
          <w:rFonts w:cs="Arial"/>
          <w:bCs/>
          <w:szCs w:val="22"/>
        </w:rPr>
        <w:tab/>
      </w:r>
      <w:r w:rsidR="00E72A43" w:rsidRPr="002D0186">
        <w:rPr>
          <w:rFonts w:cs="Arial"/>
          <w:bCs/>
          <w:szCs w:val="22"/>
        </w:rPr>
        <w:t xml:space="preserve">Altech alleges that the Court erred in finding that there was </w:t>
      </w:r>
      <w:r w:rsidR="004E6890" w:rsidRPr="002D0186">
        <w:rPr>
          <w:rFonts w:cs="Arial"/>
          <w:bCs/>
          <w:szCs w:val="22"/>
        </w:rPr>
        <w:t>a</w:t>
      </w:r>
      <w:r w:rsidR="00E72A43" w:rsidRPr="002D0186">
        <w:rPr>
          <w:rFonts w:cs="Arial"/>
          <w:bCs/>
          <w:szCs w:val="22"/>
        </w:rPr>
        <w:t xml:space="preserve"> </w:t>
      </w:r>
      <w:r w:rsidR="004E6890" w:rsidRPr="002D0186">
        <w:rPr>
          <w:rFonts w:cs="Arial"/>
          <w:bCs/>
          <w:i/>
          <w:iCs/>
          <w:szCs w:val="22"/>
        </w:rPr>
        <w:t>‘</w:t>
      </w:r>
      <w:r w:rsidR="00E72A43" w:rsidRPr="002D0186">
        <w:rPr>
          <w:rFonts w:cs="Arial"/>
          <w:bCs/>
          <w:i/>
          <w:iCs/>
          <w:szCs w:val="22"/>
        </w:rPr>
        <w:t>relevant distinction</w:t>
      </w:r>
      <w:r w:rsidR="004E6890" w:rsidRPr="002D0186">
        <w:rPr>
          <w:rFonts w:cs="Arial"/>
          <w:bCs/>
          <w:i/>
          <w:iCs/>
          <w:szCs w:val="22"/>
        </w:rPr>
        <w:t>’</w:t>
      </w:r>
      <w:r w:rsidR="00E72A43" w:rsidRPr="002D0186">
        <w:rPr>
          <w:rFonts w:cs="Arial"/>
          <w:bCs/>
          <w:szCs w:val="22"/>
        </w:rPr>
        <w:t xml:space="preserve"> between the letter requiring the recusal of the </w:t>
      </w:r>
      <w:r w:rsidR="004E6890" w:rsidRPr="002D0186">
        <w:rPr>
          <w:rFonts w:cs="Arial"/>
          <w:bCs/>
          <w:szCs w:val="22"/>
        </w:rPr>
        <w:t>arbitrator</w:t>
      </w:r>
      <w:r w:rsidR="00E72A43" w:rsidRPr="002D0186">
        <w:rPr>
          <w:rFonts w:cs="Arial"/>
          <w:bCs/>
          <w:szCs w:val="22"/>
        </w:rPr>
        <w:t xml:space="preserve"> dated 6 March 2023 and the application for his recusal delivered on 8 March 2023.</w:t>
      </w:r>
      <w:r w:rsidR="00504E0F" w:rsidRPr="002D0186">
        <w:rPr>
          <w:rFonts w:cs="Arial"/>
          <w:bCs/>
          <w:szCs w:val="22"/>
        </w:rPr>
        <w:t xml:space="preserve"> The distinction was one made by </w:t>
      </w:r>
      <w:r w:rsidR="00552DE9" w:rsidRPr="00552DE9">
        <w:rPr>
          <w:rFonts w:cs="Arial"/>
          <w:bCs/>
          <w:i/>
          <w:iCs/>
          <w:szCs w:val="22"/>
        </w:rPr>
        <w:t>Altech</w:t>
      </w:r>
      <w:r w:rsidR="00504E0F" w:rsidRPr="002D0186">
        <w:rPr>
          <w:rFonts w:cs="Arial"/>
          <w:bCs/>
          <w:szCs w:val="22"/>
        </w:rPr>
        <w:t xml:space="preserve"> in the founding affidavit and the ground of appeal is not supported by the </w:t>
      </w:r>
      <w:r w:rsidR="00552DE9">
        <w:rPr>
          <w:rFonts w:cs="Arial"/>
          <w:bCs/>
          <w:szCs w:val="22"/>
        </w:rPr>
        <w:t>Altech’[s</w:t>
      </w:r>
      <w:r w:rsidR="00504E0F" w:rsidRPr="002D0186">
        <w:rPr>
          <w:rFonts w:cs="Arial"/>
          <w:bCs/>
          <w:szCs w:val="22"/>
        </w:rPr>
        <w:t xml:space="preserve"> </w:t>
      </w:r>
      <w:r w:rsidR="004E6890" w:rsidRPr="002D0186">
        <w:rPr>
          <w:rFonts w:cs="Arial"/>
          <w:bCs/>
          <w:szCs w:val="22"/>
        </w:rPr>
        <w:t>papers</w:t>
      </w:r>
      <w:r w:rsidR="00504E0F" w:rsidRPr="002D0186">
        <w:rPr>
          <w:rFonts w:cs="Arial"/>
          <w:bCs/>
          <w:szCs w:val="22"/>
        </w:rPr>
        <w:t>.</w:t>
      </w:r>
      <w:r w:rsidR="00504E0F" w:rsidRPr="002D0186">
        <w:rPr>
          <w:rStyle w:val="FootnoteReference"/>
          <w:rFonts w:cs="Arial"/>
          <w:bCs/>
          <w:szCs w:val="22"/>
        </w:rPr>
        <w:footnoteReference w:id="22"/>
      </w:r>
    </w:p>
    <w:p w14:paraId="1BB30459" w14:textId="2F156934" w:rsidR="00597AEA"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[21]</w:t>
      </w:r>
      <w:r w:rsidRPr="002D0186">
        <w:rPr>
          <w:rFonts w:cs="Arial"/>
          <w:bCs/>
          <w:szCs w:val="22"/>
        </w:rPr>
        <w:tab/>
      </w:r>
      <w:r w:rsidR="009C5AC9" w:rsidRPr="002D0186">
        <w:rPr>
          <w:rFonts w:cs="Arial"/>
          <w:szCs w:val="22"/>
        </w:rPr>
        <w:t xml:space="preserve">One of the grounds of appeal is that the Court simultaneously found that the </w:t>
      </w:r>
      <w:r w:rsidR="004E6890" w:rsidRPr="002D0186">
        <w:rPr>
          <w:rFonts w:cs="Arial"/>
          <w:szCs w:val="22"/>
        </w:rPr>
        <w:t>arbitrator</w:t>
      </w:r>
      <w:r w:rsidR="009C5AC9" w:rsidRPr="002D0186">
        <w:rPr>
          <w:rFonts w:cs="Arial"/>
          <w:szCs w:val="22"/>
        </w:rPr>
        <w:t xml:space="preserve"> did not make a procedure ruling when he informed Altech that he would not recuse himself, but also found that the </w:t>
      </w:r>
      <w:r w:rsidR="004E6890" w:rsidRPr="002D0186">
        <w:rPr>
          <w:rFonts w:cs="Arial"/>
          <w:szCs w:val="22"/>
        </w:rPr>
        <w:t>arbitrator</w:t>
      </w:r>
      <w:r w:rsidR="009C5AC9" w:rsidRPr="002D0186">
        <w:rPr>
          <w:rFonts w:cs="Arial"/>
          <w:szCs w:val="22"/>
        </w:rPr>
        <w:t xml:space="preserve"> would not </w:t>
      </w:r>
      <w:r w:rsidR="00552DE9">
        <w:rPr>
          <w:rFonts w:cs="Arial"/>
          <w:szCs w:val="22"/>
        </w:rPr>
        <w:t>recuse</w:t>
      </w:r>
      <w:r w:rsidR="009C5AC9" w:rsidRPr="002D0186">
        <w:rPr>
          <w:rFonts w:cs="Arial"/>
          <w:szCs w:val="22"/>
        </w:rPr>
        <w:t xml:space="preserve"> himself merely on the basis of the letter (as he told the parties at the hearing on the 9</w:t>
      </w:r>
      <w:r w:rsidR="009C5AC9" w:rsidRPr="002D0186">
        <w:rPr>
          <w:rFonts w:cs="Arial"/>
          <w:szCs w:val="22"/>
          <w:vertAlign w:val="superscript"/>
        </w:rPr>
        <w:t>th</w:t>
      </w:r>
      <w:r w:rsidR="009C5AC9" w:rsidRPr="002D0186">
        <w:rPr>
          <w:rFonts w:cs="Arial"/>
          <w:szCs w:val="22"/>
        </w:rPr>
        <w:t>)</w:t>
      </w:r>
      <w:r w:rsidR="00E72A43" w:rsidRPr="002D0186">
        <w:rPr>
          <w:rFonts w:cs="Arial"/>
          <w:szCs w:val="22"/>
        </w:rPr>
        <w:t>.</w:t>
      </w:r>
      <w:r w:rsidR="009C5AC9" w:rsidRPr="002D0186">
        <w:rPr>
          <w:rFonts w:cs="Arial"/>
          <w:szCs w:val="22"/>
        </w:rPr>
        <w:t xml:space="preserve"> These findings are not contradictory </w:t>
      </w:r>
      <w:r w:rsidR="005D60C3" w:rsidRPr="002D0186">
        <w:rPr>
          <w:rFonts w:cs="Arial"/>
          <w:szCs w:val="22"/>
        </w:rPr>
        <w:t>as suggested. T</w:t>
      </w:r>
      <w:r w:rsidR="009C5AC9" w:rsidRPr="002D0186">
        <w:rPr>
          <w:rFonts w:cs="Arial"/>
          <w:szCs w:val="22"/>
        </w:rPr>
        <w:t xml:space="preserve">here was no need for the </w:t>
      </w:r>
      <w:r w:rsidR="004E6890" w:rsidRPr="002D0186">
        <w:rPr>
          <w:rFonts w:cs="Arial"/>
          <w:szCs w:val="22"/>
        </w:rPr>
        <w:t>arbitrator</w:t>
      </w:r>
      <w:r w:rsidR="009C5AC9" w:rsidRPr="002D0186">
        <w:rPr>
          <w:rFonts w:cs="Arial"/>
          <w:szCs w:val="22"/>
        </w:rPr>
        <w:t xml:space="preserve"> to make a procedure ruling </w:t>
      </w:r>
      <w:r w:rsidR="005D60C3" w:rsidRPr="002D0186">
        <w:rPr>
          <w:rFonts w:cs="Arial"/>
          <w:szCs w:val="22"/>
        </w:rPr>
        <w:t>on the 8</w:t>
      </w:r>
      <w:r w:rsidR="005D60C3" w:rsidRPr="002D0186">
        <w:rPr>
          <w:rFonts w:cs="Arial"/>
          <w:szCs w:val="22"/>
          <w:vertAlign w:val="superscript"/>
        </w:rPr>
        <w:t>th</w:t>
      </w:r>
      <w:r w:rsidR="005D60C3" w:rsidRPr="002D0186">
        <w:rPr>
          <w:rFonts w:cs="Arial"/>
          <w:szCs w:val="22"/>
        </w:rPr>
        <w:t xml:space="preserve"> </w:t>
      </w:r>
      <w:r w:rsidR="009C5AC9" w:rsidRPr="002D0186">
        <w:rPr>
          <w:rFonts w:cs="Arial"/>
          <w:szCs w:val="22"/>
        </w:rPr>
        <w:t>because by then he had a formal application in his hands</w:t>
      </w:r>
      <w:r w:rsidR="005D60C3" w:rsidRPr="002D0186">
        <w:rPr>
          <w:rFonts w:cs="Arial"/>
          <w:szCs w:val="22"/>
        </w:rPr>
        <w:t xml:space="preserve"> and the formal application was heard on the 9th </w:t>
      </w:r>
      <w:r w:rsidR="009C5AC9" w:rsidRPr="002D0186">
        <w:rPr>
          <w:rFonts w:cs="Arial"/>
          <w:szCs w:val="22"/>
        </w:rPr>
        <w:t xml:space="preserve">. </w:t>
      </w:r>
    </w:p>
    <w:p w14:paraId="47B875A6" w14:textId="42E6E614" w:rsidR="006E2D72"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[22]</w:t>
      </w:r>
      <w:r w:rsidRPr="002D0186">
        <w:rPr>
          <w:rFonts w:cs="Arial"/>
          <w:bCs/>
          <w:szCs w:val="22"/>
        </w:rPr>
        <w:tab/>
      </w:r>
      <w:r w:rsidR="009C5AC9" w:rsidRPr="002D0186">
        <w:rPr>
          <w:rFonts w:cs="Arial"/>
          <w:szCs w:val="22"/>
        </w:rPr>
        <w:t xml:space="preserve">However, had the </w:t>
      </w:r>
      <w:r w:rsidR="004E6890" w:rsidRPr="002D0186">
        <w:rPr>
          <w:rFonts w:cs="Arial"/>
          <w:szCs w:val="22"/>
        </w:rPr>
        <w:t>arbitrator</w:t>
      </w:r>
      <w:r w:rsidR="009C5AC9" w:rsidRPr="002D0186">
        <w:rPr>
          <w:rFonts w:cs="Arial"/>
          <w:szCs w:val="22"/>
        </w:rPr>
        <w:t xml:space="preserve"> decided on reading a letter from a party that he should, in fact, recuse himself, he would have had to convey this opinion to both parties and section 13(1) of the Arbitration Act would have become relevant.</w:t>
      </w:r>
      <w:r w:rsidR="006E2D72" w:rsidRPr="002D0186">
        <w:rPr>
          <w:rFonts w:cs="Arial"/>
          <w:szCs w:val="22"/>
        </w:rPr>
        <w:t xml:space="preserve"> </w:t>
      </w:r>
      <w:r w:rsidR="006E2D72" w:rsidRPr="002D0186">
        <w:rPr>
          <w:rFonts w:cs="Arial"/>
          <w:bCs/>
          <w:szCs w:val="22"/>
        </w:rPr>
        <w:t xml:space="preserve">Had the arbitrator </w:t>
      </w:r>
      <w:r w:rsidR="00552DE9">
        <w:rPr>
          <w:rFonts w:cs="Arial"/>
          <w:bCs/>
          <w:szCs w:val="22"/>
        </w:rPr>
        <w:t xml:space="preserve">finally </w:t>
      </w:r>
      <w:r w:rsidR="006E2D72" w:rsidRPr="002D0186">
        <w:rPr>
          <w:rFonts w:cs="Arial"/>
          <w:bCs/>
          <w:szCs w:val="22"/>
        </w:rPr>
        <w:t>decided to recuse himself on the strength of the letter he may have been in breach of his duties to Ae</w:t>
      </w:r>
      <w:r w:rsidR="003007C7" w:rsidRPr="002D0186">
        <w:rPr>
          <w:rFonts w:cs="Arial"/>
          <w:bCs/>
          <w:szCs w:val="22"/>
        </w:rPr>
        <w:t>o</w:t>
      </w:r>
      <w:r w:rsidR="006E2D72" w:rsidRPr="002D0186">
        <w:rPr>
          <w:rFonts w:cs="Arial"/>
          <w:bCs/>
          <w:szCs w:val="22"/>
        </w:rPr>
        <w:t>nova.</w:t>
      </w:r>
      <w:r w:rsidR="006E2D72" w:rsidRPr="002D0186">
        <w:rPr>
          <w:rStyle w:val="FootnoteReference"/>
          <w:rFonts w:cs="Arial"/>
          <w:bCs/>
          <w:szCs w:val="22"/>
        </w:rPr>
        <w:footnoteReference w:id="23"/>
      </w:r>
    </w:p>
    <w:p w14:paraId="5A822C45" w14:textId="0A8635C1" w:rsidR="00E949EF" w:rsidRPr="002D0186" w:rsidRDefault="00E949EF" w:rsidP="00E610A5">
      <w:pPr>
        <w:widowControl w:val="0"/>
        <w:spacing w:before="480" w:after="480" w:line="360" w:lineRule="auto"/>
        <w:jc w:val="both"/>
        <w:rPr>
          <w:rFonts w:cs="Arial"/>
          <w:bCs/>
          <w:szCs w:val="22"/>
        </w:rPr>
      </w:pPr>
    </w:p>
    <w:p w14:paraId="03A30B17" w14:textId="77777777" w:rsidR="00552DE9" w:rsidRDefault="00552DE9" w:rsidP="00504E0F">
      <w:pPr>
        <w:widowControl w:val="0"/>
        <w:spacing w:before="480" w:after="480" w:line="360" w:lineRule="auto"/>
        <w:jc w:val="both"/>
        <w:rPr>
          <w:rFonts w:cs="Arial"/>
          <w:bCs/>
          <w:szCs w:val="22"/>
          <w:u w:val="single"/>
        </w:rPr>
      </w:pPr>
    </w:p>
    <w:p w14:paraId="0CB8F0EE" w14:textId="745BDFBB" w:rsidR="00504E0F" w:rsidRPr="002D0186" w:rsidRDefault="00504E0F" w:rsidP="00504E0F">
      <w:pPr>
        <w:widowControl w:val="0"/>
        <w:spacing w:before="480" w:after="480" w:line="360" w:lineRule="auto"/>
        <w:jc w:val="both"/>
        <w:rPr>
          <w:rFonts w:cs="Arial"/>
          <w:bCs/>
          <w:szCs w:val="22"/>
          <w:u w:val="single"/>
        </w:rPr>
      </w:pPr>
      <w:r w:rsidRPr="002D0186">
        <w:rPr>
          <w:rFonts w:cs="Arial"/>
          <w:bCs/>
          <w:szCs w:val="22"/>
          <w:u w:val="single"/>
        </w:rPr>
        <w:lastRenderedPageBreak/>
        <w:t>The failure to adjudicate the fifth ground of recusal</w:t>
      </w:r>
    </w:p>
    <w:p w14:paraId="4D9E4298" w14:textId="73F96D66" w:rsidR="003973CA"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[23]</w:t>
      </w:r>
      <w:r w:rsidRPr="002D0186">
        <w:rPr>
          <w:rFonts w:cs="Arial"/>
          <w:bCs/>
          <w:szCs w:val="22"/>
        </w:rPr>
        <w:tab/>
      </w:r>
      <w:r w:rsidR="00504E0F" w:rsidRPr="002D0186">
        <w:rPr>
          <w:rFonts w:cs="Arial"/>
          <w:bCs/>
          <w:szCs w:val="22"/>
        </w:rPr>
        <w:t xml:space="preserve">Altech initiated a series of events on 6 March 2023 with a formal request that the </w:t>
      </w:r>
      <w:r w:rsidR="004E6890" w:rsidRPr="002D0186">
        <w:rPr>
          <w:rFonts w:cs="Arial"/>
          <w:bCs/>
          <w:szCs w:val="22"/>
        </w:rPr>
        <w:t>arbitrator</w:t>
      </w:r>
      <w:r w:rsidR="00504E0F" w:rsidRPr="002D0186">
        <w:rPr>
          <w:rFonts w:cs="Arial"/>
          <w:bCs/>
          <w:szCs w:val="22"/>
        </w:rPr>
        <w:t xml:space="preserve"> recuse himself or disclose Altech’s position </w:t>
      </w:r>
      <w:r w:rsidR="005D1AFD" w:rsidRPr="002D0186">
        <w:rPr>
          <w:rFonts w:cs="Arial"/>
          <w:bCs/>
          <w:szCs w:val="22"/>
        </w:rPr>
        <w:t xml:space="preserve">that he should do so </w:t>
      </w:r>
      <w:r w:rsidR="00504E0F" w:rsidRPr="002D0186">
        <w:rPr>
          <w:rFonts w:cs="Arial"/>
          <w:bCs/>
          <w:szCs w:val="22"/>
        </w:rPr>
        <w:t>to the AFSA Secretariat. Altech then realised that a formal application was required</w:t>
      </w:r>
      <w:r w:rsidR="003973CA" w:rsidRPr="002D0186">
        <w:rPr>
          <w:rFonts w:cs="Arial"/>
          <w:bCs/>
          <w:szCs w:val="22"/>
        </w:rPr>
        <w:t xml:space="preserve"> and before any response was received, delivered a formal application for recusal on 8 March 2023. The </w:t>
      </w:r>
      <w:r w:rsidR="004E6890" w:rsidRPr="002D0186">
        <w:rPr>
          <w:rFonts w:cs="Arial"/>
          <w:bCs/>
          <w:szCs w:val="22"/>
        </w:rPr>
        <w:t>arbitrator</w:t>
      </w:r>
      <w:r w:rsidR="003973CA" w:rsidRPr="002D0186">
        <w:rPr>
          <w:rFonts w:cs="Arial"/>
          <w:bCs/>
          <w:szCs w:val="22"/>
        </w:rPr>
        <w:t xml:space="preserve"> responded on the same day, stating that if he had decided to recuse himself upon receipt of the first email, he would have done so already (which of course implies that he had not decided to recuse himself in response to the email) but that </w:t>
      </w:r>
      <w:r w:rsidR="003973CA" w:rsidRPr="002D0186">
        <w:rPr>
          <w:rFonts w:cs="Arial"/>
          <w:bCs/>
          <w:i/>
          <w:iCs/>
          <w:szCs w:val="22"/>
        </w:rPr>
        <w:t>“events have obviously overtaken us.”</w:t>
      </w:r>
    </w:p>
    <w:p w14:paraId="036B0BE8" w14:textId="31931E2D" w:rsidR="009D0E35"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[24]</w:t>
      </w:r>
      <w:r w:rsidRPr="002D0186">
        <w:rPr>
          <w:rFonts w:cs="Arial"/>
          <w:bCs/>
          <w:szCs w:val="22"/>
        </w:rPr>
        <w:tab/>
      </w:r>
      <w:r w:rsidR="006A34C4" w:rsidRPr="002D0186">
        <w:rPr>
          <w:rFonts w:cs="Arial"/>
          <w:bCs/>
          <w:szCs w:val="22"/>
        </w:rPr>
        <w:t xml:space="preserve">It is instructive to note that Altech argues that it </w:t>
      </w:r>
      <w:r w:rsidR="006A34C4" w:rsidRPr="002D0186">
        <w:rPr>
          <w:rFonts w:cs="Arial"/>
          <w:bCs/>
          <w:i/>
          <w:iCs/>
          <w:szCs w:val="22"/>
        </w:rPr>
        <w:t>“understood the response to mean”</w:t>
      </w:r>
      <w:r w:rsidR="006A34C4" w:rsidRPr="002D0186">
        <w:rPr>
          <w:rFonts w:cs="Arial"/>
          <w:bCs/>
          <w:szCs w:val="22"/>
        </w:rPr>
        <w:t xml:space="preserve"> that the arbitrator </w:t>
      </w:r>
      <w:r w:rsidR="006A34C4" w:rsidRPr="002D0186">
        <w:rPr>
          <w:rFonts w:cs="Arial"/>
          <w:bCs/>
          <w:i/>
          <w:iCs/>
          <w:szCs w:val="22"/>
        </w:rPr>
        <w:t>“would not recuse himself, irrespective of what arguments it wished to advance on the subject.”</w:t>
      </w:r>
      <w:r w:rsidR="006A34C4" w:rsidRPr="002D0186">
        <w:rPr>
          <w:rStyle w:val="FootnoteReference"/>
          <w:rFonts w:cs="Arial"/>
          <w:bCs/>
          <w:i/>
          <w:iCs/>
          <w:szCs w:val="22"/>
        </w:rPr>
        <w:footnoteReference w:id="24"/>
      </w:r>
      <w:r w:rsidR="00D266AB" w:rsidRPr="002D0186">
        <w:rPr>
          <w:rFonts w:cs="Arial"/>
          <w:bCs/>
          <w:i/>
          <w:iCs/>
          <w:szCs w:val="22"/>
        </w:rPr>
        <w:t xml:space="preserve"> </w:t>
      </w:r>
    </w:p>
    <w:p w14:paraId="72F3D8CA" w14:textId="7A127804" w:rsidR="00E610A5"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[25]</w:t>
      </w:r>
      <w:r w:rsidRPr="002D0186">
        <w:rPr>
          <w:rFonts w:cs="Arial"/>
          <w:bCs/>
          <w:szCs w:val="22"/>
        </w:rPr>
        <w:tab/>
      </w:r>
      <w:r w:rsidR="00E610A5" w:rsidRPr="002D0186">
        <w:rPr>
          <w:rFonts w:cs="Arial"/>
          <w:bCs/>
          <w:szCs w:val="22"/>
        </w:rPr>
        <w:t>The reasonable reader would not read the response to the letter of 6 March 2023 as a dismissal of an application for recusal, especially when</w:t>
      </w:r>
      <w:r w:rsidR="00B5634B" w:rsidRPr="002D0186">
        <w:rPr>
          <w:rFonts w:cs="Arial"/>
          <w:bCs/>
          <w:szCs w:val="22"/>
        </w:rPr>
        <w:t xml:space="preserve"> its own view was that</w:t>
      </w:r>
      <w:r w:rsidR="00E610A5" w:rsidRPr="002D0186">
        <w:rPr>
          <w:rFonts w:cs="Arial"/>
          <w:bCs/>
          <w:szCs w:val="22"/>
        </w:rPr>
        <w:t xml:space="preserve"> a formal application</w:t>
      </w:r>
      <w:r w:rsidR="00B5634B" w:rsidRPr="002D0186">
        <w:rPr>
          <w:rFonts w:cs="Arial"/>
          <w:bCs/>
          <w:szCs w:val="22"/>
        </w:rPr>
        <w:t xml:space="preserve"> was or might be required, and such an application had</w:t>
      </w:r>
      <w:r w:rsidR="00E610A5" w:rsidRPr="002D0186">
        <w:rPr>
          <w:rFonts w:cs="Arial"/>
          <w:bCs/>
          <w:szCs w:val="22"/>
        </w:rPr>
        <w:t xml:space="preserve"> been delivered </w:t>
      </w:r>
      <w:r w:rsidR="00B5634B" w:rsidRPr="002D0186">
        <w:rPr>
          <w:rFonts w:cs="Arial"/>
          <w:bCs/>
          <w:szCs w:val="22"/>
        </w:rPr>
        <w:t>and not</w:t>
      </w:r>
      <w:r w:rsidR="003007C7" w:rsidRPr="002D0186">
        <w:rPr>
          <w:rFonts w:cs="Arial"/>
          <w:bCs/>
          <w:szCs w:val="22"/>
        </w:rPr>
        <w:t xml:space="preserve"> yet</w:t>
      </w:r>
      <w:r w:rsidR="00B5634B" w:rsidRPr="002D0186">
        <w:rPr>
          <w:rFonts w:cs="Arial"/>
          <w:bCs/>
          <w:szCs w:val="22"/>
        </w:rPr>
        <w:t xml:space="preserve"> been </w:t>
      </w:r>
      <w:r w:rsidR="00E610A5" w:rsidRPr="002D0186">
        <w:rPr>
          <w:rFonts w:cs="Arial"/>
          <w:bCs/>
          <w:szCs w:val="22"/>
        </w:rPr>
        <w:t>responded to. The reasonable reader, if not sure of the import of the 8 March email, would perhaps make enquiries on the 8</w:t>
      </w:r>
      <w:r w:rsidR="00E610A5" w:rsidRPr="002D0186">
        <w:rPr>
          <w:rFonts w:cs="Arial"/>
          <w:bCs/>
          <w:szCs w:val="22"/>
          <w:vertAlign w:val="superscript"/>
        </w:rPr>
        <w:t>th</w:t>
      </w:r>
      <w:r w:rsidR="00E610A5" w:rsidRPr="002D0186">
        <w:rPr>
          <w:rFonts w:cs="Arial"/>
          <w:bCs/>
          <w:szCs w:val="22"/>
        </w:rPr>
        <w:t xml:space="preserve"> and then attend the hearing scheduled for the 9</w:t>
      </w:r>
      <w:r w:rsidR="00E610A5" w:rsidRPr="002D0186">
        <w:rPr>
          <w:rFonts w:cs="Arial"/>
          <w:bCs/>
          <w:szCs w:val="22"/>
          <w:vertAlign w:val="superscript"/>
        </w:rPr>
        <w:t>th</w:t>
      </w:r>
      <w:r w:rsidR="00E610A5" w:rsidRPr="002D0186">
        <w:rPr>
          <w:rFonts w:cs="Arial"/>
          <w:bCs/>
          <w:szCs w:val="22"/>
        </w:rPr>
        <w:t xml:space="preserve"> in the expectation that any uncertainty </w:t>
      </w:r>
      <w:r w:rsidR="0021262A" w:rsidRPr="002D0186">
        <w:rPr>
          <w:rFonts w:cs="Arial"/>
          <w:bCs/>
          <w:szCs w:val="22"/>
        </w:rPr>
        <w:t>might</w:t>
      </w:r>
      <w:r w:rsidR="00E610A5" w:rsidRPr="002D0186">
        <w:rPr>
          <w:rFonts w:cs="Arial"/>
          <w:bCs/>
          <w:szCs w:val="22"/>
        </w:rPr>
        <w:t xml:space="preserve"> be clarified at the hearing. What the reasonable reader would not do, is irrevocably assume (without making further enquiries on the 8</w:t>
      </w:r>
      <w:r w:rsidR="00E610A5" w:rsidRPr="002D0186">
        <w:rPr>
          <w:rFonts w:cs="Arial"/>
          <w:bCs/>
          <w:szCs w:val="22"/>
          <w:vertAlign w:val="superscript"/>
        </w:rPr>
        <w:t>th</w:t>
      </w:r>
      <w:r w:rsidR="00E610A5" w:rsidRPr="002D0186">
        <w:rPr>
          <w:rFonts w:cs="Arial"/>
          <w:bCs/>
          <w:szCs w:val="22"/>
        </w:rPr>
        <w:t xml:space="preserve"> or attending the hearing on the 9</w:t>
      </w:r>
      <w:r w:rsidR="00E610A5" w:rsidRPr="002D0186">
        <w:rPr>
          <w:rFonts w:cs="Arial"/>
          <w:bCs/>
          <w:szCs w:val="22"/>
          <w:vertAlign w:val="superscript"/>
        </w:rPr>
        <w:t>th</w:t>
      </w:r>
      <w:r w:rsidR="00E610A5" w:rsidRPr="002D0186">
        <w:rPr>
          <w:rFonts w:cs="Arial"/>
          <w:bCs/>
          <w:szCs w:val="22"/>
        </w:rPr>
        <w:t xml:space="preserve"> to see what transpired) that its application had been finally dismissed on the 8</w:t>
      </w:r>
      <w:r w:rsidR="00E610A5" w:rsidRPr="002D0186">
        <w:rPr>
          <w:rFonts w:cs="Arial"/>
          <w:bCs/>
          <w:szCs w:val="22"/>
          <w:vertAlign w:val="superscript"/>
        </w:rPr>
        <w:t>th</w:t>
      </w:r>
      <w:r w:rsidR="00E610A5" w:rsidRPr="002D0186">
        <w:rPr>
          <w:rFonts w:cs="Arial"/>
          <w:bCs/>
          <w:szCs w:val="22"/>
        </w:rPr>
        <w:t xml:space="preserve">. </w:t>
      </w:r>
    </w:p>
    <w:p w14:paraId="4C241573" w14:textId="7C9EFB0F" w:rsidR="009D0E35"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[26]</w:t>
      </w:r>
      <w:r w:rsidRPr="002D0186">
        <w:rPr>
          <w:rFonts w:cs="Arial"/>
          <w:bCs/>
          <w:szCs w:val="22"/>
        </w:rPr>
        <w:tab/>
      </w:r>
      <w:r w:rsidR="009D0E35" w:rsidRPr="002D0186">
        <w:rPr>
          <w:rFonts w:cs="Arial"/>
          <w:bCs/>
          <w:szCs w:val="22"/>
        </w:rPr>
        <w:t xml:space="preserve">The allegation of bias is made on the strength of what Altech understood. </w:t>
      </w:r>
      <w:r w:rsidR="00D266AB" w:rsidRPr="002D0186">
        <w:rPr>
          <w:rFonts w:cs="Arial"/>
          <w:bCs/>
          <w:szCs w:val="22"/>
        </w:rPr>
        <w:t>It is clear that Altech’s understanding of the response is different from what the response actually says.</w:t>
      </w:r>
      <w:r w:rsidR="00D266AB" w:rsidRPr="002D0186">
        <w:rPr>
          <w:rStyle w:val="FootnoteReference"/>
          <w:rFonts w:cs="Arial"/>
          <w:bCs/>
          <w:szCs w:val="22"/>
        </w:rPr>
        <w:footnoteReference w:id="25"/>
      </w:r>
      <w:r w:rsidR="00D266AB" w:rsidRPr="002D0186">
        <w:rPr>
          <w:rFonts w:cs="Arial"/>
          <w:bCs/>
          <w:szCs w:val="22"/>
        </w:rPr>
        <w:t xml:space="preserve"> The response refers to the past, to the correspondence of the 6</w:t>
      </w:r>
      <w:r w:rsidR="00D266AB" w:rsidRPr="002D0186">
        <w:rPr>
          <w:rFonts w:cs="Arial"/>
          <w:bCs/>
          <w:szCs w:val="22"/>
          <w:vertAlign w:val="superscript"/>
        </w:rPr>
        <w:t>th</w:t>
      </w:r>
      <w:r w:rsidR="00D266AB" w:rsidRPr="002D0186">
        <w:rPr>
          <w:rFonts w:cs="Arial"/>
          <w:bCs/>
          <w:szCs w:val="22"/>
        </w:rPr>
        <w:t>; Altech’s understanding refers to the future, and was that the arbitrator would not now or in the future recuse himself, and he would not do so irrespective of arguments</w:t>
      </w:r>
      <w:r w:rsidR="00E610A5" w:rsidRPr="002D0186">
        <w:rPr>
          <w:rFonts w:cs="Arial"/>
          <w:bCs/>
          <w:szCs w:val="22"/>
        </w:rPr>
        <w:t>.</w:t>
      </w:r>
    </w:p>
    <w:p w14:paraId="18A44C67" w14:textId="59F73AFE" w:rsidR="00984FA7"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[27]</w:t>
      </w:r>
      <w:r w:rsidRPr="002D0186">
        <w:rPr>
          <w:rFonts w:cs="Arial"/>
          <w:bCs/>
          <w:szCs w:val="22"/>
        </w:rPr>
        <w:tab/>
      </w:r>
      <w:r w:rsidR="00D266AB" w:rsidRPr="002D0186">
        <w:rPr>
          <w:rFonts w:cs="Arial"/>
          <w:bCs/>
          <w:szCs w:val="22"/>
        </w:rPr>
        <w:t>Misunderstandings are of course common, and often quite innocent and understandable.</w:t>
      </w:r>
      <w:r w:rsidR="00516848" w:rsidRPr="002D0186">
        <w:rPr>
          <w:rFonts w:cs="Arial"/>
          <w:bCs/>
          <w:szCs w:val="22"/>
        </w:rPr>
        <w:t xml:space="preserve"> Language is an imprecise tool.</w:t>
      </w:r>
      <w:r w:rsidR="009D0E35" w:rsidRPr="002D0186">
        <w:rPr>
          <w:rFonts w:cs="Arial"/>
          <w:bCs/>
          <w:szCs w:val="22"/>
        </w:rPr>
        <w:t xml:space="preserve"> A misunderstanding can not be equated </w:t>
      </w:r>
      <w:r w:rsidR="009D0E35" w:rsidRPr="002D0186">
        <w:rPr>
          <w:rFonts w:cs="Arial"/>
          <w:bCs/>
          <w:szCs w:val="22"/>
        </w:rPr>
        <w:lastRenderedPageBreak/>
        <w:t>with bias.</w:t>
      </w:r>
      <w:r w:rsidR="005B1382" w:rsidRPr="002D0186">
        <w:rPr>
          <w:rFonts w:cs="Arial"/>
          <w:bCs/>
          <w:szCs w:val="22"/>
        </w:rPr>
        <w:t xml:space="preserve"> </w:t>
      </w:r>
      <w:r w:rsidR="003973CA" w:rsidRPr="002D0186">
        <w:rPr>
          <w:rFonts w:cs="Arial"/>
          <w:bCs/>
          <w:szCs w:val="22"/>
        </w:rPr>
        <w:t xml:space="preserve">It is for this reason that events the next day are important. If the </w:t>
      </w:r>
      <w:r w:rsidR="004E6890" w:rsidRPr="002D0186">
        <w:rPr>
          <w:rFonts w:cs="Arial"/>
          <w:bCs/>
          <w:szCs w:val="22"/>
        </w:rPr>
        <w:t>arbitrator</w:t>
      </w:r>
      <w:r w:rsidR="003973CA" w:rsidRPr="002D0186">
        <w:rPr>
          <w:rFonts w:cs="Arial"/>
          <w:bCs/>
          <w:szCs w:val="22"/>
        </w:rPr>
        <w:t xml:space="preserve"> </w:t>
      </w:r>
      <w:r w:rsidR="00552DE9">
        <w:rPr>
          <w:rFonts w:cs="Arial"/>
          <w:bCs/>
          <w:szCs w:val="22"/>
        </w:rPr>
        <w:t>were</w:t>
      </w:r>
      <w:r w:rsidR="003973CA" w:rsidRPr="002D0186">
        <w:rPr>
          <w:rFonts w:cs="Arial"/>
          <w:bCs/>
          <w:szCs w:val="22"/>
        </w:rPr>
        <w:t xml:space="preserve"> of the view that he had considered and </w:t>
      </w:r>
      <w:r w:rsidR="00B5634B" w:rsidRPr="002D0186">
        <w:rPr>
          <w:rFonts w:cs="Arial"/>
          <w:bCs/>
          <w:szCs w:val="22"/>
        </w:rPr>
        <w:t>dismissed</w:t>
      </w:r>
      <w:r w:rsidR="003973CA" w:rsidRPr="002D0186">
        <w:rPr>
          <w:rFonts w:cs="Arial"/>
          <w:bCs/>
          <w:szCs w:val="22"/>
        </w:rPr>
        <w:t xml:space="preserve"> an application for his recusal, there would have been no need to hear argument on the issue on 9 March 2023.</w:t>
      </w:r>
      <w:r w:rsidR="009A6AA9" w:rsidRPr="002D0186">
        <w:rPr>
          <w:rFonts w:cs="Arial"/>
          <w:bCs/>
          <w:szCs w:val="22"/>
        </w:rPr>
        <w:t xml:space="preserve"> </w:t>
      </w:r>
      <w:r w:rsidR="00984FA7" w:rsidRPr="002D0186">
        <w:rPr>
          <w:rFonts w:cs="Arial"/>
          <w:bCs/>
          <w:szCs w:val="22"/>
        </w:rPr>
        <w:t>He could merely have referred to his ruling dismissing an application for his recusal as a past event.</w:t>
      </w:r>
    </w:p>
    <w:p w14:paraId="1B1E8CDB" w14:textId="7DDB1D12" w:rsidR="007F1350"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[28]</w:t>
      </w:r>
      <w:r w:rsidRPr="002D0186">
        <w:rPr>
          <w:rFonts w:cs="Arial"/>
          <w:bCs/>
          <w:szCs w:val="22"/>
        </w:rPr>
        <w:tab/>
      </w:r>
      <w:r w:rsidR="009A6AA9" w:rsidRPr="002D0186">
        <w:rPr>
          <w:rFonts w:cs="Arial"/>
          <w:bCs/>
          <w:szCs w:val="22"/>
        </w:rPr>
        <w:t xml:space="preserve">The </w:t>
      </w:r>
      <w:r w:rsidR="004E6890" w:rsidRPr="002D0186">
        <w:rPr>
          <w:rFonts w:cs="Arial"/>
          <w:bCs/>
          <w:szCs w:val="22"/>
        </w:rPr>
        <w:t>arbitrator</w:t>
      </w:r>
      <w:r w:rsidR="009A6AA9" w:rsidRPr="002D0186">
        <w:rPr>
          <w:rFonts w:cs="Arial"/>
          <w:bCs/>
          <w:szCs w:val="22"/>
        </w:rPr>
        <w:t xml:space="preserve"> however ruled that the application for his recusal be dealt with first, and proceeded to do so.</w:t>
      </w:r>
      <w:r w:rsidR="009A6AA9" w:rsidRPr="002D0186">
        <w:rPr>
          <w:rStyle w:val="FootnoteReference"/>
          <w:rFonts w:cs="Arial"/>
          <w:bCs/>
          <w:szCs w:val="22"/>
        </w:rPr>
        <w:footnoteReference w:id="26"/>
      </w:r>
      <w:r w:rsidR="003973CA" w:rsidRPr="002D0186">
        <w:rPr>
          <w:rFonts w:cs="Arial"/>
          <w:bCs/>
          <w:szCs w:val="22"/>
        </w:rPr>
        <w:t xml:space="preserve"> </w:t>
      </w:r>
      <w:r w:rsidR="00D818F5" w:rsidRPr="002D0186">
        <w:rPr>
          <w:rFonts w:cs="Arial"/>
          <w:bCs/>
          <w:szCs w:val="22"/>
        </w:rPr>
        <w:t xml:space="preserve">The recusal application was fully argued. </w:t>
      </w:r>
      <w:r w:rsidR="007F1350" w:rsidRPr="002D0186">
        <w:rPr>
          <w:rFonts w:cs="Arial"/>
          <w:bCs/>
          <w:szCs w:val="22"/>
        </w:rPr>
        <w:t xml:space="preserve">The </w:t>
      </w:r>
      <w:r w:rsidR="004E6890" w:rsidRPr="002D0186">
        <w:rPr>
          <w:rFonts w:cs="Arial"/>
          <w:bCs/>
          <w:szCs w:val="22"/>
        </w:rPr>
        <w:t>arbitrator</w:t>
      </w:r>
      <w:r w:rsidR="007F1350" w:rsidRPr="002D0186">
        <w:rPr>
          <w:rFonts w:cs="Arial"/>
          <w:bCs/>
          <w:szCs w:val="22"/>
        </w:rPr>
        <w:t xml:space="preserve"> by his conduct on the 9</w:t>
      </w:r>
      <w:r w:rsidR="007F1350" w:rsidRPr="002D0186">
        <w:rPr>
          <w:rFonts w:cs="Arial"/>
          <w:bCs/>
          <w:szCs w:val="22"/>
          <w:vertAlign w:val="superscript"/>
        </w:rPr>
        <w:t>th</w:t>
      </w:r>
      <w:r w:rsidR="007F1350" w:rsidRPr="002D0186">
        <w:rPr>
          <w:rFonts w:cs="Arial"/>
          <w:bCs/>
          <w:szCs w:val="22"/>
        </w:rPr>
        <w:t xml:space="preserve"> refute</w:t>
      </w:r>
      <w:r w:rsidR="00E610A5" w:rsidRPr="002D0186">
        <w:rPr>
          <w:rFonts w:cs="Arial"/>
          <w:bCs/>
          <w:szCs w:val="22"/>
        </w:rPr>
        <w:t>d</w:t>
      </w:r>
      <w:r w:rsidR="007F1350" w:rsidRPr="002D0186">
        <w:rPr>
          <w:rFonts w:cs="Arial"/>
          <w:bCs/>
          <w:szCs w:val="22"/>
        </w:rPr>
        <w:t xml:space="preserve"> the averment that he had decided the recusal application on the strength of the email of the 6</w:t>
      </w:r>
      <w:r w:rsidR="007F1350" w:rsidRPr="002D0186">
        <w:rPr>
          <w:rFonts w:cs="Arial"/>
          <w:bCs/>
          <w:szCs w:val="22"/>
          <w:vertAlign w:val="superscript"/>
        </w:rPr>
        <w:t>th</w:t>
      </w:r>
      <w:r w:rsidR="007F1350" w:rsidRPr="002D0186">
        <w:rPr>
          <w:rFonts w:cs="Arial"/>
          <w:bCs/>
          <w:szCs w:val="22"/>
        </w:rPr>
        <w:t>.</w:t>
      </w:r>
    </w:p>
    <w:p w14:paraId="7894C38C" w14:textId="446550D7" w:rsidR="009D40CB"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[29]</w:t>
      </w:r>
      <w:r w:rsidRPr="002D0186">
        <w:rPr>
          <w:rFonts w:cs="Arial"/>
          <w:bCs/>
          <w:szCs w:val="22"/>
        </w:rPr>
        <w:tab/>
      </w:r>
      <w:r w:rsidR="009D40CB" w:rsidRPr="002D0186">
        <w:rPr>
          <w:rFonts w:cs="Arial"/>
          <w:bCs/>
          <w:szCs w:val="22"/>
        </w:rPr>
        <w:t>In</w:t>
      </w:r>
      <w:r w:rsidR="009D40CB" w:rsidRPr="002D0186">
        <w:rPr>
          <w:rFonts w:cs="Arial"/>
          <w:i/>
          <w:iCs/>
          <w:szCs w:val="22"/>
        </w:rPr>
        <w:t xml:space="preserve"> Umgeni Water v Hollis NO and Another</w:t>
      </w:r>
      <w:r w:rsidR="009D40CB" w:rsidRPr="002D0186">
        <w:rPr>
          <w:rFonts w:cs="Arial"/>
          <w:bCs/>
          <w:szCs w:val="22"/>
        </w:rPr>
        <w:t>,</w:t>
      </w:r>
      <w:r w:rsidR="009D40CB" w:rsidRPr="002D0186">
        <w:rPr>
          <w:rStyle w:val="FootnoteReference"/>
          <w:rFonts w:cs="Arial"/>
          <w:bCs/>
          <w:szCs w:val="22"/>
        </w:rPr>
        <w:footnoteReference w:id="27"/>
      </w:r>
      <w:r w:rsidR="009D40CB" w:rsidRPr="002D0186">
        <w:rPr>
          <w:rFonts w:cs="Arial"/>
          <w:bCs/>
          <w:szCs w:val="22"/>
        </w:rPr>
        <w:t xml:space="preserve"> Van Zyl J said:</w:t>
      </w:r>
    </w:p>
    <w:p w14:paraId="7E1EB9B5" w14:textId="77777777" w:rsidR="009D40CB" w:rsidRPr="002D0186" w:rsidRDefault="009D40CB" w:rsidP="009D40CB">
      <w:pPr>
        <w:spacing w:line="360" w:lineRule="auto"/>
        <w:ind w:left="720"/>
        <w:jc w:val="both"/>
        <w:rPr>
          <w:rFonts w:cs="Arial"/>
          <w:i/>
          <w:iCs/>
          <w:szCs w:val="22"/>
        </w:rPr>
      </w:pPr>
      <w:r w:rsidRPr="002D0186">
        <w:rPr>
          <w:rFonts w:cs="Arial"/>
          <w:i/>
          <w:iCs/>
          <w:szCs w:val="22"/>
        </w:rPr>
        <w:t>“[42] There needs to be a certain tolerance for the hurly-burly to be found in the course of litigation and trial hearings. Where they are arbitration proceedings and the foundational agreement, as here, by prior agreement between the parties requires expedition at the expense of procedural precision, then the ultimate question is not whether one agrees with every unguarded utterance by the arbitrator, or every ruling he made in the course of the proceedings. It is rather whether the proceedings, viewed holistically, may be considered substantially fair.</w:t>
      </w:r>
    </w:p>
    <w:p w14:paraId="7BC74BA9" w14:textId="77777777" w:rsidR="009D40CB" w:rsidRPr="002D0186" w:rsidRDefault="009D40CB" w:rsidP="009D40CB">
      <w:pPr>
        <w:widowControl w:val="0"/>
        <w:spacing w:before="480" w:after="480" w:line="360" w:lineRule="auto"/>
        <w:ind w:left="720"/>
        <w:jc w:val="both"/>
        <w:rPr>
          <w:rFonts w:cs="Arial"/>
          <w:i/>
          <w:iCs/>
          <w:szCs w:val="22"/>
        </w:rPr>
      </w:pPr>
      <w:r w:rsidRPr="002D0186">
        <w:rPr>
          <w:rFonts w:cs="Arial"/>
          <w:i/>
          <w:iCs/>
          <w:szCs w:val="22"/>
        </w:rPr>
        <w:t>[43] In the context of the present matter the further question arising is  whether, again viewed holistically, the applicant, upon whom the burden of proof rests, has objectively demonstrated on a preponderance of probabilities that the proceedings gave rise to the perception of bias. In other words, whether a reasonable, objectively informed person would, on the facts demonstrated and relied upon by the applicant, reasonably apprehend that the first respondent has not brought, or will not bring, an unbiased mind to bear upon the adjudication of the arbitration. Put differently, that he is not likely to approach such proceedings with a mind open to persuasion by the facts and submissions to be placed before him in due course.”</w:t>
      </w:r>
    </w:p>
    <w:p w14:paraId="27AE9CCA" w14:textId="77777777" w:rsidR="009D40CB" w:rsidRPr="002D0186" w:rsidRDefault="009D40CB" w:rsidP="009D40CB">
      <w:pPr>
        <w:autoSpaceDE w:val="0"/>
        <w:autoSpaceDN w:val="0"/>
        <w:adjustRightInd w:val="0"/>
        <w:spacing w:line="360" w:lineRule="auto"/>
        <w:ind w:left="720"/>
        <w:jc w:val="both"/>
        <w:rPr>
          <w:rFonts w:cs="Arial"/>
          <w:bCs/>
          <w:i/>
          <w:iCs/>
          <w:szCs w:val="22"/>
        </w:rPr>
      </w:pPr>
      <w:r w:rsidRPr="002D0186">
        <w:rPr>
          <w:rFonts w:cs="Arial"/>
          <w:i/>
          <w:iCs/>
          <w:szCs w:val="22"/>
          <w:lang w:eastAsia="en-ZA"/>
        </w:rPr>
        <w:t>[44] As pointed out by Wallis J in the Ndlovu</w:t>
      </w:r>
      <w:r w:rsidRPr="002D0186">
        <w:rPr>
          <w:rStyle w:val="FootnoteReference"/>
          <w:rFonts w:cs="Arial"/>
          <w:bCs/>
          <w:i/>
          <w:iCs/>
          <w:szCs w:val="22"/>
        </w:rPr>
        <w:footnoteReference w:id="28"/>
      </w:r>
      <w:r w:rsidRPr="002D0186">
        <w:rPr>
          <w:rFonts w:cs="Arial"/>
          <w:i/>
          <w:iCs/>
          <w:szCs w:val="22"/>
          <w:lang w:eastAsia="en-ZA"/>
        </w:rPr>
        <w:t xml:space="preserve"> matter supra in para 21, there are further factors also of importance in the circumstances. These include the so-</w:t>
      </w:r>
      <w:r w:rsidRPr="002D0186">
        <w:rPr>
          <w:rFonts w:cs="Arial"/>
          <w:i/>
          <w:iCs/>
          <w:szCs w:val="22"/>
          <w:lang w:eastAsia="en-ZA"/>
        </w:rPr>
        <w:lastRenderedPageBreak/>
        <w:t>called double requirement of reasonableness. Not only does the applicant need to demonstrate that it reasonably apprehends bias on the part of the first respondent, but it also needs to show that such apprehension itself is reasonable.”</w:t>
      </w:r>
    </w:p>
    <w:p w14:paraId="25AE51CE" w14:textId="129A4C14" w:rsidR="00E610A5"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[30]</w:t>
      </w:r>
      <w:r w:rsidRPr="002D0186">
        <w:rPr>
          <w:rFonts w:cs="Arial"/>
          <w:bCs/>
          <w:szCs w:val="22"/>
        </w:rPr>
        <w:tab/>
      </w:r>
      <w:r w:rsidR="00E610A5" w:rsidRPr="002D0186">
        <w:rPr>
          <w:rFonts w:cs="Arial"/>
          <w:bCs/>
          <w:szCs w:val="22"/>
        </w:rPr>
        <w:t xml:space="preserve">Altech did not </w:t>
      </w:r>
      <w:r w:rsidR="00E610A5" w:rsidRPr="002D0186">
        <w:rPr>
          <w:rFonts w:cs="Arial"/>
          <w:szCs w:val="22"/>
        </w:rPr>
        <w:t>demonstrate that it reasonably apprehended bias or that such apprehension itself was reasonable.</w:t>
      </w:r>
      <w:r w:rsidR="00E610A5" w:rsidRPr="002D0186">
        <w:rPr>
          <w:rStyle w:val="FootnoteReference"/>
          <w:rFonts w:cs="Arial"/>
          <w:bCs/>
          <w:szCs w:val="22"/>
        </w:rPr>
        <w:footnoteReference w:id="29"/>
      </w:r>
    </w:p>
    <w:p w14:paraId="431287AE" w14:textId="322A0F50" w:rsidR="005B1382" w:rsidRPr="002D0186" w:rsidRDefault="00615E41" w:rsidP="00615E41">
      <w:pPr>
        <w:widowControl w:val="0"/>
        <w:tabs>
          <w:tab w:val="left" w:pos="567"/>
        </w:tabs>
        <w:autoSpaceDE w:val="0"/>
        <w:autoSpaceDN w:val="0"/>
        <w:adjustRightInd w:val="0"/>
        <w:spacing w:before="480" w:after="480" w:line="360" w:lineRule="auto"/>
        <w:jc w:val="both"/>
        <w:rPr>
          <w:rFonts w:cs="Arial"/>
          <w:szCs w:val="22"/>
        </w:rPr>
      </w:pPr>
      <w:r w:rsidRPr="002D0186">
        <w:rPr>
          <w:rFonts w:cs="Arial"/>
          <w:szCs w:val="22"/>
        </w:rPr>
        <w:t>[31]</w:t>
      </w:r>
      <w:r w:rsidRPr="002D0186">
        <w:rPr>
          <w:rFonts w:cs="Arial"/>
          <w:szCs w:val="22"/>
        </w:rPr>
        <w:tab/>
      </w:r>
      <w:r w:rsidR="007F1350" w:rsidRPr="002D0186">
        <w:rPr>
          <w:rFonts w:cs="Arial"/>
          <w:bCs/>
          <w:szCs w:val="22"/>
        </w:rPr>
        <w:t>Altech’s answer is however that the proceedings on the 9</w:t>
      </w:r>
      <w:r w:rsidR="007F1350" w:rsidRPr="002D0186">
        <w:rPr>
          <w:rFonts w:cs="Arial"/>
          <w:bCs/>
          <w:szCs w:val="22"/>
          <w:vertAlign w:val="superscript"/>
        </w:rPr>
        <w:t>th</w:t>
      </w:r>
      <w:r w:rsidR="007F1350" w:rsidRPr="002D0186">
        <w:rPr>
          <w:rFonts w:cs="Arial"/>
          <w:bCs/>
          <w:szCs w:val="22"/>
        </w:rPr>
        <w:t xml:space="preserve"> constituted a charade, in other words a travesty or an act of absurdity.</w:t>
      </w:r>
      <w:r w:rsidR="007F1350" w:rsidRPr="002D0186">
        <w:rPr>
          <w:rStyle w:val="FootnoteReference"/>
          <w:rFonts w:cs="Arial"/>
          <w:bCs/>
          <w:szCs w:val="22"/>
        </w:rPr>
        <w:footnoteReference w:id="30"/>
      </w:r>
      <w:r w:rsidR="007F1350" w:rsidRPr="002D0186">
        <w:rPr>
          <w:rFonts w:cs="Arial"/>
          <w:bCs/>
          <w:szCs w:val="22"/>
        </w:rPr>
        <w:t xml:space="preserve"> </w:t>
      </w:r>
      <w:r w:rsidR="006E2D72" w:rsidRPr="002D0186">
        <w:rPr>
          <w:rFonts w:cs="Arial"/>
          <w:bCs/>
          <w:szCs w:val="22"/>
        </w:rPr>
        <w:t xml:space="preserve">It is this charade that is claimed to  be </w:t>
      </w:r>
      <w:r w:rsidR="005B1382" w:rsidRPr="002D0186">
        <w:rPr>
          <w:rFonts w:cs="Arial"/>
          <w:bCs/>
          <w:szCs w:val="22"/>
        </w:rPr>
        <w:t xml:space="preserve">a gross irregularity. </w:t>
      </w:r>
    </w:p>
    <w:p w14:paraId="1C2C07EE" w14:textId="051282A1" w:rsidR="00F23C23" w:rsidRPr="002D0186" w:rsidRDefault="00615E41" w:rsidP="00615E41">
      <w:pPr>
        <w:widowControl w:val="0"/>
        <w:tabs>
          <w:tab w:val="left" w:pos="567"/>
        </w:tabs>
        <w:autoSpaceDE w:val="0"/>
        <w:autoSpaceDN w:val="0"/>
        <w:adjustRightInd w:val="0"/>
        <w:spacing w:before="480" w:after="480" w:line="360" w:lineRule="auto"/>
        <w:jc w:val="both"/>
        <w:rPr>
          <w:rFonts w:cs="Arial"/>
          <w:szCs w:val="22"/>
        </w:rPr>
      </w:pPr>
      <w:r w:rsidRPr="002D0186">
        <w:rPr>
          <w:rFonts w:cs="Arial"/>
          <w:szCs w:val="22"/>
        </w:rPr>
        <w:t>[32]</w:t>
      </w:r>
      <w:r w:rsidRPr="002D0186">
        <w:rPr>
          <w:rFonts w:cs="Arial"/>
          <w:szCs w:val="22"/>
        </w:rPr>
        <w:tab/>
      </w:r>
      <w:r w:rsidR="007F1350" w:rsidRPr="002D0186">
        <w:rPr>
          <w:rFonts w:cs="Arial"/>
          <w:bCs/>
          <w:szCs w:val="22"/>
        </w:rPr>
        <w:t>Altech’s case on the events of the 9</w:t>
      </w:r>
      <w:r w:rsidR="007F1350" w:rsidRPr="002D0186">
        <w:rPr>
          <w:rFonts w:cs="Arial"/>
          <w:bCs/>
          <w:szCs w:val="22"/>
          <w:vertAlign w:val="superscript"/>
        </w:rPr>
        <w:t>th</w:t>
      </w:r>
      <w:r w:rsidR="007F1350" w:rsidRPr="002D0186">
        <w:rPr>
          <w:rFonts w:cs="Arial"/>
          <w:bCs/>
          <w:szCs w:val="22"/>
        </w:rPr>
        <w:t xml:space="preserve"> is not that on the 9</w:t>
      </w:r>
      <w:r w:rsidR="007F1350" w:rsidRPr="002D0186">
        <w:rPr>
          <w:rFonts w:cs="Arial"/>
          <w:bCs/>
          <w:szCs w:val="22"/>
          <w:vertAlign w:val="superscript"/>
        </w:rPr>
        <w:t>th</w:t>
      </w:r>
      <w:r w:rsidR="007F1350" w:rsidRPr="002D0186">
        <w:rPr>
          <w:rFonts w:cs="Arial"/>
          <w:bCs/>
          <w:szCs w:val="22"/>
        </w:rPr>
        <w:t xml:space="preserve"> the </w:t>
      </w:r>
      <w:r w:rsidR="004E6890" w:rsidRPr="002D0186">
        <w:rPr>
          <w:rFonts w:cs="Arial"/>
          <w:bCs/>
          <w:szCs w:val="22"/>
        </w:rPr>
        <w:t>arbitrator</w:t>
      </w:r>
      <w:r w:rsidR="007F1350" w:rsidRPr="002D0186">
        <w:rPr>
          <w:rFonts w:cs="Arial"/>
          <w:bCs/>
          <w:szCs w:val="22"/>
        </w:rPr>
        <w:t xml:space="preserve"> committed a gross irregularity even though it might have been done with the best of intentions, or that he was guilty of subconscious b</w:t>
      </w:r>
      <w:r w:rsidR="00984FA7" w:rsidRPr="002D0186">
        <w:rPr>
          <w:rFonts w:cs="Arial"/>
          <w:bCs/>
          <w:szCs w:val="22"/>
        </w:rPr>
        <w:t>ia</w:t>
      </w:r>
      <w:r w:rsidR="007F1350" w:rsidRPr="002D0186">
        <w:rPr>
          <w:rFonts w:cs="Arial"/>
          <w:bCs/>
          <w:szCs w:val="22"/>
        </w:rPr>
        <w:t xml:space="preserve">s even though he did not mean to be. Altech’s case is that the </w:t>
      </w:r>
      <w:r w:rsidR="004E6890" w:rsidRPr="002D0186">
        <w:rPr>
          <w:rFonts w:cs="Arial"/>
          <w:bCs/>
          <w:szCs w:val="22"/>
        </w:rPr>
        <w:t>arbitrator</w:t>
      </w:r>
      <w:r w:rsidR="00984FA7" w:rsidRPr="002D0186">
        <w:rPr>
          <w:rFonts w:cs="Arial"/>
          <w:bCs/>
          <w:szCs w:val="22"/>
        </w:rPr>
        <w:t xml:space="preserve"> deliberately and dishonestly pretended to hear an application for his recusal though he was in fact not doing so</w:t>
      </w:r>
      <w:r w:rsidR="00516848" w:rsidRPr="002D0186">
        <w:rPr>
          <w:rFonts w:cs="Arial"/>
          <w:bCs/>
          <w:szCs w:val="22"/>
        </w:rPr>
        <w:t xml:space="preserve">, and that he then read out a </w:t>
      </w:r>
      <w:r w:rsidR="00FD55DA" w:rsidRPr="002D0186">
        <w:rPr>
          <w:rFonts w:cs="Arial"/>
          <w:bCs/>
          <w:szCs w:val="22"/>
        </w:rPr>
        <w:t>pre-written</w:t>
      </w:r>
      <w:r w:rsidR="00516848" w:rsidRPr="002D0186">
        <w:rPr>
          <w:rFonts w:cs="Arial"/>
          <w:bCs/>
          <w:szCs w:val="22"/>
        </w:rPr>
        <w:t xml:space="preserve"> judgment while pretending that he was giving an </w:t>
      </w:r>
      <w:r w:rsidR="00516848" w:rsidRPr="002D0186">
        <w:rPr>
          <w:rFonts w:cs="Arial"/>
          <w:bCs/>
          <w:i/>
          <w:iCs/>
          <w:szCs w:val="22"/>
        </w:rPr>
        <w:t>ex tempore</w:t>
      </w:r>
      <w:r w:rsidR="00516848" w:rsidRPr="002D0186">
        <w:rPr>
          <w:rFonts w:cs="Arial"/>
          <w:bCs/>
          <w:szCs w:val="22"/>
        </w:rPr>
        <w:t xml:space="preserve"> judgment</w:t>
      </w:r>
      <w:r w:rsidR="00984FA7" w:rsidRPr="002D0186">
        <w:rPr>
          <w:rFonts w:cs="Arial"/>
          <w:bCs/>
          <w:szCs w:val="22"/>
        </w:rPr>
        <w:t xml:space="preserve">. Such </w:t>
      </w:r>
      <w:r w:rsidR="00E610A5" w:rsidRPr="002D0186">
        <w:rPr>
          <w:rFonts w:cs="Arial"/>
          <w:bCs/>
          <w:szCs w:val="22"/>
        </w:rPr>
        <w:t xml:space="preserve">reprehensible </w:t>
      </w:r>
      <w:r w:rsidR="00984FA7" w:rsidRPr="002D0186">
        <w:rPr>
          <w:rFonts w:cs="Arial"/>
          <w:bCs/>
          <w:szCs w:val="22"/>
        </w:rPr>
        <w:t>conduct</w:t>
      </w:r>
      <w:r w:rsidR="00B5634B" w:rsidRPr="002D0186">
        <w:rPr>
          <w:rFonts w:cs="Arial"/>
          <w:bCs/>
          <w:szCs w:val="22"/>
        </w:rPr>
        <w:t xml:space="preserve"> (if true)</w:t>
      </w:r>
      <w:r w:rsidR="00984FA7" w:rsidRPr="002D0186">
        <w:rPr>
          <w:rFonts w:cs="Arial"/>
          <w:bCs/>
          <w:szCs w:val="22"/>
        </w:rPr>
        <w:t xml:space="preserve"> would of course reflect a </w:t>
      </w:r>
      <w:r w:rsidR="007F1350" w:rsidRPr="002D0186">
        <w:rPr>
          <w:rFonts w:cs="Arial"/>
          <w:bCs/>
          <w:szCs w:val="22"/>
        </w:rPr>
        <w:t>deliberate repudiation of his declaration</w:t>
      </w:r>
      <w:r w:rsidR="00984FA7" w:rsidRPr="002D0186">
        <w:rPr>
          <w:rStyle w:val="FootnoteReference"/>
          <w:rFonts w:cs="Arial"/>
          <w:bCs/>
          <w:szCs w:val="22"/>
        </w:rPr>
        <w:footnoteReference w:id="31"/>
      </w:r>
      <w:r w:rsidR="007F1350" w:rsidRPr="002D0186">
        <w:rPr>
          <w:rFonts w:cs="Arial"/>
          <w:bCs/>
          <w:szCs w:val="22"/>
        </w:rPr>
        <w:t xml:space="preserve"> to AFSA</w:t>
      </w:r>
      <w:r w:rsidR="006629A3" w:rsidRPr="002D0186">
        <w:rPr>
          <w:rFonts w:cs="Arial"/>
          <w:bCs/>
          <w:szCs w:val="22"/>
        </w:rPr>
        <w:t xml:space="preserve"> and an act of misconduct</w:t>
      </w:r>
      <w:r w:rsidR="006A34C4" w:rsidRPr="002D0186">
        <w:rPr>
          <w:rFonts w:cs="Arial"/>
          <w:bCs/>
          <w:szCs w:val="22"/>
        </w:rPr>
        <w:t xml:space="preserve"> and of deliberate bias</w:t>
      </w:r>
      <w:r w:rsidR="006629A3" w:rsidRPr="002D0186">
        <w:rPr>
          <w:rFonts w:cs="Arial"/>
          <w:bCs/>
          <w:szCs w:val="22"/>
        </w:rPr>
        <w:t xml:space="preserve"> by </w:t>
      </w:r>
      <w:r w:rsidR="00984FA7" w:rsidRPr="002D0186">
        <w:rPr>
          <w:rFonts w:cs="Arial"/>
          <w:bCs/>
          <w:szCs w:val="22"/>
        </w:rPr>
        <w:t>conducting</w:t>
      </w:r>
      <w:r w:rsidR="006629A3" w:rsidRPr="002D0186">
        <w:rPr>
          <w:rFonts w:cs="Arial"/>
          <w:bCs/>
          <w:szCs w:val="22"/>
        </w:rPr>
        <w:t xml:space="preserve"> a charade</w:t>
      </w:r>
      <w:r w:rsidR="006A34C4" w:rsidRPr="002D0186">
        <w:rPr>
          <w:rFonts w:cs="Arial"/>
          <w:bCs/>
          <w:szCs w:val="22"/>
        </w:rPr>
        <w:t xml:space="preserve"> while pretending to seriously consider the application</w:t>
      </w:r>
      <w:r w:rsidR="006629A3" w:rsidRPr="002D0186">
        <w:rPr>
          <w:rFonts w:cs="Arial"/>
          <w:bCs/>
          <w:szCs w:val="22"/>
        </w:rPr>
        <w:t>.</w:t>
      </w:r>
    </w:p>
    <w:p w14:paraId="05886A30" w14:textId="4F9793EB" w:rsidR="00FD55DA" w:rsidRPr="002D0186" w:rsidRDefault="00615E41" w:rsidP="00615E41">
      <w:pPr>
        <w:widowControl w:val="0"/>
        <w:tabs>
          <w:tab w:val="left" w:pos="567"/>
        </w:tabs>
        <w:autoSpaceDE w:val="0"/>
        <w:autoSpaceDN w:val="0"/>
        <w:adjustRightInd w:val="0"/>
        <w:spacing w:before="480" w:after="480" w:line="360" w:lineRule="auto"/>
        <w:jc w:val="both"/>
        <w:rPr>
          <w:rFonts w:cs="Arial"/>
          <w:bCs/>
          <w:szCs w:val="22"/>
        </w:rPr>
      </w:pPr>
      <w:r w:rsidRPr="002D0186">
        <w:rPr>
          <w:rFonts w:cs="Arial"/>
          <w:bCs/>
          <w:szCs w:val="22"/>
        </w:rPr>
        <w:t>[33]</w:t>
      </w:r>
      <w:r w:rsidRPr="002D0186">
        <w:rPr>
          <w:rFonts w:cs="Arial"/>
          <w:bCs/>
          <w:szCs w:val="22"/>
        </w:rPr>
        <w:tab/>
      </w:r>
      <w:r w:rsidR="007F1350" w:rsidRPr="002D0186">
        <w:rPr>
          <w:rFonts w:cs="Arial"/>
          <w:bCs/>
          <w:szCs w:val="22"/>
        </w:rPr>
        <w:t xml:space="preserve">The allegations </w:t>
      </w:r>
      <w:r w:rsidR="00FD55DA" w:rsidRPr="002D0186">
        <w:rPr>
          <w:rFonts w:cs="Arial"/>
          <w:bCs/>
          <w:szCs w:val="22"/>
        </w:rPr>
        <w:t xml:space="preserve">of a charade </w:t>
      </w:r>
      <w:r w:rsidR="007F1350" w:rsidRPr="002D0186">
        <w:rPr>
          <w:rFonts w:cs="Arial"/>
          <w:bCs/>
          <w:szCs w:val="22"/>
        </w:rPr>
        <w:t xml:space="preserve">are not supported by evidence. </w:t>
      </w:r>
      <w:r w:rsidR="00FD55DA" w:rsidRPr="002D0186">
        <w:rPr>
          <w:rFonts w:cs="Arial"/>
          <w:bCs/>
          <w:szCs w:val="22"/>
        </w:rPr>
        <w:t>Altech nevertheless persists with these serious and derogatory</w:t>
      </w:r>
      <w:r w:rsidR="00B525B8" w:rsidRPr="002D0186">
        <w:rPr>
          <w:rFonts w:cs="Arial"/>
          <w:bCs/>
          <w:szCs w:val="22"/>
        </w:rPr>
        <w:t xml:space="preserve"> </w:t>
      </w:r>
      <w:r w:rsidR="00FD55DA" w:rsidRPr="002D0186">
        <w:rPr>
          <w:rFonts w:cs="Arial"/>
          <w:bCs/>
          <w:szCs w:val="22"/>
        </w:rPr>
        <w:t>allegations</w:t>
      </w:r>
      <w:r w:rsidR="00B525B8" w:rsidRPr="002D0186">
        <w:rPr>
          <w:rFonts w:cs="Arial"/>
          <w:bCs/>
          <w:szCs w:val="22"/>
        </w:rPr>
        <w:t>.</w:t>
      </w:r>
      <w:r w:rsidR="009D0E35" w:rsidRPr="002D0186">
        <w:rPr>
          <w:rFonts w:cs="Arial"/>
          <w:bCs/>
          <w:szCs w:val="22"/>
        </w:rPr>
        <w:t xml:space="preserve"> Altech’s persistence with these gratuitous allegations </w:t>
      </w:r>
      <w:r w:rsidR="005B1382" w:rsidRPr="002D0186">
        <w:rPr>
          <w:rFonts w:cs="Arial"/>
          <w:bCs/>
          <w:szCs w:val="22"/>
        </w:rPr>
        <w:t>is</w:t>
      </w:r>
      <w:r w:rsidR="009D0E35" w:rsidRPr="002D0186">
        <w:rPr>
          <w:rFonts w:cs="Arial"/>
          <w:bCs/>
          <w:szCs w:val="22"/>
        </w:rPr>
        <w:t xml:space="preserve"> deserving of censure.</w:t>
      </w:r>
    </w:p>
    <w:p w14:paraId="5CF8D4E7" w14:textId="77777777" w:rsidR="00E610A5" w:rsidRPr="002D0186" w:rsidRDefault="00E610A5" w:rsidP="005D60C3">
      <w:pPr>
        <w:widowControl w:val="0"/>
        <w:spacing w:before="480" w:after="480" w:line="360" w:lineRule="auto"/>
        <w:jc w:val="both"/>
        <w:rPr>
          <w:rFonts w:cs="Arial"/>
          <w:bCs/>
          <w:szCs w:val="22"/>
          <w:u w:val="single"/>
        </w:rPr>
      </w:pPr>
    </w:p>
    <w:p w14:paraId="11684636" w14:textId="40028709" w:rsidR="005D60C3" w:rsidRPr="002D0186" w:rsidRDefault="005D60C3" w:rsidP="005D60C3">
      <w:pPr>
        <w:widowControl w:val="0"/>
        <w:spacing w:before="480" w:after="480" w:line="360" w:lineRule="auto"/>
        <w:jc w:val="both"/>
        <w:rPr>
          <w:rFonts w:cs="Arial"/>
          <w:bCs/>
          <w:szCs w:val="22"/>
          <w:u w:val="single"/>
        </w:rPr>
      </w:pPr>
      <w:r w:rsidRPr="002D0186">
        <w:rPr>
          <w:rFonts w:cs="Arial"/>
          <w:bCs/>
          <w:szCs w:val="22"/>
          <w:u w:val="single"/>
        </w:rPr>
        <w:t xml:space="preserve">The </w:t>
      </w:r>
      <w:r w:rsidR="000A2869" w:rsidRPr="002D0186">
        <w:rPr>
          <w:rFonts w:cs="Arial"/>
          <w:bCs/>
          <w:szCs w:val="22"/>
          <w:u w:val="single"/>
        </w:rPr>
        <w:t>remaining</w:t>
      </w:r>
      <w:r w:rsidRPr="002D0186">
        <w:rPr>
          <w:rFonts w:cs="Arial"/>
          <w:bCs/>
          <w:szCs w:val="22"/>
          <w:u w:val="single"/>
        </w:rPr>
        <w:t xml:space="preserve"> grounds </w:t>
      </w:r>
      <w:r w:rsidR="000A2869" w:rsidRPr="002D0186">
        <w:rPr>
          <w:rFonts w:cs="Arial"/>
          <w:bCs/>
          <w:szCs w:val="22"/>
          <w:u w:val="single"/>
        </w:rPr>
        <w:t>for</w:t>
      </w:r>
      <w:r w:rsidRPr="002D0186">
        <w:rPr>
          <w:rFonts w:cs="Arial"/>
          <w:bCs/>
          <w:szCs w:val="22"/>
          <w:u w:val="single"/>
        </w:rPr>
        <w:t xml:space="preserve"> recusal</w:t>
      </w:r>
    </w:p>
    <w:p w14:paraId="774B7DA6" w14:textId="239CC0A7" w:rsidR="003B67B7"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[34]</w:t>
      </w:r>
      <w:r w:rsidRPr="002D0186">
        <w:rPr>
          <w:rFonts w:cs="Arial"/>
          <w:bCs/>
          <w:szCs w:val="22"/>
        </w:rPr>
        <w:tab/>
      </w:r>
      <w:r w:rsidR="005D60C3" w:rsidRPr="002D0186">
        <w:rPr>
          <w:rFonts w:cs="Arial"/>
          <w:bCs/>
          <w:szCs w:val="22"/>
        </w:rPr>
        <w:t xml:space="preserve">The remaining grounds for recusal </w:t>
      </w:r>
      <w:r w:rsidR="009D40CB" w:rsidRPr="002D0186">
        <w:rPr>
          <w:rFonts w:cs="Arial"/>
          <w:bCs/>
          <w:szCs w:val="22"/>
        </w:rPr>
        <w:t xml:space="preserve">relied upon by Altech </w:t>
      </w:r>
      <w:r w:rsidR="003B67B7" w:rsidRPr="002D0186">
        <w:rPr>
          <w:rFonts w:cs="Arial"/>
          <w:bCs/>
          <w:szCs w:val="22"/>
        </w:rPr>
        <w:t xml:space="preserve">relate to </w:t>
      </w:r>
      <w:r w:rsidR="00552DE9">
        <w:rPr>
          <w:rFonts w:cs="Arial"/>
          <w:bCs/>
          <w:szCs w:val="22"/>
        </w:rPr>
        <w:t>-</w:t>
      </w:r>
    </w:p>
    <w:p w14:paraId="6941D614" w14:textId="7AF4FD0C" w:rsidR="005D60C3" w:rsidRPr="002D0186" w:rsidRDefault="00615E41" w:rsidP="00615E41">
      <w:pPr>
        <w:widowControl w:val="0"/>
        <w:tabs>
          <w:tab w:val="left" w:pos="1418"/>
        </w:tabs>
        <w:spacing w:before="480" w:after="480" w:line="360" w:lineRule="auto"/>
        <w:ind w:left="1418" w:hanging="851"/>
        <w:jc w:val="both"/>
        <w:rPr>
          <w:rFonts w:cs="Arial"/>
          <w:bCs/>
          <w:szCs w:val="22"/>
        </w:rPr>
      </w:pPr>
      <w:r w:rsidRPr="002D0186">
        <w:rPr>
          <w:rFonts w:cs="Arial"/>
          <w:bCs/>
          <w:szCs w:val="22"/>
        </w:rPr>
        <w:lastRenderedPageBreak/>
        <w:t>34.1</w:t>
      </w:r>
      <w:r w:rsidRPr="002D0186">
        <w:rPr>
          <w:rFonts w:cs="Arial"/>
          <w:bCs/>
          <w:szCs w:val="22"/>
        </w:rPr>
        <w:tab/>
      </w:r>
      <w:r w:rsidR="003B67B7" w:rsidRPr="002D0186">
        <w:rPr>
          <w:rFonts w:cs="Arial"/>
          <w:bCs/>
          <w:szCs w:val="22"/>
        </w:rPr>
        <w:t>correspondence to the Deputy Judge President and to the parties,</w:t>
      </w:r>
      <w:r w:rsidR="003B67B7" w:rsidRPr="002D0186">
        <w:rPr>
          <w:rStyle w:val="FootnoteReference"/>
          <w:rFonts w:cs="Arial"/>
          <w:bCs/>
          <w:szCs w:val="22"/>
        </w:rPr>
        <w:footnoteReference w:id="32"/>
      </w:r>
    </w:p>
    <w:p w14:paraId="0E35B3F0" w14:textId="71203097" w:rsidR="003B67B7" w:rsidRPr="002D0186" w:rsidRDefault="00615E41" w:rsidP="00615E41">
      <w:pPr>
        <w:widowControl w:val="0"/>
        <w:tabs>
          <w:tab w:val="left" w:pos="1418"/>
        </w:tabs>
        <w:spacing w:before="480" w:after="480" w:line="360" w:lineRule="auto"/>
        <w:ind w:left="1418" w:hanging="851"/>
        <w:jc w:val="both"/>
        <w:rPr>
          <w:rFonts w:cs="Arial"/>
          <w:bCs/>
          <w:szCs w:val="22"/>
        </w:rPr>
      </w:pPr>
      <w:r w:rsidRPr="002D0186">
        <w:rPr>
          <w:rFonts w:cs="Arial"/>
          <w:bCs/>
          <w:szCs w:val="22"/>
        </w:rPr>
        <w:t>34.2</w:t>
      </w:r>
      <w:r w:rsidRPr="002D0186">
        <w:rPr>
          <w:rFonts w:cs="Arial"/>
          <w:bCs/>
          <w:szCs w:val="22"/>
        </w:rPr>
        <w:tab/>
      </w:r>
      <w:r w:rsidR="003B67B7" w:rsidRPr="002D0186">
        <w:rPr>
          <w:rFonts w:cs="Arial"/>
          <w:bCs/>
          <w:szCs w:val="22"/>
        </w:rPr>
        <w:t>the averment that the arbitrator dictated to Altech how it should run its defences,</w:t>
      </w:r>
      <w:r w:rsidR="009A3A21" w:rsidRPr="002D0186">
        <w:rPr>
          <w:rStyle w:val="FootnoteReference"/>
          <w:rFonts w:cs="Arial"/>
          <w:bCs/>
          <w:szCs w:val="22"/>
        </w:rPr>
        <w:footnoteReference w:id="33"/>
      </w:r>
    </w:p>
    <w:p w14:paraId="40E34FE4" w14:textId="3124F037" w:rsidR="003B67B7" w:rsidRPr="002D0186" w:rsidRDefault="00615E41" w:rsidP="00615E41">
      <w:pPr>
        <w:widowControl w:val="0"/>
        <w:tabs>
          <w:tab w:val="left" w:pos="1418"/>
        </w:tabs>
        <w:spacing w:before="480" w:after="480" w:line="360" w:lineRule="auto"/>
        <w:ind w:left="1418" w:hanging="851"/>
        <w:jc w:val="both"/>
        <w:rPr>
          <w:rFonts w:cs="Arial"/>
          <w:bCs/>
          <w:szCs w:val="22"/>
        </w:rPr>
      </w:pPr>
      <w:r w:rsidRPr="002D0186">
        <w:rPr>
          <w:rFonts w:cs="Arial"/>
          <w:bCs/>
          <w:szCs w:val="22"/>
        </w:rPr>
        <w:t>34.3</w:t>
      </w:r>
      <w:r w:rsidRPr="002D0186">
        <w:rPr>
          <w:rFonts w:cs="Arial"/>
          <w:bCs/>
          <w:szCs w:val="22"/>
        </w:rPr>
        <w:tab/>
      </w:r>
      <w:r w:rsidR="003B67B7" w:rsidRPr="002D0186">
        <w:rPr>
          <w:rFonts w:cs="Arial"/>
          <w:bCs/>
          <w:szCs w:val="22"/>
        </w:rPr>
        <w:t>the perceived animosity of the arbitrator to Altech’s legal team,</w:t>
      </w:r>
      <w:r w:rsidR="009A3A21" w:rsidRPr="002D0186">
        <w:rPr>
          <w:rStyle w:val="FootnoteReference"/>
          <w:rFonts w:cs="Arial"/>
          <w:bCs/>
          <w:szCs w:val="22"/>
        </w:rPr>
        <w:footnoteReference w:id="34"/>
      </w:r>
    </w:p>
    <w:p w14:paraId="23F1EA4E" w14:textId="7BA62D4D" w:rsidR="003B67B7" w:rsidRPr="002D0186" w:rsidRDefault="00615E41" w:rsidP="00615E41">
      <w:pPr>
        <w:widowControl w:val="0"/>
        <w:tabs>
          <w:tab w:val="left" w:pos="1418"/>
        </w:tabs>
        <w:spacing w:before="480" w:after="480" w:line="360" w:lineRule="auto"/>
        <w:ind w:left="1418" w:hanging="851"/>
        <w:jc w:val="both"/>
        <w:rPr>
          <w:rFonts w:cs="Arial"/>
          <w:bCs/>
          <w:szCs w:val="22"/>
        </w:rPr>
      </w:pPr>
      <w:r w:rsidRPr="002D0186">
        <w:rPr>
          <w:rFonts w:cs="Arial"/>
          <w:bCs/>
          <w:szCs w:val="22"/>
        </w:rPr>
        <w:t>34.4</w:t>
      </w:r>
      <w:r w:rsidRPr="002D0186">
        <w:rPr>
          <w:rFonts w:cs="Arial"/>
          <w:bCs/>
          <w:szCs w:val="22"/>
        </w:rPr>
        <w:tab/>
      </w:r>
      <w:r w:rsidR="003B67B7" w:rsidRPr="002D0186">
        <w:rPr>
          <w:rFonts w:cs="Arial"/>
          <w:bCs/>
          <w:szCs w:val="22"/>
        </w:rPr>
        <w:t>the arbitrator’s perceived pre-occupation with urgency.</w:t>
      </w:r>
      <w:r w:rsidR="009A3A21" w:rsidRPr="002D0186">
        <w:rPr>
          <w:rStyle w:val="FootnoteReference"/>
          <w:rFonts w:cs="Arial"/>
          <w:bCs/>
          <w:szCs w:val="22"/>
        </w:rPr>
        <w:footnoteReference w:id="35"/>
      </w:r>
    </w:p>
    <w:p w14:paraId="2F270F80" w14:textId="1FBEF413" w:rsidR="003B67B7"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[35]</w:t>
      </w:r>
      <w:r w:rsidRPr="002D0186">
        <w:rPr>
          <w:rFonts w:cs="Arial"/>
          <w:bCs/>
          <w:szCs w:val="22"/>
        </w:rPr>
        <w:tab/>
      </w:r>
      <w:r w:rsidR="003B67B7" w:rsidRPr="002D0186">
        <w:rPr>
          <w:rFonts w:cs="Arial"/>
          <w:bCs/>
          <w:szCs w:val="22"/>
        </w:rPr>
        <w:t>There are no reasonable prospects of success on any of these grounds.</w:t>
      </w:r>
    </w:p>
    <w:p w14:paraId="433A06BC" w14:textId="77777777" w:rsidR="009D40CB" w:rsidRPr="002D0186" w:rsidRDefault="009D40CB" w:rsidP="003B18E2">
      <w:pPr>
        <w:widowControl w:val="0"/>
        <w:spacing w:before="480" w:after="480" w:line="360" w:lineRule="auto"/>
        <w:jc w:val="both"/>
        <w:rPr>
          <w:rFonts w:cs="Arial"/>
          <w:bCs/>
          <w:szCs w:val="22"/>
          <w:u w:val="single"/>
        </w:rPr>
      </w:pPr>
    </w:p>
    <w:p w14:paraId="21CCE1DD" w14:textId="2E09A635" w:rsidR="003B18E2" w:rsidRPr="002D0186" w:rsidRDefault="003B18E2" w:rsidP="003B18E2">
      <w:pPr>
        <w:widowControl w:val="0"/>
        <w:spacing w:before="480" w:after="480" w:line="360" w:lineRule="auto"/>
        <w:jc w:val="both"/>
        <w:rPr>
          <w:rFonts w:cs="Arial"/>
          <w:bCs/>
          <w:szCs w:val="22"/>
          <w:u w:val="single"/>
        </w:rPr>
      </w:pPr>
      <w:r w:rsidRPr="002D0186">
        <w:rPr>
          <w:rFonts w:cs="Arial"/>
          <w:bCs/>
          <w:szCs w:val="22"/>
          <w:u w:val="single"/>
        </w:rPr>
        <w:t>Presumption of impartiality</w:t>
      </w:r>
    </w:p>
    <w:p w14:paraId="4C019BB9" w14:textId="451708F2" w:rsidR="003B18E2"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[36]</w:t>
      </w:r>
      <w:r w:rsidRPr="002D0186">
        <w:rPr>
          <w:rFonts w:cs="Arial"/>
          <w:bCs/>
          <w:szCs w:val="22"/>
        </w:rPr>
        <w:tab/>
      </w:r>
      <w:r w:rsidR="003B18E2" w:rsidRPr="002D0186">
        <w:rPr>
          <w:rFonts w:cs="Arial"/>
          <w:bCs/>
          <w:szCs w:val="22"/>
        </w:rPr>
        <w:t xml:space="preserve">In heads of argument Altech raises a ground of appeal not raised the notice of appeal and on an issue that was common cause at the hearing but in respect of which Altech now adopts </w:t>
      </w:r>
      <w:r w:rsidR="00D818F5" w:rsidRPr="002D0186">
        <w:rPr>
          <w:rFonts w:cs="Arial"/>
          <w:bCs/>
          <w:szCs w:val="22"/>
        </w:rPr>
        <w:t>an</w:t>
      </w:r>
      <w:r w:rsidR="003B18E2" w:rsidRPr="002D0186">
        <w:rPr>
          <w:rFonts w:cs="Arial"/>
          <w:bCs/>
          <w:szCs w:val="22"/>
        </w:rPr>
        <w:t xml:space="preserve"> opposite view. The new ground is that there is a compelling reason why the appeal should be heard,</w:t>
      </w:r>
      <w:r w:rsidR="003B18E2" w:rsidRPr="002D0186">
        <w:rPr>
          <w:rStyle w:val="FootnoteReference"/>
          <w:rFonts w:cs="Arial"/>
          <w:bCs/>
          <w:szCs w:val="22"/>
        </w:rPr>
        <w:footnoteReference w:id="36"/>
      </w:r>
      <w:r w:rsidR="003B18E2" w:rsidRPr="002D0186">
        <w:rPr>
          <w:rFonts w:cs="Arial"/>
          <w:bCs/>
          <w:szCs w:val="22"/>
        </w:rPr>
        <w:t xml:space="preserve"> namely whether the presumption of impartiality applies to arbitrators and if so, whether the bias alleged is due to a prior relationship or arises during the arbitration as is the case here. The respondent was able to deal with this aspect in heads and in argument, and the matter was fully ventilated</w:t>
      </w:r>
      <w:r w:rsidR="00321CD9" w:rsidRPr="002D0186">
        <w:rPr>
          <w:rFonts w:cs="Arial"/>
          <w:bCs/>
          <w:szCs w:val="22"/>
        </w:rPr>
        <w:t xml:space="preserve"> without any prejudice to Aeonova arising from the late about-turn by Altech</w:t>
      </w:r>
      <w:r w:rsidR="003B18E2" w:rsidRPr="002D0186">
        <w:rPr>
          <w:rFonts w:cs="Arial"/>
          <w:bCs/>
          <w:szCs w:val="22"/>
        </w:rPr>
        <w:t>.</w:t>
      </w:r>
    </w:p>
    <w:p w14:paraId="74BFEA23" w14:textId="7601FB6A" w:rsidR="003B18E2" w:rsidRPr="002D0186" w:rsidRDefault="00615E41" w:rsidP="00615E41">
      <w:pPr>
        <w:widowControl w:val="0"/>
        <w:tabs>
          <w:tab w:val="left" w:pos="567"/>
        </w:tabs>
        <w:autoSpaceDE w:val="0"/>
        <w:autoSpaceDN w:val="0"/>
        <w:adjustRightInd w:val="0"/>
        <w:spacing w:before="480" w:after="480" w:line="360" w:lineRule="auto"/>
        <w:jc w:val="both"/>
        <w:rPr>
          <w:rFonts w:cs="Arial"/>
          <w:bCs/>
          <w:szCs w:val="22"/>
        </w:rPr>
      </w:pPr>
      <w:r w:rsidRPr="002D0186">
        <w:rPr>
          <w:rFonts w:cs="Arial"/>
          <w:bCs/>
          <w:szCs w:val="22"/>
        </w:rPr>
        <w:t>[37]</w:t>
      </w:r>
      <w:r w:rsidRPr="002D0186">
        <w:rPr>
          <w:rFonts w:cs="Arial"/>
          <w:bCs/>
          <w:szCs w:val="22"/>
        </w:rPr>
        <w:tab/>
      </w:r>
      <w:r w:rsidR="003B18E2" w:rsidRPr="002D0186">
        <w:rPr>
          <w:rFonts w:cs="Arial"/>
          <w:bCs/>
          <w:szCs w:val="22"/>
        </w:rPr>
        <w:t xml:space="preserve">When the matter was argued </w:t>
      </w:r>
      <w:r w:rsidR="00552DE9">
        <w:rPr>
          <w:rFonts w:cs="Arial"/>
          <w:bCs/>
          <w:szCs w:val="22"/>
        </w:rPr>
        <w:t xml:space="preserve">in May 2023 </w:t>
      </w:r>
      <w:r w:rsidR="003B18E2" w:rsidRPr="002D0186">
        <w:rPr>
          <w:rFonts w:cs="Arial"/>
          <w:bCs/>
          <w:szCs w:val="22"/>
        </w:rPr>
        <w:t xml:space="preserve">the parties were in agreement that the </w:t>
      </w:r>
      <w:r w:rsidR="003B18E2" w:rsidRPr="002D0186">
        <w:rPr>
          <w:rFonts w:cs="Arial"/>
          <w:szCs w:val="22"/>
          <w:lang w:eastAsia="en-ZA"/>
        </w:rPr>
        <w:t>test for whether there is ‘good cause’ for the removal of an arbitrator is substantially the same test that applies for the recusal of a judge in court proceedings.</w:t>
      </w:r>
      <w:r w:rsidR="003B18E2" w:rsidRPr="002D0186">
        <w:rPr>
          <w:rStyle w:val="FootnoteReference"/>
          <w:rFonts w:cs="Arial"/>
          <w:szCs w:val="22"/>
          <w:lang w:eastAsia="en-ZA"/>
        </w:rPr>
        <w:footnoteReference w:id="37"/>
      </w:r>
      <w:r w:rsidR="003B18E2" w:rsidRPr="002D0186">
        <w:rPr>
          <w:rFonts w:cs="Arial"/>
          <w:szCs w:val="22"/>
          <w:lang w:eastAsia="en-ZA"/>
        </w:rPr>
        <w:t xml:space="preserve"> The question of the presumption was not argued and the word appears in the judgment in the summary </w:t>
      </w:r>
      <w:r w:rsidR="003B18E2" w:rsidRPr="002D0186">
        <w:rPr>
          <w:rFonts w:cs="Arial"/>
          <w:szCs w:val="22"/>
          <w:lang w:eastAsia="en-ZA"/>
        </w:rPr>
        <w:lastRenderedPageBreak/>
        <w:t xml:space="preserve">of the decision in the </w:t>
      </w:r>
      <w:r w:rsidR="003B18E2" w:rsidRPr="002D0186">
        <w:rPr>
          <w:rFonts w:cs="Arial"/>
          <w:i/>
          <w:iCs/>
          <w:szCs w:val="22"/>
          <w:lang w:eastAsia="en-ZA"/>
        </w:rPr>
        <w:t>Sarfu</w:t>
      </w:r>
      <w:r w:rsidR="003B18E2" w:rsidRPr="002D0186">
        <w:rPr>
          <w:rFonts w:cs="Arial"/>
          <w:szCs w:val="22"/>
          <w:lang w:eastAsia="en-ZA"/>
        </w:rPr>
        <w:t xml:space="preserve"> case.</w:t>
      </w:r>
      <w:r w:rsidR="003B18E2" w:rsidRPr="002D0186">
        <w:rPr>
          <w:rStyle w:val="FootnoteReference"/>
          <w:rFonts w:cs="Arial"/>
          <w:i/>
          <w:iCs/>
          <w:szCs w:val="22"/>
        </w:rPr>
        <w:footnoteReference w:id="38"/>
      </w:r>
      <w:r w:rsidR="006E3379" w:rsidRPr="002D0186">
        <w:rPr>
          <w:rFonts w:cs="Arial"/>
          <w:szCs w:val="22"/>
          <w:lang w:eastAsia="en-ZA"/>
        </w:rPr>
        <w:t xml:space="preserve"> If the question of the presumption were to be argued on appeal, the court of appeal would be sitting as a court of first instance in respect of this question.</w:t>
      </w:r>
    </w:p>
    <w:p w14:paraId="01862A11" w14:textId="105A5F2D" w:rsidR="003B18E2"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[38]</w:t>
      </w:r>
      <w:r w:rsidRPr="002D0186">
        <w:rPr>
          <w:rFonts w:cs="Arial"/>
          <w:bCs/>
          <w:szCs w:val="22"/>
        </w:rPr>
        <w:tab/>
      </w:r>
      <w:r w:rsidR="00321CD9" w:rsidRPr="002D0186">
        <w:rPr>
          <w:rFonts w:cs="Arial"/>
          <w:szCs w:val="22"/>
        </w:rPr>
        <w:t>T</w:t>
      </w:r>
      <w:r w:rsidR="003B18E2" w:rsidRPr="002D0186">
        <w:rPr>
          <w:rFonts w:cs="Arial"/>
          <w:szCs w:val="22"/>
        </w:rPr>
        <w:t xml:space="preserve">he  </w:t>
      </w:r>
      <w:r w:rsidR="003B18E2" w:rsidRPr="002D0186">
        <w:rPr>
          <w:rFonts w:cs="Arial"/>
          <w:i/>
          <w:iCs/>
          <w:szCs w:val="22"/>
        </w:rPr>
        <w:t xml:space="preserve">Umgeni </w:t>
      </w:r>
      <w:r w:rsidR="003B18E2" w:rsidRPr="002D0186">
        <w:rPr>
          <w:rFonts w:cs="Arial"/>
          <w:szCs w:val="22"/>
        </w:rPr>
        <w:t>and</w:t>
      </w:r>
      <w:r w:rsidR="003B18E2" w:rsidRPr="002D0186">
        <w:rPr>
          <w:rFonts w:cs="Arial"/>
          <w:i/>
          <w:iCs/>
          <w:szCs w:val="22"/>
        </w:rPr>
        <w:t xml:space="preserve"> Dohne </w:t>
      </w:r>
      <w:r w:rsidR="003B18E2" w:rsidRPr="002D0186">
        <w:rPr>
          <w:rFonts w:cs="Arial"/>
          <w:szCs w:val="22"/>
        </w:rPr>
        <w:t>decisions</w:t>
      </w:r>
      <w:r w:rsidR="00321CD9" w:rsidRPr="002D0186">
        <w:rPr>
          <w:rFonts w:cs="Arial"/>
          <w:szCs w:val="22"/>
        </w:rPr>
        <w:t xml:space="preserve"> referred to by the applicant provides guidance</w:t>
      </w:r>
      <w:r w:rsidR="003B18E2" w:rsidRPr="002D0186">
        <w:rPr>
          <w:rFonts w:cs="Arial"/>
          <w:szCs w:val="22"/>
        </w:rPr>
        <w:t xml:space="preserve">. </w:t>
      </w:r>
      <w:r w:rsidR="003B18E2" w:rsidRPr="002D0186">
        <w:rPr>
          <w:rFonts w:cs="Arial"/>
          <w:i/>
          <w:iCs/>
          <w:szCs w:val="22"/>
        </w:rPr>
        <w:t>Umgeni Water v Hollis NO and Another</w:t>
      </w:r>
      <w:r w:rsidR="003B18E2" w:rsidRPr="002D0186">
        <w:rPr>
          <w:rStyle w:val="FootnoteReference"/>
          <w:rFonts w:cs="Arial"/>
          <w:bCs/>
          <w:szCs w:val="22"/>
        </w:rPr>
        <w:footnoteReference w:id="39"/>
      </w:r>
      <w:r w:rsidR="003B18E2" w:rsidRPr="002D0186">
        <w:rPr>
          <w:rFonts w:cs="Arial"/>
          <w:bCs/>
          <w:szCs w:val="22"/>
        </w:rPr>
        <w:t xml:space="preserve"> and </w:t>
      </w:r>
      <w:r w:rsidR="003B18E2" w:rsidRPr="002D0186">
        <w:rPr>
          <w:rFonts w:cs="Arial"/>
          <w:i/>
          <w:iCs/>
          <w:szCs w:val="22"/>
        </w:rPr>
        <w:t>Construction (Pty) Limited v Adv Lane SC and another</w:t>
      </w:r>
      <w:r w:rsidR="003B18E2" w:rsidRPr="002D0186">
        <w:rPr>
          <w:rStyle w:val="FootnoteReference"/>
          <w:rFonts w:cs="Arial"/>
          <w:bCs/>
          <w:i/>
          <w:iCs/>
          <w:szCs w:val="22"/>
        </w:rPr>
        <w:footnoteReference w:id="40"/>
      </w:r>
      <w:r w:rsidR="00321CD9" w:rsidRPr="002D0186">
        <w:rPr>
          <w:rFonts w:cs="Arial"/>
          <w:bCs/>
          <w:szCs w:val="22"/>
        </w:rPr>
        <w:t xml:space="preserve"> </w:t>
      </w:r>
      <w:r w:rsidR="003B18E2" w:rsidRPr="002D0186">
        <w:rPr>
          <w:rFonts w:cs="Arial"/>
          <w:bCs/>
          <w:szCs w:val="22"/>
        </w:rPr>
        <w:t xml:space="preserve">differ on the basis that in </w:t>
      </w:r>
      <w:r w:rsidR="003B18E2" w:rsidRPr="002D0186">
        <w:rPr>
          <w:rFonts w:cs="Arial"/>
          <w:bCs/>
          <w:i/>
          <w:iCs/>
          <w:szCs w:val="22"/>
        </w:rPr>
        <w:t>Doyne</w:t>
      </w:r>
      <w:r w:rsidR="003B18E2" w:rsidRPr="002D0186">
        <w:rPr>
          <w:rFonts w:cs="Arial"/>
          <w:bCs/>
          <w:szCs w:val="22"/>
        </w:rPr>
        <w:t xml:space="preserve"> it was held that the presumption of impartiality applies irrespective of the arbitrator’s background and training, whereas in </w:t>
      </w:r>
      <w:r w:rsidR="003B18E2" w:rsidRPr="002D0186">
        <w:rPr>
          <w:rFonts w:cs="Arial"/>
          <w:bCs/>
          <w:i/>
          <w:iCs/>
          <w:szCs w:val="22"/>
        </w:rPr>
        <w:t>Umgeni Water</w:t>
      </w:r>
      <w:r w:rsidR="003B18E2" w:rsidRPr="002D0186">
        <w:rPr>
          <w:rFonts w:cs="Arial"/>
          <w:bCs/>
          <w:szCs w:val="22"/>
        </w:rPr>
        <w:t xml:space="preserve"> it was held (at lease implicitly) that it applies when the arbitrator is legally trained. In the present matter the arbitrator is a former senior advocate and Judge and the distinction between legally trained arbitrators and other arbitrators is of no moment on the facts of the case. </w:t>
      </w:r>
    </w:p>
    <w:p w14:paraId="130890A4" w14:textId="7D46633F" w:rsidR="003B18E2"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[39]</w:t>
      </w:r>
      <w:r w:rsidRPr="002D0186">
        <w:rPr>
          <w:rFonts w:cs="Arial"/>
          <w:bCs/>
          <w:szCs w:val="22"/>
        </w:rPr>
        <w:tab/>
      </w:r>
      <w:r w:rsidR="003B18E2" w:rsidRPr="002D0186">
        <w:rPr>
          <w:rFonts w:cs="Arial"/>
          <w:szCs w:val="22"/>
        </w:rPr>
        <w:t xml:space="preserve">Altech argues that the </w:t>
      </w:r>
      <w:r w:rsidR="003B18E2" w:rsidRPr="002D0186">
        <w:rPr>
          <w:rFonts w:cs="Arial"/>
          <w:i/>
          <w:iCs/>
          <w:szCs w:val="22"/>
        </w:rPr>
        <w:t>Umgeni</w:t>
      </w:r>
      <w:r w:rsidR="003B18E2" w:rsidRPr="002D0186">
        <w:rPr>
          <w:rFonts w:cs="Arial"/>
          <w:szCs w:val="22"/>
        </w:rPr>
        <w:t xml:space="preserve"> decision is </w:t>
      </w:r>
      <w:r w:rsidR="003B18E2" w:rsidRPr="002D0186">
        <w:rPr>
          <w:rFonts w:cs="Arial"/>
          <w:i/>
          <w:iCs/>
          <w:szCs w:val="22"/>
        </w:rPr>
        <w:t xml:space="preserve">“clearly incorrect.” </w:t>
      </w:r>
      <w:r w:rsidR="003B18E2" w:rsidRPr="002D0186">
        <w:rPr>
          <w:rFonts w:cs="Arial"/>
          <w:szCs w:val="22"/>
        </w:rPr>
        <w:t xml:space="preserve">It does so on the basis of the decision by the Constitutional Court in </w:t>
      </w:r>
      <w:r w:rsidR="003B18E2" w:rsidRPr="002D0186">
        <w:rPr>
          <w:rFonts w:cs="Arial"/>
          <w:i/>
          <w:iCs/>
          <w:szCs w:val="22"/>
        </w:rPr>
        <w:t>Lufuno Mphaphuli &amp; Associates (Pty) Ltd v Andrews and Another</w:t>
      </w:r>
      <w:r w:rsidR="003B18E2" w:rsidRPr="002D0186">
        <w:rPr>
          <w:rStyle w:val="FootnoteReference"/>
          <w:rFonts w:cs="Arial"/>
          <w:i/>
          <w:iCs/>
          <w:szCs w:val="22"/>
        </w:rPr>
        <w:footnoteReference w:id="41"/>
      </w:r>
      <w:r w:rsidR="003B18E2" w:rsidRPr="002D0186">
        <w:rPr>
          <w:rFonts w:cs="Arial"/>
          <w:szCs w:val="22"/>
        </w:rPr>
        <w:t xml:space="preserve"> two years earlier</w:t>
      </w:r>
      <w:r w:rsidR="00321CD9" w:rsidRPr="002D0186">
        <w:rPr>
          <w:rFonts w:cs="Arial"/>
          <w:szCs w:val="22"/>
        </w:rPr>
        <w:t xml:space="preserve"> and referred to in the </w:t>
      </w:r>
      <w:r w:rsidR="003B18E2" w:rsidRPr="002D0186">
        <w:rPr>
          <w:rFonts w:cs="Arial"/>
          <w:i/>
          <w:iCs/>
          <w:szCs w:val="22"/>
        </w:rPr>
        <w:t>Umgeni</w:t>
      </w:r>
      <w:r w:rsidR="003B18E2" w:rsidRPr="002D0186">
        <w:rPr>
          <w:rFonts w:cs="Arial"/>
          <w:szCs w:val="22"/>
        </w:rPr>
        <w:t xml:space="preserve"> judgment, but not in the context of the presumption.</w:t>
      </w:r>
    </w:p>
    <w:p w14:paraId="4AA19B7A" w14:textId="1D55BD28" w:rsidR="003B18E2"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[40]</w:t>
      </w:r>
      <w:r w:rsidRPr="002D0186">
        <w:rPr>
          <w:rFonts w:cs="Arial"/>
          <w:bCs/>
          <w:szCs w:val="22"/>
        </w:rPr>
        <w:tab/>
      </w:r>
      <w:r w:rsidR="003B18E2" w:rsidRPr="002D0186">
        <w:rPr>
          <w:rFonts w:cs="Arial"/>
          <w:szCs w:val="22"/>
        </w:rPr>
        <w:t xml:space="preserve">In </w:t>
      </w:r>
      <w:r w:rsidR="003B18E2" w:rsidRPr="002D0186">
        <w:rPr>
          <w:rFonts w:cs="Arial"/>
          <w:i/>
          <w:iCs/>
          <w:szCs w:val="22"/>
        </w:rPr>
        <w:t>Lufuno</w:t>
      </w:r>
      <w:r w:rsidR="003B18E2" w:rsidRPr="002D0186">
        <w:rPr>
          <w:rFonts w:cs="Arial"/>
          <w:szCs w:val="22"/>
        </w:rPr>
        <w:t>,</w:t>
      </w:r>
      <w:r w:rsidR="003B18E2" w:rsidRPr="002D0186">
        <w:rPr>
          <w:rStyle w:val="FootnoteReference"/>
          <w:rFonts w:cs="Arial"/>
          <w:szCs w:val="22"/>
        </w:rPr>
        <w:footnoteReference w:id="42"/>
      </w:r>
      <w:r w:rsidR="003B18E2" w:rsidRPr="002D0186">
        <w:rPr>
          <w:rFonts w:cs="Arial"/>
          <w:szCs w:val="22"/>
        </w:rPr>
        <w:t xml:space="preserve"> the Constitutional Court held that section 34 of the Constitution does not have direct application to private arbitration. It may have indirect application. Section 34 provides as follows:</w:t>
      </w:r>
    </w:p>
    <w:p w14:paraId="34D669A1" w14:textId="77777777" w:rsidR="003B18E2" w:rsidRPr="002D0186" w:rsidRDefault="003B18E2" w:rsidP="003B18E2">
      <w:pPr>
        <w:spacing w:line="360" w:lineRule="auto"/>
        <w:ind w:left="720"/>
        <w:jc w:val="both"/>
        <w:rPr>
          <w:rFonts w:cs="Arial"/>
          <w:i/>
          <w:iCs/>
          <w:szCs w:val="22"/>
          <w:lang w:eastAsia="en-ZA"/>
        </w:rPr>
      </w:pPr>
      <w:r w:rsidRPr="002D0186">
        <w:rPr>
          <w:rFonts w:cs="Arial"/>
          <w:i/>
          <w:iCs/>
          <w:szCs w:val="22"/>
          <w:lang w:eastAsia="en-ZA"/>
        </w:rPr>
        <w:t>“34  Access to courts</w:t>
      </w:r>
    </w:p>
    <w:p w14:paraId="209F209A" w14:textId="77777777" w:rsidR="003B18E2" w:rsidRPr="002D0186" w:rsidRDefault="003B18E2" w:rsidP="003B18E2">
      <w:pPr>
        <w:spacing w:line="360" w:lineRule="auto"/>
        <w:ind w:left="720"/>
        <w:jc w:val="both"/>
        <w:rPr>
          <w:rFonts w:cs="Arial"/>
          <w:i/>
          <w:iCs/>
          <w:szCs w:val="22"/>
          <w:lang w:eastAsia="en-ZA"/>
        </w:rPr>
      </w:pPr>
      <w:r w:rsidRPr="002D0186">
        <w:rPr>
          <w:rFonts w:cs="Arial"/>
          <w:i/>
          <w:iCs/>
          <w:szCs w:val="22"/>
          <w:lang w:eastAsia="en-ZA"/>
        </w:rPr>
        <w:t>Everyone has the right to have any dispute that can be resolved by the application of law decided in a fair public hearing before a court or, where appropriate, another independent and impartial tribunal or forum.”</w:t>
      </w:r>
    </w:p>
    <w:p w14:paraId="13B288FE" w14:textId="77777777" w:rsidR="003B18E2" w:rsidRPr="002D0186" w:rsidRDefault="003B18E2" w:rsidP="003B18E2">
      <w:pPr>
        <w:spacing w:line="360" w:lineRule="auto"/>
        <w:jc w:val="both"/>
        <w:rPr>
          <w:rFonts w:cs="Arial"/>
          <w:i/>
          <w:iCs/>
          <w:szCs w:val="22"/>
        </w:rPr>
      </w:pPr>
    </w:p>
    <w:p w14:paraId="3D6281A6" w14:textId="6A2EB800" w:rsidR="006E3379"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[41]</w:t>
      </w:r>
      <w:r w:rsidRPr="002D0186">
        <w:rPr>
          <w:rFonts w:cs="Arial"/>
          <w:bCs/>
          <w:szCs w:val="22"/>
        </w:rPr>
        <w:tab/>
      </w:r>
      <w:r w:rsidR="003B18E2" w:rsidRPr="002D0186">
        <w:rPr>
          <w:rFonts w:cs="Arial"/>
          <w:bCs/>
          <w:szCs w:val="22"/>
        </w:rPr>
        <w:t xml:space="preserve">The Constitutional Court acknowledged that arbitrators are not necessarily independent tribunals, in the sense that the parties may consent to an arbitrator who may </w:t>
      </w:r>
      <w:r w:rsidR="003B18E2" w:rsidRPr="002D0186">
        <w:rPr>
          <w:rFonts w:cs="Arial"/>
          <w:bCs/>
          <w:szCs w:val="22"/>
        </w:rPr>
        <w:lastRenderedPageBreak/>
        <w:t>not be entirely independent.</w:t>
      </w:r>
      <w:r w:rsidR="003B18E2" w:rsidRPr="002D0186">
        <w:rPr>
          <w:rStyle w:val="FootnoteReference"/>
          <w:rFonts w:cs="Arial"/>
          <w:bCs/>
          <w:szCs w:val="22"/>
        </w:rPr>
        <w:footnoteReference w:id="43"/>
      </w:r>
      <w:r w:rsidR="003B18E2" w:rsidRPr="002D0186">
        <w:rPr>
          <w:rFonts w:cs="Arial"/>
          <w:bCs/>
          <w:szCs w:val="22"/>
        </w:rPr>
        <w:t xml:space="preserve"> This is of course so because of the operation of party autonomy. Also, one of the essential characteristics of arbitration is that arbitration generally</w:t>
      </w:r>
      <w:r w:rsidR="003B18E2" w:rsidRPr="002D0186">
        <w:rPr>
          <w:rStyle w:val="FootnoteReference"/>
          <w:rFonts w:cs="Arial"/>
          <w:bCs/>
          <w:szCs w:val="22"/>
        </w:rPr>
        <w:footnoteReference w:id="44"/>
      </w:r>
      <w:r w:rsidR="003B18E2" w:rsidRPr="002D0186">
        <w:rPr>
          <w:rFonts w:cs="Arial"/>
          <w:bCs/>
          <w:szCs w:val="22"/>
        </w:rPr>
        <w:t xml:space="preserve"> does not take place in public hearings, but privately and confidentially. This characteristic </w:t>
      </w:r>
      <w:r w:rsidR="000041E8" w:rsidRPr="002D0186">
        <w:rPr>
          <w:rFonts w:cs="Arial"/>
          <w:bCs/>
          <w:szCs w:val="22"/>
        </w:rPr>
        <w:t>cannot</w:t>
      </w:r>
      <w:r w:rsidR="00321CD9" w:rsidRPr="002D0186">
        <w:rPr>
          <w:rFonts w:cs="Arial"/>
          <w:bCs/>
          <w:szCs w:val="22"/>
        </w:rPr>
        <w:t xml:space="preserve"> be reconciled</w:t>
      </w:r>
      <w:r w:rsidR="003B18E2" w:rsidRPr="002D0186">
        <w:rPr>
          <w:rFonts w:cs="Arial"/>
          <w:bCs/>
          <w:szCs w:val="22"/>
        </w:rPr>
        <w:t xml:space="preserve"> with section 34 of the Constitution</w:t>
      </w:r>
      <w:r w:rsidR="003560A1" w:rsidRPr="002D0186">
        <w:rPr>
          <w:rFonts w:cs="Arial"/>
          <w:bCs/>
          <w:szCs w:val="22"/>
        </w:rPr>
        <w:t xml:space="preserve"> and</w:t>
      </w:r>
      <w:r w:rsidR="003B18E2" w:rsidRPr="002D0186">
        <w:rPr>
          <w:rFonts w:cs="Arial"/>
          <w:bCs/>
          <w:szCs w:val="22"/>
        </w:rPr>
        <w:t xml:space="preserve"> </w:t>
      </w:r>
      <w:r w:rsidR="003560A1" w:rsidRPr="002D0186">
        <w:rPr>
          <w:rFonts w:cs="Arial"/>
          <w:bCs/>
          <w:szCs w:val="22"/>
        </w:rPr>
        <w:t>a</w:t>
      </w:r>
      <w:r w:rsidR="003B18E2" w:rsidRPr="002D0186">
        <w:rPr>
          <w:rFonts w:cs="Arial"/>
          <w:bCs/>
          <w:szCs w:val="22"/>
        </w:rPr>
        <w:t xml:space="preserve">rbitration simply does not fit comfortably in the language of section 34. </w:t>
      </w:r>
      <w:r w:rsidR="003B18E2" w:rsidRPr="002D0186">
        <w:rPr>
          <w:rFonts w:cs="Arial"/>
          <w:szCs w:val="22"/>
        </w:rPr>
        <w:t>However, t</w:t>
      </w:r>
      <w:r w:rsidR="003B18E2" w:rsidRPr="002D0186">
        <w:rPr>
          <w:rFonts w:cs="Arial"/>
          <w:bCs/>
          <w:szCs w:val="22"/>
        </w:rPr>
        <w:t>he Constitutional Court did not deal with the presumption of impartiality of arbitrators.</w:t>
      </w:r>
    </w:p>
    <w:p w14:paraId="7513C579" w14:textId="3BD4B4F4" w:rsidR="00D818F5"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[42]</w:t>
      </w:r>
      <w:r w:rsidRPr="002D0186">
        <w:rPr>
          <w:rFonts w:cs="Arial"/>
          <w:bCs/>
          <w:szCs w:val="22"/>
        </w:rPr>
        <w:tab/>
      </w:r>
      <w:r w:rsidR="00D818F5" w:rsidRPr="002D0186">
        <w:rPr>
          <w:rFonts w:cs="Arial"/>
          <w:bCs/>
          <w:szCs w:val="22"/>
        </w:rPr>
        <w:t xml:space="preserve">There are no conflicting judgments that require resolution by the Supreme Court of Appeal and </w:t>
      </w:r>
      <w:r w:rsidR="00B02D18" w:rsidRPr="002D0186">
        <w:rPr>
          <w:rFonts w:cs="Arial"/>
          <w:bCs/>
          <w:szCs w:val="22"/>
        </w:rPr>
        <w:t xml:space="preserve">as Dlodlo JA said the </w:t>
      </w:r>
      <w:r w:rsidR="00B02D18" w:rsidRPr="002D0186">
        <w:rPr>
          <w:rStyle w:val="searchhit"/>
          <w:rFonts w:cs="Arial"/>
          <w:i/>
          <w:iCs/>
          <w:color w:val="000000"/>
          <w:szCs w:val="22"/>
          <w:bdr w:val="none" w:sz="0" w:space="0" w:color="auto" w:frame="1"/>
          <w:shd w:val="clear" w:color="auto" w:fill="F9F9F9"/>
        </w:rPr>
        <w:t>Ramakatsa</w:t>
      </w:r>
      <w:r w:rsidR="00B02D18" w:rsidRPr="002D0186">
        <w:rPr>
          <w:rStyle w:val="FootnoteReference"/>
          <w:rFonts w:cs="Arial"/>
          <w:bCs/>
          <w:i/>
          <w:iCs/>
          <w:szCs w:val="22"/>
        </w:rPr>
        <w:t xml:space="preserve"> </w:t>
      </w:r>
      <w:r w:rsidR="00B02D18" w:rsidRPr="002D0186">
        <w:rPr>
          <w:rStyle w:val="FootnoteReference"/>
          <w:rFonts w:cs="Arial"/>
          <w:bCs/>
          <w:i/>
          <w:iCs/>
          <w:szCs w:val="22"/>
        </w:rPr>
        <w:footnoteReference w:id="45"/>
      </w:r>
      <w:r w:rsidR="00B02D18" w:rsidRPr="002D0186">
        <w:rPr>
          <w:rFonts w:cs="Arial"/>
          <w:bCs/>
          <w:i/>
          <w:iCs/>
          <w:szCs w:val="22"/>
        </w:rPr>
        <w:t xml:space="preserve"> </w:t>
      </w:r>
      <w:r w:rsidR="00B02D18" w:rsidRPr="002D0186">
        <w:rPr>
          <w:rFonts w:cs="Arial"/>
          <w:bCs/>
          <w:szCs w:val="22"/>
        </w:rPr>
        <w:t>judgment, the merits of the appeal remain of vital importance in deciding whether leave to appeal should be granted.in terms of section 17(1)(a)(</w:t>
      </w:r>
      <w:bookmarkStart w:id="4" w:name="_GoBack"/>
      <w:bookmarkEnd w:id="4"/>
      <w:r w:rsidR="00B02D18" w:rsidRPr="002D0186">
        <w:rPr>
          <w:rFonts w:cs="Arial"/>
          <w:bCs/>
          <w:szCs w:val="22"/>
        </w:rPr>
        <w:t xml:space="preserve">ii) of the Superior Courts Act. </w:t>
      </w:r>
      <w:r w:rsidR="000041E8" w:rsidRPr="002D0186">
        <w:rPr>
          <w:rFonts w:cs="Arial"/>
          <w:bCs/>
          <w:szCs w:val="22"/>
        </w:rPr>
        <w:t>For b</w:t>
      </w:r>
      <w:r w:rsidR="00B02D18" w:rsidRPr="002D0186">
        <w:rPr>
          <w:rFonts w:cs="Arial"/>
          <w:bCs/>
          <w:szCs w:val="22"/>
        </w:rPr>
        <w:t>oth these reasons leave should not be granted on this ground.</w:t>
      </w:r>
    </w:p>
    <w:p w14:paraId="14BD2DA5" w14:textId="77777777" w:rsidR="00CD0D1D" w:rsidRPr="002D0186" w:rsidRDefault="00CD0D1D" w:rsidP="003E54E1">
      <w:pPr>
        <w:widowControl w:val="0"/>
        <w:spacing w:before="480" w:after="480" w:line="360" w:lineRule="auto"/>
        <w:jc w:val="both"/>
        <w:rPr>
          <w:rFonts w:cs="Arial"/>
          <w:bCs/>
          <w:szCs w:val="22"/>
          <w:u w:val="single"/>
        </w:rPr>
      </w:pPr>
    </w:p>
    <w:p w14:paraId="67FB0AB9" w14:textId="530C2A3C" w:rsidR="003E54E1" w:rsidRPr="002D0186" w:rsidRDefault="003E54E1" w:rsidP="003E54E1">
      <w:pPr>
        <w:widowControl w:val="0"/>
        <w:spacing w:before="480" w:after="480" w:line="360" w:lineRule="auto"/>
        <w:jc w:val="both"/>
        <w:rPr>
          <w:rFonts w:cs="Arial"/>
          <w:bCs/>
          <w:szCs w:val="22"/>
          <w:u w:val="single"/>
        </w:rPr>
      </w:pPr>
      <w:r w:rsidRPr="002D0186">
        <w:rPr>
          <w:rFonts w:cs="Arial"/>
          <w:bCs/>
          <w:szCs w:val="22"/>
          <w:u w:val="single"/>
        </w:rPr>
        <w:t>Conclusion</w:t>
      </w:r>
    </w:p>
    <w:p w14:paraId="7A845A0C" w14:textId="23B0FDAE" w:rsidR="000108E3" w:rsidRPr="002D0186" w:rsidRDefault="00615E41" w:rsidP="00615E41">
      <w:pPr>
        <w:widowControl w:val="0"/>
        <w:tabs>
          <w:tab w:val="left" w:pos="567"/>
        </w:tabs>
        <w:spacing w:before="480" w:after="480" w:line="360" w:lineRule="auto"/>
        <w:jc w:val="both"/>
        <w:rPr>
          <w:rFonts w:cs="Arial"/>
          <w:bCs/>
          <w:szCs w:val="22"/>
        </w:rPr>
      </w:pPr>
      <w:r w:rsidRPr="002D0186">
        <w:rPr>
          <w:rFonts w:cs="Arial"/>
          <w:bCs/>
          <w:szCs w:val="22"/>
        </w:rPr>
        <w:t>[43]</w:t>
      </w:r>
      <w:r w:rsidRPr="002D0186">
        <w:rPr>
          <w:rFonts w:cs="Arial"/>
          <w:bCs/>
          <w:szCs w:val="22"/>
        </w:rPr>
        <w:tab/>
      </w:r>
      <w:r w:rsidR="000108E3" w:rsidRPr="002D0186">
        <w:rPr>
          <w:rFonts w:cs="Arial"/>
          <w:bCs/>
          <w:szCs w:val="22"/>
        </w:rPr>
        <w:t>There is in my view no reasonable possibility on any of the grounds of appeal that a court of appeal will come to a different conclusion. For the reasons set out above I make the order in paragraph 1.</w:t>
      </w:r>
    </w:p>
    <w:p w14:paraId="53CD27EE" w14:textId="672559CF" w:rsidR="00AE287F" w:rsidRPr="002D0186" w:rsidRDefault="00A649E6" w:rsidP="006C43D7">
      <w:pPr>
        <w:tabs>
          <w:tab w:val="right" w:pos="0"/>
        </w:tabs>
        <w:spacing w:line="360" w:lineRule="auto"/>
        <w:contextualSpacing/>
        <w:jc w:val="right"/>
        <w:rPr>
          <w:rFonts w:cs="Arial"/>
          <w:b/>
          <w:szCs w:val="22"/>
        </w:rPr>
      </w:pPr>
      <w:r w:rsidRPr="002D0186">
        <w:rPr>
          <w:rFonts w:cs="Arial"/>
          <w:b/>
          <w:szCs w:val="22"/>
        </w:rPr>
        <w:t>______________</w:t>
      </w:r>
    </w:p>
    <w:p w14:paraId="0CCB9BFE" w14:textId="7ABE564D" w:rsidR="006C43D7" w:rsidRPr="002D0186" w:rsidRDefault="00C676F3" w:rsidP="006C43D7">
      <w:pPr>
        <w:tabs>
          <w:tab w:val="right" w:pos="0"/>
        </w:tabs>
        <w:spacing w:line="360" w:lineRule="auto"/>
        <w:contextualSpacing/>
        <w:jc w:val="right"/>
        <w:rPr>
          <w:rFonts w:cs="Arial"/>
          <w:b/>
          <w:szCs w:val="22"/>
        </w:rPr>
      </w:pPr>
      <w:r w:rsidRPr="002D0186">
        <w:rPr>
          <w:rFonts w:cs="Arial"/>
          <w:b/>
          <w:szCs w:val="22"/>
        </w:rPr>
        <w:t>J MOORCROFT</w:t>
      </w:r>
    </w:p>
    <w:p w14:paraId="7A2C1059" w14:textId="77777777" w:rsidR="006C43D7" w:rsidRPr="002D0186" w:rsidRDefault="006C43D7" w:rsidP="006C43D7">
      <w:pPr>
        <w:tabs>
          <w:tab w:val="right" w:pos="0"/>
        </w:tabs>
        <w:spacing w:line="360" w:lineRule="auto"/>
        <w:contextualSpacing/>
        <w:jc w:val="right"/>
        <w:rPr>
          <w:rFonts w:cs="Arial"/>
          <w:b/>
          <w:szCs w:val="22"/>
        </w:rPr>
      </w:pPr>
      <w:r w:rsidRPr="002D0186">
        <w:rPr>
          <w:rFonts w:cs="Arial"/>
          <w:b/>
          <w:szCs w:val="22"/>
        </w:rPr>
        <w:t>ACTING JUDGE OF THE HIGH COURT OF SOUTH AFRICA</w:t>
      </w:r>
    </w:p>
    <w:p w14:paraId="077C2590" w14:textId="7452355B" w:rsidR="006C43D7" w:rsidRPr="002D0186" w:rsidRDefault="006C43D7" w:rsidP="006C43D7">
      <w:pPr>
        <w:tabs>
          <w:tab w:val="right" w:pos="0"/>
          <w:tab w:val="left" w:pos="4253"/>
        </w:tabs>
        <w:spacing w:line="360" w:lineRule="auto"/>
        <w:contextualSpacing/>
        <w:jc w:val="right"/>
        <w:rPr>
          <w:rFonts w:cs="Arial"/>
          <w:b/>
          <w:szCs w:val="22"/>
        </w:rPr>
      </w:pPr>
      <w:r w:rsidRPr="002D0186">
        <w:rPr>
          <w:rFonts w:cs="Arial"/>
          <w:b/>
          <w:szCs w:val="22"/>
        </w:rPr>
        <w:t>GAUTENG DIVISION</w:t>
      </w:r>
    </w:p>
    <w:p w14:paraId="40B9C946" w14:textId="77777777" w:rsidR="006C43D7" w:rsidRPr="002D0186" w:rsidRDefault="006C43D7" w:rsidP="006C43D7">
      <w:pPr>
        <w:tabs>
          <w:tab w:val="right" w:pos="0"/>
          <w:tab w:val="left" w:pos="4253"/>
        </w:tabs>
        <w:spacing w:line="360" w:lineRule="auto"/>
        <w:contextualSpacing/>
        <w:jc w:val="right"/>
        <w:rPr>
          <w:rFonts w:cs="Arial"/>
          <w:b/>
          <w:szCs w:val="22"/>
        </w:rPr>
      </w:pPr>
      <w:r w:rsidRPr="002D0186">
        <w:rPr>
          <w:rFonts w:cs="Arial"/>
          <w:b/>
          <w:szCs w:val="22"/>
        </w:rPr>
        <w:t>JOHANNESBURG</w:t>
      </w:r>
    </w:p>
    <w:p w14:paraId="326B529B" w14:textId="77777777" w:rsidR="006C43D7" w:rsidRPr="002D0186"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2D0186" w:rsidRDefault="006C43D7" w:rsidP="006C43D7">
      <w:pPr>
        <w:spacing w:after="200" w:line="480" w:lineRule="auto"/>
        <w:contextualSpacing/>
        <w:jc w:val="right"/>
        <w:rPr>
          <w:rFonts w:cs="Arial"/>
          <w:b/>
          <w:i/>
          <w:iCs/>
          <w:szCs w:val="22"/>
        </w:rPr>
      </w:pPr>
      <w:r w:rsidRPr="002D0186">
        <w:rPr>
          <w:rFonts w:cs="Arial"/>
          <w:b/>
          <w:i/>
          <w:iCs/>
          <w:szCs w:val="22"/>
        </w:rPr>
        <w:t>Electronically submitted</w:t>
      </w:r>
    </w:p>
    <w:p w14:paraId="4E3E9427" w14:textId="77777777" w:rsidR="006C43D7" w:rsidRPr="002D0186" w:rsidRDefault="006C43D7" w:rsidP="006C43D7">
      <w:pPr>
        <w:spacing w:after="200" w:line="360" w:lineRule="auto"/>
        <w:contextualSpacing/>
        <w:jc w:val="both"/>
        <w:rPr>
          <w:rFonts w:eastAsia="Arial Unicode MS" w:cs="Arial"/>
          <w:bCs/>
          <w:szCs w:val="22"/>
        </w:rPr>
      </w:pPr>
    </w:p>
    <w:p w14:paraId="51C686CA" w14:textId="500B1ECD" w:rsidR="006C43D7" w:rsidRPr="002D0186" w:rsidRDefault="006C43D7" w:rsidP="006C43D7">
      <w:pPr>
        <w:spacing w:after="200" w:line="360" w:lineRule="auto"/>
        <w:contextualSpacing/>
        <w:jc w:val="both"/>
        <w:rPr>
          <w:rFonts w:eastAsia="Arial Unicode MS" w:cs="Arial"/>
          <w:bCs/>
          <w:szCs w:val="22"/>
        </w:rPr>
      </w:pPr>
      <w:r w:rsidRPr="002D0186">
        <w:rPr>
          <w:rFonts w:eastAsia="Arial Unicode MS" w:cs="Arial"/>
          <w:bCs/>
          <w:szCs w:val="22"/>
        </w:rPr>
        <w:t xml:space="preserve">Delivered: This judgement was prepared and authored by the Acting Judge whose name is reflected and is handed down electronically by circulation to the Parties / their legal </w:t>
      </w:r>
      <w:r w:rsidRPr="002D0186">
        <w:rPr>
          <w:rFonts w:eastAsia="Arial Unicode MS" w:cs="Arial"/>
          <w:bCs/>
          <w:szCs w:val="22"/>
        </w:rPr>
        <w:lastRenderedPageBreak/>
        <w:t>representatives by email and by uploading it to the electronic file of this matter on CaseLines. The date of the judgment is deemed to be</w:t>
      </w:r>
      <w:r w:rsidR="00C460A0" w:rsidRPr="002D0186">
        <w:rPr>
          <w:rFonts w:eastAsia="Arial Unicode MS" w:cs="Arial"/>
          <w:bCs/>
          <w:szCs w:val="22"/>
        </w:rPr>
        <w:t xml:space="preserve"> </w:t>
      </w:r>
      <w:r w:rsidR="00224F41" w:rsidRPr="002D0186">
        <w:rPr>
          <w:rFonts w:eastAsia="Arial Unicode MS" w:cs="Arial"/>
          <w:b/>
          <w:szCs w:val="22"/>
        </w:rPr>
        <w:t>2</w:t>
      </w:r>
      <w:r w:rsidR="00770169">
        <w:rPr>
          <w:rFonts w:eastAsia="Arial Unicode MS" w:cs="Arial"/>
          <w:b/>
          <w:szCs w:val="22"/>
        </w:rPr>
        <w:t>9</w:t>
      </w:r>
      <w:r w:rsidR="002954C0" w:rsidRPr="002D0186">
        <w:rPr>
          <w:rFonts w:eastAsia="Arial Unicode MS" w:cs="Arial"/>
          <w:b/>
          <w:szCs w:val="22"/>
        </w:rPr>
        <w:t xml:space="preserve"> SEPTEMBER</w:t>
      </w:r>
      <w:r w:rsidR="00DC6EF8" w:rsidRPr="002D0186">
        <w:rPr>
          <w:rFonts w:eastAsia="Arial Unicode MS" w:cs="Arial"/>
          <w:b/>
          <w:szCs w:val="22"/>
        </w:rPr>
        <w:t xml:space="preserve"> </w:t>
      </w:r>
      <w:r w:rsidR="00237FF9" w:rsidRPr="002D0186">
        <w:rPr>
          <w:rFonts w:eastAsia="Arial Unicode MS" w:cs="Arial"/>
          <w:b/>
          <w:bCs/>
          <w:szCs w:val="22"/>
        </w:rPr>
        <w:t>202</w:t>
      </w:r>
      <w:r w:rsidR="00051A2B" w:rsidRPr="002D0186">
        <w:rPr>
          <w:rFonts w:eastAsia="Arial Unicode MS" w:cs="Arial"/>
          <w:b/>
          <w:bCs/>
          <w:szCs w:val="22"/>
        </w:rPr>
        <w:t>3</w:t>
      </w:r>
      <w:r w:rsidR="00051A2B" w:rsidRPr="002D0186">
        <w:rPr>
          <w:rFonts w:eastAsia="Arial Unicode MS" w:cs="Arial"/>
          <w:bCs/>
          <w:szCs w:val="22"/>
        </w:rPr>
        <w:t>.</w:t>
      </w:r>
    </w:p>
    <w:p w14:paraId="482DDF6E" w14:textId="77777777" w:rsidR="006C43D7" w:rsidRPr="002D0186"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tblGrid>
      <w:tr w:rsidR="009D35B5" w:rsidRPr="002D0186" w14:paraId="493AF0D7" w14:textId="77777777" w:rsidTr="00027D19">
        <w:tc>
          <w:tcPr>
            <w:tcW w:w="4678" w:type="dxa"/>
          </w:tcPr>
          <w:p w14:paraId="6A05541A" w14:textId="61334A5F" w:rsidR="009D35B5" w:rsidRPr="002D0186" w:rsidRDefault="009D35B5" w:rsidP="00A25AB4">
            <w:pPr>
              <w:tabs>
                <w:tab w:val="right" w:pos="0"/>
                <w:tab w:val="left" w:pos="4253"/>
              </w:tabs>
              <w:spacing w:before="120" w:after="120"/>
              <w:rPr>
                <w:rFonts w:cs="Arial"/>
                <w:szCs w:val="22"/>
              </w:rPr>
            </w:pPr>
            <w:r w:rsidRPr="002D0186">
              <w:rPr>
                <w:rFonts w:cs="Arial"/>
                <w:szCs w:val="22"/>
              </w:rPr>
              <w:t xml:space="preserve">COUNSEL FOR THE </w:t>
            </w:r>
            <w:r w:rsidR="00027D19" w:rsidRPr="002D0186">
              <w:rPr>
                <w:rFonts w:cs="Arial"/>
                <w:szCs w:val="22"/>
              </w:rPr>
              <w:t>APPLICANT</w:t>
            </w:r>
            <w:r w:rsidRPr="002D0186">
              <w:rPr>
                <w:rFonts w:cs="Arial"/>
                <w:szCs w:val="22"/>
              </w:rPr>
              <w:t>:</w:t>
            </w:r>
          </w:p>
        </w:tc>
        <w:tc>
          <w:tcPr>
            <w:tcW w:w="3402" w:type="dxa"/>
          </w:tcPr>
          <w:p w14:paraId="2A41C1F4" w14:textId="77777777" w:rsidR="00D15C79" w:rsidRPr="002D0186" w:rsidRDefault="001144FB" w:rsidP="00A25AB4">
            <w:pPr>
              <w:tabs>
                <w:tab w:val="right" w:pos="0"/>
                <w:tab w:val="left" w:pos="567"/>
                <w:tab w:val="right" w:pos="2727"/>
                <w:tab w:val="left" w:pos="4253"/>
              </w:tabs>
              <w:spacing w:before="120" w:after="120"/>
              <w:jc w:val="right"/>
              <w:rPr>
                <w:rFonts w:cs="Arial"/>
                <w:szCs w:val="22"/>
              </w:rPr>
            </w:pPr>
            <w:r w:rsidRPr="002D0186">
              <w:rPr>
                <w:rFonts w:cs="Arial"/>
                <w:szCs w:val="22"/>
              </w:rPr>
              <w:t>G MARCUS SC</w:t>
            </w:r>
          </w:p>
          <w:p w14:paraId="69785AA9" w14:textId="352871EA" w:rsidR="001144FB" w:rsidRPr="002D0186" w:rsidRDefault="0064365B" w:rsidP="00A25AB4">
            <w:pPr>
              <w:tabs>
                <w:tab w:val="right" w:pos="0"/>
                <w:tab w:val="left" w:pos="567"/>
                <w:tab w:val="right" w:pos="2727"/>
                <w:tab w:val="left" w:pos="4253"/>
              </w:tabs>
              <w:spacing w:before="120" w:after="120"/>
              <w:jc w:val="right"/>
              <w:rPr>
                <w:rFonts w:cs="Arial"/>
                <w:szCs w:val="22"/>
              </w:rPr>
            </w:pPr>
            <w:r w:rsidRPr="002D0186">
              <w:rPr>
                <w:rFonts w:cs="Arial"/>
                <w:szCs w:val="22"/>
              </w:rPr>
              <w:t>L MINNÉ</w:t>
            </w:r>
          </w:p>
        </w:tc>
      </w:tr>
      <w:tr w:rsidR="009D35B5" w:rsidRPr="002D0186" w14:paraId="183C176D" w14:textId="77777777" w:rsidTr="00027D19">
        <w:tc>
          <w:tcPr>
            <w:tcW w:w="4678" w:type="dxa"/>
          </w:tcPr>
          <w:p w14:paraId="75365413" w14:textId="481747BC" w:rsidR="009D35B5" w:rsidRPr="002D0186" w:rsidRDefault="009D35B5" w:rsidP="00A25AB4">
            <w:pPr>
              <w:tabs>
                <w:tab w:val="right" w:pos="0"/>
                <w:tab w:val="left" w:pos="4253"/>
              </w:tabs>
              <w:spacing w:before="120" w:after="120"/>
              <w:rPr>
                <w:rFonts w:cs="Arial"/>
                <w:szCs w:val="22"/>
              </w:rPr>
            </w:pPr>
            <w:r w:rsidRPr="002D0186">
              <w:rPr>
                <w:rFonts w:cs="Arial"/>
                <w:szCs w:val="22"/>
              </w:rPr>
              <w:t>INSTRUCTED BY:</w:t>
            </w:r>
          </w:p>
        </w:tc>
        <w:tc>
          <w:tcPr>
            <w:tcW w:w="3402" w:type="dxa"/>
          </w:tcPr>
          <w:p w14:paraId="4044534A" w14:textId="0CB5F788" w:rsidR="00E10D04" w:rsidRPr="002D0186" w:rsidRDefault="002954C0" w:rsidP="00A25AB4">
            <w:pPr>
              <w:tabs>
                <w:tab w:val="right" w:pos="0"/>
                <w:tab w:val="left" w:pos="4253"/>
              </w:tabs>
              <w:spacing w:before="120" w:after="120"/>
              <w:jc w:val="right"/>
              <w:rPr>
                <w:rFonts w:cs="Arial"/>
                <w:szCs w:val="22"/>
              </w:rPr>
            </w:pPr>
            <w:r w:rsidRPr="002D0186">
              <w:rPr>
                <w:rFonts w:cs="Arial"/>
                <w:szCs w:val="22"/>
              </w:rPr>
              <w:t>WERKSMANS</w:t>
            </w:r>
            <w:r w:rsidR="00E10D04" w:rsidRPr="002D0186">
              <w:rPr>
                <w:rFonts w:cs="Arial"/>
                <w:szCs w:val="22"/>
              </w:rPr>
              <w:t xml:space="preserve"> ATTORNEYS</w:t>
            </w:r>
          </w:p>
        </w:tc>
      </w:tr>
      <w:tr w:rsidR="009D35B5" w:rsidRPr="002D0186" w14:paraId="6E2BF966" w14:textId="77777777" w:rsidTr="00027D19">
        <w:tc>
          <w:tcPr>
            <w:tcW w:w="4678" w:type="dxa"/>
          </w:tcPr>
          <w:p w14:paraId="545B6665" w14:textId="4512BE19" w:rsidR="009D35B5" w:rsidRPr="002D0186" w:rsidRDefault="009D35B5" w:rsidP="00A25AB4">
            <w:pPr>
              <w:tabs>
                <w:tab w:val="right" w:pos="0"/>
                <w:tab w:val="left" w:pos="4253"/>
              </w:tabs>
              <w:spacing w:before="120" w:after="120"/>
              <w:rPr>
                <w:rFonts w:cs="Arial"/>
                <w:szCs w:val="22"/>
              </w:rPr>
            </w:pPr>
            <w:r w:rsidRPr="002D0186">
              <w:rPr>
                <w:rFonts w:cs="Arial"/>
                <w:szCs w:val="22"/>
              </w:rPr>
              <w:t xml:space="preserve">COUNSEL FOR </w:t>
            </w:r>
            <w:r w:rsidR="00027D19" w:rsidRPr="002D0186">
              <w:rPr>
                <w:rFonts w:cs="Arial"/>
                <w:szCs w:val="22"/>
              </w:rPr>
              <w:t>RESPONDENT</w:t>
            </w:r>
            <w:r w:rsidRPr="002D0186">
              <w:rPr>
                <w:rFonts w:cs="Arial"/>
                <w:szCs w:val="22"/>
              </w:rPr>
              <w:t>:</w:t>
            </w:r>
          </w:p>
        </w:tc>
        <w:tc>
          <w:tcPr>
            <w:tcW w:w="3402" w:type="dxa"/>
          </w:tcPr>
          <w:p w14:paraId="3E69AA48" w14:textId="77777777" w:rsidR="00E10D04" w:rsidRPr="002D0186" w:rsidRDefault="00E10D04" w:rsidP="00A25AB4">
            <w:pPr>
              <w:tabs>
                <w:tab w:val="right" w:pos="0"/>
                <w:tab w:val="left" w:pos="4253"/>
              </w:tabs>
              <w:spacing w:before="120" w:after="120"/>
              <w:jc w:val="right"/>
              <w:rPr>
                <w:rFonts w:cs="Arial"/>
                <w:szCs w:val="22"/>
              </w:rPr>
            </w:pPr>
            <w:r w:rsidRPr="002D0186">
              <w:rPr>
                <w:rFonts w:cs="Arial"/>
                <w:szCs w:val="22"/>
              </w:rPr>
              <w:t>J CANE SC</w:t>
            </w:r>
          </w:p>
          <w:p w14:paraId="51741A90" w14:textId="0E8AEDDD" w:rsidR="009D35B5" w:rsidRPr="002D0186" w:rsidRDefault="00E10D04" w:rsidP="00A25AB4">
            <w:pPr>
              <w:tabs>
                <w:tab w:val="right" w:pos="0"/>
                <w:tab w:val="left" w:pos="4253"/>
              </w:tabs>
              <w:spacing w:before="120" w:after="120"/>
              <w:jc w:val="right"/>
              <w:rPr>
                <w:rFonts w:cs="Arial"/>
                <w:szCs w:val="22"/>
              </w:rPr>
            </w:pPr>
            <w:r w:rsidRPr="002D0186">
              <w:rPr>
                <w:rFonts w:cs="Arial"/>
                <w:szCs w:val="22"/>
              </w:rPr>
              <w:t>L SCHÄFER</w:t>
            </w:r>
          </w:p>
        </w:tc>
      </w:tr>
      <w:tr w:rsidR="009D35B5" w:rsidRPr="002D0186" w14:paraId="1EC4105A" w14:textId="77777777" w:rsidTr="00027D19">
        <w:tc>
          <w:tcPr>
            <w:tcW w:w="4678" w:type="dxa"/>
          </w:tcPr>
          <w:p w14:paraId="184EC2ED" w14:textId="1E42F28A" w:rsidR="009D35B5" w:rsidRPr="002D0186" w:rsidRDefault="009D35B5" w:rsidP="00A25AB4">
            <w:pPr>
              <w:tabs>
                <w:tab w:val="right" w:pos="0"/>
                <w:tab w:val="left" w:pos="4253"/>
              </w:tabs>
              <w:spacing w:before="120" w:after="120"/>
              <w:rPr>
                <w:rFonts w:cs="Arial"/>
                <w:szCs w:val="22"/>
              </w:rPr>
            </w:pPr>
            <w:r w:rsidRPr="002D0186">
              <w:rPr>
                <w:rFonts w:cs="Arial"/>
                <w:szCs w:val="22"/>
              </w:rPr>
              <w:t>INSTRUCTED BY:</w:t>
            </w:r>
          </w:p>
        </w:tc>
        <w:tc>
          <w:tcPr>
            <w:tcW w:w="3402" w:type="dxa"/>
          </w:tcPr>
          <w:p w14:paraId="2098BE2A" w14:textId="02443AA8" w:rsidR="009D35B5" w:rsidRPr="002D0186" w:rsidRDefault="00E10D04" w:rsidP="00A25AB4">
            <w:pPr>
              <w:tabs>
                <w:tab w:val="right" w:pos="0"/>
                <w:tab w:val="left" w:pos="4253"/>
              </w:tabs>
              <w:spacing w:before="120" w:after="120"/>
              <w:jc w:val="right"/>
              <w:rPr>
                <w:rFonts w:cs="Arial"/>
                <w:szCs w:val="22"/>
              </w:rPr>
            </w:pPr>
            <w:r w:rsidRPr="002D0186">
              <w:rPr>
                <w:rFonts w:cs="Arial"/>
                <w:szCs w:val="22"/>
              </w:rPr>
              <w:t>A KATHRADA INC</w:t>
            </w:r>
          </w:p>
        </w:tc>
      </w:tr>
      <w:tr w:rsidR="009D35B5" w:rsidRPr="002D0186" w14:paraId="2A3FE2B1" w14:textId="77777777" w:rsidTr="00027D19">
        <w:tc>
          <w:tcPr>
            <w:tcW w:w="4678" w:type="dxa"/>
          </w:tcPr>
          <w:p w14:paraId="0767D0FE" w14:textId="61925A22" w:rsidR="009D35B5" w:rsidRPr="002D0186" w:rsidRDefault="009D35B5" w:rsidP="00A25AB4">
            <w:pPr>
              <w:tabs>
                <w:tab w:val="right" w:pos="0"/>
                <w:tab w:val="left" w:pos="4253"/>
              </w:tabs>
              <w:spacing w:before="120" w:after="120"/>
              <w:rPr>
                <w:rFonts w:cs="Arial"/>
                <w:szCs w:val="22"/>
              </w:rPr>
            </w:pPr>
            <w:r w:rsidRPr="002D0186">
              <w:rPr>
                <w:rFonts w:cs="Arial"/>
                <w:szCs w:val="22"/>
              </w:rPr>
              <w:t xml:space="preserve">DATE </w:t>
            </w:r>
            <w:r w:rsidR="00E57446" w:rsidRPr="002D0186">
              <w:rPr>
                <w:rFonts w:cs="Arial"/>
                <w:szCs w:val="22"/>
              </w:rPr>
              <w:t>OF ARGUMENT</w:t>
            </w:r>
            <w:r w:rsidRPr="002D0186">
              <w:rPr>
                <w:rFonts w:cs="Arial"/>
                <w:szCs w:val="22"/>
              </w:rPr>
              <w:t>:</w:t>
            </w:r>
          </w:p>
        </w:tc>
        <w:tc>
          <w:tcPr>
            <w:tcW w:w="3402" w:type="dxa"/>
          </w:tcPr>
          <w:p w14:paraId="34C95147" w14:textId="41D989E9" w:rsidR="009D35B5" w:rsidRPr="002D0186" w:rsidRDefault="002954C0" w:rsidP="00A25AB4">
            <w:pPr>
              <w:tabs>
                <w:tab w:val="right" w:pos="0"/>
                <w:tab w:val="left" w:pos="4253"/>
              </w:tabs>
              <w:spacing w:before="120" w:after="120"/>
              <w:jc w:val="right"/>
              <w:rPr>
                <w:rFonts w:cs="Arial"/>
                <w:szCs w:val="22"/>
              </w:rPr>
            </w:pPr>
            <w:r w:rsidRPr="002D0186">
              <w:rPr>
                <w:rFonts w:cs="Arial"/>
                <w:szCs w:val="22"/>
              </w:rPr>
              <w:t>18 SEPTEMBER 2023</w:t>
            </w:r>
          </w:p>
        </w:tc>
      </w:tr>
      <w:tr w:rsidR="00A25AB4" w:rsidRPr="002D0186" w14:paraId="5ECDFF3A" w14:textId="77777777" w:rsidTr="00027D19">
        <w:tc>
          <w:tcPr>
            <w:tcW w:w="4678" w:type="dxa"/>
          </w:tcPr>
          <w:p w14:paraId="1DF2AE9E" w14:textId="1FC539A4" w:rsidR="00A25AB4" w:rsidRPr="002D0186" w:rsidRDefault="00A25AB4" w:rsidP="00A25AB4">
            <w:pPr>
              <w:tabs>
                <w:tab w:val="right" w:pos="0"/>
                <w:tab w:val="left" w:pos="4253"/>
              </w:tabs>
              <w:spacing w:before="120" w:after="120"/>
              <w:rPr>
                <w:rFonts w:cs="Arial"/>
                <w:szCs w:val="22"/>
              </w:rPr>
            </w:pPr>
            <w:r w:rsidRPr="002D0186">
              <w:rPr>
                <w:rFonts w:cs="Arial"/>
                <w:szCs w:val="22"/>
              </w:rPr>
              <w:t>DATE OF JUDGMENT:</w:t>
            </w:r>
          </w:p>
        </w:tc>
        <w:tc>
          <w:tcPr>
            <w:tcW w:w="3402" w:type="dxa"/>
          </w:tcPr>
          <w:p w14:paraId="02219E99" w14:textId="50FF9570" w:rsidR="00A25AB4" w:rsidRPr="002D0186" w:rsidRDefault="00224F41" w:rsidP="00A25AB4">
            <w:pPr>
              <w:tabs>
                <w:tab w:val="right" w:pos="0"/>
                <w:tab w:val="left" w:pos="4253"/>
              </w:tabs>
              <w:spacing w:before="120" w:after="120"/>
              <w:jc w:val="right"/>
              <w:rPr>
                <w:rFonts w:cs="Arial"/>
                <w:szCs w:val="22"/>
              </w:rPr>
            </w:pPr>
            <w:r w:rsidRPr="002D0186">
              <w:rPr>
                <w:rFonts w:cs="Arial"/>
                <w:szCs w:val="22"/>
              </w:rPr>
              <w:t>2</w:t>
            </w:r>
            <w:r w:rsidR="00770169">
              <w:rPr>
                <w:rFonts w:cs="Arial"/>
                <w:szCs w:val="22"/>
              </w:rPr>
              <w:t>9</w:t>
            </w:r>
            <w:r w:rsidR="002954C0" w:rsidRPr="002D0186">
              <w:rPr>
                <w:rFonts w:cs="Arial"/>
                <w:szCs w:val="22"/>
              </w:rPr>
              <w:t xml:space="preserve"> SEPTEMBER </w:t>
            </w:r>
            <w:r w:rsidR="00A25AB4" w:rsidRPr="002D0186">
              <w:rPr>
                <w:rFonts w:cs="Arial"/>
                <w:szCs w:val="22"/>
              </w:rPr>
              <w:t>2023</w:t>
            </w:r>
          </w:p>
        </w:tc>
      </w:tr>
    </w:tbl>
    <w:p w14:paraId="1BD8F4EB" w14:textId="24205645" w:rsidR="00A402F6" w:rsidRPr="002D0186" w:rsidRDefault="00A402F6" w:rsidP="00A402F6">
      <w:pPr>
        <w:tabs>
          <w:tab w:val="right" w:pos="8647"/>
        </w:tabs>
        <w:spacing w:line="360" w:lineRule="auto"/>
        <w:contextualSpacing/>
        <w:jc w:val="both"/>
        <w:rPr>
          <w:rFonts w:cs="Arial"/>
          <w:szCs w:val="22"/>
        </w:rPr>
      </w:pPr>
      <w:r w:rsidRPr="002D0186">
        <w:rPr>
          <w:rFonts w:cs="Arial"/>
          <w:szCs w:val="22"/>
        </w:rPr>
        <w:tab/>
      </w:r>
    </w:p>
    <w:sectPr w:rsidR="00A402F6" w:rsidRPr="002D0186"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E59C" w14:textId="77777777" w:rsidR="006C49BA" w:rsidRDefault="006C49BA">
      <w:r>
        <w:separator/>
      </w:r>
    </w:p>
  </w:endnote>
  <w:endnote w:type="continuationSeparator" w:id="0">
    <w:p w14:paraId="4B4D1106" w14:textId="77777777" w:rsidR="006C49BA" w:rsidRDefault="006C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378B0" w14:textId="77777777" w:rsidR="006C49BA" w:rsidRDefault="006C49BA">
      <w:r>
        <w:separator/>
      </w:r>
    </w:p>
  </w:footnote>
  <w:footnote w:type="continuationSeparator" w:id="0">
    <w:p w14:paraId="17D2EB26" w14:textId="77777777" w:rsidR="006C49BA" w:rsidRDefault="006C49BA">
      <w:r>
        <w:continuationSeparator/>
      </w:r>
    </w:p>
  </w:footnote>
  <w:footnote w:id="1">
    <w:p w14:paraId="0B9A743F" w14:textId="2110ED22" w:rsidR="00A82F31" w:rsidRDefault="00A82F31" w:rsidP="001E255B">
      <w:pPr>
        <w:pStyle w:val="FootnoteText"/>
      </w:pPr>
      <w:r>
        <w:rPr>
          <w:rStyle w:val="FootnoteReference"/>
        </w:rPr>
        <w:footnoteRef/>
      </w:r>
      <w:r>
        <w:t xml:space="preserve"> </w:t>
      </w:r>
      <w:bookmarkStart w:id="1" w:name="_Hlk146021880"/>
      <w:r>
        <w:tab/>
      </w:r>
      <w:r w:rsidRPr="007734DC">
        <w:rPr>
          <w:i/>
          <w:iCs/>
        </w:rPr>
        <w:t>Altech Radio Holdings (Pty) Ltd v Aeonova360 Management Services (Pty) Ltd and another</w:t>
      </w:r>
      <w:r w:rsidRPr="007734DC">
        <w:br/>
      </w:r>
      <w:bookmarkEnd w:id="1"/>
      <w:r w:rsidR="001D20A8">
        <w:t xml:space="preserve">[2023] ZAGPJHC 475, </w:t>
      </w:r>
      <w:r w:rsidR="001D20A8" w:rsidRPr="007734DC">
        <w:t>2023 JDR 1421 (GJ)</w:t>
      </w:r>
      <w:r w:rsidR="001D20A8">
        <w:t>.</w:t>
      </w:r>
      <w:r w:rsidR="00981766">
        <w:t xml:space="preserve"> The case number is 2023-001585.</w:t>
      </w:r>
    </w:p>
  </w:footnote>
  <w:footnote w:id="2">
    <w:p w14:paraId="57A76D78" w14:textId="449136E5" w:rsidR="00A82F31" w:rsidRDefault="00A82F31" w:rsidP="001E255B">
      <w:pPr>
        <w:pStyle w:val="FootnoteText"/>
      </w:pPr>
      <w:r>
        <w:rPr>
          <w:rStyle w:val="FootnoteReference"/>
        </w:rPr>
        <w:footnoteRef/>
      </w:r>
      <w:r>
        <w:t xml:space="preserve"> </w:t>
      </w:r>
      <w:r>
        <w:tab/>
      </w:r>
      <w:r w:rsidRPr="00B335C2">
        <w:rPr>
          <w:i/>
          <w:iCs/>
        </w:rPr>
        <w:t>Altech Radio Holdings (Pty) Ltd v Aeonova360 Management Services (Pty) Ltd and another</w:t>
      </w:r>
      <w:r w:rsidRPr="00B335C2">
        <w:t xml:space="preserve"> </w:t>
      </w:r>
      <w:r w:rsidR="001D20A8">
        <w:t xml:space="preserve">[2023] ZAGPJHC 631, </w:t>
      </w:r>
      <w:r w:rsidRPr="00B335C2">
        <w:t>2023 JDR 1969 (GJ)</w:t>
      </w:r>
      <w:r>
        <w:t>.</w:t>
      </w:r>
      <w:r w:rsidR="00981766">
        <w:t xml:space="preserve"> The case number is </w:t>
      </w:r>
      <w:r w:rsidR="00981766" w:rsidRPr="005569AC">
        <w:rPr>
          <w:bCs/>
          <w:szCs w:val="22"/>
        </w:rPr>
        <w:t>2023-032734</w:t>
      </w:r>
      <w:r w:rsidR="00981766">
        <w:rPr>
          <w:bCs/>
          <w:szCs w:val="22"/>
        </w:rPr>
        <w:t>.</w:t>
      </w:r>
    </w:p>
  </w:footnote>
  <w:footnote w:id="3">
    <w:p w14:paraId="0B908F29" w14:textId="77777777" w:rsidR="0064365B" w:rsidRDefault="0064365B" w:rsidP="001E255B">
      <w:pPr>
        <w:pStyle w:val="FootnoteText"/>
      </w:pPr>
      <w:r>
        <w:rPr>
          <w:rStyle w:val="FootnoteReference"/>
        </w:rPr>
        <w:footnoteRef/>
      </w:r>
      <w:r>
        <w:t xml:space="preserve"> </w:t>
      </w:r>
      <w:r>
        <w:tab/>
      </w:r>
      <w:r w:rsidRPr="00EA5B3C">
        <w:rPr>
          <w:rFonts w:eastAsia="Calibri"/>
          <w:i/>
          <w:iCs/>
        </w:rPr>
        <w:t>KwaZulu-Natal Law Society v Sharma</w:t>
      </w:r>
      <w:r w:rsidRPr="00E21A09">
        <w:rPr>
          <w:rFonts w:eastAsia="Calibri" w:cs="Arial"/>
          <w:color w:val="000000"/>
        </w:rPr>
        <w:t xml:space="preserve"> [2017] JOL 37724 (KZP) </w:t>
      </w:r>
      <w:r>
        <w:rPr>
          <w:rFonts w:eastAsia="Calibri" w:cs="Arial"/>
          <w:color w:val="000000"/>
        </w:rPr>
        <w:t>para</w:t>
      </w:r>
      <w:r w:rsidRPr="00E21A09">
        <w:rPr>
          <w:rFonts w:eastAsia="Calibri" w:cs="Arial"/>
          <w:color w:val="000000"/>
        </w:rPr>
        <w:t xml:space="preserve"> 29.</w:t>
      </w:r>
      <w:r>
        <w:rPr>
          <w:rFonts w:eastAsia="Calibri" w:cs="Arial"/>
          <w:color w:val="000000"/>
        </w:rPr>
        <w:t xml:space="preserve"> See also </w:t>
      </w:r>
      <w:r w:rsidRPr="00B83232">
        <w:rPr>
          <w:i/>
          <w:iCs/>
        </w:rPr>
        <w:t>Shinga v The State and another (Society of Advocates (Pietermaritzburg Bar) intervening as Amicus Curiae); S v O'Connell and others</w:t>
      </w:r>
      <w:r>
        <w:t xml:space="preserve"> 2007 (2) SACR 28 (CC).</w:t>
      </w:r>
    </w:p>
  </w:footnote>
  <w:footnote w:id="4">
    <w:p w14:paraId="43D0D51C" w14:textId="77777777" w:rsidR="0064365B" w:rsidRDefault="0064365B" w:rsidP="001E255B">
      <w:pPr>
        <w:pStyle w:val="FootnoteText"/>
      </w:pPr>
      <w:r>
        <w:rPr>
          <w:rStyle w:val="FootnoteReference"/>
        </w:rPr>
        <w:footnoteRef/>
      </w:r>
      <w:r>
        <w:t xml:space="preserve"> </w:t>
      </w:r>
      <w:r>
        <w:tab/>
      </w:r>
      <w:r w:rsidRPr="00E21A09">
        <w:rPr>
          <w:rFonts w:eastAsia="Calibri"/>
          <w:i/>
          <w:iCs/>
        </w:rPr>
        <w:t>S v Smith</w:t>
      </w:r>
      <w:r w:rsidRPr="00E21A09">
        <w:rPr>
          <w:rFonts w:eastAsia="Calibri" w:cs="Arial"/>
          <w:color w:val="000000"/>
        </w:rPr>
        <w:t xml:space="preserve"> 2012 (1) SACR 567 (SCA) </w:t>
      </w:r>
      <w:r>
        <w:rPr>
          <w:rFonts w:eastAsia="Calibri" w:cs="Arial"/>
          <w:color w:val="000000"/>
        </w:rPr>
        <w:t>para</w:t>
      </w:r>
      <w:r w:rsidRPr="00E21A09">
        <w:rPr>
          <w:rFonts w:eastAsia="Calibri" w:cs="Arial"/>
          <w:color w:val="000000"/>
        </w:rPr>
        <w:t xml:space="preserve"> 7</w:t>
      </w:r>
      <w:r>
        <w:rPr>
          <w:rFonts w:eastAsia="Calibri" w:cs="Arial"/>
          <w:color w:val="000000"/>
        </w:rPr>
        <w:t>.</w:t>
      </w:r>
    </w:p>
  </w:footnote>
  <w:footnote w:id="5">
    <w:p w14:paraId="69FEC221" w14:textId="77777777" w:rsidR="00331CF7" w:rsidRPr="00054474" w:rsidRDefault="00331CF7" w:rsidP="001E255B">
      <w:pPr>
        <w:pStyle w:val="FootnoteText"/>
      </w:pPr>
      <w:r>
        <w:rPr>
          <w:rStyle w:val="FootnoteReference"/>
        </w:rPr>
        <w:footnoteRef/>
      </w:r>
      <w:r>
        <w:t xml:space="preserve"> </w:t>
      </w:r>
      <w:r>
        <w:tab/>
      </w:r>
      <w:r w:rsidRPr="00054474">
        <w:rPr>
          <w:rFonts w:eastAsia="Calibri"/>
          <w:i/>
          <w:iCs/>
        </w:rPr>
        <w:t xml:space="preserve">Mont Chevaux Trust </w:t>
      </w:r>
      <w:r>
        <w:rPr>
          <w:rFonts w:cs="Arial"/>
          <w:i/>
          <w:iCs/>
        </w:rPr>
        <w:t xml:space="preserve">(IT 2012/28) </w:t>
      </w:r>
      <w:r w:rsidRPr="00054474">
        <w:rPr>
          <w:rFonts w:eastAsia="Calibri"/>
          <w:i/>
          <w:iCs/>
        </w:rPr>
        <w:t xml:space="preserve">v </w:t>
      </w:r>
      <w:r>
        <w:rPr>
          <w:rFonts w:eastAsia="Calibri"/>
          <w:i/>
          <w:iCs/>
        </w:rPr>
        <w:t xml:space="preserve">Tina </w:t>
      </w:r>
      <w:r w:rsidRPr="00054474">
        <w:rPr>
          <w:rFonts w:eastAsia="Calibri"/>
          <w:i/>
          <w:iCs/>
        </w:rPr>
        <w:t>Goosen</w:t>
      </w:r>
      <w:r w:rsidRPr="00054474">
        <w:rPr>
          <w:rFonts w:eastAsia="Calibri" w:cs="Arial"/>
          <w:color w:val="000000"/>
        </w:rPr>
        <w:t xml:space="preserve"> 2014 JDR 2325 (LCC)</w:t>
      </w:r>
      <w:r>
        <w:rPr>
          <w:rFonts w:cs="Arial"/>
        </w:rPr>
        <w:t xml:space="preserve">, </w:t>
      </w:r>
      <w:r w:rsidRPr="00054474">
        <w:rPr>
          <w:rFonts w:cs="Arial"/>
        </w:rPr>
        <w:t xml:space="preserve">[2014] ZALCC 20 </w:t>
      </w:r>
      <w:r>
        <w:rPr>
          <w:rFonts w:cs="Arial"/>
        </w:rPr>
        <w:t>para</w:t>
      </w:r>
      <w:r w:rsidRPr="00054474">
        <w:rPr>
          <w:rFonts w:cs="Arial"/>
        </w:rPr>
        <w:t xml:space="preserve"> 6</w:t>
      </w:r>
      <w:r>
        <w:rPr>
          <w:rFonts w:cs="Arial"/>
        </w:rPr>
        <w:t>.</w:t>
      </w:r>
    </w:p>
  </w:footnote>
  <w:footnote w:id="6">
    <w:p w14:paraId="6D6A648C" w14:textId="77777777" w:rsidR="00331CF7" w:rsidRPr="00B83232" w:rsidRDefault="00331CF7" w:rsidP="001E255B">
      <w:pPr>
        <w:pStyle w:val="FootnoteText"/>
        <w:rPr>
          <w:rFonts w:cs="Arial"/>
        </w:rPr>
      </w:pPr>
      <w:r>
        <w:rPr>
          <w:rStyle w:val="FootnoteReference"/>
        </w:rPr>
        <w:footnoteRef/>
      </w:r>
      <w:r>
        <w:t xml:space="preserve"> </w:t>
      </w:r>
      <w:r>
        <w:tab/>
      </w:r>
      <w:r w:rsidRPr="00B83232">
        <w:rPr>
          <w:rFonts w:eastAsia="Calibri" w:cs="Arial"/>
          <w:i/>
          <w:iCs/>
        </w:rPr>
        <w:t>S v Notshokovu</w:t>
      </w:r>
      <w:r w:rsidRPr="00B83232">
        <w:rPr>
          <w:rFonts w:cs="Arial"/>
        </w:rPr>
        <w:t xml:space="preserve"> 2016 JDR 1647 (SCA),</w:t>
      </w:r>
      <w:r w:rsidRPr="00B83232">
        <w:rPr>
          <w:rFonts w:eastAsia="Calibri" w:cs="Arial"/>
          <w:color w:val="000000"/>
        </w:rPr>
        <w:t xml:space="preserve"> [2016] ZASCA 112 </w:t>
      </w:r>
      <w:r>
        <w:rPr>
          <w:rFonts w:eastAsia="Calibri" w:cs="Arial"/>
          <w:color w:val="000000"/>
        </w:rPr>
        <w:t>para</w:t>
      </w:r>
      <w:r w:rsidRPr="00B83232">
        <w:rPr>
          <w:rFonts w:eastAsia="Calibri" w:cs="Arial"/>
          <w:color w:val="000000"/>
        </w:rPr>
        <w:t xml:space="preserve"> 2.</w:t>
      </w:r>
    </w:p>
  </w:footnote>
  <w:footnote w:id="7">
    <w:p w14:paraId="2F430508" w14:textId="7E2793B5" w:rsidR="00E65CE8" w:rsidRDefault="00E65CE8" w:rsidP="00E65CE8">
      <w:pPr>
        <w:pStyle w:val="FootnoteText"/>
      </w:pPr>
      <w:r>
        <w:rPr>
          <w:rStyle w:val="FootnoteReference"/>
        </w:rPr>
        <w:footnoteRef/>
      </w:r>
      <w:r>
        <w:t xml:space="preserve"> </w:t>
      </w:r>
      <w:r>
        <w:tab/>
      </w:r>
      <w:r w:rsidRPr="008A2504">
        <w:rPr>
          <w:i/>
          <w:iCs/>
          <w:lang w:eastAsia="en-ZA"/>
        </w:rPr>
        <w:t>Member of the Executive Council</w:t>
      </w:r>
      <w:r>
        <w:rPr>
          <w:i/>
          <w:iCs/>
          <w:lang w:eastAsia="en-ZA"/>
        </w:rPr>
        <w:t xml:space="preserve"> </w:t>
      </w:r>
      <w:r w:rsidRPr="008A2504">
        <w:rPr>
          <w:i/>
          <w:iCs/>
          <w:lang w:eastAsia="en-ZA"/>
        </w:rPr>
        <w:t>for</w:t>
      </w:r>
      <w:r>
        <w:rPr>
          <w:i/>
          <w:iCs/>
          <w:lang w:eastAsia="en-ZA"/>
        </w:rPr>
        <w:t xml:space="preserve"> </w:t>
      </w:r>
      <w:r w:rsidRPr="008A2504">
        <w:rPr>
          <w:i/>
          <w:iCs/>
          <w:lang w:eastAsia="en-ZA"/>
        </w:rPr>
        <w:t>Health,</w:t>
      </w:r>
      <w:r>
        <w:rPr>
          <w:i/>
          <w:iCs/>
          <w:lang w:eastAsia="en-ZA"/>
        </w:rPr>
        <w:t xml:space="preserve"> </w:t>
      </w:r>
      <w:r w:rsidRPr="008A2504">
        <w:rPr>
          <w:i/>
          <w:iCs/>
          <w:lang w:eastAsia="en-ZA"/>
        </w:rPr>
        <w:t>Eastern</w:t>
      </w:r>
      <w:r>
        <w:rPr>
          <w:i/>
          <w:iCs/>
          <w:lang w:eastAsia="en-ZA"/>
        </w:rPr>
        <w:t xml:space="preserve"> </w:t>
      </w:r>
      <w:r w:rsidRPr="008A2504">
        <w:rPr>
          <w:i/>
          <w:iCs/>
          <w:lang w:eastAsia="en-ZA"/>
        </w:rPr>
        <w:t>Cape</w:t>
      </w:r>
      <w:r>
        <w:rPr>
          <w:i/>
          <w:iCs/>
          <w:lang w:eastAsia="en-ZA"/>
        </w:rPr>
        <w:t xml:space="preserve"> </w:t>
      </w:r>
      <w:r w:rsidRPr="008A2504">
        <w:rPr>
          <w:i/>
          <w:iCs/>
          <w:lang w:eastAsia="en-ZA"/>
        </w:rPr>
        <w:t>v</w:t>
      </w:r>
      <w:r>
        <w:rPr>
          <w:i/>
          <w:iCs/>
          <w:lang w:eastAsia="en-ZA"/>
        </w:rPr>
        <w:t xml:space="preserve"> </w:t>
      </w:r>
      <w:r w:rsidRPr="008A2504">
        <w:rPr>
          <w:i/>
          <w:iCs/>
          <w:lang w:eastAsia="en-ZA"/>
        </w:rPr>
        <w:t>Mkhitha</w:t>
      </w:r>
      <w:r>
        <w:rPr>
          <w:i/>
          <w:iCs/>
          <w:lang w:eastAsia="en-ZA"/>
        </w:rPr>
        <w:t xml:space="preserve"> </w:t>
      </w:r>
      <w:r w:rsidRPr="008A2504">
        <w:rPr>
          <w:i/>
          <w:iCs/>
          <w:lang w:eastAsia="en-ZA"/>
        </w:rPr>
        <w:t>and</w:t>
      </w:r>
      <w:r>
        <w:rPr>
          <w:i/>
          <w:iCs/>
          <w:lang w:eastAsia="en-ZA"/>
        </w:rPr>
        <w:t xml:space="preserve"> </w:t>
      </w:r>
      <w:r w:rsidRPr="008A2504">
        <w:rPr>
          <w:i/>
          <w:iCs/>
          <w:lang w:eastAsia="en-ZA"/>
        </w:rPr>
        <w:t>another</w:t>
      </w:r>
      <w:r w:rsidRPr="008A2504">
        <w:rPr>
          <w:lang w:eastAsia="en-ZA"/>
        </w:rPr>
        <w:t xml:space="preserve"> [2016] JOL 36940 (SCA)</w:t>
      </w:r>
      <w:r>
        <w:rPr>
          <w:lang w:eastAsia="en-ZA"/>
        </w:rPr>
        <w:t xml:space="preserve"> para 16. See also </w:t>
      </w:r>
      <w:r w:rsidRPr="00B83232">
        <w:rPr>
          <w:rFonts w:eastAsia="Calibri" w:cs="Arial"/>
          <w:color w:val="000000"/>
        </w:rPr>
        <w:t xml:space="preserve">See </w:t>
      </w:r>
      <w:r w:rsidRPr="00B83232">
        <w:rPr>
          <w:rFonts w:eastAsia="Calibri" w:cs="Arial"/>
        </w:rPr>
        <w:t xml:space="preserve">Van Loggerenberg </w:t>
      </w:r>
      <w:r w:rsidRPr="00B83232">
        <w:rPr>
          <w:rFonts w:eastAsia="Calibri" w:cs="Arial"/>
          <w:i/>
          <w:iCs/>
        </w:rPr>
        <w:t>Erasmus: Superior Court Practice</w:t>
      </w:r>
      <w:r w:rsidRPr="00B83232">
        <w:rPr>
          <w:rFonts w:eastAsia="Calibri" w:cs="Arial"/>
        </w:rPr>
        <w:t xml:space="preserve"> A2-55;</w:t>
      </w:r>
      <w:r w:rsidRPr="00B83232">
        <w:rPr>
          <w:rFonts w:eastAsia="Calibri" w:cs="Arial"/>
          <w:color w:val="000000"/>
        </w:rPr>
        <w:t xml:space="preserve"> </w:t>
      </w:r>
      <w:r w:rsidRPr="00B83232">
        <w:rPr>
          <w:rFonts w:eastAsia="Calibri" w:cs="Arial"/>
          <w:i/>
          <w:iCs/>
          <w:color w:val="000000"/>
        </w:rPr>
        <w:t xml:space="preserve">The Acting National Director of Public Prosecution v Democratic Alliance </w:t>
      </w:r>
      <w:r w:rsidRPr="00B83232">
        <w:rPr>
          <w:rFonts w:eastAsia="Calibri" w:cs="Arial"/>
          <w:color w:val="000000"/>
        </w:rPr>
        <w:t xml:space="preserve">[2016] ZAGPPHC 489, </w:t>
      </w:r>
      <w:r w:rsidRPr="00B83232">
        <w:rPr>
          <w:rFonts w:eastAsia="Calibri" w:cs="Arial"/>
        </w:rPr>
        <w:t xml:space="preserve">JOL 36123 (GP) </w:t>
      </w:r>
      <w:r>
        <w:rPr>
          <w:rFonts w:eastAsia="Calibri" w:cs="Arial"/>
          <w:color w:val="000000"/>
        </w:rPr>
        <w:t>para</w:t>
      </w:r>
      <w:r w:rsidRPr="00B83232">
        <w:rPr>
          <w:rFonts w:eastAsia="Calibri" w:cs="Arial"/>
          <w:color w:val="000000"/>
        </w:rPr>
        <w:t xml:space="preserve"> 25; </w:t>
      </w:r>
      <w:r w:rsidRPr="00B83232">
        <w:rPr>
          <w:rFonts w:eastAsia="Calibri" w:cs="Arial"/>
          <w:i/>
          <w:iCs/>
          <w:color w:val="000000"/>
        </w:rPr>
        <w:t xml:space="preserve">South African Breweries (Pty) Ltd v Commissioner of the South African Revenue Services </w:t>
      </w:r>
      <w:r w:rsidRPr="00B83232">
        <w:rPr>
          <w:rFonts w:eastAsia="Calibri" w:cs="Arial"/>
          <w:color w:val="000000"/>
        </w:rPr>
        <w:t xml:space="preserve">[2017] ZAGPPHC 340 </w:t>
      </w:r>
      <w:r>
        <w:rPr>
          <w:rFonts w:eastAsia="Calibri" w:cs="Arial"/>
          <w:color w:val="000000"/>
        </w:rPr>
        <w:t>para</w:t>
      </w:r>
      <w:r w:rsidRPr="00B83232">
        <w:rPr>
          <w:rFonts w:eastAsia="Calibri" w:cs="Arial"/>
          <w:color w:val="000000"/>
        </w:rPr>
        <w:t xml:space="preserve"> 5</w:t>
      </w:r>
      <w:r w:rsidRPr="00B83232">
        <w:rPr>
          <w:rFonts w:eastAsia="Calibri" w:cs="Arial"/>
        </w:rPr>
        <w:t xml:space="preserve">; </w:t>
      </w:r>
      <w:r w:rsidRPr="00B83232">
        <w:rPr>
          <w:rFonts w:eastAsia="Calibri" w:cs="Arial"/>
          <w:i/>
          <w:iCs/>
        </w:rPr>
        <w:t>Lakaje N.O v MEC: Department of Health</w:t>
      </w:r>
      <w:r w:rsidRPr="00B83232">
        <w:rPr>
          <w:rFonts w:eastAsia="Calibri" w:cs="Arial"/>
        </w:rPr>
        <w:t xml:space="preserve"> [2019] JOL 45564 (FB) </w:t>
      </w:r>
      <w:r>
        <w:rPr>
          <w:rFonts w:eastAsia="Calibri" w:cs="Arial"/>
          <w:color w:val="000000"/>
        </w:rPr>
        <w:t>para</w:t>
      </w:r>
      <w:r w:rsidRPr="00B83232">
        <w:rPr>
          <w:rFonts w:eastAsia="Calibri" w:cs="Arial"/>
          <w:color w:val="000000"/>
        </w:rPr>
        <w:t xml:space="preserve"> 5;</w:t>
      </w:r>
      <w:r w:rsidRPr="00B83232">
        <w:rPr>
          <w:rFonts w:eastAsia="Calibri" w:cs="Arial"/>
          <w:i/>
          <w:iCs/>
          <w:color w:val="000000"/>
        </w:rPr>
        <w:t xml:space="preserve"> Nwafor v Minister of Home Affairs </w:t>
      </w:r>
      <w:r w:rsidRPr="00B83232">
        <w:rPr>
          <w:rFonts w:eastAsia="Calibri" w:cs="Arial"/>
          <w:color w:val="000000"/>
        </w:rPr>
        <w:t>[2021] JOL 50310 (SCA),</w:t>
      </w:r>
      <w:r w:rsidRPr="00B83232">
        <w:rPr>
          <w:rFonts w:cs="Arial"/>
          <w:color w:val="000000"/>
          <w:shd w:val="clear" w:color="auto" w:fill="FFFFFF"/>
        </w:rPr>
        <w:t xml:space="preserve"> 2021 JDR 0948 (SCA)</w:t>
      </w:r>
      <w:r w:rsidRPr="00B83232">
        <w:rPr>
          <w:rFonts w:eastAsia="Calibri" w:cs="Arial"/>
          <w:color w:val="000000"/>
        </w:rPr>
        <w:t xml:space="preserve"> paras 25 and 26</w:t>
      </w:r>
      <w:r>
        <w:rPr>
          <w:rFonts w:eastAsia="Calibri" w:cs="Arial"/>
          <w:color w:val="000000"/>
        </w:rPr>
        <w:t xml:space="preserve">; and </w:t>
      </w:r>
      <w:r w:rsidRPr="00B83232">
        <w:rPr>
          <w:i/>
          <w:iCs/>
        </w:rPr>
        <w:t>Lephoi v Ramakarane</w:t>
      </w:r>
      <w:r>
        <w:t xml:space="preserve">  [2023] JOL 59548 (FB) para 4.</w:t>
      </w:r>
    </w:p>
  </w:footnote>
  <w:footnote w:id="8">
    <w:p w14:paraId="0DC47B81" w14:textId="77777777" w:rsidR="00331CF7" w:rsidRDefault="00331CF7" w:rsidP="001E255B">
      <w:pPr>
        <w:pStyle w:val="FootnoteText"/>
      </w:pPr>
      <w:r w:rsidRPr="00B83232">
        <w:rPr>
          <w:rStyle w:val="FootnoteReference"/>
          <w:rFonts w:cs="Arial"/>
        </w:rPr>
        <w:footnoteRef/>
      </w:r>
      <w:r w:rsidRPr="00B83232">
        <w:rPr>
          <w:rFonts w:cs="Arial"/>
        </w:rPr>
        <w:t xml:space="preserve"> </w:t>
      </w:r>
      <w:r w:rsidRPr="00B83232">
        <w:rPr>
          <w:rFonts w:cs="Arial"/>
        </w:rPr>
        <w:tab/>
      </w:r>
      <w:r w:rsidRPr="00B83232">
        <w:rPr>
          <w:rStyle w:val="searchhit"/>
          <w:rFonts w:cs="Arial"/>
          <w:i/>
          <w:iCs/>
          <w:color w:val="000000"/>
          <w:bdr w:val="none" w:sz="0" w:space="0" w:color="auto" w:frame="1"/>
          <w:shd w:val="clear" w:color="auto" w:fill="F9F9F9"/>
        </w:rPr>
        <w:t>Ramakatsa</w:t>
      </w:r>
      <w:r w:rsidRPr="00B83232">
        <w:rPr>
          <w:rFonts w:cs="Arial"/>
          <w:i/>
          <w:iCs/>
          <w:color w:val="000000"/>
          <w:shd w:val="clear" w:color="auto" w:fill="F9F9F9"/>
        </w:rPr>
        <w:t> and others v African National Congress and another</w:t>
      </w:r>
      <w:r w:rsidRPr="00B83232">
        <w:rPr>
          <w:rFonts w:cs="Arial"/>
          <w:color w:val="000000"/>
          <w:shd w:val="clear" w:color="auto" w:fill="F9F9F9"/>
        </w:rPr>
        <w:t xml:space="preserve"> [2021] JOL 49993 (SCA)</w:t>
      </w:r>
      <w:r>
        <w:rPr>
          <w:rFonts w:cs="Arial"/>
          <w:color w:val="000000"/>
          <w:shd w:val="clear" w:color="auto" w:fill="F9F9F9"/>
        </w:rPr>
        <w:t xml:space="preserve">, also reported as </w:t>
      </w:r>
      <w:r w:rsidRPr="00B83232">
        <w:rPr>
          <w:rFonts w:cs="Arial"/>
          <w:i/>
          <w:iCs/>
        </w:rPr>
        <w:t>Ramakatsa</w:t>
      </w:r>
      <w:r w:rsidRPr="00B83232">
        <w:rPr>
          <w:i/>
          <w:iCs/>
        </w:rPr>
        <w:t xml:space="preserve"> v ANC</w:t>
      </w:r>
      <w:r w:rsidRPr="00B83232">
        <w:t xml:space="preserve"> 2021 ZASCA 31</w:t>
      </w:r>
      <w:r>
        <w:t>.</w:t>
      </w:r>
    </w:p>
  </w:footnote>
  <w:footnote w:id="9">
    <w:p w14:paraId="618E23BF" w14:textId="5603D633" w:rsidR="009D1D21" w:rsidRDefault="009D1D21" w:rsidP="001E255B">
      <w:pPr>
        <w:pStyle w:val="FootnoteText"/>
      </w:pPr>
      <w:r>
        <w:rPr>
          <w:rStyle w:val="FootnoteReference"/>
        </w:rPr>
        <w:footnoteRef/>
      </w:r>
      <w:r>
        <w:t xml:space="preserve"> </w:t>
      </w:r>
      <w:r>
        <w:tab/>
        <w:t xml:space="preserve">The reference in footnote 7 is to </w:t>
      </w:r>
      <w:r w:rsidRPr="00FA69B4">
        <w:rPr>
          <w:i/>
          <w:iCs/>
        </w:rPr>
        <w:t>Caratco (Pty) Ltd v Independent Advisory (Pty) Ltd</w:t>
      </w:r>
      <w:r w:rsidRPr="00FA69B4">
        <w:t xml:space="preserve"> 2020 (5) SA 35 (SCA)</w:t>
      </w:r>
      <w:r>
        <w:t>,</w:t>
      </w:r>
      <w:r w:rsidRPr="00FA69B4">
        <w:t xml:space="preserve"> [2020] ZASCA 17</w:t>
      </w:r>
      <w:r>
        <w:t>.</w:t>
      </w:r>
    </w:p>
  </w:footnote>
  <w:footnote w:id="10">
    <w:p w14:paraId="45C2ABE0" w14:textId="3EB0BB90" w:rsidR="00331CF7" w:rsidRDefault="00331CF7" w:rsidP="001E255B">
      <w:pPr>
        <w:pStyle w:val="FootnoteText"/>
      </w:pPr>
      <w:r>
        <w:rPr>
          <w:rStyle w:val="FootnoteReference"/>
        </w:rPr>
        <w:footnoteRef/>
      </w:r>
      <w:r>
        <w:t xml:space="preserve"> </w:t>
      </w:r>
      <w:r>
        <w:tab/>
        <w:t>Footnote 9 in the judgment reads as follows: “</w:t>
      </w:r>
      <w:r w:rsidRPr="00F06FCF">
        <w:rPr>
          <w:i/>
          <w:iCs/>
        </w:rPr>
        <w:t>See Smith v S [2011] ZASCA 15; 2012 (1) SACR 567 (SCA); MEC Health, Eastern Cape v Mkhitha [2016] ZASCA 176 para 17</w:t>
      </w:r>
      <w:r w:rsidR="00564BAB">
        <w:rPr>
          <w:i/>
          <w:iCs/>
        </w:rPr>
        <w:t>.</w:t>
      </w:r>
      <w:r w:rsidRPr="00F06FCF">
        <w:rPr>
          <w:i/>
          <w:iCs/>
        </w:rPr>
        <w:t>”</w:t>
      </w:r>
    </w:p>
  </w:footnote>
  <w:footnote w:id="11">
    <w:p w14:paraId="2891F903" w14:textId="77777777" w:rsidR="001753A1" w:rsidRDefault="001753A1" w:rsidP="001753A1">
      <w:pPr>
        <w:pStyle w:val="FootnoteText"/>
      </w:pPr>
      <w:r>
        <w:rPr>
          <w:rStyle w:val="FootnoteReference"/>
        </w:rPr>
        <w:footnoteRef/>
      </w:r>
      <w:r>
        <w:t xml:space="preserve"> </w:t>
      </w:r>
      <w:r>
        <w:tab/>
        <w:t>Judgment paras 28 and 29.</w:t>
      </w:r>
    </w:p>
  </w:footnote>
  <w:footnote w:id="12">
    <w:p w14:paraId="030A9EDE" w14:textId="77777777" w:rsidR="001753A1" w:rsidRDefault="001753A1" w:rsidP="001753A1">
      <w:pPr>
        <w:pStyle w:val="FootnoteText"/>
      </w:pPr>
      <w:r>
        <w:rPr>
          <w:rStyle w:val="FootnoteReference"/>
        </w:rPr>
        <w:footnoteRef/>
      </w:r>
      <w:r>
        <w:t xml:space="preserve"> </w:t>
      </w:r>
      <w:r>
        <w:tab/>
      </w:r>
      <w:r w:rsidRPr="005D0201">
        <w:rPr>
          <w:i/>
          <w:iCs/>
        </w:rPr>
        <w:t>Natal Joint Municipal Pension Fund v Endumeni Municipality</w:t>
      </w:r>
      <w:r>
        <w:t xml:space="preserve"> </w:t>
      </w:r>
      <w:r w:rsidRPr="005D0201">
        <w:t>2012 (4) SA 593 (SCA)</w:t>
      </w:r>
      <w:r>
        <w:t xml:space="preserve"> para 18.</w:t>
      </w:r>
    </w:p>
  </w:footnote>
  <w:footnote w:id="13">
    <w:p w14:paraId="497D55A8" w14:textId="019FBBE8" w:rsidR="001753A1" w:rsidRDefault="001753A1" w:rsidP="001753A1">
      <w:pPr>
        <w:pStyle w:val="FootnoteText"/>
      </w:pPr>
      <w:r>
        <w:rPr>
          <w:rStyle w:val="FootnoteReference"/>
        </w:rPr>
        <w:footnoteRef/>
      </w:r>
      <w:r>
        <w:t xml:space="preserve"> </w:t>
      </w:r>
      <w:r>
        <w:tab/>
      </w:r>
      <w:r w:rsidR="007A6B7F">
        <w:rPr>
          <w:i/>
          <w:iCs/>
        </w:rPr>
        <w:t>Ibid</w:t>
      </w:r>
      <w:r>
        <w:t xml:space="preserve"> par</w:t>
      </w:r>
      <w:r w:rsidR="007A6B7F">
        <w:t xml:space="preserve">a </w:t>
      </w:r>
      <w:r>
        <w:t>20</w:t>
      </w:r>
      <w:r w:rsidR="007A6B7F">
        <w:t>.</w:t>
      </w:r>
    </w:p>
  </w:footnote>
  <w:footnote w:id="14">
    <w:p w14:paraId="684BF1E9" w14:textId="77777777" w:rsidR="001753A1" w:rsidRDefault="001753A1" w:rsidP="001753A1">
      <w:pPr>
        <w:pStyle w:val="FootnoteText"/>
      </w:pPr>
      <w:r>
        <w:rPr>
          <w:rStyle w:val="FootnoteReference"/>
        </w:rPr>
        <w:footnoteRef/>
      </w:r>
      <w:r>
        <w:t xml:space="preserve"> </w:t>
      </w:r>
      <w:r>
        <w:tab/>
      </w:r>
      <w:r w:rsidRPr="000318DA">
        <w:rPr>
          <w:i/>
          <w:iCs/>
        </w:rPr>
        <w:t>Telkom SA SOC Ltd v Commissioner, South African Revenue Service</w:t>
      </w:r>
      <w:r>
        <w:t xml:space="preserve"> </w:t>
      </w:r>
      <w:r w:rsidRPr="00C63A31">
        <w:t>2020 (4) SA 480 (SCA)</w:t>
      </w:r>
      <w:r>
        <w:t xml:space="preserve"> paras 10 to 17 and</w:t>
      </w:r>
      <w:r w:rsidRPr="00DE0E3B">
        <w:rPr>
          <w:i/>
          <w:iCs/>
        </w:rPr>
        <w:t xml:space="preserve"> Commissioner, South African Revenue Service v United Manganese of Kalahari (Pty) Ltd</w:t>
      </w:r>
      <w:r>
        <w:t xml:space="preserve"> </w:t>
      </w:r>
      <w:r w:rsidRPr="00C63A31">
        <w:t>2020 (4) SA 428 (SCA)</w:t>
      </w:r>
      <w:r>
        <w:t xml:space="preserve"> paras 16 to 17.</w:t>
      </w:r>
    </w:p>
  </w:footnote>
  <w:footnote w:id="15">
    <w:p w14:paraId="448C6D5B" w14:textId="77777777" w:rsidR="001753A1" w:rsidRDefault="001753A1" w:rsidP="001753A1">
      <w:pPr>
        <w:pStyle w:val="FootnoteText"/>
      </w:pPr>
      <w:r>
        <w:rPr>
          <w:rStyle w:val="FootnoteReference"/>
        </w:rPr>
        <w:footnoteRef/>
      </w:r>
      <w:r>
        <w:t xml:space="preserve"> </w:t>
      </w:r>
      <w:r>
        <w:tab/>
      </w:r>
      <w:r w:rsidRPr="000074AA">
        <w:rPr>
          <w:i/>
          <w:iCs/>
        </w:rPr>
        <w:t>Harvey NO and Others v Crawford NO and Others</w:t>
      </w:r>
      <w:r w:rsidRPr="000074AA">
        <w:t xml:space="preserve"> 2019 (2) SA 153 (SCA)</w:t>
      </w:r>
      <w:r>
        <w:t>.</w:t>
      </w:r>
    </w:p>
  </w:footnote>
  <w:footnote w:id="16">
    <w:p w14:paraId="5A4C239C" w14:textId="77777777" w:rsidR="001753A1" w:rsidRDefault="001753A1" w:rsidP="001753A1">
      <w:pPr>
        <w:pStyle w:val="FootnoteText"/>
      </w:pPr>
      <w:r>
        <w:rPr>
          <w:rStyle w:val="FootnoteReference"/>
        </w:rPr>
        <w:footnoteRef/>
      </w:r>
      <w:r>
        <w:t xml:space="preserve"> </w:t>
      </w:r>
      <w:r>
        <w:tab/>
      </w:r>
      <w:r w:rsidRPr="00937662">
        <w:rPr>
          <w:rFonts w:cs="Arial"/>
          <w:i/>
          <w:szCs w:val="22"/>
        </w:rPr>
        <w:t>Strauss</w:t>
      </w:r>
      <w:r>
        <w:rPr>
          <w:rFonts w:cs="Arial"/>
          <w:i/>
          <w:szCs w:val="22"/>
        </w:rPr>
        <w:t xml:space="preserve"> v </w:t>
      </w:r>
      <w:r w:rsidRPr="00937662">
        <w:rPr>
          <w:rFonts w:cs="Arial"/>
          <w:i/>
          <w:szCs w:val="22"/>
        </w:rPr>
        <w:t xml:space="preserve">Strauss and </w:t>
      </w:r>
      <w:r>
        <w:rPr>
          <w:rFonts w:cs="Arial"/>
          <w:i/>
          <w:szCs w:val="22"/>
        </w:rPr>
        <w:t>O</w:t>
      </w:r>
      <w:r w:rsidRPr="00937662">
        <w:rPr>
          <w:rFonts w:cs="Arial"/>
          <w:i/>
          <w:szCs w:val="22"/>
        </w:rPr>
        <w:t>thers</w:t>
      </w:r>
      <w:r w:rsidRPr="00937662">
        <w:rPr>
          <w:rFonts w:cs="Arial"/>
          <w:szCs w:val="22"/>
        </w:rPr>
        <w:t xml:space="preserve"> [2023] ZAGPJHC 377</w:t>
      </w:r>
      <w:r>
        <w:rPr>
          <w:rFonts w:cs="Arial"/>
          <w:szCs w:val="22"/>
        </w:rPr>
        <w:t xml:space="preserve">, </w:t>
      </w:r>
      <w:r w:rsidRPr="009B56A6">
        <w:t>2023 JDR 1302 (GJ), [2023] JOL 58905 (GJ)</w:t>
      </w:r>
      <w:r>
        <w:rPr>
          <w:rFonts w:cs="Arial"/>
          <w:szCs w:val="22"/>
        </w:rPr>
        <w:t>.</w:t>
      </w:r>
    </w:p>
  </w:footnote>
  <w:footnote w:id="17">
    <w:p w14:paraId="35FEF290" w14:textId="77777777" w:rsidR="001753A1" w:rsidRDefault="001753A1" w:rsidP="001753A1">
      <w:pPr>
        <w:pStyle w:val="FootnoteText"/>
      </w:pPr>
      <w:r>
        <w:rPr>
          <w:rStyle w:val="FootnoteReference"/>
        </w:rPr>
        <w:footnoteRef/>
      </w:r>
      <w:r>
        <w:t xml:space="preserve"> </w:t>
      </w:r>
      <w:r>
        <w:tab/>
      </w:r>
      <w:r w:rsidRPr="00DE0E3B">
        <w:rPr>
          <w:i/>
          <w:iCs/>
        </w:rPr>
        <w:t>Commissioner, South African Revenue Service v United Manganese of Kalahari (Pty) Ltd</w:t>
      </w:r>
      <w:r>
        <w:rPr>
          <w:i/>
          <w:iCs/>
        </w:rPr>
        <w:t xml:space="preserve"> </w:t>
      </w:r>
      <w:r w:rsidRPr="00C63A31">
        <w:t>2020 (4) SA 428 (SCA)</w:t>
      </w:r>
      <w:r>
        <w:t xml:space="preserve"> para 16.</w:t>
      </w:r>
    </w:p>
  </w:footnote>
  <w:footnote w:id="18">
    <w:p w14:paraId="50259D8D" w14:textId="77777777" w:rsidR="009D40CB" w:rsidRDefault="009D40CB" w:rsidP="009D40CB">
      <w:pPr>
        <w:pStyle w:val="FootnoteText"/>
      </w:pPr>
      <w:r>
        <w:rPr>
          <w:rStyle w:val="FootnoteReference"/>
        </w:rPr>
        <w:footnoteRef/>
      </w:r>
      <w:r>
        <w:t xml:space="preserve"> </w:t>
      </w:r>
      <w:r>
        <w:tab/>
        <w:t>No-one is above the law. See</w:t>
      </w:r>
      <w:r w:rsidRPr="00154005">
        <w:rPr>
          <w:i/>
          <w:iCs/>
        </w:rPr>
        <w:t xml:space="preserve"> </w:t>
      </w:r>
      <w:r w:rsidRPr="00C16C1B">
        <w:rPr>
          <w:i/>
          <w:iCs/>
        </w:rPr>
        <w:t>Secretary, Judicial Commission of Inquiry into Allegations of State Capture v Zuma and Others</w:t>
      </w:r>
      <w:r>
        <w:t xml:space="preserve"> </w:t>
      </w:r>
      <w:r w:rsidRPr="00C16C1B">
        <w:t>2021 (5) SA 327 (CC)</w:t>
      </w:r>
      <w:r>
        <w:t xml:space="preserve"> para 98.</w:t>
      </w:r>
    </w:p>
  </w:footnote>
  <w:footnote w:id="19">
    <w:p w14:paraId="4E1A11EC" w14:textId="77777777" w:rsidR="009D40CB" w:rsidRDefault="009D40CB" w:rsidP="009D40CB">
      <w:pPr>
        <w:pStyle w:val="FootnoteText"/>
      </w:pPr>
      <w:r>
        <w:rPr>
          <w:rStyle w:val="FootnoteReference"/>
        </w:rPr>
        <w:footnoteRef/>
      </w:r>
      <w:r>
        <w:t xml:space="preserve"> </w:t>
      </w:r>
      <w:r>
        <w:tab/>
        <w:t xml:space="preserve">See the judgment by O’Regan ADCJ </w:t>
      </w:r>
      <w:bookmarkStart w:id="3" w:name="_Hlk146550735"/>
      <w:r>
        <w:t xml:space="preserve">in </w:t>
      </w:r>
      <w:r w:rsidRPr="00123B09">
        <w:rPr>
          <w:i/>
          <w:iCs/>
        </w:rPr>
        <w:t>Lufuno Mphaphuli &amp; Associates (Pty) Ltd v Andrews and Another</w:t>
      </w:r>
      <w:r w:rsidRPr="00820ACA">
        <w:t xml:space="preserve"> 2009 (4) SA 529 (CC) </w:t>
      </w:r>
      <w:bookmarkEnd w:id="3"/>
      <w:r w:rsidRPr="00820ACA">
        <w:t>para</w:t>
      </w:r>
      <w:r>
        <w:t xml:space="preserve"> </w:t>
      </w:r>
      <w:r w:rsidRPr="00820ACA">
        <w:t>236</w:t>
      </w:r>
      <w:r>
        <w:t xml:space="preserve">. </w:t>
      </w:r>
      <w:r w:rsidRPr="003B18E2">
        <w:rPr>
          <w:lang w:val="en-GB"/>
        </w:rPr>
        <w:t xml:space="preserve">These observations by the Constitutional Court are equally applicable </w:t>
      </w:r>
      <w:r>
        <w:rPr>
          <w:lang w:val="en-GB"/>
        </w:rPr>
        <w:t>to</w:t>
      </w:r>
      <w:r w:rsidRPr="003B18E2">
        <w:rPr>
          <w:lang w:val="en-GB"/>
        </w:rPr>
        <w:t xml:space="preserve"> applications for the setting aside of the appointment of an arbitrator</w:t>
      </w:r>
      <w:r>
        <w:rPr>
          <w:lang w:val="en-GB"/>
        </w:rPr>
        <w:t xml:space="preserve"> </w:t>
      </w:r>
      <w:r w:rsidRPr="003B18E2">
        <w:rPr>
          <w:lang w:val="en-GB"/>
        </w:rPr>
        <w:t>under section 13</w:t>
      </w:r>
      <w:r>
        <w:rPr>
          <w:lang w:val="en-GB"/>
        </w:rPr>
        <w:t>(</w:t>
      </w:r>
      <w:r w:rsidRPr="003B18E2">
        <w:rPr>
          <w:lang w:val="en-GB"/>
        </w:rPr>
        <w:t>2</w:t>
      </w:r>
      <w:r>
        <w:rPr>
          <w:lang w:val="en-GB"/>
        </w:rPr>
        <w:t xml:space="preserve">) </w:t>
      </w:r>
      <w:r w:rsidRPr="003B18E2">
        <w:rPr>
          <w:lang w:val="en-GB"/>
        </w:rPr>
        <w:t>of the Arbitration Act</w:t>
      </w:r>
      <w:r>
        <w:rPr>
          <w:lang w:val="en-GB"/>
        </w:rPr>
        <w:t xml:space="preserve">: </w:t>
      </w:r>
      <w:r w:rsidRPr="009C16A1">
        <w:rPr>
          <w:i/>
          <w:iCs/>
        </w:rPr>
        <w:t>Umgeni Water v Hollis NO and Another</w:t>
      </w:r>
      <w:r>
        <w:t xml:space="preserve"> </w:t>
      </w:r>
      <w:r w:rsidRPr="009C16A1">
        <w:t>2012 (3) SA 475 (KZD)</w:t>
      </w:r>
      <w:r>
        <w:t xml:space="preserve"> para 22. See also </w:t>
      </w:r>
      <w:r w:rsidRPr="007C11FD">
        <w:rPr>
          <w:i/>
          <w:iCs/>
        </w:rPr>
        <w:t>Palabora Copper (Pty) Ltd v Motlokwa Transport &amp; Construction (Pty) Ltd</w:t>
      </w:r>
      <w:r w:rsidRPr="007C11FD">
        <w:t xml:space="preserve"> 2018 (5) SA 462 (SCA)</w:t>
      </w:r>
      <w:r>
        <w:t xml:space="preserve"> para 8 and </w:t>
      </w:r>
      <w:r w:rsidRPr="003B18E2">
        <w:rPr>
          <w:i/>
          <w:iCs/>
        </w:rPr>
        <w:t>Umgeni</w:t>
      </w:r>
      <w:r>
        <w:t xml:space="preserve"> para 42.</w:t>
      </w:r>
    </w:p>
  </w:footnote>
  <w:footnote w:id="20">
    <w:p w14:paraId="1F993195" w14:textId="77777777" w:rsidR="00504E0F" w:rsidRDefault="00504E0F" w:rsidP="001E255B">
      <w:pPr>
        <w:pStyle w:val="FootnoteText"/>
      </w:pPr>
      <w:r>
        <w:rPr>
          <w:rStyle w:val="FootnoteReference"/>
        </w:rPr>
        <w:footnoteRef/>
      </w:r>
      <w:r>
        <w:t xml:space="preserve"> </w:t>
      </w:r>
      <w:r>
        <w:tab/>
        <w:t>Judgment para 84 and cases in footnote 45.</w:t>
      </w:r>
    </w:p>
  </w:footnote>
  <w:footnote w:id="21">
    <w:p w14:paraId="530FE34A" w14:textId="77777777" w:rsidR="00504E0F" w:rsidRDefault="00504E0F" w:rsidP="001E255B">
      <w:pPr>
        <w:pStyle w:val="FootnoteText"/>
      </w:pPr>
      <w:r>
        <w:rPr>
          <w:rStyle w:val="FootnoteReference"/>
        </w:rPr>
        <w:footnoteRef/>
      </w:r>
      <w:r>
        <w:t xml:space="preserve"> </w:t>
      </w:r>
      <w:r>
        <w:tab/>
        <w:t>Judgment para 12.</w:t>
      </w:r>
    </w:p>
  </w:footnote>
  <w:footnote w:id="22">
    <w:p w14:paraId="4D3DD146" w14:textId="3C12C720" w:rsidR="00504E0F" w:rsidRDefault="00504E0F" w:rsidP="001E255B">
      <w:pPr>
        <w:pStyle w:val="FootnoteText"/>
      </w:pPr>
      <w:r>
        <w:rPr>
          <w:rStyle w:val="FootnoteReference"/>
        </w:rPr>
        <w:footnoteRef/>
      </w:r>
      <w:r>
        <w:t xml:space="preserve"> </w:t>
      </w:r>
      <w:r>
        <w:tab/>
        <w:t>Judgment paras 51 to 54.</w:t>
      </w:r>
    </w:p>
  </w:footnote>
  <w:footnote w:id="23">
    <w:p w14:paraId="59C8D56C" w14:textId="364F196B" w:rsidR="006E2D72" w:rsidRDefault="006E2D72" w:rsidP="006E2D72">
      <w:pPr>
        <w:pStyle w:val="FootnoteText"/>
      </w:pPr>
      <w:r>
        <w:rPr>
          <w:rStyle w:val="FootnoteReference"/>
        </w:rPr>
        <w:footnoteRef/>
      </w:r>
      <w:r>
        <w:t xml:space="preserve"> </w:t>
      </w:r>
      <w:r>
        <w:tab/>
      </w:r>
      <w:r w:rsidRPr="009C16A1">
        <w:rPr>
          <w:i/>
          <w:iCs/>
        </w:rPr>
        <w:t>Umgeni Water v Hollis NO and Another</w:t>
      </w:r>
      <w:r>
        <w:t xml:space="preserve"> </w:t>
      </w:r>
      <w:r w:rsidRPr="009C16A1">
        <w:t>2012 (3) SA 475 (KZD)</w:t>
      </w:r>
      <w:r>
        <w:t xml:space="preserve"> paras 36 to 40 and section 13(1) of the Arbitration Act.</w:t>
      </w:r>
    </w:p>
  </w:footnote>
  <w:footnote w:id="24">
    <w:p w14:paraId="21E2510A" w14:textId="3994D9FF" w:rsidR="006A34C4" w:rsidRDefault="006A34C4">
      <w:pPr>
        <w:pStyle w:val="FootnoteText"/>
      </w:pPr>
      <w:r>
        <w:rPr>
          <w:rStyle w:val="FootnoteReference"/>
        </w:rPr>
        <w:footnoteRef/>
      </w:r>
      <w:r>
        <w:t xml:space="preserve"> </w:t>
      </w:r>
      <w:r>
        <w:tab/>
        <w:t>Heads of argument in application for leave to appeal para 39.</w:t>
      </w:r>
    </w:p>
  </w:footnote>
  <w:footnote w:id="25">
    <w:p w14:paraId="49FE337E" w14:textId="2B6B0C96" w:rsidR="00D266AB" w:rsidRDefault="00D266AB">
      <w:pPr>
        <w:pStyle w:val="FootnoteText"/>
      </w:pPr>
      <w:r>
        <w:rPr>
          <w:rStyle w:val="FootnoteReference"/>
        </w:rPr>
        <w:footnoteRef/>
      </w:r>
      <w:r>
        <w:t xml:space="preserve"> </w:t>
      </w:r>
      <w:r>
        <w:tab/>
        <w:t>Judgment para 38. Altech quoted</w:t>
      </w:r>
      <w:r w:rsidR="00552DE9">
        <w:t xml:space="preserve"> and relied upon</w:t>
      </w:r>
      <w:r>
        <w:t xml:space="preserve"> part of the response but not the whole response.</w:t>
      </w:r>
    </w:p>
  </w:footnote>
  <w:footnote w:id="26">
    <w:p w14:paraId="7F13D8EB" w14:textId="13B832F9" w:rsidR="009A6AA9" w:rsidRDefault="009A6AA9" w:rsidP="001E255B">
      <w:pPr>
        <w:pStyle w:val="FootnoteText"/>
      </w:pPr>
      <w:r>
        <w:rPr>
          <w:rStyle w:val="FootnoteReference"/>
        </w:rPr>
        <w:footnoteRef/>
      </w:r>
      <w:r>
        <w:t xml:space="preserve"> </w:t>
      </w:r>
      <w:r>
        <w:tab/>
        <w:t>Judgment paras 30 to 44.</w:t>
      </w:r>
    </w:p>
  </w:footnote>
  <w:footnote w:id="27">
    <w:p w14:paraId="70C1B7BD" w14:textId="77777777" w:rsidR="009D40CB" w:rsidRDefault="009D40CB" w:rsidP="009D40CB">
      <w:pPr>
        <w:pStyle w:val="FootnoteText"/>
      </w:pPr>
      <w:r>
        <w:rPr>
          <w:rStyle w:val="FootnoteReference"/>
        </w:rPr>
        <w:footnoteRef/>
      </w:r>
      <w:r>
        <w:t xml:space="preserve"> </w:t>
      </w:r>
      <w:r>
        <w:tab/>
      </w:r>
      <w:r w:rsidRPr="009C16A1">
        <w:rPr>
          <w:i/>
          <w:iCs/>
        </w:rPr>
        <w:t>Umgeni Water v Hollis NO and Another</w:t>
      </w:r>
      <w:r>
        <w:t xml:space="preserve"> </w:t>
      </w:r>
      <w:r w:rsidRPr="009C16A1">
        <w:t>2012 (3) SA 475 (KZD)</w:t>
      </w:r>
      <w:r>
        <w:t xml:space="preserve"> paras 42 to 44.</w:t>
      </w:r>
    </w:p>
  </w:footnote>
  <w:footnote w:id="28">
    <w:p w14:paraId="52B2BD01" w14:textId="77777777" w:rsidR="009D40CB" w:rsidRDefault="009D40CB" w:rsidP="009D40CB">
      <w:pPr>
        <w:pStyle w:val="FootnoteText"/>
      </w:pPr>
      <w:r>
        <w:rPr>
          <w:rStyle w:val="FootnoteReference"/>
        </w:rPr>
        <w:footnoteRef/>
      </w:r>
      <w:r>
        <w:t xml:space="preserve"> </w:t>
      </w:r>
      <w:r>
        <w:tab/>
      </w:r>
      <w:r w:rsidRPr="00560C5A">
        <w:rPr>
          <w:i/>
          <w:iCs/>
        </w:rPr>
        <w:t>Ndlovu v Minister of Home Affairs and Another</w:t>
      </w:r>
      <w:r w:rsidRPr="00560C5A">
        <w:t xml:space="preserve"> 2011 (2) SA 621 (KZD)</w:t>
      </w:r>
      <w:r>
        <w:t>.</w:t>
      </w:r>
    </w:p>
  </w:footnote>
  <w:footnote w:id="29">
    <w:p w14:paraId="2B850A67" w14:textId="77777777" w:rsidR="00E610A5" w:rsidRDefault="00E610A5" w:rsidP="00E610A5">
      <w:pPr>
        <w:pStyle w:val="FootnoteText"/>
      </w:pPr>
      <w:r>
        <w:rPr>
          <w:rStyle w:val="FootnoteReference"/>
        </w:rPr>
        <w:footnoteRef/>
      </w:r>
      <w:r>
        <w:t xml:space="preserve"> </w:t>
      </w:r>
      <w:r>
        <w:tab/>
      </w:r>
      <w:r w:rsidRPr="009C16A1">
        <w:rPr>
          <w:i/>
          <w:iCs/>
        </w:rPr>
        <w:t>Umgeni Water v Hollis NO and Another</w:t>
      </w:r>
      <w:r>
        <w:t xml:space="preserve"> </w:t>
      </w:r>
      <w:r w:rsidRPr="009C16A1">
        <w:t>2012 (3) SA 475 (KZD)</w:t>
      </w:r>
      <w:r>
        <w:t xml:space="preserve"> paras 42 to 44.</w:t>
      </w:r>
    </w:p>
  </w:footnote>
  <w:footnote w:id="30">
    <w:p w14:paraId="2AF1B8DF" w14:textId="094ED23A" w:rsidR="007F1350" w:rsidRDefault="007F1350" w:rsidP="001E255B">
      <w:pPr>
        <w:pStyle w:val="FootnoteText"/>
      </w:pPr>
      <w:r>
        <w:rPr>
          <w:rStyle w:val="FootnoteReference"/>
        </w:rPr>
        <w:footnoteRef/>
      </w:r>
      <w:r>
        <w:t xml:space="preserve"> </w:t>
      </w:r>
      <w:r>
        <w:tab/>
        <w:t>Judgment paras 48 to 49.</w:t>
      </w:r>
    </w:p>
  </w:footnote>
  <w:footnote w:id="31">
    <w:p w14:paraId="7F5D2072" w14:textId="68FD2E7D" w:rsidR="00984FA7" w:rsidRDefault="00984FA7">
      <w:pPr>
        <w:pStyle w:val="FootnoteText"/>
      </w:pPr>
      <w:r>
        <w:rPr>
          <w:rStyle w:val="FootnoteReference"/>
        </w:rPr>
        <w:footnoteRef/>
      </w:r>
      <w:r>
        <w:t xml:space="preserve"> </w:t>
      </w:r>
      <w:r>
        <w:tab/>
        <w:t>Judgment para 43.</w:t>
      </w:r>
    </w:p>
  </w:footnote>
  <w:footnote w:id="32">
    <w:p w14:paraId="39E4A44B" w14:textId="1F06C42E" w:rsidR="003B67B7" w:rsidRDefault="003B67B7">
      <w:pPr>
        <w:pStyle w:val="FootnoteText"/>
      </w:pPr>
      <w:r>
        <w:rPr>
          <w:rStyle w:val="FootnoteReference"/>
        </w:rPr>
        <w:footnoteRef/>
      </w:r>
      <w:r>
        <w:t xml:space="preserve"> </w:t>
      </w:r>
      <w:r>
        <w:tab/>
        <w:t xml:space="preserve">Judgment paras 55 to </w:t>
      </w:r>
      <w:r w:rsidR="009A3A21">
        <w:t>62.</w:t>
      </w:r>
    </w:p>
  </w:footnote>
  <w:footnote w:id="33">
    <w:p w14:paraId="747214D1" w14:textId="2CDBC317" w:rsidR="009A3A21" w:rsidRDefault="009A3A21">
      <w:pPr>
        <w:pStyle w:val="FootnoteText"/>
      </w:pPr>
      <w:r>
        <w:rPr>
          <w:rStyle w:val="FootnoteReference"/>
        </w:rPr>
        <w:footnoteRef/>
      </w:r>
      <w:r>
        <w:t xml:space="preserve"> </w:t>
      </w:r>
      <w:r>
        <w:tab/>
        <w:t>Judgment paras 63 to 65.</w:t>
      </w:r>
    </w:p>
  </w:footnote>
  <w:footnote w:id="34">
    <w:p w14:paraId="0AB7179A" w14:textId="52F7EFD8" w:rsidR="009A3A21" w:rsidRDefault="009A3A21">
      <w:pPr>
        <w:pStyle w:val="FootnoteText"/>
      </w:pPr>
      <w:r>
        <w:rPr>
          <w:rStyle w:val="FootnoteReference"/>
        </w:rPr>
        <w:footnoteRef/>
      </w:r>
      <w:r>
        <w:t xml:space="preserve"> </w:t>
      </w:r>
      <w:r>
        <w:tab/>
        <w:t>Judgment paras 66 to 68.</w:t>
      </w:r>
    </w:p>
  </w:footnote>
  <w:footnote w:id="35">
    <w:p w14:paraId="34C806C8" w14:textId="5F6AD775" w:rsidR="009A3A21" w:rsidRDefault="009A3A21">
      <w:pPr>
        <w:pStyle w:val="FootnoteText"/>
      </w:pPr>
      <w:r>
        <w:rPr>
          <w:rStyle w:val="FootnoteReference"/>
        </w:rPr>
        <w:footnoteRef/>
      </w:r>
      <w:r>
        <w:t xml:space="preserve"> </w:t>
      </w:r>
      <w:r>
        <w:tab/>
        <w:t>Judgment paras 69 to 72.</w:t>
      </w:r>
    </w:p>
  </w:footnote>
  <w:footnote w:id="36">
    <w:p w14:paraId="2D05FB8D" w14:textId="77777777" w:rsidR="003B18E2" w:rsidRDefault="003B18E2" w:rsidP="003B18E2">
      <w:pPr>
        <w:pStyle w:val="FootnoteText"/>
      </w:pPr>
      <w:r>
        <w:rPr>
          <w:rStyle w:val="FootnoteReference"/>
        </w:rPr>
        <w:footnoteRef/>
      </w:r>
      <w:r>
        <w:t xml:space="preserve"> </w:t>
      </w:r>
      <w:r>
        <w:tab/>
        <w:t>Section 17(1)(a)(ii) of the Superior Courts Act.</w:t>
      </w:r>
    </w:p>
  </w:footnote>
  <w:footnote w:id="37">
    <w:p w14:paraId="5990172E" w14:textId="75EE5702" w:rsidR="003B18E2" w:rsidRDefault="003B18E2" w:rsidP="003B18E2">
      <w:pPr>
        <w:pStyle w:val="FootnoteText"/>
      </w:pPr>
      <w:r>
        <w:rPr>
          <w:rStyle w:val="FootnoteReference"/>
        </w:rPr>
        <w:footnoteRef/>
      </w:r>
      <w:r>
        <w:t xml:space="preserve"> </w:t>
      </w:r>
      <w:r>
        <w:tab/>
        <w:t xml:space="preserve">Altech heads in </w:t>
      </w:r>
      <w:r w:rsidR="00FC00CE">
        <w:t>May</w:t>
      </w:r>
      <w:r>
        <w:t xml:space="preserve"> 2023, para 53.</w:t>
      </w:r>
    </w:p>
  </w:footnote>
  <w:footnote w:id="38">
    <w:p w14:paraId="07D61A14" w14:textId="77777777" w:rsidR="003B18E2" w:rsidRPr="00A444DD" w:rsidRDefault="003B18E2" w:rsidP="003B18E2">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Pr>
          <w:rFonts w:cs="Arial"/>
        </w:rPr>
        <w:t xml:space="preserve">Judgment para 82.5 and </w:t>
      </w:r>
      <w:r w:rsidRPr="00A444DD">
        <w:rPr>
          <w:rFonts w:cs="Arial"/>
          <w:i/>
          <w:iCs/>
        </w:rPr>
        <w:t>President of the Republic of South Africa and Others v South African Rugby Football Union and Others</w:t>
      </w:r>
      <w:r w:rsidRPr="00A444DD">
        <w:rPr>
          <w:rFonts w:cs="Arial"/>
        </w:rPr>
        <w:t xml:space="preserve"> 1999 (4) SA 147 (CC) para 48. The decision of often referred to as the Sarfu case.</w:t>
      </w:r>
    </w:p>
  </w:footnote>
  <w:footnote w:id="39">
    <w:p w14:paraId="3BB326FD" w14:textId="77777777" w:rsidR="003B18E2" w:rsidRDefault="003B18E2" w:rsidP="003B18E2">
      <w:pPr>
        <w:pStyle w:val="FootnoteText"/>
      </w:pPr>
      <w:r>
        <w:rPr>
          <w:rStyle w:val="FootnoteReference"/>
        </w:rPr>
        <w:footnoteRef/>
      </w:r>
      <w:r>
        <w:t xml:space="preserve"> </w:t>
      </w:r>
      <w:r>
        <w:tab/>
      </w:r>
      <w:r w:rsidRPr="009C16A1">
        <w:rPr>
          <w:i/>
          <w:iCs/>
        </w:rPr>
        <w:t>Umgeni Water v Hollis NO and Another</w:t>
      </w:r>
      <w:r>
        <w:t xml:space="preserve"> </w:t>
      </w:r>
      <w:r w:rsidRPr="009C16A1">
        <w:t>2012 (3) SA 475 (KZD)</w:t>
      </w:r>
      <w:r>
        <w:t xml:space="preserve"> paras 34 to 40.</w:t>
      </w:r>
    </w:p>
  </w:footnote>
  <w:footnote w:id="40">
    <w:p w14:paraId="62EB9AD0" w14:textId="77777777" w:rsidR="003B18E2" w:rsidRDefault="003B18E2" w:rsidP="003B18E2">
      <w:pPr>
        <w:pStyle w:val="FootnoteText"/>
      </w:pPr>
      <w:r>
        <w:rPr>
          <w:rStyle w:val="FootnoteReference"/>
        </w:rPr>
        <w:footnoteRef/>
      </w:r>
      <w:r>
        <w:t xml:space="preserve"> </w:t>
      </w:r>
      <w:r>
        <w:tab/>
      </w:r>
      <w:r w:rsidRPr="008E12C8">
        <w:rPr>
          <w:i/>
          <w:iCs/>
        </w:rPr>
        <w:t>Dohne Construction (Pty) Limited v Adv Lane SC and another</w:t>
      </w:r>
      <w:r>
        <w:rPr>
          <w:i/>
          <w:iCs/>
        </w:rPr>
        <w:t xml:space="preserve"> </w:t>
      </w:r>
      <w:r w:rsidRPr="00560C5A">
        <w:t>2022 JDR 3706 (GJ)</w:t>
      </w:r>
      <w:r>
        <w:t xml:space="preserve"> para 21.</w:t>
      </w:r>
    </w:p>
  </w:footnote>
  <w:footnote w:id="41">
    <w:p w14:paraId="039F14C7" w14:textId="77777777" w:rsidR="003B18E2" w:rsidRDefault="003B18E2" w:rsidP="003B18E2">
      <w:pPr>
        <w:pStyle w:val="FootnoteText"/>
      </w:pPr>
      <w:r>
        <w:rPr>
          <w:rStyle w:val="FootnoteReference"/>
        </w:rPr>
        <w:footnoteRef/>
      </w:r>
      <w:r>
        <w:t xml:space="preserve"> </w:t>
      </w:r>
      <w:r>
        <w:tab/>
      </w:r>
      <w:r w:rsidRPr="00123B09">
        <w:rPr>
          <w:i/>
          <w:iCs/>
        </w:rPr>
        <w:t>Lufuno Mphaphuli &amp; Associates (Pty) Ltd v Andrews and Another</w:t>
      </w:r>
      <w:r w:rsidRPr="00820ACA">
        <w:t xml:space="preserve"> 2009 (4) SA 529 (CC)</w:t>
      </w:r>
    </w:p>
  </w:footnote>
  <w:footnote w:id="42">
    <w:p w14:paraId="08ECC966" w14:textId="77777777" w:rsidR="003B18E2" w:rsidRDefault="003B18E2" w:rsidP="003B18E2">
      <w:pPr>
        <w:pStyle w:val="FootnoteText"/>
      </w:pPr>
      <w:r>
        <w:rPr>
          <w:rStyle w:val="FootnoteReference"/>
        </w:rPr>
        <w:footnoteRef/>
      </w:r>
      <w:r>
        <w:t xml:space="preserve"> </w:t>
      </w:r>
      <w:r>
        <w:tab/>
      </w:r>
      <w:r w:rsidRPr="00552DE9">
        <w:rPr>
          <w:i/>
          <w:iCs/>
        </w:rPr>
        <w:t>Ibid</w:t>
      </w:r>
      <w:r>
        <w:t xml:space="preserve"> para 215.</w:t>
      </w:r>
    </w:p>
  </w:footnote>
  <w:footnote w:id="43">
    <w:p w14:paraId="7EF6FCE2" w14:textId="77777777" w:rsidR="003B18E2" w:rsidRDefault="003B18E2" w:rsidP="003B18E2">
      <w:pPr>
        <w:pStyle w:val="FootnoteText"/>
      </w:pPr>
      <w:r>
        <w:rPr>
          <w:rStyle w:val="FootnoteReference"/>
        </w:rPr>
        <w:footnoteRef/>
      </w:r>
      <w:r>
        <w:t xml:space="preserve"> </w:t>
      </w:r>
      <w:r>
        <w:tab/>
      </w:r>
      <w:r w:rsidRPr="00552DE9">
        <w:rPr>
          <w:i/>
          <w:iCs/>
        </w:rPr>
        <w:t>Ibid</w:t>
      </w:r>
      <w:r>
        <w:t xml:space="preserve"> para 213.</w:t>
      </w:r>
    </w:p>
  </w:footnote>
  <w:footnote w:id="44">
    <w:p w14:paraId="64505818" w14:textId="77777777" w:rsidR="003B18E2" w:rsidRDefault="003B18E2" w:rsidP="003B18E2">
      <w:pPr>
        <w:pStyle w:val="FootnoteText"/>
      </w:pPr>
      <w:r>
        <w:rPr>
          <w:rStyle w:val="FootnoteReference"/>
        </w:rPr>
        <w:footnoteRef/>
      </w:r>
      <w:r>
        <w:t xml:space="preserve"> </w:t>
      </w:r>
      <w:r>
        <w:tab/>
      </w:r>
      <w:r>
        <w:rPr>
          <w:rFonts w:cs="Arial"/>
          <w:bCs/>
          <w:szCs w:val="22"/>
        </w:rPr>
        <w:t>The parties may decide on a public hearing as they are autonomous, but as a rule this is not the case.</w:t>
      </w:r>
    </w:p>
  </w:footnote>
  <w:footnote w:id="45">
    <w:p w14:paraId="784D4BC0" w14:textId="2B002BF8" w:rsidR="00B02D18" w:rsidRDefault="00B02D18" w:rsidP="00B02D18">
      <w:pPr>
        <w:pStyle w:val="FootnoteText"/>
      </w:pPr>
      <w:r w:rsidRPr="00B83232">
        <w:rPr>
          <w:rStyle w:val="FootnoteReference"/>
          <w:rFonts w:cs="Arial"/>
        </w:rPr>
        <w:footnoteRef/>
      </w:r>
      <w:r w:rsidRPr="00B83232">
        <w:rPr>
          <w:rFonts w:cs="Arial"/>
        </w:rPr>
        <w:t xml:space="preserve"> </w:t>
      </w:r>
      <w:r w:rsidRPr="00B83232">
        <w:rPr>
          <w:rFonts w:cs="Arial"/>
        </w:rPr>
        <w:tab/>
      </w:r>
      <w:r w:rsidRPr="00B83232">
        <w:rPr>
          <w:rStyle w:val="searchhit"/>
          <w:rFonts w:cs="Arial"/>
          <w:i/>
          <w:iCs/>
          <w:color w:val="000000"/>
          <w:bdr w:val="none" w:sz="0" w:space="0" w:color="auto" w:frame="1"/>
          <w:shd w:val="clear" w:color="auto" w:fill="F9F9F9"/>
        </w:rPr>
        <w:t>Ramakatsa</w:t>
      </w:r>
      <w:r w:rsidRPr="00B83232">
        <w:rPr>
          <w:rFonts w:cs="Arial"/>
          <w:i/>
          <w:iCs/>
          <w:color w:val="000000"/>
          <w:shd w:val="clear" w:color="auto" w:fill="F9F9F9"/>
        </w:rPr>
        <w:t> and others v African National Congress and another</w:t>
      </w:r>
      <w:r w:rsidRPr="00B83232">
        <w:rPr>
          <w:rFonts w:cs="Arial"/>
          <w:color w:val="000000"/>
          <w:shd w:val="clear" w:color="auto" w:fill="F9F9F9"/>
        </w:rPr>
        <w:t xml:space="preserve"> [2021] JOL 49993 (SCA)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183E9E5A"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615E41">
      <w:rPr>
        <w:rFonts w:cs="Arial"/>
        <w:noProof/>
        <w:sz w:val="20"/>
        <w:szCs w:val="20"/>
        <w:lang w:val="en-GB"/>
      </w:rPr>
      <w:t>14</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EC1920"/>
    <w:multiLevelType w:val="multilevel"/>
    <w:tmpl w:val="57AA92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651011"/>
    <w:multiLevelType w:val="multilevel"/>
    <w:tmpl w:val="E256B98E"/>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1"/>
  </w:num>
  <w:num w:numId="3">
    <w:abstractNumId w:val="13"/>
  </w:num>
  <w:num w:numId="4">
    <w:abstractNumId w:val="5"/>
  </w:num>
  <w:num w:numId="5">
    <w:abstractNumId w:val="12"/>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4"/>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41E8"/>
    <w:rsid w:val="00005CDD"/>
    <w:rsid w:val="00006113"/>
    <w:rsid w:val="000108E3"/>
    <w:rsid w:val="0001111B"/>
    <w:rsid w:val="0001140A"/>
    <w:rsid w:val="00011522"/>
    <w:rsid w:val="00013B7F"/>
    <w:rsid w:val="00013F00"/>
    <w:rsid w:val="0001593E"/>
    <w:rsid w:val="00015D74"/>
    <w:rsid w:val="00022ACD"/>
    <w:rsid w:val="00024A29"/>
    <w:rsid w:val="00025815"/>
    <w:rsid w:val="00025843"/>
    <w:rsid w:val="000262B3"/>
    <w:rsid w:val="000264AE"/>
    <w:rsid w:val="00026D9A"/>
    <w:rsid w:val="00027D19"/>
    <w:rsid w:val="00030A89"/>
    <w:rsid w:val="000325E2"/>
    <w:rsid w:val="00033AFD"/>
    <w:rsid w:val="00036508"/>
    <w:rsid w:val="00040CD3"/>
    <w:rsid w:val="00047F26"/>
    <w:rsid w:val="00050086"/>
    <w:rsid w:val="000504F1"/>
    <w:rsid w:val="00051A2B"/>
    <w:rsid w:val="000550EB"/>
    <w:rsid w:val="00063F7B"/>
    <w:rsid w:val="00066971"/>
    <w:rsid w:val="000737E1"/>
    <w:rsid w:val="00073E30"/>
    <w:rsid w:val="00081716"/>
    <w:rsid w:val="00082EDC"/>
    <w:rsid w:val="000833BB"/>
    <w:rsid w:val="00087AE6"/>
    <w:rsid w:val="000906B5"/>
    <w:rsid w:val="00092591"/>
    <w:rsid w:val="0009429D"/>
    <w:rsid w:val="0009488C"/>
    <w:rsid w:val="0009540B"/>
    <w:rsid w:val="000956E5"/>
    <w:rsid w:val="00096A67"/>
    <w:rsid w:val="00097968"/>
    <w:rsid w:val="000A2869"/>
    <w:rsid w:val="000A6AD8"/>
    <w:rsid w:val="000B21DA"/>
    <w:rsid w:val="000B5B2D"/>
    <w:rsid w:val="000C7A3D"/>
    <w:rsid w:val="000D01E0"/>
    <w:rsid w:val="000D0806"/>
    <w:rsid w:val="000D415C"/>
    <w:rsid w:val="000D4E84"/>
    <w:rsid w:val="000D53F5"/>
    <w:rsid w:val="000D5760"/>
    <w:rsid w:val="000D71C5"/>
    <w:rsid w:val="000D7D6A"/>
    <w:rsid w:val="000E1EC8"/>
    <w:rsid w:val="000E3EE8"/>
    <w:rsid w:val="000E5343"/>
    <w:rsid w:val="000F59F8"/>
    <w:rsid w:val="001025B5"/>
    <w:rsid w:val="00104142"/>
    <w:rsid w:val="00105F97"/>
    <w:rsid w:val="00107D26"/>
    <w:rsid w:val="00107D90"/>
    <w:rsid w:val="0011222D"/>
    <w:rsid w:val="001142D1"/>
    <w:rsid w:val="001144FB"/>
    <w:rsid w:val="00120C79"/>
    <w:rsid w:val="00120FB1"/>
    <w:rsid w:val="00130253"/>
    <w:rsid w:val="00133E81"/>
    <w:rsid w:val="00140CED"/>
    <w:rsid w:val="00147FF5"/>
    <w:rsid w:val="00151DA9"/>
    <w:rsid w:val="00152899"/>
    <w:rsid w:val="00154005"/>
    <w:rsid w:val="00154961"/>
    <w:rsid w:val="00155A21"/>
    <w:rsid w:val="00161057"/>
    <w:rsid w:val="001671C1"/>
    <w:rsid w:val="00171182"/>
    <w:rsid w:val="0017124B"/>
    <w:rsid w:val="00171D7F"/>
    <w:rsid w:val="00172DDF"/>
    <w:rsid w:val="00173C14"/>
    <w:rsid w:val="001753A1"/>
    <w:rsid w:val="00175DDD"/>
    <w:rsid w:val="00180CB6"/>
    <w:rsid w:val="00181ECD"/>
    <w:rsid w:val="001838CC"/>
    <w:rsid w:val="00183EB6"/>
    <w:rsid w:val="00185ACF"/>
    <w:rsid w:val="00190579"/>
    <w:rsid w:val="001916C4"/>
    <w:rsid w:val="00192F78"/>
    <w:rsid w:val="00195810"/>
    <w:rsid w:val="00196E14"/>
    <w:rsid w:val="001A2608"/>
    <w:rsid w:val="001A39FD"/>
    <w:rsid w:val="001A5145"/>
    <w:rsid w:val="001A522A"/>
    <w:rsid w:val="001A7904"/>
    <w:rsid w:val="001B1D39"/>
    <w:rsid w:val="001B4217"/>
    <w:rsid w:val="001B4893"/>
    <w:rsid w:val="001B5D3E"/>
    <w:rsid w:val="001B606B"/>
    <w:rsid w:val="001C0755"/>
    <w:rsid w:val="001C2371"/>
    <w:rsid w:val="001C33E6"/>
    <w:rsid w:val="001C7048"/>
    <w:rsid w:val="001D20A8"/>
    <w:rsid w:val="001D2410"/>
    <w:rsid w:val="001D3CC2"/>
    <w:rsid w:val="001E0529"/>
    <w:rsid w:val="001E255B"/>
    <w:rsid w:val="001E2EED"/>
    <w:rsid w:val="001E44D1"/>
    <w:rsid w:val="001E4691"/>
    <w:rsid w:val="001E518E"/>
    <w:rsid w:val="001F09D1"/>
    <w:rsid w:val="001F0A29"/>
    <w:rsid w:val="001F0CE5"/>
    <w:rsid w:val="001F3DBD"/>
    <w:rsid w:val="001F648A"/>
    <w:rsid w:val="001F6F43"/>
    <w:rsid w:val="00201620"/>
    <w:rsid w:val="0020474A"/>
    <w:rsid w:val="00205392"/>
    <w:rsid w:val="00206919"/>
    <w:rsid w:val="002104BF"/>
    <w:rsid w:val="002108B6"/>
    <w:rsid w:val="0021262A"/>
    <w:rsid w:val="00214877"/>
    <w:rsid w:val="00215824"/>
    <w:rsid w:val="00216BC8"/>
    <w:rsid w:val="002175BA"/>
    <w:rsid w:val="0022218D"/>
    <w:rsid w:val="00224405"/>
    <w:rsid w:val="00224F41"/>
    <w:rsid w:val="00226926"/>
    <w:rsid w:val="002302E3"/>
    <w:rsid w:val="00232528"/>
    <w:rsid w:val="00235D20"/>
    <w:rsid w:val="00237806"/>
    <w:rsid w:val="00237FF9"/>
    <w:rsid w:val="0024012B"/>
    <w:rsid w:val="00243D2F"/>
    <w:rsid w:val="00250164"/>
    <w:rsid w:val="00251668"/>
    <w:rsid w:val="00253F38"/>
    <w:rsid w:val="00253F72"/>
    <w:rsid w:val="002625C5"/>
    <w:rsid w:val="00262819"/>
    <w:rsid w:val="00263A96"/>
    <w:rsid w:val="0027014D"/>
    <w:rsid w:val="00285040"/>
    <w:rsid w:val="00285062"/>
    <w:rsid w:val="00292E3E"/>
    <w:rsid w:val="0029369B"/>
    <w:rsid w:val="002954C0"/>
    <w:rsid w:val="00296DAF"/>
    <w:rsid w:val="002976B8"/>
    <w:rsid w:val="002A030C"/>
    <w:rsid w:val="002A4B7B"/>
    <w:rsid w:val="002B05EA"/>
    <w:rsid w:val="002B2280"/>
    <w:rsid w:val="002B5323"/>
    <w:rsid w:val="002C15AC"/>
    <w:rsid w:val="002C2E80"/>
    <w:rsid w:val="002C4687"/>
    <w:rsid w:val="002D0186"/>
    <w:rsid w:val="002D2842"/>
    <w:rsid w:val="002D47B3"/>
    <w:rsid w:val="002E5B57"/>
    <w:rsid w:val="002E6CD7"/>
    <w:rsid w:val="002F1C4D"/>
    <w:rsid w:val="002F2881"/>
    <w:rsid w:val="002F508A"/>
    <w:rsid w:val="002F72D3"/>
    <w:rsid w:val="003007C7"/>
    <w:rsid w:val="00302290"/>
    <w:rsid w:val="003023F9"/>
    <w:rsid w:val="00302C31"/>
    <w:rsid w:val="00303919"/>
    <w:rsid w:val="003047C2"/>
    <w:rsid w:val="0030653F"/>
    <w:rsid w:val="003102C8"/>
    <w:rsid w:val="0031117B"/>
    <w:rsid w:val="00312EBC"/>
    <w:rsid w:val="00313056"/>
    <w:rsid w:val="0031758B"/>
    <w:rsid w:val="00321CD9"/>
    <w:rsid w:val="003312BF"/>
    <w:rsid w:val="003313A2"/>
    <w:rsid w:val="00331CF7"/>
    <w:rsid w:val="0033235F"/>
    <w:rsid w:val="00337135"/>
    <w:rsid w:val="0034147B"/>
    <w:rsid w:val="00342E02"/>
    <w:rsid w:val="003463D6"/>
    <w:rsid w:val="00346D31"/>
    <w:rsid w:val="00346DE6"/>
    <w:rsid w:val="00347E19"/>
    <w:rsid w:val="0035170A"/>
    <w:rsid w:val="003541F6"/>
    <w:rsid w:val="003543C5"/>
    <w:rsid w:val="00354EF2"/>
    <w:rsid w:val="00355BEB"/>
    <w:rsid w:val="003560A1"/>
    <w:rsid w:val="00357081"/>
    <w:rsid w:val="00357D35"/>
    <w:rsid w:val="0036253D"/>
    <w:rsid w:val="00363FCD"/>
    <w:rsid w:val="00364C43"/>
    <w:rsid w:val="00364E6A"/>
    <w:rsid w:val="00364E80"/>
    <w:rsid w:val="003676CF"/>
    <w:rsid w:val="00367720"/>
    <w:rsid w:val="00367778"/>
    <w:rsid w:val="0037029D"/>
    <w:rsid w:val="00372A48"/>
    <w:rsid w:val="00373181"/>
    <w:rsid w:val="00375E93"/>
    <w:rsid w:val="00377123"/>
    <w:rsid w:val="00381213"/>
    <w:rsid w:val="003832F7"/>
    <w:rsid w:val="003840EC"/>
    <w:rsid w:val="00385DBA"/>
    <w:rsid w:val="0038715A"/>
    <w:rsid w:val="00390C3F"/>
    <w:rsid w:val="00393127"/>
    <w:rsid w:val="00395873"/>
    <w:rsid w:val="003973CA"/>
    <w:rsid w:val="003A62CC"/>
    <w:rsid w:val="003A7864"/>
    <w:rsid w:val="003A7CA2"/>
    <w:rsid w:val="003B18E2"/>
    <w:rsid w:val="003B4100"/>
    <w:rsid w:val="003B67B7"/>
    <w:rsid w:val="003B6C02"/>
    <w:rsid w:val="003C1488"/>
    <w:rsid w:val="003C1A16"/>
    <w:rsid w:val="003C1E91"/>
    <w:rsid w:val="003C5536"/>
    <w:rsid w:val="003C7FCC"/>
    <w:rsid w:val="003D1202"/>
    <w:rsid w:val="003D19C3"/>
    <w:rsid w:val="003D1A1C"/>
    <w:rsid w:val="003D36F9"/>
    <w:rsid w:val="003D77F1"/>
    <w:rsid w:val="003D7970"/>
    <w:rsid w:val="003E449A"/>
    <w:rsid w:val="003E4A33"/>
    <w:rsid w:val="003E54E1"/>
    <w:rsid w:val="003E724B"/>
    <w:rsid w:val="003E7A60"/>
    <w:rsid w:val="003F1F49"/>
    <w:rsid w:val="003F4801"/>
    <w:rsid w:val="003F7448"/>
    <w:rsid w:val="00407071"/>
    <w:rsid w:val="00407F28"/>
    <w:rsid w:val="0041100A"/>
    <w:rsid w:val="004131C5"/>
    <w:rsid w:val="00413D9B"/>
    <w:rsid w:val="0042423E"/>
    <w:rsid w:val="00424BA6"/>
    <w:rsid w:val="004339E6"/>
    <w:rsid w:val="00434796"/>
    <w:rsid w:val="0043683A"/>
    <w:rsid w:val="00437EB1"/>
    <w:rsid w:val="00441422"/>
    <w:rsid w:val="00444ED6"/>
    <w:rsid w:val="00445DCB"/>
    <w:rsid w:val="00447235"/>
    <w:rsid w:val="0045044C"/>
    <w:rsid w:val="00460495"/>
    <w:rsid w:val="00460EEA"/>
    <w:rsid w:val="004630B6"/>
    <w:rsid w:val="00463106"/>
    <w:rsid w:val="00466A30"/>
    <w:rsid w:val="00474607"/>
    <w:rsid w:val="00474910"/>
    <w:rsid w:val="004749AF"/>
    <w:rsid w:val="00475410"/>
    <w:rsid w:val="004774FF"/>
    <w:rsid w:val="00484116"/>
    <w:rsid w:val="0048424E"/>
    <w:rsid w:val="00486F42"/>
    <w:rsid w:val="00487D14"/>
    <w:rsid w:val="004923A9"/>
    <w:rsid w:val="00495F7C"/>
    <w:rsid w:val="004A1E3F"/>
    <w:rsid w:val="004A2651"/>
    <w:rsid w:val="004A2C7E"/>
    <w:rsid w:val="004A6625"/>
    <w:rsid w:val="004A69D6"/>
    <w:rsid w:val="004A70AB"/>
    <w:rsid w:val="004A7DFE"/>
    <w:rsid w:val="004B0DBA"/>
    <w:rsid w:val="004B21D9"/>
    <w:rsid w:val="004C0CE3"/>
    <w:rsid w:val="004C368B"/>
    <w:rsid w:val="004D1A31"/>
    <w:rsid w:val="004D1A91"/>
    <w:rsid w:val="004D262A"/>
    <w:rsid w:val="004D2C6F"/>
    <w:rsid w:val="004D2E01"/>
    <w:rsid w:val="004D3237"/>
    <w:rsid w:val="004D4E89"/>
    <w:rsid w:val="004E0F3F"/>
    <w:rsid w:val="004E1349"/>
    <w:rsid w:val="004E3305"/>
    <w:rsid w:val="004E568C"/>
    <w:rsid w:val="004E5AD8"/>
    <w:rsid w:val="004E6890"/>
    <w:rsid w:val="004F0806"/>
    <w:rsid w:val="004F12D8"/>
    <w:rsid w:val="004F22A6"/>
    <w:rsid w:val="004F4A37"/>
    <w:rsid w:val="00504B53"/>
    <w:rsid w:val="00504E0F"/>
    <w:rsid w:val="00505FF7"/>
    <w:rsid w:val="0051015D"/>
    <w:rsid w:val="0051292D"/>
    <w:rsid w:val="0051442D"/>
    <w:rsid w:val="0051622D"/>
    <w:rsid w:val="00516734"/>
    <w:rsid w:val="00516848"/>
    <w:rsid w:val="005207B2"/>
    <w:rsid w:val="005219EB"/>
    <w:rsid w:val="005262C2"/>
    <w:rsid w:val="0052705A"/>
    <w:rsid w:val="00537126"/>
    <w:rsid w:val="00537A72"/>
    <w:rsid w:val="005405F8"/>
    <w:rsid w:val="00542EAE"/>
    <w:rsid w:val="00546878"/>
    <w:rsid w:val="005509BE"/>
    <w:rsid w:val="00552DE9"/>
    <w:rsid w:val="00560E18"/>
    <w:rsid w:val="005612A1"/>
    <w:rsid w:val="005621E7"/>
    <w:rsid w:val="00563355"/>
    <w:rsid w:val="00564BAB"/>
    <w:rsid w:val="00571E81"/>
    <w:rsid w:val="00573FF9"/>
    <w:rsid w:val="00576B16"/>
    <w:rsid w:val="005844A1"/>
    <w:rsid w:val="005949BC"/>
    <w:rsid w:val="005971D5"/>
    <w:rsid w:val="00597AEA"/>
    <w:rsid w:val="005A313A"/>
    <w:rsid w:val="005A35EB"/>
    <w:rsid w:val="005A680F"/>
    <w:rsid w:val="005A70F0"/>
    <w:rsid w:val="005A747A"/>
    <w:rsid w:val="005A7F99"/>
    <w:rsid w:val="005B07CB"/>
    <w:rsid w:val="005B1382"/>
    <w:rsid w:val="005B2FF9"/>
    <w:rsid w:val="005B696E"/>
    <w:rsid w:val="005B6D81"/>
    <w:rsid w:val="005B7767"/>
    <w:rsid w:val="005B7DD3"/>
    <w:rsid w:val="005C7203"/>
    <w:rsid w:val="005C7FC2"/>
    <w:rsid w:val="005D1AFD"/>
    <w:rsid w:val="005D1F92"/>
    <w:rsid w:val="005D2137"/>
    <w:rsid w:val="005D2408"/>
    <w:rsid w:val="005D32A9"/>
    <w:rsid w:val="005D60C3"/>
    <w:rsid w:val="005D6122"/>
    <w:rsid w:val="005D6E80"/>
    <w:rsid w:val="005E0B20"/>
    <w:rsid w:val="005E2936"/>
    <w:rsid w:val="005E2F7B"/>
    <w:rsid w:val="005E3C94"/>
    <w:rsid w:val="005E5C01"/>
    <w:rsid w:val="005E7118"/>
    <w:rsid w:val="005E7E9F"/>
    <w:rsid w:val="005F07D7"/>
    <w:rsid w:val="005F1CDA"/>
    <w:rsid w:val="005F35C5"/>
    <w:rsid w:val="005F37A4"/>
    <w:rsid w:val="00601315"/>
    <w:rsid w:val="00602403"/>
    <w:rsid w:val="006041A4"/>
    <w:rsid w:val="006109EC"/>
    <w:rsid w:val="00610F53"/>
    <w:rsid w:val="00611D8A"/>
    <w:rsid w:val="0061430D"/>
    <w:rsid w:val="006150CE"/>
    <w:rsid w:val="00615E41"/>
    <w:rsid w:val="006165F4"/>
    <w:rsid w:val="006245EC"/>
    <w:rsid w:val="006309D5"/>
    <w:rsid w:val="00642664"/>
    <w:rsid w:val="0064365B"/>
    <w:rsid w:val="00644BBE"/>
    <w:rsid w:val="006466DA"/>
    <w:rsid w:val="00646711"/>
    <w:rsid w:val="006479F9"/>
    <w:rsid w:val="00647DDD"/>
    <w:rsid w:val="00653BA4"/>
    <w:rsid w:val="00657478"/>
    <w:rsid w:val="00657EDA"/>
    <w:rsid w:val="006609A2"/>
    <w:rsid w:val="00660C84"/>
    <w:rsid w:val="0066132D"/>
    <w:rsid w:val="0066194B"/>
    <w:rsid w:val="00661FC4"/>
    <w:rsid w:val="006629A3"/>
    <w:rsid w:val="00666D4D"/>
    <w:rsid w:val="00672205"/>
    <w:rsid w:val="00672E95"/>
    <w:rsid w:val="0067508C"/>
    <w:rsid w:val="00677059"/>
    <w:rsid w:val="00680072"/>
    <w:rsid w:val="00680421"/>
    <w:rsid w:val="006858DA"/>
    <w:rsid w:val="006902F1"/>
    <w:rsid w:val="006918E9"/>
    <w:rsid w:val="006951CE"/>
    <w:rsid w:val="00695B2C"/>
    <w:rsid w:val="006A1F2C"/>
    <w:rsid w:val="006A34C4"/>
    <w:rsid w:val="006A3B6B"/>
    <w:rsid w:val="006A438B"/>
    <w:rsid w:val="006A4F20"/>
    <w:rsid w:val="006A6039"/>
    <w:rsid w:val="006B1E87"/>
    <w:rsid w:val="006B514A"/>
    <w:rsid w:val="006C1EA3"/>
    <w:rsid w:val="006C2AB0"/>
    <w:rsid w:val="006C2B5F"/>
    <w:rsid w:val="006C31B7"/>
    <w:rsid w:val="006C4213"/>
    <w:rsid w:val="006C43D7"/>
    <w:rsid w:val="006C49BA"/>
    <w:rsid w:val="006C49F6"/>
    <w:rsid w:val="006C53ED"/>
    <w:rsid w:val="006C5694"/>
    <w:rsid w:val="006D11AD"/>
    <w:rsid w:val="006D193A"/>
    <w:rsid w:val="006D25DD"/>
    <w:rsid w:val="006D29AA"/>
    <w:rsid w:val="006D4128"/>
    <w:rsid w:val="006D4C1B"/>
    <w:rsid w:val="006D5E57"/>
    <w:rsid w:val="006E0B4D"/>
    <w:rsid w:val="006E2083"/>
    <w:rsid w:val="006E2725"/>
    <w:rsid w:val="006E2D72"/>
    <w:rsid w:val="006E3064"/>
    <w:rsid w:val="006E3379"/>
    <w:rsid w:val="006E68E6"/>
    <w:rsid w:val="006F042A"/>
    <w:rsid w:val="006F0C74"/>
    <w:rsid w:val="006F1875"/>
    <w:rsid w:val="006F2187"/>
    <w:rsid w:val="006F25E5"/>
    <w:rsid w:val="006F2FCE"/>
    <w:rsid w:val="006F36B9"/>
    <w:rsid w:val="006F415C"/>
    <w:rsid w:val="006F489F"/>
    <w:rsid w:val="0070560F"/>
    <w:rsid w:val="007112CA"/>
    <w:rsid w:val="00713E2B"/>
    <w:rsid w:val="007202BD"/>
    <w:rsid w:val="007205BF"/>
    <w:rsid w:val="00721AE9"/>
    <w:rsid w:val="007237D1"/>
    <w:rsid w:val="007241D4"/>
    <w:rsid w:val="00724D82"/>
    <w:rsid w:val="007273F1"/>
    <w:rsid w:val="00730BF2"/>
    <w:rsid w:val="00732A6F"/>
    <w:rsid w:val="00735F90"/>
    <w:rsid w:val="0074214D"/>
    <w:rsid w:val="00742764"/>
    <w:rsid w:val="00745456"/>
    <w:rsid w:val="00751452"/>
    <w:rsid w:val="0075156A"/>
    <w:rsid w:val="00751F17"/>
    <w:rsid w:val="00751F90"/>
    <w:rsid w:val="007619C5"/>
    <w:rsid w:val="00761C35"/>
    <w:rsid w:val="00762178"/>
    <w:rsid w:val="00765F62"/>
    <w:rsid w:val="00766026"/>
    <w:rsid w:val="00770169"/>
    <w:rsid w:val="00772025"/>
    <w:rsid w:val="007726C0"/>
    <w:rsid w:val="00781088"/>
    <w:rsid w:val="00781AA0"/>
    <w:rsid w:val="00781CF7"/>
    <w:rsid w:val="00781D24"/>
    <w:rsid w:val="00782DE8"/>
    <w:rsid w:val="00792E10"/>
    <w:rsid w:val="0079383D"/>
    <w:rsid w:val="007954AE"/>
    <w:rsid w:val="007A006B"/>
    <w:rsid w:val="007A1D60"/>
    <w:rsid w:val="007A6B7F"/>
    <w:rsid w:val="007B165A"/>
    <w:rsid w:val="007B2DAD"/>
    <w:rsid w:val="007B2DF7"/>
    <w:rsid w:val="007B7246"/>
    <w:rsid w:val="007B78C2"/>
    <w:rsid w:val="007C23FF"/>
    <w:rsid w:val="007C416B"/>
    <w:rsid w:val="007C4CB7"/>
    <w:rsid w:val="007C5008"/>
    <w:rsid w:val="007C658B"/>
    <w:rsid w:val="007D1E79"/>
    <w:rsid w:val="007D27CF"/>
    <w:rsid w:val="007D4DAF"/>
    <w:rsid w:val="007E1175"/>
    <w:rsid w:val="007E220A"/>
    <w:rsid w:val="007E250D"/>
    <w:rsid w:val="007E468A"/>
    <w:rsid w:val="007E58FC"/>
    <w:rsid w:val="007F07D4"/>
    <w:rsid w:val="007F1350"/>
    <w:rsid w:val="007F1517"/>
    <w:rsid w:val="007F207F"/>
    <w:rsid w:val="007F5B91"/>
    <w:rsid w:val="008019A7"/>
    <w:rsid w:val="00803CEC"/>
    <w:rsid w:val="00804B15"/>
    <w:rsid w:val="008076A4"/>
    <w:rsid w:val="00807DC2"/>
    <w:rsid w:val="00810CA3"/>
    <w:rsid w:val="00811776"/>
    <w:rsid w:val="008200A7"/>
    <w:rsid w:val="00822050"/>
    <w:rsid w:val="00827CC9"/>
    <w:rsid w:val="008304EC"/>
    <w:rsid w:val="00830952"/>
    <w:rsid w:val="00830F84"/>
    <w:rsid w:val="00837CB7"/>
    <w:rsid w:val="00841688"/>
    <w:rsid w:val="00841C01"/>
    <w:rsid w:val="00843EFD"/>
    <w:rsid w:val="008443A9"/>
    <w:rsid w:val="008469B3"/>
    <w:rsid w:val="008535CA"/>
    <w:rsid w:val="008570B8"/>
    <w:rsid w:val="008578F4"/>
    <w:rsid w:val="00860576"/>
    <w:rsid w:val="0086688C"/>
    <w:rsid w:val="008674AA"/>
    <w:rsid w:val="008675CC"/>
    <w:rsid w:val="0087609B"/>
    <w:rsid w:val="0088094C"/>
    <w:rsid w:val="00881004"/>
    <w:rsid w:val="00882C40"/>
    <w:rsid w:val="00885973"/>
    <w:rsid w:val="008903B1"/>
    <w:rsid w:val="00892908"/>
    <w:rsid w:val="008942FC"/>
    <w:rsid w:val="0089562F"/>
    <w:rsid w:val="008957BF"/>
    <w:rsid w:val="008A082A"/>
    <w:rsid w:val="008A4DF4"/>
    <w:rsid w:val="008B0950"/>
    <w:rsid w:val="008B1DA9"/>
    <w:rsid w:val="008B571D"/>
    <w:rsid w:val="008B6162"/>
    <w:rsid w:val="008C3EBC"/>
    <w:rsid w:val="008C4AE0"/>
    <w:rsid w:val="008C57F6"/>
    <w:rsid w:val="008C7019"/>
    <w:rsid w:val="008D33A3"/>
    <w:rsid w:val="008D4715"/>
    <w:rsid w:val="008D5B23"/>
    <w:rsid w:val="008D6F1D"/>
    <w:rsid w:val="008E12C8"/>
    <w:rsid w:val="008E1B11"/>
    <w:rsid w:val="008E2ACD"/>
    <w:rsid w:val="008E7F87"/>
    <w:rsid w:val="008F0CC7"/>
    <w:rsid w:val="008F11CF"/>
    <w:rsid w:val="008F189C"/>
    <w:rsid w:val="008F1FE1"/>
    <w:rsid w:val="008F32FF"/>
    <w:rsid w:val="008F4486"/>
    <w:rsid w:val="008F4FC6"/>
    <w:rsid w:val="008F72CD"/>
    <w:rsid w:val="008F741E"/>
    <w:rsid w:val="008F7E6F"/>
    <w:rsid w:val="009015D3"/>
    <w:rsid w:val="00902179"/>
    <w:rsid w:val="00903877"/>
    <w:rsid w:val="0091544C"/>
    <w:rsid w:val="00921D03"/>
    <w:rsid w:val="00925CD2"/>
    <w:rsid w:val="0093196E"/>
    <w:rsid w:val="00932559"/>
    <w:rsid w:val="00933065"/>
    <w:rsid w:val="00933569"/>
    <w:rsid w:val="009365B1"/>
    <w:rsid w:val="0093799C"/>
    <w:rsid w:val="009422A1"/>
    <w:rsid w:val="00943484"/>
    <w:rsid w:val="00944804"/>
    <w:rsid w:val="009449FB"/>
    <w:rsid w:val="0094634F"/>
    <w:rsid w:val="009473D8"/>
    <w:rsid w:val="00950097"/>
    <w:rsid w:val="00960ADF"/>
    <w:rsid w:val="00963A0C"/>
    <w:rsid w:val="009661B5"/>
    <w:rsid w:val="009725C0"/>
    <w:rsid w:val="009729BD"/>
    <w:rsid w:val="00974A92"/>
    <w:rsid w:val="00975270"/>
    <w:rsid w:val="00975BA1"/>
    <w:rsid w:val="00976F39"/>
    <w:rsid w:val="009809DD"/>
    <w:rsid w:val="00980D50"/>
    <w:rsid w:val="00981766"/>
    <w:rsid w:val="009835E3"/>
    <w:rsid w:val="009837A6"/>
    <w:rsid w:val="00983C64"/>
    <w:rsid w:val="00984FA7"/>
    <w:rsid w:val="009869F2"/>
    <w:rsid w:val="00987CDB"/>
    <w:rsid w:val="009A2613"/>
    <w:rsid w:val="009A2726"/>
    <w:rsid w:val="009A30E0"/>
    <w:rsid w:val="009A3619"/>
    <w:rsid w:val="009A3A21"/>
    <w:rsid w:val="009A66D0"/>
    <w:rsid w:val="009A6AA9"/>
    <w:rsid w:val="009B08AF"/>
    <w:rsid w:val="009B10F4"/>
    <w:rsid w:val="009B3DFC"/>
    <w:rsid w:val="009B793E"/>
    <w:rsid w:val="009C1EA6"/>
    <w:rsid w:val="009C37B9"/>
    <w:rsid w:val="009C38E7"/>
    <w:rsid w:val="009C5AC9"/>
    <w:rsid w:val="009D0E35"/>
    <w:rsid w:val="009D1D21"/>
    <w:rsid w:val="009D31FA"/>
    <w:rsid w:val="009D32BD"/>
    <w:rsid w:val="009D33F1"/>
    <w:rsid w:val="009D35B5"/>
    <w:rsid w:val="009D37BD"/>
    <w:rsid w:val="009D40CB"/>
    <w:rsid w:val="009D4486"/>
    <w:rsid w:val="009D7128"/>
    <w:rsid w:val="009E0DA2"/>
    <w:rsid w:val="009E21DE"/>
    <w:rsid w:val="009E4D44"/>
    <w:rsid w:val="009E6174"/>
    <w:rsid w:val="009E6D62"/>
    <w:rsid w:val="009F211E"/>
    <w:rsid w:val="009F2572"/>
    <w:rsid w:val="009F294E"/>
    <w:rsid w:val="009F30F1"/>
    <w:rsid w:val="009F37C7"/>
    <w:rsid w:val="009F50AB"/>
    <w:rsid w:val="00A005F6"/>
    <w:rsid w:val="00A03968"/>
    <w:rsid w:val="00A0424F"/>
    <w:rsid w:val="00A051FB"/>
    <w:rsid w:val="00A103FF"/>
    <w:rsid w:val="00A11281"/>
    <w:rsid w:val="00A121B5"/>
    <w:rsid w:val="00A16C6E"/>
    <w:rsid w:val="00A17DB2"/>
    <w:rsid w:val="00A22A14"/>
    <w:rsid w:val="00A23A49"/>
    <w:rsid w:val="00A25AB4"/>
    <w:rsid w:val="00A26214"/>
    <w:rsid w:val="00A26566"/>
    <w:rsid w:val="00A27A51"/>
    <w:rsid w:val="00A31837"/>
    <w:rsid w:val="00A3310D"/>
    <w:rsid w:val="00A34457"/>
    <w:rsid w:val="00A37BA4"/>
    <w:rsid w:val="00A402F6"/>
    <w:rsid w:val="00A42167"/>
    <w:rsid w:val="00A43739"/>
    <w:rsid w:val="00A47150"/>
    <w:rsid w:val="00A47466"/>
    <w:rsid w:val="00A47815"/>
    <w:rsid w:val="00A47A18"/>
    <w:rsid w:val="00A539CB"/>
    <w:rsid w:val="00A63709"/>
    <w:rsid w:val="00A643AB"/>
    <w:rsid w:val="00A649E6"/>
    <w:rsid w:val="00A660AF"/>
    <w:rsid w:val="00A70A95"/>
    <w:rsid w:val="00A70BDA"/>
    <w:rsid w:val="00A740B6"/>
    <w:rsid w:val="00A7621E"/>
    <w:rsid w:val="00A7639A"/>
    <w:rsid w:val="00A817D5"/>
    <w:rsid w:val="00A82F31"/>
    <w:rsid w:val="00A84F01"/>
    <w:rsid w:val="00A91332"/>
    <w:rsid w:val="00A93351"/>
    <w:rsid w:val="00A95538"/>
    <w:rsid w:val="00AA0013"/>
    <w:rsid w:val="00AA26FF"/>
    <w:rsid w:val="00AA6E8C"/>
    <w:rsid w:val="00AA6F19"/>
    <w:rsid w:val="00AA75E6"/>
    <w:rsid w:val="00AA79A8"/>
    <w:rsid w:val="00AA7A76"/>
    <w:rsid w:val="00AA7C2E"/>
    <w:rsid w:val="00AB0286"/>
    <w:rsid w:val="00AB1475"/>
    <w:rsid w:val="00AB404E"/>
    <w:rsid w:val="00AB4C6D"/>
    <w:rsid w:val="00AB53F2"/>
    <w:rsid w:val="00AB55F7"/>
    <w:rsid w:val="00AC022F"/>
    <w:rsid w:val="00AC2995"/>
    <w:rsid w:val="00AC4165"/>
    <w:rsid w:val="00AC556A"/>
    <w:rsid w:val="00AC76EA"/>
    <w:rsid w:val="00AC7FB7"/>
    <w:rsid w:val="00AD1246"/>
    <w:rsid w:val="00AD23BF"/>
    <w:rsid w:val="00AD25B6"/>
    <w:rsid w:val="00AD2631"/>
    <w:rsid w:val="00AD662C"/>
    <w:rsid w:val="00AE1220"/>
    <w:rsid w:val="00AE287F"/>
    <w:rsid w:val="00AE39F3"/>
    <w:rsid w:val="00AE4006"/>
    <w:rsid w:val="00AE5118"/>
    <w:rsid w:val="00AE63BD"/>
    <w:rsid w:val="00AF07B8"/>
    <w:rsid w:val="00AF0B2B"/>
    <w:rsid w:val="00AF2914"/>
    <w:rsid w:val="00AF363F"/>
    <w:rsid w:val="00AF3E4F"/>
    <w:rsid w:val="00AF71E5"/>
    <w:rsid w:val="00B02D18"/>
    <w:rsid w:val="00B030FD"/>
    <w:rsid w:val="00B0366D"/>
    <w:rsid w:val="00B041CE"/>
    <w:rsid w:val="00B071FF"/>
    <w:rsid w:val="00B11505"/>
    <w:rsid w:val="00B11DC2"/>
    <w:rsid w:val="00B15142"/>
    <w:rsid w:val="00B16F69"/>
    <w:rsid w:val="00B1789D"/>
    <w:rsid w:val="00B223FE"/>
    <w:rsid w:val="00B256C3"/>
    <w:rsid w:val="00B3208F"/>
    <w:rsid w:val="00B3260E"/>
    <w:rsid w:val="00B42807"/>
    <w:rsid w:val="00B428A6"/>
    <w:rsid w:val="00B43340"/>
    <w:rsid w:val="00B4461C"/>
    <w:rsid w:val="00B525B8"/>
    <w:rsid w:val="00B53913"/>
    <w:rsid w:val="00B554D4"/>
    <w:rsid w:val="00B55F3A"/>
    <w:rsid w:val="00B5634B"/>
    <w:rsid w:val="00B56906"/>
    <w:rsid w:val="00B61484"/>
    <w:rsid w:val="00B71CB5"/>
    <w:rsid w:val="00B71F16"/>
    <w:rsid w:val="00B72922"/>
    <w:rsid w:val="00B72A13"/>
    <w:rsid w:val="00B72ADA"/>
    <w:rsid w:val="00B7473A"/>
    <w:rsid w:val="00B75819"/>
    <w:rsid w:val="00B75CDA"/>
    <w:rsid w:val="00B81526"/>
    <w:rsid w:val="00B819E4"/>
    <w:rsid w:val="00B81AF1"/>
    <w:rsid w:val="00B84042"/>
    <w:rsid w:val="00B84DD5"/>
    <w:rsid w:val="00B9165A"/>
    <w:rsid w:val="00B924B4"/>
    <w:rsid w:val="00B9487E"/>
    <w:rsid w:val="00B95910"/>
    <w:rsid w:val="00B9692A"/>
    <w:rsid w:val="00BA29E7"/>
    <w:rsid w:val="00BA33AF"/>
    <w:rsid w:val="00BA3A4C"/>
    <w:rsid w:val="00BA61FA"/>
    <w:rsid w:val="00BA67FC"/>
    <w:rsid w:val="00BB0F20"/>
    <w:rsid w:val="00BB17D2"/>
    <w:rsid w:val="00BB50D7"/>
    <w:rsid w:val="00BB7F08"/>
    <w:rsid w:val="00BC0623"/>
    <w:rsid w:val="00BC2110"/>
    <w:rsid w:val="00BC35CD"/>
    <w:rsid w:val="00BC3C54"/>
    <w:rsid w:val="00BC415B"/>
    <w:rsid w:val="00BD02C2"/>
    <w:rsid w:val="00BD2C66"/>
    <w:rsid w:val="00BD2CDE"/>
    <w:rsid w:val="00BD3D16"/>
    <w:rsid w:val="00BD41CF"/>
    <w:rsid w:val="00BD57CD"/>
    <w:rsid w:val="00BD75F3"/>
    <w:rsid w:val="00BE0164"/>
    <w:rsid w:val="00BE12BD"/>
    <w:rsid w:val="00BE2ED7"/>
    <w:rsid w:val="00BE3498"/>
    <w:rsid w:val="00BE6AB8"/>
    <w:rsid w:val="00BF040B"/>
    <w:rsid w:val="00BF086D"/>
    <w:rsid w:val="00BF0A2A"/>
    <w:rsid w:val="00BF2167"/>
    <w:rsid w:val="00BF43BC"/>
    <w:rsid w:val="00BF4DDA"/>
    <w:rsid w:val="00BF55C7"/>
    <w:rsid w:val="00BF7ED8"/>
    <w:rsid w:val="00C0222C"/>
    <w:rsid w:val="00C04139"/>
    <w:rsid w:val="00C0564A"/>
    <w:rsid w:val="00C0572E"/>
    <w:rsid w:val="00C1000B"/>
    <w:rsid w:val="00C1108E"/>
    <w:rsid w:val="00C13EA0"/>
    <w:rsid w:val="00C14A51"/>
    <w:rsid w:val="00C14B1A"/>
    <w:rsid w:val="00C15C65"/>
    <w:rsid w:val="00C21B3D"/>
    <w:rsid w:val="00C24267"/>
    <w:rsid w:val="00C243E6"/>
    <w:rsid w:val="00C26FA6"/>
    <w:rsid w:val="00C2788D"/>
    <w:rsid w:val="00C30D3D"/>
    <w:rsid w:val="00C31D37"/>
    <w:rsid w:val="00C32016"/>
    <w:rsid w:val="00C33398"/>
    <w:rsid w:val="00C361F6"/>
    <w:rsid w:val="00C3669A"/>
    <w:rsid w:val="00C371D5"/>
    <w:rsid w:val="00C423E3"/>
    <w:rsid w:val="00C44BAC"/>
    <w:rsid w:val="00C45626"/>
    <w:rsid w:val="00C458AF"/>
    <w:rsid w:val="00C460A0"/>
    <w:rsid w:val="00C4720D"/>
    <w:rsid w:val="00C50068"/>
    <w:rsid w:val="00C549F4"/>
    <w:rsid w:val="00C60DD4"/>
    <w:rsid w:val="00C60F27"/>
    <w:rsid w:val="00C610F2"/>
    <w:rsid w:val="00C63B40"/>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440"/>
    <w:rsid w:val="00C86AEA"/>
    <w:rsid w:val="00C875AE"/>
    <w:rsid w:val="00C9310B"/>
    <w:rsid w:val="00C937FB"/>
    <w:rsid w:val="00CA2964"/>
    <w:rsid w:val="00CA29BD"/>
    <w:rsid w:val="00CA2DC5"/>
    <w:rsid w:val="00CA696D"/>
    <w:rsid w:val="00CA6B5A"/>
    <w:rsid w:val="00CB0BAA"/>
    <w:rsid w:val="00CB1536"/>
    <w:rsid w:val="00CB3907"/>
    <w:rsid w:val="00CB6167"/>
    <w:rsid w:val="00CC0C54"/>
    <w:rsid w:val="00CC1016"/>
    <w:rsid w:val="00CC32A0"/>
    <w:rsid w:val="00CD0D1D"/>
    <w:rsid w:val="00CD1673"/>
    <w:rsid w:val="00CD1721"/>
    <w:rsid w:val="00CD4DDC"/>
    <w:rsid w:val="00CD6108"/>
    <w:rsid w:val="00CE6301"/>
    <w:rsid w:val="00CF2008"/>
    <w:rsid w:val="00CF3649"/>
    <w:rsid w:val="00CF4188"/>
    <w:rsid w:val="00CF4E9E"/>
    <w:rsid w:val="00CF5634"/>
    <w:rsid w:val="00CF7848"/>
    <w:rsid w:val="00D058FC"/>
    <w:rsid w:val="00D06213"/>
    <w:rsid w:val="00D10010"/>
    <w:rsid w:val="00D11510"/>
    <w:rsid w:val="00D12BB7"/>
    <w:rsid w:val="00D159D4"/>
    <w:rsid w:val="00D15C79"/>
    <w:rsid w:val="00D21601"/>
    <w:rsid w:val="00D21AA7"/>
    <w:rsid w:val="00D22F1C"/>
    <w:rsid w:val="00D23D75"/>
    <w:rsid w:val="00D266AB"/>
    <w:rsid w:val="00D31882"/>
    <w:rsid w:val="00D31BAB"/>
    <w:rsid w:val="00D31D27"/>
    <w:rsid w:val="00D32109"/>
    <w:rsid w:val="00D336A4"/>
    <w:rsid w:val="00D34AFB"/>
    <w:rsid w:val="00D35A03"/>
    <w:rsid w:val="00D37377"/>
    <w:rsid w:val="00D41830"/>
    <w:rsid w:val="00D45B8C"/>
    <w:rsid w:val="00D56058"/>
    <w:rsid w:val="00D567E0"/>
    <w:rsid w:val="00D56A09"/>
    <w:rsid w:val="00D57976"/>
    <w:rsid w:val="00D61F2D"/>
    <w:rsid w:val="00D630DE"/>
    <w:rsid w:val="00D645C6"/>
    <w:rsid w:val="00D6548A"/>
    <w:rsid w:val="00D65905"/>
    <w:rsid w:val="00D7327A"/>
    <w:rsid w:val="00D74EC8"/>
    <w:rsid w:val="00D818F5"/>
    <w:rsid w:val="00D81AC9"/>
    <w:rsid w:val="00D858CC"/>
    <w:rsid w:val="00D862B5"/>
    <w:rsid w:val="00D9086C"/>
    <w:rsid w:val="00D91458"/>
    <w:rsid w:val="00D93AAA"/>
    <w:rsid w:val="00D94745"/>
    <w:rsid w:val="00D95026"/>
    <w:rsid w:val="00D95DFF"/>
    <w:rsid w:val="00D963D5"/>
    <w:rsid w:val="00DA41B2"/>
    <w:rsid w:val="00DA5D06"/>
    <w:rsid w:val="00DA7B20"/>
    <w:rsid w:val="00DB049D"/>
    <w:rsid w:val="00DB473D"/>
    <w:rsid w:val="00DB5727"/>
    <w:rsid w:val="00DC2E38"/>
    <w:rsid w:val="00DC2FBF"/>
    <w:rsid w:val="00DC4103"/>
    <w:rsid w:val="00DC52BC"/>
    <w:rsid w:val="00DC621D"/>
    <w:rsid w:val="00DC6A98"/>
    <w:rsid w:val="00DC6EF8"/>
    <w:rsid w:val="00DC7245"/>
    <w:rsid w:val="00DC730A"/>
    <w:rsid w:val="00DD12FC"/>
    <w:rsid w:val="00DD1ED6"/>
    <w:rsid w:val="00DD2B0D"/>
    <w:rsid w:val="00DE130A"/>
    <w:rsid w:val="00DE1F21"/>
    <w:rsid w:val="00DE3369"/>
    <w:rsid w:val="00DE33DB"/>
    <w:rsid w:val="00DE38B2"/>
    <w:rsid w:val="00DE65AF"/>
    <w:rsid w:val="00DF2C9A"/>
    <w:rsid w:val="00DF5291"/>
    <w:rsid w:val="00DF6AC1"/>
    <w:rsid w:val="00E010C4"/>
    <w:rsid w:val="00E05572"/>
    <w:rsid w:val="00E10D04"/>
    <w:rsid w:val="00E16292"/>
    <w:rsid w:val="00E166FD"/>
    <w:rsid w:val="00E20294"/>
    <w:rsid w:val="00E25706"/>
    <w:rsid w:val="00E264BB"/>
    <w:rsid w:val="00E276DF"/>
    <w:rsid w:val="00E30596"/>
    <w:rsid w:val="00E31FF9"/>
    <w:rsid w:val="00E33434"/>
    <w:rsid w:val="00E33B23"/>
    <w:rsid w:val="00E37B1B"/>
    <w:rsid w:val="00E43C23"/>
    <w:rsid w:val="00E45160"/>
    <w:rsid w:val="00E45E6A"/>
    <w:rsid w:val="00E50A42"/>
    <w:rsid w:val="00E54FA5"/>
    <w:rsid w:val="00E56D64"/>
    <w:rsid w:val="00E57446"/>
    <w:rsid w:val="00E61081"/>
    <w:rsid w:val="00E610A5"/>
    <w:rsid w:val="00E65B18"/>
    <w:rsid w:val="00E65B9D"/>
    <w:rsid w:val="00E65CE8"/>
    <w:rsid w:val="00E71CE6"/>
    <w:rsid w:val="00E71E16"/>
    <w:rsid w:val="00E72629"/>
    <w:rsid w:val="00E728C6"/>
    <w:rsid w:val="00E72A43"/>
    <w:rsid w:val="00E76641"/>
    <w:rsid w:val="00E77AC7"/>
    <w:rsid w:val="00E83DA2"/>
    <w:rsid w:val="00E851E8"/>
    <w:rsid w:val="00E862E7"/>
    <w:rsid w:val="00E86DF2"/>
    <w:rsid w:val="00E879EC"/>
    <w:rsid w:val="00E949EF"/>
    <w:rsid w:val="00E95703"/>
    <w:rsid w:val="00EA0297"/>
    <w:rsid w:val="00EA2C29"/>
    <w:rsid w:val="00EA3F05"/>
    <w:rsid w:val="00EA5E85"/>
    <w:rsid w:val="00EA6FAB"/>
    <w:rsid w:val="00EB0A30"/>
    <w:rsid w:val="00EB0B07"/>
    <w:rsid w:val="00EB0C6A"/>
    <w:rsid w:val="00EB144E"/>
    <w:rsid w:val="00EB1B82"/>
    <w:rsid w:val="00EB2F49"/>
    <w:rsid w:val="00EB462A"/>
    <w:rsid w:val="00EB635D"/>
    <w:rsid w:val="00EB6AA6"/>
    <w:rsid w:val="00EC0354"/>
    <w:rsid w:val="00EC5A70"/>
    <w:rsid w:val="00EC70BC"/>
    <w:rsid w:val="00ED018E"/>
    <w:rsid w:val="00ED044F"/>
    <w:rsid w:val="00ED07AD"/>
    <w:rsid w:val="00ED39D5"/>
    <w:rsid w:val="00ED3B36"/>
    <w:rsid w:val="00EE55F9"/>
    <w:rsid w:val="00EE62A5"/>
    <w:rsid w:val="00EE63DE"/>
    <w:rsid w:val="00EF00EA"/>
    <w:rsid w:val="00EF0CBA"/>
    <w:rsid w:val="00EF34E1"/>
    <w:rsid w:val="00EF36A0"/>
    <w:rsid w:val="00F00D0F"/>
    <w:rsid w:val="00F0109E"/>
    <w:rsid w:val="00F11454"/>
    <w:rsid w:val="00F12E5A"/>
    <w:rsid w:val="00F136E1"/>
    <w:rsid w:val="00F221FC"/>
    <w:rsid w:val="00F23C23"/>
    <w:rsid w:val="00F24025"/>
    <w:rsid w:val="00F322F5"/>
    <w:rsid w:val="00F35033"/>
    <w:rsid w:val="00F35CAE"/>
    <w:rsid w:val="00F36EE7"/>
    <w:rsid w:val="00F41D9D"/>
    <w:rsid w:val="00F4468A"/>
    <w:rsid w:val="00F47EFB"/>
    <w:rsid w:val="00F505CE"/>
    <w:rsid w:val="00F5169E"/>
    <w:rsid w:val="00F51C0B"/>
    <w:rsid w:val="00F5438D"/>
    <w:rsid w:val="00F57AFC"/>
    <w:rsid w:val="00F627E4"/>
    <w:rsid w:val="00F65DBD"/>
    <w:rsid w:val="00F669B9"/>
    <w:rsid w:val="00F773E6"/>
    <w:rsid w:val="00F80A07"/>
    <w:rsid w:val="00F80C1E"/>
    <w:rsid w:val="00F80CEE"/>
    <w:rsid w:val="00F81C18"/>
    <w:rsid w:val="00F81F36"/>
    <w:rsid w:val="00F8493C"/>
    <w:rsid w:val="00F85468"/>
    <w:rsid w:val="00F86A45"/>
    <w:rsid w:val="00F86BC7"/>
    <w:rsid w:val="00F907D4"/>
    <w:rsid w:val="00F9202F"/>
    <w:rsid w:val="00F92AA4"/>
    <w:rsid w:val="00FA2519"/>
    <w:rsid w:val="00FA6B1E"/>
    <w:rsid w:val="00FB3BAA"/>
    <w:rsid w:val="00FB4165"/>
    <w:rsid w:val="00FB59A0"/>
    <w:rsid w:val="00FC00CE"/>
    <w:rsid w:val="00FC1792"/>
    <w:rsid w:val="00FC42BD"/>
    <w:rsid w:val="00FD2E9B"/>
    <w:rsid w:val="00FD55DA"/>
    <w:rsid w:val="00FE065B"/>
    <w:rsid w:val="00FE06D8"/>
    <w:rsid w:val="00FE17D2"/>
    <w:rsid w:val="00FE43C6"/>
    <w:rsid w:val="00FE7835"/>
    <w:rsid w:val="00FF203B"/>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character" w:customStyle="1" w:styleId="searchhit">
    <w:name w:val="searchhit"/>
    <w:basedOn w:val="DefaultParagraphFont"/>
    <w:rsid w:val="0018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7862553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207452319">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53950002">
      <w:bodyDiv w:val="1"/>
      <w:marLeft w:val="0"/>
      <w:marRight w:val="0"/>
      <w:marTop w:val="0"/>
      <w:marBottom w:val="0"/>
      <w:divBdr>
        <w:top w:val="none" w:sz="0" w:space="0" w:color="auto"/>
        <w:left w:val="none" w:sz="0" w:space="0" w:color="auto"/>
        <w:bottom w:val="none" w:sz="0" w:space="0" w:color="auto"/>
        <w:right w:val="none" w:sz="0" w:space="0" w:color="auto"/>
      </w:divBdr>
      <w:divsChild>
        <w:div w:id="1007371130">
          <w:marLeft w:val="0"/>
          <w:marRight w:val="0"/>
          <w:marTop w:val="240"/>
          <w:marBottom w:val="0"/>
          <w:divBdr>
            <w:top w:val="none" w:sz="0" w:space="0" w:color="auto"/>
            <w:left w:val="none" w:sz="0" w:space="0" w:color="auto"/>
            <w:bottom w:val="none" w:sz="0" w:space="0" w:color="auto"/>
            <w:right w:val="none" w:sz="0" w:space="0" w:color="auto"/>
          </w:divBdr>
        </w:div>
        <w:div w:id="754594352">
          <w:marLeft w:val="0"/>
          <w:marRight w:val="0"/>
          <w:marTop w:val="12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574A-AA0A-417B-8AD9-7D363108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15</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2023-05-15T07:52:00Z</cp:lastPrinted>
  <dcterms:created xsi:type="dcterms:W3CDTF">2023-10-02T07:48:00Z</dcterms:created>
  <dcterms:modified xsi:type="dcterms:W3CDTF">2023-10-02T07:48:00Z</dcterms:modified>
</cp:coreProperties>
</file>