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74D9E" w14:textId="2B7A96AA" w:rsidR="00D946C6" w:rsidRPr="00146A17" w:rsidRDefault="006372CC" w:rsidP="00D946C6">
      <w:pPr>
        <w:jc w:val="center"/>
        <w:rPr>
          <w:rFonts w:ascii="Times New Roman" w:hAnsi="Times New Roman"/>
        </w:rPr>
      </w:pPr>
      <w:r>
        <w:rPr>
          <w:rFonts w:ascii="Times New Roman" w:hAnsi="Times New Roman"/>
          <w:noProof/>
          <w:lang w:val="en-US"/>
        </w:rPr>
        <w:drawing>
          <wp:inline distT="0" distB="0" distL="0" distR="0" wp14:anchorId="18797E19" wp14:editId="7AFBDDD8">
            <wp:extent cx="676275" cy="828675"/>
            <wp:effectExtent l="0" t="0" r="0" b="0"/>
            <wp:docPr id="1" name="Picture 7" descr="page1image948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94865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p>
    <w:p w14:paraId="4F995348" w14:textId="77777777" w:rsidR="00D946C6" w:rsidRPr="00146A17" w:rsidRDefault="00D946C6" w:rsidP="00D946C6">
      <w:pPr>
        <w:jc w:val="center"/>
        <w:rPr>
          <w:rFonts w:ascii="Times New Roman" w:hAnsi="Times New Roman"/>
          <w:b/>
          <w:bCs/>
          <w:sz w:val="32"/>
          <w:szCs w:val="32"/>
        </w:rPr>
      </w:pPr>
      <w:r w:rsidRPr="00146A17">
        <w:rPr>
          <w:rFonts w:ascii="Times New Roman" w:hAnsi="Times New Roman"/>
          <w:b/>
          <w:bCs/>
          <w:sz w:val="32"/>
          <w:szCs w:val="32"/>
        </w:rPr>
        <w:t>IN THE HIGH COURT OF SOUTH AFRICA</w:t>
      </w:r>
    </w:p>
    <w:p w14:paraId="481CC36D" w14:textId="77777777" w:rsidR="00D946C6" w:rsidRPr="00146A17" w:rsidRDefault="00D946C6" w:rsidP="00D946C6">
      <w:pPr>
        <w:jc w:val="center"/>
        <w:rPr>
          <w:rFonts w:ascii="Times New Roman" w:hAnsi="Times New Roman"/>
          <w:b/>
          <w:bCs/>
          <w:sz w:val="32"/>
          <w:szCs w:val="32"/>
        </w:rPr>
      </w:pPr>
      <w:r w:rsidRPr="00146A17">
        <w:rPr>
          <w:rFonts w:ascii="Times New Roman" w:hAnsi="Times New Roman"/>
          <w:b/>
          <w:bCs/>
          <w:sz w:val="32"/>
          <w:szCs w:val="32"/>
        </w:rPr>
        <w:t>GAUTENG LOCAL DIVISION, JOHANNESBURG</w:t>
      </w:r>
    </w:p>
    <w:p w14:paraId="12821760" w14:textId="77777777" w:rsidR="00D946C6" w:rsidRPr="00146A17" w:rsidRDefault="00D946C6" w:rsidP="00D946C6">
      <w:pPr>
        <w:rPr>
          <w:rFonts w:ascii="Times New Roman" w:hAnsi="Times New Roman"/>
        </w:rPr>
      </w:pPr>
    </w:p>
    <w:p w14:paraId="23C76B22" w14:textId="2EA69886" w:rsidR="00D946C6" w:rsidRPr="00146A17" w:rsidRDefault="00843CD7" w:rsidP="00843CD7">
      <w:pPr>
        <w:pBdr>
          <w:top w:val="single" w:sz="4" w:space="1" w:color="auto"/>
          <w:left w:val="single" w:sz="4" w:space="4" w:color="auto"/>
          <w:bottom w:val="single" w:sz="4" w:space="1" w:color="auto"/>
          <w:right w:val="single" w:sz="4" w:space="0" w:color="auto"/>
        </w:pBdr>
        <w:ind w:left="720" w:hanging="360"/>
      </w:pPr>
      <w:r w:rsidRPr="00146A17">
        <w:rPr>
          <w:rFonts w:ascii="Times New Roman" w:hAnsi="Times New Roman"/>
          <w:szCs w:val="24"/>
          <w:lang w:eastAsia="en-GB"/>
        </w:rPr>
        <w:t>(1)</w:t>
      </w:r>
      <w:r w:rsidRPr="00146A17">
        <w:rPr>
          <w:rFonts w:ascii="Times New Roman" w:hAnsi="Times New Roman"/>
          <w:szCs w:val="24"/>
          <w:lang w:eastAsia="en-GB"/>
        </w:rPr>
        <w:tab/>
      </w:r>
      <w:r w:rsidR="00D946C6" w:rsidRPr="00146A17">
        <w:t>REPORTABLE: YES/</w:t>
      </w:r>
      <w:r w:rsidR="00D946C6" w:rsidRPr="00843CD7">
        <w:rPr>
          <w:strike/>
        </w:rPr>
        <w:t>NO</w:t>
      </w:r>
    </w:p>
    <w:p w14:paraId="3465C61A" w14:textId="5F86868B" w:rsidR="00D946C6" w:rsidRPr="00146A17" w:rsidRDefault="00843CD7" w:rsidP="00843CD7">
      <w:pPr>
        <w:pBdr>
          <w:top w:val="single" w:sz="4" w:space="1" w:color="auto"/>
          <w:left w:val="single" w:sz="4" w:space="4" w:color="auto"/>
          <w:bottom w:val="single" w:sz="4" w:space="1" w:color="auto"/>
          <w:right w:val="single" w:sz="4" w:space="0" w:color="auto"/>
        </w:pBdr>
        <w:ind w:left="720" w:hanging="360"/>
      </w:pPr>
      <w:r w:rsidRPr="00146A17">
        <w:rPr>
          <w:rFonts w:ascii="Times New Roman" w:hAnsi="Times New Roman"/>
          <w:szCs w:val="24"/>
          <w:lang w:eastAsia="en-GB"/>
        </w:rPr>
        <w:t>(2)</w:t>
      </w:r>
      <w:r w:rsidRPr="00146A17">
        <w:rPr>
          <w:rFonts w:ascii="Times New Roman" w:hAnsi="Times New Roman"/>
          <w:szCs w:val="24"/>
          <w:lang w:eastAsia="en-GB"/>
        </w:rPr>
        <w:tab/>
      </w:r>
      <w:r w:rsidR="00D946C6" w:rsidRPr="00146A17">
        <w:t xml:space="preserve">OF INTEREST OF OTHER JUDGES: </w:t>
      </w:r>
      <w:r w:rsidR="00D946C6" w:rsidRPr="00843CD7">
        <w:rPr>
          <w:strike/>
        </w:rPr>
        <w:t>YES</w:t>
      </w:r>
      <w:r w:rsidR="00D946C6" w:rsidRPr="00146A17">
        <w:t>/NO</w:t>
      </w:r>
    </w:p>
    <w:p w14:paraId="3F6DA99D" w14:textId="6C7E6EF5" w:rsidR="00D946C6" w:rsidRPr="00146A17" w:rsidRDefault="00843CD7" w:rsidP="00843CD7">
      <w:pPr>
        <w:pBdr>
          <w:top w:val="single" w:sz="4" w:space="1" w:color="auto"/>
          <w:left w:val="single" w:sz="4" w:space="4" w:color="auto"/>
          <w:bottom w:val="single" w:sz="4" w:space="1" w:color="auto"/>
          <w:right w:val="single" w:sz="4" w:space="0" w:color="auto"/>
        </w:pBdr>
        <w:ind w:left="720" w:hanging="360"/>
      </w:pPr>
      <w:r w:rsidRPr="00146A17">
        <w:rPr>
          <w:rFonts w:ascii="Times New Roman" w:hAnsi="Times New Roman"/>
          <w:szCs w:val="24"/>
          <w:lang w:eastAsia="en-GB"/>
        </w:rPr>
        <w:t>(3)</w:t>
      </w:r>
      <w:r w:rsidRPr="00146A17">
        <w:rPr>
          <w:rFonts w:ascii="Times New Roman" w:hAnsi="Times New Roman"/>
          <w:szCs w:val="24"/>
          <w:lang w:eastAsia="en-GB"/>
        </w:rPr>
        <w:tab/>
      </w:r>
      <w:r w:rsidR="00D946C6" w:rsidRPr="00146A17">
        <w:t>REVISED</w:t>
      </w:r>
    </w:p>
    <w:p w14:paraId="6D10C187" w14:textId="77777777" w:rsidR="00D946C6" w:rsidRPr="00146A17" w:rsidRDefault="00D946C6" w:rsidP="00D946C6">
      <w:pPr>
        <w:pBdr>
          <w:top w:val="single" w:sz="4" w:space="1" w:color="auto"/>
          <w:left w:val="single" w:sz="4" w:space="4" w:color="auto"/>
          <w:bottom w:val="single" w:sz="4" w:space="1" w:color="auto"/>
          <w:right w:val="single" w:sz="4" w:space="0" w:color="auto"/>
        </w:pBdr>
        <w:ind w:left="360"/>
        <w:rPr>
          <w:rFonts w:ascii="Times New Roman" w:hAnsi="Times New Roman"/>
        </w:rPr>
      </w:pPr>
      <w:r w:rsidRPr="00146A17">
        <w:rPr>
          <w:rFonts w:ascii="Times New Roman" w:hAnsi="Times New Roman"/>
        </w:rPr>
        <w:t>_________________                               ________________________</w:t>
      </w:r>
    </w:p>
    <w:p w14:paraId="36DD3B8C" w14:textId="77777777" w:rsidR="00D946C6" w:rsidRPr="00146A17" w:rsidRDefault="00D946C6" w:rsidP="00D946C6">
      <w:pPr>
        <w:pBdr>
          <w:top w:val="single" w:sz="4" w:space="1" w:color="auto"/>
          <w:left w:val="single" w:sz="4" w:space="4" w:color="auto"/>
          <w:bottom w:val="single" w:sz="4" w:space="1" w:color="auto"/>
          <w:right w:val="single" w:sz="4" w:space="0" w:color="auto"/>
        </w:pBdr>
        <w:ind w:left="360"/>
        <w:rPr>
          <w:rFonts w:ascii="Times New Roman" w:hAnsi="Times New Roman"/>
        </w:rPr>
      </w:pPr>
      <w:r w:rsidRPr="00146A17">
        <w:rPr>
          <w:rFonts w:ascii="Times New Roman" w:hAnsi="Times New Roman"/>
        </w:rPr>
        <w:t>DATE</w:t>
      </w:r>
      <w:r w:rsidRPr="00146A17">
        <w:rPr>
          <w:rFonts w:ascii="Times New Roman" w:hAnsi="Times New Roman"/>
        </w:rPr>
        <w:tab/>
      </w:r>
      <w:r w:rsidRPr="00146A17">
        <w:rPr>
          <w:rFonts w:ascii="Times New Roman" w:hAnsi="Times New Roman"/>
        </w:rPr>
        <w:tab/>
      </w:r>
      <w:r w:rsidRPr="00146A17">
        <w:rPr>
          <w:rFonts w:ascii="Times New Roman" w:hAnsi="Times New Roman"/>
        </w:rPr>
        <w:tab/>
      </w:r>
      <w:r w:rsidRPr="00146A17">
        <w:rPr>
          <w:rFonts w:ascii="Times New Roman" w:hAnsi="Times New Roman"/>
        </w:rPr>
        <w:tab/>
        <w:t xml:space="preserve">         SIGNATURE</w:t>
      </w:r>
    </w:p>
    <w:p w14:paraId="60424C17" w14:textId="77777777" w:rsidR="00D946C6" w:rsidRPr="00146A17" w:rsidRDefault="00D946C6" w:rsidP="00D946C6">
      <w:pPr>
        <w:pBdr>
          <w:top w:val="single" w:sz="4" w:space="1" w:color="auto"/>
          <w:left w:val="single" w:sz="4" w:space="4" w:color="auto"/>
          <w:bottom w:val="single" w:sz="4" w:space="1" w:color="auto"/>
          <w:right w:val="single" w:sz="4" w:space="0" w:color="auto"/>
        </w:pBdr>
        <w:ind w:left="360"/>
        <w:rPr>
          <w:rFonts w:ascii="Times New Roman" w:hAnsi="Times New Roman"/>
        </w:rPr>
      </w:pPr>
    </w:p>
    <w:p w14:paraId="6A6DED36" w14:textId="77777777" w:rsidR="00D946C6" w:rsidRPr="00146A17" w:rsidRDefault="00D946C6" w:rsidP="00D946C6">
      <w:pPr>
        <w:rPr>
          <w:rFonts w:ascii="Times New Roman" w:hAnsi="Times New Roman"/>
        </w:rPr>
      </w:pPr>
    </w:p>
    <w:p w14:paraId="16322F2D" w14:textId="4D25E43A" w:rsidR="00D946C6" w:rsidRPr="00146A17" w:rsidRDefault="00D946C6" w:rsidP="00D946C6">
      <w:pPr>
        <w:jc w:val="right"/>
        <w:rPr>
          <w:rFonts w:ascii="Times New Roman" w:hAnsi="Times New Roman"/>
        </w:rPr>
      </w:pPr>
      <w:r w:rsidRPr="00146A17">
        <w:rPr>
          <w:rFonts w:ascii="Times New Roman" w:hAnsi="Times New Roman"/>
        </w:rPr>
        <w:t>Case no: 202</w:t>
      </w:r>
      <w:r w:rsidR="00146A17" w:rsidRPr="00146A17">
        <w:rPr>
          <w:rFonts w:ascii="Times New Roman" w:hAnsi="Times New Roman"/>
        </w:rPr>
        <w:t>2</w:t>
      </w:r>
      <w:r w:rsidRPr="00146A17">
        <w:rPr>
          <w:rFonts w:ascii="Times New Roman" w:hAnsi="Times New Roman"/>
        </w:rPr>
        <w:t>/</w:t>
      </w:r>
      <w:r w:rsidR="00146A17" w:rsidRPr="00146A17">
        <w:rPr>
          <w:rFonts w:ascii="Times New Roman" w:hAnsi="Times New Roman"/>
        </w:rPr>
        <w:t>9895</w:t>
      </w:r>
    </w:p>
    <w:p w14:paraId="7BF1F7E1" w14:textId="245728AF" w:rsidR="00161C86" w:rsidRPr="00146A17" w:rsidRDefault="00146A17" w:rsidP="00F870D6">
      <w:pPr>
        <w:rPr>
          <w:rFonts w:ascii="Times New Roman" w:hAnsi="Times New Roman"/>
        </w:rPr>
      </w:pPr>
      <w:r w:rsidRPr="00146A17">
        <w:rPr>
          <w:rFonts w:ascii="Times New Roman" w:hAnsi="Times New Roman"/>
        </w:rPr>
        <w:t>In the matter between:</w:t>
      </w:r>
    </w:p>
    <w:p w14:paraId="660E8884" w14:textId="77777777" w:rsidR="00C0148B" w:rsidRPr="00146A17" w:rsidRDefault="00C0148B" w:rsidP="00F870D6">
      <w:pPr>
        <w:rPr>
          <w:rFonts w:ascii="Times New Roman" w:hAnsi="Times New Roman"/>
        </w:rPr>
      </w:pPr>
    </w:p>
    <w:p w14:paraId="27346370" w14:textId="7D4D0237" w:rsidR="00C0148B" w:rsidRPr="008D555D" w:rsidRDefault="005B70BB" w:rsidP="005B70BB">
      <w:pPr>
        <w:pStyle w:val="Parties"/>
        <w:rPr>
          <w:rFonts w:ascii="Times New Roman" w:hAnsi="Times New Roman"/>
          <w:b/>
          <w:bCs/>
        </w:rPr>
      </w:pPr>
      <w:r w:rsidRPr="008D555D">
        <w:rPr>
          <w:rFonts w:ascii="Times New Roman" w:hAnsi="Times New Roman"/>
          <w:b/>
          <w:bCs/>
        </w:rPr>
        <w:t>WAMJAY HOLDING INVESTMENTS (PTY) LTD</w:t>
      </w:r>
      <w:r w:rsidRPr="008D555D">
        <w:rPr>
          <w:rFonts w:ascii="Times New Roman" w:hAnsi="Times New Roman"/>
          <w:b/>
          <w:bCs/>
        </w:rPr>
        <w:tab/>
        <w:t>Applicant</w:t>
      </w:r>
    </w:p>
    <w:p w14:paraId="54A38512" w14:textId="77777777" w:rsidR="005B70BB" w:rsidRPr="008D555D" w:rsidRDefault="005B70BB" w:rsidP="005B70BB">
      <w:pPr>
        <w:pStyle w:val="Parties"/>
        <w:rPr>
          <w:rFonts w:ascii="Times New Roman" w:hAnsi="Times New Roman"/>
          <w:b/>
          <w:bCs/>
        </w:rPr>
      </w:pPr>
    </w:p>
    <w:p w14:paraId="51DC013C" w14:textId="77777777" w:rsidR="005B70BB" w:rsidRPr="008D555D" w:rsidRDefault="005B70BB" w:rsidP="005B70BB">
      <w:pPr>
        <w:pStyle w:val="Parties"/>
        <w:rPr>
          <w:rFonts w:ascii="Times New Roman" w:hAnsi="Times New Roman"/>
          <w:b/>
          <w:bCs/>
        </w:rPr>
      </w:pPr>
    </w:p>
    <w:p w14:paraId="243E22F2" w14:textId="77777777" w:rsidR="005B70BB" w:rsidRPr="008D555D" w:rsidRDefault="005B70BB" w:rsidP="005B70BB">
      <w:pPr>
        <w:pStyle w:val="Parties"/>
        <w:rPr>
          <w:rFonts w:ascii="Times New Roman" w:hAnsi="Times New Roman"/>
          <w:b/>
          <w:bCs/>
        </w:rPr>
      </w:pPr>
    </w:p>
    <w:p w14:paraId="75100B40" w14:textId="618F6A37" w:rsidR="005B70BB" w:rsidRPr="008D555D" w:rsidRDefault="000F4CE9" w:rsidP="005B70BB">
      <w:pPr>
        <w:pStyle w:val="Parties"/>
        <w:rPr>
          <w:rFonts w:ascii="Times New Roman" w:hAnsi="Times New Roman"/>
          <w:b/>
          <w:bCs/>
        </w:rPr>
      </w:pPr>
      <w:r w:rsidRPr="008D555D">
        <w:rPr>
          <w:rFonts w:ascii="Times New Roman" w:hAnsi="Times New Roman"/>
          <w:b/>
          <w:bCs/>
        </w:rPr>
        <w:t>a</w:t>
      </w:r>
      <w:r w:rsidR="005B70BB" w:rsidRPr="008D555D">
        <w:rPr>
          <w:rFonts w:ascii="Times New Roman" w:hAnsi="Times New Roman"/>
          <w:b/>
          <w:bCs/>
        </w:rPr>
        <w:t>nd</w:t>
      </w:r>
    </w:p>
    <w:p w14:paraId="55A9749B" w14:textId="77777777" w:rsidR="005B70BB" w:rsidRPr="008D555D" w:rsidRDefault="005B70BB" w:rsidP="000F4CE9">
      <w:pPr>
        <w:pStyle w:val="Parties"/>
        <w:rPr>
          <w:rFonts w:ascii="Times New Roman" w:hAnsi="Times New Roman"/>
          <w:b/>
          <w:bCs/>
        </w:rPr>
      </w:pPr>
    </w:p>
    <w:p w14:paraId="02C28B9D" w14:textId="77777777" w:rsidR="000F4CE9" w:rsidRPr="008D555D" w:rsidRDefault="000F4CE9" w:rsidP="000F4CE9">
      <w:pPr>
        <w:pStyle w:val="Parties"/>
        <w:rPr>
          <w:rFonts w:ascii="Times New Roman" w:hAnsi="Times New Roman"/>
          <w:b/>
          <w:bCs/>
        </w:rPr>
      </w:pPr>
    </w:p>
    <w:p w14:paraId="59409CE2" w14:textId="77777777" w:rsidR="000F4CE9" w:rsidRPr="008D555D" w:rsidRDefault="000F4CE9" w:rsidP="000F4CE9">
      <w:pPr>
        <w:pStyle w:val="Parties"/>
        <w:rPr>
          <w:rFonts w:ascii="Times New Roman" w:hAnsi="Times New Roman"/>
          <w:b/>
          <w:bCs/>
        </w:rPr>
      </w:pPr>
    </w:p>
    <w:p w14:paraId="16031D2C" w14:textId="2CC15200" w:rsidR="000F4CE9" w:rsidRPr="008D555D" w:rsidRDefault="000F4CE9" w:rsidP="000F4CE9">
      <w:pPr>
        <w:pStyle w:val="Parties"/>
        <w:rPr>
          <w:rFonts w:ascii="Times New Roman" w:hAnsi="Times New Roman"/>
          <w:b/>
          <w:bCs/>
        </w:rPr>
      </w:pPr>
      <w:r w:rsidRPr="008D555D">
        <w:rPr>
          <w:rFonts w:ascii="Times New Roman" w:hAnsi="Times New Roman"/>
          <w:b/>
          <w:bCs/>
        </w:rPr>
        <w:t>AUCKLAND PARK THEOLOGICAL SEMINARY</w:t>
      </w:r>
      <w:r w:rsidRPr="008D555D">
        <w:rPr>
          <w:rFonts w:ascii="Times New Roman" w:hAnsi="Times New Roman"/>
          <w:b/>
          <w:bCs/>
        </w:rPr>
        <w:tab/>
        <w:t>Respondent</w:t>
      </w:r>
    </w:p>
    <w:p w14:paraId="10C5FC00" w14:textId="77777777" w:rsidR="000F4CE9" w:rsidRPr="008D555D" w:rsidRDefault="000F4CE9" w:rsidP="000F4CE9">
      <w:pPr>
        <w:pStyle w:val="Parties"/>
        <w:rPr>
          <w:rFonts w:ascii="Times New Roman" w:hAnsi="Times New Roman"/>
          <w:b/>
          <w:bCs/>
        </w:rPr>
      </w:pPr>
    </w:p>
    <w:p w14:paraId="3C49DF3C" w14:textId="77777777" w:rsidR="00D946C6" w:rsidRPr="008D555D" w:rsidRDefault="00D946C6" w:rsidP="000F4CE9">
      <w:pPr>
        <w:pStyle w:val="Parties"/>
        <w:rPr>
          <w:rFonts w:ascii="Times New Roman" w:hAnsi="Times New Roman"/>
          <w:b/>
          <w:bCs/>
        </w:rPr>
      </w:pPr>
    </w:p>
    <w:p w14:paraId="700BF79C" w14:textId="77777777" w:rsidR="00D946C6" w:rsidRPr="00146A17" w:rsidRDefault="00D946C6" w:rsidP="000F4CE9">
      <w:pPr>
        <w:pStyle w:val="Parties"/>
        <w:rPr>
          <w:rFonts w:ascii="Times New Roman" w:hAnsi="Times New Roman"/>
        </w:rPr>
      </w:pPr>
    </w:p>
    <w:p w14:paraId="72F84E0E" w14:textId="0CB77F36" w:rsidR="00D946C6" w:rsidRPr="00146A17" w:rsidRDefault="00D946C6" w:rsidP="00D946C6">
      <w:pPr>
        <w:pStyle w:val="Tramlinescentred"/>
        <w:rPr>
          <w:rFonts w:ascii="Times New Roman" w:hAnsi="Times New Roman"/>
        </w:rPr>
      </w:pPr>
      <w:r w:rsidRPr="00146A17">
        <w:rPr>
          <w:rFonts w:ascii="Times New Roman" w:hAnsi="Times New Roman"/>
        </w:rPr>
        <w:t>JUDGMENT</w:t>
      </w:r>
    </w:p>
    <w:p w14:paraId="2B499750" w14:textId="54CB5B46" w:rsidR="00C0148B" w:rsidRPr="00146A17" w:rsidRDefault="00D946C6" w:rsidP="00F870D6">
      <w:pPr>
        <w:rPr>
          <w:rFonts w:ascii="Times New Roman" w:hAnsi="Times New Roman"/>
        </w:rPr>
      </w:pPr>
      <w:r w:rsidRPr="00146A17">
        <w:rPr>
          <w:rFonts w:ascii="Times New Roman" w:hAnsi="Times New Roman"/>
        </w:rPr>
        <w:t>FRIEDMAN AJ:</w:t>
      </w:r>
    </w:p>
    <w:p w14:paraId="1CD16161" w14:textId="77777777" w:rsidR="00C0148B" w:rsidRPr="00146A17" w:rsidRDefault="00C0148B" w:rsidP="00F870D6">
      <w:pPr>
        <w:rPr>
          <w:rFonts w:ascii="Times New Roman" w:hAnsi="Times New Roman"/>
        </w:rPr>
      </w:pPr>
    </w:p>
    <w:p w14:paraId="33BBAE7B" w14:textId="77E71B42" w:rsidR="00F870D6"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1</w:t>
      </w:r>
      <w:r w:rsidRPr="00146A17">
        <w:rPr>
          <w:rFonts w:ascii="Times New Roman" w:hAnsi="Times New Roman"/>
        </w:rPr>
        <w:tab/>
      </w:r>
      <w:r w:rsidR="00627884" w:rsidRPr="00146A17">
        <w:rPr>
          <w:rFonts w:ascii="Times New Roman" w:hAnsi="Times New Roman"/>
        </w:rPr>
        <w:t xml:space="preserve">This is the next instalment in the </w:t>
      </w:r>
      <w:r w:rsidR="005862F1" w:rsidRPr="00146A17">
        <w:rPr>
          <w:rFonts w:ascii="Times New Roman" w:hAnsi="Times New Roman"/>
        </w:rPr>
        <w:t>dispute which led to t</w:t>
      </w:r>
      <w:r w:rsidR="00F870D6" w:rsidRPr="00146A17">
        <w:rPr>
          <w:rFonts w:ascii="Times New Roman" w:hAnsi="Times New Roman"/>
        </w:rPr>
        <w:t xml:space="preserve">he decision of the Constitutional Court in </w:t>
      </w:r>
      <w:r w:rsidR="00F870D6" w:rsidRPr="00146A17">
        <w:rPr>
          <w:rFonts w:ascii="Times New Roman" w:hAnsi="Times New Roman"/>
          <w:i/>
          <w:iCs/>
        </w:rPr>
        <w:t>University of Johannesburg</w:t>
      </w:r>
      <w:r w:rsidR="005862F1" w:rsidRPr="00146A17">
        <w:rPr>
          <w:rFonts w:ascii="Times New Roman" w:hAnsi="Times New Roman"/>
        </w:rPr>
        <w:t>.</w:t>
      </w:r>
      <w:r w:rsidR="005862F1" w:rsidRPr="00146A17">
        <w:rPr>
          <w:rStyle w:val="FootnoteReference"/>
          <w:rFonts w:ascii="Times New Roman" w:hAnsi="Times New Roman"/>
        </w:rPr>
        <w:footnoteReference w:id="1"/>
      </w:r>
      <w:r w:rsidR="00F870D6" w:rsidRPr="00146A17">
        <w:rPr>
          <w:rFonts w:ascii="Times New Roman" w:hAnsi="Times New Roman"/>
        </w:rPr>
        <w:t xml:space="preserve"> </w:t>
      </w:r>
      <w:r w:rsidR="00E21A67">
        <w:rPr>
          <w:rFonts w:ascii="Times New Roman" w:hAnsi="Times New Roman"/>
        </w:rPr>
        <w:t>T</w:t>
      </w:r>
      <w:r w:rsidR="0088300B" w:rsidRPr="00146A17">
        <w:rPr>
          <w:rFonts w:ascii="Times New Roman" w:hAnsi="Times New Roman"/>
        </w:rPr>
        <w:t xml:space="preserve">he judgment is </w:t>
      </w:r>
      <w:r w:rsidR="00E21A67">
        <w:rPr>
          <w:rFonts w:ascii="Times New Roman" w:hAnsi="Times New Roman"/>
        </w:rPr>
        <w:t xml:space="preserve">probably </w:t>
      </w:r>
      <w:r w:rsidR="0088300B" w:rsidRPr="00146A17">
        <w:rPr>
          <w:rFonts w:ascii="Times New Roman" w:hAnsi="Times New Roman"/>
        </w:rPr>
        <w:t xml:space="preserve">best known for its contribution to the modern, rich jurisprudence on </w:t>
      </w:r>
      <w:r w:rsidR="00D0075E">
        <w:rPr>
          <w:rFonts w:ascii="Times New Roman" w:hAnsi="Times New Roman"/>
        </w:rPr>
        <w:t xml:space="preserve">the </w:t>
      </w:r>
      <w:r w:rsidR="0088300B" w:rsidRPr="00146A17">
        <w:rPr>
          <w:rFonts w:ascii="Times New Roman" w:hAnsi="Times New Roman"/>
        </w:rPr>
        <w:t>interpretation</w:t>
      </w:r>
      <w:r w:rsidR="001C1513" w:rsidRPr="00146A17">
        <w:rPr>
          <w:rFonts w:ascii="Times New Roman" w:hAnsi="Times New Roman"/>
        </w:rPr>
        <w:t xml:space="preserve"> of documents, which was initiated by th</w:t>
      </w:r>
      <w:r w:rsidR="00C15D5E">
        <w:rPr>
          <w:rFonts w:ascii="Times New Roman" w:hAnsi="Times New Roman"/>
        </w:rPr>
        <w:t>e</w:t>
      </w:r>
      <w:r w:rsidR="001C1513" w:rsidRPr="00146A17">
        <w:rPr>
          <w:rFonts w:ascii="Times New Roman" w:hAnsi="Times New Roman"/>
        </w:rPr>
        <w:t xml:space="preserve"> famous </w:t>
      </w:r>
      <w:r w:rsidR="00C15D5E">
        <w:rPr>
          <w:rFonts w:ascii="Times New Roman" w:hAnsi="Times New Roman"/>
        </w:rPr>
        <w:t>remarks</w:t>
      </w:r>
      <w:r w:rsidR="001C1513" w:rsidRPr="00146A17">
        <w:rPr>
          <w:rFonts w:ascii="Times New Roman" w:hAnsi="Times New Roman"/>
        </w:rPr>
        <w:t xml:space="preserve"> of Wallis JA in </w:t>
      </w:r>
      <w:r w:rsidR="001C1513" w:rsidRPr="00146A17">
        <w:rPr>
          <w:rFonts w:ascii="Times New Roman" w:hAnsi="Times New Roman"/>
          <w:i/>
          <w:iCs/>
        </w:rPr>
        <w:t>E</w:t>
      </w:r>
      <w:r w:rsidR="004F715B" w:rsidRPr="00146A17">
        <w:rPr>
          <w:rFonts w:ascii="Times New Roman" w:hAnsi="Times New Roman"/>
          <w:i/>
          <w:iCs/>
        </w:rPr>
        <w:t>n</w:t>
      </w:r>
      <w:r w:rsidR="001C1513" w:rsidRPr="00146A17">
        <w:rPr>
          <w:rFonts w:ascii="Times New Roman" w:hAnsi="Times New Roman"/>
          <w:i/>
          <w:iCs/>
        </w:rPr>
        <w:t>dumeni</w:t>
      </w:r>
      <w:r w:rsidR="001C1513" w:rsidRPr="00146A17">
        <w:rPr>
          <w:rFonts w:ascii="Times New Roman" w:hAnsi="Times New Roman"/>
        </w:rPr>
        <w:t>.</w:t>
      </w:r>
      <w:r w:rsidR="004F715B" w:rsidRPr="00146A17">
        <w:rPr>
          <w:rStyle w:val="FootnoteReference"/>
          <w:rFonts w:ascii="Times New Roman" w:hAnsi="Times New Roman"/>
        </w:rPr>
        <w:footnoteReference w:id="2"/>
      </w:r>
      <w:r w:rsidR="0005208E" w:rsidRPr="00146A17">
        <w:rPr>
          <w:rFonts w:ascii="Times New Roman" w:hAnsi="Times New Roman"/>
        </w:rPr>
        <w:t xml:space="preserve"> But</w:t>
      </w:r>
      <w:r w:rsidR="00F33044" w:rsidRPr="00146A17">
        <w:rPr>
          <w:rFonts w:ascii="Times New Roman" w:hAnsi="Times New Roman"/>
        </w:rPr>
        <w:t>,</w:t>
      </w:r>
      <w:r w:rsidR="0005208E" w:rsidRPr="00146A17">
        <w:rPr>
          <w:rFonts w:ascii="Times New Roman" w:hAnsi="Times New Roman"/>
        </w:rPr>
        <w:t xml:space="preserve"> for the parties involved, it now </w:t>
      </w:r>
      <w:r w:rsidR="001B0974" w:rsidRPr="00146A17">
        <w:rPr>
          <w:rFonts w:ascii="Times New Roman" w:hAnsi="Times New Roman"/>
        </w:rPr>
        <w:t xml:space="preserve">raises the question of what is to be done with the R6 500 000.00 which </w:t>
      </w:r>
      <w:r w:rsidR="00690172" w:rsidRPr="00146A17">
        <w:rPr>
          <w:rFonts w:ascii="Times New Roman" w:hAnsi="Times New Roman"/>
        </w:rPr>
        <w:t>Wamjay Holding Investments (Pty) Ltd (“</w:t>
      </w:r>
      <w:r w:rsidR="00690172" w:rsidRPr="00AA22C6">
        <w:rPr>
          <w:rFonts w:ascii="Times New Roman" w:hAnsi="Times New Roman"/>
          <w:b/>
          <w:bCs/>
        </w:rPr>
        <w:t>Wamjay</w:t>
      </w:r>
      <w:r w:rsidR="00690172" w:rsidRPr="00146A17">
        <w:rPr>
          <w:rFonts w:ascii="Times New Roman" w:hAnsi="Times New Roman"/>
        </w:rPr>
        <w:t xml:space="preserve">”) paid to the Auckland </w:t>
      </w:r>
      <w:r w:rsidR="00F97FD5" w:rsidRPr="00146A17">
        <w:rPr>
          <w:rFonts w:ascii="Times New Roman" w:hAnsi="Times New Roman"/>
        </w:rPr>
        <w:t>Park Theological Seminary (“</w:t>
      </w:r>
      <w:r w:rsidR="00F97FD5" w:rsidRPr="00AA22C6">
        <w:rPr>
          <w:rFonts w:ascii="Times New Roman" w:hAnsi="Times New Roman"/>
          <w:b/>
          <w:bCs/>
        </w:rPr>
        <w:t>ATS</w:t>
      </w:r>
      <w:r w:rsidR="00F97FD5" w:rsidRPr="00146A17">
        <w:rPr>
          <w:rFonts w:ascii="Times New Roman" w:hAnsi="Times New Roman"/>
        </w:rPr>
        <w:t xml:space="preserve">”) to take over its rights under a long lease which </w:t>
      </w:r>
      <w:r w:rsidR="00465537" w:rsidRPr="00146A17">
        <w:rPr>
          <w:rFonts w:ascii="Times New Roman" w:hAnsi="Times New Roman"/>
        </w:rPr>
        <w:t>ATS</w:t>
      </w:r>
      <w:r w:rsidR="00F97FD5" w:rsidRPr="00146A17">
        <w:rPr>
          <w:rFonts w:ascii="Times New Roman" w:hAnsi="Times New Roman"/>
        </w:rPr>
        <w:t xml:space="preserve"> concluded with the University of Johannesburg</w:t>
      </w:r>
      <w:r w:rsidR="006720EF" w:rsidRPr="00146A17">
        <w:rPr>
          <w:rFonts w:ascii="Times New Roman" w:hAnsi="Times New Roman"/>
        </w:rPr>
        <w:t xml:space="preserve"> (“</w:t>
      </w:r>
      <w:r w:rsidR="006720EF" w:rsidRPr="00AA22C6">
        <w:rPr>
          <w:rFonts w:ascii="Times New Roman" w:hAnsi="Times New Roman"/>
          <w:b/>
          <w:bCs/>
        </w:rPr>
        <w:t>the University</w:t>
      </w:r>
      <w:r w:rsidR="006720EF" w:rsidRPr="00146A17">
        <w:rPr>
          <w:rFonts w:ascii="Times New Roman" w:hAnsi="Times New Roman"/>
        </w:rPr>
        <w:t>”)</w:t>
      </w:r>
      <w:r w:rsidR="00F33044" w:rsidRPr="00146A17">
        <w:rPr>
          <w:rFonts w:ascii="Times New Roman" w:hAnsi="Times New Roman"/>
        </w:rPr>
        <w:t>.</w:t>
      </w:r>
      <w:r w:rsidR="005606EE" w:rsidRPr="00146A17">
        <w:rPr>
          <w:rFonts w:ascii="Times New Roman" w:hAnsi="Times New Roman"/>
        </w:rPr>
        <w:t xml:space="preserve"> This question arises in the light of the finding of the Constitutional Court that the University lawfully cancelled the lease agreement.</w:t>
      </w:r>
    </w:p>
    <w:p w14:paraId="41947EF5" w14:textId="1468147F" w:rsidR="00465537"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2</w:t>
      </w:r>
      <w:r w:rsidRPr="00146A17">
        <w:rPr>
          <w:rFonts w:ascii="Times New Roman" w:hAnsi="Times New Roman"/>
        </w:rPr>
        <w:tab/>
      </w:r>
      <w:r w:rsidR="00714846" w:rsidRPr="00146A17">
        <w:rPr>
          <w:rFonts w:ascii="Times New Roman" w:hAnsi="Times New Roman"/>
        </w:rPr>
        <w:t>The dispute relates to a</w:t>
      </w:r>
      <w:r w:rsidR="001A1641" w:rsidRPr="00146A17">
        <w:rPr>
          <w:rFonts w:ascii="Times New Roman" w:hAnsi="Times New Roman"/>
        </w:rPr>
        <w:t>n</w:t>
      </w:r>
      <w:r w:rsidR="00714846" w:rsidRPr="00146A17">
        <w:rPr>
          <w:rFonts w:ascii="Times New Roman" w:hAnsi="Times New Roman"/>
        </w:rPr>
        <w:t xml:space="preserve"> </w:t>
      </w:r>
      <w:r w:rsidR="00704FCF" w:rsidRPr="00146A17">
        <w:rPr>
          <w:rFonts w:ascii="Times New Roman" w:hAnsi="Times New Roman"/>
        </w:rPr>
        <w:t>8000</w:t>
      </w:r>
      <w:r w:rsidR="00B910CB" w:rsidRPr="00146A17">
        <w:rPr>
          <w:rFonts w:ascii="Times New Roman" w:hAnsi="Times New Roman"/>
        </w:rPr>
        <w:t xml:space="preserve">sqm piece of land </w:t>
      </w:r>
      <w:r w:rsidR="00DF2F70">
        <w:rPr>
          <w:rFonts w:ascii="Times New Roman" w:hAnsi="Times New Roman"/>
        </w:rPr>
        <w:t xml:space="preserve">owned by the University, </w:t>
      </w:r>
      <w:r w:rsidR="00AD0A5C" w:rsidRPr="00146A17">
        <w:rPr>
          <w:rFonts w:ascii="Times New Roman" w:hAnsi="Times New Roman"/>
        </w:rPr>
        <w:t>situated in Richmond Avenue, Auckland Park</w:t>
      </w:r>
      <w:r w:rsidR="00B910CB" w:rsidRPr="00146A17">
        <w:rPr>
          <w:rFonts w:ascii="Times New Roman" w:hAnsi="Times New Roman"/>
        </w:rPr>
        <w:t xml:space="preserve">. </w:t>
      </w:r>
      <w:r w:rsidR="00797072">
        <w:rPr>
          <w:rFonts w:ascii="Times New Roman" w:hAnsi="Times New Roman"/>
        </w:rPr>
        <w:t>Once</w:t>
      </w:r>
      <w:r w:rsidR="00581B29" w:rsidRPr="00146A17">
        <w:rPr>
          <w:rFonts w:ascii="Times New Roman" w:hAnsi="Times New Roman"/>
        </w:rPr>
        <w:t xml:space="preserve"> t</w:t>
      </w:r>
      <w:r w:rsidR="00B910CB" w:rsidRPr="00146A17">
        <w:rPr>
          <w:rFonts w:ascii="Times New Roman" w:hAnsi="Times New Roman"/>
        </w:rPr>
        <w:t xml:space="preserve">he University </w:t>
      </w:r>
      <w:r w:rsidR="00465537" w:rsidRPr="00146A17">
        <w:rPr>
          <w:rFonts w:ascii="Times New Roman" w:hAnsi="Times New Roman"/>
        </w:rPr>
        <w:t xml:space="preserve">emerged victorious in the Constitutional Court </w:t>
      </w:r>
      <w:r w:rsidR="00581B29" w:rsidRPr="00146A17">
        <w:rPr>
          <w:rFonts w:ascii="Times New Roman" w:hAnsi="Times New Roman"/>
        </w:rPr>
        <w:t>it</w:t>
      </w:r>
      <w:r w:rsidR="00C80025" w:rsidRPr="00146A17">
        <w:rPr>
          <w:rFonts w:ascii="Times New Roman" w:hAnsi="Times New Roman"/>
        </w:rPr>
        <w:t xml:space="preserve"> </w:t>
      </w:r>
      <w:r w:rsidR="00797072">
        <w:rPr>
          <w:rFonts w:ascii="Times New Roman" w:hAnsi="Times New Roman"/>
        </w:rPr>
        <w:t>d</w:t>
      </w:r>
      <w:r w:rsidR="00C80025" w:rsidRPr="00146A17">
        <w:rPr>
          <w:rFonts w:ascii="Times New Roman" w:hAnsi="Times New Roman"/>
        </w:rPr>
        <w:t>ropped out of the picture.</w:t>
      </w:r>
      <w:r w:rsidR="00ED34AA" w:rsidRPr="00146A17">
        <w:rPr>
          <w:rFonts w:ascii="Times New Roman" w:hAnsi="Times New Roman"/>
        </w:rPr>
        <w:t xml:space="preserve"> The Constitutional Court held that ATS’s cession of its rights under the lease agreement to Wamjay justified the University’s decision</w:t>
      </w:r>
      <w:r w:rsidR="000D7895" w:rsidRPr="00146A17">
        <w:rPr>
          <w:rFonts w:ascii="Times New Roman" w:hAnsi="Times New Roman"/>
        </w:rPr>
        <w:t xml:space="preserve"> to cancel the lease</w:t>
      </w:r>
      <w:r w:rsidR="008D098A" w:rsidRPr="00146A17">
        <w:rPr>
          <w:rFonts w:ascii="Times New Roman" w:hAnsi="Times New Roman"/>
        </w:rPr>
        <w:t xml:space="preserve">. </w:t>
      </w:r>
      <w:r w:rsidR="000648A1" w:rsidRPr="00146A17">
        <w:rPr>
          <w:rFonts w:ascii="Times New Roman" w:hAnsi="Times New Roman"/>
        </w:rPr>
        <w:t xml:space="preserve">Since the reasons for this are not relevant to my task in this case, and are clearly spelled out in the Constitutional Court’s judgment, there is no reason to dwell on them here. In short, </w:t>
      </w:r>
      <w:r w:rsidR="0027456F" w:rsidRPr="00146A17">
        <w:rPr>
          <w:rFonts w:ascii="Times New Roman" w:hAnsi="Times New Roman"/>
        </w:rPr>
        <w:t>the starting point of</w:t>
      </w:r>
      <w:r w:rsidR="000648A1" w:rsidRPr="00146A17">
        <w:rPr>
          <w:rFonts w:ascii="Times New Roman" w:hAnsi="Times New Roman"/>
        </w:rPr>
        <w:t xml:space="preserve"> our law </w:t>
      </w:r>
      <w:r w:rsidR="0027456F" w:rsidRPr="00146A17">
        <w:rPr>
          <w:rFonts w:ascii="Times New Roman" w:hAnsi="Times New Roman"/>
        </w:rPr>
        <w:t>is</w:t>
      </w:r>
      <w:r w:rsidR="00AB3340" w:rsidRPr="00146A17">
        <w:rPr>
          <w:rFonts w:ascii="Times New Roman" w:hAnsi="Times New Roman"/>
        </w:rPr>
        <w:t xml:space="preserve"> that </w:t>
      </w:r>
      <w:r w:rsidR="000648A1" w:rsidRPr="00146A17">
        <w:rPr>
          <w:rFonts w:ascii="Times New Roman" w:hAnsi="Times New Roman"/>
        </w:rPr>
        <w:t>rights under a lease agreement (</w:t>
      </w:r>
      <w:r w:rsidR="00B13363">
        <w:rPr>
          <w:rFonts w:ascii="Times New Roman" w:hAnsi="Times New Roman"/>
        </w:rPr>
        <w:t>but</w:t>
      </w:r>
      <w:r w:rsidR="000648A1" w:rsidRPr="00146A17">
        <w:rPr>
          <w:rFonts w:ascii="Times New Roman" w:hAnsi="Times New Roman"/>
        </w:rPr>
        <w:t xml:space="preserve"> this principle applies to mo</w:t>
      </w:r>
      <w:r w:rsidR="00F1051D" w:rsidRPr="00146A17">
        <w:rPr>
          <w:rFonts w:ascii="Times New Roman" w:hAnsi="Times New Roman"/>
        </w:rPr>
        <w:t>st</w:t>
      </w:r>
      <w:r w:rsidR="000648A1" w:rsidRPr="00146A17">
        <w:rPr>
          <w:rFonts w:ascii="Times New Roman" w:hAnsi="Times New Roman"/>
        </w:rPr>
        <w:t xml:space="preserve"> agreements</w:t>
      </w:r>
      <w:r w:rsidR="0027456F" w:rsidRPr="00146A17">
        <w:rPr>
          <w:rFonts w:ascii="Times New Roman" w:hAnsi="Times New Roman"/>
        </w:rPr>
        <w:t xml:space="preserve"> and not only lease agreement</w:t>
      </w:r>
      <w:r w:rsidR="005B4E5C">
        <w:rPr>
          <w:rFonts w:ascii="Times New Roman" w:hAnsi="Times New Roman"/>
        </w:rPr>
        <w:t>s</w:t>
      </w:r>
      <w:r w:rsidR="000648A1" w:rsidRPr="00146A17">
        <w:rPr>
          <w:rFonts w:ascii="Times New Roman" w:hAnsi="Times New Roman"/>
        </w:rPr>
        <w:t>)</w:t>
      </w:r>
      <w:r w:rsidR="00F1051D" w:rsidRPr="00146A17">
        <w:rPr>
          <w:rFonts w:ascii="Times New Roman" w:hAnsi="Times New Roman"/>
        </w:rPr>
        <w:t xml:space="preserve"> may be ceded to a third party by the lessee without the lessor’s permission; unless there is a clause in the agreement which prevents this. But, even in the absence of </w:t>
      </w:r>
      <w:r w:rsidR="00F1051D" w:rsidRPr="00146A17">
        <w:rPr>
          <w:rFonts w:ascii="Times New Roman" w:hAnsi="Times New Roman"/>
        </w:rPr>
        <w:lastRenderedPageBreak/>
        <w:t>such a clause, cession is impermissible where the</w:t>
      </w:r>
      <w:r w:rsidR="00787E8B" w:rsidRPr="00146A17">
        <w:rPr>
          <w:rFonts w:ascii="Times New Roman" w:hAnsi="Times New Roman"/>
        </w:rPr>
        <w:t xml:space="preserve"> contract involves</w:t>
      </w:r>
      <w:r w:rsidR="00F1051D" w:rsidRPr="00146A17">
        <w:rPr>
          <w:rFonts w:ascii="Times New Roman" w:hAnsi="Times New Roman"/>
        </w:rPr>
        <w:t xml:space="preserve"> </w:t>
      </w:r>
      <w:r w:rsidR="00930A66" w:rsidRPr="00146A17">
        <w:rPr>
          <w:rFonts w:ascii="Times New Roman" w:hAnsi="Times New Roman"/>
        </w:rPr>
        <w:t xml:space="preserve">a </w:t>
      </w:r>
      <w:r w:rsidR="00930A66" w:rsidRPr="00146A17">
        <w:rPr>
          <w:rFonts w:ascii="Times New Roman" w:hAnsi="Times New Roman"/>
          <w:i/>
          <w:iCs/>
        </w:rPr>
        <w:t>delectus personae</w:t>
      </w:r>
      <w:r w:rsidR="00930A66" w:rsidRPr="00146A17">
        <w:rPr>
          <w:rFonts w:ascii="Times New Roman" w:hAnsi="Times New Roman"/>
        </w:rPr>
        <w:t xml:space="preserve">. </w:t>
      </w:r>
      <w:r w:rsidR="00B753CE" w:rsidRPr="00146A17">
        <w:rPr>
          <w:rFonts w:ascii="Times New Roman" w:hAnsi="Times New Roman"/>
        </w:rPr>
        <w:t>In essence, this means that the lessor intended to lease the premises to the specific less</w:t>
      </w:r>
      <w:r w:rsidR="00141728">
        <w:rPr>
          <w:rFonts w:ascii="Times New Roman" w:hAnsi="Times New Roman"/>
        </w:rPr>
        <w:t>ee</w:t>
      </w:r>
      <w:r w:rsidR="00B753CE" w:rsidRPr="00146A17">
        <w:rPr>
          <w:rFonts w:ascii="Times New Roman" w:hAnsi="Times New Roman"/>
        </w:rPr>
        <w:t xml:space="preserve"> – ie, the identity of the less</w:t>
      </w:r>
      <w:r w:rsidR="00141728">
        <w:rPr>
          <w:rFonts w:ascii="Times New Roman" w:hAnsi="Times New Roman"/>
        </w:rPr>
        <w:t>ee</w:t>
      </w:r>
      <w:r w:rsidR="00B753CE" w:rsidRPr="00146A17">
        <w:rPr>
          <w:rFonts w:ascii="Times New Roman" w:hAnsi="Times New Roman"/>
        </w:rPr>
        <w:t xml:space="preserve"> was a material term of the agreement, properly interpreted – which carries the implication that the </w:t>
      </w:r>
      <w:r w:rsidR="00A45A64">
        <w:rPr>
          <w:rFonts w:ascii="Times New Roman" w:hAnsi="Times New Roman"/>
        </w:rPr>
        <w:t xml:space="preserve">consent of the </w:t>
      </w:r>
      <w:r w:rsidR="00B753CE" w:rsidRPr="00146A17">
        <w:rPr>
          <w:rFonts w:ascii="Times New Roman" w:hAnsi="Times New Roman"/>
        </w:rPr>
        <w:t xml:space="preserve">lessor </w:t>
      </w:r>
      <w:r w:rsidR="00A45A64">
        <w:rPr>
          <w:rFonts w:ascii="Times New Roman" w:hAnsi="Times New Roman"/>
        </w:rPr>
        <w:t>is a pre-condition</w:t>
      </w:r>
      <w:r w:rsidR="00B753CE" w:rsidRPr="00146A17">
        <w:rPr>
          <w:rFonts w:ascii="Times New Roman" w:hAnsi="Times New Roman"/>
        </w:rPr>
        <w:t xml:space="preserve"> to the </w:t>
      </w:r>
      <w:r w:rsidR="00A45A64">
        <w:rPr>
          <w:rFonts w:ascii="Times New Roman" w:hAnsi="Times New Roman"/>
        </w:rPr>
        <w:t xml:space="preserve">lawful </w:t>
      </w:r>
      <w:r w:rsidR="00B753CE" w:rsidRPr="00146A17">
        <w:rPr>
          <w:rFonts w:ascii="Times New Roman" w:hAnsi="Times New Roman"/>
        </w:rPr>
        <w:t xml:space="preserve">cession of the lessee’s rights to a third party. Because the Constitutional Court concluded that the agreement between the University and ATS </w:t>
      </w:r>
      <w:r w:rsidR="00865D6B" w:rsidRPr="00146A17">
        <w:rPr>
          <w:rFonts w:ascii="Times New Roman" w:hAnsi="Times New Roman"/>
        </w:rPr>
        <w:t xml:space="preserve">involved a </w:t>
      </w:r>
      <w:r w:rsidR="00865D6B" w:rsidRPr="00146A17">
        <w:rPr>
          <w:rFonts w:ascii="Times New Roman" w:hAnsi="Times New Roman"/>
          <w:i/>
          <w:iCs/>
        </w:rPr>
        <w:t>delectus personae</w:t>
      </w:r>
      <w:r w:rsidR="00865D6B" w:rsidRPr="00146A17">
        <w:rPr>
          <w:rFonts w:ascii="Times New Roman" w:hAnsi="Times New Roman"/>
        </w:rPr>
        <w:t>, it held that the University was entitled to cancel the lease in the face of ATS’s decision to cede its rights to Wamjay.</w:t>
      </w:r>
    </w:p>
    <w:p w14:paraId="5B252D48" w14:textId="40082B0B" w:rsidR="00DA7820"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3</w:t>
      </w:r>
      <w:r w:rsidRPr="00146A17">
        <w:rPr>
          <w:rFonts w:ascii="Times New Roman" w:hAnsi="Times New Roman"/>
        </w:rPr>
        <w:tab/>
      </w:r>
      <w:r w:rsidR="00237CE3" w:rsidRPr="00146A17">
        <w:rPr>
          <w:rFonts w:ascii="Times New Roman" w:hAnsi="Times New Roman"/>
        </w:rPr>
        <w:t>The reason why this case is now before me is because Wamjay has sued ATS, basing its cause of action on the law of unjustified enrichment, to recover the R6.5 million which it paid to ATS to take over its rights under the long lease with the University.</w:t>
      </w:r>
      <w:r w:rsidR="001C21CC" w:rsidRPr="00146A17">
        <w:rPr>
          <w:rFonts w:ascii="Times New Roman" w:hAnsi="Times New Roman"/>
        </w:rPr>
        <w:t xml:space="preserve"> </w:t>
      </w:r>
      <w:r w:rsidR="008B6CF3" w:rsidRPr="00146A17">
        <w:rPr>
          <w:rFonts w:ascii="Times New Roman" w:hAnsi="Times New Roman"/>
        </w:rPr>
        <w:t xml:space="preserve">The dispute between the parties </w:t>
      </w:r>
      <w:r w:rsidR="004C7C8E">
        <w:rPr>
          <w:rFonts w:ascii="Times New Roman" w:hAnsi="Times New Roman"/>
        </w:rPr>
        <w:t xml:space="preserve">(with ATS and Wamjay on the same side, at that stage) </w:t>
      </w:r>
      <w:r w:rsidR="008B6CF3" w:rsidRPr="00146A17">
        <w:rPr>
          <w:rFonts w:ascii="Times New Roman" w:hAnsi="Times New Roman"/>
        </w:rPr>
        <w:t>leading up to the decision of the Constitutional Court involved</w:t>
      </w:r>
      <w:r w:rsidR="00936E2F" w:rsidRPr="00146A17">
        <w:rPr>
          <w:rFonts w:ascii="Times New Roman" w:hAnsi="Times New Roman"/>
        </w:rPr>
        <w:t xml:space="preserve"> (a) the initial judgment of a single judge </w:t>
      </w:r>
      <w:r w:rsidR="00230013" w:rsidRPr="00146A17">
        <w:rPr>
          <w:rFonts w:ascii="Times New Roman" w:hAnsi="Times New Roman"/>
        </w:rPr>
        <w:t xml:space="preserve">(Victor J) </w:t>
      </w:r>
      <w:r w:rsidR="00936E2F" w:rsidRPr="00146A17">
        <w:rPr>
          <w:rFonts w:ascii="Times New Roman" w:hAnsi="Times New Roman"/>
        </w:rPr>
        <w:t xml:space="preserve">in </w:t>
      </w:r>
      <w:r w:rsidR="004A3D9A" w:rsidRPr="00146A17">
        <w:rPr>
          <w:rFonts w:ascii="Times New Roman" w:hAnsi="Times New Roman"/>
        </w:rPr>
        <w:t>this division</w:t>
      </w:r>
      <w:r w:rsidR="0070289D">
        <w:rPr>
          <w:rFonts w:ascii="Times New Roman" w:hAnsi="Times New Roman"/>
        </w:rPr>
        <w:t>,</w:t>
      </w:r>
      <w:r w:rsidR="004A3D9A" w:rsidRPr="00146A17">
        <w:rPr>
          <w:rFonts w:ascii="Times New Roman" w:hAnsi="Times New Roman"/>
        </w:rPr>
        <w:t xml:space="preserve"> </w:t>
      </w:r>
      <w:r w:rsidR="005F6934">
        <w:rPr>
          <w:rFonts w:ascii="Times New Roman" w:hAnsi="Times New Roman"/>
        </w:rPr>
        <w:t>in which t</w:t>
      </w:r>
      <w:r w:rsidR="00936E2F" w:rsidRPr="00146A17">
        <w:rPr>
          <w:rFonts w:ascii="Times New Roman" w:hAnsi="Times New Roman"/>
        </w:rPr>
        <w:t xml:space="preserve">he University’s right to cancel the lease was </w:t>
      </w:r>
      <w:r w:rsidR="0070289D">
        <w:rPr>
          <w:rFonts w:ascii="Times New Roman" w:hAnsi="Times New Roman"/>
        </w:rPr>
        <w:t>confirmed</w:t>
      </w:r>
      <w:r w:rsidR="007C7119">
        <w:rPr>
          <w:rFonts w:ascii="Times New Roman" w:hAnsi="Times New Roman"/>
        </w:rPr>
        <w:t xml:space="preserve"> in a trial action launched by the University</w:t>
      </w:r>
      <w:r w:rsidR="0070289D">
        <w:rPr>
          <w:rFonts w:ascii="Times New Roman" w:hAnsi="Times New Roman"/>
        </w:rPr>
        <w:t xml:space="preserve"> </w:t>
      </w:r>
      <w:r w:rsidR="00936E2F" w:rsidRPr="00146A17">
        <w:rPr>
          <w:rFonts w:ascii="Times New Roman" w:hAnsi="Times New Roman"/>
        </w:rPr>
        <w:t>(b) a full</w:t>
      </w:r>
      <w:r w:rsidR="001A03C6" w:rsidRPr="00146A17">
        <w:rPr>
          <w:rFonts w:ascii="Times New Roman" w:hAnsi="Times New Roman"/>
        </w:rPr>
        <w:t xml:space="preserve"> </w:t>
      </w:r>
      <w:r w:rsidR="004A3D9A" w:rsidRPr="00146A17">
        <w:rPr>
          <w:rFonts w:ascii="Times New Roman" w:hAnsi="Times New Roman"/>
        </w:rPr>
        <w:t>bench decision</w:t>
      </w:r>
      <w:r w:rsidR="001A03C6" w:rsidRPr="00146A17">
        <w:rPr>
          <w:rFonts w:ascii="Times New Roman" w:hAnsi="Times New Roman"/>
        </w:rPr>
        <w:t xml:space="preserve"> of this division, </w:t>
      </w:r>
      <w:r w:rsidR="007C7119">
        <w:rPr>
          <w:rFonts w:ascii="Times New Roman" w:hAnsi="Times New Roman"/>
        </w:rPr>
        <w:t>dismissing</w:t>
      </w:r>
      <w:r w:rsidR="001A03C6" w:rsidRPr="00146A17">
        <w:rPr>
          <w:rFonts w:ascii="Times New Roman" w:hAnsi="Times New Roman"/>
        </w:rPr>
        <w:t xml:space="preserve"> an appeal against Victor J’s judgment (c) an appeal to the </w:t>
      </w:r>
      <w:r w:rsidR="008A4C90" w:rsidRPr="00146A17">
        <w:rPr>
          <w:rFonts w:ascii="Times New Roman" w:hAnsi="Times New Roman"/>
        </w:rPr>
        <w:t>Supreme Court of Appeal (“</w:t>
      </w:r>
      <w:r w:rsidR="001A03C6" w:rsidRPr="008E6216">
        <w:rPr>
          <w:rFonts w:ascii="Times New Roman" w:hAnsi="Times New Roman"/>
          <w:b/>
          <w:bCs/>
        </w:rPr>
        <w:t>SCA</w:t>
      </w:r>
      <w:r w:rsidR="008A4C90" w:rsidRPr="00146A17">
        <w:rPr>
          <w:rFonts w:ascii="Times New Roman" w:hAnsi="Times New Roman"/>
        </w:rPr>
        <w:t>”)</w:t>
      </w:r>
      <w:r w:rsidR="001A03C6" w:rsidRPr="00146A17">
        <w:rPr>
          <w:rFonts w:ascii="Times New Roman" w:hAnsi="Times New Roman"/>
        </w:rPr>
        <w:t xml:space="preserve"> </w:t>
      </w:r>
      <w:r w:rsidR="005833A0">
        <w:rPr>
          <w:rFonts w:ascii="Times New Roman" w:hAnsi="Times New Roman"/>
        </w:rPr>
        <w:t>which upheld the appeal and set aside</w:t>
      </w:r>
      <w:r w:rsidR="00AA6E80" w:rsidRPr="00146A17">
        <w:rPr>
          <w:rFonts w:ascii="Times New Roman" w:hAnsi="Times New Roman"/>
        </w:rPr>
        <w:t xml:space="preserve"> Victor J’s order and (d) </w:t>
      </w:r>
      <w:r w:rsidR="005833A0">
        <w:rPr>
          <w:rFonts w:ascii="Times New Roman" w:hAnsi="Times New Roman"/>
        </w:rPr>
        <w:t>the successful</w:t>
      </w:r>
      <w:r w:rsidR="00AA6E80" w:rsidRPr="00146A17">
        <w:rPr>
          <w:rFonts w:ascii="Times New Roman" w:hAnsi="Times New Roman"/>
        </w:rPr>
        <w:t xml:space="preserve"> appeal to the Constitutional Court</w:t>
      </w:r>
      <w:r w:rsidR="005833A0">
        <w:rPr>
          <w:rFonts w:ascii="Times New Roman" w:hAnsi="Times New Roman"/>
        </w:rPr>
        <w:t>, which I have already described</w:t>
      </w:r>
      <w:r w:rsidR="00AA6E80" w:rsidRPr="00146A17">
        <w:rPr>
          <w:rFonts w:ascii="Times New Roman" w:hAnsi="Times New Roman"/>
        </w:rPr>
        <w:t xml:space="preserve">. </w:t>
      </w:r>
      <w:r w:rsidR="00230013" w:rsidRPr="00146A17">
        <w:rPr>
          <w:rFonts w:ascii="Times New Roman" w:hAnsi="Times New Roman"/>
        </w:rPr>
        <w:t xml:space="preserve">As a result of the Constitutional Court’s decision, the initial order of Victor J was revived. This was to the effect that </w:t>
      </w:r>
      <w:r w:rsidR="00AE7368" w:rsidRPr="00146A17">
        <w:rPr>
          <w:rFonts w:ascii="Times New Roman" w:hAnsi="Times New Roman"/>
        </w:rPr>
        <w:t xml:space="preserve">both ATS and Wamjay should be evicted from the premises and </w:t>
      </w:r>
      <w:r w:rsidR="00DA7820" w:rsidRPr="00146A17">
        <w:rPr>
          <w:rFonts w:ascii="Times New Roman" w:hAnsi="Times New Roman"/>
        </w:rPr>
        <w:t xml:space="preserve">the registration of the </w:t>
      </w:r>
      <w:r w:rsidR="00AE7368" w:rsidRPr="00146A17">
        <w:rPr>
          <w:rFonts w:ascii="Times New Roman" w:hAnsi="Times New Roman"/>
        </w:rPr>
        <w:t>long lease concluded between ATS and the University</w:t>
      </w:r>
      <w:r w:rsidR="009748EE" w:rsidRPr="00146A17">
        <w:rPr>
          <w:rFonts w:ascii="Times New Roman" w:hAnsi="Times New Roman"/>
        </w:rPr>
        <w:t xml:space="preserve"> should be cancelled</w:t>
      </w:r>
      <w:r w:rsidR="00DA7820" w:rsidRPr="00146A17">
        <w:rPr>
          <w:rFonts w:ascii="Times New Roman" w:hAnsi="Times New Roman"/>
        </w:rPr>
        <w:t>.</w:t>
      </w:r>
    </w:p>
    <w:p w14:paraId="4540FE3C" w14:textId="18924FB2" w:rsidR="004F46DF"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4</w:t>
      </w:r>
      <w:r w:rsidRPr="00146A17">
        <w:rPr>
          <w:rFonts w:ascii="Times New Roman" w:hAnsi="Times New Roman"/>
        </w:rPr>
        <w:tab/>
      </w:r>
      <w:r w:rsidR="00DA7820" w:rsidRPr="00146A17">
        <w:rPr>
          <w:rFonts w:ascii="Times New Roman" w:hAnsi="Times New Roman"/>
        </w:rPr>
        <w:t>In these proceedings, Wamjay has pleaded its case in simple terms. It says that</w:t>
      </w:r>
      <w:r w:rsidR="00C900C2" w:rsidRPr="00146A17">
        <w:rPr>
          <w:rFonts w:ascii="Times New Roman" w:hAnsi="Times New Roman"/>
        </w:rPr>
        <w:t xml:space="preserve"> it has paid R6.5 million to ATS but does not have possession of the land which was the legal cause </w:t>
      </w:r>
      <w:r w:rsidR="00C900C2" w:rsidRPr="00146A17">
        <w:rPr>
          <w:rFonts w:ascii="Times New Roman" w:hAnsi="Times New Roman"/>
        </w:rPr>
        <w:lastRenderedPageBreak/>
        <w:t>of this payment. It therefore says that ATS has been unjustifiably enriched</w:t>
      </w:r>
      <w:r w:rsidR="004F46DF" w:rsidRPr="00146A17">
        <w:rPr>
          <w:rFonts w:ascii="Times New Roman" w:hAnsi="Times New Roman"/>
        </w:rPr>
        <w:t xml:space="preserve"> and must repay the R6.5 million to it. ATS, for its part, says that any claim which Wamjay might have has prescribed. It also denies that Wamjay has satisfied the requirements to succeed in a claim based on unjustified enrichment.</w:t>
      </w:r>
    </w:p>
    <w:p w14:paraId="3467D794" w14:textId="77777777" w:rsidR="008A3EB9" w:rsidRPr="00146A17" w:rsidRDefault="008A3EB9" w:rsidP="008A3EB9">
      <w:pPr>
        <w:pStyle w:val="Heading1"/>
        <w:rPr>
          <w:rFonts w:ascii="Times New Roman" w:hAnsi="Times New Roman"/>
        </w:rPr>
      </w:pPr>
      <w:r w:rsidRPr="00146A17">
        <w:rPr>
          <w:rFonts w:ascii="Times New Roman" w:hAnsi="Times New Roman"/>
        </w:rPr>
        <w:t>THE ARGUMENTS OF THE PARTIES</w:t>
      </w:r>
    </w:p>
    <w:p w14:paraId="3D85B0F7" w14:textId="642FCB2C" w:rsidR="008A3EB9"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5</w:t>
      </w:r>
      <w:r w:rsidRPr="00146A17">
        <w:rPr>
          <w:rFonts w:ascii="Times New Roman" w:hAnsi="Times New Roman"/>
        </w:rPr>
        <w:tab/>
      </w:r>
      <w:r w:rsidR="009F38C7" w:rsidRPr="00146A17">
        <w:rPr>
          <w:rFonts w:ascii="Times New Roman" w:hAnsi="Times New Roman"/>
        </w:rPr>
        <w:t xml:space="preserve">The underlying facts </w:t>
      </w:r>
      <w:r w:rsidR="00287AA7">
        <w:rPr>
          <w:rFonts w:ascii="Times New Roman" w:hAnsi="Times New Roman"/>
        </w:rPr>
        <w:t>of</w:t>
      </w:r>
      <w:r w:rsidR="009F38C7" w:rsidRPr="00146A17">
        <w:rPr>
          <w:rFonts w:ascii="Times New Roman" w:hAnsi="Times New Roman"/>
        </w:rPr>
        <w:t xml:space="preserve"> this matter a</w:t>
      </w:r>
      <w:r w:rsidR="00B81782">
        <w:rPr>
          <w:rFonts w:ascii="Times New Roman" w:hAnsi="Times New Roman"/>
        </w:rPr>
        <w:t>re</w:t>
      </w:r>
      <w:r w:rsidR="009F38C7" w:rsidRPr="00146A17">
        <w:rPr>
          <w:rFonts w:ascii="Times New Roman" w:hAnsi="Times New Roman"/>
        </w:rPr>
        <w:t xml:space="preserve"> not complicated and are common cause. </w:t>
      </w:r>
      <w:r w:rsidR="007E6871" w:rsidRPr="00146A17">
        <w:rPr>
          <w:rFonts w:ascii="Times New Roman" w:hAnsi="Times New Roman"/>
        </w:rPr>
        <w:t xml:space="preserve">On 28 March 2011, ATS and Wamjay concluded the cession agreement in which ATS ceded its rights </w:t>
      </w:r>
      <w:r w:rsidR="00D94B75">
        <w:rPr>
          <w:rFonts w:ascii="Times New Roman" w:hAnsi="Times New Roman"/>
        </w:rPr>
        <w:t>under</w:t>
      </w:r>
      <w:r w:rsidR="007E6871" w:rsidRPr="00146A17">
        <w:rPr>
          <w:rFonts w:ascii="Times New Roman" w:hAnsi="Times New Roman"/>
        </w:rPr>
        <w:t xml:space="preserve"> the long lease with the University to Wam</w:t>
      </w:r>
      <w:r w:rsidR="006D2CEC" w:rsidRPr="00146A17">
        <w:rPr>
          <w:rFonts w:ascii="Times New Roman" w:hAnsi="Times New Roman"/>
        </w:rPr>
        <w:t xml:space="preserve">jay. On 13 October 2011, representatives of ATS and Wamjay executed a written </w:t>
      </w:r>
      <w:r w:rsidR="00696B35" w:rsidRPr="00146A17">
        <w:rPr>
          <w:rFonts w:ascii="Times New Roman" w:hAnsi="Times New Roman"/>
        </w:rPr>
        <w:t>notarial</w:t>
      </w:r>
      <w:r w:rsidR="006D2CEC" w:rsidRPr="00146A17">
        <w:rPr>
          <w:rFonts w:ascii="Times New Roman" w:hAnsi="Times New Roman"/>
        </w:rPr>
        <w:t xml:space="preserve"> deed of cession</w:t>
      </w:r>
      <w:r w:rsidR="00696B35" w:rsidRPr="00146A17">
        <w:rPr>
          <w:rFonts w:ascii="Times New Roman" w:hAnsi="Times New Roman"/>
        </w:rPr>
        <w:t>.</w:t>
      </w:r>
      <w:r w:rsidR="00CE2AE4" w:rsidRPr="00146A17">
        <w:rPr>
          <w:rFonts w:ascii="Times New Roman" w:hAnsi="Times New Roman"/>
        </w:rPr>
        <w:t xml:space="preserve"> Pursuant to these agreements, Wamjay paid the R6.5 million to ATS and took possession of the premises.</w:t>
      </w:r>
      <w:r w:rsidR="00216BEF" w:rsidRPr="00146A17">
        <w:rPr>
          <w:rFonts w:ascii="Times New Roman" w:hAnsi="Times New Roman"/>
        </w:rPr>
        <w:t xml:space="preserve"> </w:t>
      </w:r>
      <w:r w:rsidR="00B612EF" w:rsidRPr="00146A17">
        <w:rPr>
          <w:rFonts w:ascii="Times New Roman" w:hAnsi="Times New Roman"/>
        </w:rPr>
        <w:t xml:space="preserve">After Wamjay took possession of the premises – it says that it intended to </w:t>
      </w:r>
      <w:r w:rsidR="00A048B2" w:rsidRPr="00146A17">
        <w:rPr>
          <w:rFonts w:ascii="Times New Roman" w:hAnsi="Times New Roman"/>
        </w:rPr>
        <w:t>build a school on the vacant land and began the process of pre</w:t>
      </w:r>
      <w:r w:rsidR="00466291" w:rsidRPr="00146A17">
        <w:rPr>
          <w:rFonts w:ascii="Times New Roman" w:hAnsi="Times New Roman"/>
        </w:rPr>
        <w:t>paring</w:t>
      </w:r>
      <w:r w:rsidR="00A048B2" w:rsidRPr="00146A17">
        <w:rPr>
          <w:rFonts w:ascii="Times New Roman" w:hAnsi="Times New Roman"/>
        </w:rPr>
        <w:t xml:space="preserve"> the </w:t>
      </w:r>
      <w:r w:rsidR="005F646E">
        <w:rPr>
          <w:rFonts w:ascii="Times New Roman" w:hAnsi="Times New Roman"/>
        </w:rPr>
        <w:t>grounds</w:t>
      </w:r>
      <w:r w:rsidR="00A048B2" w:rsidRPr="00146A17">
        <w:rPr>
          <w:rFonts w:ascii="Times New Roman" w:hAnsi="Times New Roman"/>
        </w:rPr>
        <w:t xml:space="preserve"> for construction</w:t>
      </w:r>
      <w:r w:rsidR="001F264C" w:rsidRPr="00146A17">
        <w:rPr>
          <w:rFonts w:ascii="Times New Roman" w:hAnsi="Times New Roman"/>
        </w:rPr>
        <w:t xml:space="preserve"> – the University cancelled the lease and the litigation described above commenced. </w:t>
      </w:r>
    </w:p>
    <w:p w14:paraId="085D3C5B" w14:textId="63D7ADB4" w:rsidR="0010287A"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6</w:t>
      </w:r>
      <w:r w:rsidRPr="00146A17">
        <w:rPr>
          <w:rFonts w:ascii="Times New Roman" w:hAnsi="Times New Roman"/>
        </w:rPr>
        <w:tab/>
      </w:r>
      <w:r w:rsidR="004164FC">
        <w:rPr>
          <w:rFonts w:ascii="Times New Roman" w:hAnsi="Times New Roman"/>
        </w:rPr>
        <w:t>Wamjay, in</w:t>
      </w:r>
      <w:r w:rsidR="00C34450" w:rsidRPr="00146A17">
        <w:rPr>
          <w:rFonts w:ascii="Times New Roman" w:hAnsi="Times New Roman"/>
        </w:rPr>
        <w:t xml:space="preserve"> the founding affidavit in the proceedings before me</w:t>
      </w:r>
      <w:r w:rsidR="004164FC">
        <w:rPr>
          <w:rFonts w:ascii="Times New Roman" w:hAnsi="Times New Roman"/>
        </w:rPr>
        <w:t>, adopt</w:t>
      </w:r>
      <w:r w:rsidR="00E04D04">
        <w:rPr>
          <w:rFonts w:ascii="Times New Roman" w:hAnsi="Times New Roman"/>
        </w:rPr>
        <w:t>s</w:t>
      </w:r>
      <w:r w:rsidR="004164FC">
        <w:rPr>
          <w:rFonts w:ascii="Times New Roman" w:hAnsi="Times New Roman"/>
        </w:rPr>
        <w:t xml:space="preserve"> the following stance</w:t>
      </w:r>
      <w:r w:rsidR="0010287A" w:rsidRPr="00146A17">
        <w:rPr>
          <w:rFonts w:ascii="Times New Roman" w:hAnsi="Times New Roman"/>
        </w:rPr>
        <w:t>:</w:t>
      </w:r>
    </w:p>
    <w:p w14:paraId="17F1FD80" w14:textId="52C4D2CC" w:rsidR="0010287A"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6.1</w:t>
      </w:r>
      <w:r w:rsidRPr="00146A17">
        <w:rPr>
          <w:rFonts w:ascii="Times New Roman" w:hAnsi="Times New Roman"/>
        </w:rPr>
        <w:tab/>
      </w:r>
      <w:r w:rsidR="00C34450" w:rsidRPr="00146A17">
        <w:rPr>
          <w:rFonts w:ascii="Times New Roman" w:hAnsi="Times New Roman"/>
        </w:rPr>
        <w:t>Wamjay says that, w</w:t>
      </w:r>
      <w:r w:rsidR="0010287A" w:rsidRPr="00146A17">
        <w:rPr>
          <w:rFonts w:ascii="Times New Roman" w:hAnsi="Times New Roman"/>
        </w:rPr>
        <w:t>hen it concluded the cession agreement with ATS</w:t>
      </w:r>
      <w:r w:rsidR="00E04D04">
        <w:rPr>
          <w:rFonts w:ascii="Times New Roman" w:hAnsi="Times New Roman"/>
        </w:rPr>
        <w:t>,</w:t>
      </w:r>
      <w:r w:rsidR="0010287A" w:rsidRPr="00146A17">
        <w:rPr>
          <w:rFonts w:ascii="Times New Roman" w:hAnsi="Times New Roman"/>
        </w:rPr>
        <w:t xml:space="preserve"> it believed that the cession was lawful. Both parties (ie, ATS and Wamjay) took </w:t>
      </w:r>
      <w:r w:rsidR="00F64B88" w:rsidRPr="00146A17">
        <w:rPr>
          <w:rFonts w:ascii="Times New Roman" w:hAnsi="Times New Roman"/>
        </w:rPr>
        <w:t xml:space="preserve">separate </w:t>
      </w:r>
      <w:r w:rsidR="0010287A" w:rsidRPr="00146A17">
        <w:rPr>
          <w:rFonts w:ascii="Times New Roman" w:hAnsi="Times New Roman"/>
        </w:rPr>
        <w:t>legal advice, which confirmed that this was so.</w:t>
      </w:r>
      <w:r w:rsidR="00F64B88" w:rsidRPr="00146A17">
        <w:rPr>
          <w:rFonts w:ascii="Times New Roman" w:hAnsi="Times New Roman"/>
        </w:rPr>
        <w:t xml:space="preserve"> It therefore paid the R6.5 million to ATS in the bona fide belief that it was obliged to make that payment in terms of a valid agreement which would give it occupation of the premises.</w:t>
      </w:r>
    </w:p>
    <w:p w14:paraId="6C72F5EE" w14:textId="4027D28A" w:rsidR="00F64B88"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lastRenderedPageBreak/>
        <w:t>6.2</w:t>
      </w:r>
      <w:r w:rsidRPr="00146A17">
        <w:rPr>
          <w:rFonts w:ascii="Times New Roman" w:hAnsi="Times New Roman"/>
        </w:rPr>
        <w:tab/>
      </w:r>
      <w:r w:rsidR="00F83A78" w:rsidRPr="00146A17">
        <w:rPr>
          <w:rFonts w:ascii="Times New Roman" w:hAnsi="Times New Roman"/>
        </w:rPr>
        <w:t>I agree with the deponent to ATS’s answering affidavit that Wamjay clearly was alive to the potential prescription problem when it launched the enrichment application. This is because, although it never spel</w:t>
      </w:r>
      <w:r w:rsidR="006906A8">
        <w:rPr>
          <w:rFonts w:ascii="Times New Roman" w:hAnsi="Times New Roman"/>
        </w:rPr>
        <w:t>t</w:t>
      </w:r>
      <w:r w:rsidR="00F83A78" w:rsidRPr="00146A17">
        <w:rPr>
          <w:rFonts w:ascii="Times New Roman" w:hAnsi="Times New Roman"/>
        </w:rPr>
        <w:t xml:space="preserve"> this out expressly</w:t>
      </w:r>
      <w:r w:rsidR="006906A8">
        <w:rPr>
          <w:rFonts w:ascii="Times New Roman" w:hAnsi="Times New Roman"/>
        </w:rPr>
        <w:t xml:space="preserve"> in the founding affidavit</w:t>
      </w:r>
      <w:r w:rsidR="00F83A78" w:rsidRPr="00146A17">
        <w:rPr>
          <w:rFonts w:ascii="Times New Roman" w:hAnsi="Times New Roman"/>
        </w:rPr>
        <w:t>, it implie</w:t>
      </w:r>
      <w:r w:rsidR="006906A8">
        <w:rPr>
          <w:rFonts w:ascii="Times New Roman" w:hAnsi="Times New Roman"/>
        </w:rPr>
        <w:t>d</w:t>
      </w:r>
      <w:r w:rsidR="00F83A78" w:rsidRPr="00146A17">
        <w:rPr>
          <w:rFonts w:ascii="Times New Roman" w:hAnsi="Times New Roman"/>
        </w:rPr>
        <w:t xml:space="preserve"> that its </w:t>
      </w:r>
      <w:r w:rsidR="00EC4016" w:rsidRPr="00146A17">
        <w:rPr>
          <w:rFonts w:ascii="Times New Roman" w:hAnsi="Times New Roman"/>
        </w:rPr>
        <w:t xml:space="preserve">enrichment </w:t>
      </w:r>
      <w:r w:rsidR="00F83A78" w:rsidRPr="00146A17">
        <w:rPr>
          <w:rFonts w:ascii="Times New Roman" w:hAnsi="Times New Roman"/>
        </w:rPr>
        <w:t xml:space="preserve">claim only </w:t>
      </w:r>
      <w:r w:rsidR="00EC4016" w:rsidRPr="00146A17">
        <w:rPr>
          <w:rFonts w:ascii="Times New Roman" w:hAnsi="Times New Roman"/>
        </w:rPr>
        <w:t xml:space="preserve">became perfected when the Constitutional Court handed down its judgment </w:t>
      </w:r>
      <w:r w:rsidR="004D083D" w:rsidRPr="00146A17">
        <w:rPr>
          <w:rFonts w:ascii="Times New Roman" w:hAnsi="Times New Roman"/>
        </w:rPr>
        <w:t>o</w:t>
      </w:r>
      <w:r w:rsidR="00EC4016" w:rsidRPr="00146A17">
        <w:rPr>
          <w:rFonts w:ascii="Times New Roman" w:hAnsi="Times New Roman"/>
        </w:rPr>
        <w:t xml:space="preserve">n </w:t>
      </w:r>
      <w:r w:rsidR="004D083D" w:rsidRPr="00146A17">
        <w:rPr>
          <w:rFonts w:ascii="Times New Roman" w:hAnsi="Times New Roman"/>
        </w:rPr>
        <w:t xml:space="preserve">11 </w:t>
      </w:r>
      <w:r w:rsidR="00EC4016" w:rsidRPr="00146A17">
        <w:rPr>
          <w:rFonts w:ascii="Times New Roman" w:hAnsi="Times New Roman"/>
        </w:rPr>
        <w:t>June 2021.</w:t>
      </w:r>
      <w:r w:rsidR="004D083D" w:rsidRPr="00146A17">
        <w:rPr>
          <w:rFonts w:ascii="Times New Roman" w:hAnsi="Times New Roman"/>
        </w:rPr>
        <w:t xml:space="preserve"> </w:t>
      </w:r>
      <w:r w:rsidR="00377496" w:rsidRPr="00146A17">
        <w:rPr>
          <w:rFonts w:ascii="Times New Roman" w:hAnsi="Times New Roman"/>
        </w:rPr>
        <w:t>It implie</w:t>
      </w:r>
      <w:r w:rsidR="006906A8">
        <w:rPr>
          <w:rFonts w:ascii="Times New Roman" w:hAnsi="Times New Roman"/>
        </w:rPr>
        <w:t>d</w:t>
      </w:r>
      <w:r w:rsidR="00377496" w:rsidRPr="00146A17">
        <w:rPr>
          <w:rFonts w:ascii="Times New Roman" w:hAnsi="Times New Roman"/>
        </w:rPr>
        <w:t xml:space="preserve"> this by rendering the date of the Constitutional Court’s decision in bold font, and by saying that it only knew that </w:t>
      </w:r>
      <w:r w:rsidR="00A06D48" w:rsidRPr="00146A17">
        <w:rPr>
          <w:rFonts w:ascii="Times New Roman" w:hAnsi="Times New Roman"/>
        </w:rPr>
        <w:t>the money paid to ATS would have to be refunded as of the date of the Constitutional Court’s judgment.</w:t>
      </w:r>
    </w:p>
    <w:p w14:paraId="0E10C5CC" w14:textId="4AC69121" w:rsidR="008D413D" w:rsidRPr="00146A17" w:rsidRDefault="00843CD7" w:rsidP="00843CD7">
      <w:pPr>
        <w:pStyle w:val="WLGLevel2"/>
        <w:numPr>
          <w:ilvl w:val="0"/>
          <w:numId w:val="0"/>
        </w:numPr>
        <w:tabs>
          <w:tab w:val="left" w:pos="1361"/>
        </w:tabs>
        <w:ind w:left="1361" w:hanging="794"/>
        <w:rPr>
          <w:rFonts w:ascii="Times New Roman" w:hAnsi="Times New Roman"/>
        </w:rPr>
      </w:pPr>
      <w:bookmarkStart w:id="0" w:name="_Ref146440123"/>
      <w:r w:rsidRPr="00146A17">
        <w:rPr>
          <w:rFonts w:ascii="Times New Roman" w:hAnsi="Times New Roman"/>
        </w:rPr>
        <w:t>6.3</w:t>
      </w:r>
      <w:r w:rsidRPr="00146A17">
        <w:rPr>
          <w:rFonts w:ascii="Times New Roman" w:hAnsi="Times New Roman"/>
        </w:rPr>
        <w:tab/>
      </w:r>
      <w:r w:rsidR="008D413D" w:rsidRPr="00146A17">
        <w:rPr>
          <w:rFonts w:ascii="Times New Roman" w:hAnsi="Times New Roman"/>
        </w:rPr>
        <w:t xml:space="preserve">Other than the </w:t>
      </w:r>
      <w:r w:rsidR="003C5AFE" w:rsidRPr="00146A17">
        <w:rPr>
          <w:rFonts w:ascii="Times New Roman" w:hAnsi="Times New Roman"/>
        </w:rPr>
        <w:t xml:space="preserve">facts described above, Wamjay explains in its founding affidavit that, after the Constitutional Court’s judgment was handed down, it engaged with ATS to </w:t>
      </w:r>
      <w:r w:rsidR="00384BCB" w:rsidRPr="00146A17">
        <w:rPr>
          <w:rFonts w:ascii="Times New Roman" w:hAnsi="Times New Roman"/>
        </w:rPr>
        <w:t xml:space="preserve">facilitate the repayment of the R6.5 million. It points to email correspondence in which ATS acknowledged Wamjay’s bona fides, expressed regret at </w:t>
      </w:r>
      <w:r w:rsidR="008A181C" w:rsidRPr="00146A17">
        <w:rPr>
          <w:rFonts w:ascii="Times New Roman" w:hAnsi="Times New Roman"/>
        </w:rPr>
        <w:t xml:space="preserve">its predicament but took the view that, at most, it had a moral but not legal obligation </w:t>
      </w:r>
      <w:r w:rsidR="00BD553D" w:rsidRPr="00146A17">
        <w:rPr>
          <w:rFonts w:ascii="Times New Roman" w:hAnsi="Times New Roman"/>
        </w:rPr>
        <w:t xml:space="preserve">to contribute to Wamjay’s loss. In that correspondence, however, ATS explained that, even if it decided on moral grounds to contribute to Wamjay’s loss, it could not </w:t>
      </w:r>
      <w:r w:rsidR="00EE48E9" w:rsidRPr="00146A17">
        <w:rPr>
          <w:rFonts w:ascii="Times New Roman" w:hAnsi="Times New Roman"/>
        </w:rPr>
        <w:t>“do anything now or in the near future”.</w:t>
      </w:r>
      <w:r w:rsidR="00AC5C65" w:rsidRPr="00146A17">
        <w:rPr>
          <w:rFonts w:ascii="Times New Roman" w:hAnsi="Times New Roman"/>
        </w:rPr>
        <w:t xml:space="preserve"> Wamjay says in its founding affidavit that ATS has a legal, not moral, obligation to repay the money and that </w:t>
      </w:r>
      <w:r w:rsidR="005B4D7A" w:rsidRPr="00146A17">
        <w:rPr>
          <w:rFonts w:ascii="Times New Roman" w:hAnsi="Times New Roman"/>
        </w:rPr>
        <w:t xml:space="preserve">(a) it has considerable assets far in excess of the claim and (b) </w:t>
      </w:r>
      <w:r w:rsidR="00AC5C65" w:rsidRPr="00146A17">
        <w:rPr>
          <w:rFonts w:ascii="Times New Roman" w:hAnsi="Times New Roman"/>
        </w:rPr>
        <w:t>it should</w:t>
      </w:r>
      <w:r w:rsidR="00AF2B72" w:rsidRPr="00146A17">
        <w:rPr>
          <w:rFonts w:ascii="Times New Roman" w:hAnsi="Times New Roman"/>
        </w:rPr>
        <w:t xml:space="preserve"> have, as a matter of caution (and despite having, at all times in the litigation taken the position that the University had no right to cancel the lease)</w:t>
      </w:r>
      <w:r w:rsidR="008D6207" w:rsidRPr="00146A17">
        <w:rPr>
          <w:rFonts w:ascii="Times New Roman" w:hAnsi="Times New Roman"/>
        </w:rPr>
        <w:t>,</w:t>
      </w:r>
      <w:r w:rsidR="00AC5C65" w:rsidRPr="00146A17">
        <w:rPr>
          <w:rFonts w:ascii="Times New Roman" w:hAnsi="Times New Roman"/>
        </w:rPr>
        <w:t xml:space="preserve"> </w:t>
      </w:r>
      <w:r w:rsidR="005B4D7A" w:rsidRPr="00146A17">
        <w:rPr>
          <w:rFonts w:ascii="Times New Roman" w:hAnsi="Times New Roman"/>
        </w:rPr>
        <w:t xml:space="preserve">put money aside to </w:t>
      </w:r>
      <w:r w:rsidR="00AF2B72" w:rsidRPr="00146A17">
        <w:rPr>
          <w:rFonts w:ascii="Times New Roman" w:hAnsi="Times New Roman"/>
        </w:rPr>
        <w:t xml:space="preserve">enable it to </w:t>
      </w:r>
      <w:r w:rsidR="008D6207" w:rsidRPr="00146A17">
        <w:rPr>
          <w:rFonts w:ascii="Times New Roman" w:hAnsi="Times New Roman"/>
        </w:rPr>
        <w:t xml:space="preserve">refund </w:t>
      </w:r>
      <w:r w:rsidR="0041769E">
        <w:rPr>
          <w:rFonts w:ascii="Times New Roman" w:hAnsi="Times New Roman"/>
        </w:rPr>
        <w:t xml:space="preserve">Wamjay, </w:t>
      </w:r>
      <w:r w:rsidR="008D6207" w:rsidRPr="00146A17">
        <w:rPr>
          <w:rFonts w:ascii="Times New Roman" w:hAnsi="Times New Roman"/>
        </w:rPr>
        <w:t>if necessary.</w:t>
      </w:r>
      <w:bookmarkEnd w:id="0"/>
    </w:p>
    <w:p w14:paraId="2716F1B7" w14:textId="50F10E83" w:rsidR="008D6207"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6.4</w:t>
      </w:r>
      <w:r w:rsidRPr="00146A17">
        <w:rPr>
          <w:rFonts w:ascii="Times New Roman" w:hAnsi="Times New Roman"/>
        </w:rPr>
        <w:tab/>
      </w:r>
      <w:r w:rsidR="008D6207" w:rsidRPr="00146A17">
        <w:rPr>
          <w:rFonts w:ascii="Times New Roman" w:hAnsi="Times New Roman"/>
        </w:rPr>
        <w:t xml:space="preserve">Although Wamjay did not, in its founding affidavit, seek to characterise its claim as a claim under the </w:t>
      </w:r>
      <w:r w:rsidR="008D6207" w:rsidRPr="005A2FA9">
        <w:rPr>
          <w:rFonts w:ascii="Times New Roman" w:hAnsi="Times New Roman"/>
          <w:i/>
          <w:iCs/>
        </w:rPr>
        <w:t>condictio indebiti</w:t>
      </w:r>
      <w:r w:rsidR="008D6207" w:rsidRPr="00146A17">
        <w:rPr>
          <w:rFonts w:ascii="Times New Roman" w:hAnsi="Times New Roman"/>
        </w:rPr>
        <w:t xml:space="preserve">, this seems to have been its intention. This is because it uses terminology in the founding affidavit which appears to have </w:t>
      </w:r>
      <w:r w:rsidR="008D6207" w:rsidRPr="00146A17">
        <w:rPr>
          <w:rFonts w:ascii="Times New Roman" w:hAnsi="Times New Roman"/>
        </w:rPr>
        <w:lastRenderedPageBreak/>
        <w:t>been chosen to bring it within the parameters of that cause of action – ie, by referring to its bona fide but mistaken belief that it was required to pay the R6.5 million to ATS.</w:t>
      </w:r>
      <w:r w:rsidR="005A2FA9">
        <w:rPr>
          <w:rFonts w:ascii="Times New Roman" w:hAnsi="Times New Roman"/>
        </w:rPr>
        <w:t xml:space="preserve"> (I return to discuss the </w:t>
      </w:r>
      <w:r w:rsidR="005A2FA9" w:rsidRPr="005A2FA9">
        <w:rPr>
          <w:rFonts w:ascii="Times New Roman" w:hAnsi="Times New Roman"/>
          <w:i/>
          <w:iCs/>
        </w:rPr>
        <w:t>condictio indebiti</w:t>
      </w:r>
      <w:r w:rsidR="00C103FC">
        <w:rPr>
          <w:rFonts w:ascii="Times New Roman" w:hAnsi="Times New Roman"/>
          <w:i/>
          <w:iCs/>
        </w:rPr>
        <w:t xml:space="preserve">, </w:t>
      </w:r>
      <w:r w:rsidR="00C103FC" w:rsidRPr="00C103FC">
        <w:rPr>
          <w:rFonts w:ascii="Times New Roman" w:hAnsi="Times New Roman"/>
        </w:rPr>
        <w:t>and its requirements,</w:t>
      </w:r>
      <w:r w:rsidR="005A2FA9" w:rsidRPr="00C103FC">
        <w:rPr>
          <w:rFonts w:ascii="Times New Roman" w:hAnsi="Times New Roman"/>
        </w:rPr>
        <w:t xml:space="preserve"> </w:t>
      </w:r>
      <w:r w:rsidR="005A2FA9">
        <w:rPr>
          <w:rFonts w:ascii="Times New Roman" w:hAnsi="Times New Roman"/>
        </w:rPr>
        <w:t>when dealing with the merits of the enrichment claim below.)</w:t>
      </w:r>
    </w:p>
    <w:p w14:paraId="01E1ACCC" w14:textId="6D14C5B1" w:rsidR="00910DA9"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7</w:t>
      </w:r>
      <w:r w:rsidRPr="00146A17">
        <w:rPr>
          <w:rFonts w:ascii="Times New Roman" w:hAnsi="Times New Roman"/>
        </w:rPr>
        <w:tab/>
      </w:r>
      <w:r w:rsidR="009D5864" w:rsidRPr="00146A17">
        <w:rPr>
          <w:rFonts w:ascii="Times New Roman" w:hAnsi="Times New Roman"/>
        </w:rPr>
        <w:t>The next pleading to discuss is, of course, ATS’s answering affidavit:</w:t>
      </w:r>
    </w:p>
    <w:p w14:paraId="3C64F925" w14:textId="7EB47C62" w:rsidR="009D5864"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7.1</w:t>
      </w:r>
      <w:r w:rsidRPr="00146A17">
        <w:rPr>
          <w:rFonts w:ascii="Times New Roman" w:hAnsi="Times New Roman"/>
        </w:rPr>
        <w:tab/>
      </w:r>
      <w:r w:rsidR="009D5864" w:rsidRPr="00146A17">
        <w:rPr>
          <w:rFonts w:ascii="Times New Roman" w:hAnsi="Times New Roman"/>
        </w:rPr>
        <w:t xml:space="preserve">In the answering affidavit, as I foreshadowed above, ATS refers to Wamjay’s apparent attempt to </w:t>
      </w:r>
      <w:r w:rsidR="00C86F3F" w:rsidRPr="00146A17">
        <w:rPr>
          <w:rFonts w:ascii="Times New Roman" w:hAnsi="Times New Roman"/>
        </w:rPr>
        <w:t xml:space="preserve">pre-empt a plea of prescription. ATS correctly, as I have noted, interprets the founding affidavit as implying that Wamjay could have brought its enrichment claim no earlier than 11 June 2021, the day on which the Constitutional Court judgment was handed down. </w:t>
      </w:r>
      <w:r w:rsidR="00DD516D" w:rsidRPr="00146A17">
        <w:rPr>
          <w:rFonts w:ascii="Times New Roman" w:hAnsi="Times New Roman"/>
        </w:rPr>
        <w:t>Reasoning from that premise, ATS says that Wamjay is incorrect and that its claim has prescribed.</w:t>
      </w:r>
      <w:r w:rsidR="007B49D8" w:rsidRPr="00146A17">
        <w:rPr>
          <w:rFonts w:ascii="Times New Roman" w:hAnsi="Times New Roman"/>
        </w:rPr>
        <w:t xml:space="preserve"> It says that Wamjay’s cause of action does not stem from the decision of the Constitutional Court</w:t>
      </w:r>
      <w:r w:rsidR="00666794" w:rsidRPr="00146A17">
        <w:rPr>
          <w:rFonts w:ascii="Times New Roman" w:hAnsi="Times New Roman"/>
        </w:rPr>
        <w:t xml:space="preserve">. ATS says that the cause of action stems from </w:t>
      </w:r>
      <w:r w:rsidR="001F3716" w:rsidRPr="00146A17">
        <w:rPr>
          <w:rFonts w:ascii="Times New Roman" w:hAnsi="Times New Roman"/>
        </w:rPr>
        <w:t>“a set of primary facts, all of which existed and were known to [Wamjay] as far back as October 2012, which facts were enough to enable the applicant to institute action against [ATS].</w:t>
      </w:r>
      <w:r w:rsidR="005949A0" w:rsidRPr="00146A17">
        <w:rPr>
          <w:rFonts w:ascii="Times New Roman" w:hAnsi="Times New Roman"/>
        </w:rPr>
        <w:t>”</w:t>
      </w:r>
    </w:p>
    <w:p w14:paraId="51105A2F" w14:textId="72493CF5" w:rsidR="008C3D71"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7.2</w:t>
      </w:r>
      <w:r w:rsidRPr="00146A17">
        <w:rPr>
          <w:rFonts w:ascii="Times New Roman" w:hAnsi="Times New Roman"/>
        </w:rPr>
        <w:tab/>
      </w:r>
      <w:r w:rsidR="008C3D71" w:rsidRPr="00146A17">
        <w:rPr>
          <w:rFonts w:ascii="Times New Roman" w:hAnsi="Times New Roman"/>
        </w:rPr>
        <w:t>In its answering affidavit, ATS understandably t</w:t>
      </w:r>
      <w:r w:rsidR="008C71C1">
        <w:rPr>
          <w:rFonts w:ascii="Times New Roman" w:hAnsi="Times New Roman"/>
        </w:rPr>
        <w:t>akes</w:t>
      </w:r>
      <w:r w:rsidR="008C3D71" w:rsidRPr="00146A17">
        <w:rPr>
          <w:rFonts w:ascii="Times New Roman" w:hAnsi="Times New Roman"/>
        </w:rPr>
        <w:t xml:space="preserve"> the stance, which it also advanced in argument, that there is a long line of authorities which have made the following clear: prescription begins to run when the claimant has</w:t>
      </w:r>
      <w:r w:rsidR="00D82822">
        <w:rPr>
          <w:rFonts w:ascii="Times New Roman" w:hAnsi="Times New Roman"/>
        </w:rPr>
        <w:t xml:space="preserve"> knowledge of</w:t>
      </w:r>
      <w:r w:rsidR="008C3D71" w:rsidRPr="00146A17">
        <w:rPr>
          <w:rFonts w:ascii="Times New Roman" w:hAnsi="Times New Roman"/>
        </w:rPr>
        <w:t xml:space="preserve"> all of the </w:t>
      </w:r>
      <w:r w:rsidR="008C3D71" w:rsidRPr="00146A17">
        <w:rPr>
          <w:rFonts w:ascii="Times New Roman" w:hAnsi="Times New Roman"/>
          <w:u w:val="single"/>
        </w:rPr>
        <w:t>facts</w:t>
      </w:r>
      <w:r w:rsidR="008C3D71" w:rsidRPr="00146A17">
        <w:rPr>
          <w:rFonts w:ascii="Times New Roman" w:hAnsi="Times New Roman"/>
        </w:rPr>
        <w:t xml:space="preserve"> </w:t>
      </w:r>
      <w:r w:rsidR="004C0679" w:rsidRPr="00146A17">
        <w:rPr>
          <w:rFonts w:ascii="Times New Roman" w:hAnsi="Times New Roman"/>
        </w:rPr>
        <w:t>relevant to its cause of action. It does</w:t>
      </w:r>
      <w:r w:rsidR="0018760C" w:rsidRPr="00146A17">
        <w:rPr>
          <w:rFonts w:ascii="Times New Roman" w:hAnsi="Times New Roman"/>
        </w:rPr>
        <w:t xml:space="preserve"> not begin to run only when the claimant acquires </w:t>
      </w:r>
      <w:r w:rsidR="0018760C" w:rsidRPr="00146A17">
        <w:rPr>
          <w:rFonts w:ascii="Times New Roman" w:hAnsi="Times New Roman"/>
          <w:u w:val="single"/>
        </w:rPr>
        <w:t>legal</w:t>
      </w:r>
      <w:r w:rsidR="0018760C" w:rsidRPr="00146A17">
        <w:rPr>
          <w:rFonts w:ascii="Times New Roman" w:hAnsi="Times New Roman"/>
        </w:rPr>
        <w:t xml:space="preserve"> certainty as to its </w:t>
      </w:r>
      <w:r w:rsidR="005D07CF">
        <w:rPr>
          <w:rFonts w:ascii="Times New Roman" w:hAnsi="Times New Roman"/>
        </w:rPr>
        <w:t>entitlement to claim</w:t>
      </w:r>
      <w:r w:rsidR="0018760C" w:rsidRPr="00146A17">
        <w:rPr>
          <w:rFonts w:ascii="Times New Roman" w:hAnsi="Times New Roman"/>
        </w:rPr>
        <w:t xml:space="preserve">. On this basis, ATS says that the period of prescription began to run </w:t>
      </w:r>
      <w:r w:rsidR="00D87AD0" w:rsidRPr="00146A17">
        <w:rPr>
          <w:rFonts w:ascii="Times New Roman" w:hAnsi="Times New Roman"/>
        </w:rPr>
        <w:t xml:space="preserve">from the date on which Wamjay acquired knowledge that the University had cancelled the lease with ATS. This is because, from that moment, Wamjay knew (a) that </w:t>
      </w:r>
      <w:r w:rsidR="00780035" w:rsidRPr="00146A17">
        <w:rPr>
          <w:rFonts w:ascii="Times New Roman" w:hAnsi="Times New Roman"/>
        </w:rPr>
        <w:t xml:space="preserve">it had </w:t>
      </w:r>
      <w:r w:rsidR="00780035" w:rsidRPr="00146A17">
        <w:rPr>
          <w:rFonts w:ascii="Times New Roman" w:hAnsi="Times New Roman"/>
        </w:rPr>
        <w:lastRenderedPageBreak/>
        <w:t xml:space="preserve">concluded the agreements </w:t>
      </w:r>
      <w:r w:rsidR="00405DFD" w:rsidRPr="00146A17">
        <w:rPr>
          <w:rFonts w:ascii="Times New Roman" w:hAnsi="Times New Roman"/>
        </w:rPr>
        <w:t xml:space="preserve">(being a reference to the underlying contractual agreement between ATS and Wamjay and the registration of the deed of cession) </w:t>
      </w:r>
      <w:r w:rsidR="00780035" w:rsidRPr="00146A17">
        <w:rPr>
          <w:rFonts w:ascii="Times New Roman" w:hAnsi="Times New Roman"/>
        </w:rPr>
        <w:t>with ATS (b)</w:t>
      </w:r>
      <w:r w:rsidR="00405DFD" w:rsidRPr="00146A17">
        <w:rPr>
          <w:rFonts w:ascii="Times New Roman" w:hAnsi="Times New Roman"/>
        </w:rPr>
        <w:t xml:space="preserve"> </w:t>
      </w:r>
      <w:r w:rsidR="00780035" w:rsidRPr="00146A17">
        <w:rPr>
          <w:rFonts w:ascii="Times New Roman" w:hAnsi="Times New Roman"/>
        </w:rPr>
        <w:t xml:space="preserve">it had performed in terms of the agreements and (c) </w:t>
      </w:r>
      <w:r w:rsidR="00250ECD" w:rsidRPr="00146A17">
        <w:rPr>
          <w:rFonts w:ascii="Times New Roman" w:hAnsi="Times New Roman"/>
        </w:rPr>
        <w:t xml:space="preserve">the legal cause for its payment to ATS of the R6.5 million had fallen away </w:t>
      </w:r>
      <w:r w:rsidR="008C4D81" w:rsidRPr="00146A17">
        <w:rPr>
          <w:rFonts w:ascii="Times New Roman" w:hAnsi="Times New Roman"/>
        </w:rPr>
        <w:t xml:space="preserve">because of the “unenforceability of the agreements”. </w:t>
      </w:r>
      <w:r w:rsidR="00BA4AE4" w:rsidRPr="00146A17">
        <w:rPr>
          <w:rFonts w:ascii="Times New Roman" w:hAnsi="Times New Roman"/>
        </w:rPr>
        <w:t xml:space="preserve">ATS says that those facts were known to Wamjay as of 5 October 2012, </w:t>
      </w:r>
      <w:r w:rsidR="00BC79FC" w:rsidRPr="00146A17">
        <w:rPr>
          <w:rFonts w:ascii="Times New Roman" w:hAnsi="Times New Roman"/>
        </w:rPr>
        <w:t>when the University’s attorneys sent a detailed letter to the parties to explain the basis on which it had decided to cancel the long lease</w:t>
      </w:r>
      <w:r w:rsidR="002B33CA">
        <w:rPr>
          <w:rFonts w:ascii="Times New Roman" w:hAnsi="Times New Roman"/>
        </w:rPr>
        <w:t>,</w:t>
      </w:r>
      <w:r w:rsidR="00BC79FC" w:rsidRPr="00146A17">
        <w:rPr>
          <w:rFonts w:ascii="Times New Roman" w:hAnsi="Times New Roman"/>
        </w:rPr>
        <w:t xml:space="preserve"> </w:t>
      </w:r>
      <w:r w:rsidR="00BA4AE4" w:rsidRPr="00146A17">
        <w:rPr>
          <w:rFonts w:ascii="Times New Roman" w:hAnsi="Times New Roman"/>
        </w:rPr>
        <w:t>and so that is when prescription began to run.</w:t>
      </w:r>
      <w:r w:rsidR="003C7EEB" w:rsidRPr="00146A17">
        <w:rPr>
          <w:rFonts w:ascii="Times New Roman" w:hAnsi="Times New Roman"/>
        </w:rPr>
        <w:t xml:space="preserve"> In the alternative, it says that the latest date on which prescription could be found to have started to run was when Victor J handed down her judgment</w:t>
      </w:r>
      <w:r w:rsidR="00A51910" w:rsidRPr="00146A17">
        <w:rPr>
          <w:rFonts w:ascii="Times New Roman" w:hAnsi="Times New Roman"/>
        </w:rPr>
        <w:t>,</w:t>
      </w:r>
      <w:r w:rsidR="003C7EEB" w:rsidRPr="00146A17">
        <w:rPr>
          <w:rFonts w:ascii="Times New Roman" w:hAnsi="Times New Roman"/>
        </w:rPr>
        <w:t xml:space="preserve"> </w:t>
      </w:r>
      <w:r w:rsidR="00A51910" w:rsidRPr="00146A17">
        <w:rPr>
          <w:rFonts w:ascii="Times New Roman" w:hAnsi="Times New Roman"/>
        </w:rPr>
        <w:t>upholding the University’s position, on 10 March 2017. It says that, at least from this date, Wamjay would have had “knowledge of the minimum facts it needed to claim repayment”.</w:t>
      </w:r>
    </w:p>
    <w:p w14:paraId="79D6FE9C" w14:textId="428E9079" w:rsidR="00B24DBB"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7.3</w:t>
      </w:r>
      <w:r w:rsidRPr="00146A17">
        <w:rPr>
          <w:rFonts w:ascii="Times New Roman" w:hAnsi="Times New Roman"/>
        </w:rPr>
        <w:tab/>
      </w:r>
      <w:r w:rsidR="00C330C2" w:rsidRPr="00146A17">
        <w:rPr>
          <w:rFonts w:ascii="Times New Roman" w:hAnsi="Times New Roman"/>
        </w:rPr>
        <w:t xml:space="preserve">It is instructive to have regard to ATS’s responses to </w:t>
      </w:r>
      <w:r w:rsidR="00D70545" w:rsidRPr="00146A17">
        <w:rPr>
          <w:rFonts w:ascii="Times New Roman" w:hAnsi="Times New Roman"/>
        </w:rPr>
        <w:t>Wamjay’s allegations relevant to the merits of its claim.</w:t>
      </w:r>
      <w:r w:rsidR="00DA5652">
        <w:rPr>
          <w:rFonts w:ascii="Times New Roman" w:hAnsi="Times New Roman"/>
        </w:rPr>
        <w:t xml:space="preserve"> These responses assume some importance in my ultimate conclusion on the merits.</w:t>
      </w:r>
      <w:r w:rsidR="00D70545" w:rsidRPr="00146A17">
        <w:rPr>
          <w:rFonts w:ascii="Times New Roman" w:hAnsi="Times New Roman"/>
        </w:rPr>
        <w:t xml:space="preserve"> </w:t>
      </w:r>
    </w:p>
    <w:p w14:paraId="11049319" w14:textId="1A9ADFF6" w:rsidR="00B24DBB" w:rsidRPr="00146A17" w:rsidRDefault="00843CD7" w:rsidP="00843CD7">
      <w:pPr>
        <w:pStyle w:val="WLGLevel3"/>
        <w:numPr>
          <w:ilvl w:val="0"/>
          <w:numId w:val="0"/>
        </w:numPr>
        <w:tabs>
          <w:tab w:val="left" w:pos="2381"/>
        </w:tabs>
        <w:ind w:left="2382" w:hanging="1021"/>
        <w:rPr>
          <w:rFonts w:ascii="Times New Roman" w:hAnsi="Times New Roman"/>
        </w:rPr>
      </w:pPr>
      <w:r w:rsidRPr="00146A17">
        <w:rPr>
          <w:rFonts w:ascii="Times New Roman" w:hAnsi="Times New Roman"/>
        </w:rPr>
        <w:t>7.3.1</w:t>
      </w:r>
      <w:r w:rsidRPr="00146A17">
        <w:rPr>
          <w:rFonts w:ascii="Times New Roman" w:hAnsi="Times New Roman"/>
        </w:rPr>
        <w:tab/>
      </w:r>
      <w:r w:rsidR="0038747C" w:rsidRPr="00146A17">
        <w:rPr>
          <w:rFonts w:ascii="Times New Roman" w:hAnsi="Times New Roman"/>
        </w:rPr>
        <w:t>In its founding affidavit, Wamjay allege</w:t>
      </w:r>
      <w:r w:rsidR="005076E5">
        <w:rPr>
          <w:rFonts w:ascii="Times New Roman" w:hAnsi="Times New Roman"/>
        </w:rPr>
        <w:t>d</w:t>
      </w:r>
      <w:r w:rsidR="0038747C" w:rsidRPr="00146A17">
        <w:rPr>
          <w:rFonts w:ascii="Times New Roman" w:hAnsi="Times New Roman"/>
        </w:rPr>
        <w:t xml:space="preserve"> that</w:t>
      </w:r>
      <w:r w:rsidR="00AC6770" w:rsidRPr="00146A17">
        <w:rPr>
          <w:rFonts w:ascii="Times New Roman" w:hAnsi="Times New Roman"/>
        </w:rPr>
        <w:t xml:space="preserve"> (a) neither Wamjay </w:t>
      </w:r>
      <w:r w:rsidR="00B24DBB" w:rsidRPr="00146A17">
        <w:rPr>
          <w:rFonts w:ascii="Times New Roman" w:hAnsi="Times New Roman"/>
        </w:rPr>
        <w:t>n</w:t>
      </w:r>
      <w:r w:rsidR="00AC6770" w:rsidRPr="00146A17">
        <w:rPr>
          <w:rFonts w:ascii="Times New Roman" w:hAnsi="Times New Roman"/>
        </w:rPr>
        <w:t>or ATS is now in possession of the premises (b) ATS is, however, in possession of the R6.5 million</w:t>
      </w:r>
      <w:r w:rsidR="00A80FF5" w:rsidRPr="00146A17">
        <w:rPr>
          <w:rFonts w:ascii="Times New Roman" w:hAnsi="Times New Roman"/>
        </w:rPr>
        <w:t>. It ma</w:t>
      </w:r>
      <w:r w:rsidR="005076E5">
        <w:rPr>
          <w:rFonts w:ascii="Times New Roman" w:hAnsi="Times New Roman"/>
        </w:rPr>
        <w:t>de</w:t>
      </w:r>
      <w:r w:rsidR="00A80FF5" w:rsidRPr="00146A17">
        <w:rPr>
          <w:rFonts w:ascii="Times New Roman" w:hAnsi="Times New Roman"/>
        </w:rPr>
        <w:t xml:space="preserve"> these allegations as part of making out its cause of action. In response to these two allegations, ATS says </w:t>
      </w:r>
      <w:r w:rsidR="009E3FE7" w:rsidRPr="00146A17">
        <w:rPr>
          <w:rFonts w:ascii="Times New Roman" w:hAnsi="Times New Roman"/>
        </w:rPr>
        <w:t>that it denies “that [ATS] is still in possession of the money</w:t>
      </w:r>
      <w:r w:rsidR="00E019FF" w:rsidRPr="00146A17">
        <w:rPr>
          <w:rFonts w:ascii="Times New Roman" w:hAnsi="Times New Roman"/>
        </w:rPr>
        <w:t>”.</w:t>
      </w:r>
      <w:r w:rsidR="00B24DBB" w:rsidRPr="00146A17">
        <w:rPr>
          <w:rFonts w:ascii="Times New Roman" w:hAnsi="Times New Roman"/>
        </w:rPr>
        <w:t xml:space="preserve"> </w:t>
      </w:r>
    </w:p>
    <w:p w14:paraId="4B5629A4" w14:textId="130DFC75" w:rsidR="00A51910" w:rsidRPr="00146A17" w:rsidRDefault="00843CD7" w:rsidP="00843CD7">
      <w:pPr>
        <w:pStyle w:val="WLGLevel3"/>
        <w:numPr>
          <w:ilvl w:val="0"/>
          <w:numId w:val="0"/>
        </w:numPr>
        <w:tabs>
          <w:tab w:val="left" w:pos="2381"/>
        </w:tabs>
        <w:ind w:left="2382" w:hanging="1021"/>
        <w:rPr>
          <w:rFonts w:ascii="Times New Roman" w:hAnsi="Times New Roman"/>
        </w:rPr>
      </w:pPr>
      <w:r w:rsidRPr="00146A17">
        <w:rPr>
          <w:rFonts w:ascii="Times New Roman" w:hAnsi="Times New Roman"/>
        </w:rPr>
        <w:t>7.3.2</w:t>
      </w:r>
      <w:r w:rsidRPr="00146A17">
        <w:rPr>
          <w:rFonts w:ascii="Times New Roman" w:hAnsi="Times New Roman"/>
        </w:rPr>
        <w:tab/>
      </w:r>
      <w:r w:rsidR="00B24DBB" w:rsidRPr="00146A17">
        <w:rPr>
          <w:rFonts w:ascii="Times New Roman" w:hAnsi="Times New Roman"/>
        </w:rPr>
        <w:t>Wamja</w:t>
      </w:r>
      <w:r w:rsidR="00185BC2" w:rsidRPr="00146A17">
        <w:rPr>
          <w:rFonts w:ascii="Times New Roman" w:hAnsi="Times New Roman"/>
        </w:rPr>
        <w:t xml:space="preserve">y </w:t>
      </w:r>
      <w:r w:rsidR="005076E5">
        <w:rPr>
          <w:rFonts w:ascii="Times New Roman" w:hAnsi="Times New Roman"/>
        </w:rPr>
        <w:t>said</w:t>
      </w:r>
      <w:r w:rsidR="00185BC2" w:rsidRPr="00146A17">
        <w:rPr>
          <w:rFonts w:ascii="Times New Roman" w:hAnsi="Times New Roman"/>
        </w:rPr>
        <w:t xml:space="preserve"> in its founding affidavit that ATS is unable to perform in terms of the invalid agreement </w:t>
      </w:r>
      <w:r w:rsidR="001304FA" w:rsidRPr="00146A17">
        <w:rPr>
          <w:rFonts w:ascii="Times New Roman" w:hAnsi="Times New Roman"/>
        </w:rPr>
        <w:t xml:space="preserve">but has retained Wamjay’s R6.5 million. </w:t>
      </w:r>
      <w:r w:rsidR="00B24DBB" w:rsidRPr="00146A17">
        <w:rPr>
          <w:rFonts w:ascii="Times New Roman" w:hAnsi="Times New Roman"/>
        </w:rPr>
        <w:t>In response to</w:t>
      </w:r>
      <w:r w:rsidR="001304FA" w:rsidRPr="00146A17">
        <w:rPr>
          <w:rFonts w:ascii="Times New Roman" w:hAnsi="Times New Roman"/>
        </w:rPr>
        <w:t xml:space="preserve"> these allegations, ATS says that </w:t>
      </w:r>
      <w:r w:rsidR="00FA1E14" w:rsidRPr="00146A17">
        <w:rPr>
          <w:rFonts w:ascii="Times New Roman" w:hAnsi="Times New Roman"/>
        </w:rPr>
        <w:t xml:space="preserve">it “did not </w:t>
      </w:r>
      <w:r w:rsidR="00FA1E14" w:rsidRPr="00146A17">
        <w:rPr>
          <w:rFonts w:ascii="Times New Roman" w:hAnsi="Times New Roman"/>
        </w:rPr>
        <w:lastRenderedPageBreak/>
        <w:t>retain the money pending the outcome of the various legal matters referred to above” because it had “no legal obligation to do so”.</w:t>
      </w:r>
    </w:p>
    <w:p w14:paraId="5F7FDC26" w14:textId="711378CB" w:rsidR="00BE61ED" w:rsidRPr="00146A17" w:rsidRDefault="00843CD7" w:rsidP="00843CD7">
      <w:pPr>
        <w:pStyle w:val="WLGLevel3"/>
        <w:numPr>
          <w:ilvl w:val="0"/>
          <w:numId w:val="0"/>
        </w:numPr>
        <w:tabs>
          <w:tab w:val="left" w:pos="2381"/>
        </w:tabs>
        <w:ind w:left="2382" w:hanging="1021"/>
        <w:rPr>
          <w:rFonts w:ascii="Times New Roman" w:hAnsi="Times New Roman"/>
        </w:rPr>
      </w:pPr>
      <w:r w:rsidRPr="00146A17">
        <w:rPr>
          <w:rFonts w:ascii="Times New Roman" w:hAnsi="Times New Roman"/>
        </w:rPr>
        <w:t>7.3.3</w:t>
      </w:r>
      <w:r w:rsidRPr="00146A17">
        <w:rPr>
          <w:rFonts w:ascii="Times New Roman" w:hAnsi="Times New Roman"/>
        </w:rPr>
        <w:tab/>
      </w:r>
      <w:r w:rsidR="005A7A1A" w:rsidRPr="00146A17">
        <w:rPr>
          <w:rFonts w:ascii="Times New Roman" w:hAnsi="Times New Roman"/>
        </w:rPr>
        <w:t>I have referred, in my explanation of Wamjay’s pleaded case, to its contention</w:t>
      </w:r>
      <w:r w:rsidR="00C35EA0" w:rsidRPr="00146A17">
        <w:rPr>
          <w:rFonts w:ascii="Times New Roman" w:hAnsi="Times New Roman"/>
        </w:rPr>
        <w:t>s</w:t>
      </w:r>
      <w:r w:rsidR="005A7A1A" w:rsidRPr="00146A17">
        <w:rPr>
          <w:rFonts w:ascii="Times New Roman" w:hAnsi="Times New Roman"/>
        </w:rPr>
        <w:t xml:space="preserve"> that </w:t>
      </w:r>
      <w:r w:rsidR="00C35EA0" w:rsidRPr="00146A17">
        <w:rPr>
          <w:rFonts w:ascii="Times New Roman" w:hAnsi="Times New Roman"/>
        </w:rPr>
        <w:t>(a) ATS was wrong to describe its obligation to Wamjay as merely a moral o</w:t>
      </w:r>
      <w:r w:rsidR="00B0400D" w:rsidRPr="00146A17">
        <w:rPr>
          <w:rFonts w:ascii="Times New Roman" w:hAnsi="Times New Roman"/>
        </w:rPr>
        <w:t>b</w:t>
      </w:r>
      <w:r w:rsidR="00C35EA0" w:rsidRPr="00146A17">
        <w:rPr>
          <w:rFonts w:ascii="Times New Roman" w:hAnsi="Times New Roman"/>
        </w:rPr>
        <w:t xml:space="preserve">ligation and (b) </w:t>
      </w:r>
      <w:r w:rsidR="005A7A1A" w:rsidRPr="00146A17">
        <w:rPr>
          <w:rFonts w:ascii="Times New Roman" w:hAnsi="Times New Roman"/>
        </w:rPr>
        <w:t xml:space="preserve">ATS should have made a plan, out of caution, to enable it to refund the R6.5 million if this became necessary (see paragraph </w:t>
      </w:r>
      <w:r w:rsidR="00F56322" w:rsidRPr="00146A17">
        <w:rPr>
          <w:rFonts w:ascii="Times New Roman" w:hAnsi="Times New Roman"/>
        </w:rPr>
        <w:fldChar w:fldCharType="begin"/>
      </w:r>
      <w:r w:rsidR="00F56322" w:rsidRPr="00146A17">
        <w:rPr>
          <w:rFonts w:ascii="Times New Roman" w:hAnsi="Times New Roman"/>
        </w:rPr>
        <w:instrText xml:space="preserve"> REF _Ref146440123 \r \h </w:instrText>
      </w:r>
      <w:r w:rsidR="00146A17">
        <w:rPr>
          <w:rFonts w:ascii="Times New Roman" w:hAnsi="Times New Roman"/>
        </w:rPr>
        <w:instrText xml:space="preserve"> \* MERGEFORMAT </w:instrText>
      </w:r>
      <w:r w:rsidR="00F56322" w:rsidRPr="00146A17">
        <w:rPr>
          <w:rFonts w:ascii="Times New Roman" w:hAnsi="Times New Roman"/>
        </w:rPr>
      </w:r>
      <w:r w:rsidR="00F56322" w:rsidRPr="00146A17">
        <w:rPr>
          <w:rFonts w:ascii="Times New Roman" w:hAnsi="Times New Roman"/>
        </w:rPr>
        <w:fldChar w:fldCharType="separate"/>
      </w:r>
      <w:r w:rsidR="00C705A3">
        <w:rPr>
          <w:rFonts w:ascii="Times New Roman" w:hAnsi="Times New Roman"/>
        </w:rPr>
        <w:t>6.3</w:t>
      </w:r>
      <w:r w:rsidR="00F56322" w:rsidRPr="00146A17">
        <w:rPr>
          <w:rFonts w:ascii="Times New Roman" w:hAnsi="Times New Roman"/>
        </w:rPr>
        <w:fldChar w:fldCharType="end"/>
      </w:r>
      <w:r w:rsidR="005A7A1A" w:rsidRPr="00146A17">
        <w:rPr>
          <w:rFonts w:ascii="Times New Roman" w:hAnsi="Times New Roman"/>
        </w:rPr>
        <w:t xml:space="preserve"> above). In </w:t>
      </w:r>
      <w:r w:rsidR="00C35EA0" w:rsidRPr="00146A17">
        <w:rPr>
          <w:rFonts w:ascii="Times New Roman" w:hAnsi="Times New Roman"/>
        </w:rPr>
        <w:t>the answering affidavit</w:t>
      </w:r>
      <w:r w:rsidR="005A7A1A" w:rsidRPr="00146A17">
        <w:rPr>
          <w:rFonts w:ascii="Times New Roman" w:hAnsi="Times New Roman"/>
        </w:rPr>
        <w:t xml:space="preserve">, ATS </w:t>
      </w:r>
      <w:r w:rsidR="00C35EA0" w:rsidRPr="00146A17">
        <w:rPr>
          <w:rFonts w:ascii="Times New Roman" w:hAnsi="Times New Roman"/>
        </w:rPr>
        <w:t xml:space="preserve">addresses these allegations together. It says that </w:t>
      </w:r>
      <w:r w:rsidR="00615F37" w:rsidRPr="00146A17">
        <w:rPr>
          <w:rFonts w:ascii="Times New Roman" w:hAnsi="Times New Roman"/>
        </w:rPr>
        <w:t>it was correct to deny a legal obligat</w:t>
      </w:r>
      <w:r w:rsidR="00F56322" w:rsidRPr="00146A17">
        <w:rPr>
          <w:rFonts w:ascii="Times New Roman" w:hAnsi="Times New Roman"/>
        </w:rPr>
        <w:t>i</w:t>
      </w:r>
      <w:r w:rsidR="00615F37" w:rsidRPr="00146A17">
        <w:rPr>
          <w:rFonts w:ascii="Times New Roman" w:hAnsi="Times New Roman"/>
        </w:rPr>
        <w:t>on to refund Wamjay and that, in any event, by the time at which the correspondence about moral versus legal obligations was exchanged, Wamjay’s claim had already prescribed. It then says that the “remaining allegations contained herein are denied”.</w:t>
      </w:r>
    </w:p>
    <w:p w14:paraId="61D1FD0B" w14:textId="6C5E19DF" w:rsidR="00E203C8" w:rsidRPr="00146A17" w:rsidRDefault="00843CD7" w:rsidP="00843CD7">
      <w:pPr>
        <w:pStyle w:val="WLGLevel3"/>
        <w:numPr>
          <w:ilvl w:val="0"/>
          <w:numId w:val="0"/>
        </w:numPr>
        <w:tabs>
          <w:tab w:val="left" w:pos="2381"/>
        </w:tabs>
        <w:ind w:left="2382" w:hanging="1021"/>
        <w:rPr>
          <w:rFonts w:ascii="Times New Roman" w:hAnsi="Times New Roman"/>
        </w:rPr>
      </w:pPr>
      <w:r w:rsidRPr="00146A17">
        <w:rPr>
          <w:rFonts w:ascii="Times New Roman" w:hAnsi="Times New Roman"/>
        </w:rPr>
        <w:t>7.3.4</w:t>
      </w:r>
      <w:r w:rsidRPr="00146A17">
        <w:rPr>
          <w:rFonts w:ascii="Times New Roman" w:hAnsi="Times New Roman"/>
        </w:rPr>
        <w:tab/>
      </w:r>
      <w:r w:rsidR="00E203C8" w:rsidRPr="00146A17">
        <w:rPr>
          <w:rFonts w:ascii="Times New Roman" w:hAnsi="Times New Roman"/>
        </w:rPr>
        <w:t>In the founding affidavit, Wamjay plead</w:t>
      </w:r>
      <w:r w:rsidR="00432160">
        <w:rPr>
          <w:rFonts w:ascii="Times New Roman" w:hAnsi="Times New Roman"/>
        </w:rPr>
        <w:t>ed</w:t>
      </w:r>
      <w:r w:rsidR="00E203C8" w:rsidRPr="00146A17">
        <w:rPr>
          <w:rFonts w:ascii="Times New Roman" w:hAnsi="Times New Roman"/>
        </w:rPr>
        <w:t xml:space="preserve"> that </w:t>
      </w:r>
      <w:r w:rsidR="006772AC" w:rsidRPr="00146A17">
        <w:rPr>
          <w:rFonts w:ascii="Times New Roman" w:hAnsi="Times New Roman"/>
        </w:rPr>
        <w:t xml:space="preserve">ATS “has plainly been enriched by the sum of R6 500 000.00, and [Wamjay] impoverished”. In response to this, ATS says that </w:t>
      </w:r>
      <w:r w:rsidR="00664ED9" w:rsidRPr="00146A17">
        <w:rPr>
          <w:rFonts w:ascii="Times New Roman" w:hAnsi="Times New Roman"/>
        </w:rPr>
        <w:t>Wamjay made payment to ATS “in terms of an invalid and illegal agreement”. It says that Wamjay “provides no facts or circumstance</w:t>
      </w:r>
      <w:r w:rsidR="000E2B24" w:rsidRPr="00146A17">
        <w:rPr>
          <w:rFonts w:ascii="Times New Roman" w:hAnsi="Times New Roman"/>
        </w:rPr>
        <w:t>s</w:t>
      </w:r>
      <w:r w:rsidR="00664ED9" w:rsidRPr="00146A17">
        <w:rPr>
          <w:rFonts w:ascii="Times New Roman" w:hAnsi="Times New Roman"/>
        </w:rPr>
        <w:t xml:space="preserve"> in the founding affidavit, justifying restitution” and then reiterates that, in its view, the claim has in any event prescribed.</w:t>
      </w:r>
    </w:p>
    <w:p w14:paraId="07874848" w14:textId="08D6809B" w:rsidR="00405DFD" w:rsidRPr="00146A17" w:rsidRDefault="00843CD7" w:rsidP="00843CD7">
      <w:pPr>
        <w:pStyle w:val="WLGLevel1"/>
        <w:numPr>
          <w:ilvl w:val="0"/>
          <w:numId w:val="0"/>
        </w:numPr>
        <w:tabs>
          <w:tab w:val="left" w:pos="567"/>
        </w:tabs>
        <w:ind w:left="562" w:hanging="562"/>
        <w:rPr>
          <w:rFonts w:ascii="Times New Roman" w:hAnsi="Times New Roman"/>
        </w:rPr>
      </w:pPr>
      <w:bookmarkStart w:id="1" w:name="_Ref147042192"/>
      <w:r w:rsidRPr="00146A17">
        <w:rPr>
          <w:rFonts w:ascii="Times New Roman" w:hAnsi="Times New Roman"/>
        </w:rPr>
        <w:t>8</w:t>
      </w:r>
      <w:r w:rsidRPr="00146A17">
        <w:rPr>
          <w:rFonts w:ascii="Times New Roman" w:hAnsi="Times New Roman"/>
        </w:rPr>
        <w:tab/>
      </w:r>
      <w:r w:rsidR="00FF4761" w:rsidRPr="00146A17">
        <w:rPr>
          <w:rFonts w:ascii="Times New Roman" w:hAnsi="Times New Roman"/>
        </w:rPr>
        <w:t xml:space="preserve">I have explained above that Wamjay foreshadowed the possibility of ATS raising a prescription defence in its founding affidavit but did not expressly address the issue. It was entitled, indeed wise, not to do so because prescription must be pleaded as </w:t>
      </w:r>
      <w:r w:rsidR="000E2B24" w:rsidRPr="00146A17">
        <w:rPr>
          <w:rFonts w:ascii="Times New Roman" w:hAnsi="Times New Roman"/>
        </w:rPr>
        <w:t xml:space="preserve">a </w:t>
      </w:r>
      <w:r w:rsidR="00FF4761" w:rsidRPr="00146A17">
        <w:rPr>
          <w:rFonts w:ascii="Times New Roman" w:hAnsi="Times New Roman"/>
        </w:rPr>
        <w:t xml:space="preserve">defence </w:t>
      </w:r>
      <w:r w:rsidR="00FF4761" w:rsidRPr="00146A17">
        <w:rPr>
          <w:rFonts w:ascii="Times New Roman" w:hAnsi="Times New Roman"/>
        </w:rPr>
        <w:lastRenderedPageBreak/>
        <w:t>and does not arise unless pleaded.</w:t>
      </w:r>
      <w:r w:rsidR="00FF4761" w:rsidRPr="00146A17">
        <w:rPr>
          <w:rStyle w:val="FootnoteReference"/>
          <w:rFonts w:ascii="Times New Roman" w:hAnsi="Times New Roman"/>
        </w:rPr>
        <w:footnoteReference w:id="3"/>
      </w:r>
      <w:r w:rsidR="009B275B" w:rsidRPr="00146A17">
        <w:rPr>
          <w:rFonts w:ascii="Times New Roman" w:hAnsi="Times New Roman"/>
        </w:rPr>
        <w:t xml:space="preserve"> </w:t>
      </w:r>
      <w:r w:rsidR="00A21F3B">
        <w:rPr>
          <w:rFonts w:ascii="Times New Roman" w:hAnsi="Times New Roman"/>
        </w:rPr>
        <w:t>Wamjay</w:t>
      </w:r>
      <w:r w:rsidR="009B275B" w:rsidRPr="00146A17">
        <w:rPr>
          <w:rFonts w:ascii="Times New Roman" w:hAnsi="Times New Roman"/>
        </w:rPr>
        <w:t xml:space="preserve"> was entitled, as it did, to address the issue in its replying affidavit. In that affidavit, it </w:t>
      </w:r>
      <w:r w:rsidR="007E3D66" w:rsidRPr="00146A17">
        <w:rPr>
          <w:rFonts w:ascii="Times New Roman" w:hAnsi="Times New Roman"/>
        </w:rPr>
        <w:t>said</w:t>
      </w:r>
      <w:r w:rsidR="009B275B" w:rsidRPr="00146A17">
        <w:rPr>
          <w:rFonts w:ascii="Times New Roman" w:hAnsi="Times New Roman"/>
        </w:rPr>
        <w:t xml:space="preserve"> the following:</w:t>
      </w:r>
      <w:bookmarkEnd w:id="1"/>
    </w:p>
    <w:p w14:paraId="0BF6F8C7" w14:textId="09331C6F" w:rsidR="009B275B"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8.1</w:t>
      </w:r>
      <w:r w:rsidRPr="00146A17">
        <w:rPr>
          <w:rFonts w:ascii="Times New Roman" w:hAnsi="Times New Roman"/>
        </w:rPr>
        <w:tab/>
      </w:r>
      <w:r w:rsidR="00261A84" w:rsidRPr="00146A17">
        <w:rPr>
          <w:rFonts w:ascii="Times New Roman" w:hAnsi="Times New Roman"/>
        </w:rPr>
        <w:t xml:space="preserve">ATS’s decision to plead prescription is </w:t>
      </w:r>
      <w:r w:rsidR="00A83860" w:rsidRPr="00146A17">
        <w:rPr>
          <w:rFonts w:ascii="Times New Roman" w:hAnsi="Times New Roman"/>
        </w:rPr>
        <w:t>remarkable because from October 2012 to June 2021 ATS and Wamjay</w:t>
      </w:r>
      <w:r w:rsidR="0041592C">
        <w:rPr>
          <w:rFonts w:ascii="Times New Roman" w:hAnsi="Times New Roman"/>
        </w:rPr>
        <w:t>,</w:t>
      </w:r>
      <w:r w:rsidR="00A83860" w:rsidRPr="00146A17">
        <w:rPr>
          <w:rFonts w:ascii="Times New Roman" w:hAnsi="Times New Roman"/>
        </w:rPr>
        <w:t xml:space="preserve"> “acting in lockstep”</w:t>
      </w:r>
      <w:r w:rsidR="0041592C">
        <w:rPr>
          <w:rFonts w:ascii="Times New Roman" w:hAnsi="Times New Roman"/>
        </w:rPr>
        <w:t>,</w:t>
      </w:r>
      <w:r w:rsidR="00A83860" w:rsidRPr="00146A17">
        <w:rPr>
          <w:rFonts w:ascii="Times New Roman" w:hAnsi="Times New Roman"/>
        </w:rPr>
        <w:t xml:space="preserve"> challenged the lawfulness of the University’s cancellation.</w:t>
      </w:r>
    </w:p>
    <w:p w14:paraId="1C969B60" w14:textId="340D9C54" w:rsidR="00A83860"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8.2</w:t>
      </w:r>
      <w:r w:rsidRPr="00146A17">
        <w:rPr>
          <w:rFonts w:ascii="Times New Roman" w:hAnsi="Times New Roman"/>
        </w:rPr>
        <w:tab/>
      </w:r>
      <w:r w:rsidR="0088655F" w:rsidRPr="00146A17">
        <w:rPr>
          <w:rFonts w:ascii="Times New Roman" w:hAnsi="Times New Roman"/>
        </w:rPr>
        <w:t xml:space="preserve">The fact that the cession agreement “had become inoperable” was only known to both parties when the Constitutional Court judgment was handed down. This is because, before that date, both parties held the view that the University’s </w:t>
      </w:r>
      <w:r w:rsidR="006C23F3" w:rsidRPr="00146A17">
        <w:rPr>
          <w:rFonts w:ascii="Times New Roman" w:hAnsi="Times New Roman"/>
        </w:rPr>
        <w:t>cancellation was unlawful. As evidence of this, Wamjay points to the plea which was jointly filed by ATS and Wamjay in response to the University’s claim (ie, the claim for cancellation and ejectment which was upheld by Victor J)</w:t>
      </w:r>
      <w:r w:rsidR="00443A9E" w:rsidRPr="00146A17">
        <w:rPr>
          <w:rFonts w:ascii="Times New Roman" w:hAnsi="Times New Roman"/>
        </w:rPr>
        <w:t xml:space="preserve"> in which both ATS and Wamjay pleaded that the University’s cancellation was invalid.</w:t>
      </w:r>
      <w:r w:rsidR="009B3FBB" w:rsidRPr="00146A17">
        <w:rPr>
          <w:rFonts w:ascii="Times New Roman" w:hAnsi="Times New Roman"/>
        </w:rPr>
        <w:t xml:space="preserve"> Wamjay also relies on particulars of claim, again filed jointly on behalf of Wam</w:t>
      </w:r>
      <w:r w:rsidR="00686F05" w:rsidRPr="00146A17">
        <w:rPr>
          <w:rFonts w:ascii="Times New Roman" w:hAnsi="Times New Roman"/>
        </w:rPr>
        <w:t>j</w:t>
      </w:r>
      <w:r w:rsidR="009B3FBB" w:rsidRPr="00146A17">
        <w:rPr>
          <w:rFonts w:ascii="Times New Roman" w:hAnsi="Times New Roman"/>
        </w:rPr>
        <w:t>a</w:t>
      </w:r>
      <w:r w:rsidR="00686F05" w:rsidRPr="00146A17">
        <w:rPr>
          <w:rFonts w:ascii="Times New Roman" w:hAnsi="Times New Roman"/>
        </w:rPr>
        <w:t>y</w:t>
      </w:r>
      <w:r w:rsidR="009B3FBB" w:rsidRPr="00146A17">
        <w:rPr>
          <w:rFonts w:ascii="Times New Roman" w:hAnsi="Times New Roman"/>
        </w:rPr>
        <w:t xml:space="preserve"> and ATS in a counterclaim in the same proceedings</w:t>
      </w:r>
      <w:r w:rsidR="002E389F" w:rsidRPr="00146A17">
        <w:rPr>
          <w:rFonts w:ascii="Times New Roman" w:hAnsi="Times New Roman"/>
        </w:rPr>
        <w:t>,</w:t>
      </w:r>
      <w:r w:rsidR="005A0848" w:rsidRPr="00146A17">
        <w:rPr>
          <w:rFonts w:ascii="Times New Roman" w:hAnsi="Times New Roman"/>
        </w:rPr>
        <w:t xml:space="preserve"> in which Wamjay and ATS sought a declaratory order that (a) the long lease between the University and ATS remained valid and (b) the cession agreement between Wamjay and ATS remained valid.</w:t>
      </w:r>
    </w:p>
    <w:p w14:paraId="120E1304" w14:textId="28829151" w:rsidR="005A0848"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8.3</w:t>
      </w:r>
      <w:r w:rsidRPr="00146A17">
        <w:rPr>
          <w:rFonts w:ascii="Times New Roman" w:hAnsi="Times New Roman"/>
        </w:rPr>
        <w:tab/>
      </w:r>
      <w:r w:rsidR="00C766E1" w:rsidRPr="00146A17">
        <w:rPr>
          <w:rFonts w:ascii="Times New Roman" w:hAnsi="Times New Roman"/>
        </w:rPr>
        <w:t xml:space="preserve">Wamjay then refers to the fact that, even after Victor J handed down her judgment, both Wamjay and ATS took the view that the University’s position was wrong, which is what motivated their joint appeal to a full bench of this division and, thereafter, to the SCA. </w:t>
      </w:r>
      <w:r w:rsidR="00CA0307" w:rsidRPr="00146A17">
        <w:rPr>
          <w:rFonts w:ascii="Times New Roman" w:hAnsi="Times New Roman"/>
        </w:rPr>
        <w:t>It</w:t>
      </w:r>
      <w:r w:rsidR="00C766E1" w:rsidRPr="00146A17">
        <w:rPr>
          <w:rFonts w:ascii="Times New Roman" w:hAnsi="Times New Roman"/>
        </w:rPr>
        <w:t xml:space="preserve"> refer</w:t>
      </w:r>
      <w:r w:rsidR="00CA0307" w:rsidRPr="00146A17">
        <w:rPr>
          <w:rFonts w:ascii="Times New Roman" w:hAnsi="Times New Roman"/>
        </w:rPr>
        <w:t>s</w:t>
      </w:r>
      <w:r w:rsidR="00C766E1" w:rsidRPr="00146A17">
        <w:rPr>
          <w:rFonts w:ascii="Times New Roman" w:hAnsi="Times New Roman"/>
        </w:rPr>
        <w:t xml:space="preserve"> to the answering affidavit in the </w:t>
      </w:r>
      <w:r w:rsidR="00C766E1" w:rsidRPr="00146A17">
        <w:rPr>
          <w:rFonts w:ascii="Times New Roman" w:hAnsi="Times New Roman"/>
        </w:rPr>
        <w:lastRenderedPageBreak/>
        <w:t>application for leave to appeal to the Constitutional Court</w:t>
      </w:r>
      <w:r w:rsidR="00EE1347" w:rsidRPr="00146A17">
        <w:rPr>
          <w:rFonts w:ascii="Times New Roman" w:hAnsi="Times New Roman"/>
        </w:rPr>
        <w:t>, filed jointly on behalf of Wamjay and ATS, in which the deponent (the representative of ATS, who also deposed to its answering affidavit in the litigation before me)</w:t>
      </w:r>
      <w:r w:rsidR="00AE3D35" w:rsidRPr="00146A17">
        <w:rPr>
          <w:rFonts w:ascii="Times New Roman" w:hAnsi="Times New Roman"/>
        </w:rPr>
        <w:t xml:space="preserve"> said that the University was “incorrect” about the legal position </w:t>
      </w:r>
      <w:r w:rsidR="006D7FF0" w:rsidRPr="00146A17">
        <w:rPr>
          <w:rFonts w:ascii="Times New Roman" w:hAnsi="Times New Roman"/>
        </w:rPr>
        <w:t>which it thought justified its decision to cancel the long lease.</w:t>
      </w:r>
    </w:p>
    <w:p w14:paraId="45170BFB" w14:textId="3DA971E1" w:rsidR="00C60003"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8.4</w:t>
      </w:r>
      <w:r w:rsidRPr="00146A17">
        <w:rPr>
          <w:rFonts w:ascii="Times New Roman" w:hAnsi="Times New Roman"/>
        </w:rPr>
        <w:tab/>
      </w:r>
      <w:r w:rsidR="00C60003" w:rsidRPr="00146A17">
        <w:rPr>
          <w:rFonts w:ascii="Times New Roman" w:hAnsi="Times New Roman"/>
        </w:rPr>
        <w:t xml:space="preserve">Wamjay then says that these documents reveal that both ATS and Wamjay, acting together, </w:t>
      </w:r>
      <w:r w:rsidR="00D066C7" w:rsidRPr="00146A17">
        <w:rPr>
          <w:rFonts w:ascii="Times New Roman" w:hAnsi="Times New Roman"/>
        </w:rPr>
        <w:t>held the view that the cession agreement was operable and that they intended to perform in terms of it. Importantly, Wamjay then says that “[i]t also makes clear that if the Constitutional Court found that the Cession Agreement was inoperable, then Wamjay and ATS had agreed that Wamjay would rec</w:t>
      </w:r>
      <w:r w:rsidR="00F27ECA" w:rsidRPr="00146A17">
        <w:rPr>
          <w:rFonts w:ascii="Times New Roman" w:hAnsi="Times New Roman"/>
        </w:rPr>
        <w:t>laim the sum it paid”.</w:t>
      </w:r>
      <w:r w:rsidR="006E7904" w:rsidRPr="00146A17">
        <w:rPr>
          <w:rFonts w:ascii="Times New Roman" w:hAnsi="Times New Roman"/>
        </w:rPr>
        <w:t xml:space="preserve"> It says that this stance was “recapitulated” in the Constitutional Court’s decision – in paragraph 37 of the judgment, Khampepe J refers to </w:t>
      </w:r>
      <w:r w:rsidR="00386797" w:rsidRPr="00146A17">
        <w:rPr>
          <w:rFonts w:ascii="Times New Roman" w:hAnsi="Times New Roman"/>
        </w:rPr>
        <w:t xml:space="preserve">the fact that, in that Court, Wamjay and ATS submitted that “Wamjay would reclaim this amount if it were found that the rights </w:t>
      </w:r>
      <w:r w:rsidR="00486BC3" w:rsidRPr="00146A17">
        <w:rPr>
          <w:rFonts w:ascii="Times New Roman" w:hAnsi="Times New Roman"/>
        </w:rPr>
        <w:t xml:space="preserve">were incapable of cession, and this would prejudice ATS. Therefore, even if this Court finds the rights </w:t>
      </w:r>
      <w:r w:rsidR="00292733" w:rsidRPr="00146A17">
        <w:rPr>
          <w:rFonts w:ascii="Times New Roman" w:hAnsi="Times New Roman"/>
        </w:rPr>
        <w:t xml:space="preserve">to </w:t>
      </w:r>
      <w:r w:rsidR="00486602" w:rsidRPr="00146A17">
        <w:rPr>
          <w:rFonts w:ascii="Times New Roman" w:hAnsi="Times New Roman"/>
        </w:rPr>
        <w:t>have been personal to ATS, [the University] should be estopped from relying on this.”</w:t>
      </w:r>
    </w:p>
    <w:p w14:paraId="5825BDB9" w14:textId="56C42417" w:rsidR="009F3C71"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8.5</w:t>
      </w:r>
      <w:r w:rsidRPr="00146A17">
        <w:rPr>
          <w:rFonts w:ascii="Times New Roman" w:hAnsi="Times New Roman"/>
        </w:rPr>
        <w:tab/>
      </w:r>
      <w:r w:rsidR="009F3C71" w:rsidRPr="00146A17">
        <w:rPr>
          <w:rFonts w:ascii="Times New Roman" w:hAnsi="Times New Roman"/>
        </w:rPr>
        <w:t xml:space="preserve">Wamjay then says that the consequence of everything summarised above is that </w:t>
      </w:r>
      <w:r w:rsidR="00834319" w:rsidRPr="00146A17">
        <w:rPr>
          <w:rFonts w:ascii="Times New Roman" w:hAnsi="Times New Roman"/>
        </w:rPr>
        <w:t xml:space="preserve">the </w:t>
      </w:r>
      <w:r w:rsidR="00FE5983" w:rsidRPr="00146A17">
        <w:rPr>
          <w:rFonts w:ascii="Times New Roman" w:hAnsi="Times New Roman"/>
        </w:rPr>
        <w:t xml:space="preserve">inoperable nature of the cession agreement was only ascertained when the Constitutional Court handed down its judgment because, before then, </w:t>
      </w:r>
      <w:r w:rsidR="00DF2885" w:rsidRPr="00146A17">
        <w:rPr>
          <w:rFonts w:ascii="Times New Roman" w:hAnsi="Times New Roman"/>
        </w:rPr>
        <w:t xml:space="preserve">both parties held the view that the cession agreement was operable. Wajmay says that the </w:t>
      </w:r>
      <w:r w:rsidR="00295F0E" w:rsidRPr="00146A17">
        <w:rPr>
          <w:rFonts w:ascii="Times New Roman" w:hAnsi="Times New Roman"/>
        </w:rPr>
        <w:t>“operability” of the cession agreement was not a legal conclusion, but a fact which only “crystallised” once the Constitutional Court handed down its judgment.</w:t>
      </w:r>
      <w:r w:rsidR="00B51EBF" w:rsidRPr="00146A17">
        <w:rPr>
          <w:rFonts w:ascii="Times New Roman" w:hAnsi="Times New Roman"/>
        </w:rPr>
        <w:t xml:space="preserve"> It says that it “was only at this point that Wamjay’s cause of action </w:t>
      </w:r>
      <w:r w:rsidR="00B51EBF" w:rsidRPr="00146A17">
        <w:rPr>
          <w:rFonts w:ascii="Times New Roman" w:hAnsi="Times New Roman"/>
        </w:rPr>
        <w:lastRenderedPageBreak/>
        <w:t>against ATS became complete, because it was only on this date that the last of such facts [necessary to disclose a cause of action] occurred.</w:t>
      </w:r>
      <w:r w:rsidR="00912DA2" w:rsidRPr="00146A17">
        <w:rPr>
          <w:rFonts w:ascii="Times New Roman" w:hAnsi="Times New Roman"/>
        </w:rPr>
        <w:t>”</w:t>
      </w:r>
    </w:p>
    <w:p w14:paraId="3D3416B8" w14:textId="47490150" w:rsidR="00B357D5"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8.6</w:t>
      </w:r>
      <w:r w:rsidRPr="00146A17">
        <w:rPr>
          <w:rFonts w:ascii="Times New Roman" w:hAnsi="Times New Roman"/>
        </w:rPr>
        <w:tab/>
      </w:r>
      <w:r w:rsidR="000465E4" w:rsidRPr="00146A17">
        <w:rPr>
          <w:rFonts w:ascii="Times New Roman" w:hAnsi="Times New Roman"/>
        </w:rPr>
        <w:t xml:space="preserve">Also of importance, Wamjay says that, even if the </w:t>
      </w:r>
      <w:r w:rsidR="00FC7217" w:rsidRPr="00146A17">
        <w:rPr>
          <w:rFonts w:ascii="Times New Roman" w:hAnsi="Times New Roman"/>
        </w:rPr>
        <w:t>cession agreement had become inoperable before the Constitutional Court’s decision</w:t>
      </w:r>
      <w:r w:rsidR="00350DDA">
        <w:rPr>
          <w:rFonts w:ascii="Times New Roman" w:hAnsi="Times New Roman"/>
        </w:rPr>
        <w:t>:</w:t>
      </w:r>
      <w:r w:rsidR="00FC7217" w:rsidRPr="00146A17">
        <w:rPr>
          <w:rFonts w:ascii="Times New Roman" w:hAnsi="Times New Roman"/>
        </w:rPr>
        <w:t xml:space="preserve"> </w:t>
      </w:r>
    </w:p>
    <w:p w14:paraId="5762D4F6" w14:textId="20450EDB" w:rsidR="00912DA2" w:rsidRPr="00146A17" w:rsidRDefault="00FC7217" w:rsidP="00B357D5">
      <w:pPr>
        <w:pStyle w:val="BodyTextIndent3"/>
        <w:spacing w:line="240" w:lineRule="auto"/>
        <w:rPr>
          <w:rFonts w:ascii="Times New Roman" w:hAnsi="Times New Roman"/>
          <w:i/>
          <w:iCs/>
        </w:rPr>
      </w:pPr>
      <w:r w:rsidRPr="00146A17">
        <w:rPr>
          <w:rFonts w:ascii="Times New Roman" w:hAnsi="Times New Roman"/>
          <w:i/>
          <w:iCs/>
        </w:rPr>
        <w:t>“Wamjay did not know, or could not reasonably have know</w:t>
      </w:r>
      <w:r w:rsidR="002F0373" w:rsidRPr="00146A17">
        <w:rPr>
          <w:rFonts w:ascii="Times New Roman" w:hAnsi="Times New Roman"/>
          <w:i/>
          <w:iCs/>
        </w:rPr>
        <w:t>n</w:t>
      </w:r>
      <w:r w:rsidRPr="00146A17">
        <w:rPr>
          <w:rFonts w:ascii="Times New Roman" w:hAnsi="Times New Roman"/>
          <w:i/>
          <w:iCs/>
        </w:rPr>
        <w:t xml:space="preserve"> that this was the case, as both Wamjay and ATS – the parties to the Cession Agreement – implied through conduct (that b</w:t>
      </w:r>
      <w:r w:rsidR="002F0373" w:rsidRPr="00146A17">
        <w:rPr>
          <w:rFonts w:ascii="Times New Roman" w:hAnsi="Times New Roman"/>
          <w:i/>
          <w:iCs/>
        </w:rPr>
        <w:t>e</w:t>
      </w:r>
      <w:r w:rsidRPr="00146A17">
        <w:rPr>
          <w:rFonts w:ascii="Times New Roman" w:hAnsi="Times New Roman"/>
          <w:i/>
          <w:iCs/>
        </w:rPr>
        <w:t>in</w:t>
      </w:r>
      <w:r w:rsidR="002F0373" w:rsidRPr="00146A17">
        <w:rPr>
          <w:rFonts w:ascii="Times New Roman" w:hAnsi="Times New Roman"/>
          <w:i/>
          <w:iCs/>
        </w:rPr>
        <w:t>g</w:t>
      </w:r>
      <w:r w:rsidRPr="00146A17">
        <w:rPr>
          <w:rFonts w:ascii="Times New Roman" w:hAnsi="Times New Roman"/>
          <w:i/>
          <w:iCs/>
        </w:rPr>
        <w:t xml:space="preserve"> their joint position in the UJ litigation) that the Cession Agreement would only become </w:t>
      </w:r>
      <w:r w:rsidR="00DE65C6">
        <w:rPr>
          <w:rFonts w:ascii="Times New Roman" w:hAnsi="Times New Roman"/>
          <w:i/>
          <w:iCs/>
        </w:rPr>
        <w:t>in</w:t>
      </w:r>
      <w:r w:rsidRPr="00146A17">
        <w:rPr>
          <w:rFonts w:ascii="Times New Roman" w:hAnsi="Times New Roman"/>
          <w:i/>
          <w:iCs/>
        </w:rPr>
        <w:t>operable once the UJ litigation was finally decided. This is what sets this matter apart from typical adversarial litigation, where the two disputing parties adopt different stances”</w:t>
      </w:r>
      <w:r w:rsidR="00B357D5" w:rsidRPr="00146A17">
        <w:rPr>
          <w:rFonts w:ascii="Times New Roman" w:hAnsi="Times New Roman"/>
          <w:i/>
          <w:iCs/>
        </w:rPr>
        <w:t>.</w:t>
      </w:r>
    </w:p>
    <w:p w14:paraId="303B6B05" w14:textId="2D483C96" w:rsidR="00B357D5"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8.7</w:t>
      </w:r>
      <w:r w:rsidRPr="00146A17">
        <w:rPr>
          <w:rFonts w:ascii="Times New Roman" w:hAnsi="Times New Roman"/>
        </w:rPr>
        <w:tab/>
      </w:r>
      <w:r w:rsidR="00EF0A8E" w:rsidRPr="00146A17">
        <w:rPr>
          <w:rFonts w:ascii="Times New Roman" w:hAnsi="Times New Roman"/>
        </w:rPr>
        <w:t>Wamjay says that it, “acting reasonably”</w:t>
      </w:r>
      <w:r w:rsidR="007C0243" w:rsidRPr="00146A17">
        <w:rPr>
          <w:rFonts w:ascii="Times New Roman" w:hAnsi="Times New Roman"/>
        </w:rPr>
        <w:t>,</w:t>
      </w:r>
      <w:r w:rsidR="00EF0A8E" w:rsidRPr="00146A17">
        <w:rPr>
          <w:rFonts w:ascii="Times New Roman" w:hAnsi="Times New Roman"/>
        </w:rPr>
        <w:t xml:space="preserve"> would not have known that ATS viewed the cession agreement as being inoperable before the outcome of the litigation </w:t>
      </w:r>
      <w:r w:rsidR="00445137" w:rsidRPr="00146A17">
        <w:rPr>
          <w:rFonts w:ascii="Times New Roman" w:hAnsi="Times New Roman"/>
        </w:rPr>
        <w:t>“since ATS fought tooth-and-nail, alongside Wamjay, in disputing this fact from the High Court up until the Constitutional Court”</w:t>
      </w:r>
      <w:r w:rsidR="009C5861" w:rsidRPr="00146A17">
        <w:rPr>
          <w:rFonts w:ascii="Times New Roman" w:hAnsi="Times New Roman"/>
        </w:rPr>
        <w:t xml:space="preserve"> and that Wamjay therefore only “learned of its claim against ATS in June 2021, after the Constitutional Court’s judgment”.</w:t>
      </w:r>
    </w:p>
    <w:p w14:paraId="20B45FF5" w14:textId="7AD24C6B" w:rsidR="009C5861" w:rsidRPr="00146A17" w:rsidRDefault="00843CD7" w:rsidP="00843CD7">
      <w:pPr>
        <w:pStyle w:val="WLGLevel2"/>
        <w:numPr>
          <w:ilvl w:val="0"/>
          <w:numId w:val="0"/>
        </w:numPr>
        <w:tabs>
          <w:tab w:val="left" w:pos="1361"/>
        </w:tabs>
        <w:ind w:left="1361" w:hanging="794"/>
        <w:rPr>
          <w:rFonts w:ascii="Times New Roman" w:hAnsi="Times New Roman"/>
        </w:rPr>
      </w:pPr>
      <w:bookmarkStart w:id="2" w:name="_Ref147041531"/>
      <w:r w:rsidRPr="00146A17">
        <w:rPr>
          <w:rFonts w:ascii="Times New Roman" w:hAnsi="Times New Roman"/>
        </w:rPr>
        <w:t>8.8</w:t>
      </w:r>
      <w:r w:rsidRPr="00146A17">
        <w:rPr>
          <w:rFonts w:ascii="Times New Roman" w:hAnsi="Times New Roman"/>
        </w:rPr>
        <w:tab/>
      </w:r>
      <w:r w:rsidR="005F39FC" w:rsidRPr="00146A17">
        <w:rPr>
          <w:rFonts w:ascii="Times New Roman" w:hAnsi="Times New Roman"/>
        </w:rPr>
        <w:t xml:space="preserve">Wamjay </w:t>
      </w:r>
      <w:r w:rsidR="00B7436D" w:rsidRPr="00146A17">
        <w:rPr>
          <w:rFonts w:ascii="Times New Roman" w:hAnsi="Times New Roman"/>
        </w:rPr>
        <w:t>then</w:t>
      </w:r>
      <w:r w:rsidR="004761B6" w:rsidRPr="00146A17">
        <w:rPr>
          <w:rFonts w:ascii="Times New Roman" w:hAnsi="Times New Roman"/>
        </w:rPr>
        <w:t xml:space="preserve"> </w:t>
      </w:r>
      <w:r w:rsidR="005F39FC" w:rsidRPr="00146A17">
        <w:rPr>
          <w:rFonts w:ascii="Times New Roman" w:hAnsi="Times New Roman"/>
        </w:rPr>
        <w:t>adds further layers to its argument</w:t>
      </w:r>
      <w:r w:rsidR="00B7436D" w:rsidRPr="00146A17">
        <w:rPr>
          <w:rFonts w:ascii="Times New Roman" w:hAnsi="Times New Roman"/>
        </w:rPr>
        <w:t>s summarised above</w:t>
      </w:r>
      <w:r w:rsidR="005F39FC" w:rsidRPr="00146A17">
        <w:rPr>
          <w:rFonts w:ascii="Times New Roman" w:hAnsi="Times New Roman"/>
        </w:rPr>
        <w:t>.</w:t>
      </w:r>
      <w:bookmarkEnd w:id="2"/>
    </w:p>
    <w:p w14:paraId="134DB045" w14:textId="4032E043" w:rsidR="005F39FC" w:rsidRPr="00146A17" w:rsidRDefault="00843CD7" w:rsidP="00843CD7">
      <w:pPr>
        <w:pStyle w:val="WLGLevel3"/>
        <w:numPr>
          <w:ilvl w:val="0"/>
          <w:numId w:val="0"/>
        </w:numPr>
        <w:tabs>
          <w:tab w:val="left" w:pos="2381"/>
        </w:tabs>
        <w:ind w:left="2382" w:hanging="1021"/>
        <w:rPr>
          <w:rFonts w:ascii="Times New Roman" w:hAnsi="Times New Roman"/>
        </w:rPr>
      </w:pPr>
      <w:r w:rsidRPr="00146A17">
        <w:rPr>
          <w:rFonts w:ascii="Times New Roman" w:hAnsi="Times New Roman"/>
        </w:rPr>
        <w:t>8.8.1</w:t>
      </w:r>
      <w:r w:rsidRPr="00146A17">
        <w:rPr>
          <w:rFonts w:ascii="Times New Roman" w:hAnsi="Times New Roman"/>
        </w:rPr>
        <w:tab/>
      </w:r>
      <w:r w:rsidR="005F39FC" w:rsidRPr="00146A17">
        <w:rPr>
          <w:rFonts w:ascii="Times New Roman" w:hAnsi="Times New Roman"/>
        </w:rPr>
        <w:t xml:space="preserve">First, it says that, if this Court were to interpret section 12(3) of the Prescription Act </w:t>
      </w:r>
      <w:r w:rsidR="00C115EA">
        <w:rPr>
          <w:rFonts w:ascii="Times New Roman" w:hAnsi="Times New Roman"/>
        </w:rPr>
        <w:t>68 of 1969 (“</w:t>
      </w:r>
      <w:r w:rsidR="00C115EA" w:rsidRPr="00C115EA">
        <w:rPr>
          <w:rFonts w:ascii="Times New Roman" w:hAnsi="Times New Roman"/>
          <w:b/>
          <w:bCs/>
        </w:rPr>
        <w:t>the Prescription Act</w:t>
      </w:r>
      <w:r w:rsidR="00C115EA">
        <w:rPr>
          <w:rFonts w:ascii="Times New Roman" w:hAnsi="Times New Roman"/>
        </w:rPr>
        <w:t xml:space="preserve">”) </w:t>
      </w:r>
      <w:r w:rsidR="005F39FC" w:rsidRPr="00146A17">
        <w:rPr>
          <w:rFonts w:ascii="Times New Roman" w:hAnsi="Times New Roman"/>
        </w:rPr>
        <w:t xml:space="preserve">in a way which results in Wamjay’s claim having prescribed, </w:t>
      </w:r>
      <w:r w:rsidR="002D6224" w:rsidRPr="00146A17">
        <w:rPr>
          <w:rFonts w:ascii="Times New Roman" w:hAnsi="Times New Roman"/>
        </w:rPr>
        <w:t>“then the interpretation is unconstitutional because it limits Wamjay’s right of access to court under section 34 of the Constitution”.</w:t>
      </w:r>
    </w:p>
    <w:p w14:paraId="57EA2F68" w14:textId="1EBC7DCD" w:rsidR="002D6224" w:rsidRPr="00146A17" w:rsidRDefault="00843CD7" w:rsidP="00843CD7">
      <w:pPr>
        <w:pStyle w:val="WLGLevel3"/>
        <w:numPr>
          <w:ilvl w:val="0"/>
          <w:numId w:val="0"/>
        </w:numPr>
        <w:tabs>
          <w:tab w:val="left" w:pos="2381"/>
        </w:tabs>
        <w:ind w:left="2382" w:hanging="1021"/>
        <w:rPr>
          <w:rFonts w:ascii="Times New Roman" w:hAnsi="Times New Roman"/>
        </w:rPr>
      </w:pPr>
      <w:r w:rsidRPr="00146A17">
        <w:rPr>
          <w:rFonts w:ascii="Times New Roman" w:hAnsi="Times New Roman"/>
        </w:rPr>
        <w:t>8.8.2</w:t>
      </w:r>
      <w:r w:rsidRPr="00146A17">
        <w:rPr>
          <w:rFonts w:ascii="Times New Roman" w:hAnsi="Times New Roman"/>
        </w:rPr>
        <w:tab/>
      </w:r>
      <w:r w:rsidR="002D6224" w:rsidRPr="00146A17">
        <w:rPr>
          <w:rFonts w:ascii="Times New Roman" w:hAnsi="Times New Roman"/>
        </w:rPr>
        <w:t>Seco</w:t>
      </w:r>
      <w:r w:rsidR="00F9329A" w:rsidRPr="00146A17">
        <w:rPr>
          <w:rFonts w:ascii="Times New Roman" w:hAnsi="Times New Roman"/>
        </w:rPr>
        <w:t>n</w:t>
      </w:r>
      <w:r w:rsidR="002D6224" w:rsidRPr="00146A17">
        <w:rPr>
          <w:rFonts w:ascii="Times New Roman" w:hAnsi="Times New Roman"/>
        </w:rPr>
        <w:t>dly, it says that ATS’s submission before the Constitutional Court that, if the University’s position was vindicated, Wam</w:t>
      </w:r>
      <w:r w:rsidR="00F9329A" w:rsidRPr="00146A17">
        <w:rPr>
          <w:rFonts w:ascii="Times New Roman" w:hAnsi="Times New Roman"/>
        </w:rPr>
        <w:t xml:space="preserve">jay would </w:t>
      </w:r>
      <w:r w:rsidR="00F9329A" w:rsidRPr="00146A17">
        <w:rPr>
          <w:rFonts w:ascii="Times New Roman" w:hAnsi="Times New Roman"/>
        </w:rPr>
        <w:lastRenderedPageBreak/>
        <w:t>reclaim the R6.5 million “amounted to an interruption of the running of prescription”.</w:t>
      </w:r>
    </w:p>
    <w:p w14:paraId="5A36042D" w14:textId="67901D2F" w:rsidR="00F9329A" w:rsidRPr="00146A17" w:rsidRDefault="00843CD7" w:rsidP="00843CD7">
      <w:pPr>
        <w:pStyle w:val="WLGLevel3"/>
        <w:numPr>
          <w:ilvl w:val="0"/>
          <w:numId w:val="0"/>
        </w:numPr>
        <w:tabs>
          <w:tab w:val="left" w:pos="2381"/>
        </w:tabs>
        <w:ind w:left="2382" w:hanging="1021"/>
        <w:rPr>
          <w:rFonts w:ascii="Times New Roman" w:hAnsi="Times New Roman"/>
        </w:rPr>
      </w:pPr>
      <w:r w:rsidRPr="00146A17">
        <w:rPr>
          <w:rFonts w:ascii="Times New Roman" w:hAnsi="Times New Roman"/>
        </w:rPr>
        <w:t>8.8.3</w:t>
      </w:r>
      <w:r w:rsidRPr="00146A17">
        <w:rPr>
          <w:rFonts w:ascii="Times New Roman" w:hAnsi="Times New Roman"/>
        </w:rPr>
        <w:tab/>
      </w:r>
      <w:r w:rsidR="00F9329A" w:rsidRPr="00146A17">
        <w:rPr>
          <w:rFonts w:ascii="Times New Roman" w:hAnsi="Times New Roman"/>
        </w:rPr>
        <w:t xml:space="preserve">Thirdly, </w:t>
      </w:r>
      <w:r w:rsidR="00767DFE" w:rsidRPr="00146A17">
        <w:rPr>
          <w:rFonts w:ascii="Times New Roman" w:hAnsi="Times New Roman"/>
        </w:rPr>
        <w:t xml:space="preserve">it says that, if </w:t>
      </w:r>
      <w:r w:rsidR="00553A3A" w:rsidRPr="00146A17">
        <w:rPr>
          <w:rFonts w:ascii="Times New Roman" w:hAnsi="Times New Roman"/>
        </w:rPr>
        <w:t xml:space="preserve">this Court is against Wamjay on the issues summarised above, ATS is estopped from raising the plea of prescription because it represented to Wamjay </w:t>
      </w:r>
      <w:r w:rsidR="001B38FB" w:rsidRPr="00146A17">
        <w:rPr>
          <w:rFonts w:ascii="Times New Roman" w:hAnsi="Times New Roman"/>
        </w:rPr>
        <w:t>that it considered the cession agreement to be valid and Wamjay, in reliance on this representation, decided not to pursue a claim against ATS.</w:t>
      </w:r>
      <w:r w:rsidR="005C0A67" w:rsidRPr="00146A17">
        <w:rPr>
          <w:rFonts w:ascii="Times New Roman" w:hAnsi="Times New Roman"/>
        </w:rPr>
        <w:t xml:space="preserve"> It says that ATS’s attempt to recant the stance it took in the Constitutional Court – ie, that it would be prejudiced if the University’s claim was upheld because Wamjay would reclaim the money – shows that it is not acting in good faith. Wamjay says that this strengthens its estoppel argument</w:t>
      </w:r>
      <w:r w:rsidR="0056113C" w:rsidRPr="00146A17">
        <w:rPr>
          <w:rFonts w:ascii="Times New Roman" w:hAnsi="Times New Roman"/>
        </w:rPr>
        <w:t>, because estoppel is a “remedy of equity”.</w:t>
      </w:r>
    </w:p>
    <w:p w14:paraId="72851CFE" w14:textId="5AB186E0" w:rsidR="0056113C"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9</w:t>
      </w:r>
      <w:r w:rsidRPr="00146A17">
        <w:rPr>
          <w:rFonts w:ascii="Times New Roman" w:hAnsi="Times New Roman"/>
        </w:rPr>
        <w:tab/>
      </w:r>
      <w:r w:rsidR="00777C31" w:rsidRPr="00146A17">
        <w:rPr>
          <w:rFonts w:ascii="Times New Roman" w:hAnsi="Times New Roman"/>
        </w:rPr>
        <w:t>ATS did not seek leave to file a further affidavit to deal with any of the allegations summarised above. It chose instead to address them in argument.</w:t>
      </w:r>
      <w:r w:rsidR="001A1857" w:rsidRPr="00146A17">
        <w:rPr>
          <w:rFonts w:ascii="Times New Roman" w:hAnsi="Times New Roman"/>
        </w:rPr>
        <w:t xml:space="preserve"> It is the stance of the parties in argument to which I now turn.</w:t>
      </w:r>
      <w:r w:rsidR="00375D56" w:rsidRPr="00146A17">
        <w:rPr>
          <w:rFonts w:ascii="Times New Roman" w:hAnsi="Times New Roman"/>
        </w:rPr>
        <w:t xml:space="preserve"> In doing so, I hope to avoid a turgid recitation of what each party said in its heads of argument. Rather, I shall focus on ways in which the arguments summarised above </w:t>
      </w:r>
      <w:r w:rsidR="00C93A48" w:rsidRPr="00146A17">
        <w:rPr>
          <w:rFonts w:ascii="Times New Roman" w:hAnsi="Times New Roman"/>
        </w:rPr>
        <w:t>were presented differently – to the extent relevant – to what I have set out above.</w:t>
      </w:r>
    </w:p>
    <w:p w14:paraId="6D6822AB" w14:textId="526DD5D7" w:rsidR="00C93A48"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10</w:t>
      </w:r>
      <w:r w:rsidRPr="00146A17">
        <w:rPr>
          <w:rFonts w:ascii="Times New Roman" w:hAnsi="Times New Roman"/>
        </w:rPr>
        <w:tab/>
      </w:r>
      <w:r w:rsidR="00A10D32" w:rsidRPr="00146A17">
        <w:rPr>
          <w:rFonts w:ascii="Times New Roman" w:hAnsi="Times New Roman"/>
        </w:rPr>
        <w:t xml:space="preserve">In its heads of argument, Wamjay takes the stance that ATS’s only defence to </w:t>
      </w:r>
      <w:r w:rsidR="00F83732" w:rsidRPr="00146A17">
        <w:rPr>
          <w:rFonts w:ascii="Times New Roman" w:hAnsi="Times New Roman"/>
        </w:rPr>
        <w:t xml:space="preserve">the claim to the return of the funds is a defence of prescription. In other words, Wamjay interprets ATS’s stance as </w:t>
      </w:r>
      <w:r w:rsidR="00746576" w:rsidRPr="00146A17">
        <w:rPr>
          <w:rFonts w:ascii="Times New Roman" w:hAnsi="Times New Roman"/>
        </w:rPr>
        <w:t>disclosing no defence on the merits, if the prescription defence is dismissed. As I mention again below, this has some significance</w:t>
      </w:r>
      <w:r w:rsidR="003C2769" w:rsidRPr="00146A17">
        <w:rPr>
          <w:rFonts w:ascii="Times New Roman" w:hAnsi="Times New Roman"/>
        </w:rPr>
        <w:t>, particularly when it comes to the defence of non-enrichment</w:t>
      </w:r>
      <w:r w:rsidR="00746576" w:rsidRPr="00146A17">
        <w:rPr>
          <w:rFonts w:ascii="Times New Roman" w:hAnsi="Times New Roman"/>
        </w:rPr>
        <w:t xml:space="preserve">. </w:t>
      </w:r>
    </w:p>
    <w:p w14:paraId="1760681C" w14:textId="4A2CDD04" w:rsidR="00573231" w:rsidRPr="00146A17" w:rsidRDefault="00843CD7" w:rsidP="00843CD7">
      <w:pPr>
        <w:pStyle w:val="WLGLevel1"/>
        <w:numPr>
          <w:ilvl w:val="0"/>
          <w:numId w:val="0"/>
        </w:numPr>
        <w:tabs>
          <w:tab w:val="left" w:pos="567"/>
        </w:tabs>
        <w:ind w:left="562" w:hanging="562"/>
        <w:rPr>
          <w:rFonts w:ascii="Times New Roman" w:hAnsi="Times New Roman"/>
        </w:rPr>
      </w:pPr>
      <w:bookmarkStart w:id="3" w:name="_Ref147041821"/>
      <w:r w:rsidRPr="00146A17">
        <w:rPr>
          <w:rFonts w:ascii="Times New Roman" w:hAnsi="Times New Roman"/>
        </w:rPr>
        <w:lastRenderedPageBreak/>
        <w:t>11</w:t>
      </w:r>
      <w:r w:rsidRPr="00146A17">
        <w:rPr>
          <w:rFonts w:ascii="Times New Roman" w:hAnsi="Times New Roman"/>
        </w:rPr>
        <w:tab/>
      </w:r>
      <w:r w:rsidR="00573231" w:rsidRPr="00146A17">
        <w:rPr>
          <w:rFonts w:ascii="Times New Roman" w:hAnsi="Times New Roman"/>
        </w:rPr>
        <w:t xml:space="preserve">On the issue of prescription, </w:t>
      </w:r>
      <w:r w:rsidR="00C26332" w:rsidRPr="00146A17">
        <w:rPr>
          <w:rFonts w:ascii="Times New Roman" w:hAnsi="Times New Roman"/>
        </w:rPr>
        <w:t xml:space="preserve">Wamjay’s focus in its heads of argument is mainly (a) on its contention that </w:t>
      </w:r>
      <w:r w:rsidR="00A7023A" w:rsidRPr="00146A17">
        <w:rPr>
          <w:rFonts w:ascii="Times New Roman" w:hAnsi="Times New Roman"/>
        </w:rPr>
        <w:t xml:space="preserve">the University’s contestation of “a notarially registered long lease (which is a real right)” is a question of fact, not law and (b) </w:t>
      </w:r>
      <w:r w:rsidR="00A65499" w:rsidRPr="00146A17">
        <w:rPr>
          <w:rFonts w:ascii="Times New Roman" w:hAnsi="Times New Roman"/>
        </w:rPr>
        <w:t>until the regis</w:t>
      </w:r>
      <w:r w:rsidR="001812D4" w:rsidRPr="00146A17">
        <w:rPr>
          <w:rFonts w:ascii="Times New Roman" w:hAnsi="Times New Roman"/>
        </w:rPr>
        <w:t>t</w:t>
      </w:r>
      <w:r w:rsidR="00A65499" w:rsidRPr="00146A17">
        <w:rPr>
          <w:rFonts w:ascii="Times New Roman" w:hAnsi="Times New Roman"/>
        </w:rPr>
        <w:t>rat</w:t>
      </w:r>
      <w:r w:rsidR="001812D4" w:rsidRPr="00146A17">
        <w:rPr>
          <w:rFonts w:ascii="Times New Roman" w:hAnsi="Times New Roman"/>
        </w:rPr>
        <w:t>i</w:t>
      </w:r>
      <w:r w:rsidR="00A65499" w:rsidRPr="00146A17">
        <w:rPr>
          <w:rFonts w:ascii="Times New Roman" w:hAnsi="Times New Roman"/>
        </w:rPr>
        <w:t>on of the deed of cession was set aside by a court, ATS had no rights over the premises but Wamjay did. In other words</w:t>
      </w:r>
      <w:r w:rsidR="00992CDE" w:rsidRPr="00146A17">
        <w:rPr>
          <w:rFonts w:ascii="Times New Roman" w:hAnsi="Times New Roman"/>
        </w:rPr>
        <w:t>, Wamjay t</w:t>
      </w:r>
      <w:r w:rsidR="004227E2">
        <w:rPr>
          <w:rFonts w:ascii="Times New Roman" w:hAnsi="Times New Roman"/>
        </w:rPr>
        <w:t>akes</w:t>
      </w:r>
      <w:r w:rsidR="00992CDE" w:rsidRPr="00146A17">
        <w:rPr>
          <w:rFonts w:ascii="Times New Roman" w:hAnsi="Times New Roman"/>
        </w:rPr>
        <w:t xml:space="preserve"> </w:t>
      </w:r>
      <w:r w:rsidR="002B701A" w:rsidRPr="00146A17">
        <w:rPr>
          <w:rFonts w:ascii="Times New Roman" w:hAnsi="Times New Roman"/>
        </w:rPr>
        <w:t xml:space="preserve">the view </w:t>
      </w:r>
      <w:r w:rsidR="00DB699E" w:rsidRPr="00146A17">
        <w:rPr>
          <w:rFonts w:ascii="Times New Roman" w:hAnsi="Times New Roman"/>
        </w:rPr>
        <w:t xml:space="preserve">in its heads of argument </w:t>
      </w:r>
      <w:r w:rsidR="00992CDE" w:rsidRPr="00146A17">
        <w:rPr>
          <w:rFonts w:ascii="Times New Roman" w:hAnsi="Times New Roman"/>
        </w:rPr>
        <w:t xml:space="preserve">that it could only have brought a claim for the return of the money once the registration was set aside. Since this was only </w:t>
      </w:r>
      <w:r w:rsidR="001812D4" w:rsidRPr="00146A17">
        <w:rPr>
          <w:rFonts w:ascii="Times New Roman" w:hAnsi="Times New Roman"/>
        </w:rPr>
        <w:t>finally effective pursuant to the Constitutional Court’s decision, the date of that decision is when prescription began to run.</w:t>
      </w:r>
      <w:bookmarkEnd w:id="3"/>
    </w:p>
    <w:p w14:paraId="02A596BA" w14:textId="6AF167ED" w:rsidR="00854A40"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12</w:t>
      </w:r>
      <w:r w:rsidRPr="00146A17">
        <w:rPr>
          <w:rFonts w:ascii="Times New Roman" w:hAnsi="Times New Roman"/>
        </w:rPr>
        <w:tab/>
      </w:r>
      <w:r w:rsidR="00854A40" w:rsidRPr="00146A17">
        <w:rPr>
          <w:rFonts w:ascii="Times New Roman" w:hAnsi="Times New Roman"/>
        </w:rPr>
        <w:t>Wamjay</w:t>
      </w:r>
      <w:r w:rsidR="00A54595">
        <w:rPr>
          <w:rFonts w:ascii="Times New Roman" w:hAnsi="Times New Roman"/>
        </w:rPr>
        <w:t xml:space="preserve"> places emphasis</w:t>
      </w:r>
      <w:r w:rsidR="00854A40" w:rsidRPr="00146A17">
        <w:rPr>
          <w:rFonts w:ascii="Times New Roman" w:hAnsi="Times New Roman"/>
        </w:rPr>
        <w:t xml:space="preserve">, in its heads of argument, on the question of when it could be said to have had a complete cause of action. Taking as its premise that prescription only begins to run when the cause of action of the plaintiff/applicant is complete, it says that it could not have sued ATS when the University purported to cancel the lease agreement in 2012. This is because the </w:t>
      </w:r>
      <w:r w:rsidR="00137647" w:rsidRPr="00146A17">
        <w:rPr>
          <w:rFonts w:ascii="Times New Roman" w:hAnsi="Times New Roman"/>
        </w:rPr>
        <w:t>“</w:t>
      </w:r>
      <w:r w:rsidR="00854A40" w:rsidRPr="00146A17">
        <w:rPr>
          <w:rFonts w:ascii="Times New Roman" w:hAnsi="Times New Roman"/>
        </w:rPr>
        <w:t>notarially</w:t>
      </w:r>
      <w:r w:rsidR="00137647" w:rsidRPr="00146A17">
        <w:rPr>
          <w:rFonts w:ascii="Times New Roman" w:hAnsi="Times New Roman"/>
        </w:rPr>
        <w:t xml:space="preserve"> registered deed of lease</w:t>
      </w:r>
      <w:r w:rsidR="00854A40" w:rsidRPr="00146A17">
        <w:rPr>
          <w:rFonts w:ascii="Times New Roman" w:hAnsi="Times New Roman"/>
        </w:rPr>
        <w:t xml:space="preserve"> </w:t>
      </w:r>
      <w:r w:rsidR="000E4F6E" w:rsidRPr="00146A17">
        <w:rPr>
          <w:rFonts w:ascii="Times New Roman" w:hAnsi="Times New Roman"/>
        </w:rPr>
        <w:t>. . . [remained] intact despite the attempt” of the University to cancel it.</w:t>
      </w:r>
      <w:r w:rsidR="00240514" w:rsidRPr="00146A17">
        <w:rPr>
          <w:rFonts w:ascii="Times New Roman" w:hAnsi="Times New Roman"/>
        </w:rPr>
        <w:t xml:space="preserve"> In supp</w:t>
      </w:r>
      <w:r w:rsidR="002E2649" w:rsidRPr="00146A17">
        <w:rPr>
          <w:rFonts w:ascii="Times New Roman" w:hAnsi="Times New Roman"/>
        </w:rPr>
        <w:t>o</w:t>
      </w:r>
      <w:r w:rsidR="00240514" w:rsidRPr="00146A17">
        <w:rPr>
          <w:rFonts w:ascii="Times New Roman" w:hAnsi="Times New Roman"/>
        </w:rPr>
        <w:t xml:space="preserve">rt of this argument, Wamjay says that a notarially registered long lease </w:t>
      </w:r>
      <w:r w:rsidR="00D353CF" w:rsidRPr="00146A17">
        <w:rPr>
          <w:rFonts w:ascii="Times New Roman" w:hAnsi="Times New Roman"/>
        </w:rPr>
        <w:t>gives the holder of the right protection against all third parties, including the owner of the land</w:t>
      </w:r>
      <w:r w:rsidR="003338CA" w:rsidRPr="00146A17">
        <w:rPr>
          <w:rFonts w:ascii="Times New Roman" w:hAnsi="Times New Roman"/>
        </w:rPr>
        <w:t xml:space="preserve">. It says that a duly registered long lease gives the lessee a contractual real right </w:t>
      </w:r>
      <w:r w:rsidR="00600C1E" w:rsidRPr="00146A17">
        <w:rPr>
          <w:rFonts w:ascii="Times New Roman" w:hAnsi="Times New Roman"/>
        </w:rPr>
        <w:t>“which only ceases at the termination of the lease, or by order of court, as in this case.”</w:t>
      </w:r>
      <w:r w:rsidR="00C0166F" w:rsidRPr="00146A17">
        <w:rPr>
          <w:rFonts w:ascii="Times New Roman" w:hAnsi="Times New Roman"/>
        </w:rPr>
        <w:t xml:space="preserve"> It says that</w:t>
      </w:r>
      <w:r w:rsidR="00631A4E">
        <w:rPr>
          <w:rFonts w:ascii="Times New Roman" w:hAnsi="Times New Roman"/>
        </w:rPr>
        <w:t>,</w:t>
      </w:r>
      <w:r w:rsidR="00C0166F" w:rsidRPr="00146A17">
        <w:rPr>
          <w:rFonts w:ascii="Times New Roman" w:hAnsi="Times New Roman"/>
        </w:rPr>
        <w:t xml:space="preserve"> “as a question of fact”</w:t>
      </w:r>
      <w:r w:rsidR="00631A4E">
        <w:rPr>
          <w:rFonts w:ascii="Times New Roman" w:hAnsi="Times New Roman"/>
        </w:rPr>
        <w:t>,</w:t>
      </w:r>
      <w:r w:rsidR="00C0166F" w:rsidRPr="00146A17">
        <w:rPr>
          <w:rFonts w:ascii="Times New Roman" w:hAnsi="Times New Roman"/>
        </w:rPr>
        <w:t xml:space="preserve"> Wamjay was the registered lessee until the Constitutional Court handed down its judgment.</w:t>
      </w:r>
    </w:p>
    <w:p w14:paraId="1AE6B5BC" w14:textId="6D54D80D" w:rsidR="00C0166F"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13</w:t>
      </w:r>
      <w:r w:rsidRPr="00146A17">
        <w:rPr>
          <w:rFonts w:ascii="Times New Roman" w:hAnsi="Times New Roman"/>
        </w:rPr>
        <w:tab/>
      </w:r>
      <w:r w:rsidR="002E2649" w:rsidRPr="00146A17">
        <w:rPr>
          <w:rFonts w:ascii="Times New Roman" w:hAnsi="Times New Roman"/>
        </w:rPr>
        <w:t xml:space="preserve">The arguments summarised above were clearly intended, at least in part, to meet ATS’s contention in its answering affidavit that </w:t>
      </w:r>
      <w:r w:rsidR="00F30F72" w:rsidRPr="00146A17">
        <w:rPr>
          <w:rFonts w:ascii="Times New Roman" w:hAnsi="Times New Roman"/>
        </w:rPr>
        <w:t xml:space="preserve">knowledge (or lack thereof) of </w:t>
      </w:r>
      <w:r w:rsidR="00163AE0" w:rsidRPr="00146A17">
        <w:rPr>
          <w:rFonts w:ascii="Times New Roman" w:hAnsi="Times New Roman"/>
        </w:rPr>
        <w:t>legal rights and/or the correct legal position is irrelevant to the question of when prescription starts to run. But Wamjay also ma</w:t>
      </w:r>
      <w:r w:rsidR="00BD0474">
        <w:rPr>
          <w:rFonts w:ascii="Times New Roman" w:hAnsi="Times New Roman"/>
        </w:rPr>
        <w:t>k</w:t>
      </w:r>
      <w:r w:rsidR="00163AE0" w:rsidRPr="00146A17">
        <w:rPr>
          <w:rFonts w:ascii="Times New Roman" w:hAnsi="Times New Roman"/>
        </w:rPr>
        <w:t>e</w:t>
      </w:r>
      <w:r w:rsidR="00BD0474">
        <w:rPr>
          <w:rFonts w:ascii="Times New Roman" w:hAnsi="Times New Roman"/>
        </w:rPr>
        <w:t>s</w:t>
      </w:r>
      <w:r w:rsidR="00163AE0" w:rsidRPr="00146A17">
        <w:rPr>
          <w:rFonts w:ascii="Times New Roman" w:hAnsi="Times New Roman"/>
        </w:rPr>
        <w:t xml:space="preserve"> a point which is subtly different. It says that its cause of action was not complete until the Constitutional Court gave its order because, had it tried </w:t>
      </w:r>
      <w:r w:rsidR="00163AE0" w:rsidRPr="00146A17">
        <w:rPr>
          <w:rFonts w:ascii="Times New Roman" w:hAnsi="Times New Roman"/>
        </w:rPr>
        <w:lastRenderedPageBreak/>
        <w:t xml:space="preserve">to bring this claim before then, it would have been met with an </w:t>
      </w:r>
      <w:r w:rsidR="00C9481F" w:rsidRPr="00146A17">
        <w:rPr>
          <w:rFonts w:ascii="Times New Roman" w:hAnsi="Times New Roman"/>
        </w:rPr>
        <w:t>exception or defence to the effect that ATS had performed in terms of the cession agreement as evidenced by the registration of that cession in the deeds office.</w:t>
      </w:r>
      <w:r w:rsidR="00927B5C" w:rsidRPr="00146A17">
        <w:rPr>
          <w:rFonts w:ascii="Times New Roman" w:hAnsi="Times New Roman"/>
        </w:rPr>
        <w:t xml:space="preserve"> Relying on authority to the effect that a </w:t>
      </w:r>
      <w:r w:rsidR="00F163A6" w:rsidRPr="00146A17">
        <w:rPr>
          <w:rFonts w:ascii="Times New Roman" w:hAnsi="Times New Roman"/>
        </w:rPr>
        <w:t>perfected cause of action requires a c</w:t>
      </w:r>
      <w:r w:rsidR="00A0691E" w:rsidRPr="00146A17">
        <w:rPr>
          <w:rFonts w:ascii="Times New Roman" w:hAnsi="Times New Roman"/>
        </w:rPr>
        <w:t>ause of action</w:t>
      </w:r>
      <w:r w:rsidR="00F163A6" w:rsidRPr="00146A17">
        <w:rPr>
          <w:rFonts w:ascii="Times New Roman" w:hAnsi="Times New Roman"/>
        </w:rPr>
        <w:t xml:space="preserve"> which is “immediately” claimable</w:t>
      </w:r>
      <w:r w:rsidR="00A0691E" w:rsidRPr="00146A17">
        <w:rPr>
          <w:rFonts w:ascii="Times New Roman" w:hAnsi="Times New Roman"/>
        </w:rPr>
        <w:t>, Wamjay says that this requires (a) that the creditor is in a position to claim payment “forthwith” and (b)</w:t>
      </w:r>
      <w:r w:rsidR="00C124DC" w:rsidRPr="00146A17">
        <w:rPr>
          <w:rFonts w:ascii="Times New Roman" w:hAnsi="Times New Roman"/>
        </w:rPr>
        <w:t xml:space="preserve"> the debtor does not have a defence to the claim for immediate payment. It refers to authorities for the proposition that the cause of action must be complete</w:t>
      </w:r>
      <w:r w:rsidR="00D721D4">
        <w:rPr>
          <w:rFonts w:ascii="Times New Roman" w:hAnsi="Times New Roman"/>
        </w:rPr>
        <w:t>,</w:t>
      </w:r>
      <w:r w:rsidR="00C124DC" w:rsidRPr="00146A17">
        <w:rPr>
          <w:rFonts w:ascii="Times New Roman" w:hAnsi="Times New Roman"/>
        </w:rPr>
        <w:t xml:space="preserve"> in the sense just described</w:t>
      </w:r>
      <w:r w:rsidR="00D721D4">
        <w:rPr>
          <w:rFonts w:ascii="Times New Roman" w:hAnsi="Times New Roman"/>
        </w:rPr>
        <w:t>,</w:t>
      </w:r>
      <w:r w:rsidR="00C124DC" w:rsidRPr="00146A17">
        <w:rPr>
          <w:rFonts w:ascii="Times New Roman" w:hAnsi="Times New Roman"/>
        </w:rPr>
        <w:t xml:space="preserve"> when the summons is issued and served.</w:t>
      </w:r>
    </w:p>
    <w:p w14:paraId="009734D7" w14:textId="2300B60D" w:rsidR="00D716D3"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14</w:t>
      </w:r>
      <w:r w:rsidRPr="00146A17">
        <w:rPr>
          <w:rFonts w:ascii="Times New Roman" w:hAnsi="Times New Roman"/>
        </w:rPr>
        <w:tab/>
      </w:r>
      <w:r w:rsidR="000A0578" w:rsidRPr="00146A17">
        <w:rPr>
          <w:rFonts w:ascii="Times New Roman" w:hAnsi="Times New Roman"/>
        </w:rPr>
        <w:t xml:space="preserve">With reference to various normative values – including section 34 of the Constitution but also the underlying purposes of the rules of prescription – Wamjay says that section 12(3) of the Prescription Act must be interpreted narrowly. I do not describe these arguments in </w:t>
      </w:r>
      <w:r w:rsidR="000A0578" w:rsidRPr="002D4A37">
        <w:rPr>
          <w:rFonts w:ascii="Times New Roman" w:hAnsi="Times New Roman"/>
        </w:rPr>
        <w:t>detail</w:t>
      </w:r>
      <w:r w:rsidR="002D4A37" w:rsidRPr="002D4A37">
        <w:rPr>
          <w:rFonts w:ascii="Times New Roman" w:hAnsi="Times New Roman"/>
        </w:rPr>
        <w:t xml:space="preserve"> here</w:t>
      </w:r>
      <w:r w:rsidR="000A0578" w:rsidRPr="002D4A37">
        <w:rPr>
          <w:rFonts w:ascii="Times New Roman" w:hAnsi="Times New Roman"/>
        </w:rPr>
        <w:t xml:space="preserve">, but </w:t>
      </w:r>
      <w:r w:rsidR="002D4A37" w:rsidRPr="002D4A37">
        <w:rPr>
          <w:rFonts w:ascii="Times New Roman" w:hAnsi="Times New Roman"/>
        </w:rPr>
        <w:t>they have some relevan</w:t>
      </w:r>
      <w:r w:rsidR="00FC06C3">
        <w:rPr>
          <w:rFonts w:ascii="Times New Roman" w:hAnsi="Times New Roman"/>
        </w:rPr>
        <w:t>ce</w:t>
      </w:r>
      <w:r w:rsidR="002D4A37" w:rsidRPr="002D4A37">
        <w:rPr>
          <w:rFonts w:ascii="Times New Roman" w:hAnsi="Times New Roman"/>
        </w:rPr>
        <w:t xml:space="preserve"> to what I say</w:t>
      </w:r>
      <w:r w:rsidR="000A0578" w:rsidRPr="002D4A37">
        <w:rPr>
          <w:rFonts w:ascii="Times New Roman" w:hAnsi="Times New Roman"/>
        </w:rPr>
        <w:t xml:space="preserve"> below.</w:t>
      </w:r>
    </w:p>
    <w:p w14:paraId="5DD8EA83" w14:textId="2CA5A51B" w:rsidR="00895A52" w:rsidRPr="00146A17" w:rsidRDefault="00843CD7" w:rsidP="00843CD7">
      <w:pPr>
        <w:pStyle w:val="WLGLevel1"/>
        <w:numPr>
          <w:ilvl w:val="0"/>
          <w:numId w:val="0"/>
        </w:numPr>
        <w:tabs>
          <w:tab w:val="left" w:pos="567"/>
        </w:tabs>
        <w:ind w:left="562" w:hanging="562"/>
        <w:rPr>
          <w:rFonts w:ascii="Times New Roman" w:hAnsi="Times New Roman"/>
        </w:rPr>
      </w:pPr>
      <w:bookmarkStart w:id="4" w:name="_Ref147041887"/>
      <w:r w:rsidRPr="00146A17">
        <w:rPr>
          <w:rFonts w:ascii="Times New Roman" w:hAnsi="Times New Roman"/>
        </w:rPr>
        <w:t>15</w:t>
      </w:r>
      <w:r w:rsidRPr="00146A17">
        <w:rPr>
          <w:rFonts w:ascii="Times New Roman" w:hAnsi="Times New Roman"/>
        </w:rPr>
        <w:tab/>
      </w:r>
      <w:r w:rsidR="007752D1" w:rsidRPr="00146A17">
        <w:rPr>
          <w:rFonts w:ascii="Times New Roman" w:hAnsi="Times New Roman"/>
        </w:rPr>
        <w:t>Wamjay persists in its heads of argument in its contention that prescription was interrupted. But it explains its position a little more clearly than in its affidavit</w:t>
      </w:r>
      <w:r w:rsidR="00FC06C3">
        <w:rPr>
          <w:rFonts w:ascii="Times New Roman" w:hAnsi="Times New Roman"/>
        </w:rPr>
        <w:t>s</w:t>
      </w:r>
      <w:r w:rsidR="007752D1" w:rsidRPr="00146A17">
        <w:rPr>
          <w:rFonts w:ascii="Times New Roman" w:hAnsi="Times New Roman"/>
        </w:rPr>
        <w:t>. It relies on section 14</w:t>
      </w:r>
      <w:r w:rsidR="007741FB" w:rsidRPr="00146A17">
        <w:rPr>
          <w:rFonts w:ascii="Times New Roman" w:hAnsi="Times New Roman"/>
        </w:rPr>
        <w:t xml:space="preserve">(1) of the Prescription Act, which provides than an “express or tacit” acknowledgment of liability interrupts prescription. </w:t>
      </w:r>
      <w:r w:rsidR="003D0DDE" w:rsidRPr="00146A17">
        <w:rPr>
          <w:rFonts w:ascii="Times New Roman" w:hAnsi="Times New Roman"/>
        </w:rPr>
        <w:t>It</w:t>
      </w:r>
      <w:r w:rsidR="00EA237A" w:rsidRPr="00146A17">
        <w:rPr>
          <w:rFonts w:ascii="Times New Roman" w:hAnsi="Times New Roman"/>
        </w:rPr>
        <w:t xml:space="preserve"> says that ATS’s statement in the Constitutional Court that, if the University was successful, Wamjay would reclaim the money and that it would accordingly be prejudiced, was a tacit acknowledgment of liability. Wamjay, in reliance on section 14(2)</w:t>
      </w:r>
      <w:r w:rsidR="000D7EAE">
        <w:rPr>
          <w:rFonts w:ascii="Times New Roman" w:hAnsi="Times New Roman"/>
        </w:rPr>
        <w:t xml:space="preserve">, </w:t>
      </w:r>
      <w:r w:rsidR="00EA237A" w:rsidRPr="00146A17">
        <w:rPr>
          <w:rFonts w:ascii="Times New Roman" w:hAnsi="Times New Roman"/>
        </w:rPr>
        <w:t xml:space="preserve">says that </w:t>
      </w:r>
      <w:r w:rsidR="006D6F35" w:rsidRPr="00146A17">
        <w:rPr>
          <w:rFonts w:ascii="Times New Roman" w:hAnsi="Times New Roman"/>
        </w:rPr>
        <w:t>prescription was interrupted by this acknowledgment but began to run again from the date of the hearing at the Constitutional Court.</w:t>
      </w:r>
      <w:bookmarkEnd w:id="4"/>
    </w:p>
    <w:p w14:paraId="763728D5" w14:textId="18B32BD7" w:rsidR="00D5296C"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16</w:t>
      </w:r>
      <w:r w:rsidRPr="00146A17">
        <w:rPr>
          <w:rFonts w:ascii="Times New Roman" w:hAnsi="Times New Roman"/>
        </w:rPr>
        <w:tab/>
      </w:r>
      <w:r w:rsidR="00895A52" w:rsidRPr="00146A17">
        <w:rPr>
          <w:rFonts w:ascii="Times New Roman" w:hAnsi="Times New Roman"/>
        </w:rPr>
        <w:t xml:space="preserve">Lastly, </w:t>
      </w:r>
      <w:r w:rsidR="007B3BD0" w:rsidRPr="00146A17">
        <w:rPr>
          <w:rFonts w:ascii="Times New Roman" w:hAnsi="Times New Roman"/>
        </w:rPr>
        <w:t xml:space="preserve">on the issue of prescription, </w:t>
      </w:r>
      <w:r w:rsidR="00895A52" w:rsidRPr="00146A17">
        <w:rPr>
          <w:rFonts w:ascii="Times New Roman" w:hAnsi="Times New Roman"/>
        </w:rPr>
        <w:t xml:space="preserve">Wamjay persists in relying, as an alternative to everything said above, </w:t>
      </w:r>
      <w:r w:rsidR="00971BDB" w:rsidRPr="00146A17">
        <w:rPr>
          <w:rFonts w:ascii="Times New Roman" w:hAnsi="Times New Roman"/>
        </w:rPr>
        <w:t xml:space="preserve">on estoppel. Since I have already explained (see paragraph </w:t>
      </w:r>
      <w:r w:rsidR="003C20CE">
        <w:rPr>
          <w:rFonts w:ascii="Times New Roman" w:hAnsi="Times New Roman"/>
        </w:rPr>
        <w:fldChar w:fldCharType="begin"/>
      </w:r>
      <w:r w:rsidR="003C20CE">
        <w:rPr>
          <w:rFonts w:ascii="Times New Roman" w:hAnsi="Times New Roman"/>
        </w:rPr>
        <w:instrText xml:space="preserve"> REF _Ref147041531 \r \h </w:instrText>
      </w:r>
      <w:r w:rsidR="003C20CE">
        <w:rPr>
          <w:rFonts w:ascii="Times New Roman" w:hAnsi="Times New Roman"/>
        </w:rPr>
      </w:r>
      <w:r w:rsidR="003C20CE">
        <w:rPr>
          <w:rFonts w:ascii="Times New Roman" w:hAnsi="Times New Roman"/>
        </w:rPr>
        <w:fldChar w:fldCharType="separate"/>
      </w:r>
      <w:r w:rsidR="00FB3E9C">
        <w:rPr>
          <w:rFonts w:ascii="Times New Roman" w:hAnsi="Times New Roman"/>
        </w:rPr>
        <w:t>8.8</w:t>
      </w:r>
      <w:r w:rsidR="003C20CE">
        <w:rPr>
          <w:rFonts w:ascii="Times New Roman" w:hAnsi="Times New Roman"/>
        </w:rPr>
        <w:fldChar w:fldCharType="end"/>
      </w:r>
      <w:r w:rsidR="00253F63" w:rsidRPr="00146A17">
        <w:rPr>
          <w:rFonts w:ascii="Times New Roman" w:hAnsi="Times New Roman"/>
        </w:rPr>
        <w:t xml:space="preserve"> above</w:t>
      </w:r>
      <w:r w:rsidR="00971BDB" w:rsidRPr="00146A17">
        <w:rPr>
          <w:rFonts w:ascii="Times New Roman" w:hAnsi="Times New Roman"/>
        </w:rPr>
        <w:t xml:space="preserve">) the basis of Wamjay’s contentions in this regard, it is unnecessary to address the </w:t>
      </w:r>
      <w:r w:rsidR="00971BDB" w:rsidRPr="00146A17">
        <w:rPr>
          <w:rFonts w:ascii="Times New Roman" w:hAnsi="Times New Roman"/>
        </w:rPr>
        <w:lastRenderedPageBreak/>
        <w:t>topic here.</w:t>
      </w:r>
      <w:r w:rsidR="00262169" w:rsidRPr="00146A17">
        <w:rPr>
          <w:rFonts w:ascii="Times New Roman" w:hAnsi="Times New Roman"/>
        </w:rPr>
        <w:t xml:space="preserve"> I return to it below, when </w:t>
      </w:r>
      <w:r w:rsidR="007B3BD0" w:rsidRPr="00146A17">
        <w:rPr>
          <w:rFonts w:ascii="Times New Roman" w:hAnsi="Times New Roman"/>
        </w:rPr>
        <w:t xml:space="preserve">addressing the </w:t>
      </w:r>
      <w:r w:rsidR="00DF42F0">
        <w:rPr>
          <w:rFonts w:ascii="Times New Roman" w:hAnsi="Times New Roman"/>
        </w:rPr>
        <w:t>availability</w:t>
      </w:r>
      <w:r w:rsidR="00087172" w:rsidRPr="00146A17">
        <w:rPr>
          <w:rFonts w:ascii="Times New Roman" w:hAnsi="Times New Roman"/>
        </w:rPr>
        <w:t xml:space="preserve"> of the prescription defence</w:t>
      </w:r>
      <w:r w:rsidR="00DF42F0">
        <w:rPr>
          <w:rFonts w:ascii="Times New Roman" w:hAnsi="Times New Roman"/>
        </w:rPr>
        <w:t xml:space="preserve"> to ATS</w:t>
      </w:r>
      <w:r w:rsidR="007B3BD0" w:rsidRPr="00146A17">
        <w:rPr>
          <w:rFonts w:ascii="Times New Roman" w:hAnsi="Times New Roman"/>
        </w:rPr>
        <w:t>.</w:t>
      </w:r>
      <w:r w:rsidR="00E4635A" w:rsidRPr="00146A17">
        <w:rPr>
          <w:rFonts w:ascii="Times New Roman" w:hAnsi="Times New Roman"/>
        </w:rPr>
        <w:t xml:space="preserve"> </w:t>
      </w:r>
    </w:p>
    <w:p w14:paraId="55160151" w14:textId="2BEF5C42" w:rsidR="00253F63"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17</w:t>
      </w:r>
      <w:r w:rsidRPr="00146A17">
        <w:rPr>
          <w:rFonts w:ascii="Times New Roman" w:hAnsi="Times New Roman"/>
        </w:rPr>
        <w:tab/>
      </w:r>
      <w:r w:rsidR="00253F63" w:rsidRPr="00146A17">
        <w:rPr>
          <w:rFonts w:ascii="Times New Roman" w:hAnsi="Times New Roman"/>
        </w:rPr>
        <w:t xml:space="preserve">On the merits, Wamjay explains in its heads of argument that it relies on two enrichment claims: the </w:t>
      </w:r>
      <w:r w:rsidR="00253F63" w:rsidRPr="00146A17">
        <w:rPr>
          <w:rFonts w:ascii="Times New Roman" w:hAnsi="Times New Roman"/>
          <w:i/>
          <w:iCs/>
        </w:rPr>
        <w:t xml:space="preserve">condictio ob causam </w:t>
      </w:r>
      <w:r w:rsidR="0098060F" w:rsidRPr="00146A17">
        <w:rPr>
          <w:rFonts w:ascii="Times New Roman" w:hAnsi="Times New Roman"/>
          <w:i/>
          <w:iCs/>
        </w:rPr>
        <w:t>finitam</w:t>
      </w:r>
      <w:r w:rsidR="0098060F" w:rsidRPr="00146A17">
        <w:rPr>
          <w:rFonts w:ascii="Times New Roman" w:hAnsi="Times New Roman"/>
        </w:rPr>
        <w:t xml:space="preserve"> and the </w:t>
      </w:r>
      <w:r w:rsidR="0098060F" w:rsidRPr="00146A17">
        <w:rPr>
          <w:rFonts w:ascii="Times New Roman" w:hAnsi="Times New Roman"/>
          <w:i/>
          <w:iCs/>
        </w:rPr>
        <w:t>condictio indebiti</w:t>
      </w:r>
      <w:r w:rsidR="0098060F" w:rsidRPr="00146A17">
        <w:rPr>
          <w:rFonts w:ascii="Times New Roman" w:hAnsi="Times New Roman"/>
        </w:rPr>
        <w:t>.</w:t>
      </w:r>
      <w:r w:rsidR="008F5975" w:rsidRPr="00146A17">
        <w:rPr>
          <w:rFonts w:ascii="Times New Roman" w:hAnsi="Times New Roman"/>
        </w:rPr>
        <w:t xml:space="preserve"> </w:t>
      </w:r>
      <w:r w:rsidR="00DE16E2" w:rsidRPr="00146A17">
        <w:rPr>
          <w:rFonts w:ascii="Times New Roman" w:hAnsi="Times New Roman"/>
        </w:rPr>
        <w:t xml:space="preserve">Wamjay says that it satisfies all of the elements of each of these enrichment claims and that ATS </w:t>
      </w:r>
      <w:r w:rsidR="003E27D6" w:rsidRPr="00146A17">
        <w:rPr>
          <w:rFonts w:ascii="Times New Roman" w:hAnsi="Times New Roman"/>
        </w:rPr>
        <w:t>has conceded all of the facts which make up these elements. It also reiterates its view that, in the answering affidavit, ATS makes clear that its only defence to the claim is based on prescription. The implication of this being that, if the defence of prescription is dismissed, ATS has no defence on the merits.</w:t>
      </w:r>
    </w:p>
    <w:p w14:paraId="2C88F35C" w14:textId="32B02E5C" w:rsidR="00310BB9" w:rsidRDefault="00843CD7" w:rsidP="00843CD7">
      <w:pPr>
        <w:pStyle w:val="WLGLevel1"/>
        <w:numPr>
          <w:ilvl w:val="0"/>
          <w:numId w:val="0"/>
        </w:numPr>
        <w:tabs>
          <w:tab w:val="left" w:pos="567"/>
        </w:tabs>
        <w:ind w:left="562" w:hanging="562"/>
        <w:rPr>
          <w:rFonts w:ascii="Times New Roman" w:hAnsi="Times New Roman"/>
        </w:rPr>
      </w:pPr>
      <w:r>
        <w:rPr>
          <w:rFonts w:ascii="Times New Roman" w:hAnsi="Times New Roman"/>
        </w:rPr>
        <w:t>18</w:t>
      </w:r>
      <w:r>
        <w:rPr>
          <w:rFonts w:ascii="Times New Roman" w:hAnsi="Times New Roman"/>
        </w:rPr>
        <w:tab/>
      </w:r>
      <w:r w:rsidR="001C3D45" w:rsidRPr="00146A17">
        <w:rPr>
          <w:rFonts w:ascii="Times New Roman" w:hAnsi="Times New Roman"/>
        </w:rPr>
        <w:t xml:space="preserve">In its heads of argument, ATS </w:t>
      </w:r>
      <w:r w:rsidR="00796C85" w:rsidRPr="00146A17">
        <w:rPr>
          <w:rFonts w:ascii="Times New Roman" w:hAnsi="Times New Roman"/>
        </w:rPr>
        <w:t>says that it did not concede the merits of Wamjay’s claim. It says that Wamjay has failed to allege and prove the essentialia of the enrichment claims on which it relies and that, in any event, there are material disputes of fact on the papers which preclude Wamjay from being granted the relief which it seeks.</w:t>
      </w:r>
      <w:r w:rsidR="00EC1807" w:rsidRPr="00146A17">
        <w:rPr>
          <w:rFonts w:ascii="Times New Roman" w:hAnsi="Times New Roman"/>
        </w:rPr>
        <w:t xml:space="preserve"> </w:t>
      </w:r>
    </w:p>
    <w:p w14:paraId="12B6ADA8" w14:textId="57C2B0D9" w:rsidR="00531307" w:rsidRDefault="00843CD7" w:rsidP="00843CD7">
      <w:pPr>
        <w:pStyle w:val="WLGLevel1"/>
        <w:numPr>
          <w:ilvl w:val="0"/>
          <w:numId w:val="0"/>
        </w:numPr>
        <w:tabs>
          <w:tab w:val="left" w:pos="567"/>
        </w:tabs>
        <w:ind w:left="562" w:hanging="562"/>
        <w:rPr>
          <w:rFonts w:ascii="Times New Roman" w:hAnsi="Times New Roman"/>
        </w:rPr>
      </w:pPr>
      <w:bookmarkStart w:id="5" w:name="_Ref147051684"/>
      <w:r>
        <w:rPr>
          <w:rFonts w:ascii="Times New Roman" w:hAnsi="Times New Roman"/>
        </w:rPr>
        <w:t>19</w:t>
      </w:r>
      <w:r>
        <w:rPr>
          <w:rFonts w:ascii="Times New Roman" w:hAnsi="Times New Roman"/>
        </w:rPr>
        <w:tab/>
      </w:r>
      <w:r w:rsidR="00EC1807" w:rsidRPr="00146A17">
        <w:rPr>
          <w:rFonts w:ascii="Times New Roman" w:hAnsi="Times New Roman"/>
        </w:rPr>
        <w:t>To deal first with its defence</w:t>
      </w:r>
      <w:r w:rsidR="00795883" w:rsidRPr="00146A17">
        <w:rPr>
          <w:rFonts w:ascii="Times New Roman" w:hAnsi="Times New Roman"/>
        </w:rPr>
        <w:t>s</w:t>
      </w:r>
      <w:r w:rsidR="00EC1807" w:rsidRPr="00146A17">
        <w:rPr>
          <w:rFonts w:ascii="Times New Roman" w:hAnsi="Times New Roman"/>
        </w:rPr>
        <w:t xml:space="preserve"> on the merits</w:t>
      </w:r>
      <w:r w:rsidR="00795883" w:rsidRPr="00146A17">
        <w:rPr>
          <w:rFonts w:ascii="Times New Roman" w:hAnsi="Times New Roman"/>
        </w:rPr>
        <w:t xml:space="preserve">, only because this is a convenient place to do so: </w:t>
      </w:r>
      <w:r w:rsidR="0066380D" w:rsidRPr="00146A17">
        <w:rPr>
          <w:rFonts w:ascii="Times New Roman" w:hAnsi="Times New Roman"/>
        </w:rPr>
        <w:t xml:space="preserve">ATS says that, while it does not necessarily agree with Wamjay about which specific enrichment claims apply, Wamjay has a bigger difficulty. In all enrichment claims, there are four requirements which must be satisfied. I deal with these more fully below. It points to the decision in </w:t>
      </w:r>
      <w:r w:rsidR="0066380D" w:rsidRPr="00146A17">
        <w:rPr>
          <w:rFonts w:ascii="Times New Roman" w:hAnsi="Times New Roman"/>
          <w:i/>
          <w:iCs/>
        </w:rPr>
        <w:t>Kudu Granite</w:t>
      </w:r>
      <w:r w:rsidR="0066380D" w:rsidRPr="00146A17">
        <w:rPr>
          <w:rStyle w:val="FootnoteReference"/>
          <w:rFonts w:ascii="Times New Roman" w:hAnsi="Times New Roman"/>
        </w:rPr>
        <w:footnoteReference w:id="4"/>
      </w:r>
      <w:r w:rsidR="0066380D" w:rsidRPr="00146A17">
        <w:rPr>
          <w:rFonts w:ascii="Times New Roman" w:hAnsi="Times New Roman"/>
        </w:rPr>
        <w:t xml:space="preserve"> as authority for the proposition that, if a claimant satisfies the four requirements of an enrichment claim (plus the additional requirements of the particular condiction)</w:t>
      </w:r>
      <w:r w:rsidR="000D4398">
        <w:rPr>
          <w:rFonts w:ascii="Times New Roman" w:hAnsi="Times New Roman"/>
        </w:rPr>
        <w:t>,</w:t>
      </w:r>
      <w:r w:rsidR="0066380D" w:rsidRPr="00146A17">
        <w:rPr>
          <w:rFonts w:ascii="Times New Roman" w:hAnsi="Times New Roman"/>
        </w:rPr>
        <w:t xml:space="preserve"> the court will award the lesser between the claimant’s enrichment and the defendant’s impoverishment. It says that there is insufficient evidence </w:t>
      </w:r>
      <w:r w:rsidR="0066380D" w:rsidRPr="00146A17">
        <w:rPr>
          <w:rFonts w:ascii="Times New Roman" w:hAnsi="Times New Roman"/>
        </w:rPr>
        <w:lastRenderedPageBreak/>
        <w:t>before the court to establish, on motion, the quantum of ATS’s continued enrichment. It refers to the evidence in the answering affidavit that (a) ATS did not retain the money paid to it by Wamjay (b) had no obligation to do so and (c) even if it had a moral obligation to repay the money, it was unable to do so. It says that Wamjay’s allegation that ATS has “retained” the R6.5 million</w:t>
      </w:r>
      <w:r w:rsidR="006F19C3" w:rsidRPr="00146A17">
        <w:rPr>
          <w:rFonts w:ascii="Times New Roman" w:hAnsi="Times New Roman"/>
        </w:rPr>
        <w:t>, in the sense of being</w:t>
      </w:r>
      <w:r w:rsidR="0066380D" w:rsidRPr="00146A17">
        <w:rPr>
          <w:rFonts w:ascii="Times New Roman" w:hAnsi="Times New Roman"/>
        </w:rPr>
        <w:t xml:space="preserve"> “in possession” of it</w:t>
      </w:r>
      <w:r w:rsidR="006F19C3" w:rsidRPr="00146A17">
        <w:rPr>
          <w:rFonts w:ascii="Times New Roman" w:hAnsi="Times New Roman"/>
        </w:rPr>
        <w:t>,</w:t>
      </w:r>
      <w:r w:rsidR="0066380D" w:rsidRPr="00146A17">
        <w:rPr>
          <w:rFonts w:ascii="Times New Roman" w:hAnsi="Times New Roman"/>
        </w:rPr>
        <w:t xml:space="preserve"> is a bald assertion unsupported by primary facts and that, in the absence of primary facts, Wamjay’s conclusion does not constitute evidentiary material and should be ignored. It says that, at best for Wamjay, there is an irresol</w:t>
      </w:r>
      <w:r w:rsidR="000B5B14">
        <w:rPr>
          <w:rFonts w:ascii="Times New Roman" w:hAnsi="Times New Roman"/>
        </w:rPr>
        <w:t>va</w:t>
      </w:r>
      <w:r w:rsidR="0066380D" w:rsidRPr="00146A17">
        <w:rPr>
          <w:rFonts w:ascii="Times New Roman" w:hAnsi="Times New Roman"/>
        </w:rPr>
        <w:t xml:space="preserve">ble dispute of fact on the issue of ATS’s enrichment – which is to be assessed at </w:t>
      </w:r>
      <w:r w:rsidR="006F19C3" w:rsidRPr="00146A17">
        <w:rPr>
          <w:rFonts w:ascii="Times New Roman" w:hAnsi="Times New Roman"/>
        </w:rPr>
        <w:t>the date on which the enrichment claim was instituted</w:t>
      </w:r>
      <w:r w:rsidR="0066380D" w:rsidRPr="00146A17">
        <w:rPr>
          <w:rFonts w:ascii="Times New Roman" w:hAnsi="Times New Roman"/>
        </w:rPr>
        <w:t>.</w:t>
      </w:r>
      <w:bookmarkEnd w:id="5"/>
      <w:r w:rsidR="0066380D" w:rsidRPr="00146A17">
        <w:rPr>
          <w:rFonts w:ascii="Times New Roman" w:hAnsi="Times New Roman"/>
        </w:rPr>
        <w:t xml:space="preserve"> </w:t>
      </w:r>
    </w:p>
    <w:p w14:paraId="2AC5B7E2" w14:textId="27A3F38A" w:rsidR="001C3D45"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20</w:t>
      </w:r>
      <w:r w:rsidRPr="00146A17">
        <w:rPr>
          <w:rFonts w:ascii="Times New Roman" w:hAnsi="Times New Roman"/>
        </w:rPr>
        <w:tab/>
      </w:r>
      <w:r w:rsidR="0066380D" w:rsidRPr="00146A17">
        <w:rPr>
          <w:rFonts w:ascii="Times New Roman" w:hAnsi="Times New Roman"/>
        </w:rPr>
        <w:t xml:space="preserve">With reference, again, to </w:t>
      </w:r>
      <w:r w:rsidR="0066380D" w:rsidRPr="00146A17">
        <w:rPr>
          <w:rFonts w:ascii="Times New Roman" w:hAnsi="Times New Roman"/>
          <w:i/>
          <w:iCs/>
        </w:rPr>
        <w:t>Kudu Granite</w:t>
      </w:r>
      <w:r w:rsidR="0066380D" w:rsidRPr="00146A17">
        <w:rPr>
          <w:rFonts w:ascii="Times New Roman" w:hAnsi="Times New Roman"/>
        </w:rPr>
        <w:t xml:space="preserve">, ATS says that this feature – that a plaintiff is only entitled to the lesser of its impoverishment and the defendant’s retained enrichment at the </w:t>
      </w:r>
      <w:r w:rsidR="00CC0112">
        <w:rPr>
          <w:rFonts w:ascii="Times New Roman" w:hAnsi="Times New Roman"/>
        </w:rPr>
        <w:t>commencement of the claim</w:t>
      </w:r>
      <w:r w:rsidR="0066380D" w:rsidRPr="00146A17">
        <w:rPr>
          <w:rFonts w:ascii="Times New Roman" w:hAnsi="Times New Roman"/>
        </w:rPr>
        <w:t xml:space="preserve"> – distinguishes enrichment claims from claims for restitution under the law of contract. It says that the only exception to th</w:t>
      </w:r>
      <w:r w:rsidR="007717A5">
        <w:rPr>
          <w:rFonts w:ascii="Times New Roman" w:hAnsi="Times New Roman"/>
        </w:rPr>
        <w:t>e rule that only retained enrichment is actionable</w:t>
      </w:r>
      <w:r w:rsidR="0066380D" w:rsidRPr="00146A17">
        <w:rPr>
          <w:rFonts w:ascii="Times New Roman" w:hAnsi="Times New Roman"/>
        </w:rPr>
        <w:t xml:space="preserve"> is where the defendant parts with its enrichment in bad faith – ie, where it knows, or ought to have been aware, that it had been enriched </w:t>
      </w:r>
      <w:r w:rsidR="0066380D" w:rsidRPr="00C626DE">
        <w:rPr>
          <w:rFonts w:ascii="Times New Roman" w:hAnsi="Times New Roman"/>
          <w:i/>
          <w:iCs/>
        </w:rPr>
        <w:t>sine causa</w:t>
      </w:r>
      <w:r w:rsidR="0066380D" w:rsidRPr="00146A17">
        <w:rPr>
          <w:rFonts w:ascii="Times New Roman" w:hAnsi="Times New Roman"/>
        </w:rPr>
        <w:t>. ATS says that there is no evidence before this Court that ATS parted with the R6.5 million in bad faith. It says that, on the contrary, both parties honestly believed that the amount was lawfully owing by Wamjay.</w:t>
      </w:r>
    </w:p>
    <w:p w14:paraId="1C11C6FE" w14:textId="5E1D5DCA" w:rsidR="00713381"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21</w:t>
      </w:r>
      <w:r w:rsidRPr="00146A17">
        <w:rPr>
          <w:rFonts w:ascii="Times New Roman" w:hAnsi="Times New Roman"/>
        </w:rPr>
        <w:tab/>
      </w:r>
      <w:r w:rsidR="00713381" w:rsidRPr="00146A17">
        <w:rPr>
          <w:rFonts w:ascii="Times New Roman" w:hAnsi="Times New Roman"/>
        </w:rPr>
        <w:t>ATS’s main focus in its heads of argument is on the issue of prescription. In my view, a fair summary of its position is the foll</w:t>
      </w:r>
      <w:r w:rsidR="00A85376" w:rsidRPr="00146A17">
        <w:rPr>
          <w:rFonts w:ascii="Times New Roman" w:hAnsi="Times New Roman"/>
        </w:rPr>
        <w:t>o</w:t>
      </w:r>
      <w:r w:rsidR="00713381" w:rsidRPr="00146A17">
        <w:rPr>
          <w:rFonts w:ascii="Times New Roman" w:hAnsi="Times New Roman"/>
        </w:rPr>
        <w:t>wing:</w:t>
      </w:r>
    </w:p>
    <w:p w14:paraId="100807A7" w14:textId="68E2C145" w:rsidR="00713381"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lastRenderedPageBreak/>
        <w:t>21.1</w:t>
      </w:r>
      <w:r w:rsidRPr="00146A17">
        <w:rPr>
          <w:rFonts w:ascii="Times New Roman" w:hAnsi="Times New Roman"/>
        </w:rPr>
        <w:tab/>
      </w:r>
      <w:r w:rsidR="00A85376" w:rsidRPr="00146A17">
        <w:rPr>
          <w:rFonts w:ascii="Times New Roman" w:hAnsi="Times New Roman"/>
        </w:rPr>
        <w:t xml:space="preserve">With reference to various authorities, including the seminal decision of the Constitutional Court in </w:t>
      </w:r>
      <w:r w:rsidR="00A85376" w:rsidRPr="00146A17">
        <w:rPr>
          <w:rFonts w:ascii="Times New Roman" w:hAnsi="Times New Roman"/>
          <w:i/>
          <w:iCs/>
        </w:rPr>
        <w:t>Mto</w:t>
      </w:r>
      <w:r w:rsidR="00730F98" w:rsidRPr="00146A17">
        <w:rPr>
          <w:rFonts w:ascii="Times New Roman" w:hAnsi="Times New Roman"/>
          <w:i/>
          <w:iCs/>
        </w:rPr>
        <w:t>konya</w:t>
      </w:r>
      <w:r w:rsidR="00AC665C" w:rsidRPr="00146A17">
        <w:rPr>
          <w:rFonts w:ascii="Times New Roman" w:hAnsi="Times New Roman"/>
        </w:rPr>
        <w:t>,</w:t>
      </w:r>
      <w:r w:rsidR="00730F98" w:rsidRPr="00146A17">
        <w:rPr>
          <w:rStyle w:val="FootnoteReference"/>
          <w:rFonts w:ascii="Times New Roman" w:hAnsi="Times New Roman"/>
        </w:rPr>
        <w:footnoteReference w:id="5"/>
      </w:r>
      <w:r w:rsidR="00AC665C" w:rsidRPr="00146A17">
        <w:rPr>
          <w:rFonts w:ascii="Times New Roman" w:hAnsi="Times New Roman"/>
        </w:rPr>
        <w:t xml:space="preserve"> ATS argues that the invalidity of the cession agreement is not a </w:t>
      </w:r>
      <w:r w:rsidR="00871EA3" w:rsidRPr="00146A17">
        <w:rPr>
          <w:rFonts w:ascii="Times New Roman" w:hAnsi="Times New Roman"/>
        </w:rPr>
        <w:t>fact falling within the contemplation of section 12(3) of the Prescription Act.</w:t>
      </w:r>
      <w:r w:rsidR="009A7FE5" w:rsidRPr="00146A17">
        <w:rPr>
          <w:rFonts w:ascii="Times New Roman" w:hAnsi="Times New Roman"/>
        </w:rPr>
        <w:t xml:space="preserve"> ATS says that the question whether an agreement is invalid is, on the settled authorities</w:t>
      </w:r>
      <w:r w:rsidR="004722C0" w:rsidRPr="00146A17">
        <w:rPr>
          <w:rFonts w:ascii="Times New Roman" w:hAnsi="Times New Roman"/>
        </w:rPr>
        <w:t>,</w:t>
      </w:r>
      <w:r w:rsidR="009A7FE5" w:rsidRPr="00146A17">
        <w:rPr>
          <w:rFonts w:ascii="Times New Roman" w:hAnsi="Times New Roman"/>
        </w:rPr>
        <w:t xml:space="preserve"> a question of law.</w:t>
      </w:r>
      <w:r w:rsidR="004231B5" w:rsidRPr="00146A17">
        <w:rPr>
          <w:rFonts w:ascii="Times New Roman" w:hAnsi="Times New Roman"/>
        </w:rPr>
        <w:t xml:space="preserve"> It says that the premise of Wamjay’s argument is that the cession agreement was valid until the Constitutional Court rendered it invalid. It says that the correct position, rather, is that </w:t>
      </w:r>
      <w:r w:rsidR="00ED600D" w:rsidRPr="00146A17">
        <w:rPr>
          <w:rFonts w:ascii="Times New Roman" w:hAnsi="Times New Roman"/>
        </w:rPr>
        <w:t>the Constitutional Court confirmed that it was invalid from the time of its conclusion.</w:t>
      </w:r>
      <w:r w:rsidR="00F86D9F" w:rsidRPr="00146A17">
        <w:rPr>
          <w:rFonts w:ascii="Times New Roman" w:hAnsi="Times New Roman"/>
        </w:rPr>
        <w:t xml:space="preserve"> </w:t>
      </w:r>
      <w:r w:rsidR="00BA08A6">
        <w:rPr>
          <w:rFonts w:ascii="Times New Roman" w:hAnsi="Times New Roman"/>
        </w:rPr>
        <w:t>ATS</w:t>
      </w:r>
      <w:r w:rsidR="00D0022C" w:rsidRPr="00146A17">
        <w:rPr>
          <w:rFonts w:ascii="Times New Roman" w:hAnsi="Times New Roman"/>
        </w:rPr>
        <w:t xml:space="preserve"> persists in its alternative argument that, at the latest, prescription began to run when Victor J handed down her judgment.</w:t>
      </w:r>
    </w:p>
    <w:p w14:paraId="472BEDB4" w14:textId="4FC58DEE" w:rsidR="00E723D0"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21.2</w:t>
      </w:r>
      <w:r w:rsidRPr="00146A17">
        <w:rPr>
          <w:rFonts w:ascii="Times New Roman" w:hAnsi="Times New Roman"/>
        </w:rPr>
        <w:tab/>
      </w:r>
      <w:r w:rsidR="00FD4D24" w:rsidRPr="00146A17">
        <w:rPr>
          <w:rFonts w:ascii="Times New Roman" w:hAnsi="Times New Roman"/>
        </w:rPr>
        <w:t xml:space="preserve">ATS says that Wamjay’s argument about the implications of the registration of the long lease </w:t>
      </w:r>
      <w:r w:rsidR="007745E8" w:rsidRPr="00146A17">
        <w:rPr>
          <w:rFonts w:ascii="Times New Roman" w:hAnsi="Times New Roman"/>
        </w:rPr>
        <w:t xml:space="preserve">(see paragraph </w:t>
      </w:r>
      <w:r w:rsidR="006352BC">
        <w:rPr>
          <w:rFonts w:ascii="Times New Roman" w:hAnsi="Times New Roman"/>
        </w:rPr>
        <w:fldChar w:fldCharType="begin"/>
      </w:r>
      <w:r w:rsidR="006352BC">
        <w:rPr>
          <w:rFonts w:ascii="Times New Roman" w:hAnsi="Times New Roman"/>
        </w:rPr>
        <w:instrText xml:space="preserve"> REF _Ref147041821 \r \h </w:instrText>
      </w:r>
      <w:r w:rsidR="006352BC">
        <w:rPr>
          <w:rFonts w:ascii="Times New Roman" w:hAnsi="Times New Roman"/>
        </w:rPr>
      </w:r>
      <w:r w:rsidR="006352BC">
        <w:rPr>
          <w:rFonts w:ascii="Times New Roman" w:hAnsi="Times New Roman"/>
        </w:rPr>
        <w:fldChar w:fldCharType="separate"/>
      </w:r>
      <w:r w:rsidR="009B68C5">
        <w:rPr>
          <w:rFonts w:ascii="Times New Roman" w:hAnsi="Times New Roman"/>
        </w:rPr>
        <w:t>11</w:t>
      </w:r>
      <w:r w:rsidR="006352BC">
        <w:rPr>
          <w:rFonts w:ascii="Times New Roman" w:hAnsi="Times New Roman"/>
        </w:rPr>
        <w:fldChar w:fldCharType="end"/>
      </w:r>
      <w:r w:rsidR="007745E8" w:rsidRPr="00146A17">
        <w:rPr>
          <w:rFonts w:ascii="Times New Roman" w:hAnsi="Times New Roman"/>
        </w:rPr>
        <w:t xml:space="preserve"> above) </w:t>
      </w:r>
      <w:r w:rsidR="00FD4D24" w:rsidRPr="00146A17">
        <w:rPr>
          <w:rFonts w:ascii="Times New Roman" w:hAnsi="Times New Roman"/>
        </w:rPr>
        <w:t>is new (ie, in the sense of not having been pleaded) but responds to it (albeit reluctantly) anyway.</w:t>
      </w:r>
      <w:r w:rsidR="009347A1" w:rsidRPr="00146A17">
        <w:rPr>
          <w:rFonts w:ascii="Times New Roman" w:hAnsi="Times New Roman"/>
        </w:rPr>
        <w:t xml:space="preserve"> ATS argues that </w:t>
      </w:r>
      <w:r w:rsidR="00767671" w:rsidRPr="00146A17">
        <w:rPr>
          <w:rFonts w:ascii="Times New Roman" w:hAnsi="Times New Roman"/>
        </w:rPr>
        <w:t>Victor J’s order (which was revived by the Constitutional Court on appeal against the decision of the SCA) that the Re</w:t>
      </w:r>
      <w:r w:rsidR="00D060C1" w:rsidRPr="00146A17">
        <w:rPr>
          <w:rFonts w:ascii="Times New Roman" w:hAnsi="Times New Roman"/>
        </w:rPr>
        <w:t>gistrar had to cancel the registration of the long lease</w:t>
      </w:r>
      <w:r w:rsidR="00E91FE1" w:rsidRPr="00146A17">
        <w:rPr>
          <w:rFonts w:ascii="Times New Roman" w:hAnsi="Times New Roman"/>
        </w:rPr>
        <w:t xml:space="preserve"> flowed simply from the underlying conclusion that the University’s decision to cancel the lease in October 2012 was lawful. </w:t>
      </w:r>
      <w:r w:rsidR="00550E6B" w:rsidRPr="00146A17">
        <w:rPr>
          <w:rFonts w:ascii="Times New Roman" w:hAnsi="Times New Roman"/>
        </w:rPr>
        <w:t>The simple point which ATS seeks to make is that Wamjay acquired its rights from the cession agreement</w:t>
      </w:r>
      <w:r w:rsidR="00B723D7" w:rsidRPr="00146A17">
        <w:rPr>
          <w:rFonts w:ascii="Times New Roman" w:hAnsi="Times New Roman"/>
        </w:rPr>
        <w:t>, which in turn relied on the validity of the underl</w:t>
      </w:r>
      <w:r w:rsidR="003B3792" w:rsidRPr="00146A17">
        <w:rPr>
          <w:rFonts w:ascii="Times New Roman" w:hAnsi="Times New Roman"/>
        </w:rPr>
        <w:t>y</w:t>
      </w:r>
      <w:r w:rsidR="00B723D7" w:rsidRPr="00146A17">
        <w:rPr>
          <w:rFonts w:ascii="Times New Roman" w:hAnsi="Times New Roman"/>
        </w:rPr>
        <w:t>ing lease agreement. Registration did not, and could not, confer any rights over and above these rights</w:t>
      </w:r>
      <w:r w:rsidR="00A056CF" w:rsidRPr="00146A17">
        <w:rPr>
          <w:rFonts w:ascii="Times New Roman" w:hAnsi="Times New Roman"/>
        </w:rPr>
        <w:t xml:space="preserve"> – as ATS puts it, the Registrar of Deeds “cannot, by the mere endorsement of a lease agreement [a reference to the endorsement on the long lease of the deed of cession</w:t>
      </w:r>
      <w:r w:rsidR="00E5129E" w:rsidRPr="00146A17">
        <w:rPr>
          <w:rFonts w:ascii="Times New Roman" w:hAnsi="Times New Roman"/>
        </w:rPr>
        <w:t>]</w:t>
      </w:r>
      <w:r w:rsidR="00A056CF" w:rsidRPr="00146A17">
        <w:rPr>
          <w:rFonts w:ascii="Times New Roman" w:hAnsi="Times New Roman"/>
        </w:rPr>
        <w:t xml:space="preserve">, transfer rights </w:t>
      </w:r>
      <w:r w:rsidR="00E5129E" w:rsidRPr="00146A17">
        <w:rPr>
          <w:rFonts w:ascii="Times New Roman" w:hAnsi="Times New Roman"/>
        </w:rPr>
        <w:t xml:space="preserve">from one person to another where </w:t>
      </w:r>
      <w:r w:rsidR="00E5129E" w:rsidRPr="00146A17">
        <w:rPr>
          <w:rFonts w:ascii="Times New Roman" w:hAnsi="Times New Roman"/>
        </w:rPr>
        <w:lastRenderedPageBreak/>
        <w:t>rights are incapable of transfer”</w:t>
      </w:r>
      <w:r w:rsidR="00B723D7" w:rsidRPr="00146A17">
        <w:rPr>
          <w:rFonts w:ascii="Times New Roman" w:hAnsi="Times New Roman"/>
        </w:rPr>
        <w:t>. This carries the necessary implication that, once the lease agreement was validly cancelled, Wamjay’s cause of action was perfected.</w:t>
      </w:r>
      <w:r w:rsidR="003B3792" w:rsidRPr="00146A17">
        <w:rPr>
          <w:rFonts w:ascii="Times New Roman" w:hAnsi="Times New Roman"/>
        </w:rPr>
        <w:t xml:space="preserve"> Since the lease was validly cancelled in October 2012, that is when the cause of action arose.</w:t>
      </w:r>
      <w:r w:rsidR="00FE41DB" w:rsidRPr="00146A17">
        <w:rPr>
          <w:rFonts w:ascii="Times New Roman" w:hAnsi="Times New Roman"/>
        </w:rPr>
        <w:t xml:space="preserve"> </w:t>
      </w:r>
    </w:p>
    <w:p w14:paraId="7A1BA1A6" w14:textId="65FDAC3D" w:rsidR="003B3792"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21.3</w:t>
      </w:r>
      <w:r w:rsidRPr="00146A17">
        <w:rPr>
          <w:rFonts w:ascii="Times New Roman" w:hAnsi="Times New Roman"/>
        </w:rPr>
        <w:tab/>
      </w:r>
      <w:r w:rsidR="004C1CF9" w:rsidRPr="00146A17">
        <w:rPr>
          <w:rFonts w:ascii="Times New Roman" w:hAnsi="Times New Roman"/>
        </w:rPr>
        <w:t xml:space="preserve">On Wamjay’s argument that there was a tacit acknowledgment of liability on the part of ATS (see paragraph </w:t>
      </w:r>
      <w:r w:rsidR="002720ED">
        <w:rPr>
          <w:rFonts w:ascii="Times New Roman" w:hAnsi="Times New Roman"/>
        </w:rPr>
        <w:fldChar w:fldCharType="begin"/>
      </w:r>
      <w:r w:rsidR="002720ED">
        <w:rPr>
          <w:rFonts w:ascii="Times New Roman" w:hAnsi="Times New Roman"/>
        </w:rPr>
        <w:instrText xml:space="preserve"> REF _Ref147041887 \r \h </w:instrText>
      </w:r>
      <w:r w:rsidR="002720ED">
        <w:rPr>
          <w:rFonts w:ascii="Times New Roman" w:hAnsi="Times New Roman"/>
        </w:rPr>
      </w:r>
      <w:r w:rsidR="002720ED">
        <w:rPr>
          <w:rFonts w:ascii="Times New Roman" w:hAnsi="Times New Roman"/>
        </w:rPr>
        <w:fldChar w:fldCharType="separate"/>
      </w:r>
      <w:r w:rsidR="00207C65">
        <w:rPr>
          <w:rFonts w:ascii="Times New Roman" w:hAnsi="Times New Roman"/>
        </w:rPr>
        <w:t>15</w:t>
      </w:r>
      <w:r w:rsidR="002720ED">
        <w:rPr>
          <w:rFonts w:ascii="Times New Roman" w:hAnsi="Times New Roman"/>
        </w:rPr>
        <w:fldChar w:fldCharType="end"/>
      </w:r>
      <w:r w:rsidR="004C1CF9" w:rsidRPr="00146A17">
        <w:rPr>
          <w:rFonts w:ascii="Times New Roman" w:hAnsi="Times New Roman"/>
        </w:rPr>
        <w:t xml:space="preserve"> above), </w:t>
      </w:r>
      <w:r w:rsidR="005E7F99" w:rsidRPr="00146A17">
        <w:rPr>
          <w:rFonts w:ascii="Times New Roman" w:hAnsi="Times New Roman"/>
        </w:rPr>
        <w:t xml:space="preserve">a simple summary of ATS’s position is that Wamjay has failed to plead sufficient facts to make out such a case. </w:t>
      </w:r>
      <w:r w:rsidR="00072143" w:rsidRPr="00146A17">
        <w:rPr>
          <w:rFonts w:ascii="Times New Roman" w:hAnsi="Times New Roman"/>
        </w:rPr>
        <w:t xml:space="preserve">It has two main difficulties with Wamjay’s reliance on ATS’s stance in the proceedings before the Constitutional Court. First, it says that there is insufficient </w:t>
      </w:r>
      <w:r w:rsidR="002C7E04">
        <w:rPr>
          <w:rFonts w:ascii="Times New Roman" w:hAnsi="Times New Roman"/>
        </w:rPr>
        <w:t>identification</w:t>
      </w:r>
      <w:r w:rsidR="00072143" w:rsidRPr="00146A17">
        <w:rPr>
          <w:rFonts w:ascii="Times New Roman" w:hAnsi="Times New Roman"/>
        </w:rPr>
        <w:t xml:space="preserve"> of an actual representative of ATS </w:t>
      </w:r>
      <w:r w:rsidR="00450996" w:rsidRPr="00146A17">
        <w:rPr>
          <w:rFonts w:ascii="Times New Roman" w:hAnsi="Times New Roman"/>
        </w:rPr>
        <w:t xml:space="preserve">who </w:t>
      </w:r>
      <w:r w:rsidR="002C7E04">
        <w:rPr>
          <w:rFonts w:ascii="Times New Roman" w:hAnsi="Times New Roman"/>
        </w:rPr>
        <w:t>gave</w:t>
      </w:r>
      <w:r w:rsidR="00450996" w:rsidRPr="00146A17">
        <w:rPr>
          <w:rFonts w:ascii="Times New Roman" w:hAnsi="Times New Roman"/>
        </w:rPr>
        <w:t xml:space="preserve"> the apparent acknowledgment of liability. Secondly, it says that a statement by ATS that Wamjay would reclaim the m</w:t>
      </w:r>
      <w:r w:rsidR="000B7DD6" w:rsidRPr="00146A17">
        <w:rPr>
          <w:rFonts w:ascii="Times New Roman" w:hAnsi="Times New Roman"/>
        </w:rPr>
        <w:t>o</w:t>
      </w:r>
      <w:r w:rsidR="00450996" w:rsidRPr="00146A17">
        <w:rPr>
          <w:rFonts w:ascii="Times New Roman" w:hAnsi="Times New Roman"/>
        </w:rPr>
        <w:t>ney is not the same as an acknowledgment of liability</w:t>
      </w:r>
      <w:r w:rsidR="000B7DD6" w:rsidRPr="00146A17">
        <w:rPr>
          <w:rFonts w:ascii="Times New Roman" w:hAnsi="Times New Roman"/>
        </w:rPr>
        <w:t xml:space="preserve"> because that would require proof of a subjective intention on the part of a representative of ATS to concede the merits of </w:t>
      </w:r>
      <w:r w:rsidR="00C574C4">
        <w:rPr>
          <w:rFonts w:ascii="Times New Roman" w:hAnsi="Times New Roman"/>
        </w:rPr>
        <w:t>the</w:t>
      </w:r>
      <w:r w:rsidR="000B7DD6" w:rsidRPr="00146A17">
        <w:rPr>
          <w:rFonts w:ascii="Times New Roman" w:hAnsi="Times New Roman"/>
        </w:rPr>
        <w:t xml:space="preserve"> claim.</w:t>
      </w:r>
      <w:r w:rsidR="00B95AD3" w:rsidRPr="00146A17">
        <w:rPr>
          <w:rFonts w:ascii="Times New Roman" w:hAnsi="Times New Roman"/>
        </w:rPr>
        <w:t xml:space="preserve"> </w:t>
      </w:r>
    </w:p>
    <w:p w14:paraId="7F40ABD3" w14:textId="1E3157B0" w:rsidR="000B7DD6"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21.4</w:t>
      </w:r>
      <w:r w:rsidRPr="00146A17">
        <w:rPr>
          <w:rFonts w:ascii="Times New Roman" w:hAnsi="Times New Roman"/>
        </w:rPr>
        <w:tab/>
      </w:r>
      <w:r w:rsidR="00E859E9" w:rsidRPr="00146A17">
        <w:rPr>
          <w:rFonts w:ascii="Times New Roman" w:hAnsi="Times New Roman"/>
        </w:rPr>
        <w:t xml:space="preserve">On the issue of estoppel: having </w:t>
      </w:r>
      <w:r w:rsidR="00B0792E" w:rsidRPr="00146A17">
        <w:rPr>
          <w:rFonts w:ascii="Times New Roman" w:hAnsi="Times New Roman"/>
        </w:rPr>
        <w:t>seemingly criticised Wamjay for raising the issue for the first time in reply, ATS says that</w:t>
      </w:r>
      <w:r w:rsidR="00635A05" w:rsidRPr="00146A17">
        <w:rPr>
          <w:rFonts w:ascii="Times New Roman" w:hAnsi="Times New Roman"/>
        </w:rPr>
        <w:t>, even if Wamj</w:t>
      </w:r>
      <w:r w:rsidR="00DE083D" w:rsidRPr="00146A17">
        <w:rPr>
          <w:rFonts w:ascii="Times New Roman" w:hAnsi="Times New Roman"/>
        </w:rPr>
        <w:t>a</w:t>
      </w:r>
      <w:r w:rsidR="00635A05" w:rsidRPr="00146A17">
        <w:rPr>
          <w:rFonts w:ascii="Times New Roman" w:hAnsi="Times New Roman"/>
        </w:rPr>
        <w:t xml:space="preserve">y can overcome the problem that it has failed to plead any primary facts to support the contention that ATS represented </w:t>
      </w:r>
      <w:r w:rsidR="00FA13FC" w:rsidRPr="00146A17">
        <w:rPr>
          <w:rFonts w:ascii="Times New Roman" w:hAnsi="Times New Roman"/>
        </w:rPr>
        <w:t>that the rights in the lease agreement were capable of cession, it has a bigger problem. ATS says that even if such a representation was made, it was a</w:t>
      </w:r>
      <w:r w:rsidR="00981081" w:rsidRPr="00146A17">
        <w:rPr>
          <w:rFonts w:ascii="Times New Roman" w:hAnsi="Times New Roman"/>
        </w:rPr>
        <w:t>n opinion of law and not a</w:t>
      </w:r>
      <w:r w:rsidR="00FA13FC" w:rsidRPr="00146A17">
        <w:rPr>
          <w:rFonts w:ascii="Times New Roman" w:hAnsi="Times New Roman"/>
        </w:rPr>
        <w:t xml:space="preserve"> representation of fact.</w:t>
      </w:r>
      <w:r w:rsidR="00F55527" w:rsidRPr="00146A17">
        <w:rPr>
          <w:rFonts w:ascii="Times New Roman" w:hAnsi="Times New Roman"/>
        </w:rPr>
        <w:t xml:space="preserve"> Furthermore, it says that, even on Wamjay’s version, no representation was made because the parties acted together</w:t>
      </w:r>
      <w:r w:rsidR="00DB7B59" w:rsidRPr="00146A17">
        <w:rPr>
          <w:rFonts w:ascii="Times New Roman" w:hAnsi="Times New Roman"/>
        </w:rPr>
        <w:t>; in other word</w:t>
      </w:r>
      <w:r w:rsidR="00F45B3B">
        <w:rPr>
          <w:rFonts w:ascii="Times New Roman" w:hAnsi="Times New Roman"/>
        </w:rPr>
        <w:t>s</w:t>
      </w:r>
      <w:r w:rsidR="00DB7B59" w:rsidRPr="00146A17">
        <w:rPr>
          <w:rFonts w:ascii="Times New Roman" w:hAnsi="Times New Roman"/>
        </w:rPr>
        <w:t>, the parties jointly decided to defend the litigation and neither made a representation to the other.</w:t>
      </w:r>
      <w:r w:rsidR="00EA4CE6" w:rsidRPr="00146A17">
        <w:rPr>
          <w:rFonts w:ascii="Times New Roman" w:hAnsi="Times New Roman"/>
        </w:rPr>
        <w:t xml:space="preserve"> It says that, </w:t>
      </w:r>
      <w:r w:rsidR="00F45B3B">
        <w:rPr>
          <w:rFonts w:ascii="Times New Roman" w:hAnsi="Times New Roman"/>
        </w:rPr>
        <w:t xml:space="preserve">in </w:t>
      </w:r>
      <w:r w:rsidR="00EA4CE6" w:rsidRPr="00146A17">
        <w:rPr>
          <w:rFonts w:ascii="Times New Roman" w:hAnsi="Times New Roman"/>
        </w:rPr>
        <w:t xml:space="preserve">litigating for all of these years, Wamjay did not rely on any representation by ATS, but </w:t>
      </w:r>
      <w:r w:rsidR="00EA4CE6" w:rsidRPr="00146A17">
        <w:rPr>
          <w:rFonts w:ascii="Times New Roman" w:hAnsi="Times New Roman"/>
        </w:rPr>
        <w:lastRenderedPageBreak/>
        <w:t>rather on its own view that the University had no right to cancel the lease.</w:t>
      </w:r>
      <w:r w:rsidR="0025343F" w:rsidRPr="00146A17">
        <w:rPr>
          <w:rFonts w:ascii="Times New Roman" w:hAnsi="Times New Roman"/>
        </w:rPr>
        <w:t xml:space="preserve"> There is therefore no case, based on primary evidence, that there was any causal connection between anything which ATS said </w:t>
      </w:r>
      <w:r w:rsidR="003E2326" w:rsidRPr="00146A17">
        <w:rPr>
          <w:rFonts w:ascii="Times New Roman" w:hAnsi="Times New Roman"/>
        </w:rPr>
        <w:t>and Wamjay’s prejudice. Lastly, it says that Wamjay has failed to p</w:t>
      </w:r>
      <w:r w:rsidR="004828FF" w:rsidRPr="00146A17">
        <w:rPr>
          <w:rFonts w:ascii="Times New Roman" w:hAnsi="Times New Roman"/>
        </w:rPr>
        <w:t>r</w:t>
      </w:r>
      <w:r w:rsidR="00C17023" w:rsidRPr="00146A17">
        <w:rPr>
          <w:rFonts w:ascii="Times New Roman" w:hAnsi="Times New Roman"/>
        </w:rPr>
        <w:t>o</w:t>
      </w:r>
      <w:r w:rsidR="004828FF" w:rsidRPr="00146A17">
        <w:rPr>
          <w:rFonts w:ascii="Times New Roman" w:hAnsi="Times New Roman"/>
        </w:rPr>
        <w:t>vide any primary evidence to support its contention that its reliance on ATS’s representation was reasonable. It says that since any such reliance would be prima facie unreasonable, that is a further fatal obstacle to the reliance by Wamjay on estoppel.</w:t>
      </w:r>
    </w:p>
    <w:p w14:paraId="1F1EF44C" w14:textId="77777777" w:rsidR="008A3EB9" w:rsidRPr="00146A17" w:rsidRDefault="008A3EB9" w:rsidP="008A3EB9">
      <w:pPr>
        <w:pStyle w:val="Heading1"/>
        <w:rPr>
          <w:rFonts w:ascii="Times New Roman" w:hAnsi="Times New Roman"/>
        </w:rPr>
      </w:pPr>
      <w:r w:rsidRPr="00146A17">
        <w:rPr>
          <w:rFonts w:ascii="Times New Roman" w:hAnsi="Times New Roman"/>
        </w:rPr>
        <w:t>THE ISSUES</w:t>
      </w:r>
    </w:p>
    <w:p w14:paraId="186B1E20" w14:textId="22833267" w:rsidR="002F3312"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22</w:t>
      </w:r>
      <w:r w:rsidRPr="00146A17">
        <w:rPr>
          <w:rFonts w:ascii="Times New Roman" w:hAnsi="Times New Roman"/>
        </w:rPr>
        <w:tab/>
      </w:r>
      <w:r w:rsidR="004D79F3" w:rsidRPr="00146A17">
        <w:rPr>
          <w:rFonts w:ascii="Times New Roman" w:hAnsi="Times New Roman"/>
        </w:rPr>
        <w:t xml:space="preserve">I have set out the arguments of the parties in some detail because </w:t>
      </w:r>
      <w:r w:rsidR="00226B46" w:rsidRPr="00146A17">
        <w:rPr>
          <w:rFonts w:ascii="Times New Roman" w:hAnsi="Times New Roman"/>
        </w:rPr>
        <w:t xml:space="preserve">it is important, in my view, to be careful about identifying the true issues in this case. The parties at times have </w:t>
      </w:r>
      <w:r w:rsidR="00B0347F" w:rsidRPr="00146A17">
        <w:rPr>
          <w:rFonts w:ascii="Times New Roman" w:hAnsi="Times New Roman"/>
        </w:rPr>
        <w:t xml:space="preserve">spoken past each and, as a result, </w:t>
      </w:r>
      <w:r w:rsidR="00690B68" w:rsidRPr="00146A17">
        <w:rPr>
          <w:rFonts w:ascii="Times New Roman" w:hAnsi="Times New Roman"/>
        </w:rPr>
        <w:t xml:space="preserve">it is not in my view necessary for me to resolve </w:t>
      </w:r>
      <w:r w:rsidR="000E19AA">
        <w:rPr>
          <w:rFonts w:ascii="Times New Roman" w:hAnsi="Times New Roman"/>
        </w:rPr>
        <w:t>many</w:t>
      </w:r>
      <w:r w:rsidR="00B0347F" w:rsidRPr="00146A17">
        <w:rPr>
          <w:rFonts w:ascii="Times New Roman" w:hAnsi="Times New Roman"/>
        </w:rPr>
        <w:t xml:space="preserve"> of their arguments</w:t>
      </w:r>
      <w:r w:rsidR="00690B68" w:rsidRPr="00146A17">
        <w:rPr>
          <w:rFonts w:ascii="Times New Roman" w:hAnsi="Times New Roman"/>
        </w:rPr>
        <w:t xml:space="preserve"> to determine the appropriate </w:t>
      </w:r>
      <w:r w:rsidR="005322A4">
        <w:rPr>
          <w:rFonts w:ascii="Times New Roman" w:hAnsi="Times New Roman"/>
        </w:rPr>
        <w:t>order to make</w:t>
      </w:r>
      <w:r w:rsidR="00B0347F" w:rsidRPr="00146A17">
        <w:rPr>
          <w:rFonts w:ascii="Times New Roman" w:hAnsi="Times New Roman"/>
        </w:rPr>
        <w:t>.</w:t>
      </w:r>
    </w:p>
    <w:p w14:paraId="1F801CE6" w14:textId="7B846E2A" w:rsidR="007159F4"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23</w:t>
      </w:r>
      <w:r w:rsidRPr="00146A17">
        <w:rPr>
          <w:rFonts w:ascii="Times New Roman" w:hAnsi="Times New Roman"/>
        </w:rPr>
        <w:tab/>
      </w:r>
      <w:r w:rsidR="002F3312" w:rsidRPr="00146A17">
        <w:rPr>
          <w:rFonts w:ascii="Times New Roman" w:hAnsi="Times New Roman"/>
        </w:rPr>
        <w:t xml:space="preserve">I was initially, as I conveyed to the parties in oral argument, quite interested in the submission of </w:t>
      </w:r>
      <w:r w:rsidR="002F3312" w:rsidRPr="00146A17">
        <w:rPr>
          <w:rFonts w:ascii="Times New Roman" w:hAnsi="Times New Roman"/>
          <w:i/>
          <w:iCs/>
        </w:rPr>
        <w:t>Mr Alli</w:t>
      </w:r>
      <w:r w:rsidR="002F3312" w:rsidRPr="00146A17">
        <w:rPr>
          <w:rFonts w:ascii="Times New Roman" w:hAnsi="Times New Roman"/>
        </w:rPr>
        <w:t>, who appeared for Wamjay, about the consequences of registration.</w:t>
      </w:r>
      <w:r w:rsidR="00A40261" w:rsidRPr="00146A17">
        <w:rPr>
          <w:rFonts w:ascii="Times New Roman" w:hAnsi="Times New Roman"/>
        </w:rPr>
        <w:t xml:space="preserve"> However, none of the authorities cited by either of the parties </w:t>
      </w:r>
      <w:r w:rsidR="00CB1F9F" w:rsidRPr="00146A17">
        <w:rPr>
          <w:rFonts w:ascii="Times New Roman" w:hAnsi="Times New Roman"/>
        </w:rPr>
        <w:t>authoritatively</w:t>
      </w:r>
      <w:r w:rsidR="00A40261" w:rsidRPr="00146A17">
        <w:rPr>
          <w:rFonts w:ascii="Times New Roman" w:hAnsi="Times New Roman"/>
        </w:rPr>
        <w:t xml:space="preserve"> deals with the precise legal consequences of registration. We all </w:t>
      </w:r>
      <w:r w:rsidR="00CB1F9F" w:rsidRPr="00146A17">
        <w:rPr>
          <w:rFonts w:ascii="Times New Roman" w:hAnsi="Times New Roman"/>
        </w:rPr>
        <w:t>know that a long lease is a real right, but what precisely does that mean in the context of a case like this?</w:t>
      </w:r>
      <w:r w:rsidR="00B0347F" w:rsidRPr="00146A17">
        <w:rPr>
          <w:rFonts w:ascii="Times New Roman" w:hAnsi="Times New Roman"/>
        </w:rPr>
        <w:t xml:space="preserve"> </w:t>
      </w:r>
    </w:p>
    <w:p w14:paraId="10A266E5" w14:textId="043EE283" w:rsidR="00865D6B"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24</w:t>
      </w:r>
      <w:r w:rsidRPr="00146A17">
        <w:rPr>
          <w:rFonts w:ascii="Times New Roman" w:hAnsi="Times New Roman"/>
        </w:rPr>
        <w:tab/>
      </w:r>
      <w:r w:rsidR="00CB1F9F" w:rsidRPr="00146A17">
        <w:rPr>
          <w:rFonts w:ascii="Times New Roman" w:hAnsi="Times New Roman"/>
        </w:rPr>
        <w:t xml:space="preserve">Having considered the issue in more detail, and having found what authorities I could, I agree with </w:t>
      </w:r>
      <w:r w:rsidR="00CB1F9F" w:rsidRPr="00146A17">
        <w:rPr>
          <w:rFonts w:ascii="Times New Roman" w:hAnsi="Times New Roman"/>
          <w:i/>
          <w:iCs/>
        </w:rPr>
        <w:t>Mr Both</w:t>
      </w:r>
      <w:r w:rsidR="00CB1F9F" w:rsidRPr="00146A17">
        <w:rPr>
          <w:rFonts w:ascii="Times New Roman" w:hAnsi="Times New Roman"/>
        </w:rPr>
        <w:t xml:space="preserve"> (who appeared together with </w:t>
      </w:r>
      <w:r w:rsidR="00CB1F9F" w:rsidRPr="00146A17">
        <w:rPr>
          <w:rFonts w:ascii="Times New Roman" w:hAnsi="Times New Roman"/>
          <w:i/>
          <w:iCs/>
        </w:rPr>
        <w:t>Mr Louw</w:t>
      </w:r>
      <w:r w:rsidR="00CB1F9F" w:rsidRPr="00146A17">
        <w:rPr>
          <w:rFonts w:ascii="Times New Roman" w:hAnsi="Times New Roman"/>
        </w:rPr>
        <w:t xml:space="preserve"> for ATS) that the issue of registration is a red herring (if I may be forgiven some liberal paraphrasing).</w:t>
      </w:r>
      <w:r w:rsidR="00B70273" w:rsidRPr="00146A17">
        <w:rPr>
          <w:rFonts w:ascii="Times New Roman" w:hAnsi="Times New Roman"/>
        </w:rPr>
        <w:t xml:space="preserve"> It seems to me that the purpose of registration – and indeed, the distinction between personal and real rights – is to </w:t>
      </w:r>
      <w:r w:rsidR="00060FE3" w:rsidRPr="00146A17">
        <w:rPr>
          <w:rFonts w:ascii="Times New Roman" w:hAnsi="Times New Roman"/>
        </w:rPr>
        <w:t xml:space="preserve">put third parties on notice about rights which transcend mere personal rights. </w:t>
      </w:r>
      <w:r w:rsidR="00EA6D2D" w:rsidRPr="00146A17">
        <w:rPr>
          <w:rFonts w:ascii="Times New Roman" w:hAnsi="Times New Roman"/>
        </w:rPr>
        <w:t xml:space="preserve">For example, a bank may have been interested in knowing (let us say, in 2010) </w:t>
      </w:r>
      <w:r w:rsidR="00EA6D2D" w:rsidRPr="00146A17">
        <w:rPr>
          <w:rFonts w:ascii="Times New Roman" w:hAnsi="Times New Roman"/>
        </w:rPr>
        <w:lastRenderedPageBreak/>
        <w:t>that the University’s land was encumbered by a long lease, because this might have been relevant to its capacity to serve as security for a loan.</w:t>
      </w:r>
      <w:r w:rsidR="007159F4" w:rsidRPr="00146A17">
        <w:rPr>
          <w:rFonts w:ascii="Times New Roman" w:hAnsi="Times New Roman"/>
        </w:rPr>
        <w:t xml:space="preserve"> Or a potential purchaser of the premises might </w:t>
      </w:r>
      <w:r w:rsidR="00DE497B">
        <w:rPr>
          <w:rFonts w:ascii="Times New Roman" w:hAnsi="Times New Roman"/>
        </w:rPr>
        <w:t xml:space="preserve">have </w:t>
      </w:r>
      <w:r w:rsidR="007159F4" w:rsidRPr="00146A17">
        <w:rPr>
          <w:rFonts w:ascii="Times New Roman" w:hAnsi="Times New Roman"/>
        </w:rPr>
        <w:t>be</w:t>
      </w:r>
      <w:r w:rsidR="00DE497B">
        <w:rPr>
          <w:rFonts w:ascii="Times New Roman" w:hAnsi="Times New Roman"/>
        </w:rPr>
        <w:t>en</w:t>
      </w:r>
      <w:r w:rsidR="007159F4" w:rsidRPr="00146A17">
        <w:rPr>
          <w:rFonts w:ascii="Times New Roman" w:hAnsi="Times New Roman"/>
        </w:rPr>
        <w:t xml:space="preserve"> interested in knowing about the existence of the long lease because it would have </w:t>
      </w:r>
      <w:r w:rsidR="00C34E84">
        <w:rPr>
          <w:rFonts w:ascii="Times New Roman" w:hAnsi="Times New Roman"/>
        </w:rPr>
        <w:t xml:space="preserve">had </w:t>
      </w:r>
      <w:r w:rsidR="007159F4" w:rsidRPr="00146A17">
        <w:rPr>
          <w:rFonts w:ascii="Times New Roman" w:hAnsi="Times New Roman"/>
        </w:rPr>
        <w:t>major implications for how it could deal with the property.</w:t>
      </w:r>
      <w:r w:rsidR="00662BDB" w:rsidRPr="00146A17">
        <w:rPr>
          <w:rFonts w:ascii="Times New Roman" w:hAnsi="Times New Roman"/>
        </w:rPr>
        <w:t xml:space="preserve"> But I agree with </w:t>
      </w:r>
      <w:r w:rsidR="00662BDB" w:rsidRPr="00146A17">
        <w:rPr>
          <w:rFonts w:ascii="Times New Roman" w:hAnsi="Times New Roman"/>
          <w:i/>
          <w:iCs/>
        </w:rPr>
        <w:t>Mr Both</w:t>
      </w:r>
      <w:r w:rsidR="00662BDB" w:rsidRPr="00146A17">
        <w:rPr>
          <w:rFonts w:ascii="Times New Roman" w:hAnsi="Times New Roman"/>
        </w:rPr>
        <w:t xml:space="preserve"> that the mere act of registration cannot serve to </w:t>
      </w:r>
      <w:r w:rsidR="00503B8C">
        <w:rPr>
          <w:rFonts w:ascii="Times New Roman" w:hAnsi="Times New Roman"/>
        </w:rPr>
        <w:t>determine</w:t>
      </w:r>
      <w:r w:rsidR="00662BDB" w:rsidRPr="00146A17">
        <w:rPr>
          <w:rFonts w:ascii="Times New Roman" w:hAnsi="Times New Roman"/>
        </w:rPr>
        <w:t xml:space="preserve"> the underlying validity of an agreement between parties.</w:t>
      </w:r>
    </w:p>
    <w:p w14:paraId="775801AD" w14:textId="408D3534" w:rsidR="00650003"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25</w:t>
      </w:r>
      <w:r w:rsidRPr="00146A17">
        <w:rPr>
          <w:rFonts w:ascii="Times New Roman" w:hAnsi="Times New Roman"/>
        </w:rPr>
        <w:tab/>
      </w:r>
      <w:r w:rsidR="00650003" w:rsidRPr="00146A17">
        <w:rPr>
          <w:rFonts w:ascii="Times New Roman" w:hAnsi="Times New Roman"/>
        </w:rPr>
        <w:t xml:space="preserve">The best way of looking at this, in my view, is to consider two separate situations. The first situation is one </w:t>
      </w:r>
      <w:r w:rsidR="00A2155F" w:rsidRPr="00146A17">
        <w:rPr>
          <w:rFonts w:ascii="Times New Roman" w:hAnsi="Times New Roman"/>
        </w:rPr>
        <w:t>such as</w:t>
      </w:r>
      <w:r w:rsidR="00650003" w:rsidRPr="00146A17">
        <w:rPr>
          <w:rFonts w:ascii="Times New Roman" w:hAnsi="Times New Roman"/>
        </w:rPr>
        <w:t xml:space="preserve"> </w:t>
      </w:r>
      <w:r w:rsidR="00ED5EFC">
        <w:rPr>
          <w:rFonts w:ascii="Times New Roman" w:hAnsi="Times New Roman"/>
        </w:rPr>
        <w:t xml:space="preserve">the one </w:t>
      </w:r>
      <w:r w:rsidR="00A2155F" w:rsidRPr="00146A17">
        <w:rPr>
          <w:rFonts w:ascii="Times New Roman" w:hAnsi="Times New Roman"/>
        </w:rPr>
        <w:t xml:space="preserve">arising in </w:t>
      </w:r>
      <w:r w:rsidR="00650003" w:rsidRPr="00146A17">
        <w:rPr>
          <w:rFonts w:ascii="Times New Roman" w:hAnsi="Times New Roman"/>
        </w:rPr>
        <w:t>the present case, where an entity seeks to cancel a long lease agreement because it says that its counterparty has repudiated it. That argument goes to the underlying validity of the agreement itself; and, if the argument succeeds, it w</w:t>
      </w:r>
      <w:r w:rsidR="00E5397B">
        <w:rPr>
          <w:rFonts w:ascii="Times New Roman" w:hAnsi="Times New Roman"/>
        </w:rPr>
        <w:t>ill</w:t>
      </w:r>
      <w:r w:rsidR="00650003" w:rsidRPr="00146A17">
        <w:rPr>
          <w:rFonts w:ascii="Times New Roman" w:hAnsi="Times New Roman"/>
        </w:rPr>
        <w:t xml:space="preserve"> follow as a matter of course that the long lease’s registration should be cancelled. No independent argument would have to be advanced about the validity or otherwise of the registration – the fate of registration would flow axiomatically from the conclusion about the validity (or invalidity) of the underlying agreement. On the other hand, if a party contended that a right had been invalidly registered because of some non-compliance with </w:t>
      </w:r>
      <w:r w:rsidR="007469B7" w:rsidRPr="00146A17">
        <w:rPr>
          <w:rFonts w:ascii="Times New Roman" w:hAnsi="Times New Roman"/>
        </w:rPr>
        <w:t>formalities</w:t>
      </w:r>
      <w:r w:rsidR="00CC6ADA" w:rsidRPr="00146A17">
        <w:rPr>
          <w:rFonts w:ascii="Times New Roman" w:hAnsi="Times New Roman"/>
        </w:rPr>
        <w:t xml:space="preserve"> –</w:t>
      </w:r>
      <w:r w:rsidR="007469B7" w:rsidRPr="00146A17">
        <w:rPr>
          <w:rFonts w:ascii="Times New Roman" w:hAnsi="Times New Roman"/>
        </w:rPr>
        <w:t xml:space="preserve"> or even, especially taking into account our modern administrative law, some so</w:t>
      </w:r>
      <w:r w:rsidR="00A01BB3" w:rsidRPr="00146A17">
        <w:rPr>
          <w:rFonts w:ascii="Times New Roman" w:hAnsi="Times New Roman"/>
        </w:rPr>
        <w:t>r</w:t>
      </w:r>
      <w:r w:rsidR="007469B7" w:rsidRPr="00146A17">
        <w:rPr>
          <w:rFonts w:ascii="Times New Roman" w:hAnsi="Times New Roman"/>
        </w:rPr>
        <w:t xml:space="preserve">t of </w:t>
      </w:r>
      <w:r w:rsidR="00A01BB3" w:rsidRPr="00146A17">
        <w:rPr>
          <w:rFonts w:ascii="Times New Roman" w:hAnsi="Times New Roman"/>
        </w:rPr>
        <w:t xml:space="preserve">reviewable error as to the substantive requirements of registration </w:t>
      </w:r>
      <w:r w:rsidR="00E06377" w:rsidRPr="00146A17">
        <w:rPr>
          <w:rFonts w:ascii="Times New Roman" w:hAnsi="Times New Roman"/>
        </w:rPr>
        <w:t>– there would be a separate cause of action relating to the validity of registration. It would have to be assessed on its merits and might well (but not necessarily so) have nothing to do with the validity of the underlying agreement.</w:t>
      </w:r>
      <w:r w:rsidR="00CC6ADA" w:rsidRPr="00146A17">
        <w:rPr>
          <w:rFonts w:ascii="Times New Roman" w:hAnsi="Times New Roman"/>
        </w:rPr>
        <w:t xml:space="preserve"> In the former case, it seems to me that the fact of registration is not relevant to the </w:t>
      </w:r>
      <w:r w:rsidR="00147639" w:rsidRPr="00146A17">
        <w:rPr>
          <w:rFonts w:ascii="Times New Roman" w:hAnsi="Times New Roman"/>
        </w:rPr>
        <w:t xml:space="preserve">validity of the </w:t>
      </w:r>
      <w:r w:rsidR="00CC6ADA" w:rsidRPr="00146A17">
        <w:rPr>
          <w:rFonts w:ascii="Times New Roman" w:hAnsi="Times New Roman"/>
        </w:rPr>
        <w:t>underlying cause of action; which carries the corollary that the fact of registration is not an obstacle to a claim based on the underlying invalidity of an agreement.</w:t>
      </w:r>
    </w:p>
    <w:p w14:paraId="25D0C98C" w14:textId="3743D69E" w:rsidR="003932E2"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lastRenderedPageBreak/>
        <w:t>26</w:t>
      </w:r>
      <w:r w:rsidRPr="00146A17">
        <w:rPr>
          <w:rFonts w:ascii="Times New Roman" w:hAnsi="Times New Roman"/>
        </w:rPr>
        <w:tab/>
      </w:r>
      <w:r w:rsidR="000C532E" w:rsidRPr="00146A17">
        <w:rPr>
          <w:rFonts w:ascii="Times New Roman" w:hAnsi="Times New Roman"/>
        </w:rPr>
        <w:t xml:space="preserve">I also agree with </w:t>
      </w:r>
      <w:r w:rsidR="000C532E" w:rsidRPr="00146A17">
        <w:rPr>
          <w:rFonts w:ascii="Times New Roman" w:hAnsi="Times New Roman"/>
          <w:i/>
          <w:iCs/>
        </w:rPr>
        <w:t>Mr Both</w:t>
      </w:r>
      <w:r w:rsidR="000C532E" w:rsidRPr="00146A17">
        <w:rPr>
          <w:rFonts w:ascii="Times New Roman" w:hAnsi="Times New Roman"/>
        </w:rPr>
        <w:t xml:space="preserve"> that Wamjay has pleaded insufficient </w:t>
      </w:r>
      <w:r w:rsidR="00D83CB7" w:rsidRPr="00146A17">
        <w:rPr>
          <w:rFonts w:ascii="Times New Roman" w:hAnsi="Times New Roman"/>
        </w:rPr>
        <w:t>facts to make out a defence of estoppel or a claim that prescription was interrupted by an acknowledgment of liability. Unlike</w:t>
      </w:r>
      <w:r w:rsidR="001B213A">
        <w:rPr>
          <w:rFonts w:ascii="Times New Roman" w:hAnsi="Times New Roman"/>
        </w:rPr>
        <w:t xml:space="preserve"> ATS</w:t>
      </w:r>
      <w:r w:rsidR="00D83CB7" w:rsidRPr="00146A17">
        <w:rPr>
          <w:rFonts w:ascii="Times New Roman" w:hAnsi="Times New Roman"/>
        </w:rPr>
        <w:t>, I have no difficulty with Wamjay raising the issue in reply for the reasons I have already given (see paragraph</w:t>
      </w:r>
      <w:r w:rsidR="006F4E36">
        <w:rPr>
          <w:rFonts w:ascii="Times New Roman" w:hAnsi="Times New Roman"/>
        </w:rPr>
        <w:t xml:space="preserve"> </w:t>
      </w:r>
      <w:r w:rsidR="006F4E36">
        <w:rPr>
          <w:rFonts w:ascii="Times New Roman" w:hAnsi="Times New Roman"/>
        </w:rPr>
        <w:fldChar w:fldCharType="begin"/>
      </w:r>
      <w:r w:rsidR="006F4E36">
        <w:rPr>
          <w:rFonts w:ascii="Times New Roman" w:hAnsi="Times New Roman"/>
        </w:rPr>
        <w:instrText xml:space="preserve"> REF _Ref147042192 \r \h </w:instrText>
      </w:r>
      <w:r w:rsidR="006F4E36">
        <w:rPr>
          <w:rFonts w:ascii="Times New Roman" w:hAnsi="Times New Roman"/>
        </w:rPr>
      </w:r>
      <w:r w:rsidR="006F4E36">
        <w:rPr>
          <w:rFonts w:ascii="Times New Roman" w:hAnsi="Times New Roman"/>
        </w:rPr>
        <w:fldChar w:fldCharType="separate"/>
      </w:r>
      <w:r w:rsidR="001B213A">
        <w:rPr>
          <w:rFonts w:ascii="Times New Roman" w:hAnsi="Times New Roman"/>
        </w:rPr>
        <w:t>8</w:t>
      </w:r>
      <w:r w:rsidR="006F4E36">
        <w:rPr>
          <w:rFonts w:ascii="Times New Roman" w:hAnsi="Times New Roman"/>
        </w:rPr>
        <w:fldChar w:fldCharType="end"/>
      </w:r>
      <w:r w:rsidR="006F4E36">
        <w:rPr>
          <w:rFonts w:ascii="Times New Roman" w:hAnsi="Times New Roman"/>
        </w:rPr>
        <w:t xml:space="preserve"> above</w:t>
      </w:r>
      <w:r w:rsidR="00D83CB7" w:rsidRPr="00146A17">
        <w:rPr>
          <w:rFonts w:ascii="Times New Roman" w:hAnsi="Times New Roman"/>
        </w:rPr>
        <w:t xml:space="preserve">). </w:t>
      </w:r>
      <w:r w:rsidR="003932E2" w:rsidRPr="00146A17">
        <w:rPr>
          <w:rFonts w:ascii="Times New Roman" w:hAnsi="Times New Roman"/>
        </w:rPr>
        <w:t xml:space="preserve">So, had Wamjay made out a case for estoppel in the replying affidavit, which was strong enough to call for a response, the appropriate course of action would have been for ATS to seek leave to file a further affidavit to deal with the issue. In that situation, its failure to do so would have caused prima facie evidence to be </w:t>
      </w:r>
      <w:r w:rsidR="00791E9D">
        <w:rPr>
          <w:rFonts w:ascii="Times New Roman" w:hAnsi="Times New Roman"/>
        </w:rPr>
        <w:t>transformed</w:t>
      </w:r>
      <w:r w:rsidR="003932E2" w:rsidRPr="00146A17">
        <w:rPr>
          <w:rFonts w:ascii="Times New Roman" w:hAnsi="Times New Roman"/>
        </w:rPr>
        <w:t xml:space="preserve"> into uncontroverted evidence,</w:t>
      </w:r>
      <w:r w:rsidR="003932E2" w:rsidRPr="00146A17">
        <w:rPr>
          <w:rStyle w:val="FootnoteReference"/>
          <w:rFonts w:ascii="Times New Roman" w:hAnsi="Times New Roman"/>
        </w:rPr>
        <w:footnoteReference w:id="6"/>
      </w:r>
      <w:r w:rsidR="003932E2" w:rsidRPr="00146A17">
        <w:rPr>
          <w:rFonts w:ascii="Times New Roman" w:hAnsi="Times New Roman"/>
        </w:rPr>
        <w:t xml:space="preserve"> resulting in the estoppel defence succeeding.</w:t>
      </w:r>
    </w:p>
    <w:p w14:paraId="1D34EB58" w14:textId="3C8AE36E" w:rsidR="00EC77B8" w:rsidRDefault="00843CD7" w:rsidP="00843CD7">
      <w:pPr>
        <w:pStyle w:val="WLGLevel1"/>
        <w:numPr>
          <w:ilvl w:val="0"/>
          <w:numId w:val="0"/>
        </w:numPr>
        <w:tabs>
          <w:tab w:val="left" w:pos="567"/>
        </w:tabs>
        <w:ind w:left="562" w:hanging="562"/>
        <w:rPr>
          <w:rFonts w:ascii="Times New Roman" w:hAnsi="Times New Roman"/>
        </w:rPr>
      </w:pPr>
      <w:r>
        <w:rPr>
          <w:rFonts w:ascii="Times New Roman" w:hAnsi="Times New Roman"/>
        </w:rPr>
        <w:t>27</w:t>
      </w:r>
      <w:r>
        <w:rPr>
          <w:rFonts w:ascii="Times New Roman" w:hAnsi="Times New Roman"/>
        </w:rPr>
        <w:tab/>
      </w:r>
      <w:r w:rsidR="003932E2" w:rsidRPr="00146A17">
        <w:rPr>
          <w:rFonts w:ascii="Times New Roman" w:hAnsi="Times New Roman"/>
        </w:rPr>
        <w:t xml:space="preserve">In this case, however, I agree with </w:t>
      </w:r>
      <w:r w:rsidR="003932E2" w:rsidRPr="00146A17">
        <w:rPr>
          <w:rFonts w:ascii="Times New Roman" w:hAnsi="Times New Roman"/>
          <w:i/>
          <w:iCs/>
        </w:rPr>
        <w:t>Mr Both</w:t>
      </w:r>
      <w:r w:rsidR="003932E2" w:rsidRPr="00146A17">
        <w:rPr>
          <w:rFonts w:ascii="Times New Roman" w:hAnsi="Times New Roman"/>
        </w:rPr>
        <w:t xml:space="preserve"> that Wamjay did not plead sufficient primary facts to make out a case of estoppel. Viewing the case from an aerial view, and taking into account ATS’s stance from the beginning of the litigation, there may well have been sufficient facts to make out such a case. However, I am limited to what was adduced in evidence before me. </w:t>
      </w:r>
    </w:p>
    <w:p w14:paraId="1F619855" w14:textId="35EF688E" w:rsidR="00CF5EE3" w:rsidRDefault="00843CD7" w:rsidP="00843CD7">
      <w:pPr>
        <w:pStyle w:val="WLGLevel1"/>
        <w:numPr>
          <w:ilvl w:val="0"/>
          <w:numId w:val="0"/>
        </w:numPr>
        <w:tabs>
          <w:tab w:val="left" w:pos="567"/>
        </w:tabs>
        <w:ind w:left="562" w:hanging="562"/>
        <w:rPr>
          <w:rFonts w:ascii="Times New Roman" w:hAnsi="Times New Roman"/>
        </w:rPr>
      </w:pPr>
      <w:r>
        <w:rPr>
          <w:rFonts w:ascii="Times New Roman" w:hAnsi="Times New Roman"/>
        </w:rPr>
        <w:t>28</w:t>
      </w:r>
      <w:r>
        <w:rPr>
          <w:rFonts w:ascii="Times New Roman" w:hAnsi="Times New Roman"/>
        </w:rPr>
        <w:tab/>
      </w:r>
      <w:r w:rsidR="003932E2" w:rsidRPr="00146A17">
        <w:rPr>
          <w:rFonts w:ascii="Times New Roman" w:hAnsi="Times New Roman"/>
        </w:rPr>
        <w:t>In its replying affidavit, Wamjay does not allege that ATS represented to it that it would not take the prescription point in due course. It characterises ATS’s representation as being that the cession agreement was “operable”. But in order to make out a case of estoppel in relation to the prescription defence, Wamjay had to allege and prove that ATS represented to it (even by conduct, if not expressly) that it would not pursue a prescription defence in due course</w:t>
      </w:r>
      <w:r w:rsidR="009D36F7">
        <w:rPr>
          <w:rFonts w:ascii="Times New Roman" w:hAnsi="Times New Roman"/>
        </w:rPr>
        <w:t xml:space="preserve"> and that </w:t>
      </w:r>
      <w:r w:rsidR="001F70C3">
        <w:rPr>
          <w:rFonts w:ascii="Times New Roman" w:hAnsi="Times New Roman"/>
        </w:rPr>
        <w:t>Wamjay</w:t>
      </w:r>
      <w:r w:rsidR="009D36F7">
        <w:rPr>
          <w:rFonts w:ascii="Times New Roman" w:hAnsi="Times New Roman"/>
        </w:rPr>
        <w:t xml:space="preserve"> acted to its detriment </w:t>
      </w:r>
      <w:r w:rsidR="00774AC1">
        <w:rPr>
          <w:rFonts w:ascii="Times New Roman" w:hAnsi="Times New Roman"/>
        </w:rPr>
        <w:t>by not instituting a claim timeously based on this representation</w:t>
      </w:r>
      <w:r w:rsidR="003932E2" w:rsidRPr="00146A17">
        <w:rPr>
          <w:rFonts w:ascii="Times New Roman" w:hAnsi="Times New Roman"/>
        </w:rPr>
        <w:t>. Wamjay does not make th</w:t>
      </w:r>
      <w:r w:rsidR="00F63D58">
        <w:rPr>
          <w:rFonts w:ascii="Times New Roman" w:hAnsi="Times New Roman"/>
        </w:rPr>
        <w:t>ese</w:t>
      </w:r>
      <w:r w:rsidR="003932E2" w:rsidRPr="00146A17">
        <w:rPr>
          <w:rFonts w:ascii="Times New Roman" w:hAnsi="Times New Roman"/>
        </w:rPr>
        <w:t xml:space="preserve"> allegation</w:t>
      </w:r>
      <w:r w:rsidR="00101028">
        <w:rPr>
          <w:rFonts w:ascii="Times New Roman" w:hAnsi="Times New Roman"/>
        </w:rPr>
        <w:t>s</w:t>
      </w:r>
      <w:r w:rsidR="003932E2" w:rsidRPr="00146A17">
        <w:rPr>
          <w:rFonts w:ascii="Times New Roman" w:hAnsi="Times New Roman"/>
        </w:rPr>
        <w:t xml:space="preserve">. </w:t>
      </w:r>
    </w:p>
    <w:p w14:paraId="7F0D250B" w14:textId="0F9DDB36" w:rsidR="007B51FF" w:rsidRDefault="00843CD7" w:rsidP="00843CD7">
      <w:pPr>
        <w:pStyle w:val="WLGLevel1"/>
        <w:numPr>
          <w:ilvl w:val="0"/>
          <w:numId w:val="0"/>
        </w:numPr>
        <w:tabs>
          <w:tab w:val="left" w:pos="567"/>
        </w:tabs>
        <w:ind w:left="562" w:hanging="562"/>
        <w:rPr>
          <w:rFonts w:ascii="Times New Roman" w:hAnsi="Times New Roman"/>
        </w:rPr>
      </w:pPr>
      <w:r>
        <w:rPr>
          <w:rFonts w:ascii="Times New Roman" w:hAnsi="Times New Roman"/>
        </w:rPr>
        <w:lastRenderedPageBreak/>
        <w:t>29</w:t>
      </w:r>
      <w:r>
        <w:rPr>
          <w:rFonts w:ascii="Times New Roman" w:hAnsi="Times New Roman"/>
        </w:rPr>
        <w:tab/>
      </w:r>
      <w:r w:rsidR="003932E2" w:rsidRPr="00146A17">
        <w:rPr>
          <w:rFonts w:ascii="Times New Roman" w:hAnsi="Times New Roman"/>
        </w:rPr>
        <w:t>To the extent that its replying affidavit may be construed very generously to have made the</w:t>
      </w:r>
      <w:r w:rsidR="00101028">
        <w:rPr>
          <w:rFonts w:ascii="Times New Roman" w:hAnsi="Times New Roman"/>
        </w:rPr>
        <w:t>se</w:t>
      </w:r>
      <w:r w:rsidR="003932E2" w:rsidRPr="00146A17">
        <w:rPr>
          <w:rFonts w:ascii="Times New Roman" w:hAnsi="Times New Roman"/>
        </w:rPr>
        <w:t xml:space="preserve"> allegation</w:t>
      </w:r>
      <w:r w:rsidR="00101028">
        <w:rPr>
          <w:rFonts w:ascii="Times New Roman" w:hAnsi="Times New Roman"/>
        </w:rPr>
        <w:t>s</w:t>
      </w:r>
      <w:r w:rsidR="003932E2" w:rsidRPr="00146A17">
        <w:rPr>
          <w:rFonts w:ascii="Times New Roman" w:hAnsi="Times New Roman"/>
        </w:rPr>
        <w:t xml:space="preserve">, </w:t>
      </w:r>
      <w:r w:rsidR="00020BF0">
        <w:rPr>
          <w:rFonts w:ascii="Times New Roman" w:hAnsi="Times New Roman"/>
        </w:rPr>
        <w:t>they are</w:t>
      </w:r>
      <w:r w:rsidR="003932E2" w:rsidRPr="00146A17">
        <w:rPr>
          <w:rFonts w:ascii="Times New Roman" w:hAnsi="Times New Roman"/>
        </w:rPr>
        <w:t xml:space="preserve"> not supported by evidence of any representation made by ATS. The high watermark of the evidence is that ATS said to the Constitutional Court that, if the University’s </w:t>
      </w:r>
      <w:r w:rsidR="003932E2" w:rsidRPr="00FB41B7">
        <w:rPr>
          <w:rFonts w:ascii="Times New Roman" w:hAnsi="Times New Roman"/>
          <w:i/>
          <w:iCs/>
        </w:rPr>
        <w:t>delectus personae</w:t>
      </w:r>
      <w:r w:rsidR="003932E2" w:rsidRPr="00146A17">
        <w:rPr>
          <w:rFonts w:ascii="Times New Roman" w:hAnsi="Times New Roman"/>
        </w:rPr>
        <w:t xml:space="preserve"> argument succeeded, Wamjay would reclaim the money paid. </w:t>
      </w:r>
    </w:p>
    <w:p w14:paraId="55D0B548" w14:textId="5477B66A" w:rsidR="003932E2"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30</w:t>
      </w:r>
      <w:r w:rsidRPr="00146A17">
        <w:rPr>
          <w:rFonts w:ascii="Times New Roman" w:hAnsi="Times New Roman"/>
        </w:rPr>
        <w:tab/>
      </w:r>
      <w:r w:rsidR="003932E2" w:rsidRPr="00146A17">
        <w:rPr>
          <w:rFonts w:ascii="Times New Roman" w:hAnsi="Times New Roman"/>
        </w:rPr>
        <w:t>Wamjay has annexed the affidavit filed by ATS and Wamjay jointly in the Constitutional Court, and deposed to by the same deponent as ATS’s affidavit in this court</w:t>
      </w:r>
      <w:r w:rsidR="007B51FF">
        <w:rPr>
          <w:rFonts w:ascii="Times New Roman" w:hAnsi="Times New Roman"/>
        </w:rPr>
        <w:t>, to its replying affidavit</w:t>
      </w:r>
      <w:r w:rsidR="003932E2" w:rsidRPr="00146A17">
        <w:rPr>
          <w:rFonts w:ascii="Times New Roman" w:hAnsi="Times New Roman"/>
        </w:rPr>
        <w:t>. I have read that affidavit and nowhere in it does the deponent refer to this consideration</w:t>
      </w:r>
      <w:r w:rsidR="005E26EF">
        <w:rPr>
          <w:rStyle w:val="FootnoteReference"/>
          <w:rFonts w:ascii="Times New Roman" w:hAnsi="Times New Roman"/>
        </w:rPr>
        <w:footnoteReference w:id="7"/>
      </w:r>
      <w:r w:rsidR="003932E2" w:rsidRPr="00146A17">
        <w:rPr>
          <w:rFonts w:ascii="Times New Roman" w:hAnsi="Times New Roman"/>
        </w:rPr>
        <w:t xml:space="preserve"> – ie, that Wamjay would be able to reclaim the R6</w:t>
      </w:r>
      <w:r w:rsidR="00EC77B8">
        <w:rPr>
          <w:rFonts w:ascii="Times New Roman" w:hAnsi="Times New Roman"/>
        </w:rPr>
        <w:t>.</w:t>
      </w:r>
      <w:r w:rsidR="003932E2" w:rsidRPr="00146A17">
        <w:rPr>
          <w:rFonts w:ascii="Times New Roman" w:hAnsi="Times New Roman"/>
        </w:rPr>
        <w:t>5 million in due course. So, it would seem to have been an argument advanced by counsel. More evidence would have been required to attribute this contention to ATS itself, and more still to substantiate the contention that ATS represented to Wamjay – at the material time (which would have been, on ATS’s version, in 2012) – that it would not pursue a presc</w:t>
      </w:r>
      <w:r w:rsidR="008C755E" w:rsidRPr="00146A17">
        <w:rPr>
          <w:rFonts w:ascii="Times New Roman" w:hAnsi="Times New Roman"/>
        </w:rPr>
        <w:t>r</w:t>
      </w:r>
      <w:r w:rsidR="003932E2" w:rsidRPr="00146A17">
        <w:rPr>
          <w:rFonts w:ascii="Times New Roman" w:hAnsi="Times New Roman"/>
        </w:rPr>
        <w:t>iption defence if the cession agreement was ever shown to be a nullity.</w:t>
      </w:r>
      <w:r w:rsidR="00494223" w:rsidRPr="00146A17">
        <w:rPr>
          <w:rFonts w:ascii="Times New Roman" w:hAnsi="Times New Roman"/>
        </w:rPr>
        <w:t xml:space="preserve"> </w:t>
      </w:r>
      <w:r w:rsidR="00EC2AFE">
        <w:rPr>
          <w:rFonts w:ascii="Times New Roman" w:hAnsi="Times New Roman"/>
        </w:rPr>
        <w:t>Even if ATS had mad</w:t>
      </w:r>
      <w:r w:rsidR="00E24BFA">
        <w:rPr>
          <w:rFonts w:ascii="Times New Roman" w:hAnsi="Times New Roman"/>
        </w:rPr>
        <w:t xml:space="preserve">e such a representation in the answering affidavit in the Constitutional Court, it would have been too late to found an estoppel argument – that affidavit was prepared and signed in 2020, long after the claim would have prescribed. No evidence of any representations made at the material time – ie, within 3 years of the notification by the University of its decision to cancel – is before me. </w:t>
      </w:r>
      <w:r w:rsidR="00494223" w:rsidRPr="00146A17">
        <w:rPr>
          <w:rFonts w:ascii="Times New Roman" w:hAnsi="Times New Roman"/>
        </w:rPr>
        <w:t xml:space="preserve">These </w:t>
      </w:r>
      <w:r w:rsidR="00CA09E6">
        <w:rPr>
          <w:rFonts w:ascii="Times New Roman" w:hAnsi="Times New Roman"/>
        </w:rPr>
        <w:t>evidentiary gaps</w:t>
      </w:r>
      <w:r w:rsidR="00494223" w:rsidRPr="00146A17">
        <w:rPr>
          <w:rFonts w:ascii="Times New Roman" w:hAnsi="Times New Roman"/>
        </w:rPr>
        <w:t xml:space="preserve"> are also fatal to Wamjay’s argument that there was an acknowledgment of liability interrupting prescription.</w:t>
      </w:r>
    </w:p>
    <w:p w14:paraId="3E1B6CB5" w14:textId="317AF0E1" w:rsidR="00CC6ADA"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lastRenderedPageBreak/>
        <w:t>31</w:t>
      </w:r>
      <w:r w:rsidRPr="00146A17">
        <w:rPr>
          <w:rFonts w:ascii="Times New Roman" w:hAnsi="Times New Roman"/>
        </w:rPr>
        <w:tab/>
      </w:r>
      <w:r w:rsidR="00A00F27">
        <w:rPr>
          <w:rFonts w:ascii="Times New Roman" w:hAnsi="Times New Roman"/>
        </w:rPr>
        <w:t xml:space="preserve">For reasons which will hopefully become apparent shortly, I do not see any merit in focusing on whether the unenforceability of the cession agreement was a fact, or a conclusion of law. </w:t>
      </w:r>
      <w:r w:rsidR="007119E0">
        <w:rPr>
          <w:rFonts w:ascii="Times New Roman" w:hAnsi="Times New Roman"/>
        </w:rPr>
        <w:t xml:space="preserve">It seems relatively clear that it was the latter, but the entire issue is not helpful in determining whether to uphold the prescription defence. </w:t>
      </w:r>
      <w:r w:rsidR="00CC6ADA" w:rsidRPr="00146A17">
        <w:rPr>
          <w:rFonts w:ascii="Times New Roman" w:hAnsi="Times New Roman"/>
        </w:rPr>
        <w:t xml:space="preserve">I agree with </w:t>
      </w:r>
      <w:r w:rsidR="00CC6ADA" w:rsidRPr="00E81692">
        <w:rPr>
          <w:rFonts w:ascii="Times New Roman" w:hAnsi="Times New Roman"/>
          <w:i/>
          <w:iCs/>
        </w:rPr>
        <w:t>Mr Alli</w:t>
      </w:r>
      <w:r w:rsidR="00CC6ADA" w:rsidRPr="00146A17">
        <w:rPr>
          <w:rFonts w:ascii="Times New Roman" w:hAnsi="Times New Roman"/>
        </w:rPr>
        <w:t xml:space="preserve"> that the </w:t>
      </w:r>
      <w:r w:rsidR="00E81692">
        <w:rPr>
          <w:rFonts w:ascii="Times New Roman" w:hAnsi="Times New Roman"/>
        </w:rPr>
        <w:t xml:space="preserve">remaining </w:t>
      </w:r>
      <w:r w:rsidR="00CC6ADA" w:rsidRPr="00146A17">
        <w:rPr>
          <w:rFonts w:ascii="Times New Roman" w:hAnsi="Times New Roman"/>
        </w:rPr>
        <w:t xml:space="preserve">relevant </w:t>
      </w:r>
      <w:r w:rsidR="00CF6DBC">
        <w:rPr>
          <w:rFonts w:ascii="Times New Roman" w:hAnsi="Times New Roman"/>
        </w:rPr>
        <w:t>question to determine</w:t>
      </w:r>
      <w:r w:rsidR="006D080C" w:rsidRPr="00146A17">
        <w:rPr>
          <w:rFonts w:ascii="Times New Roman" w:hAnsi="Times New Roman"/>
        </w:rPr>
        <w:t>, when it comes to prescription,</w:t>
      </w:r>
      <w:r w:rsidR="00CC6ADA" w:rsidRPr="00146A17">
        <w:rPr>
          <w:rFonts w:ascii="Times New Roman" w:hAnsi="Times New Roman"/>
        </w:rPr>
        <w:t xml:space="preserve"> is when Wamjay’s cause of action was perfected. In other words, when was the moment </w:t>
      </w:r>
      <w:r w:rsidR="00E049C7">
        <w:rPr>
          <w:rFonts w:ascii="Times New Roman" w:hAnsi="Times New Roman"/>
        </w:rPr>
        <w:t>at which</w:t>
      </w:r>
      <w:r w:rsidR="00CC6ADA" w:rsidRPr="00146A17">
        <w:rPr>
          <w:rFonts w:ascii="Times New Roman" w:hAnsi="Times New Roman"/>
        </w:rPr>
        <w:t xml:space="preserve"> ATS’s alleged debt to Wamjay was “immediately claimable”</w:t>
      </w:r>
      <w:r w:rsidR="004829C0">
        <w:rPr>
          <w:rFonts w:ascii="Times New Roman" w:hAnsi="Times New Roman"/>
        </w:rPr>
        <w:t>?</w:t>
      </w:r>
      <w:r w:rsidR="00B11E4E" w:rsidRPr="00146A17">
        <w:rPr>
          <w:rFonts w:ascii="Times New Roman" w:hAnsi="Times New Roman"/>
        </w:rPr>
        <w:t xml:space="preserve"> </w:t>
      </w:r>
      <w:r w:rsidR="004829C0">
        <w:rPr>
          <w:rFonts w:ascii="Times New Roman" w:hAnsi="Times New Roman"/>
        </w:rPr>
        <w:t>S</w:t>
      </w:r>
      <w:r w:rsidR="00DA0CF5" w:rsidRPr="00146A17">
        <w:rPr>
          <w:rFonts w:ascii="Times New Roman" w:hAnsi="Times New Roman"/>
        </w:rPr>
        <w:t>ince the estoppel argument and the contention that prescription was interrupted must fail, the issue of prescription turns solely on this issue.</w:t>
      </w:r>
    </w:p>
    <w:p w14:paraId="7A8D1CB7" w14:textId="007C093C" w:rsidR="00DA0CF5"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32</w:t>
      </w:r>
      <w:r w:rsidRPr="00146A17">
        <w:rPr>
          <w:rFonts w:ascii="Times New Roman" w:hAnsi="Times New Roman"/>
        </w:rPr>
        <w:tab/>
      </w:r>
      <w:r w:rsidR="00DA0CF5" w:rsidRPr="00146A17">
        <w:rPr>
          <w:rFonts w:ascii="Times New Roman" w:hAnsi="Times New Roman"/>
        </w:rPr>
        <w:t>When it comes to the merits, there is no real dispute about which specific enrichment cause of action applies, although I should address that very briefly. The main issue is whether Wamjay has established that ATS was enrich</w:t>
      </w:r>
      <w:r w:rsidR="00C17A64">
        <w:rPr>
          <w:rFonts w:ascii="Times New Roman" w:hAnsi="Times New Roman"/>
        </w:rPr>
        <w:t>ed</w:t>
      </w:r>
      <w:r w:rsidR="00DA0CF5" w:rsidRPr="00146A17">
        <w:rPr>
          <w:rFonts w:ascii="Times New Roman" w:hAnsi="Times New Roman"/>
        </w:rPr>
        <w:t>; and the corollary of this, which is whether the defence of non-enrichment is applicable.</w:t>
      </w:r>
    </w:p>
    <w:p w14:paraId="650FA8D6" w14:textId="77777777" w:rsidR="00F870D6" w:rsidRPr="00146A17" w:rsidRDefault="00F870D6" w:rsidP="00F870D6">
      <w:pPr>
        <w:pStyle w:val="Heading1"/>
        <w:rPr>
          <w:rFonts w:ascii="Times New Roman" w:hAnsi="Times New Roman"/>
        </w:rPr>
      </w:pPr>
    </w:p>
    <w:p w14:paraId="196A3314" w14:textId="10068457" w:rsidR="00F870D6" w:rsidRPr="00146A17" w:rsidRDefault="00F870D6" w:rsidP="00F870D6">
      <w:pPr>
        <w:pStyle w:val="Heading1"/>
        <w:rPr>
          <w:rFonts w:ascii="Times New Roman" w:hAnsi="Times New Roman"/>
        </w:rPr>
      </w:pPr>
      <w:r w:rsidRPr="00146A17">
        <w:rPr>
          <w:rFonts w:ascii="Times New Roman" w:hAnsi="Times New Roman"/>
        </w:rPr>
        <w:t xml:space="preserve">PRESCRIPTION </w:t>
      </w:r>
    </w:p>
    <w:p w14:paraId="796E11FF" w14:textId="3F929A84" w:rsidR="004C2AE4" w:rsidRPr="00146A17" w:rsidRDefault="00843CD7" w:rsidP="00843CD7">
      <w:pPr>
        <w:pStyle w:val="WLGLevel1"/>
        <w:numPr>
          <w:ilvl w:val="0"/>
          <w:numId w:val="0"/>
        </w:numPr>
        <w:tabs>
          <w:tab w:val="left" w:pos="567"/>
        </w:tabs>
        <w:ind w:left="562" w:hanging="562"/>
        <w:rPr>
          <w:rFonts w:ascii="Times New Roman" w:hAnsi="Times New Roman"/>
        </w:rPr>
      </w:pPr>
      <w:bookmarkStart w:id="6" w:name="_Ref146984467"/>
      <w:r w:rsidRPr="00146A17">
        <w:rPr>
          <w:rFonts w:ascii="Times New Roman" w:hAnsi="Times New Roman"/>
        </w:rPr>
        <w:t>33</w:t>
      </w:r>
      <w:r w:rsidRPr="00146A17">
        <w:rPr>
          <w:rFonts w:ascii="Times New Roman" w:hAnsi="Times New Roman"/>
        </w:rPr>
        <w:tab/>
      </w:r>
      <w:r w:rsidR="004F4510" w:rsidRPr="00146A17">
        <w:rPr>
          <w:rFonts w:ascii="Times New Roman" w:hAnsi="Times New Roman"/>
        </w:rPr>
        <w:t xml:space="preserve">ATS </w:t>
      </w:r>
      <w:r w:rsidR="003B54F6" w:rsidRPr="00146A17">
        <w:rPr>
          <w:rFonts w:ascii="Times New Roman" w:hAnsi="Times New Roman"/>
        </w:rPr>
        <w:t>argues</w:t>
      </w:r>
      <w:r w:rsidR="004F4510" w:rsidRPr="00146A17">
        <w:rPr>
          <w:rFonts w:ascii="Times New Roman" w:hAnsi="Times New Roman"/>
        </w:rPr>
        <w:t xml:space="preserve"> that, </w:t>
      </w:r>
      <w:r w:rsidR="00904C67" w:rsidRPr="00146A17">
        <w:rPr>
          <w:rFonts w:ascii="Times New Roman" w:hAnsi="Times New Roman"/>
        </w:rPr>
        <w:t xml:space="preserve">generally </w:t>
      </w:r>
      <w:r w:rsidR="004F4510" w:rsidRPr="00146A17">
        <w:rPr>
          <w:rFonts w:ascii="Times New Roman" w:hAnsi="Times New Roman"/>
        </w:rPr>
        <w:t xml:space="preserve">in claims under the </w:t>
      </w:r>
      <w:r w:rsidR="004F4510" w:rsidRPr="00A531BB">
        <w:rPr>
          <w:rFonts w:ascii="Times New Roman" w:hAnsi="Times New Roman"/>
          <w:i/>
          <w:iCs/>
        </w:rPr>
        <w:t>condictio indebiti</w:t>
      </w:r>
      <w:r w:rsidR="004F4510" w:rsidRPr="00146A17">
        <w:rPr>
          <w:rFonts w:ascii="Times New Roman" w:hAnsi="Times New Roman"/>
        </w:rPr>
        <w:t>, prescription begins to run from the date on which the plaintiff made the erroneous payment.</w:t>
      </w:r>
      <w:r w:rsidR="00904C67" w:rsidRPr="00146A17">
        <w:rPr>
          <w:rStyle w:val="FootnoteReference"/>
          <w:rFonts w:ascii="Times New Roman" w:hAnsi="Times New Roman"/>
        </w:rPr>
        <w:footnoteReference w:id="8"/>
      </w:r>
      <w:r w:rsidR="004F4510" w:rsidRPr="00146A17">
        <w:rPr>
          <w:rFonts w:ascii="Times New Roman" w:hAnsi="Times New Roman"/>
        </w:rPr>
        <w:t xml:space="preserve"> </w:t>
      </w:r>
      <w:r w:rsidR="00756EC0" w:rsidRPr="00146A17">
        <w:rPr>
          <w:rFonts w:ascii="Times New Roman" w:hAnsi="Times New Roman"/>
        </w:rPr>
        <w:t xml:space="preserve">This precise date is not on the papers, but as ATS points out, it would have been </w:t>
      </w:r>
      <w:r w:rsidR="008D5099">
        <w:rPr>
          <w:rFonts w:ascii="Times New Roman" w:hAnsi="Times New Roman"/>
        </w:rPr>
        <w:t xml:space="preserve">during or </w:t>
      </w:r>
      <w:r w:rsidR="00756EC0" w:rsidRPr="00146A17">
        <w:rPr>
          <w:rFonts w:ascii="Times New Roman" w:hAnsi="Times New Roman"/>
        </w:rPr>
        <w:t>before October 2011, because that is when the notarial deed of cession was registered.</w:t>
      </w:r>
      <w:bookmarkEnd w:id="6"/>
    </w:p>
    <w:p w14:paraId="383BBD25" w14:textId="4F45B08B" w:rsidR="00E422AA"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lastRenderedPageBreak/>
        <w:t>34</w:t>
      </w:r>
      <w:r w:rsidRPr="00146A17">
        <w:rPr>
          <w:rFonts w:ascii="Times New Roman" w:hAnsi="Times New Roman"/>
        </w:rPr>
        <w:tab/>
      </w:r>
      <w:r w:rsidR="00E422AA" w:rsidRPr="00146A17">
        <w:rPr>
          <w:rFonts w:ascii="Times New Roman" w:hAnsi="Times New Roman"/>
        </w:rPr>
        <w:t xml:space="preserve">Despite the general </w:t>
      </w:r>
      <w:r w:rsidR="008D5099">
        <w:rPr>
          <w:rFonts w:ascii="Times New Roman" w:hAnsi="Times New Roman"/>
        </w:rPr>
        <w:t>rule</w:t>
      </w:r>
      <w:r w:rsidR="00E422AA" w:rsidRPr="00146A17">
        <w:rPr>
          <w:rFonts w:ascii="Times New Roman" w:hAnsi="Times New Roman"/>
        </w:rPr>
        <w:t xml:space="preserve"> </w:t>
      </w:r>
      <w:r w:rsidR="000D3D92" w:rsidRPr="00146A17">
        <w:rPr>
          <w:rFonts w:ascii="Times New Roman" w:hAnsi="Times New Roman"/>
        </w:rPr>
        <w:t xml:space="preserve">on which ATS relies (ie, as described in paragraph </w:t>
      </w:r>
      <w:r w:rsidR="000D3D92" w:rsidRPr="00146A17">
        <w:rPr>
          <w:rFonts w:ascii="Times New Roman" w:hAnsi="Times New Roman"/>
        </w:rPr>
        <w:fldChar w:fldCharType="begin"/>
      </w:r>
      <w:r w:rsidR="000D3D92" w:rsidRPr="00146A17">
        <w:rPr>
          <w:rFonts w:ascii="Times New Roman" w:hAnsi="Times New Roman"/>
        </w:rPr>
        <w:instrText xml:space="preserve"> REF _Ref146984467 \r \h </w:instrText>
      </w:r>
      <w:r w:rsidR="00146A17">
        <w:rPr>
          <w:rFonts w:ascii="Times New Roman" w:hAnsi="Times New Roman"/>
        </w:rPr>
        <w:instrText xml:space="preserve"> \* MERGEFORMAT </w:instrText>
      </w:r>
      <w:r w:rsidR="000D3D92" w:rsidRPr="00146A17">
        <w:rPr>
          <w:rFonts w:ascii="Times New Roman" w:hAnsi="Times New Roman"/>
        </w:rPr>
      </w:r>
      <w:r w:rsidR="000D3D92" w:rsidRPr="00146A17">
        <w:rPr>
          <w:rFonts w:ascii="Times New Roman" w:hAnsi="Times New Roman"/>
        </w:rPr>
        <w:fldChar w:fldCharType="separate"/>
      </w:r>
      <w:r w:rsidR="007C04C4">
        <w:rPr>
          <w:rFonts w:ascii="Times New Roman" w:hAnsi="Times New Roman"/>
        </w:rPr>
        <w:t>33</w:t>
      </w:r>
      <w:r w:rsidR="000D3D92" w:rsidRPr="00146A17">
        <w:rPr>
          <w:rFonts w:ascii="Times New Roman" w:hAnsi="Times New Roman"/>
        </w:rPr>
        <w:fldChar w:fldCharType="end"/>
      </w:r>
      <w:r w:rsidR="000D3D92" w:rsidRPr="00146A17">
        <w:rPr>
          <w:rFonts w:ascii="Times New Roman" w:hAnsi="Times New Roman"/>
        </w:rPr>
        <w:t xml:space="preserve"> above)</w:t>
      </w:r>
      <w:r w:rsidR="00E422AA" w:rsidRPr="00146A17">
        <w:rPr>
          <w:rFonts w:ascii="Times New Roman" w:hAnsi="Times New Roman"/>
        </w:rPr>
        <w:t xml:space="preserve">, there will be cases </w:t>
      </w:r>
      <w:r w:rsidR="00B20397">
        <w:rPr>
          <w:rFonts w:ascii="Times New Roman" w:hAnsi="Times New Roman"/>
        </w:rPr>
        <w:t>in which</w:t>
      </w:r>
      <w:r w:rsidR="00E422AA" w:rsidRPr="00146A17">
        <w:rPr>
          <w:rFonts w:ascii="Times New Roman" w:hAnsi="Times New Roman"/>
        </w:rPr>
        <w:t xml:space="preserve"> prescription begins to run on a later date. </w:t>
      </w:r>
      <w:r w:rsidR="007B4D0B" w:rsidRPr="00146A17">
        <w:rPr>
          <w:rFonts w:ascii="Times New Roman" w:hAnsi="Times New Roman"/>
        </w:rPr>
        <w:t>There are cases</w:t>
      </w:r>
      <w:r w:rsidR="00E422AA" w:rsidRPr="00146A17">
        <w:rPr>
          <w:rFonts w:ascii="Times New Roman" w:hAnsi="Times New Roman"/>
        </w:rPr>
        <w:t xml:space="preserve"> in </w:t>
      </w:r>
      <w:r w:rsidR="004E7132" w:rsidRPr="00146A17">
        <w:rPr>
          <w:rFonts w:ascii="Times New Roman" w:hAnsi="Times New Roman"/>
        </w:rPr>
        <w:t>which everything turns on the application of section 12(3) of the Prescription Act.</w:t>
      </w:r>
      <w:r w:rsidR="003F4419" w:rsidRPr="00146A17">
        <w:rPr>
          <w:rFonts w:ascii="Times New Roman" w:hAnsi="Times New Roman"/>
        </w:rPr>
        <w:t xml:space="preserve"> It provides:</w:t>
      </w:r>
    </w:p>
    <w:p w14:paraId="2858D7B7" w14:textId="739A5D35" w:rsidR="003F4419" w:rsidRPr="00146A17" w:rsidRDefault="00AE59D6" w:rsidP="001E0D34">
      <w:pPr>
        <w:pStyle w:val="BodyTextIndent"/>
        <w:spacing w:line="240" w:lineRule="auto"/>
        <w:ind w:left="1134"/>
        <w:rPr>
          <w:rFonts w:ascii="Times New Roman" w:hAnsi="Times New Roman"/>
        </w:rPr>
      </w:pPr>
      <w:r w:rsidRPr="00146A17">
        <w:rPr>
          <w:rFonts w:ascii="Times New Roman" w:hAnsi="Times New Roman"/>
        </w:rPr>
        <w:t>“</w:t>
      </w:r>
      <w:r w:rsidR="003F4419" w:rsidRPr="00146A17">
        <w:rPr>
          <w:rFonts w:ascii="Times New Roman" w:hAnsi="Times New Roman"/>
        </w:rPr>
        <w:t>A debt shall not be deemed to be due until the creditor has knowledge of the identity of the debtor and of the facts from which the debt arises: Provided that a creditor shall be deemed to have such knowledge if he could have acquired it by exercising reasonable care.</w:t>
      </w:r>
      <w:r w:rsidRPr="00146A17">
        <w:rPr>
          <w:rFonts w:ascii="Times New Roman" w:hAnsi="Times New Roman"/>
        </w:rPr>
        <w:t>”</w:t>
      </w:r>
    </w:p>
    <w:p w14:paraId="2C224341" w14:textId="1373746A" w:rsidR="00AE59D6"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35</w:t>
      </w:r>
      <w:r w:rsidRPr="00146A17">
        <w:rPr>
          <w:rFonts w:ascii="Times New Roman" w:hAnsi="Times New Roman"/>
        </w:rPr>
        <w:tab/>
      </w:r>
      <w:r w:rsidR="001E0D34" w:rsidRPr="00146A17">
        <w:rPr>
          <w:rFonts w:ascii="Times New Roman" w:hAnsi="Times New Roman"/>
        </w:rPr>
        <w:t>T</w:t>
      </w:r>
      <w:r w:rsidR="002124D5" w:rsidRPr="00146A17">
        <w:rPr>
          <w:rFonts w:ascii="Times New Roman" w:hAnsi="Times New Roman"/>
        </w:rPr>
        <w:t xml:space="preserve">he parties focused almost exclusively on this provision, and the debate </w:t>
      </w:r>
      <w:r w:rsidR="00AB0BB5" w:rsidRPr="00146A17">
        <w:rPr>
          <w:rFonts w:ascii="Times New Roman" w:hAnsi="Times New Roman"/>
        </w:rPr>
        <w:t xml:space="preserve">largely </w:t>
      </w:r>
      <w:r w:rsidR="002124D5" w:rsidRPr="00146A17">
        <w:rPr>
          <w:rFonts w:ascii="Times New Roman" w:hAnsi="Times New Roman"/>
        </w:rPr>
        <w:t xml:space="preserve">centred on the question whether </w:t>
      </w:r>
      <w:r w:rsidR="00AB0BB5" w:rsidRPr="00146A17">
        <w:rPr>
          <w:rFonts w:ascii="Times New Roman" w:hAnsi="Times New Roman"/>
        </w:rPr>
        <w:t>the Constitutional Court’s order confirmed a pre-existing legal conclusion (that the cession was a nullity because the long lease was lawfully cancelled) or determined a factual matter (that the registration of the long lease should be set aside).</w:t>
      </w:r>
    </w:p>
    <w:p w14:paraId="6A792DBE" w14:textId="282AF7DC" w:rsidR="00AB0BB5"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36</w:t>
      </w:r>
      <w:r w:rsidRPr="00146A17">
        <w:rPr>
          <w:rFonts w:ascii="Times New Roman" w:hAnsi="Times New Roman"/>
        </w:rPr>
        <w:tab/>
      </w:r>
      <w:r w:rsidR="00AB0BB5" w:rsidRPr="00146A17">
        <w:rPr>
          <w:rFonts w:ascii="Times New Roman" w:hAnsi="Times New Roman"/>
        </w:rPr>
        <w:t xml:space="preserve">However, it seems to me that section 12(1) of the Prescription Act is the provision which </w:t>
      </w:r>
      <w:r w:rsidR="00775430" w:rsidRPr="00146A17">
        <w:rPr>
          <w:rFonts w:ascii="Times New Roman" w:hAnsi="Times New Roman"/>
        </w:rPr>
        <w:t xml:space="preserve">is more appropriately considered in the light of the parties’ arguments. Wamjay argues that prescription only begins to run when </w:t>
      </w:r>
      <w:r w:rsidR="0062264C">
        <w:rPr>
          <w:rFonts w:ascii="Times New Roman" w:hAnsi="Times New Roman"/>
        </w:rPr>
        <w:t>a debt</w:t>
      </w:r>
      <w:r w:rsidR="00775430" w:rsidRPr="00146A17">
        <w:rPr>
          <w:rFonts w:ascii="Times New Roman" w:hAnsi="Times New Roman"/>
        </w:rPr>
        <w:t xml:space="preserve"> is “immediately claimable”.</w:t>
      </w:r>
      <w:r w:rsidR="009C2633" w:rsidRPr="00146A17">
        <w:rPr>
          <w:rFonts w:ascii="Times New Roman" w:hAnsi="Times New Roman"/>
        </w:rPr>
        <w:t xml:space="preserve"> Section 12(1) provides that prescription begins to run “as soon as the debt is due”.</w:t>
      </w:r>
      <w:r w:rsidR="00E3006D" w:rsidRPr="00146A17">
        <w:rPr>
          <w:rFonts w:ascii="Times New Roman" w:hAnsi="Times New Roman"/>
        </w:rPr>
        <w:t xml:space="preserve"> </w:t>
      </w:r>
      <w:r w:rsidR="007C22F5" w:rsidRPr="00146A17">
        <w:rPr>
          <w:rFonts w:ascii="Times New Roman" w:hAnsi="Times New Roman"/>
        </w:rPr>
        <w:t xml:space="preserve">In </w:t>
      </w:r>
      <w:r w:rsidR="007C22F5" w:rsidRPr="00146A17">
        <w:rPr>
          <w:rFonts w:ascii="Times New Roman" w:hAnsi="Times New Roman"/>
          <w:i/>
          <w:iCs/>
        </w:rPr>
        <w:t>Njongi</w:t>
      </w:r>
      <w:r w:rsidR="007C22F5" w:rsidRPr="00146A17">
        <w:rPr>
          <w:rFonts w:ascii="Times New Roman" w:hAnsi="Times New Roman"/>
        </w:rPr>
        <w:t>, the Constitutional Court made clear that the principle that a debt must be “immediately claimable”</w:t>
      </w:r>
      <w:r w:rsidR="007A2678" w:rsidRPr="00146A17">
        <w:rPr>
          <w:rFonts w:ascii="Times New Roman" w:hAnsi="Times New Roman"/>
        </w:rPr>
        <w:t>,</w:t>
      </w:r>
      <w:r w:rsidR="007C22F5" w:rsidRPr="00146A17">
        <w:rPr>
          <w:rFonts w:ascii="Times New Roman" w:hAnsi="Times New Roman"/>
        </w:rPr>
        <w:t xml:space="preserve"> before prescription begins to run, flows from this provision.</w:t>
      </w:r>
      <w:r w:rsidR="007C22F5" w:rsidRPr="00146A17">
        <w:rPr>
          <w:rStyle w:val="FootnoteReference"/>
          <w:rFonts w:ascii="Times New Roman" w:hAnsi="Times New Roman"/>
        </w:rPr>
        <w:footnoteReference w:id="9"/>
      </w:r>
      <w:r w:rsidR="007C22F5" w:rsidRPr="00146A17">
        <w:rPr>
          <w:rFonts w:ascii="Times New Roman" w:hAnsi="Times New Roman"/>
        </w:rPr>
        <w:t xml:space="preserve"> </w:t>
      </w:r>
      <w:r w:rsidR="00E3006D" w:rsidRPr="00146A17">
        <w:rPr>
          <w:rFonts w:ascii="Times New Roman" w:hAnsi="Times New Roman"/>
        </w:rPr>
        <w:t xml:space="preserve">Therefore, </w:t>
      </w:r>
      <w:r w:rsidR="00AC3BA9">
        <w:rPr>
          <w:rFonts w:ascii="Times New Roman" w:hAnsi="Times New Roman"/>
        </w:rPr>
        <w:t>everything</w:t>
      </w:r>
      <w:r w:rsidR="00E3006D" w:rsidRPr="00146A17">
        <w:rPr>
          <w:rFonts w:ascii="Times New Roman" w:hAnsi="Times New Roman"/>
        </w:rPr>
        <w:t xml:space="preserve"> turns on when ATS’s debt to Wamjay should be considered to have been </w:t>
      </w:r>
      <w:r w:rsidR="001E40FA" w:rsidRPr="00146A17">
        <w:rPr>
          <w:rFonts w:ascii="Times New Roman" w:hAnsi="Times New Roman"/>
        </w:rPr>
        <w:t>immediately claimable</w:t>
      </w:r>
      <w:r w:rsidR="00012DF5" w:rsidRPr="00146A17">
        <w:rPr>
          <w:rFonts w:ascii="Times New Roman" w:hAnsi="Times New Roman"/>
        </w:rPr>
        <w:t xml:space="preserve"> (as envisaged by section 12(1)) and not on whether Wamjay knew, or o</w:t>
      </w:r>
      <w:r w:rsidR="007A66AC" w:rsidRPr="00146A17">
        <w:rPr>
          <w:rFonts w:ascii="Times New Roman" w:hAnsi="Times New Roman"/>
        </w:rPr>
        <w:t>u</w:t>
      </w:r>
      <w:r w:rsidR="00012DF5" w:rsidRPr="00146A17">
        <w:rPr>
          <w:rFonts w:ascii="Times New Roman" w:hAnsi="Times New Roman"/>
        </w:rPr>
        <w:t xml:space="preserve">ght to have known, all </w:t>
      </w:r>
      <w:r w:rsidR="007A66AC" w:rsidRPr="00146A17">
        <w:rPr>
          <w:rFonts w:ascii="Times New Roman" w:hAnsi="Times New Roman"/>
        </w:rPr>
        <w:t xml:space="preserve">of the </w:t>
      </w:r>
      <w:r w:rsidR="00012DF5" w:rsidRPr="00146A17">
        <w:rPr>
          <w:rFonts w:ascii="Times New Roman" w:hAnsi="Times New Roman"/>
        </w:rPr>
        <w:t>facts underlying its claim by a particular date (as envisaged by section 12(3))</w:t>
      </w:r>
      <w:r w:rsidR="00E3006D" w:rsidRPr="00146A17">
        <w:rPr>
          <w:rFonts w:ascii="Times New Roman" w:hAnsi="Times New Roman"/>
        </w:rPr>
        <w:t>.</w:t>
      </w:r>
      <w:r w:rsidR="00775430" w:rsidRPr="00146A17">
        <w:rPr>
          <w:rFonts w:ascii="Times New Roman" w:hAnsi="Times New Roman"/>
        </w:rPr>
        <w:t xml:space="preserve"> </w:t>
      </w:r>
    </w:p>
    <w:p w14:paraId="7C2294C7" w14:textId="63BEC225" w:rsidR="00947EF1"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lastRenderedPageBreak/>
        <w:t>37</w:t>
      </w:r>
      <w:r w:rsidRPr="00146A17">
        <w:rPr>
          <w:rFonts w:ascii="Times New Roman" w:hAnsi="Times New Roman"/>
        </w:rPr>
        <w:tab/>
      </w:r>
      <w:r w:rsidR="00332F77" w:rsidRPr="00146A17">
        <w:rPr>
          <w:rFonts w:ascii="Times New Roman" w:hAnsi="Times New Roman"/>
        </w:rPr>
        <w:t xml:space="preserve">It seems to me that, despite the authorities on which ATS relies (see paragraph </w:t>
      </w:r>
      <w:r w:rsidR="005E0F50">
        <w:rPr>
          <w:rFonts w:ascii="Times New Roman" w:hAnsi="Times New Roman"/>
        </w:rPr>
        <w:fldChar w:fldCharType="begin"/>
      </w:r>
      <w:r w:rsidR="005E0F50">
        <w:rPr>
          <w:rFonts w:ascii="Times New Roman" w:hAnsi="Times New Roman"/>
        </w:rPr>
        <w:instrText xml:space="preserve"> REF _Ref146984467 \r \h </w:instrText>
      </w:r>
      <w:r w:rsidR="005E0F50">
        <w:rPr>
          <w:rFonts w:ascii="Times New Roman" w:hAnsi="Times New Roman"/>
        </w:rPr>
      </w:r>
      <w:r w:rsidR="005E0F50">
        <w:rPr>
          <w:rFonts w:ascii="Times New Roman" w:hAnsi="Times New Roman"/>
        </w:rPr>
        <w:fldChar w:fldCharType="separate"/>
      </w:r>
      <w:r w:rsidR="005D3948">
        <w:rPr>
          <w:rFonts w:ascii="Times New Roman" w:hAnsi="Times New Roman"/>
        </w:rPr>
        <w:t>33</w:t>
      </w:r>
      <w:r w:rsidR="005E0F50">
        <w:rPr>
          <w:rFonts w:ascii="Times New Roman" w:hAnsi="Times New Roman"/>
        </w:rPr>
        <w:fldChar w:fldCharType="end"/>
      </w:r>
      <w:r w:rsidR="00332F77" w:rsidRPr="00146A17">
        <w:rPr>
          <w:rFonts w:ascii="Times New Roman" w:hAnsi="Times New Roman"/>
        </w:rPr>
        <w:t xml:space="preserve"> above and the references in the footnote</w:t>
      </w:r>
      <w:r w:rsidR="003B54F6" w:rsidRPr="00146A17">
        <w:rPr>
          <w:rFonts w:ascii="Times New Roman" w:hAnsi="Times New Roman"/>
        </w:rPr>
        <w:t xml:space="preserve"> in that paragraph), it cannot be concluded without more that </w:t>
      </w:r>
      <w:r w:rsidR="005C0DFC">
        <w:rPr>
          <w:rFonts w:ascii="Times New Roman" w:hAnsi="Times New Roman"/>
        </w:rPr>
        <w:t>a</w:t>
      </w:r>
      <w:r w:rsidR="003B54F6" w:rsidRPr="00146A17">
        <w:rPr>
          <w:rFonts w:ascii="Times New Roman" w:hAnsi="Times New Roman"/>
        </w:rPr>
        <w:t xml:space="preserve"> debt under the </w:t>
      </w:r>
      <w:r w:rsidR="003B54F6" w:rsidRPr="005C0DFC">
        <w:rPr>
          <w:rFonts w:ascii="Times New Roman" w:hAnsi="Times New Roman"/>
          <w:i/>
          <w:iCs/>
        </w:rPr>
        <w:t>condictio indebit</w:t>
      </w:r>
      <w:r w:rsidR="005C0DFC" w:rsidRPr="005C0DFC">
        <w:rPr>
          <w:rFonts w:ascii="Times New Roman" w:hAnsi="Times New Roman"/>
          <w:i/>
          <w:iCs/>
        </w:rPr>
        <w:t>i</w:t>
      </w:r>
      <w:r w:rsidR="003B54F6" w:rsidRPr="00146A17">
        <w:rPr>
          <w:rFonts w:ascii="Times New Roman" w:hAnsi="Times New Roman"/>
        </w:rPr>
        <w:t xml:space="preserve"> always falls due from the moment when the erroneous payment was made. </w:t>
      </w:r>
      <w:r w:rsidR="00F24CD8" w:rsidRPr="00146A17">
        <w:rPr>
          <w:rFonts w:ascii="Times New Roman" w:hAnsi="Times New Roman"/>
        </w:rPr>
        <w:t>I</w:t>
      </w:r>
      <w:r w:rsidR="004F4510" w:rsidRPr="00146A17">
        <w:rPr>
          <w:rFonts w:ascii="Times New Roman" w:hAnsi="Times New Roman"/>
        </w:rPr>
        <w:t xml:space="preserve">t is </w:t>
      </w:r>
      <w:r w:rsidR="00F24CD8" w:rsidRPr="00146A17">
        <w:rPr>
          <w:rFonts w:ascii="Times New Roman" w:hAnsi="Times New Roman"/>
        </w:rPr>
        <w:t xml:space="preserve">therefore </w:t>
      </w:r>
      <w:r w:rsidR="004F4510" w:rsidRPr="00146A17">
        <w:rPr>
          <w:rFonts w:ascii="Times New Roman" w:hAnsi="Times New Roman"/>
        </w:rPr>
        <w:t xml:space="preserve">necessary to </w:t>
      </w:r>
      <w:r w:rsidR="003B54F6" w:rsidRPr="00146A17">
        <w:rPr>
          <w:rFonts w:ascii="Times New Roman" w:hAnsi="Times New Roman"/>
        </w:rPr>
        <w:t xml:space="preserve">consider in more detail </w:t>
      </w:r>
      <w:r w:rsidR="004F4510" w:rsidRPr="00146A17">
        <w:rPr>
          <w:rFonts w:ascii="Times New Roman" w:hAnsi="Times New Roman"/>
        </w:rPr>
        <w:t>the date on which Wamjay could have instituted proceedings against ATS to recover the R6.5</w:t>
      </w:r>
      <w:r w:rsidR="005D3948">
        <w:rPr>
          <w:rFonts w:ascii="Times New Roman" w:hAnsi="Times New Roman"/>
        </w:rPr>
        <w:t xml:space="preserve"> </w:t>
      </w:r>
      <w:r w:rsidR="004F4510" w:rsidRPr="00146A17">
        <w:rPr>
          <w:rFonts w:ascii="Times New Roman" w:hAnsi="Times New Roman"/>
        </w:rPr>
        <w:t>m</w:t>
      </w:r>
      <w:r w:rsidR="005D3948">
        <w:rPr>
          <w:rFonts w:ascii="Times New Roman" w:hAnsi="Times New Roman"/>
        </w:rPr>
        <w:t>illion</w:t>
      </w:r>
      <w:r w:rsidR="004F4510" w:rsidRPr="00146A17">
        <w:rPr>
          <w:rFonts w:ascii="Times New Roman" w:hAnsi="Times New Roman"/>
        </w:rPr>
        <w:t xml:space="preserve"> on the basis that, when instituting this claim, Wamjay w</w:t>
      </w:r>
      <w:r w:rsidR="007143F9" w:rsidRPr="00146A17">
        <w:rPr>
          <w:rFonts w:ascii="Times New Roman" w:hAnsi="Times New Roman"/>
        </w:rPr>
        <w:t>ould have been</w:t>
      </w:r>
      <w:r w:rsidR="004F4510" w:rsidRPr="00146A17">
        <w:rPr>
          <w:rFonts w:ascii="Times New Roman" w:hAnsi="Times New Roman"/>
        </w:rPr>
        <w:t xml:space="preserve"> able to contend that ATS was obliged to repay the money immediately.</w:t>
      </w:r>
      <w:r w:rsidR="00947EF1" w:rsidRPr="00146A17">
        <w:rPr>
          <w:rFonts w:ascii="Times New Roman" w:hAnsi="Times New Roman"/>
        </w:rPr>
        <w:t xml:space="preserve"> </w:t>
      </w:r>
      <w:r w:rsidR="00601B86" w:rsidRPr="00146A17">
        <w:rPr>
          <w:rFonts w:ascii="Times New Roman" w:hAnsi="Times New Roman"/>
        </w:rPr>
        <w:t>Put differently, prescription began to run when Wamjay’s cause of action was complete</w:t>
      </w:r>
      <w:r w:rsidR="007143F9" w:rsidRPr="00146A17">
        <w:rPr>
          <w:rFonts w:ascii="Times New Roman" w:hAnsi="Times New Roman"/>
        </w:rPr>
        <w:t>.</w:t>
      </w:r>
      <w:r w:rsidR="00D14734" w:rsidRPr="00146A17">
        <w:rPr>
          <w:rFonts w:ascii="Times New Roman" w:hAnsi="Times New Roman"/>
        </w:rPr>
        <w:t xml:space="preserve"> I am mindful of the authorities which remind us that section 12(1) of the Prescription Act is concerned with “debts” and not “causes of action”</w:t>
      </w:r>
      <w:r w:rsidR="00601B86" w:rsidRPr="00146A17">
        <w:rPr>
          <w:rFonts w:ascii="Times New Roman" w:hAnsi="Times New Roman"/>
        </w:rPr>
        <w:t>.</w:t>
      </w:r>
      <w:r w:rsidR="00D14734" w:rsidRPr="00146A17">
        <w:rPr>
          <w:rStyle w:val="FootnoteReference"/>
          <w:rFonts w:ascii="Times New Roman" w:hAnsi="Times New Roman"/>
        </w:rPr>
        <w:footnoteReference w:id="10"/>
      </w:r>
      <w:r w:rsidR="007E0465" w:rsidRPr="00146A17">
        <w:rPr>
          <w:rFonts w:ascii="Times New Roman" w:hAnsi="Times New Roman"/>
        </w:rPr>
        <w:t xml:space="preserve"> However, it seems to me to be useful to see the issue in this way – ie, to consider when the cause of action would have been complete – because a debt cannot be “immediately claimable” if the plaintiff’s cause of action is incomplete in any way.</w:t>
      </w:r>
    </w:p>
    <w:p w14:paraId="262398D7" w14:textId="24F4F098" w:rsidR="00AF31F9"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38</w:t>
      </w:r>
      <w:r w:rsidRPr="00146A17">
        <w:rPr>
          <w:rFonts w:ascii="Times New Roman" w:hAnsi="Times New Roman"/>
        </w:rPr>
        <w:tab/>
      </w:r>
      <w:r w:rsidR="00AF31F9" w:rsidRPr="00146A17">
        <w:rPr>
          <w:rFonts w:ascii="Times New Roman" w:hAnsi="Times New Roman"/>
        </w:rPr>
        <w:t xml:space="preserve">As I have noted above, </w:t>
      </w:r>
      <w:r w:rsidR="00D90621" w:rsidRPr="00146A17">
        <w:rPr>
          <w:rFonts w:ascii="Times New Roman" w:hAnsi="Times New Roman"/>
        </w:rPr>
        <w:t xml:space="preserve">the issue of registration seems to me to be a red herring. </w:t>
      </w:r>
      <w:r w:rsidR="00D5474F">
        <w:rPr>
          <w:rFonts w:ascii="Times New Roman" w:hAnsi="Times New Roman"/>
        </w:rPr>
        <w:t>The main issue is</w:t>
      </w:r>
      <w:r w:rsidR="00036676" w:rsidRPr="00146A17">
        <w:rPr>
          <w:rFonts w:ascii="Times New Roman" w:hAnsi="Times New Roman"/>
        </w:rPr>
        <w:t xml:space="preserve"> </w:t>
      </w:r>
      <w:r w:rsidR="00D5474F">
        <w:rPr>
          <w:rFonts w:ascii="Times New Roman" w:hAnsi="Times New Roman"/>
        </w:rPr>
        <w:t xml:space="preserve">to determine </w:t>
      </w:r>
      <w:r w:rsidR="00036676" w:rsidRPr="00146A17">
        <w:rPr>
          <w:rFonts w:ascii="Times New Roman" w:hAnsi="Times New Roman"/>
        </w:rPr>
        <w:t xml:space="preserve">the underlying legal relationships. </w:t>
      </w:r>
      <w:r w:rsidR="00C45A34" w:rsidRPr="00146A17">
        <w:rPr>
          <w:rFonts w:ascii="Times New Roman" w:hAnsi="Times New Roman"/>
        </w:rPr>
        <w:t>In particular, the contractual relationship between the University and ATS, on the one hand, and ATS and Wamjay, on the other.</w:t>
      </w:r>
    </w:p>
    <w:p w14:paraId="450B4B2A" w14:textId="0CA4AFB2" w:rsidR="00B0774F"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39</w:t>
      </w:r>
      <w:r w:rsidRPr="00146A17">
        <w:rPr>
          <w:rFonts w:ascii="Times New Roman" w:hAnsi="Times New Roman"/>
        </w:rPr>
        <w:tab/>
      </w:r>
      <w:r w:rsidR="00B0774F" w:rsidRPr="00146A17">
        <w:rPr>
          <w:rFonts w:ascii="Times New Roman" w:hAnsi="Times New Roman"/>
        </w:rPr>
        <w:t xml:space="preserve">As far as I can tell, the legal issue </w:t>
      </w:r>
      <w:r w:rsidR="00F64481" w:rsidRPr="00146A17">
        <w:rPr>
          <w:rFonts w:ascii="Times New Roman" w:hAnsi="Times New Roman"/>
        </w:rPr>
        <w:t xml:space="preserve">relating to prescription </w:t>
      </w:r>
      <w:r w:rsidR="00B0774F" w:rsidRPr="00146A17">
        <w:rPr>
          <w:rFonts w:ascii="Times New Roman" w:hAnsi="Times New Roman"/>
        </w:rPr>
        <w:t>directly raised by this case is novel.</w:t>
      </w:r>
      <w:r w:rsidR="00AD5C02" w:rsidRPr="00146A17">
        <w:rPr>
          <w:rFonts w:ascii="Times New Roman" w:hAnsi="Times New Roman"/>
        </w:rPr>
        <w:t xml:space="preserve"> However, the multi-party relationship arising in this case is not uncommon at all. </w:t>
      </w:r>
      <w:r w:rsidR="000C5351">
        <w:rPr>
          <w:rFonts w:ascii="Times New Roman" w:hAnsi="Times New Roman"/>
        </w:rPr>
        <w:t>This is especially true</w:t>
      </w:r>
      <w:r w:rsidR="00AD5C02" w:rsidRPr="00146A17">
        <w:rPr>
          <w:rFonts w:ascii="Times New Roman" w:hAnsi="Times New Roman"/>
        </w:rPr>
        <w:t xml:space="preserve"> in the context of the law of sale and lease. In this regard, it is illuminating to see how </w:t>
      </w:r>
      <w:r w:rsidR="00CB52A4" w:rsidRPr="00146A17">
        <w:rPr>
          <w:rFonts w:ascii="Times New Roman" w:hAnsi="Times New Roman"/>
        </w:rPr>
        <w:t>our courts have dealt with the issue of when a debt is claimable in case</w:t>
      </w:r>
      <w:r w:rsidR="00F82744" w:rsidRPr="00146A17">
        <w:rPr>
          <w:rFonts w:ascii="Times New Roman" w:hAnsi="Times New Roman"/>
        </w:rPr>
        <w:t>s</w:t>
      </w:r>
      <w:r w:rsidR="00CB52A4" w:rsidRPr="00146A17">
        <w:rPr>
          <w:rFonts w:ascii="Times New Roman" w:hAnsi="Times New Roman"/>
        </w:rPr>
        <w:t xml:space="preserve"> involving these type</w:t>
      </w:r>
      <w:r w:rsidR="005956B0" w:rsidRPr="00146A17">
        <w:rPr>
          <w:rFonts w:ascii="Times New Roman" w:hAnsi="Times New Roman"/>
        </w:rPr>
        <w:t>s</w:t>
      </w:r>
      <w:r w:rsidR="00CB52A4" w:rsidRPr="00146A17">
        <w:rPr>
          <w:rFonts w:ascii="Times New Roman" w:hAnsi="Times New Roman"/>
        </w:rPr>
        <w:t xml:space="preserve"> of relationship</w:t>
      </w:r>
      <w:r w:rsidR="00717F49" w:rsidRPr="00146A17">
        <w:rPr>
          <w:rFonts w:ascii="Times New Roman" w:hAnsi="Times New Roman"/>
        </w:rPr>
        <w:t>.</w:t>
      </w:r>
      <w:r w:rsidR="00E10BB2" w:rsidRPr="00146A17">
        <w:rPr>
          <w:rFonts w:ascii="Times New Roman" w:hAnsi="Times New Roman"/>
        </w:rPr>
        <w:t xml:space="preserve"> The decisions which I discuss below all </w:t>
      </w:r>
      <w:r w:rsidR="00E10BB2" w:rsidRPr="00146A17">
        <w:rPr>
          <w:rFonts w:ascii="Times New Roman" w:hAnsi="Times New Roman"/>
        </w:rPr>
        <w:lastRenderedPageBreak/>
        <w:t xml:space="preserve">were determined under the law of contract, and not unjustified enrichment. </w:t>
      </w:r>
      <w:r w:rsidR="002D4BCE" w:rsidRPr="00146A17">
        <w:rPr>
          <w:rFonts w:ascii="Times New Roman" w:hAnsi="Times New Roman"/>
        </w:rPr>
        <w:t>But, for reasons I explain below, they are of considerable assistance in resolving the prescr</w:t>
      </w:r>
      <w:r w:rsidR="009C65FB" w:rsidRPr="00146A17">
        <w:rPr>
          <w:rFonts w:ascii="Times New Roman" w:hAnsi="Times New Roman"/>
        </w:rPr>
        <w:t>iption issue arising in this case</w:t>
      </w:r>
      <w:r w:rsidR="00E10BB2" w:rsidRPr="00146A17">
        <w:rPr>
          <w:rFonts w:ascii="Times New Roman" w:hAnsi="Times New Roman"/>
        </w:rPr>
        <w:t>.</w:t>
      </w:r>
      <w:r w:rsidR="00F82744" w:rsidRPr="00146A17">
        <w:rPr>
          <w:rFonts w:ascii="Times New Roman" w:hAnsi="Times New Roman"/>
        </w:rPr>
        <w:t xml:space="preserve"> </w:t>
      </w:r>
    </w:p>
    <w:p w14:paraId="61C24D24" w14:textId="39D071A6" w:rsidR="008863DA"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40</w:t>
      </w:r>
      <w:r w:rsidRPr="00146A17">
        <w:rPr>
          <w:rFonts w:ascii="Times New Roman" w:hAnsi="Times New Roman"/>
        </w:rPr>
        <w:tab/>
      </w:r>
      <w:r w:rsidR="008863DA" w:rsidRPr="00146A17">
        <w:rPr>
          <w:rFonts w:ascii="Times New Roman" w:hAnsi="Times New Roman"/>
        </w:rPr>
        <w:t xml:space="preserve">Before discussing the cases, it might be helpful for me to explain precisely what I mean by “multi-party relationships”. It happens often in </w:t>
      </w:r>
      <w:r w:rsidR="00FA4930" w:rsidRPr="00146A17">
        <w:rPr>
          <w:rFonts w:ascii="Times New Roman" w:hAnsi="Times New Roman"/>
        </w:rPr>
        <w:t>disputes with a setting in contracts of sale or lease, that the validity and enforceability of a contract between A and B is implicated by the rights of a third party.</w:t>
      </w:r>
      <w:r w:rsidR="000E51A2" w:rsidRPr="00146A17">
        <w:rPr>
          <w:rFonts w:ascii="Times New Roman" w:hAnsi="Times New Roman"/>
        </w:rPr>
        <w:t xml:space="preserve"> Sale offers the best example, in many respects, because the </w:t>
      </w:r>
      <w:r w:rsidR="00E0516B" w:rsidRPr="00146A17">
        <w:rPr>
          <w:rFonts w:ascii="Times New Roman" w:hAnsi="Times New Roman"/>
        </w:rPr>
        <w:t>true</w:t>
      </w:r>
      <w:r w:rsidR="000E51A2" w:rsidRPr="00146A17">
        <w:rPr>
          <w:rFonts w:ascii="Times New Roman" w:hAnsi="Times New Roman"/>
        </w:rPr>
        <w:t xml:space="preserve"> owner of property </w:t>
      </w:r>
      <w:r w:rsidR="001A1B1C" w:rsidRPr="00146A17">
        <w:rPr>
          <w:rFonts w:ascii="Times New Roman" w:hAnsi="Times New Roman"/>
        </w:rPr>
        <w:t xml:space="preserve">has an uncontroversial right </w:t>
      </w:r>
      <w:r w:rsidR="000E51A2" w:rsidRPr="00146A17">
        <w:rPr>
          <w:rFonts w:ascii="Times New Roman" w:hAnsi="Times New Roman"/>
        </w:rPr>
        <w:t xml:space="preserve">to vindicate it. So, it might happen that </w:t>
      </w:r>
      <w:r w:rsidR="00BD76A6" w:rsidRPr="00146A17">
        <w:rPr>
          <w:rFonts w:ascii="Times New Roman" w:hAnsi="Times New Roman"/>
        </w:rPr>
        <w:t xml:space="preserve">X, a thief, steals F’s car and sells it to a dealer A. </w:t>
      </w:r>
      <w:r w:rsidR="00EA0099" w:rsidRPr="00146A17">
        <w:rPr>
          <w:rFonts w:ascii="Times New Roman" w:hAnsi="Times New Roman"/>
        </w:rPr>
        <w:t>The dealer A may or may not know that the car is stolen, but</w:t>
      </w:r>
      <w:r w:rsidR="002D5660">
        <w:rPr>
          <w:rFonts w:ascii="Times New Roman" w:hAnsi="Times New Roman"/>
        </w:rPr>
        <w:t xml:space="preserve"> </w:t>
      </w:r>
      <w:r w:rsidR="00EA0099" w:rsidRPr="00146A17">
        <w:rPr>
          <w:rFonts w:ascii="Times New Roman" w:hAnsi="Times New Roman"/>
        </w:rPr>
        <w:t xml:space="preserve">nothing turns on this. A sells the car to B, also a dealer in cars, who unquestionably has no idea that the car was stolen. </w:t>
      </w:r>
      <w:r w:rsidR="0003250B" w:rsidRPr="00146A17">
        <w:rPr>
          <w:rFonts w:ascii="Times New Roman" w:hAnsi="Times New Roman"/>
        </w:rPr>
        <w:t>B sells the car to C who also unquestionably does not know that the car was stolen. Sometime after C buys the car, the extensive investigations of the police determine its location</w:t>
      </w:r>
      <w:r w:rsidR="00E16679" w:rsidRPr="00146A17">
        <w:rPr>
          <w:rFonts w:ascii="Times New Roman" w:hAnsi="Times New Roman"/>
        </w:rPr>
        <w:t>. F immediately asks C to return his car, and C understa</w:t>
      </w:r>
      <w:r w:rsidR="0041412B" w:rsidRPr="00146A17">
        <w:rPr>
          <w:rFonts w:ascii="Times New Roman" w:hAnsi="Times New Roman"/>
        </w:rPr>
        <w:t>nda</w:t>
      </w:r>
      <w:r w:rsidR="00E16679" w:rsidRPr="00146A17">
        <w:rPr>
          <w:rFonts w:ascii="Times New Roman" w:hAnsi="Times New Roman"/>
        </w:rPr>
        <w:t xml:space="preserve">bly refuses because she says that she bought it in good faith. F then brings a </w:t>
      </w:r>
      <w:r w:rsidR="00E16679" w:rsidRPr="00B60F63">
        <w:rPr>
          <w:rFonts w:ascii="Times New Roman" w:hAnsi="Times New Roman"/>
          <w:i/>
          <w:iCs/>
        </w:rPr>
        <w:t>rei vindicatio</w:t>
      </w:r>
      <w:r w:rsidR="00E16679" w:rsidRPr="00146A17">
        <w:rPr>
          <w:rFonts w:ascii="Times New Roman" w:hAnsi="Times New Roman"/>
        </w:rPr>
        <w:t xml:space="preserve"> to reclaim the car</w:t>
      </w:r>
      <w:r w:rsidR="002C6BAF" w:rsidRPr="00146A17">
        <w:rPr>
          <w:rFonts w:ascii="Times New Roman" w:hAnsi="Times New Roman"/>
        </w:rPr>
        <w:t>. After F succeeds (either because C, seeing the writing on the wall, concedes or because the court grants the relief), C wishes to claim damages from B</w:t>
      </w:r>
      <w:r w:rsidR="00740CC8">
        <w:rPr>
          <w:rFonts w:ascii="Times New Roman" w:hAnsi="Times New Roman"/>
        </w:rPr>
        <w:t xml:space="preserve"> for breach of their contract of sale</w:t>
      </w:r>
      <w:r w:rsidR="0041412B" w:rsidRPr="00146A17">
        <w:rPr>
          <w:rFonts w:ascii="Times New Roman" w:hAnsi="Times New Roman"/>
        </w:rPr>
        <w:t>.</w:t>
      </w:r>
    </w:p>
    <w:p w14:paraId="03FE7D88" w14:textId="4FC0FDAB" w:rsidR="0041412B"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41</w:t>
      </w:r>
      <w:r w:rsidRPr="00146A17">
        <w:rPr>
          <w:rFonts w:ascii="Times New Roman" w:hAnsi="Times New Roman"/>
        </w:rPr>
        <w:tab/>
      </w:r>
      <w:r w:rsidR="0041412B" w:rsidRPr="00146A17">
        <w:rPr>
          <w:rFonts w:ascii="Times New Roman" w:hAnsi="Times New Roman"/>
        </w:rPr>
        <w:t xml:space="preserve">The same problems arise in the law of lease – whether in relation to movable or immovable property, although there are important differences – as the present case </w:t>
      </w:r>
      <w:r w:rsidR="006E535D" w:rsidRPr="00146A17">
        <w:rPr>
          <w:rFonts w:ascii="Times New Roman" w:hAnsi="Times New Roman"/>
        </w:rPr>
        <w:t>demonstrates</w:t>
      </w:r>
      <w:r w:rsidR="0041412B" w:rsidRPr="00146A17">
        <w:rPr>
          <w:rFonts w:ascii="Times New Roman" w:hAnsi="Times New Roman"/>
        </w:rPr>
        <w:t xml:space="preserve">. </w:t>
      </w:r>
      <w:r w:rsidR="000D29CE" w:rsidRPr="00146A17">
        <w:rPr>
          <w:rFonts w:ascii="Times New Roman" w:hAnsi="Times New Roman"/>
        </w:rPr>
        <w:t xml:space="preserve">It will often happen – perhaps most commonly in the case of sub-leases of commercial property – that </w:t>
      </w:r>
      <w:r w:rsidR="00A12E48" w:rsidRPr="00146A17">
        <w:rPr>
          <w:rFonts w:ascii="Times New Roman" w:hAnsi="Times New Roman"/>
        </w:rPr>
        <w:t xml:space="preserve">the </w:t>
      </w:r>
      <w:r w:rsidR="00650FCA" w:rsidRPr="00146A17">
        <w:rPr>
          <w:rFonts w:ascii="Times New Roman" w:hAnsi="Times New Roman"/>
        </w:rPr>
        <w:t xml:space="preserve">fulfilment of the purpose of </w:t>
      </w:r>
      <w:r w:rsidR="000D29CE" w:rsidRPr="00146A17">
        <w:rPr>
          <w:rFonts w:ascii="Times New Roman" w:hAnsi="Times New Roman"/>
        </w:rPr>
        <w:t>a contract of lease between A and B is dependent on the validity of a contract between B and C.</w:t>
      </w:r>
      <w:r w:rsidR="006C5044" w:rsidRPr="00146A17">
        <w:rPr>
          <w:rFonts w:ascii="Times New Roman" w:hAnsi="Times New Roman"/>
        </w:rPr>
        <w:t xml:space="preserve"> So, our courts have been required to develop detailed principles, in the context of the law of lease, to determine A’s rights when the underlying relationship between B and C comes to an end.</w:t>
      </w:r>
    </w:p>
    <w:p w14:paraId="4CA9F0E7" w14:textId="6E7669AD" w:rsidR="00A40580"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lastRenderedPageBreak/>
        <w:t>42</w:t>
      </w:r>
      <w:r w:rsidRPr="00146A17">
        <w:rPr>
          <w:rFonts w:ascii="Times New Roman" w:hAnsi="Times New Roman"/>
        </w:rPr>
        <w:tab/>
      </w:r>
      <w:r w:rsidR="00A40580" w:rsidRPr="00146A17">
        <w:rPr>
          <w:rFonts w:ascii="Times New Roman" w:hAnsi="Times New Roman"/>
        </w:rPr>
        <w:t xml:space="preserve">All contracts of sale have an implied </w:t>
      </w:r>
      <w:r w:rsidR="001976A7" w:rsidRPr="00146A17">
        <w:rPr>
          <w:rFonts w:ascii="Times New Roman" w:hAnsi="Times New Roman"/>
        </w:rPr>
        <w:t>(I use the word advisedly because it arises by operation of law) warranty against eviction</w:t>
      </w:r>
      <w:r w:rsidR="004E24D8" w:rsidRPr="00146A17">
        <w:rPr>
          <w:rFonts w:ascii="Times New Roman" w:hAnsi="Times New Roman"/>
        </w:rPr>
        <w:t>, unless excluded expressly by agreement for some or other reason</w:t>
      </w:r>
      <w:r w:rsidR="001976A7" w:rsidRPr="00146A17">
        <w:rPr>
          <w:rFonts w:ascii="Times New Roman" w:hAnsi="Times New Roman"/>
        </w:rPr>
        <w:t>.</w:t>
      </w:r>
      <w:r w:rsidR="004F43DD" w:rsidRPr="00146A17">
        <w:rPr>
          <w:rStyle w:val="FootnoteReference"/>
          <w:rFonts w:ascii="Times New Roman" w:hAnsi="Times New Roman"/>
        </w:rPr>
        <w:footnoteReference w:id="11"/>
      </w:r>
      <w:r w:rsidR="001976A7" w:rsidRPr="00146A17">
        <w:rPr>
          <w:rFonts w:ascii="Times New Roman" w:hAnsi="Times New Roman"/>
        </w:rPr>
        <w:t xml:space="preserve"> This simply means that, when </w:t>
      </w:r>
      <w:r w:rsidR="00D04E58">
        <w:rPr>
          <w:rFonts w:ascii="Times New Roman" w:hAnsi="Times New Roman"/>
        </w:rPr>
        <w:t>B</w:t>
      </w:r>
      <w:r w:rsidR="001976A7" w:rsidRPr="00146A17">
        <w:rPr>
          <w:rFonts w:ascii="Times New Roman" w:hAnsi="Times New Roman"/>
        </w:rPr>
        <w:t xml:space="preserve"> sells a car to </w:t>
      </w:r>
      <w:r w:rsidR="00D04E58">
        <w:rPr>
          <w:rFonts w:ascii="Times New Roman" w:hAnsi="Times New Roman"/>
        </w:rPr>
        <w:t>C</w:t>
      </w:r>
      <w:r w:rsidR="001976A7" w:rsidRPr="00146A17">
        <w:rPr>
          <w:rFonts w:ascii="Times New Roman" w:hAnsi="Times New Roman"/>
        </w:rPr>
        <w:t xml:space="preserve">, </w:t>
      </w:r>
      <w:r w:rsidR="00D04E58">
        <w:rPr>
          <w:rFonts w:ascii="Times New Roman" w:hAnsi="Times New Roman"/>
        </w:rPr>
        <w:t>B</w:t>
      </w:r>
      <w:r w:rsidR="001976A7" w:rsidRPr="00146A17">
        <w:rPr>
          <w:rFonts w:ascii="Times New Roman" w:hAnsi="Times New Roman"/>
        </w:rPr>
        <w:t xml:space="preserve"> warrants (whether the agreement provides for this or </w:t>
      </w:r>
      <w:r w:rsidR="005215CB" w:rsidRPr="00146A17">
        <w:rPr>
          <w:rFonts w:ascii="Times New Roman" w:hAnsi="Times New Roman"/>
        </w:rPr>
        <w:t xml:space="preserve">not) that </w:t>
      </w:r>
      <w:r w:rsidR="00D04E58">
        <w:rPr>
          <w:rFonts w:ascii="Times New Roman" w:hAnsi="Times New Roman"/>
        </w:rPr>
        <w:t>C</w:t>
      </w:r>
      <w:r w:rsidR="005215CB" w:rsidRPr="00146A17">
        <w:rPr>
          <w:rFonts w:ascii="Times New Roman" w:hAnsi="Times New Roman"/>
        </w:rPr>
        <w:t xml:space="preserve"> will be given undisturbed possession of the property. </w:t>
      </w:r>
      <w:r w:rsidR="00717C9D" w:rsidRPr="00146A17">
        <w:rPr>
          <w:rFonts w:ascii="Times New Roman" w:hAnsi="Times New Roman"/>
        </w:rPr>
        <w:t>This is because one of the immutable features of ownership is the right to deal with the property as the owner deems fit (subject, of course, to the plethora of modern regulations which limit the right of ownership)</w:t>
      </w:r>
      <w:r w:rsidR="00706ADD" w:rsidRPr="00146A17">
        <w:rPr>
          <w:rFonts w:ascii="Times New Roman" w:hAnsi="Times New Roman"/>
        </w:rPr>
        <w:t xml:space="preserve"> and to possess the property at the expense of the rest of the world.</w:t>
      </w:r>
      <w:r w:rsidR="009145A7" w:rsidRPr="00146A17">
        <w:rPr>
          <w:rFonts w:ascii="Times New Roman" w:hAnsi="Times New Roman"/>
        </w:rPr>
        <w:t xml:space="preserve"> If the subject of a contract of sale </w:t>
      </w:r>
      <w:r w:rsidR="00956AA8">
        <w:rPr>
          <w:rFonts w:ascii="Times New Roman" w:hAnsi="Times New Roman"/>
        </w:rPr>
        <w:t xml:space="preserve">(ie, the </w:t>
      </w:r>
      <w:r w:rsidR="00956AA8" w:rsidRPr="00176814">
        <w:rPr>
          <w:rFonts w:ascii="Times New Roman" w:hAnsi="Times New Roman"/>
          <w:i/>
          <w:iCs/>
        </w:rPr>
        <w:t>merx</w:t>
      </w:r>
      <w:r w:rsidR="00956AA8">
        <w:rPr>
          <w:rFonts w:ascii="Times New Roman" w:hAnsi="Times New Roman"/>
        </w:rPr>
        <w:t xml:space="preserve">, as it is often described especially in the earlier cases, given the Roman Law </w:t>
      </w:r>
      <w:r w:rsidR="00176814">
        <w:rPr>
          <w:rFonts w:ascii="Times New Roman" w:hAnsi="Times New Roman"/>
        </w:rPr>
        <w:t xml:space="preserve">provenance of these principles) </w:t>
      </w:r>
      <w:r w:rsidR="009145A7" w:rsidRPr="00146A17">
        <w:rPr>
          <w:rFonts w:ascii="Times New Roman" w:hAnsi="Times New Roman"/>
        </w:rPr>
        <w:t xml:space="preserve">does not in fact belong to the seller, then he or she cannot </w:t>
      </w:r>
      <w:r w:rsidR="008A39DF" w:rsidRPr="00146A17">
        <w:rPr>
          <w:rFonts w:ascii="Times New Roman" w:hAnsi="Times New Roman"/>
        </w:rPr>
        <w:t xml:space="preserve">ensure that the buyer will be given this undisturbed, unlimited right of possession. </w:t>
      </w:r>
      <w:r w:rsidR="008870C0" w:rsidRPr="00146A17">
        <w:rPr>
          <w:rFonts w:ascii="Times New Roman" w:hAnsi="Times New Roman"/>
        </w:rPr>
        <w:t xml:space="preserve">This is why the simple statement </w:t>
      </w:r>
      <w:r w:rsidR="00D64544" w:rsidRPr="00146A17">
        <w:rPr>
          <w:rFonts w:ascii="Times New Roman" w:hAnsi="Times New Roman"/>
        </w:rPr>
        <w:t xml:space="preserve">in a contract </w:t>
      </w:r>
      <w:r w:rsidR="008870C0" w:rsidRPr="00146A17">
        <w:rPr>
          <w:rFonts w:ascii="Times New Roman" w:hAnsi="Times New Roman"/>
        </w:rPr>
        <w:t xml:space="preserve">that </w:t>
      </w:r>
      <w:r w:rsidR="00176814">
        <w:rPr>
          <w:rFonts w:ascii="Times New Roman" w:hAnsi="Times New Roman"/>
        </w:rPr>
        <w:t>B</w:t>
      </w:r>
      <w:r w:rsidR="008870C0" w:rsidRPr="00146A17">
        <w:rPr>
          <w:rFonts w:ascii="Times New Roman" w:hAnsi="Times New Roman"/>
        </w:rPr>
        <w:t xml:space="preserve"> is the owner of a thing which she wishes to sell to </w:t>
      </w:r>
      <w:r w:rsidR="00176814">
        <w:rPr>
          <w:rFonts w:ascii="Times New Roman" w:hAnsi="Times New Roman"/>
        </w:rPr>
        <w:t>C</w:t>
      </w:r>
      <w:r w:rsidR="008870C0" w:rsidRPr="00146A17">
        <w:rPr>
          <w:rFonts w:ascii="Times New Roman" w:hAnsi="Times New Roman"/>
        </w:rPr>
        <w:t xml:space="preserve"> carries an implied warranty that no one will </w:t>
      </w:r>
      <w:r w:rsidR="00BE1516" w:rsidRPr="00146A17">
        <w:rPr>
          <w:rFonts w:ascii="Times New Roman" w:hAnsi="Times New Roman"/>
        </w:rPr>
        <w:t xml:space="preserve">take the property from </w:t>
      </w:r>
      <w:r w:rsidR="00176814">
        <w:rPr>
          <w:rFonts w:ascii="Times New Roman" w:hAnsi="Times New Roman"/>
        </w:rPr>
        <w:t>C</w:t>
      </w:r>
      <w:r w:rsidR="00BE1516" w:rsidRPr="00146A17">
        <w:rPr>
          <w:rFonts w:ascii="Times New Roman" w:hAnsi="Times New Roman"/>
        </w:rPr>
        <w:t xml:space="preserve">. </w:t>
      </w:r>
      <w:r w:rsidR="00AD41C7">
        <w:rPr>
          <w:rFonts w:ascii="Times New Roman" w:hAnsi="Times New Roman"/>
        </w:rPr>
        <w:t>In the earlier cases especially</w:t>
      </w:r>
      <w:r w:rsidR="00BE1516" w:rsidRPr="00146A17">
        <w:rPr>
          <w:rFonts w:ascii="Times New Roman" w:hAnsi="Times New Roman"/>
        </w:rPr>
        <w:t>, this</w:t>
      </w:r>
      <w:r w:rsidR="009964F0" w:rsidRPr="00146A17">
        <w:rPr>
          <w:rFonts w:ascii="Times New Roman" w:hAnsi="Times New Roman"/>
        </w:rPr>
        <w:t xml:space="preserve"> (ie, taking the property away)</w:t>
      </w:r>
      <w:r w:rsidR="00BE1516" w:rsidRPr="00146A17">
        <w:rPr>
          <w:rFonts w:ascii="Times New Roman" w:hAnsi="Times New Roman"/>
        </w:rPr>
        <w:t xml:space="preserve"> was described as “eviction”</w:t>
      </w:r>
      <w:r w:rsidR="00FA48D9">
        <w:rPr>
          <w:rFonts w:ascii="Times New Roman" w:hAnsi="Times New Roman"/>
        </w:rPr>
        <w:t xml:space="preserve">. </w:t>
      </w:r>
      <w:r w:rsidR="006E3E94">
        <w:rPr>
          <w:rFonts w:ascii="Times New Roman" w:hAnsi="Times New Roman"/>
        </w:rPr>
        <w:t>Because of the development of language t</w:t>
      </w:r>
      <w:r w:rsidR="00BE1516" w:rsidRPr="00146A17">
        <w:rPr>
          <w:rFonts w:ascii="Times New Roman" w:hAnsi="Times New Roman"/>
        </w:rPr>
        <w:t xml:space="preserve">his </w:t>
      </w:r>
      <w:r w:rsidR="00176814">
        <w:rPr>
          <w:rFonts w:ascii="Times New Roman" w:hAnsi="Times New Roman"/>
        </w:rPr>
        <w:t xml:space="preserve">term </w:t>
      </w:r>
      <w:r w:rsidR="00BE1516" w:rsidRPr="00146A17">
        <w:rPr>
          <w:rFonts w:ascii="Times New Roman" w:hAnsi="Times New Roman"/>
        </w:rPr>
        <w:t>is potentially confusing these days</w:t>
      </w:r>
      <w:r w:rsidR="006E3E94">
        <w:rPr>
          <w:rFonts w:ascii="Times New Roman" w:hAnsi="Times New Roman"/>
        </w:rPr>
        <w:t xml:space="preserve"> – most modern students of the law </w:t>
      </w:r>
      <w:r w:rsidR="007661D3">
        <w:rPr>
          <w:rFonts w:ascii="Times New Roman" w:hAnsi="Times New Roman"/>
        </w:rPr>
        <w:t xml:space="preserve">probably </w:t>
      </w:r>
      <w:r w:rsidR="006E3E94">
        <w:rPr>
          <w:rFonts w:ascii="Times New Roman" w:hAnsi="Times New Roman"/>
        </w:rPr>
        <w:t xml:space="preserve">understand the term </w:t>
      </w:r>
      <w:r w:rsidR="003B1E23">
        <w:rPr>
          <w:rFonts w:ascii="Times New Roman" w:hAnsi="Times New Roman"/>
        </w:rPr>
        <w:t xml:space="preserve">in the narrower sense </w:t>
      </w:r>
      <w:r w:rsidR="007661D3">
        <w:rPr>
          <w:rFonts w:ascii="Times New Roman" w:hAnsi="Times New Roman"/>
        </w:rPr>
        <w:t xml:space="preserve">of the act of a landlord </w:t>
      </w:r>
      <w:r w:rsidR="00901350">
        <w:rPr>
          <w:rFonts w:ascii="Times New Roman" w:hAnsi="Times New Roman"/>
        </w:rPr>
        <w:t>in</w:t>
      </w:r>
      <w:r w:rsidR="007661D3">
        <w:rPr>
          <w:rFonts w:ascii="Times New Roman" w:hAnsi="Times New Roman"/>
        </w:rPr>
        <w:t xml:space="preserve"> expelling </w:t>
      </w:r>
      <w:r w:rsidR="00FF6B0B">
        <w:rPr>
          <w:rFonts w:ascii="Times New Roman" w:hAnsi="Times New Roman"/>
        </w:rPr>
        <w:t>its</w:t>
      </w:r>
      <w:r w:rsidR="007661D3">
        <w:rPr>
          <w:rFonts w:ascii="Times New Roman" w:hAnsi="Times New Roman"/>
        </w:rPr>
        <w:t xml:space="preserve"> tenant from </w:t>
      </w:r>
      <w:r w:rsidR="00FF6B0B">
        <w:rPr>
          <w:rFonts w:ascii="Times New Roman" w:hAnsi="Times New Roman"/>
        </w:rPr>
        <w:t>its</w:t>
      </w:r>
      <w:r w:rsidR="007661D3">
        <w:rPr>
          <w:rFonts w:ascii="Times New Roman" w:hAnsi="Times New Roman"/>
        </w:rPr>
        <w:t xml:space="preserve"> property</w:t>
      </w:r>
      <w:r w:rsidR="00BE1516" w:rsidRPr="00146A17">
        <w:rPr>
          <w:rFonts w:ascii="Times New Roman" w:hAnsi="Times New Roman"/>
        </w:rPr>
        <w:t>.</w:t>
      </w:r>
      <w:r w:rsidR="00717C9D" w:rsidRPr="00146A17">
        <w:rPr>
          <w:rFonts w:ascii="Times New Roman" w:hAnsi="Times New Roman"/>
        </w:rPr>
        <w:t xml:space="preserve"> </w:t>
      </w:r>
    </w:p>
    <w:p w14:paraId="2D56B8FA" w14:textId="6C21F9BB" w:rsidR="002742FD"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43</w:t>
      </w:r>
      <w:r w:rsidRPr="00146A17">
        <w:rPr>
          <w:rFonts w:ascii="Times New Roman" w:hAnsi="Times New Roman"/>
        </w:rPr>
        <w:tab/>
      </w:r>
      <w:r w:rsidR="002742FD" w:rsidRPr="00146A17">
        <w:rPr>
          <w:rFonts w:ascii="Times New Roman" w:hAnsi="Times New Roman"/>
        </w:rPr>
        <w:t xml:space="preserve">The precise question which interests me, because it unlocks the </w:t>
      </w:r>
      <w:r w:rsidR="00B4560A" w:rsidRPr="00146A17">
        <w:rPr>
          <w:rFonts w:ascii="Times New Roman" w:hAnsi="Times New Roman"/>
        </w:rPr>
        <w:t>answer to the “immediately claimable” question in this case is: if either a buyer or a less</w:t>
      </w:r>
      <w:r w:rsidR="00901350">
        <w:rPr>
          <w:rFonts w:ascii="Times New Roman" w:hAnsi="Times New Roman"/>
        </w:rPr>
        <w:t>ee</w:t>
      </w:r>
      <w:r w:rsidR="00B4560A" w:rsidRPr="00146A17">
        <w:rPr>
          <w:rFonts w:ascii="Times New Roman" w:hAnsi="Times New Roman"/>
        </w:rPr>
        <w:t xml:space="preserve"> is dispossessed of the subject of the underlying agreement, </w:t>
      </w:r>
      <w:r w:rsidR="00BE3A89" w:rsidRPr="00146A17">
        <w:rPr>
          <w:rFonts w:ascii="Times New Roman" w:hAnsi="Times New Roman"/>
        </w:rPr>
        <w:t>then at what stage may he or she sue the seller or less</w:t>
      </w:r>
      <w:r w:rsidR="00901350">
        <w:rPr>
          <w:rFonts w:ascii="Times New Roman" w:hAnsi="Times New Roman"/>
        </w:rPr>
        <w:t>or</w:t>
      </w:r>
      <w:r w:rsidR="00BE3A89" w:rsidRPr="00146A17">
        <w:rPr>
          <w:rFonts w:ascii="Times New Roman" w:hAnsi="Times New Roman"/>
        </w:rPr>
        <w:t>?</w:t>
      </w:r>
    </w:p>
    <w:p w14:paraId="1138E49C" w14:textId="14B48368" w:rsidR="006E217C" w:rsidRPr="00146A17" w:rsidRDefault="00843CD7" w:rsidP="00843CD7">
      <w:pPr>
        <w:pStyle w:val="WLGLevel1"/>
        <w:numPr>
          <w:ilvl w:val="0"/>
          <w:numId w:val="0"/>
        </w:numPr>
        <w:tabs>
          <w:tab w:val="left" w:pos="567"/>
        </w:tabs>
        <w:ind w:left="562" w:hanging="562"/>
        <w:rPr>
          <w:rFonts w:ascii="Times New Roman" w:hAnsi="Times New Roman"/>
          <w:szCs w:val="24"/>
        </w:rPr>
      </w:pPr>
      <w:r w:rsidRPr="00146A17">
        <w:rPr>
          <w:rFonts w:ascii="Times New Roman" w:hAnsi="Times New Roman"/>
          <w:szCs w:val="24"/>
        </w:rPr>
        <w:lastRenderedPageBreak/>
        <w:t>44</w:t>
      </w:r>
      <w:r w:rsidRPr="00146A17">
        <w:rPr>
          <w:rFonts w:ascii="Times New Roman" w:hAnsi="Times New Roman"/>
          <w:szCs w:val="24"/>
        </w:rPr>
        <w:tab/>
      </w:r>
      <w:r w:rsidR="006E217C" w:rsidRPr="004C29EF">
        <w:rPr>
          <w:rFonts w:ascii="Times New Roman" w:hAnsi="Times New Roman"/>
          <w:szCs w:val="24"/>
        </w:rPr>
        <w:t xml:space="preserve">The original approach, inherited from </w:t>
      </w:r>
      <w:r w:rsidR="004C29EF" w:rsidRPr="004C29EF">
        <w:rPr>
          <w:rFonts w:ascii="Times New Roman" w:hAnsi="Times New Roman"/>
          <w:szCs w:val="24"/>
        </w:rPr>
        <w:t xml:space="preserve">Roman and </w:t>
      </w:r>
      <w:r w:rsidR="006E217C" w:rsidRPr="004C29EF">
        <w:rPr>
          <w:rFonts w:ascii="Times New Roman" w:hAnsi="Times New Roman"/>
          <w:szCs w:val="24"/>
        </w:rPr>
        <w:t>Roman Dutch law, was</w:t>
      </w:r>
      <w:r w:rsidR="006E217C" w:rsidRPr="00146A17">
        <w:rPr>
          <w:rFonts w:ascii="Times New Roman" w:hAnsi="Times New Roman"/>
          <w:szCs w:val="24"/>
        </w:rPr>
        <w:t xml:space="preserve"> commendable in its simplicity. </w:t>
      </w:r>
      <w:r w:rsidR="00F322F9" w:rsidRPr="00146A17">
        <w:rPr>
          <w:rFonts w:ascii="Times New Roman" w:hAnsi="Times New Roman"/>
          <w:szCs w:val="24"/>
        </w:rPr>
        <w:t xml:space="preserve">The concept “warranty against eviction” was taken literally, with the corollary that a bona fide possessor </w:t>
      </w:r>
      <w:r w:rsidR="00EE57E3">
        <w:rPr>
          <w:rFonts w:ascii="Times New Roman" w:hAnsi="Times New Roman"/>
          <w:szCs w:val="24"/>
        </w:rPr>
        <w:t xml:space="preserve">or occupier </w:t>
      </w:r>
      <w:r w:rsidR="00F322F9" w:rsidRPr="00146A17">
        <w:rPr>
          <w:rFonts w:ascii="Times New Roman" w:hAnsi="Times New Roman"/>
          <w:szCs w:val="24"/>
        </w:rPr>
        <w:t xml:space="preserve">of </w:t>
      </w:r>
      <w:r w:rsidR="00F41B4B" w:rsidRPr="00146A17">
        <w:rPr>
          <w:rFonts w:ascii="Times New Roman" w:hAnsi="Times New Roman"/>
          <w:szCs w:val="24"/>
        </w:rPr>
        <w:t>property who was the victim of a breach of the warranty could only sue when actually evicted. This led to a development of the principle during the 20</w:t>
      </w:r>
      <w:r w:rsidR="00F41B4B" w:rsidRPr="00146A17">
        <w:rPr>
          <w:rFonts w:ascii="Times New Roman" w:hAnsi="Times New Roman"/>
          <w:szCs w:val="24"/>
          <w:vertAlign w:val="superscript"/>
        </w:rPr>
        <w:t>th</w:t>
      </w:r>
      <w:r w:rsidR="00F41B4B" w:rsidRPr="00146A17">
        <w:rPr>
          <w:rFonts w:ascii="Times New Roman" w:hAnsi="Times New Roman"/>
          <w:szCs w:val="24"/>
        </w:rPr>
        <w:t xml:space="preserve"> Century, in which the exigencies of modern lif</w:t>
      </w:r>
      <w:r w:rsidR="00EF05B8" w:rsidRPr="00146A17">
        <w:rPr>
          <w:rFonts w:ascii="Times New Roman" w:hAnsi="Times New Roman"/>
          <w:szCs w:val="24"/>
        </w:rPr>
        <w:t>e</w:t>
      </w:r>
      <w:r w:rsidR="00F41B4B" w:rsidRPr="00146A17">
        <w:rPr>
          <w:rFonts w:ascii="Times New Roman" w:hAnsi="Times New Roman"/>
          <w:szCs w:val="24"/>
        </w:rPr>
        <w:t xml:space="preserve"> prompted </w:t>
      </w:r>
      <w:r w:rsidR="00F27114" w:rsidRPr="00146A17">
        <w:rPr>
          <w:rFonts w:ascii="Times New Roman" w:hAnsi="Times New Roman"/>
          <w:szCs w:val="24"/>
        </w:rPr>
        <w:t>certain qualifications to this simple rule.</w:t>
      </w:r>
      <w:r w:rsidR="00E525A7" w:rsidRPr="00146A17">
        <w:rPr>
          <w:rStyle w:val="FootnoteReference"/>
          <w:rFonts w:ascii="Times New Roman" w:hAnsi="Times New Roman"/>
          <w:szCs w:val="24"/>
        </w:rPr>
        <w:footnoteReference w:id="12"/>
      </w:r>
      <w:r w:rsidR="00F27114" w:rsidRPr="00146A17">
        <w:rPr>
          <w:rFonts w:ascii="Times New Roman" w:hAnsi="Times New Roman"/>
          <w:szCs w:val="24"/>
        </w:rPr>
        <w:t xml:space="preserve"> The main issue, which the courts had to address, was the potential inconvenience or unfairness in requiring the innocent possessor to wait for actual loss of possession before attempting to vindicate his or her rights.</w:t>
      </w:r>
    </w:p>
    <w:p w14:paraId="368E86BB" w14:textId="6BCC3906" w:rsidR="00947EF1" w:rsidRPr="00146A17" w:rsidRDefault="00843CD7" w:rsidP="00843CD7">
      <w:pPr>
        <w:pStyle w:val="WLGLevel1"/>
        <w:numPr>
          <w:ilvl w:val="0"/>
          <w:numId w:val="0"/>
        </w:numPr>
        <w:tabs>
          <w:tab w:val="left" w:pos="567"/>
        </w:tabs>
        <w:ind w:left="562" w:hanging="562"/>
        <w:rPr>
          <w:rFonts w:ascii="Times New Roman" w:hAnsi="Times New Roman"/>
          <w:szCs w:val="24"/>
        </w:rPr>
      </w:pPr>
      <w:r w:rsidRPr="00146A17">
        <w:rPr>
          <w:rFonts w:ascii="Times New Roman" w:hAnsi="Times New Roman"/>
          <w:szCs w:val="24"/>
        </w:rPr>
        <w:t>45</w:t>
      </w:r>
      <w:r w:rsidRPr="00146A17">
        <w:rPr>
          <w:rFonts w:ascii="Times New Roman" w:hAnsi="Times New Roman"/>
          <w:szCs w:val="24"/>
        </w:rPr>
        <w:tab/>
      </w:r>
      <w:r w:rsidR="0076441A" w:rsidRPr="00146A17">
        <w:rPr>
          <w:rFonts w:ascii="Times New Roman" w:hAnsi="Times New Roman"/>
          <w:szCs w:val="24"/>
        </w:rPr>
        <w:t xml:space="preserve">Under the </w:t>
      </w:r>
      <w:r w:rsidR="00FC77A7" w:rsidRPr="00146A17">
        <w:rPr>
          <w:rFonts w:ascii="Times New Roman" w:hAnsi="Times New Roman"/>
          <w:szCs w:val="24"/>
        </w:rPr>
        <w:t xml:space="preserve">modern </w:t>
      </w:r>
      <w:r w:rsidR="0076441A" w:rsidRPr="00146A17">
        <w:rPr>
          <w:rFonts w:ascii="Times New Roman" w:hAnsi="Times New Roman"/>
          <w:szCs w:val="24"/>
        </w:rPr>
        <w:t>law of sale</w:t>
      </w:r>
      <w:r w:rsidR="00AA29D5" w:rsidRPr="00146A17">
        <w:rPr>
          <w:rFonts w:ascii="Times New Roman" w:hAnsi="Times New Roman"/>
          <w:szCs w:val="24"/>
        </w:rPr>
        <w:t>,</w:t>
      </w:r>
      <w:r w:rsidR="0076441A" w:rsidRPr="00146A17">
        <w:rPr>
          <w:rFonts w:ascii="Times New Roman" w:hAnsi="Times New Roman"/>
          <w:szCs w:val="24"/>
        </w:rPr>
        <w:t xml:space="preserve"> </w:t>
      </w:r>
      <w:r w:rsidR="007477B4" w:rsidRPr="00146A17">
        <w:rPr>
          <w:rFonts w:ascii="Times New Roman" w:hAnsi="Times New Roman"/>
          <w:szCs w:val="24"/>
        </w:rPr>
        <w:t xml:space="preserve">the approach </w:t>
      </w:r>
      <w:r w:rsidR="0076441A" w:rsidRPr="00146A17">
        <w:rPr>
          <w:rFonts w:ascii="Times New Roman" w:hAnsi="Times New Roman"/>
          <w:szCs w:val="24"/>
        </w:rPr>
        <w:t xml:space="preserve">appears to be that a bona fide purchaser who is faced with a claim from a third party cannot, on mere receipt of the claim, sue the seller based on a breach of the warranty against eviction. However, </w:t>
      </w:r>
      <w:r w:rsidR="00F27114" w:rsidRPr="00146A17">
        <w:rPr>
          <w:rFonts w:ascii="Times New Roman" w:hAnsi="Times New Roman"/>
          <w:szCs w:val="24"/>
        </w:rPr>
        <w:t>he or she is also no longer required to wait for actual eviction. I</w:t>
      </w:r>
      <w:r w:rsidR="0076441A" w:rsidRPr="00146A17">
        <w:rPr>
          <w:rFonts w:ascii="Times New Roman" w:hAnsi="Times New Roman"/>
          <w:szCs w:val="24"/>
        </w:rPr>
        <w:t xml:space="preserve">f the purchaser, in addition to alleging and proving that a demand has been made, </w:t>
      </w:r>
      <w:r w:rsidR="0076441A" w:rsidRPr="00146A17">
        <w:rPr>
          <w:rFonts w:ascii="Times New Roman" w:hAnsi="Times New Roman"/>
          <w:color w:val="000000"/>
          <w:szCs w:val="24"/>
        </w:rPr>
        <w:t>proves both that the third party's title is legally unassailable and that he - the purchaser - has duly admitted the demand and legally bound h</w:t>
      </w:r>
      <w:r w:rsidR="00CB733F">
        <w:rPr>
          <w:rFonts w:ascii="Times New Roman" w:hAnsi="Times New Roman"/>
          <w:color w:val="000000"/>
          <w:szCs w:val="24"/>
        </w:rPr>
        <w:t>im</w:t>
      </w:r>
      <w:r w:rsidR="0076441A" w:rsidRPr="00146A17">
        <w:rPr>
          <w:rFonts w:ascii="Times New Roman" w:hAnsi="Times New Roman"/>
          <w:color w:val="000000"/>
          <w:szCs w:val="24"/>
        </w:rPr>
        <w:t>self to comply with it</w:t>
      </w:r>
      <w:r w:rsidR="00CB733F">
        <w:rPr>
          <w:rFonts w:ascii="Times New Roman" w:hAnsi="Times New Roman"/>
          <w:color w:val="000000"/>
          <w:szCs w:val="24"/>
        </w:rPr>
        <w:t>,</w:t>
      </w:r>
      <w:r w:rsidR="0076441A" w:rsidRPr="00146A17">
        <w:rPr>
          <w:rFonts w:ascii="Times New Roman" w:hAnsi="Times New Roman"/>
          <w:color w:val="000000"/>
          <w:szCs w:val="24"/>
        </w:rPr>
        <w:t xml:space="preserve"> he may bri</w:t>
      </w:r>
      <w:r w:rsidR="00E872D4" w:rsidRPr="00146A17">
        <w:rPr>
          <w:rFonts w:ascii="Times New Roman" w:hAnsi="Times New Roman"/>
          <w:color w:val="000000"/>
          <w:szCs w:val="24"/>
        </w:rPr>
        <w:t>n</w:t>
      </w:r>
      <w:r w:rsidR="0076441A" w:rsidRPr="00146A17">
        <w:rPr>
          <w:rFonts w:ascii="Times New Roman" w:hAnsi="Times New Roman"/>
          <w:color w:val="000000"/>
          <w:szCs w:val="24"/>
        </w:rPr>
        <w:t>g a claim “even though he has not yet actually complied with the demand made upon him by the third party.”</w:t>
      </w:r>
      <w:r w:rsidR="0076441A" w:rsidRPr="00146A17">
        <w:rPr>
          <w:rStyle w:val="FootnoteReference"/>
          <w:rFonts w:ascii="Times New Roman" w:hAnsi="Times New Roman"/>
          <w:color w:val="000000"/>
          <w:szCs w:val="24"/>
        </w:rPr>
        <w:footnoteReference w:id="13"/>
      </w:r>
    </w:p>
    <w:p w14:paraId="08EE8A58" w14:textId="39F0F3F8" w:rsidR="00206326" w:rsidRPr="00146A17" w:rsidRDefault="00843CD7" w:rsidP="00843CD7">
      <w:pPr>
        <w:pStyle w:val="WLGLevel1"/>
        <w:numPr>
          <w:ilvl w:val="0"/>
          <w:numId w:val="0"/>
        </w:numPr>
        <w:tabs>
          <w:tab w:val="left" w:pos="567"/>
        </w:tabs>
        <w:ind w:left="562" w:hanging="562"/>
        <w:rPr>
          <w:rFonts w:ascii="Times New Roman" w:hAnsi="Times New Roman"/>
          <w:szCs w:val="24"/>
        </w:rPr>
      </w:pPr>
      <w:r w:rsidRPr="00146A17">
        <w:rPr>
          <w:rFonts w:ascii="Times New Roman" w:hAnsi="Times New Roman"/>
          <w:szCs w:val="24"/>
        </w:rPr>
        <w:t>46</w:t>
      </w:r>
      <w:r w:rsidRPr="00146A17">
        <w:rPr>
          <w:rFonts w:ascii="Times New Roman" w:hAnsi="Times New Roman"/>
          <w:szCs w:val="24"/>
        </w:rPr>
        <w:tab/>
      </w:r>
      <w:r w:rsidR="00211820" w:rsidRPr="00146A17">
        <w:rPr>
          <w:rFonts w:ascii="Times New Roman" w:hAnsi="Times New Roman"/>
          <w:szCs w:val="24"/>
        </w:rPr>
        <w:t>When it comes to</w:t>
      </w:r>
      <w:r w:rsidR="0090526B" w:rsidRPr="00146A17">
        <w:rPr>
          <w:rFonts w:ascii="Times New Roman" w:hAnsi="Times New Roman"/>
          <w:szCs w:val="24"/>
        </w:rPr>
        <w:t xml:space="preserve"> lease, </w:t>
      </w:r>
      <w:r w:rsidR="00DE1B30" w:rsidRPr="00146A17">
        <w:rPr>
          <w:rFonts w:ascii="Times New Roman" w:hAnsi="Times New Roman"/>
          <w:szCs w:val="24"/>
        </w:rPr>
        <w:t xml:space="preserve">it seems that </w:t>
      </w:r>
      <w:r w:rsidR="00AD0C5A" w:rsidRPr="00146A17">
        <w:rPr>
          <w:rFonts w:ascii="Times New Roman" w:hAnsi="Times New Roman"/>
          <w:szCs w:val="24"/>
        </w:rPr>
        <w:t>the position is not</w:t>
      </w:r>
      <w:r w:rsidR="00277E25" w:rsidRPr="00146A17">
        <w:rPr>
          <w:rFonts w:ascii="Times New Roman" w:hAnsi="Times New Roman"/>
          <w:szCs w:val="24"/>
        </w:rPr>
        <w:t>, under the modern law,</w:t>
      </w:r>
      <w:r w:rsidR="00AD0C5A" w:rsidRPr="00146A17">
        <w:rPr>
          <w:rFonts w:ascii="Times New Roman" w:hAnsi="Times New Roman"/>
          <w:szCs w:val="24"/>
        </w:rPr>
        <w:t xml:space="preserve"> significantly different. </w:t>
      </w:r>
      <w:r w:rsidR="007E0D0D">
        <w:rPr>
          <w:rFonts w:ascii="Times New Roman" w:hAnsi="Times New Roman"/>
          <w:szCs w:val="24"/>
        </w:rPr>
        <w:t>But</w:t>
      </w:r>
      <w:r w:rsidR="00884C6C">
        <w:rPr>
          <w:rFonts w:ascii="Times New Roman" w:hAnsi="Times New Roman"/>
          <w:szCs w:val="24"/>
        </w:rPr>
        <w:t xml:space="preserve"> this is not entirely clear because there is m</w:t>
      </w:r>
      <w:r w:rsidR="00262BDF">
        <w:rPr>
          <w:rFonts w:ascii="Times New Roman" w:hAnsi="Times New Roman"/>
          <w:szCs w:val="24"/>
        </w:rPr>
        <w:t>u</w:t>
      </w:r>
      <w:r w:rsidR="00884C6C">
        <w:rPr>
          <w:rFonts w:ascii="Times New Roman" w:hAnsi="Times New Roman"/>
          <w:szCs w:val="24"/>
        </w:rPr>
        <w:t xml:space="preserve">ch less caselaw </w:t>
      </w:r>
      <w:r w:rsidR="00262BDF">
        <w:rPr>
          <w:rFonts w:ascii="Times New Roman" w:hAnsi="Times New Roman"/>
          <w:szCs w:val="24"/>
        </w:rPr>
        <w:t xml:space="preserve">concerning leases in this context. </w:t>
      </w:r>
      <w:r w:rsidR="00AD5827">
        <w:rPr>
          <w:rFonts w:ascii="Times New Roman" w:hAnsi="Times New Roman"/>
          <w:szCs w:val="24"/>
        </w:rPr>
        <w:t>While this initially surprised me</w:t>
      </w:r>
      <w:r w:rsidR="00E25751">
        <w:rPr>
          <w:rFonts w:ascii="Times New Roman" w:hAnsi="Times New Roman"/>
          <w:szCs w:val="24"/>
        </w:rPr>
        <w:t>,</w:t>
      </w:r>
      <w:r w:rsidR="00AD5827">
        <w:rPr>
          <w:rFonts w:ascii="Times New Roman" w:hAnsi="Times New Roman"/>
          <w:szCs w:val="24"/>
        </w:rPr>
        <w:t xml:space="preserve"> it does, on reflection, make sense. </w:t>
      </w:r>
      <w:r w:rsidR="00674AE3">
        <w:rPr>
          <w:rFonts w:ascii="Times New Roman" w:hAnsi="Times New Roman"/>
          <w:szCs w:val="24"/>
        </w:rPr>
        <w:t xml:space="preserve">When a </w:t>
      </w:r>
      <w:r w:rsidR="00674AE3" w:rsidRPr="00E25751">
        <w:rPr>
          <w:rFonts w:ascii="Times New Roman" w:hAnsi="Times New Roman"/>
          <w:i/>
          <w:iCs/>
          <w:szCs w:val="24"/>
        </w:rPr>
        <w:t>merx</w:t>
      </w:r>
      <w:r w:rsidR="00674AE3">
        <w:rPr>
          <w:rFonts w:ascii="Times New Roman" w:hAnsi="Times New Roman"/>
          <w:szCs w:val="24"/>
        </w:rPr>
        <w:t xml:space="preserve"> is removed from a buyer, there is almost always quantifiable loss. When a tenant is forced to move on because of the invalidity of the landlord’s tenure, </w:t>
      </w:r>
      <w:r w:rsidR="00674AE3">
        <w:rPr>
          <w:rFonts w:ascii="Times New Roman" w:hAnsi="Times New Roman"/>
          <w:szCs w:val="24"/>
        </w:rPr>
        <w:lastRenderedPageBreak/>
        <w:t xml:space="preserve">it will often be possible for </w:t>
      </w:r>
      <w:r w:rsidR="00BA1FF4">
        <w:rPr>
          <w:rFonts w:ascii="Times New Roman" w:hAnsi="Times New Roman"/>
          <w:szCs w:val="24"/>
        </w:rPr>
        <w:t>it to mitigate its loss by finding alternative premises – and such loss that it could prove would often not be worth the hassle and expense of litigation. In any event</w:t>
      </w:r>
      <w:r w:rsidR="00277E25" w:rsidRPr="00146A17">
        <w:rPr>
          <w:rFonts w:ascii="Times New Roman" w:hAnsi="Times New Roman"/>
          <w:szCs w:val="24"/>
        </w:rPr>
        <w:t xml:space="preserve">, </w:t>
      </w:r>
      <w:r w:rsidR="00BA1FF4">
        <w:rPr>
          <w:rFonts w:ascii="Times New Roman" w:hAnsi="Times New Roman"/>
          <w:szCs w:val="24"/>
        </w:rPr>
        <w:t xml:space="preserve">even if the modern law of sale and lease has largely converged, </w:t>
      </w:r>
      <w:r w:rsidR="00277E25" w:rsidRPr="00146A17">
        <w:rPr>
          <w:rFonts w:ascii="Times New Roman" w:hAnsi="Times New Roman"/>
          <w:szCs w:val="24"/>
        </w:rPr>
        <w:t xml:space="preserve">there are </w:t>
      </w:r>
      <w:r w:rsidR="005F3F3F" w:rsidRPr="00146A17">
        <w:rPr>
          <w:rFonts w:ascii="Times New Roman" w:hAnsi="Times New Roman"/>
          <w:szCs w:val="24"/>
        </w:rPr>
        <w:t xml:space="preserve">some </w:t>
      </w:r>
      <w:r w:rsidR="00277E25" w:rsidRPr="00146A17">
        <w:rPr>
          <w:rFonts w:ascii="Times New Roman" w:hAnsi="Times New Roman"/>
          <w:szCs w:val="24"/>
        </w:rPr>
        <w:t xml:space="preserve">important differences </w:t>
      </w:r>
      <w:r w:rsidR="005829C1" w:rsidRPr="00146A17">
        <w:rPr>
          <w:rFonts w:ascii="Times New Roman" w:hAnsi="Times New Roman"/>
          <w:szCs w:val="24"/>
        </w:rPr>
        <w:t>which are relevant to the question of when a debt in this context is “immediately claimable”.</w:t>
      </w:r>
    </w:p>
    <w:p w14:paraId="2D2B143B" w14:textId="4990253A" w:rsidR="0090526B"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47</w:t>
      </w:r>
      <w:r w:rsidRPr="00146A17">
        <w:rPr>
          <w:rFonts w:ascii="Times New Roman" w:hAnsi="Times New Roman"/>
        </w:rPr>
        <w:tab/>
      </w:r>
      <w:r w:rsidR="00AD0C5A" w:rsidRPr="00146A17">
        <w:rPr>
          <w:rFonts w:ascii="Times New Roman" w:hAnsi="Times New Roman"/>
        </w:rPr>
        <w:t xml:space="preserve">In </w:t>
      </w:r>
      <w:r w:rsidR="00AD0C5A" w:rsidRPr="00146A17">
        <w:rPr>
          <w:rFonts w:ascii="Times New Roman" w:hAnsi="Times New Roman"/>
          <w:i/>
          <w:iCs/>
        </w:rPr>
        <w:t>Donniger v Thorpe</w:t>
      </w:r>
      <w:r w:rsidR="00AD0C5A" w:rsidRPr="00146A17">
        <w:rPr>
          <w:rFonts w:ascii="Times New Roman" w:hAnsi="Times New Roman"/>
        </w:rPr>
        <w:t>,</w:t>
      </w:r>
      <w:r w:rsidR="00AD0C5A" w:rsidRPr="00146A17">
        <w:rPr>
          <w:rStyle w:val="FootnoteReference"/>
          <w:rFonts w:ascii="Times New Roman" w:hAnsi="Times New Roman"/>
          <w:szCs w:val="24"/>
        </w:rPr>
        <w:footnoteReference w:id="14"/>
      </w:r>
      <w:r w:rsidR="00AD0C5A" w:rsidRPr="00146A17">
        <w:rPr>
          <w:rFonts w:ascii="Times New Roman" w:hAnsi="Times New Roman"/>
        </w:rPr>
        <w:t xml:space="preserve"> </w:t>
      </w:r>
      <w:r w:rsidR="00972EA1" w:rsidRPr="00146A17">
        <w:rPr>
          <w:rFonts w:ascii="Times New Roman" w:hAnsi="Times New Roman"/>
        </w:rPr>
        <w:t xml:space="preserve">the respondent (T) concluded an agreement with the appellant (D) in terms of which T let his farm to D for a period </w:t>
      </w:r>
      <w:r w:rsidR="00206326" w:rsidRPr="00146A17">
        <w:rPr>
          <w:rFonts w:ascii="Times New Roman" w:hAnsi="Times New Roman"/>
        </w:rPr>
        <w:t xml:space="preserve">of five years, with an option to renew the lease for a further four years and eleven months. </w:t>
      </w:r>
      <w:r w:rsidR="005117C3" w:rsidRPr="00146A17">
        <w:rPr>
          <w:rFonts w:ascii="Times New Roman" w:hAnsi="Times New Roman"/>
        </w:rPr>
        <w:t>Un</w:t>
      </w:r>
      <w:r w:rsidR="005E56B5" w:rsidRPr="00146A17">
        <w:rPr>
          <w:rFonts w:ascii="Times New Roman" w:hAnsi="Times New Roman"/>
        </w:rPr>
        <w:t>be</w:t>
      </w:r>
      <w:r w:rsidR="005117C3" w:rsidRPr="00146A17">
        <w:rPr>
          <w:rFonts w:ascii="Times New Roman" w:hAnsi="Times New Roman"/>
        </w:rPr>
        <w:t>known to D</w:t>
      </w:r>
      <w:r w:rsidR="005E56B5" w:rsidRPr="00146A17">
        <w:rPr>
          <w:rFonts w:ascii="Times New Roman" w:hAnsi="Times New Roman"/>
        </w:rPr>
        <w:t>,</w:t>
      </w:r>
      <w:r w:rsidR="005117C3" w:rsidRPr="00146A17">
        <w:rPr>
          <w:rFonts w:ascii="Times New Roman" w:hAnsi="Times New Roman"/>
        </w:rPr>
        <w:t xml:space="preserve"> when he concluded the agreement, the farm was bonded to both the Land Bank and Standard Bank and T was in arrears.</w:t>
      </w:r>
      <w:r w:rsidR="001A009C" w:rsidRPr="00146A17">
        <w:rPr>
          <w:rFonts w:ascii="Times New Roman" w:hAnsi="Times New Roman"/>
        </w:rPr>
        <w:t xml:space="preserve"> At first, it seemed that the Land Bank was intent on selling the farm in execution</w:t>
      </w:r>
      <w:r w:rsidR="009A1D23" w:rsidRPr="00146A17">
        <w:rPr>
          <w:rFonts w:ascii="Times New Roman" w:hAnsi="Times New Roman"/>
        </w:rPr>
        <w:t xml:space="preserve"> – in those days it was able to do so without judicial intervention. But after D’s attorney wrote to the Land Bank to ask it to recognise the lease agreement </w:t>
      </w:r>
      <w:r w:rsidR="00A62E5B" w:rsidRPr="00146A17">
        <w:rPr>
          <w:rFonts w:ascii="Times New Roman" w:hAnsi="Times New Roman"/>
        </w:rPr>
        <w:t xml:space="preserve">– ie, sell the property subject to the lease – the Bank </w:t>
      </w:r>
      <w:r w:rsidR="00AF20B9" w:rsidRPr="00146A17">
        <w:rPr>
          <w:rFonts w:ascii="Times New Roman" w:hAnsi="Times New Roman"/>
        </w:rPr>
        <w:t>agreed</w:t>
      </w:r>
      <w:r w:rsidR="00A62E5B" w:rsidRPr="00146A17">
        <w:rPr>
          <w:rFonts w:ascii="Times New Roman" w:hAnsi="Times New Roman"/>
        </w:rPr>
        <w:t xml:space="preserve"> to hold off on the sale in execution. It was willing to do so </w:t>
      </w:r>
      <w:r w:rsidR="00B04DA6" w:rsidRPr="00146A17">
        <w:rPr>
          <w:rFonts w:ascii="Times New Roman" w:hAnsi="Times New Roman"/>
        </w:rPr>
        <w:t xml:space="preserve">subject to certain conditions, one of which </w:t>
      </w:r>
      <w:r w:rsidR="004E7B62" w:rsidRPr="00146A17">
        <w:rPr>
          <w:rFonts w:ascii="Times New Roman" w:hAnsi="Times New Roman"/>
        </w:rPr>
        <w:t xml:space="preserve">(that the land was “beneficially occupied and worked by a European”) </w:t>
      </w:r>
      <w:r w:rsidR="00A57E8D" w:rsidRPr="00146A17">
        <w:rPr>
          <w:rFonts w:ascii="Times New Roman" w:hAnsi="Times New Roman"/>
        </w:rPr>
        <w:t>was a regrettable feature of the times</w:t>
      </w:r>
      <w:r w:rsidR="00DA2845" w:rsidRPr="00146A17">
        <w:rPr>
          <w:rFonts w:ascii="Times New Roman" w:hAnsi="Times New Roman"/>
        </w:rPr>
        <w:t>, to put the point somewhat blandly</w:t>
      </w:r>
      <w:r w:rsidR="00A57E8D" w:rsidRPr="00146A17">
        <w:rPr>
          <w:rFonts w:ascii="Times New Roman" w:hAnsi="Times New Roman"/>
        </w:rPr>
        <w:t>.</w:t>
      </w:r>
      <w:r w:rsidR="008A6514">
        <w:rPr>
          <w:rStyle w:val="FootnoteReference"/>
          <w:rFonts w:ascii="Times New Roman" w:hAnsi="Times New Roman"/>
        </w:rPr>
        <w:footnoteReference w:id="15"/>
      </w:r>
      <w:r w:rsidR="00A57E8D" w:rsidRPr="00146A17">
        <w:rPr>
          <w:rFonts w:ascii="Times New Roman" w:hAnsi="Times New Roman"/>
        </w:rPr>
        <w:t xml:space="preserve"> </w:t>
      </w:r>
      <w:r w:rsidR="00D71714" w:rsidRPr="00146A17">
        <w:rPr>
          <w:rFonts w:ascii="Times New Roman" w:hAnsi="Times New Roman"/>
        </w:rPr>
        <w:t xml:space="preserve">The material conditions, for our purposes, were that (a) T paid </w:t>
      </w:r>
      <w:r w:rsidR="00A62E5B" w:rsidRPr="00146A17">
        <w:rPr>
          <w:rFonts w:ascii="Times New Roman" w:hAnsi="Times New Roman"/>
        </w:rPr>
        <w:t xml:space="preserve">the necessary instalments </w:t>
      </w:r>
      <w:r w:rsidR="00D71714" w:rsidRPr="00146A17">
        <w:rPr>
          <w:rFonts w:ascii="Times New Roman" w:hAnsi="Times New Roman"/>
        </w:rPr>
        <w:t xml:space="preserve">promptly </w:t>
      </w:r>
      <w:r w:rsidR="00A62E5B" w:rsidRPr="00146A17">
        <w:rPr>
          <w:rFonts w:ascii="Times New Roman" w:hAnsi="Times New Roman"/>
        </w:rPr>
        <w:t xml:space="preserve">and </w:t>
      </w:r>
      <w:r w:rsidR="0013556A" w:rsidRPr="00146A17">
        <w:rPr>
          <w:rFonts w:ascii="Times New Roman" w:hAnsi="Times New Roman"/>
        </w:rPr>
        <w:t xml:space="preserve">(b) </w:t>
      </w:r>
      <w:r w:rsidR="00A62E5B" w:rsidRPr="00146A17">
        <w:rPr>
          <w:rFonts w:ascii="Times New Roman" w:hAnsi="Times New Roman"/>
        </w:rPr>
        <w:t>that</w:t>
      </w:r>
      <w:r w:rsidR="0013556A" w:rsidRPr="00146A17">
        <w:rPr>
          <w:rFonts w:ascii="Times New Roman" w:hAnsi="Times New Roman"/>
        </w:rPr>
        <w:t xml:space="preserve"> the lease was subservient to </w:t>
      </w:r>
      <w:r w:rsidR="0013556A" w:rsidRPr="00146A17">
        <w:rPr>
          <w:rFonts w:ascii="Times New Roman" w:hAnsi="Times New Roman"/>
        </w:rPr>
        <w:lastRenderedPageBreak/>
        <w:t xml:space="preserve">the bond </w:t>
      </w:r>
      <w:r w:rsidR="00721269">
        <w:rPr>
          <w:rFonts w:ascii="Times New Roman" w:hAnsi="Times New Roman"/>
        </w:rPr>
        <w:t>so that</w:t>
      </w:r>
      <w:r w:rsidR="00A62E5B" w:rsidRPr="00146A17">
        <w:rPr>
          <w:rFonts w:ascii="Times New Roman" w:hAnsi="Times New Roman"/>
        </w:rPr>
        <w:t xml:space="preserve"> if it were </w:t>
      </w:r>
      <w:r w:rsidR="00721269">
        <w:rPr>
          <w:rFonts w:ascii="Times New Roman" w:hAnsi="Times New Roman"/>
        </w:rPr>
        <w:t xml:space="preserve">ever </w:t>
      </w:r>
      <w:r w:rsidR="00A62E5B" w:rsidRPr="00146A17">
        <w:rPr>
          <w:rFonts w:ascii="Times New Roman" w:hAnsi="Times New Roman"/>
        </w:rPr>
        <w:t>necessary to sell the property in exe</w:t>
      </w:r>
      <w:r w:rsidR="0013556A" w:rsidRPr="00146A17">
        <w:rPr>
          <w:rFonts w:ascii="Times New Roman" w:hAnsi="Times New Roman"/>
        </w:rPr>
        <w:t>c</w:t>
      </w:r>
      <w:r w:rsidR="00A62E5B" w:rsidRPr="00146A17">
        <w:rPr>
          <w:rFonts w:ascii="Times New Roman" w:hAnsi="Times New Roman"/>
        </w:rPr>
        <w:t xml:space="preserve">ution in the future, it would be sold free of </w:t>
      </w:r>
      <w:r w:rsidR="00B04DA6" w:rsidRPr="00146A17">
        <w:rPr>
          <w:rFonts w:ascii="Times New Roman" w:hAnsi="Times New Roman"/>
        </w:rPr>
        <w:t>the lease.</w:t>
      </w:r>
    </w:p>
    <w:p w14:paraId="1612F678" w14:textId="203C6F8D" w:rsidR="000A022C"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48</w:t>
      </w:r>
      <w:r w:rsidRPr="00146A17">
        <w:rPr>
          <w:rFonts w:ascii="Times New Roman" w:hAnsi="Times New Roman"/>
        </w:rPr>
        <w:tab/>
      </w:r>
      <w:r w:rsidR="000A022C" w:rsidRPr="00146A17">
        <w:rPr>
          <w:rFonts w:ascii="Times New Roman" w:hAnsi="Times New Roman"/>
        </w:rPr>
        <w:t xml:space="preserve">Despite the Land Bank’s willingness to accommodate D, D decided to vacate the property. </w:t>
      </w:r>
      <w:r w:rsidR="00B22D07" w:rsidRPr="00146A17">
        <w:rPr>
          <w:rFonts w:ascii="Times New Roman" w:hAnsi="Times New Roman"/>
        </w:rPr>
        <w:t>T sued D for non-payment of rent</w:t>
      </w:r>
      <w:r w:rsidR="00E85736" w:rsidRPr="00146A17">
        <w:rPr>
          <w:rFonts w:ascii="Times New Roman" w:hAnsi="Times New Roman"/>
        </w:rPr>
        <w:t xml:space="preserve"> and, in due course, supplemented his claim with a claim for damages. For our purposes, the defence pleaded by </w:t>
      </w:r>
      <w:r w:rsidR="009762D3" w:rsidRPr="00146A17">
        <w:rPr>
          <w:rFonts w:ascii="Times New Roman" w:hAnsi="Times New Roman"/>
        </w:rPr>
        <w:t>D</w:t>
      </w:r>
      <w:r w:rsidR="00E85736" w:rsidRPr="00146A17">
        <w:rPr>
          <w:rFonts w:ascii="Times New Roman" w:hAnsi="Times New Roman"/>
        </w:rPr>
        <w:t xml:space="preserve"> which is relevant is that </w:t>
      </w:r>
      <w:r w:rsidR="009D70B5" w:rsidRPr="00146A17">
        <w:rPr>
          <w:rFonts w:ascii="Times New Roman" w:hAnsi="Times New Roman"/>
        </w:rPr>
        <w:t>T</w:t>
      </w:r>
      <w:r w:rsidR="00E85736" w:rsidRPr="00146A17">
        <w:rPr>
          <w:rFonts w:ascii="Times New Roman" w:hAnsi="Times New Roman"/>
        </w:rPr>
        <w:t xml:space="preserve"> had fraudulently </w:t>
      </w:r>
      <w:r w:rsidR="00C62071" w:rsidRPr="00146A17">
        <w:rPr>
          <w:rFonts w:ascii="Times New Roman" w:hAnsi="Times New Roman"/>
        </w:rPr>
        <w:t xml:space="preserve">leased the premises to </w:t>
      </w:r>
      <w:r w:rsidR="009D70B5" w:rsidRPr="00146A17">
        <w:rPr>
          <w:rFonts w:ascii="Times New Roman" w:hAnsi="Times New Roman"/>
        </w:rPr>
        <w:t>D</w:t>
      </w:r>
      <w:r w:rsidR="00C62071" w:rsidRPr="00146A17">
        <w:rPr>
          <w:rFonts w:ascii="Times New Roman" w:hAnsi="Times New Roman"/>
        </w:rPr>
        <w:t xml:space="preserve"> while knowing that it was a condition of the bond that T obtain the written consent of the mortgagor.</w:t>
      </w:r>
      <w:r w:rsidR="00B640A1" w:rsidRPr="00146A17">
        <w:rPr>
          <w:rFonts w:ascii="Times New Roman" w:hAnsi="Times New Roman"/>
        </w:rPr>
        <w:t xml:space="preserve"> This, according to </w:t>
      </w:r>
      <w:r w:rsidR="009D70B5" w:rsidRPr="00146A17">
        <w:rPr>
          <w:rFonts w:ascii="Times New Roman" w:hAnsi="Times New Roman"/>
        </w:rPr>
        <w:t>D</w:t>
      </w:r>
      <w:r w:rsidR="00B640A1" w:rsidRPr="00146A17">
        <w:rPr>
          <w:rFonts w:ascii="Times New Roman" w:hAnsi="Times New Roman"/>
        </w:rPr>
        <w:t>, justified the cancellation of the lease agreement.</w:t>
      </w:r>
    </w:p>
    <w:p w14:paraId="5EF402AC" w14:textId="3E500E2B" w:rsidR="00816BF3"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49</w:t>
      </w:r>
      <w:r w:rsidRPr="00146A17">
        <w:rPr>
          <w:rFonts w:ascii="Times New Roman" w:hAnsi="Times New Roman"/>
        </w:rPr>
        <w:tab/>
      </w:r>
      <w:r w:rsidR="00816BF3" w:rsidRPr="00146A17">
        <w:rPr>
          <w:rFonts w:ascii="Times New Roman" w:hAnsi="Times New Roman"/>
        </w:rPr>
        <w:t xml:space="preserve">Although it has </w:t>
      </w:r>
      <w:r w:rsidR="00B973B4" w:rsidRPr="00146A17">
        <w:rPr>
          <w:rFonts w:ascii="Times New Roman" w:hAnsi="Times New Roman"/>
        </w:rPr>
        <w:t xml:space="preserve">become </w:t>
      </w:r>
      <w:r w:rsidR="000D61BD">
        <w:rPr>
          <w:rFonts w:ascii="Times New Roman" w:hAnsi="Times New Roman"/>
        </w:rPr>
        <w:t>unfashionable</w:t>
      </w:r>
      <w:r w:rsidR="00B973B4" w:rsidRPr="00146A17">
        <w:rPr>
          <w:rFonts w:ascii="Times New Roman" w:hAnsi="Times New Roman"/>
        </w:rPr>
        <w:t xml:space="preserve"> to engage in detailed discussions of the old authorities in judgments of our courts, I find it helpful to quote </w:t>
      </w:r>
      <w:r w:rsidR="00B973B4" w:rsidRPr="00146A17">
        <w:rPr>
          <w:rFonts w:ascii="Times New Roman" w:hAnsi="Times New Roman"/>
          <w:i/>
          <w:iCs/>
        </w:rPr>
        <w:t>Donninger</w:t>
      </w:r>
      <w:r w:rsidR="009D70B5" w:rsidRPr="00146A17">
        <w:rPr>
          <w:rFonts w:ascii="Times New Roman" w:hAnsi="Times New Roman"/>
          <w:i/>
          <w:iCs/>
        </w:rPr>
        <w:t>’s</w:t>
      </w:r>
      <w:r w:rsidR="00B973B4" w:rsidRPr="00146A17">
        <w:rPr>
          <w:rFonts w:ascii="Times New Roman" w:hAnsi="Times New Roman"/>
        </w:rPr>
        <w:t xml:space="preserve"> </w:t>
      </w:r>
      <w:r w:rsidR="009D70B5" w:rsidRPr="00146A17">
        <w:rPr>
          <w:rFonts w:ascii="Times New Roman" w:hAnsi="Times New Roman"/>
        </w:rPr>
        <w:t>discussion of those authorit</w:t>
      </w:r>
      <w:r w:rsidR="00C923BB">
        <w:rPr>
          <w:rFonts w:ascii="Times New Roman" w:hAnsi="Times New Roman"/>
        </w:rPr>
        <w:t>ies</w:t>
      </w:r>
      <w:r w:rsidR="008E1A0B" w:rsidRPr="00146A17">
        <w:rPr>
          <w:rFonts w:ascii="Times New Roman" w:hAnsi="Times New Roman"/>
        </w:rPr>
        <w:t xml:space="preserve"> because it demonstrates an important difference between sale and lease</w:t>
      </w:r>
      <w:r w:rsidR="00BF72C8" w:rsidRPr="00146A17">
        <w:rPr>
          <w:rFonts w:ascii="Times New Roman" w:hAnsi="Times New Roman"/>
        </w:rPr>
        <w:t>. In dealing with the question whether D was entitled to cancel the lease, the court said the following:</w:t>
      </w:r>
    </w:p>
    <w:p w14:paraId="6C742466" w14:textId="7ABA19AF" w:rsidR="008E1A0B" w:rsidRPr="00146A17" w:rsidRDefault="008E1A0B" w:rsidP="009D70B5">
      <w:pPr>
        <w:pStyle w:val="BodyTextIndent"/>
        <w:spacing w:line="240" w:lineRule="auto"/>
        <w:ind w:left="1134"/>
        <w:rPr>
          <w:rFonts w:ascii="Times New Roman" w:hAnsi="Times New Roman"/>
          <w:lang w:eastAsia="en-ZA"/>
        </w:rPr>
      </w:pPr>
      <w:r w:rsidRPr="00146A17">
        <w:rPr>
          <w:rFonts w:ascii="Times New Roman" w:hAnsi="Times New Roman"/>
        </w:rPr>
        <w:t xml:space="preserve">“Counsel relied on a passage in Wille's </w:t>
      </w:r>
      <w:r w:rsidRPr="00146A17">
        <w:rPr>
          <w:rFonts w:ascii="Times New Roman" w:hAnsi="Times New Roman"/>
          <w:i/>
          <w:iCs/>
        </w:rPr>
        <w:t xml:space="preserve">Landlord and Tenant </w:t>
      </w:r>
      <w:r w:rsidRPr="00146A17">
        <w:rPr>
          <w:rFonts w:ascii="Times New Roman" w:hAnsi="Times New Roman"/>
        </w:rPr>
        <w:t xml:space="preserve">(2nd ed., p. 136) where the author was of </w:t>
      </w:r>
      <w:r w:rsidR="00C92A51">
        <w:rPr>
          <w:rFonts w:ascii="Times New Roman" w:hAnsi="Times New Roman"/>
        </w:rPr>
        <w:t xml:space="preserve">the </w:t>
      </w:r>
      <w:r w:rsidRPr="00146A17">
        <w:rPr>
          <w:rFonts w:ascii="Times New Roman" w:hAnsi="Times New Roman"/>
        </w:rPr>
        <w:t xml:space="preserve">opinion that the landlord's guarantee against legitimate disturbances lay if the tenant were dispossessed of or disturbed in the enjoyment of the property leased by a judicial decree, or if it was inevitable that he would be dispossessed or disturbed. The author pointed out that while there was little authority relating to the landlord's guarantee, </w:t>
      </w:r>
      <w:r w:rsidRPr="00146A17">
        <w:rPr>
          <w:rFonts w:ascii="Times New Roman" w:hAnsi="Times New Roman"/>
          <w:i/>
          <w:iCs/>
        </w:rPr>
        <w:t xml:space="preserve">Voet </w:t>
      </w:r>
      <w:r w:rsidRPr="00146A17">
        <w:rPr>
          <w:rFonts w:ascii="Times New Roman" w:hAnsi="Times New Roman"/>
        </w:rPr>
        <w:t xml:space="preserve">was of </w:t>
      </w:r>
      <w:r w:rsidR="00C565B9">
        <w:rPr>
          <w:rFonts w:ascii="Times New Roman" w:hAnsi="Times New Roman"/>
        </w:rPr>
        <w:t xml:space="preserve">the </w:t>
      </w:r>
      <w:r w:rsidRPr="00146A17">
        <w:rPr>
          <w:rFonts w:ascii="Times New Roman" w:hAnsi="Times New Roman"/>
        </w:rPr>
        <w:t xml:space="preserve">opinion that a tenant who had been evicted could sue the landlord for damages in the same way as a purchaser could sue the vendor, the reason being that </w:t>
      </w:r>
      <w:r w:rsidRPr="00146A17">
        <w:rPr>
          <w:rFonts w:ascii="Times New Roman" w:hAnsi="Times New Roman"/>
          <w:i/>
          <w:iCs/>
        </w:rPr>
        <w:t xml:space="preserve">locatio </w:t>
      </w:r>
      <w:r w:rsidRPr="00146A17">
        <w:rPr>
          <w:rFonts w:ascii="Times New Roman" w:hAnsi="Times New Roman"/>
        </w:rPr>
        <w:t xml:space="preserve">rests on the same rules of law as sale. The author proceeds to point out that Pothier is the only writer to develop the subject of the landlord's guarantee independently of sale. While Pothier's treatment of the two subjects, as the author points out, closely corresponds, Pothier does draw a distinction. Pothier, in his </w:t>
      </w:r>
      <w:r w:rsidRPr="00146A17">
        <w:rPr>
          <w:rFonts w:ascii="Times New Roman" w:hAnsi="Times New Roman"/>
          <w:i/>
          <w:iCs/>
        </w:rPr>
        <w:t xml:space="preserve">Contrat de Louage, </w:t>
      </w:r>
      <w:r w:rsidRPr="00146A17">
        <w:rPr>
          <w:rStyle w:val="popup-link"/>
          <w:rFonts w:ascii="Times New Roman" w:hAnsi="Times New Roman"/>
        </w:rPr>
        <w:t>sec. 91</w:t>
      </w:r>
      <w:r w:rsidRPr="00146A17">
        <w:rPr>
          <w:rFonts w:ascii="Times New Roman" w:hAnsi="Times New Roman"/>
        </w:rPr>
        <w:t xml:space="preserve">, says: "This action of guarantee </w:t>
      </w:r>
      <w:r w:rsidRPr="00146A17">
        <w:rPr>
          <w:rFonts w:ascii="Times New Roman" w:hAnsi="Times New Roman"/>
          <w:i/>
          <w:iCs/>
        </w:rPr>
        <w:t xml:space="preserve">ex conducto </w:t>
      </w:r>
      <w:r w:rsidRPr="00146A17">
        <w:rPr>
          <w:rFonts w:ascii="Times New Roman" w:hAnsi="Times New Roman"/>
        </w:rPr>
        <w:t xml:space="preserve">differs from the action of the guarantee </w:t>
      </w:r>
      <w:r w:rsidRPr="00146A17">
        <w:rPr>
          <w:rFonts w:ascii="Times New Roman" w:hAnsi="Times New Roman"/>
          <w:i/>
          <w:iCs/>
        </w:rPr>
        <w:t xml:space="preserve">ex empto, </w:t>
      </w:r>
      <w:r w:rsidRPr="00146A17">
        <w:rPr>
          <w:rFonts w:ascii="Times New Roman" w:hAnsi="Times New Roman"/>
        </w:rPr>
        <w:t xml:space="preserve">in that the latter is available as soon as the purchaser is summoned to quit: whereas the </w:t>
      </w:r>
      <w:r w:rsidRPr="00146A17">
        <w:rPr>
          <w:rFonts w:ascii="Times New Roman" w:hAnsi="Times New Roman"/>
          <w:i/>
          <w:iCs/>
        </w:rPr>
        <w:t xml:space="preserve">actio ex conducto </w:t>
      </w:r>
      <w:r w:rsidRPr="00146A17">
        <w:rPr>
          <w:rFonts w:ascii="Times New Roman" w:hAnsi="Times New Roman"/>
        </w:rPr>
        <w:t>is not available until the lessee has been compelled to quit his enjoyment, or his enjoyment has suffered some damage. This distinction results from the difference between a purchaser and a lessee or tenant.</w:t>
      </w:r>
    </w:p>
    <w:p w14:paraId="3EA55EAE" w14:textId="1E8F2810" w:rsidR="008E1A0B" w:rsidRPr="00146A17" w:rsidRDefault="008E1A0B" w:rsidP="009D70B5">
      <w:pPr>
        <w:pStyle w:val="BodyTextIndent"/>
        <w:spacing w:line="240" w:lineRule="auto"/>
        <w:ind w:left="1134"/>
        <w:rPr>
          <w:rFonts w:ascii="Times New Roman" w:hAnsi="Times New Roman"/>
        </w:rPr>
      </w:pPr>
      <w:r w:rsidRPr="00146A17">
        <w:rPr>
          <w:rFonts w:ascii="Times New Roman" w:hAnsi="Times New Roman"/>
        </w:rPr>
        <w:lastRenderedPageBreak/>
        <w:t xml:space="preserve">The reason is then given that the purchaser is in possession and any action is directed against him. He defends the action either himself, or through the seller, who is considered under the guarantee to be obliged to undertake the defence --- see </w:t>
      </w:r>
      <w:r w:rsidRPr="00146A17">
        <w:rPr>
          <w:rFonts w:ascii="Times New Roman" w:hAnsi="Times New Roman"/>
          <w:i/>
          <w:iCs/>
        </w:rPr>
        <w:t xml:space="preserve">Nunan v Meyer </w:t>
      </w:r>
      <w:r w:rsidRPr="00146A17">
        <w:rPr>
          <w:rFonts w:ascii="Times New Roman" w:hAnsi="Times New Roman"/>
        </w:rPr>
        <w:t>(22 SC 203). The lessee, on the other hand, says Pothier, does not properly acquire possession, but only the right of use and enjoyment, and any action would be against the lessor.”</w:t>
      </w:r>
      <w:r w:rsidRPr="00146A17">
        <w:rPr>
          <w:rStyle w:val="FootnoteReference"/>
          <w:rFonts w:ascii="Times New Roman" w:hAnsi="Times New Roman"/>
        </w:rPr>
        <w:footnoteReference w:id="16"/>
      </w:r>
    </w:p>
    <w:p w14:paraId="4117B38E" w14:textId="7A843E1E" w:rsidR="009943AE" w:rsidRDefault="00843CD7" w:rsidP="00843CD7">
      <w:pPr>
        <w:pStyle w:val="WLGLevel1"/>
        <w:numPr>
          <w:ilvl w:val="0"/>
          <w:numId w:val="0"/>
        </w:numPr>
        <w:tabs>
          <w:tab w:val="left" w:pos="567"/>
        </w:tabs>
        <w:ind w:left="562" w:hanging="562"/>
        <w:rPr>
          <w:rFonts w:ascii="Times New Roman" w:hAnsi="Times New Roman"/>
        </w:rPr>
      </w:pPr>
      <w:r>
        <w:rPr>
          <w:rFonts w:ascii="Times New Roman" w:hAnsi="Times New Roman"/>
        </w:rPr>
        <w:t>50</w:t>
      </w:r>
      <w:r>
        <w:rPr>
          <w:rFonts w:ascii="Times New Roman" w:hAnsi="Times New Roman"/>
        </w:rPr>
        <w:tab/>
      </w:r>
      <w:r w:rsidR="007025AC">
        <w:rPr>
          <w:rFonts w:ascii="Times New Roman" w:hAnsi="Times New Roman"/>
        </w:rPr>
        <w:t>T</w:t>
      </w:r>
      <w:r w:rsidR="00B75D49" w:rsidRPr="00146A17">
        <w:rPr>
          <w:rFonts w:ascii="Times New Roman" w:hAnsi="Times New Roman"/>
        </w:rPr>
        <w:t xml:space="preserve">his summary might </w:t>
      </w:r>
      <w:r w:rsidR="00123B98" w:rsidRPr="00146A17">
        <w:rPr>
          <w:rFonts w:ascii="Times New Roman" w:hAnsi="Times New Roman"/>
        </w:rPr>
        <w:t xml:space="preserve">not </w:t>
      </w:r>
      <w:r w:rsidR="00B75D49" w:rsidRPr="00146A17">
        <w:rPr>
          <w:rFonts w:ascii="Times New Roman" w:hAnsi="Times New Roman"/>
        </w:rPr>
        <w:t>capture</w:t>
      </w:r>
      <w:r w:rsidR="009439D8" w:rsidRPr="00146A17">
        <w:rPr>
          <w:rFonts w:ascii="Times New Roman" w:hAnsi="Times New Roman"/>
        </w:rPr>
        <w:t xml:space="preserve"> the </w:t>
      </w:r>
      <w:r w:rsidR="00D10C75">
        <w:rPr>
          <w:rFonts w:ascii="Times New Roman" w:hAnsi="Times New Roman"/>
        </w:rPr>
        <w:t>full nu</w:t>
      </w:r>
      <w:r w:rsidR="009439D8" w:rsidRPr="00146A17">
        <w:rPr>
          <w:rFonts w:ascii="Times New Roman" w:hAnsi="Times New Roman"/>
        </w:rPr>
        <w:t>ance when it comes to sale.</w:t>
      </w:r>
      <w:r w:rsidR="00956832" w:rsidRPr="00146A17">
        <w:rPr>
          <w:rFonts w:ascii="Times New Roman" w:hAnsi="Times New Roman"/>
        </w:rPr>
        <w:t xml:space="preserve"> In particular,</w:t>
      </w:r>
      <w:r w:rsidR="000B2DDA" w:rsidRPr="00146A17">
        <w:rPr>
          <w:rFonts w:ascii="Times New Roman" w:hAnsi="Times New Roman"/>
        </w:rPr>
        <w:t xml:space="preserve"> it</w:t>
      </w:r>
      <w:r w:rsidR="00A6523B" w:rsidRPr="00146A17">
        <w:rPr>
          <w:rFonts w:ascii="Times New Roman" w:hAnsi="Times New Roman"/>
        </w:rPr>
        <w:t xml:space="preserve"> might be somewhat simplistic to </w:t>
      </w:r>
      <w:r w:rsidR="00856AC4" w:rsidRPr="00146A17">
        <w:rPr>
          <w:rFonts w:ascii="Times New Roman" w:hAnsi="Times New Roman"/>
        </w:rPr>
        <w:t>say that, in the law of sale,</w:t>
      </w:r>
      <w:r w:rsidR="000B2DDA" w:rsidRPr="00146A17">
        <w:rPr>
          <w:rFonts w:ascii="Times New Roman" w:hAnsi="Times New Roman"/>
        </w:rPr>
        <w:t xml:space="preserve"> the innocent purchaser could sue the seller as soon as a third party instituted a claim for restitution. </w:t>
      </w:r>
      <w:r w:rsidR="00BD6FEA" w:rsidRPr="00146A17">
        <w:rPr>
          <w:rFonts w:ascii="Times New Roman" w:hAnsi="Times New Roman"/>
        </w:rPr>
        <w:t xml:space="preserve">This is not to say that the court in </w:t>
      </w:r>
      <w:r w:rsidR="00BD6FEA" w:rsidRPr="00146A17">
        <w:rPr>
          <w:rFonts w:ascii="Times New Roman" w:hAnsi="Times New Roman"/>
          <w:i/>
          <w:iCs/>
        </w:rPr>
        <w:t>Donniger</w:t>
      </w:r>
      <w:r w:rsidR="00BD6FEA" w:rsidRPr="00146A17">
        <w:rPr>
          <w:rFonts w:ascii="Times New Roman" w:hAnsi="Times New Roman"/>
        </w:rPr>
        <w:t xml:space="preserve"> expressed the position incorrectly – it is that there is some </w:t>
      </w:r>
      <w:r w:rsidR="009943AE">
        <w:rPr>
          <w:rFonts w:ascii="Times New Roman" w:hAnsi="Times New Roman"/>
        </w:rPr>
        <w:t>complexity</w:t>
      </w:r>
      <w:r w:rsidR="00BD6FEA" w:rsidRPr="00146A17">
        <w:rPr>
          <w:rFonts w:ascii="Times New Roman" w:hAnsi="Times New Roman"/>
        </w:rPr>
        <w:t xml:space="preserve"> in determining what is meant by the term “eviction”</w:t>
      </w:r>
      <w:r w:rsidR="00123B98" w:rsidRPr="00146A17">
        <w:rPr>
          <w:rFonts w:ascii="Times New Roman" w:hAnsi="Times New Roman"/>
        </w:rPr>
        <w:t>, in so far as it was understood by the Roman Dutch law authorities</w:t>
      </w:r>
      <w:r w:rsidR="00BD6FEA" w:rsidRPr="00146A17">
        <w:rPr>
          <w:rFonts w:ascii="Times New Roman" w:hAnsi="Times New Roman"/>
        </w:rPr>
        <w:t>.</w:t>
      </w:r>
      <w:r w:rsidR="00BD6FEA" w:rsidRPr="00146A17">
        <w:rPr>
          <w:rStyle w:val="FootnoteReference"/>
          <w:rFonts w:ascii="Times New Roman" w:hAnsi="Times New Roman"/>
        </w:rPr>
        <w:footnoteReference w:id="17"/>
      </w:r>
      <w:r w:rsidR="00BD6FEA" w:rsidRPr="00146A17">
        <w:rPr>
          <w:rFonts w:ascii="Times New Roman" w:hAnsi="Times New Roman"/>
        </w:rPr>
        <w:t xml:space="preserve">  </w:t>
      </w:r>
      <w:r w:rsidR="000B2DDA" w:rsidRPr="00146A17">
        <w:rPr>
          <w:rFonts w:ascii="Times New Roman" w:hAnsi="Times New Roman"/>
        </w:rPr>
        <w:t xml:space="preserve">But, in any event, the extract helpfully demonstrates </w:t>
      </w:r>
      <w:r w:rsidR="00006B5C">
        <w:rPr>
          <w:rFonts w:ascii="Times New Roman" w:hAnsi="Times New Roman"/>
        </w:rPr>
        <w:t>an</w:t>
      </w:r>
      <w:r w:rsidR="000B2DDA" w:rsidRPr="00146A17">
        <w:rPr>
          <w:rFonts w:ascii="Times New Roman" w:hAnsi="Times New Roman"/>
        </w:rPr>
        <w:t xml:space="preserve"> </w:t>
      </w:r>
      <w:r w:rsidR="00006B5C">
        <w:rPr>
          <w:rFonts w:ascii="Times New Roman" w:hAnsi="Times New Roman"/>
        </w:rPr>
        <w:t xml:space="preserve">important </w:t>
      </w:r>
      <w:r w:rsidR="001845F2" w:rsidRPr="00146A17">
        <w:rPr>
          <w:rFonts w:ascii="Times New Roman" w:hAnsi="Times New Roman"/>
        </w:rPr>
        <w:t>distinction between sale and lease.</w:t>
      </w:r>
      <w:r w:rsidR="00006B5C">
        <w:rPr>
          <w:rFonts w:ascii="Times New Roman" w:hAnsi="Times New Roman"/>
        </w:rPr>
        <w:t xml:space="preserve"> It is that, in lease, the lessee does not enjoy possession in the legal sense. Possession and the right to use and enjoyment are different things. </w:t>
      </w:r>
      <w:r w:rsidR="00E373B0">
        <w:rPr>
          <w:rFonts w:ascii="Times New Roman" w:hAnsi="Times New Roman"/>
        </w:rPr>
        <w:t xml:space="preserve">Even in the case of a long lease – which creates a type of real right – the </w:t>
      </w:r>
      <w:r w:rsidR="002829E8">
        <w:rPr>
          <w:rFonts w:ascii="Times New Roman" w:hAnsi="Times New Roman"/>
        </w:rPr>
        <w:t>lessee’s rights are far more dependent on the position of the lessor than the rights of a buyer of property.</w:t>
      </w:r>
      <w:r w:rsidR="00365D39">
        <w:rPr>
          <w:rFonts w:ascii="Times New Roman" w:hAnsi="Times New Roman"/>
        </w:rPr>
        <w:t xml:space="preserve"> Taking into account modern practicalities – which largely has led to the development of this area of law over time – it makes sense that the courts are much readier to recognise the right of a buyer to institute a claim</w:t>
      </w:r>
      <w:r w:rsidR="00207CD7">
        <w:rPr>
          <w:rFonts w:ascii="Times New Roman" w:hAnsi="Times New Roman"/>
        </w:rPr>
        <w:t xml:space="preserve"> early on</w:t>
      </w:r>
      <w:r w:rsidR="00365D39">
        <w:rPr>
          <w:rFonts w:ascii="Times New Roman" w:hAnsi="Times New Roman"/>
        </w:rPr>
        <w:t xml:space="preserve">. The seller may long-since have </w:t>
      </w:r>
      <w:r w:rsidR="003738AC">
        <w:rPr>
          <w:rFonts w:ascii="Times New Roman" w:hAnsi="Times New Roman"/>
        </w:rPr>
        <w:t xml:space="preserve">departed the scene, and it would not be practical to require the buyer, in all cases, to look first to the seller to defend any claim from a third party. This is not the case in the context of lease, where the lessor generally remains in the picture – even, although sometimes perhaps less so, in cases </w:t>
      </w:r>
      <w:r w:rsidR="00E728D9">
        <w:rPr>
          <w:rFonts w:ascii="Times New Roman" w:hAnsi="Times New Roman"/>
        </w:rPr>
        <w:t>involving</w:t>
      </w:r>
      <w:r w:rsidR="003738AC">
        <w:rPr>
          <w:rFonts w:ascii="Times New Roman" w:hAnsi="Times New Roman"/>
        </w:rPr>
        <w:t xml:space="preserve"> long lease</w:t>
      </w:r>
      <w:r w:rsidR="00E728D9">
        <w:rPr>
          <w:rFonts w:ascii="Times New Roman" w:hAnsi="Times New Roman"/>
        </w:rPr>
        <w:t>s</w:t>
      </w:r>
      <w:r w:rsidR="003738AC">
        <w:rPr>
          <w:rFonts w:ascii="Times New Roman" w:hAnsi="Times New Roman"/>
        </w:rPr>
        <w:t>.</w:t>
      </w:r>
      <w:r w:rsidR="001845F2" w:rsidRPr="00146A17">
        <w:rPr>
          <w:rFonts w:ascii="Times New Roman" w:hAnsi="Times New Roman"/>
        </w:rPr>
        <w:t xml:space="preserve"> </w:t>
      </w:r>
    </w:p>
    <w:p w14:paraId="0D76B875" w14:textId="01CB979E" w:rsidR="008E1A0B"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lastRenderedPageBreak/>
        <w:t>51</w:t>
      </w:r>
      <w:r w:rsidRPr="00146A17">
        <w:rPr>
          <w:rFonts w:ascii="Times New Roman" w:hAnsi="Times New Roman"/>
        </w:rPr>
        <w:tab/>
      </w:r>
      <w:r w:rsidR="003738AC">
        <w:rPr>
          <w:rFonts w:ascii="Times New Roman" w:hAnsi="Times New Roman"/>
        </w:rPr>
        <w:t>In any event, t</w:t>
      </w:r>
      <w:r w:rsidR="001845F2" w:rsidRPr="00146A17">
        <w:rPr>
          <w:rFonts w:ascii="Times New Roman" w:hAnsi="Times New Roman"/>
        </w:rPr>
        <w:t xml:space="preserve">he Court in </w:t>
      </w:r>
      <w:r w:rsidR="001845F2" w:rsidRPr="00146A17">
        <w:rPr>
          <w:rFonts w:ascii="Times New Roman" w:hAnsi="Times New Roman"/>
          <w:i/>
          <w:iCs/>
        </w:rPr>
        <w:t>Donniger</w:t>
      </w:r>
      <w:r w:rsidR="007F66E9" w:rsidRPr="00146A17">
        <w:rPr>
          <w:rFonts w:ascii="Times New Roman" w:hAnsi="Times New Roman"/>
        </w:rPr>
        <w:t xml:space="preserve">, having made the remarks which I have quoted above, responded to </w:t>
      </w:r>
      <w:r w:rsidR="009C7054" w:rsidRPr="00146A17">
        <w:rPr>
          <w:rFonts w:ascii="Times New Roman" w:hAnsi="Times New Roman"/>
        </w:rPr>
        <w:t xml:space="preserve">an argument advanced by D that, even though the sale initiated by the Bank was cancelled, the Bank’s steps in initiating the sale were sufficient to qualify as “judicial eviction”. The Court rejected the argument, pointing out that D’s </w:t>
      </w:r>
      <w:r w:rsidR="006B29F7" w:rsidRPr="00146A17">
        <w:rPr>
          <w:rFonts w:ascii="Times New Roman" w:hAnsi="Times New Roman"/>
        </w:rPr>
        <w:t>“enjoyment, however, had not been disturbed, and without such disturbance or eviction the passage from Pothier shows that the lessee is not entitled to damages, nor inferentially</w:t>
      </w:r>
      <w:r w:rsidR="00956832" w:rsidRPr="00146A17">
        <w:rPr>
          <w:rFonts w:ascii="Times New Roman" w:hAnsi="Times New Roman"/>
        </w:rPr>
        <w:t xml:space="preserve"> </w:t>
      </w:r>
      <w:r w:rsidR="006B29F7" w:rsidRPr="00146A17">
        <w:rPr>
          <w:rFonts w:ascii="Times New Roman" w:hAnsi="Times New Roman"/>
        </w:rPr>
        <w:t>to vacate”.</w:t>
      </w:r>
      <w:r w:rsidR="004A6C10" w:rsidRPr="00146A17">
        <w:rPr>
          <w:rStyle w:val="FootnoteReference"/>
          <w:rFonts w:ascii="Times New Roman" w:hAnsi="Times New Roman"/>
        </w:rPr>
        <w:footnoteReference w:id="18"/>
      </w:r>
      <w:r w:rsidR="00B26292" w:rsidRPr="00146A17">
        <w:rPr>
          <w:rFonts w:ascii="Times New Roman" w:hAnsi="Times New Roman"/>
        </w:rPr>
        <w:t xml:space="preserve"> Despite saying this, the Court appears to have been willing to accept that, even if possession </w:t>
      </w:r>
      <w:r w:rsidR="00B43161" w:rsidRPr="00146A17">
        <w:rPr>
          <w:rFonts w:ascii="Times New Roman" w:hAnsi="Times New Roman"/>
        </w:rPr>
        <w:t xml:space="preserve">(and, hence, enjoyment) </w:t>
      </w:r>
      <w:r w:rsidR="00B26292" w:rsidRPr="00146A17">
        <w:rPr>
          <w:rFonts w:ascii="Times New Roman" w:hAnsi="Times New Roman"/>
        </w:rPr>
        <w:t xml:space="preserve">had not been </w:t>
      </w:r>
      <w:r w:rsidR="00B43161" w:rsidRPr="00146A17">
        <w:rPr>
          <w:rFonts w:ascii="Times New Roman" w:hAnsi="Times New Roman"/>
        </w:rPr>
        <w:t xml:space="preserve">disturbed, D might have been entitled to cancel the lease if </w:t>
      </w:r>
      <w:r w:rsidR="00010818" w:rsidRPr="00146A17">
        <w:rPr>
          <w:rFonts w:ascii="Times New Roman" w:hAnsi="Times New Roman"/>
        </w:rPr>
        <w:t xml:space="preserve">dispossession was inevitable. But it found on the facts that dispossession was not inevitable, and so held that D had not been entitled to </w:t>
      </w:r>
      <w:r w:rsidR="00413E22" w:rsidRPr="00146A17">
        <w:rPr>
          <w:rFonts w:ascii="Times New Roman" w:hAnsi="Times New Roman"/>
        </w:rPr>
        <w:t xml:space="preserve">cancel the lease. This conclusion, as the short extract which I </w:t>
      </w:r>
      <w:r w:rsidR="000E1CC6" w:rsidRPr="00146A17">
        <w:rPr>
          <w:rFonts w:ascii="Times New Roman" w:hAnsi="Times New Roman"/>
        </w:rPr>
        <w:t xml:space="preserve">have just </w:t>
      </w:r>
      <w:r w:rsidR="00413E22" w:rsidRPr="00146A17">
        <w:rPr>
          <w:rFonts w:ascii="Times New Roman" w:hAnsi="Times New Roman"/>
        </w:rPr>
        <w:t>quoted in this paragraph makes clear, would apply with equal force to the question of whether D would have been able to sue T for damages arising from breach of the lease agreement at the time when he elected, instead, to cancel and vacate.</w:t>
      </w:r>
    </w:p>
    <w:p w14:paraId="46BE0634" w14:textId="70016D50" w:rsidR="002E0211"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52</w:t>
      </w:r>
      <w:r w:rsidRPr="00146A17">
        <w:rPr>
          <w:rFonts w:ascii="Times New Roman" w:hAnsi="Times New Roman"/>
        </w:rPr>
        <w:tab/>
      </w:r>
      <w:r w:rsidR="002E0211" w:rsidRPr="00146A17">
        <w:rPr>
          <w:rFonts w:ascii="Times New Roman" w:hAnsi="Times New Roman"/>
        </w:rPr>
        <w:t xml:space="preserve">The </w:t>
      </w:r>
      <w:r w:rsidR="00C04816" w:rsidRPr="00146A17">
        <w:rPr>
          <w:rFonts w:ascii="Times New Roman" w:hAnsi="Times New Roman"/>
        </w:rPr>
        <w:t xml:space="preserve">judgment of Didcott J in </w:t>
      </w:r>
      <w:r w:rsidR="00782652" w:rsidRPr="00146A17">
        <w:rPr>
          <w:rFonts w:ascii="Times New Roman" w:hAnsi="Times New Roman"/>
          <w:i/>
          <w:iCs/>
        </w:rPr>
        <w:t>Garden City Motors</w:t>
      </w:r>
      <w:r w:rsidR="00782652" w:rsidRPr="00146A17">
        <w:rPr>
          <w:rFonts w:ascii="Times New Roman" w:hAnsi="Times New Roman"/>
        </w:rPr>
        <w:t>,</w:t>
      </w:r>
      <w:r w:rsidR="002E0211" w:rsidRPr="00146A17">
        <w:rPr>
          <w:rStyle w:val="FootnoteReference"/>
          <w:rFonts w:ascii="Times New Roman" w:hAnsi="Times New Roman"/>
        </w:rPr>
        <w:footnoteReference w:id="19"/>
      </w:r>
      <w:r w:rsidR="00782652" w:rsidRPr="00146A17">
        <w:rPr>
          <w:rFonts w:ascii="Times New Roman" w:hAnsi="Times New Roman"/>
        </w:rPr>
        <w:t xml:space="preserve"> </w:t>
      </w:r>
      <w:r w:rsidR="00053F2D" w:rsidRPr="00146A17">
        <w:rPr>
          <w:rFonts w:ascii="Times New Roman" w:hAnsi="Times New Roman"/>
        </w:rPr>
        <w:t>casts more light on the concept of “eviction” in the context of the warranty against eviction in contracts of sale. For our purposes, though, it is most h</w:t>
      </w:r>
      <w:r w:rsidR="005F6A9D" w:rsidRPr="00146A17">
        <w:rPr>
          <w:rFonts w:ascii="Times New Roman" w:hAnsi="Times New Roman"/>
        </w:rPr>
        <w:t>elpful in the distinction which it draws between the application</w:t>
      </w:r>
      <w:r w:rsidR="00746616" w:rsidRPr="00146A17">
        <w:rPr>
          <w:rFonts w:ascii="Times New Roman" w:hAnsi="Times New Roman"/>
        </w:rPr>
        <w:t xml:space="preserve"> </w:t>
      </w:r>
      <w:r w:rsidR="005F6A9D" w:rsidRPr="00146A17">
        <w:rPr>
          <w:rFonts w:ascii="Times New Roman" w:hAnsi="Times New Roman"/>
        </w:rPr>
        <w:t xml:space="preserve">of the warranty against eviction in sale cases and in lease cases. Didcott J explained the </w:t>
      </w:r>
      <w:r w:rsidR="00960EF4" w:rsidRPr="00146A17">
        <w:rPr>
          <w:rFonts w:ascii="Times New Roman" w:hAnsi="Times New Roman"/>
        </w:rPr>
        <w:t>difference as follows:</w:t>
      </w:r>
    </w:p>
    <w:p w14:paraId="0424FB08" w14:textId="49709BDB" w:rsidR="00960EF4" w:rsidRPr="00146A17" w:rsidRDefault="0049349D" w:rsidP="00746616">
      <w:pPr>
        <w:pStyle w:val="BodyTextIndent"/>
        <w:spacing w:line="240" w:lineRule="auto"/>
        <w:ind w:left="1134"/>
        <w:rPr>
          <w:rFonts w:ascii="Times New Roman" w:hAnsi="Times New Roman"/>
        </w:rPr>
      </w:pPr>
      <w:r w:rsidRPr="00146A17">
        <w:rPr>
          <w:rFonts w:ascii="Times New Roman" w:hAnsi="Times New Roman"/>
        </w:rPr>
        <w:t>“</w:t>
      </w:r>
      <w:r w:rsidR="00960EF4" w:rsidRPr="00146A17">
        <w:rPr>
          <w:rFonts w:ascii="Times New Roman" w:hAnsi="Times New Roman"/>
        </w:rPr>
        <w:t xml:space="preserve">The warranty against eviction is a feature of leases, to be sure, as well as sales. But eviction does not bear an identical meaning in both settings. Nothing less will </w:t>
      </w:r>
      <w:r w:rsidR="00960EF4" w:rsidRPr="00146A17">
        <w:rPr>
          <w:rFonts w:ascii="Times New Roman" w:hAnsi="Times New Roman"/>
        </w:rPr>
        <w:lastRenderedPageBreak/>
        <w:t xml:space="preserve">do, when it comes to a lease, than interference with the lessee’s use of the property itself. That was decided in </w:t>
      </w:r>
      <w:r w:rsidR="00960EF4" w:rsidRPr="00146A17">
        <w:rPr>
          <w:rFonts w:ascii="Times New Roman" w:hAnsi="Times New Roman"/>
          <w:i/>
          <w:iCs/>
        </w:rPr>
        <w:t xml:space="preserve">Donniger </w:t>
      </w:r>
      <w:r w:rsidR="00960EF4" w:rsidRPr="00146A17">
        <w:rPr>
          <w:rFonts w:ascii="Times New Roman" w:hAnsi="Times New Roman"/>
        </w:rPr>
        <w:t xml:space="preserve">v. </w:t>
      </w:r>
      <w:r w:rsidR="00960EF4" w:rsidRPr="00146A17">
        <w:rPr>
          <w:rFonts w:ascii="Times New Roman" w:hAnsi="Times New Roman"/>
          <w:i/>
          <w:iCs/>
        </w:rPr>
        <w:t xml:space="preserve">Thorpe </w:t>
      </w:r>
      <w:r w:rsidR="00960EF4" w:rsidRPr="00146A17">
        <w:rPr>
          <w:rFonts w:ascii="Times New Roman" w:hAnsi="Times New Roman"/>
        </w:rPr>
        <w:t>1930 T.P.D. 839.</w:t>
      </w:r>
      <w:r w:rsidRPr="00146A17">
        <w:rPr>
          <w:rFonts w:ascii="Times New Roman" w:hAnsi="Times New Roman"/>
        </w:rPr>
        <w:t>”</w:t>
      </w:r>
      <w:r w:rsidRPr="00146A17">
        <w:rPr>
          <w:rStyle w:val="FootnoteReference"/>
          <w:rFonts w:ascii="Times New Roman" w:hAnsi="Times New Roman"/>
        </w:rPr>
        <w:footnoteReference w:id="20"/>
      </w:r>
    </w:p>
    <w:p w14:paraId="671C4796" w14:textId="0F69FC51" w:rsidR="00EF3B17"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53</w:t>
      </w:r>
      <w:r w:rsidRPr="00146A17">
        <w:rPr>
          <w:rFonts w:ascii="Times New Roman" w:hAnsi="Times New Roman"/>
        </w:rPr>
        <w:tab/>
      </w:r>
      <w:r w:rsidR="00EF3B17" w:rsidRPr="00146A17">
        <w:rPr>
          <w:rFonts w:ascii="Times New Roman" w:hAnsi="Times New Roman"/>
          <w:i/>
          <w:iCs/>
        </w:rPr>
        <w:t>Donniger</w:t>
      </w:r>
      <w:r w:rsidR="00EF3B17" w:rsidRPr="00146A17">
        <w:rPr>
          <w:rFonts w:ascii="Times New Roman" w:hAnsi="Times New Roman"/>
        </w:rPr>
        <w:t xml:space="preserve"> appears to have been uniformly interpreted as holding that a tenant must be actually evicted before being entitled to sue </w:t>
      </w:r>
      <w:r w:rsidR="00FB5FCD" w:rsidRPr="00146A17">
        <w:rPr>
          <w:rFonts w:ascii="Times New Roman" w:hAnsi="Times New Roman"/>
        </w:rPr>
        <w:t>the lessor for breach of the warranty against eviction.</w:t>
      </w:r>
      <w:r w:rsidR="00FB5FCD" w:rsidRPr="00146A17">
        <w:rPr>
          <w:rStyle w:val="FootnoteReference"/>
          <w:rFonts w:ascii="Times New Roman" w:hAnsi="Times New Roman"/>
        </w:rPr>
        <w:footnoteReference w:id="21"/>
      </w:r>
      <w:r w:rsidR="0086136E" w:rsidRPr="00146A17">
        <w:rPr>
          <w:rFonts w:ascii="Times New Roman" w:hAnsi="Times New Roman"/>
        </w:rPr>
        <w:t xml:space="preserve"> As I noted briefly above, the Court in </w:t>
      </w:r>
      <w:r w:rsidR="0086136E" w:rsidRPr="00146A17">
        <w:rPr>
          <w:rFonts w:ascii="Times New Roman" w:hAnsi="Times New Roman"/>
          <w:i/>
          <w:iCs/>
        </w:rPr>
        <w:t>Donniger</w:t>
      </w:r>
      <w:r w:rsidR="0086136E" w:rsidRPr="00146A17">
        <w:rPr>
          <w:rFonts w:ascii="Times New Roman" w:hAnsi="Times New Roman"/>
        </w:rPr>
        <w:t xml:space="preserve"> appears to have been open to the idea that a tenant could sue a lessor for breach of the warranty when eviction was “inevitable”. If that is so, then it would bring the law of lease much closer to the </w:t>
      </w:r>
      <w:r w:rsidR="0089787C" w:rsidRPr="00146A17">
        <w:rPr>
          <w:rFonts w:ascii="Times New Roman" w:hAnsi="Times New Roman"/>
        </w:rPr>
        <w:t xml:space="preserve">law of sale. But is unclear, at least to me, whether the court in </w:t>
      </w:r>
      <w:r w:rsidR="0089787C" w:rsidRPr="00146A17">
        <w:rPr>
          <w:rFonts w:ascii="Times New Roman" w:hAnsi="Times New Roman"/>
          <w:i/>
          <w:iCs/>
        </w:rPr>
        <w:t>Donniger</w:t>
      </w:r>
      <w:r w:rsidR="0089787C" w:rsidRPr="00146A17">
        <w:rPr>
          <w:rFonts w:ascii="Times New Roman" w:hAnsi="Times New Roman"/>
        </w:rPr>
        <w:t xml:space="preserve"> was actually willing to go that far. It rejected the argument of inevitability on the facts, which means that it may have simply been willing to assume that inevitability was sufficient.</w:t>
      </w:r>
    </w:p>
    <w:p w14:paraId="5B45126E" w14:textId="5BDEDA4F" w:rsidR="00A60ECA" w:rsidRPr="005B0DE1" w:rsidRDefault="00843CD7" w:rsidP="00843CD7">
      <w:pPr>
        <w:pStyle w:val="WLGLevel1"/>
        <w:numPr>
          <w:ilvl w:val="0"/>
          <w:numId w:val="0"/>
        </w:numPr>
        <w:tabs>
          <w:tab w:val="left" w:pos="567"/>
        </w:tabs>
        <w:ind w:left="562" w:hanging="562"/>
        <w:rPr>
          <w:rFonts w:ascii="Times New Roman" w:hAnsi="Times New Roman"/>
        </w:rPr>
      </w:pPr>
      <w:r w:rsidRPr="005B0DE1">
        <w:rPr>
          <w:rFonts w:ascii="Times New Roman" w:hAnsi="Times New Roman"/>
        </w:rPr>
        <w:t>54</w:t>
      </w:r>
      <w:r w:rsidRPr="005B0DE1">
        <w:rPr>
          <w:rFonts w:ascii="Times New Roman" w:hAnsi="Times New Roman"/>
        </w:rPr>
        <w:tab/>
      </w:r>
      <w:r w:rsidR="004361D3" w:rsidRPr="005B0DE1">
        <w:rPr>
          <w:rFonts w:ascii="Times New Roman" w:hAnsi="Times New Roman"/>
        </w:rPr>
        <w:t xml:space="preserve">If one were to read only </w:t>
      </w:r>
      <w:r w:rsidR="004361D3" w:rsidRPr="005B0DE1">
        <w:rPr>
          <w:rFonts w:ascii="Times New Roman" w:hAnsi="Times New Roman"/>
          <w:i/>
          <w:iCs/>
        </w:rPr>
        <w:t>Donniger</w:t>
      </w:r>
      <w:r w:rsidR="004361D3" w:rsidRPr="005B0DE1">
        <w:rPr>
          <w:rFonts w:ascii="Times New Roman" w:hAnsi="Times New Roman"/>
        </w:rPr>
        <w:t xml:space="preserve"> and </w:t>
      </w:r>
      <w:r w:rsidR="004361D3" w:rsidRPr="005B0DE1">
        <w:rPr>
          <w:rFonts w:ascii="Times New Roman" w:hAnsi="Times New Roman"/>
          <w:i/>
          <w:iCs/>
        </w:rPr>
        <w:t>Garden City Motors</w:t>
      </w:r>
      <w:r w:rsidR="004361D3" w:rsidRPr="005B0DE1">
        <w:rPr>
          <w:rFonts w:ascii="Times New Roman" w:hAnsi="Times New Roman"/>
        </w:rPr>
        <w:t xml:space="preserve">, one would probably conclude that, when it comes to lease, </w:t>
      </w:r>
      <w:r w:rsidR="00CC1373" w:rsidRPr="005B0DE1">
        <w:rPr>
          <w:rFonts w:ascii="Times New Roman" w:hAnsi="Times New Roman"/>
        </w:rPr>
        <w:t>the lessee may only sue the lessor for damages on actual eviction.</w:t>
      </w:r>
      <w:r w:rsidR="005B0DE1" w:rsidRPr="005B0DE1">
        <w:rPr>
          <w:rFonts w:ascii="Times New Roman" w:hAnsi="Times New Roman"/>
        </w:rPr>
        <w:t xml:space="preserve"> </w:t>
      </w:r>
      <w:r w:rsidR="00CC1373" w:rsidRPr="005B0DE1">
        <w:rPr>
          <w:rFonts w:ascii="Times New Roman" w:hAnsi="Times New Roman"/>
        </w:rPr>
        <w:t>However,</w:t>
      </w:r>
      <w:r w:rsidR="00CC1373" w:rsidRPr="005B0DE1">
        <w:rPr>
          <w:rFonts w:ascii="Times New Roman" w:hAnsi="Times New Roman"/>
          <w:i/>
          <w:iCs/>
        </w:rPr>
        <w:t xml:space="preserve"> </w:t>
      </w:r>
      <w:r w:rsidR="00814206" w:rsidRPr="005B0DE1">
        <w:rPr>
          <w:rFonts w:ascii="Times New Roman" w:hAnsi="Times New Roman"/>
          <w:i/>
          <w:iCs/>
        </w:rPr>
        <w:t>LAWSA</w:t>
      </w:r>
      <w:r w:rsidR="00814206" w:rsidRPr="005B0DE1">
        <w:rPr>
          <w:rFonts w:ascii="Times New Roman" w:hAnsi="Times New Roman"/>
        </w:rPr>
        <w:t xml:space="preserve">, when dealing with the position in the law of lease as opposed to sale, </w:t>
      </w:r>
      <w:r w:rsidR="00856684" w:rsidRPr="005B0DE1">
        <w:rPr>
          <w:rFonts w:ascii="Times New Roman" w:hAnsi="Times New Roman"/>
        </w:rPr>
        <w:t>says the following:</w:t>
      </w:r>
      <w:r w:rsidR="00930DAA" w:rsidRPr="00146A17">
        <w:rPr>
          <w:rStyle w:val="FootnoteReference"/>
          <w:rFonts w:ascii="Times New Roman" w:hAnsi="Times New Roman"/>
        </w:rPr>
        <w:footnoteReference w:id="22"/>
      </w:r>
    </w:p>
    <w:p w14:paraId="03A8357C" w14:textId="44A24A77" w:rsidR="00856684" w:rsidRPr="00146A17" w:rsidRDefault="00C927AC" w:rsidP="00BE6C20">
      <w:pPr>
        <w:pStyle w:val="BodyTextIndent"/>
        <w:spacing w:line="240" w:lineRule="auto"/>
        <w:ind w:left="1134"/>
        <w:rPr>
          <w:rFonts w:ascii="Times New Roman" w:hAnsi="Times New Roman"/>
          <w:lang w:eastAsia="en-ZA"/>
        </w:rPr>
      </w:pPr>
      <w:r w:rsidRPr="00146A17">
        <w:rPr>
          <w:rFonts w:ascii="Times New Roman" w:hAnsi="Times New Roman"/>
          <w:lang w:eastAsia="en-ZA"/>
        </w:rPr>
        <w:t>“</w:t>
      </w:r>
      <w:r w:rsidR="00856684" w:rsidRPr="00146A17">
        <w:rPr>
          <w:rFonts w:ascii="Times New Roman" w:hAnsi="Times New Roman"/>
          <w:lang w:eastAsia="en-ZA"/>
        </w:rPr>
        <w:t>The lessor is in breach of the obligation only if the lessee is actually evicted. If the lessee is threatened with eviction he or she should remain in possession, or occupation, of the property let, and take reasonable steps to notify the lessor of the threatened eviction to allow the lessor the opportunity to discharge his or her obligation to protect the lessee in possession or occupation. If, having been given due notice, the lessor fails to come to the lessee’s assistance, the lessee must nevertheless mount a strong defence (</w:t>
      </w:r>
      <w:r w:rsidR="00856684" w:rsidRPr="00146A17">
        <w:rPr>
          <w:rFonts w:ascii="Times New Roman" w:hAnsi="Times New Roman"/>
          <w:i/>
          <w:iCs/>
          <w:lang w:eastAsia="en-ZA"/>
        </w:rPr>
        <w:t>virilis defensio</w:t>
      </w:r>
      <w:r w:rsidR="00856684" w:rsidRPr="00146A17">
        <w:rPr>
          <w:rFonts w:ascii="Times New Roman" w:hAnsi="Times New Roman"/>
          <w:lang w:eastAsia="en-ZA"/>
        </w:rPr>
        <w:t>) to protect his or her possession. If the lessee fails to notify the lessor of the threatened eviction, or, if, despite receiving such notice, the lessor fails to defend the lessee against the threat, the lessee’s failure to defend himself or herself against the threat, will impose on the lessee a burden of proving that the third party’s claim was indefeasible to succeed in an action against the lessor for recovery of damages.</w:t>
      </w:r>
      <w:r w:rsidR="00BE6C20" w:rsidRPr="00146A17">
        <w:rPr>
          <w:rFonts w:ascii="Times New Roman" w:hAnsi="Times New Roman"/>
          <w:lang w:eastAsia="en-ZA"/>
        </w:rPr>
        <w:t xml:space="preserve">” </w:t>
      </w:r>
    </w:p>
    <w:p w14:paraId="26478121" w14:textId="5E1161B9" w:rsidR="008778F4"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lastRenderedPageBreak/>
        <w:t>55</w:t>
      </w:r>
      <w:r w:rsidRPr="00146A17">
        <w:rPr>
          <w:rFonts w:ascii="Times New Roman" w:hAnsi="Times New Roman"/>
        </w:rPr>
        <w:tab/>
      </w:r>
      <w:r w:rsidR="00C67527" w:rsidRPr="00146A17">
        <w:rPr>
          <w:rFonts w:ascii="Times New Roman" w:hAnsi="Times New Roman"/>
        </w:rPr>
        <w:t xml:space="preserve">This summary, if correct, suggests that the law of sale and the law of lease are </w:t>
      </w:r>
      <w:r w:rsidR="00A741D3">
        <w:rPr>
          <w:rFonts w:ascii="Times New Roman" w:hAnsi="Times New Roman"/>
        </w:rPr>
        <w:t>almost identical</w:t>
      </w:r>
      <w:r w:rsidR="00497C71" w:rsidRPr="00146A17">
        <w:rPr>
          <w:rFonts w:ascii="Times New Roman" w:hAnsi="Times New Roman"/>
        </w:rPr>
        <w:t xml:space="preserve"> when it comes to the warranty against eviction. </w:t>
      </w:r>
      <w:r w:rsidR="003C70AF" w:rsidRPr="00146A17">
        <w:rPr>
          <w:rFonts w:ascii="Times New Roman" w:hAnsi="Times New Roman"/>
        </w:rPr>
        <w:t>Glover, the author of the 4</w:t>
      </w:r>
      <w:r w:rsidR="003C70AF" w:rsidRPr="00146A17">
        <w:rPr>
          <w:rFonts w:ascii="Times New Roman" w:hAnsi="Times New Roman"/>
          <w:vertAlign w:val="superscript"/>
        </w:rPr>
        <w:t>th</w:t>
      </w:r>
      <w:r w:rsidR="003C70AF" w:rsidRPr="00146A17">
        <w:rPr>
          <w:rFonts w:ascii="Times New Roman" w:hAnsi="Times New Roman"/>
        </w:rPr>
        <w:t xml:space="preserve"> edition of</w:t>
      </w:r>
      <w:r w:rsidR="003C70AF" w:rsidRPr="00146A17">
        <w:rPr>
          <w:rFonts w:ascii="Times New Roman" w:hAnsi="Times New Roman"/>
          <w:i/>
          <w:iCs/>
        </w:rPr>
        <w:t xml:space="preserve"> Kerr</w:t>
      </w:r>
      <w:r w:rsidR="000F7892" w:rsidRPr="00146A17">
        <w:rPr>
          <w:rFonts w:ascii="Times New Roman" w:hAnsi="Times New Roman"/>
          <w:i/>
          <w:iCs/>
        </w:rPr>
        <w:t>’s</w:t>
      </w:r>
      <w:r w:rsidR="003C70AF" w:rsidRPr="00146A17">
        <w:rPr>
          <w:rFonts w:ascii="Times New Roman" w:hAnsi="Times New Roman"/>
          <w:i/>
          <w:iCs/>
        </w:rPr>
        <w:t xml:space="preserve"> Sale and Lease</w:t>
      </w:r>
      <w:r w:rsidR="003C70AF" w:rsidRPr="00146A17">
        <w:rPr>
          <w:rFonts w:ascii="Times New Roman" w:hAnsi="Times New Roman"/>
        </w:rPr>
        <w:t xml:space="preserve"> says as much.</w:t>
      </w:r>
      <w:r w:rsidR="003C70AF" w:rsidRPr="00146A17">
        <w:rPr>
          <w:rStyle w:val="FootnoteReference"/>
          <w:rFonts w:ascii="Times New Roman" w:hAnsi="Times New Roman"/>
        </w:rPr>
        <w:footnoteReference w:id="23"/>
      </w:r>
      <w:r w:rsidR="00570D73" w:rsidRPr="00146A17">
        <w:rPr>
          <w:rFonts w:ascii="Times New Roman" w:hAnsi="Times New Roman"/>
        </w:rPr>
        <w:t xml:space="preserve"> But there is a special emphasis in the law of lease</w:t>
      </w:r>
      <w:r w:rsidR="008E0FDD" w:rsidRPr="00146A17">
        <w:rPr>
          <w:rFonts w:ascii="Times New Roman" w:hAnsi="Times New Roman"/>
        </w:rPr>
        <w:t>. The underlying principle, as is uncontroversial in o</w:t>
      </w:r>
      <w:r w:rsidR="00CB7E5C" w:rsidRPr="00146A17">
        <w:rPr>
          <w:rFonts w:ascii="Times New Roman" w:hAnsi="Times New Roman"/>
        </w:rPr>
        <w:t>u</w:t>
      </w:r>
      <w:r w:rsidR="008E0FDD" w:rsidRPr="00146A17">
        <w:rPr>
          <w:rFonts w:ascii="Times New Roman" w:hAnsi="Times New Roman"/>
        </w:rPr>
        <w:t>r modern law, is that the lessor does not have to be the ow</w:t>
      </w:r>
      <w:r w:rsidR="00CB7E5C" w:rsidRPr="00146A17">
        <w:rPr>
          <w:rFonts w:ascii="Times New Roman" w:hAnsi="Times New Roman"/>
        </w:rPr>
        <w:t>n</w:t>
      </w:r>
      <w:r w:rsidR="008E0FDD" w:rsidRPr="00146A17">
        <w:rPr>
          <w:rFonts w:ascii="Times New Roman" w:hAnsi="Times New Roman"/>
        </w:rPr>
        <w:t>er of the property in question to conclude a lease agreement. Th</w:t>
      </w:r>
      <w:r w:rsidR="00FB4147" w:rsidRPr="00146A17">
        <w:rPr>
          <w:rFonts w:ascii="Times New Roman" w:hAnsi="Times New Roman"/>
        </w:rPr>
        <w:t xml:space="preserve">e contract of lease (in the absence of an express or implied agreement to the contrary) confers a right of undisturbed </w:t>
      </w:r>
      <w:r w:rsidR="00936D22" w:rsidRPr="00146A17">
        <w:rPr>
          <w:rFonts w:ascii="Times New Roman" w:hAnsi="Times New Roman"/>
        </w:rPr>
        <w:t>use and enjoyment</w:t>
      </w:r>
      <w:r w:rsidR="00FB4147" w:rsidRPr="00146A17">
        <w:rPr>
          <w:rFonts w:ascii="Times New Roman" w:hAnsi="Times New Roman"/>
        </w:rPr>
        <w:t xml:space="preserve"> on the lessee of </w:t>
      </w:r>
      <w:r w:rsidR="00CB7E5C" w:rsidRPr="00146A17">
        <w:rPr>
          <w:rFonts w:ascii="Times New Roman" w:hAnsi="Times New Roman"/>
        </w:rPr>
        <w:t>identified property. The warranty against eviction is</w:t>
      </w:r>
      <w:r w:rsidR="005972AB" w:rsidRPr="00146A17">
        <w:rPr>
          <w:rFonts w:ascii="Times New Roman" w:hAnsi="Times New Roman"/>
        </w:rPr>
        <w:t xml:space="preserve"> simply a way of describing the proposition that the lessor has an obligation to ensure that this right is actually conferred. </w:t>
      </w:r>
      <w:r w:rsidR="00A3136B" w:rsidRPr="00146A17">
        <w:rPr>
          <w:rFonts w:ascii="Times New Roman" w:hAnsi="Times New Roman"/>
        </w:rPr>
        <w:t xml:space="preserve">The reason why there has to be actual eviction is because it is only on actual eviction that this right is lost. </w:t>
      </w:r>
    </w:p>
    <w:p w14:paraId="77D2D9CF" w14:textId="0A93AAF0" w:rsidR="00856684"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56</w:t>
      </w:r>
      <w:r w:rsidRPr="00146A17">
        <w:rPr>
          <w:rFonts w:ascii="Times New Roman" w:hAnsi="Times New Roman"/>
        </w:rPr>
        <w:tab/>
      </w:r>
      <w:r w:rsidR="00010EA0" w:rsidRPr="00146A17">
        <w:rPr>
          <w:rFonts w:ascii="Times New Roman" w:hAnsi="Times New Roman"/>
        </w:rPr>
        <w:t>But the special emphasis, as I have put it, in the law of lease is that</w:t>
      </w:r>
      <w:r w:rsidR="00C5082F" w:rsidRPr="00146A17">
        <w:rPr>
          <w:rFonts w:ascii="Times New Roman" w:hAnsi="Times New Roman"/>
        </w:rPr>
        <w:t xml:space="preserve">, because a lessee’s damages arise only if he or she loses </w:t>
      </w:r>
      <w:r w:rsidR="00EB4EAE" w:rsidRPr="00146A17">
        <w:rPr>
          <w:rFonts w:ascii="Times New Roman" w:hAnsi="Times New Roman"/>
        </w:rPr>
        <w:t>his or her use and enjoyment of the property</w:t>
      </w:r>
      <w:r w:rsidR="00C5082F" w:rsidRPr="00146A17">
        <w:rPr>
          <w:rFonts w:ascii="Times New Roman" w:hAnsi="Times New Roman"/>
        </w:rPr>
        <w:t>, a lessee is under no obligation to defend a claim of a third party to the property. The lessee is perfectly entitled to leave it to the lessor to d</w:t>
      </w:r>
      <w:r w:rsidR="00CB1198" w:rsidRPr="00146A17">
        <w:rPr>
          <w:rFonts w:ascii="Times New Roman" w:hAnsi="Times New Roman"/>
        </w:rPr>
        <w:t>o so</w:t>
      </w:r>
      <w:r w:rsidR="00E525FA" w:rsidRPr="00146A17">
        <w:rPr>
          <w:rFonts w:ascii="Times New Roman" w:hAnsi="Times New Roman"/>
        </w:rPr>
        <w:t>. If the lessor then fails to take adequate steps to avoid the loss of the lessee’s possession – by failing to defend the claim</w:t>
      </w:r>
      <w:r w:rsidR="00A020B9">
        <w:rPr>
          <w:rFonts w:ascii="Times New Roman" w:hAnsi="Times New Roman"/>
        </w:rPr>
        <w:t xml:space="preserve"> (or, as the </w:t>
      </w:r>
      <w:r w:rsidR="00891B73">
        <w:rPr>
          <w:rFonts w:ascii="Times New Roman" w:hAnsi="Times New Roman"/>
        </w:rPr>
        <w:t xml:space="preserve">obligation used to be described more commonly, by failing to put up a </w:t>
      </w:r>
      <w:r w:rsidR="00891B73" w:rsidRPr="00891B73">
        <w:rPr>
          <w:rFonts w:ascii="Times New Roman" w:hAnsi="Times New Roman"/>
          <w:i/>
          <w:iCs/>
        </w:rPr>
        <w:t>virilis defensio</w:t>
      </w:r>
      <w:r w:rsidR="00A741D3">
        <w:rPr>
          <w:rFonts w:ascii="Times New Roman" w:hAnsi="Times New Roman"/>
        </w:rPr>
        <w:t xml:space="preserve">) </w:t>
      </w:r>
      <w:r w:rsidR="00E525FA" w:rsidRPr="00146A17">
        <w:rPr>
          <w:rFonts w:ascii="Times New Roman" w:hAnsi="Times New Roman"/>
        </w:rPr>
        <w:t>– then the less</w:t>
      </w:r>
      <w:r w:rsidR="009365A1" w:rsidRPr="00146A17">
        <w:rPr>
          <w:rFonts w:ascii="Times New Roman" w:hAnsi="Times New Roman"/>
        </w:rPr>
        <w:t>ee</w:t>
      </w:r>
      <w:r w:rsidR="00E525FA" w:rsidRPr="00146A17">
        <w:rPr>
          <w:rFonts w:ascii="Times New Roman" w:hAnsi="Times New Roman"/>
        </w:rPr>
        <w:t xml:space="preserve"> </w:t>
      </w:r>
      <w:r w:rsidR="009365A1" w:rsidRPr="00146A17">
        <w:rPr>
          <w:rFonts w:ascii="Times New Roman" w:hAnsi="Times New Roman"/>
        </w:rPr>
        <w:t xml:space="preserve">has a claim in damages against him or her. The corollary of this is that, as Glover explains, </w:t>
      </w:r>
      <w:r w:rsidR="00531B20" w:rsidRPr="00146A17">
        <w:rPr>
          <w:rFonts w:ascii="Times New Roman" w:hAnsi="Times New Roman"/>
        </w:rPr>
        <w:t xml:space="preserve">“the </w:t>
      </w:r>
      <w:r w:rsidR="009D1143" w:rsidRPr="00146A17">
        <w:rPr>
          <w:rFonts w:ascii="Times New Roman" w:hAnsi="Times New Roman"/>
        </w:rPr>
        <w:t xml:space="preserve">lessee should give the lessor the best opportunity to avoid becoming </w:t>
      </w:r>
      <w:r w:rsidR="00D948F7" w:rsidRPr="00146A17">
        <w:rPr>
          <w:rFonts w:ascii="Times New Roman" w:hAnsi="Times New Roman"/>
        </w:rPr>
        <w:t>liable for damages, which in turn means that the lessee should take all reasonable steps to not</w:t>
      </w:r>
      <w:r w:rsidR="004B42F0" w:rsidRPr="00146A17">
        <w:rPr>
          <w:rFonts w:ascii="Times New Roman" w:hAnsi="Times New Roman"/>
        </w:rPr>
        <w:t>i</w:t>
      </w:r>
      <w:r w:rsidR="00D948F7" w:rsidRPr="00146A17">
        <w:rPr>
          <w:rFonts w:ascii="Times New Roman" w:hAnsi="Times New Roman"/>
        </w:rPr>
        <w:t>fy the lessor of the institution of action</w:t>
      </w:r>
      <w:r w:rsidR="004B42F0" w:rsidRPr="00146A17">
        <w:rPr>
          <w:rFonts w:ascii="Times New Roman" w:hAnsi="Times New Roman"/>
        </w:rPr>
        <w:t>. . . A lessor who, having been notified, does not or cannot contest the claim, is liable to the lessee in damages.”</w:t>
      </w:r>
      <w:r w:rsidR="004B42F0" w:rsidRPr="00146A17">
        <w:rPr>
          <w:rStyle w:val="FootnoteReference"/>
          <w:rFonts w:ascii="Times New Roman" w:hAnsi="Times New Roman"/>
        </w:rPr>
        <w:footnoteReference w:id="24"/>
      </w:r>
      <w:r w:rsidR="008778F4" w:rsidRPr="00146A17">
        <w:rPr>
          <w:rFonts w:ascii="Times New Roman" w:hAnsi="Times New Roman"/>
        </w:rPr>
        <w:t xml:space="preserve"> Glover relies on the decision of the CPD, as it then was, in </w:t>
      </w:r>
      <w:r w:rsidR="008778F4" w:rsidRPr="00146A17">
        <w:rPr>
          <w:rFonts w:ascii="Times New Roman" w:hAnsi="Times New Roman"/>
          <w:i/>
          <w:iCs/>
        </w:rPr>
        <w:t>Lo</w:t>
      </w:r>
      <w:r w:rsidR="0052128B" w:rsidRPr="00146A17">
        <w:rPr>
          <w:rFonts w:ascii="Times New Roman" w:hAnsi="Times New Roman"/>
          <w:i/>
          <w:iCs/>
        </w:rPr>
        <w:t xml:space="preserve">ubser v Vorster and </w:t>
      </w:r>
      <w:r w:rsidR="0052128B" w:rsidRPr="00146A17">
        <w:rPr>
          <w:rFonts w:ascii="Times New Roman" w:hAnsi="Times New Roman"/>
          <w:i/>
          <w:iCs/>
        </w:rPr>
        <w:lastRenderedPageBreak/>
        <w:t>Vorster</w:t>
      </w:r>
      <w:r w:rsidR="0052128B" w:rsidRPr="00146A17">
        <w:rPr>
          <w:rStyle w:val="FootnoteReference"/>
          <w:rFonts w:ascii="Times New Roman" w:hAnsi="Times New Roman"/>
        </w:rPr>
        <w:footnoteReference w:id="25"/>
      </w:r>
      <w:r w:rsidR="0052128B" w:rsidRPr="00146A17">
        <w:rPr>
          <w:rFonts w:ascii="Times New Roman" w:hAnsi="Times New Roman"/>
        </w:rPr>
        <w:t xml:space="preserve"> as authority for this proposition. I respectfully agree that </w:t>
      </w:r>
      <w:r w:rsidR="0052128B" w:rsidRPr="00146A17">
        <w:rPr>
          <w:rFonts w:ascii="Times New Roman" w:hAnsi="Times New Roman"/>
          <w:i/>
          <w:iCs/>
        </w:rPr>
        <w:t>Loubser</w:t>
      </w:r>
      <w:r w:rsidR="0052128B" w:rsidRPr="00146A17">
        <w:rPr>
          <w:rFonts w:ascii="Times New Roman" w:hAnsi="Times New Roman"/>
        </w:rPr>
        <w:t xml:space="preserve">, and </w:t>
      </w:r>
      <w:r w:rsidR="00DF0D7C" w:rsidRPr="00146A17">
        <w:rPr>
          <w:rFonts w:ascii="Times New Roman" w:hAnsi="Times New Roman"/>
        </w:rPr>
        <w:t>perhaps to be more precise</w:t>
      </w:r>
      <w:r w:rsidR="0052128B" w:rsidRPr="00146A17">
        <w:rPr>
          <w:rFonts w:ascii="Times New Roman" w:hAnsi="Times New Roman"/>
        </w:rPr>
        <w:t xml:space="preserve">, </w:t>
      </w:r>
      <w:r w:rsidR="0052128B" w:rsidRPr="00146A17">
        <w:rPr>
          <w:rFonts w:ascii="Times New Roman" w:hAnsi="Times New Roman"/>
          <w:i/>
          <w:iCs/>
        </w:rPr>
        <w:t xml:space="preserve">Loubser </w:t>
      </w:r>
      <w:r w:rsidR="0052128B" w:rsidRPr="00146A17">
        <w:rPr>
          <w:rFonts w:ascii="Times New Roman" w:hAnsi="Times New Roman"/>
        </w:rPr>
        <w:t xml:space="preserve">read together with </w:t>
      </w:r>
      <w:r w:rsidR="0052128B" w:rsidRPr="00146A17">
        <w:rPr>
          <w:rFonts w:ascii="Times New Roman" w:hAnsi="Times New Roman"/>
          <w:i/>
          <w:iCs/>
        </w:rPr>
        <w:t>Donniger</w:t>
      </w:r>
      <w:r w:rsidR="0052128B" w:rsidRPr="00146A17">
        <w:rPr>
          <w:rFonts w:ascii="Times New Roman" w:hAnsi="Times New Roman"/>
        </w:rPr>
        <w:t>, is authority for this proposition.</w:t>
      </w:r>
    </w:p>
    <w:p w14:paraId="19E874AC" w14:textId="7466107E" w:rsidR="00DC6916"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57</w:t>
      </w:r>
      <w:r w:rsidRPr="00146A17">
        <w:rPr>
          <w:rFonts w:ascii="Times New Roman" w:hAnsi="Times New Roman"/>
        </w:rPr>
        <w:tab/>
      </w:r>
      <w:r w:rsidR="00601B86" w:rsidRPr="00146A17">
        <w:rPr>
          <w:rFonts w:ascii="Times New Roman" w:hAnsi="Times New Roman"/>
        </w:rPr>
        <w:t>Even though these principles were developed in terms of the law of contract, they have clear relevance to enrichment claims. This is because the underlying rationale of the principle</w:t>
      </w:r>
      <w:r w:rsidR="00D04594">
        <w:rPr>
          <w:rFonts w:ascii="Times New Roman" w:hAnsi="Times New Roman"/>
        </w:rPr>
        <w:t>s</w:t>
      </w:r>
      <w:r w:rsidR="00601B86" w:rsidRPr="00146A17">
        <w:rPr>
          <w:rFonts w:ascii="Times New Roman" w:hAnsi="Times New Roman"/>
        </w:rPr>
        <w:t xml:space="preserve"> </w:t>
      </w:r>
      <w:r w:rsidR="00D04594">
        <w:rPr>
          <w:rFonts w:ascii="Times New Roman" w:hAnsi="Times New Roman"/>
        </w:rPr>
        <w:t xml:space="preserve">discussed above </w:t>
      </w:r>
      <w:r w:rsidR="001B0EBA" w:rsidRPr="00146A17">
        <w:rPr>
          <w:rFonts w:ascii="Times New Roman" w:hAnsi="Times New Roman"/>
        </w:rPr>
        <w:t>appl</w:t>
      </w:r>
      <w:r w:rsidR="00741106">
        <w:rPr>
          <w:rFonts w:ascii="Times New Roman" w:hAnsi="Times New Roman"/>
        </w:rPr>
        <w:t>ies</w:t>
      </w:r>
      <w:r w:rsidR="001B0EBA" w:rsidRPr="00146A17">
        <w:rPr>
          <w:rFonts w:ascii="Times New Roman" w:hAnsi="Times New Roman"/>
        </w:rPr>
        <w:t xml:space="preserve"> with equal force</w:t>
      </w:r>
      <w:r w:rsidR="00601B86" w:rsidRPr="00146A17">
        <w:rPr>
          <w:rFonts w:ascii="Times New Roman" w:hAnsi="Times New Roman"/>
        </w:rPr>
        <w:t xml:space="preserve"> to the notion in enrichment claims that the cause of action only arises when the plaintiff is enriched and the defendant is impoverished. What do I mean by the “underlying rationale”? I mean that, in the contract cases I have discussed above, the idea is that the plaintiff only suffers loss when it is clear that it has to part with the </w:t>
      </w:r>
      <w:r w:rsidR="00601B86" w:rsidRPr="00814CF2">
        <w:rPr>
          <w:rFonts w:ascii="Times New Roman" w:hAnsi="Times New Roman"/>
          <w:i/>
          <w:iCs/>
        </w:rPr>
        <w:t>merx</w:t>
      </w:r>
      <w:r w:rsidR="00601B86" w:rsidRPr="00146A17">
        <w:rPr>
          <w:rFonts w:ascii="Times New Roman" w:hAnsi="Times New Roman"/>
        </w:rPr>
        <w:t xml:space="preserve"> (in the case of sale) or the </w:t>
      </w:r>
      <w:r w:rsidR="0012702D" w:rsidRPr="00146A17">
        <w:rPr>
          <w:rFonts w:ascii="Times New Roman" w:hAnsi="Times New Roman"/>
        </w:rPr>
        <w:t xml:space="preserve">leased </w:t>
      </w:r>
      <w:r w:rsidR="00601B86" w:rsidRPr="00146A17">
        <w:rPr>
          <w:rFonts w:ascii="Times New Roman" w:hAnsi="Times New Roman"/>
        </w:rPr>
        <w:t>property (in the case of lease). This evolved from an initial approach in which actual eviction had to take place, to an approach in which the courts will treat a perfected claim as actual eviction</w:t>
      </w:r>
      <w:r w:rsidR="003D2B26" w:rsidRPr="00146A17">
        <w:rPr>
          <w:rFonts w:ascii="Times New Roman" w:hAnsi="Times New Roman"/>
        </w:rPr>
        <w:t xml:space="preserve"> (a proposition which is firmly established in the law of sale but which has shakier foundations in the law of lease, as shown above)</w:t>
      </w:r>
      <w:r w:rsidR="00601B86" w:rsidRPr="00146A17">
        <w:rPr>
          <w:rFonts w:ascii="Times New Roman" w:hAnsi="Times New Roman"/>
        </w:rPr>
        <w:t xml:space="preserve">. </w:t>
      </w:r>
    </w:p>
    <w:p w14:paraId="6B168836" w14:textId="17AD74C9" w:rsidR="00601B86"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58</w:t>
      </w:r>
      <w:r w:rsidRPr="00146A17">
        <w:rPr>
          <w:rFonts w:ascii="Times New Roman" w:hAnsi="Times New Roman"/>
        </w:rPr>
        <w:tab/>
      </w:r>
      <w:r w:rsidR="00601B86" w:rsidRPr="00146A17">
        <w:rPr>
          <w:rFonts w:ascii="Times New Roman" w:hAnsi="Times New Roman"/>
        </w:rPr>
        <w:t xml:space="preserve">But, of course, the important issue is that a perfected claim, in these specific multi-party contexts, only arises where it is clear that the defendant has no basis to resist the claim of the third-party to the return of the property. The defendant has a responsibility to raise every plausible defence to the third-party’s claim. Our courts now, correctly, do not take such a technical view of this </w:t>
      </w:r>
      <w:r w:rsidR="009D2BB7">
        <w:rPr>
          <w:rFonts w:ascii="Times New Roman" w:hAnsi="Times New Roman"/>
        </w:rPr>
        <w:t>duty</w:t>
      </w:r>
      <w:r w:rsidR="00601B86" w:rsidRPr="00146A17">
        <w:rPr>
          <w:rFonts w:ascii="Times New Roman" w:hAnsi="Times New Roman"/>
        </w:rPr>
        <w:t xml:space="preserve"> that they insist on allowing damages claims for the innocent possessor</w:t>
      </w:r>
      <w:r w:rsidR="00134A2D" w:rsidRPr="00146A17">
        <w:rPr>
          <w:rFonts w:ascii="Times New Roman" w:hAnsi="Times New Roman"/>
        </w:rPr>
        <w:t>/lessee</w:t>
      </w:r>
      <w:r w:rsidR="00601B86" w:rsidRPr="00146A17">
        <w:rPr>
          <w:rFonts w:ascii="Times New Roman" w:hAnsi="Times New Roman"/>
        </w:rPr>
        <w:t xml:space="preserve"> only after the defendant has tried and failed to raise these defences. They are willing to look at the relationships </w:t>
      </w:r>
      <w:r w:rsidR="008F78F8">
        <w:rPr>
          <w:rFonts w:ascii="Times New Roman" w:hAnsi="Times New Roman"/>
        </w:rPr>
        <w:t>robustly</w:t>
      </w:r>
      <w:r w:rsidR="00601B86" w:rsidRPr="00146A17">
        <w:rPr>
          <w:rFonts w:ascii="Times New Roman" w:hAnsi="Times New Roman"/>
        </w:rPr>
        <w:t xml:space="preserve"> to determine whether any plausible defences were, in theory, available to the defendant when determining whether a plaintiff’s cause of action was perfected. But the </w:t>
      </w:r>
      <w:r w:rsidR="006F0596" w:rsidRPr="00146A17">
        <w:rPr>
          <w:rFonts w:ascii="Times New Roman" w:hAnsi="Times New Roman"/>
        </w:rPr>
        <w:t>premise</w:t>
      </w:r>
      <w:r w:rsidR="00601B86" w:rsidRPr="00146A17">
        <w:rPr>
          <w:rFonts w:ascii="Times New Roman" w:hAnsi="Times New Roman"/>
        </w:rPr>
        <w:t xml:space="preserve"> remains that the plaintiff is </w:t>
      </w:r>
      <w:r w:rsidR="00601B86" w:rsidRPr="00146A17">
        <w:rPr>
          <w:rFonts w:ascii="Times New Roman" w:hAnsi="Times New Roman"/>
        </w:rPr>
        <w:lastRenderedPageBreak/>
        <w:t>only taken to have suffered loss once there are no defences available to the defendant to resist the third-party’s claim for restoration of the property.</w:t>
      </w:r>
      <w:r w:rsidR="00970E64" w:rsidRPr="00146A17">
        <w:rPr>
          <w:rFonts w:ascii="Times New Roman" w:hAnsi="Times New Roman"/>
        </w:rPr>
        <w:t xml:space="preserve"> Which, in the law of lease, means that there has to be actual or</w:t>
      </w:r>
      <w:r w:rsidR="007159A1">
        <w:rPr>
          <w:rFonts w:ascii="Times New Roman" w:hAnsi="Times New Roman"/>
        </w:rPr>
        <w:t>, arguably,</w:t>
      </w:r>
      <w:r w:rsidR="00970E64" w:rsidRPr="00146A17">
        <w:rPr>
          <w:rFonts w:ascii="Times New Roman" w:hAnsi="Times New Roman"/>
        </w:rPr>
        <w:t xml:space="preserve"> inevitable eviction before a damages claim will arise.</w:t>
      </w:r>
      <w:r w:rsidR="00306676" w:rsidRPr="00146A17">
        <w:rPr>
          <w:rFonts w:ascii="Times New Roman" w:hAnsi="Times New Roman"/>
        </w:rPr>
        <w:t xml:space="preserve"> For essentially the same reasons, there could be no enrichment claim until the lessee is actually evicted</w:t>
      </w:r>
      <w:r w:rsidR="00A34498" w:rsidRPr="00146A17">
        <w:rPr>
          <w:rFonts w:ascii="Times New Roman" w:hAnsi="Times New Roman"/>
        </w:rPr>
        <w:t xml:space="preserve"> (whether in the true sense or in the sense understood in the modern caselaw described above)</w:t>
      </w:r>
      <w:r w:rsidR="00765185" w:rsidRPr="00146A17">
        <w:rPr>
          <w:rFonts w:ascii="Times New Roman" w:hAnsi="Times New Roman"/>
        </w:rPr>
        <w:t>.</w:t>
      </w:r>
    </w:p>
    <w:p w14:paraId="3FED81D0" w14:textId="5EFC7F53" w:rsidR="00165502"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59</w:t>
      </w:r>
      <w:r w:rsidRPr="00146A17">
        <w:rPr>
          <w:rFonts w:ascii="Times New Roman" w:hAnsi="Times New Roman"/>
        </w:rPr>
        <w:tab/>
      </w:r>
      <w:r w:rsidR="00165502" w:rsidRPr="00146A17">
        <w:rPr>
          <w:rFonts w:ascii="Times New Roman" w:hAnsi="Times New Roman"/>
        </w:rPr>
        <w:t>I appreciate that there is a fundamental difference between a contractual and enrichment cause of action</w:t>
      </w:r>
      <w:r w:rsidR="00FF181B" w:rsidRPr="00146A17">
        <w:rPr>
          <w:rFonts w:ascii="Times New Roman" w:hAnsi="Times New Roman"/>
        </w:rPr>
        <w:t xml:space="preserve">. </w:t>
      </w:r>
      <w:r w:rsidR="00E13DB9" w:rsidRPr="00146A17">
        <w:rPr>
          <w:rFonts w:ascii="Times New Roman" w:hAnsi="Times New Roman"/>
        </w:rPr>
        <w:t xml:space="preserve">Wamjay’s claim </w:t>
      </w:r>
      <w:r w:rsidR="00F70CC9" w:rsidRPr="00146A17">
        <w:rPr>
          <w:rFonts w:ascii="Times New Roman" w:hAnsi="Times New Roman"/>
        </w:rPr>
        <w:t xml:space="preserve">is necessarily based on the premise that the cession agreement is a nullity, even if it does not use this terminology in its founding affidavit. </w:t>
      </w:r>
      <w:r w:rsidR="00F70CC9" w:rsidRPr="00146A17">
        <w:rPr>
          <w:rFonts w:ascii="Times New Roman" w:hAnsi="Times New Roman"/>
          <w:i/>
          <w:iCs/>
        </w:rPr>
        <w:t>Mr Both</w:t>
      </w:r>
      <w:r w:rsidR="00F70CC9" w:rsidRPr="00146A17">
        <w:rPr>
          <w:rFonts w:ascii="Times New Roman" w:hAnsi="Times New Roman"/>
        </w:rPr>
        <w:t xml:space="preserve">, correctly in my view, </w:t>
      </w:r>
      <w:r w:rsidR="009A0DCD" w:rsidRPr="00146A17">
        <w:rPr>
          <w:rFonts w:ascii="Times New Roman" w:hAnsi="Times New Roman"/>
        </w:rPr>
        <w:t xml:space="preserve">pointed out </w:t>
      </w:r>
      <w:r w:rsidR="0052799B" w:rsidRPr="00146A17">
        <w:rPr>
          <w:rFonts w:ascii="Times New Roman" w:hAnsi="Times New Roman"/>
        </w:rPr>
        <w:t xml:space="preserve">that </w:t>
      </w:r>
      <w:r w:rsidR="009A0DCD" w:rsidRPr="00146A17">
        <w:rPr>
          <w:rFonts w:ascii="Times New Roman" w:hAnsi="Times New Roman"/>
        </w:rPr>
        <w:t xml:space="preserve">the </w:t>
      </w:r>
      <w:r w:rsidR="0052799B" w:rsidRPr="00146A17">
        <w:rPr>
          <w:rFonts w:ascii="Times New Roman" w:hAnsi="Times New Roman"/>
        </w:rPr>
        <w:t xml:space="preserve">main </w:t>
      </w:r>
      <w:r w:rsidR="009A0DCD" w:rsidRPr="00146A17">
        <w:rPr>
          <w:rFonts w:ascii="Times New Roman" w:hAnsi="Times New Roman"/>
        </w:rPr>
        <w:t>difference between contractual and enrichment causes of action</w:t>
      </w:r>
      <w:r w:rsidR="0052799B" w:rsidRPr="00146A17">
        <w:rPr>
          <w:rFonts w:ascii="Times New Roman" w:hAnsi="Times New Roman"/>
        </w:rPr>
        <w:t xml:space="preserve"> </w:t>
      </w:r>
      <w:r w:rsidR="00A015B7" w:rsidRPr="00146A17">
        <w:rPr>
          <w:rFonts w:ascii="Times New Roman" w:hAnsi="Times New Roman"/>
        </w:rPr>
        <w:t xml:space="preserve">in settings similar to the present case </w:t>
      </w:r>
      <w:r w:rsidR="0052799B" w:rsidRPr="00146A17">
        <w:rPr>
          <w:rFonts w:ascii="Times New Roman" w:hAnsi="Times New Roman"/>
        </w:rPr>
        <w:t xml:space="preserve">is that, in the latter, there </w:t>
      </w:r>
      <w:r w:rsidR="001D5870">
        <w:rPr>
          <w:rFonts w:ascii="Times New Roman" w:hAnsi="Times New Roman"/>
        </w:rPr>
        <w:t>are</w:t>
      </w:r>
      <w:r w:rsidR="0052799B" w:rsidRPr="00146A17">
        <w:rPr>
          <w:rFonts w:ascii="Times New Roman" w:hAnsi="Times New Roman"/>
        </w:rPr>
        <w:t xml:space="preserve"> by definition no contractual terms to enforce</w:t>
      </w:r>
      <w:r w:rsidR="009A0DCD" w:rsidRPr="00146A17">
        <w:rPr>
          <w:rFonts w:ascii="Times New Roman" w:hAnsi="Times New Roman"/>
        </w:rPr>
        <w:t>.</w:t>
      </w:r>
      <w:r w:rsidR="009A0DCD" w:rsidRPr="00146A17">
        <w:rPr>
          <w:rStyle w:val="FootnoteReference"/>
          <w:rFonts w:ascii="Times New Roman" w:hAnsi="Times New Roman"/>
        </w:rPr>
        <w:footnoteReference w:id="26"/>
      </w:r>
      <w:r w:rsidR="00417875" w:rsidRPr="00146A17">
        <w:rPr>
          <w:rFonts w:ascii="Times New Roman" w:hAnsi="Times New Roman"/>
        </w:rPr>
        <w:t xml:space="preserve"> On </w:t>
      </w:r>
      <w:r w:rsidR="00417875" w:rsidRPr="00146A17">
        <w:rPr>
          <w:rFonts w:ascii="Times New Roman" w:hAnsi="Times New Roman"/>
          <w:i/>
          <w:iCs/>
        </w:rPr>
        <w:t>Mr Both’s</w:t>
      </w:r>
      <w:r w:rsidR="00417875" w:rsidRPr="00146A17">
        <w:rPr>
          <w:rFonts w:ascii="Times New Roman" w:hAnsi="Times New Roman"/>
        </w:rPr>
        <w:t xml:space="preserve"> argument, none of the cases discussed above would be relevant to this case because, if an agreement </w:t>
      </w:r>
      <w:r w:rsidR="00661FA4">
        <w:rPr>
          <w:rFonts w:ascii="Times New Roman" w:hAnsi="Times New Roman"/>
        </w:rPr>
        <w:t xml:space="preserve">such as the cession agreement in this case </w:t>
      </w:r>
      <w:r w:rsidR="00417875" w:rsidRPr="00146A17">
        <w:rPr>
          <w:rFonts w:ascii="Times New Roman" w:hAnsi="Times New Roman"/>
        </w:rPr>
        <w:t xml:space="preserve">is a nullity from the outset, </w:t>
      </w:r>
      <w:r w:rsidR="00EF17AC" w:rsidRPr="00146A17">
        <w:rPr>
          <w:rFonts w:ascii="Times New Roman" w:hAnsi="Times New Roman"/>
        </w:rPr>
        <w:t>the warranty against eviction was never given. I return to this issue shortly.</w:t>
      </w:r>
      <w:r w:rsidR="00E13DB9" w:rsidRPr="00146A17">
        <w:rPr>
          <w:rFonts w:ascii="Times New Roman" w:hAnsi="Times New Roman"/>
        </w:rPr>
        <w:t xml:space="preserve"> </w:t>
      </w:r>
    </w:p>
    <w:p w14:paraId="7225FF7E" w14:textId="26503645" w:rsidR="002B33F9" w:rsidRPr="00146A17" w:rsidRDefault="00843CD7" w:rsidP="00843CD7">
      <w:pPr>
        <w:pStyle w:val="WLGLevel1"/>
        <w:numPr>
          <w:ilvl w:val="0"/>
          <w:numId w:val="0"/>
        </w:numPr>
        <w:tabs>
          <w:tab w:val="left" w:pos="567"/>
        </w:tabs>
        <w:ind w:left="562" w:hanging="562"/>
        <w:rPr>
          <w:rFonts w:ascii="Times New Roman" w:hAnsi="Times New Roman"/>
        </w:rPr>
      </w:pPr>
      <w:bookmarkStart w:id="7" w:name="_Ref146548359"/>
      <w:r w:rsidRPr="00146A17">
        <w:rPr>
          <w:rFonts w:ascii="Times New Roman" w:hAnsi="Times New Roman"/>
        </w:rPr>
        <w:t>60</w:t>
      </w:r>
      <w:r w:rsidRPr="00146A17">
        <w:rPr>
          <w:rFonts w:ascii="Times New Roman" w:hAnsi="Times New Roman"/>
        </w:rPr>
        <w:tab/>
      </w:r>
      <w:r w:rsidR="00DD5137" w:rsidRPr="00146A17">
        <w:rPr>
          <w:rFonts w:ascii="Times New Roman" w:hAnsi="Times New Roman"/>
        </w:rPr>
        <w:t xml:space="preserve">I have described the present case as novel because I have been unable to find, and was </w:t>
      </w:r>
      <w:r w:rsidR="00DB3C57" w:rsidRPr="00146A17">
        <w:rPr>
          <w:rFonts w:ascii="Times New Roman" w:hAnsi="Times New Roman"/>
        </w:rPr>
        <w:t xml:space="preserve">not referred in argument to, any case in which the issue of prescription has arisen in the context of </w:t>
      </w:r>
      <w:r w:rsidR="00770A24" w:rsidRPr="00146A17">
        <w:rPr>
          <w:rFonts w:ascii="Times New Roman" w:hAnsi="Times New Roman"/>
        </w:rPr>
        <w:t>facts similar to those of this case</w:t>
      </w:r>
      <w:r w:rsidR="00DB3C57" w:rsidRPr="00146A17">
        <w:rPr>
          <w:rFonts w:ascii="Times New Roman" w:hAnsi="Times New Roman"/>
        </w:rPr>
        <w:t xml:space="preserve">. As I mentioned above, I agree with </w:t>
      </w:r>
      <w:r w:rsidR="00DB3C57" w:rsidRPr="00146A17">
        <w:rPr>
          <w:rFonts w:ascii="Times New Roman" w:hAnsi="Times New Roman"/>
          <w:i/>
          <w:iCs/>
        </w:rPr>
        <w:t xml:space="preserve">Mr Alli </w:t>
      </w:r>
      <w:r w:rsidR="00DB3C57" w:rsidRPr="00146A17">
        <w:rPr>
          <w:rFonts w:ascii="Times New Roman" w:hAnsi="Times New Roman"/>
        </w:rPr>
        <w:t xml:space="preserve">that the main issue, when it comes to </w:t>
      </w:r>
      <w:r w:rsidR="001D4C2D" w:rsidRPr="00146A17">
        <w:rPr>
          <w:rFonts w:ascii="Times New Roman" w:hAnsi="Times New Roman"/>
        </w:rPr>
        <w:t>prescription, is when Wamjay’s claim against ATS could be said to have been “immediately claimable”. In my view, it follows from my discussion of the caselaw above that the answer is this:</w:t>
      </w:r>
      <w:bookmarkEnd w:id="7"/>
    </w:p>
    <w:p w14:paraId="5AFF02D3" w14:textId="23DB120D" w:rsidR="001D4C2D"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lastRenderedPageBreak/>
        <w:t>60.1</w:t>
      </w:r>
      <w:r w:rsidRPr="00146A17">
        <w:rPr>
          <w:rFonts w:ascii="Times New Roman" w:hAnsi="Times New Roman"/>
        </w:rPr>
        <w:tab/>
      </w:r>
      <w:r w:rsidR="00EE5B6D" w:rsidRPr="00146A17">
        <w:rPr>
          <w:rFonts w:ascii="Times New Roman" w:hAnsi="Times New Roman"/>
        </w:rPr>
        <w:t xml:space="preserve">Most of the caselaw, especially in the context of sale (because there are far more cases on sale than on lease), focuses on when a party such as Wamjay is </w:t>
      </w:r>
      <w:r w:rsidR="00EE5B6D" w:rsidRPr="00146A17">
        <w:rPr>
          <w:rFonts w:ascii="Times New Roman" w:hAnsi="Times New Roman"/>
          <w:u w:val="single"/>
        </w:rPr>
        <w:t>allowed</w:t>
      </w:r>
      <w:r w:rsidR="00EE5B6D" w:rsidRPr="00146A17">
        <w:rPr>
          <w:rFonts w:ascii="Times New Roman" w:hAnsi="Times New Roman"/>
        </w:rPr>
        <w:t xml:space="preserve"> to sue a party such as ATS.</w:t>
      </w:r>
      <w:r w:rsidR="005539F0" w:rsidRPr="00146A17">
        <w:rPr>
          <w:rFonts w:ascii="Times New Roman" w:hAnsi="Times New Roman"/>
        </w:rPr>
        <w:t xml:space="preserve"> </w:t>
      </w:r>
      <w:r w:rsidR="00EE5B6D" w:rsidRPr="00146A17">
        <w:rPr>
          <w:rFonts w:ascii="Times New Roman" w:hAnsi="Times New Roman"/>
        </w:rPr>
        <w:t>They mostly arise in a context where the Wamjay-like party has either sued for damages, arguably prematurely, or has vacated property, again arguably premature</w:t>
      </w:r>
      <w:r w:rsidR="005D7320" w:rsidRPr="00146A17">
        <w:rPr>
          <w:rFonts w:ascii="Times New Roman" w:hAnsi="Times New Roman"/>
        </w:rPr>
        <w:t>ly</w:t>
      </w:r>
      <w:r w:rsidR="00EE5B6D" w:rsidRPr="00146A17">
        <w:rPr>
          <w:rFonts w:ascii="Times New Roman" w:hAnsi="Times New Roman"/>
        </w:rPr>
        <w:t>. And the debate then is whether, notwithstanding that it perhaps acted precipitously, it still has a defensible legal position (either as a claimant for damages or as a respondent/defendant in a claim for breach of contract).</w:t>
      </w:r>
    </w:p>
    <w:p w14:paraId="241D5424" w14:textId="22975D17" w:rsidR="00450647"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60.2</w:t>
      </w:r>
      <w:r w:rsidRPr="00146A17">
        <w:rPr>
          <w:rFonts w:ascii="Times New Roman" w:hAnsi="Times New Roman"/>
        </w:rPr>
        <w:tab/>
      </w:r>
      <w:r w:rsidR="00450647" w:rsidRPr="00146A17">
        <w:rPr>
          <w:rFonts w:ascii="Times New Roman" w:hAnsi="Times New Roman"/>
        </w:rPr>
        <w:t xml:space="preserve">But, what should not be overlooked is that, in the law of lease, there is clearly a duty on a party such as ATS to defend its right to possess the property. As I hope I have already made clear, </w:t>
      </w:r>
      <w:r w:rsidR="003C589B" w:rsidRPr="00146A17">
        <w:rPr>
          <w:rFonts w:ascii="Times New Roman" w:hAnsi="Times New Roman"/>
        </w:rPr>
        <w:t>this flows from the warranty against eviction.</w:t>
      </w:r>
    </w:p>
    <w:p w14:paraId="13387667" w14:textId="1A17EACC" w:rsidR="003C589B"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60.3</w:t>
      </w:r>
      <w:r w:rsidRPr="00146A17">
        <w:rPr>
          <w:rFonts w:ascii="Times New Roman" w:hAnsi="Times New Roman"/>
        </w:rPr>
        <w:tab/>
      </w:r>
      <w:r w:rsidR="00E4399F" w:rsidRPr="00146A17">
        <w:rPr>
          <w:rFonts w:ascii="Times New Roman" w:hAnsi="Times New Roman"/>
        </w:rPr>
        <w:t xml:space="preserve">When a third party (in the lease context it is most likely to be the owner, such as the University in this case, and in the sale context it </w:t>
      </w:r>
      <w:r w:rsidR="00EE1C0E" w:rsidRPr="00146A17">
        <w:rPr>
          <w:rFonts w:ascii="Times New Roman" w:hAnsi="Times New Roman"/>
        </w:rPr>
        <w:t xml:space="preserve">could be the owner or, in modern life, it could </w:t>
      </w:r>
      <w:r w:rsidR="000D583C">
        <w:rPr>
          <w:rFonts w:ascii="Times New Roman" w:hAnsi="Times New Roman"/>
        </w:rPr>
        <w:t xml:space="preserve">equally likely </w:t>
      </w:r>
      <w:r w:rsidR="00EE1C0E" w:rsidRPr="00146A17">
        <w:rPr>
          <w:rFonts w:ascii="Times New Roman" w:hAnsi="Times New Roman"/>
        </w:rPr>
        <w:t>be the authorities, s</w:t>
      </w:r>
      <w:r w:rsidR="005749EA" w:rsidRPr="00146A17">
        <w:rPr>
          <w:rFonts w:ascii="Times New Roman" w:hAnsi="Times New Roman"/>
        </w:rPr>
        <w:t>u</w:t>
      </w:r>
      <w:r w:rsidR="00EE1C0E" w:rsidRPr="00146A17">
        <w:rPr>
          <w:rFonts w:ascii="Times New Roman" w:hAnsi="Times New Roman"/>
        </w:rPr>
        <w:t xml:space="preserve">ch as </w:t>
      </w:r>
      <w:r w:rsidR="00165C9D" w:rsidRPr="00146A17">
        <w:rPr>
          <w:rFonts w:ascii="Times New Roman" w:hAnsi="Times New Roman"/>
        </w:rPr>
        <w:t xml:space="preserve">the </w:t>
      </w:r>
      <w:r w:rsidR="00EE1C0E" w:rsidRPr="00146A17">
        <w:rPr>
          <w:rFonts w:ascii="Times New Roman" w:hAnsi="Times New Roman"/>
        </w:rPr>
        <w:t>S</w:t>
      </w:r>
      <w:r w:rsidR="00165C9D" w:rsidRPr="00146A17">
        <w:rPr>
          <w:rFonts w:ascii="Times New Roman" w:hAnsi="Times New Roman"/>
        </w:rPr>
        <w:t xml:space="preserve">outh </w:t>
      </w:r>
      <w:r w:rsidR="00EE1C0E" w:rsidRPr="00146A17">
        <w:rPr>
          <w:rFonts w:ascii="Times New Roman" w:hAnsi="Times New Roman"/>
        </w:rPr>
        <w:t>A</w:t>
      </w:r>
      <w:r w:rsidR="00165C9D" w:rsidRPr="00146A17">
        <w:rPr>
          <w:rFonts w:ascii="Times New Roman" w:hAnsi="Times New Roman"/>
        </w:rPr>
        <w:t xml:space="preserve">frican </w:t>
      </w:r>
      <w:r w:rsidR="00EE1C0E" w:rsidRPr="00146A17">
        <w:rPr>
          <w:rFonts w:ascii="Times New Roman" w:hAnsi="Times New Roman"/>
        </w:rPr>
        <w:t>R</w:t>
      </w:r>
      <w:r w:rsidR="00165C9D" w:rsidRPr="00146A17">
        <w:rPr>
          <w:rFonts w:ascii="Times New Roman" w:hAnsi="Times New Roman"/>
        </w:rPr>
        <w:t xml:space="preserve">evenue </w:t>
      </w:r>
      <w:r w:rsidR="00EE1C0E" w:rsidRPr="00146A17">
        <w:rPr>
          <w:rFonts w:ascii="Times New Roman" w:hAnsi="Times New Roman"/>
        </w:rPr>
        <w:t>S</w:t>
      </w:r>
      <w:r w:rsidR="00165C9D" w:rsidRPr="00146A17">
        <w:rPr>
          <w:rFonts w:ascii="Times New Roman" w:hAnsi="Times New Roman"/>
        </w:rPr>
        <w:t>ervice</w:t>
      </w:r>
      <w:r w:rsidR="00EE1C0E" w:rsidRPr="00146A17">
        <w:rPr>
          <w:rFonts w:ascii="Times New Roman" w:hAnsi="Times New Roman"/>
        </w:rPr>
        <w:t xml:space="preserve">) claims possession of the property, an entity such as ATS must make an assessment of the strength of the legal claim. Unless the claim is “unassailable”, the party such as ATS has an obligation to put up a </w:t>
      </w:r>
      <w:r w:rsidR="00EE1C0E" w:rsidRPr="00146A17">
        <w:rPr>
          <w:rFonts w:ascii="Times New Roman" w:hAnsi="Times New Roman"/>
          <w:i/>
          <w:iCs/>
        </w:rPr>
        <w:t>virilis defensio</w:t>
      </w:r>
      <w:r w:rsidR="00EE1C0E" w:rsidRPr="00146A17">
        <w:rPr>
          <w:rFonts w:ascii="Times New Roman" w:hAnsi="Times New Roman"/>
        </w:rPr>
        <w:t xml:space="preserve">. If it fails to do so, then it will be exposed to a damages claim. </w:t>
      </w:r>
      <w:r w:rsidR="00E35EA4" w:rsidRPr="00146A17">
        <w:rPr>
          <w:rFonts w:ascii="Times New Roman" w:hAnsi="Times New Roman"/>
        </w:rPr>
        <w:t>In the law of sale t</w:t>
      </w:r>
      <w:r w:rsidR="00EE1C0E" w:rsidRPr="00146A17">
        <w:rPr>
          <w:rFonts w:ascii="Times New Roman" w:hAnsi="Times New Roman"/>
        </w:rPr>
        <w:t xml:space="preserve">his is subject to the qualification that the party such as Wamjay must first defend the claim itself, or demonstrate that it is </w:t>
      </w:r>
      <w:r w:rsidR="00932E27" w:rsidRPr="00146A17">
        <w:rPr>
          <w:rFonts w:ascii="Times New Roman" w:hAnsi="Times New Roman"/>
        </w:rPr>
        <w:t>unassailable.</w:t>
      </w:r>
      <w:r w:rsidR="00FE4FB3">
        <w:rPr>
          <w:rFonts w:ascii="Times New Roman" w:hAnsi="Times New Roman"/>
        </w:rPr>
        <w:t xml:space="preserve"> It is not at all clear that this obligation applies to the law of lease.</w:t>
      </w:r>
      <w:r w:rsidR="00932E27" w:rsidRPr="00146A17">
        <w:rPr>
          <w:rFonts w:ascii="Times New Roman" w:hAnsi="Times New Roman"/>
        </w:rPr>
        <w:t xml:space="preserve"> </w:t>
      </w:r>
      <w:r w:rsidR="00FE4FB3">
        <w:rPr>
          <w:rFonts w:ascii="Times New Roman" w:hAnsi="Times New Roman"/>
        </w:rPr>
        <w:t>But, either way, b</w:t>
      </w:r>
      <w:r w:rsidR="00932E27" w:rsidRPr="00146A17">
        <w:rPr>
          <w:rFonts w:ascii="Times New Roman" w:hAnsi="Times New Roman"/>
        </w:rPr>
        <w:t>oth options stem from the fact that, in principle, the party such as Wamjay only has a claim when actually evicted</w:t>
      </w:r>
      <w:r w:rsidR="00740EAA" w:rsidRPr="00146A17">
        <w:rPr>
          <w:rFonts w:ascii="Times New Roman" w:hAnsi="Times New Roman"/>
        </w:rPr>
        <w:t xml:space="preserve"> – the modern developments in the law having come about for reasons of practicality and based on an acceptance that it would often be </w:t>
      </w:r>
      <w:r w:rsidR="00740EAA" w:rsidRPr="00146A17">
        <w:rPr>
          <w:rFonts w:ascii="Times New Roman" w:hAnsi="Times New Roman"/>
        </w:rPr>
        <w:lastRenderedPageBreak/>
        <w:t>unfair to require the Wamjay-like party to wait for actual eviction before protecting itself (either by claiming damages or vacating).</w:t>
      </w:r>
    </w:p>
    <w:p w14:paraId="7B9E4426" w14:textId="0A8E8F30" w:rsidR="00740EAA"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60.4</w:t>
      </w:r>
      <w:r w:rsidRPr="00146A17">
        <w:rPr>
          <w:rFonts w:ascii="Times New Roman" w:hAnsi="Times New Roman"/>
        </w:rPr>
        <w:tab/>
      </w:r>
      <w:r w:rsidR="00E33A16" w:rsidRPr="00146A17">
        <w:rPr>
          <w:rFonts w:ascii="Times New Roman" w:hAnsi="Times New Roman"/>
        </w:rPr>
        <w:t xml:space="preserve">So far, so good. But </w:t>
      </w:r>
      <w:r w:rsidR="005D7C46" w:rsidRPr="00146A17">
        <w:rPr>
          <w:rFonts w:ascii="Times New Roman" w:hAnsi="Times New Roman"/>
        </w:rPr>
        <w:t>conceptual difficulties arise from the “unassailable claim” component of the principles set out above.</w:t>
      </w:r>
      <w:r w:rsidR="00E71A9E" w:rsidRPr="00146A17">
        <w:rPr>
          <w:rFonts w:ascii="Times New Roman" w:hAnsi="Times New Roman"/>
        </w:rPr>
        <w:t xml:space="preserve"> If the correct legal position is objective – which flows from </w:t>
      </w:r>
      <w:r w:rsidR="00E71A9E" w:rsidRPr="00146A17">
        <w:rPr>
          <w:rFonts w:ascii="Times New Roman" w:hAnsi="Times New Roman"/>
          <w:i/>
          <w:iCs/>
        </w:rPr>
        <w:t>M</w:t>
      </w:r>
      <w:r w:rsidR="005653ED" w:rsidRPr="00146A17">
        <w:rPr>
          <w:rFonts w:ascii="Times New Roman" w:hAnsi="Times New Roman"/>
          <w:i/>
          <w:iCs/>
        </w:rPr>
        <w:t>to</w:t>
      </w:r>
      <w:r w:rsidR="00362C89" w:rsidRPr="00146A17">
        <w:rPr>
          <w:rFonts w:ascii="Times New Roman" w:hAnsi="Times New Roman"/>
          <w:i/>
          <w:iCs/>
        </w:rPr>
        <w:t>konya</w:t>
      </w:r>
      <w:r w:rsidR="00362C89" w:rsidRPr="00146A17">
        <w:rPr>
          <w:rFonts w:ascii="Times New Roman" w:hAnsi="Times New Roman"/>
        </w:rPr>
        <w:t xml:space="preserve"> and the other cases which adopt the same position – then it might be suggested that the question of unassailability </w:t>
      </w:r>
      <w:r w:rsidR="008C606A" w:rsidRPr="00146A17">
        <w:rPr>
          <w:rFonts w:ascii="Times New Roman" w:hAnsi="Times New Roman"/>
        </w:rPr>
        <w:t xml:space="preserve">is objectively determinable at the outset. This would carry the implication that </w:t>
      </w:r>
      <w:r w:rsidR="00E66375" w:rsidRPr="00146A17">
        <w:rPr>
          <w:rFonts w:ascii="Times New Roman" w:hAnsi="Times New Roman"/>
        </w:rPr>
        <w:t xml:space="preserve">an entity such as Wamjay is not only allowed, but obliged, to conduct an upfront assessment of whether its eviction is inevitable. </w:t>
      </w:r>
      <w:r w:rsidR="00CA2B38" w:rsidRPr="00146A17">
        <w:rPr>
          <w:rFonts w:ascii="Times New Roman" w:hAnsi="Times New Roman"/>
        </w:rPr>
        <w:t xml:space="preserve">And, if it concludes that it is, then it should not waste its time trying to persuade the party such as ATS to put up a </w:t>
      </w:r>
      <w:r w:rsidR="00CA2B38" w:rsidRPr="00146A17">
        <w:rPr>
          <w:rFonts w:ascii="Times New Roman" w:hAnsi="Times New Roman"/>
          <w:i/>
          <w:iCs/>
        </w:rPr>
        <w:t>virilis defensio</w:t>
      </w:r>
      <w:r w:rsidR="00CA2B38" w:rsidRPr="00146A17">
        <w:rPr>
          <w:rFonts w:ascii="Times New Roman" w:hAnsi="Times New Roman"/>
        </w:rPr>
        <w:t xml:space="preserve"> – or itself try to put one up – and just proceed straight to its damage claim.</w:t>
      </w:r>
    </w:p>
    <w:p w14:paraId="74832EB9" w14:textId="312C4638" w:rsidR="00932E27"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60.5</w:t>
      </w:r>
      <w:r w:rsidRPr="00146A17">
        <w:rPr>
          <w:rFonts w:ascii="Times New Roman" w:hAnsi="Times New Roman"/>
        </w:rPr>
        <w:tab/>
      </w:r>
      <w:r w:rsidR="00750BC5" w:rsidRPr="00146A17">
        <w:rPr>
          <w:rFonts w:ascii="Times New Roman" w:hAnsi="Times New Roman"/>
        </w:rPr>
        <w:t>I</w:t>
      </w:r>
      <w:r w:rsidR="00A174DF" w:rsidRPr="00146A17">
        <w:rPr>
          <w:rFonts w:ascii="Times New Roman" w:hAnsi="Times New Roman"/>
        </w:rPr>
        <w:t xml:space="preserve">t must be recalled that </w:t>
      </w:r>
      <w:r w:rsidR="00A174DF" w:rsidRPr="00146A17">
        <w:rPr>
          <w:rFonts w:ascii="Times New Roman" w:hAnsi="Times New Roman"/>
          <w:i/>
          <w:iCs/>
        </w:rPr>
        <w:t>Mtokonya</w:t>
      </w:r>
      <w:r w:rsidR="00A174DF" w:rsidRPr="00146A17">
        <w:rPr>
          <w:rFonts w:ascii="Times New Roman" w:hAnsi="Times New Roman"/>
        </w:rPr>
        <w:t xml:space="preserve"> was </w:t>
      </w:r>
      <w:r w:rsidR="007232B9" w:rsidRPr="00146A17">
        <w:rPr>
          <w:rFonts w:ascii="Times New Roman" w:hAnsi="Times New Roman"/>
        </w:rPr>
        <w:t>concerned with</w:t>
      </w:r>
      <w:r w:rsidR="00A174DF" w:rsidRPr="00146A17">
        <w:rPr>
          <w:rFonts w:ascii="Times New Roman" w:hAnsi="Times New Roman"/>
        </w:rPr>
        <w:t xml:space="preserve"> the proper </w:t>
      </w:r>
      <w:r w:rsidR="008D0DC9" w:rsidRPr="00146A17">
        <w:rPr>
          <w:rFonts w:ascii="Times New Roman" w:hAnsi="Times New Roman"/>
        </w:rPr>
        <w:t>interpretation</w:t>
      </w:r>
      <w:r w:rsidR="00A174DF" w:rsidRPr="00146A17">
        <w:rPr>
          <w:rFonts w:ascii="Times New Roman" w:hAnsi="Times New Roman"/>
        </w:rPr>
        <w:t xml:space="preserve"> of section 12(3) of the Prescription Act.</w:t>
      </w:r>
      <w:r w:rsidR="008D0DC9" w:rsidRPr="00146A17">
        <w:rPr>
          <w:rFonts w:ascii="Times New Roman" w:hAnsi="Times New Roman"/>
        </w:rPr>
        <w:t xml:space="preserve"> Its conclusion is entirely understandable and, respectfully, unassailable </w:t>
      </w:r>
      <w:r w:rsidR="00A56953" w:rsidRPr="00146A17">
        <w:rPr>
          <w:rFonts w:ascii="Times New Roman" w:hAnsi="Times New Roman"/>
        </w:rPr>
        <w:t xml:space="preserve">because section 12(3) clearly </w:t>
      </w:r>
      <w:r w:rsidR="00D407C6" w:rsidRPr="00146A17">
        <w:rPr>
          <w:rFonts w:ascii="Times New Roman" w:hAnsi="Times New Roman"/>
        </w:rPr>
        <w:t xml:space="preserve">refers to “knowledge of </w:t>
      </w:r>
      <w:r w:rsidR="00F94866">
        <w:rPr>
          <w:rFonts w:ascii="Times New Roman" w:hAnsi="Times New Roman"/>
        </w:rPr>
        <w:t xml:space="preserve">. . .  the </w:t>
      </w:r>
      <w:r w:rsidR="00D407C6" w:rsidRPr="00146A17">
        <w:rPr>
          <w:rFonts w:ascii="Times New Roman" w:hAnsi="Times New Roman"/>
        </w:rPr>
        <w:t>facts”.</w:t>
      </w:r>
      <w:r w:rsidR="00B636AE" w:rsidRPr="00146A17">
        <w:rPr>
          <w:rFonts w:ascii="Times New Roman" w:hAnsi="Times New Roman"/>
        </w:rPr>
        <w:t xml:space="preserve"> It would, in that context, be quite difficult to interpret section 12(3) to </w:t>
      </w:r>
      <w:r w:rsidR="00AA69C2">
        <w:rPr>
          <w:rFonts w:ascii="Times New Roman" w:hAnsi="Times New Roman"/>
        </w:rPr>
        <w:t>allow</w:t>
      </w:r>
      <w:r w:rsidR="00B636AE" w:rsidRPr="00146A17">
        <w:rPr>
          <w:rFonts w:ascii="Times New Roman" w:hAnsi="Times New Roman"/>
        </w:rPr>
        <w:t xml:space="preserve"> </w:t>
      </w:r>
      <w:r w:rsidR="00C871EA" w:rsidRPr="00146A17">
        <w:rPr>
          <w:rFonts w:ascii="Times New Roman" w:hAnsi="Times New Roman"/>
        </w:rPr>
        <w:t xml:space="preserve">a claimant </w:t>
      </w:r>
      <w:r w:rsidR="00B636AE" w:rsidRPr="00146A17">
        <w:rPr>
          <w:rFonts w:ascii="Times New Roman" w:hAnsi="Times New Roman"/>
        </w:rPr>
        <w:t xml:space="preserve">to await a determination of </w:t>
      </w:r>
      <w:r w:rsidR="00102B69">
        <w:rPr>
          <w:rFonts w:ascii="Times New Roman" w:hAnsi="Times New Roman"/>
        </w:rPr>
        <w:t xml:space="preserve">a </w:t>
      </w:r>
      <w:r w:rsidR="00B636AE" w:rsidRPr="00146A17">
        <w:rPr>
          <w:rFonts w:ascii="Times New Roman" w:hAnsi="Times New Roman"/>
        </w:rPr>
        <w:t xml:space="preserve">legal </w:t>
      </w:r>
      <w:r w:rsidR="00102B69">
        <w:rPr>
          <w:rFonts w:ascii="Times New Roman" w:hAnsi="Times New Roman"/>
        </w:rPr>
        <w:t>entitlement to bring a claim</w:t>
      </w:r>
      <w:r w:rsidR="00B636AE" w:rsidRPr="00146A17">
        <w:rPr>
          <w:rFonts w:ascii="Times New Roman" w:hAnsi="Times New Roman"/>
        </w:rPr>
        <w:t>.</w:t>
      </w:r>
      <w:r w:rsidR="00C871EA" w:rsidRPr="00146A17">
        <w:rPr>
          <w:rFonts w:ascii="Times New Roman" w:hAnsi="Times New Roman"/>
        </w:rPr>
        <w:t xml:space="preserve"> </w:t>
      </w:r>
      <w:r w:rsidR="008F382F" w:rsidRPr="00146A17">
        <w:rPr>
          <w:rFonts w:ascii="Times New Roman" w:hAnsi="Times New Roman"/>
        </w:rPr>
        <w:t xml:space="preserve">In </w:t>
      </w:r>
      <w:r w:rsidR="005A685C" w:rsidRPr="00146A17">
        <w:rPr>
          <w:rFonts w:ascii="Times New Roman" w:hAnsi="Times New Roman"/>
          <w:i/>
          <w:iCs/>
        </w:rPr>
        <w:t>Mtokonya</w:t>
      </w:r>
      <w:r w:rsidR="005A685C" w:rsidRPr="00146A17">
        <w:rPr>
          <w:rFonts w:ascii="Times New Roman" w:hAnsi="Times New Roman"/>
        </w:rPr>
        <w:t>, t</w:t>
      </w:r>
      <w:r w:rsidR="00C871EA" w:rsidRPr="00146A17">
        <w:rPr>
          <w:rFonts w:ascii="Times New Roman" w:hAnsi="Times New Roman"/>
        </w:rPr>
        <w:t>he Constitutional Court did not concern itself at all with the question of what is meant in section 12(1) by the phrase “</w:t>
      </w:r>
      <w:r w:rsidR="003852C2" w:rsidRPr="00146A17">
        <w:rPr>
          <w:rFonts w:ascii="Times New Roman" w:hAnsi="Times New Roman"/>
        </w:rPr>
        <w:t>debt is due”.</w:t>
      </w:r>
    </w:p>
    <w:p w14:paraId="4797860C" w14:textId="2E55936B" w:rsidR="00EF1829" w:rsidRPr="00146A17" w:rsidRDefault="00843CD7" w:rsidP="00843CD7">
      <w:pPr>
        <w:pStyle w:val="WLGLevel2"/>
        <w:numPr>
          <w:ilvl w:val="0"/>
          <w:numId w:val="0"/>
        </w:numPr>
        <w:tabs>
          <w:tab w:val="left" w:pos="1361"/>
        </w:tabs>
        <w:ind w:left="1361" w:hanging="794"/>
        <w:rPr>
          <w:rFonts w:ascii="Times New Roman" w:hAnsi="Times New Roman"/>
        </w:rPr>
      </w:pPr>
      <w:bookmarkStart w:id="8" w:name="_Ref146708707"/>
      <w:r w:rsidRPr="00146A17">
        <w:rPr>
          <w:rFonts w:ascii="Times New Roman" w:hAnsi="Times New Roman"/>
        </w:rPr>
        <w:t>60.6</w:t>
      </w:r>
      <w:r w:rsidRPr="00146A17">
        <w:rPr>
          <w:rFonts w:ascii="Times New Roman" w:hAnsi="Times New Roman"/>
        </w:rPr>
        <w:tab/>
      </w:r>
      <w:r w:rsidR="00C008A9" w:rsidRPr="00146A17">
        <w:rPr>
          <w:rFonts w:ascii="Times New Roman" w:hAnsi="Times New Roman"/>
        </w:rPr>
        <w:t>I</w:t>
      </w:r>
      <w:r w:rsidR="00022299" w:rsidRPr="00146A17">
        <w:rPr>
          <w:rFonts w:ascii="Times New Roman" w:hAnsi="Times New Roman"/>
        </w:rPr>
        <w:t>n order for me to find that ATS’s debt to Wamjay arose</w:t>
      </w:r>
      <w:r w:rsidR="00BD2E0F" w:rsidRPr="00146A17">
        <w:rPr>
          <w:rFonts w:ascii="Times New Roman" w:hAnsi="Times New Roman"/>
        </w:rPr>
        <w:t>, as envisaged by section 12(1) of the Prescription Act,</w:t>
      </w:r>
      <w:r w:rsidR="00022299" w:rsidRPr="00146A17">
        <w:rPr>
          <w:rFonts w:ascii="Times New Roman" w:hAnsi="Times New Roman"/>
        </w:rPr>
        <w:t xml:space="preserve"> in October 2012 when the University cancelled the long lease, I would need to find as follows: </w:t>
      </w:r>
      <w:r w:rsidR="007425C2" w:rsidRPr="00146A17">
        <w:rPr>
          <w:rFonts w:ascii="Times New Roman" w:hAnsi="Times New Roman"/>
        </w:rPr>
        <w:t>desp</w:t>
      </w:r>
      <w:r w:rsidR="00975EBE" w:rsidRPr="00146A17">
        <w:rPr>
          <w:rFonts w:ascii="Times New Roman" w:hAnsi="Times New Roman"/>
        </w:rPr>
        <w:t>i</w:t>
      </w:r>
      <w:r w:rsidR="007425C2" w:rsidRPr="00146A17">
        <w:rPr>
          <w:rFonts w:ascii="Times New Roman" w:hAnsi="Times New Roman"/>
        </w:rPr>
        <w:t xml:space="preserve">te the duty of ATS to ensure undisturbed occupation </w:t>
      </w:r>
      <w:r w:rsidR="001513C7">
        <w:rPr>
          <w:rFonts w:ascii="Times New Roman" w:hAnsi="Times New Roman"/>
        </w:rPr>
        <w:t xml:space="preserve">(ie, use and enjoyment) </w:t>
      </w:r>
      <w:r w:rsidR="007425C2" w:rsidRPr="00146A17">
        <w:rPr>
          <w:rFonts w:ascii="Times New Roman" w:hAnsi="Times New Roman"/>
        </w:rPr>
        <w:t xml:space="preserve">of the premises, and despite the </w:t>
      </w:r>
      <w:r w:rsidR="007425C2" w:rsidRPr="00146A17">
        <w:rPr>
          <w:rFonts w:ascii="Times New Roman" w:hAnsi="Times New Roman"/>
        </w:rPr>
        <w:lastRenderedPageBreak/>
        <w:t>fact that this carrie</w:t>
      </w:r>
      <w:r w:rsidR="00C05134">
        <w:rPr>
          <w:rFonts w:ascii="Times New Roman" w:hAnsi="Times New Roman"/>
        </w:rPr>
        <w:t>d</w:t>
      </w:r>
      <w:r w:rsidR="007425C2" w:rsidRPr="00146A17">
        <w:rPr>
          <w:rFonts w:ascii="Times New Roman" w:hAnsi="Times New Roman"/>
        </w:rPr>
        <w:t xml:space="preserve"> a further duty to take all reasonable steps to prevent interference from a third party, </w:t>
      </w:r>
      <w:r w:rsidR="00071547" w:rsidRPr="00146A17">
        <w:rPr>
          <w:rFonts w:ascii="Times New Roman" w:hAnsi="Times New Roman"/>
        </w:rPr>
        <w:t>and d</w:t>
      </w:r>
      <w:r w:rsidR="00945F44" w:rsidRPr="00146A17">
        <w:rPr>
          <w:rFonts w:ascii="Times New Roman" w:hAnsi="Times New Roman"/>
        </w:rPr>
        <w:t xml:space="preserve">espite </w:t>
      </w:r>
      <w:r w:rsidR="00071547" w:rsidRPr="00146A17">
        <w:rPr>
          <w:rFonts w:ascii="Times New Roman" w:hAnsi="Times New Roman"/>
        </w:rPr>
        <w:t xml:space="preserve">the fact that our law only gives Wamjay a claim when it is actually evicted, it was necessary for Wamjay to </w:t>
      </w:r>
      <w:r w:rsidR="00975EBE" w:rsidRPr="00146A17">
        <w:rPr>
          <w:rFonts w:ascii="Times New Roman" w:hAnsi="Times New Roman"/>
        </w:rPr>
        <w:t>make an upfront determination that it and ATS had no prospect of defending themselves against the University’s claim and proceed immediately to assert its rights against ATS.</w:t>
      </w:r>
      <w:bookmarkEnd w:id="8"/>
    </w:p>
    <w:p w14:paraId="49B2EB2D" w14:textId="348A4771" w:rsidR="0095383E" w:rsidRPr="00146A17" w:rsidRDefault="00843CD7" w:rsidP="00843CD7">
      <w:pPr>
        <w:pStyle w:val="WLGLevel2"/>
        <w:numPr>
          <w:ilvl w:val="0"/>
          <w:numId w:val="0"/>
        </w:numPr>
        <w:tabs>
          <w:tab w:val="left" w:pos="1361"/>
        </w:tabs>
        <w:ind w:left="1361" w:hanging="794"/>
        <w:rPr>
          <w:rFonts w:ascii="Times New Roman" w:hAnsi="Times New Roman"/>
        </w:rPr>
      </w:pPr>
      <w:bookmarkStart w:id="9" w:name="_Ref146708611"/>
      <w:r w:rsidRPr="00146A17">
        <w:rPr>
          <w:rFonts w:ascii="Times New Roman" w:hAnsi="Times New Roman"/>
        </w:rPr>
        <w:t>60.7</w:t>
      </w:r>
      <w:r w:rsidRPr="00146A17">
        <w:rPr>
          <w:rFonts w:ascii="Times New Roman" w:hAnsi="Times New Roman"/>
        </w:rPr>
        <w:tab/>
      </w:r>
      <w:r w:rsidR="00787FA4" w:rsidRPr="00146A17">
        <w:rPr>
          <w:rFonts w:ascii="Times New Roman" w:hAnsi="Times New Roman"/>
        </w:rPr>
        <w:t xml:space="preserve">In my view, to adopt such an approach would be </w:t>
      </w:r>
      <w:r w:rsidR="00193608">
        <w:rPr>
          <w:rFonts w:ascii="Times New Roman" w:hAnsi="Times New Roman"/>
        </w:rPr>
        <w:t xml:space="preserve">inconsistent with </w:t>
      </w:r>
      <w:r w:rsidR="0066161B" w:rsidRPr="00146A17">
        <w:rPr>
          <w:rFonts w:ascii="Times New Roman" w:hAnsi="Times New Roman"/>
        </w:rPr>
        <w:t xml:space="preserve">the principles underlying both our law of lease and the Prescription Act itself. </w:t>
      </w:r>
      <w:r w:rsidR="00060C88" w:rsidRPr="00146A17">
        <w:rPr>
          <w:rFonts w:ascii="Times New Roman" w:hAnsi="Times New Roman"/>
        </w:rPr>
        <w:t xml:space="preserve">The caselaw makes clear that </w:t>
      </w:r>
      <w:r w:rsidR="004F7702">
        <w:rPr>
          <w:rFonts w:ascii="Times New Roman" w:hAnsi="Times New Roman"/>
        </w:rPr>
        <w:t xml:space="preserve">a </w:t>
      </w:r>
      <w:r w:rsidR="00060C88" w:rsidRPr="00146A17">
        <w:rPr>
          <w:rFonts w:ascii="Times New Roman" w:hAnsi="Times New Roman"/>
        </w:rPr>
        <w:t>part</w:t>
      </w:r>
      <w:r w:rsidR="004F7702">
        <w:rPr>
          <w:rFonts w:ascii="Times New Roman" w:hAnsi="Times New Roman"/>
        </w:rPr>
        <w:t>y</w:t>
      </w:r>
      <w:r w:rsidR="00060C88" w:rsidRPr="00146A17">
        <w:rPr>
          <w:rFonts w:ascii="Times New Roman" w:hAnsi="Times New Roman"/>
        </w:rPr>
        <w:t xml:space="preserve"> such as ATS </w:t>
      </w:r>
      <w:r w:rsidR="004F7702">
        <w:rPr>
          <w:rFonts w:ascii="Times New Roman" w:hAnsi="Times New Roman"/>
        </w:rPr>
        <w:t>is</w:t>
      </w:r>
      <w:r w:rsidR="00060C88" w:rsidRPr="00146A17">
        <w:rPr>
          <w:rFonts w:ascii="Times New Roman" w:hAnsi="Times New Roman"/>
        </w:rPr>
        <w:t xml:space="preserve"> entitled to attempt to protect </w:t>
      </w:r>
      <w:r w:rsidR="004F7702">
        <w:rPr>
          <w:rFonts w:ascii="Times New Roman" w:hAnsi="Times New Roman"/>
        </w:rPr>
        <w:t>itself</w:t>
      </w:r>
      <w:r w:rsidR="00060C88" w:rsidRPr="00146A17">
        <w:rPr>
          <w:rFonts w:ascii="Times New Roman" w:hAnsi="Times New Roman"/>
        </w:rPr>
        <w:t xml:space="preserve"> from a damages claim by trying to repel a third party which </w:t>
      </w:r>
      <w:r w:rsidR="00E511C2" w:rsidRPr="00146A17">
        <w:rPr>
          <w:rFonts w:ascii="Times New Roman" w:hAnsi="Times New Roman"/>
        </w:rPr>
        <w:t>may prevent it from complying with its obligations to a party such as Wamjay. It cannot be correct that a party in that position should avail itself of this opportunity but then, when it fails, turn around and say “you should have sued me from the beginning”.</w:t>
      </w:r>
      <w:bookmarkEnd w:id="9"/>
    </w:p>
    <w:p w14:paraId="0DEC0FB2" w14:textId="04405F07" w:rsidR="00285D71"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60.8</w:t>
      </w:r>
      <w:r w:rsidRPr="00146A17">
        <w:rPr>
          <w:rFonts w:ascii="Times New Roman" w:hAnsi="Times New Roman"/>
        </w:rPr>
        <w:tab/>
      </w:r>
      <w:r w:rsidR="00285D71" w:rsidRPr="00146A17">
        <w:rPr>
          <w:rFonts w:ascii="Times New Roman" w:hAnsi="Times New Roman"/>
        </w:rPr>
        <w:t xml:space="preserve">There is an unavoidable tension between the proposition that all questions of law are objective – and that, to take the present case as an example, the Constitutional Court in </w:t>
      </w:r>
      <w:r w:rsidR="00285D71" w:rsidRPr="00522EE9">
        <w:rPr>
          <w:rFonts w:ascii="Times New Roman" w:hAnsi="Times New Roman"/>
          <w:i/>
          <w:iCs/>
        </w:rPr>
        <w:t>University of Johannesburg</w:t>
      </w:r>
      <w:r w:rsidR="00285D71" w:rsidRPr="00146A17">
        <w:rPr>
          <w:rFonts w:ascii="Times New Roman" w:hAnsi="Times New Roman"/>
        </w:rPr>
        <w:t xml:space="preserve"> was merely confirming that the cession was void from the outset, rather than determining it for the first time when giving its judgment – and the proposition that a lessor such as ATS is obliged to defend, vigorously, a claim which might disturb the lessee’s use and enjoyment of the property. </w:t>
      </w:r>
      <w:r w:rsidR="002B4FFB">
        <w:rPr>
          <w:rFonts w:ascii="Times New Roman" w:hAnsi="Times New Roman"/>
        </w:rPr>
        <w:t>I</w:t>
      </w:r>
      <w:r w:rsidR="00285D71" w:rsidRPr="00146A17">
        <w:rPr>
          <w:rFonts w:ascii="Times New Roman" w:hAnsi="Times New Roman"/>
        </w:rPr>
        <w:t xml:space="preserve">t seems to me that, at least when it comes to prescription, this tension must be resolved in favour of a party such as Wamjay in a case such as this. </w:t>
      </w:r>
      <w:r w:rsidR="007B279F" w:rsidRPr="00146A17">
        <w:rPr>
          <w:rFonts w:ascii="Times New Roman" w:hAnsi="Times New Roman"/>
        </w:rPr>
        <w:t>To hold otherwise would make it practically impossible for parties such as Wamjay to decide how best to protect their rights in the face of a claim such as the claim of the University in this case.</w:t>
      </w:r>
      <w:r w:rsidR="00285D71" w:rsidRPr="00146A17">
        <w:rPr>
          <w:rFonts w:ascii="Times New Roman" w:hAnsi="Times New Roman"/>
        </w:rPr>
        <w:t xml:space="preserve"> </w:t>
      </w:r>
      <w:r w:rsidR="00FC2DB1">
        <w:rPr>
          <w:rFonts w:ascii="Times New Roman" w:hAnsi="Times New Roman"/>
        </w:rPr>
        <w:t xml:space="preserve">At the very least, </w:t>
      </w:r>
      <w:r w:rsidR="004F4E60">
        <w:rPr>
          <w:rFonts w:ascii="Times New Roman" w:hAnsi="Times New Roman"/>
        </w:rPr>
        <w:t xml:space="preserve">it </w:t>
      </w:r>
      <w:r w:rsidR="00352BB5">
        <w:rPr>
          <w:rFonts w:ascii="Times New Roman" w:hAnsi="Times New Roman"/>
        </w:rPr>
        <w:t xml:space="preserve">would put them on the horns </w:t>
      </w:r>
      <w:r w:rsidR="00352BB5">
        <w:rPr>
          <w:rFonts w:ascii="Times New Roman" w:hAnsi="Times New Roman"/>
        </w:rPr>
        <w:lastRenderedPageBreak/>
        <w:t>of a dilemma on which they – as the innocent part</w:t>
      </w:r>
      <w:r w:rsidR="00E020B6">
        <w:rPr>
          <w:rFonts w:ascii="Times New Roman" w:hAnsi="Times New Roman"/>
        </w:rPr>
        <w:t>ies</w:t>
      </w:r>
      <w:r w:rsidR="00352BB5">
        <w:rPr>
          <w:rFonts w:ascii="Times New Roman" w:hAnsi="Times New Roman"/>
        </w:rPr>
        <w:t xml:space="preserve"> </w:t>
      </w:r>
      <w:r w:rsidR="004F4E60">
        <w:rPr>
          <w:rFonts w:ascii="Times New Roman" w:hAnsi="Times New Roman"/>
        </w:rPr>
        <w:t>with rights of occupation flowing from their agreement</w:t>
      </w:r>
      <w:r w:rsidR="00E020B6">
        <w:rPr>
          <w:rFonts w:ascii="Times New Roman" w:hAnsi="Times New Roman"/>
        </w:rPr>
        <w:t>s</w:t>
      </w:r>
      <w:r w:rsidR="004F4E60">
        <w:rPr>
          <w:rFonts w:ascii="Times New Roman" w:hAnsi="Times New Roman"/>
        </w:rPr>
        <w:t xml:space="preserve"> with their landlords – should not be placed.</w:t>
      </w:r>
    </w:p>
    <w:p w14:paraId="28401E1F" w14:textId="071D25D0" w:rsidR="007C2687" w:rsidRDefault="00843CD7" w:rsidP="00843CD7">
      <w:pPr>
        <w:pStyle w:val="WLGLevel2"/>
        <w:numPr>
          <w:ilvl w:val="0"/>
          <w:numId w:val="0"/>
        </w:numPr>
        <w:tabs>
          <w:tab w:val="left" w:pos="1361"/>
        </w:tabs>
        <w:ind w:left="1361" w:hanging="794"/>
        <w:rPr>
          <w:rFonts w:ascii="Times New Roman" w:hAnsi="Times New Roman"/>
        </w:rPr>
      </w:pPr>
      <w:r>
        <w:rPr>
          <w:rFonts w:ascii="Times New Roman" w:hAnsi="Times New Roman"/>
        </w:rPr>
        <w:t>60.9</w:t>
      </w:r>
      <w:r>
        <w:rPr>
          <w:rFonts w:ascii="Times New Roman" w:hAnsi="Times New Roman"/>
        </w:rPr>
        <w:tab/>
      </w:r>
      <w:r w:rsidR="00E61DD1" w:rsidRPr="00146A17">
        <w:rPr>
          <w:rFonts w:ascii="Times New Roman" w:hAnsi="Times New Roman"/>
        </w:rPr>
        <w:t>This should also make clear</w:t>
      </w:r>
      <w:r w:rsidR="007C2687" w:rsidRPr="00146A17">
        <w:rPr>
          <w:rFonts w:ascii="Times New Roman" w:hAnsi="Times New Roman"/>
        </w:rPr>
        <w:t xml:space="preserve"> why the fact that this is an enrichment claim, rather than a contractual claim, </w:t>
      </w:r>
      <w:r w:rsidR="000A2037" w:rsidRPr="00146A17">
        <w:rPr>
          <w:rFonts w:ascii="Times New Roman" w:hAnsi="Times New Roman"/>
        </w:rPr>
        <w:t xml:space="preserve">does not alter my findings when it comes to the issue of prescription. </w:t>
      </w:r>
      <w:r w:rsidR="00487AA6" w:rsidRPr="00146A17">
        <w:rPr>
          <w:rFonts w:ascii="Times New Roman" w:hAnsi="Times New Roman"/>
        </w:rPr>
        <w:t xml:space="preserve">It strikes me as somewhat circular </w:t>
      </w:r>
      <w:r w:rsidR="00E27CE4" w:rsidRPr="00146A17">
        <w:rPr>
          <w:rFonts w:ascii="Times New Roman" w:hAnsi="Times New Roman"/>
        </w:rPr>
        <w:t xml:space="preserve">– at least when it comes to prescription – </w:t>
      </w:r>
      <w:r w:rsidR="00487AA6" w:rsidRPr="00146A17">
        <w:rPr>
          <w:rFonts w:ascii="Times New Roman" w:hAnsi="Times New Roman"/>
        </w:rPr>
        <w:t>to suggest that a party such as ATS does not have to defend the warranty against eviction when the agreement is a nullity</w:t>
      </w:r>
      <w:r w:rsidR="007726AB" w:rsidRPr="00146A17">
        <w:rPr>
          <w:rFonts w:ascii="Times New Roman" w:hAnsi="Times New Roman"/>
        </w:rPr>
        <w:t>.</w:t>
      </w:r>
      <w:r w:rsidR="00E27CE4" w:rsidRPr="00146A17">
        <w:rPr>
          <w:rFonts w:ascii="Times New Roman" w:hAnsi="Times New Roman"/>
        </w:rPr>
        <w:t xml:space="preserve"> It begs the question of </w:t>
      </w:r>
      <w:r w:rsidR="00C136FF" w:rsidRPr="00146A17">
        <w:rPr>
          <w:rFonts w:ascii="Times New Roman" w:hAnsi="Times New Roman"/>
        </w:rPr>
        <w:t xml:space="preserve">whether there </w:t>
      </w:r>
      <w:r w:rsidR="0091140F" w:rsidRPr="00146A17">
        <w:rPr>
          <w:rFonts w:ascii="Times New Roman" w:hAnsi="Times New Roman"/>
        </w:rPr>
        <w:t>wa</w:t>
      </w:r>
      <w:r w:rsidR="00C136FF" w:rsidRPr="00146A17">
        <w:rPr>
          <w:rFonts w:ascii="Times New Roman" w:hAnsi="Times New Roman"/>
        </w:rPr>
        <w:t xml:space="preserve">s a basis </w:t>
      </w:r>
      <w:r w:rsidR="00680FC1" w:rsidRPr="00146A17">
        <w:rPr>
          <w:rFonts w:ascii="Times New Roman" w:hAnsi="Times New Roman"/>
        </w:rPr>
        <w:t xml:space="preserve">for the party in the position of ATS </w:t>
      </w:r>
      <w:r w:rsidR="00C136FF" w:rsidRPr="00146A17">
        <w:rPr>
          <w:rFonts w:ascii="Times New Roman" w:hAnsi="Times New Roman"/>
        </w:rPr>
        <w:t xml:space="preserve">to resist the notion that the agreement </w:t>
      </w:r>
      <w:r w:rsidR="00EB4D2F">
        <w:rPr>
          <w:rFonts w:ascii="Times New Roman" w:hAnsi="Times New Roman"/>
        </w:rPr>
        <w:t>wa</w:t>
      </w:r>
      <w:r w:rsidR="00C136FF" w:rsidRPr="00146A17">
        <w:rPr>
          <w:rFonts w:ascii="Times New Roman" w:hAnsi="Times New Roman"/>
        </w:rPr>
        <w:t>s a nullity, and therefore could lawfully be cancelled</w:t>
      </w:r>
      <w:r w:rsidR="0091140F" w:rsidRPr="00146A17">
        <w:rPr>
          <w:rFonts w:ascii="Times New Roman" w:hAnsi="Times New Roman"/>
        </w:rPr>
        <w:t>.</w:t>
      </w:r>
    </w:p>
    <w:p w14:paraId="1867885A" w14:textId="789BABDD" w:rsidR="00BC5023"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60.10</w:t>
      </w:r>
      <w:r w:rsidRPr="00146A17">
        <w:rPr>
          <w:rFonts w:ascii="Times New Roman" w:hAnsi="Times New Roman"/>
        </w:rPr>
        <w:tab/>
      </w:r>
      <w:r w:rsidR="00BC5023">
        <w:rPr>
          <w:rFonts w:ascii="Times New Roman" w:hAnsi="Times New Roman"/>
        </w:rPr>
        <w:t>To put the issue as plainly as I can</w:t>
      </w:r>
      <w:r w:rsidR="007F1545">
        <w:rPr>
          <w:rFonts w:ascii="Times New Roman" w:hAnsi="Times New Roman"/>
        </w:rPr>
        <w:t>. N</w:t>
      </w:r>
      <w:r w:rsidR="00E75F2B">
        <w:rPr>
          <w:rFonts w:ascii="Times New Roman" w:hAnsi="Times New Roman"/>
        </w:rPr>
        <w:t xml:space="preserve">ot all enrichment claims arise in a contractual setting. However, we are concerned here only with those which do. The simple position is this: if the contract is valid and enforceable, the party such as Wamjay locates its rights there. If the contract is a nullity from the outset, it cannot confer rights, and so the party such as Wamjay is limited to an enrichment claim. But </w:t>
      </w:r>
      <w:r w:rsidR="00C604FF">
        <w:rPr>
          <w:rFonts w:ascii="Times New Roman" w:hAnsi="Times New Roman"/>
        </w:rPr>
        <w:t xml:space="preserve">the ultimate issue, when it comes to claims of innocent tenants under the law of lease, is whether the landlord has a plausible basis to defend the right of occupation. </w:t>
      </w:r>
      <w:r w:rsidR="00545885">
        <w:rPr>
          <w:rFonts w:ascii="Times New Roman" w:hAnsi="Times New Roman"/>
        </w:rPr>
        <w:t>It seems to me that this approach must be applied in all cases</w:t>
      </w:r>
      <w:r w:rsidR="00E15420">
        <w:rPr>
          <w:rFonts w:ascii="Times New Roman" w:hAnsi="Times New Roman"/>
        </w:rPr>
        <w:t xml:space="preserve"> – this</w:t>
      </w:r>
      <w:r w:rsidR="00545885">
        <w:rPr>
          <w:rFonts w:ascii="Times New Roman" w:hAnsi="Times New Roman"/>
        </w:rPr>
        <w:t xml:space="preserve"> regardless whether the ultimate legal conclusion</w:t>
      </w:r>
      <w:r w:rsidR="001A0AE4">
        <w:rPr>
          <w:rFonts w:ascii="Times New Roman" w:hAnsi="Times New Roman"/>
        </w:rPr>
        <w:t>,</w:t>
      </w:r>
      <w:r w:rsidR="00545885">
        <w:rPr>
          <w:rFonts w:ascii="Times New Roman" w:hAnsi="Times New Roman"/>
        </w:rPr>
        <w:t xml:space="preserve"> </w:t>
      </w:r>
      <w:r w:rsidR="001A0AE4">
        <w:rPr>
          <w:rFonts w:ascii="Times New Roman" w:hAnsi="Times New Roman"/>
        </w:rPr>
        <w:t xml:space="preserve">resulting from the failure of the landlord to do so, </w:t>
      </w:r>
      <w:r w:rsidR="00545885">
        <w:rPr>
          <w:rFonts w:ascii="Times New Roman" w:hAnsi="Times New Roman"/>
        </w:rPr>
        <w:t xml:space="preserve">would be that the agreement between landlord and tenant </w:t>
      </w:r>
      <w:r w:rsidR="001733B2">
        <w:rPr>
          <w:rFonts w:ascii="Times New Roman" w:hAnsi="Times New Roman"/>
        </w:rPr>
        <w:t>wa</w:t>
      </w:r>
      <w:r w:rsidR="00545885">
        <w:rPr>
          <w:rFonts w:ascii="Times New Roman" w:hAnsi="Times New Roman"/>
        </w:rPr>
        <w:t>s a nullity from the outset, or simply ha</w:t>
      </w:r>
      <w:r w:rsidR="001733B2">
        <w:rPr>
          <w:rFonts w:ascii="Times New Roman" w:hAnsi="Times New Roman"/>
        </w:rPr>
        <w:t>d</w:t>
      </w:r>
      <w:r w:rsidR="00545885">
        <w:rPr>
          <w:rFonts w:ascii="Times New Roman" w:hAnsi="Times New Roman"/>
        </w:rPr>
        <w:t xml:space="preserve"> been breached by the landlord.</w:t>
      </w:r>
      <w:r w:rsidR="0033410E">
        <w:rPr>
          <w:rFonts w:ascii="Times New Roman" w:hAnsi="Times New Roman"/>
        </w:rPr>
        <w:t xml:space="preserve"> And, if it is</w:t>
      </w:r>
      <w:r w:rsidR="003771EE">
        <w:rPr>
          <w:rFonts w:ascii="Times New Roman" w:hAnsi="Times New Roman"/>
        </w:rPr>
        <w:t xml:space="preserve"> indeed applied equally in all cases</w:t>
      </w:r>
      <w:r w:rsidR="0033410E">
        <w:rPr>
          <w:rFonts w:ascii="Times New Roman" w:hAnsi="Times New Roman"/>
        </w:rPr>
        <w:t xml:space="preserve">, the only real </w:t>
      </w:r>
      <w:r w:rsidR="0035623B">
        <w:rPr>
          <w:rFonts w:ascii="Times New Roman" w:hAnsi="Times New Roman"/>
        </w:rPr>
        <w:t>question</w:t>
      </w:r>
      <w:r w:rsidR="0033410E">
        <w:rPr>
          <w:rFonts w:ascii="Times New Roman" w:hAnsi="Times New Roman"/>
        </w:rPr>
        <w:t xml:space="preserve"> is if there is some plausible basis for the landlord to defend </w:t>
      </w:r>
      <w:r w:rsidR="001F7990">
        <w:rPr>
          <w:rFonts w:ascii="Times New Roman" w:hAnsi="Times New Roman"/>
        </w:rPr>
        <w:t xml:space="preserve">the right of </w:t>
      </w:r>
      <w:r w:rsidR="0033410E">
        <w:rPr>
          <w:rFonts w:ascii="Times New Roman" w:hAnsi="Times New Roman"/>
        </w:rPr>
        <w:t>occupation. If there is, there can be no “actual eviction” until that attempt has been made, and has failed.</w:t>
      </w:r>
      <w:r w:rsidR="007F1545">
        <w:rPr>
          <w:rFonts w:ascii="Times New Roman" w:hAnsi="Times New Roman"/>
        </w:rPr>
        <w:t xml:space="preserve"> </w:t>
      </w:r>
    </w:p>
    <w:p w14:paraId="2DE49A6E" w14:textId="7CE85898" w:rsidR="00466F65" w:rsidRDefault="00843CD7" w:rsidP="00843CD7">
      <w:pPr>
        <w:pStyle w:val="WLGLevel2"/>
        <w:numPr>
          <w:ilvl w:val="0"/>
          <w:numId w:val="0"/>
        </w:numPr>
        <w:tabs>
          <w:tab w:val="left" w:pos="1361"/>
        </w:tabs>
        <w:ind w:left="1361" w:hanging="794"/>
        <w:rPr>
          <w:rFonts w:ascii="Times New Roman" w:hAnsi="Times New Roman"/>
        </w:rPr>
      </w:pPr>
      <w:r>
        <w:rPr>
          <w:rFonts w:ascii="Times New Roman" w:hAnsi="Times New Roman"/>
        </w:rPr>
        <w:lastRenderedPageBreak/>
        <w:t>60.11</w:t>
      </w:r>
      <w:r>
        <w:rPr>
          <w:rFonts w:ascii="Times New Roman" w:hAnsi="Times New Roman"/>
        </w:rPr>
        <w:tab/>
      </w:r>
      <w:r w:rsidR="003B678E" w:rsidRPr="00146A17">
        <w:rPr>
          <w:rFonts w:ascii="Times New Roman" w:hAnsi="Times New Roman"/>
        </w:rPr>
        <w:t xml:space="preserve">To the extent that there is any doubt about what I have said </w:t>
      </w:r>
      <w:r w:rsidR="007E43C5" w:rsidRPr="00146A17">
        <w:rPr>
          <w:rFonts w:ascii="Times New Roman" w:hAnsi="Times New Roman"/>
        </w:rPr>
        <w:t>above</w:t>
      </w:r>
      <w:r w:rsidR="00076352" w:rsidRPr="00146A17">
        <w:rPr>
          <w:rFonts w:ascii="Times New Roman" w:hAnsi="Times New Roman"/>
        </w:rPr>
        <w:t xml:space="preserve">, it seems to me that it must be resolved in Wamjay’s favour. </w:t>
      </w:r>
    </w:p>
    <w:p w14:paraId="2C7E4726" w14:textId="1118BBC6" w:rsidR="003B678E" w:rsidRPr="00466F65" w:rsidRDefault="00843CD7" w:rsidP="00843CD7">
      <w:pPr>
        <w:pStyle w:val="WLGLevel2"/>
        <w:numPr>
          <w:ilvl w:val="0"/>
          <w:numId w:val="0"/>
        </w:numPr>
        <w:tabs>
          <w:tab w:val="left" w:pos="1361"/>
        </w:tabs>
        <w:ind w:left="1361" w:hanging="794"/>
        <w:rPr>
          <w:rFonts w:ascii="Times New Roman" w:hAnsi="Times New Roman"/>
        </w:rPr>
      </w:pPr>
      <w:r w:rsidRPr="00466F65">
        <w:rPr>
          <w:rFonts w:ascii="Times New Roman" w:hAnsi="Times New Roman"/>
        </w:rPr>
        <w:t>60.12</w:t>
      </w:r>
      <w:r w:rsidRPr="00466F65">
        <w:rPr>
          <w:rFonts w:ascii="Times New Roman" w:hAnsi="Times New Roman"/>
        </w:rPr>
        <w:tab/>
      </w:r>
      <w:r w:rsidR="00076352" w:rsidRPr="00466F65">
        <w:rPr>
          <w:rFonts w:ascii="Times New Roman" w:hAnsi="Times New Roman"/>
        </w:rPr>
        <w:t xml:space="preserve">In </w:t>
      </w:r>
      <w:r w:rsidR="00076352" w:rsidRPr="00466F65">
        <w:rPr>
          <w:rFonts w:ascii="Times New Roman" w:hAnsi="Times New Roman"/>
          <w:i/>
          <w:iCs/>
        </w:rPr>
        <w:t>Makate</w:t>
      </w:r>
      <w:r w:rsidR="00076352" w:rsidRPr="00466F65">
        <w:rPr>
          <w:rFonts w:ascii="Times New Roman" w:hAnsi="Times New Roman"/>
        </w:rPr>
        <w:t xml:space="preserve">, the Constitutional Court made clear that the word “debt” in section 12(1) of the Prescription Act must be </w:t>
      </w:r>
      <w:r w:rsidR="000E2404" w:rsidRPr="00466F65">
        <w:rPr>
          <w:rFonts w:ascii="Times New Roman" w:hAnsi="Times New Roman"/>
        </w:rPr>
        <w:t>interpreted in a manner which is least restrictive of the right of access to court.</w:t>
      </w:r>
      <w:r w:rsidR="000E2404" w:rsidRPr="00146A17">
        <w:rPr>
          <w:rStyle w:val="FootnoteReference"/>
          <w:rFonts w:ascii="Times New Roman" w:hAnsi="Times New Roman"/>
        </w:rPr>
        <w:footnoteReference w:id="27"/>
      </w:r>
      <w:r w:rsidR="003F4427" w:rsidRPr="00466F65">
        <w:rPr>
          <w:rFonts w:ascii="Times New Roman" w:hAnsi="Times New Roman"/>
        </w:rPr>
        <w:t xml:space="preserve"> </w:t>
      </w:r>
      <w:r w:rsidR="00486984" w:rsidRPr="00466F65">
        <w:rPr>
          <w:rFonts w:ascii="Times New Roman" w:hAnsi="Times New Roman"/>
        </w:rPr>
        <w:t xml:space="preserve">I recoil slightly at the notion that the </w:t>
      </w:r>
      <w:r w:rsidR="000A0FF9">
        <w:rPr>
          <w:rFonts w:ascii="Times New Roman" w:hAnsi="Times New Roman"/>
        </w:rPr>
        <w:t>answer to the question</w:t>
      </w:r>
      <w:r w:rsidR="00486984" w:rsidRPr="00466F65">
        <w:rPr>
          <w:rFonts w:ascii="Times New Roman" w:hAnsi="Times New Roman"/>
        </w:rPr>
        <w:t xml:space="preserve"> of when </w:t>
      </w:r>
      <w:r w:rsidR="007E43C5" w:rsidRPr="00466F65">
        <w:rPr>
          <w:rFonts w:ascii="Times New Roman" w:hAnsi="Times New Roman"/>
        </w:rPr>
        <w:t>a debt is due could be a moving target, to be interpreted restrictively on the facts of each case. But, i</w:t>
      </w:r>
      <w:r w:rsidR="00BE6BAC" w:rsidRPr="00466F65">
        <w:rPr>
          <w:rFonts w:ascii="Times New Roman" w:hAnsi="Times New Roman"/>
        </w:rPr>
        <w:t>n the context of contractual damages, the point has been made that there cannot be an “all-encompassing answer as to when prescription begins to run</w:t>
      </w:r>
      <w:r w:rsidR="0002177A" w:rsidRPr="00466F65">
        <w:rPr>
          <w:rFonts w:ascii="Times New Roman" w:hAnsi="Times New Roman"/>
        </w:rPr>
        <w:t xml:space="preserve"> . . . since the circumstances of each case will play a determinative role”.</w:t>
      </w:r>
      <w:r w:rsidR="0002177A" w:rsidRPr="00146A17">
        <w:rPr>
          <w:rStyle w:val="FootnoteReference"/>
          <w:rFonts w:ascii="Times New Roman" w:hAnsi="Times New Roman"/>
        </w:rPr>
        <w:footnoteReference w:id="28"/>
      </w:r>
      <w:r w:rsidR="00185309" w:rsidRPr="00466F65">
        <w:rPr>
          <w:rFonts w:ascii="Times New Roman" w:hAnsi="Times New Roman"/>
        </w:rPr>
        <w:t xml:space="preserve"> This is undoubtedly sensible because the question of whether a debt was “immediately claimable” will unavoidably have to turn, at least to some extent, on the facts prevailing at the time when the party pleading prescription says that the debt arose.</w:t>
      </w:r>
    </w:p>
    <w:p w14:paraId="00E351C7" w14:textId="1EBB437C" w:rsidR="001B22F4"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60.13</w:t>
      </w:r>
      <w:r w:rsidRPr="00146A17">
        <w:rPr>
          <w:rFonts w:ascii="Times New Roman" w:hAnsi="Times New Roman"/>
        </w:rPr>
        <w:tab/>
      </w:r>
      <w:r w:rsidR="001B22F4" w:rsidRPr="00146A17">
        <w:rPr>
          <w:rFonts w:ascii="Times New Roman" w:hAnsi="Times New Roman"/>
        </w:rPr>
        <w:t>Here we have a situation where:</w:t>
      </w:r>
    </w:p>
    <w:p w14:paraId="73CB80E5" w14:textId="5DE113A3" w:rsidR="001B22F4" w:rsidRPr="00146A17" w:rsidRDefault="00843CD7" w:rsidP="00843CD7">
      <w:pPr>
        <w:pStyle w:val="WLGLevel3"/>
        <w:numPr>
          <w:ilvl w:val="0"/>
          <w:numId w:val="0"/>
        </w:numPr>
        <w:tabs>
          <w:tab w:val="left" w:pos="2381"/>
        </w:tabs>
        <w:ind w:left="2382" w:hanging="1021"/>
        <w:rPr>
          <w:rFonts w:ascii="Times New Roman" w:hAnsi="Times New Roman"/>
        </w:rPr>
      </w:pPr>
      <w:r w:rsidRPr="00146A17">
        <w:rPr>
          <w:rFonts w:ascii="Times New Roman" w:hAnsi="Times New Roman"/>
        </w:rPr>
        <w:t>60.13.1</w:t>
      </w:r>
      <w:r w:rsidRPr="00146A17">
        <w:rPr>
          <w:rFonts w:ascii="Times New Roman" w:hAnsi="Times New Roman"/>
        </w:rPr>
        <w:tab/>
      </w:r>
      <w:r w:rsidR="001B22F4" w:rsidRPr="00146A17">
        <w:rPr>
          <w:rFonts w:ascii="Times New Roman" w:hAnsi="Times New Roman"/>
        </w:rPr>
        <w:t xml:space="preserve">The law </w:t>
      </w:r>
      <w:r w:rsidR="00E96284" w:rsidRPr="00146A17">
        <w:rPr>
          <w:rFonts w:ascii="Times New Roman" w:hAnsi="Times New Roman"/>
        </w:rPr>
        <w:t xml:space="preserve">of lease </w:t>
      </w:r>
      <w:r w:rsidR="001B22F4" w:rsidRPr="00146A17">
        <w:rPr>
          <w:rFonts w:ascii="Times New Roman" w:hAnsi="Times New Roman"/>
        </w:rPr>
        <w:t>obliged ATS to put up a</w:t>
      </w:r>
      <w:r w:rsidR="00195EA7">
        <w:rPr>
          <w:rFonts w:ascii="Times New Roman" w:hAnsi="Times New Roman"/>
        </w:rPr>
        <w:t xml:space="preserve"> vigorous defence</w:t>
      </w:r>
      <w:r w:rsidR="00E96284" w:rsidRPr="00146A17">
        <w:rPr>
          <w:rFonts w:ascii="Times New Roman" w:hAnsi="Times New Roman"/>
        </w:rPr>
        <w:t xml:space="preserve"> to the University’s claim to avoid breaching the warranty against eviction</w:t>
      </w:r>
      <w:r w:rsidR="001B22F4" w:rsidRPr="00146A17">
        <w:rPr>
          <w:rFonts w:ascii="Times New Roman" w:hAnsi="Times New Roman"/>
        </w:rPr>
        <w:t>.</w:t>
      </w:r>
    </w:p>
    <w:p w14:paraId="36ACE84F" w14:textId="5D032CF8" w:rsidR="001B22F4" w:rsidRPr="00146A17" w:rsidRDefault="00843CD7" w:rsidP="00843CD7">
      <w:pPr>
        <w:pStyle w:val="WLGLevel3"/>
        <w:numPr>
          <w:ilvl w:val="0"/>
          <w:numId w:val="0"/>
        </w:numPr>
        <w:tabs>
          <w:tab w:val="left" w:pos="2381"/>
        </w:tabs>
        <w:ind w:left="2382" w:hanging="1021"/>
        <w:rPr>
          <w:rFonts w:ascii="Times New Roman" w:hAnsi="Times New Roman"/>
        </w:rPr>
      </w:pPr>
      <w:r w:rsidRPr="00146A17">
        <w:rPr>
          <w:rFonts w:ascii="Times New Roman" w:hAnsi="Times New Roman"/>
        </w:rPr>
        <w:t>60.13.2</w:t>
      </w:r>
      <w:r w:rsidRPr="00146A17">
        <w:rPr>
          <w:rFonts w:ascii="Times New Roman" w:hAnsi="Times New Roman"/>
        </w:rPr>
        <w:tab/>
      </w:r>
      <w:r w:rsidR="001B22F4" w:rsidRPr="00146A17">
        <w:rPr>
          <w:rFonts w:ascii="Times New Roman" w:hAnsi="Times New Roman"/>
        </w:rPr>
        <w:t xml:space="preserve">The law obliged Wamjay to give ATS a chance to </w:t>
      </w:r>
      <w:r w:rsidR="00296897" w:rsidRPr="00146A17">
        <w:rPr>
          <w:rFonts w:ascii="Times New Roman" w:hAnsi="Times New Roman"/>
        </w:rPr>
        <w:t xml:space="preserve">put up </w:t>
      </w:r>
      <w:r w:rsidR="00195EA7">
        <w:rPr>
          <w:rFonts w:ascii="Times New Roman" w:hAnsi="Times New Roman"/>
        </w:rPr>
        <w:t xml:space="preserve">this defence </w:t>
      </w:r>
      <w:r w:rsidR="00296897" w:rsidRPr="00146A17">
        <w:rPr>
          <w:rFonts w:ascii="Times New Roman" w:hAnsi="Times New Roman"/>
        </w:rPr>
        <w:t>before suing it</w:t>
      </w:r>
      <w:r w:rsidR="002B6D30">
        <w:rPr>
          <w:rFonts w:ascii="Times New Roman" w:hAnsi="Times New Roman"/>
        </w:rPr>
        <w:t>. The only exception being</w:t>
      </w:r>
      <w:r w:rsidR="00296897" w:rsidRPr="00146A17">
        <w:rPr>
          <w:rFonts w:ascii="Times New Roman" w:hAnsi="Times New Roman"/>
        </w:rPr>
        <w:t xml:space="preserve">, </w:t>
      </w:r>
      <w:r w:rsidR="002B6D30">
        <w:rPr>
          <w:rFonts w:ascii="Times New Roman" w:hAnsi="Times New Roman"/>
        </w:rPr>
        <w:t>arguably</w:t>
      </w:r>
      <w:r w:rsidR="005B15E3">
        <w:rPr>
          <w:rFonts w:ascii="Times New Roman" w:hAnsi="Times New Roman"/>
        </w:rPr>
        <w:t xml:space="preserve"> (in the law of lease)</w:t>
      </w:r>
      <w:r w:rsidR="002B6D30">
        <w:rPr>
          <w:rFonts w:ascii="Times New Roman" w:hAnsi="Times New Roman"/>
        </w:rPr>
        <w:t xml:space="preserve">, </w:t>
      </w:r>
      <w:r w:rsidR="005B15E3">
        <w:rPr>
          <w:rFonts w:ascii="Times New Roman" w:hAnsi="Times New Roman"/>
        </w:rPr>
        <w:t>if</w:t>
      </w:r>
      <w:r w:rsidR="00296897" w:rsidRPr="00146A17">
        <w:rPr>
          <w:rFonts w:ascii="Times New Roman" w:hAnsi="Times New Roman"/>
        </w:rPr>
        <w:t xml:space="preserve"> the University’s claim was unassailable.</w:t>
      </w:r>
    </w:p>
    <w:p w14:paraId="28F07F03" w14:textId="227426DA" w:rsidR="00296897" w:rsidRDefault="00843CD7" w:rsidP="00843CD7">
      <w:pPr>
        <w:pStyle w:val="WLGLevel3"/>
        <w:numPr>
          <w:ilvl w:val="0"/>
          <w:numId w:val="0"/>
        </w:numPr>
        <w:tabs>
          <w:tab w:val="left" w:pos="2381"/>
        </w:tabs>
        <w:ind w:left="2382" w:hanging="1021"/>
        <w:rPr>
          <w:rFonts w:ascii="Times New Roman" w:hAnsi="Times New Roman"/>
        </w:rPr>
      </w:pPr>
      <w:r>
        <w:rPr>
          <w:rFonts w:ascii="Times New Roman" w:hAnsi="Times New Roman"/>
        </w:rPr>
        <w:lastRenderedPageBreak/>
        <w:t>60.13.3</w:t>
      </w:r>
      <w:r>
        <w:rPr>
          <w:rFonts w:ascii="Times New Roman" w:hAnsi="Times New Roman"/>
        </w:rPr>
        <w:tab/>
      </w:r>
      <w:r w:rsidR="00296897" w:rsidRPr="00146A17">
        <w:rPr>
          <w:rFonts w:ascii="Times New Roman" w:hAnsi="Times New Roman"/>
        </w:rPr>
        <w:t xml:space="preserve">The proposition that the University’s claim was unassailable is open to serious doubt in a context in which </w:t>
      </w:r>
      <w:r w:rsidR="00B05ECF" w:rsidRPr="00146A17">
        <w:rPr>
          <w:rFonts w:ascii="Times New Roman" w:hAnsi="Times New Roman"/>
        </w:rPr>
        <w:t xml:space="preserve">the SCA and Constitutional Court took different views on the issue. In this regard, I place particular emphasis on the Constitutional Court’s reliance on evidence led as to the context as the basis of its decision. The Constitutional Court, in </w:t>
      </w:r>
      <w:r w:rsidR="00C471EE" w:rsidRPr="00146A17">
        <w:rPr>
          <w:rFonts w:ascii="Times New Roman" w:hAnsi="Times New Roman"/>
        </w:rPr>
        <w:t>an endearingly self-deprecating way, tried to make out that there was nothing novel about its approach to interpretation.</w:t>
      </w:r>
      <w:r w:rsidR="00C471EE" w:rsidRPr="00146A17">
        <w:rPr>
          <w:rStyle w:val="FootnoteReference"/>
          <w:rFonts w:ascii="Times New Roman" w:hAnsi="Times New Roman"/>
        </w:rPr>
        <w:footnoteReference w:id="29"/>
      </w:r>
      <w:r w:rsidR="00C471EE" w:rsidRPr="00146A17">
        <w:rPr>
          <w:rFonts w:ascii="Times New Roman" w:hAnsi="Times New Roman"/>
        </w:rPr>
        <w:t xml:space="preserve"> However, the notion that </w:t>
      </w:r>
      <w:r w:rsidR="00233872" w:rsidRPr="00146A17">
        <w:rPr>
          <w:rFonts w:ascii="Times New Roman" w:hAnsi="Times New Roman"/>
        </w:rPr>
        <w:t>interpretation is a unitary exercise in which language, context and purpose have equal weight is a new development</w:t>
      </w:r>
      <w:r w:rsidR="000A2716" w:rsidRPr="00146A17">
        <w:rPr>
          <w:rFonts w:ascii="Times New Roman" w:hAnsi="Times New Roman"/>
        </w:rPr>
        <w:t>, and the approach to the admission of evidence to interpret a contract,</w:t>
      </w:r>
      <w:r w:rsidR="00060F23" w:rsidRPr="00146A17">
        <w:rPr>
          <w:rStyle w:val="FootnoteReference"/>
          <w:rFonts w:ascii="Times New Roman" w:hAnsi="Times New Roman"/>
        </w:rPr>
        <w:footnoteReference w:id="30"/>
      </w:r>
      <w:r w:rsidR="000A2716" w:rsidRPr="00146A17">
        <w:rPr>
          <w:rFonts w:ascii="Times New Roman" w:hAnsi="Times New Roman"/>
        </w:rPr>
        <w:t xml:space="preserve"> newer still</w:t>
      </w:r>
      <w:r w:rsidR="00233872" w:rsidRPr="00146A17">
        <w:rPr>
          <w:rFonts w:ascii="Times New Roman" w:hAnsi="Times New Roman"/>
        </w:rPr>
        <w:t>.</w:t>
      </w:r>
      <w:r w:rsidR="003743AF" w:rsidRPr="00146A17">
        <w:rPr>
          <w:rFonts w:ascii="Times New Roman" w:hAnsi="Times New Roman"/>
        </w:rPr>
        <w:t xml:space="preserve"> Since the context played such a large role in the Constitutional Court’s decision, it cannot be said to have been axiomatic from the outset that the University would be held to have been entitled to cancel the lease.</w:t>
      </w:r>
    </w:p>
    <w:p w14:paraId="60AF90E0" w14:textId="7A72D577" w:rsidR="007C2F97" w:rsidRPr="00146A17" w:rsidRDefault="00843CD7" w:rsidP="00843CD7">
      <w:pPr>
        <w:pStyle w:val="WLGLevel3"/>
        <w:numPr>
          <w:ilvl w:val="0"/>
          <w:numId w:val="0"/>
        </w:numPr>
        <w:tabs>
          <w:tab w:val="left" w:pos="2381"/>
        </w:tabs>
        <w:ind w:left="2382" w:hanging="1021"/>
        <w:rPr>
          <w:rFonts w:ascii="Times New Roman" w:hAnsi="Times New Roman"/>
        </w:rPr>
      </w:pPr>
      <w:r w:rsidRPr="00146A17">
        <w:rPr>
          <w:rFonts w:ascii="Times New Roman" w:hAnsi="Times New Roman"/>
        </w:rPr>
        <w:t>60.13.4</w:t>
      </w:r>
      <w:r w:rsidRPr="00146A17">
        <w:rPr>
          <w:rFonts w:ascii="Times New Roman" w:hAnsi="Times New Roman"/>
        </w:rPr>
        <w:tab/>
      </w:r>
      <w:r w:rsidR="007C2F97">
        <w:rPr>
          <w:rFonts w:ascii="Times New Roman" w:hAnsi="Times New Roman"/>
        </w:rPr>
        <w:t xml:space="preserve">(I should note, as an aside, that in their answering affidavit in the Constitutional Court, ATS and Wamjay took the view that there was nothing novel in the case. They did so because they were clearly (I have not seen the University’s application to the Constitutional Court but this is an inference which </w:t>
      </w:r>
      <w:r w:rsidR="0042483A">
        <w:rPr>
          <w:rFonts w:ascii="Times New Roman" w:hAnsi="Times New Roman"/>
        </w:rPr>
        <w:t>it is reasonable to</w:t>
      </w:r>
      <w:r w:rsidR="00043D89">
        <w:rPr>
          <w:rFonts w:ascii="Times New Roman" w:hAnsi="Times New Roman"/>
        </w:rPr>
        <w:t xml:space="preserve"> draw) </w:t>
      </w:r>
      <w:r w:rsidR="0042483A">
        <w:rPr>
          <w:rFonts w:ascii="Times New Roman" w:hAnsi="Times New Roman"/>
        </w:rPr>
        <w:t>trying to cut-off</w:t>
      </w:r>
      <w:r w:rsidR="00043D89">
        <w:rPr>
          <w:rFonts w:ascii="Times New Roman" w:hAnsi="Times New Roman"/>
        </w:rPr>
        <w:t xml:space="preserve"> the University’s attempts to persuade the Constitutional Court to take up the case.</w:t>
      </w:r>
      <w:r w:rsidR="0051591C">
        <w:rPr>
          <w:rFonts w:ascii="Times New Roman" w:hAnsi="Times New Roman"/>
        </w:rPr>
        <w:t xml:space="preserve"> However, it seems to me that the divergent approaches of the SCA and the Constitutional Court, and the </w:t>
      </w:r>
      <w:r w:rsidR="001B6AC7">
        <w:rPr>
          <w:rFonts w:ascii="Times New Roman" w:hAnsi="Times New Roman"/>
        </w:rPr>
        <w:t xml:space="preserve">way in </w:t>
      </w:r>
      <w:r w:rsidR="001B6AC7">
        <w:rPr>
          <w:rFonts w:ascii="Times New Roman" w:hAnsi="Times New Roman"/>
        </w:rPr>
        <w:lastRenderedPageBreak/>
        <w:t xml:space="preserve">which </w:t>
      </w:r>
      <w:r w:rsidR="001B6AC7" w:rsidRPr="001B6AC7">
        <w:rPr>
          <w:rFonts w:ascii="Times New Roman" w:hAnsi="Times New Roman"/>
          <w:i/>
          <w:iCs/>
        </w:rPr>
        <w:t>University of Johannesburg</w:t>
      </w:r>
      <w:r w:rsidR="001B6AC7">
        <w:rPr>
          <w:rFonts w:ascii="Times New Roman" w:hAnsi="Times New Roman"/>
        </w:rPr>
        <w:t xml:space="preserve"> has been dissected in its aftermath,</w:t>
      </w:r>
      <w:r w:rsidR="001B6AC7">
        <w:rPr>
          <w:rStyle w:val="FootnoteReference"/>
          <w:rFonts w:ascii="Times New Roman" w:hAnsi="Times New Roman"/>
        </w:rPr>
        <w:footnoteReference w:id="31"/>
      </w:r>
      <w:r w:rsidR="001B6AC7">
        <w:rPr>
          <w:rFonts w:ascii="Times New Roman" w:hAnsi="Times New Roman"/>
        </w:rPr>
        <w:t xml:space="preserve"> suggest that the outcome of</w:t>
      </w:r>
      <w:r w:rsidR="007879A5">
        <w:rPr>
          <w:rFonts w:ascii="Times New Roman" w:hAnsi="Times New Roman"/>
        </w:rPr>
        <w:t xml:space="preserve"> that litigation</w:t>
      </w:r>
      <w:r w:rsidR="001B6AC7">
        <w:rPr>
          <w:rFonts w:ascii="Times New Roman" w:hAnsi="Times New Roman"/>
        </w:rPr>
        <w:t xml:space="preserve"> was by no means </w:t>
      </w:r>
      <w:r w:rsidR="007879A5">
        <w:rPr>
          <w:rFonts w:ascii="Times New Roman" w:hAnsi="Times New Roman"/>
        </w:rPr>
        <w:t>inevitable</w:t>
      </w:r>
      <w:r w:rsidR="001B6AC7">
        <w:rPr>
          <w:rFonts w:ascii="Times New Roman" w:hAnsi="Times New Roman"/>
        </w:rPr>
        <w:t>.)</w:t>
      </w:r>
    </w:p>
    <w:p w14:paraId="12304A90" w14:textId="75F2B0BA" w:rsidR="00FB2B46" w:rsidRPr="00146A17" w:rsidRDefault="00843CD7" w:rsidP="00843CD7">
      <w:pPr>
        <w:pStyle w:val="WLGLevel3"/>
        <w:numPr>
          <w:ilvl w:val="0"/>
          <w:numId w:val="0"/>
        </w:numPr>
        <w:tabs>
          <w:tab w:val="left" w:pos="2381"/>
        </w:tabs>
        <w:ind w:left="2382" w:hanging="1021"/>
        <w:rPr>
          <w:rFonts w:ascii="Times New Roman" w:hAnsi="Times New Roman"/>
        </w:rPr>
      </w:pPr>
      <w:r w:rsidRPr="00146A17">
        <w:rPr>
          <w:rFonts w:ascii="Times New Roman" w:hAnsi="Times New Roman"/>
        </w:rPr>
        <w:t>60.13.5</w:t>
      </w:r>
      <w:r w:rsidRPr="00146A17">
        <w:rPr>
          <w:rFonts w:ascii="Times New Roman" w:hAnsi="Times New Roman"/>
        </w:rPr>
        <w:tab/>
      </w:r>
      <w:r w:rsidR="00FB2B46" w:rsidRPr="00146A17">
        <w:rPr>
          <w:rFonts w:ascii="Times New Roman" w:hAnsi="Times New Roman"/>
        </w:rPr>
        <w:t>ATS, unlike the lessors and sellers in the cases I have mentioned above, stepped up to its responsibilities and vigorously defended the University’s claim.</w:t>
      </w:r>
      <w:r w:rsidR="005B6B84" w:rsidRPr="00146A17">
        <w:rPr>
          <w:rFonts w:ascii="Times New Roman" w:hAnsi="Times New Roman"/>
        </w:rPr>
        <w:t xml:space="preserve"> ATS forcefully argued that the University had no right to cancel the lease. In doing so, it was attempting to discharge its obligation to put up a </w:t>
      </w:r>
      <w:r w:rsidR="005B6B84" w:rsidRPr="00146A17">
        <w:rPr>
          <w:rFonts w:ascii="Times New Roman" w:hAnsi="Times New Roman"/>
          <w:i/>
          <w:iCs/>
        </w:rPr>
        <w:t>virilis defensio</w:t>
      </w:r>
      <w:r w:rsidR="005B6B84" w:rsidRPr="00146A17">
        <w:rPr>
          <w:rFonts w:ascii="Times New Roman" w:hAnsi="Times New Roman"/>
        </w:rPr>
        <w:t xml:space="preserve"> and to make good the warranty against eviction.</w:t>
      </w:r>
    </w:p>
    <w:p w14:paraId="34A29322" w14:textId="7902A7F7" w:rsidR="00094726" w:rsidRPr="00146A17" w:rsidRDefault="00843CD7" w:rsidP="00843CD7">
      <w:pPr>
        <w:pStyle w:val="WLGLevel3"/>
        <w:numPr>
          <w:ilvl w:val="0"/>
          <w:numId w:val="0"/>
        </w:numPr>
        <w:tabs>
          <w:tab w:val="left" w:pos="2381"/>
        </w:tabs>
        <w:ind w:left="2382" w:hanging="1021"/>
        <w:rPr>
          <w:rFonts w:ascii="Times New Roman" w:hAnsi="Times New Roman"/>
        </w:rPr>
      </w:pPr>
      <w:r w:rsidRPr="00146A17">
        <w:rPr>
          <w:rFonts w:ascii="Times New Roman" w:hAnsi="Times New Roman"/>
        </w:rPr>
        <w:t>60.13.6</w:t>
      </w:r>
      <w:r w:rsidRPr="00146A17">
        <w:rPr>
          <w:rFonts w:ascii="Times New Roman" w:hAnsi="Times New Roman"/>
        </w:rPr>
        <w:tab/>
      </w:r>
      <w:r w:rsidR="00094726" w:rsidRPr="00146A17">
        <w:rPr>
          <w:rFonts w:ascii="Times New Roman" w:hAnsi="Times New Roman"/>
        </w:rPr>
        <w:t xml:space="preserve">ATS could have taken the position, from the outset, that the agreement was a nullity </w:t>
      </w:r>
      <w:r w:rsidR="00150EFB" w:rsidRPr="00146A17">
        <w:rPr>
          <w:rFonts w:ascii="Times New Roman" w:hAnsi="Times New Roman"/>
        </w:rPr>
        <w:t xml:space="preserve">and that putting up a </w:t>
      </w:r>
      <w:r w:rsidR="00150EFB" w:rsidRPr="00146A17">
        <w:rPr>
          <w:rFonts w:ascii="Times New Roman" w:hAnsi="Times New Roman"/>
          <w:i/>
          <w:iCs/>
        </w:rPr>
        <w:t>virilis defensio</w:t>
      </w:r>
      <w:r w:rsidR="00150EFB" w:rsidRPr="00146A17">
        <w:rPr>
          <w:rFonts w:ascii="Times New Roman" w:hAnsi="Times New Roman"/>
        </w:rPr>
        <w:t xml:space="preserve"> would have been an exercise in futility. Had it done so, certain consequences would have necessarily followed. Wamjay would have had to make an independent assessment of whether this was correct</w:t>
      </w:r>
      <w:r w:rsidR="009C6554" w:rsidRPr="00146A17">
        <w:rPr>
          <w:rFonts w:ascii="Times New Roman" w:hAnsi="Times New Roman"/>
        </w:rPr>
        <w:t xml:space="preserve"> and decide, in the light of this assessment, what path to follow. But, since ATS took the opposit</w:t>
      </w:r>
      <w:r w:rsidR="00E833BF" w:rsidRPr="00146A17">
        <w:rPr>
          <w:rFonts w:ascii="Times New Roman" w:hAnsi="Times New Roman"/>
        </w:rPr>
        <w:t>e</w:t>
      </w:r>
      <w:r w:rsidR="009C6554" w:rsidRPr="00146A17">
        <w:rPr>
          <w:rFonts w:ascii="Times New Roman" w:hAnsi="Times New Roman"/>
        </w:rPr>
        <w:t xml:space="preserve"> position, it</w:t>
      </w:r>
      <w:r w:rsidR="00350A80" w:rsidRPr="00146A17">
        <w:rPr>
          <w:rFonts w:ascii="Times New Roman" w:hAnsi="Times New Roman"/>
        </w:rPr>
        <w:t xml:space="preserve"> would be artificial to view the position with the full benefit of hindsight and find that, since the agreement was a nullity from the outset, Wamjay should have </w:t>
      </w:r>
      <w:r w:rsidR="005A755E" w:rsidRPr="00146A17">
        <w:rPr>
          <w:rFonts w:ascii="Times New Roman" w:hAnsi="Times New Roman"/>
        </w:rPr>
        <w:t>disregarded ATS’s stance entirely.</w:t>
      </w:r>
    </w:p>
    <w:p w14:paraId="1C0969D3" w14:textId="41161B1B" w:rsidR="005B6B84" w:rsidRPr="00146A17" w:rsidRDefault="00843CD7" w:rsidP="00843CD7">
      <w:pPr>
        <w:pStyle w:val="WLGLevel2"/>
        <w:numPr>
          <w:ilvl w:val="0"/>
          <w:numId w:val="0"/>
        </w:numPr>
        <w:tabs>
          <w:tab w:val="left" w:pos="1361"/>
        </w:tabs>
        <w:ind w:left="1361" w:hanging="794"/>
        <w:rPr>
          <w:rFonts w:ascii="Times New Roman" w:hAnsi="Times New Roman"/>
        </w:rPr>
      </w:pPr>
      <w:bookmarkStart w:id="10" w:name="_Ref146709124"/>
      <w:r w:rsidRPr="00146A17">
        <w:rPr>
          <w:rFonts w:ascii="Times New Roman" w:hAnsi="Times New Roman"/>
        </w:rPr>
        <w:lastRenderedPageBreak/>
        <w:t>60.14</w:t>
      </w:r>
      <w:r w:rsidRPr="00146A17">
        <w:rPr>
          <w:rFonts w:ascii="Times New Roman" w:hAnsi="Times New Roman"/>
        </w:rPr>
        <w:tab/>
      </w:r>
      <w:r w:rsidR="005B6B84" w:rsidRPr="00146A17">
        <w:rPr>
          <w:rFonts w:ascii="Times New Roman" w:hAnsi="Times New Roman"/>
        </w:rPr>
        <w:t xml:space="preserve">In the light of these factors, I cannot find that ATS’s debt to </w:t>
      </w:r>
      <w:r w:rsidR="00AE0A5B" w:rsidRPr="00146A17">
        <w:rPr>
          <w:rFonts w:ascii="Times New Roman" w:hAnsi="Times New Roman"/>
        </w:rPr>
        <w:t xml:space="preserve">Wamjay was due at any time before the </w:t>
      </w:r>
      <w:r w:rsidR="00AE0A5B" w:rsidRPr="00146A17">
        <w:rPr>
          <w:rFonts w:ascii="Times New Roman" w:hAnsi="Times New Roman"/>
          <w:i/>
          <w:iCs/>
        </w:rPr>
        <w:t>virilis defensio</w:t>
      </w:r>
      <w:r w:rsidR="00AE0A5B" w:rsidRPr="00146A17">
        <w:rPr>
          <w:rFonts w:ascii="Times New Roman" w:hAnsi="Times New Roman"/>
        </w:rPr>
        <w:t xml:space="preserve"> failed</w:t>
      </w:r>
      <w:r w:rsidR="005D0CB1">
        <w:rPr>
          <w:rFonts w:ascii="Times New Roman" w:hAnsi="Times New Roman"/>
        </w:rPr>
        <w:t xml:space="preserve"> and Wamjay was “actually evicted”</w:t>
      </w:r>
      <w:r w:rsidR="00AE0A5B" w:rsidRPr="00146A17">
        <w:rPr>
          <w:rFonts w:ascii="Times New Roman" w:hAnsi="Times New Roman"/>
        </w:rPr>
        <w:t>. That has to be when the Constitutional Court handed down its judgment.</w:t>
      </w:r>
      <w:bookmarkEnd w:id="10"/>
    </w:p>
    <w:p w14:paraId="64AAE933" w14:textId="2C9A936A" w:rsidR="005E53D9"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60.15</w:t>
      </w:r>
      <w:r w:rsidRPr="00146A17">
        <w:rPr>
          <w:rFonts w:ascii="Times New Roman" w:hAnsi="Times New Roman"/>
        </w:rPr>
        <w:tab/>
      </w:r>
      <w:r w:rsidR="005E53D9" w:rsidRPr="00146A17">
        <w:rPr>
          <w:rFonts w:ascii="Times New Roman" w:hAnsi="Times New Roman"/>
        </w:rPr>
        <w:t xml:space="preserve">Lest I be accused of </w:t>
      </w:r>
      <w:r w:rsidR="00972317" w:rsidRPr="00146A17">
        <w:rPr>
          <w:rFonts w:ascii="Times New Roman" w:hAnsi="Times New Roman"/>
        </w:rPr>
        <w:t>ignoring</w:t>
      </w:r>
      <w:r w:rsidR="005E53D9" w:rsidRPr="00146A17">
        <w:rPr>
          <w:rFonts w:ascii="Times New Roman" w:hAnsi="Times New Roman"/>
        </w:rPr>
        <w:t xml:space="preserve"> the provisions of the Prescription Act, I make clear again that my finding in paragraph </w:t>
      </w:r>
      <w:r w:rsidR="005E53D9" w:rsidRPr="00146A17">
        <w:rPr>
          <w:rFonts w:ascii="Times New Roman" w:hAnsi="Times New Roman"/>
        </w:rPr>
        <w:fldChar w:fldCharType="begin"/>
      </w:r>
      <w:r w:rsidR="005E53D9" w:rsidRPr="00146A17">
        <w:rPr>
          <w:rFonts w:ascii="Times New Roman" w:hAnsi="Times New Roman"/>
        </w:rPr>
        <w:instrText xml:space="preserve"> REF _Ref146709124 \r \h </w:instrText>
      </w:r>
      <w:r w:rsidR="00146A17">
        <w:rPr>
          <w:rFonts w:ascii="Times New Roman" w:hAnsi="Times New Roman"/>
        </w:rPr>
        <w:instrText xml:space="preserve"> \* MERGEFORMAT </w:instrText>
      </w:r>
      <w:r w:rsidR="005E53D9" w:rsidRPr="00146A17">
        <w:rPr>
          <w:rFonts w:ascii="Times New Roman" w:hAnsi="Times New Roman"/>
        </w:rPr>
      </w:r>
      <w:r w:rsidR="005E53D9" w:rsidRPr="00146A17">
        <w:rPr>
          <w:rFonts w:ascii="Times New Roman" w:hAnsi="Times New Roman"/>
        </w:rPr>
        <w:fldChar w:fldCharType="separate"/>
      </w:r>
      <w:r w:rsidR="00744F14">
        <w:rPr>
          <w:rFonts w:ascii="Times New Roman" w:hAnsi="Times New Roman"/>
        </w:rPr>
        <w:t>60.14</w:t>
      </w:r>
      <w:r w:rsidR="005E53D9" w:rsidRPr="00146A17">
        <w:rPr>
          <w:rFonts w:ascii="Times New Roman" w:hAnsi="Times New Roman"/>
        </w:rPr>
        <w:fldChar w:fldCharType="end"/>
      </w:r>
      <w:r w:rsidR="005E53D9" w:rsidRPr="00146A17">
        <w:rPr>
          <w:rFonts w:ascii="Times New Roman" w:hAnsi="Times New Roman"/>
        </w:rPr>
        <w:t xml:space="preserve"> above is based on </w:t>
      </w:r>
      <w:r w:rsidR="00131D63">
        <w:rPr>
          <w:rFonts w:ascii="Times New Roman" w:hAnsi="Times New Roman"/>
        </w:rPr>
        <w:t>my</w:t>
      </w:r>
      <w:r w:rsidR="005E53D9" w:rsidRPr="00146A17">
        <w:rPr>
          <w:rFonts w:ascii="Times New Roman" w:hAnsi="Times New Roman"/>
        </w:rPr>
        <w:t xml:space="preserve"> reading of section 12(1) of the Prescription Act and the question of when ATS’s debt to Wamjay became due.</w:t>
      </w:r>
      <w:r w:rsidR="00C570FC" w:rsidRPr="00146A17">
        <w:rPr>
          <w:rFonts w:ascii="Times New Roman" w:hAnsi="Times New Roman"/>
        </w:rPr>
        <w:t xml:space="preserve"> It has nothing to do with the correct interpretation of section 12(3).</w:t>
      </w:r>
    </w:p>
    <w:p w14:paraId="5608EB8F" w14:textId="45DF8FC0" w:rsidR="00AE0A5B"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61</w:t>
      </w:r>
      <w:r w:rsidRPr="00146A17">
        <w:rPr>
          <w:rFonts w:ascii="Times New Roman" w:hAnsi="Times New Roman"/>
        </w:rPr>
        <w:tab/>
      </w:r>
      <w:r w:rsidR="00AE0A5B" w:rsidRPr="00146A17">
        <w:rPr>
          <w:rFonts w:ascii="Times New Roman" w:hAnsi="Times New Roman"/>
        </w:rPr>
        <w:t xml:space="preserve">It follows that, </w:t>
      </w:r>
      <w:r w:rsidR="00C570FC" w:rsidRPr="00146A17">
        <w:rPr>
          <w:rFonts w:ascii="Times New Roman" w:hAnsi="Times New Roman"/>
        </w:rPr>
        <w:t>for all of the reasons just given</w:t>
      </w:r>
      <w:r w:rsidR="00AE0A5B" w:rsidRPr="00146A17">
        <w:rPr>
          <w:rFonts w:ascii="Times New Roman" w:hAnsi="Times New Roman"/>
        </w:rPr>
        <w:t>, the defence of prescription pleaded by ATS must fail.</w:t>
      </w:r>
    </w:p>
    <w:p w14:paraId="7918C8B2" w14:textId="7EB3C9FC" w:rsidR="00375E34" w:rsidRPr="00146A17" w:rsidRDefault="00375E34" w:rsidP="00375E34">
      <w:pPr>
        <w:pStyle w:val="Heading1"/>
        <w:rPr>
          <w:rFonts w:ascii="Times New Roman" w:hAnsi="Times New Roman"/>
        </w:rPr>
      </w:pPr>
      <w:r w:rsidRPr="00146A17">
        <w:rPr>
          <w:rFonts w:ascii="Times New Roman" w:hAnsi="Times New Roman"/>
        </w:rPr>
        <w:t>ENRICHMENT</w:t>
      </w:r>
    </w:p>
    <w:p w14:paraId="30DE503D" w14:textId="4B242D02" w:rsidR="00375E34"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62</w:t>
      </w:r>
      <w:r w:rsidRPr="00146A17">
        <w:rPr>
          <w:rFonts w:ascii="Times New Roman" w:hAnsi="Times New Roman"/>
        </w:rPr>
        <w:tab/>
      </w:r>
      <w:r w:rsidR="00BB20CF" w:rsidRPr="00146A17">
        <w:rPr>
          <w:rFonts w:ascii="Times New Roman" w:hAnsi="Times New Roman"/>
        </w:rPr>
        <w:t xml:space="preserve">Having rejected ATS’s </w:t>
      </w:r>
      <w:r w:rsidR="008E52A4" w:rsidRPr="00146A17">
        <w:rPr>
          <w:rFonts w:ascii="Times New Roman" w:hAnsi="Times New Roman"/>
        </w:rPr>
        <w:t>prescription defence, it is necessary for me to consider the merits of Wamjay’s unjustified enrichment claim.</w:t>
      </w:r>
    </w:p>
    <w:p w14:paraId="79B7BB4A" w14:textId="5728968B" w:rsidR="00BC3932"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63</w:t>
      </w:r>
      <w:r w:rsidRPr="00146A17">
        <w:rPr>
          <w:rFonts w:ascii="Times New Roman" w:hAnsi="Times New Roman"/>
        </w:rPr>
        <w:tab/>
      </w:r>
      <w:r w:rsidR="007200FC" w:rsidRPr="00146A17">
        <w:rPr>
          <w:rFonts w:ascii="Times New Roman" w:hAnsi="Times New Roman"/>
        </w:rPr>
        <w:t xml:space="preserve">The requirements </w:t>
      </w:r>
      <w:r w:rsidR="00746104" w:rsidRPr="00146A17">
        <w:rPr>
          <w:rFonts w:ascii="Times New Roman" w:hAnsi="Times New Roman"/>
        </w:rPr>
        <w:t xml:space="preserve">which must be </w:t>
      </w:r>
      <w:r w:rsidR="00FC2AD9">
        <w:rPr>
          <w:rFonts w:ascii="Times New Roman" w:hAnsi="Times New Roman"/>
        </w:rPr>
        <w:t>alleged and proved by a plaintiff</w:t>
      </w:r>
      <w:r w:rsidR="00746104" w:rsidRPr="00146A17">
        <w:rPr>
          <w:rFonts w:ascii="Times New Roman" w:hAnsi="Times New Roman"/>
        </w:rPr>
        <w:t xml:space="preserve"> in every</w:t>
      </w:r>
      <w:r w:rsidR="007200FC" w:rsidRPr="00146A17">
        <w:rPr>
          <w:rFonts w:ascii="Times New Roman" w:hAnsi="Times New Roman"/>
        </w:rPr>
        <w:t xml:space="preserve"> enrichment claim are (a) that the plaintiff </w:t>
      </w:r>
      <w:r w:rsidR="000B1C5E">
        <w:rPr>
          <w:rFonts w:ascii="Times New Roman" w:hAnsi="Times New Roman"/>
        </w:rPr>
        <w:t>wa</w:t>
      </w:r>
      <w:r w:rsidR="007200FC" w:rsidRPr="00146A17">
        <w:rPr>
          <w:rFonts w:ascii="Times New Roman" w:hAnsi="Times New Roman"/>
        </w:rPr>
        <w:t xml:space="preserve">s impoverished (b) that the defendant </w:t>
      </w:r>
      <w:r w:rsidR="000B1C5E">
        <w:rPr>
          <w:rFonts w:ascii="Times New Roman" w:hAnsi="Times New Roman"/>
        </w:rPr>
        <w:t>wa</w:t>
      </w:r>
      <w:r w:rsidR="007200FC" w:rsidRPr="00146A17">
        <w:rPr>
          <w:rFonts w:ascii="Times New Roman" w:hAnsi="Times New Roman"/>
        </w:rPr>
        <w:t>s enrich</w:t>
      </w:r>
      <w:r w:rsidR="00D53192" w:rsidRPr="00146A17">
        <w:rPr>
          <w:rFonts w:ascii="Times New Roman" w:hAnsi="Times New Roman"/>
        </w:rPr>
        <w:t>ed</w:t>
      </w:r>
      <w:r w:rsidR="007200FC" w:rsidRPr="00146A17">
        <w:rPr>
          <w:rFonts w:ascii="Times New Roman" w:hAnsi="Times New Roman"/>
        </w:rPr>
        <w:t xml:space="preserve"> (c) that the </w:t>
      </w:r>
      <w:r w:rsidR="00FD7DCE" w:rsidRPr="00146A17">
        <w:rPr>
          <w:rFonts w:ascii="Times New Roman" w:hAnsi="Times New Roman"/>
        </w:rPr>
        <w:t xml:space="preserve">enrichment of the defendant </w:t>
      </w:r>
      <w:r w:rsidR="000B1C5E">
        <w:rPr>
          <w:rFonts w:ascii="Times New Roman" w:hAnsi="Times New Roman"/>
        </w:rPr>
        <w:t>wa</w:t>
      </w:r>
      <w:r w:rsidR="00FD7DCE" w:rsidRPr="00146A17">
        <w:rPr>
          <w:rFonts w:ascii="Times New Roman" w:hAnsi="Times New Roman"/>
        </w:rPr>
        <w:t xml:space="preserve">s at the plaintiff’s expense and (d) that the defendant’s enrichment </w:t>
      </w:r>
      <w:r w:rsidR="000B1C5E">
        <w:rPr>
          <w:rFonts w:ascii="Times New Roman" w:hAnsi="Times New Roman"/>
        </w:rPr>
        <w:t>wa</w:t>
      </w:r>
      <w:r w:rsidR="00FD7DCE" w:rsidRPr="00146A17">
        <w:rPr>
          <w:rFonts w:ascii="Times New Roman" w:hAnsi="Times New Roman"/>
        </w:rPr>
        <w:t>s without legal cause</w:t>
      </w:r>
      <w:r w:rsidR="00CA2C31" w:rsidRPr="00146A17">
        <w:rPr>
          <w:rFonts w:ascii="Times New Roman" w:hAnsi="Times New Roman"/>
        </w:rPr>
        <w:t xml:space="preserve"> (or </w:t>
      </w:r>
      <w:r w:rsidR="00CA2C31" w:rsidRPr="00146A17">
        <w:rPr>
          <w:rFonts w:ascii="Times New Roman" w:hAnsi="Times New Roman"/>
          <w:i/>
          <w:iCs/>
        </w:rPr>
        <w:t>sine causa</w:t>
      </w:r>
      <w:r w:rsidR="00CA2C31" w:rsidRPr="00146A17">
        <w:rPr>
          <w:rFonts w:ascii="Times New Roman" w:hAnsi="Times New Roman"/>
        </w:rPr>
        <w:t xml:space="preserve">, to use the Latin). </w:t>
      </w:r>
      <w:r w:rsidR="003C1C48" w:rsidRPr="00146A17">
        <w:rPr>
          <w:rFonts w:ascii="Times New Roman" w:hAnsi="Times New Roman"/>
        </w:rPr>
        <w:t>A</w:t>
      </w:r>
      <w:r w:rsidR="00D53192" w:rsidRPr="00146A17">
        <w:rPr>
          <w:rFonts w:ascii="Times New Roman" w:hAnsi="Times New Roman"/>
        </w:rPr>
        <w:t xml:space="preserve">s is well-known, our law of unjustified enrichment is </w:t>
      </w:r>
      <w:r w:rsidR="003C1C48" w:rsidRPr="00146A17">
        <w:rPr>
          <w:rFonts w:ascii="Times New Roman" w:hAnsi="Times New Roman"/>
        </w:rPr>
        <w:t>made up of various actions</w:t>
      </w:r>
      <w:r w:rsidR="00D53192" w:rsidRPr="00146A17">
        <w:rPr>
          <w:rFonts w:ascii="Times New Roman" w:hAnsi="Times New Roman"/>
        </w:rPr>
        <w:t xml:space="preserve">, inherited from Roman law, </w:t>
      </w:r>
      <w:r w:rsidR="003C1C48" w:rsidRPr="00146A17">
        <w:rPr>
          <w:rFonts w:ascii="Times New Roman" w:hAnsi="Times New Roman"/>
        </w:rPr>
        <w:t>described as</w:t>
      </w:r>
      <w:r w:rsidR="00D53192" w:rsidRPr="00146A17">
        <w:rPr>
          <w:rFonts w:ascii="Times New Roman" w:hAnsi="Times New Roman"/>
        </w:rPr>
        <w:t xml:space="preserve"> </w:t>
      </w:r>
      <w:r w:rsidR="00D53192" w:rsidRPr="00146A17">
        <w:rPr>
          <w:rFonts w:ascii="Times New Roman" w:hAnsi="Times New Roman"/>
          <w:i/>
          <w:iCs/>
        </w:rPr>
        <w:t>condictiones</w:t>
      </w:r>
      <w:r w:rsidR="00D53192" w:rsidRPr="00146A17">
        <w:rPr>
          <w:rFonts w:ascii="Times New Roman" w:hAnsi="Times New Roman"/>
        </w:rPr>
        <w:t xml:space="preserve"> or condictions. Each of these</w:t>
      </w:r>
      <w:r w:rsidR="00CA2C31" w:rsidRPr="00146A17">
        <w:rPr>
          <w:rFonts w:ascii="Times New Roman" w:hAnsi="Times New Roman"/>
        </w:rPr>
        <w:t xml:space="preserve"> </w:t>
      </w:r>
      <w:r w:rsidR="00CA2C31" w:rsidRPr="00146A17">
        <w:rPr>
          <w:rFonts w:ascii="Times New Roman" w:hAnsi="Times New Roman"/>
          <w:i/>
          <w:iCs/>
        </w:rPr>
        <w:t>condictiones</w:t>
      </w:r>
      <w:r w:rsidR="00D53192" w:rsidRPr="00146A17">
        <w:rPr>
          <w:rFonts w:ascii="Times New Roman" w:hAnsi="Times New Roman"/>
        </w:rPr>
        <w:t xml:space="preserve"> ha</w:t>
      </w:r>
      <w:r w:rsidR="00136F17" w:rsidRPr="00146A17">
        <w:rPr>
          <w:rFonts w:ascii="Times New Roman" w:hAnsi="Times New Roman"/>
        </w:rPr>
        <w:t>s</w:t>
      </w:r>
      <w:r w:rsidR="00CA2C31" w:rsidRPr="00146A17">
        <w:rPr>
          <w:rFonts w:ascii="Times New Roman" w:hAnsi="Times New Roman"/>
        </w:rPr>
        <w:t xml:space="preserve"> elements</w:t>
      </w:r>
      <w:r w:rsidR="00D53192" w:rsidRPr="00146A17">
        <w:rPr>
          <w:rFonts w:ascii="Times New Roman" w:hAnsi="Times New Roman"/>
        </w:rPr>
        <w:t xml:space="preserve"> which have to be established on top of the general requirements</w:t>
      </w:r>
      <w:r w:rsidR="00CA2C31" w:rsidRPr="00146A17">
        <w:rPr>
          <w:rFonts w:ascii="Times New Roman" w:hAnsi="Times New Roman"/>
        </w:rPr>
        <w:t>.</w:t>
      </w:r>
      <w:r w:rsidR="00D53192" w:rsidRPr="00146A17">
        <w:rPr>
          <w:rFonts w:ascii="Times New Roman" w:hAnsi="Times New Roman"/>
        </w:rPr>
        <w:t xml:space="preserve"> </w:t>
      </w:r>
    </w:p>
    <w:p w14:paraId="70FFF50D" w14:textId="63FC0A6B" w:rsidR="00C1752C"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64</w:t>
      </w:r>
      <w:r w:rsidRPr="00146A17">
        <w:rPr>
          <w:rFonts w:ascii="Times New Roman" w:hAnsi="Times New Roman"/>
        </w:rPr>
        <w:tab/>
      </w:r>
      <w:r w:rsidR="00C1752C" w:rsidRPr="00146A17">
        <w:rPr>
          <w:rFonts w:ascii="Times New Roman" w:hAnsi="Times New Roman"/>
        </w:rPr>
        <w:t xml:space="preserve">The view has often been expressed that there is no sense in retaining the </w:t>
      </w:r>
      <w:r w:rsidR="00C1752C" w:rsidRPr="00146A17">
        <w:rPr>
          <w:rFonts w:ascii="Times New Roman" w:hAnsi="Times New Roman"/>
          <w:i/>
          <w:iCs/>
        </w:rPr>
        <w:t>condictiones</w:t>
      </w:r>
      <w:r w:rsidR="00C1752C" w:rsidRPr="00146A17">
        <w:rPr>
          <w:rFonts w:ascii="Times New Roman" w:hAnsi="Times New Roman"/>
        </w:rPr>
        <w:t xml:space="preserve"> and that a plaintiff should succeed in a claim based on unjustified enrichment if he or she </w:t>
      </w:r>
      <w:r w:rsidR="00BA490C" w:rsidRPr="00146A17">
        <w:rPr>
          <w:rFonts w:ascii="Times New Roman" w:hAnsi="Times New Roman"/>
        </w:rPr>
        <w:t xml:space="preserve">can </w:t>
      </w:r>
      <w:r w:rsidR="00BA490C" w:rsidRPr="00146A17">
        <w:rPr>
          <w:rFonts w:ascii="Times New Roman" w:hAnsi="Times New Roman"/>
        </w:rPr>
        <w:lastRenderedPageBreak/>
        <w:t>establish each of the four elements of the general claim.</w:t>
      </w:r>
      <w:r w:rsidR="007F3E16" w:rsidRPr="00146A17">
        <w:rPr>
          <w:rStyle w:val="FootnoteReference"/>
          <w:rFonts w:ascii="Times New Roman" w:hAnsi="Times New Roman"/>
        </w:rPr>
        <w:footnoteReference w:id="32"/>
      </w:r>
      <w:r w:rsidR="007D3020" w:rsidRPr="00146A17">
        <w:rPr>
          <w:rFonts w:ascii="Times New Roman" w:hAnsi="Times New Roman"/>
        </w:rPr>
        <w:t xml:space="preserve"> The philosophical premise of the argument, as I understand it, is that </w:t>
      </w:r>
      <w:r w:rsidR="002D6274" w:rsidRPr="00146A17">
        <w:rPr>
          <w:rFonts w:ascii="Times New Roman" w:hAnsi="Times New Roman"/>
        </w:rPr>
        <w:t>there is unlikely to be a</w:t>
      </w:r>
      <w:r w:rsidR="003040E1">
        <w:rPr>
          <w:rFonts w:ascii="Times New Roman" w:hAnsi="Times New Roman"/>
        </w:rPr>
        <w:t>n appropriate</w:t>
      </w:r>
      <w:r w:rsidR="002D6274" w:rsidRPr="00146A17">
        <w:rPr>
          <w:rFonts w:ascii="Times New Roman" w:hAnsi="Times New Roman"/>
        </w:rPr>
        <w:t xml:space="preserve"> circumstance in which the four requirements of the general action are satisfied but the plaintiff </w:t>
      </w:r>
      <w:r w:rsidR="003040E1">
        <w:rPr>
          <w:rFonts w:ascii="Times New Roman" w:hAnsi="Times New Roman"/>
        </w:rPr>
        <w:t>should be</w:t>
      </w:r>
      <w:r w:rsidR="002D6274" w:rsidRPr="00146A17">
        <w:rPr>
          <w:rFonts w:ascii="Times New Roman" w:hAnsi="Times New Roman"/>
        </w:rPr>
        <w:t xml:space="preserve"> non-suited. This is because our courts </w:t>
      </w:r>
      <w:r w:rsidR="00E62521" w:rsidRPr="00146A17">
        <w:rPr>
          <w:rFonts w:ascii="Times New Roman" w:hAnsi="Times New Roman"/>
        </w:rPr>
        <w:t>have</w:t>
      </w:r>
      <w:r w:rsidR="005379C5">
        <w:rPr>
          <w:rFonts w:ascii="Times New Roman" w:hAnsi="Times New Roman"/>
        </w:rPr>
        <w:t>, anyway,</w:t>
      </w:r>
      <w:r w:rsidR="00E62521" w:rsidRPr="00146A17">
        <w:rPr>
          <w:rFonts w:ascii="Times New Roman" w:hAnsi="Times New Roman"/>
        </w:rPr>
        <w:t xml:space="preserve"> essentially shown themselves to be willing to adapt the </w:t>
      </w:r>
      <w:r w:rsidR="00E62521" w:rsidRPr="00146A17">
        <w:rPr>
          <w:rFonts w:ascii="Times New Roman" w:hAnsi="Times New Roman"/>
          <w:i/>
          <w:iCs/>
        </w:rPr>
        <w:t>condictiones</w:t>
      </w:r>
      <w:r w:rsidR="00E62521" w:rsidRPr="00146A17">
        <w:rPr>
          <w:rFonts w:ascii="Times New Roman" w:hAnsi="Times New Roman"/>
        </w:rPr>
        <w:t xml:space="preserve"> to every conceivable commercial situation in which enrichment might apply.</w:t>
      </w:r>
      <w:r w:rsidR="00BA490C" w:rsidRPr="00146A17">
        <w:rPr>
          <w:rFonts w:ascii="Times New Roman" w:hAnsi="Times New Roman"/>
        </w:rPr>
        <w:t xml:space="preserve"> However, as recently as last year, the SCA once again confirmed that there is no general enrichment action in our law.</w:t>
      </w:r>
      <w:r w:rsidR="00BA490C" w:rsidRPr="00146A17">
        <w:rPr>
          <w:rStyle w:val="FootnoteReference"/>
          <w:rFonts w:ascii="Times New Roman" w:hAnsi="Times New Roman"/>
        </w:rPr>
        <w:footnoteReference w:id="33"/>
      </w:r>
      <w:r w:rsidR="00754360" w:rsidRPr="00146A17">
        <w:rPr>
          <w:rFonts w:ascii="Times New Roman" w:hAnsi="Times New Roman"/>
        </w:rPr>
        <w:t xml:space="preserve"> Therefore, for Wamjay to succeed in an enrichment claim, it has to bring itself within the parameters of one of the </w:t>
      </w:r>
      <w:r w:rsidR="00754360" w:rsidRPr="00146A17">
        <w:rPr>
          <w:rFonts w:ascii="Times New Roman" w:hAnsi="Times New Roman"/>
          <w:i/>
          <w:iCs/>
        </w:rPr>
        <w:t>condictiones</w:t>
      </w:r>
      <w:r w:rsidR="00754360" w:rsidRPr="00146A17">
        <w:rPr>
          <w:rFonts w:ascii="Times New Roman" w:hAnsi="Times New Roman"/>
        </w:rPr>
        <w:t xml:space="preserve"> on which it relies.</w:t>
      </w:r>
    </w:p>
    <w:p w14:paraId="43B36D18" w14:textId="21C6D592" w:rsidR="00754360"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65</w:t>
      </w:r>
      <w:r w:rsidRPr="00146A17">
        <w:rPr>
          <w:rFonts w:ascii="Times New Roman" w:hAnsi="Times New Roman"/>
        </w:rPr>
        <w:tab/>
      </w:r>
      <w:r w:rsidR="00754360" w:rsidRPr="00146A17">
        <w:rPr>
          <w:rFonts w:ascii="Times New Roman" w:hAnsi="Times New Roman"/>
        </w:rPr>
        <w:t xml:space="preserve">ATS did not advance much argument </w:t>
      </w:r>
      <w:r w:rsidR="004B4C75" w:rsidRPr="00146A17">
        <w:rPr>
          <w:rFonts w:ascii="Times New Roman" w:hAnsi="Times New Roman"/>
        </w:rPr>
        <w:t xml:space="preserve">to the effect that the </w:t>
      </w:r>
      <w:r w:rsidR="004B4C75" w:rsidRPr="00050B54">
        <w:rPr>
          <w:rFonts w:ascii="Times New Roman" w:hAnsi="Times New Roman"/>
          <w:i/>
          <w:iCs/>
        </w:rPr>
        <w:t>condictiones</w:t>
      </w:r>
      <w:r w:rsidR="004B4C75" w:rsidRPr="00146A17">
        <w:rPr>
          <w:rFonts w:ascii="Times New Roman" w:hAnsi="Times New Roman"/>
        </w:rPr>
        <w:t xml:space="preserve"> on which Wamjay relies are inapplicable. As </w:t>
      </w:r>
      <w:r w:rsidR="000C3D34">
        <w:rPr>
          <w:rFonts w:ascii="Times New Roman" w:hAnsi="Times New Roman"/>
        </w:rPr>
        <w:t xml:space="preserve">already </w:t>
      </w:r>
      <w:r w:rsidR="004B4C75" w:rsidRPr="00146A17">
        <w:rPr>
          <w:rFonts w:ascii="Times New Roman" w:hAnsi="Times New Roman"/>
        </w:rPr>
        <w:t xml:space="preserve">shown (see paragraph </w:t>
      </w:r>
      <w:r w:rsidR="002305B4">
        <w:rPr>
          <w:rFonts w:ascii="Times New Roman" w:hAnsi="Times New Roman"/>
        </w:rPr>
        <w:fldChar w:fldCharType="begin"/>
      </w:r>
      <w:r w:rsidR="002305B4">
        <w:rPr>
          <w:rFonts w:ascii="Times New Roman" w:hAnsi="Times New Roman"/>
        </w:rPr>
        <w:instrText xml:space="preserve"> REF _Ref147051684 \r \h </w:instrText>
      </w:r>
      <w:r w:rsidR="002305B4">
        <w:rPr>
          <w:rFonts w:ascii="Times New Roman" w:hAnsi="Times New Roman"/>
        </w:rPr>
      </w:r>
      <w:r w:rsidR="002305B4">
        <w:rPr>
          <w:rFonts w:ascii="Times New Roman" w:hAnsi="Times New Roman"/>
        </w:rPr>
        <w:fldChar w:fldCharType="separate"/>
      </w:r>
      <w:r w:rsidR="00423062">
        <w:rPr>
          <w:rFonts w:ascii="Times New Roman" w:hAnsi="Times New Roman"/>
        </w:rPr>
        <w:t>19</w:t>
      </w:r>
      <w:r w:rsidR="002305B4">
        <w:rPr>
          <w:rFonts w:ascii="Times New Roman" w:hAnsi="Times New Roman"/>
        </w:rPr>
        <w:fldChar w:fldCharType="end"/>
      </w:r>
      <w:r w:rsidR="002305B4">
        <w:rPr>
          <w:rFonts w:ascii="Times New Roman" w:hAnsi="Times New Roman"/>
        </w:rPr>
        <w:t xml:space="preserve"> above</w:t>
      </w:r>
      <w:r w:rsidR="004B4C75" w:rsidRPr="00146A17">
        <w:rPr>
          <w:rFonts w:ascii="Times New Roman" w:hAnsi="Times New Roman"/>
        </w:rPr>
        <w:t>), ATS d</w:t>
      </w:r>
      <w:r w:rsidR="000C3D34">
        <w:rPr>
          <w:rFonts w:ascii="Times New Roman" w:hAnsi="Times New Roman"/>
        </w:rPr>
        <w:t>id</w:t>
      </w:r>
      <w:r w:rsidR="004B4C75" w:rsidRPr="00146A17">
        <w:rPr>
          <w:rFonts w:ascii="Times New Roman" w:hAnsi="Times New Roman"/>
        </w:rPr>
        <w:t xml:space="preserve"> make clear in its heads of argument that it does not necessarily accept that Wamjay has relied on the correct </w:t>
      </w:r>
      <w:r w:rsidR="004B4C75" w:rsidRPr="00146A17">
        <w:rPr>
          <w:rFonts w:ascii="Times New Roman" w:hAnsi="Times New Roman"/>
          <w:i/>
          <w:iCs/>
        </w:rPr>
        <w:t>condictiones</w:t>
      </w:r>
      <w:r w:rsidR="004B4C75" w:rsidRPr="00146A17">
        <w:rPr>
          <w:rFonts w:ascii="Times New Roman" w:hAnsi="Times New Roman"/>
        </w:rPr>
        <w:t>. But it d</w:t>
      </w:r>
      <w:r w:rsidR="00E94DAE">
        <w:rPr>
          <w:rFonts w:ascii="Times New Roman" w:hAnsi="Times New Roman"/>
        </w:rPr>
        <w:t>id</w:t>
      </w:r>
      <w:r w:rsidR="004B4C75" w:rsidRPr="00146A17">
        <w:rPr>
          <w:rFonts w:ascii="Times New Roman" w:hAnsi="Times New Roman"/>
        </w:rPr>
        <w:t xml:space="preserve"> not elaborate on this contention and focuse</w:t>
      </w:r>
      <w:r w:rsidR="00E94DAE">
        <w:rPr>
          <w:rFonts w:ascii="Times New Roman" w:hAnsi="Times New Roman"/>
        </w:rPr>
        <w:t>d</w:t>
      </w:r>
      <w:r w:rsidR="004B4C75" w:rsidRPr="00146A17">
        <w:rPr>
          <w:rFonts w:ascii="Times New Roman" w:hAnsi="Times New Roman"/>
        </w:rPr>
        <w:t xml:space="preserve"> its attention, instead, on </w:t>
      </w:r>
      <w:r w:rsidR="00D65AC0" w:rsidRPr="00146A17">
        <w:rPr>
          <w:rFonts w:ascii="Times New Roman" w:hAnsi="Times New Roman"/>
        </w:rPr>
        <w:t>the issue of non-enrichment, to which I return shortly.</w:t>
      </w:r>
    </w:p>
    <w:p w14:paraId="04D1D656" w14:textId="5658A535" w:rsidR="00D65AC0"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66</w:t>
      </w:r>
      <w:r w:rsidRPr="00146A17">
        <w:rPr>
          <w:rFonts w:ascii="Times New Roman" w:hAnsi="Times New Roman"/>
        </w:rPr>
        <w:tab/>
      </w:r>
      <w:r w:rsidR="00D65AC0" w:rsidRPr="00146A17">
        <w:rPr>
          <w:rFonts w:ascii="Times New Roman" w:hAnsi="Times New Roman"/>
        </w:rPr>
        <w:t>For the sake of completeness, I should point out that I agree with Wamjay that</w:t>
      </w:r>
      <w:r w:rsidR="00DB565A" w:rsidRPr="00146A17">
        <w:rPr>
          <w:rFonts w:ascii="Times New Roman" w:hAnsi="Times New Roman"/>
        </w:rPr>
        <w:t xml:space="preserve"> t</w:t>
      </w:r>
      <w:r w:rsidR="007235AB" w:rsidRPr="00146A17">
        <w:rPr>
          <w:rFonts w:ascii="Times New Roman" w:hAnsi="Times New Roman"/>
        </w:rPr>
        <w:t xml:space="preserve">he </w:t>
      </w:r>
      <w:r w:rsidR="007235AB" w:rsidRPr="000C3D34">
        <w:rPr>
          <w:rFonts w:ascii="Times New Roman" w:hAnsi="Times New Roman"/>
          <w:i/>
          <w:iCs/>
        </w:rPr>
        <w:t>condictio indebiti</w:t>
      </w:r>
      <w:r w:rsidR="007235AB" w:rsidRPr="00146A17">
        <w:rPr>
          <w:rFonts w:ascii="Times New Roman" w:hAnsi="Times New Roman"/>
        </w:rPr>
        <w:t xml:space="preserve"> is applicable </w:t>
      </w:r>
      <w:r w:rsidR="006533D2" w:rsidRPr="00146A17">
        <w:rPr>
          <w:rFonts w:ascii="Times New Roman" w:hAnsi="Times New Roman"/>
        </w:rPr>
        <w:t>to this case</w:t>
      </w:r>
      <w:r w:rsidR="00D65AC0" w:rsidRPr="00146A17">
        <w:rPr>
          <w:rFonts w:ascii="Times New Roman" w:hAnsi="Times New Roman"/>
        </w:rPr>
        <w:t xml:space="preserve">. </w:t>
      </w:r>
      <w:r w:rsidR="007235AB" w:rsidRPr="00146A17">
        <w:rPr>
          <w:rFonts w:ascii="Times New Roman" w:hAnsi="Times New Roman"/>
        </w:rPr>
        <w:t xml:space="preserve">The </w:t>
      </w:r>
      <w:r w:rsidR="007235AB" w:rsidRPr="00544262">
        <w:rPr>
          <w:rFonts w:ascii="Times New Roman" w:hAnsi="Times New Roman"/>
          <w:i/>
          <w:iCs/>
        </w:rPr>
        <w:t>condictio indebiti</w:t>
      </w:r>
      <w:r w:rsidR="007235AB" w:rsidRPr="00146A17">
        <w:rPr>
          <w:rFonts w:ascii="Times New Roman" w:hAnsi="Times New Roman"/>
        </w:rPr>
        <w:t xml:space="preserve"> applies </w:t>
      </w:r>
      <w:r w:rsidR="00130772" w:rsidRPr="00146A17">
        <w:rPr>
          <w:rFonts w:ascii="Times New Roman" w:hAnsi="Times New Roman"/>
        </w:rPr>
        <w:t>when a payment is made in the reasonable, but mistaken, belief that it is due. Although initially limited to reasonable mistakes of fact, the Appellate Divi</w:t>
      </w:r>
      <w:r w:rsidR="005E439F" w:rsidRPr="00146A17">
        <w:rPr>
          <w:rFonts w:ascii="Times New Roman" w:hAnsi="Times New Roman"/>
        </w:rPr>
        <w:t>si</w:t>
      </w:r>
      <w:r w:rsidR="00130772" w:rsidRPr="00146A17">
        <w:rPr>
          <w:rFonts w:ascii="Times New Roman" w:hAnsi="Times New Roman"/>
        </w:rPr>
        <w:t xml:space="preserve">on </w:t>
      </w:r>
      <w:r w:rsidR="002A61E2" w:rsidRPr="00146A17">
        <w:rPr>
          <w:rFonts w:ascii="Times New Roman" w:hAnsi="Times New Roman"/>
        </w:rPr>
        <w:t xml:space="preserve">eventually </w:t>
      </w:r>
      <w:r w:rsidR="00130772" w:rsidRPr="00146A17">
        <w:rPr>
          <w:rFonts w:ascii="Times New Roman" w:hAnsi="Times New Roman"/>
        </w:rPr>
        <w:t xml:space="preserve">made clear that </w:t>
      </w:r>
      <w:r w:rsidR="005E439F" w:rsidRPr="00146A17">
        <w:rPr>
          <w:rFonts w:ascii="Times New Roman" w:hAnsi="Times New Roman"/>
        </w:rPr>
        <w:t>reasonable mistakes of law also may found a claim.</w:t>
      </w:r>
      <w:r w:rsidR="005E439F" w:rsidRPr="00146A17">
        <w:rPr>
          <w:rStyle w:val="FootnoteReference"/>
          <w:rFonts w:ascii="Times New Roman" w:hAnsi="Times New Roman"/>
        </w:rPr>
        <w:footnoteReference w:id="34"/>
      </w:r>
      <w:r w:rsidR="005E439F" w:rsidRPr="00146A17">
        <w:rPr>
          <w:rFonts w:ascii="Times New Roman" w:hAnsi="Times New Roman"/>
        </w:rPr>
        <w:t xml:space="preserve"> </w:t>
      </w:r>
      <w:r w:rsidR="009B2B77" w:rsidRPr="00146A17">
        <w:rPr>
          <w:rFonts w:ascii="Times New Roman" w:hAnsi="Times New Roman"/>
        </w:rPr>
        <w:t xml:space="preserve">The SCA has </w:t>
      </w:r>
      <w:r w:rsidR="002A61E2" w:rsidRPr="00146A17">
        <w:rPr>
          <w:rFonts w:ascii="Times New Roman" w:hAnsi="Times New Roman"/>
        </w:rPr>
        <w:t xml:space="preserve">held </w:t>
      </w:r>
      <w:r w:rsidR="009B2B77" w:rsidRPr="00146A17">
        <w:rPr>
          <w:rFonts w:ascii="Times New Roman" w:hAnsi="Times New Roman"/>
        </w:rPr>
        <w:t xml:space="preserve">that the </w:t>
      </w:r>
      <w:r w:rsidR="009B2B77" w:rsidRPr="00544262">
        <w:rPr>
          <w:rFonts w:ascii="Times New Roman" w:hAnsi="Times New Roman"/>
          <w:i/>
          <w:iCs/>
        </w:rPr>
        <w:t xml:space="preserve">condictio </w:t>
      </w:r>
      <w:r w:rsidR="009B2B77" w:rsidRPr="00544262">
        <w:rPr>
          <w:rFonts w:ascii="Times New Roman" w:hAnsi="Times New Roman"/>
          <w:i/>
          <w:iCs/>
        </w:rPr>
        <w:lastRenderedPageBreak/>
        <w:t>indebiti</w:t>
      </w:r>
      <w:r w:rsidR="009B2B77" w:rsidRPr="00146A17">
        <w:rPr>
          <w:rFonts w:ascii="Times New Roman" w:hAnsi="Times New Roman"/>
        </w:rPr>
        <w:t xml:space="preserve"> applies in cases where money is transferred in terms of a contract which is </w:t>
      </w:r>
      <w:r w:rsidR="009B2B77" w:rsidRPr="00544262">
        <w:rPr>
          <w:rFonts w:ascii="Times New Roman" w:hAnsi="Times New Roman"/>
          <w:i/>
          <w:iCs/>
        </w:rPr>
        <w:t>void ab initio</w:t>
      </w:r>
      <w:r w:rsidR="008D0EA1" w:rsidRPr="00146A17">
        <w:rPr>
          <w:rStyle w:val="FootnoteReference"/>
          <w:rFonts w:ascii="Times New Roman" w:hAnsi="Times New Roman"/>
        </w:rPr>
        <w:footnoteReference w:id="35"/>
      </w:r>
      <w:r w:rsidR="008D0EA1" w:rsidRPr="00146A17">
        <w:rPr>
          <w:rFonts w:ascii="Times New Roman" w:hAnsi="Times New Roman"/>
        </w:rPr>
        <w:t xml:space="preserve"> (provided </w:t>
      </w:r>
      <w:r w:rsidR="00544262">
        <w:rPr>
          <w:rFonts w:ascii="Times New Roman" w:hAnsi="Times New Roman"/>
        </w:rPr>
        <w:t xml:space="preserve">that </w:t>
      </w:r>
      <w:r w:rsidR="008D0EA1" w:rsidRPr="00146A17">
        <w:rPr>
          <w:rFonts w:ascii="Times New Roman" w:hAnsi="Times New Roman"/>
        </w:rPr>
        <w:t>all of the requirements are met, of course).</w:t>
      </w:r>
      <w:r w:rsidR="007C0EC4" w:rsidRPr="00146A17">
        <w:rPr>
          <w:rFonts w:ascii="Times New Roman" w:hAnsi="Times New Roman"/>
        </w:rPr>
        <w:t xml:space="preserve"> Wamjay has characterised this as being a case </w:t>
      </w:r>
      <w:r w:rsidR="00D53601">
        <w:rPr>
          <w:rFonts w:ascii="Times New Roman" w:hAnsi="Times New Roman"/>
        </w:rPr>
        <w:t>involving</w:t>
      </w:r>
      <w:r w:rsidR="007C0EC4" w:rsidRPr="00146A17">
        <w:rPr>
          <w:rFonts w:ascii="Times New Roman" w:hAnsi="Times New Roman"/>
        </w:rPr>
        <w:t xml:space="preserve"> a </w:t>
      </w:r>
      <w:r w:rsidR="002B405C" w:rsidRPr="00146A17">
        <w:rPr>
          <w:rFonts w:ascii="Times New Roman" w:hAnsi="Times New Roman"/>
        </w:rPr>
        <w:t>transfer of money where there was a legal ground for the transfer when it was made</w:t>
      </w:r>
      <w:r w:rsidR="00D53601">
        <w:rPr>
          <w:rFonts w:ascii="Times New Roman" w:hAnsi="Times New Roman"/>
        </w:rPr>
        <w:t xml:space="preserve"> whic</w:t>
      </w:r>
      <w:r w:rsidR="00051F90">
        <w:rPr>
          <w:rFonts w:ascii="Times New Roman" w:hAnsi="Times New Roman"/>
        </w:rPr>
        <w:t>h</w:t>
      </w:r>
      <w:r w:rsidR="002B405C" w:rsidRPr="00146A17">
        <w:rPr>
          <w:rFonts w:ascii="Times New Roman" w:hAnsi="Times New Roman"/>
        </w:rPr>
        <w:t xml:space="preserve"> subsequently fell away. </w:t>
      </w:r>
      <w:r w:rsidR="0004423C" w:rsidRPr="00146A17">
        <w:rPr>
          <w:rFonts w:ascii="Times New Roman" w:hAnsi="Times New Roman"/>
        </w:rPr>
        <w:t>ATS</w:t>
      </w:r>
      <w:r w:rsidR="00D46AF7" w:rsidRPr="00146A17">
        <w:rPr>
          <w:rFonts w:ascii="Times New Roman" w:hAnsi="Times New Roman"/>
        </w:rPr>
        <w:t xml:space="preserve">, on the other hand, says that the </w:t>
      </w:r>
      <w:r w:rsidR="0004423C" w:rsidRPr="00146A17">
        <w:rPr>
          <w:rFonts w:ascii="Times New Roman" w:hAnsi="Times New Roman"/>
        </w:rPr>
        <w:t xml:space="preserve">cession agreement was </w:t>
      </w:r>
      <w:r w:rsidR="0004423C" w:rsidRPr="00051F90">
        <w:rPr>
          <w:rFonts w:ascii="Times New Roman" w:hAnsi="Times New Roman"/>
          <w:i/>
          <w:iCs/>
        </w:rPr>
        <w:t>void ab initio</w:t>
      </w:r>
      <w:r w:rsidR="0004423C" w:rsidRPr="00146A17">
        <w:rPr>
          <w:rFonts w:ascii="Times New Roman" w:hAnsi="Times New Roman"/>
        </w:rPr>
        <w:t xml:space="preserve">. </w:t>
      </w:r>
      <w:r w:rsidR="006B63B5" w:rsidRPr="00146A17">
        <w:rPr>
          <w:rFonts w:ascii="Times New Roman" w:hAnsi="Times New Roman"/>
        </w:rPr>
        <w:t xml:space="preserve">This seems to me to be correct. </w:t>
      </w:r>
      <w:r w:rsidR="00BD48D4" w:rsidRPr="00146A17">
        <w:rPr>
          <w:rFonts w:ascii="Times New Roman" w:hAnsi="Times New Roman"/>
        </w:rPr>
        <w:t xml:space="preserve">Had this been an ordinary lease agreement, I would have had my doubts that the agreement was </w:t>
      </w:r>
      <w:r w:rsidR="00BD48D4" w:rsidRPr="0038688D">
        <w:rPr>
          <w:rFonts w:ascii="Times New Roman" w:hAnsi="Times New Roman"/>
          <w:i/>
          <w:iCs/>
        </w:rPr>
        <w:t>void ab initio</w:t>
      </w:r>
      <w:r w:rsidR="00051F90">
        <w:rPr>
          <w:rFonts w:ascii="Times New Roman" w:hAnsi="Times New Roman"/>
        </w:rPr>
        <w:t xml:space="preserve"> – the cancelation of the agreement between owner and tenant would not automatically invalidate the agreement between tenant and sub-tenant</w:t>
      </w:r>
      <w:r w:rsidR="00BD48D4" w:rsidRPr="00146A17">
        <w:rPr>
          <w:rFonts w:ascii="Times New Roman" w:hAnsi="Times New Roman"/>
        </w:rPr>
        <w:t xml:space="preserve">. But since the agreement purported to cede rights which could not, objectively, be ceded, it seems that the agreement was invalid from the outset. </w:t>
      </w:r>
      <w:r w:rsidR="0004423C" w:rsidRPr="00146A17">
        <w:rPr>
          <w:rFonts w:ascii="Times New Roman" w:hAnsi="Times New Roman"/>
        </w:rPr>
        <w:t xml:space="preserve">Therefore, the </w:t>
      </w:r>
      <w:r w:rsidR="0004423C" w:rsidRPr="0038688D">
        <w:rPr>
          <w:rFonts w:ascii="Times New Roman" w:hAnsi="Times New Roman"/>
          <w:i/>
          <w:iCs/>
        </w:rPr>
        <w:t>condictio indebiti</w:t>
      </w:r>
      <w:r w:rsidR="0004423C" w:rsidRPr="00146A17">
        <w:rPr>
          <w:rFonts w:ascii="Times New Roman" w:hAnsi="Times New Roman"/>
        </w:rPr>
        <w:t xml:space="preserve"> is the applica</w:t>
      </w:r>
      <w:r w:rsidR="002E562E">
        <w:rPr>
          <w:rFonts w:ascii="Times New Roman" w:hAnsi="Times New Roman"/>
        </w:rPr>
        <w:t>ble</w:t>
      </w:r>
      <w:r w:rsidR="0004423C" w:rsidRPr="00146A17">
        <w:rPr>
          <w:rFonts w:ascii="Times New Roman" w:hAnsi="Times New Roman"/>
        </w:rPr>
        <w:t xml:space="preserve"> condiction.</w:t>
      </w:r>
    </w:p>
    <w:p w14:paraId="6A8234DC" w14:textId="6F1D692C" w:rsidR="00D65AC0"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67</w:t>
      </w:r>
      <w:r w:rsidRPr="00146A17">
        <w:rPr>
          <w:rFonts w:ascii="Times New Roman" w:hAnsi="Times New Roman"/>
        </w:rPr>
        <w:tab/>
      </w:r>
      <w:r w:rsidR="00D65AC0" w:rsidRPr="00146A17">
        <w:rPr>
          <w:rFonts w:ascii="Times New Roman" w:hAnsi="Times New Roman"/>
        </w:rPr>
        <w:t xml:space="preserve">The real dispute between the parties, on the merits, relates to one of the requirements of the general </w:t>
      </w:r>
      <w:r w:rsidR="00410C01" w:rsidRPr="00146A17">
        <w:rPr>
          <w:rFonts w:ascii="Times New Roman" w:hAnsi="Times New Roman"/>
        </w:rPr>
        <w:t>action – ie, that the defendant must have been enriched.</w:t>
      </w:r>
    </w:p>
    <w:p w14:paraId="35C5FFF7" w14:textId="209AD656" w:rsidR="00221670"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68</w:t>
      </w:r>
      <w:r w:rsidRPr="00146A17">
        <w:rPr>
          <w:rFonts w:ascii="Times New Roman" w:hAnsi="Times New Roman"/>
        </w:rPr>
        <w:tab/>
      </w:r>
      <w:r w:rsidR="009D047A" w:rsidRPr="00146A17">
        <w:rPr>
          <w:rFonts w:ascii="Times New Roman" w:hAnsi="Times New Roman"/>
        </w:rPr>
        <w:t>ATS</w:t>
      </w:r>
      <w:r w:rsidR="00F8215E" w:rsidRPr="00146A17">
        <w:rPr>
          <w:rFonts w:ascii="Times New Roman" w:hAnsi="Times New Roman"/>
        </w:rPr>
        <w:t>’s arguments are, in summary, the following:</w:t>
      </w:r>
    </w:p>
    <w:p w14:paraId="1B18F6C3" w14:textId="212EEF30" w:rsidR="00F8215E"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68.1</w:t>
      </w:r>
      <w:r w:rsidRPr="00146A17">
        <w:rPr>
          <w:rFonts w:ascii="Times New Roman" w:hAnsi="Times New Roman"/>
        </w:rPr>
        <w:tab/>
      </w:r>
      <w:r w:rsidR="00F8215E" w:rsidRPr="00146A17">
        <w:rPr>
          <w:rFonts w:ascii="Times New Roman" w:hAnsi="Times New Roman"/>
          <w:i/>
          <w:iCs/>
        </w:rPr>
        <w:t>Kudu Granite</w:t>
      </w:r>
      <w:r w:rsidR="00F8215E" w:rsidRPr="00146A17">
        <w:rPr>
          <w:rFonts w:ascii="Times New Roman" w:hAnsi="Times New Roman"/>
        </w:rPr>
        <w:t xml:space="preserve"> </w:t>
      </w:r>
      <w:r w:rsidR="00F00AFF" w:rsidRPr="00146A17">
        <w:rPr>
          <w:rFonts w:ascii="Times New Roman" w:hAnsi="Times New Roman"/>
        </w:rPr>
        <w:t>held that a plaintiff is entitled to the lesser of the plaintiff’s enrichment and the defendant’s impoverishment.</w:t>
      </w:r>
    </w:p>
    <w:p w14:paraId="3E803427" w14:textId="52C315FA" w:rsidR="00F00AFF"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68.2</w:t>
      </w:r>
      <w:r w:rsidRPr="00146A17">
        <w:rPr>
          <w:rFonts w:ascii="Times New Roman" w:hAnsi="Times New Roman"/>
        </w:rPr>
        <w:tab/>
      </w:r>
      <w:r w:rsidR="00420A01" w:rsidRPr="00146A17">
        <w:rPr>
          <w:rFonts w:ascii="Times New Roman" w:hAnsi="Times New Roman"/>
        </w:rPr>
        <w:t>There is insufficient evidence before court to establish, on motion, the quantum of ATS’s continued enrichment.</w:t>
      </w:r>
    </w:p>
    <w:p w14:paraId="6B467BBA" w14:textId="47884B71" w:rsidR="00DC1166" w:rsidRDefault="00843CD7" w:rsidP="00843CD7">
      <w:pPr>
        <w:pStyle w:val="WLGLevel2"/>
        <w:numPr>
          <w:ilvl w:val="0"/>
          <w:numId w:val="0"/>
        </w:numPr>
        <w:tabs>
          <w:tab w:val="left" w:pos="1361"/>
        </w:tabs>
        <w:ind w:left="1361" w:hanging="794"/>
        <w:rPr>
          <w:rFonts w:ascii="Times New Roman" w:hAnsi="Times New Roman"/>
        </w:rPr>
      </w:pPr>
      <w:r>
        <w:rPr>
          <w:rFonts w:ascii="Times New Roman" w:hAnsi="Times New Roman"/>
        </w:rPr>
        <w:t>68.3</w:t>
      </w:r>
      <w:r>
        <w:rPr>
          <w:rFonts w:ascii="Times New Roman" w:hAnsi="Times New Roman"/>
        </w:rPr>
        <w:tab/>
      </w:r>
      <w:r w:rsidR="002D7C69" w:rsidRPr="00146A17">
        <w:rPr>
          <w:rFonts w:ascii="Times New Roman" w:hAnsi="Times New Roman"/>
        </w:rPr>
        <w:t xml:space="preserve">ATS refers </w:t>
      </w:r>
      <w:r w:rsidR="00DE70B1" w:rsidRPr="00146A17">
        <w:rPr>
          <w:rFonts w:ascii="Times New Roman" w:hAnsi="Times New Roman"/>
        </w:rPr>
        <w:t xml:space="preserve">to the defence of non-enrichment, </w:t>
      </w:r>
      <w:r w:rsidR="002D7C69" w:rsidRPr="00146A17">
        <w:rPr>
          <w:rFonts w:ascii="Times New Roman" w:hAnsi="Times New Roman"/>
        </w:rPr>
        <w:t>relying on the</w:t>
      </w:r>
      <w:r w:rsidR="00D15115" w:rsidRPr="00146A17">
        <w:rPr>
          <w:rFonts w:ascii="Times New Roman" w:hAnsi="Times New Roman"/>
        </w:rPr>
        <w:t xml:space="preserve"> academic writing of Professor Daniel Visser, probably the leading expert on unjustified enrichment </w:t>
      </w:r>
      <w:r w:rsidR="00D15115" w:rsidRPr="00146A17">
        <w:rPr>
          <w:rFonts w:ascii="Times New Roman" w:hAnsi="Times New Roman"/>
        </w:rPr>
        <w:lastRenderedPageBreak/>
        <w:t xml:space="preserve">in South Africa, and the decision of the Appellate Division in </w:t>
      </w:r>
      <w:r w:rsidR="00D15115" w:rsidRPr="00146A17">
        <w:rPr>
          <w:rFonts w:ascii="Times New Roman" w:hAnsi="Times New Roman"/>
          <w:i/>
          <w:iCs/>
        </w:rPr>
        <w:t>African Diamond Exporters</w:t>
      </w:r>
      <w:r w:rsidR="002D7C69" w:rsidRPr="00146A17">
        <w:rPr>
          <w:rFonts w:ascii="Times New Roman" w:hAnsi="Times New Roman"/>
        </w:rPr>
        <w:t>.</w:t>
      </w:r>
      <w:r w:rsidR="00D15115" w:rsidRPr="00146A17">
        <w:rPr>
          <w:rStyle w:val="FootnoteReference"/>
          <w:rFonts w:ascii="Times New Roman" w:hAnsi="Times New Roman"/>
        </w:rPr>
        <w:footnoteReference w:id="36"/>
      </w:r>
      <w:r w:rsidR="002D7C69" w:rsidRPr="00146A17">
        <w:rPr>
          <w:rFonts w:ascii="Times New Roman" w:hAnsi="Times New Roman"/>
        </w:rPr>
        <w:t xml:space="preserve"> It says that</w:t>
      </w:r>
      <w:r w:rsidR="00513BCC">
        <w:rPr>
          <w:rFonts w:ascii="Times New Roman" w:hAnsi="Times New Roman"/>
        </w:rPr>
        <w:t xml:space="preserve"> </w:t>
      </w:r>
      <w:r w:rsidR="00CF3C95" w:rsidRPr="00146A17">
        <w:rPr>
          <w:rFonts w:ascii="Times New Roman" w:hAnsi="Times New Roman"/>
        </w:rPr>
        <w:t>if</w:t>
      </w:r>
      <w:r w:rsidR="00513BCC">
        <w:rPr>
          <w:rFonts w:ascii="Times New Roman" w:hAnsi="Times New Roman"/>
        </w:rPr>
        <w:t>,</w:t>
      </w:r>
      <w:r w:rsidR="00CF3C95" w:rsidRPr="00146A17">
        <w:rPr>
          <w:rFonts w:ascii="Times New Roman" w:hAnsi="Times New Roman"/>
        </w:rPr>
        <w:t xml:space="preserve"> at the time when the application or action is launched</w:t>
      </w:r>
      <w:r w:rsidR="00040626" w:rsidRPr="00146A17">
        <w:rPr>
          <w:rFonts w:ascii="Times New Roman" w:hAnsi="Times New Roman"/>
        </w:rPr>
        <w:t xml:space="preserve"> the defendant’s enrichment has extinguished, it is not </w:t>
      </w:r>
      <w:r w:rsidR="00662104">
        <w:rPr>
          <w:rFonts w:ascii="Times New Roman" w:hAnsi="Times New Roman"/>
        </w:rPr>
        <w:t xml:space="preserve">obliged </w:t>
      </w:r>
      <w:r w:rsidR="00040626" w:rsidRPr="00146A17">
        <w:rPr>
          <w:rFonts w:ascii="Times New Roman" w:hAnsi="Times New Roman"/>
        </w:rPr>
        <w:t>to restore anything to the plaintiff.</w:t>
      </w:r>
      <w:r w:rsidR="00470E09" w:rsidRPr="00146A17">
        <w:rPr>
          <w:rFonts w:ascii="Times New Roman" w:hAnsi="Times New Roman"/>
        </w:rPr>
        <w:t xml:space="preserve"> ATS points out that Wamjay alleges that ATS has retained all of the R6</w:t>
      </w:r>
      <w:r w:rsidR="00D554F2">
        <w:rPr>
          <w:rFonts w:ascii="Times New Roman" w:hAnsi="Times New Roman"/>
        </w:rPr>
        <w:t>.</w:t>
      </w:r>
      <w:r w:rsidR="00470E09" w:rsidRPr="00146A17">
        <w:rPr>
          <w:rFonts w:ascii="Times New Roman" w:hAnsi="Times New Roman"/>
        </w:rPr>
        <w:t>5 million which Wamjay paid to it in terms of the cession agreement, while ATS says that it retains none of it.</w:t>
      </w:r>
      <w:r w:rsidR="005F6000" w:rsidRPr="00146A17">
        <w:rPr>
          <w:rFonts w:ascii="Times New Roman" w:hAnsi="Times New Roman"/>
        </w:rPr>
        <w:t xml:space="preserve"> On the ordinary approach to disputes of fact, this dis</w:t>
      </w:r>
      <w:r w:rsidR="00620B3F">
        <w:rPr>
          <w:rFonts w:ascii="Times New Roman" w:hAnsi="Times New Roman"/>
        </w:rPr>
        <w:t>agreement</w:t>
      </w:r>
      <w:r w:rsidR="005F6000" w:rsidRPr="00146A17">
        <w:rPr>
          <w:rFonts w:ascii="Times New Roman" w:hAnsi="Times New Roman"/>
        </w:rPr>
        <w:t xml:space="preserve"> should, according to ATS, be decided on ATS’s version.</w:t>
      </w:r>
      <w:r w:rsidR="005A0DAE" w:rsidRPr="00146A17">
        <w:rPr>
          <w:rFonts w:ascii="Times New Roman" w:hAnsi="Times New Roman"/>
        </w:rPr>
        <w:t xml:space="preserve"> </w:t>
      </w:r>
    </w:p>
    <w:p w14:paraId="75DA2988" w14:textId="35382FA3" w:rsidR="00420A01" w:rsidRPr="00146A17" w:rsidRDefault="00843CD7" w:rsidP="00843CD7">
      <w:pPr>
        <w:pStyle w:val="WLGLevel2"/>
        <w:numPr>
          <w:ilvl w:val="0"/>
          <w:numId w:val="0"/>
        </w:numPr>
        <w:tabs>
          <w:tab w:val="left" w:pos="1361"/>
        </w:tabs>
        <w:ind w:left="1361" w:hanging="794"/>
        <w:rPr>
          <w:rFonts w:ascii="Times New Roman" w:hAnsi="Times New Roman"/>
        </w:rPr>
      </w:pPr>
      <w:r w:rsidRPr="00146A17">
        <w:rPr>
          <w:rFonts w:ascii="Times New Roman" w:hAnsi="Times New Roman"/>
        </w:rPr>
        <w:t>68.4</w:t>
      </w:r>
      <w:r w:rsidRPr="00146A17">
        <w:rPr>
          <w:rFonts w:ascii="Times New Roman" w:hAnsi="Times New Roman"/>
        </w:rPr>
        <w:tab/>
      </w:r>
      <w:r w:rsidR="005A0DAE" w:rsidRPr="00146A17">
        <w:rPr>
          <w:rFonts w:ascii="Times New Roman" w:hAnsi="Times New Roman"/>
        </w:rPr>
        <w:t xml:space="preserve">ATS accepts that there is an exception to the non-enrichment defence: a defendant cannot rely on the defence if it parted with the money mala fide; ie, when it knew that the money was paid without legal cause. But it says that there is no evidence that </w:t>
      </w:r>
      <w:r w:rsidR="00857C1B" w:rsidRPr="00146A17">
        <w:rPr>
          <w:rFonts w:ascii="Times New Roman" w:hAnsi="Times New Roman"/>
        </w:rPr>
        <w:t>ATS parted with the money in bad faith as defined in this way. On the contrary, says ATS, both parties honestly believed that the amount was lawfully owing by Wamjay to ATS</w:t>
      </w:r>
      <w:r w:rsidR="00E64F58" w:rsidRPr="00146A17">
        <w:rPr>
          <w:rFonts w:ascii="Times New Roman" w:hAnsi="Times New Roman"/>
        </w:rPr>
        <w:t>.</w:t>
      </w:r>
    </w:p>
    <w:p w14:paraId="2F024819" w14:textId="30BF47F4" w:rsidR="004C6071" w:rsidRDefault="00843CD7" w:rsidP="00843CD7">
      <w:pPr>
        <w:pStyle w:val="WLGLevel1"/>
        <w:numPr>
          <w:ilvl w:val="0"/>
          <w:numId w:val="0"/>
        </w:numPr>
        <w:tabs>
          <w:tab w:val="left" w:pos="567"/>
        </w:tabs>
        <w:ind w:left="562" w:hanging="562"/>
        <w:rPr>
          <w:rFonts w:ascii="Times New Roman" w:hAnsi="Times New Roman"/>
        </w:rPr>
      </w:pPr>
      <w:r>
        <w:rPr>
          <w:rFonts w:ascii="Times New Roman" w:hAnsi="Times New Roman"/>
        </w:rPr>
        <w:t>69</w:t>
      </w:r>
      <w:r>
        <w:rPr>
          <w:rFonts w:ascii="Times New Roman" w:hAnsi="Times New Roman"/>
        </w:rPr>
        <w:tab/>
      </w:r>
      <w:r w:rsidR="00E64F58" w:rsidRPr="00146A17">
        <w:rPr>
          <w:rFonts w:ascii="Times New Roman" w:hAnsi="Times New Roman"/>
        </w:rPr>
        <w:t xml:space="preserve">The </w:t>
      </w:r>
      <w:r w:rsidR="00DC1166">
        <w:rPr>
          <w:rFonts w:ascii="Times New Roman" w:hAnsi="Times New Roman"/>
        </w:rPr>
        <w:t xml:space="preserve">full </w:t>
      </w:r>
      <w:r w:rsidR="00E64F58" w:rsidRPr="00146A17">
        <w:rPr>
          <w:rFonts w:ascii="Times New Roman" w:hAnsi="Times New Roman"/>
        </w:rPr>
        <w:t xml:space="preserve">scope of the non-enrichment defence is by no means clear. </w:t>
      </w:r>
      <w:r w:rsidR="00FD3D5D" w:rsidRPr="00146A17">
        <w:rPr>
          <w:rFonts w:ascii="Times New Roman" w:hAnsi="Times New Roman"/>
        </w:rPr>
        <w:t>As framed by ATS, it simply means that, as a complete defence to an enrichment claim</w:t>
      </w:r>
      <w:r w:rsidR="00DC1166">
        <w:rPr>
          <w:rFonts w:ascii="Times New Roman" w:hAnsi="Times New Roman"/>
        </w:rPr>
        <w:t xml:space="preserve"> (and leaving bad faith aside)</w:t>
      </w:r>
      <w:r w:rsidR="00FD3D5D" w:rsidRPr="00146A17">
        <w:rPr>
          <w:rFonts w:ascii="Times New Roman" w:hAnsi="Times New Roman"/>
        </w:rPr>
        <w:t xml:space="preserve">, the defendant can allege and prove that it </w:t>
      </w:r>
      <w:r w:rsidR="006F26B7">
        <w:rPr>
          <w:rFonts w:ascii="Times New Roman" w:hAnsi="Times New Roman"/>
        </w:rPr>
        <w:t xml:space="preserve">had </w:t>
      </w:r>
      <w:r w:rsidR="00FD3D5D" w:rsidRPr="00146A17">
        <w:rPr>
          <w:rFonts w:ascii="Times New Roman" w:hAnsi="Times New Roman"/>
        </w:rPr>
        <w:t>spent all the money which it received</w:t>
      </w:r>
      <w:r w:rsidR="00370D55" w:rsidRPr="00146A17">
        <w:rPr>
          <w:rFonts w:ascii="Times New Roman" w:hAnsi="Times New Roman"/>
        </w:rPr>
        <w:t xml:space="preserve"> </w:t>
      </w:r>
      <w:r w:rsidR="006F26B7">
        <w:rPr>
          <w:rFonts w:ascii="Times New Roman" w:hAnsi="Times New Roman"/>
        </w:rPr>
        <w:t>by</w:t>
      </w:r>
      <w:r w:rsidR="00370D55" w:rsidRPr="00146A17">
        <w:rPr>
          <w:rFonts w:ascii="Times New Roman" w:hAnsi="Times New Roman"/>
        </w:rPr>
        <w:t xml:space="preserve"> the time </w:t>
      </w:r>
      <w:r w:rsidR="006F26B7">
        <w:rPr>
          <w:rFonts w:ascii="Times New Roman" w:hAnsi="Times New Roman"/>
        </w:rPr>
        <w:t xml:space="preserve">that </w:t>
      </w:r>
      <w:r w:rsidR="00370D55" w:rsidRPr="00146A17">
        <w:rPr>
          <w:rFonts w:ascii="Times New Roman" w:hAnsi="Times New Roman"/>
        </w:rPr>
        <w:t>the claim was launched</w:t>
      </w:r>
      <w:r w:rsidR="000B07DE" w:rsidRPr="00146A17">
        <w:rPr>
          <w:rFonts w:ascii="Times New Roman" w:hAnsi="Times New Roman"/>
        </w:rPr>
        <w:t xml:space="preserve">. </w:t>
      </w:r>
      <w:r w:rsidR="009969C8" w:rsidRPr="00146A17">
        <w:rPr>
          <w:rFonts w:ascii="Times New Roman" w:hAnsi="Times New Roman"/>
        </w:rPr>
        <w:t xml:space="preserve">It is by no means clear to me that this is the proper characterisation of the defence. </w:t>
      </w:r>
      <w:r w:rsidR="000B07DE" w:rsidRPr="00146A17">
        <w:rPr>
          <w:rFonts w:ascii="Times New Roman" w:hAnsi="Times New Roman"/>
        </w:rPr>
        <w:t xml:space="preserve">In </w:t>
      </w:r>
      <w:r w:rsidR="008A435A" w:rsidRPr="00146A17">
        <w:rPr>
          <w:rFonts w:ascii="Times New Roman" w:hAnsi="Times New Roman"/>
          <w:i/>
          <w:iCs/>
        </w:rPr>
        <w:t>Geach</w:t>
      </w:r>
      <w:r w:rsidR="008A435A" w:rsidRPr="00146A17">
        <w:rPr>
          <w:rFonts w:ascii="Times New Roman" w:hAnsi="Times New Roman"/>
        </w:rPr>
        <w:t>,</w:t>
      </w:r>
      <w:r w:rsidR="00752236" w:rsidRPr="00146A17">
        <w:rPr>
          <w:rStyle w:val="FootnoteReference"/>
          <w:rFonts w:ascii="Times New Roman" w:hAnsi="Times New Roman"/>
        </w:rPr>
        <w:footnoteReference w:id="37"/>
      </w:r>
      <w:r w:rsidR="008A435A" w:rsidRPr="00146A17">
        <w:rPr>
          <w:rFonts w:ascii="Times New Roman" w:hAnsi="Times New Roman"/>
        </w:rPr>
        <w:t xml:space="preserve"> Wallis JA characterised the defence, in a minority judgment, as being available whe</w:t>
      </w:r>
      <w:r w:rsidR="00453C92">
        <w:rPr>
          <w:rFonts w:ascii="Times New Roman" w:hAnsi="Times New Roman"/>
        </w:rPr>
        <w:t>n</w:t>
      </w:r>
      <w:r w:rsidR="008A435A" w:rsidRPr="00146A17">
        <w:rPr>
          <w:rFonts w:ascii="Times New Roman" w:hAnsi="Times New Roman"/>
        </w:rPr>
        <w:t xml:space="preserve"> </w:t>
      </w:r>
      <w:r w:rsidR="00752236" w:rsidRPr="00146A17">
        <w:rPr>
          <w:rFonts w:ascii="Times New Roman" w:hAnsi="Times New Roman"/>
        </w:rPr>
        <w:t>“the recipient of the payment can show that, if the payment had not taken place, it would have been in no worse position tha</w:t>
      </w:r>
      <w:r w:rsidR="00874AFF">
        <w:rPr>
          <w:rFonts w:ascii="Times New Roman" w:hAnsi="Times New Roman"/>
        </w:rPr>
        <w:t>n</w:t>
      </w:r>
      <w:r w:rsidR="00752236" w:rsidRPr="00146A17">
        <w:rPr>
          <w:rFonts w:ascii="Times New Roman" w:hAnsi="Times New Roman"/>
        </w:rPr>
        <w:t xml:space="preserve"> it was as a result of the payment”.</w:t>
      </w:r>
      <w:r w:rsidR="009969C8" w:rsidRPr="00146A17">
        <w:rPr>
          <w:rFonts w:ascii="Times New Roman" w:hAnsi="Times New Roman"/>
        </w:rPr>
        <w:t xml:space="preserve"> Although </w:t>
      </w:r>
      <w:r w:rsidR="00B64451" w:rsidRPr="00146A17">
        <w:rPr>
          <w:rFonts w:ascii="Times New Roman" w:hAnsi="Times New Roman"/>
        </w:rPr>
        <w:t xml:space="preserve">this characterisation was made </w:t>
      </w:r>
      <w:r w:rsidR="009969C8" w:rsidRPr="00146A17">
        <w:rPr>
          <w:rFonts w:ascii="Times New Roman" w:hAnsi="Times New Roman"/>
        </w:rPr>
        <w:t xml:space="preserve">in a minority </w:t>
      </w:r>
      <w:r w:rsidR="009969C8" w:rsidRPr="00146A17">
        <w:rPr>
          <w:rFonts w:ascii="Times New Roman" w:hAnsi="Times New Roman"/>
        </w:rPr>
        <w:lastRenderedPageBreak/>
        <w:t>judgment, Wallis J</w:t>
      </w:r>
      <w:r w:rsidR="00D56434" w:rsidRPr="00146A17">
        <w:rPr>
          <w:rFonts w:ascii="Times New Roman" w:hAnsi="Times New Roman"/>
        </w:rPr>
        <w:t>A</w:t>
      </w:r>
      <w:r w:rsidR="009969C8" w:rsidRPr="00146A17">
        <w:rPr>
          <w:rFonts w:ascii="Times New Roman" w:hAnsi="Times New Roman"/>
        </w:rPr>
        <w:t xml:space="preserve"> relied on </w:t>
      </w:r>
      <w:r w:rsidR="009969C8" w:rsidRPr="00146A17">
        <w:rPr>
          <w:rFonts w:ascii="Times New Roman" w:hAnsi="Times New Roman"/>
          <w:i/>
          <w:iCs/>
        </w:rPr>
        <w:t xml:space="preserve">African Diamond </w:t>
      </w:r>
      <w:r w:rsidR="00973E4D" w:rsidRPr="00146A17">
        <w:rPr>
          <w:rFonts w:ascii="Times New Roman" w:hAnsi="Times New Roman"/>
          <w:i/>
          <w:iCs/>
        </w:rPr>
        <w:t>Exporters</w:t>
      </w:r>
      <w:r w:rsidR="00973E4D" w:rsidRPr="00146A17">
        <w:rPr>
          <w:rFonts w:ascii="Times New Roman" w:hAnsi="Times New Roman"/>
        </w:rPr>
        <w:t xml:space="preserve"> </w:t>
      </w:r>
      <w:r w:rsidR="009969C8" w:rsidRPr="00146A17">
        <w:rPr>
          <w:rFonts w:ascii="Times New Roman" w:hAnsi="Times New Roman"/>
        </w:rPr>
        <w:t>as authority for this proposition and quoted directly from the judgment – which says the same thing – in the footnote.</w:t>
      </w:r>
      <w:r w:rsidR="00C812F8" w:rsidRPr="00146A17">
        <w:rPr>
          <w:rFonts w:ascii="Times New Roman" w:hAnsi="Times New Roman"/>
        </w:rPr>
        <w:t xml:space="preserve"> </w:t>
      </w:r>
    </w:p>
    <w:p w14:paraId="401FC9F3" w14:textId="3D6397B1" w:rsidR="00E64F58"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70</w:t>
      </w:r>
      <w:r w:rsidRPr="00146A17">
        <w:rPr>
          <w:rFonts w:ascii="Times New Roman" w:hAnsi="Times New Roman"/>
        </w:rPr>
        <w:tab/>
      </w:r>
      <w:r w:rsidR="00C812F8" w:rsidRPr="00146A17">
        <w:rPr>
          <w:rFonts w:ascii="Times New Roman" w:hAnsi="Times New Roman"/>
        </w:rPr>
        <w:t xml:space="preserve">Admittedly, in </w:t>
      </w:r>
      <w:r w:rsidR="00C812F8" w:rsidRPr="00146A17">
        <w:rPr>
          <w:rFonts w:ascii="Times New Roman" w:hAnsi="Times New Roman"/>
          <w:i/>
          <w:iCs/>
        </w:rPr>
        <w:t>Affirmative Portfolios CC</w:t>
      </w:r>
      <w:r w:rsidR="00C812F8" w:rsidRPr="00146A17">
        <w:rPr>
          <w:rFonts w:ascii="Times New Roman" w:hAnsi="Times New Roman"/>
        </w:rPr>
        <w:t>,</w:t>
      </w:r>
      <w:r w:rsidR="00C812F8" w:rsidRPr="00146A17">
        <w:rPr>
          <w:rStyle w:val="FootnoteReference"/>
          <w:rFonts w:ascii="Times New Roman" w:hAnsi="Times New Roman"/>
        </w:rPr>
        <w:footnoteReference w:id="38"/>
      </w:r>
      <w:r w:rsidR="00C812F8" w:rsidRPr="00146A17">
        <w:rPr>
          <w:rFonts w:ascii="Times New Roman" w:hAnsi="Times New Roman"/>
        </w:rPr>
        <w:t xml:space="preserve"> </w:t>
      </w:r>
      <w:r w:rsidR="00590A57" w:rsidRPr="00146A17">
        <w:rPr>
          <w:rFonts w:ascii="Times New Roman" w:hAnsi="Times New Roman"/>
        </w:rPr>
        <w:t>the SCA expressed the principle far more broadly as being that “where the receiver has lost or disposed of part of that which has been paid to him, he will only be liable for what remains in his hands at the time when the action is instituted”.</w:t>
      </w:r>
      <w:r w:rsidR="00F12160" w:rsidRPr="00146A17">
        <w:rPr>
          <w:rFonts w:ascii="Times New Roman" w:hAnsi="Times New Roman"/>
        </w:rPr>
        <w:t xml:space="preserve"> But, in stating the proposition, the SCA relied again on </w:t>
      </w:r>
      <w:r w:rsidR="00F12160" w:rsidRPr="00146A17">
        <w:rPr>
          <w:rFonts w:ascii="Times New Roman" w:hAnsi="Times New Roman"/>
          <w:i/>
          <w:iCs/>
        </w:rPr>
        <w:t>African Diamond Export</w:t>
      </w:r>
      <w:r w:rsidR="006E3A0D" w:rsidRPr="00146A17">
        <w:rPr>
          <w:rFonts w:ascii="Times New Roman" w:hAnsi="Times New Roman"/>
          <w:i/>
          <w:iCs/>
        </w:rPr>
        <w:t>ers</w:t>
      </w:r>
      <w:r w:rsidR="006E3A0D" w:rsidRPr="00146A17">
        <w:rPr>
          <w:rFonts w:ascii="Times New Roman" w:hAnsi="Times New Roman"/>
        </w:rPr>
        <w:t xml:space="preserve">. And, on the facts, the non-enrichment </w:t>
      </w:r>
      <w:r w:rsidR="004C6071">
        <w:rPr>
          <w:rFonts w:ascii="Times New Roman" w:hAnsi="Times New Roman"/>
        </w:rPr>
        <w:t xml:space="preserve">in </w:t>
      </w:r>
      <w:r w:rsidR="004C6071" w:rsidRPr="004C6071">
        <w:rPr>
          <w:rFonts w:ascii="Times New Roman" w:hAnsi="Times New Roman"/>
          <w:i/>
          <w:iCs/>
        </w:rPr>
        <w:t>Affirmative Portfolios CC</w:t>
      </w:r>
      <w:r w:rsidR="004C6071">
        <w:rPr>
          <w:rFonts w:ascii="Times New Roman" w:hAnsi="Times New Roman"/>
        </w:rPr>
        <w:t xml:space="preserve"> </w:t>
      </w:r>
      <w:r w:rsidR="006E3A0D" w:rsidRPr="00146A17">
        <w:rPr>
          <w:rFonts w:ascii="Times New Roman" w:hAnsi="Times New Roman"/>
        </w:rPr>
        <w:t xml:space="preserve">would have fallen within the </w:t>
      </w:r>
      <w:r w:rsidR="006E3A0D" w:rsidRPr="00146A17">
        <w:rPr>
          <w:rFonts w:ascii="Times New Roman" w:hAnsi="Times New Roman"/>
          <w:i/>
          <w:iCs/>
        </w:rPr>
        <w:t>African Diamond</w:t>
      </w:r>
      <w:r w:rsidR="006E3A0D" w:rsidRPr="00146A17">
        <w:rPr>
          <w:rFonts w:ascii="Times New Roman" w:hAnsi="Times New Roman"/>
        </w:rPr>
        <w:t xml:space="preserve"> formulation because the defendant (appellant) was a labour broker</w:t>
      </w:r>
      <w:r w:rsidR="00C07653" w:rsidRPr="00146A17">
        <w:rPr>
          <w:rFonts w:ascii="Times New Roman" w:hAnsi="Times New Roman"/>
        </w:rPr>
        <w:t xml:space="preserve"> which retained very little of what it was paid under the invalid contract. This was because most of the money it received had to be paid to employees and r</w:t>
      </w:r>
      <w:r w:rsidR="006029C9" w:rsidRPr="00146A17">
        <w:rPr>
          <w:rFonts w:ascii="Times New Roman" w:hAnsi="Times New Roman"/>
        </w:rPr>
        <w:t xml:space="preserve">egulatory authorities and it was entitled to receive only a small administrative fee. This is very different to a situation, as we have in this case, </w:t>
      </w:r>
      <w:r w:rsidR="001242E0">
        <w:rPr>
          <w:rFonts w:ascii="Times New Roman" w:hAnsi="Times New Roman"/>
        </w:rPr>
        <w:t>in which</w:t>
      </w:r>
      <w:r w:rsidR="006029C9" w:rsidRPr="00146A17">
        <w:rPr>
          <w:rFonts w:ascii="Times New Roman" w:hAnsi="Times New Roman"/>
        </w:rPr>
        <w:t xml:space="preserve"> the defendant essentially says: yes, I received the money and spent it for my own benefit, but I have not been enriched</w:t>
      </w:r>
      <w:r w:rsidR="00205078" w:rsidRPr="00146A17">
        <w:rPr>
          <w:rFonts w:ascii="Times New Roman" w:hAnsi="Times New Roman"/>
        </w:rPr>
        <w:t xml:space="preserve"> because the money is all gone now.</w:t>
      </w:r>
    </w:p>
    <w:p w14:paraId="3161CBE8" w14:textId="3512FE6C" w:rsidR="007B7683" w:rsidRDefault="00843CD7" w:rsidP="00843CD7">
      <w:pPr>
        <w:pStyle w:val="WLGLevel1"/>
        <w:numPr>
          <w:ilvl w:val="0"/>
          <w:numId w:val="0"/>
        </w:numPr>
        <w:tabs>
          <w:tab w:val="left" w:pos="567"/>
        </w:tabs>
        <w:ind w:left="562" w:hanging="562"/>
        <w:rPr>
          <w:rFonts w:ascii="Times New Roman" w:hAnsi="Times New Roman"/>
        </w:rPr>
      </w:pPr>
      <w:bookmarkStart w:id="11" w:name="_Ref147132369"/>
      <w:r>
        <w:rPr>
          <w:rFonts w:ascii="Times New Roman" w:hAnsi="Times New Roman"/>
        </w:rPr>
        <w:t>71</w:t>
      </w:r>
      <w:r>
        <w:rPr>
          <w:rFonts w:ascii="Times New Roman" w:hAnsi="Times New Roman"/>
        </w:rPr>
        <w:tab/>
      </w:r>
      <w:r w:rsidR="005D3A0D" w:rsidRPr="00146A17">
        <w:rPr>
          <w:rFonts w:ascii="Times New Roman" w:hAnsi="Times New Roman"/>
        </w:rPr>
        <w:t xml:space="preserve">It also seems to me that the mala-fide exclusion has not been </w:t>
      </w:r>
      <w:r w:rsidR="00025730" w:rsidRPr="00146A17">
        <w:rPr>
          <w:rFonts w:ascii="Times New Roman" w:hAnsi="Times New Roman"/>
        </w:rPr>
        <w:t xml:space="preserve">sufficiently </w:t>
      </w:r>
      <w:r w:rsidR="005D3A0D" w:rsidRPr="00146A17">
        <w:rPr>
          <w:rFonts w:ascii="Times New Roman" w:hAnsi="Times New Roman"/>
        </w:rPr>
        <w:t>fleshed out</w:t>
      </w:r>
      <w:r w:rsidR="00025730" w:rsidRPr="00146A17">
        <w:rPr>
          <w:rFonts w:ascii="Times New Roman" w:hAnsi="Times New Roman"/>
        </w:rPr>
        <w:t xml:space="preserve"> in the caselaw </w:t>
      </w:r>
      <w:r w:rsidR="00B479D7" w:rsidRPr="00146A17">
        <w:rPr>
          <w:rFonts w:ascii="Times New Roman" w:hAnsi="Times New Roman"/>
        </w:rPr>
        <w:t xml:space="preserve">to </w:t>
      </w:r>
      <w:r w:rsidR="00855AFF" w:rsidRPr="00146A17">
        <w:rPr>
          <w:rFonts w:ascii="Times New Roman" w:hAnsi="Times New Roman"/>
        </w:rPr>
        <w:t>support ATS’s framing of how it works</w:t>
      </w:r>
      <w:r w:rsidR="005D3A0D" w:rsidRPr="00146A17">
        <w:rPr>
          <w:rFonts w:ascii="Times New Roman" w:hAnsi="Times New Roman"/>
        </w:rPr>
        <w:t xml:space="preserve">. </w:t>
      </w:r>
      <w:r w:rsidR="00B63EBD">
        <w:rPr>
          <w:rFonts w:ascii="Times New Roman" w:hAnsi="Times New Roman"/>
        </w:rPr>
        <w:t xml:space="preserve">Interestingly, ATS, in its heads of argument, </w:t>
      </w:r>
      <w:r w:rsidR="003B2F36">
        <w:rPr>
          <w:rFonts w:ascii="Times New Roman" w:hAnsi="Times New Roman"/>
        </w:rPr>
        <w:t>frames the bad-faith rule as being that an enrichment claim is “not available to a defendant who has parted with the enrichment in bad faith</w:t>
      </w:r>
      <w:r w:rsidR="00CB78DF">
        <w:rPr>
          <w:rFonts w:ascii="Times New Roman" w:hAnsi="Times New Roman"/>
        </w:rPr>
        <w:t>, ie where he was aware or</w:t>
      </w:r>
      <w:r w:rsidR="00CB78DF" w:rsidRPr="00CB78DF">
        <w:rPr>
          <w:rFonts w:ascii="Times New Roman" w:hAnsi="Times New Roman"/>
        </w:rPr>
        <w:t xml:space="preserve"> </w:t>
      </w:r>
      <w:r w:rsidR="00CB78DF" w:rsidRPr="00CB78DF">
        <w:rPr>
          <w:rFonts w:ascii="Times New Roman" w:hAnsi="Times New Roman"/>
          <w:u w:val="single"/>
        </w:rPr>
        <w:t>should have been aware</w:t>
      </w:r>
      <w:r w:rsidR="00CB78DF">
        <w:rPr>
          <w:rFonts w:ascii="Times New Roman" w:hAnsi="Times New Roman"/>
        </w:rPr>
        <w:t xml:space="preserve">, at the time of parting therewith, that he had been enriched sine causa” (my emphasis). This framing is interesting, because no final decision has been made by our courts as to the role which negligence plays in this enquiry. </w:t>
      </w:r>
      <w:r w:rsidR="007B7683">
        <w:rPr>
          <w:rFonts w:ascii="Times New Roman" w:hAnsi="Times New Roman"/>
        </w:rPr>
        <w:t xml:space="preserve">ATS’s </w:t>
      </w:r>
      <w:r w:rsidR="007B7683">
        <w:rPr>
          <w:rFonts w:ascii="Times New Roman" w:hAnsi="Times New Roman"/>
        </w:rPr>
        <w:lastRenderedPageBreak/>
        <w:t xml:space="preserve">framing would suggest that even if it subjectively acted in good faith, it could fail in its defence if its conduct was unreasonable. I am not sure whether this was its intention, because elsewhere in its heads of argument </w:t>
      </w:r>
      <w:r w:rsidR="00FF65F2">
        <w:rPr>
          <w:rFonts w:ascii="Times New Roman" w:hAnsi="Times New Roman"/>
        </w:rPr>
        <w:t>it says that it “honestly believed” that the University had no case – which suggests a purely subjective enquiry.</w:t>
      </w:r>
    </w:p>
    <w:p w14:paraId="4C49EF4B" w14:textId="49113B0B" w:rsidR="00B63EBD" w:rsidRDefault="00843CD7" w:rsidP="00843CD7">
      <w:pPr>
        <w:pStyle w:val="WLGLevel1"/>
        <w:numPr>
          <w:ilvl w:val="0"/>
          <w:numId w:val="0"/>
        </w:numPr>
        <w:tabs>
          <w:tab w:val="left" w:pos="567"/>
        </w:tabs>
        <w:ind w:left="562" w:hanging="562"/>
        <w:rPr>
          <w:rFonts w:ascii="Times New Roman" w:hAnsi="Times New Roman"/>
        </w:rPr>
      </w:pPr>
      <w:bookmarkStart w:id="12" w:name="_Ref147134834"/>
      <w:r>
        <w:rPr>
          <w:rFonts w:ascii="Times New Roman" w:hAnsi="Times New Roman"/>
        </w:rPr>
        <w:t>72</w:t>
      </w:r>
      <w:r>
        <w:rPr>
          <w:rFonts w:ascii="Times New Roman" w:hAnsi="Times New Roman"/>
        </w:rPr>
        <w:tab/>
      </w:r>
      <w:r w:rsidR="00CB78DF">
        <w:rPr>
          <w:rFonts w:ascii="Times New Roman" w:hAnsi="Times New Roman"/>
        </w:rPr>
        <w:t xml:space="preserve">The issue which is squarely raised by the present case is: can the recipient of money </w:t>
      </w:r>
      <w:r w:rsidR="007F45AB">
        <w:rPr>
          <w:rFonts w:ascii="Times New Roman" w:hAnsi="Times New Roman"/>
        </w:rPr>
        <w:t>raise the defence of non-enrichment where it spends the money it received genuinely believing itself entitled to do so, but where it ought to have realised that it had been unjustifiably enriched?</w:t>
      </w:r>
      <w:r w:rsidR="009F58BB">
        <w:rPr>
          <w:rFonts w:ascii="Times New Roman" w:hAnsi="Times New Roman"/>
        </w:rPr>
        <w:t xml:space="preserve"> A related, but subtly different way of framing the same question is to ask: can the recipient of money raise the defence of non-enrichment where it spends the money it received genuinely believing itself entitled to do so, but where it ought to have realised that it might </w:t>
      </w:r>
      <w:r w:rsidR="00E615DA">
        <w:rPr>
          <w:rFonts w:ascii="Times New Roman" w:hAnsi="Times New Roman"/>
        </w:rPr>
        <w:t xml:space="preserve">face a claim </w:t>
      </w:r>
      <w:r w:rsidR="009F58BB">
        <w:rPr>
          <w:rFonts w:ascii="Times New Roman" w:hAnsi="Times New Roman"/>
        </w:rPr>
        <w:t>to repay the money?</w:t>
      </w:r>
      <w:bookmarkEnd w:id="11"/>
      <w:bookmarkEnd w:id="12"/>
    </w:p>
    <w:p w14:paraId="08D7AA99" w14:textId="27BE42B1" w:rsidR="00D12FB7" w:rsidRDefault="00843CD7" w:rsidP="00843CD7">
      <w:pPr>
        <w:pStyle w:val="WLGLevel1"/>
        <w:numPr>
          <w:ilvl w:val="0"/>
          <w:numId w:val="0"/>
        </w:numPr>
        <w:tabs>
          <w:tab w:val="left" w:pos="567"/>
        </w:tabs>
        <w:ind w:left="562" w:hanging="562"/>
        <w:rPr>
          <w:rFonts w:ascii="Times New Roman" w:hAnsi="Times New Roman"/>
        </w:rPr>
      </w:pPr>
      <w:r>
        <w:rPr>
          <w:rFonts w:ascii="Times New Roman" w:hAnsi="Times New Roman"/>
        </w:rPr>
        <w:t>73</w:t>
      </w:r>
      <w:r>
        <w:rPr>
          <w:rFonts w:ascii="Times New Roman" w:hAnsi="Times New Roman"/>
        </w:rPr>
        <w:tab/>
      </w:r>
      <w:r w:rsidR="00D12FB7">
        <w:rPr>
          <w:rFonts w:ascii="Times New Roman" w:hAnsi="Times New Roman"/>
        </w:rPr>
        <w:t xml:space="preserve">In </w:t>
      </w:r>
      <w:r w:rsidR="00D12FB7" w:rsidRPr="005F010A">
        <w:rPr>
          <w:rFonts w:ascii="Times New Roman" w:hAnsi="Times New Roman"/>
          <w:i/>
          <w:iCs/>
        </w:rPr>
        <w:t xml:space="preserve">African </w:t>
      </w:r>
      <w:r w:rsidR="0035197C" w:rsidRPr="005F010A">
        <w:rPr>
          <w:rFonts w:ascii="Times New Roman" w:hAnsi="Times New Roman"/>
          <w:i/>
          <w:iCs/>
        </w:rPr>
        <w:t>Diamond Exporters</w:t>
      </w:r>
      <w:r w:rsidR="00D12FB7">
        <w:rPr>
          <w:rFonts w:ascii="Times New Roman" w:hAnsi="Times New Roman"/>
        </w:rPr>
        <w:t xml:space="preserve">, </w:t>
      </w:r>
      <w:r w:rsidR="004A026F">
        <w:rPr>
          <w:rFonts w:ascii="Times New Roman" w:hAnsi="Times New Roman"/>
        </w:rPr>
        <w:t xml:space="preserve">Muller JA </w:t>
      </w:r>
      <w:r w:rsidR="006E4B5C">
        <w:rPr>
          <w:rFonts w:ascii="Times New Roman" w:hAnsi="Times New Roman"/>
        </w:rPr>
        <w:t>inclined to the view that the answer to these questions would be no (although he did not draw the distinction which I have drawn by posing these two questions separately), but held that it was unnecessary to decide the issue in that case</w:t>
      </w:r>
      <w:r w:rsidR="00D12FB7">
        <w:rPr>
          <w:rFonts w:ascii="Times New Roman" w:hAnsi="Times New Roman"/>
        </w:rPr>
        <w:t>.</w:t>
      </w:r>
      <w:r w:rsidR="006E4B5C">
        <w:rPr>
          <w:rStyle w:val="FootnoteReference"/>
          <w:rFonts w:ascii="Times New Roman" w:hAnsi="Times New Roman"/>
        </w:rPr>
        <w:footnoteReference w:id="39"/>
      </w:r>
      <w:r w:rsidR="00D12FB7">
        <w:rPr>
          <w:rFonts w:ascii="Times New Roman" w:hAnsi="Times New Roman"/>
        </w:rPr>
        <w:t xml:space="preserve"> In </w:t>
      </w:r>
      <w:r w:rsidR="00DE38A3" w:rsidRPr="005F010A">
        <w:rPr>
          <w:rFonts w:ascii="Times New Roman" w:hAnsi="Times New Roman"/>
          <w:i/>
          <w:iCs/>
        </w:rPr>
        <w:t>McCarthy Retail v Shortdistance</w:t>
      </w:r>
      <w:r w:rsidR="00DE38A3">
        <w:rPr>
          <w:rFonts w:ascii="Times New Roman" w:hAnsi="Times New Roman"/>
        </w:rPr>
        <w:t xml:space="preserve">, in what appears to be an obiter dictum, Schutz JA </w:t>
      </w:r>
      <w:r w:rsidR="001F4460">
        <w:rPr>
          <w:rFonts w:ascii="Times New Roman" w:hAnsi="Times New Roman"/>
        </w:rPr>
        <w:t xml:space="preserve">clearly favoured an approach which would answer both of the questions which I have posed in paragraph </w:t>
      </w:r>
      <w:r w:rsidR="007F311B">
        <w:rPr>
          <w:rFonts w:ascii="Times New Roman" w:hAnsi="Times New Roman"/>
        </w:rPr>
        <w:fldChar w:fldCharType="begin"/>
      </w:r>
      <w:r w:rsidR="007F311B">
        <w:rPr>
          <w:rFonts w:ascii="Times New Roman" w:hAnsi="Times New Roman"/>
        </w:rPr>
        <w:instrText xml:space="preserve"> REF _Ref147134834 \r \h </w:instrText>
      </w:r>
      <w:r w:rsidR="007F311B">
        <w:rPr>
          <w:rFonts w:ascii="Times New Roman" w:hAnsi="Times New Roman"/>
        </w:rPr>
      </w:r>
      <w:r w:rsidR="007F311B">
        <w:rPr>
          <w:rFonts w:ascii="Times New Roman" w:hAnsi="Times New Roman"/>
        </w:rPr>
        <w:fldChar w:fldCharType="separate"/>
      </w:r>
      <w:r w:rsidR="007F311B">
        <w:rPr>
          <w:rFonts w:ascii="Times New Roman" w:hAnsi="Times New Roman"/>
        </w:rPr>
        <w:t>72</w:t>
      </w:r>
      <w:r w:rsidR="007F311B">
        <w:rPr>
          <w:rFonts w:ascii="Times New Roman" w:hAnsi="Times New Roman"/>
        </w:rPr>
        <w:fldChar w:fldCharType="end"/>
      </w:r>
      <w:r w:rsidR="001F4460">
        <w:rPr>
          <w:rFonts w:ascii="Times New Roman" w:hAnsi="Times New Roman"/>
        </w:rPr>
        <w:t xml:space="preserve"> above in the negative.</w:t>
      </w:r>
      <w:r w:rsidR="001F4460">
        <w:rPr>
          <w:rStyle w:val="FootnoteReference"/>
          <w:rFonts w:ascii="Times New Roman" w:hAnsi="Times New Roman"/>
        </w:rPr>
        <w:footnoteReference w:id="40"/>
      </w:r>
      <w:r w:rsidR="00995BE9">
        <w:rPr>
          <w:rFonts w:ascii="Times New Roman" w:hAnsi="Times New Roman"/>
        </w:rPr>
        <w:t xml:space="preserve"> </w:t>
      </w:r>
    </w:p>
    <w:p w14:paraId="5FC0816D" w14:textId="1AC58CFB" w:rsidR="003F030D" w:rsidRDefault="00843CD7" w:rsidP="00843CD7">
      <w:pPr>
        <w:pStyle w:val="WLGLevel1"/>
        <w:numPr>
          <w:ilvl w:val="0"/>
          <w:numId w:val="0"/>
        </w:numPr>
        <w:tabs>
          <w:tab w:val="left" w:pos="567"/>
        </w:tabs>
        <w:ind w:left="562" w:hanging="562"/>
        <w:rPr>
          <w:rFonts w:ascii="Times New Roman" w:hAnsi="Times New Roman"/>
        </w:rPr>
      </w:pPr>
      <w:r>
        <w:rPr>
          <w:rFonts w:ascii="Times New Roman" w:hAnsi="Times New Roman"/>
        </w:rPr>
        <w:t>74</w:t>
      </w:r>
      <w:r>
        <w:rPr>
          <w:rFonts w:ascii="Times New Roman" w:hAnsi="Times New Roman"/>
        </w:rPr>
        <w:tab/>
      </w:r>
      <w:r w:rsidR="00D26BC4" w:rsidRPr="00146A17">
        <w:rPr>
          <w:rFonts w:ascii="Times New Roman" w:hAnsi="Times New Roman"/>
        </w:rPr>
        <w:t xml:space="preserve">I have considerable </w:t>
      </w:r>
      <w:r w:rsidR="00C411F2">
        <w:rPr>
          <w:rFonts w:ascii="Times New Roman" w:hAnsi="Times New Roman"/>
        </w:rPr>
        <w:t>discomfort with the notion that</w:t>
      </w:r>
      <w:r w:rsidR="00D26BC4" w:rsidRPr="00146A17">
        <w:rPr>
          <w:rFonts w:ascii="Times New Roman" w:hAnsi="Times New Roman"/>
        </w:rPr>
        <w:t xml:space="preserve"> a party such as ATS could be </w:t>
      </w:r>
      <w:r w:rsidR="0078576C">
        <w:rPr>
          <w:rFonts w:ascii="Times New Roman" w:hAnsi="Times New Roman"/>
        </w:rPr>
        <w:t>held entitled</w:t>
      </w:r>
      <w:r w:rsidR="00C411F2">
        <w:rPr>
          <w:rFonts w:ascii="Times New Roman" w:hAnsi="Times New Roman"/>
        </w:rPr>
        <w:t xml:space="preserve"> to raise the defence of non-enrichment</w:t>
      </w:r>
      <w:r w:rsidR="00D26BC4" w:rsidRPr="00146A17">
        <w:rPr>
          <w:rFonts w:ascii="Times New Roman" w:hAnsi="Times New Roman"/>
        </w:rPr>
        <w:t xml:space="preserve"> where (a) it knew from the outset that the University took the view that it could cancel the lease agreement (b) it vigorously opposed the University’s claim while, on its version, spending the money which it </w:t>
      </w:r>
      <w:r w:rsidR="00D26BC4" w:rsidRPr="00146A17">
        <w:rPr>
          <w:rFonts w:ascii="Times New Roman" w:hAnsi="Times New Roman"/>
        </w:rPr>
        <w:lastRenderedPageBreak/>
        <w:t>received from Wamjay and (</w:t>
      </w:r>
      <w:r w:rsidR="005A7B00" w:rsidRPr="00146A17">
        <w:rPr>
          <w:rFonts w:ascii="Times New Roman" w:hAnsi="Times New Roman"/>
        </w:rPr>
        <w:t xml:space="preserve">c) when its defence against the University’s claim failed, it turns around and says that it has spent the money and so cannot be held responsible for Wamjay’s loss. </w:t>
      </w:r>
      <w:r w:rsidR="000D17A4" w:rsidRPr="00146A17">
        <w:rPr>
          <w:rFonts w:ascii="Times New Roman" w:hAnsi="Times New Roman"/>
        </w:rPr>
        <w:t>This is not something which, as far I have been able to tell, has ever</w:t>
      </w:r>
      <w:r w:rsidR="008C463B">
        <w:rPr>
          <w:rFonts w:ascii="Times New Roman" w:hAnsi="Times New Roman"/>
        </w:rPr>
        <w:t xml:space="preserve"> directly</w:t>
      </w:r>
      <w:r w:rsidR="000D17A4" w:rsidRPr="00146A17">
        <w:rPr>
          <w:rFonts w:ascii="Times New Roman" w:hAnsi="Times New Roman"/>
        </w:rPr>
        <w:t xml:space="preserve"> arisen in our caselaw</w:t>
      </w:r>
      <w:r w:rsidR="00807E7C">
        <w:rPr>
          <w:rFonts w:ascii="Times New Roman" w:hAnsi="Times New Roman"/>
        </w:rPr>
        <w:t>.</w:t>
      </w:r>
      <w:r w:rsidR="00CF5DE4">
        <w:rPr>
          <w:rFonts w:ascii="Times New Roman" w:hAnsi="Times New Roman"/>
        </w:rPr>
        <w:t xml:space="preserve"> </w:t>
      </w:r>
      <w:r w:rsidR="00807E7C">
        <w:rPr>
          <w:rFonts w:ascii="Times New Roman" w:hAnsi="Times New Roman"/>
        </w:rPr>
        <w:t>B</w:t>
      </w:r>
      <w:r w:rsidR="008C463B">
        <w:rPr>
          <w:rFonts w:ascii="Times New Roman" w:hAnsi="Times New Roman"/>
        </w:rPr>
        <w:t>ut, as I have noted above</w:t>
      </w:r>
      <w:r w:rsidR="00CF5DE4">
        <w:rPr>
          <w:rFonts w:ascii="Times New Roman" w:hAnsi="Times New Roman"/>
        </w:rPr>
        <w:t>,</w:t>
      </w:r>
      <w:r w:rsidR="008C463B">
        <w:rPr>
          <w:rFonts w:ascii="Times New Roman" w:hAnsi="Times New Roman"/>
        </w:rPr>
        <w:t xml:space="preserve"> the </w:t>
      </w:r>
      <w:r w:rsidR="003F030D">
        <w:rPr>
          <w:rFonts w:ascii="Times New Roman" w:hAnsi="Times New Roman"/>
        </w:rPr>
        <w:t xml:space="preserve">dicta in </w:t>
      </w:r>
      <w:r w:rsidR="003F030D" w:rsidRPr="00CF5DE4">
        <w:rPr>
          <w:rFonts w:ascii="Times New Roman" w:hAnsi="Times New Roman"/>
          <w:i/>
          <w:iCs/>
        </w:rPr>
        <w:t>African Diamond Exporters</w:t>
      </w:r>
      <w:r w:rsidR="003F030D">
        <w:rPr>
          <w:rFonts w:ascii="Times New Roman" w:hAnsi="Times New Roman"/>
        </w:rPr>
        <w:t xml:space="preserve"> and </w:t>
      </w:r>
      <w:r w:rsidR="003F030D" w:rsidRPr="00CF5DE4">
        <w:rPr>
          <w:rFonts w:ascii="Times New Roman" w:hAnsi="Times New Roman"/>
          <w:i/>
          <w:iCs/>
        </w:rPr>
        <w:t>McCarthy Retail</w:t>
      </w:r>
      <w:r w:rsidR="00CF5DE4">
        <w:rPr>
          <w:rFonts w:ascii="Times New Roman" w:hAnsi="Times New Roman"/>
          <w:i/>
          <w:iCs/>
        </w:rPr>
        <w:t>er</w:t>
      </w:r>
      <w:r w:rsidR="003F030D" w:rsidRPr="00CF5DE4">
        <w:rPr>
          <w:rFonts w:ascii="Times New Roman" w:hAnsi="Times New Roman"/>
          <w:i/>
          <w:iCs/>
        </w:rPr>
        <w:t>s</w:t>
      </w:r>
      <w:r w:rsidR="003F030D">
        <w:rPr>
          <w:rFonts w:ascii="Times New Roman" w:hAnsi="Times New Roman"/>
        </w:rPr>
        <w:t xml:space="preserve"> are directly relevant to this issue</w:t>
      </w:r>
      <w:r w:rsidR="000D17A4" w:rsidRPr="00146A17">
        <w:rPr>
          <w:rFonts w:ascii="Times New Roman" w:hAnsi="Times New Roman"/>
        </w:rPr>
        <w:t xml:space="preserve">. </w:t>
      </w:r>
    </w:p>
    <w:p w14:paraId="5035B06C" w14:textId="5431EFB3" w:rsidR="00906282" w:rsidRDefault="00843CD7" w:rsidP="00843CD7">
      <w:pPr>
        <w:pStyle w:val="WLGLevel1"/>
        <w:numPr>
          <w:ilvl w:val="0"/>
          <w:numId w:val="0"/>
        </w:numPr>
        <w:tabs>
          <w:tab w:val="left" w:pos="567"/>
        </w:tabs>
        <w:ind w:left="562" w:hanging="562"/>
        <w:rPr>
          <w:rFonts w:ascii="Times New Roman" w:hAnsi="Times New Roman"/>
        </w:rPr>
      </w:pPr>
      <w:r>
        <w:rPr>
          <w:rFonts w:ascii="Times New Roman" w:hAnsi="Times New Roman"/>
        </w:rPr>
        <w:t>75</w:t>
      </w:r>
      <w:r>
        <w:rPr>
          <w:rFonts w:ascii="Times New Roman" w:hAnsi="Times New Roman"/>
        </w:rPr>
        <w:tab/>
      </w:r>
      <w:r w:rsidR="00010897" w:rsidRPr="00146A17">
        <w:rPr>
          <w:rFonts w:ascii="Times New Roman" w:hAnsi="Times New Roman"/>
        </w:rPr>
        <w:t xml:space="preserve">At least at the level of principle, it seems </w:t>
      </w:r>
      <w:r w:rsidR="00195547" w:rsidRPr="00146A17">
        <w:rPr>
          <w:rFonts w:ascii="Times New Roman" w:hAnsi="Times New Roman"/>
        </w:rPr>
        <w:t xml:space="preserve">deeply problematic to me that a party in this position should be able to resist an enrichment claim on the basis of non-enrichment. One need not conclude that such a party acted in bad faith, in the true sense, to </w:t>
      </w:r>
      <w:r w:rsidR="009A2C44" w:rsidRPr="00146A17">
        <w:rPr>
          <w:rFonts w:ascii="Times New Roman" w:hAnsi="Times New Roman"/>
        </w:rPr>
        <w:t>disentitle it to this defence. It seems to me that mere knowledge of the fact that the validity of the underlying</w:t>
      </w:r>
      <w:r w:rsidR="005C2927" w:rsidRPr="00146A17">
        <w:rPr>
          <w:rFonts w:ascii="Times New Roman" w:hAnsi="Times New Roman"/>
        </w:rPr>
        <w:t xml:space="preserve"> agreement</w:t>
      </w:r>
      <w:r w:rsidR="00F0075F" w:rsidRPr="00146A17">
        <w:rPr>
          <w:rFonts w:ascii="Times New Roman" w:hAnsi="Times New Roman"/>
        </w:rPr>
        <w:t xml:space="preserve"> </w:t>
      </w:r>
      <w:r w:rsidR="005C2927" w:rsidRPr="00146A17">
        <w:rPr>
          <w:rFonts w:ascii="Times New Roman" w:hAnsi="Times New Roman"/>
        </w:rPr>
        <w:t>was hotly contested</w:t>
      </w:r>
      <w:r w:rsidR="00F0075F" w:rsidRPr="00146A17">
        <w:rPr>
          <w:rFonts w:ascii="Times New Roman" w:hAnsi="Times New Roman"/>
        </w:rPr>
        <w:t>, in a case with facts similar to the present,</w:t>
      </w:r>
      <w:r w:rsidR="005C2927" w:rsidRPr="00146A17">
        <w:rPr>
          <w:rFonts w:ascii="Times New Roman" w:hAnsi="Times New Roman"/>
        </w:rPr>
        <w:t xml:space="preserve"> should be enough to put a defendant on notice not to dissipate the money paid to it in terms of the </w:t>
      </w:r>
      <w:r w:rsidR="00A901E6">
        <w:rPr>
          <w:rFonts w:ascii="Times New Roman" w:hAnsi="Times New Roman"/>
        </w:rPr>
        <w:t>agreement which it concluded with the plaintiff.</w:t>
      </w:r>
      <w:r w:rsidR="003F030D">
        <w:rPr>
          <w:rFonts w:ascii="Times New Roman" w:hAnsi="Times New Roman"/>
        </w:rPr>
        <w:t xml:space="preserve"> Professor Visser addresses this issue in his excellent book, </w:t>
      </w:r>
      <w:r w:rsidR="003F030D" w:rsidRPr="008A4D20">
        <w:rPr>
          <w:rFonts w:ascii="Times New Roman" w:hAnsi="Times New Roman"/>
          <w:i/>
          <w:iCs/>
        </w:rPr>
        <w:t>Unjustified Enrichment</w:t>
      </w:r>
      <w:r w:rsidR="00CE027B">
        <w:rPr>
          <w:rFonts w:ascii="Times New Roman" w:hAnsi="Times New Roman"/>
        </w:rPr>
        <w:t>. He takes the view that negligent dispersal of received mo</w:t>
      </w:r>
      <w:r w:rsidR="00C33846">
        <w:rPr>
          <w:rFonts w:ascii="Times New Roman" w:hAnsi="Times New Roman"/>
        </w:rPr>
        <w:t>ney</w:t>
      </w:r>
      <w:r w:rsidR="00CE027B">
        <w:rPr>
          <w:rFonts w:ascii="Times New Roman" w:hAnsi="Times New Roman"/>
        </w:rPr>
        <w:t xml:space="preserve"> should not be </w:t>
      </w:r>
      <w:r w:rsidR="002575EE">
        <w:rPr>
          <w:rFonts w:ascii="Times New Roman" w:hAnsi="Times New Roman"/>
        </w:rPr>
        <w:t>treated exactly the same as</w:t>
      </w:r>
      <w:r w:rsidR="00CE027B">
        <w:rPr>
          <w:rFonts w:ascii="Times New Roman" w:hAnsi="Times New Roman"/>
        </w:rPr>
        <w:t xml:space="preserve"> </w:t>
      </w:r>
      <w:r w:rsidR="00ED0B1C">
        <w:rPr>
          <w:rFonts w:ascii="Times New Roman" w:hAnsi="Times New Roman"/>
        </w:rPr>
        <w:t xml:space="preserve">money spent in </w:t>
      </w:r>
      <w:r w:rsidR="00CE027B">
        <w:rPr>
          <w:rFonts w:ascii="Times New Roman" w:hAnsi="Times New Roman"/>
        </w:rPr>
        <w:t>bad faith</w:t>
      </w:r>
      <w:r w:rsidR="0074211D">
        <w:rPr>
          <w:rFonts w:ascii="Times New Roman" w:hAnsi="Times New Roman"/>
        </w:rPr>
        <w:t xml:space="preserve">. He prefers an approach in which negligence is one of the factors to be taken into account </w:t>
      </w:r>
      <w:r w:rsidR="00754AB1">
        <w:rPr>
          <w:rFonts w:ascii="Times New Roman" w:hAnsi="Times New Roman"/>
        </w:rPr>
        <w:t>b</w:t>
      </w:r>
      <w:r w:rsidR="0074211D">
        <w:rPr>
          <w:rFonts w:ascii="Times New Roman" w:hAnsi="Times New Roman"/>
        </w:rPr>
        <w:t>y a court assessing a defence of non-enrichment</w:t>
      </w:r>
      <w:r w:rsidR="003F7156">
        <w:rPr>
          <w:rFonts w:ascii="Times New Roman" w:hAnsi="Times New Roman"/>
        </w:rPr>
        <w:t xml:space="preserve"> and that it should cut both ways – ie, the negligence of both parties would be relevant.</w:t>
      </w:r>
      <w:r w:rsidR="00E37F1B">
        <w:rPr>
          <w:rStyle w:val="FootnoteReference"/>
          <w:rFonts w:ascii="Times New Roman" w:hAnsi="Times New Roman"/>
        </w:rPr>
        <w:footnoteReference w:id="41"/>
      </w:r>
      <w:r w:rsidR="00754AB1">
        <w:rPr>
          <w:rFonts w:ascii="Times New Roman" w:hAnsi="Times New Roman"/>
        </w:rPr>
        <w:t xml:space="preserve"> I would respectfully agree with his assessment. </w:t>
      </w:r>
    </w:p>
    <w:p w14:paraId="51700694" w14:textId="414020AA" w:rsidR="00010897"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76</w:t>
      </w:r>
      <w:r w:rsidRPr="00146A17">
        <w:rPr>
          <w:rFonts w:ascii="Times New Roman" w:hAnsi="Times New Roman"/>
        </w:rPr>
        <w:tab/>
      </w:r>
      <w:r w:rsidR="00754AB1">
        <w:rPr>
          <w:rFonts w:ascii="Times New Roman" w:hAnsi="Times New Roman"/>
        </w:rPr>
        <w:t xml:space="preserve">On the facts of this case, I would have grave difficulty in finding that ATS could rely on a defence of non-enrichment, even if it was not mala fide in the true sense. It must have anticipated that the University’s claim </w:t>
      </w:r>
      <w:r w:rsidR="005001DF">
        <w:rPr>
          <w:rFonts w:ascii="Times New Roman" w:hAnsi="Times New Roman"/>
        </w:rPr>
        <w:t xml:space="preserve">could succeed and, at the very least, ought to have anticipated it. To spend the money in those circumstances, strikes me as inappropriately </w:t>
      </w:r>
      <w:r w:rsidR="005001DF">
        <w:rPr>
          <w:rFonts w:ascii="Times New Roman" w:hAnsi="Times New Roman"/>
        </w:rPr>
        <w:lastRenderedPageBreak/>
        <w:t xml:space="preserve">cavalier. </w:t>
      </w:r>
      <w:r w:rsidR="00073E92">
        <w:rPr>
          <w:rFonts w:ascii="Times New Roman" w:hAnsi="Times New Roman"/>
        </w:rPr>
        <w:t>It could be said that Wamjay should equally have anticipated this eventuality. But that is</w:t>
      </w:r>
      <w:r w:rsidR="00906282">
        <w:rPr>
          <w:rFonts w:ascii="Times New Roman" w:hAnsi="Times New Roman"/>
        </w:rPr>
        <w:t>, at best, only</w:t>
      </w:r>
      <w:r w:rsidR="00073E92">
        <w:rPr>
          <w:rFonts w:ascii="Times New Roman" w:hAnsi="Times New Roman"/>
        </w:rPr>
        <w:t xml:space="preserve"> relevant to prescription (already disposed of above) and there is certainly no contributory negligence on its part, which I can see</w:t>
      </w:r>
      <w:r w:rsidR="00FC0315">
        <w:rPr>
          <w:rFonts w:ascii="Times New Roman" w:hAnsi="Times New Roman"/>
        </w:rPr>
        <w:t xml:space="preserve">, which is relevant to the issue of non-enrichment. This sets this case apart from, for instance, </w:t>
      </w:r>
      <w:r w:rsidR="00FC0315" w:rsidRPr="005F78F2">
        <w:rPr>
          <w:rFonts w:ascii="Times New Roman" w:hAnsi="Times New Roman"/>
          <w:i/>
          <w:iCs/>
        </w:rPr>
        <w:t>African Diamond Exporters</w:t>
      </w:r>
      <w:r w:rsidR="00FC0315">
        <w:rPr>
          <w:rFonts w:ascii="Times New Roman" w:hAnsi="Times New Roman"/>
        </w:rPr>
        <w:t>.</w:t>
      </w:r>
      <w:r w:rsidR="00FC0315">
        <w:rPr>
          <w:rStyle w:val="FootnoteReference"/>
          <w:rFonts w:ascii="Times New Roman" w:hAnsi="Times New Roman"/>
        </w:rPr>
        <w:footnoteReference w:id="42"/>
      </w:r>
    </w:p>
    <w:p w14:paraId="1B9DEE39" w14:textId="50009425" w:rsidR="00221670" w:rsidRPr="007F72A1" w:rsidRDefault="00843CD7" w:rsidP="00843CD7">
      <w:pPr>
        <w:pStyle w:val="WLGLevel1"/>
        <w:numPr>
          <w:ilvl w:val="0"/>
          <w:numId w:val="0"/>
        </w:numPr>
        <w:tabs>
          <w:tab w:val="left" w:pos="567"/>
        </w:tabs>
        <w:ind w:left="562" w:hanging="562"/>
        <w:rPr>
          <w:rFonts w:ascii="Times New Roman" w:hAnsi="Times New Roman"/>
        </w:rPr>
      </w:pPr>
      <w:r w:rsidRPr="007F72A1">
        <w:rPr>
          <w:rFonts w:ascii="Times New Roman" w:hAnsi="Times New Roman"/>
        </w:rPr>
        <w:t>77</w:t>
      </w:r>
      <w:r w:rsidRPr="007F72A1">
        <w:rPr>
          <w:rFonts w:ascii="Times New Roman" w:hAnsi="Times New Roman"/>
        </w:rPr>
        <w:tab/>
      </w:r>
      <w:r w:rsidR="004A4CBA" w:rsidRPr="007F72A1">
        <w:rPr>
          <w:rFonts w:ascii="Times New Roman" w:hAnsi="Times New Roman"/>
        </w:rPr>
        <w:t>Even if I am wrong in what I have said above</w:t>
      </w:r>
      <w:r w:rsidR="000D17A4" w:rsidRPr="007F72A1">
        <w:rPr>
          <w:rFonts w:ascii="Times New Roman" w:hAnsi="Times New Roman"/>
        </w:rPr>
        <w:t>, t</w:t>
      </w:r>
      <w:r w:rsidR="005A7B00" w:rsidRPr="007F72A1">
        <w:rPr>
          <w:rFonts w:ascii="Times New Roman" w:hAnsi="Times New Roman"/>
        </w:rPr>
        <w:t>here is</w:t>
      </w:r>
      <w:r w:rsidR="0022570A" w:rsidRPr="007F72A1">
        <w:rPr>
          <w:rFonts w:ascii="Times New Roman" w:hAnsi="Times New Roman"/>
        </w:rPr>
        <w:t xml:space="preserve"> </w:t>
      </w:r>
      <w:r w:rsidR="007F72A1" w:rsidRPr="007F72A1">
        <w:rPr>
          <w:rFonts w:ascii="Times New Roman" w:hAnsi="Times New Roman"/>
        </w:rPr>
        <w:t>another reason why the defence of non-enrichment cannot succeed on the facts of this case</w:t>
      </w:r>
      <w:r w:rsidR="000D17A4" w:rsidRPr="007F72A1">
        <w:rPr>
          <w:rFonts w:ascii="Times New Roman" w:hAnsi="Times New Roman"/>
        </w:rPr>
        <w:t>.</w:t>
      </w:r>
      <w:r w:rsidR="0022570A" w:rsidRPr="007F72A1">
        <w:rPr>
          <w:rFonts w:ascii="Times New Roman" w:hAnsi="Times New Roman"/>
        </w:rPr>
        <w:t xml:space="preserve"> </w:t>
      </w:r>
      <w:r w:rsidR="00F71DBA" w:rsidRPr="007F72A1">
        <w:rPr>
          <w:rFonts w:ascii="Times New Roman" w:hAnsi="Times New Roman"/>
        </w:rPr>
        <w:t>I</w:t>
      </w:r>
      <w:r w:rsidR="00221670" w:rsidRPr="007F72A1">
        <w:rPr>
          <w:rFonts w:ascii="Times New Roman" w:hAnsi="Times New Roman"/>
        </w:rPr>
        <w:t xml:space="preserve">n </w:t>
      </w:r>
      <w:r w:rsidR="00221670" w:rsidRPr="007F72A1">
        <w:rPr>
          <w:rFonts w:ascii="Times New Roman" w:hAnsi="Times New Roman"/>
          <w:i/>
          <w:iCs/>
        </w:rPr>
        <w:t>Kudu Granite</w:t>
      </w:r>
      <w:r w:rsidR="00221670" w:rsidRPr="007F72A1">
        <w:rPr>
          <w:rFonts w:ascii="Times New Roman" w:hAnsi="Times New Roman"/>
        </w:rPr>
        <w:t xml:space="preserve">, the SCA held that there is a presumption of enrichment </w:t>
      </w:r>
      <w:r w:rsidR="005D6D86" w:rsidRPr="007F72A1">
        <w:rPr>
          <w:rFonts w:ascii="Times New Roman" w:hAnsi="Times New Roman"/>
        </w:rPr>
        <w:t>which arises when money is paid. A defendant who receives money therefore bears the onus to prove that he or she has not been enriched.</w:t>
      </w:r>
      <w:r w:rsidR="00A15D7C" w:rsidRPr="00146A17">
        <w:rPr>
          <w:rStyle w:val="FootnoteReference"/>
          <w:rFonts w:ascii="Times New Roman" w:hAnsi="Times New Roman"/>
        </w:rPr>
        <w:footnoteReference w:id="43"/>
      </w:r>
      <w:r w:rsidR="00D766EA" w:rsidRPr="007F72A1">
        <w:rPr>
          <w:rFonts w:ascii="Times New Roman" w:hAnsi="Times New Roman"/>
        </w:rPr>
        <w:t xml:space="preserve"> This was recently confirmed by the Constitutional Cour</w:t>
      </w:r>
      <w:r w:rsidR="007A1F34" w:rsidRPr="007F72A1">
        <w:rPr>
          <w:rFonts w:ascii="Times New Roman" w:hAnsi="Times New Roman"/>
        </w:rPr>
        <w:t>t</w:t>
      </w:r>
      <w:r w:rsidR="00D766EA" w:rsidRPr="007F72A1">
        <w:rPr>
          <w:rFonts w:ascii="Times New Roman" w:hAnsi="Times New Roman"/>
        </w:rPr>
        <w:t xml:space="preserve"> in </w:t>
      </w:r>
      <w:r w:rsidR="00D766EA" w:rsidRPr="007F72A1">
        <w:rPr>
          <w:rFonts w:ascii="Times New Roman" w:hAnsi="Times New Roman"/>
          <w:i/>
          <w:iCs/>
        </w:rPr>
        <w:t>Mongwa</w:t>
      </w:r>
      <w:r w:rsidR="007A1F34" w:rsidRPr="007F72A1">
        <w:rPr>
          <w:rFonts w:ascii="Times New Roman" w:hAnsi="Times New Roman"/>
          <w:i/>
          <w:iCs/>
        </w:rPr>
        <w:t>ketse</w:t>
      </w:r>
      <w:r w:rsidR="007A1F34" w:rsidRPr="007F72A1">
        <w:rPr>
          <w:rFonts w:ascii="Times New Roman" w:hAnsi="Times New Roman"/>
        </w:rPr>
        <w:t>.</w:t>
      </w:r>
      <w:r w:rsidR="007A1F34" w:rsidRPr="00146A17">
        <w:rPr>
          <w:rStyle w:val="FootnoteReference"/>
          <w:rFonts w:ascii="Times New Roman" w:hAnsi="Times New Roman"/>
        </w:rPr>
        <w:footnoteReference w:id="44"/>
      </w:r>
    </w:p>
    <w:p w14:paraId="5FAE97A3" w14:textId="4AA8FD0C" w:rsidR="00B61393"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78</w:t>
      </w:r>
      <w:r w:rsidRPr="00146A17">
        <w:rPr>
          <w:rFonts w:ascii="Times New Roman" w:hAnsi="Times New Roman"/>
        </w:rPr>
        <w:tab/>
      </w:r>
      <w:r w:rsidR="00FA0A21" w:rsidRPr="00146A17">
        <w:rPr>
          <w:rFonts w:ascii="Times New Roman" w:hAnsi="Times New Roman"/>
        </w:rPr>
        <w:t xml:space="preserve">ATS says that, on </w:t>
      </w:r>
      <w:r w:rsidR="00FA0A21" w:rsidRPr="00146A17">
        <w:rPr>
          <w:rFonts w:ascii="Times New Roman" w:hAnsi="Times New Roman"/>
          <w:i/>
          <w:iCs/>
        </w:rPr>
        <w:t>Plascon-Evans</w:t>
      </w:r>
      <w:r w:rsidR="00FA0A21" w:rsidRPr="00146A17">
        <w:rPr>
          <w:rFonts w:ascii="Times New Roman" w:hAnsi="Times New Roman"/>
        </w:rPr>
        <w:t>,</w:t>
      </w:r>
      <w:r w:rsidR="00202E8E" w:rsidRPr="00146A17">
        <w:rPr>
          <w:rStyle w:val="FootnoteReference"/>
          <w:rFonts w:ascii="Times New Roman" w:hAnsi="Times New Roman"/>
        </w:rPr>
        <w:footnoteReference w:id="45"/>
      </w:r>
      <w:r w:rsidR="00FA0A21" w:rsidRPr="00146A17">
        <w:rPr>
          <w:rFonts w:ascii="Times New Roman" w:hAnsi="Times New Roman"/>
        </w:rPr>
        <w:t xml:space="preserve"> disputes of fact must be decided in its f</w:t>
      </w:r>
      <w:r w:rsidR="00AE6780" w:rsidRPr="00146A17">
        <w:rPr>
          <w:rFonts w:ascii="Times New Roman" w:hAnsi="Times New Roman"/>
        </w:rPr>
        <w:t>a</w:t>
      </w:r>
      <w:r w:rsidR="00FA0A21" w:rsidRPr="00146A17">
        <w:rPr>
          <w:rFonts w:ascii="Times New Roman" w:hAnsi="Times New Roman"/>
        </w:rPr>
        <w:t xml:space="preserve">vour. </w:t>
      </w:r>
      <w:r w:rsidR="00B61393" w:rsidRPr="00146A17">
        <w:rPr>
          <w:rFonts w:ascii="Times New Roman" w:hAnsi="Times New Roman"/>
        </w:rPr>
        <w:t xml:space="preserve">It says that since there is a genuine dispute of fact on the question whether ATS was enriched, Wamjay’s claim must fail. </w:t>
      </w:r>
    </w:p>
    <w:p w14:paraId="33C5FBF8" w14:textId="05132617" w:rsidR="00CF0893"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79</w:t>
      </w:r>
      <w:r w:rsidRPr="00146A17">
        <w:rPr>
          <w:rFonts w:ascii="Times New Roman" w:hAnsi="Times New Roman"/>
        </w:rPr>
        <w:tab/>
      </w:r>
      <w:r w:rsidR="00AE6780" w:rsidRPr="00146A17">
        <w:rPr>
          <w:rFonts w:ascii="Times New Roman" w:hAnsi="Times New Roman"/>
        </w:rPr>
        <w:t>I had cause, in certain recent judgments, to map out how it should be determined whether there are genuine disputes of fact in a particular case.</w:t>
      </w:r>
      <w:r w:rsidR="00AE6780" w:rsidRPr="00146A17">
        <w:rPr>
          <w:rStyle w:val="FootnoteReference"/>
          <w:rFonts w:ascii="Times New Roman" w:hAnsi="Times New Roman"/>
        </w:rPr>
        <w:footnoteReference w:id="46"/>
      </w:r>
      <w:r w:rsidR="00FA0A21" w:rsidRPr="00146A17">
        <w:rPr>
          <w:rFonts w:ascii="Times New Roman" w:hAnsi="Times New Roman"/>
        </w:rPr>
        <w:t xml:space="preserve"> </w:t>
      </w:r>
      <w:r w:rsidR="00AE6780" w:rsidRPr="00146A17">
        <w:rPr>
          <w:rFonts w:ascii="Times New Roman" w:hAnsi="Times New Roman"/>
        </w:rPr>
        <w:t xml:space="preserve">It is not necessary for me to repeat my views yet again. </w:t>
      </w:r>
      <w:r w:rsidR="00CF0893" w:rsidRPr="00146A17">
        <w:rPr>
          <w:rFonts w:ascii="Times New Roman" w:hAnsi="Times New Roman"/>
        </w:rPr>
        <w:t xml:space="preserve">I simply emphasise that, just because a matter is ventilated in motion court, does not mean that a dispute of fact exists whenever a respondent contests the applicant’s version. Much will depend on the nature of the contestation. </w:t>
      </w:r>
      <w:r w:rsidR="00D30980" w:rsidRPr="00146A17">
        <w:rPr>
          <w:rFonts w:ascii="Times New Roman" w:hAnsi="Times New Roman"/>
        </w:rPr>
        <w:t xml:space="preserve">It may be that the applicant relies on facts which are outside of the respondent’s knowledge. In that </w:t>
      </w:r>
      <w:r w:rsidR="00D30980" w:rsidRPr="00146A17">
        <w:rPr>
          <w:rFonts w:ascii="Times New Roman" w:hAnsi="Times New Roman"/>
        </w:rPr>
        <w:lastRenderedPageBreak/>
        <w:t xml:space="preserve">situation, the respondent may well wish to </w:t>
      </w:r>
      <w:r w:rsidR="00AE63D1" w:rsidRPr="00146A17">
        <w:rPr>
          <w:rFonts w:ascii="Times New Roman" w:hAnsi="Times New Roman"/>
        </w:rPr>
        <w:t xml:space="preserve">dispute the version and require the applicant to substantiate it with detailed evidence. Whether it is able to do so in motion court will, again, depend on the nature of the facts. It will often be possible for an applicant to establish facts </w:t>
      </w:r>
      <w:r w:rsidR="00C20CAB" w:rsidRPr="00146A17">
        <w:rPr>
          <w:rFonts w:ascii="Times New Roman" w:hAnsi="Times New Roman"/>
        </w:rPr>
        <w:t xml:space="preserve">with documentary evidence in a manner which cannot be disputed. </w:t>
      </w:r>
      <w:r w:rsidR="003C50ED" w:rsidRPr="00146A17">
        <w:rPr>
          <w:rFonts w:ascii="Times New Roman" w:hAnsi="Times New Roman"/>
        </w:rPr>
        <w:t xml:space="preserve">And, of course, equally often it will not. In the latter case, it is appropriate, as a matter of judicial philosophy, to </w:t>
      </w:r>
      <w:r w:rsidR="0046667A" w:rsidRPr="00146A17">
        <w:rPr>
          <w:rFonts w:ascii="Times New Roman" w:hAnsi="Times New Roman"/>
        </w:rPr>
        <w:t xml:space="preserve">dismiss an application which ought really </w:t>
      </w:r>
      <w:r w:rsidR="00FF425C">
        <w:rPr>
          <w:rFonts w:ascii="Times New Roman" w:hAnsi="Times New Roman"/>
        </w:rPr>
        <w:t xml:space="preserve">to </w:t>
      </w:r>
      <w:r w:rsidR="0046667A" w:rsidRPr="00146A17">
        <w:rPr>
          <w:rFonts w:ascii="Times New Roman" w:hAnsi="Times New Roman"/>
        </w:rPr>
        <w:t>have been launched as an action.</w:t>
      </w:r>
    </w:p>
    <w:p w14:paraId="0EB9D8F7" w14:textId="363AB3DE" w:rsidR="00BE0633" w:rsidRDefault="00843CD7" w:rsidP="00843CD7">
      <w:pPr>
        <w:pStyle w:val="WLGLevel1"/>
        <w:numPr>
          <w:ilvl w:val="0"/>
          <w:numId w:val="0"/>
        </w:numPr>
        <w:tabs>
          <w:tab w:val="left" w:pos="567"/>
        </w:tabs>
        <w:ind w:left="562" w:hanging="562"/>
        <w:rPr>
          <w:rFonts w:ascii="Times New Roman" w:hAnsi="Times New Roman"/>
        </w:rPr>
      </w:pPr>
      <w:r>
        <w:rPr>
          <w:rFonts w:ascii="Times New Roman" w:hAnsi="Times New Roman"/>
        </w:rPr>
        <w:t>80</w:t>
      </w:r>
      <w:r>
        <w:rPr>
          <w:rFonts w:ascii="Times New Roman" w:hAnsi="Times New Roman"/>
        </w:rPr>
        <w:tab/>
      </w:r>
      <w:r w:rsidR="0046667A" w:rsidRPr="00146A17">
        <w:rPr>
          <w:rFonts w:ascii="Times New Roman" w:hAnsi="Times New Roman"/>
        </w:rPr>
        <w:t>In this case, t</w:t>
      </w:r>
      <w:r w:rsidR="003C6FC7" w:rsidRPr="00146A17">
        <w:rPr>
          <w:rFonts w:ascii="Times New Roman" w:hAnsi="Times New Roman"/>
        </w:rPr>
        <w:t xml:space="preserve">he simple position is that, in my view, ATS has not adduced any facts to support a defence of non-enrichment. </w:t>
      </w:r>
      <w:r w:rsidR="00585212" w:rsidRPr="00146A17">
        <w:rPr>
          <w:rFonts w:ascii="Times New Roman" w:hAnsi="Times New Roman"/>
        </w:rPr>
        <w:t xml:space="preserve">It cannot, simply because this case was launched on motion, say next to nothing and then try to rely on </w:t>
      </w:r>
      <w:r w:rsidR="00585212" w:rsidRPr="00146A17">
        <w:rPr>
          <w:rFonts w:ascii="Times New Roman" w:hAnsi="Times New Roman"/>
          <w:i/>
          <w:iCs/>
        </w:rPr>
        <w:t>Plascon-Evans</w:t>
      </w:r>
      <w:r w:rsidR="00585212" w:rsidRPr="00146A17">
        <w:rPr>
          <w:rFonts w:ascii="Times New Roman" w:hAnsi="Times New Roman"/>
        </w:rPr>
        <w:t xml:space="preserve"> as an escape valve. The authorities are clear that a defendant relying on non-enrichment must establish clearly the </w:t>
      </w:r>
      <w:r w:rsidR="00523520" w:rsidRPr="00146A17">
        <w:rPr>
          <w:rFonts w:ascii="Times New Roman" w:hAnsi="Times New Roman"/>
        </w:rPr>
        <w:t>facts on which the defence is based.</w:t>
      </w:r>
      <w:r w:rsidR="00523520" w:rsidRPr="00146A17">
        <w:rPr>
          <w:rStyle w:val="FootnoteReference"/>
          <w:rFonts w:ascii="Times New Roman" w:hAnsi="Times New Roman"/>
        </w:rPr>
        <w:footnoteReference w:id="47"/>
      </w:r>
      <w:r w:rsidR="00523520" w:rsidRPr="00146A17">
        <w:rPr>
          <w:rFonts w:ascii="Times New Roman" w:hAnsi="Times New Roman"/>
        </w:rPr>
        <w:t xml:space="preserve"> In this case, </w:t>
      </w:r>
      <w:r w:rsidR="00CD1F0F" w:rsidRPr="00146A17">
        <w:rPr>
          <w:rFonts w:ascii="Times New Roman" w:hAnsi="Times New Roman"/>
        </w:rPr>
        <w:t xml:space="preserve">the only </w:t>
      </w:r>
      <w:r w:rsidR="001A566A" w:rsidRPr="00146A17">
        <w:rPr>
          <w:rFonts w:ascii="Times New Roman" w:hAnsi="Times New Roman"/>
        </w:rPr>
        <w:t xml:space="preserve">way in which ATS addressed this issue at all was to say in its answering affidavit that it did not retain the money paid to it by Wamjay </w:t>
      </w:r>
      <w:r w:rsidR="00BB5DBB" w:rsidRPr="00146A17">
        <w:rPr>
          <w:rFonts w:ascii="Times New Roman" w:hAnsi="Times New Roman"/>
        </w:rPr>
        <w:t xml:space="preserve">because it had no obligation to do so. </w:t>
      </w:r>
      <w:r w:rsidR="000C21DF" w:rsidRPr="00146A17">
        <w:rPr>
          <w:rFonts w:ascii="Times New Roman" w:hAnsi="Times New Roman"/>
        </w:rPr>
        <w:t>No further detail was provided</w:t>
      </w:r>
      <w:r w:rsidR="00BE0633" w:rsidRPr="00146A17">
        <w:rPr>
          <w:rFonts w:ascii="Times New Roman" w:hAnsi="Times New Roman"/>
        </w:rPr>
        <w:t>. In argument, ATS attempts to rely on the letter in which its representative said that ATS had, at best, a moral obligation to repay the money. As I explained before, in the same letter, it said that it could not refund the money at that stage. But this is not the same as substantiating the claim of non-enrichment with actual evidence relating to how it was said no longer to be enriched.</w:t>
      </w:r>
    </w:p>
    <w:p w14:paraId="4196F14D" w14:textId="0F6BD0EC" w:rsidR="00224F3F"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81</w:t>
      </w:r>
      <w:r w:rsidRPr="00146A17">
        <w:rPr>
          <w:rFonts w:ascii="Times New Roman" w:hAnsi="Times New Roman"/>
        </w:rPr>
        <w:tab/>
      </w:r>
      <w:r w:rsidR="00224F3F">
        <w:rPr>
          <w:rFonts w:ascii="Times New Roman" w:hAnsi="Times New Roman"/>
        </w:rPr>
        <w:t xml:space="preserve">It is also not of much assistance to its cause for ATS to accuse Wamjay of failing to adduce primary facts to supports its claim that ATS was enriched. It is hard to conceive </w:t>
      </w:r>
      <w:r w:rsidR="00224F3F">
        <w:rPr>
          <w:rFonts w:ascii="Times New Roman" w:hAnsi="Times New Roman"/>
        </w:rPr>
        <w:lastRenderedPageBreak/>
        <w:t xml:space="preserve">of what facts, within Wamjay’s knowledge, it could have </w:t>
      </w:r>
      <w:r w:rsidR="00A66AA8">
        <w:rPr>
          <w:rFonts w:ascii="Times New Roman" w:hAnsi="Times New Roman"/>
        </w:rPr>
        <w:t>proved</w:t>
      </w:r>
      <w:r w:rsidR="009B1BB8">
        <w:rPr>
          <w:rFonts w:ascii="Times New Roman" w:hAnsi="Times New Roman"/>
        </w:rPr>
        <w:t xml:space="preserve"> beyond saying that it paid the R6.5 million to ATS</w:t>
      </w:r>
      <w:r w:rsidR="00A66AA8">
        <w:rPr>
          <w:rFonts w:ascii="Times New Roman" w:hAnsi="Times New Roman"/>
        </w:rPr>
        <w:t>.</w:t>
      </w:r>
    </w:p>
    <w:p w14:paraId="3BDEDBF5" w14:textId="2B69A857" w:rsidR="00FA0A21" w:rsidRDefault="00843CD7" w:rsidP="00843CD7">
      <w:pPr>
        <w:pStyle w:val="WLGLevel1"/>
        <w:numPr>
          <w:ilvl w:val="0"/>
          <w:numId w:val="0"/>
        </w:numPr>
        <w:tabs>
          <w:tab w:val="left" w:pos="567"/>
        </w:tabs>
        <w:ind w:left="562" w:hanging="562"/>
        <w:rPr>
          <w:rFonts w:ascii="Times New Roman" w:hAnsi="Times New Roman"/>
        </w:rPr>
      </w:pPr>
      <w:r>
        <w:rPr>
          <w:rFonts w:ascii="Times New Roman" w:hAnsi="Times New Roman"/>
        </w:rPr>
        <w:t>82</w:t>
      </w:r>
      <w:r>
        <w:rPr>
          <w:rFonts w:ascii="Times New Roman" w:hAnsi="Times New Roman"/>
        </w:rPr>
        <w:tab/>
      </w:r>
      <w:r w:rsidR="006B2923" w:rsidRPr="00146A17">
        <w:rPr>
          <w:rFonts w:ascii="Times New Roman" w:hAnsi="Times New Roman"/>
        </w:rPr>
        <w:t xml:space="preserve">In </w:t>
      </w:r>
      <w:r w:rsidR="00143B67" w:rsidRPr="00146A17">
        <w:rPr>
          <w:rFonts w:ascii="Times New Roman" w:hAnsi="Times New Roman"/>
        </w:rPr>
        <w:t>this regard, the most important mechanism to determine the outcome of Wamjay’s claim is the presumption of enrichment which I have mentioned above.</w:t>
      </w:r>
      <w:r w:rsidR="00523520" w:rsidRPr="00146A17">
        <w:rPr>
          <w:rFonts w:ascii="Times New Roman" w:hAnsi="Times New Roman"/>
        </w:rPr>
        <w:t xml:space="preserve"> </w:t>
      </w:r>
      <w:r w:rsidR="00A63F65" w:rsidRPr="00146A17">
        <w:rPr>
          <w:rFonts w:ascii="Times New Roman" w:hAnsi="Times New Roman"/>
        </w:rPr>
        <w:t xml:space="preserve">ATS’s somewhat </w:t>
      </w:r>
      <w:r w:rsidR="00CF5182">
        <w:rPr>
          <w:rFonts w:ascii="Times New Roman" w:hAnsi="Times New Roman"/>
        </w:rPr>
        <w:t>terse</w:t>
      </w:r>
      <w:r w:rsidR="00A63F65" w:rsidRPr="00146A17">
        <w:rPr>
          <w:rFonts w:ascii="Times New Roman" w:hAnsi="Times New Roman"/>
        </w:rPr>
        <w:t xml:space="preserve"> response to Wamjay’s claim seems to have largely been influenced by its strong view that the claim had prescribed. Whatever the reason, it declined to provide any detail </w:t>
      </w:r>
      <w:r w:rsidR="000D1460" w:rsidRPr="00146A17">
        <w:rPr>
          <w:rFonts w:ascii="Times New Roman" w:hAnsi="Times New Roman"/>
        </w:rPr>
        <w:t>to substantiate</w:t>
      </w:r>
      <w:r w:rsidR="00A63F65" w:rsidRPr="00146A17">
        <w:rPr>
          <w:rFonts w:ascii="Times New Roman" w:hAnsi="Times New Roman"/>
        </w:rPr>
        <w:t xml:space="preserve"> its bald allegation that it had not retained the money</w:t>
      </w:r>
      <w:r w:rsidR="000D1460" w:rsidRPr="00146A17">
        <w:rPr>
          <w:rFonts w:ascii="Times New Roman" w:hAnsi="Times New Roman"/>
        </w:rPr>
        <w:t xml:space="preserve"> claimed by Wamjay. In the fac</w:t>
      </w:r>
      <w:r w:rsidR="008134E1">
        <w:rPr>
          <w:rFonts w:ascii="Times New Roman" w:hAnsi="Times New Roman"/>
        </w:rPr>
        <w:t>e</w:t>
      </w:r>
      <w:r w:rsidR="000D1460" w:rsidRPr="00146A17">
        <w:rPr>
          <w:rFonts w:ascii="Times New Roman" w:hAnsi="Times New Roman"/>
        </w:rPr>
        <w:t xml:space="preserve"> of the presumption of enrichment which applies in a case such as this, its response was inadequate to make out a defence.</w:t>
      </w:r>
    </w:p>
    <w:p w14:paraId="3C3D86AB" w14:textId="7B489ADA" w:rsidR="00CD5AD7"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83</w:t>
      </w:r>
      <w:r w:rsidRPr="00146A17">
        <w:rPr>
          <w:rFonts w:ascii="Times New Roman" w:hAnsi="Times New Roman"/>
        </w:rPr>
        <w:tab/>
      </w:r>
      <w:r w:rsidR="00CD5AD7">
        <w:rPr>
          <w:rFonts w:ascii="Times New Roman" w:hAnsi="Times New Roman"/>
        </w:rPr>
        <w:t xml:space="preserve">Before concluding my discussion of the merits, I wish to say this: if one reads ATS’s argument in its strongest light, one might conclude that it had no obligation to say anything more than what it said in its answering affidavit. On its understanding of the law, all it had to say was that it did not retain the money to make out a case of non-enrichment. If that is the argument, then I respectfully disagree. In the light of the presumption of enrichment, it seems to me that ATS had to </w:t>
      </w:r>
      <w:r w:rsidR="008C4B59">
        <w:rPr>
          <w:rFonts w:ascii="Times New Roman" w:hAnsi="Times New Roman"/>
        </w:rPr>
        <w:t xml:space="preserve">explain, comprehensively, </w:t>
      </w:r>
      <w:r w:rsidR="00A62045">
        <w:rPr>
          <w:rFonts w:ascii="Times New Roman" w:hAnsi="Times New Roman"/>
        </w:rPr>
        <w:t xml:space="preserve">at least </w:t>
      </w:r>
      <w:r w:rsidR="008C4B59">
        <w:rPr>
          <w:rFonts w:ascii="Times New Roman" w:hAnsi="Times New Roman"/>
        </w:rPr>
        <w:t xml:space="preserve">the following: (a) </w:t>
      </w:r>
      <w:r w:rsidR="00001286">
        <w:rPr>
          <w:rFonts w:ascii="Times New Roman" w:hAnsi="Times New Roman"/>
        </w:rPr>
        <w:t>W</w:t>
      </w:r>
      <w:r w:rsidR="008C4B59">
        <w:rPr>
          <w:rFonts w:ascii="Times New Roman" w:hAnsi="Times New Roman"/>
        </w:rPr>
        <w:t xml:space="preserve">hat precisely did it do with the money? </w:t>
      </w:r>
      <w:r w:rsidR="00A62045">
        <w:rPr>
          <w:rFonts w:ascii="Times New Roman" w:hAnsi="Times New Roman"/>
        </w:rPr>
        <w:t xml:space="preserve">(b) If the money was spent to its benefit, how could it claim not to have been enriched? </w:t>
      </w:r>
      <w:r w:rsidR="008C4B59">
        <w:rPr>
          <w:rFonts w:ascii="Times New Roman" w:hAnsi="Times New Roman"/>
        </w:rPr>
        <w:t>(</w:t>
      </w:r>
      <w:r w:rsidR="00A62045">
        <w:rPr>
          <w:rFonts w:ascii="Times New Roman" w:hAnsi="Times New Roman"/>
        </w:rPr>
        <w:t>c</w:t>
      </w:r>
      <w:r w:rsidR="008C4B59">
        <w:rPr>
          <w:rFonts w:ascii="Times New Roman" w:hAnsi="Times New Roman"/>
        </w:rPr>
        <w:t xml:space="preserve">) </w:t>
      </w:r>
      <w:r w:rsidR="00001286">
        <w:rPr>
          <w:rFonts w:ascii="Times New Roman" w:hAnsi="Times New Roman"/>
        </w:rPr>
        <w:t>W</w:t>
      </w:r>
      <w:r w:rsidR="008C4B59">
        <w:rPr>
          <w:rFonts w:ascii="Times New Roman" w:hAnsi="Times New Roman"/>
        </w:rPr>
        <w:t xml:space="preserve">hy did it not retain the money when it knew that the University took the view that there was no </w:t>
      </w:r>
      <w:r w:rsidR="008C4B59" w:rsidRPr="003D206F">
        <w:rPr>
          <w:rFonts w:ascii="Times New Roman" w:hAnsi="Times New Roman"/>
          <w:i/>
          <w:iCs/>
        </w:rPr>
        <w:t>causa</w:t>
      </w:r>
      <w:r w:rsidR="008C4B59">
        <w:rPr>
          <w:rFonts w:ascii="Times New Roman" w:hAnsi="Times New Roman"/>
        </w:rPr>
        <w:t xml:space="preserve"> for the cession agreement</w:t>
      </w:r>
      <w:r w:rsidR="00001286">
        <w:rPr>
          <w:rFonts w:ascii="Times New Roman" w:hAnsi="Times New Roman"/>
        </w:rPr>
        <w:t xml:space="preserve">? </w:t>
      </w:r>
      <w:r w:rsidR="00A62045">
        <w:rPr>
          <w:rFonts w:ascii="Times New Roman" w:hAnsi="Times New Roman"/>
        </w:rPr>
        <w:t>Its failure to do so, converts the presumption into a positive finding of enrichment.</w:t>
      </w:r>
    </w:p>
    <w:p w14:paraId="517BE9A7" w14:textId="261B2AE0" w:rsidR="000D1460"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84</w:t>
      </w:r>
      <w:r w:rsidRPr="00146A17">
        <w:rPr>
          <w:rFonts w:ascii="Times New Roman" w:hAnsi="Times New Roman"/>
        </w:rPr>
        <w:tab/>
      </w:r>
      <w:r w:rsidR="000D1460" w:rsidRPr="00146A17">
        <w:rPr>
          <w:rFonts w:ascii="Times New Roman" w:hAnsi="Times New Roman"/>
        </w:rPr>
        <w:t>It follows that, in my view, Wamjay’s enrichment claim must succeed.</w:t>
      </w:r>
    </w:p>
    <w:p w14:paraId="5C5E8778" w14:textId="6C9E70D8" w:rsidR="00375E34" w:rsidRPr="00146A17" w:rsidRDefault="00375E34" w:rsidP="00375E34">
      <w:pPr>
        <w:pStyle w:val="Heading1"/>
        <w:rPr>
          <w:rFonts w:ascii="Times New Roman" w:hAnsi="Times New Roman"/>
        </w:rPr>
      </w:pPr>
      <w:r w:rsidRPr="00146A17">
        <w:rPr>
          <w:rFonts w:ascii="Times New Roman" w:hAnsi="Times New Roman"/>
        </w:rPr>
        <w:t>CONCLUSION AND ORDER</w:t>
      </w:r>
    </w:p>
    <w:p w14:paraId="52E4FD41" w14:textId="664953A7" w:rsidR="00375E34"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lastRenderedPageBreak/>
        <w:t>85</w:t>
      </w:r>
      <w:r w:rsidRPr="00146A17">
        <w:rPr>
          <w:rFonts w:ascii="Times New Roman" w:hAnsi="Times New Roman"/>
        </w:rPr>
        <w:tab/>
      </w:r>
      <w:r w:rsidR="00012570" w:rsidRPr="00146A17">
        <w:rPr>
          <w:rFonts w:ascii="Times New Roman" w:hAnsi="Times New Roman"/>
        </w:rPr>
        <w:t xml:space="preserve">For the reasons given above, Wamjay is entitled to the relief which it seeks in the notice of motion. Since ATS was represented by both senior and junior counsel, there might have been a debate on costs had ATS been successful. But the issue does not arise because Wamjay was represented by only one counsel. The appropriate order to make is therefore </w:t>
      </w:r>
      <w:r w:rsidR="00BE6AEB" w:rsidRPr="00146A17">
        <w:rPr>
          <w:rFonts w:ascii="Times New Roman" w:hAnsi="Times New Roman"/>
        </w:rPr>
        <w:t>simply to direct ATS to repay the R6</w:t>
      </w:r>
      <w:r w:rsidR="00EF0F1F">
        <w:rPr>
          <w:rFonts w:ascii="Times New Roman" w:hAnsi="Times New Roman"/>
        </w:rPr>
        <w:t>.</w:t>
      </w:r>
      <w:r w:rsidR="00BE6AEB" w:rsidRPr="00146A17">
        <w:rPr>
          <w:rFonts w:ascii="Times New Roman" w:hAnsi="Times New Roman"/>
        </w:rPr>
        <w:t>5 million to Wamjay, with costs.</w:t>
      </w:r>
    </w:p>
    <w:p w14:paraId="31BA33A5" w14:textId="0408F270" w:rsidR="00BE6AEB" w:rsidRPr="00146A17" w:rsidRDefault="00843CD7" w:rsidP="00843CD7">
      <w:pPr>
        <w:pStyle w:val="WLGLevel1"/>
        <w:numPr>
          <w:ilvl w:val="0"/>
          <w:numId w:val="0"/>
        </w:numPr>
        <w:tabs>
          <w:tab w:val="left" w:pos="567"/>
        </w:tabs>
        <w:ind w:left="562" w:hanging="562"/>
        <w:rPr>
          <w:rFonts w:ascii="Times New Roman" w:hAnsi="Times New Roman"/>
        </w:rPr>
      </w:pPr>
      <w:bookmarkStart w:id="13" w:name="_GoBack"/>
      <w:bookmarkEnd w:id="13"/>
      <w:r w:rsidRPr="00146A17">
        <w:rPr>
          <w:rFonts w:ascii="Times New Roman" w:hAnsi="Times New Roman"/>
        </w:rPr>
        <w:t>86</w:t>
      </w:r>
      <w:r w:rsidRPr="00146A17">
        <w:rPr>
          <w:rFonts w:ascii="Times New Roman" w:hAnsi="Times New Roman"/>
        </w:rPr>
        <w:tab/>
      </w:r>
      <w:r w:rsidR="001D4891" w:rsidRPr="00146A17">
        <w:rPr>
          <w:rFonts w:ascii="Times New Roman" w:hAnsi="Times New Roman"/>
        </w:rPr>
        <w:t>T</w:t>
      </w:r>
      <w:r w:rsidR="00BE6AEB" w:rsidRPr="00146A17">
        <w:rPr>
          <w:rFonts w:ascii="Times New Roman" w:hAnsi="Times New Roman"/>
        </w:rPr>
        <w:t>here was no argument</w:t>
      </w:r>
      <w:r w:rsidR="001F4A33" w:rsidRPr="00146A17">
        <w:rPr>
          <w:rFonts w:ascii="Times New Roman" w:hAnsi="Times New Roman"/>
        </w:rPr>
        <w:t xml:space="preserve"> on the issue as to when interest should be held to have begun to run</w:t>
      </w:r>
      <w:r w:rsidR="008631A9">
        <w:rPr>
          <w:rFonts w:ascii="Times New Roman" w:hAnsi="Times New Roman"/>
        </w:rPr>
        <w:t xml:space="preserve"> – ie, on the specific issue, contemplated by section 2A of the Prescribed Rate of Interest Act</w:t>
      </w:r>
      <w:r w:rsidR="00103DD7">
        <w:rPr>
          <w:rFonts w:ascii="Times New Roman" w:hAnsi="Times New Roman"/>
        </w:rPr>
        <w:t xml:space="preserve"> 55 of 1975</w:t>
      </w:r>
      <w:r w:rsidR="008631A9">
        <w:rPr>
          <w:rFonts w:ascii="Times New Roman" w:hAnsi="Times New Roman"/>
        </w:rPr>
        <w:t>,</w:t>
      </w:r>
      <w:r w:rsidR="00802BF7">
        <w:rPr>
          <w:rFonts w:ascii="Times New Roman" w:hAnsi="Times New Roman"/>
        </w:rPr>
        <w:t xml:space="preserve"> of whether a demand was made earlier than when the application was launched</w:t>
      </w:r>
      <w:r w:rsidR="001D4891" w:rsidRPr="00146A17">
        <w:rPr>
          <w:rFonts w:ascii="Times New Roman" w:hAnsi="Times New Roman"/>
        </w:rPr>
        <w:t>.</w:t>
      </w:r>
      <w:r w:rsidR="003F3456" w:rsidRPr="00146A17">
        <w:rPr>
          <w:rFonts w:ascii="Times New Roman" w:hAnsi="Times New Roman"/>
        </w:rPr>
        <w:t xml:space="preserve"> </w:t>
      </w:r>
      <w:r w:rsidR="00467062" w:rsidRPr="00146A17">
        <w:rPr>
          <w:rFonts w:ascii="Times New Roman" w:hAnsi="Times New Roman"/>
        </w:rPr>
        <w:t xml:space="preserve">It seems to me that </w:t>
      </w:r>
      <w:r w:rsidR="00D60325" w:rsidRPr="00146A17">
        <w:rPr>
          <w:rFonts w:ascii="Times New Roman" w:hAnsi="Times New Roman"/>
        </w:rPr>
        <w:t xml:space="preserve">everything said </w:t>
      </w:r>
      <w:r w:rsidR="002D4DE6" w:rsidRPr="00146A17">
        <w:rPr>
          <w:rFonts w:ascii="Times New Roman" w:hAnsi="Times New Roman"/>
        </w:rPr>
        <w:t>by the SCA</w:t>
      </w:r>
      <w:r w:rsidR="00467062" w:rsidRPr="00146A17">
        <w:rPr>
          <w:rFonts w:ascii="Times New Roman" w:hAnsi="Times New Roman"/>
        </w:rPr>
        <w:t xml:space="preserve"> </w:t>
      </w:r>
      <w:r w:rsidR="002D4DE6" w:rsidRPr="00146A17">
        <w:rPr>
          <w:rFonts w:ascii="Times New Roman" w:hAnsi="Times New Roman"/>
        </w:rPr>
        <w:t xml:space="preserve">in </w:t>
      </w:r>
      <w:r w:rsidR="00D60325" w:rsidRPr="00146A17">
        <w:rPr>
          <w:rFonts w:ascii="Times New Roman" w:hAnsi="Times New Roman"/>
        </w:rPr>
        <w:t xml:space="preserve">paragraph 28 of </w:t>
      </w:r>
      <w:r w:rsidR="00467062" w:rsidRPr="00B83CFE">
        <w:rPr>
          <w:rFonts w:ascii="Times New Roman" w:hAnsi="Times New Roman"/>
          <w:i/>
          <w:iCs/>
        </w:rPr>
        <w:t>Kudu Granite</w:t>
      </w:r>
      <w:r w:rsidR="00D60325" w:rsidRPr="00146A17">
        <w:rPr>
          <w:rFonts w:ascii="Times New Roman" w:hAnsi="Times New Roman"/>
        </w:rPr>
        <w:t xml:space="preserve"> could be applied equally to the present case</w:t>
      </w:r>
      <w:r w:rsidR="00467062" w:rsidRPr="00146A17">
        <w:rPr>
          <w:rFonts w:ascii="Times New Roman" w:hAnsi="Times New Roman"/>
        </w:rPr>
        <w:t>.</w:t>
      </w:r>
      <w:r w:rsidR="004862D5" w:rsidRPr="00146A17">
        <w:rPr>
          <w:rStyle w:val="FootnoteReference"/>
          <w:rFonts w:ascii="Times New Roman" w:hAnsi="Times New Roman"/>
        </w:rPr>
        <w:footnoteReference w:id="48"/>
      </w:r>
      <w:r w:rsidR="00D60325" w:rsidRPr="00146A17">
        <w:rPr>
          <w:rFonts w:ascii="Times New Roman" w:hAnsi="Times New Roman"/>
        </w:rPr>
        <w:t xml:space="preserve"> The only slight tweak which I would m</w:t>
      </w:r>
      <w:r w:rsidR="006766E5" w:rsidRPr="00146A17">
        <w:rPr>
          <w:rFonts w:ascii="Times New Roman" w:hAnsi="Times New Roman"/>
        </w:rPr>
        <w:t>ake here is that there is some evidence of an attempt by Wamjay to reclaim the money in 2021, after the judgment of the Constitutional Court was handed down. However, Wamjay has not sought to characterise it as a formal demand. It follows that interest must be held to run from the date on which this application was launched – ie, 11 March 2022.</w:t>
      </w:r>
    </w:p>
    <w:p w14:paraId="053658BD" w14:textId="104D43A1" w:rsidR="00375E34" w:rsidRPr="00146A17" w:rsidRDefault="00843CD7" w:rsidP="00843CD7">
      <w:pPr>
        <w:pStyle w:val="WLGLevel1"/>
        <w:numPr>
          <w:ilvl w:val="0"/>
          <w:numId w:val="0"/>
        </w:numPr>
        <w:tabs>
          <w:tab w:val="left" w:pos="567"/>
        </w:tabs>
        <w:ind w:left="562" w:hanging="562"/>
        <w:rPr>
          <w:rFonts w:ascii="Times New Roman" w:hAnsi="Times New Roman"/>
        </w:rPr>
      </w:pPr>
      <w:r w:rsidRPr="00146A17">
        <w:rPr>
          <w:rFonts w:ascii="Times New Roman" w:hAnsi="Times New Roman"/>
        </w:rPr>
        <w:t>87</w:t>
      </w:r>
      <w:r w:rsidRPr="00146A17">
        <w:rPr>
          <w:rFonts w:ascii="Times New Roman" w:hAnsi="Times New Roman"/>
        </w:rPr>
        <w:tab/>
      </w:r>
      <w:r w:rsidR="006766E5" w:rsidRPr="00146A17">
        <w:rPr>
          <w:rFonts w:ascii="Times New Roman" w:hAnsi="Times New Roman"/>
        </w:rPr>
        <w:t>I accordingly make the following order:</w:t>
      </w:r>
    </w:p>
    <w:p w14:paraId="150B284A" w14:textId="2D50D021" w:rsidR="006766E5" w:rsidRPr="000B6745" w:rsidRDefault="00843CD7" w:rsidP="00843CD7">
      <w:pPr>
        <w:pStyle w:val="WLGLevel1"/>
        <w:numPr>
          <w:ilvl w:val="0"/>
          <w:numId w:val="0"/>
        </w:numPr>
        <w:spacing w:before="0" w:after="240" w:line="360" w:lineRule="auto"/>
        <w:ind w:left="1701" w:hanging="567"/>
        <w:rPr>
          <w:rFonts w:ascii="Times New Roman" w:hAnsi="Times New Roman"/>
          <w:b/>
          <w:bCs/>
        </w:rPr>
      </w:pPr>
      <w:r w:rsidRPr="000B6745">
        <w:rPr>
          <w:rFonts w:ascii="Times New Roman" w:hAnsi="Times New Roman"/>
          <w:b/>
          <w:bCs/>
        </w:rPr>
        <w:lastRenderedPageBreak/>
        <w:t>1.</w:t>
      </w:r>
      <w:r w:rsidRPr="000B6745">
        <w:rPr>
          <w:rFonts w:ascii="Times New Roman" w:hAnsi="Times New Roman"/>
          <w:b/>
          <w:bCs/>
        </w:rPr>
        <w:tab/>
      </w:r>
      <w:r w:rsidR="002F24D1" w:rsidRPr="000B6745">
        <w:rPr>
          <w:rFonts w:ascii="Times New Roman" w:hAnsi="Times New Roman"/>
          <w:b/>
          <w:bCs/>
        </w:rPr>
        <w:t>The respondent is to pay to the applicant the sum of R6 500 000.00.</w:t>
      </w:r>
    </w:p>
    <w:p w14:paraId="1A1C3F1B" w14:textId="36A32F0D" w:rsidR="002F24D1" w:rsidRPr="000B6745" w:rsidRDefault="00843CD7" w:rsidP="00843CD7">
      <w:pPr>
        <w:pStyle w:val="WLGLevel1"/>
        <w:numPr>
          <w:ilvl w:val="0"/>
          <w:numId w:val="0"/>
        </w:numPr>
        <w:spacing w:before="0" w:after="240" w:line="360" w:lineRule="auto"/>
        <w:ind w:left="1701" w:hanging="567"/>
        <w:rPr>
          <w:rFonts w:ascii="Times New Roman" w:hAnsi="Times New Roman"/>
          <w:b/>
          <w:bCs/>
        </w:rPr>
      </w:pPr>
      <w:r w:rsidRPr="000B6745">
        <w:rPr>
          <w:rFonts w:ascii="Times New Roman" w:hAnsi="Times New Roman"/>
          <w:b/>
          <w:bCs/>
        </w:rPr>
        <w:t>2.</w:t>
      </w:r>
      <w:r w:rsidRPr="000B6745">
        <w:rPr>
          <w:rFonts w:ascii="Times New Roman" w:hAnsi="Times New Roman"/>
          <w:b/>
          <w:bCs/>
        </w:rPr>
        <w:tab/>
      </w:r>
      <w:r w:rsidR="002F24D1" w:rsidRPr="000B6745">
        <w:rPr>
          <w:rFonts w:ascii="Times New Roman" w:hAnsi="Times New Roman"/>
          <w:b/>
          <w:bCs/>
        </w:rPr>
        <w:t>The respondent is to pay the applicant’s costs</w:t>
      </w:r>
      <w:r w:rsidR="00E82402">
        <w:rPr>
          <w:rFonts w:ascii="Times New Roman" w:hAnsi="Times New Roman"/>
          <w:b/>
          <w:bCs/>
        </w:rPr>
        <w:t xml:space="preserve"> in this application</w:t>
      </w:r>
      <w:r w:rsidR="002F24D1" w:rsidRPr="000B6745">
        <w:rPr>
          <w:rFonts w:ascii="Times New Roman" w:hAnsi="Times New Roman"/>
          <w:b/>
          <w:bCs/>
        </w:rPr>
        <w:t>.</w:t>
      </w:r>
    </w:p>
    <w:p w14:paraId="777D1989" w14:textId="4200E021" w:rsidR="002F24D1" w:rsidRPr="000B6745" w:rsidRDefault="00843CD7" w:rsidP="00843CD7">
      <w:pPr>
        <w:pStyle w:val="WLGLevel1"/>
        <w:numPr>
          <w:ilvl w:val="0"/>
          <w:numId w:val="0"/>
        </w:numPr>
        <w:spacing w:before="0" w:after="240" w:line="360" w:lineRule="auto"/>
        <w:ind w:left="1701" w:hanging="567"/>
        <w:rPr>
          <w:rFonts w:ascii="Times New Roman" w:hAnsi="Times New Roman"/>
          <w:b/>
          <w:bCs/>
        </w:rPr>
      </w:pPr>
      <w:r w:rsidRPr="000B6745">
        <w:rPr>
          <w:rFonts w:ascii="Times New Roman" w:hAnsi="Times New Roman"/>
          <w:b/>
          <w:bCs/>
        </w:rPr>
        <w:t>3.</w:t>
      </w:r>
      <w:r w:rsidRPr="000B6745">
        <w:rPr>
          <w:rFonts w:ascii="Times New Roman" w:hAnsi="Times New Roman"/>
          <w:b/>
          <w:bCs/>
        </w:rPr>
        <w:tab/>
      </w:r>
      <w:r w:rsidR="002F24D1" w:rsidRPr="000B6745">
        <w:rPr>
          <w:rFonts w:ascii="Times New Roman" w:hAnsi="Times New Roman"/>
          <w:b/>
          <w:bCs/>
        </w:rPr>
        <w:t>The respondent is to pay interest on the sum described in paragraph 1 of this order, at the rate of 7%, calculated from 11 March 2022</w:t>
      </w:r>
      <w:r w:rsidR="00BD31ED">
        <w:rPr>
          <w:rFonts w:ascii="Times New Roman" w:hAnsi="Times New Roman"/>
          <w:b/>
          <w:bCs/>
        </w:rPr>
        <w:t xml:space="preserve"> to date of payment</w:t>
      </w:r>
      <w:r w:rsidR="002F24D1" w:rsidRPr="000B6745">
        <w:rPr>
          <w:rFonts w:ascii="Times New Roman" w:hAnsi="Times New Roman"/>
          <w:b/>
          <w:bCs/>
        </w:rPr>
        <w:t>.</w:t>
      </w:r>
    </w:p>
    <w:p w14:paraId="0BC03627" w14:textId="77777777" w:rsidR="00B836D8" w:rsidRPr="005626D0" w:rsidRDefault="00B836D8" w:rsidP="00B836D8">
      <w:pPr>
        <w:pStyle w:val="WLGLevel2"/>
        <w:numPr>
          <w:ilvl w:val="0"/>
          <w:numId w:val="0"/>
        </w:numPr>
        <w:ind w:left="1361" w:hanging="794"/>
        <w:rPr>
          <w:rFonts w:ascii="Times New Roman" w:hAnsi="Times New Roman"/>
        </w:rPr>
      </w:pPr>
    </w:p>
    <w:p w14:paraId="67EA27D8" w14:textId="77777777" w:rsidR="00B836D8" w:rsidRPr="005626D0" w:rsidRDefault="00B836D8" w:rsidP="00B836D8">
      <w:pPr>
        <w:pStyle w:val="Parties"/>
        <w:jc w:val="right"/>
        <w:rPr>
          <w:rFonts w:ascii="Times New Roman" w:hAnsi="Times New Roman"/>
        </w:rPr>
      </w:pPr>
      <w:r w:rsidRPr="005626D0">
        <w:rPr>
          <w:rFonts w:ascii="Times New Roman" w:hAnsi="Times New Roman"/>
        </w:rPr>
        <w:t>________________________________________</w:t>
      </w:r>
    </w:p>
    <w:p w14:paraId="1D0773B8" w14:textId="77777777" w:rsidR="00B836D8" w:rsidRPr="005626D0" w:rsidRDefault="00B836D8" w:rsidP="00B836D8">
      <w:pPr>
        <w:pStyle w:val="Parties"/>
        <w:jc w:val="right"/>
        <w:rPr>
          <w:rFonts w:ascii="Times New Roman" w:hAnsi="Times New Roman"/>
          <w:b/>
          <w:bCs/>
        </w:rPr>
      </w:pPr>
      <w:r w:rsidRPr="005626D0">
        <w:rPr>
          <w:rFonts w:ascii="Times New Roman" w:hAnsi="Times New Roman"/>
          <w:b/>
          <w:bCs/>
        </w:rPr>
        <w:t>ADRIAN FRIEDMAN</w:t>
      </w:r>
    </w:p>
    <w:p w14:paraId="41EF230D" w14:textId="77777777" w:rsidR="00B836D8" w:rsidRPr="005626D0" w:rsidRDefault="00B836D8" w:rsidP="00B836D8">
      <w:pPr>
        <w:pStyle w:val="Parties"/>
        <w:jc w:val="right"/>
        <w:rPr>
          <w:rFonts w:ascii="Times New Roman" w:hAnsi="Times New Roman"/>
          <w:b/>
          <w:bCs/>
        </w:rPr>
      </w:pPr>
      <w:r w:rsidRPr="005626D0">
        <w:rPr>
          <w:rFonts w:ascii="Times New Roman" w:hAnsi="Times New Roman"/>
          <w:b/>
          <w:bCs/>
        </w:rPr>
        <w:t>ACTING JUDGE OF THE HIGH COURT</w:t>
      </w:r>
    </w:p>
    <w:p w14:paraId="0E206EF6" w14:textId="77777777" w:rsidR="00B836D8" w:rsidRPr="005626D0" w:rsidRDefault="00B836D8" w:rsidP="00B836D8">
      <w:pPr>
        <w:pStyle w:val="Parties"/>
        <w:jc w:val="right"/>
        <w:rPr>
          <w:rFonts w:ascii="Times New Roman" w:hAnsi="Times New Roman"/>
          <w:b/>
          <w:bCs/>
        </w:rPr>
      </w:pPr>
      <w:r w:rsidRPr="005626D0">
        <w:rPr>
          <w:rFonts w:ascii="Times New Roman" w:hAnsi="Times New Roman"/>
          <w:b/>
          <w:bCs/>
        </w:rPr>
        <w:t>GAUTENG LOCAL DIVISION, JOHANNESBURG</w:t>
      </w:r>
    </w:p>
    <w:p w14:paraId="0D4D808D" w14:textId="77777777" w:rsidR="00B836D8" w:rsidRPr="005626D0" w:rsidRDefault="00B836D8" w:rsidP="00B836D8">
      <w:pPr>
        <w:pStyle w:val="Parties"/>
        <w:rPr>
          <w:rFonts w:ascii="Times New Roman" w:hAnsi="Times New Roman"/>
        </w:rPr>
      </w:pPr>
    </w:p>
    <w:p w14:paraId="71496900" w14:textId="77777777" w:rsidR="00B836D8" w:rsidRPr="005626D0" w:rsidRDefault="00B836D8" w:rsidP="00B836D8">
      <w:pPr>
        <w:pStyle w:val="Parties"/>
        <w:rPr>
          <w:rFonts w:ascii="Times New Roman" w:hAnsi="Times New Roman"/>
        </w:rPr>
      </w:pPr>
    </w:p>
    <w:p w14:paraId="284E25A7" w14:textId="443D6754" w:rsidR="00B836D8" w:rsidRPr="005626D0" w:rsidRDefault="00B836D8" w:rsidP="00B836D8">
      <w:pPr>
        <w:pStyle w:val="Parties"/>
        <w:rPr>
          <w:rFonts w:ascii="Times New Roman" w:hAnsi="Times New Roman"/>
        </w:rPr>
      </w:pPr>
      <w:r w:rsidRPr="005626D0">
        <w:rPr>
          <w:rFonts w:ascii="Times New Roman" w:hAnsi="Times New Roman"/>
        </w:rPr>
        <w:t>Delivered: This judgment was prepared and authored by the Judge whose name is reflected above and is handed down electronically by circulation to the parties/their legal representatives by email and by uploading it to the electronic file of this matter on CaseLines</w:t>
      </w:r>
      <w:r w:rsidR="008C66B2">
        <w:rPr>
          <w:rFonts w:ascii="Times New Roman" w:hAnsi="Times New Roman"/>
        </w:rPr>
        <w:t xml:space="preserve"> and by release to SAFLII</w:t>
      </w:r>
      <w:r w:rsidRPr="005626D0">
        <w:rPr>
          <w:rFonts w:ascii="Times New Roman" w:hAnsi="Times New Roman"/>
        </w:rPr>
        <w:t xml:space="preserve">. The date for hand down is deemed to be </w:t>
      </w:r>
      <w:r>
        <w:rPr>
          <w:rFonts w:ascii="Times New Roman" w:hAnsi="Times New Roman"/>
        </w:rPr>
        <w:t xml:space="preserve">2 </w:t>
      </w:r>
      <w:r w:rsidR="008C66B2">
        <w:rPr>
          <w:rFonts w:ascii="Times New Roman" w:hAnsi="Times New Roman"/>
        </w:rPr>
        <w:t>October</w:t>
      </w:r>
      <w:r w:rsidRPr="005626D0">
        <w:rPr>
          <w:rFonts w:ascii="Times New Roman" w:hAnsi="Times New Roman"/>
        </w:rPr>
        <w:t xml:space="preserve"> 2023.</w:t>
      </w:r>
    </w:p>
    <w:p w14:paraId="59074CDC" w14:textId="77777777" w:rsidR="00B836D8" w:rsidRPr="005626D0" w:rsidRDefault="00B836D8" w:rsidP="00B836D8">
      <w:pPr>
        <w:pStyle w:val="Parties"/>
        <w:rPr>
          <w:rFonts w:ascii="Times New Roman" w:hAnsi="Times New Roman"/>
        </w:rPr>
      </w:pPr>
    </w:p>
    <w:p w14:paraId="081C81EC" w14:textId="77777777" w:rsidR="00B836D8" w:rsidRPr="005626D0" w:rsidRDefault="00B836D8" w:rsidP="00B836D8">
      <w:pPr>
        <w:pStyle w:val="Parties"/>
        <w:rPr>
          <w:rFonts w:ascii="Times New Roman" w:hAnsi="Times New Roman"/>
          <w:b/>
          <w:bCs/>
        </w:rPr>
      </w:pPr>
    </w:p>
    <w:p w14:paraId="48B0E0B9" w14:textId="77777777" w:rsidR="00B836D8" w:rsidRPr="005626D0" w:rsidRDefault="00B836D8" w:rsidP="00B836D8">
      <w:pPr>
        <w:pStyle w:val="Parties"/>
        <w:rPr>
          <w:rFonts w:ascii="Times New Roman" w:hAnsi="Times New Roman"/>
          <w:b/>
          <w:bCs/>
        </w:rPr>
      </w:pPr>
      <w:r w:rsidRPr="005626D0">
        <w:rPr>
          <w:rFonts w:ascii="Times New Roman" w:hAnsi="Times New Roman"/>
          <w:b/>
          <w:bCs/>
        </w:rPr>
        <w:t>APPEARANCES:</w:t>
      </w:r>
    </w:p>
    <w:p w14:paraId="44A9F691" w14:textId="77777777" w:rsidR="00B836D8" w:rsidRPr="005626D0" w:rsidRDefault="00B836D8" w:rsidP="00B836D8">
      <w:pPr>
        <w:pStyle w:val="Parties"/>
        <w:rPr>
          <w:rFonts w:ascii="Times New Roman" w:hAnsi="Times New Roman"/>
        </w:rPr>
      </w:pPr>
    </w:p>
    <w:p w14:paraId="4764FEF4" w14:textId="1E622159" w:rsidR="00B836D8" w:rsidRPr="005626D0" w:rsidRDefault="00B836D8" w:rsidP="00B836D8">
      <w:pPr>
        <w:pStyle w:val="BodyTextIndent"/>
        <w:spacing w:after="0" w:line="240" w:lineRule="auto"/>
        <w:ind w:left="0"/>
        <w:rPr>
          <w:rFonts w:ascii="Times New Roman" w:hAnsi="Times New Roman"/>
        </w:rPr>
      </w:pPr>
      <w:r w:rsidRPr="005626D0">
        <w:rPr>
          <w:rFonts w:ascii="Times New Roman" w:hAnsi="Times New Roman"/>
        </w:rPr>
        <w:t>Attorney</w:t>
      </w:r>
      <w:r w:rsidR="00460F63">
        <w:rPr>
          <w:rFonts w:ascii="Times New Roman" w:hAnsi="Times New Roman"/>
        </w:rPr>
        <w:t>s</w:t>
      </w:r>
      <w:r w:rsidRPr="005626D0">
        <w:rPr>
          <w:rFonts w:ascii="Times New Roman" w:hAnsi="Times New Roman"/>
        </w:rPr>
        <w:t xml:space="preserve"> for the applicant:</w:t>
      </w:r>
      <w:r w:rsidRPr="005626D0">
        <w:rPr>
          <w:rFonts w:ascii="Times New Roman" w:hAnsi="Times New Roman"/>
        </w:rPr>
        <w:tab/>
      </w:r>
      <w:r w:rsidRPr="005626D0">
        <w:rPr>
          <w:rFonts w:ascii="Times New Roman" w:hAnsi="Times New Roman"/>
        </w:rPr>
        <w:tab/>
      </w:r>
      <w:r w:rsidR="00F7338E">
        <w:rPr>
          <w:rFonts w:ascii="Times New Roman" w:hAnsi="Times New Roman"/>
        </w:rPr>
        <w:t>SLH</w:t>
      </w:r>
      <w:r w:rsidRPr="005626D0">
        <w:rPr>
          <w:rFonts w:ascii="Times New Roman" w:hAnsi="Times New Roman"/>
        </w:rPr>
        <w:t xml:space="preserve"> Inc </w:t>
      </w:r>
    </w:p>
    <w:p w14:paraId="0895AE29" w14:textId="77777777" w:rsidR="00B836D8" w:rsidRPr="005626D0" w:rsidRDefault="00B836D8" w:rsidP="00B836D8">
      <w:pPr>
        <w:pStyle w:val="BodyTextIndent"/>
        <w:spacing w:after="0" w:line="240" w:lineRule="auto"/>
        <w:ind w:left="0"/>
        <w:rPr>
          <w:rFonts w:ascii="Times New Roman" w:hAnsi="Times New Roman"/>
        </w:rPr>
      </w:pPr>
    </w:p>
    <w:p w14:paraId="7147145D" w14:textId="40C1213D" w:rsidR="00B836D8" w:rsidRPr="005626D0" w:rsidRDefault="00B836D8" w:rsidP="00B836D8">
      <w:pPr>
        <w:pStyle w:val="BodyTextIndent"/>
        <w:spacing w:after="0" w:line="240" w:lineRule="auto"/>
        <w:ind w:left="0"/>
        <w:rPr>
          <w:rFonts w:ascii="Times New Roman" w:hAnsi="Times New Roman"/>
        </w:rPr>
      </w:pPr>
      <w:r w:rsidRPr="005626D0">
        <w:rPr>
          <w:rFonts w:ascii="Times New Roman" w:hAnsi="Times New Roman"/>
        </w:rPr>
        <w:t>Counsel for the applicant:</w:t>
      </w:r>
      <w:r w:rsidRPr="005626D0">
        <w:rPr>
          <w:rFonts w:ascii="Times New Roman" w:hAnsi="Times New Roman"/>
        </w:rPr>
        <w:tab/>
      </w:r>
      <w:r w:rsidRPr="005626D0">
        <w:rPr>
          <w:rFonts w:ascii="Times New Roman" w:hAnsi="Times New Roman"/>
        </w:rPr>
        <w:tab/>
      </w:r>
      <w:r w:rsidR="00B70A0A">
        <w:rPr>
          <w:rFonts w:ascii="Times New Roman" w:hAnsi="Times New Roman"/>
        </w:rPr>
        <w:t>Y Alli</w:t>
      </w:r>
    </w:p>
    <w:p w14:paraId="4EE519D6" w14:textId="77777777" w:rsidR="00B836D8" w:rsidRPr="005626D0" w:rsidRDefault="00B836D8" w:rsidP="00B836D8">
      <w:pPr>
        <w:pStyle w:val="BodyTextIndent"/>
        <w:spacing w:after="0" w:line="240" w:lineRule="auto"/>
        <w:ind w:left="0"/>
        <w:rPr>
          <w:rFonts w:ascii="Times New Roman" w:hAnsi="Times New Roman"/>
        </w:rPr>
      </w:pPr>
    </w:p>
    <w:p w14:paraId="461D0FDE" w14:textId="7943E787" w:rsidR="00B836D8" w:rsidRPr="005626D0" w:rsidRDefault="00B836D8" w:rsidP="00B836D8">
      <w:pPr>
        <w:pStyle w:val="BodyTextIndent"/>
        <w:spacing w:after="0" w:line="240" w:lineRule="auto"/>
        <w:ind w:left="0"/>
        <w:rPr>
          <w:rFonts w:ascii="Times New Roman" w:hAnsi="Times New Roman"/>
        </w:rPr>
      </w:pPr>
      <w:r w:rsidRPr="005626D0">
        <w:rPr>
          <w:rFonts w:ascii="Times New Roman" w:hAnsi="Times New Roman"/>
        </w:rPr>
        <w:t>Attorney</w:t>
      </w:r>
      <w:r w:rsidR="00460F63">
        <w:rPr>
          <w:rFonts w:ascii="Times New Roman" w:hAnsi="Times New Roman"/>
        </w:rPr>
        <w:t>s</w:t>
      </w:r>
      <w:r w:rsidRPr="005626D0">
        <w:rPr>
          <w:rFonts w:ascii="Times New Roman" w:hAnsi="Times New Roman"/>
        </w:rPr>
        <w:t xml:space="preserve"> for the respondent:</w:t>
      </w:r>
      <w:r w:rsidRPr="005626D0">
        <w:rPr>
          <w:rFonts w:ascii="Times New Roman" w:hAnsi="Times New Roman"/>
        </w:rPr>
        <w:tab/>
      </w:r>
      <w:r w:rsidR="00B70A0A">
        <w:rPr>
          <w:rFonts w:ascii="Times New Roman" w:hAnsi="Times New Roman"/>
        </w:rPr>
        <w:tab/>
      </w:r>
      <w:r w:rsidR="00460F63">
        <w:rPr>
          <w:rFonts w:ascii="Times New Roman" w:hAnsi="Times New Roman"/>
        </w:rPr>
        <w:t>Hirshowitz Van der Westhuizen Inc</w:t>
      </w:r>
    </w:p>
    <w:p w14:paraId="63F68B6B" w14:textId="77777777" w:rsidR="00B836D8" w:rsidRPr="005626D0" w:rsidRDefault="00B836D8" w:rsidP="00B836D8">
      <w:pPr>
        <w:pStyle w:val="BodyTextIndent"/>
        <w:spacing w:after="0" w:line="240" w:lineRule="auto"/>
        <w:ind w:left="0"/>
        <w:rPr>
          <w:rFonts w:ascii="Times New Roman" w:hAnsi="Times New Roman"/>
        </w:rPr>
      </w:pPr>
    </w:p>
    <w:p w14:paraId="044F6490" w14:textId="1494D3E5" w:rsidR="00B836D8" w:rsidRPr="005626D0" w:rsidRDefault="00B836D8" w:rsidP="00B836D8">
      <w:pPr>
        <w:pStyle w:val="BodyTextIndent"/>
        <w:spacing w:after="0" w:line="240" w:lineRule="auto"/>
        <w:ind w:left="0"/>
        <w:rPr>
          <w:rFonts w:ascii="Times New Roman" w:hAnsi="Times New Roman"/>
        </w:rPr>
      </w:pPr>
      <w:r w:rsidRPr="005626D0">
        <w:rPr>
          <w:rFonts w:ascii="Times New Roman" w:hAnsi="Times New Roman"/>
        </w:rPr>
        <w:t>Counsel for the respondent:</w:t>
      </w:r>
      <w:r w:rsidRPr="005626D0">
        <w:rPr>
          <w:rFonts w:ascii="Times New Roman" w:hAnsi="Times New Roman"/>
        </w:rPr>
        <w:tab/>
      </w:r>
      <w:r w:rsidR="00460F63">
        <w:rPr>
          <w:rFonts w:ascii="Times New Roman" w:hAnsi="Times New Roman"/>
        </w:rPr>
        <w:tab/>
        <w:t>J Both SC and A Louw</w:t>
      </w:r>
    </w:p>
    <w:p w14:paraId="74D18FDF" w14:textId="77777777" w:rsidR="00B836D8" w:rsidRPr="005626D0" w:rsidRDefault="00B836D8" w:rsidP="00B836D8">
      <w:pPr>
        <w:pStyle w:val="BodyTextIndent"/>
        <w:spacing w:after="0" w:line="240" w:lineRule="auto"/>
        <w:ind w:left="0"/>
        <w:rPr>
          <w:rFonts w:ascii="Times New Roman" w:hAnsi="Times New Roman"/>
        </w:rPr>
      </w:pPr>
    </w:p>
    <w:p w14:paraId="26895A9F" w14:textId="77777777" w:rsidR="00B836D8" w:rsidRPr="005626D0" w:rsidRDefault="00B836D8" w:rsidP="00B836D8">
      <w:pPr>
        <w:pStyle w:val="BodyTextIndent"/>
        <w:spacing w:after="0" w:line="240" w:lineRule="auto"/>
        <w:ind w:left="0"/>
        <w:rPr>
          <w:rFonts w:ascii="Times New Roman" w:hAnsi="Times New Roman"/>
        </w:rPr>
      </w:pPr>
      <w:r w:rsidRPr="005626D0">
        <w:rPr>
          <w:rFonts w:ascii="Times New Roman" w:hAnsi="Times New Roman"/>
        </w:rPr>
        <w:t>Date of hearing: 13 March 2023</w:t>
      </w:r>
    </w:p>
    <w:p w14:paraId="7E663BEE" w14:textId="77777777" w:rsidR="00B836D8" w:rsidRPr="005626D0" w:rsidRDefault="00B836D8" w:rsidP="00B836D8">
      <w:pPr>
        <w:pStyle w:val="BodyTextIndent"/>
        <w:spacing w:after="0" w:line="240" w:lineRule="auto"/>
        <w:ind w:left="0"/>
        <w:rPr>
          <w:rFonts w:ascii="Times New Roman" w:hAnsi="Times New Roman"/>
        </w:rPr>
      </w:pPr>
    </w:p>
    <w:p w14:paraId="7A899904" w14:textId="12E28ED2" w:rsidR="00B836D8" w:rsidRPr="00146A17" w:rsidRDefault="00B836D8" w:rsidP="004039FB">
      <w:pPr>
        <w:rPr>
          <w:rFonts w:ascii="Times New Roman" w:hAnsi="Times New Roman"/>
        </w:rPr>
      </w:pPr>
      <w:r w:rsidRPr="005626D0">
        <w:rPr>
          <w:rFonts w:ascii="Times New Roman" w:hAnsi="Times New Roman"/>
        </w:rPr>
        <w:t>Date of judgment: 2</w:t>
      </w:r>
      <w:r w:rsidR="00F7338E">
        <w:rPr>
          <w:rFonts w:ascii="Times New Roman" w:hAnsi="Times New Roman"/>
        </w:rPr>
        <w:t xml:space="preserve"> October</w:t>
      </w:r>
      <w:r w:rsidRPr="005626D0">
        <w:rPr>
          <w:rFonts w:ascii="Times New Roman" w:hAnsi="Times New Roman"/>
        </w:rPr>
        <w:t xml:space="preserve"> 2023</w:t>
      </w:r>
    </w:p>
    <w:sectPr w:rsidR="00B836D8" w:rsidRPr="00146A17">
      <w:headerReference w:type="even" r:id="rId9"/>
      <w:headerReference w:type="default" r:id="rId1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18BD7" w14:textId="77777777" w:rsidR="00E230E7" w:rsidRDefault="00E230E7">
      <w:r>
        <w:separator/>
      </w:r>
    </w:p>
  </w:endnote>
  <w:endnote w:type="continuationSeparator" w:id="0">
    <w:p w14:paraId="4B6FD9E0" w14:textId="77777777" w:rsidR="00E230E7" w:rsidRDefault="00E2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396A7" w14:textId="77777777" w:rsidR="00E230E7" w:rsidRDefault="00E230E7">
      <w:r>
        <w:separator/>
      </w:r>
    </w:p>
  </w:footnote>
  <w:footnote w:type="continuationSeparator" w:id="0">
    <w:p w14:paraId="157EADFD" w14:textId="77777777" w:rsidR="00E230E7" w:rsidRDefault="00E230E7">
      <w:r>
        <w:continuationSeparator/>
      </w:r>
    </w:p>
  </w:footnote>
  <w:footnote w:id="1">
    <w:p w14:paraId="326D9B2E" w14:textId="5F4F698E" w:rsidR="005862F1" w:rsidRPr="004A4CBA" w:rsidRDefault="005862F1"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 xml:space="preserve">University of Johannesburg </w:t>
      </w:r>
      <w:r w:rsidR="005F3D76" w:rsidRPr="004A4CBA">
        <w:rPr>
          <w:rFonts w:ascii="Times New Roman" w:hAnsi="Times New Roman"/>
        </w:rPr>
        <w:t>v Auckland Park Theological Seminary and another 2021 (6) SA 1 (CC)</w:t>
      </w:r>
      <w:r w:rsidR="001779DD" w:rsidRPr="004A4CBA">
        <w:rPr>
          <w:rFonts w:ascii="Times New Roman" w:hAnsi="Times New Roman"/>
        </w:rPr>
        <w:t>.</w:t>
      </w:r>
    </w:p>
  </w:footnote>
  <w:footnote w:id="2">
    <w:p w14:paraId="6A4A9E50" w14:textId="06FE2D37" w:rsidR="004F715B" w:rsidRPr="004A4CBA" w:rsidRDefault="004F715B"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Natal Joint Municipal Pension Fund v Endumeni Municipality 2012</w:t>
      </w:r>
      <w:r w:rsidR="0005208E" w:rsidRPr="004A4CBA">
        <w:rPr>
          <w:rFonts w:ascii="Times New Roman" w:hAnsi="Times New Roman"/>
        </w:rPr>
        <w:t xml:space="preserve"> (4) SA 593 (SCA)</w:t>
      </w:r>
      <w:r w:rsidR="009A56B1" w:rsidRPr="004A4CBA">
        <w:rPr>
          <w:rFonts w:ascii="Times New Roman" w:hAnsi="Times New Roman"/>
        </w:rPr>
        <w:t>.</w:t>
      </w:r>
    </w:p>
  </w:footnote>
  <w:footnote w:id="3">
    <w:p w14:paraId="4CEB5417" w14:textId="6534D088" w:rsidR="00FF4761" w:rsidRPr="004A4CBA" w:rsidRDefault="00FF4761"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r>
      <w:r w:rsidR="003C4DAD" w:rsidRPr="004A4CBA">
        <w:rPr>
          <w:rFonts w:ascii="Times New Roman" w:hAnsi="Times New Roman"/>
        </w:rPr>
        <w:t xml:space="preserve">See section 17 of the Prescription Act </w:t>
      </w:r>
      <w:r w:rsidR="009A56B1" w:rsidRPr="004A4CBA">
        <w:rPr>
          <w:rFonts w:ascii="Times New Roman" w:hAnsi="Times New Roman"/>
        </w:rPr>
        <w:t xml:space="preserve">68 of 1969 </w:t>
      </w:r>
      <w:r w:rsidR="003C4DAD" w:rsidRPr="004A4CBA">
        <w:rPr>
          <w:rFonts w:ascii="Times New Roman" w:hAnsi="Times New Roman"/>
        </w:rPr>
        <w:t>and Khan v Shaik 2020 (6) SA 375 (SCA) at para 23</w:t>
      </w:r>
      <w:r w:rsidR="009A56B1" w:rsidRPr="004A4CBA">
        <w:rPr>
          <w:rFonts w:ascii="Times New Roman" w:hAnsi="Times New Roman"/>
        </w:rPr>
        <w:t>.</w:t>
      </w:r>
    </w:p>
  </w:footnote>
  <w:footnote w:id="4">
    <w:p w14:paraId="36538A50" w14:textId="7864002C" w:rsidR="0066380D" w:rsidRPr="004A4CBA" w:rsidRDefault="0066380D"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Kudu Granite Operations (Pty) Ltd v Caterna Ltd 2003 (5) SA 193 (SCA)</w:t>
      </w:r>
      <w:r w:rsidR="00061D37" w:rsidRPr="004A4CBA">
        <w:rPr>
          <w:rFonts w:ascii="Times New Roman" w:hAnsi="Times New Roman"/>
        </w:rPr>
        <w:t>.</w:t>
      </w:r>
    </w:p>
  </w:footnote>
  <w:footnote w:id="5">
    <w:p w14:paraId="4B927D80" w14:textId="2F6783BC" w:rsidR="00730F98" w:rsidRPr="004A4CBA" w:rsidRDefault="00730F98"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Mtokonya v Minister of Police 2018 (5) SA 22 (CC)</w:t>
      </w:r>
      <w:r w:rsidR="00061D37" w:rsidRPr="004A4CBA">
        <w:rPr>
          <w:rFonts w:ascii="Times New Roman" w:hAnsi="Times New Roman"/>
        </w:rPr>
        <w:t>.</w:t>
      </w:r>
    </w:p>
  </w:footnote>
  <w:footnote w:id="6">
    <w:p w14:paraId="3CFE118D" w14:textId="6D3564FE" w:rsidR="003932E2" w:rsidRPr="004A4CBA" w:rsidRDefault="003932E2"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r>
      <w:r w:rsidR="005C174E" w:rsidRPr="004A4CBA">
        <w:rPr>
          <w:rFonts w:ascii="Times New Roman" w:hAnsi="Times New Roman"/>
        </w:rPr>
        <w:t>Ex Parte Minister of Justice: In re R v Jacobson and Levy 1931 AD 466 at 478</w:t>
      </w:r>
      <w:r w:rsidR="00991E0C" w:rsidRPr="004A4CBA">
        <w:rPr>
          <w:rFonts w:ascii="Times New Roman" w:hAnsi="Times New Roman"/>
        </w:rPr>
        <w:t>.</w:t>
      </w:r>
    </w:p>
  </w:footnote>
  <w:footnote w:id="7">
    <w:p w14:paraId="2B38EAB9" w14:textId="10B74140" w:rsidR="005E26EF" w:rsidRPr="004A4CBA" w:rsidRDefault="005E26EF" w:rsidP="004A4CBA">
      <w:pPr>
        <w:pStyle w:val="FootnoteText"/>
        <w:spacing w:after="120" w:line="240" w:lineRule="auto"/>
        <w:ind w:left="567" w:hanging="567"/>
        <w:rPr>
          <w:rFonts w:ascii="Times New Roman" w:hAnsi="Times New Roman"/>
          <w:lang w:val="en-US"/>
        </w:rPr>
      </w:pPr>
      <w:r w:rsidRPr="004A4CBA">
        <w:rPr>
          <w:rStyle w:val="FootnoteReference"/>
          <w:rFonts w:ascii="Times New Roman" w:hAnsi="Times New Roman"/>
        </w:rPr>
        <w:footnoteRef/>
      </w:r>
      <w:r w:rsidRPr="004A4CBA">
        <w:rPr>
          <w:rFonts w:ascii="Times New Roman" w:hAnsi="Times New Roman"/>
        </w:rPr>
        <w:t xml:space="preserve"> </w:t>
      </w:r>
      <w:r w:rsidR="00C862B5" w:rsidRPr="004A4CBA">
        <w:rPr>
          <w:rFonts w:ascii="Times New Roman" w:hAnsi="Times New Roman"/>
          <w:lang w:val="en-US"/>
        </w:rPr>
        <w:tab/>
        <w:t>It appears that there are some pages missing from the version of the affidavit annexed to Wamjay’s replying affidavit. Nothing turns on this because, as I note in this paragraph, even if a representation had been made in that affidavit</w:t>
      </w:r>
      <w:r w:rsidR="00E81692" w:rsidRPr="004A4CBA">
        <w:rPr>
          <w:rFonts w:ascii="Times New Roman" w:hAnsi="Times New Roman"/>
          <w:lang w:val="en-US"/>
        </w:rPr>
        <w:t>, it would have been too late to be used against ATS in an estoppel argument.</w:t>
      </w:r>
    </w:p>
  </w:footnote>
  <w:footnote w:id="8">
    <w:p w14:paraId="73E0C109" w14:textId="60C6D6B4" w:rsidR="00904C67" w:rsidRPr="004A4CBA" w:rsidRDefault="00904C67"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r>
      <w:r w:rsidR="000D3D92" w:rsidRPr="004A4CBA">
        <w:rPr>
          <w:rFonts w:ascii="Times New Roman" w:hAnsi="Times New Roman"/>
        </w:rPr>
        <w:t xml:space="preserve">Relying on </w:t>
      </w:r>
      <w:r w:rsidR="00EB0754" w:rsidRPr="004A4CBA">
        <w:rPr>
          <w:rFonts w:ascii="Times New Roman" w:hAnsi="Times New Roman"/>
        </w:rPr>
        <w:t>Mosam v De Kamper 1964 (3) SA 794 (T) at 798C-G</w:t>
      </w:r>
      <w:r w:rsidR="000D3D92" w:rsidRPr="004A4CBA">
        <w:rPr>
          <w:rFonts w:ascii="Times New Roman" w:hAnsi="Times New Roman"/>
        </w:rPr>
        <w:t xml:space="preserve"> and</w:t>
      </w:r>
      <w:r w:rsidR="00EB0754" w:rsidRPr="004A4CBA">
        <w:rPr>
          <w:rFonts w:ascii="Times New Roman" w:hAnsi="Times New Roman"/>
        </w:rPr>
        <w:t xml:space="preserve"> Van Staden v Fourie 1989 (3) SA 200 (A) at 215</w:t>
      </w:r>
      <w:r w:rsidR="00454F9C" w:rsidRPr="004A4CBA">
        <w:rPr>
          <w:rFonts w:ascii="Times New Roman" w:hAnsi="Times New Roman"/>
        </w:rPr>
        <w:t>.</w:t>
      </w:r>
    </w:p>
  </w:footnote>
  <w:footnote w:id="9">
    <w:p w14:paraId="59C5115E" w14:textId="6E8CBCBA" w:rsidR="007C22F5" w:rsidRPr="004A4CBA" w:rsidRDefault="007C22F5"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r>
      <w:r w:rsidR="00FF4FE1" w:rsidRPr="004A4CBA">
        <w:rPr>
          <w:rFonts w:ascii="Times New Roman" w:hAnsi="Times New Roman"/>
        </w:rPr>
        <w:t xml:space="preserve">Njongi v MEC Department of Welfare Eastern Cape 2008 (4) </w:t>
      </w:r>
      <w:r w:rsidR="00581862" w:rsidRPr="004A4CBA">
        <w:rPr>
          <w:rFonts w:ascii="Times New Roman" w:hAnsi="Times New Roman"/>
        </w:rPr>
        <w:t>SA</w:t>
      </w:r>
      <w:r w:rsidR="00FF4FE1" w:rsidRPr="004A4CBA">
        <w:rPr>
          <w:rFonts w:ascii="Times New Roman" w:hAnsi="Times New Roman"/>
        </w:rPr>
        <w:t xml:space="preserve"> 237 (CC) at </w:t>
      </w:r>
      <w:r w:rsidR="00581862" w:rsidRPr="004A4CBA">
        <w:rPr>
          <w:rFonts w:ascii="Times New Roman" w:hAnsi="Times New Roman"/>
        </w:rPr>
        <w:t>paras 41 to 43</w:t>
      </w:r>
      <w:r w:rsidR="00862DE2" w:rsidRPr="004A4CBA">
        <w:rPr>
          <w:rFonts w:ascii="Times New Roman" w:hAnsi="Times New Roman"/>
        </w:rPr>
        <w:t>.</w:t>
      </w:r>
    </w:p>
  </w:footnote>
  <w:footnote w:id="10">
    <w:p w14:paraId="75CF2430" w14:textId="3E28FDE6" w:rsidR="00D14734" w:rsidRPr="004A4CBA" w:rsidRDefault="00D14734"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r>
      <w:r w:rsidR="00221B0F" w:rsidRPr="004A4CBA">
        <w:rPr>
          <w:rFonts w:ascii="Times New Roman" w:hAnsi="Times New Roman"/>
        </w:rPr>
        <w:t xml:space="preserve">See </w:t>
      </w:r>
      <w:r w:rsidRPr="004A4CBA">
        <w:rPr>
          <w:rFonts w:ascii="Times New Roman" w:hAnsi="Times New Roman"/>
        </w:rPr>
        <w:t>Unilever Bestfoods Robertsons (Pty) Ltd v Soomar 2007 (2) SA 347 (SCA)</w:t>
      </w:r>
      <w:r w:rsidR="009B4D6A" w:rsidRPr="004A4CBA">
        <w:rPr>
          <w:rFonts w:ascii="Times New Roman" w:hAnsi="Times New Roman"/>
        </w:rPr>
        <w:t xml:space="preserve"> at para 18 and the authorities cited there</w:t>
      </w:r>
      <w:r w:rsidRPr="004A4CBA">
        <w:rPr>
          <w:rFonts w:ascii="Times New Roman" w:hAnsi="Times New Roman"/>
        </w:rPr>
        <w:t>.</w:t>
      </w:r>
    </w:p>
  </w:footnote>
  <w:footnote w:id="11">
    <w:p w14:paraId="0985604A" w14:textId="1D8308DD" w:rsidR="004F43DD" w:rsidRPr="004A4CBA" w:rsidRDefault="004F43DD"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See</w:t>
      </w:r>
      <w:r w:rsidR="00862DE2" w:rsidRPr="004A4CBA">
        <w:rPr>
          <w:rFonts w:ascii="Times New Roman" w:hAnsi="Times New Roman"/>
        </w:rPr>
        <w:t>,</w:t>
      </w:r>
      <w:r w:rsidRPr="004A4CBA">
        <w:rPr>
          <w:rFonts w:ascii="Times New Roman" w:hAnsi="Times New Roman"/>
        </w:rPr>
        <w:t xml:space="preserve"> for example</w:t>
      </w:r>
      <w:r w:rsidR="00862DE2" w:rsidRPr="004A4CBA">
        <w:rPr>
          <w:rFonts w:ascii="Times New Roman" w:hAnsi="Times New Roman"/>
        </w:rPr>
        <w:t>,</w:t>
      </w:r>
      <w:r w:rsidRPr="004A4CBA">
        <w:rPr>
          <w:rFonts w:ascii="Times New Roman" w:hAnsi="Times New Roman"/>
        </w:rPr>
        <w:t xml:space="preserve"> Van Zyl v Standard Bank of SA Limited 2013 JDR 1914 (GSJ)</w:t>
      </w:r>
      <w:r w:rsidR="00470B19" w:rsidRPr="004A4CBA">
        <w:rPr>
          <w:rFonts w:ascii="Times New Roman" w:hAnsi="Times New Roman"/>
        </w:rPr>
        <w:t xml:space="preserve"> at para 26</w:t>
      </w:r>
      <w:r w:rsidR="00862DE2" w:rsidRPr="004A4CBA">
        <w:rPr>
          <w:rFonts w:ascii="Times New Roman" w:hAnsi="Times New Roman"/>
        </w:rPr>
        <w:t>.</w:t>
      </w:r>
    </w:p>
  </w:footnote>
  <w:footnote w:id="12">
    <w:p w14:paraId="2D886E49" w14:textId="6B9FBBA7" w:rsidR="00E525A7" w:rsidRPr="004A4CBA" w:rsidRDefault="00E525A7"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 xml:space="preserve">This development is discussed </w:t>
      </w:r>
      <w:r w:rsidR="00803E24" w:rsidRPr="004A4CBA">
        <w:rPr>
          <w:rFonts w:ascii="Times New Roman" w:hAnsi="Times New Roman"/>
        </w:rPr>
        <w:t xml:space="preserve">briefly </w:t>
      </w:r>
      <w:r w:rsidRPr="004A4CBA">
        <w:rPr>
          <w:rFonts w:ascii="Times New Roman" w:hAnsi="Times New Roman"/>
        </w:rPr>
        <w:t>in Lammers and Lammers v Gio</w:t>
      </w:r>
      <w:r w:rsidR="001D0F39" w:rsidRPr="004A4CBA">
        <w:rPr>
          <w:rFonts w:ascii="Times New Roman" w:hAnsi="Times New Roman"/>
        </w:rPr>
        <w:t>vannoni [1955] 4 All SA 59 (A)</w:t>
      </w:r>
      <w:r w:rsidR="00A6320E" w:rsidRPr="004A4CBA">
        <w:rPr>
          <w:rFonts w:ascii="Times New Roman" w:hAnsi="Times New Roman"/>
        </w:rPr>
        <w:t xml:space="preserve"> at 60-1</w:t>
      </w:r>
      <w:r w:rsidR="00837D48" w:rsidRPr="004A4CBA">
        <w:rPr>
          <w:rFonts w:ascii="Times New Roman" w:hAnsi="Times New Roman"/>
        </w:rPr>
        <w:t xml:space="preserve"> and in more detail in </w:t>
      </w:r>
      <w:r w:rsidR="00192ED1" w:rsidRPr="004A4CBA">
        <w:rPr>
          <w:rFonts w:ascii="Times New Roman" w:hAnsi="Times New Roman"/>
        </w:rPr>
        <w:t>Olivier v van der Bergh 1956 (1) SA 802 (C) at 804-5</w:t>
      </w:r>
      <w:r w:rsidR="001668E8" w:rsidRPr="004A4CBA">
        <w:rPr>
          <w:rFonts w:ascii="Times New Roman" w:hAnsi="Times New Roman"/>
        </w:rPr>
        <w:t>.</w:t>
      </w:r>
    </w:p>
  </w:footnote>
  <w:footnote w:id="13">
    <w:p w14:paraId="4503E31A" w14:textId="4393AE04" w:rsidR="0076441A" w:rsidRPr="004A4CBA" w:rsidRDefault="0076441A"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 xml:space="preserve">See, for example, Olivier v van der Bergh </w:t>
      </w:r>
      <w:r w:rsidR="00A846E5" w:rsidRPr="004A4CBA">
        <w:rPr>
          <w:rFonts w:ascii="Times New Roman" w:hAnsi="Times New Roman"/>
        </w:rPr>
        <w:t xml:space="preserve">(supra) </w:t>
      </w:r>
      <w:r w:rsidRPr="004A4CBA">
        <w:rPr>
          <w:rFonts w:ascii="Times New Roman" w:hAnsi="Times New Roman"/>
        </w:rPr>
        <w:t>at 805</w:t>
      </w:r>
      <w:r w:rsidR="001668E8" w:rsidRPr="004A4CBA">
        <w:rPr>
          <w:rFonts w:ascii="Times New Roman" w:hAnsi="Times New Roman"/>
        </w:rPr>
        <w:t>.</w:t>
      </w:r>
    </w:p>
  </w:footnote>
  <w:footnote w:id="14">
    <w:p w14:paraId="2D26EFAE" w14:textId="1387B057" w:rsidR="00AD0C5A" w:rsidRPr="004A4CBA" w:rsidRDefault="00AD0C5A"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1930 TPD 839</w:t>
      </w:r>
      <w:r w:rsidR="001668E8" w:rsidRPr="004A4CBA">
        <w:rPr>
          <w:rFonts w:ascii="Times New Roman" w:hAnsi="Times New Roman"/>
        </w:rPr>
        <w:t>.</w:t>
      </w:r>
    </w:p>
  </w:footnote>
  <w:footnote w:id="15">
    <w:p w14:paraId="7E9DDFBF" w14:textId="3C3301A6" w:rsidR="008A6514" w:rsidRPr="004A4CBA" w:rsidRDefault="008A6514" w:rsidP="004A4CBA">
      <w:pPr>
        <w:pStyle w:val="FootnoteText"/>
        <w:spacing w:after="120" w:line="240" w:lineRule="auto"/>
        <w:ind w:left="567" w:hanging="567"/>
        <w:rPr>
          <w:rFonts w:ascii="Times New Roman" w:hAnsi="Times New Roman"/>
          <w:lang w:val="en-US"/>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lang w:val="en-US"/>
        </w:rPr>
        <w:tab/>
        <w:t xml:space="preserve">I only mention this condition at all because it </w:t>
      </w:r>
      <w:r w:rsidR="007110C9" w:rsidRPr="004A4CBA">
        <w:rPr>
          <w:rFonts w:ascii="Times New Roman" w:hAnsi="Times New Roman"/>
          <w:lang w:val="en-US"/>
        </w:rPr>
        <w:t xml:space="preserve">always strikes me as somewhat surreal to read </w:t>
      </w:r>
      <w:r w:rsidR="0074130D" w:rsidRPr="004A4CBA">
        <w:rPr>
          <w:rFonts w:ascii="Times New Roman" w:hAnsi="Times New Roman"/>
          <w:lang w:val="en-US"/>
        </w:rPr>
        <w:t>old cases in which the attitude of the judges hearing the matters</w:t>
      </w:r>
      <w:r w:rsidR="00C17769" w:rsidRPr="004A4CBA">
        <w:rPr>
          <w:rFonts w:ascii="Times New Roman" w:hAnsi="Times New Roman"/>
          <w:lang w:val="en-US"/>
        </w:rPr>
        <w:t>, and of course the litigants,</w:t>
      </w:r>
      <w:r w:rsidR="0074130D" w:rsidRPr="004A4CBA">
        <w:rPr>
          <w:rFonts w:ascii="Times New Roman" w:hAnsi="Times New Roman"/>
          <w:lang w:val="en-US"/>
        </w:rPr>
        <w:t xml:space="preserve"> was so different to what is expected today. On the one hand, I see no point in getting </w:t>
      </w:r>
      <w:r w:rsidR="00A34E48" w:rsidRPr="004A4CBA">
        <w:rPr>
          <w:rFonts w:ascii="Times New Roman" w:hAnsi="Times New Roman"/>
          <w:lang w:val="en-US"/>
        </w:rPr>
        <w:t xml:space="preserve">unduly </w:t>
      </w:r>
      <w:r w:rsidR="0074130D" w:rsidRPr="004A4CBA">
        <w:rPr>
          <w:rFonts w:ascii="Times New Roman" w:hAnsi="Times New Roman"/>
          <w:lang w:val="en-US"/>
        </w:rPr>
        <w:t xml:space="preserve">exercised by </w:t>
      </w:r>
      <w:r w:rsidR="00D67363" w:rsidRPr="004A4CBA">
        <w:rPr>
          <w:rFonts w:ascii="Times New Roman" w:hAnsi="Times New Roman"/>
          <w:lang w:val="en-US"/>
        </w:rPr>
        <w:t xml:space="preserve">the attitudes </w:t>
      </w:r>
      <w:r w:rsidR="00A34E48" w:rsidRPr="004A4CBA">
        <w:rPr>
          <w:rFonts w:ascii="Times New Roman" w:hAnsi="Times New Roman"/>
          <w:lang w:val="en-US"/>
        </w:rPr>
        <w:t xml:space="preserve">often </w:t>
      </w:r>
      <w:r w:rsidR="00D67363" w:rsidRPr="004A4CBA">
        <w:rPr>
          <w:rFonts w:ascii="Times New Roman" w:hAnsi="Times New Roman"/>
          <w:lang w:val="en-US"/>
        </w:rPr>
        <w:t xml:space="preserve">reflected in the pre-1994 caselaw, or to judge </w:t>
      </w:r>
      <w:r w:rsidR="00A34E48" w:rsidRPr="004A4CBA">
        <w:rPr>
          <w:rFonts w:ascii="Times New Roman" w:hAnsi="Times New Roman"/>
          <w:lang w:val="en-US"/>
        </w:rPr>
        <w:t>them</w:t>
      </w:r>
      <w:r w:rsidR="00D67363" w:rsidRPr="004A4CBA">
        <w:rPr>
          <w:rFonts w:ascii="Times New Roman" w:hAnsi="Times New Roman"/>
          <w:lang w:val="en-US"/>
        </w:rPr>
        <w:t xml:space="preserve"> by today’s lights. On the other hand, I think it is important to </w:t>
      </w:r>
      <w:r w:rsidR="003E589C" w:rsidRPr="004A4CBA">
        <w:rPr>
          <w:rFonts w:ascii="Times New Roman" w:hAnsi="Times New Roman"/>
          <w:lang w:val="en-US"/>
        </w:rPr>
        <w:t>be upfront in identifying unpalatable features of the historic caselaw. This is because, for better or for worse, a deliberate decision was made during our transition to retain but</w:t>
      </w:r>
      <w:r w:rsidR="00166D50" w:rsidRPr="004A4CBA">
        <w:rPr>
          <w:rFonts w:ascii="Times New Roman" w:hAnsi="Times New Roman"/>
          <w:lang w:val="en-US"/>
        </w:rPr>
        <w:t>,</w:t>
      </w:r>
      <w:r w:rsidR="003E589C" w:rsidRPr="004A4CBA">
        <w:rPr>
          <w:rFonts w:ascii="Times New Roman" w:hAnsi="Times New Roman"/>
          <w:lang w:val="en-US"/>
        </w:rPr>
        <w:t xml:space="preserve"> if necessary, develop our common law. Once that is so, then it seems to me that we should be clear about which parts of the old cases retain some value and which do not. </w:t>
      </w:r>
      <w:r w:rsidR="00F746EC" w:rsidRPr="004A4CBA">
        <w:rPr>
          <w:rFonts w:ascii="Times New Roman" w:hAnsi="Times New Roman"/>
          <w:lang w:val="en-US"/>
        </w:rPr>
        <w:t xml:space="preserve">If we simply cite these cases without comment, then we might be understood to treat the anachronistic characteristics as unimportant. If, on the other hand, we become so outraged about the attitudes </w:t>
      </w:r>
      <w:r w:rsidR="000D0692" w:rsidRPr="004A4CBA">
        <w:rPr>
          <w:rFonts w:ascii="Times New Roman" w:hAnsi="Times New Roman"/>
          <w:lang w:val="en-US"/>
        </w:rPr>
        <w:t xml:space="preserve">reflected </w:t>
      </w:r>
      <w:r w:rsidR="001465FD" w:rsidRPr="004A4CBA">
        <w:rPr>
          <w:rFonts w:ascii="Times New Roman" w:hAnsi="Times New Roman"/>
          <w:lang w:val="en-US"/>
        </w:rPr>
        <w:t>in them</w:t>
      </w:r>
      <w:r w:rsidR="00166D50" w:rsidRPr="004A4CBA">
        <w:rPr>
          <w:rFonts w:ascii="Times New Roman" w:hAnsi="Times New Roman"/>
          <w:lang w:val="en-US"/>
        </w:rPr>
        <w:t xml:space="preserve"> that we cannot derive any value </w:t>
      </w:r>
      <w:r w:rsidR="006608AA" w:rsidRPr="004A4CBA">
        <w:rPr>
          <w:rFonts w:ascii="Times New Roman" w:hAnsi="Times New Roman"/>
          <w:lang w:val="en-US"/>
        </w:rPr>
        <w:t>because of our distaste</w:t>
      </w:r>
      <w:r w:rsidR="000D0692" w:rsidRPr="004A4CBA">
        <w:rPr>
          <w:rFonts w:ascii="Times New Roman" w:hAnsi="Times New Roman"/>
          <w:lang w:val="en-US"/>
        </w:rPr>
        <w:t>, then much of the old jurisprudence would become unusable. As the present case demonstrates, that would be unfortunate because there is a lot to be gained from the old cases, especially when it comes to area</w:t>
      </w:r>
      <w:r w:rsidR="006608AA" w:rsidRPr="004A4CBA">
        <w:rPr>
          <w:rFonts w:ascii="Times New Roman" w:hAnsi="Times New Roman"/>
          <w:lang w:val="en-US"/>
        </w:rPr>
        <w:t>s</w:t>
      </w:r>
      <w:r w:rsidR="000D0692" w:rsidRPr="004A4CBA">
        <w:rPr>
          <w:rFonts w:ascii="Times New Roman" w:hAnsi="Times New Roman"/>
          <w:lang w:val="en-US"/>
        </w:rPr>
        <w:t xml:space="preserve"> of law heavily influenced by our Roman and Roman Dutch law tradition – which is </w:t>
      </w:r>
      <w:r w:rsidR="006608AA" w:rsidRPr="004A4CBA">
        <w:rPr>
          <w:rFonts w:ascii="Times New Roman" w:hAnsi="Times New Roman"/>
          <w:lang w:val="en-US"/>
        </w:rPr>
        <w:t>a</w:t>
      </w:r>
      <w:r w:rsidR="000D0692" w:rsidRPr="004A4CBA">
        <w:rPr>
          <w:rFonts w:ascii="Times New Roman" w:hAnsi="Times New Roman"/>
          <w:lang w:val="en-US"/>
        </w:rPr>
        <w:t xml:space="preserve"> major chunk of our common law.</w:t>
      </w:r>
    </w:p>
  </w:footnote>
  <w:footnote w:id="16">
    <w:p w14:paraId="7500B331" w14:textId="260921D8" w:rsidR="008E1A0B" w:rsidRPr="004A4CBA" w:rsidRDefault="008E1A0B"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See Donn</w:t>
      </w:r>
      <w:r w:rsidR="00216618" w:rsidRPr="004A4CBA">
        <w:rPr>
          <w:rFonts w:ascii="Times New Roman" w:hAnsi="Times New Roman"/>
        </w:rPr>
        <w:t>iger (supra) at 843</w:t>
      </w:r>
      <w:r w:rsidR="00513FA0" w:rsidRPr="004A4CBA">
        <w:rPr>
          <w:rFonts w:ascii="Times New Roman" w:hAnsi="Times New Roman"/>
        </w:rPr>
        <w:t>.</w:t>
      </w:r>
    </w:p>
  </w:footnote>
  <w:footnote w:id="17">
    <w:p w14:paraId="6BA4A10B" w14:textId="653F2457" w:rsidR="00BD6FEA" w:rsidRPr="004A4CBA" w:rsidRDefault="00BD6FEA"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See the detailed discussion in Olivier v Van der Bergh (supra) at 805</w:t>
      </w:r>
      <w:r w:rsidR="00513FA0" w:rsidRPr="004A4CBA">
        <w:rPr>
          <w:rFonts w:ascii="Times New Roman" w:hAnsi="Times New Roman"/>
        </w:rPr>
        <w:t>.</w:t>
      </w:r>
    </w:p>
  </w:footnote>
  <w:footnote w:id="18">
    <w:p w14:paraId="4EBC88EA" w14:textId="47641324" w:rsidR="004A6C10" w:rsidRPr="004A4CBA" w:rsidRDefault="004A6C10"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See Donniger (supra) at 843-4</w:t>
      </w:r>
      <w:r w:rsidR="00513FA0" w:rsidRPr="004A4CBA">
        <w:rPr>
          <w:rFonts w:ascii="Times New Roman" w:hAnsi="Times New Roman"/>
        </w:rPr>
        <w:t>.</w:t>
      </w:r>
    </w:p>
  </w:footnote>
  <w:footnote w:id="19">
    <w:p w14:paraId="462F1DE9" w14:textId="42621CC2" w:rsidR="002E0211" w:rsidRPr="004A4CBA" w:rsidRDefault="002E0211"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Garden City Motors (Pty) Ltd v Bank of the Orange Free State 1983 (2) SA 104 (N)</w:t>
      </w:r>
      <w:r w:rsidR="00513FA0" w:rsidRPr="004A4CBA">
        <w:rPr>
          <w:rFonts w:ascii="Times New Roman" w:hAnsi="Times New Roman"/>
        </w:rPr>
        <w:t>.</w:t>
      </w:r>
    </w:p>
  </w:footnote>
  <w:footnote w:id="20">
    <w:p w14:paraId="00180232" w14:textId="48F621AE" w:rsidR="0049349D" w:rsidRPr="004A4CBA" w:rsidRDefault="0049349D"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 xml:space="preserve">See Garden City Motors (supra) at </w:t>
      </w:r>
      <w:r w:rsidR="00EF3B17" w:rsidRPr="004A4CBA">
        <w:rPr>
          <w:rFonts w:ascii="Times New Roman" w:hAnsi="Times New Roman"/>
        </w:rPr>
        <w:t>109</w:t>
      </w:r>
      <w:r w:rsidR="00513FA0" w:rsidRPr="004A4CBA">
        <w:rPr>
          <w:rFonts w:ascii="Times New Roman" w:hAnsi="Times New Roman"/>
        </w:rPr>
        <w:t>.</w:t>
      </w:r>
    </w:p>
  </w:footnote>
  <w:footnote w:id="21">
    <w:p w14:paraId="1F5BA156" w14:textId="60D225CD" w:rsidR="00FB5FCD" w:rsidRPr="004A4CBA" w:rsidRDefault="00FB5FCD"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In addition to the statement in Garden City Motors</w:t>
      </w:r>
      <w:r w:rsidR="005F3F3F" w:rsidRPr="004A4CBA">
        <w:rPr>
          <w:rFonts w:ascii="Times New Roman" w:hAnsi="Times New Roman"/>
        </w:rPr>
        <w:t xml:space="preserve"> (supra)</w:t>
      </w:r>
      <w:r w:rsidRPr="004A4CBA">
        <w:rPr>
          <w:rFonts w:ascii="Times New Roman" w:hAnsi="Times New Roman"/>
        </w:rPr>
        <w:t xml:space="preserve">, see </w:t>
      </w:r>
      <w:r w:rsidR="0045602D" w:rsidRPr="004A4CBA">
        <w:rPr>
          <w:rFonts w:ascii="Times New Roman" w:hAnsi="Times New Roman"/>
        </w:rPr>
        <w:t>LAWSA</w:t>
      </w:r>
      <w:r w:rsidR="004A2752" w:rsidRPr="004A4CBA">
        <w:rPr>
          <w:rFonts w:ascii="Times New Roman" w:hAnsi="Times New Roman"/>
        </w:rPr>
        <w:t xml:space="preserve"> Lease </w:t>
      </w:r>
      <w:r w:rsidR="00E84199" w:rsidRPr="004A4CBA">
        <w:rPr>
          <w:rFonts w:ascii="Times New Roman" w:hAnsi="Times New Roman"/>
        </w:rPr>
        <w:t xml:space="preserve">3 ed </w:t>
      </w:r>
      <w:r w:rsidR="004A2752" w:rsidRPr="004A4CBA">
        <w:rPr>
          <w:rFonts w:ascii="Times New Roman" w:hAnsi="Times New Roman"/>
        </w:rPr>
        <w:t>at para 87</w:t>
      </w:r>
      <w:r w:rsidR="00513FA0" w:rsidRPr="004A4CBA">
        <w:rPr>
          <w:rFonts w:ascii="Times New Roman" w:hAnsi="Times New Roman"/>
        </w:rPr>
        <w:t>.</w:t>
      </w:r>
    </w:p>
  </w:footnote>
  <w:footnote w:id="22">
    <w:p w14:paraId="20D4DFFC" w14:textId="2576FCEF" w:rsidR="00930DAA" w:rsidRPr="004A4CBA" w:rsidRDefault="00930DAA"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 xml:space="preserve">See LAWSA </w:t>
      </w:r>
      <w:r w:rsidR="00E84199" w:rsidRPr="004A4CBA">
        <w:rPr>
          <w:rFonts w:ascii="Times New Roman" w:hAnsi="Times New Roman"/>
        </w:rPr>
        <w:t xml:space="preserve">Lease at </w:t>
      </w:r>
      <w:r w:rsidR="002A7DEA" w:rsidRPr="004A4CBA">
        <w:rPr>
          <w:rFonts w:ascii="Times New Roman" w:hAnsi="Times New Roman"/>
        </w:rPr>
        <w:t>para 87</w:t>
      </w:r>
      <w:r w:rsidR="00513FA0" w:rsidRPr="004A4CBA">
        <w:rPr>
          <w:rFonts w:ascii="Times New Roman" w:hAnsi="Times New Roman"/>
        </w:rPr>
        <w:t>.</w:t>
      </w:r>
    </w:p>
  </w:footnote>
  <w:footnote w:id="23">
    <w:p w14:paraId="097E527A" w14:textId="735807DA" w:rsidR="003C70AF" w:rsidRPr="004A4CBA" w:rsidRDefault="003C70AF"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See Glover Kerr’s Sale and Lease 4 ed (2014) para 18.5 p 413</w:t>
      </w:r>
      <w:r w:rsidR="00C92714" w:rsidRPr="004A4CBA">
        <w:rPr>
          <w:rFonts w:ascii="Times New Roman" w:hAnsi="Times New Roman"/>
        </w:rPr>
        <w:t>.</w:t>
      </w:r>
    </w:p>
  </w:footnote>
  <w:footnote w:id="24">
    <w:p w14:paraId="370374D5" w14:textId="1332283D" w:rsidR="004B42F0" w:rsidRPr="004A4CBA" w:rsidRDefault="004B42F0"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008778F4" w:rsidRPr="004A4CBA">
        <w:rPr>
          <w:rFonts w:ascii="Times New Roman" w:hAnsi="Times New Roman"/>
        </w:rPr>
        <w:tab/>
        <w:t>See Glover Kerr’s Sale and Lease op cit p 414</w:t>
      </w:r>
      <w:r w:rsidR="00C92714" w:rsidRPr="004A4CBA">
        <w:rPr>
          <w:rFonts w:ascii="Times New Roman" w:hAnsi="Times New Roman"/>
        </w:rPr>
        <w:t>.</w:t>
      </w:r>
    </w:p>
  </w:footnote>
  <w:footnote w:id="25">
    <w:p w14:paraId="0B4647AC" w14:textId="063E7153" w:rsidR="0052128B" w:rsidRPr="004A4CBA" w:rsidRDefault="0052128B"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r>
      <w:r w:rsidR="006414CC" w:rsidRPr="004A4CBA">
        <w:rPr>
          <w:rFonts w:ascii="Times New Roman" w:hAnsi="Times New Roman"/>
        </w:rPr>
        <w:t>1944 CPD 380 at 386</w:t>
      </w:r>
      <w:r w:rsidR="00C92714" w:rsidRPr="004A4CBA">
        <w:rPr>
          <w:rFonts w:ascii="Times New Roman" w:hAnsi="Times New Roman"/>
        </w:rPr>
        <w:t>.</w:t>
      </w:r>
    </w:p>
  </w:footnote>
  <w:footnote w:id="26">
    <w:p w14:paraId="131AA843" w14:textId="41EEE0D8" w:rsidR="009A0DCD" w:rsidRPr="004A4CBA" w:rsidRDefault="009A0DCD"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r>
      <w:r w:rsidR="00F01035" w:rsidRPr="004A4CBA">
        <w:rPr>
          <w:rFonts w:ascii="Times New Roman" w:hAnsi="Times New Roman"/>
        </w:rPr>
        <w:t xml:space="preserve">See Kudu Granite </w:t>
      </w:r>
      <w:r w:rsidR="00C92714" w:rsidRPr="004A4CBA">
        <w:rPr>
          <w:rFonts w:ascii="Times New Roman" w:hAnsi="Times New Roman"/>
        </w:rPr>
        <w:t xml:space="preserve">(supra) </w:t>
      </w:r>
      <w:r w:rsidR="00F01035" w:rsidRPr="004A4CBA">
        <w:rPr>
          <w:rFonts w:ascii="Times New Roman" w:hAnsi="Times New Roman"/>
        </w:rPr>
        <w:t>at para 15 and the authorities cited there</w:t>
      </w:r>
      <w:r w:rsidR="00C92714" w:rsidRPr="004A4CBA">
        <w:rPr>
          <w:rFonts w:ascii="Times New Roman" w:hAnsi="Times New Roman"/>
        </w:rPr>
        <w:t>.</w:t>
      </w:r>
    </w:p>
  </w:footnote>
  <w:footnote w:id="27">
    <w:p w14:paraId="760FFBDD" w14:textId="04348402" w:rsidR="000E2404" w:rsidRPr="004A4CBA" w:rsidRDefault="000E2404"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Makate v Vodacom Ltd 2016 (4) SA 121 (CC) at paras</w:t>
      </w:r>
      <w:r w:rsidR="00CD6490" w:rsidRPr="004A4CBA">
        <w:rPr>
          <w:rFonts w:ascii="Times New Roman" w:hAnsi="Times New Roman"/>
        </w:rPr>
        <w:t xml:space="preserve"> 90-91</w:t>
      </w:r>
      <w:r w:rsidR="00C92714" w:rsidRPr="004A4CBA">
        <w:rPr>
          <w:rFonts w:ascii="Times New Roman" w:hAnsi="Times New Roman"/>
        </w:rPr>
        <w:t>.</w:t>
      </w:r>
    </w:p>
  </w:footnote>
  <w:footnote w:id="28">
    <w:p w14:paraId="5D360209" w14:textId="2246A197" w:rsidR="0002177A" w:rsidRPr="004A4CBA" w:rsidRDefault="0002177A"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Burnett v Deloitte and Touche 2010 (5) SA 259 (WCC) at para 27</w:t>
      </w:r>
      <w:r w:rsidR="001A2853" w:rsidRPr="004A4CBA">
        <w:rPr>
          <w:rFonts w:ascii="Times New Roman" w:hAnsi="Times New Roman"/>
        </w:rPr>
        <w:t>.</w:t>
      </w:r>
    </w:p>
  </w:footnote>
  <w:footnote w:id="29">
    <w:p w14:paraId="0C2A2957" w14:textId="0AB1E232" w:rsidR="00C471EE" w:rsidRPr="004A4CBA" w:rsidRDefault="00C471EE"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r>
      <w:r w:rsidR="002E63B1" w:rsidRPr="004A4CBA">
        <w:rPr>
          <w:rFonts w:ascii="Times New Roman" w:hAnsi="Times New Roman"/>
        </w:rPr>
        <w:t>See University of Johannesburg (supra) at para 63</w:t>
      </w:r>
      <w:r w:rsidR="001A2853" w:rsidRPr="004A4CBA">
        <w:rPr>
          <w:rFonts w:ascii="Times New Roman" w:hAnsi="Times New Roman"/>
        </w:rPr>
        <w:t>.</w:t>
      </w:r>
    </w:p>
  </w:footnote>
  <w:footnote w:id="30">
    <w:p w14:paraId="59CADAD0" w14:textId="653F3E73" w:rsidR="00060F23" w:rsidRPr="004A4CBA" w:rsidRDefault="00060F23" w:rsidP="004A4CBA">
      <w:pPr>
        <w:pStyle w:val="FootnoteText"/>
        <w:spacing w:after="120" w:line="240" w:lineRule="auto"/>
        <w:ind w:left="567" w:hanging="567"/>
        <w:rPr>
          <w:rFonts w:ascii="Times New Roman" w:hAnsi="Times New Roman"/>
          <w:lang w:val="en-US"/>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lang w:val="en-US"/>
        </w:rPr>
        <w:tab/>
        <w:t>See University of Johannesburg (supra) at para 67</w:t>
      </w:r>
      <w:r w:rsidR="001A2853" w:rsidRPr="004A4CBA">
        <w:rPr>
          <w:rFonts w:ascii="Times New Roman" w:hAnsi="Times New Roman"/>
          <w:lang w:val="en-US"/>
        </w:rPr>
        <w:t>.</w:t>
      </w:r>
    </w:p>
  </w:footnote>
  <w:footnote w:id="31">
    <w:p w14:paraId="7E14673B" w14:textId="254F7A40" w:rsidR="001B6AC7" w:rsidRPr="004A4CBA" w:rsidRDefault="001B6AC7" w:rsidP="004A4CBA">
      <w:pPr>
        <w:pStyle w:val="FootnoteText"/>
        <w:spacing w:after="120" w:line="240" w:lineRule="auto"/>
        <w:ind w:left="567" w:hanging="567"/>
        <w:rPr>
          <w:rFonts w:ascii="Times New Roman" w:hAnsi="Times New Roman"/>
          <w:lang w:val="en-US"/>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lang w:val="en-US"/>
        </w:rPr>
        <w:tab/>
        <w:t xml:space="preserve">See, for example, </w:t>
      </w:r>
      <w:r w:rsidR="00F562A6" w:rsidRPr="004A4CBA">
        <w:rPr>
          <w:rFonts w:ascii="Times New Roman" w:hAnsi="Times New Roman"/>
          <w:lang w:val="en-US"/>
        </w:rPr>
        <w:t>the excellent</w:t>
      </w:r>
      <w:r w:rsidR="007A659E" w:rsidRPr="004A4CBA">
        <w:rPr>
          <w:rFonts w:ascii="Times New Roman" w:hAnsi="Times New Roman"/>
          <w:lang w:val="en-US"/>
        </w:rPr>
        <w:t xml:space="preserve"> (if I may say so) unanimous</w:t>
      </w:r>
      <w:r w:rsidR="00F562A6" w:rsidRPr="004A4CBA">
        <w:rPr>
          <w:rFonts w:ascii="Times New Roman" w:hAnsi="Times New Roman"/>
          <w:lang w:val="en-US"/>
        </w:rPr>
        <w:t xml:space="preserve"> judgment of Unterhalter AJA in Capitec Bank Holdings Ltd v Coral Lagoon Investments 194 (Pty) Ltd 2022 (1) SA 100 (SCA)</w:t>
      </w:r>
      <w:r w:rsidR="00A05F10" w:rsidRPr="004A4CBA">
        <w:rPr>
          <w:rFonts w:ascii="Times New Roman" w:hAnsi="Times New Roman"/>
          <w:lang w:val="en-US"/>
        </w:rPr>
        <w:t>.</w:t>
      </w:r>
    </w:p>
  </w:footnote>
  <w:footnote w:id="32">
    <w:p w14:paraId="105A7AAA" w14:textId="0C379430" w:rsidR="007F3E16" w:rsidRPr="004A4CBA" w:rsidRDefault="007F3E16" w:rsidP="004A4CBA">
      <w:pPr>
        <w:pStyle w:val="FootnoteText"/>
        <w:spacing w:after="120" w:line="240" w:lineRule="auto"/>
        <w:ind w:left="567" w:hanging="567"/>
        <w:rPr>
          <w:rFonts w:ascii="Times New Roman" w:hAnsi="Times New Roman"/>
          <w:lang w:val="en-US"/>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lang w:val="en-US"/>
        </w:rPr>
        <w:tab/>
      </w:r>
      <w:r w:rsidR="009B7649" w:rsidRPr="004A4CBA">
        <w:rPr>
          <w:rFonts w:ascii="Times New Roman" w:hAnsi="Times New Roman"/>
          <w:lang w:val="en-US"/>
        </w:rPr>
        <w:t xml:space="preserve">The </w:t>
      </w:r>
      <w:r w:rsidR="00737F93" w:rsidRPr="004A4CBA">
        <w:rPr>
          <w:rFonts w:ascii="Times New Roman" w:hAnsi="Times New Roman"/>
          <w:lang w:val="en-US"/>
        </w:rPr>
        <w:t>most well-known judicial expression of this sentiment may be seen in the obiter remarks of Schutz JA in McCarthy Retail Ltd v Shortdistance Carriers CC</w:t>
      </w:r>
      <w:r w:rsidR="00A36194" w:rsidRPr="004A4CBA">
        <w:rPr>
          <w:rFonts w:ascii="Times New Roman" w:hAnsi="Times New Roman"/>
          <w:lang w:val="en-US"/>
        </w:rPr>
        <w:t xml:space="preserve"> 2001 (3) SA 482 (SCA) at paras 8-10</w:t>
      </w:r>
      <w:r w:rsidR="00A05F10" w:rsidRPr="004A4CBA">
        <w:rPr>
          <w:rFonts w:ascii="Times New Roman" w:hAnsi="Times New Roman"/>
          <w:lang w:val="en-US"/>
        </w:rPr>
        <w:t xml:space="preserve">. It should be said, though, that </w:t>
      </w:r>
      <w:r w:rsidR="001F32AA" w:rsidRPr="004A4CBA">
        <w:rPr>
          <w:rFonts w:ascii="Times New Roman" w:hAnsi="Times New Roman"/>
          <w:lang w:val="en-US"/>
        </w:rPr>
        <w:t xml:space="preserve">Schutz JA did not argue for the </w:t>
      </w:r>
      <w:r w:rsidR="00B06FC3" w:rsidRPr="004A4CBA">
        <w:rPr>
          <w:rFonts w:ascii="Times New Roman" w:hAnsi="Times New Roman"/>
          <w:lang w:val="en-US"/>
        </w:rPr>
        <w:t>simple abandonment of the condictiones, but rather a more nuanced approach in which the general claim would serve as a backstop if the condictiones did not apply for some reason</w:t>
      </w:r>
      <w:r w:rsidR="00A36194" w:rsidRPr="004A4CBA">
        <w:rPr>
          <w:rFonts w:ascii="Times New Roman" w:hAnsi="Times New Roman"/>
          <w:lang w:val="en-US"/>
        </w:rPr>
        <w:t>.</w:t>
      </w:r>
    </w:p>
  </w:footnote>
  <w:footnote w:id="33">
    <w:p w14:paraId="095ECEE3" w14:textId="5A2ABACE" w:rsidR="00BA490C" w:rsidRPr="004A4CBA" w:rsidRDefault="00BA490C"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 xml:space="preserve">See Greater Tzaneen Municipality v Bravospan 252 CC 2022 JDR 3191 (SCA) </w:t>
      </w:r>
      <w:r w:rsidR="00754360" w:rsidRPr="004A4CBA">
        <w:rPr>
          <w:rFonts w:ascii="Times New Roman" w:hAnsi="Times New Roman"/>
        </w:rPr>
        <w:t>at para 15</w:t>
      </w:r>
      <w:r w:rsidR="00DB4CBB" w:rsidRPr="004A4CBA">
        <w:rPr>
          <w:rFonts w:ascii="Times New Roman" w:hAnsi="Times New Roman"/>
        </w:rPr>
        <w:t>.</w:t>
      </w:r>
    </w:p>
  </w:footnote>
  <w:footnote w:id="34">
    <w:p w14:paraId="2C14C667" w14:textId="344D6221" w:rsidR="005E439F" w:rsidRPr="004A4CBA" w:rsidRDefault="005E439F"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See W</w:t>
      </w:r>
      <w:r w:rsidR="009B7794" w:rsidRPr="004A4CBA">
        <w:rPr>
          <w:rFonts w:ascii="Times New Roman" w:hAnsi="Times New Roman"/>
        </w:rPr>
        <w:t>illis Faber Enthoven (Pty) Ltd v Receiver of Revenue 1992 (4) SA 202 (A); Affirmative Portfolios CC v Transnet Ltd t/a Metrorail 2009 (1) SA 196 (SCA) at para 24</w:t>
      </w:r>
      <w:r w:rsidR="00DB4CBB" w:rsidRPr="004A4CBA">
        <w:rPr>
          <w:rFonts w:ascii="Times New Roman" w:hAnsi="Times New Roman"/>
        </w:rPr>
        <w:t>.</w:t>
      </w:r>
    </w:p>
  </w:footnote>
  <w:footnote w:id="35">
    <w:p w14:paraId="04616B7B" w14:textId="17BA580B" w:rsidR="008D0EA1" w:rsidRPr="004A4CBA" w:rsidRDefault="008D0EA1"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See ST v CT 2018 (5) SA 479 (SCA) at para 115</w:t>
      </w:r>
      <w:r w:rsidR="00DB4CBB" w:rsidRPr="004A4CBA">
        <w:rPr>
          <w:rFonts w:ascii="Times New Roman" w:hAnsi="Times New Roman"/>
        </w:rPr>
        <w:t>.</w:t>
      </w:r>
    </w:p>
  </w:footnote>
  <w:footnote w:id="36">
    <w:p w14:paraId="720FDE25" w14:textId="62D05F7B" w:rsidR="00D15115" w:rsidRPr="004A4CBA" w:rsidRDefault="00D15115"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African Diamond Exporters (Pty) Ltd v Barclays Bank International Ltd 1978 (3) SA 699 (A)</w:t>
      </w:r>
      <w:r w:rsidR="00DB4CBB" w:rsidRPr="004A4CBA">
        <w:rPr>
          <w:rFonts w:ascii="Times New Roman" w:hAnsi="Times New Roman"/>
        </w:rPr>
        <w:t>.</w:t>
      </w:r>
    </w:p>
  </w:footnote>
  <w:footnote w:id="37">
    <w:p w14:paraId="37B8FDB8" w14:textId="6EEBE871" w:rsidR="00752236" w:rsidRPr="004A4CBA" w:rsidRDefault="00752236"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General Council of the Bar of South Africa v Geach 2013 (2) SA 52 (SCA) at para 201</w:t>
      </w:r>
      <w:r w:rsidR="00DB4CBB" w:rsidRPr="004A4CBA">
        <w:rPr>
          <w:rFonts w:ascii="Times New Roman" w:hAnsi="Times New Roman"/>
        </w:rPr>
        <w:t>.</w:t>
      </w:r>
    </w:p>
  </w:footnote>
  <w:footnote w:id="38">
    <w:p w14:paraId="6B240C9B" w14:textId="6B41336E" w:rsidR="00C812F8" w:rsidRPr="004A4CBA" w:rsidRDefault="00C812F8"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r>
      <w:r w:rsidR="00590A57" w:rsidRPr="004A4CBA">
        <w:rPr>
          <w:rFonts w:ascii="Times New Roman" w:hAnsi="Times New Roman"/>
        </w:rPr>
        <w:t>Affirmative Portfolios CC (s</w:t>
      </w:r>
      <w:r w:rsidRPr="004A4CBA">
        <w:rPr>
          <w:rFonts w:ascii="Times New Roman" w:hAnsi="Times New Roman"/>
        </w:rPr>
        <w:t>upra</w:t>
      </w:r>
      <w:r w:rsidR="00590A57" w:rsidRPr="004A4CBA">
        <w:rPr>
          <w:rFonts w:ascii="Times New Roman" w:hAnsi="Times New Roman"/>
        </w:rPr>
        <w:t>) at para 38</w:t>
      </w:r>
      <w:r w:rsidR="00DB4CBB" w:rsidRPr="004A4CBA">
        <w:rPr>
          <w:rFonts w:ascii="Times New Roman" w:hAnsi="Times New Roman"/>
        </w:rPr>
        <w:t>.</w:t>
      </w:r>
    </w:p>
  </w:footnote>
  <w:footnote w:id="39">
    <w:p w14:paraId="5CC93BFA" w14:textId="760F1B59" w:rsidR="006E4B5C" w:rsidRPr="004A4CBA" w:rsidRDefault="006E4B5C" w:rsidP="004A4CBA">
      <w:pPr>
        <w:pStyle w:val="FootnoteText"/>
        <w:spacing w:after="120" w:line="240" w:lineRule="auto"/>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See African Diamond Exporters (supra) at 711-712</w:t>
      </w:r>
    </w:p>
  </w:footnote>
  <w:footnote w:id="40">
    <w:p w14:paraId="152561AB" w14:textId="34EFD55F" w:rsidR="001F4460" w:rsidRPr="004A4CBA" w:rsidRDefault="001F4460"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See McCarthy Retail v Shortdistance (supra) at para 18</w:t>
      </w:r>
    </w:p>
  </w:footnote>
  <w:footnote w:id="41">
    <w:p w14:paraId="00525D7F" w14:textId="055DFCDD" w:rsidR="00E37F1B" w:rsidRPr="004A4CBA" w:rsidRDefault="00E37F1B"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Visser Unjustified Enrichment (2008) p 739-740</w:t>
      </w:r>
    </w:p>
  </w:footnote>
  <w:footnote w:id="42">
    <w:p w14:paraId="45FDD2AE" w14:textId="757C5BEB" w:rsidR="00FC0315" w:rsidRPr="004A4CBA" w:rsidRDefault="00FC0315" w:rsidP="004A4CBA">
      <w:pPr>
        <w:pStyle w:val="FootnoteText"/>
        <w:spacing w:after="120" w:line="240" w:lineRule="auto"/>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See Visser op cit at p 740</w:t>
      </w:r>
    </w:p>
  </w:footnote>
  <w:footnote w:id="43">
    <w:p w14:paraId="3D7CC7EE" w14:textId="3F5EF0E2" w:rsidR="00A15D7C" w:rsidRPr="004A4CBA" w:rsidRDefault="00A15D7C"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See Kudu Granite (supra) at para 21</w:t>
      </w:r>
      <w:r w:rsidR="00DB4CBB" w:rsidRPr="004A4CBA">
        <w:rPr>
          <w:rFonts w:ascii="Times New Roman" w:hAnsi="Times New Roman"/>
        </w:rPr>
        <w:t>.</w:t>
      </w:r>
    </w:p>
  </w:footnote>
  <w:footnote w:id="44">
    <w:p w14:paraId="4893B679" w14:textId="384BD390" w:rsidR="007A1F34" w:rsidRPr="004A4CBA" w:rsidRDefault="007A1F34"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t xml:space="preserve">Municipal Employees Pension Fund v Mongwaketse 2022 (6) SA 1 (CC) at para </w:t>
      </w:r>
      <w:r w:rsidR="002D2DC1" w:rsidRPr="004A4CBA">
        <w:rPr>
          <w:rFonts w:ascii="Times New Roman" w:hAnsi="Times New Roman"/>
        </w:rPr>
        <w:t>62</w:t>
      </w:r>
      <w:r w:rsidR="00DB4CBB" w:rsidRPr="004A4CBA">
        <w:rPr>
          <w:rFonts w:ascii="Times New Roman" w:hAnsi="Times New Roman"/>
        </w:rPr>
        <w:t>.</w:t>
      </w:r>
    </w:p>
  </w:footnote>
  <w:footnote w:id="45">
    <w:p w14:paraId="0C4F7319" w14:textId="56735C89" w:rsidR="00202E8E" w:rsidRPr="004A4CBA" w:rsidRDefault="00202E8E" w:rsidP="004A4CBA">
      <w:pPr>
        <w:pStyle w:val="FootnoteText"/>
        <w:spacing w:after="120" w:line="240" w:lineRule="auto"/>
        <w:ind w:left="567" w:hanging="567"/>
        <w:rPr>
          <w:rFonts w:ascii="Times New Roman" w:hAnsi="Times New Roman"/>
          <w:lang w:val="en-US"/>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lang w:val="en-US"/>
        </w:rPr>
        <w:tab/>
        <w:t xml:space="preserve">Plascon-Evans </w:t>
      </w:r>
      <w:r w:rsidR="00A12FBB" w:rsidRPr="004A4CBA">
        <w:rPr>
          <w:rFonts w:ascii="Times New Roman" w:hAnsi="Times New Roman"/>
          <w:lang w:val="en-US"/>
        </w:rPr>
        <w:t xml:space="preserve">Paints Ltd v Van Riebeeck Paints (Pty) Ltd 1984 (3) SA 623 (A) at </w:t>
      </w:r>
      <w:r w:rsidR="00C1686F" w:rsidRPr="004A4CBA">
        <w:rPr>
          <w:rFonts w:ascii="Times New Roman" w:hAnsi="Times New Roman"/>
          <w:lang w:val="en-US"/>
        </w:rPr>
        <w:t>634-5</w:t>
      </w:r>
      <w:r w:rsidR="000B6A78" w:rsidRPr="004A4CBA">
        <w:rPr>
          <w:rFonts w:ascii="Times New Roman" w:hAnsi="Times New Roman"/>
          <w:lang w:val="en-US"/>
        </w:rPr>
        <w:t>.</w:t>
      </w:r>
    </w:p>
  </w:footnote>
  <w:footnote w:id="46">
    <w:p w14:paraId="1E2EB9A1" w14:textId="1E7F396D" w:rsidR="00AE6780" w:rsidRPr="004A4CBA" w:rsidRDefault="00AE6780"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r>
      <w:r w:rsidR="000903F4" w:rsidRPr="004A4CBA">
        <w:rPr>
          <w:rFonts w:ascii="Times New Roman" w:hAnsi="Times New Roman"/>
        </w:rPr>
        <w:t xml:space="preserve">See, for example, Engen Petroleum Limited v Scheepers 2023 JDR 0990 (GJ) </w:t>
      </w:r>
      <w:r w:rsidR="00856B8A" w:rsidRPr="004A4CBA">
        <w:rPr>
          <w:rFonts w:ascii="Times New Roman" w:hAnsi="Times New Roman"/>
        </w:rPr>
        <w:t>at paras 22-25</w:t>
      </w:r>
      <w:r w:rsidR="000B6A78" w:rsidRPr="004A4CBA">
        <w:rPr>
          <w:rFonts w:ascii="Times New Roman" w:hAnsi="Times New Roman"/>
        </w:rPr>
        <w:t>.</w:t>
      </w:r>
    </w:p>
  </w:footnote>
  <w:footnote w:id="47">
    <w:p w14:paraId="75A4ED4C" w14:textId="22B1EA88" w:rsidR="00523520" w:rsidRPr="004A4CBA" w:rsidRDefault="00523520" w:rsidP="004A4CBA">
      <w:pPr>
        <w:pStyle w:val="FootnoteText"/>
        <w:spacing w:after="120" w:line="240" w:lineRule="auto"/>
        <w:ind w:left="567" w:hanging="567"/>
        <w:rPr>
          <w:rFonts w:ascii="Times New Roman" w:hAnsi="Times New Roman"/>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rPr>
        <w:tab/>
      </w:r>
      <w:r w:rsidR="00B4270B" w:rsidRPr="004A4CBA">
        <w:rPr>
          <w:rFonts w:ascii="Times New Roman" w:hAnsi="Times New Roman"/>
        </w:rPr>
        <w:t>See Kudu Granite (supra) at para 21</w:t>
      </w:r>
      <w:r w:rsidR="000B6A78" w:rsidRPr="004A4CBA">
        <w:rPr>
          <w:rFonts w:ascii="Times New Roman" w:hAnsi="Times New Roman"/>
        </w:rPr>
        <w:t>.</w:t>
      </w:r>
    </w:p>
  </w:footnote>
  <w:footnote w:id="48">
    <w:p w14:paraId="213C650C" w14:textId="446E3CF5" w:rsidR="004862D5" w:rsidRPr="004A4CBA" w:rsidRDefault="004862D5" w:rsidP="004A4CBA">
      <w:pPr>
        <w:pStyle w:val="FootnoteText"/>
        <w:spacing w:after="120" w:line="240" w:lineRule="auto"/>
        <w:ind w:left="567" w:hanging="567"/>
        <w:rPr>
          <w:rFonts w:ascii="Times New Roman" w:hAnsi="Times New Roman"/>
          <w:lang w:val="en-US"/>
        </w:rPr>
      </w:pPr>
      <w:r w:rsidRPr="004A4CBA">
        <w:rPr>
          <w:rStyle w:val="FootnoteReference"/>
          <w:rFonts w:ascii="Times New Roman" w:hAnsi="Times New Roman"/>
        </w:rPr>
        <w:footnoteRef/>
      </w:r>
      <w:r w:rsidRPr="004A4CBA">
        <w:rPr>
          <w:rFonts w:ascii="Times New Roman" w:hAnsi="Times New Roman"/>
        </w:rPr>
        <w:t xml:space="preserve"> </w:t>
      </w:r>
      <w:r w:rsidRPr="004A4CBA">
        <w:rPr>
          <w:rFonts w:ascii="Times New Roman" w:hAnsi="Times New Roman"/>
          <w:lang w:val="en-US"/>
        </w:rPr>
        <w:tab/>
        <w:t>Paragraph 28 of Kudu Granite reads as follows:</w:t>
      </w:r>
    </w:p>
    <w:p w14:paraId="599709E3" w14:textId="22EA831B" w:rsidR="00582D56" w:rsidRPr="004A4CBA" w:rsidRDefault="006766E5" w:rsidP="004A4CBA">
      <w:pPr>
        <w:pStyle w:val="FootnoteText"/>
        <w:spacing w:after="120" w:line="240" w:lineRule="auto"/>
        <w:ind w:left="1134"/>
        <w:rPr>
          <w:rFonts w:ascii="Times New Roman" w:hAnsi="Times New Roman"/>
          <w:lang w:val="en-US"/>
        </w:rPr>
      </w:pPr>
      <w:r w:rsidRPr="004A4CBA">
        <w:rPr>
          <w:rFonts w:ascii="Times New Roman" w:hAnsi="Times New Roman"/>
          <w:lang w:val="en-US"/>
        </w:rPr>
        <w:t>“</w:t>
      </w:r>
      <w:r w:rsidR="00582D56" w:rsidRPr="004A4CBA">
        <w:rPr>
          <w:rFonts w:ascii="Times New Roman" w:hAnsi="Times New Roman"/>
        </w:rPr>
        <w:t>The learned Judge made no order in respect of the payment of interest. In </w:t>
      </w:r>
      <w:r w:rsidR="00582D56" w:rsidRPr="004A4CBA">
        <w:rPr>
          <w:rFonts w:ascii="Times New Roman" w:hAnsi="Times New Roman"/>
          <w:i/>
          <w:iCs/>
        </w:rPr>
        <w:t>Baliol Investment Co (Pty) Ltd v Jacobs</w:t>
      </w:r>
      <w:r w:rsidR="00582D56" w:rsidRPr="004A4CBA">
        <w:rPr>
          <w:rFonts w:ascii="Times New Roman" w:hAnsi="Times New Roman"/>
        </w:rPr>
        <w:t> 1946 TPD 269 the Court held, after a consideration of the common law, that interest is not recoverable under the </w:t>
      </w:r>
      <w:r w:rsidR="00582D56" w:rsidRPr="004A4CBA">
        <w:rPr>
          <w:rFonts w:ascii="Times New Roman" w:hAnsi="Times New Roman"/>
          <w:i/>
          <w:iCs/>
        </w:rPr>
        <w:t>condictio causa data causa non secuta</w:t>
      </w:r>
      <w:r w:rsidR="00582D56" w:rsidRPr="004A4CBA">
        <w:rPr>
          <w:rFonts w:ascii="Times New Roman" w:hAnsi="Times New Roman"/>
        </w:rPr>
        <w:t> or under the </w:t>
      </w:r>
      <w:r w:rsidR="00582D56" w:rsidRPr="004A4CBA">
        <w:rPr>
          <w:rFonts w:ascii="Times New Roman" w:hAnsi="Times New Roman"/>
          <w:i/>
          <w:iCs/>
        </w:rPr>
        <w:t>condictio indebiti</w:t>
      </w:r>
      <w:r w:rsidR="00582D56" w:rsidRPr="004A4CBA">
        <w:rPr>
          <w:rFonts w:ascii="Times New Roman" w:hAnsi="Times New Roman"/>
        </w:rPr>
        <w:t> unless the subject of agreement or the debtor is in default or has been placed in </w:t>
      </w:r>
      <w:r w:rsidR="00582D56" w:rsidRPr="004A4CBA">
        <w:rPr>
          <w:rFonts w:ascii="Times New Roman" w:hAnsi="Times New Roman"/>
          <w:i/>
          <w:iCs/>
        </w:rPr>
        <w:t>mora</w:t>
      </w:r>
      <w:r w:rsidR="00582D56" w:rsidRPr="004A4CBA">
        <w:rPr>
          <w:rFonts w:ascii="Times New Roman" w:hAnsi="Times New Roman"/>
        </w:rPr>
        <w:t>. See also </w:t>
      </w:r>
      <w:r w:rsidR="00582D56" w:rsidRPr="004A4CBA">
        <w:rPr>
          <w:rFonts w:ascii="Times New Roman" w:hAnsi="Times New Roman"/>
          <w:i/>
          <w:iCs/>
        </w:rPr>
        <w:t>Commissioner for Inland Revenue v First National Industrial Bank Ltd</w:t>
      </w:r>
      <w:r w:rsidR="00582D56" w:rsidRPr="004A4CBA">
        <w:rPr>
          <w:rFonts w:ascii="Times New Roman" w:hAnsi="Times New Roman"/>
        </w:rPr>
        <w:t> </w:t>
      </w:r>
      <w:hyperlink r:id="rId1" w:tgtFrame="main" w:history="1">
        <w:r w:rsidR="00582D56" w:rsidRPr="004A4CBA">
          <w:rPr>
            <w:rStyle w:val="Hyperlink"/>
            <w:rFonts w:ascii="Times New Roman" w:hAnsi="Times New Roman"/>
            <w:color w:val="auto"/>
          </w:rPr>
          <w:t>1990 (3) SA 641 (A)</w:t>
        </w:r>
      </w:hyperlink>
      <w:r w:rsidR="00582D56" w:rsidRPr="004A4CBA">
        <w:rPr>
          <w:rFonts w:ascii="Times New Roman" w:hAnsi="Times New Roman"/>
        </w:rPr>
        <w:t> at 654C - D, 659A - B. The matter is now regulated by statute: s 2A of the Prescribed Rate of Interest Act 55 of 1975 provides that the amount of every unliquidated debt as determined by a court of law shall bear interest as contemplated in s 1, ie at the rate prescribed. Section 2A(2)</w:t>
      </w:r>
      <w:r w:rsidR="00582D56" w:rsidRPr="004A4CBA">
        <w:rPr>
          <w:rFonts w:ascii="Times New Roman" w:hAnsi="Times New Roman"/>
          <w:i/>
          <w:iCs/>
        </w:rPr>
        <w:t>(a)</w:t>
      </w:r>
      <w:r w:rsidR="00582D56" w:rsidRPr="004A4CBA">
        <w:rPr>
          <w:rFonts w:ascii="Times New Roman" w:hAnsi="Times New Roman"/>
        </w:rPr>
        <w:t> further provides that, subject to any other agreement between the parties, the interest on an unliquidated debt determined by a court of law shall run from the date on which payment of the debt is claimed by service on the debtor of a demand or summons, whichever date is the earlier. In the present case there was no evidence of a demand, but the summons was served on 6 January 1999.</w:t>
      </w:r>
      <w:r w:rsidRPr="004A4CBA">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E35E" w14:textId="77777777" w:rsidR="005C74EA" w:rsidRDefault="005C74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D92F3F" w14:textId="77777777" w:rsidR="005C74EA" w:rsidRDefault="005C74EA">
    <w:pPr>
      <w:pStyle w:val="Header"/>
      <w:ind w:right="360"/>
    </w:pPr>
  </w:p>
  <w:p w14:paraId="6BF629CD" w14:textId="77777777" w:rsidR="005C74EA" w:rsidRDefault="005C74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83E0" w14:textId="6DB31DA6" w:rsidR="005C74EA" w:rsidRDefault="005C74EA">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43CD7">
      <w:rPr>
        <w:rStyle w:val="PageNumber"/>
        <w:noProof/>
      </w:rPr>
      <w:t>54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2">
    <w:nsid w:val="662272A2"/>
    <w:multiLevelType w:val="multilevel"/>
    <w:tmpl w:val="02D4D004"/>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rPr>
    </w:lvl>
    <w:lvl w:ilvl="2">
      <w:start w:val="1"/>
      <w:numFmt w:val="decimal"/>
      <w:pStyle w:val="Heading3"/>
      <w:lvlText w:val="%1.%2.%3."/>
      <w:lvlJc w:val="left"/>
      <w:pPr>
        <w:tabs>
          <w:tab w:val="num" w:pos="2495"/>
        </w:tabs>
        <w:ind w:left="2495" w:hanging="1191"/>
      </w:pPr>
      <w:rPr>
        <w:rFonts w:hint="default"/>
      </w:rPr>
    </w:lvl>
    <w:lvl w:ilvl="3">
      <w:start w:val="1"/>
      <w:numFmt w:val="decimal"/>
      <w:pStyle w:val="Heading4"/>
      <w:lvlText w:val="%1.%2.%3.%4."/>
      <w:lvlJc w:val="left"/>
      <w:pPr>
        <w:tabs>
          <w:tab w:val="num" w:pos="3686"/>
        </w:tabs>
        <w:ind w:left="3686" w:hanging="1191"/>
      </w:pPr>
      <w:rPr>
        <w:rFonts w:hint="default"/>
      </w:rPr>
    </w:lvl>
    <w:lvl w:ilvl="4">
      <w:start w:val="1"/>
      <w:numFmt w:val="decimal"/>
      <w:pStyle w:val="Heading5"/>
      <w:lvlText w:val="%1.%2.%3.%4.%5."/>
      <w:lvlJc w:val="left"/>
      <w:pPr>
        <w:tabs>
          <w:tab w:val="num" w:pos="4876"/>
        </w:tabs>
        <w:ind w:left="4876" w:hanging="1190"/>
      </w:pPr>
      <w:rPr>
        <w:rFonts w:hint="default"/>
      </w:rPr>
    </w:lvl>
    <w:lvl w:ilvl="5">
      <w:start w:val="1"/>
      <w:numFmt w:val="decimal"/>
      <w:pStyle w:val="Heading6"/>
      <w:lvlText w:val="%1.%2.%3.%4.%5.%6"/>
      <w:lvlJc w:val="left"/>
      <w:pPr>
        <w:tabs>
          <w:tab w:val="num" w:pos="3062"/>
        </w:tabs>
        <w:ind w:left="3062" w:hanging="3062"/>
      </w:pPr>
      <w:rPr>
        <w:rFonts w:hint="default"/>
      </w:rPr>
    </w:lvl>
    <w:lvl w:ilvl="6">
      <w:start w:val="1"/>
      <w:numFmt w:val="decimal"/>
      <w:pStyle w:val="Heading7"/>
      <w:lvlText w:val="%1.%2.%3.%4.%5.%6.%7"/>
      <w:lvlJc w:val="left"/>
      <w:pPr>
        <w:tabs>
          <w:tab w:val="num" w:pos="3572"/>
        </w:tabs>
        <w:ind w:left="3572" w:hanging="3572"/>
      </w:pPr>
      <w:rPr>
        <w:rFonts w:hint="default"/>
      </w:rPr>
    </w:lvl>
    <w:lvl w:ilvl="7">
      <w:start w:val="1"/>
      <w:numFmt w:val="decimal"/>
      <w:pStyle w:val="Heading8"/>
      <w:lvlText w:val="%1.%2.%3.%4.%5.%6.%7.%8"/>
      <w:lvlJc w:val="left"/>
      <w:pPr>
        <w:tabs>
          <w:tab w:val="num" w:pos="4082"/>
        </w:tabs>
        <w:ind w:left="4082" w:hanging="4082"/>
      </w:pPr>
      <w:rPr>
        <w:rFonts w:hint="default"/>
      </w:rPr>
    </w:lvl>
    <w:lvl w:ilvl="8">
      <w:start w:val="1"/>
      <w:numFmt w:val="decimal"/>
      <w:pStyle w:val="Heading9"/>
      <w:lvlText w:val="%1.%2.%3.%4.%5.%6.%7.%8.%9"/>
      <w:lvlJc w:val="left"/>
      <w:pPr>
        <w:tabs>
          <w:tab w:val="num" w:pos="4593"/>
        </w:tabs>
        <w:ind w:left="4593" w:hanging="4593"/>
      </w:pPr>
      <w:rPr>
        <w:rFonts w:hint="default"/>
      </w:rPr>
    </w:lvl>
  </w:abstractNum>
  <w:abstractNum w:abstractNumId="3">
    <w:nsid w:val="7C7E49FF"/>
    <w:multiLevelType w:val="hybridMultilevel"/>
    <w:tmpl w:val="C562F5B0"/>
    <w:lvl w:ilvl="0" w:tplc="D7A449A6">
      <w:start w:val="1"/>
      <w:numFmt w:val="decimal"/>
      <w:lvlText w:val="%1."/>
      <w:lvlJc w:val="left"/>
      <w:pPr>
        <w:ind w:left="922" w:hanging="360"/>
      </w:pPr>
      <w:rPr>
        <w:rFonts w:hint="default"/>
      </w:rPr>
    </w:lvl>
    <w:lvl w:ilvl="1" w:tplc="1C090019" w:tentative="1">
      <w:start w:val="1"/>
      <w:numFmt w:val="lowerLetter"/>
      <w:lvlText w:val="%2."/>
      <w:lvlJc w:val="left"/>
      <w:pPr>
        <w:ind w:left="1642" w:hanging="360"/>
      </w:pPr>
    </w:lvl>
    <w:lvl w:ilvl="2" w:tplc="1C09001B" w:tentative="1">
      <w:start w:val="1"/>
      <w:numFmt w:val="lowerRoman"/>
      <w:lvlText w:val="%3."/>
      <w:lvlJc w:val="right"/>
      <w:pPr>
        <w:ind w:left="2362" w:hanging="180"/>
      </w:pPr>
    </w:lvl>
    <w:lvl w:ilvl="3" w:tplc="1C09000F" w:tentative="1">
      <w:start w:val="1"/>
      <w:numFmt w:val="decimal"/>
      <w:lvlText w:val="%4."/>
      <w:lvlJc w:val="left"/>
      <w:pPr>
        <w:ind w:left="3082" w:hanging="360"/>
      </w:pPr>
    </w:lvl>
    <w:lvl w:ilvl="4" w:tplc="1C090019" w:tentative="1">
      <w:start w:val="1"/>
      <w:numFmt w:val="lowerLetter"/>
      <w:lvlText w:val="%5."/>
      <w:lvlJc w:val="left"/>
      <w:pPr>
        <w:ind w:left="3802" w:hanging="360"/>
      </w:pPr>
    </w:lvl>
    <w:lvl w:ilvl="5" w:tplc="1C09001B" w:tentative="1">
      <w:start w:val="1"/>
      <w:numFmt w:val="lowerRoman"/>
      <w:lvlText w:val="%6."/>
      <w:lvlJc w:val="right"/>
      <w:pPr>
        <w:ind w:left="4522" w:hanging="180"/>
      </w:pPr>
    </w:lvl>
    <w:lvl w:ilvl="6" w:tplc="1C09000F" w:tentative="1">
      <w:start w:val="1"/>
      <w:numFmt w:val="decimal"/>
      <w:lvlText w:val="%7."/>
      <w:lvlJc w:val="left"/>
      <w:pPr>
        <w:ind w:left="5242" w:hanging="360"/>
      </w:pPr>
    </w:lvl>
    <w:lvl w:ilvl="7" w:tplc="1C090019" w:tentative="1">
      <w:start w:val="1"/>
      <w:numFmt w:val="lowerLetter"/>
      <w:lvlText w:val="%8."/>
      <w:lvlJc w:val="left"/>
      <w:pPr>
        <w:ind w:left="5962" w:hanging="360"/>
      </w:pPr>
    </w:lvl>
    <w:lvl w:ilvl="8" w:tplc="1C09001B" w:tentative="1">
      <w:start w:val="1"/>
      <w:numFmt w:val="lowerRoman"/>
      <w:lvlText w:val="%9."/>
      <w:lvlJc w:val="right"/>
      <w:pPr>
        <w:ind w:left="6682" w:hanging="180"/>
      </w:p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B7"/>
    <w:rsid w:val="00001286"/>
    <w:rsid w:val="00001A9C"/>
    <w:rsid w:val="00001EFF"/>
    <w:rsid w:val="000042A7"/>
    <w:rsid w:val="00006B5C"/>
    <w:rsid w:val="0000763D"/>
    <w:rsid w:val="0000776A"/>
    <w:rsid w:val="00010037"/>
    <w:rsid w:val="00010818"/>
    <w:rsid w:val="00010897"/>
    <w:rsid w:val="00010EA0"/>
    <w:rsid w:val="00011167"/>
    <w:rsid w:val="00012570"/>
    <w:rsid w:val="00012DF5"/>
    <w:rsid w:val="00013ABE"/>
    <w:rsid w:val="0002016F"/>
    <w:rsid w:val="00020BAF"/>
    <w:rsid w:val="00020BF0"/>
    <w:rsid w:val="0002177A"/>
    <w:rsid w:val="00022299"/>
    <w:rsid w:val="00023E10"/>
    <w:rsid w:val="00025730"/>
    <w:rsid w:val="00027757"/>
    <w:rsid w:val="0003092D"/>
    <w:rsid w:val="00031FBF"/>
    <w:rsid w:val="0003250B"/>
    <w:rsid w:val="000332E9"/>
    <w:rsid w:val="0003337A"/>
    <w:rsid w:val="00036676"/>
    <w:rsid w:val="000370BB"/>
    <w:rsid w:val="00037950"/>
    <w:rsid w:val="00040626"/>
    <w:rsid w:val="00043B4A"/>
    <w:rsid w:val="00043D89"/>
    <w:rsid w:val="0004423C"/>
    <w:rsid w:val="000465E4"/>
    <w:rsid w:val="00050849"/>
    <w:rsid w:val="00050B54"/>
    <w:rsid w:val="00051F90"/>
    <w:rsid w:val="0005208E"/>
    <w:rsid w:val="00053C4C"/>
    <w:rsid w:val="00053F2D"/>
    <w:rsid w:val="00060C88"/>
    <w:rsid w:val="00060E5C"/>
    <w:rsid w:val="00060F23"/>
    <w:rsid w:val="00060FE3"/>
    <w:rsid w:val="00061D37"/>
    <w:rsid w:val="0006228D"/>
    <w:rsid w:val="0006443D"/>
    <w:rsid w:val="000648A1"/>
    <w:rsid w:val="00071547"/>
    <w:rsid w:val="00072143"/>
    <w:rsid w:val="0007342D"/>
    <w:rsid w:val="000739E4"/>
    <w:rsid w:val="00073E92"/>
    <w:rsid w:val="00076352"/>
    <w:rsid w:val="00076F81"/>
    <w:rsid w:val="0008029B"/>
    <w:rsid w:val="00080F88"/>
    <w:rsid w:val="00086B61"/>
    <w:rsid w:val="00087172"/>
    <w:rsid w:val="000903F4"/>
    <w:rsid w:val="00094726"/>
    <w:rsid w:val="00094A21"/>
    <w:rsid w:val="000968E9"/>
    <w:rsid w:val="000A022C"/>
    <w:rsid w:val="000A0578"/>
    <w:rsid w:val="000A0EBD"/>
    <w:rsid w:val="000A0FF9"/>
    <w:rsid w:val="000A2037"/>
    <w:rsid w:val="000A2716"/>
    <w:rsid w:val="000A48EB"/>
    <w:rsid w:val="000A5BEF"/>
    <w:rsid w:val="000A5E17"/>
    <w:rsid w:val="000B07DE"/>
    <w:rsid w:val="000B0D8F"/>
    <w:rsid w:val="000B1C5E"/>
    <w:rsid w:val="000B2728"/>
    <w:rsid w:val="000B27F3"/>
    <w:rsid w:val="000B2DDA"/>
    <w:rsid w:val="000B416C"/>
    <w:rsid w:val="000B46FE"/>
    <w:rsid w:val="000B5AA0"/>
    <w:rsid w:val="000B5B14"/>
    <w:rsid w:val="000B6745"/>
    <w:rsid w:val="000B6A78"/>
    <w:rsid w:val="000B7DD6"/>
    <w:rsid w:val="000C21DF"/>
    <w:rsid w:val="000C3D34"/>
    <w:rsid w:val="000C532E"/>
    <w:rsid w:val="000C5351"/>
    <w:rsid w:val="000C63C8"/>
    <w:rsid w:val="000C72F4"/>
    <w:rsid w:val="000D0692"/>
    <w:rsid w:val="000D1460"/>
    <w:rsid w:val="000D17A4"/>
    <w:rsid w:val="000D1A0B"/>
    <w:rsid w:val="000D29CE"/>
    <w:rsid w:val="000D3D92"/>
    <w:rsid w:val="000D4398"/>
    <w:rsid w:val="000D4790"/>
    <w:rsid w:val="000D583C"/>
    <w:rsid w:val="000D61BD"/>
    <w:rsid w:val="000D7252"/>
    <w:rsid w:val="000D7895"/>
    <w:rsid w:val="000D7D69"/>
    <w:rsid w:val="000D7EAE"/>
    <w:rsid w:val="000E0673"/>
    <w:rsid w:val="000E19AA"/>
    <w:rsid w:val="000E1CC6"/>
    <w:rsid w:val="000E2404"/>
    <w:rsid w:val="000E2B24"/>
    <w:rsid w:val="000E4DF7"/>
    <w:rsid w:val="000E4F6E"/>
    <w:rsid w:val="000E51A2"/>
    <w:rsid w:val="000F1436"/>
    <w:rsid w:val="000F3C05"/>
    <w:rsid w:val="000F4CE9"/>
    <w:rsid w:val="000F6EA0"/>
    <w:rsid w:val="000F7776"/>
    <w:rsid w:val="000F7892"/>
    <w:rsid w:val="000F7C21"/>
    <w:rsid w:val="00101028"/>
    <w:rsid w:val="0010287A"/>
    <w:rsid w:val="00102B69"/>
    <w:rsid w:val="00103DD7"/>
    <w:rsid w:val="00104E96"/>
    <w:rsid w:val="00107649"/>
    <w:rsid w:val="0011064E"/>
    <w:rsid w:val="0011216D"/>
    <w:rsid w:val="00115C0F"/>
    <w:rsid w:val="00116EDE"/>
    <w:rsid w:val="00123B98"/>
    <w:rsid w:val="001242E0"/>
    <w:rsid w:val="001249EB"/>
    <w:rsid w:val="00124C45"/>
    <w:rsid w:val="00124CF6"/>
    <w:rsid w:val="0012702D"/>
    <w:rsid w:val="0012777C"/>
    <w:rsid w:val="001304FA"/>
    <w:rsid w:val="00130772"/>
    <w:rsid w:val="00131D63"/>
    <w:rsid w:val="001325F0"/>
    <w:rsid w:val="00134A2D"/>
    <w:rsid w:val="00134C90"/>
    <w:rsid w:val="00135180"/>
    <w:rsid w:val="0013556A"/>
    <w:rsid w:val="001362F6"/>
    <w:rsid w:val="00136F17"/>
    <w:rsid w:val="00137647"/>
    <w:rsid w:val="00141728"/>
    <w:rsid w:val="00142F30"/>
    <w:rsid w:val="00143B67"/>
    <w:rsid w:val="00144D1F"/>
    <w:rsid w:val="001465FD"/>
    <w:rsid w:val="00146A17"/>
    <w:rsid w:val="00147639"/>
    <w:rsid w:val="00150EFB"/>
    <w:rsid w:val="001513C7"/>
    <w:rsid w:val="00155461"/>
    <w:rsid w:val="00156F1E"/>
    <w:rsid w:val="00161C86"/>
    <w:rsid w:val="0016254C"/>
    <w:rsid w:val="001626FE"/>
    <w:rsid w:val="00163AE0"/>
    <w:rsid w:val="00164821"/>
    <w:rsid w:val="00165502"/>
    <w:rsid w:val="00165C9D"/>
    <w:rsid w:val="001668E8"/>
    <w:rsid w:val="00166917"/>
    <w:rsid w:val="00166D50"/>
    <w:rsid w:val="001731F6"/>
    <w:rsid w:val="001733B2"/>
    <w:rsid w:val="00173D28"/>
    <w:rsid w:val="00174D09"/>
    <w:rsid w:val="0017553D"/>
    <w:rsid w:val="00175A46"/>
    <w:rsid w:val="00176814"/>
    <w:rsid w:val="001779DD"/>
    <w:rsid w:val="001807AD"/>
    <w:rsid w:val="001812D4"/>
    <w:rsid w:val="00181338"/>
    <w:rsid w:val="00181720"/>
    <w:rsid w:val="001845F2"/>
    <w:rsid w:val="00185309"/>
    <w:rsid w:val="00185BC2"/>
    <w:rsid w:val="00186D92"/>
    <w:rsid w:val="0018760C"/>
    <w:rsid w:val="0019003A"/>
    <w:rsid w:val="001908D1"/>
    <w:rsid w:val="001916C5"/>
    <w:rsid w:val="00191DF8"/>
    <w:rsid w:val="001924E8"/>
    <w:rsid w:val="00192ED1"/>
    <w:rsid w:val="00193608"/>
    <w:rsid w:val="0019466A"/>
    <w:rsid w:val="00195547"/>
    <w:rsid w:val="00195EA7"/>
    <w:rsid w:val="0019672A"/>
    <w:rsid w:val="00197192"/>
    <w:rsid w:val="001976A7"/>
    <w:rsid w:val="001A009C"/>
    <w:rsid w:val="001A031F"/>
    <w:rsid w:val="001A03C6"/>
    <w:rsid w:val="001A0AE4"/>
    <w:rsid w:val="001A1641"/>
    <w:rsid w:val="001A16AE"/>
    <w:rsid w:val="001A16BA"/>
    <w:rsid w:val="001A183A"/>
    <w:rsid w:val="001A1857"/>
    <w:rsid w:val="001A1B1C"/>
    <w:rsid w:val="001A1EB4"/>
    <w:rsid w:val="001A2853"/>
    <w:rsid w:val="001A487E"/>
    <w:rsid w:val="001A566A"/>
    <w:rsid w:val="001A5B20"/>
    <w:rsid w:val="001A7A79"/>
    <w:rsid w:val="001B0974"/>
    <w:rsid w:val="001B0EBA"/>
    <w:rsid w:val="001B213A"/>
    <w:rsid w:val="001B22F4"/>
    <w:rsid w:val="001B38FB"/>
    <w:rsid w:val="001B6AC7"/>
    <w:rsid w:val="001C05CA"/>
    <w:rsid w:val="001C1513"/>
    <w:rsid w:val="001C1AB8"/>
    <w:rsid w:val="001C21CC"/>
    <w:rsid w:val="001C3D45"/>
    <w:rsid w:val="001C424A"/>
    <w:rsid w:val="001C53AC"/>
    <w:rsid w:val="001D0F39"/>
    <w:rsid w:val="001D46E8"/>
    <w:rsid w:val="001D4891"/>
    <w:rsid w:val="001D4C2D"/>
    <w:rsid w:val="001D5870"/>
    <w:rsid w:val="001D693D"/>
    <w:rsid w:val="001E0D34"/>
    <w:rsid w:val="001E31C5"/>
    <w:rsid w:val="001E3D07"/>
    <w:rsid w:val="001E3DE9"/>
    <w:rsid w:val="001E40FA"/>
    <w:rsid w:val="001F05FE"/>
    <w:rsid w:val="001F2187"/>
    <w:rsid w:val="001F264C"/>
    <w:rsid w:val="001F32AA"/>
    <w:rsid w:val="001F3716"/>
    <w:rsid w:val="001F4460"/>
    <w:rsid w:val="001F4756"/>
    <w:rsid w:val="001F4A33"/>
    <w:rsid w:val="001F535F"/>
    <w:rsid w:val="001F70C3"/>
    <w:rsid w:val="001F7990"/>
    <w:rsid w:val="001F7ADB"/>
    <w:rsid w:val="002027B8"/>
    <w:rsid w:val="00202E8E"/>
    <w:rsid w:val="00205078"/>
    <w:rsid w:val="00206326"/>
    <w:rsid w:val="00206A86"/>
    <w:rsid w:val="00207C65"/>
    <w:rsid w:val="00207CD7"/>
    <w:rsid w:val="002111AD"/>
    <w:rsid w:val="00211820"/>
    <w:rsid w:val="002124D5"/>
    <w:rsid w:val="00212881"/>
    <w:rsid w:val="002141C8"/>
    <w:rsid w:val="00216618"/>
    <w:rsid w:val="00216BEF"/>
    <w:rsid w:val="00217106"/>
    <w:rsid w:val="002204A9"/>
    <w:rsid w:val="002204D7"/>
    <w:rsid w:val="00221443"/>
    <w:rsid w:val="00221670"/>
    <w:rsid w:val="00221B0F"/>
    <w:rsid w:val="00224F3F"/>
    <w:rsid w:val="0022570A"/>
    <w:rsid w:val="00226131"/>
    <w:rsid w:val="00226AC2"/>
    <w:rsid w:val="00226B46"/>
    <w:rsid w:val="00230013"/>
    <w:rsid w:val="002305B4"/>
    <w:rsid w:val="00231F75"/>
    <w:rsid w:val="002321FB"/>
    <w:rsid w:val="00233872"/>
    <w:rsid w:val="00234D8C"/>
    <w:rsid w:val="002351D1"/>
    <w:rsid w:val="00235A0A"/>
    <w:rsid w:val="00236227"/>
    <w:rsid w:val="00237CE3"/>
    <w:rsid w:val="002404E7"/>
    <w:rsid w:val="00240514"/>
    <w:rsid w:val="002405E4"/>
    <w:rsid w:val="00240839"/>
    <w:rsid w:val="00241185"/>
    <w:rsid w:val="00245D4C"/>
    <w:rsid w:val="00250ECD"/>
    <w:rsid w:val="0025343F"/>
    <w:rsid w:val="00253F63"/>
    <w:rsid w:val="0025673B"/>
    <w:rsid w:val="002575EE"/>
    <w:rsid w:val="00257FB0"/>
    <w:rsid w:val="00261A84"/>
    <w:rsid w:val="00262169"/>
    <w:rsid w:val="00262A35"/>
    <w:rsid w:val="00262BDF"/>
    <w:rsid w:val="002630F5"/>
    <w:rsid w:val="00271AE9"/>
    <w:rsid w:val="002720ED"/>
    <w:rsid w:val="00272D3E"/>
    <w:rsid w:val="002742FD"/>
    <w:rsid w:val="0027456F"/>
    <w:rsid w:val="00275BF3"/>
    <w:rsid w:val="00276258"/>
    <w:rsid w:val="00277E25"/>
    <w:rsid w:val="002829E8"/>
    <w:rsid w:val="002829F4"/>
    <w:rsid w:val="002849CA"/>
    <w:rsid w:val="00284B86"/>
    <w:rsid w:val="00285D71"/>
    <w:rsid w:val="00285E30"/>
    <w:rsid w:val="002870AD"/>
    <w:rsid w:val="00287AA7"/>
    <w:rsid w:val="00291B3B"/>
    <w:rsid w:val="00292733"/>
    <w:rsid w:val="00295F0E"/>
    <w:rsid w:val="00296897"/>
    <w:rsid w:val="002A2369"/>
    <w:rsid w:val="002A42BD"/>
    <w:rsid w:val="002A61E2"/>
    <w:rsid w:val="002A7DEA"/>
    <w:rsid w:val="002B2380"/>
    <w:rsid w:val="002B33CA"/>
    <w:rsid w:val="002B33F9"/>
    <w:rsid w:val="002B405C"/>
    <w:rsid w:val="002B4848"/>
    <w:rsid w:val="002B4FFB"/>
    <w:rsid w:val="002B642C"/>
    <w:rsid w:val="002B6D30"/>
    <w:rsid w:val="002B701A"/>
    <w:rsid w:val="002C6BAF"/>
    <w:rsid w:val="002C6C98"/>
    <w:rsid w:val="002C7E04"/>
    <w:rsid w:val="002C7E1D"/>
    <w:rsid w:val="002D2DC1"/>
    <w:rsid w:val="002D386C"/>
    <w:rsid w:val="002D4A37"/>
    <w:rsid w:val="002D4BCE"/>
    <w:rsid w:val="002D4DE6"/>
    <w:rsid w:val="002D5660"/>
    <w:rsid w:val="002D6224"/>
    <w:rsid w:val="002D6274"/>
    <w:rsid w:val="002D64FE"/>
    <w:rsid w:val="002D7C69"/>
    <w:rsid w:val="002E0211"/>
    <w:rsid w:val="002E0A65"/>
    <w:rsid w:val="002E2649"/>
    <w:rsid w:val="002E389F"/>
    <w:rsid w:val="002E562E"/>
    <w:rsid w:val="002E5773"/>
    <w:rsid w:val="002E6056"/>
    <w:rsid w:val="002E63B1"/>
    <w:rsid w:val="002F017E"/>
    <w:rsid w:val="002F0373"/>
    <w:rsid w:val="002F0712"/>
    <w:rsid w:val="002F1D64"/>
    <w:rsid w:val="002F24D1"/>
    <w:rsid w:val="002F3312"/>
    <w:rsid w:val="002F5422"/>
    <w:rsid w:val="002F5847"/>
    <w:rsid w:val="00301BEA"/>
    <w:rsid w:val="003026F4"/>
    <w:rsid w:val="003040E1"/>
    <w:rsid w:val="00304C55"/>
    <w:rsid w:val="00305E31"/>
    <w:rsid w:val="00306676"/>
    <w:rsid w:val="00310BB9"/>
    <w:rsid w:val="00313960"/>
    <w:rsid w:val="00313A83"/>
    <w:rsid w:val="0031450F"/>
    <w:rsid w:val="00314666"/>
    <w:rsid w:val="00314898"/>
    <w:rsid w:val="00315DCC"/>
    <w:rsid w:val="00316F3E"/>
    <w:rsid w:val="003176C3"/>
    <w:rsid w:val="00320DFB"/>
    <w:rsid w:val="003219C2"/>
    <w:rsid w:val="00326DDD"/>
    <w:rsid w:val="0033208F"/>
    <w:rsid w:val="00332F77"/>
    <w:rsid w:val="003338CA"/>
    <w:rsid w:val="0033410E"/>
    <w:rsid w:val="00335913"/>
    <w:rsid w:val="00336A11"/>
    <w:rsid w:val="00336E60"/>
    <w:rsid w:val="0034203C"/>
    <w:rsid w:val="003454E0"/>
    <w:rsid w:val="00345C3D"/>
    <w:rsid w:val="00346E4B"/>
    <w:rsid w:val="00350A80"/>
    <w:rsid w:val="00350DDA"/>
    <w:rsid w:val="0035197C"/>
    <w:rsid w:val="00352BB5"/>
    <w:rsid w:val="0035583D"/>
    <w:rsid w:val="00355E28"/>
    <w:rsid w:val="0035623B"/>
    <w:rsid w:val="00356286"/>
    <w:rsid w:val="00356D06"/>
    <w:rsid w:val="00362C89"/>
    <w:rsid w:val="00363D3B"/>
    <w:rsid w:val="003649E3"/>
    <w:rsid w:val="003650D8"/>
    <w:rsid w:val="00365D39"/>
    <w:rsid w:val="00367920"/>
    <w:rsid w:val="00370D55"/>
    <w:rsid w:val="003738AC"/>
    <w:rsid w:val="00373DD1"/>
    <w:rsid w:val="003743AF"/>
    <w:rsid w:val="00375D56"/>
    <w:rsid w:val="00375E34"/>
    <w:rsid w:val="00376864"/>
    <w:rsid w:val="003770F7"/>
    <w:rsid w:val="003771EE"/>
    <w:rsid w:val="00377496"/>
    <w:rsid w:val="00384BCB"/>
    <w:rsid w:val="003852C2"/>
    <w:rsid w:val="00386797"/>
    <w:rsid w:val="0038688D"/>
    <w:rsid w:val="003871FD"/>
    <w:rsid w:val="0038747C"/>
    <w:rsid w:val="00392AD6"/>
    <w:rsid w:val="00392B20"/>
    <w:rsid w:val="003932E2"/>
    <w:rsid w:val="00395B2D"/>
    <w:rsid w:val="003A2169"/>
    <w:rsid w:val="003A2207"/>
    <w:rsid w:val="003A629B"/>
    <w:rsid w:val="003A6523"/>
    <w:rsid w:val="003B1E23"/>
    <w:rsid w:val="003B2F36"/>
    <w:rsid w:val="003B3792"/>
    <w:rsid w:val="003B536C"/>
    <w:rsid w:val="003B54F6"/>
    <w:rsid w:val="003B5E3D"/>
    <w:rsid w:val="003B63B5"/>
    <w:rsid w:val="003B678E"/>
    <w:rsid w:val="003B6C8F"/>
    <w:rsid w:val="003B7FB0"/>
    <w:rsid w:val="003C1C48"/>
    <w:rsid w:val="003C20CE"/>
    <w:rsid w:val="003C235E"/>
    <w:rsid w:val="003C2769"/>
    <w:rsid w:val="003C3969"/>
    <w:rsid w:val="003C4DAD"/>
    <w:rsid w:val="003C50ED"/>
    <w:rsid w:val="003C51F9"/>
    <w:rsid w:val="003C589B"/>
    <w:rsid w:val="003C5AFE"/>
    <w:rsid w:val="003C690F"/>
    <w:rsid w:val="003C6962"/>
    <w:rsid w:val="003C6FC7"/>
    <w:rsid w:val="003C70AF"/>
    <w:rsid w:val="003C7EEB"/>
    <w:rsid w:val="003D0DDE"/>
    <w:rsid w:val="003D13F1"/>
    <w:rsid w:val="003D206F"/>
    <w:rsid w:val="003D20DF"/>
    <w:rsid w:val="003D2B26"/>
    <w:rsid w:val="003D3F71"/>
    <w:rsid w:val="003D66CB"/>
    <w:rsid w:val="003E2326"/>
    <w:rsid w:val="003E27D6"/>
    <w:rsid w:val="003E43C4"/>
    <w:rsid w:val="003E589C"/>
    <w:rsid w:val="003F030D"/>
    <w:rsid w:val="003F3456"/>
    <w:rsid w:val="003F4419"/>
    <w:rsid w:val="003F4427"/>
    <w:rsid w:val="003F61B3"/>
    <w:rsid w:val="003F70AD"/>
    <w:rsid w:val="003F7156"/>
    <w:rsid w:val="004039FB"/>
    <w:rsid w:val="00405DFD"/>
    <w:rsid w:val="00410C01"/>
    <w:rsid w:val="00411D00"/>
    <w:rsid w:val="00413E22"/>
    <w:rsid w:val="0041412B"/>
    <w:rsid w:val="004152E2"/>
    <w:rsid w:val="0041592C"/>
    <w:rsid w:val="004164FC"/>
    <w:rsid w:val="004175BF"/>
    <w:rsid w:val="0041769E"/>
    <w:rsid w:val="00417875"/>
    <w:rsid w:val="004200D9"/>
    <w:rsid w:val="004201B3"/>
    <w:rsid w:val="00420A01"/>
    <w:rsid w:val="004227E2"/>
    <w:rsid w:val="00423062"/>
    <w:rsid w:val="004231B5"/>
    <w:rsid w:val="004236B1"/>
    <w:rsid w:val="0042483A"/>
    <w:rsid w:val="00427031"/>
    <w:rsid w:val="004279DB"/>
    <w:rsid w:val="00430891"/>
    <w:rsid w:val="00432160"/>
    <w:rsid w:val="004361D3"/>
    <w:rsid w:val="00437BAC"/>
    <w:rsid w:val="004415F4"/>
    <w:rsid w:val="00443673"/>
    <w:rsid w:val="00443A9E"/>
    <w:rsid w:val="00445137"/>
    <w:rsid w:val="004457DC"/>
    <w:rsid w:val="00450647"/>
    <w:rsid w:val="00450996"/>
    <w:rsid w:val="00453C92"/>
    <w:rsid w:val="00454F9C"/>
    <w:rsid w:val="00455056"/>
    <w:rsid w:val="0045602D"/>
    <w:rsid w:val="00456ECA"/>
    <w:rsid w:val="00460F63"/>
    <w:rsid w:val="004638F2"/>
    <w:rsid w:val="00465537"/>
    <w:rsid w:val="00466291"/>
    <w:rsid w:val="0046667A"/>
    <w:rsid w:val="00466F65"/>
    <w:rsid w:val="00467062"/>
    <w:rsid w:val="00470B19"/>
    <w:rsid w:val="00470E09"/>
    <w:rsid w:val="004722C0"/>
    <w:rsid w:val="004761B6"/>
    <w:rsid w:val="004779EB"/>
    <w:rsid w:val="004810D0"/>
    <w:rsid w:val="004828FF"/>
    <w:rsid w:val="004829C0"/>
    <w:rsid w:val="004830C9"/>
    <w:rsid w:val="0048378A"/>
    <w:rsid w:val="00485A37"/>
    <w:rsid w:val="004862D5"/>
    <w:rsid w:val="004865C1"/>
    <w:rsid w:val="00486602"/>
    <w:rsid w:val="00486984"/>
    <w:rsid w:val="00486BC3"/>
    <w:rsid w:val="00487AA6"/>
    <w:rsid w:val="00487C36"/>
    <w:rsid w:val="00490D04"/>
    <w:rsid w:val="0049349D"/>
    <w:rsid w:val="00494223"/>
    <w:rsid w:val="0049433D"/>
    <w:rsid w:val="0049462E"/>
    <w:rsid w:val="004946EF"/>
    <w:rsid w:val="00496707"/>
    <w:rsid w:val="00497C71"/>
    <w:rsid w:val="004A026F"/>
    <w:rsid w:val="004A073E"/>
    <w:rsid w:val="004A1F14"/>
    <w:rsid w:val="004A224F"/>
    <w:rsid w:val="004A2752"/>
    <w:rsid w:val="004A3D9A"/>
    <w:rsid w:val="004A4CBA"/>
    <w:rsid w:val="004A538E"/>
    <w:rsid w:val="004A618B"/>
    <w:rsid w:val="004A6C10"/>
    <w:rsid w:val="004B217C"/>
    <w:rsid w:val="004B2B5C"/>
    <w:rsid w:val="004B42F0"/>
    <w:rsid w:val="004B4C75"/>
    <w:rsid w:val="004B7771"/>
    <w:rsid w:val="004C0679"/>
    <w:rsid w:val="004C0CB5"/>
    <w:rsid w:val="004C1CF9"/>
    <w:rsid w:val="004C2782"/>
    <w:rsid w:val="004C29EF"/>
    <w:rsid w:val="004C2AE4"/>
    <w:rsid w:val="004C6071"/>
    <w:rsid w:val="004C7C8E"/>
    <w:rsid w:val="004C7E6D"/>
    <w:rsid w:val="004D0444"/>
    <w:rsid w:val="004D083D"/>
    <w:rsid w:val="004D149E"/>
    <w:rsid w:val="004D3432"/>
    <w:rsid w:val="004D4608"/>
    <w:rsid w:val="004D79F3"/>
    <w:rsid w:val="004E04F3"/>
    <w:rsid w:val="004E24D8"/>
    <w:rsid w:val="004E3D52"/>
    <w:rsid w:val="004E7132"/>
    <w:rsid w:val="004E7B62"/>
    <w:rsid w:val="004F0222"/>
    <w:rsid w:val="004F0403"/>
    <w:rsid w:val="004F109F"/>
    <w:rsid w:val="004F2D77"/>
    <w:rsid w:val="004F43DD"/>
    <w:rsid w:val="004F4510"/>
    <w:rsid w:val="004F46DF"/>
    <w:rsid w:val="004F4E60"/>
    <w:rsid w:val="004F671F"/>
    <w:rsid w:val="004F715B"/>
    <w:rsid w:val="004F7702"/>
    <w:rsid w:val="005001DF"/>
    <w:rsid w:val="00501213"/>
    <w:rsid w:val="00503B8C"/>
    <w:rsid w:val="00506B25"/>
    <w:rsid w:val="005076E5"/>
    <w:rsid w:val="005117C3"/>
    <w:rsid w:val="00512E6F"/>
    <w:rsid w:val="00513BCC"/>
    <w:rsid w:val="00513FA0"/>
    <w:rsid w:val="0051591C"/>
    <w:rsid w:val="00517CD9"/>
    <w:rsid w:val="00520889"/>
    <w:rsid w:val="0052128B"/>
    <w:rsid w:val="005215CB"/>
    <w:rsid w:val="00521902"/>
    <w:rsid w:val="00521A48"/>
    <w:rsid w:val="00521F65"/>
    <w:rsid w:val="00522EE9"/>
    <w:rsid w:val="00523520"/>
    <w:rsid w:val="005272A3"/>
    <w:rsid w:val="0052799B"/>
    <w:rsid w:val="00531307"/>
    <w:rsid w:val="005318B5"/>
    <w:rsid w:val="00531B20"/>
    <w:rsid w:val="005322A4"/>
    <w:rsid w:val="00533844"/>
    <w:rsid w:val="00537245"/>
    <w:rsid w:val="005379C5"/>
    <w:rsid w:val="00543495"/>
    <w:rsid w:val="00544262"/>
    <w:rsid w:val="005454F6"/>
    <w:rsid w:val="00545885"/>
    <w:rsid w:val="0054622B"/>
    <w:rsid w:val="00547546"/>
    <w:rsid w:val="005500C7"/>
    <w:rsid w:val="00550E6B"/>
    <w:rsid w:val="005539F0"/>
    <w:rsid w:val="00553A3A"/>
    <w:rsid w:val="005606EE"/>
    <w:rsid w:val="0056113C"/>
    <w:rsid w:val="005653ED"/>
    <w:rsid w:val="00566343"/>
    <w:rsid w:val="00567270"/>
    <w:rsid w:val="00567993"/>
    <w:rsid w:val="00570A22"/>
    <w:rsid w:val="00570D73"/>
    <w:rsid w:val="00573231"/>
    <w:rsid w:val="005743BF"/>
    <w:rsid w:val="005749EA"/>
    <w:rsid w:val="0058127E"/>
    <w:rsid w:val="00581862"/>
    <w:rsid w:val="00581B29"/>
    <w:rsid w:val="005829C1"/>
    <w:rsid w:val="00582D56"/>
    <w:rsid w:val="005833A0"/>
    <w:rsid w:val="00583966"/>
    <w:rsid w:val="00585212"/>
    <w:rsid w:val="005862F1"/>
    <w:rsid w:val="00590A57"/>
    <w:rsid w:val="005915C5"/>
    <w:rsid w:val="00593BC1"/>
    <w:rsid w:val="005949A0"/>
    <w:rsid w:val="00595559"/>
    <w:rsid w:val="005956B0"/>
    <w:rsid w:val="00596603"/>
    <w:rsid w:val="005972AB"/>
    <w:rsid w:val="005A0848"/>
    <w:rsid w:val="005A0DAE"/>
    <w:rsid w:val="005A2032"/>
    <w:rsid w:val="005A2098"/>
    <w:rsid w:val="005A2FA9"/>
    <w:rsid w:val="005A685C"/>
    <w:rsid w:val="005A755E"/>
    <w:rsid w:val="005A7716"/>
    <w:rsid w:val="005A7A1A"/>
    <w:rsid w:val="005A7B00"/>
    <w:rsid w:val="005B074E"/>
    <w:rsid w:val="005B0DE1"/>
    <w:rsid w:val="005B15E3"/>
    <w:rsid w:val="005B303A"/>
    <w:rsid w:val="005B4613"/>
    <w:rsid w:val="005B4D7A"/>
    <w:rsid w:val="005B4E5C"/>
    <w:rsid w:val="005B5CBD"/>
    <w:rsid w:val="005B65CB"/>
    <w:rsid w:val="005B6B84"/>
    <w:rsid w:val="005B6C90"/>
    <w:rsid w:val="005B70BB"/>
    <w:rsid w:val="005C0A67"/>
    <w:rsid w:val="005C0DFC"/>
    <w:rsid w:val="005C174E"/>
    <w:rsid w:val="005C1B1E"/>
    <w:rsid w:val="005C2927"/>
    <w:rsid w:val="005C4138"/>
    <w:rsid w:val="005C574B"/>
    <w:rsid w:val="005C5F32"/>
    <w:rsid w:val="005C74EA"/>
    <w:rsid w:val="005D07CF"/>
    <w:rsid w:val="005D0CB1"/>
    <w:rsid w:val="005D3948"/>
    <w:rsid w:val="005D3A0D"/>
    <w:rsid w:val="005D4293"/>
    <w:rsid w:val="005D4909"/>
    <w:rsid w:val="005D6D86"/>
    <w:rsid w:val="005D7320"/>
    <w:rsid w:val="005D7C46"/>
    <w:rsid w:val="005E011E"/>
    <w:rsid w:val="005E09E1"/>
    <w:rsid w:val="005E0F50"/>
    <w:rsid w:val="005E26EF"/>
    <w:rsid w:val="005E38D0"/>
    <w:rsid w:val="005E439F"/>
    <w:rsid w:val="005E53D9"/>
    <w:rsid w:val="005E56B5"/>
    <w:rsid w:val="005E5F4B"/>
    <w:rsid w:val="005E6CBB"/>
    <w:rsid w:val="005E6E4E"/>
    <w:rsid w:val="005E7F99"/>
    <w:rsid w:val="005F010A"/>
    <w:rsid w:val="005F1E25"/>
    <w:rsid w:val="005F35DE"/>
    <w:rsid w:val="005F39FC"/>
    <w:rsid w:val="005F3D76"/>
    <w:rsid w:val="005F3F3F"/>
    <w:rsid w:val="005F5E1D"/>
    <w:rsid w:val="005F6000"/>
    <w:rsid w:val="005F646E"/>
    <w:rsid w:val="005F6934"/>
    <w:rsid w:val="005F6A9D"/>
    <w:rsid w:val="005F78F2"/>
    <w:rsid w:val="0060090B"/>
    <w:rsid w:val="00600C1E"/>
    <w:rsid w:val="00601B86"/>
    <w:rsid w:val="006029C9"/>
    <w:rsid w:val="00604A23"/>
    <w:rsid w:val="00607918"/>
    <w:rsid w:val="0061097F"/>
    <w:rsid w:val="00610994"/>
    <w:rsid w:val="00615131"/>
    <w:rsid w:val="00615F37"/>
    <w:rsid w:val="00617653"/>
    <w:rsid w:val="0062077F"/>
    <w:rsid w:val="00620B3F"/>
    <w:rsid w:val="00621074"/>
    <w:rsid w:val="00621670"/>
    <w:rsid w:val="0062264C"/>
    <w:rsid w:val="00627884"/>
    <w:rsid w:val="00631A4E"/>
    <w:rsid w:val="00632662"/>
    <w:rsid w:val="0063315C"/>
    <w:rsid w:val="00634DC1"/>
    <w:rsid w:val="00634EC8"/>
    <w:rsid w:val="006352BC"/>
    <w:rsid w:val="00635A05"/>
    <w:rsid w:val="006372CC"/>
    <w:rsid w:val="006414CC"/>
    <w:rsid w:val="00642143"/>
    <w:rsid w:val="00642BC1"/>
    <w:rsid w:val="00642DC2"/>
    <w:rsid w:val="006465C4"/>
    <w:rsid w:val="00647D50"/>
    <w:rsid w:val="00650003"/>
    <w:rsid w:val="00650FCA"/>
    <w:rsid w:val="00651167"/>
    <w:rsid w:val="006517F9"/>
    <w:rsid w:val="0065256F"/>
    <w:rsid w:val="006533D2"/>
    <w:rsid w:val="00657916"/>
    <w:rsid w:val="006608AA"/>
    <w:rsid w:val="0066161B"/>
    <w:rsid w:val="00661AA2"/>
    <w:rsid w:val="00661FA4"/>
    <w:rsid w:val="00662104"/>
    <w:rsid w:val="00662155"/>
    <w:rsid w:val="00662BDB"/>
    <w:rsid w:val="0066380D"/>
    <w:rsid w:val="00664E78"/>
    <w:rsid w:val="00664ED9"/>
    <w:rsid w:val="00666794"/>
    <w:rsid w:val="00667E77"/>
    <w:rsid w:val="00671B26"/>
    <w:rsid w:val="00671CD2"/>
    <w:rsid w:val="006720EF"/>
    <w:rsid w:val="00674AE3"/>
    <w:rsid w:val="0067518A"/>
    <w:rsid w:val="00676006"/>
    <w:rsid w:val="006766A4"/>
    <w:rsid w:val="006766E5"/>
    <w:rsid w:val="006772AC"/>
    <w:rsid w:val="00680613"/>
    <w:rsid w:val="00680FC1"/>
    <w:rsid w:val="00681207"/>
    <w:rsid w:val="006816DF"/>
    <w:rsid w:val="00683D69"/>
    <w:rsid w:val="00686F05"/>
    <w:rsid w:val="00690172"/>
    <w:rsid w:val="006906A8"/>
    <w:rsid w:val="00690B68"/>
    <w:rsid w:val="00693367"/>
    <w:rsid w:val="00694620"/>
    <w:rsid w:val="00694EC8"/>
    <w:rsid w:val="00696B35"/>
    <w:rsid w:val="00696BBB"/>
    <w:rsid w:val="006A09F8"/>
    <w:rsid w:val="006A16F8"/>
    <w:rsid w:val="006A2C27"/>
    <w:rsid w:val="006A2CC4"/>
    <w:rsid w:val="006A4DE7"/>
    <w:rsid w:val="006A75E1"/>
    <w:rsid w:val="006B14D1"/>
    <w:rsid w:val="006B2923"/>
    <w:rsid w:val="006B29F7"/>
    <w:rsid w:val="006B3574"/>
    <w:rsid w:val="006B3639"/>
    <w:rsid w:val="006B3DA6"/>
    <w:rsid w:val="006B63B5"/>
    <w:rsid w:val="006C12C1"/>
    <w:rsid w:val="006C23F3"/>
    <w:rsid w:val="006C36FC"/>
    <w:rsid w:val="006C5044"/>
    <w:rsid w:val="006C57B9"/>
    <w:rsid w:val="006C5B54"/>
    <w:rsid w:val="006C6D2D"/>
    <w:rsid w:val="006D0562"/>
    <w:rsid w:val="006D06E0"/>
    <w:rsid w:val="006D080C"/>
    <w:rsid w:val="006D16A6"/>
    <w:rsid w:val="006D1DE2"/>
    <w:rsid w:val="006D2CEC"/>
    <w:rsid w:val="006D34C2"/>
    <w:rsid w:val="006D42C0"/>
    <w:rsid w:val="006D6F35"/>
    <w:rsid w:val="006D7905"/>
    <w:rsid w:val="006D7FF0"/>
    <w:rsid w:val="006E094B"/>
    <w:rsid w:val="006E1B95"/>
    <w:rsid w:val="006E217C"/>
    <w:rsid w:val="006E39B8"/>
    <w:rsid w:val="006E3A0D"/>
    <w:rsid w:val="006E3E94"/>
    <w:rsid w:val="006E4B5C"/>
    <w:rsid w:val="006E535D"/>
    <w:rsid w:val="006E652E"/>
    <w:rsid w:val="006E693B"/>
    <w:rsid w:val="006E70C5"/>
    <w:rsid w:val="006E7904"/>
    <w:rsid w:val="006F0596"/>
    <w:rsid w:val="006F114E"/>
    <w:rsid w:val="006F117A"/>
    <w:rsid w:val="006F19C3"/>
    <w:rsid w:val="006F1A83"/>
    <w:rsid w:val="006F26B7"/>
    <w:rsid w:val="006F3DA1"/>
    <w:rsid w:val="006F4E36"/>
    <w:rsid w:val="006F5134"/>
    <w:rsid w:val="006F557F"/>
    <w:rsid w:val="00701CE3"/>
    <w:rsid w:val="007025AC"/>
    <w:rsid w:val="0070289D"/>
    <w:rsid w:val="00704FCF"/>
    <w:rsid w:val="00706ADD"/>
    <w:rsid w:val="00710D4A"/>
    <w:rsid w:val="007110C9"/>
    <w:rsid w:val="007119E0"/>
    <w:rsid w:val="007120F7"/>
    <w:rsid w:val="00713381"/>
    <w:rsid w:val="007143F9"/>
    <w:rsid w:val="00714846"/>
    <w:rsid w:val="00715351"/>
    <w:rsid w:val="007159A1"/>
    <w:rsid w:val="007159F4"/>
    <w:rsid w:val="00716514"/>
    <w:rsid w:val="00717C9D"/>
    <w:rsid w:val="00717F49"/>
    <w:rsid w:val="007200FC"/>
    <w:rsid w:val="00720929"/>
    <w:rsid w:val="00721269"/>
    <w:rsid w:val="00721D52"/>
    <w:rsid w:val="007232B9"/>
    <w:rsid w:val="007235AB"/>
    <w:rsid w:val="007238EA"/>
    <w:rsid w:val="00723B7F"/>
    <w:rsid w:val="00723BEF"/>
    <w:rsid w:val="0072683F"/>
    <w:rsid w:val="00730F98"/>
    <w:rsid w:val="00731C52"/>
    <w:rsid w:val="00732010"/>
    <w:rsid w:val="00736D96"/>
    <w:rsid w:val="00737F93"/>
    <w:rsid w:val="00740CC8"/>
    <w:rsid w:val="00740EAA"/>
    <w:rsid w:val="00741106"/>
    <w:rsid w:val="007412EB"/>
    <w:rsid w:val="0074130D"/>
    <w:rsid w:val="0074211D"/>
    <w:rsid w:val="007425C2"/>
    <w:rsid w:val="00744585"/>
    <w:rsid w:val="007445CD"/>
    <w:rsid w:val="00744F14"/>
    <w:rsid w:val="00746104"/>
    <w:rsid w:val="00746576"/>
    <w:rsid w:val="00746616"/>
    <w:rsid w:val="007469B7"/>
    <w:rsid w:val="007473C1"/>
    <w:rsid w:val="007473D9"/>
    <w:rsid w:val="007477B4"/>
    <w:rsid w:val="00747A23"/>
    <w:rsid w:val="00747FDE"/>
    <w:rsid w:val="0075010D"/>
    <w:rsid w:val="00750595"/>
    <w:rsid w:val="00750BC5"/>
    <w:rsid w:val="00752236"/>
    <w:rsid w:val="00754169"/>
    <w:rsid w:val="00754360"/>
    <w:rsid w:val="00754AB1"/>
    <w:rsid w:val="00756A85"/>
    <w:rsid w:val="00756EC0"/>
    <w:rsid w:val="0076323B"/>
    <w:rsid w:val="00763600"/>
    <w:rsid w:val="00763A33"/>
    <w:rsid w:val="0076441A"/>
    <w:rsid w:val="007650A9"/>
    <w:rsid w:val="00765185"/>
    <w:rsid w:val="007661D3"/>
    <w:rsid w:val="00766665"/>
    <w:rsid w:val="00767671"/>
    <w:rsid w:val="00767DFE"/>
    <w:rsid w:val="00770A24"/>
    <w:rsid w:val="00770E68"/>
    <w:rsid w:val="007715DB"/>
    <w:rsid w:val="007717A5"/>
    <w:rsid w:val="007726AB"/>
    <w:rsid w:val="007741C2"/>
    <w:rsid w:val="007741EF"/>
    <w:rsid w:val="007741FB"/>
    <w:rsid w:val="007745E8"/>
    <w:rsid w:val="00774AC1"/>
    <w:rsid w:val="007752D1"/>
    <w:rsid w:val="00775430"/>
    <w:rsid w:val="007760B7"/>
    <w:rsid w:val="00777C31"/>
    <w:rsid w:val="00780035"/>
    <w:rsid w:val="00781A3F"/>
    <w:rsid w:val="00782652"/>
    <w:rsid w:val="0078576C"/>
    <w:rsid w:val="007858F4"/>
    <w:rsid w:val="00785DCF"/>
    <w:rsid w:val="007879A5"/>
    <w:rsid w:val="00787E8B"/>
    <w:rsid w:val="00787FA4"/>
    <w:rsid w:val="007906F1"/>
    <w:rsid w:val="007908FF"/>
    <w:rsid w:val="00791BDA"/>
    <w:rsid w:val="00791E9D"/>
    <w:rsid w:val="007934DC"/>
    <w:rsid w:val="00794C74"/>
    <w:rsid w:val="00794D73"/>
    <w:rsid w:val="00795883"/>
    <w:rsid w:val="00796C85"/>
    <w:rsid w:val="00797072"/>
    <w:rsid w:val="00797522"/>
    <w:rsid w:val="007A1F34"/>
    <w:rsid w:val="007A2678"/>
    <w:rsid w:val="007A47AD"/>
    <w:rsid w:val="007A51EE"/>
    <w:rsid w:val="007A659E"/>
    <w:rsid w:val="007A66AC"/>
    <w:rsid w:val="007A777C"/>
    <w:rsid w:val="007A7E3A"/>
    <w:rsid w:val="007B11DD"/>
    <w:rsid w:val="007B279F"/>
    <w:rsid w:val="007B2ACF"/>
    <w:rsid w:val="007B2CB1"/>
    <w:rsid w:val="007B3BD0"/>
    <w:rsid w:val="007B3E2F"/>
    <w:rsid w:val="007B49D8"/>
    <w:rsid w:val="007B4D0B"/>
    <w:rsid w:val="007B51FF"/>
    <w:rsid w:val="007B7683"/>
    <w:rsid w:val="007C0243"/>
    <w:rsid w:val="007C04C4"/>
    <w:rsid w:val="007C0EC4"/>
    <w:rsid w:val="007C189F"/>
    <w:rsid w:val="007C22F5"/>
    <w:rsid w:val="007C2687"/>
    <w:rsid w:val="007C2F97"/>
    <w:rsid w:val="007C3AF8"/>
    <w:rsid w:val="007C4BCF"/>
    <w:rsid w:val="007C7119"/>
    <w:rsid w:val="007D1040"/>
    <w:rsid w:val="007D2B13"/>
    <w:rsid w:val="007D3020"/>
    <w:rsid w:val="007E0465"/>
    <w:rsid w:val="007E0D0D"/>
    <w:rsid w:val="007E2F01"/>
    <w:rsid w:val="007E32AD"/>
    <w:rsid w:val="007E3D66"/>
    <w:rsid w:val="007E43C5"/>
    <w:rsid w:val="007E45E5"/>
    <w:rsid w:val="007E6871"/>
    <w:rsid w:val="007E714C"/>
    <w:rsid w:val="007F1545"/>
    <w:rsid w:val="007F1A89"/>
    <w:rsid w:val="007F311B"/>
    <w:rsid w:val="007F3681"/>
    <w:rsid w:val="007F3E16"/>
    <w:rsid w:val="007F45AB"/>
    <w:rsid w:val="007F47D5"/>
    <w:rsid w:val="007F5234"/>
    <w:rsid w:val="007F6072"/>
    <w:rsid w:val="007F66E9"/>
    <w:rsid w:val="007F72A1"/>
    <w:rsid w:val="007F73D9"/>
    <w:rsid w:val="00802BF7"/>
    <w:rsid w:val="00803E24"/>
    <w:rsid w:val="00803FD1"/>
    <w:rsid w:val="00804490"/>
    <w:rsid w:val="00807E7C"/>
    <w:rsid w:val="00807ED7"/>
    <w:rsid w:val="008103BC"/>
    <w:rsid w:val="00813029"/>
    <w:rsid w:val="008134E1"/>
    <w:rsid w:val="00813DED"/>
    <w:rsid w:val="00814206"/>
    <w:rsid w:val="00814CF2"/>
    <w:rsid w:val="0081587F"/>
    <w:rsid w:val="00816BF3"/>
    <w:rsid w:val="00817796"/>
    <w:rsid w:val="00817A51"/>
    <w:rsid w:val="008204E6"/>
    <w:rsid w:val="008219FB"/>
    <w:rsid w:val="00824645"/>
    <w:rsid w:val="008306E3"/>
    <w:rsid w:val="00832247"/>
    <w:rsid w:val="00832344"/>
    <w:rsid w:val="00833C84"/>
    <w:rsid w:val="00834319"/>
    <w:rsid w:val="00835CF5"/>
    <w:rsid w:val="00837D48"/>
    <w:rsid w:val="00843CD7"/>
    <w:rsid w:val="00846515"/>
    <w:rsid w:val="008471C2"/>
    <w:rsid w:val="00852994"/>
    <w:rsid w:val="0085452F"/>
    <w:rsid w:val="00854A40"/>
    <w:rsid w:val="00855AFF"/>
    <w:rsid w:val="00855B20"/>
    <w:rsid w:val="00856684"/>
    <w:rsid w:val="00856AC4"/>
    <w:rsid w:val="00856B8A"/>
    <w:rsid w:val="0085704C"/>
    <w:rsid w:val="00857C1B"/>
    <w:rsid w:val="0086044A"/>
    <w:rsid w:val="0086136E"/>
    <w:rsid w:val="00861DDF"/>
    <w:rsid w:val="00862DE2"/>
    <w:rsid w:val="008631A9"/>
    <w:rsid w:val="00863F29"/>
    <w:rsid w:val="00865D6B"/>
    <w:rsid w:val="008661FB"/>
    <w:rsid w:val="00866438"/>
    <w:rsid w:val="00871EA3"/>
    <w:rsid w:val="00874AFF"/>
    <w:rsid w:val="008778F4"/>
    <w:rsid w:val="00881D9D"/>
    <w:rsid w:val="008823C9"/>
    <w:rsid w:val="0088300B"/>
    <w:rsid w:val="0088408F"/>
    <w:rsid w:val="00884C6C"/>
    <w:rsid w:val="00885657"/>
    <w:rsid w:val="00886076"/>
    <w:rsid w:val="008863DA"/>
    <w:rsid w:val="0088655F"/>
    <w:rsid w:val="00886CEF"/>
    <w:rsid w:val="008870C0"/>
    <w:rsid w:val="00887BF5"/>
    <w:rsid w:val="0089073F"/>
    <w:rsid w:val="00891B73"/>
    <w:rsid w:val="00892ABC"/>
    <w:rsid w:val="00893F33"/>
    <w:rsid w:val="0089404A"/>
    <w:rsid w:val="00895670"/>
    <w:rsid w:val="00895A52"/>
    <w:rsid w:val="0089787C"/>
    <w:rsid w:val="008978D6"/>
    <w:rsid w:val="008A181C"/>
    <w:rsid w:val="008A3321"/>
    <w:rsid w:val="008A39DF"/>
    <w:rsid w:val="008A3EB9"/>
    <w:rsid w:val="008A435A"/>
    <w:rsid w:val="008A43D0"/>
    <w:rsid w:val="008A4C90"/>
    <w:rsid w:val="008A4D20"/>
    <w:rsid w:val="008A5BA2"/>
    <w:rsid w:val="008A6514"/>
    <w:rsid w:val="008B2F87"/>
    <w:rsid w:val="008B620F"/>
    <w:rsid w:val="008B6CF3"/>
    <w:rsid w:val="008B6F74"/>
    <w:rsid w:val="008C2891"/>
    <w:rsid w:val="008C3D71"/>
    <w:rsid w:val="008C463B"/>
    <w:rsid w:val="008C4B59"/>
    <w:rsid w:val="008C4D81"/>
    <w:rsid w:val="008C587A"/>
    <w:rsid w:val="008C606A"/>
    <w:rsid w:val="008C66B2"/>
    <w:rsid w:val="008C71C1"/>
    <w:rsid w:val="008C755E"/>
    <w:rsid w:val="008D0818"/>
    <w:rsid w:val="008D098A"/>
    <w:rsid w:val="008D0DC9"/>
    <w:rsid w:val="008D0EA1"/>
    <w:rsid w:val="008D19FE"/>
    <w:rsid w:val="008D26FC"/>
    <w:rsid w:val="008D413D"/>
    <w:rsid w:val="008D458B"/>
    <w:rsid w:val="008D4F72"/>
    <w:rsid w:val="008D5099"/>
    <w:rsid w:val="008D555D"/>
    <w:rsid w:val="008D6207"/>
    <w:rsid w:val="008D626D"/>
    <w:rsid w:val="008D7F88"/>
    <w:rsid w:val="008E0FDD"/>
    <w:rsid w:val="008E1A0B"/>
    <w:rsid w:val="008E2BD9"/>
    <w:rsid w:val="008E376A"/>
    <w:rsid w:val="008E382A"/>
    <w:rsid w:val="008E4869"/>
    <w:rsid w:val="008E4B0D"/>
    <w:rsid w:val="008E52A4"/>
    <w:rsid w:val="008E55D5"/>
    <w:rsid w:val="008E6216"/>
    <w:rsid w:val="008E7383"/>
    <w:rsid w:val="008F04BA"/>
    <w:rsid w:val="008F382F"/>
    <w:rsid w:val="008F5357"/>
    <w:rsid w:val="008F5975"/>
    <w:rsid w:val="008F6B2E"/>
    <w:rsid w:val="008F78F8"/>
    <w:rsid w:val="00901350"/>
    <w:rsid w:val="00902AE5"/>
    <w:rsid w:val="009034D4"/>
    <w:rsid w:val="0090429D"/>
    <w:rsid w:val="00904C67"/>
    <w:rsid w:val="0090526B"/>
    <w:rsid w:val="00906282"/>
    <w:rsid w:val="00910DA9"/>
    <w:rsid w:val="0091140F"/>
    <w:rsid w:val="00912DA2"/>
    <w:rsid w:val="009145A7"/>
    <w:rsid w:val="00916B14"/>
    <w:rsid w:val="009177D6"/>
    <w:rsid w:val="0092031F"/>
    <w:rsid w:val="0092195E"/>
    <w:rsid w:val="00922850"/>
    <w:rsid w:val="00927B5C"/>
    <w:rsid w:val="00927E07"/>
    <w:rsid w:val="00930A66"/>
    <w:rsid w:val="00930DAA"/>
    <w:rsid w:val="00932392"/>
    <w:rsid w:val="00932E27"/>
    <w:rsid w:val="0093353E"/>
    <w:rsid w:val="00933C80"/>
    <w:rsid w:val="009347A1"/>
    <w:rsid w:val="00934AB3"/>
    <w:rsid w:val="00936127"/>
    <w:rsid w:val="009365A1"/>
    <w:rsid w:val="00936D22"/>
    <w:rsid w:val="00936E2F"/>
    <w:rsid w:val="00940109"/>
    <w:rsid w:val="009406DC"/>
    <w:rsid w:val="009439D8"/>
    <w:rsid w:val="00945F44"/>
    <w:rsid w:val="009462DA"/>
    <w:rsid w:val="00947EF1"/>
    <w:rsid w:val="009518A4"/>
    <w:rsid w:val="0095383E"/>
    <w:rsid w:val="00953C5D"/>
    <w:rsid w:val="00955148"/>
    <w:rsid w:val="00955797"/>
    <w:rsid w:val="00955FD0"/>
    <w:rsid w:val="00956832"/>
    <w:rsid w:val="0095685C"/>
    <w:rsid w:val="00956AA8"/>
    <w:rsid w:val="009570BC"/>
    <w:rsid w:val="00957323"/>
    <w:rsid w:val="0095789C"/>
    <w:rsid w:val="00957FA7"/>
    <w:rsid w:val="00960EF4"/>
    <w:rsid w:val="00962CC2"/>
    <w:rsid w:val="009638F1"/>
    <w:rsid w:val="0096496D"/>
    <w:rsid w:val="00964DF6"/>
    <w:rsid w:val="00966081"/>
    <w:rsid w:val="0096663C"/>
    <w:rsid w:val="00970E64"/>
    <w:rsid w:val="00971BDB"/>
    <w:rsid w:val="00972317"/>
    <w:rsid w:val="00972EA1"/>
    <w:rsid w:val="00973E4D"/>
    <w:rsid w:val="009742E7"/>
    <w:rsid w:val="009748EE"/>
    <w:rsid w:val="00975EBE"/>
    <w:rsid w:val="009762D3"/>
    <w:rsid w:val="0097645B"/>
    <w:rsid w:val="009765EC"/>
    <w:rsid w:val="00976CCD"/>
    <w:rsid w:val="0098060F"/>
    <w:rsid w:val="00980DA8"/>
    <w:rsid w:val="00981081"/>
    <w:rsid w:val="00981B4E"/>
    <w:rsid w:val="0098272F"/>
    <w:rsid w:val="00982F56"/>
    <w:rsid w:val="00983A0B"/>
    <w:rsid w:val="00991E0C"/>
    <w:rsid w:val="00992CDE"/>
    <w:rsid w:val="009943AE"/>
    <w:rsid w:val="00995BE9"/>
    <w:rsid w:val="009962C4"/>
    <w:rsid w:val="009964F0"/>
    <w:rsid w:val="009965A6"/>
    <w:rsid w:val="009967D3"/>
    <w:rsid w:val="009969C8"/>
    <w:rsid w:val="009A06FF"/>
    <w:rsid w:val="009A0DCD"/>
    <w:rsid w:val="009A1D23"/>
    <w:rsid w:val="009A2C44"/>
    <w:rsid w:val="009A34ED"/>
    <w:rsid w:val="009A4090"/>
    <w:rsid w:val="009A56B1"/>
    <w:rsid w:val="009A6D5C"/>
    <w:rsid w:val="009A7FE5"/>
    <w:rsid w:val="009B1BB8"/>
    <w:rsid w:val="009B275B"/>
    <w:rsid w:val="009B2B77"/>
    <w:rsid w:val="009B3FBB"/>
    <w:rsid w:val="009B47D5"/>
    <w:rsid w:val="009B4D6A"/>
    <w:rsid w:val="009B4EE0"/>
    <w:rsid w:val="009B50E9"/>
    <w:rsid w:val="009B5561"/>
    <w:rsid w:val="009B68C5"/>
    <w:rsid w:val="009B7649"/>
    <w:rsid w:val="009B7794"/>
    <w:rsid w:val="009C2633"/>
    <w:rsid w:val="009C2D55"/>
    <w:rsid w:val="009C5861"/>
    <w:rsid w:val="009C6554"/>
    <w:rsid w:val="009C657F"/>
    <w:rsid w:val="009C65FB"/>
    <w:rsid w:val="009C7054"/>
    <w:rsid w:val="009D047A"/>
    <w:rsid w:val="009D0DEC"/>
    <w:rsid w:val="009D1143"/>
    <w:rsid w:val="009D1AF0"/>
    <w:rsid w:val="009D2BB7"/>
    <w:rsid w:val="009D36F7"/>
    <w:rsid w:val="009D3C0C"/>
    <w:rsid w:val="009D448A"/>
    <w:rsid w:val="009D56C9"/>
    <w:rsid w:val="009D5864"/>
    <w:rsid w:val="009D64D1"/>
    <w:rsid w:val="009D70B5"/>
    <w:rsid w:val="009E1B40"/>
    <w:rsid w:val="009E3FE7"/>
    <w:rsid w:val="009E6ADA"/>
    <w:rsid w:val="009F0F5E"/>
    <w:rsid w:val="009F24A5"/>
    <w:rsid w:val="009F38C7"/>
    <w:rsid w:val="009F3C71"/>
    <w:rsid w:val="009F48C4"/>
    <w:rsid w:val="009F4C7E"/>
    <w:rsid w:val="009F58BB"/>
    <w:rsid w:val="00A00F27"/>
    <w:rsid w:val="00A015B7"/>
    <w:rsid w:val="00A01BB3"/>
    <w:rsid w:val="00A020B9"/>
    <w:rsid w:val="00A048B2"/>
    <w:rsid w:val="00A056CF"/>
    <w:rsid w:val="00A05F10"/>
    <w:rsid w:val="00A0691E"/>
    <w:rsid w:val="00A06D48"/>
    <w:rsid w:val="00A10D32"/>
    <w:rsid w:val="00A115F3"/>
    <w:rsid w:val="00A12E48"/>
    <w:rsid w:val="00A12FBB"/>
    <w:rsid w:val="00A15D7C"/>
    <w:rsid w:val="00A16377"/>
    <w:rsid w:val="00A174DF"/>
    <w:rsid w:val="00A17FA0"/>
    <w:rsid w:val="00A2092A"/>
    <w:rsid w:val="00A20C08"/>
    <w:rsid w:val="00A2155F"/>
    <w:rsid w:val="00A21E71"/>
    <w:rsid w:val="00A21F3B"/>
    <w:rsid w:val="00A23BA3"/>
    <w:rsid w:val="00A23FA1"/>
    <w:rsid w:val="00A3136B"/>
    <w:rsid w:val="00A32D3F"/>
    <w:rsid w:val="00A34498"/>
    <w:rsid w:val="00A346C2"/>
    <w:rsid w:val="00A34E48"/>
    <w:rsid w:val="00A36194"/>
    <w:rsid w:val="00A37358"/>
    <w:rsid w:val="00A40261"/>
    <w:rsid w:val="00A40580"/>
    <w:rsid w:val="00A45A64"/>
    <w:rsid w:val="00A45DE4"/>
    <w:rsid w:val="00A462AC"/>
    <w:rsid w:val="00A46840"/>
    <w:rsid w:val="00A51910"/>
    <w:rsid w:val="00A51D8B"/>
    <w:rsid w:val="00A52BF0"/>
    <w:rsid w:val="00A531BB"/>
    <w:rsid w:val="00A53832"/>
    <w:rsid w:val="00A54595"/>
    <w:rsid w:val="00A56953"/>
    <w:rsid w:val="00A5723D"/>
    <w:rsid w:val="00A57E8D"/>
    <w:rsid w:val="00A60ECA"/>
    <w:rsid w:val="00A61D1B"/>
    <w:rsid w:val="00A62045"/>
    <w:rsid w:val="00A62E5B"/>
    <w:rsid w:val="00A6320E"/>
    <w:rsid w:val="00A63F65"/>
    <w:rsid w:val="00A6423F"/>
    <w:rsid w:val="00A6506F"/>
    <w:rsid w:val="00A6523B"/>
    <w:rsid w:val="00A65353"/>
    <w:rsid w:val="00A65499"/>
    <w:rsid w:val="00A66357"/>
    <w:rsid w:val="00A66AA8"/>
    <w:rsid w:val="00A7023A"/>
    <w:rsid w:val="00A703A8"/>
    <w:rsid w:val="00A7231A"/>
    <w:rsid w:val="00A72A84"/>
    <w:rsid w:val="00A73910"/>
    <w:rsid w:val="00A741B7"/>
    <w:rsid w:val="00A741D3"/>
    <w:rsid w:val="00A7464F"/>
    <w:rsid w:val="00A80FF5"/>
    <w:rsid w:val="00A81525"/>
    <w:rsid w:val="00A81FC3"/>
    <w:rsid w:val="00A83860"/>
    <w:rsid w:val="00A846E5"/>
    <w:rsid w:val="00A85170"/>
    <w:rsid w:val="00A85376"/>
    <w:rsid w:val="00A85602"/>
    <w:rsid w:val="00A87C2C"/>
    <w:rsid w:val="00A901E6"/>
    <w:rsid w:val="00A9638F"/>
    <w:rsid w:val="00AA22C6"/>
    <w:rsid w:val="00AA241A"/>
    <w:rsid w:val="00AA29D5"/>
    <w:rsid w:val="00AA543E"/>
    <w:rsid w:val="00AA5CC4"/>
    <w:rsid w:val="00AA69C2"/>
    <w:rsid w:val="00AA6E80"/>
    <w:rsid w:val="00AA7FE2"/>
    <w:rsid w:val="00AB0BB5"/>
    <w:rsid w:val="00AB3340"/>
    <w:rsid w:val="00AB48DA"/>
    <w:rsid w:val="00AB5102"/>
    <w:rsid w:val="00AB618D"/>
    <w:rsid w:val="00AB6A75"/>
    <w:rsid w:val="00AB7465"/>
    <w:rsid w:val="00AC0DC3"/>
    <w:rsid w:val="00AC3BA9"/>
    <w:rsid w:val="00AC4830"/>
    <w:rsid w:val="00AC54FC"/>
    <w:rsid w:val="00AC5C65"/>
    <w:rsid w:val="00AC6177"/>
    <w:rsid w:val="00AC665C"/>
    <w:rsid w:val="00AC6770"/>
    <w:rsid w:val="00AC7035"/>
    <w:rsid w:val="00AC751E"/>
    <w:rsid w:val="00AD0A5C"/>
    <w:rsid w:val="00AD0C5A"/>
    <w:rsid w:val="00AD182C"/>
    <w:rsid w:val="00AD1B8B"/>
    <w:rsid w:val="00AD2C24"/>
    <w:rsid w:val="00AD41C7"/>
    <w:rsid w:val="00AD53CA"/>
    <w:rsid w:val="00AD5827"/>
    <w:rsid w:val="00AD5C02"/>
    <w:rsid w:val="00AD7C87"/>
    <w:rsid w:val="00AE0A5B"/>
    <w:rsid w:val="00AE1527"/>
    <w:rsid w:val="00AE29E8"/>
    <w:rsid w:val="00AE3D35"/>
    <w:rsid w:val="00AE43B6"/>
    <w:rsid w:val="00AE545C"/>
    <w:rsid w:val="00AE59D6"/>
    <w:rsid w:val="00AE63D1"/>
    <w:rsid w:val="00AE6780"/>
    <w:rsid w:val="00AE7368"/>
    <w:rsid w:val="00AF08B5"/>
    <w:rsid w:val="00AF0E96"/>
    <w:rsid w:val="00AF20B9"/>
    <w:rsid w:val="00AF2B72"/>
    <w:rsid w:val="00AF31F9"/>
    <w:rsid w:val="00B00D67"/>
    <w:rsid w:val="00B010BE"/>
    <w:rsid w:val="00B0347F"/>
    <w:rsid w:val="00B0400D"/>
    <w:rsid w:val="00B04DA6"/>
    <w:rsid w:val="00B05ECF"/>
    <w:rsid w:val="00B06FC3"/>
    <w:rsid w:val="00B0774F"/>
    <w:rsid w:val="00B0792E"/>
    <w:rsid w:val="00B11E4E"/>
    <w:rsid w:val="00B11F99"/>
    <w:rsid w:val="00B12930"/>
    <w:rsid w:val="00B13363"/>
    <w:rsid w:val="00B141D1"/>
    <w:rsid w:val="00B17466"/>
    <w:rsid w:val="00B17545"/>
    <w:rsid w:val="00B20397"/>
    <w:rsid w:val="00B22D07"/>
    <w:rsid w:val="00B24DBB"/>
    <w:rsid w:val="00B26292"/>
    <w:rsid w:val="00B342E5"/>
    <w:rsid w:val="00B357D5"/>
    <w:rsid w:val="00B41BA2"/>
    <w:rsid w:val="00B4270B"/>
    <w:rsid w:val="00B43161"/>
    <w:rsid w:val="00B444BF"/>
    <w:rsid w:val="00B4560A"/>
    <w:rsid w:val="00B4796A"/>
    <w:rsid w:val="00B479D7"/>
    <w:rsid w:val="00B508B6"/>
    <w:rsid w:val="00B519B7"/>
    <w:rsid w:val="00B51EBF"/>
    <w:rsid w:val="00B546FF"/>
    <w:rsid w:val="00B547F8"/>
    <w:rsid w:val="00B567D4"/>
    <w:rsid w:val="00B6045F"/>
    <w:rsid w:val="00B60F63"/>
    <w:rsid w:val="00B612EF"/>
    <w:rsid w:val="00B61393"/>
    <w:rsid w:val="00B636AE"/>
    <w:rsid w:val="00B63EBD"/>
    <w:rsid w:val="00B640A1"/>
    <w:rsid w:val="00B64451"/>
    <w:rsid w:val="00B65ED0"/>
    <w:rsid w:val="00B70273"/>
    <w:rsid w:val="00B70A0A"/>
    <w:rsid w:val="00B723D7"/>
    <w:rsid w:val="00B7436D"/>
    <w:rsid w:val="00B753CE"/>
    <w:rsid w:val="00B75D49"/>
    <w:rsid w:val="00B76795"/>
    <w:rsid w:val="00B81782"/>
    <w:rsid w:val="00B836D8"/>
    <w:rsid w:val="00B83CFE"/>
    <w:rsid w:val="00B85487"/>
    <w:rsid w:val="00B87506"/>
    <w:rsid w:val="00B910CB"/>
    <w:rsid w:val="00B91C86"/>
    <w:rsid w:val="00B927FA"/>
    <w:rsid w:val="00B94520"/>
    <w:rsid w:val="00B95AD3"/>
    <w:rsid w:val="00B961CD"/>
    <w:rsid w:val="00B973B4"/>
    <w:rsid w:val="00BA08A6"/>
    <w:rsid w:val="00BA1BC3"/>
    <w:rsid w:val="00BA1FF4"/>
    <w:rsid w:val="00BA490C"/>
    <w:rsid w:val="00BA4AE4"/>
    <w:rsid w:val="00BA6CA6"/>
    <w:rsid w:val="00BA7BF2"/>
    <w:rsid w:val="00BB09BC"/>
    <w:rsid w:val="00BB20CF"/>
    <w:rsid w:val="00BB2417"/>
    <w:rsid w:val="00BB582F"/>
    <w:rsid w:val="00BB5DBB"/>
    <w:rsid w:val="00BB735A"/>
    <w:rsid w:val="00BB7F49"/>
    <w:rsid w:val="00BC15FF"/>
    <w:rsid w:val="00BC1E78"/>
    <w:rsid w:val="00BC2EFF"/>
    <w:rsid w:val="00BC3932"/>
    <w:rsid w:val="00BC5023"/>
    <w:rsid w:val="00BC79FC"/>
    <w:rsid w:val="00BC7D12"/>
    <w:rsid w:val="00BD0474"/>
    <w:rsid w:val="00BD2E0F"/>
    <w:rsid w:val="00BD31ED"/>
    <w:rsid w:val="00BD482E"/>
    <w:rsid w:val="00BD48D4"/>
    <w:rsid w:val="00BD553D"/>
    <w:rsid w:val="00BD578C"/>
    <w:rsid w:val="00BD6B4F"/>
    <w:rsid w:val="00BD6FEA"/>
    <w:rsid w:val="00BD76A6"/>
    <w:rsid w:val="00BE0633"/>
    <w:rsid w:val="00BE0800"/>
    <w:rsid w:val="00BE1516"/>
    <w:rsid w:val="00BE2910"/>
    <w:rsid w:val="00BE2C55"/>
    <w:rsid w:val="00BE3235"/>
    <w:rsid w:val="00BE3A89"/>
    <w:rsid w:val="00BE4FF6"/>
    <w:rsid w:val="00BE531A"/>
    <w:rsid w:val="00BE547B"/>
    <w:rsid w:val="00BE61ED"/>
    <w:rsid w:val="00BE6AEB"/>
    <w:rsid w:val="00BE6BAC"/>
    <w:rsid w:val="00BE6C20"/>
    <w:rsid w:val="00BF01E6"/>
    <w:rsid w:val="00BF08FA"/>
    <w:rsid w:val="00BF296B"/>
    <w:rsid w:val="00BF39E3"/>
    <w:rsid w:val="00BF555E"/>
    <w:rsid w:val="00BF6E2F"/>
    <w:rsid w:val="00BF72C8"/>
    <w:rsid w:val="00C00216"/>
    <w:rsid w:val="00C008A9"/>
    <w:rsid w:val="00C0148B"/>
    <w:rsid w:val="00C0166F"/>
    <w:rsid w:val="00C04816"/>
    <w:rsid w:val="00C04BF1"/>
    <w:rsid w:val="00C05134"/>
    <w:rsid w:val="00C05E6A"/>
    <w:rsid w:val="00C07653"/>
    <w:rsid w:val="00C07FA9"/>
    <w:rsid w:val="00C103FC"/>
    <w:rsid w:val="00C10969"/>
    <w:rsid w:val="00C115EA"/>
    <w:rsid w:val="00C124DC"/>
    <w:rsid w:val="00C126A6"/>
    <w:rsid w:val="00C136FF"/>
    <w:rsid w:val="00C15D5E"/>
    <w:rsid w:val="00C1686F"/>
    <w:rsid w:val="00C17023"/>
    <w:rsid w:val="00C1752C"/>
    <w:rsid w:val="00C17769"/>
    <w:rsid w:val="00C17A64"/>
    <w:rsid w:val="00C20CAB"/>
    <w:rsid w:val="00C215A9"/>
    <w:rsid w:val="00C26332"/>
    <w:rsid w:val="00C30376"/>
    <w:rsid w:val="00C330C2"/>
    <w:rsid w:val="00C33846"/>
    <w:rsid w:val="00C33EC2"/>
    <w:rsid w:val="00C34450"/>
    <w:rsid w:val="00C34911"/>
    <w:rsid w:val="00C34E84"/>
    <w:rsid w:val="00C34F61"/>
    <w:rsid w:val="00C35EA0"/>
    <w:rsid w:val="00C37DA4"/>
    <w:rsid w:val="00C41095"/>
    <w:rsid w:val="00C411F2"/>
    <w:rsid w:val="00C42729"/>
    <w:rsid w:val="00C45A34"/>
    <w:rsid w:val="00C45A71"/>
    <w:rsid w:val="00C471EE"/>
    <w:rsid w:val="00C47D41"/>
    <w:rsid w:val="00C5082F"/>
    <w:rsid w:val="00C5359A"/>
    <w:rsid w:val="00C565B9"/>
    <w:rsid w:val="00C570FC"/>
    <w:rsid w:val="00C574C4"/>
    <w:rsid w:val="00C60003"/>
    <w:rsid w:val="00C604AC"/>
    <w:rsid w:val="00C604FF"/>
    <w:rsid w:val="00C62071"/>
    <w:rsid w:val="00C620DC"/>
    <w:rsid w:val="00C626DE"/>
    <w:rsid w:val="00C62D32"/>
    <w:rsid w:val="00C65D4E"/>
    <w:rsid w:val="00C67527"/>
    <w:rsid w:val="00C677F5"/>
    <w:rsid w:val="00C67969"/>
    <w:rsid w:val="00C67D32"/>
    <w:rsid w:val="00C705A3"/>
    <w:rsid w:val="00C72F7E"/>
    <w:rsid w:val="00C74D21"/>
    <w:rsid w:val="00C75399"/>
    <w:rsid w:val="00C75B09"/>
    <w:rsid w:val="00C766E1"/>
    <w:rsid w:val="00C80025"/>
    <w:rsid w:val="00C812F8"/>
    <w:rsid w:val="00C84A37"/>
    <w:rsid w:val="00C862B5"/>
    <w:rsid w:val="00C86F3F"/>
    <w:rsid w:val="00C871EA"/>
    <w:rsid w:val="00C900C2"/>
    <w:rsid w:val="00C923BB"/>
    <w:rsid w:val="00C92714"/>
    <w:rsid w:val="00C927AC"/>
    <w:rsid w:val="00C92A51"/>
    <w:rsid w:val="00C9303F"/>
    <w:rsid w:val="00C9348F"/>
    <w:rsid w:val="00C93A48"/>
    <w:rsid w:val="00C93A7C"/>
    <w:rsid w:val="00C9481F"/>
    <w:rsid w:val="00C94C4E"/>
    <w:rsid w:val="00C94F15"/>
    <w:rsid w:val="00C9717C"/>
    <w:rsid w:val="00CA0307"/>
    <w:rsid w:val="00CA09E6"/>
    <w:rsid w:val="00CA0AFB"/>
    <w:rsid w:val="00CA15C6"/>
    <w:rsid w:val="00CA2B38"/>
    <w:rsid w:val="00CA2C31"/>
    <w:rsid w:val="00CA50FD"/>
    <w:rsid w:val="00CA7DAC"/>
    <w:rsid w:val="00CB1198"/>
    <w:rsid w:val="00CB1F9F"/>
    <w:rsid w:val="00CB52A4"/>
    <w:rsid w:val="00CB58B6"/>
    <w:rsid w:val="00CB733F"/>
    <w:rsid w:val="00CB73A4"/>
    <w:rsid w:val="00CB78DF"/>
    <w:rsid w:val="00CB7E5C"/>
    <w:rsid w:val="00CC0112"/>
    <w:rsid w:val="00CC1373"/>
    <w:rsid w:val="00CC3D4B"/>
    <w:rsid w:val="00CC5229"/>
    <w:rsid w:val="00CC5B3D"/>
    <w:rsid w:val="00CC6882"/>
    <w:rsid w:val="00CC6ADA"/>
    <w:rsid w:val="00CC6FD8"/>
    <w:rsid w:val="00CD1A3F"/>
    <w:rsid w:val="00CD1F0F"/>
    <w:rsid w:val="00CD2A1E"/>
    <w:rsid w:val="00CD2C1D"/>
    <w:rsid w:val="00CD3136"/>
    <w:rsid w:val="00CD3B8C"/>
    <w:rsid w:val="00CD455E"/>
    <w:rsid w:val="00CD45A5"/>
    <w:rsid w:val="00CD5AD7"/>
    <w:rsid w:val="00CD6490"/>
    <w:rsid w:val="00CE027B"/>
    <w:rsid w:val="00CE10BC"/>
    <w:rsid w:val="00CE2AE4"/>
    <w:rsid w:val="00CE6D53"/>
    <w:rsid w:val="00CF0893"/>
    <w:rsid w:val="00CF1833"/>
    <w:rsid w:val="00CF34BB"/>
    <w:rsid w:val="00CF3C95"/>
    <w:rsid w:val="00CF5182"/>
    <w:rsid w:val="00CF5DE4"/>
    <w:rsid w:val="00CF5EE3"/>
    <w:rsid w:val="00CF6DBC"/>
    <w:rsid w:val="00CF6E5D"/>
    <w:rsid w:val="00D0022C"/>
    <w:rsid w:val="00D0075E"/>
    <w:rsid w:val="00D00799"/>
    <w:rsid w:val="00D00CFA"/>
    <w:rsid w:val="00D022F6"/>
    <w:rsid w:val="00D041A9"/>
    <w:rsid w:val="00D04594"/>
    <w:rsid w:val="00D04E58"/>
    <w:rsid w:val="00D060C1"/>
    <w:rsid w:val="00D066C7"/>
    <w:rsid w:val="00D06ADE"/>
    <w:rsid w:val="00D10C75"/>
    <w:rsid w:val="00D12FB7"/>
    <w:rsid w:val="00D144DC"/>
    <w:rsid w:val="00D14734"/>
    <w:rsid w:val="00D14F6D"/>
    <w:rsid w:val="00D15115"/>
    <w:rsid w:val="00D15629"/>
    <w:rsid w:val="00D15959"/>
    <w:rsid w:val="00D178A6"/>
    <w:rsid w:val="00D20D20"/>
    <w:rsid w:val="00D21E2E"/>
    <w:rsid w:val="00D236ED"/>
    <w:rsid w:val="00D2469F"/>
    <w:rsid w:val="00D26592"/>
    <w:rsid w:val="00D26BC4"/>
    <w:rsid w:val="00D30163"/>
    <w:rsid w:val="00D30980"/>
    <w:rsid w:val="00D3127E"/>
    <w:rsid w:val="00D32176"/>
    <w:rsid w:val="00D353CF"/>
    <w:rsid w:val="00D37B10"/>
    <w:rsid w:val="00D407C6"/>
    <w:rsid w:val="00D414DE"/>
    <w:rsid w:val="00D46AF7"/>
    <w:rsid w:val="00D4707B"/>
    <w:rsid w:val="00D473B0"/>
    <w:rsid w:val="00D5099D"/>
    <w:rsid w:val="00D5296C"/>
    <w:rsid w:val="00D53192"/>
    <w:rsid w:val="00D532E6"/>
    <w:rsid w:val="00D53601"/>
    <w:rsid w:val="00D54189"/>
    <w:rsid w:val="00D5474F"/>
    <w:rsid w:val="00D554F2"/>
    <w:rsid w:val="00D56434"/>
    <w:rsid w:val="00D569B0"/>
    <w:rsid w:val="00D60325"/>
    <w:rsid w:val="00D606AA"/>
    <w:rsid w:val="00D610DC"/>
    <w:rsid w:val="00D61301"/>
    <w:rsid w:val="00D622D5"/>
    <w:rsid w:val="00D63BBE"/>
    <w:rsid w:val="00D64544"/>
    <w:rsid w:val="00D657A1"/>
    <w:rsid w:val="00D65AC0"/>
    <w:rsid w:val="00D65C58"/>
    <w:rsid w:val="00D672E9"/>
    <w:rsid w:val="00D67363"/>
    <w:rsid w:val="00D70545"/>
    <w:rsid w:val="00D7093C"/>
    <w:rsid w:val="00D716D3"/>
    <w:rsid w:val="00D71714"/>
    <w:rsid w:val="00D721D4"/>
    <w:rsid w:val="00D74255"/>
    <w:rsid w:val="00D74B10"/>
    <w:rsid w:val="00D75036"/>
    <w:rsid w:val="00D751F4"/>
    <w:rsid w:val="00D766EA"/>
    <w:rsid w:val="00D76C77"/>
    <w:rsid w:val="00D779E7"/>
    <w:rsid w:val="00D811E7"/>
    <w:rsid w:val="00D81971"/>
    <w:rsid w:val="00D82822"/>
    <w:rsid w:val="00D83CB7"/>
    <w:rsid w:val="00D87AD0"/>
    <w:rsid w:val="00D90621"/>
    <w:rsid w:val="00D946C6"/>
    <w:rsid w:val="00D948F7"/>
    <w:rsid w:val="00D94A1E"/>
    <w:rsid w:val="00D94B75"/>
    <w:rsid w:val="00D97E6B"/>
    <w:rsid w:val="00DA0CF5"/>
    <w:rsid w:val="00DA2845"/>
    <w:rsid w:val="00DA3318"/>
    <w:rsid w:val="00DA4726"/>
    <w:rsid w:val="00DA4936"/>
    <w:rsid w:val="00DA5652"/>
    <w:rsid w:val="00DA682B"/>
    <w:rsid w:val="00DA7820"/>
    <w:rsid w:val="00DB1B64"/>
    <w:rsid w:val="00DB28F1"/>
    <w:rsid w:val="00DB2FC7"/>
    <w:rsid w:val="00DB3C57"/>
    <w:rsid w:val="00DB4CBB"/>
    <w:rsid w:val="00DB565A"/>
    <w:rsid w:val="00DB699E"/>
    <w:rsid w:val="00DB7B59"/>
    <w:rsid w:val="00DC1166"/>
    <w:rsid w:val="00DC16F8"/>
    <w:rsid w:val="00DC2BE0"/>
    <w:rsid w:val="00DC6916"/>
    <w:rsid w:val="00DD40D1"/>
    <w:rsid w:val="00DD4F70"/>
    <w:rsid w:val="00DD5137"/>
    <w:rsid w:val="00DD516D"/>
    <w:rsid w:val="00DD56DD"/>
    <w:rsid w:val="00DD6878"/>
    <w:rsid w:val="00DD7BA0"/>
    <w:rsid w:val="00DE083D"/>
    <w:rsid w:val="00DE0AEA"/>
    <w:rsid w:val="00DE16E2"/>
    <w:rsid w:val="00DE1B30"/>
    <w:rsid w:val="00DE317F"/>
    <w:rsid w:val="00DE3619"/>
    <w:rsid w:val="00DE38A3"/>
    <w:rsid w:val="00DE4339"/>
    <w:rsid w:val="00DE497B"/>
    <w:rsid w:val="00DE51EB"/>
    <w:rsid w:val="00DE65C6"/>
    <w:rsid w:val="00DE70B1"/>
    <w:rsid w:val="00DF0D7C"/>
    <w:rsid w:val="00DF2885"/>
    <w:rsid w:val="00DF2F70"/>
    <w:rsid w:val="00DF42F0"/>
    <w:rsid w:val="00DF4315"/>
    <w:rsid w:val="00DF659A"/>
    <w:rsid w:val="00DF7FD9"/>
    <w:rsid w:val="00E019FF"/>
    <w:rsid w:val="00E020B6"/>
    <w:rsid w:val="00E049C7"/>
    <w:rsid w:val="00E04B8C"/>
    <w:rsid w:val="00E04D04"/>
    <w:rsid w:val="00E0516B"/>
    <w:rsid w:val="00E06377"/>
    <w:rsid w:val="00E10BB2"/>
    <w:rsid w:val="00E13DB9"/>
    <w:rsid w:val="00E15420"/>
    <w:rsid w:val="00E16547"/>
    <w:rsid w:val="00E16679"/>
    <w:rsid w:val="00E203C8"/>
    <w:rsid w:val="00E20945"/>
    <w:rsid w:val="00E21A67"/>
    <w:rsid w:val="00E230E7"/>
    <w:rsid w:val="00E24BFA"/>
    <w:rsid w:val="00E2539C"/>
    <w:rsid w:val="00E25751"/>
    <w:rsid w:val="00E27A33"/>
    <w:rsid w:val="00E27CE4"/>
    <w:rsid w:val="00E3006D"/>
    <w:rsid w:val="00E318C0"/>
    <w:rsid w:val="00E322DD"/>
    <w:rsid w:val="00E33A16"/>
    <w:rsid w:val="00E35EA4"/>
    <w:rsid w:val="00E373B0"/>
    <w:rsid w:val="00E37B2C"/>
    <w:rsid w:val="00E37F1B"/>
    <w:rsid w:val="00E4149A"/>
    <w:rsid w:val="00E422AA"/>
    <w:rsid w:val="00E431B1"/>
    <w:rsid w:val="00E4399F"/>
    <w:rsid w:val="00E44B5A"/>
    <w:rsid w:val="00E45080"/>
    <w:rsid w:val="00E4635A"/>
    <w:rsid w:val="00E47119"/>
    <w:rsid w:val="00E5021B"/>
    <w:rsid w:val="00E504BE"/>
    <w:rsid w:val="00E511C2"/>
    <w:rsid w:val="00E5129E"/>
    <w:rsid w:val="00E525A7"/>
    <w:rsid w:val="00E525FA"/>
    <w:rsid w:val="00E5397B"/>
    <w:rsid w:val="00E539DA"/>
    <w:rsid w:val="00E56CE2"/>
    <w:rsid w:val="00E57375"/>
    <w:rsid w:val="00E615DA"/>
    <w:rsid w:val="00E61DD1"/>
    <w:rsid w:val="00E62521"/>
    <w:rsid w:val="00E648B6"/>
    <w:rsid w:val="00E6493B"/>
    <w:rsid w:val="00E64F58"/>
    <w:rsid w:val="00E6501B"/>
    <w:rsid w:val="00E6514C"/>
    <w:rsid w:val="00E651A4"/>
    <w:rsid w:val="00E66189"/>
    <w:rsid w:val="00E66375"/>
    <w:rsid w:val="00E71A9E"/>
    <w:rsid w:val="00E723D0"/>
    <w:rsid w:val="00E728D9"/>
    <w:rsid w:val="00E74366"/>
    <w:rsid w:val="00E75F2B"/>
    <w:rsid w:val="00E8147C"/>
    <w:rsid w:val="00E81692"/>
    <w:rsid w:val="00E82402"/>
    <w:rsid w:val="00E833BF"/>
    <w:rsid w:val="00E837B3"/>
    <w:rsid w:val="00E84199"/>
    <w:rsid w:val="00E84FE9"/>
    <w:rsid w:val="00E85736"/>
    <w:rsid w:val="00E85809"/>
    <w:rsid w:val="00E859E9"/>
    <w:rsid w:val="00E86B1E"/>
    <w:rsid w:val="00E872D4"/>
    <w:rsid w:val="00E91FE1"/>
    <w:rsid w:val="00E94A7C"/>
    <w:rsid w:val="00E94DAE"/>
    <w:rsid w:val="00E96284"/>
    <w:rsid w:val="00E9747B"/>
    <w:rsid w:val="00EA0099"/>
    <w:rsid w:val="00EA237A"/>
    <w:rsid w:val="00EA27A9"/>
    <w:rsid w:val="00EA4CE6"/>
    <w:rsid w:val="00EA6D2D"/>
    <w:rsid w:val="00EA733F"/>
    <w:rsid w:val="00EB0754"/>
    <w:rsid w:val="00EB1AE5"/>
    <w:rsid w:val="00EB1C79"/>
    <w:rsid w:val="00EB3F67"/>
    <w:rsid w:val="00EB4D2F"/>
    <w:rsid w:val="00EB4E8B"/>
    <w:rsid w:val="00EB4EAE"/>
    <w:rsid w:val="00EB5F21"/>
    <w:rsid w:val="00EC0874"/>
    <w:rsid w:val="00EC1807"/>
    <w:rsid w:val="00EC23D4"/>
    <w:rsid w:val="00EC2AFE"/>
    <w:rsid w:val="00EC2B13"/>
    <w:rsid w:val="00EC4016"/>
    <w:rsid w:val="00EC55CA"/>
    <w:rsid w:val="00EC77B8"/>
    <w:rsid w:val="00EC7D99"/>
    <w:rsid w:val="00ED0AA6"/>
    <w:rsid w:val="00ED0B1C"/>
    <w:rsid w:val="00ED23BB"/>
    <w:rsid w:val="00ED2F10"/>
    <w:rsid w:val="00ED34AA"/>
    <w:rsid w:val="00ED4459"/>
    <w:rsid w:val="00ED5E47"/>
    <w:rsid w:val="00ED5EFC"/>
    <w:rsid w:val="00ED600D"/>
    <w:rsid w:val="00ED6BC0"/>
    <w:rsid w:val="00ED771D"/>
    <w:rsid w:val="00EE0E09"/>
    <w:rsid w:val="00EE1347"/>
    <w:rsid w:val="00EE1C0E"/>
    <w:rsid w:val="00EE48E9"/>
    <w:rsid w:val="00EE57E3"/>
    <w:rsid w:val="00EE5B6D"/>
    <w:rsid w:val="00EF05B8"/>
    <w:rsid w:val="00EF0A8E"/>
    <w:rsid w:val="00EF0F1F"/>
    <w:rsid w:val="00EF17AC"/>
    <w:rsid w:val="00EF1829"/>
    <w:rsid w:val="00EF3B17"/>
    <w:rsid w:val="00EF46AD"/>
    <w:rsid w:val="00EF57EC"/>
    <w:rsid w:val="00EF7289"/>
    <w:rsid w:val="00F0075F"/>
    <w:rsid w:val="00F00AFF"/>
    <w:rsid w:val="00F01035"/>
    <w:rsid w:val="00F07292"/>
    <w:rsid w:val="00F0738F"/>
    <w:rsid w:val="00F10325"/>
    <w:rsid w:val="00F1051D"/>
    <w:rsid w:val="00F12160"/>
    <w:rsid w:val="00F1397F"/>
    <w:rsid w:val="00F13EDE"/>
    <w:rsid w:val="00F163A6"/>
    <w:rsid w:val="00F24CD8"/>
    <w:rsid w:val="00F26CAD"/>
    <w:rsid w:val="00F27114"/>
    <w:rsid w:val="00F27ECA"/>
    <w:rsid w:val="00F30F72"/>
    <w:rsid w:val="00F312E1"/>
    <w:rsid w:val="00F31574"/>
    <w:rsid w:val="00F322F9"/>
    <w:rsid w:val="00F33044"/>
    <w:rsid w:val="00F3428E"/>
    <w:rsid w:val="00F40276"/>
    <w:rsid w:val="00F40E13"/>
    <w:rsid w:val="00F41B4B"/>
    <w:rsid w:val="00F45B3B"/>
    <w:rsid w:val="00F46BC7"/>
    <w:rsid w:val="00F51C96"/>
    <w:rsid w:val="00F52518"/>
    <w:rsid w:val="00F547A7"/>
    <w:rsid w:val="00F55527"/>
    <w:rsid w:val="00F562A6"/>
    <w:rsid w:val="00F56322"/>
    <w:rsid w:val="00F607ED"/>
    <w:rsid w:val="00F60A90"/>
    <w:rsid w:val="00F6130D"/>
    <w:rsid w:val="00F6156B"/>
    <w:rsid w:val="00F62B0E"/>
    <w:rsid w:val="00F63271"/>
    <w:rsid w:val="00F63D58"/>
    <w:rsid w:val="00F64481"/>
    <w:rsid w:val="00F64B05"/>
    <w:rsid w:val="00F64B88"/>
    <w:rsid w:val="00F6648A"/>
    <w:rsid w:val="00F70CC9"/>
    <w:rsid w:val="00F71DBA"/>
    <w:rsid w:val="00F72F70"/>
    <w:rsid w:val="00F7338E"/>
    <w:rsid w:val="00F738C5"/>
    <w:rsid w:val="00F746EC"/>
    <w:rsid w:val="00F748F0"/>
    <w:rsid w:val="00F77FE3"/>
    <w:rsid w:val="00F8215E"/>
    <w:rsid w:val="00F82222"/>
    <w:rsid w:val="00F82744"/>
    <w:rsid w:val="00F83732"/>
    <w:rsid w:val="00F83A78"/>
    <w:rsid w:val="00F84CA4"/>
    <w:rsid w:val="00F85206"/>
    <w:rsid w:val="00F86D9F"/>
    <w:rsid w:val="00F870D6"/>
    <w:rsid w:val="00F9022F"/>
    <w:rsid w:val="00F90B43"/>
    <w:rsid w:val="00F91739"/>
    <w:rsid w:val="00F9329A"/>
    <w:rsid w:val="00F940D2"/>
    <w:rsid w:val="00F94866"/>
    <w:rsid w:val="00F95616"/>
    <w:rsid w:val="00F957D1"/>
    <w:rsid w:val="00F95B2A"/>
    <w:rsid w:val="00F96170"/>
    <w:rsid w:val="00F97FD5"/>
    <w:rsid w:val="00FA0A21"/>
    <w:rsid w:val="00FA13FC"/>
    <w:rsid w:val="00FA1E14"/>
    <w:rsid w:val="00FA48D9"/>
    <w:rsid w:val="00FA4930"/>
    <w:rsid w:val="00FA4D7B"/>
    <w:rsid w:val="00FA4EA3"/>
    <w:rsid w:val="00FA5972"/>
    <w:rsid w:val="00FA615E"/>
    <w:rsid w:val="00FA6426"/>
    <w:rsid w:val="00FB1956"/>
    <w:rsid w:val="00FB2B46"/>
    <w:rsid w:val="00FB3020"/>
    <w:rsid w:val="00FB3E9C"/>
    <w:rsid w:val="00FB4147"/>
    <w:rsid w:val="00FB41B7"/>
    <w:rsid w:val="00FB5FCD"/>
    <w:rsid w:val="00FC0315"/>
    <w:rsid w:val="00FC06C3"/>
    <w:rsid w:val="00FC09C8"/>
    <w:rsid w:val="00FC2AD9"/>
    <w:rsid w:val="00FC2DB1"/>
    <w:rsid w:val="00FC3061"/>
    <w:rsid w:val="00FC59A0"/>
    <w:rsid w:val="00FC7217"/>
    <w:rsid w:val="00FC77A7"/>
    <w:rsid w:val="00FD3D5D"/>
    <w:rsid w:val="00FD4D24"/>
    <w:rsid w:val="00FD5006"/>
    <w:rsid w:val="00FD7DCE"/>
    <w:rsid w:val="00FE09F5"/>
    <w:rsid w:val="00FE1277"/>
    <w:rsid w:val="00FE1283"/>
    <w:rsid w:val="00FE2E27"/>
    <w:rsid w:val="00FE41DB"/>
    <w:rsid w:val="00FE4FB3"/>
    <w:rsid w:val="00FE5983"/>
    <w:rsid w:val="00FE76E0"/>
    <w:rsid w:val="00FF08B1"/>
    <w:rsid w:val="00FF16B0"/>
    <w:rsid w:val="00FF181B"/>
    <w:rsid w:val="00FF1B90"/>
    <w:rsid w:val="00FF425C"/>
    <w:rsid w:val="00FF4761"/>
    <w:rsid w:val="00FF4FE1"/>
    <w:rsid w:val="00FF65F2"/>
    <w:rsid w:val="00FF6B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EC14B"/>
  <w15:chartTrackingRefBased/>
  <w15:docId w15:val="{B7FECB50-958E-4200-86B5-BBBC8B31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qFormat="1"/>
    <w:lsdException w:name="Subtitle" w:qFormat="1"/>
    <w:lsdException w:name="Body Text Indent 2" w:qFormat="1"/>
    <w:lsdException w:name="Body Text Indent 3"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E4"/>
    <w:pPr>
      <w:suppressAutoHyphens/>
      <w:spacing w:line="480" w:lineRule="auto"/>
      <w:jc w:val="both"/>
    </w:pPr>
    <w:rPr>
      <w:rFonts w:ascii="Arial" w:hAnsi="Arial"/>
      <w:sz w:val="24"/>
      <w:lang w:eastAsia="en-US"/>
    </w:rPr>
  </w:style>
  <w:style w:type="paragraph" w:styleId="Heading1">
    <w:name w:val="heading 1"/>
    <w:basedOn w:val="BodyTextIndent5"/>
    <w:qFormat/>
    <w:rsid w:val="004C2AE4"/>
    <w:pPr>
      <w:ind w:left="0"/>
      <w:outlineLvl w:val="0"/>
    </w:pPr>
    <w:rPr>
      <w:b/>
    </w:rPr>
  </w:style>
  <w:style w:type="paragraph" w:styleId="Heading2">
    <w:name w:val="heading 2"/>
    <w:basedOn w:val="WLGLevel1"/>
    <w:qFormat/>
    <w:rsid w:val="00676006"/>
    <w:pPr>
      <w:keepNext/>
      <w:numPr>
        <w:numId w:val="0"/>
      </w:numPr>
      <w:ind w:left="562" w:hanging="562"/>
      <w:outlineLvl w:val="1"/>
    </w:pPr>
    <w:rPr>
      <w:b/>
      <w:i/>
    </w:rPr>
  </w:style>
  <w:style w:type="paragraph" w:styleId="Heading3">
    <w:name w:val="heading 3"/>
    <w:basedOn w:val="Normal"/>
    <w:qFormat/>
    <w:pPr>
      <w:numPr>
        <w:ilvl w:val="2"/>
        <w:numId w:val="1"/>
      </w:numPr>
      <w:spacing w:before="240" w:after="60"/>
      <w:outlineLvl w:val="2"/>
    </w:pPr>
  </w:style>
  <w:style w:type="paragraph" w:styleId="Heading4">
    <w:name w:val="heading 4"/>
    <w:basedOn w:val="Normal"/>
    <w:qFormat/>
    <w:pPr>
      <w:numPr>
        <w:ilvl w:val="3"/>
        <w:numId w:val="1"/>
      </w:numPr>
      <w:spacing w:before="240" w:after="60"/>
      <w:outlineLvl w:val="3"/>
    </w:pPr>
  </w:style>
  <w:style w:type="paragraph" w:styleId="Heading5">
    <w:name w:val="heading 5"/>
    <w:basedOn w:val="Normal"/>
    <w:qFormat/>
    <w:pPr>
      <w:numPr>
        <w:ilvl w:val="4"/>
        <w:numId w:val="1"/>
      </w:numPr>
      <w:spacing w:before="240" w:after="60"/>
      <w:outlineLvl w:val="4"/>
    </w:pPr>
  </w:style>
  <w:style w:type="paragraph" w:styleId="Heading6">
    <w:name w:val="heading 6"/>
    <w:basedOn w:val="Normal"/>
    <w:qFormat/>
    <w:pPr>
      <w:numPr>
        <w:ilvl w:val="5"/>
        <w:numId w:val="1"/>
      </w:numPr>
      <w:spacing w:before="240" w:after="60"/>
      <w:outlineLvl w:val="5"/>
    </w:pPr>
  </w:style>
  <w:style w:type="paragraph" w:styleId="Heading7">
    <w:name w:val="heading 7"/>
    <w:basedOn w:val="Normal"/>
    <w:qFormat/>
    <w:pPr>
      <w:numPr>
        <w:ilvl w:val="6"/>
        <w:numId w:val="1"/>
      </w:numPr>
      <w:spacing w:before="240" w:after="60"/>
      <w:outlineLvl w:val="6"/>
    </w:pPr>
  </w:style>
  <w:style w:type="paragraph" w:styleId="Heading8">
    <w:name w:val="heading 8"/>
    <w:basedOn w:val="Normal"/>
    <w:qFormat/>
    <w:pPr>
      <w:numPr>
        <w:ilvl w:val="7"/>
        <w:numId w:val="1"/>
      </w:numPr>
      <w:spacing w:before="240" w:after="60"/>
      <w:outlineLvl w:val="7"/>
    </w:pPr>
  </w:style>
  <w:style w:type="paragraph" w:styleId="Heading9">
    <w:name w:val="heading 9"/>
    <w:basedOn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pPr>
      <w:spacing w:after="320"/>
      <w:ind w:left="567"/>
    </w:pPr>
  </w:style>
  <w:style w:type="paragraph" w:styleId="BodyTextIndent2">
    <w:name w:val="Body Text Indent 2"/>
    <w:basedOn w:val="Normal"/>
    <w:qFormat/>
    <w:pPr>
      <w:spacing w:after="320"/>
      <w:ind w:left="1361"/>
    </w:pPr>
  </w:style>
  <w:style w:type="paragraph" w:styleId="BodyTextIndent3">
    <w:name w:val="Body Text Indent 3"/>
    <w:basedOn w:val="Normal"/>
    <w:qFormat/>
    <w:pPr>
      <w:spacing w:after="320"/>
      <w:ind w:left="2381"/>
    </w:pPr>
  </w:style>
  <w:style w:type="paragraph" w:customStyle="1" w:styleId="BodyTextIndent4">
    <w:name w:val="Body Text Indent 4"/>
    <w:basedOn w:val="Normal"/>
    <w:qFormat/>
    <w:pPr>
      <w:spacing w:after="320"/>
      <w:ind w:left="3572"/>
    </w:pPr>
  </w:style>
  <w:style w:type="paragraph" w:customStyle="1" w:styleId="BodyTextIndent5">
    <w:name w:val="Body Text Indent 5"/>
    <w:basedOn w:val="Normal"/>
    <w:qFormat/>
    <w:pPr>
      <w:spacing w:after="320"/>
      <w:ind w:left="4933"/>
    </w:pPr>
  </w:style>
  <w:style w:type="paragraph" w:styleId="Footer">
    <w:name w:val="footer"/>
    <w:basedOn w:val="Normal"/>
    <w:pPr>
      <w:tabs>
        <w:tab w:val="center" w:pos="4383"/>
        <w:tab w:val="right" w:pos="8766"/>
      </w:tabs>
      <w:spacing w:line="240" w:lineRule="auto"/>
    </w:pPr>
    <w:rPr>
      <w:sz w:val="16"/>
    </w:rPr>
  </w:style>
  <w:style w:type="paragraph" w:styleId="Header">
    <w:name w:val="header"/>
    <w:basedOn w:val="Normal"/>
    <w:pPr>
      <w:spacing w:line="240" w:lineRule="auto"/>
      <w:jc w:val="right"/>
    </w:pPr>
  </w:style>
  <w:style w:type="paragraph" w:customStyle="1" w:styleId="WLGLevel1">
    <w:name w:val="WLGLevel1"/>
    <w:basedOn w:val="Normal"/>
    <w:qFormat/>
    <w:pPr>
      <w:numPr>
        <w:numId w:val="2"/>
      </w:numPr>
      <w:spacing w:before="320" w:after="320"/>
      <w:ind w:left="562" w:hanging="562"/>
      <w:outlineLvl w:val="0"/>
    </w:pPr>
  </w:style>
  <w:style w:type="paragraph" w:customStyle="1" w:styleId="WLGLevel2">
    <w:name w:val="WLGLevel2"/>
    <w:basedOn w:val="Normal"/>
    <w:qFormat/>
    <w:pPr>
      <w:numPr>
        <w:ilvl w:val="1"/>
        <w:numId w:val="2"/>
      </w:numPr>
      <w:spacing w:after="320"/>
      <w:outlineLvl w:val="1"/>
    </w:pPr>
  </w:style>
  <w:style w:type="paragraph" w:customStyle="1" w:styleId="WLGLevel3">
    <w:name w:val="WLGLevel3"/>
    <w:basedOn w:val="Normal"/>
    <w:qFormat/>
    <w:pPr>
      <w:numPr>
        <w:ilvl w:val="2"/>
        <w:numId w:val="2"/>
      </w:numPr>
      <w:spacing w:after="320"/>
      <w:ind w:left="2382" w:hanging="1021"/>
      <w:outlineLvl w:val="2"/>
    </w:pPr>
  </w:style>
  <w:style w:type="paragraph" w:customStyle="1" w:styleId="WLGLevel4">
    <w:name w:val="WLGLevel4"/>
    <w:basedOn w:val="Normal"/>
    <w:qFormat/>
    <w:pPr>
      <w:numPr>
        <w:ilvl w:val="3"/>
        <w:numId w:val="2"/>
      </w:numPr>
      <w:spacing w:after="320"/>
      <w:outlineLvl w:val="3"/>
    </w:pPr>
  </w:style>
  <w:style w:type="paragraph" w:customStyle="1" w:styleId="WLGLevel5">
    <w:name w:val="WLGLevel5"/>
    <w:basedOn w:val="Normal"/>
    <w:qFormat/>
    <w:pPr>
      <w:numPr>
        <w:ilvl w:val="4"/>
        <w:numId w:val="2"/>
      </w:numPr>
      <w:spacing w:after="320"/>
      <w:outlineLvl w:val="4"/>
    </w:pPr>
  </w:style>
  <w:style w:type="character" w:styleId="PageNumber">
    <w:name w:val="page number"/>
    <w:rPr>
      <w:rFonts w:ascii="Arial" w:hAnsi="Arial"/>
      <w:sz w:val="24"/>
    </w:rPr>
  </w:style>
  <w:style w:type="paragraph" w:customStyle="1" w:styleId="Tabs-Cntr">
    <w:name w:val="Tabs-Cntr"/>
    <w:aliases w:val="FRght"/>
    <w:basedOn w:val="Normal"/>
    <w:next w:val="Normal"/>
    <w:pPr>
      <w:tabs>
        <w:tab w:val="center" w:pos="4536"/>
        <w:tab w:val="right" w:pos="9072"/>
      </w:tabs>
    </w:pPr>
  </w:style>
  <w:style w:type="paragraph" w:styleId="TOC1">
    <w:name w:val="toc 1"/>
    <w:basedOn w:val="Normal"/>
    <w:autoRedefine/>
    <w:semiHidden/>
    <w:pPr>
      <w:tabs>
        <w:tab w:val="left" w:pos="567"/>
        <w:tab w:val="right" w:leader="dot" w:pos="8756"/>
      </w:tabs>
      <w:spacing w:before="120" w:after="120" w:line="240" w:lineRule="auto"/>
      <w:jc w:val="left"/>
    </w:pPr>
    <w:rPr>
      <w:noProof/>
    </w:rPr>
  </w:style>
  <w:style w:type="paragraph" w:styleId="TOC2">
    <w:name w:val="toc 2"/>
    <w:basedOn w:val="Normal"/>
    <w:autoRedefine/>
    <w:semiHidden/>
    <w:pPr>
      <w:spacing w:before="120" w:after="120" w:line="240" w:lineRule="auto"/>
      <w:ind w:left="510" w:right="1134" w:hanging="510"/>
      <w:jc w:val="left"/>
    </w:pPr>
  </w:style>
  <w:style w:type="paragraph" w:styleId="TOC3">
    <w:name w:val="toc 3"/>
    <w:basedOn w:val="Normal"/>
    <w:autoRedefine/>
    <w:semiHidden/>
    <w:pPr>
      <w:spacing w:before="120" w:after="120" w:line="240" w:lineRule="auto"/>
      <w:ind w:left="510" w:right="1134" w:hanging="510"/>
      <w:jc w:val="left"/>
    </w:pPr>
  </w:style>
  <w:style w:type="paragraph" w:styleId="TOC4">
    <w:name w:val="toc 4"/>
    <w:basedOn w:val="Normal"/>
    <w:autoRedefine/>
    <w:semiHidden/>
    <w:pPr>
      <w:spacing w:before="120" w:after="120" w:line="240" w:lineRule="auto"/>
      <w:ind w:left="510" w:right="1134" w:hanging="510"/>
      <w:jc w:val="left"/>
    </w:pPr>
  </w:style>
  <w:style w:type="paragraph" w:styleId="TOC5">
    <w:name w:val="toc 5"/>
    <w:basedOn w:val="Normal"/>
    <w:autoRedefine/>
    <w:semiHidden/>
    <w:pPr>
      <w:spacing w:before="120" w:after="120" w:line="240" w:lineRule="auto"/>
      <w:ind w:left="510" w:right="1134" w:hanging="510"/>
      <w:jc w:val="left"/>
    </w:pPr>
  </w:style>
  <w:style w:type="paragraph" w:styleId="TOC6">
    <w:name w:val="toc 6"/>
    <w:basedOn w:val="Normal"/>
    <w:autoRedefine/>
    <w:semiHidden/>
    <w:pPr>
      <w:spacing w:before="120" w:after="120" w:line="240" w:lineRule="auto"/>
      <w:ind w:left="510" w:right="1134" w:hanging="510"/>
      <w:jc w:val="left"/>
    </w:pPr>
  </w:style>
  <w:style w:type="paragraph" w:styleId="TOC7">
    <w:name w:val="toc 7"/>
    <w:basedOn w:val="Normal"/>
    <w:autoRedefine/>
    <w:semiHidden/>
    <w:pPr>
      <w:spacing w:before="120" w:after="120" w:line="240" w:lineRule="auto"/>
      <w:ind w:left="510" w:right="1134" w:hanging="510"/>
      <w:jc w:val="left"/>
    </w:pPr>
  </w:style>
  <w:style w:type="paragraph" w:styleId="TOC8">
    <w:name w:val="toc 8"/>
    <w:basedOn w:val="Normal"/>
    <w:autoRedefine/>
    <w:semiHidden/>
    <w:pPr>
      <w:spacing w:before="120" w:after="120" w:line="240" w:lineRule="auto"/>
      <w:ind w:left="510" w:right="1134" w:hanging="510"/>
      <w:jc w:val="left"/>
    </w:pPr>
  </w:style>
  <w:style w:type="paragraph" w:styleId="TOC9">
    <w:name w:val="toc 9"/>
    <w:basedOn w:val="Normal"/>
    <w:autoRedefine/>
    <w:semiHidden/>
    <w:pPr>
      <w:spacing w:before="120" w:after="120" w:line="240" w:lineRule="auto"/>
      <w:ind w:left="510" w:right="1134" w:hanging="510"/>
      <w:jc w:val="left"/>
    </w:pPr>
  </w:style>
  <w:style w:type="paragraph" w:customStyle="1" w:styleId="TramLines">
    <w:name w:val="TramLines"/>
    <w:basedOn w:val="Normal"/>
    <w:pPr>
      <w:pBdr>
        <w:top w:val="single" w:sz="8" w:space="12" w:color="auto"/>
        <w:bottom w:val="single" w:sz="8" w:space="12" w:color="auto"/>
      </w:pBdr>
      <w:spacing w:after="320" w:line="240" w:lineRule="auto"/>
    </w:pPr>
    <w:rPr>
      <w:b/>
    </w:rPr>
  </w:style>
  <w:style w:type="character" w:styleId="Hyperlink">
    <w:name w:val="Hyperlink"/>
    <w:uiPriority w:val="99"/>
    <w:rPr>
      <w:color w:val="0000FF"/>
      <w:u w:val="single"/>
    </w:rPr>
  </w:style>
  <w:style w:type="paragraph" w:customStyle="1" w:styleId="Parties">
    <w:name w:val="Parties"/>
    <w:basedOn w:val="Normal"/>
    <w:qFormat/>
    <w:pPr>
      <w:tabs>
        <w:tab w:val="right" w:pos="9072"/>
      </w:tabs>
      <w:spacing w:line="240" w:lineRule="auto"/>
    </w:pPr>
  </w:style>
  <w:style w:type="paragraph" w:customStyle="1" w:styleId="Tramlinescentred">
    <w:name w:val="Tramlines centred"/>
    <w:basedOn w:val="TramLines"/>
    <w:qFormat/>
    <w:rsid w:val="004C2AE4"/>
    <w:pPr>
      <w:jc w:val="center"/>
    </w:pPr>
    <w:rPr>
      <w:bCs/>
    </w:rPr>
  </w:style>
  <w:style w:type="paragraph" w:styleId="FootnoteText">
    <w:name w:val="footnote text"/>
    <w:basedOn w:val="Normal"/>
    <w:link w:val="FootnoteTextChar"/>
    <w:rsid w:val="004F4510"/>
    <w:rPr>
      <w:sz w:val="20"/>
    </w:rPr>
  </w:style>
  <w:style w:type="character" w:customStyle="1" w:styleId="FootnoteTextChar">
    <w:name w:val="Footnote Text Char"/>
    <w:link w:val="FootnoteText"/>
    <w:rsid w:val="004F4510"/>
    <w:rPr>
      <w:rFonts w:ascii="Arial" w:hAnsi="Arial"/>
      <w:lang w:eastAsia="en-US"/>
    </w:rPr>
  </w:style>
  <w:style w:type="character" w:styleId="FootnoteReference">
    <w:name w:val="footnote reference"/>
    <w:rsid w:val="004F4510"/>
    <w:rPr>
      <w:vertAlign w:val="superscript"/>
    </w:rPr>
  </w:style>
  <w:style w:type="character" w:customStyle="1" w:styleId="mc">
    <w:name w:val="mc"/>
    <w:basedOn w:val="DefaultParagraphFont"/>
    <w:rsid w:val="0076441A"/>
  </w:style>
  <w:style w:type="character" w:styleId="CommentReference">
    <w:name w:val="annotation reference"/>
    <w:rsid w:val="00807ED7"/>
    <w:rPr>
      <w:sz w:val="16"/>
      <w:szCs w:val="16"/>
    </w:rPr>
  </w:style>
  <w:style w:type="paragraph" w:styleId="CommentText">
    <w:name w:val="annotation text"/>
    <w:basedOn w:val="Normal"/>
    <w:link w:val="CommentTextChar"/>
    <w:rsid w:val="00807ED7"/>
    <w:rPr>
      <w:sz w:val="20"/>
    </w:rPr>
  </w:style>
  <w:style w:type="character" w:customStyle="1" w:styleId="CommentTextChar">
    <w:name w:val="Comment Text Char"/>
    <w:link w:val="CommentText"/>
    <w:rsid w:val="00807ED7"/>
    <w:rPr>
      <w:rFonts w:ascii="Arial" w:hAnsi="Arial"/>
      <w:lang w:eastAsia="en-US"/>
    </w:rPr>
  </w:style>
  <w:style w:type="paragraph" w:styleId="CommentSubject">
    <w:name w:val="annotation subject"/>
    <w:basedOn w:val="CommentText"/>
    <w:next w:val="CommentText"/>
    <w:link w:val="CommentSubjectChar"/>
    <w:rsid w:val="00807ED7"/>
    <w:rPr>
      <w:b/>
      <w:bCs/>
    </w:rPr>
  </w:style>
  <w:style w:type="character" w:customStyle="1" w:styleId="CommentSubjectChar">
    <w:name w:val="Comment Subject Char"/>
    <w:link w:val="CommentSubject"/>
    <w:rsid w:val="00807ED7"/>
    <w:rPr>
      <w:rFonts w:ascii="Arial" w:hAnsi="Arial"/>
      <w:b/>
      <w:bCs/>
      <w:lang w:eastAsia="en-US"/>
    </w:rPr>
  </w:style>
  <w:style w:type="paragraph" w:customStyle="1" w:styleId="Normal1">
    <w:name w:val="Normal1"/>
    <w:basedOn w:val="Normal"/>
    <w:rsid w:val="008E1A0B"/>
    <w:pPr>
      <w:suppressAutoHyphens w:val="0"/>
      <w:spacing w:before="100" w:beforeAutospacing="1" w:after="100" w:afterAutospacing="1" w:line="240" w:lineRule="auto"/>
      <w:jc w:val="left"/>
    </w:pPr>
    <w:rPr>
      <w:rFonts w:ascii="Times New Roman" w:hAnsi="Times New Roman"/>
      <w:szCs w:val="24"/>
      <w:lang w:eastAsia="en-ZA"/>
    </w:rPr>
  </w:style>
  <w:style w:type="character" w:customStyle="1" w:styleId="popup-link">
    <w:name w:val="popup-link"/>
    <w:basedOn w:val="DefaultParagraphFont"/>
    <w:rsid w:val="008E1A0B"/>
  </w:style>
  <w:style w:type="paragraph" w:customStyle="1" w:styleId="pri">
    <w:name w:val="pri"/>
    <w:basedOn w:val="Normal"/>
    <w:rsid w:val="00856684"/>
    <w:pPr>
      <w:suppressAutoHyphens w:val="0"/>
      <w:spacing w:before="100" w:beforeAutospacing="1" w:after="100" w:afterAutospacing="1" w:line="240" w:lineRule="auto"/>
      <w:jc w:val="left"/>
    </w:pPr>
    <w:rPr>
      <w:rFonts w:ascii="Times New Roman" w:hAnsi="Times New Roman"/>
      <w:szCs w:val="24"/>
      <w:lang w:eastAsia="en-ZA"/>
    </w:rPr>
  </w:style>
  <w:style w:type="paragraph" w:styleId="ListParagraph">
    <w:name w:val="List Paragraph"/>
    <w:basedOn w:val="Normal"/>
    <w:uiPriority w:val="34"/>
    <w:qFormat/>
    <w:rsid w:val="00D946C6"/>
    <w:pPr>
      <w:suppressAutoHyphens w:val="0"/>
      <w:spacing w:line="240" w:lineRule="auto"/>
      <w:ind w:left="720"/>
      <w:contextualSpacing/>
      <w:jc w:val="left"/>
    </w:pPr>
    <w:rPr>
      <w:rFonts w:ascii="Times New Roman" w:hAnsi="Times New Roman"/>
      <w:szCs w:val="24"/>
      <w:lang w:eastAsia="en-GB"/>
    </w:rPr>
  </w:style>
  <w:style w:type="character" w:customStyle="1" w:styleId="BodyTextIndentChar">
    <w:name w:val="Body Text Indent Char"/>
    <w:link w:val="BodyTextIndent"/>
    <w:rsid w:val="00B836D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862815">
      <w:bodyDiv w:val="1"/>
      <w:marLeft w:val="0"/>
      <w:marRight w:val="0"/>
      <w:marTop w:val="0"/>
      <w:marBottom w:val="0"/>
      <w:divBdr>
        <w:top w:val="none" w:sz="0" w:space="0" w:color="auto"/>
        <w:left w:val="none" w:sz="0" w:space="0" w:color="auto"/>
        <w:bottom w:val="none" w:sz="0" w:space="0" w:color="auto"/>
        <w:right w:val="none" w:sz="0" w:space="0" w:color="auto"/>
      </w:divBdr>
    </w:div>
    <w:div w:id="1401096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03641%27%5d&amp;xhitlist_md=target-id=0-0-0-599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d\OneDrive\Documents\Current%20Matters\a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0C7F-3BF9-44EA-B425-C789FA76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2013</Template>
  <TotalTime>4</TotalTime>
  <Pages>55</Pages>
  <Words>14098</Words>
  <Characters>80362</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Friedman</dc:creator>
  <cp:keywords/>
  <cp:lastModifiedBy>Mokone</cp:lastModifiedBy>
  <cp:revision>3</cp:revision>
  <cp:lastPrinted>2002-09-16T09:28:00Z</cp:lastPrinted>
  <dcterms:created xsi:type="dcterms:W3CDTF">2023-10-02T13:59:00Z</dcterms:created>
  <dcterms:modified xsi:type="dcterms:W3CDTF">2023-10-02T14:03:00Z</dcterms:modified>
</cp:coreProperties>
</file>