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CFB7B" w14:textId="77777777" w:rsidR="00637F19" w:rsidRPr="00B03D04" w:rsidRDefault="00637F19">
      <w:pPr>
        <w:rPr>
          <w:rFonts w:ascii="Times New Roman" w:hAnsi="Times New Roman"/>
        </w:rPr>
      </w:pPr>
      <w:bookmarkStart w:id="0" w:name="_GoBack"/>
      <w:bookmarkEnd w:id="0"/>
    </w:p>
    <w:p w14:paraId="66576137" w14:textId="3D3D4F39" w:rsidR="00314C44" w:rsidRPr="00B03D04" w:rsidRDefault="00571786" w:rsidP="00314C44">
      <w:pPr>
        <w:jc w:val="center"/>
        <w:rPr>
          <w:rFonts w:ascii="Times New Roman" w:hAnsi="Times New Roman"/>
        </w:rPr>
      </w:pPr>
      <w:r>
        <w:rPr>
          <w:rFonts w:ascii="Times New Roman" w:hAnsi="Times New Roman"/>
          <w:noProof/>
          <w:lang w:val="en-US"/>
        </w:rPr>
        <w:drawing>
          <wp:inline distT="0" distB="0" distL="0" distR="0" wp14:anchorId="13E8D59B" wp14:editId="048A0061">
            <wp:extent cx="676275" cy="828675"/>
            <wp:effectExtent l="0" t="0" r="0" b="0"/>
            <wp:docPr id="1"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94865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14:paraId="413966E1" w14:textId="77777777" w:rsidR="00314C44" w:rsidRPr="00B03D04" w:rsidRDefault="00314C44" w:rsidP="00314C44">
      <w:pPr>
        <w:jc w:val="center"/>
        <w:rPr>
          <w:rFonts w:ascii="Times New Roman" w:hAnsi="Times New Roman"/>
          <w:b/>
          <w:bCs/>
          <w:sz w:val="32"/>
          <w:szCs w:val="32"/>
        </w:rPr>
      </w:pPr>
      <w:r w:rsidRPr="00B03D04">
        <w:rPr>
          <w:rFonts w:ascii="Times New Roman" w:hAnsi="Times New Roman"/>
          <w:b/>
          <w:bCs/>
          <w:sz w:val="32"/>
          <w:szCs w:val="32"/>
        </w:rPr>
        <w:t>IN THE HIGH COURT OF SOUTH AFRICA</w:t>
      </w:r>
    </w:p>
    <w:p w14:paraId="522C8ECB" w14:textId="77777777" w:rsidR="00314C44" w:rsidRPr="00B03D04" w:rsidRDefault="00314C44" w:rsidP="00314C44">
      <w:pPr>
        <w:jc w:val="center"/>
        <w:rPr>
          <w:rFonts w:ascii="Times New Roman" w:hAnsi="Times New Roman"/>
          <w:b/>
          <w:bCs/>
          <w:sz w:val="32"/>
          <w:szCs w:val="32"/>
        </w:rPr>
      </w:pPr>
      <w:r w:rsidRPr="00B03D04">
        <w:rPr>
          <w:rFonts w:ascii="Times New Roman" w:hAnsi="Times New Roman"/>
          <w:b/>
          <w:bCs/>
          <w:sz w:val="32"/>
          <w:szCs w:val="32"/>
        </w:rPr>
        <w:t>GAUTENG LOCAL DIVISION, JOHANNESBURG</w:t>
      </w:r>
    </w:p>
    <w:p w14:paraId="126EDF69" w14:textId="77777777" w:rsidR="00314C44" w:rsidRPr="00B03D04" w:rsidRDefault="00314C44" w:rsidP="00314C44">
      <w:pPr>
        <w:rPr>
          <w:rFonts w:ascii="Times New Roman" w:hAnsi="Times New Roman"/>
        </w:rPr>
      </w:pPr>
    </w:p>
    <w:p w14:paraId="427D7492" w14:textId="77777777" w:rsidR="00314C44" w:rsidRPr="00B03D04" w:rsidRDefault="00314C44" w:rsidP="00314C44">
      <w:pPr>
        <w:pStyle w:val="ListParagraph"/>
        <w:numPr>
          <w:ilvl w:val="0"/>
          <w:numId w:val="3"/>
        </w:numPr>
        <w:pBdr>
          <w:top w:val="single" w:sz="4" w:space="1" w:color="auto"/>
          <w:left w:val="single" w:sz="4" w:space="4" w:color="auto"/>
          <w:bottom w:val="single" w:sz="4" w:space="1" w:color="auto"/>
          <w:right w:val="single" w:sz="4" w:space="0" w:color="auto"/>
        </w:pBdr>
      </w:pPr>
      <w:r w:rsidRPr="00B03D04">
        <w:t xml:space="preserve">REPORTABLE: </w:t>
      </w:r>
      <w:r w:rsidRPr="00B03D04">
        <w:rPr>
          <w:strike/>
        </w:rPr>
        <w:t>YES</w:t>
      </w:r>
      <w:r w:rsidRPr="00B03D04">
        <w:t>/NO</w:t>
      </w:r>
    </w:p>
    <w:p w14:paraId="61EDCC12" w14:textId="77777777" w:rsidR="00314C44" w:rsidRPr="00B03D04" w:rsidRDefault="00314C44" w:rsidP="00314C44">
      <w:pPr>
        <w:pStyle w:val="ListParagraph"/>
        <w:numPr>
          <w:ilvl w:val="0"/>
          <w:numId w:val="3"/>
        </w:numPr>
        <w:pBdr>
          <w:top w:val="single" w:sz="4" w:space="1" w:color="auto"/>
          <w:left w:val="single" w:sz="4" w:space="4" w:color="auto"/>
          <w:bottom w:val="single" w:sz="4" w:space="1" w:color="auto"/>
          <w:right w:val="single" w:sz="4" w:space="0" w:color="auto"/>
        </w:pBdr>
      </w:pPr>
      <w:r w:rsidRPr="00B03D04">
        <w:t xml:space="preserve">OF INTEREST OF OTHER JUDGES: </w:t>
      </w:r>
      <w:r w:rsidRPr="00B03D04">
        <w:rPr>
          <w:strike/>
        </w:rPr>
        <w:t>YES</w:t>
      </w:r>
      <w:r w:rsidRPr="00B03D04">
        <w:t>/NO</w:t>
      </w:r>
    </w:p>
    <w:p w14:paraId="7ABAAFDE" w14:textId="77777777" w:rsidR="00314C44" w:rsidRPr="00B03D04" w:rsidRDefault="00314C44" w:rsidP="00314C44">
      <w:pPr>
        <w:pStyle w:val="ListParagraph"/>
        <w:numPr>
          <w:ilvl w:val="0"/>
          <w:numId w:val="3"/>
        </w:numPr>
        <w:pBdr>
          <w:top w:val="single" w:sz="4" w:space="1" w:color="auto"/>
          <w:left w:val="single" w:sz="4" w:space="4" w:color="auto"/>
          <w:bottom w:val="single" w:sz="4" w:space="1" w:color="auto"/>
          <w:right w:val="single" w:sz="4" w:space="0" w:color="auto"/>
        </w:pBdr>
      </w:pPr>
      <w:r w:rsidRPr="00B03D04">
        <w:t>REVISED</w:t>
      </w:r>
    </w:p>
    <w:p w14:paraId="66F9D5FA" w14:textId="77777777" w:rsidR="00314C44" w:rsidRPr="00B03D04" w:rsidRDefault="00314C44" w:rsidP="00314C44">
      <w:pPr>
        <w:pBdr>
          <w:top w:val="single" w:sz="4" w:space="1" w:color="auto"/>
          <w:left w:val="single" w:sz="4" w:space="4" w:color="auto"/>
          <w:bottom w:val="single" w:sz="4" w:space="1" w:color="auto"/>
          <w:right w:val="single" w:sz="4" w:space="0" w:color="auto"/>
        </w:pBdr>
        <w:ind w:left="360"/>
        <w:rPr>
          <w:rFonts w:ascii="Times New Roman" w:hAnsi="Times New Roman"/>
        </w:rPr>
      </w:pPr>
      <w:r w:rsidRPr="00B03D04">
        <w:rPr>
          <w:rFonts w:ascii="Times New Roman" w:hAnsi="Times New Roman"/>
        </w:rPr>
        <w:t>_________________                               ________________________</w:t>
      </w:r>
    </w:p>
    <w:p w14:paraId="1992BB41" w14:textId="77777777" w:rsidR="00314C44" w:rsidRPr="00B03D04" w:rsidRDefault="00314C44" w:rsidP="00314C44">
      <w:pPr>
        <w:pBdr>
          <w:top w:val="single" w:sz="4" w:space="1" w:color="auto"/>
          <w:left w:val="single" w:sz="4" w:space="4" w:color="auto"/>
          <w:bottom w:val="single" w:sz="4" w:space="1" w:color="auto"/>
          <w:right w:val="single" w:sz="4" w:space="0" w:color="auto"/>
        </w:pBdr>
        <w:ind w:left="360"/>
        <w:rPr>
          <w:rFonts w:ascii="Times New Roman" w:hAnsi="Times New Roman"/>
        </w:rPr>
      </w:pPr>
      <w:r w:rsidRPr="00B03D04">
        <w:rPr>
          <w:rFonts w:ascii="Times New Roman" w:hAnsi="Times New Roman"/>
        </w:rPr>
        <w:t>DATE</w:t>
      </w:r>
      <w:r w:rsidRPr="00B03D04">
        <w:rPr>
          <w:rFonts w:ascii="Times New Roman" w:hAnsi="Times New Roman"/>
        </w:rPr>
        <w:tab/>
      </w:r>
      <w:r w:rsidRPr="00B03D04">
        <w:rPr>
          <w:rFonts w:ascii="Times New Roman" w:hAnsi="Times New Roman"/>
        </w:rPr>
        <w:tab/>
      </w:r>
      <w:r w:rsidRPr="00B03D04">
        <w:rPr>
          <w:rFonts w:ascii="Times New Roman" w:hAnsi="Times New Roman"/>
        </w:rPr>
        <w:tab/>
      </w:r>
      <w:r w:rsidRPr="00B03D04">
        <w:rPr>
          <w:rFonts w:ascii="Times New Roman" w:hAnsi="Times New Roman"/>
        </w:rPr>
        <w:tab/>
        <w:t xml:space="preserve">         SIGNATURE</w:t>
      </w:r>
    </w:p>
    <w:p w14:paraId="2D266184" w14:textId="77777777" w:rsidR="00314C44" w:rsidRPr="00B03D04" w:rsidRDefault="00314C44" w:rsidP="00314C44">
      <w:pPr>
        <w:pBdr>
          <w:top w:val="single" w:sz="4" w:space="1" w:color="auto"/>
          <w:left w:val="single" w:sz="4" w:space="4" w:color="auto"/>
          <w:bottom w:val="single" w:sz="4" w:space="1" w:color="auto"/>
          <w:right w:val="single" w:sz="4" w:space="0" w:color="auto"/>
        </w:pBdr>
        <w:ind w:left="360"/>
        <w:rPr>
          <w:rFonts w:ascii="Times New Roman" w:hAnsi="Times New Roman"/>
        </w:rPr>
      </w:pPr>
    </w:p>
    <w:p w14:paraId="20A94591" w14:textId="77777777" w:rsidR="00637F19" w:rsidRPr="00B03D04" w:rsidRDefault="00637F19">
      <w:pPr>
        <w:rPr>
          <w:rFonts w:ascii="Times New Roman" w:hAnsi="Times New Roman"/>
        </w:rPr>
      </w:pPr>
    </w:p>
    <w:tbl>
      <w:tblPr>
        <w:tblW w:w="9498" w:type="dxa"/>
        <w:tblLook w:val="0000" w:firstRow="0" w:lastRow="0" w:firstColumn="0" w:lastColumn="0" w:noHBand="0" w:noVBand="0"/>
      </w:tblPr>
      <w:tblGrid>
        <w:gridCol w:w="5948"/>
        <w:gridCol w:w="565"/>
        <w:gridCol w:w="2552"/>
        <w:gridCol w:w="433"/>
      </w:tblGrid>
      <w:tr w:rsidR="00637F19" w:rsidRPr="00B03D04" w14:paraId="1EA593E1" w14:textId="77777777" w:rsidTr="00A321BC">
        <w:tc>
          <w:tcPr>
            <w:tcW w:w="5948" w:type="dxa"/>
          </w:tcPr>
          <w:p w14:paraId="5A78C695" w14:textId="77777777" w:rsidR="00637F19" w:rsidRPr="00B03D04" w:rsidRDefault="00637F19" w:rsidP="00A321BC">
            <w:pPr>
              <w:pStyle w:val="Header"/>
              <w:widowControl w:val="0"/>
              <w:rPr>
                <w:rFonts w:ascii="Times New Roman" w:hAnsi="Times New Roman"/>
              </w:rPr>
            </w:pPr>
          </w:p>
        </w:tc>
        <w:tc>
          <w:tcPr>
            <w:tcW w:w="3550" w:type="dxa"/>
            <w:gridSpan w:val="3"/>
          </w:tcPr>
          <w:p w14:paraId="46185897" w14:textId="77777777" w:rsidR="00637F19" w:rsidRPr="00B03D04" w:rsidRDefault="00637F19" w:rsidP="00A321BC">
            <w:pPr>
              <w:pStyle w:val="Header"/>
              <w:widowControl w:val="0"/>
              <w:ind w:right="-256"/>
              <w:rPr>
                <w:rFonts w:ascii="Times New Roman" w:hAnsi="Times New Roman"/>
                <w:b/>
                <w:bCs/>
              </w:rPr>
            </w:pPr>
          </w:p>
          <w:p w14:paraId="655B86E9" w14:textId="77777777" w:rsidR="00637F19" w:rsidRPr="00B03D04" w:rsidRDefault="00637F19" w:rsidP="00A321BC">
            <w:pPr>
              <w:pStyle w:val="Header"/>
              <w:widowControl w:val="0"/>
              <w:ind w:right="-256"/>
              <w:rPr>
                <w:rFonts w:ascii="Times New Roman" w:hAnsi="Times New Roman"/>
                <w:b/>
                <w:bCs/>
              </w:rPr>
            </w:pPr>
          </w:p>
          <w:p w14:paraId="37FEFB4F" w14:textId="77777777" w:rsidR="00637F19" w:rsidRPr="00B03D04" w:rsidRDefault="00637F19" w:rsidP="00A321BC">
            <w:pPr>
              <w:pStyle w:val="Header"/>
              <w:widowControl w:val="0"/>
              <w:ind w:right="-256"/>
              <w:rPr>
                <w:rFonts w:ascii="Times New Roman" w:hAnsi="Times New Roman"/>
                <w:b/>
                <w:bCs/>
              </w:rPr>
            </w:pPr>
          </w:p>
          <w:p w14:paraId="1690D2C5" w14:textId="77777777" w:rsidR="00637F19" w:rsidRPr="00B03D04" w:rsidRDefault="00637F19" w:rsidP="00A321BC">
            <w:pPr>
              <w:pStyle w:val="Header"/>
              <w:widowControl w:val="0"/>
              <w:ind w:right="-256"/>
              <w:rPr>
                <w:rFonts w:ascii="Times New Roman" w:hAnsi="Times New Roman"/>
                <w:b/>
                <w:bCs/>
              </w:rPr>
            </w:pPr>
          </w:p>
          <w:p w14:paraId="6667293A" w14:textId="4BFBD114" w:rsidR="00637F19" w:rsidRPr="00B03D04" w:rsidRDefault="00637F19" w:rsidP="00A321BC">
            <w:pPr>
              <w:pStyle w:val="Header"/>
              <w:widowControl w:val="0"/>
              <w:ind w:right="-256"/>
              <w:rPr>
                <w:rFonts w:ascii="Times New Roman" w:hAnsi="Times New Roman"/>
                <w:b/>
                <w:bCs/>
              </w:rPr>
            </w:pPr>
            <w:r w:rsidRPr="00B03D04">
              <w:rPr>
                <w:rFonts w:ascii="Times New Roman" w:hAnsi="Times New Roman"/>
                <w:b/>
                <w:bCs/>
              </w:rPr>
              <w:t>CASE NO:   21/27354                  </w:t>
            </w:r>
          </w:p>
        </w:tc>
      </w:tr>
      <w:tr w:rsidR="00637F19" w:rsidRPr="00B03D04" w14:paraId="06F7D47C" w14:textId="77777777" w:rsidTr="00A321BC">
        <w:trPr>
          <w:gridAfter w:val="1"/>
          <w:wAfter w:w="433" w:type="dxa"/>
        </w:trPr>
        <w:tc>
          <w:tcPr>
            <w:tcW w:w="6513" w:type="dxa"/>
            <w:gridSpan w:val="2"/>
          </w:tcPr>
          <w:p w14:paraId="5126D13D" w14:textId="77777777" w:rsidR="00637F19" w:rsidRPr="00B03D04" w:rsidRDefault="00637F19" w:rsidP="00A321BC">
            <w:pPr>
              <w:pStyle w:val="Header"/>
              <w:widowControl w:val="0"/>
              <w:rPr>
                <w:rFonts w:ascii="Times New Roman" w:hAnsi="Times New Roman"/>
              </w:rPr>
            </w:pPr>
          </w:p>
        </w:tc>
        <w:tc>
          <w:tcPr>
            <w:tcW w:w="2552" w:type="dxa"/>
          </w:tcPr>
          <w:p w14:paraId="5935FB55" w14:textId="77777777" w:rsidR="00637F19" w:rsidRPr="00B03D04" w:rsidRDefault="00637F19" w:rsidP="00A321BC">
            <w:pPr>
              <w:pStyle w:val="Header"/>
              <w:widowControl w:val="0"/>
              <w:rPr>
                <w:rFonts w:ascii="Times New Roman" w:hAnsi="Times New Roman"/>
              </w:rPr>
            </w:pPr>
          </w:p>
        </w:tc>
      </w:tr>
      <w:tr w:rsidR="00637F19" w:rsidRPr="00B03D04" w14:paraId="2BDD904A" w14:textId="77777777" w:rsidTr="00A321BC">
        <w:trPr>
          <w:gridAfter w:val="1"/>
          <w:wAfter w:w="433" w:type="dxa"/>
        </w:trPr>
        <w:tc>
          <w:tcPr>
            <w:tcW w:w="6513" w:type="dxa"/>
            <w:gridSpan w:val="2"/>
          </w:tcPr>
          <w:p w14:paraId="6C9F3C09" w14:textId="77777777" w:rsidR="00637F19" w:rsidRPr="00B03D04" w:rsidRDefault="00637F19" w:rsidP="00637F19">
            <w:pPr>
              <w:pStyle w:val="Header"/>
              <w:widowControl w:val="0"/>
              <w:jc w:val="both"/>
              <w:rPr>
                <w:rFonts w:ascii="Times New Roman" w:hAnsi="Times New Roman"/>
              </w:rPr>
            </w:pPr>
            <w:r w:rsidRPr="00B03D04">
              <w:rPr>
                <w:rFonts w:ascii="Times New Roman" w:hAnsi="Times New Roman"/>
              </w:rPr>
              <w:t>In the matter between:</w:t>
            </w:r>
          </w:p>
        </w:tc>
        <w:tc>
          <w:tcPr>
            <w:tcW w:w="2552" w:type="dxa"/>
          </w:tcPr>
          <w:p w14:paraId="33CF1ECE" w14:textId="77777777" w:rsidR="00637F19" w:rsidRPr="00B03D04" w:rsidRDefault="00637F19" w:rsidP="00637F19">
            <w:pPr>
              <w:pStyle w:val="Header"/>
              <w:widowControl w:val="0"/>
              <w:rPr>
                <w:rFonts w:ascii="Times New Roman" w:hAnsi="Times New Roman"/>
              </w:rPr>
            </w:pPr>
          </w:p>
        </w:tc>
      </w:tr>
      <w:tr w:rsidR="00637F19" w:rsidRPr="00B03D04" w14:paraId="40D35620" w14:textId="77777777" w:rsidTr="00A321BC">
        <w:trPr>
          <w:gridAfter w:val="1"/>
          <w:wAfter w:w="433" w:type="dxa"/>
        </w:trPr>
        <w:tc>
          <w:tcPr>
            <w:tcW w:w="6513" w:type="dxa"/>
            <w:gridSpan w:val="2"/>
          </w:tcPr>
          <w:p w14:paraId="6DF53D59" w14:textId="77777777" w:rsidR="00637F19" w:rsidRPr="00B03D04" w:rsidRDefault="00637F19" w:rsidP="00A321BC">
            <w:pPr>
              <w:pStyle w:val="Header"/>
              <w:widowControl w:val="0"/>
              <w:rPr>
                <w:rFonts w:ascii="Times New Roman" w:hAnsi="Times New Roman"/>
              </w:rPr>
            </w:pPr>
          </w:p>
        </w:tc>
        <w:tc>
          <w:tcPr>
            <w:tcW w:w="2552" w:type="dxa"/>
          </w:tcPr>
          <w:p w14:paraId="743F70B2" w14:textId="77777777" w:rsidR="00637F19" w:rsidRPr="00B03D04" w:rsidRDefault="00637F19" w:rsidP="00A321BC">
            <w:pPr>
              <w:pStyle w:val="Header"/>
              <w:widowControl w:val="0"/>
              <w:rPr>
                <w:rFonts w:ascii="Times New Roman" w:hAnsi="Times New Roman"/>
              </w:rPr>
            </w:pPr>
          </w:p>
        </w:tc>
      </w:tr>
      <w:tr w:rsidR="00637F19" w:rsidRPr="00B03D04" w14:paraId="7347B393" w14:textId="77777777" w:rsidTr="00A321BC">
        <w:trPr>
          <w:gridAfter w:val="1"/>
          <w:wAfter w:w="433" w:type="dxa"/>
        </w:trPr>
        <w:tc>
          <w:tcPr>
            <w:tcW w:w="6513" w:type="dxa"/>
            <w:gridSpan w:val="2"/>
          </w:tcPr>
          <w:p w14:paraId="069BCE0A"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REUBEN MILLER N.O</w:t>
            </w:r>
          </w:p>
        </w:tc>
        <w:tc>
          <w:tcPr>
            <w:tcW w:w="2552" w:type="dxa"/>
          </w:tcPr>
          <w:p w14:paraId="223C02E4"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First Applicant</w:t>
            </w:r>
          </w:p>
        </w:tc>
      </w:tr>
      <w:tr w:rsidR="00637F19" w:rsidRPr="00B03D04" w14:paraId="6661EEAB" w14:textId="77777777" w:rsidTr="00A321BC">
        <w:trPr>
          <w:gridAfter w:val="1"/>
          <w:wAfter w:w="433" w:type="dxa"/>
        </w:trPr>
        <w:tc>
          <w:tcPr>
            <w:tcW w:w="6513" w:type="dxa"/>
            <w:gridSpan w:val="2"/>
          </w:tcPr>
          <w:p w14:paraId="20C10AEF" w14:textId="77777777" w:rsidR="00637F19" w:rsidRPr="00B03D04" w:rsidRDefault="00637F19" w:rsidP="00637F19">
            <w:pPr>
              <w:pStyle w:val="Parties"/>
              <w:rPr>
                <w:rFonts w:ascii="Times New Roman" w:hAnsi="Times New Roman"/>
                <w:b/>
                <w:bCs/>
              </w:rPr>
            </w:pPr>
          </w:p>
        </w:tc>
        <w:tc>
          <w:tcPr>
            <w:tcW w:w="2552" w:type="dxa"/>
          </w:tcPr>
          <w:p w14:paraId="28CD4878" w14:textId="77777777" w:rsidR="00637F19" w:rsidRPr="00B03D04" w:rsidRDefault="00637F19" w:rsidP="00637F19">
            <w:pPr>
              <w:pStyle w:val="Parties"/>
              <w:rPr>
                <w:rFonts w:ascii="Times New Roman" w:hAnsi="Times New Roman"/>
                <w:b/>
                <w:bCs/>
              </w:rPr>
            </w:pPr>
          </w:p>
        </w:tc>
      </w:tr>
      <w:tr w:rsidR="00637F19" w:rsidRPr="00B03D04" w14:paraId="70D92ED2" w14:textId="77777777" w:rsidTr="00A321BC">
        <w:trPr>
          <w:gridAfter w:val="1"/>
          <w:wAfter w:w="433" w:type="dxa"/>
        </w:trPr>
        <w:tc>
          <w:tcPr>
            <w:tcW w:w="6513" w:type="dxa"/>
            <w:gridSpan w:val="2"/>
          </w:tcPr>
          <w:p w14:paraId="560E1679"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NORMAN KLEIN N.O</w:t>
            </w:r>
          </w:p>
        </w:tc>
        <w:tc>
          <w:tcPr>
            <w:tcW w:w="2552" w:type="dxa"/>
          </w:tcPr>
          <w:p w14:paraId="7580FF90"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Second Applicant</w:t>
            </w:r>
          </w:p>
        </w:tc>
      </w:tr>
      <w:tr w:rsidR="00637F19" w:rsidRPr="00B03D04" w14:paraId="1F4B636C" w14:textId="77777777" w:rsidTr="00A321BC">
        <w:trPr>
          <w:gridAfter w:val="1"/>
          <w:wAfter w:w="433" w:type="dxa"/>
        </w:trPr>
        <w:tc>
          <w:tcPr>
            <w:tcW w:w="6513" w:type="dxa"/>
            <w:gridSpan w:val="2"/>
          </w:tcPr>
          <w:p w14:paraId="56E623B3" w14:textId="77777777" w:rsidR="00637F19" w:rsidRPr="00B03D04" w:rsidRDefault="00637F19" w:rsidP="00637F19">
            <w:pPr>
              <w:pStyle w:val="Parties"/>
              <w:rPr>
                <w:rFonts w:ascii="Times New Roman" w:hAnsi="Times New Roman"/>
                <w:b/>
                <w:bCs/>
              </w:rPr>
            </w:pPr>
          </w:p>
        </w:tc>
        <w:tc>
          <w:tcPr>
            <w:tcW w:w="2552" w:type="dxa"/>
          </w:tcPr>
          <w:p w14:paraId="55F47C24" w14:textId="77777777" w:rsidR="00637F19" w:rsidRPr="00B03D04" w:rsidRDefault="00637F19" w:rsidP="00637F19">
            <w:pPr>
              <w:pStyle w:val="Parties"/>
              <w:rPr>
                <w:rFonts w:ascii="Times New Roman" w:hAnsi="Times New Roman"/>
                <w:b/>
                <w:bCs/>
              </w:rPr>
            </w:pPr>
          </w:p>
        </w:tc>
      </w:tr>
      <w:tr w:rsidR="00637F19" w:rsidRPr="00B03D04" w14:paraId="3F58BC7F" w14:textId="77777777" w:rsidTr="00A321BC">
        <w:trPr>
          <w:gridAfter w:val="1"/>
          <w:wAfter w:w="433" w:type="dxa"/>
        </w:trPr>
        <w:tc>
          <w:tcPr>
            <w:tcW w:w="6513" w:type="dxa"/>
            <w:gridSpan w:val="2"/>
          </w:tcPr>
          <w:p w14:paraId="2A31E0C1"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VIMBAI ANGELA TSOPOTSA N.O</w:t>
            </w:r>
          </w:p>
        </w:tc>
        <w:tc>
          <w:tcPr>
            <w:tcW w:w="2552" w:type="dxa"/>
          </w:tcPr>
          <w:p w14:paraId="568820A2"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Third Applicant</w:t>
            </w:r>
          </w:p>
        </w:tc>
      </w:tr>
      <w:tr w:rsidR="00637F19" w:rsidRPr="00B03D04" w14:paraId="4EA4BBB4" w14:textId="77777777" w:rsidTr="00A321BC">
        <w:trPr>
          <w:gridAfter w:val="1"/>
          <w:wAfter w:w="433" w:type="dxa"/>
        </w:trPr>
        <w:tc>
          <w:tcPr>
            <w:tcW w:w="6513" w:type="dxa"/>
            <w:gridSpan w:val="2"/>
          </w:tcPr>
          <w:p w14:paraId="4A441F37" w14:textId="77777777" w:rsidR="00637F19" w:rsidRPr="00B03D04" w:rsidRDefault="00637F19" w:rsidP="00637F19">
            <w:pPr>
              <w:pStyle w:val="Parties"/>
              <w:rPr>
                <w:rFonts w:ascii="Times New Roman" w:hAnsi="Times New Roman"/>
                <w:b/>
                <w:bCs/>
              </w:rPr>
            </w:pPr>
          </w:p>
        </w:tc>
        <w:tc>
          <w:tcPr>
            <w:tcW w:w="2552" w:type="dxa"/>
          </w:tcPr>
          <w:p w14:paraId="326E5AF8" w14:textId="77777777" w:rsidR="00637F19" w:rsidRPr="00B03D04" w:rsidRDefault="00637F19" w:rsidP="00637F19">
            <w:pPr>
              <w:pStyle w:val="Parties"/>
              <w:rPr>
                <w:rFonts w:ascii="Times New Roman" w:hAnsi="Times New Roman"/>
                <w:b/>
                <w:bCs/>
              </w:rPr>
            </w:pPr>
          </w:p>
        </w:tc>
      </w:tr>
      <w:tr w:rsidR="00637F19" w:rsidRPr="00B03D04" w14:paraId="3378A0E2" w14:textId="77777777" w:rsidTr="00A321BC">
        <w:trPr>
          <w:gridAfter w:val="1"/>
          <w:wAfter w:w="433" w:type="dxa"/>
        </w:trPr>
        <w:tc>
          <w:tcPr>
            <w:tcW w:w="6513" w:type="dxa"/>
            <w:gridSpan w:val="2"/>
          </w:tcPr>
          <w:p w14:paraId="20C1B98A"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REFILWE TLHABANYANE N.O</w:t>
            </w:r>
          </w:p>
        </w:tc>
        <w:tc>
          <w:tcPr>
            <w:tcW w:w="2552" w:type="dxa"/>
          </w:tcPr>
          <w:p w14:paraId="42F7B21B"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Fourth Applicant</w:t>
            </w:r>
          </w:p>
        </w:tc>
      </w:tr>
      <w:tr w:rsidR="00637F19" w:rsidRPr="00B03D04" w14:paraId="2C23C87B" w14:textId="77777777" w:rsidTr="00A321BC">
        <w:trPr>
          <w:gridAfter w:val="1"/>
          <w:wAfter w:w="433" w:type="dxa"/>
        </w:trPr>
        <w:tc>
          <w:tcPr>
            <w:tcW w:w="6513" w:type="dxa"/>
            <w:gridSpan w:val="2"/>
          </w:tcPr>
          <w:p w14:paraId="35C0C73C" w14:textId="77777777" w:rsidR="00637F19" w:rsidRPr="00B03D04" w:rsidRDefault="00637F19" w:rsidP="00637F19">
            <w:pPr>
              <w:pStyle w:val="Parties"/>
              <w:rPr>
                <w:rFonts w:ascii="Times New Roman" w:hAnsi="Times New Roman"/>
                <w:b/>
                <w:bCs/>
              </w:rPr>
            </w:pPr>
          </w:p>
        </w:tc>
        <w:tc>
          <w:tcPr>
            <w:tcW w:w="2552" w:type="dxa"/>
          </w:tcPr>
          <w:p w14:paraId="3FA80710" w14:textId="77777777" w:rsidR="00637F19" w:rsidRPr="00B03D04" w:rsidRDefault="00637F19" w:rsidP="00637F19">
            <w:pPr>
              <w:pStyle w:val="Parties"/>
              <w:rPr>
                <w:rFonts w:ascii="Times New Roman" w:hAnsi="Times New Roman"/>
                <w:b/>
                <w:bCs/>
              </w:rPr>
            </w:pPr>
          </w:p>
        </w:tc>
      </w:tr>
      <w:tr w:rsidR="00637F19" w:rsidRPr="00B03D04" w14:paraId="253292FC" w14:textId="77777777" w:rsidTr="00A321BC">
        <w:trPr>
          <w:gridAfter w:val="1"/>
          <w:wAfter w:w="433" w:type="dxa"/>
        </w:trPr>
        <w:tc>
          <w:tcPr>
            <w:tcW w:w="6513" w:type="dxa"/>
            <w:gridSpan w:val="2"/>
          </w:tcPr>
          <w:p w14:paraId="73CEDE16"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 xml:space="preserve">(in their capacity as the duly appointed final liquidators of Nkonki Incorporated (In Liquidation), Registration Number </w:t>
            </w:r>
            <w:r w:rsidRPr="00B03D04">
              <w:rPr>
                <w:rFonts w:ascii="Times New Roman" w:hAnsi="Times New Roman"/>
                <w:b/>
                <w:bCs/>
                <w:lang w:eastAsia="en-ZA"/>
              </w:rPr>
              <w:t>2002/017422/21,</w:t>
            </w:r>
            <w:r w:rsidRPr="00B03D04">
              <w:rPr>
                <w:rFonts w:ascii="Times New Roman" w:hAnsi="Times New Roman"/>
                <w:b/>
                <w:bCs/>
              </w:rPr>
              <w:t xml:space="preserve"> Master’s Reference G416/2018)</w:t>
            </w:r>
          </w:p>
        </w:tc>
        <w:tc>
          <w:tcPr>
            <w:tcW w:w="2552" w:type="dxa"/>
          </w:tcPr>
          <w:p w14:paraId="622AF62A" w14:textId="77777777" w:rsidR="00637F19" w:rsidRPr="00B03D04" w:rsidRDefault="00637F19" w:rsidP="00637F19">
            <w:pPr>
              <w:pStyle w:val="Parties"/>
              <w:rPr>
                <w:rFonts w:ascii="Times New Roman" w:hAnsi="Times New Roman"/>
                <w:b/>
                <w:bCs/>
              </w:rPr>
            </w:pPr>
          </w:p>
        </w:tc>
      </w:tr>
      <w:tr w:rsidR="00637F19" w:rsidRPr="00B03D04" w14:paraId="1622BF57" w14:textId="77777777" w:rsidTr="00A321BC">
        <w:trPr>
          <w:gridAfter w:val="1"/>
          <w:wAfter w:w="433" w:type="dxa"/>
        </w:trPr>
        <w:tc>
          <w:tcPr>
            <w:tcW w:w="6513" w:type="dxa"/>
            <w:gridSpan w:val="2"/>
          </w:tcPr>
          <w:p w14:paraId="203D8C57" w14:textId="77777777" w:rsidR="00637F19" w:rsidRPr="00B03D04" w:rsidRDefault="00637F19" w:rsidP="00637F19">
            <w:pPr>
              <w:pStyle w:val="Parties"/>
              <w:rPr>
                <w:rFonts w:ascii="Times New Roman" w:hAnsi="Times New Roman"/>
                <w:b/>
                <w:bCs/>
              </w:rPr>
            </w:pPr>
          </w:p>
          <w:p w14:paraId="743DA152"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 xml:space="preserve">and </w:t>
            </w:r>
          </w:p>
        </w:tc>
        <w:tc>
          <w:tcPr>
            <w:tcW w:w="2552" w:type="dxa"/>
          </w:tcPr>
          <w:p w14:paraId="7B62BE12" w14:textId="77777777" w:rsidR="00637F19" w:rsidRPr="00B03D04" w:rsidRDefault="00637F19" w:rsidP="00637F19">
            <w:pPr>
              <w:pStyle w:val="Parties"/>
              <w:rPr>
                <w:rFonts w:ascii="Times New Roman" w:hAnsi="Times New Roman"/>
                <w:b/>
                <w:bCs/>
              </w:rPr>
            </w:pPr>
          </w:p>
        </w:tc>
      </w:tr>
      <w:tr w:rsidR="00637F19" w:rsidRPr="00B03D04" w14:paraId="224B430C" w14:textId="77777777" w:rsidTr="00A321BC">
        <w:trPr>
          <w:gridAfter w:val="1"/>
          <w:wAfter w:w="433" w:type="dxa"/>
        </w:trPr>
        <w:tc>
          <w:tcPr>
            <w:tcW w:w="6513" w:type="dxa"/>
            <w:gridSpan w:val="2"/>
          </w:tcPr>
          <w:p w14:paraId="4E131764" w14:textId="77777777" w:rsidR="00637F19" w:rsidRPr="00B03D04" w:rsidRDefault="00637F19" w:rsidP="00637F19">
            <w:pPr>
              <w:pStyle w:val="Parties"/>
              <w:rPr>
                <w:rFonts w:ascii="Times New Roman" w:hAnsi="Times New Roman"/>
                <w:b/>
                <w:bCs/>
              </w:rPr>
            </w:pPr>
          </w:p>
        </w:tc>
        <w:tc>
          <w:tcPr>
            <w:tcW w:w="2552" w:type="dxa"/>
          </w:tcPr>
          <w:p w14:paraId="4D75264D" w14:textId="77777777" w:rsidR="00637F19" w:rsidRPr="00B03D04" w:rsidRDefault="00637F19" w:rsidP="00637F19">
            <w:pPr>
              <w:pStyle w:val="Parties"/>
              <w:rPr>
                <w:rFonts w:ascii="Times New Roman" w:hAnsi="Times New Roman"/>
                <w:b/>
                <w:bCs/>
              </w:rPr>
            </w:pPr>
          </w:p>
        </w:tc>
      </w:tr>
      <w:tr w:rsidR="00637F19" w:rsidRPr="00B03D04" w14:paraId="058FC34E" w14:textId="77777777" w:rsidTr="00A321BC">
        <w:trPr>
          <w:gridAfter w:val="1"/>
          <w:wAfter w:w="433" w:type="dxa"/>
        </w:trPr>
        <w:tc>
          <w:tcPr>
            <w:tcW w:w="6513" w:type="dxa"/>
            <w:gridSpan w:val="2"/>
          </w:tcPr>
          <w:p w14:paraId="3C57EC7D" w14:textId="77777777" w:rsidR="00637F19" w:rsidRPr="00B03D04" w:rsidRDefault="00637F19" w:rsidP="00637F19">
            <w:pPr>
              <w:pStyle w:val="Parties"/>
              <w:rPr>
                <w:rFonts w:ascii="Times New Roman" w:hAnsi="Times New Roman"/>
                <w:b/>
                <w:bCs/>
              </w:rPr>
            </w:pPr>
          </w:p>
        </w:tc>
        <w:tc>
          <w:tcPr>
            <w:tcW w:w="2552" w:type="dxa"/>
          </w:tcPr>
          <w:p w14:paraId="14185C0B" w14:textId="77777777" w:rsidR="00637F19" w:rsidRPr="00B03D04" w:rsidRDefault="00637F19" w:rsidP="00637F19">
            <w:pPr>
              <w:pStyle w:val="Parties"/>
              <w:rPr>
                <w:rFonts w:ascii="Times New Roman" w:hAnsi="Times New Roman"/>
                <w:b/>
                <w:bCs/>
              </w:rPr>
            </w:pPr>
          </w:p>
        </w:tc>
      </w:tr>
      <w:tr w:rsidR="00637F19" w:rsidRPr="00B03D04" w14:paraId="53588915" w14:textId="77777777" w:rsidTr="00A321BC">
        <w:trPr>
          <w:gridAfter w:val="1"/>
          <w:wAfter w:w="433" w:type="dxa"/>
        </w:trPr>
        <w:tc>
          <w:tcPr>
            <w:tcW w:w="6513" w:type="dxa"/>
            <w:gridSpan w:val="2"/>
          </w:tcPr>
          <w:p w14:paraId="77442860"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JAYSON DESIGA RAMSAMMY</w:t>
            </w:r>
          </w:p>
        </w:tc>
        <w:tc>
          <w:tcPr>
            <w:tcW w:w="2552" w:type="dxa"/>
          </w:tcPr>
          <w:p w14:paraId="0CCDEF0D" w14:textId="77777777" w:rsidR="00637F19" w:rsidRPr="00B03D04" w:rsidRDefault="00637F19" w:rsidP="00637F19">
            <w:pPr>
              <w:pStyle w:val="Parties"/>
              <w:rPr>
                <w:rFonts w:ascii="Times New Roman" w:hAnsi="Times New Roman"/>
                <w:b/>
                <w:bCs/>
              </w:rPr>
            </w:pPr>
            <w:r w:rsidRPr="00B03D04">
              <w:rPr>
                <w:rFonts w:ascii="Times New Roman" w:hAnsi="Times New Roman"/>
                <w:b/>
                <w:bCs/>
              </w:rPr>
              <w:t>Respondent</w:t>
            </w:r>
          </w:p>
        </w:tc>
      </w:tr>
    </w:tbl>
    <w:p w14:paraId="480DF4B3" w14:textId="5C4D2DCE" w:rsidR="004C2AE4" w:rsidRPr="00B03D04" w:rsidRDefault="004C2AE4" w:rsidP="000A0B49">
      <w:pPr>
        <w:rPr>
          <w:rFonts w:ascii="Times New Roman" w:hAnsi="Times New Roman"/>
          <w:b/>
          <w:bCs/>
        </w:rPr>
      </w:pPr>
    </w:p>
    <w:p w14:paraId="2F23DFFB" w14:textId="3D81D455" w:rsidR="00314C44" w:rsidRPr="00B03D04" w:rsidRDefault="00314C44" w:rsidP="00314C44">
      <w:pPr>
        <w:pStyle w:val="Tramlinescentred"/>
        <w:rPr>
          <w:rFonts w:ascii="Times New Roman" w:hAnsi="Times New Roman"/>
        </w:rPr>
      </w:pPr>
      <w:r w:rsidRPr="00B03D04">
        <w:rPr>
          <w:rFonts w:ascii="Times New Roman" w:hAnsi="Times New Roman"/>
        </w:rPr>
        <w:t>JUDGMENT</w:t>
      </w:r>
    </w:p>
    <w:p w14:paraId="58085ECD" w14:textId="7AEF7624" w:rsidR="00314C44" w:rsidRPr="00B03D04" w:rsidRDefault="00314C44" w:rsidP="00314C44">
      <w:pPr>
        <w:pStyle w:val="WLGLevel1"/>
        <w:numPr>
          <w:ilvl w:val="0"/>
          <w:numId w:val="0"/>
        </w:numPr>
        <w:ind w:left="562" w:hanging="562"/>
        <w:rPr>
          <w:rFonts w:ascii="Times New Roman" w:hAnsi="Times New Roman"/>
        </w:rPr>
      </w:pPr>
      <w:r w:rsidRPr="00B03D04">
        <w:rPr>
          <w:rFonts w:ascii="Times New Roman" w:hAnsi="Times New Roman"/>
        </w:rPr>
        <w:t>FRIEDMAN AJ:</w:t>
      </w:r>
    </w:p>
    <w:p w14:paraId="17E31640" w14:textId="058540B3" w:rsidR="000A0B49" w:rsidRPr="00B03D04" w:rsidRDefault="000A0B49" w:rsidP="000A0B49">
      <w:pPr>
        <w:pStyle w:val="WLGLevel1"/>
        <w:rPr>
          <w:rFonts w:ascii="Times New Roman" w:hAnsi="Times New Roman"/>
        </w:rPr>
      </w:pPr>
      <w:r w:rsidRPr="00B03D04">
        <w:rPr>
          <w:rFonts w:ascii="Times New Roman" w:hAnsi="Times New Roman"/>
        </w:rPr>
        <w:t>In this application, the applicant</w:t>
      </w:r>
      <w:r w:rsidR="00010CD7">
        <w:rPr>
          <w:rFonts w:ascii="Times New Roman" w:hAnsi="Times New Roman"/>
        </w:rPr>
        <w:t>s</w:t>
      </w:r>
      <w:r w:rsidRPr="00B03D04">
        <w:rPr>
          <w:rFonts w:ascii="Times New Roman" w:hAnsi="Times New Roman"/>
        </w:rPr>
        <w:t xml:space="preserve"> seek leave to amend </w:t>
      </w:r>
      <w:r w:rsidR="00010CD7">
        <w:rPr>
          <w:rFonts w:ascii="Times New Roman" w:hAnsi="Times New Roman"/>
        </w:rPr>
        <w:t>their</w:t>
      </w:r>
      <w:r w:rsidRPr="00B03D04">
        <w:rPr>
          <w:rFonts w:ascii="Times New Roman" w:hAnsi="Times New Roman"/>
        </w:rPr>
        <w:t xml:space="preserve"> notice of motion to introduce an alternative prayer for relief.</w:t>
      </w:r>
    </w:p>
    <w:p w14:paraId="5C3E5F3D" w14:textId="0AB65FB3" w:rsidR="000A0B49" w:rsidRPr="00B03D04" w:rsidRDefault="000A0B49" w:rsidP="000A0B49">
      <w:pPr>
        <w:pStyle w:val="WLGLevel1"/>
        <w:rPr>
          <w:rFonts w:ascii="Times New Roman" w:hAnsi="Times New Roman"/>
        </w:rPr>
      </w:pPr>
      <w:r w:rsidRPr="00B03D04">
        <w:rPr>
          <w:rFonts w:ascii="Times New Roman" w:hAnsi="Times New Roman"/>
        </w:rPr>
        <w:t>In the original notice of motion, the applicant</w:t>
      </w:r>
      <w:r w:rsidR="005F5CF3">
        <w:rPr>
          <w:rFonts w:ascii="Times New Roman" w:hAnsi="Times New Roman"/>
        </w:rPr>
        <w:t>s</w:t>
      </w:r>
      <w:r w:rsidRPr="00B03D04">
        <w:rPr>
          <w:rFonts w:ascii="Times New Roman" w:hAnsi="Times New Roman"/>
        </w:rPr>
        <w:t xml:space="preserve"> </w:t>
      </w:r>
      <w:r w:rsidR="0065140C">
        <w:rPr>
          <w:rFonts w:ascii="Times New Roman" w:hAnsi="Times New Roman"/>
        </w:rPr>
        <w:t xml:space="preserve">seek </w:t>
      </w:r>
      <w:r w:rsidRPr="00B03D04">
        <w:rPr>
          <w:rFonts w:ascii="Times New Roman" w:hAnsi="Times New Roman"/>
        </w:rPr>
        <w:t xml:space="preserve">an order that the respondent pay to </w:t>
      </w:r>
      <w:r w:rsidR="005F5CF3">
        <w:rPr>
          <w:rFonts w:ascii="Times New Roman" w:hAnsi="Times New Roman"/>
        </w:rPr>
        <w:t>them</w:t>
      </w:r>
      <w:r w:rsidRPr="00B03D04">
        <w:rPr>
          <w:rFonts w:ascii="Times New Roman" w:hAnsi="Times New Roman"/>
        </w:rPr>
        <w:t xml:space="preserve"> the sum of R3 million, plus interest</w:t>
      </w:r>
      <w:r w:rsidR="00547B81">
        <w:rPr>
          <w:rFonts w:ascii="Times New Roman" w:hAnsi="Times New Roman"/>
        </w:rPr>
        <w:t>. There is then, as is normally the case, a separate prayer for</w:t>
      </w:r>
      <w:r w:rsidRPr="00B03D04">
        <w:rPr>
          <w:rFonts w:ascii="Times New Roman" w:hAnsi="Times New Roman"/>
        </w:rPr>
        <w:t xml:space="preserve"> costs. The claim is based on an alleged oral agreement between the applicant</w:t>
      </w:r>
      <w:r w:rsidR="005F5CF3">
        <w:rPr>
          <w:rFonts w:ascii="Times New Roman" w:hAnsi="Times New Roman"/>
        </w:rPr>
        <w:t>s</w:t>
      </w:r>
      <w:r w:rsidRPr="00B03D04">
        <w:rPr>
          <w:rFonts w:ascii="Times New Roman" w:hAnsi="Times New Roman"/>
        </w:rPr>
        <w:t xml:space="preserve"> and the respondent. The applicant</w:t>
      </w:r>
      <w:r w:rsidR="005F5CF3">
        <w:rPr>
          <w:rFonts w:ascii="Times New Roman" w:hAnsi="Times New Roman"/>
        </w:rPr>
        <w:t>s</w:t>
      </w:r>
      <w:r w:rsidRPr="00B03D04">
        <w:rPr>
          <w:rFonts w:ascii="Times New Roman" w:hAnsi="Times New Roman"/>
        </w:rPr>
        <w:t xml:space="preserve"> provide various pieces of evidence in </w:t>
      </w:r>
      <w:r w:rsidR="005F5CF3">
        <w:rPr>
          <w:rFonts w:ascii="Times New Roman" w:hAnsi="Times New Roman"/>
        </w:rPr>
        <w:t>their</w:t>
      </w:r>
      <w:r w:rsidRPr="00B03D04">
        <w:rPr>
          <w:rFonts w:ascii="Times New Roman" w:hAnsi="Times New Roman"/>
        </w:rPr>
        <w:t xml:space="preserve"> founding affidavit for the conclusion of that oral agreement, and it is not necessary for me to comment on that evidence here.</w:t>
      </w:r>
    </w:p>
    <w:p w14:paraId="5379E904" w14:textId="0631116A" w:rsidR="000A0B49" w:rsidRPr="00B03D04" w:rsidRDefault="000A0B49" w:rsidP="000A0B49">
      <w:pPr>
        <w:pStyle w:val="WLGLevel1"/>
        <w:rPr>
          <w:rFonts w:ascii="Times New Roman" w:hAnsi="Times New Roman"/>
        </w:rPr>
      </w:pPr>
      <w:r w:rsidRPr="00B03D04">
        <w:rPr>
          <w:rFonts w:ascii="Times New Roman" w:hAnsi="Times New Roman"/>
        </w:rPr>
        <w:t>In his answering affidavit in the main application, the respondent disputes the applicant</w:t>
      </w:r>
      <w:r w:rsidR="00F13FEE">
        <w:rPr>
          <w:rFonts w:ascii="Times New Roman" w:hAnsi="Times New Roman"/>
        </w:rPr>
        <w:t>s</w:t>
      </w:r>
      <w:r w:rsidRPr="00B03D04">
        <w:rPr>
          <w:rFonts w:ascii="Times New Roman" w:hAnsi="Times New Roman"/>
        </w:rPr>
        <w:t>’ entitlement to relief on various grounds. In what might be described as a throwaway line, the respondent says that he never received an invoice for the R3 million now claimed by the applicant</w:t>
      </w:r>
      <w:r w:rsidR="00F13FEE">
        <w:rPr>
          <w:rFonts w:ascii="Times New Roman" w:hAnsi="Times New Roman"/>
        </w:rPr>
        <w:t>s</w:t>
      </w:r>
      <w:r w:rsidRPr="00B03D04">
        <w:rPr>
          <w:rFonts w:ascii="Times New Roman" w:hAnsi="Times New Roman"/>
        </w:rPr>
        <w:t>.</w:t>
      </w:r>
    </w:p>
    <w:p w14:paraId="1AB96F75" w14:textId="61DC6EDD" w:rsidR="000A0B49" w:rsidRPr="00B03D04" w:rsidRDefault="000A0B49" w:rsidP="000A0B49">
      <w:pPr>
        <w:pStyle w:val="WLGLevel1"/>
        <w:rPr>
          <w:rFonts w:ascii="Times New Roman" w:hAnsi="Times New Roman"/>
        </w:rPr>
      </w:pPr>
      <w:r w:rsidRPr="00B03D04">
        <w:rPr>
          <w:rFonts w:ascii="Times New Roman" w:hAnsi="Times New Roman"/>
        </w:rPr>
        <w:t>After the applicant</w:t>
      </w:r>
      <w:r w:rsidR="00F13FEE">
        <w:rPr>
          <w:rFonts w:ascii="Times New Roman" w:hAnsi="Times New Roman"/>
        </w:rPr>
        <w:t>s</w:t>
      </w:r>
      <w:r w:rsidRPr="00B03D04">
        <w:rPr>
          <w:rFonts w:ascii="Times New Roman" w:hAnsi="Times New Roman"/>
        </w:rPr>
        <w:t xml:space="preserve"> read the answering affidavit, </w:t>
      </w:r>
      <w:r w:rsidR="00F13FEE">
        <w:rPr>
          <w:rFonts w:ascii="Times New Roman" w:hAnsi="Times New Roman"/>
        </w:rPr>
        <w:t xml:space="preserve">they </w:t>
      </w:r>
      <w:r w:rsidRPr="00B03D04">
        <w:rPr>
          <w:rFonts w:ascii="Times New Roman" w:hAnsi="Times New Roman"/>
        </w:rPr>
        <w:t xml:space="preserve">decided to seek leave to amend </w:t>
      </w:r>
      <w:r w:rsidR="00F13FEE">
        <w:rPr>
          <w:rFonts w:ascii="Times New Roman" w:hAnsi="Times New Roman"/>
        </w:rPr>
        <w:t xml:space="preserve">their </w:t>
      </w:r>
      <w:r w:rsidRPr="00B03D04">
        <w:rPr>
          <w:rFonts w:ascii="Times New Roman" w:hAnsi="Times New Roman"/>
        </w:rPr>
        <w:t xml:space="preserve">notice of motion to introduce an alternative claim. </w:t>
      </w:r>
      <w:r w:rsidR="005619F9">
        <w:rPr>
          <w:rFonts w:ascii="Times New Roman" w:hAnsi="Times New Roman"/>
        </w:rPr>
        <w:t>W</w:t>
      </w:r>
      <w:r w:rsidRPr="00B03D04">
        <w:rPr>
          <w:rFonts w:ascii="Times New Roman" w:hAnsi="Times New Roman"/>
        </w:rPr>
        <w:t>hile persisting with the main prayer for payment of the R3 million plus interest, the applicant</w:t>
      </w:r>
      <w:r w:rsidR="00F13FEE">
        <w:rPr>
          <w:rFonts w:ascii="Times New Roman" w:hAnsi="Times New Roman"/>
        </w:rPr>
        <w:t>s</w:t>
      </w:r>
      <w:r w:rsidRPr="00B03D04">
        <w:rPr>
          <w:rFonts w:ascii="Times New Roman" w:hAnsi="Times New Roman"/>
        </w:rPr>
        <w:t xml:space="preserve"> now seek to introduce an alternative prayer for relief which provides:</w:t>
      </w:r>
    </w:p>
    <w:p w14:paraId="63B6CFF3" w14:textId="1C728ECA" w:rsidR="000A0B49" w:rsidRPr="007069F0" w:rsidRDefault="000A0B49" w:rsidP="007069F0">
      <w:pPr>
        <w:pStyle w:val="BodyTextIndent"/>
        <w:spacing w:line="240" w:lineRule="auto"/>
        <w:ind w:left="1134"/>
        <w:rPr>
          <w:rFonts w:ascii="Times New Roman" w:hAnsi="Times New Roman"/>
          <w:i/>
          <w:iCs/>
        </w:rPr>
      </w:pPr>
      <w:r w:rsidRPr="007069F0">
        <w:rPr>
          <w:rFonts w:ascii="Times New Roman" w:hAnsi="Times New Roman"/>
          <w:i/>
          <w:iCs/>
        </w:rPr>
        <w:t>“</w:t>
      </w:r>
      <w:r w:rsidR="004F4694" w:rsidRPr="007069F0">
        <w:rPr>
          <w:rFonts w:ascii="Times New Roman" w:hAnsi="Times New Roman"/>
          <w:i/>
          <w:iCs/>
        </w:rPr>
        <w:t>Alternative</w:t>
      </w:r>
      <w:r w:rsidR="007069F0" w:rsidRPr="007069F0">
        <w:rPr>
          <w:rFonts w:ascii="Times New Roman" w:hAnsi="Times New Roman"/>
          <w:i/>
          <w:iCs/>
        </w:rPr>
        <w:t>ly</w:t>
      </w:r>
      <w:r w:rsidR="004F4694" w:rsidRPr="007069F0">
        <w:rPr>
          <w:rFonts w:ascii="Times New Roman" w:hAnsi="Times New Roman"/>
          <w:i/>
          <w:iCs/>
        </w:rPr>
        <w:t>, the Respondent shall make payment to the Applicants in the amount of R3 000 000.00 within 7 days of issuing</w:t>
      </w:r>
      <w:r w:rsidR="007069F0" w:rsidRPr="007069F0">
        <w:rPr>
          <w:rFonts w:ascii="Times New Roman" w:hAnsi="Times New Roman"/>
          <w:i/>
          <w:iCs/>
        </w:rPr>
        <w:t xml:space="preserve"> of an invoice by the Applicants to the Respondent for such amount”.</w:t>
      </w:r>
    </w:p>
    <w:p w14:paraId="0B87A2C7" w14:textId="25494409" w:rsidR="000A0B49" w:rsidRPr="00B03D04" w:rsidRDefault="000A0B49" w:rsidP="000A0B49">
      <w:pPr>
        <w:pStyle w:val="WLGLevel1"/>
        <w:rPr>
          <w:rFonts w:ascii="Times New Roman" w:hAnsi="Times New Roman"/>
        </w:rPr>
      </w:pPr>
      <w:r w:rsidRPr="00B03D04">
        <w:rPr>
          <w:rFonts w:ascii="Times New Roman" w:hAnsi="Times New Roman"/>
        </w:rPr>
        <w:lastRenderedPageBreak/>
        <w:t xml:space="preserve">In </w:t>
      </w:r>
      <w:r w:rsidR="00F2557E">
        <w:rPr>
          <w:rFonts w:ascii="Times New Roman" w:hAnsi="Times New Roman"/>
        </w:rPr>
        <w:t>their</w:t>
      </w:r>
      <w:r w:rsidRPr="00B03D04">
        <w:rPr>
          <w:rFonts w:ascii="Times New Roman" w:hAnsi="Times New Roman"/>
        </w:rPr>
        <w:t xml:space="preserve"> application for leave to amend, which was necessary because the respondent objected to the amendment, the applicant</w:t>
      </w:r>
      <w:r w:rsidR="00F2557E">
        <w:rPr>
          <w:rFonts w:ascii="Times New Roman" w:hAnsi="Times New Roman"/>
        </w:rPr>
        <w:t>s</w:t>
      </w:r>
      <w:r w:rsidRPr="00B03D04">
        <w:rPr>
          <w:rFonts w:ascii="Times New Roman" w:hAnsi="Times New Roman"/>
        </w:rPr>
        <w:t xml:space="preserve"> explain that </w:t>
      </w:r>
      <w:r w:rsidR="00F2557E">
        <w:rPr>
          <w:rFonts w:ascii="Times New Roman" w:hAnsi="Times New Roman"/>
        </w:rPr>
        <w:t xml:space="preserve">they </w:t>
      </w:r>
      <w:r w:rsidRPr="00B03D04">
        <w:rPr>
          <w:rFonts w:ascii="Times New Roman" w:hAnsi="Times New Roman"/>
        </w:rPr>
        <w:t xml:space="preserve">wish to introduce the alternative prayer for relief out of caution; and, in particular, to cater for a finding by the court seized of the main application that it is a precondition of the respondent’s liability that an invoice be issued for the R3 million. </w:t>
      </w:r>
    </w:p>
    <w:p w14:paraId="55F4674B" w14:textId="77777777" w:rsidR="00E47375" w:rsidRPr="00B03D04" w:rsidRDefault="00E47375" w:rsidP="00E47375">
      <w:pPr>
        <w:pStyle w:val="WLGLevel1"/>
        <w:rPr>
          <w:rFonts w:ascii="Times New Roman" w:hAnsi="Times New Roman"/>
        </w:rPr>
      </w:pPr>
      <w:r w:rsidRPr="00B03D04">
        <w:rPr>
          <w:rFonts w:ascii="Times New Roman" w:hAnsi="Times New Roman"/>
        </w:rPr>
        <w:t xml:space="preserve">The law on amendments to pleadings is well-known and trite. As Mpati P put it in </w:t>
      </w:r>
      <w:r w:rsidRPr="00B03D04">
        <w:rPr>
          <w:rFonts w:ascii="Times New Roman" w:hAnsi="Times New Roman"/>
          <w:i/>
          <w:iCs/>
        </w:rPr>
        <w:t>Imperial Bank Ltd v Barnard</w:t>
      </w:r>
      <w:r w:rsidRPr="00B03D04">
        <w:rPr>
          <w:rFonts w:ascii="Times New Roman" w:hAnsi="Times New Roman"/>
        </w:rPr>
        <w:t>,</w:t>
      </w:r>
      <w:r w:rsidRPr="00B03D04">
        <w:rPr>
          <w:rStyle w:val="FootnoteReference"/>
          <w:rFonts w:ascii="Times New Roman" w:hAnsi="Times New Roman"/>
        </w:rPr>
        <w:footnoteReference w:id="1"/>
      </w:r>
      <w:r w:rsidRPr="00B03D04">
        <w:rPr>
          <w:rFonts w:ascii="Times New Roman" w:hAnsi="Times New Roman"/>
        </w:rPr>
        <w:t xml:space="preserve"> “[a]n application for amendment will always be allowed 'unless it is made mala fide or would cause prejudice to the other party which cannot be compensated for by an order for costs or by some other suitable order such as a postponement’”. The example of the type of prejudice falling into this category given by Mpati P, was an amendment which seeks to introduce a claim which has prescribed. Another example of prejudice which would lead to the refusal of an amendment is if the amendment would introduce a pleading which is excipiable – either because it is impermissibly vague or because it discloses no cause of action.</w:t>
      </w:r>
      <w:r w:rsidRPr="00B03D04">
        <w:rPr>
          <w:rStyle w:val="FootnoteReference"/>
          <w:rFonts w:ascii="Times New Roman" w:hAnsi="Times New Roman"/>
        </w:rPr>
        <w:footnoteReference w:id="2"/>
      </w:r>
      <w:r w:rsidRPr="00B03D04">
        <w:rPr>
          <w:rFonts w:ascii="Times New Roman" w:hAnsi="Times New Roman"/>
        </w:rPr>
        <w:t xml:space="preserve"> Another example of prejudice is where a party, through an amendment, seeks to withdraw an admission.</w:t>
      </w:r>
      <w:r w:rsidRPr="00B03D04">
        <w:rPr>
          <w:rStyle w:val="FootnoteReference"/>
          <w:rFonts w:ascii="Times New Roman" w:hAnsi="Times New Roman"/>
        </w:rPr>
        <w:footnoteReference w:id="3"/>
      </w:r>
    </w:p>
    <w:p w14:paraId="5337ECA3" w14:textId="2B2B6B1A" w:rsidR="004E4FA9" w:rsidRPr="00B03D04" w:rsidRDefault="004E4FA9" w:rsidP="000A0B49">
      <w:pPr>
        <w:pStyle w:val="WLGLevel1"/>
        <w:rPr>
          <w:rFonts w:ascii="Times New Roman" w:hAnsi="Times New Roman"/>
        </w:rPr>
      </w:pPr>
      <w:r w:rsidRPr="00B03D04">
        <w:rPr>
          <w:rFonts w:ascii="Times New Roman" w:hAnsi="Times New Roman"/>
        </w:rPr>
        <w:t xml:space="preserve">The respondent attempted to argue before me that the proposed amendment would be excipiable. But I cannot see how </w:t>
      </w:r>
      <w:r w:rsidR="00E30889">
        <w:rPr>
          <w:rFonts w:ascii="Times New Roman" w:hAnsi="Times New Roman"/>
        </w:rPr>
        <w:t>this could be</w:t>
      </w:r>
      <w:r w:rsidRPr="00B03D04">
        <w:rPr>
          <w:rFonts w:ascii="Times New Roman" w:hAnsi="Times New Roman"/>
        </w:rPr>
        <w:t>. The respondent’s main complaint (which was his main complaint even before this issue of the invoice was introduced by him in the answering affidavit) is that this entire application is not a matter for motion court</w:t>
      </w:r>
      <w:r w:rsidR="00FA6316">
        <w:rPr>
          <w:rFonts w:ascii="Times New Roman" w:hAnsi="Times New Roman"/>
        </w:rPr>
        <w:t xml:space="preserve"> </w:t>
      </w:r>
      <w:r w:rsidR="00FA6316">
        <w:rPr>
          <w:rFonts w:ascii="Times New Roman" w:hAnsi="Times New Roman"/>
        </w:rPr>
        <w:lastRenderedPageBreak/>
        <w:t>because there are irresolvable disputes of fact</w:t>
      </w:r>
      <w:r w:rsidRPr="00B03D04">
        <w:rPr>
          <w:rFonts w:ascii="Times New Roman" w:hAnsi="Times New Roman"/>
        </w:rPr>
        <w:t xml:space="preserve">. </w:t>
      </w:r>
      <w:r w:rsidR="00907CC5">
        <w:rPr>
          <w:rFonts w:ascii="Times New Roman" w:hAnsi="Times New Roman"/>
        </w:rPr>
        <w:t xml:space="preserve">Without commenting on this argument, I simply note that </w:t>
      </w:r>
      <w:r w:rsidRPr="00B03D04">
        <w:rPr>
          <w:rFonts w:ascii="Times New Roman" w:hAnsi="Times New Roman"/>
        </w:rPr>
        <w:t xml:space="preserve">I understand </w:t>
      </w:r>
      <w:r w:rsidR="00907CC5">
        <w:rPr>
          <w:rFonts w:ascii="Times New Roman" w:hAnsi="Times New Roman"/>
        </w:rPr>
        <w:t>it</w:t>
      </w:r>
      <w:r w:rsidRPr="00B03D04">
        <w:rPr>
          <w:rFonts w:ascii="Times New Roman" w:hAnsi="Times New Roman"/>
        </w:rPr>
        <w:t>, and it will be something with which the court hearing the main application will need to grapple. However, I cannot see how the introduction of the alternative prayer changes the nature of that dispute. In other words, whether this matter may be decided in the applicants’ favour in motion court, is not changed by the introduction of the alternative prayer. It does not make the applicants’ stronger or weaker on that particular issue.</w:t>
      </w:r>
    </w:p>
    <w:p w14:paraId="289088AA" w14:textId="69A8242B" w:rsidR="00C77FA7" w:rsidRDefault="004E4FA9" w:rsidP="000A0B49">
      <w:pPr>
        <w:pStyle w:val="WLGLevel1"/>
        <w:rPr>
          <w:rFonts w:ascii="Times New Roman" w:hAnsi="Times New Roman"/>
        </w:rPr>
      </w:pPr>
      <w:r w:rsidRPr="00B256E4">
        <w:rPr>
          <w:rFonts w:ascii="Times New Roman" w:hAnsi="Times New Roman"/>
          <w:i/>
          <w:iCs/>
        </w:rPr>
        <w:t>Ms Shahim</w:t>
      </w:r>
      <w:r w:rsidRPr="00B03D04">
        <w:rPr>
          <w:rFonts w:ascii="Times New Roman" w:hAnsi="Times New Roman"/>
        </w:rPr>
        <w:t>, who appeared for the respondent, argued that the proposed amendment is excipiable because</w:t>
      </w:r>
      <w:r w:rsidR="00054D2E">
        <w:rPr>
          <w:rFonts w:ascii="Times New Roman" w:hAnsi="Times New Roman"/>
        </w:rPr>
        <w:t>,</w:t>
      </w:r>
      <w:r w:rsidRPr="00B03D04">
        <w:rPr>
          <w:rFonts w:ascii="Times New Roman" w:hAnsi="Times New Roman"/>
        </w:rPr>
        <w:t xml:space="preserve"> </w:t>
      </w:r>
      <w:r w:rsidR="00F1617B">
        <w:rPr>
          <w:rFonts w:ascii="Times New Roman" w:hAnsi="Times New Roman"/>
        </w:rPr>
        <w:t xml:space="preserve">if one reads the founding affidavit, one will not find any explanation of the basis for the claim for alternative relief. </w:t>
      </w:r>
      <w:r w:rsidRPr="00B03D04">
        <w:rPr>
          <w:rFonts w:ascii="Times New Roman" w:hAnsi="Times New Roman"/>
        </w:rPr>
        <w:t xml:space="preserve">But this criticism does not withstand scrutiny. The only reason why the applicants wish to introduce the alternative prayer for relief is because of something said by the respondent in his answering affidavit. Their primary case is that no new or additional invoice had to be issued after the oral agreement was concluded and that purely by virtue of the oral agreement, the respondent is indebted to the company in respect of which the applicants are the liquidators. The respondent, in his answer, denies the oral agreement and says that this is not a matter to be decided on motion. And, he then in essence says “oh, and by the way, I </w:t>
      </w:r>
      <w:r w:rsidR="00505BED">
        <w:rPr>
          <w:rFonts w:ascii="Times New Roman" w:hAnsi="Times New Roman"/>
        </w:rPr>
        <w:t xml:space="preserve">also </w:t>
      </w:r>
      <w:r w:rsidRPr="00B03D04">
        <w:rPr>
          <w:rFonts w:ascii="Times New Roman" w:hAnsi="Times New Roman"/>
        </w:rPr>
        <w:t>never received an invoice for the R3 million”</w:t>
      </w:r>
      <w:r w:rsidR="0085648C">
        <w:rPr>
          <w:rFonts w:ascii="Times New Roman" w:hAnsi="Times New Roman"/>
        </w:rPr>
        <w:t>, which the applicants interpret as another basis for denying liability</w:t>
      </w:r>
      <w:r w:rsidRPr="00B03D04">
        <w:rPr>
          <w:rFonts w:ascii="Times New Roman" w:hAnsi="Times New Roman"/>
        </w:rPr>
        <w:t xml:space="preserve">. </w:t>
      </w:r>
      <w:r w:rsidR="008E4C54">
        <w:rPr>
          <w:rFonts w:ascii="Times New Roman" w:hAnsi="Times New Roman"/>
        </w:rPr>
        <w:t xml:space="preserve">To meet what they perceive as the denial of liability based on the failure to issue an invoice, they have included the alternative prayer for relief. </w:t>
      </w:r>
      <w:r w:rsidRPr="00B03D04">
        <w:rPr>
          <w:rFonts w:ascii="Times New Roman" w:hAnsi="Times New Roman"/>
        </w:rPr>
        <w:t xml:space="preserve">In these circumstances, it escapes me how the applicants can be criticised for failing to make out a case for the alternative relief in the founding affidavit; the amendment is sought as a fall-back position and to cater for a stance taken by the respondent in his answer. Whether or not the applicants can make out a case for the alternative relief if the main relief is not granted </w:t>
      </w:r>
      <w:r w:rsidRPr="00B03D04">
        <w:rPr>
          <w:rFonts w:ascii="Times New Roman" w:hAnsi="Times New Roman"/>
        </w:rPr>
        <w:lastRenderedPageBreak/>
        <w:t xml:space="preserve">– an issue in respect of which it would be improper for me to express a view </w:t>
      </w:r>
      <w:r w:rsidR="003F2B2D" w:rsidRPr="00B03D04">
        <w:rPr>
          <w:rFonts w:ascii="Times New Roman" w:hAnsi="Times New Roman"/>
        </w:rPr>
        <w:t>–</w:t>
      </w:r>
      <w:r w:rsidRPr="00B03D04">
        <w:rPr>
          <w:rFonts w:ascii="Times New Roman" w:hAnsi="Times New Roman"/>
        </w:rPr>
        <w:t xml:space="preserve"> </w:t>
      </w:r>
      <w:r w:rsidR="003F2B2D" w:rsidRPr="00B03D04">
        <w:rPr>
          <w:rFonts w:ascii="Times New Roman" w:hAnsi="Times New Roman"/>
        </w:rPr>
        <w:t>it</w:t>
      </w:r>
      <w:r w:rsidR="00C77FA7">
        <w:rPr>
          <w:rFonts w:ascii="Times New Roman" w:hAnsi="Times New Roman"/>
        </w:rPr>
        <w:t xml:space="preserve"> would not be correct to describe it</w:t>
      </w:r>
      <w:r w:rsidR="003F2B2D" w:rsidRPr="00B03D04">
        <w:rPr>
          <w:rFonts w:ascii="Times New Roman" w:hAnsi="Times New Roman"/>
        </w:rPr>
        <w:t xml:space="preserve"> as excipiable.</w:t>
      </w:r>
      <w:r w:rsidR="003E303B">
        <w:rPr>
          <w:rFonts w:ascii="Times New Roman" w:hAnsi="Times New Roman"/>
        </w:rPr>
        <w:t xml:space="preserve"> </w:t>
      </w:r>
    </w:p>
    <w:p w14:paraId="0CBC2AC0" w14:textId="77777777" w:rsidR="001529B7" w:rsidRDefault="00507180" w:rsidP="000A0B49">
      <w:pPr>
        <w:pStyle w:val="WLGLevel1"/>
        <w:rPr>
          <w:rFonts w:ascii="Times New Roman" w:hAnsi="Times New Roman"/>
        </w:rPr>
      </w:pPr>
      <w:r>
        <w:rPr>
          <w:rFonts w:ascii="Times New Roman" w:hAnsi="Times New Roman"/>
        </w:rPr>
        <w:t xml:space="preserve">In the respondent’s heads of argument, </w:t>
      </w:r>
      <w:r w:rsidR="00CB74E2">
        <w:rPr>
          <w:rFonts w:ascii="Times New Roman" w:hAnsi="Times New Roman"/>
        </w:rPr>
        <w:t>it is argued that the applicants have failed to make out a case for the amendment because they have not addressed the issue of prescription in their founding affidavit.</w:t>
      </w:r>
      <w:r w:rsidR="005F3253">
        <w:rPr>
          <w:rFonts w:ascii="Times New Roman" w:hAnsi="Times New Roman"/>
        </w:rPr>
        <w:t xml:space="preserve"> To quote the respondent’s heads of argument: “Put differently, it </w:t>
      </w:r>
      <w:r w:rsidR="00FF2DBE">
        <w:rPr>
          <w:rFonts w:ascii="Times New Roman" w:hAnsi="Times New Roman"/>
        </w:rPr>
        <w:t xml:space="preserve">[ie, the founding affidavit] </w:t>
      </w:r>
      <w:r w:rsidR="005F3253">
        <w:rPr>
          <w:rFonts w:ascii="Times New Roman" w:hAnsi="Times New Roman"/>
        </w:rPr>
        <w:t>does not explain why – in the event that the foreshadowed</w:t>
      </w:r>
      <w:r w:rsidR="00F105E7">
        <w:rPr>
          <w:rFonts w:ascii="Times New Roman" w:hAnsi="Times New Roman"/>
        </w:rPr>
        <w:t xml:space="preserve"> amendment were to be allowed and an invoice were to be issued in due course – the alleged debt would not have prescribed”. </w:t>
      </w:r>
    </w:p>
    <w:p w14:paraId="201DD7CC" w14:textId="66FBB526" w:rsidR="004E4FA9" w:rsidRPr="00B03D04" w:rsidRDefault="00F105E7" w:rsidP="000A0B49">
      <w:pPr>
        <w:pStyle w:val="WLGLevel1"/>
        <w:rPr>
          <w:rFonts w:ascii="Times New Roman" w:hAnsi="Times New Roman"/>
        </w:rPr>
      </w:pPr>
      <w:r>
        <w:rPr>
          <w:rFonts w:ascii="Times New Roman" w:hAnsi="Times New Roman"/>
        </w:rPr>
        <w:t xml:space="preserve">In the first place, this argument suffers </w:t>
      </w:r>
      <w:r w:rsidR="00FF2DBE">
        <w:rPr>
          <w:rFonts w:ascii="Times New Roman" w:hAnsi="Times New Roman"/>
        </w:rPr>
        <w:t xml:space="preserve">from </w:t>
      </w:r>
      <w:r>
        <w:rPr>
          <w:rFonts w:ascii="Times New Roman" w:hAnsi="Times New Roman"/>
        </w:rPr>
        <w:t xml:space="preserve">the same </w:t>
      </w:r>
      <w:r w:rsidR="00186A88">
        <w:rPr>
          <w:rFonts w:ascii="Times New Roman" w:hAnsi="Times New Roman"/>
        </w:rPr>
        <w:t>flaw as the criticism address</w:t>
      </w:r>
      <w:r w:rsidR="00F27F5C">
        <w:rPr>
          <w:rFonts w:ascii="Times New Roman" w:hAnsi="Times New Roman"/>
        </w:rPr>
        <w:t>ed</w:t>
      </w:r>
      <w:r w:rsidR="00186A88">
        <w:rPr>
          <w:rFonts w:ascii="Times New Roman" w:hAnsi="Times New Roman"/>
        </w:rPr>
        <w:t xml:space="preserve"> above – it overlooks the fact that the issue of the invoice was never part of the applicants’ case and </w:t>
      </w:r>
      <w:r w:rsidR="008C6F7D">
        <w:rPr>
          <w:rFonts w:ascii="Times New Roman" w:hAnsi="Times New Roman"/>
        </w:rPr>
        <w:t>so the applicants cannot be criticised for not dealing with it pre-emptively in their founding affidavit</w:t>
      </w:r>
      <w:r w:rsidR="00186A88">
        <w:rPr>
          <w:rFonts w:ascii="Times New Roman" w:hAnsi="Times New Roman"/>
        </w:rPr>
        <w:t>. Secondly,</w:t>
      </w:r>
      <w:r w:rsidR="00A25AF9">
        <w:rPr>
          <w:rFonts w:ascii="Times New Roman" w:hAnsi="Times New Roman"/>
        </w:rPr>
        <w:t xml:space="preserve"> there is no duty on</w:t>
      </w:r>
      <w:r w:rsidR="00186A88">
        <w:rPr>
          <w:rFonts w:ascii="Times New Roman" w:hAnsi="Times New Roman"/>
        </w:rPr>
        <w:t xml:space="preserve"> an applicant or plaintiff to </w:t>
      </w:r>
      <w:r w:rsidR="00A25AF9">
        <w:rPr>
          <w:rFonts w:ascii="Times New Roman" w:hAnsi="Times New Roman"/>
        </w:rPr>
        <w:t>anticipate</w:t>
      </w:r>
      <w:r w:rsidR="00186A88">
        <w:rPr>
          <w:rFonts w:ascii="Times New Roman" w:hAnsi="Times New Roman"/>
        </w:rPr>
        <w:t xml:space="preserve"> the question of prescription. It for a respondent or defendant to take the point. If the respondent considers </w:t>
      </w:r>
      <w:r w:rsidR="009F586E">
        <w:rPr>
          <w:rFonts w:ascii="Times New Roman" w:hAnsi="Times New Roman"/>
        </w:rPr>
        <w:t>prescription to be an issue which arises once the amendment is effect</w:t>
      </w:r>
      <w:r w:rsidR="00A25AF9">
        <w:rPr>
          <w:rFonts w:ascii="Times New Roman" w:hAnsi="Times New Roman"/>
        </w:rPr>
        <w:t>ed</w:t>
      </w:r>
      <w:r w:rsidR="009F586E">
        <w:rPr>
          <w:rFonts w:ascii="Times New Roman" w:hAnsi="Times New Roman"/>
        </w:rPr>
        <w:t>, then it is free to raise the point in the further affidavit which it may file once the amendment is allowed. Lastly, this is not something which was raised in the notice objecting to the amendment, or even in the answering affidavit in the amendment application, and so it is not appropriate for it to be raised for the first time in heads of argument</w:t>
      </w:r>
      <w:r w:rsidR="002863E2">
        <w:rPr>
          <w:rFonts w:ascii="Times New Roman" w:hAnsi="Times New Roman"/>
        </w:rPr>
        <w:t>.</w:t>
      </w:r>
      <w:r w:rsidR="00A74BE8">
        <w:rPr>
          <w:rFonts w:ascii="Times New Roman" w:hAnsi="Times New Roman"/>
        </w:rPr>
        <w:t xml:space="preserve"> This is important because if one accepts the premise that it is for a respondent/defendant to raise prescription, then it follows that it must also do so if it wishes to rely on this point as a basis for opposing an amendment.</w:t>
      </w:r>
      <w:r w:rsidR="00DC5B15">
        <w:rPr>
          <w:rFonts w:ascii="Times New Roman" w:hAnsi="Times New Roman"/>
        </w:rPr>
        <w:t xml:space="preserve"> The caselaw which I have discussed above gives</w:t>
      </w:r>
      <w:r w:rsidR="001F0DC4">
        <w:rPr>
          <w:rFonts w:ascii="Times New Roman" w:hAnsi="Times New Roman"/>
        </w:rPr>
        <w:t>,</w:t>
      </w:r>
      <w:r w:rsidR="00DC5B15">
        <w:rPr>
          <w:rFonts w:ascii="Times New Roman" w:hAnsi="Times New Roman"/>
        </w:rPr>
        <w:t xml:space="preserve"> as an example of prejudice</w:t>
      </w:r>
      <w:r w:rsidR="001F0DC4">
        <w:rPr>
          <w:rFonts w:ascii="Times New Roman" w:hAnsi="Times New Roman"/>
        </w:rPr>
        <w:t xml:space="preserve">, the introduction of a claim which has prescribed. So, it is certainly open to a respondent to object to a proposed amendment on the basis that it will introduce a prescribed claim. But it is self-evident that this must </w:t>
      </w:r>
      <w:r w:rsidR="001F0DC4">
        <w:rPr>
          <w:rFonts w:ascii="Times New Roman" w:hAnsi="Times New Roman"/>
        </w:rPr>
        <w:lastRenderedPageBreak/>
        <w:t>be done i</w:t>
      </w:r>
      <w:r w:rsidR="00155FC8">
        <w:rPr>
          <w:rFonts w:ascii="Times New Roman" w:hAnsi="Times New Roman"/>
        </w:rPr>
        <w:t xml:space="preserve">n the objection </w:t>
      </w:r>
      <w:r w:rsidR="00155FC8" w:rsidRPr="00883CD0">
        <w:rPr>
          <w:rFonts w:ascii="Times New Roman" w:hAnsi="Times New Roman"/>
          <w:u w:val="single"/>
        </w:rPr>
        <w:t>and</w:t>
      </w:r>
      <w:r w:rsidR="00155FC8">
        <w:rPr>
          <w:rFonts w:ascii="Times New Roman" w:hAnsi="Times New Roman"/>
        </w:rPr>
        <w:t xml:space="preserve"> </w:t>
      </w:r>
      <w:r w:rsidR="005D71F7">
        <w:rPr>
          <w:rFonts w:ascii="Times New Roman" w:hAnsi="Times New Roman"/>
        </w:rPr>
        <w:t>in the answering affidavit if leave is sought to amend, to enable the applicant to deal with it. That was not done in this case.</w:t>
      </w:r>
    </w:p>
    <w:p w14:paraId="1FDAA841" w14:textId="3BFCEF78" w:rsidR="006E4D5C" w:rsidRPr="00B03D04" w:rsidRDefault="006E4D5C" w:rsidP="003F2B2D">
      <w:pPr>
        <w:pStyle w:val="WLGLevel1"/>
        <w:rPr>
          <w:rFonts w:ascii="Times New Roman" w:hAnsi="Times New Roman"/>
          <w:lang w:eastAsia="en-ZA"/>
        </w:rPr>
      </w:pPr>
      <w:r w:rsidRPr="00B03D04">
        <w:rPr>
          <w:rFonts w:ascii="Times New Roman" w:hAnsi="Times New Roman"/>
          <w:lang w:eastAsia="en-ZA"/>
        </w:rPr>
        <w:t xml:space="preserve">Other than the argument about the amendment being excipiable </w:t>
      </w:r>
      <w:r w:rsidR="009F586E">
        <w:rPr>
          <w:rFonts w:ascii="Times New Roman" w:hAnsi="Times New Roman"/>
          <w:lang w:eastAsia="en-ZA"/>
        </w:rPr>
        <w:t>(and</w:t>
      </w:r>
      <w:r w:rsidR="002863E2">
        <w:rPr>
          <w:rFonts w:ascii="Times New Roman" w:hAnsi="Times New Roman"/>
          <w:lang w:eastAsia="en-ZA"/>
        </w:rPr>
        <w:t xml:space="preserve"> the issue of prescription raised late in the day) </w:t>
      </w:r>
      <w:r w:rsidRPr="00B03D04">
        <w:rPr>
          <w:rFonts w:ascii="Times New Roman" w:hAnsi="Times New Roman"/>
          <w:lang w:eastAsia="en-ZA"/>
        </w:rPr>
        <w:t xml:space="preserve">– which I have shown above to lack merit – I asked </w:t>
      </w:r>
      <w:r w:rsidRPr="002920B7">
        <w:rPr>
          <w:rFonts w:ascii="Times New Roman" w:hAnsi="Times New Roman"/>
          <w:i/>
          <w:iCs/>
          <w:lang w:eastAsia="en-ZA"/>
        </w:rPr>
        <w:t xml:space="preserve">Ms Shahim </w:t>
      </w:r>
      <w:r w:rsidRPr="00B03D04">
        <w:rPr>
          <w:rFonts w:ascii="Times New Roman" w:hAnsi="Times New Roman"/>
          <w:lang w:eastAsia="en-ZA"/>
        </w:rPr>
        <w:t>to point to any other prejudice arising from the amendment. She said that the respondent would have to file a further affidavit to deal with the alternative relief.</w:t>
      </w:r>
    </w:p>
    <w:p w14:paraId="341953C5" w14:textId="24F208F0" w:rsidR="003F2B2D" w:rsidRPr="00B03D04" w:rsidRDefault="003F2B2D" w:rsidP="003F2B2D">
      <w:pPr>
        <w:pStyle w:val="WLGLevel1"/>
        <w:rPr>
          <w:rFonts w:ascii="Times New Roman" w:hAnsi="Times New Roman"/>
          <w:lang w:eastAsia="en-ZA"/>
        </w:rPr>
      </w:pPr>
      <w:r w:rsidRPr="00B03D04">
        <w:rPr>
          <w:rFonts w:ascii="Times New Roman" w:hAnsi="Times New Roman"/>
          <w:lang w:eastAsia="en-ZA"/>
        </w:rPr>
        <w:t>In </w:t>
      </w:r>
      <w:r w:rsidRPr="00B03D04">
        <w:rPr>
          <w:rFonts w:ascii="Times New Roman" w:hAnsi="Times New Roman"/>
          <w:i/>
          <w:iCs/>
          <w:lang w:eastAsia="en-ZA"/>
        </w:rPr>
        <w:t>Affordable Medicines Trust and Others v Minister of Health and Others,</w:t>
      </w:r>
      <w:bookmarkStart w:id="1" w:name="0-0-0-149679"/>
      <w:bookmarkEnd w:id="1"/>
      <w:r w:rsidRPr="00B03D04">
        <w:rPr>
          <w:rStyle w:val="FootnoteReference"/>
          <w:rFonts w:ascii="Times New Roman" w:hAnsi="Times New Roman"/>
          <w:lang w:eastAsia="en-ZA"/>
        </w:rPr>
        <w:footnoteReference w:id="4"/>
      </w:r>
      <w:r w:rsidRPr="00B03D04">
        <w:rPr>
          <w:rFonts w:ascii="Times New Roman" w:hAnsi="Times New Roman"/>
          <w:lang w:eastAsia="en-ZA"/>
        </w:rPr>
        <w:t xml:space="preserve"> the Constitutional Court </w:t>
      </w:r>
      <w:r w:rsidR="00CC6D32">
        <w:rPr>
          <w:rFonts w:ascii="Times New Roman" w:hAnsi="Times New Roman"/>
          <w:lang w:eastAsia="en-ZA"/>
        </w:rPr>
        <w:t>said the following</w:t>
      </w:r>
      <w:r w:rsidRPr="00B03D04">
        <w:rPr>
          <w:rFonts w:ascii="Times New Roman" w:hAnsi="Times New Roman"/>
          <w:lang w:eastAsia="en-ZA"/>
        </w:rPr>
        <w:t>:</w:t>
      </w:r>
    </w:p>
    <w:p w14:paraId="4AAF6FC7" w14:textId="77777777" w:rsidR="003F2B2D" w:rsidRPr="00B03D04" w:rsidRDefault="003F2B2D" w:rsidP="003F2B2D">
      <w:pPr>
        <w:pStyle w:val="BodyTextIndent"/>
        <w:spacing w:line="240" w:lineRule="auto"/>
        <w:ind w:left="987"/>
        <w:rPr>
          <w:rFonts w:ascii="Times New Roman" w:hAnsi="Times New Roman"/>
          <w:lang w:eastAsia="en-ZA"/>
        </w:rPr>
      </w:pPr>
      <w:r w:rsidRPr="00B03D04">
        <w:rPr>
          <w:rFonts w:ascii="Times New Roman" w:hAnsi="Times New Roman"/>
          <w:lang w:eastAsia="en-ZA"/>
        </w:rPr>
        <w:t>"[9] The principles governing the granting or refusal of an amendment have</w:t>
      </w:r>
      <w:r w:rsidRPr="00B03D04">
        <w:rPr>
          <w:rFonts w:ascii="Times New Roman" w:hAnsi="Times New Roman"/>
          <w:lang w:eastAsia="en-ZA"/>
        </w:rPr>
        <w:tab/>
        <w:t>been set out in a number of cases. There is a useful collection of these cases and the governing principles in </w:t>
      </w:r>
      <w:r w:rsidRPr="00B03D04">
        <w:rPr>
          <w:rFonts w:ascii="Times New Roman" w:hAnsi="Times New Roman"/>
          <w:i/>
          <w:iCs/>
          <w:lang w:eastAsia="en-ZA"/>
        </w:rPr>
        <w:t>Commercial Union Assurance Co Ltd v Waymark NO</w:t>
      </w:r>
      <w:r w:rsidRPr="00B03D04">
        <w:rPr>
          <w:rFonts w:ascii="Times New Roman" w:hAnsi="Times New Roman"/>
          <w:lang w:eastAsia="en-ZA"/>
        </w:rPr>
        <w:t>. The practical rule that emerges from these cases is that amendments will always be allowed unless the amendment is </w:t>
      </w:r>
      <w:r w:rsidRPr="00B03D04">
        <w:rPr>
          <w:rFonts w:ascii="Times New Roman" w:hAnsi="Times New Roman"/>
          <w:i/>
          <w:iCs/>
          <w:lang w:eastAsia="en-ZA"/>
        </w:rPr>
        <w:t>mala fide </w:t>
      </w:r>
      <w:r w:rsidRPr="00B03D04">
        <w:rPr>
          <w:rFonts w:ascii="Times New Roman" w:hAnsi="Times New Roman"/>
          <w:lang w:eastAsia="en-ZA"/>
        </w:rPr>
        <w:t>(made in bad faith) or unless the amendment will cause an injustice to the other side which cannot be cured by an appropriate order for costs, or '</w:t>
      </w:r>
      <w:r w:rsidRPr="00B03D04">
        <w:rPr>
          <w:rFonts w:ascii="Times New Roman" w:hAnsi="Times New Roman"/>
          <w:b/>
          <w:bCs/>
          <w:u w:val="single"/>
          <w:lang w:eastAsia="en-ZA"/>
        </w:rPr>
        <w:t>unless the parties cannot be put back for the purposes of justice in the same position as they were when the pleading which it is sought to amend was filed'. These principles apply equally to a notice of motion. The question in each case, therefore, is, what do the interests of justice demand</w:t>
      </w:r>
      <w:r w:rsidRPr="00B03D04">
        <w:rPr>
          <w:rFonts w:ascii="Times New Roman" w:hAnsi="Times New Roman"/>
          <w:lang w:eastAsia="en-ZA"/>
        </w:rPr>
        <w:t>?"</w:t>
      </w:r>
    </w:p>
    <w:p w14:paraId="6593B093" w14:textId="1462C02E" w:rsidR="003F2B2D" w:rsidRPr="00B03D04" w:rsidRDefault="0000005A" w:rsidP="000A0B49">
      <w:pPr>
        <w:pStyle w:val="WLGLevel1"/>
        <w:rPr>
          <w:rFonts w:ascii="Times New Roman" w:hAnsi="Times New Roman"/>
        </w:rPr>
      </w:pPr>
      <w:r w:rsidRPr="00B03D04">
        <w:rPr>
          <w:rFonts w:ascii="Times New Roman" w:hAnsi="Times New Roman"/>
        </w:rPr>
        <w:t xml:space="preserve">That extract is directly applicable here. The fact that the respondent may need to file a further affidavit to deal with the amendment is not prejudicial to him; on the contrary, it </w:t>
      </w:r>
      <w:r w:rsidR="00A63B9D">
        <w:rPr>
          <w:rFonts w:ascii="Times New Roman" w:hAnsi="Times New Roman"/>
        </w:rPr>
        <w:t xml:space="preserve">cures any prejudice he might otherwise have suffered by </w:t>
      </w:r>
      <w:r w:rsidRPr="00B03D04">
        <w:rPr>
          <w:rFonts w:ascii="Times New Roman" w:hAnsi="Times New Roman"/>
        </w:rPr>
        <w:t>enabl</w:t>
      </w:r>
      <w:r w:rsidR="00A63B9D">
        <w:rPr>
          <w:rFonts w:ascii="Times New Roman" w:hAnsi="Times New Roman"/>
        </w:rPr>
        <w:t>ing</w:t>
      </w:r>
      <w:r w:rsidRPr="00B03D04">
        <w:rPr>
          <w:rFonts w:ascii="Times New Roman" w:hAnsi="Times New Roman"/>
        </w:rPr>
        <w:t xml:space="preserve"> him to be put in the</w:t>
      </w:r>
      <w:r w:rsidR="002E470E">
        <w:rPr>
          <w:rFonts w:ascii="Times New Roman" w:hAnsi="Times New Roman"/>
        </w:rPr>
        <w:t xml:space="preserve"> same procedural</w:t>
      </w:r>
      <w:r w:rsidRPr="00B03D04">
        <w:rPr>
          <w:rFonts w:ascii="Times New Roman" w:hAnsi="Times New Roman"/>
        </w:rPr>
        <w:t xml:space="preserve"> position </w:t>
      </w:r>
      <w:r w:rsidR="00EF79FC" w:rsidRPr="00B03D04">
        <w:rPr>
          <w:rFonts w:ascii="Times New Roman" w:hAnsi="Times New Roman"/>
        </w:rPr>
        <w:t>he would have been in</w:t>
      </w:r>
      <w:r w:rsidR="00F33C5E" w:rsidRPr="00B03D04">
        <w:rPr>
          <w:rFonts w:ascii="Times New Roman" w:hAnsi="Times New Roman"/>
        </w:rPr>
        <w:t xml:space="preserve"> </w:t>
      </w:r>
      <w:r w:rsidR="002E470E">
        <w:rPr>
          <w:rFonts w:ascii="Times New Roman" w:hAnsi="Times New Roman"/>
        </w:rPr>
        <w:t xml:space="preserve">had the amended notice of motion been the notice of motion in the first place – ie, </w:t>
      </w:r>
      <w:r w:rsidR="00FA007C">
        <w:rPr>
          <w:rFonts w:ascii="Times New Roman" w:hAnsi="Times New Roman"/>
        </w:rPr>
        <w:t>being in the position to file an answering affida</w:t>
      </w:r>
      <w:r w:rsidR="00A63B9D">
        <w:rPr>
          <w:rFonts w:ascii="Times New Roman" w:hAnsi="Times New Roman"/>
        </w:rPr>
        <w:t>v</w:t>
      </w:r>
      <w:r w:rsidR="00FA007C">
        <w:rPr>
          <w:rFonts w:ascii="Times New Roman" w:hAnsi="Times New Roman"/>
        </w:rPr>
        <w:t>it</w:t>
      </w:r>
      <w:r w:rsidR="00062DC6">
        <w:rPr>
          <w:rFonts w:ascii="Times New Roman" w:hAnsi="Times New Roman"/>
        </w:rPr>
        <w:t xml:space="preserve"> to oppose each prayer in the notice of motion</w:t>
      </w:r>
      <w:r w:rsidR="00F33C5E" w:rsidRPr="00B03D04">
        <w:rPr>
          <w:rFonts w:ascii="Times New Roman" w:hAnsi="Times New Roman"/>
        </w:rPr>
        <w:t xml:space="preserve">. If I understood </w:t>
      </w:r>
      <w:r w:rsidR="00F33C5E" w:rsidRPr="00062DC6">
        <w:rPr>
          <w:rFonts w:ascii="Times New Roman" w:hAnsi="Times New Roman"/>
          <w:i/>
          <w:iCs/>
        </w:rPr>
        <w:t>Ms Shahim</w:t>
      </w:r>
      <w:r w:rsidR="00F33C5E" w:rsidRPr="00B03D04">
        <w:rPr>
          <w:rFonts w:ascii="Times New Roman" w:hAnsi="Times New Roman"/>
        </w:rPr>
        <w:t xml:space="preserve"> correctly, the prejudice to which she intended to refer was the prejudice of </w:t>
      </w:r>
      <w:r w:rsidR="004820C9">
        <w:rPr>
          <w:rFonts w:ascii="Times New Roman" w:hAnsi="Times New Roman"/>
        </w:rPr>
        <w:t>being</w:t>
      </w:r>
      <w:r w:rsidR="00F33C5E" w:rsidRPr="00B03D04">
        <w:rPr>
          <w:rFonts w:ascii="Times New Roman" w:hAnsi="Times New Roman"/>
        </w:rPr>
        <w:t xml:space="preserve"> put to </w:t>
      </w:r>
      <w:r w:rsidR="00F33C5E" w:rsidRPr="00B03D04">
        <w:rPr>
          <w:rFonts w:ascii="Times New Roman" w:hAnsi="Times New Roman"/>
        </w:rPr>
        <w:lastRenderedPageBreak/>
        <w:t>the time and expense of filing a further affidavit. But that is not the type of prejudice which our courts take into account in amendment applications. This is unsurprising because, if the</w:t>
      </w:r>
      <w:r w:rsidR="00CB0B7B">
        <w:rPr>
          <w:rFonts w:ascii="Times New Roman" w:hAnsi="Times New Roman"/>
        </w:rPr>
        <w:t>y</w:t>
      </w:r>
      <w:r w:rsidR="00F33C5E" w:rsidRPr="00B03D04">
        <w:rPr>
          <w:rFonts w:ascii="Times New Roman" w:hAnsi="Times New Roman"/>
        </w:rPr>
        <w:t xml:space="preserve"> did, no amendment could ever be allowed if </w:t>
      </w:r>
      <w:r w:rsidR="00983576" w:rsidRPr="00B03D04">
        <w:rPr>
          <w:rFonts w:ascii="Times New Roman" w:hAnsi="Times New Roman"/>
        </w:rPr>
        <w:t>it triggered the need for the further exchange of pleadings.</w:t>
      </w:r>
      <w:r w:rsidR="00010519">
        <w:rPr>
          <w:rFonts w:ascii="Times New Roman" w:hAnsi="Times New Roman"/>
        </w:rPr>
        <w:t xml:space="preserve"> This would dramatically undermine the purpose of rule 28 of the Uniform Rules.</w:t>
      </w:r>
    </w:p>
    <w:p w14:paraId="2D9CD26F" w14:textId="668D86B7" w:rsidR="00983576" w:rsidRPr="00B03D04" w:rsidRDefault="00983576" w:rsidP="000A0B49">
      <w:pPr>
        <w:pStyle w:val="WLGLevel1"/>
        <w:rPr>
          <w:rFonts w:ascii="Times New Roman" w:hAnsi="Times New Roman"/>
        </w:rPr>
      </w:pPr>
      <w:r w:rsidRPr="00B03D04">
        <w:rPr>
          <w:rFonts w:ascii="Times New Roman" w:hAnsi="Times New Roman"/>
        </w:rPr>
        <w:t xml:space="preserve">It follows that the respondent has been unable to point to any prejudice arising from the proposed amendment, </w:t>
      </w:r>
      <w:r w:rsidR="00664928" w:rsidRPr="00B03D04">
        <w:rPr>
          <w:rFonts w:ascii="Times New Roman" w:hAnsi="Times New Roman"/>
        </w:rPr>
        <w:t>and that the amendment application should be granted.</w:t>
      </w:r>
    </w:p>
    <w:p w14:paraId="36764671" w14:textId="24C7B7E5" w:rsidR="003F2B2D" w:rsidRPr="00B03D04" w:rsidRDefault="003F2B2D" w:rsidP="000A0B49">
      <w:pPr>
        <w:pStyle w:val="WLGLevel1"/>
        <w:rPr>
          <w:rFonts w:ascii="Times New Roman" w:hAnsi="Times New Roman"/>
        </w:rPr>
      </w:pPr>
      <w:r w:rsidRPr="00B03D04">
        <w:rPr>
          <w:rFonts w:ascii="Times New Roman" w:hAnsi="Times New Roman"/>
        </w:rPr>
        <w:t xml:space="preserve">On the question of costs, </w:t>
      </w:r>
      <w:r w:rsidRPr="006013F7">
        <w:rPr>
          <w:rFonts w:ascii="Times New Roman" w:hAnsi="Times New Roman"/>
          <w:i/>
          <w:iCs/>
        </w:rPr>
        <w:t>Mr Hoffman</w:t>
      </w:r>
      <w:r w:rsidRPr="00B03D04">
        <w:rPr>
          <w:rFonts w:ascii="Times New Roman" w:hAnsi="Times New Roman"/>
        </w:rPr>
        <w:t>, who appeared for the applicants, quite fairly accepted that, if the opposition to the amendment had been reasonable or arguable, the applicants could be ordered to pay the costs of this application, even if I grant the amendment. He argued, however, that the respondent’s opposition was unreasonable and he should be ordered to pay the costs of this amendment application. I agree.</w:t>
      </w:r>
      <w:r w:rsidR="00FF006E">
        <w:rPr>
          <w:rFonts w:ascii="Times New Roman" w:hAnsi="Times New Roman"/>
        </w:rPr>
        <w:t xml:space="preserve"> No arguable or reasonable basis has been suggested – in the notice objecting to the amendment, the answering affidavit in the amendment application </w:t>
      </w:r>
      <w:r w:rsidR="0075436F">
        <w:rPr>
          <w:rFonts w:ascii="Times New Roman" w:hAnsi="Times New Roman"/>
        </w:rPr>
        <w:t>or</w:t>
      </w:r>
      <w:r w:rsidR="00FF006E">
        <w:rPr>
          <w:rFonts w:ascii="Times New Roman" w:hAnsi="Times New Roman"/>
        </w:rPr>
        <w:t xml:space="preserve"> in argument before me – for </w:t>
      </w:r>
      <w:r w:rsidR="00AF0862">
        <w:rPr>
          <w:rFonts w:ascii="Times New Roman" w:hAnsi="Times New Roman"/>
        </w:rPr>
        <w:t>the respondent’s objection to the amendment. He would have saved himself and the applicants a lot of time and money by simply agreeing to it and then getting on with the merits. Since he chose a different path, he should pay the costs of this application.</w:t>
      </w:r>
    </w:p>
    <w:p w14:paraId="68B18939" w14:textId="77777777" w:rsidR="00221505" w:rsidRDefault="00664928" w:rsidP="000A0B49">
      <w:pPr>
        <w:pStyle w:val="WLGLevel1"/>
        <w:rPr>
          <w:rFonts w:ascii="Times New Roman" w:hAnsi="Times New Roman"/>
        </w:rPr>
      </w:pPr>
      <w:r w:rsidRPr="00B03D04">
        <w:rPr>
          <w:rFonts w:ascii="Times New Roman" w:hAnsi="Times New Roman"/>
        </w:rPr>
        <w:t>The parties helpfully uploaded a draft order very shortly after the conclusion of the hearing</w:t>
      </w:r>
      <w:r w:rsidR="00221505">
        <w:rPr>
          <w:rFonts w:ascii="Times New Roman" w:hAnsi="Times New Roman"/>
        </w:rPr>
        <w:t>, providing for the respondent to file a further affidavit to deal with the amendment</w:t>
      </w:r>
      <w:r w:rsidRPr="00B03D04">
        <w:rPr>
          <w:rFonts w:ascii="Times New Roman" w:hAnsi="Times New Roman"/>
        </w:rPr>
        <w:t xml:space="preserve">. </w:t>
      </w:r>
      <w:r w:rsidR="00394888" w:rsidRPr="00B03D04">
        <w:rPr>
          <w:rFonts w:ascii="Times New Roman" w:hAnsi="Times New Roman"/>
        </w:rPr>
        <w:t>I am grateful to them for that</w:t>
      </w:r>
      <w:r w:rsidR="00221505">
        <w:rPr>
          <w:rFonts w:ascii="Times New Roman" w:hAnsi="Times New Roman"/>
        </w:rPr>
        <w:t xml:space="preserve"> and it is self-evidently appropriate that he be allowed the opportunity to do so</w:t>
      </w:r>
      <w:r w:rsidR="00394888" w:rsidRPr="00B03D04">
        <w:rPr>
          <w:rFonts w:ascii="Times New Roman" w:hAnsi="Times New Roman"/>
        </w:rPr>
        <w:t xml:space="preserve">. </w:t>
      </w:r>
    </w:p>
    <w:p w14:paraId="6E86BB52" w14:textId="6D5ECB7E" w:rsidR="00664928" w:rsidRPr="00B03D04" w:rsidRDefault="00394888" w:rsidP="000A0B49">
      <w:pPr>
        <w:pStyle w:val="WLGLevel1"/>
        <w:rPr>
          <w:rFonts w:ascii="Times New Roman" w:hAnsi="Times New Roman"/>
        </w:rPr>
      </w:pPr>
      <w:r w:rsidRPr="00B03D04">
        <w:rPr>
          <w:rFonts w:ascii="Times New Roman" w:hAnsi="Times New Roman"/>
        </w:rPr>
        <w:t>In the light of what I have said above, I make the following order:</w:t>
      </w:r>
    </w:p>
    <w:p w14:paraId="4C5C0EE3" w14:textId="77777777" w:rsidR="00BD7368" w:rsidRPr="00B03D04" w:rsidRDefault="00BD7368" w:rsidP="00BD7368">
      <w:pPr>
        <w:pStyle w:val="ListParagraph"/>
        <w:numPr>
          <w:ilvl w:val="0"/>
          <w:numId w:val="4"/>
        </w:numPr>
        <w:spacing w:line="480" w:lineRule="auto"/>
        <w:ind w:left="2268" w:hanging="567"/>
        <w:contextualSpacing w:val="0"/>
        <w:jc w:val="both"/>
        <w:rPr>
          <w:b/>
          <w:bCs/>
        </w:rPr>
      </w:pPr>
      <w:r w:rsidRPr="00B03D04">
        <w:rPr>
          <w:b/>
          <w:bCs/>
        </w:rPr>
        <w:lastRenderedPageBreak/>
        <w:t>The Applicants are granted leave to amend their Notice of Motion in the terms stated in the Notice of Intention to Amend dated 8 February 2022 and which was delivered by the Applicants’ attorneys to the Respondent’s attorneys on 21 February 2022.</w:t>
      </w:r>
    </w:p>
    <w:p w14:paraId="02B40278" w14:textId="77777777" w:rsidR="00BD7368" w:rsidRPr="00B03D04" w:rsidRDefault="00BD7368" w:rsidP="00BD7368">
      <w:pPr>
        <w:pStyle w:val="ListParagraph"/>
        <w:ind w:left="2268" w:hanging="567"/>
        <w:rPr>
          <w:b/>
          <w:bCs/>
        </w:rPr>
      </w:pPr>
    </w:p>
    <w:p w14:paraId="4ECF6D91" w14:textId="77777777" w:rsidR="00BD7368" w:rsidRPr="00B03D04" w:rsidRDefault="00BD7368" w:rsidP="00BD7368">
      <w:pPr>
        <w:pStyle w:val="ListParagraph"/>
        <w:numPr>
          <w:ilvl w:val="0"/>
          <w:numId w:val="4"/>
        </w:numPr>
        <w:spacing w:line="480" w:lineRule="auto"/>
        <w:ind w:left="2268" w:hanging="567"/>
        <w:contextualSpacing w:val="0"/>
        <w:jc w:val="both"/>
        <w:rPr>
          <w:b/>
          <w:bCs/>
        </w:rPr>
      </w:pPr>
      <w:r w:rsidRPr="00B03D04">
        <w:rPr>
          <w:b/>
          <w:bCs/>
        </w:rPr>
        <w:t>The Respondent shall deliver a supplementary Answering Affidavit (if any) within 10 days of the date of this order.</w:t>
      </w:r>
    </w:p>
    <w:p w14:paraId="06AB2175" w14:textId="77777777" w:rsidR="00BD7368" w:rsidRPr="00B03D04" w:rsidRDefault="00BD7368" w:rsidP="00BD7368">
      <w:pPr>
        <w:pStyle w:val="ListParagraph"/>
        <w:ind w:left="2268" w:hanging="567"/>
        <w:rPr>
          <w:b/>
          <w:bCs/>
        </w:rPr>
      </w:pPr>
    </w:p>
    <w:p w14:paraId="6E2F3E72" w14:textId="77777777" w:rsidR="00BD7368" w:rsidRPr="00B03D04" w:rsidRDefault="00BD7368" w:rsidP="00BD7368">
      <w:pPr>
        <w:pStyle w:val="ListParagraph"/>
        <w:numPr>
          <w:ilvl w:val="0"/>
          <w:numId w:val="4"/>
        </w:numPr>
        <w:spacing w:line="480" w:lineRule="auto"/>
        <w:ind w:left="2268" w:hanging="567"/>
        <w:contextualSpacing w:val="0"/>
        <w:jc w:val="both"/>
        <w:rPr>
          <w:b/>
          <w:bCs/>
        </w:rPr>
      </w:pPr>
      <w:r w:rsidRPr="00B03D04">
        <w:rPr>
          <w:b/>
          <w:bCs/>
        </w:rPr>
        <w:t>The Applicant shall deliver a supplementary Replying Affidavit (if any) within 10 days after receipt of the supplementary Answering Affidavit.</w:t>
      </w:r>
    </w:p>
    <w:p w14:paraId="257B9D6B" w14:textId="77777777" w:rsidR="00BD7368" w:rsidRPr="00B03D04" w:rsidRDefault="00BD7368" w:rsidP="00BD7368">
      <w:pPr>
        <w:pStyle w:val="ListParagraph"/>
        <w:ind w:left="2268" w:hanging="567"/>
        <w:rPr>
          <w:b/>
          <w:bCs/>
        </w:rPr>
      </w:pPr>
    </w:p>
    <w:p w14:paraId="1252CB0B" w14:textId="77777777" w:rsidR="00BD7368" w:rsidRPr="00B03D04" w:rsidRDefault="00BD7368" w:rsidP="00BD7368">
      <w:pPr>
        <w:pStyle w:val="ListParagraph"/>
        <w:numPr>
          <w:ilvl w:val="0"/>
          <w:numId w:val="4"/>
        </w:numPr>
        <w:spacing w:line="480" w:lineRule="auto"/>
        <w:ind w:left="2268" w:hanging="567"/>
        <w:contextualSpacing w:val="0"/>
        <w:jc w:val="both"/>
        <w:rPr>
          <w:b/>
          <w:bCs/>
        </w:rPr>
      </w:pPr>
      <w:r w:rsidRPr="00B03D04">
        <w:rPr>
          <w:b/>
          <w:bCs/>
        </w:rPr>
        <w:t>The Respondent is ordered to pay the Applicants’ costs of this application.</w:t>
      </w:r>
    </w:p>
    <w:p w14:paraId="256D699E" w14:textId="77777777" w:rsidR="00363162" w:rsidRPr="00B03D04" w:rsidRDefault="00363162" w:rsidP="00363162">
      <w:pPr>
        <w:pStyle w:val="Parties"/>
        <w:jc w:val="right"/>
        <w:rPr>
          <w:rFonts w:ascii="Times New Roman" w:hAnsi="Times New Roman"/>
        </w:rPr>
      </w:pPr>
      <w:r w:rsidRPr="00B03D04">
        <w:rPr>
          <w:rFonts w:ascii="Times New Roman" w:hAnsi="Times New Roman"/>
        </w:rPr>
        <w:t>________________________________________</w:t>
      </w:r>
    </w:p>
    <w:p w14:paraId="7179A69D" w14:textId="77777777" w:rsidR="00363162" w:rsidRPr="00B03D04" w:rsidRDefault="00363162" w:rsidP="00363162">
      <w:pPr>
        <w:pStyle w:val="Parties"/>
        <w:jc w:val="right"/>
        <w:rPr>
          <w:rFonts w:ascii="Times New Roman" w:hAnsi="Times New Roman"/>
          <w:b/>
          <w:bCs/>
        </w:rPr>
      </w:pPr>
      <w:r w:rsidRPr="00B03D04">
        <w:rPr>
          <w:rFonts w:ascii="Times New Roman" w:hAnsi="Times New Roman"/>
          <w:b/>
          <w:bCs/>
        </w:rPr>
        <w:t>ADRIAN FRIEDMAN</w:t>
      </w:r>
    </w:p>
    <w:p w14:paraId="62F9DB88" w14:textId="77777777" w:rsidR="00363162" w:rsidRPr="00B03D04" w:rsidRDefault="00363162" w:rsidP="00363162">
      <w:pPr>
        <w:pStyle w:val="Parties"/>
        <w:jc w:val="right"/>
        <w:rPr>
          <w:rFonts w:ascii="Times New Roman" w:hAnsi="Times New Roman"/>
          <w:b/>
          <w:bCs/>
        </w:rPr>
      </w:pPr>
      <w:r w:rsidRPr="00B03D04">
        <w:rPr>
          <w:rFonts w:ascii="Times New Roman" w:hAnsi="Times New Roman"/>
          <w:b/>
          <w:bCs/>
        </w:rPr>
        <w:t>ACTING JUDGE OF THE HIGH COURT</w:t>
      </w:r>
    </w:p>
    <w:p w14:paraId="2667CC0C" w14:textId="77777777" w:rsidR="00363162" w:rsidRPr="00B03D04" w:rsidRDefault="00363162" w:rsidP="00363162">
      <w:pPr>
        <w:pStyle w:val="Parties"/>
        <w:jc w:val="right"/>
        <w:rPr>
          <w:rFonts w:ascii="Times New Roman" w:hAnsi="Times New Roman"/>
          <w:b/>
          <w:bCs/>
        </w:rPr>
      </w:pPr>
      <w:r w:rsidRPr="00B03D04">
        <w:rPr>
          <w:rFonts w:ascii="Times New Roman" w:hAnsi="Times New Roman"/>
          <w:b/>
          <w:bCs/>
        </w:rPr>
        <w:t>GAUTENG LOCAL DIVISION, JOHANNESBURG</w:t>
      </w:r>
    </w:p>
    <w:p w14:paraId="770BA174" w14:textId="77777777" w:rsidR="00363162" w:rsidRPr="00B03D04" w:rsidRDefault="00363162" w:rsidP="00363162">
      <w:pPr>
        <w:pStyle w:val="Parties"/>
        <w:rPr>
          <w:rFonts w:ascii="Times New Roman" w:hAnsi="Times New Roman"/>
        </w:rPr>
      </w:pPr>
    </w:p>
    <w:p w14:paraId="143DC8B8" w14:textId="77777777" w:rsidR="00363162" w:rsidRPr="00B03D04" w:rsidRDefault="00363162" w:rsidP="00363162">
      <w:pPr>
        <w:pStyle w:val="Parties"/>
        <w:rPr>
          <w:rFonts w:ascii="Times New Roman" w:hAnsi="Times New Roman"/>
        </w:rPr>
      </w:pPr>
    </w:p>
    <w:p w14:paraId="2149EBC6" w14:textId="6C6AE572" w:rsidR="00363162" w:rsidRPr="00B03D04" w:rsidRDefault="00363162" w:rsidP="00363162">
      <w:pPr>
        <w:pStyle w:val="Parties"/>
        <w:rPr>
          <w:rFonts w:ascii="Times New Roman" w:hAnsi="Times New Roman"/>
        </w:rPr>
      </w:pPr>
      <w:r w:rsidRPr="00B03D04">
        <w:rPr>
          <w:rFonts w:ascii="Times New Roman" w:hAnsi="Times New Roman"/>
        </w:rPr>
        <w:t>Delivered: This judgment was prepared and authored by the Judge whose name is reflected above and is handed down electronically by circulation to the parties/their legal representatives by email and by uploading it to the electronic file of this matter on CaseLines. The date for hand down is deemed to be 15 March 2023.</w:t>
      </w:r>
    </w:p>
    <w:p w14:paraId="2BE6D5DC" w14:textId="77777777" w:rsidR="00363162" w:rsidRPr="00B03D04" w:rsidRDefault="00363162" w:rsidP="00363162">
      <w:pPr>
        <w:pStyle w:val="Parties"/>
        <w:rPr>
          <w:rFonts w:ascii="Times New Roman" w:hAnsi="Times New Roman"/>
        </w:rPr>
      </w:pPr>
    </w:p>
    <w:p w14:paraId="51A724F9" w14:textId="77777777" w:rsidR="00363162" w:rsidRPr="00B03D04" w:rsidRDefault="00363162" w:rsidP="00363162">
      <w:pPr>
        <w:pStyle w:val="Parties"/>
        <w:rPr>
          <w:rFonts w:ascii="Times New Roman" w:hAnsi="Times New Roman"/>
          <w:b/>
          <w:bCs/>
        </w:rPr>
      </w:pPr>
    </w:p>
    <w:p w14:paraId="14424C50" w14:textId="77777777" w:rsidR="00363162" w:rsidRPr="00B03D04" w:rsidRDefault="00363162" w:rsidP="00363162">
      <w:pPr>
        <w:pStyle w:val="Parties"/>
        <w:rPr>
          <w:rFonts w:ascii="Times New Roman" w:hAnsi="Times New Roman"/>
          <w:b/>
          <w:bCs/>
        </w:rPr>
      </w:pPr>
    </w:p>
    <w:p w14:paraId="4E764319" w14:textId="77777777" w:rsidR="00363162" w:rsidRPr="00B03D04" w:rsidRDefault="00363162" w:rsidP="00363162">
      <w:pPr>
        <w:pStyle w:val="Parties"/>
        <w:rPr>
          <w:rFonts w:ascii="Times New Roman" w:hAnsi="Times New Roman"/>
          <w:b/>
          <w:bCs/>
        </w:rPr>
      </w:pPr>
    </w:p>
    <w:p w14:paraId="29F8EC1A" w14:textId="77777777" w:rsidR="00363162" w:rsidRPr="00B03D04" w:rsidRDefault="00363162" w:rsidP="00363162">
      <w:pPr>
        <w:pStyle w:val="Parties"/>
        <w:rPr>
          <w:rFonts w:ascii="Times New Roman" w:hAnsi="Times New Roman"/>
          <w:b/>
          <w:bCs/>
        </w:rPr>
      </w:pPr>
      <w:r w:rsidRPr="00B03D04">
        <w:rPr>
          <w:rFonts w:ascii="Times New Roman" w:hAnsi="Times New Roman"/>
          <w:b/>
          <w:bCs/>
        </w:rPr>
        <w:t>APPEARANCES:</w:t>
      </w:r>
    </w:p>
    <w:p w14:paraId="4D866900" w14:textId="77777777" w:rsidR="00363162" w:rsidRPr="00B03D04" w:rsidRDefault="00363162" w:rsidP="00363162">
      <w:pPr>
        <w:pStyle w:val="Parties"/>
        <w:rPr>
          <w:rFonts w:ascii="Times New Roman" w:hAnsi="Times New Roman"/>
        </w:rPr>
      </w:pPr>
    </w:p>
    <w:p w14:paraId="387710BF" w14:textId="2764B3AA" w:rsidR="00363162" w:rsidRPr="00B03D04" w:rsidRDefault="00363162" w:rsidP="00363162">
      <w:pPr>
        <w:pStyle w:val="BodyTextIndent"/>
        <w:spacing w:after="0" w:line="240" w:lineRule="auto"/>
        <w:ind w:left="0"/>
        <w:rPr>
          <w:rFonts w:ascii="Times New Roman" w:hAnsi="Times New Roman"/>
        </w:rPr>
      </w:pPr>
      <w:r w:rsidRPr="00B03D04">
        <w:rPr>
          <w:rFonts w:ascii="Times New Roman" w:hAnsi="Times New Roman"/>
        </w:rPr>
        <w:t>Attorney for the applicant</w:t>
      </w:r>
      <w:r w:rsidR="00D50F17" w:rsidRPr="00B03D04">
        <w:rPr>
          <w:rFonts w:ascii="Times New Roman" w:hAnsi="Times New Roman"/>
        </w:rPr>
        <w:t>s</w:t>
      </w:r>
      <w:r w:rsidRPr="00B03D04">
        <w:rPr>
          <w:rFonts w:ascii="Times New Roman" w:hAnsi="Times New Roman"/>
        </w:rPr>
        <w:t>:</w:t>
      </w:r>
      <w:r w:rsidRPr="00B03D04">
        <w:rPr>
          <w:rFonts w:ascii="Times New Roman" w:hAnsi="Times New Roman"/>
        </w:rPr>
        <w:tab/>
      </w:r>
      <w:r w:rsidRPr="00B03D04">
        <w:rPr>
          <w:rFonts w:ascii="Times New Roman" w:hAnsi="Times New Roman"/>
        </w:rPr>
        <w:tab/>
      </w:r>
      <w:r w:rsidR="00B54E71" w:rsidRPr="00B03D04">
        <w:rPr>
          <w:rFonts w:ascii="Times New Roman" w:hAnsi="Times New Roman"/>
        </w:rPr>
        <w:t>Mendelson Attorneys Inc</w:t>
      </w:r>
      <w:r w:rsidRPr="00B03D04">
        <w:rPr>
          <w:rFonts w:ascii="Times New Roman" w:hAnsi="Times New Roman"/>
        </w:rPr>
        <w:t xml:space="preserve"> </w:t>
      </w:r>
    </w:p>
    <w:p w14:paraId="4ACA50DE" w14:textId="77777777" w:rsidR="00363162" w:rsidRPr="00B03D04" w:rsidRDefault="00363162" w:rsidP="00363162">
      <w:pPr>
        <w:pStyle w:val="BodyTextIndent"/>
        <w:spacing w:after="0" w:line="240" w:lineRule="auto"/>
        <w:ind w:left="0"/>
        <w:rPr>
          <w:rFonts w:ascii="Times New Roman" w:hAnsi="Times New Roman"/>
        </w:rPr>
      </w:pPr>
    </w:p>
    <w:p w14:paraId="4E8D3A8D" w14:textId="384882BC" w:rsidR="00363162" w:rsidRPr="00B03D04" w:rsidRDefault="00363162" w:rsidP="00363162">
      <w:pPr>
        <w:pStyle w:val="BodyTextIndent"/>
        <w:spacing w:after="0" w:line="240" w:lineRule="auto"/>
        <w:ind w:left="0"/>
        <w:rPr>
          <w:rFonts w:ascii="Times New Roman" w:hAnsi="Times New Roman"/>
        </w:rPr>
      </w:pPr>
      <w:r w:rsidRPr="00B03D04">
        <w:rPr>
          <w:rFonts w:ascii="Times New Roman" w:hAnsi="Times New Roman"/>
        </w:rPr>
        <w:t>Counsel for the applicant</w:t>
      </w:r>
      <w:r w:rsidR="009218A7" w:rsidRPr="00B03D04">
        <w:rPr>
          <w:rFonts w:ascii="Times New Roman" w:hAnsi="Times New Roman"/>
        </w:rPr>
        <w:t>s</w:t>
      </w:r>
      <w:r w:rsidRPr="00B03D04">
        <w:rPr>
          <w:rFonts w:ascii="Times New Roman" w:hAnsi="Times New Roman"/>
        </w:rPr>
        <w:t>:</w:t>
      </w:r>
      <w:r w:rsidRPr="00B03D04">
        <w:rPr>
          <w:rFonts w:ascii="Times New Roman" w:hAnsi="Times New Roman"/>
        </w:rPr>
        <w:tab/>
      </w:r>
      <w:r w:rsidRPr="00B03D04">
        <w:rPr>
          <w:rFonts w:ascii="Times New Roman" w:hAnsi="Times New Roman"/>
        </w:rPr>
        <w:tab/>
      </w:r>
      <w:r w:rsidR="009218A7" w:rsidRPr="00B03D04">
        <w:rPr>
          <w:rFonts w:ascii="Times New Roman" w:hAnsi="Times New Roman"/>
        </w:rPr>
        <w:t>JM Hoffman</w:t>
      </w:r>
    </w:p>
    <w:p w14:paraId="1B0C0E43" w14:textId="77777777" w:rsidR="00363162" w:rsidRPr="00B03D04" w:rsidRDefault="00363162" w:rsidP="00363162">
      <w:pPr>
        <w:pStyle w:val="BodyTextIndent"/>
        <w:spacing w:after="0" w:line="240" w:lineRule="auto"/>
        <w:ind w:left="0"/>
        <w:rPr>
          <w:rFonts w:ascii="Times New Roman" w:hAnsi="Times New Roman"/>
        </w:rPr>
      </w:pPr>
    </w:p>
    <w:p w14:paraId="388BEE6A" w14:textId="0DAA6904" w:rsidR="00363162" w:rsidRPr="00B03D04" w:rsidRDefault="00363162" w:rsidP="00363162">
      <w:pPr>
        <w:pStyle w:val="BodyTextIndent"/>
        <w:spacing w:after="0" w:line="240" w:lineRule="auto"/>
        <w:ind w:left="0"/>
        <w:rPr>
          <w:rFonts w:ascii="Times New Roman" w:hAnsi="Times New Roman"/>
        </w:rPr>
      </w:pPr>
      <w:r w:rsidRPr="00B03D04">
        <w:rPr>
          <w:rFonts w:ascii="Times New Roman" w:hAnsi="Times New Roman"/>
        </w:rPr>
        <w:t>Attorney for the respondent:</w:t>
      </w:r>
      <w:r w:rsidRPr="00B03D04">
        <w:rPr>
          <w:rFonts w:ascii="Times New Roman" w:hAnsi="Times New Roman"/>
        </w:rPr>
        <w:tab/>
      </w:r>
      <w:r w:rsidR="00B54E71" w:rsidRPr="00B03D04">
        <w:rPr>
          <w:rFonts w:ascii="Times New Roman" w:hAnsi="Times New Roman"/>
        </w:rPr>
        <w:t>Thomson Wilks Inc</w:t>
      </w:r>
    </w:p>
    <w:p w14:paraId="6B463CAF" w14:textId="77777777" w:rsidR="00363162" w:rsidRPr="00B03D04" w:rsidRDefault="00363162" w:rsidP="00363162">
      <w:pPr>
        <w:pStyle w:val="BodyTextIndent"/>
        <w:spacing w:after="0" w:line="240" w:lineRule="auto"/>
        <w:ind w:left="0"/>
        <w:rPr>
          <w:rFonts w:ascii="Times New Roman" w:hAnsi="Times New Roman"/>
        </w:rPr>
      </w:pPr>
    </w:p>
    <w:p w14:paraId="00930029" w14:textId="37023E05" w:rsidR="00363162" w:rsidRPr="00B03D04" w:rsidRDefault="00363162" w:rsidP="00363162">
      <w:pPr>
        <w:pStyle w:val="BodyTextIndent"/>
        <w:spacing w:after="0" w:line="240" w:lineRule="auto"/>
        <w:ind w:left="0"/>
        <w:rPr>
          <w:rFonts w:ascii="Times New Roman" w:hAnsi="Times New Roman"/>
        </w:rPr>
      </w:pPr>
      <w:r w:rsidRPr="00B03D04">
        <w:rPr>
          <w:rFonts w:ascii="Times New Roman" w:hAnsi="Times New Roman"/>
        </w:rPr>
        <w:t>Counsel for the respondent:</w:t>
      </w:r>
      <w:r w:rsidRPr="00B03D04">
        <w:rPr>
          <w:rFonts w:ascii="Times New Roman" w:hAnsi="Times New Roman"/>
        </w:rPr>
        <w:tab/>
      </w:r>
      <w:r w:rsidR="00713219" w:rsidRPr="00B03D04">
        <w:rPr>
          <w:rFonts w:ascii="Times New Roman" w:hAnsi="Times New Roman"/>
        </w:rPr>
        <w:t>C Shahim</w:t>
      </w:r>
    </w:p>
    <w:p w14:paraId="2279DEAB" w14:textId="77777777" w:rsidR="00363162" w:rsidRPr="00B03D04" w:rsidRDefault="00363162" w:rsidP="00363162">
      <w:pPr>
        <w:pStyle w:val="BodyTextIndent"/>
        <w:spacing w:after="0" w:line="240" w:lineRule="auto"/>
        <w:ind w:left="0"/>
        <w:rPr>
          <w:rFonts w:ascii="Times New Roman" w:hAnsi="Times New Roman"/>
        </w:rPr>
      </w:pPr>
    </w:p>
    <w:p w14:paraId="385FFB52" w14:textId="1D0DA9BC" w:rsidR="00363162" w:rsidRPr="00B03D04" w:rsidRDefault="00363162" w:rsidP="00363162">
      <w:pPr>
        <w:pStyle w:val="BodyTextIndent"/>
        <w:spacing w:after="0" w:line="240" w:lineRule="auto"/>
        <w:ind w:left="0"/>
        <w:rPr>
          <w:rFonts w:ascii="Times New Roman" w:hAnsi="Times New Roman"/>
        </w:rPr>
      </w:pPr>
      <w:r w:rsidRPr="00B03D04">
        <w:rPr>
          <w:rFonts w:ascii="Times New Roman" w:hAnsi="Times New Roman"/>
        </w:rPr>
        <w:t xml:space="preserve">Date of hearing: </w:t>
      </w:r>
      <w:r w:rsidR="00D50F17" w:rsidRPr="00B03D04">
        <w:rPr>
          <w:rFonts w:ascii="Times New Roman" w:hAnsi="Times New Roman"/>
        </w:rPr>
        <w:t>14 March 2023</w:t>
      </w:r>
    </w:p>
    <w:p w14:paraId="55395CC8" w14:textId="77777777" w:rsidR="00363162" w:rsidRPr="00B03D04" w:rsidRDefault="00363162" w:rsidP="00363162">
      <w:pPr>
        <w:pStyle w:val="BodyTextIndent"/>
        <w:spacing w:after="0" w:line="240" w:lineRule="auto"/>
        <w:ind w:left="0"/>
        <w:rPr>
          <w:rFonts w:ascii="Times New Roman" w:hAnsi="Times New Roman"/>
        </w:rPr>
      </w:pPr>
    </w:p>
    <w:p w14:paraId="14A93AAD" w14:textId="4C502F44" w:rsidR="00363162" w:rsidRPr="00B03D04" w:rsidRDefault="00363162" w:rsidP="00363162">
      <w:pPr>
        <w:rPr>
          <w:rFonts w:ascii="Times New Roman" w:eastAsia="Calibri" w:hAnsi="Times New Roman"/>
          <w:b/>
          <w:bCs/>
          <w:sz w:val="28"/>
          <w:szCs w:val="28"/>
        </w:rPr>
      </w:pPr>
      <w:r w:rsidRPr="00B03D04">
        <w:rPr>
          <w:rFonts w:ascii="Times New Roman" w:hAnsi="Times New Roman"/>
        </w:rPr>
        <w:t xml:space="preserve">Date of judgment: </w:t>
      </w:r>
      <w:r w:rsidR="00D50F17" w:rsidRPr="00B03D04">
        <w:rPr>
          <w:rFonts w:ascii="Times New Roman" w:hAnsi="Times New Roman"/>
        </w:rPr>
        <w:t>15 March 2023</w:t>
      </w:r>
    </w:p>
    <w:sectPr w:rsidR="00363162" w:rsidRPr="00B03D04">
      <w:headerReference w:type="even" r:id="rId8"/>
      <w:headerReference w:type="default" r:id="rId9"/>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4E76B" w14:textId="77777777" w:rsidR="00F37EB2" w:rsidRDefault="00F37EB2">
      <w:r>
        <w:separator/>
      </w:r>
    </w:p>
  </w:endnote>
  <w:endnote w:type="continuationSeparator" w:id="0">
    <w:p w14:paraId="3B302D69" w14:textId="77777777" w:rsidR="00F37EB2" w:rsidRDefault="00F3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E54A" w14:textId="77777777" w:rsidR="00F37EB2" w:rsidRDefault="00F37EB2">
      <w:r>
        <w:separator/>
      </w:r>
    </w:p>
  </w:footnote>
  <w:footnote w:type="continuationSeparator" w:id="0">
    <w:p w14:paraId="76E88AFB" w14:textId="77777777" w:rsidR="00F37EB2" w:rsidRDefault="00F37EB2">
      <w:r>
        <w:continuationSeparator/>
      </w:r>
    </w:p>
  </w:footnote>
  <w:footnote w:id="1">
    <w:p w14:paraId="1C2B7CD8" w14:textId="77777777" w:rsidR="00E47375" w:rsidRPr="00B03D04" w:rsidRDefault="00E47375" w:rsidP="00E47375">
      <w:pPr>
        <w:pStyle w:val="FootnoteText"/>
        <w:spacing w:after="120" w:line="240" w:lineRule="auto"/>
        <w:ind w:left="567" w:hanging="567"/>
        <w:rPr>
          <w:rFonts w:ascii="Times New Roman" w:hAnsi="Times New Roman"/>
        </w:rPr>
      </w:pPr>
      <w:r w:rsidRPr="00B03D04">
        <w:rPr>
          <w:rStyle w:val="FootnoteReference"/>
          <w:rFonts w:ascii="Times New Roman" w:hAnsi="Times New Roman"/>
        </w:rPr>
        <w:footnoteRef/>
      </w:r>
      <w:r w:rsidRPr="00B03D04">
        <w:rPr>
          <w:rFonts w:ascii="Times New Roman" w:hAnsi="Times New Roman"/>
        </w:rPr>
        <w:t xml:space="preserve"> </w:t>
      </w:r>
      <w:r w:rsidRPr="00B03D04">
        <w:rPr>
          <w:rFonts w:ascii="Times New Roman" w:hAnsi="Times New Roman"/>
        </w:rPr>
        <w:tab/>
        <w:t>Imperial Bank Ltd v Barnard and others NNO 2013 (5) SA 612 (SCA) at para 8. Mpati P quoted from Four Tower Investments (Pty) Ltd v André's Motors </w:t>
      </w:r>
      <w:hyperlink r:id="rId1" w:tgtFrame="main" w:history="1">
        <w:r w:rsidRPr="00B03D04">
          <w:rPr>
            <w:rFonts w:ascii="Times New Roman" w:hAnsi="Times New Roman"/>
          </w:rPr>
          <w:t>2005 (3) SA 39 (N)</w:t>
        </w:r>
      </w:hyperlink>
      <w:r w:rsidRPr="00B03D04">
        <w:rPr>
          <w:rFonts w:ascii="Times New Roman" w:hAnsi="Times New Roman"/>
        </w:rPr>
        <w:t> para 15; Dumasi v Commissioner, Venda Police </w:t>
      </w:r>
      <w:hyperlink r:id="rId2" w:tgtFrame="main" w:history="1">
        <w:r w:rsidRPr="00B03D04">
          <w:rPr>
            <w:rFonts w:ascii="Times New Roman" w:hAnsi="Times New Roman"/>
          </w:rPr>
          <w:t>1990 (1) SA 1068 (V)</w:t>
        </w:r>
      </w:hyperlink>
      <w:r w:rsidRPr="00B03D04">
        <w:rPr>
          <w:rFonts w:ascii="Times New Roman" w:hAnsi="Times New Roman"/>
        </w:rPr>
        <w:t> at 1071B; and Devonia Shipping Ltd v MV Luis (Yeoman Shipping Co Ltd Intervening) </w:t>
      </w:r>
      <w:hyperlink r:id="rId3" w:tgtFrame="main" w:history="1">
        <w:r w:rsidRPr="00B03D04">
          <w:rPr>
            <w:rFonts w:ascii="Times New Roman" w:hAnsi="Times New Roman"/>
          </w:rPr>
          <w:t>1994 (2) SA 363 (C)</w:t>
        </w:r>
      </w:hyperlink>
      <w:r w:rsidRPr="00B03D04">
        <w:rPr>
          <w:rFonts w:ascii="Times New Roman" w:hAnsi="Times New Roman"/>
        </w:rPr>
        <w:t> at 369F – I.</w:t>
      </w:r>
    </w:p>
  </w:footnote>
  <w:footnote w:id="2">
    <w:p w14:paraId="4B6120B7" w14:textId="77777777" w:rsidR="00E47375" w:rsidRPr="00B03D04" w:rsidRDefault="00E47375" w:rsidP="00E47375">
      <w:pPr>
        <w:pStyle w:val="FootnoteText"/>
        <w:spacing w:after="120" w:line="240" w:lineRule="auto"/>
        <w:ind w:left="567" w:hanging="567"/>
        <w:rPr>
          <w:rFonts w:ascii="Times New Roman" w:hAnsi="Times New Roman"/>
        </w:rPr>
      </w:pPr>
      <w:r w:rsidRPr="00B03D04">
        <w:rPr>
          <w:rStyle w:val="FootnoteReference"/>
          <w:rFonts w:ascii="Times New Roman" w:hAnsi="Times New Roman"/>
        </w:rPr>
        <w:footnoteRef/>
      </w:r>
      <w:r w:rsidRPr="00B03D04">
        <w:rPr>
          <w:rFonts w:ascii="Times New Roman" w:hAnsi="Times New Roman"/>
        </w:rPr>
        <w:t xml:space="preserve"> </w:t>
      </w:r>
      <w:r w:rsidRPr="00B03D04">
        <w:rPr>
          <w:rFonts w:ascii="Times New Roman" w:hAnsi="Times New Roman"/>
        </w:rPr>
        <w:tab/>
        <w:t>See, for example, Recycling and Economic Development Initiative of South Africa v Electronic Media Network 2022 JDR 0456 (GJ) at para 8</w:t>
      </w:r>
    </w:p>
  </w:footnote>
  <w:footnote w:id="3">
    <w:p w14:paraId="6830F9CC" w14:textId="77777777" w:rsidR="00E47375" w:rsidRPr="00B03D04" w:rsidRDefault="00E47375" w:rsidP="00E47375">
      <w:pPr>
        <w:pStyle w:val="FootnoteText"/>
        <w:spacing w:after="120" w:line="240" w:lineRule="auto"/>
        <w:ind w:left="567" w:hanging="567"/>
        <w:rPr>
          <w:rFonts w:ascii="Times New Roman" w:hAnsi="Times New Roman"/>
        </w:rPr>
      </w:pPr>
      <w:r w:rsidRPr="00B03D04">
        <w:rPr>
          <w:rStyle w:val="FootnoteReference"/>
          <w:rFonts w:ascii="Times New Roman" w:hAnsi="Times New Roman"/>
        </w:rPr>
        <w:footnoteRef/>
      </w:r>
      <w:r w:rsidRPr="00B03D04">
        <w:rPr>
          <w:rFonts w:ascii="Times New Roman" w:hAnsi="Times New Roman"/>
        </w:rPr>
        <w:t xml:space="preserve"> </w:t>
      </w:r>
      <w:r w:rsidRPr="00B03D04">
        <w:rPr>
          <w:rFonts w:ascii="Times New Roman" w:hAnsi="Times New Roman"/>
        </w:rPr>
        <w:tab/>
        <w:t>See, for example, Small Enterprise Finance Agency Soc v Razoscan (Pty) Ltd 2022 JDR 0508 (GP) at para 6.9</w:t>
      </w:r>
    </w:p>
  </w:footnote>
  <w:footnote w:id="4">
    <w:p w14:paraId="4866F18D" w14:textId="77777777" w:rsidR="003F2B2D" w:rsidRPr="00B03D04" w:rsidRDefault="003F2B2D" w:rsidP="003F2B2D">
      <w:pPr>
        <w:pStyle w:val="FootnoteText"/>
        <w:spacing w:after="120" w:line="240" w:lineRule="auto"/>
        <w:ind w:left="567" w:hanging="567"/>
        <w:rPr>
          <w:rFonts w:ascii="Times New Roman" w:hAnsi="Times New Roman"/>
        </w:rPr>
      </w:pPr>
      <w:r w:rsidRPr="00B03D04">
        <w:rPr>
          <w:rStyle w:val="FootnoteReference"/>
          <w:rFonts w:ascii="Times New Roman" w:hAnsi="Times New Roman"/>
        </w:rPr>
        <w:footnoteRef/>
      </w:r>
      <w:r w:rsidRPr="00B03D04">
        <w:rPr>
          <w:rFonts w:ascii="Times New Roman" w:hAnsi="Times New Roman"/>
        </w:rPr>
        <w:t xml:space="preserve"> </w:t>
      </w:r>
      <w:r w:rsidRPr="00B03D04">
        <w:rPr>
          <w:rFonts w:ascii="Times New Roman" w:hAnsi="Times New Roman"/>
        </w:rPr>
        <w:tab/>
        <w:t>Affordable Medicines Trust v Minister of Health 2006 (3) SA 247 (CC) at para 9,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B61BA"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11A60" w14:textId="77777777" w:rsidR="005C74EA" w:rsidRDefault="005C74EA">
    <w:pPr>
      <w:pStyle w:val="Header"/>
      <w:ind w:right="360"/>
    </w:pPr>
  </w:p>
  <w:p w14:paraId="47BDADD1" w14:textId="77777777" w:rsidR="005C74EA" w:rsidRDefault="005C74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DEDE" w14:textId="42504D3E"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D41D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abstractNum w:abstractNumId="3">
    <w:nsid w:val="7B042490"/>
    <w:multiLevelType w:val="hybridMultilevel"/>
    <w:tmpl w:val="B6182E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49"/>
    <w:rsid w:val="0000005A"/>
    <w:rsid w:val="00001A9C"/>
    <w:rsid w:val="00001EFF"/>
    <w:rsid w:val="000042A7"/>
    <w:rsid w:val="0000763D"/>
    <w:rsid w:val="0000776A"/>
    <w:rsid w:val="00010037"/>
    <w:rsid w:val="00010519"/>
    <w:rsid w:val="00010CD7"/>
    <w:rsid w:val="00011167"/>
    <w:rsid w:val="00013ABE"/>
    <w:rsid w:val="0002016F"/>
    <w:rsid w:val="00020BAF"/>
    <w:rsid w:val="00023E10"/>
    <w:rsid w:val="00027757"/>
    <w:rsid w:val="0003092D"/>
    <w:rsid w:val="0003337A"/>
    <w:rsid w:val="00037950"/>
    <w:rsid w:val="00043B4A"/>
    <w:rsid w:val="00050849"/>
    <w:rsid w:val="00053C4C"/>
    <w:rsid w:val="00054D2E"/>
    <w:rsid w:val="00060E5C"/>
    <w:rsid w:val="0006228D"/>
    <w:rsid w:val="00062DC6"/>
    <w:rsid w:val="0006443D"/>
    <w:rsid w:val="0007342D"/>
    <w:rsid w:val="000739E4"/>
    <w:rsid w:val="00076F81"/>
    <w:rsid w:val="0008029B"/>
    <w:rsid w:val="00080F88"/>
    <w:rsid w:val="00086B61"/>
    <w:rsid w:val="000968E9"/>
    <w:rsid w:val="000A0B49"/>
    <w:rsid w:val="000A0EBD"/>
    <w:rsid w:val="000A48EB"/>
    <w:rsid w:val="000A5BEF"/>
    <w:rsid w:val="000A5E17"/>
    <w:rsid w:val="000B0D8F"/>
    <w:rsid w:val="000B2728"/>
    <w:rsid w:val="000B27F3"/>
    <w:rsid w:val="000B5AA0"/>
    <w:rsid w:val="000C72F4"/>
    <w:rsid w:val="000D1A0B"/>
    <w:rsid w:val="000D4790"/>
    <w:rsid w:val="000D7252"/>
    <w:rsid w:val="000D7D69"/>
    <w:rsid w:val="000E0673"/>
    <w:rsid w:val="000F1436"/>
    <w:rsid w:val="000F3C05"/>
    <w:rsid w:val="000F6EA0"/>
    <w:rsid w:val="000F7C21"/>
    <w:rsid w:val="00104E96"/>
    <w:rsid w:val="00107649"/>
    <w:rsid w:val="0011216D"/>
    <w:rsid w:val="00115C0F"/>
    <w:rsid w:val="00116EDE"/>
    <w:rsid w:val="001249EB"/>
    <w:rsid w:val="00124C45"/>
    <w:rsid w:val="00124CF6"/>
    <w:rsid w:val="001325F0"/>
    <w:rsid w:val="00134C90"/>
    <w:rsid w:val="00135180"/>
    <w:rsid w:val="001362F6"/>
    <w:rsid w:val="00142F30"/>
    <w:rsid w:val="001529B7"/>
    <w:rsid w:val="00155FC8"/>
    <w:rsid w:val="00156F1E"/>
    <w:rsid w:val="0016254C"/>
    <w:rsid w:val="001626FE"/>
    <w:rsid w:val="00164821"/>
    <w:rsid w:val="00166917"/>
    <w:rsid w:val="001731F6"/>
    <w:rsid w:val="00173D28"/>
    <w:rsid w:val="00174D09"/>
    <w:rsid w:val="001807AD"/>
    <w:rsid w:val="00181720"/>
    <w:rsid w:val="00186A88"/>
    <w:rsid w:val="00186D92"/>
    <w:rsid w:val="001908D1"/>
    <w:rsid w:val="001916C5"/>
    <w:rsid w:val="0019466A"/>
    <w:rsid w:val="0019672A"/>
    <w:rsid w:val="00197192"/>
    <w:rsid w:val="001A031F"/>
    <w:rsid w:val="001A16BA"/>
    <w:rsid w:val="001A1EB4"/>
    <w:rsid w:val="001A487E"/>
    <w:rsid w:val="001A7A79"/>
    <w:rsid w:val="001C05CA"/>
    <w:rsid w:val="001C1AB8"/>
    <w:rsid w:val="001C424A"/>
    <w:rsid w:val="001C53AC"/>
    <w:rsid w:val="001D46E8"/>
    <w:rsid w:val="001E31C5"/>
    <w:rsid w:val="001E3D07"/>
    <w:rsid w:val="001E3DE9"/>
    <w:rsid w:val="001E47BC"/>
    <w:rsid w:val="001F05FE"/>
    <w:rsid w:val="001F0DC4"/>
    <w:rsid w:val="001F2187"/>
    <w:rsid w:val="001F7ADB"/>
    <w:rsid w:val="002027B8"/>
    <w:rsid w:val="002111AD"/>
    <w:rsid w:val="00212881"/>
    <w:rsid w:val="002141C8"/>
    <w:rsid w:val="00217106"/>
    <w:rsid w:val="002204A9"/>
    <w:rsid w:val="00221443"/>
    <w:rsid w:val="00221505"/>
    <w:rsid w:val="00226131"/>
    <w:rsid w:val="00226AC2"/>
    <w:rsid w:val="00231F75"/>
    <w:rsid w:val="002321FB"/>
    <w:rsid w:val="00234D8C"/>
    <w:rsid w:val="002351D1"/>
    <w:rsid w:val="00236227"/>
    <w:rsid w:val="002405E4"/>
    <w:rsid w:val="00240839"/>
    <w:rsid w:val="00241185"/>
    <w:rsid w:val="00245D4C"/>
    <w:rsid w:val="0025673B"/>
    <w:rsid w:val="00257FB0"/>
    <w:rsid w:val="00262A35"/>
    <w:rsid w:val="00272D3E"/>
    <w:rsid w:val="00275BF3"/>
    <w:rsid w:val="00276258"/>
    <w:rsid w:val="002849CA"/>
    <w:rsid w:val="00284B86"/>
    <w:rsid w:val="00285E30"/>
    <w:rsid w:val="002863E2"/>
    <w:rsid w:val="002870AD"/>
    <w:rsid w:val="00291B3B"/>
    <w:rsid w:val="002920B7"/>
    <w:rsid w:val="002A2369"/>
    <w:rsid w:val="002A42BD"/>
    <w:rsid w:val="002B2380"/>
    <w:rsid w:val="002B4848"/>
    <w:rsid w:val="002B642C"/>
    <w:rsid w:val="002C7E1D"/>
    <w:rsid w:val="002D386C"/>
    <w:rsid w:val="002D64FE"/>
    <w:rsid w:val="002E0A65"/>
    <w:rsid w:val="002E470E"/>
    <w:rsid w:val="002F017E"/>
    <w:rsid w:val="002F1D64"/>
    <w:rsid w:val="002F5422"/>
    <w:rsid w:val="002F5847"/>
    <w:rsid w:val="00301BEA"/>
    <w:rsid w:val="003026F4"/>
    <w:rsid w:val="00304C55"/>
    <w:rsid w:val="00305E31"/>
    <w:rsid w:val="00313960"/>
    <w:rsid w:val="00313A83"/>
    <w:rsid w:val="0031450F"/>
    <w:rsid w:val="00314666"/>
    <w:rsid w:val="00314898"/>
    <w:rsid w:val="00314C44"/>
    <w:rsid w:val="00315DCC"/>
    <w:rsid w:val="00316F3E"/>
    <w:rsid w:val="003176C3"/>
    <w:rsid w:val="00320DFB"/>
    <w:rsid w:val="003219C2"/>
    <w:rsid w:val="00326DDD"/>
    <w:rsid w:val="00335913"/>
    <w:rsid w:val="00336A11"/>
    <w:rsid w:val="00336E60"/>
    <w:rsid w:val="0034203C"/>
    <w:rsid w:val="003454E0"/>
    <w:rsid w:val="00345C3D"/>
    <w:rsid w:val="00346E4B"/>
    <w:rsid w:val="0035583D"/>
    <w:rsid w:val="00355E28"/>
    <w:rsid w:val="00356286"/>
    <w:rsid w:val="00356D06"/>
    <w:rsid w:val="00363162"/>
    <w:rsid w:val="00363D3B"/>
    <w:rsid w:val="003649E3"/>
    <w:rsid w:val="003650D8"/>
    <w:rsid w:val="00367920"/>
    <w:rsid w:val="00373DD1"/>
    <w:rsid w:val="00376864"/>
    <w:rsid w:val="003871FD"/>
    <w:rsid w:val="00392AD6"/>
    <w:rsid w:val="00392B20"/>
    <w:rsid w:val="00394888"/>
    <w:rsid w:val="00395B2D"/>
    <w:rsid w:val="003A2169"/>
    <w:rsid w:val="003A2207"/>
    <w:rsid w:val="003A629B"/>
    <w:rsid w:val="003B536C"/>
    <w:rsid w:val="003B5E3D"/>
    <w:rsid w:val="003B6C8F"/>
    <w:rsid w:val="003B7FB0"/>
    <w:rsid w:val="003C235E"/>
    <w:rsid w:val="003C3969"/>
    <w:rsid w:val="003C690F"/>
    <w:rsid w:val="003C6962"/>
    <w:rsid w:val="003D13F1"/>
    <w:rsid w:val="003D20DF"/>
    <w:rsid w:val="003D66CB"/>
    <w:rsid w:val="003E303B"/>
    <w:rsid w:val="003F2B2D"/>
    <w:rsid w:val="003F61B3"/>
    <w:rsid w:val="003F70AD"/>
    <w:rsid w:val="00404B95"/>
    <w:rsid w:val="00411D00"/>
    <w:rsid w:val="004152E2"/>
    <w:rsid w:val="004175BF"/>
    <w:rsid w:val="004200D9"/>
    <w:rsid w:val="004201B3"/>
    <w:rsid w:val="004236B1"/>
    <w:rsid w:val="00427031"/>
    <w:rsid w:val="00437BAC"/>
    <w:rsid w:val="004415F4"/>
    <w:rsid w:val="00443673"/>
    <w:rsid w:val="004457DC"/>
    <w:rsid w:val="00456ECA"/>
    <w:rsid w:val="004810D0"/>
    <w:rsid w:val="004820C9"/>
    <w:rsid w:val="0048378A"/>
    <w:rsid w:val="00490D04"/>
    <w:rsid w:val="0049433D"/>
    <w:rsid w:val="00496707"/>
    <w:rsid w:val="004A073E"/>
    <w:rsid w:val="004A1F14"/>
    <w:rsid w:val="004A224F"/>
    <w:rsid w:val="004A618B"/>
    <w:rsid w:val="004B217C"/>
    <w:rsid w:val="004B2B5C"/>
    <w:rsid w:val="004C0CB5"/>
    <w:rsid w:val="004C2782"/>
    <w:rsid w:val="004C2AE4"/>
    <w:rsid w:val="004C7E6D"/>
    <w:rsid w:val="004D3432"/>
    <w:rsid w:val="004D4608"/>
    <w:rsid w:val="004D6663"/>
    <w:rsid w:val="004E04F3"/>
    <w:rsid w:val="004E3D52"/>
    <w:rsid w:val="004E4FA9"/>
    <w:rsid w:val="004F0222"/>
    <w:rsid w:val="004F0403"/>
    <w:rsid w:val="004F109F"/>
    <w:rsid w:val="004F2D77"/>
    <w:rsid w:val="004F4694"/>
    <w:rsid w:val="004F671F"/>
    <w:rsid w:val="00501213"/>
    <w:rsid w:val="00505BED"/>
    <w:rsid w:val="00506B25"/>
    <w:rsid w:val="00507180"/>
    <w:rsid w:val="00512E6F"/>
    <w:rsid w:val="00517CD9"/>
    <w:rsid w:val="00521902"/>
    <w:rsid w:val="00521A48"/>
    <w:rsid w:val="00521F65"/>
    <w:rsid w:val="005272A3"/>
    <w:rsid w:val="00533844"/>
    <w:rsid w:val="00537245"/>
    <w:rsid w:val="0054465A"/>
    <w:rsid w:val="005454F6"/>
    <w:rsid w:val="0054622B"/>
    <w:rsid w:val="00547546"/>
    <w:rsid w:val="00547B81"/>
    <w:rsid w:val="005500C7"/>
    <w:rsid w:val="005619F9"/>
    <w:rsid w:val="00566343"/>
    <w:rsid w:val="00567993"/>
    <w:rsid w:val="00570A22"/>
    <w:rsid w:val="00571786"/>
    <w:rsid w:val="00583966"/>
    <w:rsid w:val="005915C5"/>
    <w:rsid w:val="00593BC1"/>
    <w:rsid w:val="00596603"/>
    <w:rsid w:val="005A7716"/>
    <w:rsid w:val="005B074E"/>
    <w:rsid w:val="005B303A"/>
    <w:rsid w:val="005B4613"/>
    <w:rsid w:val="005C1B1E"/>
    <w:rsid w:val="005C4138"/>
    <w:rsid w:val="005C574B"/>
    <w:rsid w:val="005C5F32"/>
    <w:rsid w:val="005C74EA"/>
    <w:rsid w:val="005D71F7"/>
    <w:rsid w:val="005E011E"/>
    <w:rsid w:val="005E09E1"/>
    <w:rsid w:val="005E38D0"/>
    <w:rsid w:val="005E6CBB"/>
    <w:rsid w:val="005E6E4E"/>
    <w:rsid w:val="005F1E25"/>
    <w:rsid w:val="005F3253"/>
    <w:rsid w:val="005F35DE"/>
    <w:rsid w:val="005F5CF3"/>
    <w:rsid w:val="0060090B"/>
    <w:rsid w:val="006013F7"/>
    <w:rsid w:val="00604A23"/>
    <w:rsid w:val="00607918"/>
    <w:rsid w:val="00610994"/>
    <w:rsid w:val="00617653"/>
    <w:rsid w:val="0062077F"/>
    <w:rsid w:val="00621074"/>
    <w:rsid w:val="00621670"/>
    <w:rsid w:val="00632662"/>
    <w:rsid w:val="0063315C"/>
    <w:rsid w:val="00634EC8"/>
    <w:rsid w:val="00637F19"/>
    <w:rsid w:val="00642143"/>
    <w:rsid w:val="00642BC1"/>
    <w:rsid w:val="00642DC2"/>
    <w:rsid w:val="00647D50"/>
    <w:rsid w:val="0065140C"/>
    <w:rsid w:val="006517F9"/>
    <w:rsid w:val="0065256F"/>
    <w:rsid w:val="00657916"/>
    <w:rsid w:val="00662155"/>
    <w:rsid w:val="00664928"/>
    <w:rsid w:val="00664E78"/>
    <w:rsid w:val="00667E77"/>
    <w:rsid w:val="00671B26"/>
    <w:rsid w:val="00671CD2"/>
    <w:rsid w:val="00676006"/>
    <w:rsid w:val="006766A4"/>
    <w:rsid w:val="00683D69"/>
    <w:rsid w:val="00694620"/>
    <w:rsid w:val="00694EC8"/>
    <w:rsid w:val="00696BBB"/>
    <w:rsid w:val="006A09F8"/>
    <w:rsid w:val="006A2C27"/>
    <w:rsid w:val="006A2CC4"/>
    <w:rsid w:val="006A4DE7"/>
    <w:rsid w:val="006A75E1"/>
    <w:rsid w:val="006B3574"/>
    <w:rsid w:val="006B3639"/>
    <w:rsid w:val="006B3DA6"/>
    <w:rsid w:val="006C12C1"/>
    <w:rsid w:val="006C1C95"/>
    <w:rsid w:val="006C5B54"/>
    <w:rsid w:val="006C6D2D"/>
    <w:rsid w:val="006D0562"/>
    <w:rsid w:val="006D06E0"/>
    <w:rsid w:val="006D1DE2"/>
    <w:rsid w:val="006D42C0"/>
    <w:rsid w:val="006D7905"/>
    <w:rsid w:val="006E094B"/>
    <w:rsid w:val="006E39B8"/>
    <w:rsid w:val="006E4D5C"/>
    <w:rsid w:val="006E652E"/>
    <w:rsid w:val="006E693B"/>
    <w:rsid w:val="006E70C5"/>
    <w:rsid w:val="006F114E"/>
    <w:rsid w:val="006F3DA1"/>
    <w:rsid w:val="006F5134"/>
    <w:rsid w:val="006F557F"/>
    <w:rsid w:val="00701CE3"/>
    <w:rsid w:val="007069F0"/>
    <w:rsid w:val="00713219"/>
    <w:rsid w:val="00716514"/>
    <w:rsid w:val="00720929"/>
    <w:rsid w:val="00723BEF"/>
    <w:rsid w:val="0072683F"/>
    <w:rsid w:val="00731C52"/>
    <w:rsid w:val="00732010"/>
    <w:rsid w:val="00736D96"/>
    <w:rsid w:val="007412EB"/>
    <w:rsid w:val="00744585"/>
    <w:rsid w:val="007445CD"/>
    <w:rsid w:val="007473C1"/>
    <w:rsid w:val="00747A23"/>
    <w:rsid w:val="00747FDE"/>
    <w:rsid w:val="0075010D"/>
    <w:rsid w:val="00750595"/>
    <w:rsid w:val="00754169"/>
    <w:rsid w:val="0075436F"/>
    <w:rsid w:val="00756A85"/>
    <w:rsid w:val="0076323B"/>
    <w:rsid w:val="00763600"/>
    <w:rsid w:val="007650A9"/>
    <w:rsid w:val="00766665"/>
    <w:rsid w:val="00770E68"/>
    <w:rsid w:val="007741C2"/>
    <w:rsid w:val="007760B7"/>
    <w:rsid w:val="00777CC8"/>
    <w:rsid w:val="00781A3F"/>
    <w:rsid w:val="00785DCF"/>
    <w:rsid w:val="007906F1"/>
    <w:rsid w:val="007908FF"/>
    <w:rsid w:val="007934DC"/>
    <w:rsid w:val="00794C74"/>
    <w:rsid w:val="007A47AD"/>
    <w:rsid w:val="007A777C"/>
    <w:rsid w:val="007B11DD"/>
    <w:rsid w:val="007B2CB1"/>
    <w:rsid w:val="007B3E2F"/>
    <w:rsid w:val="007C189F"/>
    <w:rsid w:val="007C3AF8"/>
    <w:rsid w:val="007C4BCF"/>
    <w:rsid w:val="007D2B13"/>
    <w:rsid w:val="007E2F01"/>
    <w:rsid w:val="007E45E5"/>
    <w:rsid w:val="007E714C"/>
    <w:rsid w:val="007F1A89"/>
    <w:rsid w:val="007F3681"/>
    <w:rsid w:val="007F47D5"/>
    <w:rsid w:val="007F6072"/>
    <w:rsid w:val="00804490"/>
    <w:rsid w:val="008103BC"/>
    <w:rsid w:val="00813DED"/>
    <w:rsid w:val="0081587F"/>
    <w:rsid w:val="00817796"/>
    <w:rsid w:val="00817A51"/>
    <w:rsid w:val="008204E6"/>
    <w:rsid w:val="008219FB"/>
    <w:rsid w:val="00824645"/>
    <w:rsid w:val="00832247"/>
    <w:rsid w:val="00832344"/>
    <w:rsid w:val="00833C84"/>
    <w:rsid w:val="00835CF5"/>
    <w:rsid w:val="00846515"/>
    <w:rsid w:val="008471C2"/>
    <w:rsid w:val="0085452F"/>
    <w:rsid w:val="00855B20"/>
    <w:rsid w:val="0085648C"/>
    <w:rsid w:val="0085704C"/>
    <w:rsid w:val="0086044A"/>
    <w:rsid w:val="00861DDF"/>
    <w:rsid w:val="008661FB"/>
    <w:rsid w:val="00866438"/>
    <w:rsid w:val="00881D9D"/>
    <w:rsid w:val="008823C9"/>
    <w:rsid w:val="00883CD0"/>
    <w:rsid w:val="0088408F"/>
    <w:rsid w:val="00885657"/>
    <w:rsid w:val="00886076"/>
    <w:rsid w:val="00886CEF"/>
    <w:rsid w:val="00887BF5"/>
    <w:rsid w:val="0089073F"/>
    <w:rsid w:val="00892ABC"/>
    <w:rsid w:val="0089404A"/>
    <w:rsid w:val="00895670"/>
    <w:rsid w:val="008978D6"/>
    <w:rsid w:val="008A43D0"/>
    <w:rsid w:val="008B2F87"/>
    <w:rsid w:val="008B620F"/>
    <w:rsid w:val="008B6F74"/>
    <w:rsid w:val="008C587A"/>
    <w:rsid w:val="008C6F7D"/>
    <w:rsid w:val="008D19FE"/>
    <w:rsid w:val="008D41D4"/>
    <w:rsid w:val="008D458B"/>
    <w:rsid w:val="008D4F72"/>
    <w:rsid w:val="008D626D"/>
    <w:rsid w:val="008D7F88"/>
    <w:rsid w:val="008E2BD9"/>
    <w:rsid w:val="008E376A"/>
    <w:rsid w:val="008E382A"/>
    <w:rsid w:val="008E4869"/>
    <w:rsid w:val="008E4B0D"/>
    <w:rsid w:val="008E4C54"/>
    <w:rsid w:val="008E55D5"/>
    <w:rsid w:val="008E7383"/>
    <w:rsid w:val="008F04BA"/>
    <w:rsid w:val="008F5357"/>
    <w:rsid w:val="008F6B2E"/>
    <w:rsid w:val="0090429D"/>
    <w:rsid w:val="00904FCE"/>
    <w:rsid w:val="00907CC5"/>
    <w:rsid w:val="009177D6"/>
    <w:rsid w:val="0092031F"/>
    <w:rsid w:val="009218A7"/>
    <w:rsid w:val="0092195E"/>
    <w:rsid w:val="00922850"/>
    <w:rsid w:val="00927E07"/>
    <w:rsid w:val="00933C80"/>
    <w:rsid w:val="00934AB3"/>
    <w:rsid w:val="00936127"/>
    <w:rsid w:val="00940109"/>
    <w:rsid w:val="009406DC"/>
    <w:rsid w:val="009462DA"/>
    <w:rsid w:val="00953C5D"/>
    <w:rsid w:val="00955148"/>
    <w:rsid w:val="00955797"/>
    <w:rsid w:val="0095685C"/>
    <w:rsid w:val="009570BC"/>
    <w:rsid w:val="0095789C"/>
    <w:rsid w:val="00957FA7"/>
    <w:rsid w:val="00962CC2"/>
    <w:rsid w:val="009638F1"/>
    <w:rsid w:val="0096496D"/>
    <w:rsid w:val="00964DF6"/>
    <w:rsid w:val="00966081"/>
    <w:rsid w:val="009742E7"/>
    <w:rsid w:val="0097645B"/>
    <w:rsid w:val="009765EC"/>
    <w:rsid w:val="00976CCD"/>
    <w:rsid w:val="00980DA8"/>
    <w:rsid w:val="0098272F"/>
    <w:rsid w:val="00982F56"/>
    <w:rsid w:val="00983576"/>
    <w:rsid w:val="00983A0B"/>
    <w:rsid w:val="009965A6"/>
    <w:rsid w:val="009967D3"/>
    <w:rsid w:val="009A06FF"/>
    <w:rsid w:val="009A4090"/>
    <w:rsid w:val="009A6D5C"/>
    <w:rsid w:val="009B4EE0"/>
    <w:rsid w:val="009C2D55"/>
    <w:rsid w:val="009C657F"/>
    <w:rsid w:val="009D1AF0"/>
    <w:rsid w:val="009D3C0C"/>
    <w:rsid w:val="009D448A"/>
    <w:rsid w:val="009D56C9"/>
    <w:rsid w:val="009D64D1"/>
    <w:rsid w:val="009E1B40"/>
    <w:rsid w:val="009E6ADA"/>
    <w:rsid w:val="009F0F5E"/>
    <w:rsid w:val="009F24A5"/>
    <w:rsid w:val="009F48C4"/>
    <w:rsid w:val="009F4C7E"/>
    <w:rsid w:val="009F586E"/>
    <w:rsid w:val="00A115F3"/>
    <w:rsid w:val="00A17FA0"/>
    <w:rsid w:val="00A2092A"/>
    <w:rsid w:val="00A21E71"/>
    <w:rsid w:val="00A23BA3"/>
    <w:rsid w:val="00A25AF9"/>
    <w:rsid w:val="00A37358"/>
    <w:rsid w:val="00A45DE4"/>
    <w:rsid w:val="00A462AC"/>
    <w:rsid w:val="00A46840"/>
    <w:rsid w:val="00A51D8B"/>
    <w:rsid w:val="00A52BF0"/>
    <w:rsid w:val="00A53832"/>
    <w:rsid w:val="00A5723D"/>
    <w:rsid w:val="00A63B9D"/>
    <w:rsid w:val="00A6423F"/>
    <w:rsid w:val="00A6506F"/>
    <w:rsid w:val="00A65353"/>
    <w:rsid w:val="00A66357"/>
    <w:rsid w:val="00A703A8"/>
    <w:rsid w:val="00A7231A"/>
    <w:rsid w:val="00A72A84"/>
    <w:rsid w:val="00A73910"/>
    <w:rsid w:val="00A74BE8"/>
    <w:rsid w:val="00A81525"/>
    <w:rsid w:val="00A87C2C"/>
    <w:rsid w:val="00A9638F"/>
    <w:rsid w:val="00AA241A"/>
    <w:rsid w:val="00AA543E"/>
    <w:rsid w:val="00AA5CC4"/>
    <w:rsid w:val="00AB48DA"/>
    <w:rsid w:val="00AB5102"/>
    <w:rsid w:val="00AB618D"/>
    <w:rsid w:val="00AB6A75"/>
    <w:rsid w:val="00AB7465"/>
    <w:rsid w:val="00AC0DC3"/>
    <w:rsid w:val="00AC4830"/>
    <w:rsid w:val="00AC54FC"/>
    <w:rsid w:val="00AC6177"/>
    <w:rsid w:val="00AC6785"/>
    <w:rsid w:val="00AC7035"/>
    <w:rsid w:val="00AC751E"/>
    <w:rsid w:val="00AD182C"/>
    <w:rsid w:val="00AD2C24"/>
    <w:rsid w:val="00AD53CA"/>
    <w:rsid w:val="00AD7C87"/>
    <w:rsid w:val="00AE1527"/>
    <w:rsid w:val="00AE29E8"/>
    <w:rsid w:val="00AE43B6"/>
    <w:rsid w:val="00AE545C"/>
    <w:rsid w:val="00AF0862"/>
    <w:rsid w:val="00AF0E96"/>
    <w:rsid w:val="00B00D67"/>
    <w:rsid w:val="00B03D04"/>
    <w:rsid w:val="00B11F99"/>
    <w:rsid w:val="00B12930"/>
    <w:rsid w:val="00B141D1"/>
    <w:rsid w:val="00B14C41"/>
    <w:rsid w:val="00B17466"/>
    <w:rsid w:val="00B17545"/>
    <w:rsid w:val="00B256E4"/>
    <w:rsid w:val="00B342E5"/>
    <w:rsid w:val="00B444BF"/>
    <w:rsid w:val="00B508B6"/>
    <w:rsid w:val="00B519B7"/>
    <w:rsid w:val="00B54E71"/>
    <w:rsid w:val="00B65ED0"/>
    <w:rsid w:val="00B85487"/>
    <w:rsid w:val="00B87506"/>
    <w:rsid w:val="00B91C86"/>
    <w:rsid w:val="00B94520"/>
    <w:rsid w:val="00B961CD"/>
    <w:rsid w:val="00BA1BC3"/>
    <w:rsid w:val="00BA6CA6"/>
    <w:rsid w:val="00BA7BF2"/>
    <w:rsid w:val="00BB09BC"/>
    <w:rsid w:val="00BB2417"/>
    <w:rsid w:val="00BB582F"/>
    <w:rsid w:val="00BC15FF"/>
    <w:rsid w:val="00BC1E78"/>
    <w:rsid w:val="00BC2EFF"/>
    <w:rsid w:val="00BC7D12"/>
    <w:rsid w:val="00BD578C"/>
    <w:rsid w:val="00BD6B4F"/>
    <w:rsid w:val="00BD7368"/>
    <w:rsid w:val="00BE0800"/>
    <w:rsid w:val="00BE2910"/>
    <w:rsid w:val="00BE2C55"/>
    <w:rsid w:val="00BE3235"/>
    <w:rsid w:val="00BE531A"/>
    <w:rsid w:val="00BE547B"/>
    <w:rsid w:val="00BF01E6"/>
    <w:rsid w:val="00BF08FA"/>
    <w:rsid w:val="00BF296B"/>
    <w:rsid w:val="00BF39E3"/>
    <w:rsid w:val="00BF6E2F"/>
    <w:rsid w:val="00C00216"/>
    <w:rsid w:val="00C04BF1"/>
    <w:rsid w:val="00C05E6A"/>
    <w:rsid w:val="00C07FA9"/>
    <w:rsid w:val="00C10969"/>
    <w:rsid w:val="00C215A9"/>
    <w:rsid w:val="00C30376"/>
    <w:rsid w:val="00C33EC2"/>
    <w:rsid w:val="00C34911"/>
    <w:rsid w:val="00C34F61"/>
    <w:rsid w:val="00C41095"/>
    <w:rsid w:val="00C42729"/>
    <w:rsid w:val="00C45A71"/>
    <w:rsid w:val="00C47D41"/>
    <w:rsid w:val="00C5359A"/>
    <w:rsid w:val="00C604AC"/>
    <w:rsid w:val="00C620DC"/>
    <w:rsid w:val="00C62D32"/>
    <w:rsid w:val="00C65D4E"/>
    <w:rsid w:val="00C677F5"/>
    <w:rsid w:val="00C67969"/>
    <w:rsid w:val="00C72F7E"/>
    <w:rsid w:val="00C74D21"/>
    <w:rsid w:val="00C75399"/>
    <w:rsid w:val="00C75B09"/>
    <w:rsid w:val="00C77FA7"/>
    <w:rsid w:val="00C84A37"/>
    <w:rsid w:val="00C9348F"/>
    <w:rsid w:val="00C93A7C"/>
    <w:rsid w:val="00C9717C"/>
    <w:rsid w:val="00CA15C6"/>
    <w:rsid w:val="00CA50FD"/>
    <w:rsid w:val="00CA7DAC"/>
    <w:rsid w:val="00CB0B7B"/>
    <w:rsid w:val="00CB74E2"/>
    <w:rsid w:val="00CC5229"/>
    <w:rsid w:val="00CC6882"/>
    <w:rsid w:val="00CC6D32"/>
    <w:rsid w:val="00CC6FD8"/>
    <w:rsid w:val="00CD1A3F"/>
    <w:rsid w:val="00CD2A1E"/>
    <w:rsid w:val="00CD3136"/>
    <w:rsid w:val="00CD3B8C"/>
    <w:rsid w:val="00CD455E"/>
    <w:rsid w:val="00CD45A5"/>
    <w:rsid w:val="00CE6D53"/>
    <w:rsid w:val="00CF1833"/>
    <w:rsid w:val="00CF34BB"/>
    <w:rsid w:val="00CF60D7"/>
    <w:rsid w:val="00CF6E5D"/>
    <w:rsid w:val="00D00799"/>
    <w:rsid w:val="00D00CFA"/>
    <w:rsid w:val="00D06ADE"/>
    <w:rsid w:val="00D14F6D"/>
    <w:rsid w:val="00D15629"/>
    <w:rsid w:val="00D15959"/>
    <w:rsid w:val="00D178A6"/>
    <w:rsid w:val="00D21E2E"/>
    <w:rsid w:val="00D2469F"/>
    <w:rsid w:val="00D30163"/>
    <w:rsid w:val="00D3127E"/>
    <w:rsid w:val="00D32176"/>
    <w:rsid w:val="00D37B10"/>
    <w:rsid w:val="00D4707B"/>
    <w:rsid w:val="00D473B0"/>
    <w:rsid w:val="00D5099D"/>
    <w:rsid w:val="00D50F17"/>
    <w:rsid w:val="00D532E6"/>
    <w:rsid w:val="00D54189"/>
    <w:rsid w:val="00D569B0"/>
    <w:rsid w:val="00D606AA"/>
    <w:rsid w:val="00D610DC"/>
    <w:rsid w:val="00D61301"/>
    <w:rsid w:val="00D622D5"/>
    <w:rsid w:val="00D63BBE"/>
    <w:rsid w:val="00D65C58"/>
    <w:rsid w:val="00D672E9"/>
    <w:rsid w:val="00D7093C"/>
    <w:rsid w:val="00D74255"/>
    <w:rsid w:val="00D74B10"/>
    <w:rsid w:val="00D75036"/>
    <w:rsid w:val="00D751F4"/>
    <w:rsid w:val="00D76C77"/>
    <w:rsid w:val="00D779E7"/>
    <w:rsid w:val="00D811E7"/>
    <w:rsid w:val="00D81971"/>
    <w:rsid w:val="00D94A1E"/>
    <w:rsid w:val="00D97E6B"/>
    <w:rsid w:val="00DA3318"/>
    <w:rsid w:val="00DA4936"/>
    <w:rsid w:val="00DA682B"/>
    <w:rsid w:val="00DB1B64"/>
    <w:rsid w:val="00DB28F1"/>
    <w:rsid w:val="00DC16F8"/>
    <w:rsid w:val="00DC5B15"/>
    <w:rsid w:val="00DD40D1"/>
    <w:rsid w:val="00DD56DD"/>
    <w:rsid w:val="00DD6878"/>
    <w:rsid w:val="00DE317F"/>
    <w:rsid w:val="00DE3619"/>
    <w:rsid w:val="00DF4315"/>
    <w:rsid w:val="00DF659A"/>
    <w:rsid w:val="00DF7FD9"/>
    <w:rsid w:val="00E16547"/>
    <w:rsid w:val="00E20945"/>
    <w:rsid w:val="00E2539C"/>
    <w:rsid w:val="00E30889"/>
    <w:rsid w:val="00E318C0"/>
    <w:rsid w:val="00E322DD"/>
    <w:rsid w:val="00E37B2C"/>
    <w:rsid w:val="00E4149A"/>
    <w:rsid w:val="00E431B1"/>
    <w:rsid w:val="00E47119"/>
    <w:rsid w:val="00E47375"/>
    <w:rsid w:val="00E5021B"/>
    <w:rsid w:val="00E539DA"/>
    <w:rsid w:val="00E56CE2"/>
    <w:rsid w:val="00E57375"/>
    <w:rsid w:val="00E648B6"/>
    <w:rsid w:val="00E6501B"/>
    <w:rsid w:val="00E66189"/>
    <w:rsid w:val="00E74366"/>
    <w:rsid w:val="00E8147C"/>
    <w:rsid w:val="00E837B3"/>
    <w:rsid w:val="00E84FE9"/>
    <w:rsid w:val="00E85809"/>
    <w:rsid w:val="00E94A7C"/>
    <w:rsid w:val="00E9747B"/>
    <w:rsid w:val="00EA27A9"/>
    <w:rsid w:val="00EA733F"/>
    <w:rsid w:val="00EB1AE5"/>
    <w:rsid w:val="00EB1C79"/>
    <w:rsid w:val="00EB4E8B"/>
    <w:rsid w:val="00EC0874"/>
    <w:rsid w:val="00EC23D4"/>
    <w:rsid w:val="00EC2B13"/>
    <w:rsid w:val="00EC55CA"/>
    <w:rsid w:val="00EC7D99"/>
    <w:rsid w:val="00ED2F10"/>
    <w:rsid w:val="00ED4459"/>
    <w:rsid w:val="00ED5E47"/>
    <w:rsid w:val="00ED6BC0"/>
    <w:rsid w:val="00ED771D"/>
    <w:rsid w:val="00EE0E09"/>
    <w:rsid w:val="00EF46AD"/>
    <w:rsid w:val="00EF7289"/>
    <w:rsid w:val="00EF79FC"/>
    <w:rsid w:val="00F07292"/>
    <w:rsid w:val="00F0738F"/>
    <w:rsid w:val="00F10325"/>
    <w:rsid w:val="00F105E7"/>
    <w:rsid w:val="00F1397F"/>
    <w:rsid w:val="00F13FEE"/>
    <w:rsid w:val="00F1617B"/>
    <w:rsid w:val="00F2557E"/>
    <w:rsid w:val="00F26CAD"/>
    <w:rsid w:val="00F27F5C"/>
    <w:rsid w:val="00F312E1"/>
    <w:rsid w:val="00F31574"/>
    <w:rsid w:val="00F33C5E"/>
    <w:rsid w:val="00F3428E"/>
    <w:rsid w:val="00F37EB2"/>
    <w:rsid w:val="00F40276"/>
    <w:rsid w:val="00F40E13"/>
    <w:rsid w:val="00F51C96"/>
    <w:rsid w:val="00F547A7"/>
    <w:rsid w:val="00F607ED"/>
    <w:rsid w:val="00F60A90"/>
    <w:rsid w:val="00F6156B"/>
    <w:rsid w:val="00F62B0E"/>
    <w:rsid w:val="00F63271"/>
    <w:rsid w:val="00F64B05"/>
    <w:rsid w:val="00F6648A"/>
    <w:rsid w:val="00F72F70"/>
    <w:rsid w:val="00F738C5"/>
    <w:rsid w:val="00F748F0"/>
    <w:rsid w:val="00F77FE3"/>
    <w:rsid w:val="00F82222"/>
    <w:rsid w:val="00F85206"/>
    <w:rsid w:val="00F91739"/>
    <w:rsid w:val="00F940D2"/>
    <w:rsid w:val="00F95616"/>
    <w:rsid w:val="00F957D1"/>
    <w:rsid w:val="00F95B2A"/>
    <w:rsid w:val="00F96170"/>
    <w:rsid w:val="00FA007C"/>
    <w:rsid w:val="00FA4D7B"/>
    <w:rsid w:val="00FA4EA3"/>
    <w:rsid w:val="00FA5972"/>
    <w:rsid w:val="00FA615E"/>
    <w:rsid w:val="00FA6316"/>
    <w:rsid w:val="00FA6426"/>
    <w:rsid w:val="00FC09C8"/>
    <w:rsid w:val="00FC3061"/>
    <w:rsid w:val="00FC59A0"/>
    <w:rsid w:val="00FD5006"/>
    <w:rsid w:val="00FE09F5"/>
    <w:rsid w:val="00FE1277"/>
    <w:rsid w:val="00FE1283"/>
    <w:rsid w:val="00FE2E27"/>
    <w:rsid w:val="00FE76E0"/>
    <w:rsid w:val="00FF006E"/>
    <w:rsid w:val="00FF08B1"/>
    <w:rsid w:val="00FF16B0"/>
    <w:rsid w:val="00FF1B90"/>
    <w:rsid w:val="00FF2D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7C644"/>
  <w15:chartTrackingRefBased/>
  <w15:docId w15:val="{E73276E4-550E-410D-946E-C7B82354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Body Text Indent" w:qFormat="1"/>
    <w:lsdException w:name="Subtitle" w:qFormat="1"/>
    <w:lsdException w:name="Body Text Indent 2" w:qFormat="1"/>
    <w:lsdException w:name="Body Text Indent 3"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link w:val="HeaderChar"/>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har"/>
    <w:basedOn w:val="Normal"/>
    <w:link w:val="FootnoteTextChar"/>
    <w:qFormat/>
    <w:rsid w:val="003F2B2D"/>
    <w:rPr>
      <w:sz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har Char"/>
    <w:basedOn w:val="DefaultParagraphFont"/>
    <w:link w:val="FootnoteText"/>
    <w:rsid w:val="003F2B2D"/>
    <w:rPr>
      <w:rFonts w:ascii="Arial" w:hAnsi="Arial"/>
      <w:lang w:eastAsia="en-US"/>
    </w:rPr>
  </w:style>
  <w:style w:type="character" w:styleId="FootnoteReference">
    <w:name w:val="footnote reference"/>
    <w:aliases w:val="Ref,de nota al pie,註腳內容,Footnote symbol,Style 12,(NECG) Footnote Reference,Footnote,Footnotes refss,Heading 6 Char1,do not use4 Char1,Footnote Reference1,Ref1,de nota al pie1,de nota al pie + (Asian) MS Mincho,11 pt,註?腳內—e,Nota,fr,o"/>
    <w:basedOn w:val="DefaultParagraphFont"/>
    <w:rsid w:val="003F2B2D"/>
    <w:rPr>
      <w:vertAlign w:val="superscript"/>
    </w:rPr>
  </w:style>
  <w:style w:type="character" w:customStyle="1" w:styleId="HeaderChar">
    <w:name w:val="Header Char"/>
    <w:link w:val="Header"/>
    <w:rsid w:val="00637F19"/>
    <w:rPr>
      <w:rFonts w:ascii="Arial" w:hAnsi="Arial"/>
      <w:sz w:val="24"/>
      <w:lang w:eastAsia="en-US"/>
    </w:rPr>
  </w:style>
  <w:style w:type="paragraph" w:styleId="ListParagraph">
    <w:name w:val="List Paragraph"/>
    <w:basedOn w:val="Normal"/>
    <w:uiPriority w:val="34"/>
    <w:qFormat/>
    <w:rsid w:val="00314C44"/>
    <w:pPr>
      <w:suppressAutoHyphens w:val="0"/>
      <w:spacing w:line="240" w:lineRule="auto"/>
      <w:ind w:left="720"/>
      <w:contextualSpacing/>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42363%27%5d&amp;xhitlist_md=target-id=0-0-0-21459"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011068%27%5d&amp;xhitlist_md=target-id=0-0-0-23183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5339%27%5d&amp;xhitlist_md=target-id=0-0-0-2318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2013</Template>
  <TotalTime>0</TotalTime>
  <Pages>9</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Mokone</cp:lastModifiedBy>
  <cp:revision>2</cp:revision>
  <cp:lastPrinted>2023-03-15T09:06:00Z</cp:lastPrinted>
  <dcterms:created xsi:type="dcterms:W3CDTF">2023-10-04T09:58:00Z</dcterms:created>
  <dcterms:modified xsi:type="dcterms:W3CDTF">2023-10-04T09:58:00Z</dcterms:modified>
</cp:coreProperties>
</file>