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EA18" w14:textId="68BC5244" w:rsidR="004957CD" w:rsidRPr="00DB3AA2" w:rsidRDefault="0053408E" w:rsidP="004957CD">
      <w:pPr>
        <w:jc w:val="center"/>
        <w:rPr>
          <w:rFonts w:ascii="Times New Roman" w:hAnsi="Times New Roman"/>
        </w:rPr>
      </w:pPr>
      <w:r>
        <w:rPr>
          <w:rFonts w:ascii="Times New Roman" w:hAnsi="Times New Roman"/>
          <w:noProof/>
          <w:lang w:val="en-US"/>
        </w:rPr>
        <w:drawing>
          <wp:inline distT="0" distB="0" distL="0" distR="0" wp14:anchorId="6B5D610E" wp14:editId="10856690">
            <wp:extent cx="685800"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14:paraId="53D7754E" w14:textId="77777777" w:rsidR="004957CD" w:rsidRPr="00DB3AA2" w:rsidRDefault="004957CD" w:rsidP="004957CD">
      <w:pPr>
        <w:jc w:val="center"/>
        <w:rPr>
          <w:rFonts w:ascii="Times New Roman" w:hAnsi="Times New Roman"/>
        </w:rPr>
      </w:pPr>
    </w:p>
    <w:p w14:paraId="0BBC2255" w14:textId="77777777" w:rsidR="004957CD" w:rsidRPr="00DB3AA2" w:rsidRDefault="004957CD" w:rsidP="004957CD">
      <w:pPr>
        <w:jc w:val="center"/>
        <w:rPr>
          <w:rFonts w:ascii="Times New Roman" w:hAnsi="Times New Roman"/>
        </w:rPr>
      </w:pPr>
    </w:p>
    <w:p w14:paraId="4B7DC70F" w14:textId="77777777" w:rsidR="004957CD" w:rsidRPr="00DB3AA2" w:rsidRDefault="004957CD" w:rsidP="004957CD">
      <w:pPr>
        <w:jc w:val="center"/>
        <w:rPr>
          <w:rFonts w:ascii="Times New Roman" w:hAnsi="Times New Roman"/>
          <w:b/>
          <w:bCs/>
          <w:sz w:val="32"/>
          <w:szCs w:val="32"/>
        </w:rPr>
      </w:pPr>
      <w:r w:rsidRPr="00DB3AA2">
        <w:rPr>
          <w:rFonts w:ascii="Times New Roman" w:hAnsi="Times New Roman"/>
          <w:b/>
          <w:bCs/>
          <w:sz w:val="32"/>
          <w:szCs w:val="32"/>
        </w:rPr>
        <w:t>IN THE HIGH COURT OF SOUTH AFRICA</w:t>
      </w:r>
    </w:p>
    <w:p w14:paraId="334A5C6C" w14:textId="77777777" w:rsidR="004957CD" w:rsidRPr="00DB3AA2" w:rsidRDefault="004957CD" w:rsidP="004957CD">
      <w:pPr>
        <w:jc w:val="center"/>
        <w:rPr>
          <w:rFonts w:ascii="Times New Roman" w:hAnsi="Times New Roman"/>
          <w:b/>
          <w:bCs/>
          <w:sz w:val="32"/>
          <w:szCs w:val="32"/>
        </w:rPr>
      </w:pPr>
      <w:r w:rsidRPr="00DB3AA2">
        <w:rPr>
          <w:rFonts w:ascii="Times New Roman" w:hAnsi="Times New Roman"/>
          <w:b/>
          <w:bCs/>
          <w:sz w:val="32"/>
          <w:szCs w:val="32"/>
        </w:rPr>
        <w:t>GAUTENG LOCAL DIVISION, JOHANNESBURG</w:t>
      </w:r>
    </w:p>
    <w:p w14:paraId="46C86A22" w14:textId="77777777" w:rsidR="004957CD" w:rsidRPr="00DB3AA2" w:rsidRDefault="004957CD" w:rsidP="004957CD">
      <w:pPr>
        <w:rPr>
          <w:rFonts w:ascii="Times New Roman" w:hAnsi="Times New Roman"/>
        </w:rPr>
      </w:pPr>
    </w:p>
    <w:p w14:paraId="119C7E75" w14:textId="77777777" w:rsidR="004957CD" w:rsidRPr="00DB3AA2" w:rsidRDefault="004957CD" w:rsidP="004957CD">
      <w:pPr>
        <w:rPr>
          <w:rFonts w:ascii="Times New Roman" w:hAnsi="Times New Roman"/>
        </w:rPr>
      </w:pPr>
    </w:p>
    <w:p w14:paraId="3BAC1BC1" w14:textId="5C642936" w:rsidR="004957CD" w:rsidRPr="00065B2B" w:rsidRDefault="00065B2B" w:rsidP="00065B2B">
      <w:pPr>
        <w:pBdr>
          <w:top w:val="single" w:sz="4" w:space="1" w:color="auto"/>
          <w:left w:val="single" w:sz="4" w:space="4" w:color="auto"/>
          <w:bottom w:val="single" w:sz="4" w:space="1" w:color="auto"/>
          <w:right w:val="single" w:sz="4" w:space="0" w:color="auto"/>
        </w:pBdr>
        <w:spacing w:line="240" w:lineRule="auto"/>
        <w:ind w:left="720" w:hanging="360"/>
        <w:rPr>
          <w:rFonts w:ascii="Times New Roman" w:hAnsi="Times New Roman"/>
        </w:rPr>
      </w:pPr>
      <w:r w:rsidRPr="00DB3AA2">
        <w:rPr>
          <w:rFonts w:ascii="Times New Roman" w:eastAsia="Calibri" w:hAnsi="Times New Roman"/>
          <w:sz w:val="22"/>
          <w:szCs w:val="22"/>
        </w:rPr>
        <w:t>(1)</w:t>
      </w:r>
      <w:r w:rsidRPr="00DB3AA2">
        <w:rPr>
          <w:rFonts w:ascii="Times New Roman" w:eastAsia="Calibri" w:hAnsi="Times New Roman"/>
          <w:sz w:val="22"/>
          <w:szCs w:val="22"/>
        </w:rPr>
        <w:tab/>
      </w:r>
      <w:r w:rsidR="004957CD" w:rsidRPr="00065B2B">
        <w:rPr>
          <w:rFonts w:ascii="Times New Roman" w:hAnsi="Times New Roman"/>
        </w:rPr>
        <w:t xml:space="preserve">REPORTABLE: </w:t>
      </w:r>
      <w:r w:rsidR="004957CD" w:rsidRPr="00065B2B">
        <w:rPr>
          <w:rFonts w:ascii="Times New Roman" w:hAnsi="Times New Roman"/>
          <w:strike/>
        </w:rPr>
        <w:t>YES</w:t>
      </w:r>
      <w:r w:rsidR="004957CD" w:rsidRPr="00065B2B">
        <w:rPr>
          <w:rFonts w:ascii="Times New Roman" w:hAnsi="Times New Roman"/>
        </w:rPr>
        <w:t>/NO</w:t>
      </w:r>
    </w:p>
    <w:p w14:paraId="54B19F5E" w14:textId="1CD1FE44" w:rsidR="004957CD" w:rsidRPr="00065B2B" w:rsidRDefault="00065B2B" w:rsidP="00065B2B">
      <w:pPr>
        <w:pBdr>
          <w:top w:val="single" w:sz="4" w:space="1" w:color="auto"/>
          <w:left w:val="single" w:sz="4" w:space="4" w:color="auto"/>
          <w:bottom w:val="single" w:sz="4" w:space="1" w:color="auto"/>
          <w:right w:val="single" w:sz="4" w:space="0" w:color="auto"/>
        </w:pBdr>
        <w:spacing w:line="240" w:lineRule="auto"/>
        <w:ind w:left="720" w:hanging="360"/>
        <w:rPr>
          <w:rFonts w:ascii="Times New Roman" w:hAnsi="Times New Roman"/>
        </w:rPr>
      </w:pPr>
      <w:r w:rsidRPr="00DB3AA2">
        <w:rPr>
          <w:rFonts w:ascii="Times New Roman" w:eastAsia="Calibri" w:hAnsi="Times New Roman"/>
          <w:sz w:val="22"/>
          <w:szCs w:val="22"/>
        </w:rPr>
        <w:t>(2)</w:t>
      </w:r>
      <w:r w:rsidRPr="00DB3AA2">
        <w:rPr>
          <w:rFonts w:ascii="Times New Roman" w:eastAsia="Calibri" w:hAnsi="Times New Roman"/>
          <w:sz w:val="22"/>
          <w:szCs w:val="22"/>
        </w:rPr>
        <w:tab/>
      </w:r>
      <w:r w:rsidR="004957CD" w:rsidRPr="00065B2B">
        <w:rPr>
          <w:rFonts w:ascii="Times New Roman" w:hAnsi="Times New Roman"/>
        </w:rPr>
        <w:t xml:space="preserve">OF INTEREST OF OTHER JUDGES: </w:t>
      </w:r>
      <w:r w:rsidR="004957CD" w:rsidRPr="00065B2B">
        <w:rPr>
          <w:rFonts w:ascii="Times New Roman" w:hAnsi="Times New Roman"/>
          <w:strike/>
        </w:rPr>
        <w:t>YES</w:t>
      </w:r>
      <w:r w:rsidR="004957CD" w:rsidRPr="00065B2B">
        <w:rPr>
          <w:rFonts w:ascii="Times New Roman" w:hAnsi="Times New Roman"/>
        </w:rPr>
        <w:t>/NO</w:t>
      </w:r>
    </w:p>
    <w:p w14:paraId="3D3BB456" w14:textId="731A0020" w:rsidR="004957CD" w:rsidRPr="00065B2B" w:rsidRDefault="00065B2B" w:rsidP="00065B2B">
      <w:pPr>
        <w:pBdr>
          <w:top w:val="single" w:sz="4" w:space="1" w:color="auto"/>
          <w:left w:val="single" w:sz="4" w:space="4" w:color="auto"/>
          <w:bottom w:val="single" w:sz="4" w:space="1" w:color="auto"/>
          <w:right w:val="single" w:sz="4" w:space="0" w:color="auto"/>
        </w:pBdr>
        <w:spacing w:line="240" w:lineRule="auto"/>
        <w:ind w:left="720" w:hanging="360"/>
        <w:rPr>
          <w:rFonts w:ascii="Times New Roman" w:hAnsi="Times New Roman"/>
        </w:rPr>
      </w:pPr>
      <w:r w:rsidRPr="00DB3AA2">
        <w:rPr>
          <w:rFonts w:ascii="Times New Roman" w:eastAsia="Calibri" w:hAnsi="Times New Roman"/>
          <w:sz w:val="22"/>
          <w:szCs w:val="22"/>
        </w:rPr>
        <w:t>(3)</w:t>
      </w:r>
      <w:r w:rsidRPr="00DB3AA2">
        <w:rPr>
          <w:rFonts w:ascii="Times New Roman" w:eastAsia="Calibri" w:hAnsi="Times New Roman"/>
          <w:sz w:val="22"/>
          <w:szCs w:val="22"/>
        </w:rPr>
        <w:tab/>
      </w:r>
      <w:r w:rsidR="004957CD" w:rsidRPr="00065B2B">
        <w:rPr>
          <w:rFonts w:ascii="Times New Roman" w:hAnsi="Times New Roman"/>
        </w:rPr>
        <w:t>REVISED</w:t>
      </w:r>
    </w:p>
    <w:p w14:paraId="36822341" w14:textId="77777777" w:rsidR="004957CD" w:rsidRPr="00DB3AA2" w:rsidRDefault="004957CD" w:rsidP="004957CD">
      <w:pPr>
        <w:pBdr>
          <w:top w:val="single" w:sz="4" w:space="1" w:color="auto"/>
          <w:left w:val="single" w:sz="4" w:space="4" w:color="auto"/>
          <w:bottom w:val="single" w:sz="4" w:space="1" w:color="auto"/>
          <w:right w:val="single" w:sz="4" w:space="0" w:color="auto"/>
        </w:pBdr>
        <w:ind w:left="360"/>
        <w:rPr>
          <w:rFonts w:ascii="Times New Roman" w:hAnsi="Times New Roman"/>
        </w:rPr>
      </w:pPr>
      <w:r w:rsidRPr="00DB3AA2">
        <w:rPr>
          <w:rFonts w:ascii="Times New Roman" w:hAnsi="Times New Roman"/>
        </w:rPr>
        <w:t>_________________                               ________________________</w:t>
      </w:r>
    </w:p>
    <w:p w14:paraId="398F508D" w14:textId="77777777" w:rsidR="004957CD" w:rsidRPr="00DB3AA2" w:rsidRDefault="004957CD" w:rsidP="004957CD">
      <w:pPr>
        <w:pBdr>
          <w:top w:val="single" w:sz="4" w:space="1" w:color="auto"/>
          <w:left w:val="single" w:sz="4" w:space="4" w:color="auto"/>
          <w:bottom w:val="single" w:sz="4" w:space="1" w:color="auto"/>
          <w:right w:val="single" w:sz="4" w:space="0" w:color="auto"/>
        </w:pBdr>
        <w:ind w:left="360"/>
        <w:rPr>
          <w:rFonts w:ascii="Times New Roman" w:hAnsi="Times New Roman"/>
        </w:rPr>
      </w:pPr>
      <w:r w:rsidRPr="00DB3AA2">
        <w:rPr>
          <w:rFonts w:ascii="Times New Roman" w:hAnsi="Times New Roman"/>
        </w:rPr>
        <w:t>DATE</w:t>
      </w:r>
      <w:r w:rsidRPr="00DB3AA2">
        <w:rPr>
          <w:rFonts w:ascii="Times New Roman" w:hAnsi="Times New Roman"/>
        </w:rPr>
        <w:tab/>
      </w:r>
      <w:r w:rsidRPr="00DB3AA2">
        <w:rPr>
          <w:rFonts w:ascii="Times New Roman" w:hAnsi="Times New Roman"/>
        </w:rPr>
        <w:tab/>
      </w:r>
      <w:r w:rsidRPr="00DB3AA2">
        <w:rPr>
          <w:rFonts w:ascii="Times New Roman" w:hAnsi="Times New Roman"/>
        </w:rPr>
        <w:tab/>
      </w:r>
      <w:r w:rsidRPr="00DB3AA2">
        <w:rPr>
          <w:rFonts w:ascii="Times New Roman" w:hAnsi="Times New Roman"/>
        </w:rPr>
        <w:tab/>
        <w:t xml:space="preserve">         SIGNATURE</w:t>
      </w:r>
    </w:p>
    <w:p w14:paraId="4A120631" w14:textId="77777777" w:rsidR="004957CD" w:rsidRPr="00DB3AA2" w:rsidRDefault="004957CD" w:rsidP="004957CD">
      <w:pPr>
        <w:pBdr>
          <w:top w:val="single" w:sz="4" w:space="1" w:color="auto"/>
          <w:left w:val="single" w:sz="4" w:space="4" w:color="auto"/>
          <w:bottom w:val="single" w:sz="4" w:space="1" w:color="auto"/>
          <w:right w:val="single" w:sz="4" w:space="0" w:color="auto"/>
        </w:pBdr>
        <w:ind w:left="360"/>
        <w:rPr>
          <w:rFonts w:ascii="Times New Roman" w:hAnsi="Times New Roman"/>
        </w:rPr>
      </w:pPr>
    </w:p>
    <w:p w14:paraId="30845EE4" w14:textId="77777777" w:rsidR="004957CD" w:rsidRPr="00DB3AA2" w:rsidRDefault="004957CD" w:rsidP="004957CD">
      <w:pPr>
        <w:rPr>
          <w:rFonts w:ascii="Times New Roman" w:hAnsi="Times New Roman"/>
        </w:rPr>
      </w:pPr>
    </w:p>
    <w:p w14:paraId="6139298B" w14:textId="5D4B2C9E" w:rsidR="004957CD" w:rsidRPr="00DB3AA2" w:rsidRDefault="004D33E9" w:rsidP="004957CD">
      <w:pPr>
        <w:jc w:val="right"/>
        <w:rPr>
          <w:rFonts w:ascii="Times New Roman" w:hAnsi="Times New Roman"/>
          <w:sz w:val="28"/>
          <w:szCs w:val="28"/>
        </w:rPr>
      </w:pPr>
      <w:r w:rsidRPr="00DB3AA2">
        <w:rPr>
          <w:rFonts w:ascii="Times New Roman" w:hAnsi="Times New Roman"/>
          <w:sz w:val="28"/>
          <w:szCs w:val="28"/>
        </w:rPr>
        <w:t>Case no: 25092/2014</w:t>
      </w:r>
    </w:p>
    <w:p w14:paraId="7878FAB9" w14:textId="77777777" w:rsidR="004D33E9" w:rsidRPr="00DB3AA2" w:rsidRDefault="004D33E9" w:rsidP="004957CD">
      <w:pPr>
        <w:jc w:val="right"/>
        <w:rPr>
          <w:rFonts w:ascii="Times New Roman" w:hAnsi="Times New Roman"/>
          <w:sz w:val="28"/>
          <w:szCs w:val="28"/>
        </w:rPr>
      </w:pPr>
    </w:p>
    <w:p w14:paraId="71A15040" w14:textId="0D08BAF1" w:rsidR="004D33E9" w:rsidRPr="00DB3AA2" w:rsidRDefault="004D33E9" w:rsidP="004D33E9">
      <w:pPr>
        <w:rPr>
          <w:rFonts w:ascii="Times New Roman" w:hAnsi="Times New Roman"/>
          <w:szCs w:val="24"/>
        </w:rPr>
      </w:pPr>
      <w:r w:rsidRPr="00DB3AA2">
        <w:rPr>
          <w:rFonts w:ascii="Times New Roman" w:hAnsi="Times New Roman"/>
          <w:szCs w:val="24"/>
        </w:rPr>
        <w:t>In the matter between:</w:t>
      </w:r>
    </w:p>
    <w:p w14:paraId="2F044951" w14:textId="4CFD1F80" w:rsidR="004D33E9" w:rsidRPr="00DB3AA2" w:rsidRDefault="001A35C2" w:rsidP="001A35C2">
      <w:pPr>
        <w:pStyle w:val="Parties"/>
        <w:rPr>
          <w:rFonts w:ascii="Times New Roman" w:hAnsi="Times New Roman"/>
          <w:b/>
          <w:bCs/>
        </w:rPr>
      </w:pPr>
      <w:r w:rsidRPr="00DB3AA2">
        <w:rPr>
          <w:rFonts w:ascii="Times New Roman" w:hAnsi="Times New Roman"/>
          <w:b/>
          <w:bCs/>
        </w:rPr>
        <w:t>WK CONSTRUCTION (PTY) LTD</w:t>
      </w:r>
      <w:r w:rsidRPr="00DB3AA2">
        <w:rPr>
          <w:rFonts w:ascii="Times New Roman" w:hAnsi="Times New Roman"/>
          <w:b/>
          <w:bCs/>
        </w:rPr>
        <w:tab/>
        <w:t>Plaintiff/Respondent</w:t>
      </w:r>
    </w:p>
    <w:p w14:paraId="29599F1F" w14:textId="77777777" w:rsidR="001A35C2" w:rsidRPr="00DB3AA2" w:rsidRDefault="001A35C2" w:rsidP="001A35C2">
      <w:pPr>
        <w:pStyle w:val="Parties"/>
        <w:rPr>
          <w:rFonts w:ascii="Times New Roman" w:hAnsi="Times New Roman"/>
        </w:rPr>
      </w:pPr>
    </w:p>
    <w:p w14:paraId="47B12309" w14:textId="77777777" w:rsidR="001A35C2" w:rsidRPr="00DB3AA2" w:rsidRDefault="001A35C2" w:rsidP="001A35C2">
      <w:pPr>
        <w:pStyle w:val="Parties"/>
        <w:rPr>
          <w:rFonts w:ascii="Times New Roman" w:hAnsi="Times New Roman"/>
        </w:rPr>
      </w:pPr>
    </w:p>
    <w:p w14:paraId="3B51E7D7" w14:textId="77777777" w:rsidR="001A35C2" w:rsidRPr="00DB3AA2" w:rsidRDefault="001A35C2" w:rsidP="001A35C2">
      <w:pPr>
        <w:pStyle w:val="Parties"/>
        <w:rPr>
          <w:rFonts w:ascii="Times New Roman" w:hAnsi="Times New Roman"/>
        </w:rPr>
      </w:pPr>
    </w:p>
    <w:p w14:paraId="0F571CEF" w14:textId="1CFCAD4B" w:rsidR="001A35C2" w:rsidRPr="00DB3AA2" w:rsidRDefault="00DB3AA2" w:rsidP="001A35C2">
      <w:pPr>
        <w:pStyle w:val="Parties"/>
        <w:rPr>
          <w:rFonts w:ascii="Times New Roman" w:hAnsi="Times New Roman"/>
        </w:rPr>
      </w:pPr>
      <w:proofErr w:type="gramStart"/>
      <w:r>
        <w:rPr>
          <w:rFonts w:ascii="Times New Roman" w:hAnsi="Times New Roman"/>
        </w:rPr>
        <w:t>a</w:t>
      </w:r>
      <w:r w:rsidR="001A35C2" w:rsidRPr="00DB3AA2">
        <w:rPr>
          <w:rFonts w:ascii="Times New Roman" w:hAnsi="Times New Roman"/>
        </w:rPr>
        <w:t>nd</w:t>
      </w:r>
      <w:proofErr w:type="gramEnd"/>
    </w:p>
    <w:p w14:paraId="0F774150" w14:textId="77777777" w:rsidR="001A35C2" w:rsidRPr="00DB3AA2" w:rsidRDefault="001A35C2" w:rsidP="001A35C2">
      <w:pPr>
        <w:pStyle w:val="Parties"/>
        <w:rPr>
          <w:rFonts w:ascii="Times New Roman" w:hAnsi="Times New Roman"/>
        </w:rPr>
      </w:pPr>
    </w:p>
    <w:p w14:paraId="62028738" w14:textId="77777777" w:rsidR="001A35C2" w:rsidRPr="00DB3AA2" w:rsidRDefault="001A35C2" w:rsidP="001A35C2">
      <w:pPr>
        <w:pStyle w:val="Parties"/>
        <w:rPr>
          <w:rFonts w:ascii="Times New Roman" w:hAnsi="Times New Roman"/>
        </w:rPr>
      </w:pPr>
    </w:p>
    <w:p w14:paraId="2840ECB9" w14:textId="77777777" w:rsidR="001A35C2" w:rsidRPr="00DB3AA2" w:rsidRDefault="001A35C2" w:rsidP="001A35C2">
      <w:pPr>
        <w:pStyle w:val="Parties"/>
        <w:rPr>
          <w:rFonts w:ascii="Times New Roman" w:hAnsi="Times New Roman"/>
        </w:rPr>
      </w:pPr>
    </w:p>
    <w:p w14:paraId="1B82D4A8" w14:textId="7BB5B4A5" w:rsidR="001A35C2" w:rsidRPr="00DB3AA2" w:rsidRDefault="00E33A73" w:rsidP="001A35C2">
      <w:pPr>
        <w:pStyle w:val="Parties"/>
        <w:rPr>
          <w:rFonts w:ascii="Times New Roman" w:hAnsi="Times New Roman"/>
          <w:b/>
          <w:bCs/>
        </w:rPr>
      </w:pPr>
      <w:r w:rsidRPr="00DB3AA2">
        <w:rPr>
          <w:rFonts w:ascii="Times New Roman" w:hAnsi="Times New Roman"/>
          <w:b/>
          <w:bCs/>
        </w:rPr>
        <w:t>PAUL DONOVAN BROWN</w:t>
      </w:r>
      <w:r w:rsidRPr="00DB3AA2">
        <w:rPr>
          <w:rFonts w:ascii="Times New Roman" w:hAnsi="Times New Roman"/>
          <w:b/>
          <w:bCs/>
        </w:rPr>
        <w:tab/>
        <w:t>Defendant/Applicant</w:t>
      </w:r>
    </w:p>
    <w:p w14:paraId="22AF7D42" w14:textId="77777777" w:rsidR="00E33A73" w:rsidRPr="00DB3AA2" w:rsidRDefault="00E33A73" w:rsidP="001A35C2">
      <w:pPr>
        <w:pStyle w:val="Parties"/>
        <w:rPr>
          <w:rFonts w:ascii="Times New Roman" w:hAnsi="Times New Roman"/>
        </w:rPr>
      </w:pPr>
    </w:p>
    <w:p w14:paraId="603B9559" w14:textId="77777777" w:rsidR="00E33A73" w:rsidRPr="00DB3AA2" w:rsidRDefault="00E33A73" w:rsidP="001A35C2">
      <w:pPr>
        <w:pStyle w:val="Parties"/>
        <w:rPr>
          <w:rFonts w:ascii="Times New Roman" w:hAnsi="Times New Roman"/>
        </w:rPr>
      </w:pPr>
    </w:p>
    <w:p w14:paraId="0E182FCE" w14:textId="77777777" w:rsidR="00E33A73" w:rsidRPr="00DB3AA2" w:rsidRDefault="00E33A73" w:rsidP="001A35C2">
      <w:pPr>
        <w:pStyle w:val="Parties"/>
        <w:rPr>
          <w:rFonts w:ascii="Times New Roman" w:hAnsi="Times New Roman"/>
        </w:rPr>
      </w:pPr>
    </w:p>
    <w:p w14:paraId="6FFACC34" w14:textId="39B525AD" w:rsidR="00E33A73" w:rsidRPr="00DB3AA2" w:rsidRDefault="00E33A73" w:rsidP="00E33A73">
      <w:pPr>
        <w:pStyle w:val="Tramlinescentred"/>
        <w:rPr>
          <w:rFonts w:ascii="Times New Roman" w:hAnsi="Times New Roman"/>
        </w:rPr>
      </w:pPr>
      <w:r w:rsidRPr="00DB3AA2">
        <w:rPr>
          <w:rFonts w:ascii="Times New Roman" w:hAnsi="Times New Roman"/>
        </w:rPr>
        <w:lastRenderedPageBreak/>
        <w:t>JUDGMENT: APPLICATION TO COMPEL DISCOVERY</w:t>
      </w:r>
    </w:p>
    <w:p w14:paraId="6606355C" w14:textId="2FAAB698" w:rsidR="004C2AE4" w:rsidRPr="005E3A7F" w:rsidRDefault="00E33A73" w:rsidP="008A21C4">
      <w:pPr>
        <w:rPr>
          <w:rFonts w:ascii="Times New Roman" w:hAnsi="Times New Roman"/>
          <w:b/>
          <w:bCs/>
        </w:rPr>
      </w:pPr>
      <w:r w:rsidRPr="005E3A7F">
        <w:rPr>
          <w:rFonts w:ascii="Times New Roman" w:hAnsi="Times New Roman"/>
          <w:b/>
          <w:bCs/>
        </w:rPr>
        <w:t>FRIEDMAN AJ:</w:t>
      </w:r>
    </w:p>
    <w:p w14:paraId="6E4BE78A" w14:textId="64DEEAF1" w:rsidR="008A21C4"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w:t>
      </w:r>
      <w:bookmarkStart w:id="0" w:name="_GoBack"/>
      <w:bookmarkEnd w:id="0"/>
      <w:r w:rsidRPr="00DB3AA2">
        <w:rPr>
          <w:rFonts w:ascii="Times New Roman" w:hAnsi="Times New Roman"/>
        </w:rPr>
        <w:tab/>
      </w:r>
      <w:r w:rsidR="008A21C4" w:rsidRPr="00DB3AA2">
        <w:rPr>
          <w:rFonts w:ascii="Times New Roman" w:hAnsi="Times New Roman"/>
        </w:rPr>
        <w:t xml:space="preserve">In this matter, the plaintiff (“WK Construction”) has sued the defendant (“Mr Brown”) for damages which it says that it sustained as a result of Mr Brown’s </w:t>
      </w:r>
      <w:r w:rsidR="008D035A" w:rsidRPr="00DB3AA2">
        <w:rPr>
          <w:rFonts w:ascii="Times New Roman" w:hAnsi="Times New Roman"/>
        </w:rPr>
        <w:t>conduct</w:t>
      </w:r>
      <w:r w:rsidR="008A21C4" w:rsidRPr="00DB3AA2">
        <w:rPr>
          <w:rFonts w:ascii="Times New Roman" w:hAnsi="Times New Roman"/>
        </w:rPr>
        <w:t xml:space="preserve"> when he was a director of WK Construction. Mr Brown resigned as a director of WK Construction on 1 August 2013.</w:t>
      </w:r>
    </w:p>
    <w:p w14:paraId="414A4DED" w14:textId="64D545AD" w:rsidR="008A21C4"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w:t>
      </w:r>
      <w:r w:rsidRPr="00DB3AA2">
        <w:rPr>
          <w:rFonts w:ascii="Times New Roman" w:hAnsi="Times New Roman"/>
        </w:rPr>
        <w:tab/>
      </w:r>
      <w:r w:rsidR="008A21C4" w:rsidRPr="00DB3AA2">
        <w:rPr>
          <w:rFonts w:ascii="Times New Roman" w:hAnsi="Times New Roman"/>
        </w:rPr>
        <w:t xml:space="preserve">The proceedings before me take the form of an interlocutory application brought by Mr Brown to compel WK Construction to produce, as part of the discovery process in respect of the trial, a collection of documents which the parties describe as the “Hay file notes” (and I shall do the same). The Hay file notes were generated by an attorney </w:t>
      </w:r>
      <w:r w:rsidR="008613C4" w:rsidRPr="00DB3AA2">
        <w:rPr>
          <w:rFonts w:ascii="Times New Roman" w:hAnsi="Times New Roman"/>
        </w:rPr>
        <w:t xml:space="preserve">(“Mr Hay”) </w:t>
      </w:r>
      <w:r w:rsidR="008A21C4" w:rsidRPr="00DB3AA2">
        <w:rPr>
          <w:rFonts w:ascii="Times New Roman" w:hAnsi="Times New Roman"/>
        </w:rPr>
        <w:t xml:space="preserve">acting for WK Construction and </w:t>
      </w:r>
      <w:r w:rsidR="008613C4" w:rsidRPr="00DB3AA2">
        <w:rPr>
          <w:rFonts w:ascii="Times New Roman" w:hAnsi="Times New Roman"/>
        </w:rPr>
        <w:t xml:space="preserve">(it is common cause) </w:t>
      </w:r>
      <w:r w:rsidR="008A21C4" w:rsidRPr="00DB3AA2">
        <w:rPr>
          <w:rFonts w:ascii="Times New Roman" w:hAnsi="Times New Roman"/>
        </w:rPr>
        <w:t xml:space="preserve">record </w:t>
      </w:r>
      <w:r w:rsidR="008613C4" w:rsidRPr="00DB3AA2">
        <w:rPr>
          <w:rFonts w:ascii="Times New Roman" w:hAnsi="Times New Roman"/>
        </w:rPr>
        <w:t xml:space="preserve">the contents of consultations conducted between the chairman of WK Construction at the time (“Mr </w:t>
      </w:r>
      <w:proofErr w:type="spellStart"/>
      <w:r w:rsidR="008613C4" w:rsidRPr="00DB3AA2">
        <w:rPr>
          <w:rFonts w:ascii="Times New Roman" w:hAnsi="Times New Roman"/>
        </w:rPr>
        <w:t>Kusel</w:t>
      </w:r>
      <w:proofErr w:type="spellEnd"/>
      <w:r w:rsidR="008613C4" w:rsidRPr="00DB3AA2">
        <w:rPr>
          <w:rFonts w:ascii="Times New Roman" w:hAnsi="Times New Roman"/>
        </w:rPr>
        <w:t>”) and Mr Hay.</w:t>
      </w:r>
    </w:p>
    <w:p w14:paraId="45192F00" w14:textId="10F36779" w:rsidR="00A454E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w:t>
      </w:r>
      <w:r w:rsidRPr="00DB3AA2">
        <w:rPr>
          <w:rFonts w:ascii="Times New Roman" w:hAnsi="Times New Roman"/>
        </w:rPr>
        <w:tab/>
      </w:r>
      <w:r w:rsidR="00A454EB" w:rsidRPr="00DB3AA2">
        <w:rPr>
          <w:rFonts w:ascii="Times New Roman" w:hAnsi="Times New Roman"/>
        </w:rPr>
        <w:t>WK Construction seeks to avoid disclosing the Hay file notes to Mr Brown on the basis that, according to WK Construction, they are privileged. It is this stance which has caused the need for me to determine this application.</w:t>
      </w:r>
    </w:p>
    <w:p w14:paraId="05A11E24" w14:textId="197C0DD0" w:rsidR="00A454EB" w:rsidRPr="00DB3AA2" w:rsidRDefault="00A454EB" w:rsidP="00A454EB">
      <w:pPr>
        <w:pStyle w:val="Heading1"/>
        <w:rPr>
          <w:rFonts w:ascii="Times New Roman" w:hAnsi="Times New Roman"/>
        </w:rPr>
      </w:pPr>
      <w:r w:rsidRPr="00DB3AA2">
        <w:rPr>
          <w:rFonts w:ascii="Times New Roman" w:hAnsi="Times New Roman"/>
        </w:rPr>
        <w:t>THE BACKGROUND</w:t>
      </w:r>
    </w:p>
    <w:p w14:paraId="472AA454" w14:textId="7E940E3E" w:rsidR="00A454E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w:t>
      </w:r>
      <w:r w:rsidRPr="00DB3AA2">
        <w:rPr>
          <w:rFonts w:ascii="Times New Roman" w:hAnsi="Times New Roman"/>
        </w:rPr>
        <w:tab/>
      </w:r>
      <w:r w:rsidR="00A454EB" w:rsidRPr="00DB3AA2">
        <w:rPr>
          <w:rFonts w:ascii="Times New Roman" w:hAnsi="Times New Roman"/>
        </w:rPr>
        <w:t xml:space="preserve">The facts of the main </w:t>
      </w:r>
      <w:r w:rsidR="002C45F0">
        <w:rPr>
          <w:rFonts w:ascii="Times New Roman" w:hAnsi="Times New Roman"/>
        </w:rPr>
        <w:t>action</w:t>
      </w:r>
      <w:r w:rsidR="00A454EB" w:rsidRPr="00DB3AA2">
        <w:rPr>
          <w:rFonts w:ascii="Times New Roman" w:hAnsi="Times New Roman"/>
        </w:rPr>
        <w:t xml:space="preserve"> are not directly relevant to the proceedings before me. It is, however, necessary for me to give a very cursory explanation of the underlying dispute because it is relevant to the arguments advanced by the parties. I should note, at the outset, that both parties have made clear that the facts of this matter are h</w:t>
      </w:r>
      <w:r w:rsidR="009C324A" w:rsidRPr="00DB3AA2">
        <w:rPr>
          <w:rFonts w:ascii="Times New Roman" w:hAnsi="Times New Roman"/>
        </w:rPr>
        <w:t>eavily in dispute</w:t>
      </w:r>
      <w:r w:rsidR="00A454EB" w:rsidRPr="00DB3AA2">
        <w:rPr>
          <w:rFonts w:ascii="Times New Roman" w:hAnsi="Times New Roman"/>
        </w:rPr>
        <w:t>. The</w:t>
      </w:r>
      <w:r w:rsidR="00C27836" w:rsidRPr="00DB3AA2">
        <w:rPr>
          <w:rFonts w:ascii="Times New Roman" w:hAnsi="Times New Roman"/>
        </w:rPr>
        <w:t xml:space="preserve"> </w:t>
      </w:r>
      <w:r w:rsidR="00C27836" w:rsidRPr="00DB3AA2">
        <w:rPr>
          <w:rFonts w:ascii="Times New Roman" w:hAnsi="Times New Roman"/>
        </w:rPr>
        <w:lastRenderedPageBreak/>
        <w:t xml:space="preserve">true facts will no doubt emerge during the trial. </w:t>
      </w:r>
      <w:r w:rsidR="00BC5C3E" w:rsidRPr="00DB3AA2">
        <w:rPr>
          <w:rFonts w:ascii="Times New Roman" w:hAnsi="Times New Roman"/>
        </w:rPr>
        <w:t>In the founding affidavit, the facts from Mr Brown’s perspective</w:t>
      </w:r>
      <w:r w:rsidR="009C324A" w:rsidRPr="00DB3AA2">
        <w:rPr>
          <w:rFonts w:ascii="Times New Roman" w:hAnsi="Times New Roman"/>
        </w:rPr>
        <w:t xml:space="preserve"> were set out, and it was accepted that they are “hotly contested”</w:t>
      </w:r>
      <w:r w:rsidR="00466E5D" w:rsidRPr="00DB3AA2">
        <w:rPr>
          <w:rFonts w:ascii="Times New Roman" w:hAnsi="Times New Roman"/>
        </w:rPr>
        <w:t xml:space="preserve">. In the very short answering affidavit filed by WK Construction, it was accepted that, </w:t>
      </w:r>
      <w:r w:rsidR="00A13DD9">
        <w:rPr>
          <w:rFonts w:ascii="Times New Roman" w:hAnsi="Times New Roman"/>
        </w:rPr>
        <w:t xml:space="preserve">only </w:t>
      </w:r>
      <w:r w:rsidR="00466E5D" w:rsidRPr="00DB3AA2">
        <w:rPr>
          <w:rFonts w:ascii="Times New Roman" w:hAnsi="Times New Roman"/>
        </w:rPr>
        <w:t xml:space="preserve">for the purposes of this application, the facts as set out </w:t>
      </w:r>
      <w:r w:rsidR="0018431C" w:rsidRPr="00DB3AA2">
        <w:rPr>
          <w:rFonts w:ascii="Times New Roman" w:hAnsi="Times New Roman"/>
        </w:rPr>
        <w:t xml:space="preserve">on Mr Brown’s behalf </w:t>
      </w:r>
      <w:r w:rsidR="00F206D4">
        <w:rPr>
          <w:rFonts w:ascii="Times New Roman" w:hAnsi="Times New Roman"/>
        </w:rPr>
        <w:t xml:space="preserve">in the founding affidavit in this interlocutory matter </w:t>
      </w:r>
      <w:r w:rsidR="0018431C" w:rsidRPr="00DB3AA2">
        <w:rPr>
          <w:rFonts w:ascii="Times New Roman" w:hAnsi="Times New Roman"/>
        </w:rPr>
        <w:t xml:space="preserve">could be taken to be correct (without a concession that they are correct for the purposes of the trial). What I say below is therefore taken from the founding affidavit </w:t>
      </w:r>
      <w:r w:rsidR="00AA4E6D" w:rsidRPr="00DB3AA2">
        <w:rPr>
          <w:rFonts w:ascii="Times New Roman" w:hAnsi="Times New Roman"/>
        </w:rPr>
        <w:t>on the basis of this agreement, and I do not express any view on the correctness of these facts.</w:t>
      </w:r>
    </w:p>
    <w:p w14:paraId="6E77ED6C" w14:textId="15A5394D" w:rsidR="00A454E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w:t>
      </w:r>
      <w:r w:rsidRPr="00DB3AA2">
        <w:rPr>
          <w:rFonts w:ascii="Times New Roman" w:hAnsi="Times New Roman"/>
        </w:rPr>
        <w:tab/>
      </w:r>
      <w:r w:rsidR="007E7690" w:rsidRPr="00DB3AA2">
        <w:rPr>
          <w:rFonts w:ascii="Times New Roman" w:hAnsi="Times New Roman"/>
        </w:rPr>
        <w:t xml:space="preserve">As already mentioned, Mr Brown was a director of WK Construction until 1 August 2013. During the period May 2010 to June 2010, </w:t>
      </w:r>
      <w:r w:rsidR="00197654" w:rsidRPr="00DB3AA2">
        <w:rPr>
          <w:rFonts w:ascii="Times New Roman" w:hAnsi="Times New Roman"/>
        </w:rPr>
        <w:t xml:space="preserve">Mr Brown conducted an investigation into the viability of a coal mining operation at </w:t>
      </w:r>
      <w:proofErr w:type="spellStart"/>
      <w:r w:rsidR="00197654" w:rsidRPr="00DB3AA2">
        <w:rPr>
          <w:rFonts w:ascii="Times New Roman" w:hAnsi="Times New Roman"/>
        </w:rPr>
        <w:t>Chibondo</w:t>
      </w:r>
      <w:proofErr w:type="spellEnd"/>
      <w:r w:rsidR="00197654" w:rsidRPr="00DB3AA2">
        <w:rPr>
          <w:rFonts w:ascii="Times New Roman" w:hAnsi="Times New Roman"/>
        </w:rPr>
        <w:t xml:space="preserve"> mine in Zimbabwe.</w:t>
      </w:r>
      <w:r w:rsidR="00AB5C5B" w:rsidRPr="00DB3AA2">
        <w:rPr>
          <w:rFonts w:ascii="Times New Roman" w:hAnsi="Times New Roman"/>
        </w:rPr>
        <w:t xml:space="preserve"> To cut a long story as short as possible, it would appear that </w:t>
      </w:r>
      <w:r w:rsidR="00D07742" w:rsidRPr="00DB3AA2">
        <w:rPr>
          <w:rFonts w:ascii="Times New Roman" w:hAnsi="Times New Roman"/>
        </w:rPr>
        <w:t>WK Con</w:t>
      </w:r>
      <w:r w:rsidR="00DB05C2" w:rsidRPr="00DB3AA2">
        <w:rPr>
          <w:rFonts w:ascii="Times New Roman" w:hAnsi="Times New Roman"/>
        </w:rPr>
        <w:t xml:space="preserve">struction decided to take over the mining operations on the basis of a falsified report which incorrectly concluded that the body of coal at the mine consisted of good quality coking coal. </w:t>
      </w:r>
      <w:r w:rsidR="00F00DC8" w:rsidRPr="00DB3AA2">
        <w:rPr>
          <w:rFonts w:ascii="Times New Roman" w:hAnsi="Times New Roman"/>
        </w:rPr>
        <w:t xml:space="preserve">The decision to take over the mining operations at </w:t>
      </w:r>
      <w:proofErr w:type="spellStart"/>
      <w:r w:rsidR="00F00DC8" w:rsidRPr="00DB3AA2">
        <w:rPr>
          <w:rFonts w:ascii="Times New Roman" w:hAnsi="Times New Roman"/>
        </w:rPr>
        <w:t>Chibondo</w:t>
      </w:r>
      <w:proofErr w:type="spellEnd"/>
      <w:r w:rsidR="00F00DC8" w:rsidRPr="00DB3AA2">
        <w:rPr>
          <w:rFonts w:ascii="Times New Roman" w:hAnsi="Times New Roman"/>
        </w:rPr>
        <w:t xml:space="preserve"> resulted in WK Constructing </w:t>
      </w:r>
      <w:r w:rsidR="0048319A" w:rsidRPr="00DB3AA2">
        <w:rPr>
          <w:rFonts w:ascii="Times New Roman" w:hAnsi="Times New Roman"/>
        </w:rPr>
        <w:t>b</w:t>
      </w:r>
      <w:r w:rsidR="00805472" w:rsidRPr="00DB3AA2">
        <w:rPr>
          <w:rFonts w:ascii="Times New Roman" w:hAnsi="Times New Roman"/>
        </w:rPr>
        <w:t>uy</w:t>
      </w:r>
      <w:r w:rsidR="0048319A" w:rsidRPr="00DB3AA2">
        <w:rPr>
          <w:rFonts w:ascii="Times New Roman" w:hAnsi="Times New Roman"/>
        </w:rPr>
        <w:t xml:space="preserve">ing the shares in the company, described in the papers as PMS, which had up until then been conducting the mining operations there. </w:t>
      </w:r>
      <w:r w:rsidR="00186BCD" w:rsidRPr="00DB3AA2">
        <w:rPr>
          <w:rFonts w:ascii="Times New Roman" w:hAnsi="Times New Roman"/>
        </w:rPr>
        <w:t>A few months after that agreement was concluded, the fact that the quality of the coal had been misre</w:t>
      </w:r>
      <w:r w:rsidR="009E07F9" w:rsidRPr="00DB3AA2">
        <w:rPr>
          <w:rFonts w:ascii="Times New Roman" w:hAnsi="Times New Roman"/>
        </w:rPr>
        <w:t>pre</w:t>
      </w:r>
      <w:r w:rsidR="00186BCD" w:rsidRPr="00DB3AA2">
        <w:rPr>
          <w:rFonts w:ascii="Times New Roman" w:hAnsi="Times New Roman"/>
        </w:rPr>
        <w:t>sented in the report was discovered by WK Construction and Mr Brown.</w:t>
      </w:r>
    </w:p>
    <w:p w14:paraId="19CFFE52" w14:textId="21B41C0F" w:rsidR="00186BCD"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w:t>
      </w:r>
      <w:r w:rsidRPr="00DB3AA2">
        <w:rPr>
          <w:rFonts w:ascii="Times New Roman" w:hAnsi="Times New Roman"/>
        </w:rPr>
        <w:tab/>
      </w:r>
      <w:r w:rsidR="00F257C0" w:rsidRPr="00DB3AA2">
        <w:rPr>
          <w:rFonts w:ascii="Times New Roman" w:hAnsi="Times New Roman"/>
        </w:rPr>
        <w:t>A special board meeting was called in December 2010, once the falsification of the coal’s quality came to light</w:t>
      </w:r>
      <w:r w:rsidR="00103FA5">
        <w:rPr>
          <w:rFonts w:ascii="Times New Roman" w:hAnsi="Times New Roman"/>
        </w:rPr>
        <w:t xml:space="preserve"> (which was, apparently, in October 2010)</w:t>
      </w:r>
      <w:r w:rsidR="00F257C0" w:rsidRPr="00DB3AA2">
        <w:rPr>
          <w:rFonts w:ascii="Times New Roman" w:hAnsi="Times New Roman"/>
        </w:rPr>
        <w:t xml:space="preserve">. </w:t>
      </w:r>
      <w:r w:rsidR="009A68F3" w:rsidRPr="00DB3AA2">
        <w:rPr>
          <w:rFonts w:ascii="Times New Roman" w:hAnsi="Times New Roman"/>
        </w:rPr>
        <w:t xml:space="preserve">Mr Brown explained the problems arising from the report and presented two options to the board; one which would have involved stopping the mining and one which </w:t>
      </w:r>
      <w:r w:rsidR="00CE51C6">
        <w:rPr>
          <w:rFonts w:ascii="Times New Roman" w:hAnsi="Times New Roman"/>
        </w:rPr>
        <w:t>would</w:t>
      </w:r>
      <w:r w:rsidR="00B279E0" w:rsidRPr="00DB3AA2">
        <w:rPr>
          <w:rFonts w:ascii="Times New Roman" w:hAnsi="Times New Roman"/>
        </w:rPr>
        <w:t xml:space="preserve"> not (but involved “washing” the impure coal). The board decided to press on with the mining</w:t>
      </w:r>
      <w:r w:rsidR="003D0D8B" w:rsidRPr="00DB3AA2">
        <w:rPr>
          <w:rFonts w:ascii="Times New Roman" w:hAnsi="Times New Roman"/>
        </w:rPr>
        <w:t xml:space="preserve">. After Mr </w:t>
      </w:r>
      <w:r w:rsidR="003D0D8B" w:rsidRPr="00DB3AA2">
        <w:rPr>
          <w:rFonts w:ascii="Times New Roman" w:hAnsi="Times New Roman"/>
        </w:rPr>
        <w:lastRenderedPageBreak/>
        <w:t>Brown resigned as a director, WK Construction instituted the action described above; it did so on 10 July 2014</w:t>
      </w:r>
      <w:r w:rsidR="00E77D48" w:rsidRPr="00DB3AA2">
        <w:rPr>
          <w:rFonts w:ascii="Times New Roman" w:hAnsi="Times New Roman"/>
        </w:rPr>
        <w:t>.</w:t>
      </w:r>
      <w:r w:rsidR="00384CFA" w:rsidRPr="00DB3AA2">
        <w:rPr>
          <w:rFonts w:ascii="Times New Roman" w:hAnsi="Times New Roman"/>
        </w:rPr>
        <w:t xml:space="preserve"> In essence, WK Construction says that Mr Brown breached his employment contract because, by not acting with due care, skill and diligence, he presented the board with inaccurate information which caused it to embark, to the </w:t>
      </w:r>
      <w:r w:rsidR="00FC3D96" w:rsidRPr="00DB3AA2">
        <w:rPr>
          <w:rFonts w:ascii="Times New Roman" w:hAnsi="Times New Roman"/>
        </w:rPr>
        <w:t xml:space="preserve">detriment of WK Construction, on the mining operations at </w:t>
      </w:r>
      <w:proofErr w:type="spellStart"/>
      <w:r w:rsidR="00F82219" w:rsidRPr="00DB3AA2">
        <w:rPr>
          <w:rFonts w:ascii="Times New Roman" w:hAnsi="Times New Roman"/>
        </w:rPr>
        <w:t>Chibondo</w:t>
      </w:r>
      <w:proofErr w:type="spellEnd"/>
      <w:r w:rsidR="00F82219" w:rsidRPr="00DB3AA2">
        <w:rPr>
          <w:rFonts w:ascii="Times New Roman" w:hAnsi="Times New Roman"/>
        </w:rPr>
        <w:t xml:space="preserve"> mine.</w:t>
      </w:r>
    </w:p>
    <w:p w14:paraId="3B716EBB" w14:textId="78EFC70C" w:rsidR="00F82219"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w:t>
      </w:r>
      <w:r w:rsidRPr="00DB3AA2">
        <w:rPr>
          <w:rFonts w:ascii="Times New Roman" w:hAnsi="Times New Roman"/>
        </w:rPr>
        <w:tab/>
      </w:r>
      <w:r w:rsidR="009B58EA" w:rsidRPr="00DB3AA2">
        <w:rPr>
          <w:rFonts w:ascii="Times New Roman" w:hAnsi="Times New Roman"/>
        </w:rPr>
        <w:t>The decision to purchase PMS was taken at</w:t>
      </w:r>
      <w:r w:rsidR="00B266C2" w:rsidRPr="00DB3AA2">
        <w:rPr>
          <w:rFonts w:ascii="Times New Roman" w:hAnsi="Times New Roman"/>
        </w:rPr>
        <w:t xml:space="preserve"> a board meeting held on 28 June 2010. </w:t>
      </w:r>
      <w:r w:rsidR="00784B6B" w:rsidRPr="00DB3AA2">
        <w:rPr>
          <w:rFonts w:ascii="Times New Roman" w:hAnsi="Times New Roman"/>
        </w:rPr>
        <w:t xml:space="preserve">The Hay file notes </w:t>
      </w:r>
      <w:r w:rsidR="0019205B" w:rsidRPr="00DB3AA2">
        <w:rPr>
          <w:rFonts w:ascii="Times New Roman" w:hAnsi="Times New Roman"/>
        </w:rPr>
        <w:t>relate to the period between 29 June 2010 and 26 October 2010.</w:t>
      </w:r>
      <w:r w:rsidR="00CC0603" w:rsidRPr="00DB3AA2">
        <w:rPr>
          <w:rFonts w:ascii="Times New Roman" w:hAnsi="Times New Roman"/>
        </w:rPr>
        <w:t xml:space="preserve"> </w:t>
      </w:r>
      <w:r w:rsidR="004F2FBD" w:rsidRPr="00DB3AA2">
        <w:rPr>
          <w:rFonts w:ascii="Times New Roman" w:hAnsi="Times New Roman"/>
        </w:rPr>
        <w:t xml:space="preserve">In a letter sent by WK Construction’s attorney on </w:t>
      </w:r>
      <w:r w:rsidR="008C13C0" w:rsidRPr="00DB3AA2">
        <w:rPr>
          <w:rFonts w:ascii="Times New Roman" w:hAnsi="Times New Roman"/>
        </w:rPr>
        <w:t>25 February 2022, which I mention again below, it was explained that the advice given by Mr Hay related</w:t>
      </w:r>
      <w:r w:rsidR="006128F2" w:rsidRPr="00DB3AA2">
        <w:rPr>
          <w:rFonts w:ascii="Times New Roman" w:hAnsi="Times New Roman"/>
        </w:rPr>
        <w:t xml:space="preserve"> to</w:t>
      </w:r>
      <w:r w:rsidR="008C13C0" w:rsidRPr="00DB3AA2">
        <w:rPr>
          <w:rFonts w:ascii="Times New Roman" w:hAnsi="Times New Roman"/>
        </w:rPr>
        <w:t xml:space="preserve"> the purchase of the PMS shares</w:t>
      </w:r>
      <w:r w:rsidR="005E32B9" w:rsidRPr="00DB3AA2">
        <w:rPr>
          <w:rFonts w:ascii="Times New Roman" w:hAnsi="Times New Roman"/>
        </w:rPr>
        <w:t xml:space="preserve"> and a range of related issues.</w:t>
      </w:r>
    </w:p>
    <w:p w14:paraId="65EB650C" w14:textId="68F1A4A5" w:rsidR="00A454EB" w:rsidRPr="00DB3AA2" w:rsidRDefault="00A454EB" w:rsidP="00A454EB">
      <w:pPr>
        <w:pStyle w:val="Heading1"/>
        <w:rPr>
          <w:rFonts w:ascii="Times New Roman" w:hAnsi="Times New Roman"/>
        </w:rPr>
      </w:pPr>
      <w:r w:rsidRPr="00DB3AA2">
        <w:rPr>
          <w:rFonts w:ascii="Times New Roman" w:hAnsi="Times New Roman"/>
        </w:rPr>
        <w:t>THE STANCE OF THE PARTIES</w:t>
      </w:r>
    </w:p>
    <w:p w14:paraId="19464F1F" w14:textId="761AB071" w:rsidR="00A454E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8</w:t>
      </w:r>
      <w:r w:rsidRPr="00DB3AA2">
        <w:rPr>
          <w:rFonts w:ascii="Times New Roman" w:hAnsi="Times New Roman"/>
        </w:rPr>
        <w:tab/>
      </w:r>
      <w:r w:rsidR="00A543EC" w:rsidRPr="00DB3AA2">
        <w:rPr>
          <w:rFonts w:ascii="Times New Roman" w:hAnsi="Times New Roman"/>
        </w:rPr>
        <w:t>As part of engagement</w:t>
      </w:r>
      <w:r w:rsidR="00D0376E">
        <w:rPr>
          <w:rFonts w:ascii="Times New Roman" w:hAnsi="Times New Roman"/>
        </w:rPr>
        <w:t>s</w:t>
      </w:r>
      <w:r w:rsidR="00A543EC" w:rsidRPr="00DB3AA2">
        <w:rPr>
          <w:rFonts w:ascii="Times New Roman" w:hAnsi="Times New Roman"/>
        </w:rPr>
        <w:t xml:space="preserve"> between the parties before this interlocutory application was launched, WK Construction provided Mr Brown with redacted versions of the Hay file notes. In these proceedings Mr Brown seeks </w:t>
      </w:r>
      <w:r w:rsidR="001148C6" w:rsidRPr="00DB3AA2">
        <w:rPr>
          <w:rFonts w:ascii="Times New Roman" w:hAnsi="Times New Roman"/>
        </w:rPr>
        <w:t xml:space="preserve">disclosure of the full, </w:t>
      </w:r>
      <w:proofErr w:type="spellStart"/>
      <w:r w:rsidR="001148C6" w:rsidRPr="00DB3AA2">
        <w:rPr>
          <w:rFonts w:ascii="Times New Roman" w:hAnsi="Times New Roman"/>
        </w:rPr>
        <w:t>unredacted</w:t>
      </w:r>
      <w:proofErr w:type="spellEnd"/>
      <w:r w:rsidR="001148C6" w:rsidRPr="00DB3AA2">
        <w:rPr>
          <w:rFonts w:ascii="Times New Roman" w:hAnsi="Times New Roman"/>
        </w:rPr>
        <w:t xml:space="preserve"> version.</w:t>
      </w:r>
    </w:p>
    <w:p w14:paraId="287BB7EE" w14:textId="10ADC992" w:rsidR="000E00F7"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9</w:t>
      </w:r>
      <w:r w:rsidRPr="00DB3AA2">
        <w:rPr>
          <w:rFonts w:ascii="Times New Roman" w:hAnsi="Times New Roman"/>
        </w:rPr>
        <w:tab/>
      </w:r>
      <w:r w:rsidR="00D91DA8" w:rsidRPr="00DB3AA2">
        <w:rPr>
          <w:rFonts w:ascii="Times New Roman" w:hAnsi="Times New Roman"/>
        </w:rPr>
        <w:t xml:space="preserve">This interlocutory application raises primarily issues of law; indeed, WK Construction did not really address the facts of this matter in its answering affidavit and made it clear that the only reason it filed an answering affidavit at all was to record its agreement that the facts as set out in Mr Brown’s </w:t>
      </w:r>
      <w:r w:rsidR="00DB7CA8">
        <w:rPr>
          <w:rFonts w:ascii="Times New Roman" w:hAnsi="Times New Roman"/>
        </w:rPr>
        <w:t>founding affidavit</w:t>
      </w:r>
      <w:r w:rsidR="00D91DA8" w:rsidRPr="00DB3AA2">
        <w:rPr>
          <w:rFonts w:ascii="Times New Roman" w:hAnsi="Times New Roman"/>
        </w:rPr>
        <w:t xml:space="preserve"> </w:t>
      </w:r>
      <w:r w:rsidR="00C01F2C" w:rsidRPr="00DB3AA2">
        <w:rPr>
          <w:rFonts w:ascii="Times New Roman" w:hAnsi="Times New Roman"/>
        </w:rPr>
        <w:t xml:space="preserve">may </w:t>
      </w:r>
      <w:r w:rsidR="00D91DA8" w:rsidRPr="00DB3AA2">
        <w:rPr>
          <w:rFonts w:ascii="Times New Roman" w:hAnsi="Times New Roman"/>
        </w:rPr>
        <w:t>be treated as correct</w:t>
      </w:r>
      <w:r w:rsidR="00C01F2C" w:rsidRPr="00DB3AA2">
        <w:rPr>
          <w:rFonts w:ascii="Times New Roman" w:hAnsi="Times New Roman"/>
        </w:rPr>
        <w:t xml:space="preserve"> for the purposes of this application. The only reason why I need to explain the stance taken by the parties – and Mr Brown in particular – in the papers </w:t>
      </w:r>
      <w:r w:rsidR="00705B07">
        <w:rPr>
          <w:rFonts w:ascii="Times New Roman" w:hAnsi="Times New Roman"/>
        </w:rPr>
        <w:t xml:space="preserve">in any detail </w:t>
      </w:r>
      <w:r w:rsidR="00C01F2C" w:rsidRPr="00DB3AA2">
        <w:rPr>
          <w:rFonts w:ascii="Times New Roman" w:hAnsi="Times New Roman"/>
        </w:rPr>
        <w:t xml:space="preserve">is that the </w:t>
      </w:r>
      <w:r w:rsidR="00385DBA" w:rsidRPr="00DB3AA2">
        <w:rPr>
          <w:rFonts w:ascii="Times New Roman" w:hAnsi="Times New Roman"/>
        </w:rPr>
        <w:t xml:space="preserve">nature of Mr Brown’s cause of action appears to have </w:t>
      </w:r>
      <w:proofErr w:type="spellStart"/>
      <w:r w:rsidR="00385DBA" w:rsidRPr="00DB3AA2">
        <w:rPr>
          <w:rFonts w:ascii="Times New Roman" w:hAnsi="Times New Roman"/>
        </w:rPr>
        <w:t>metamorphosised</w:t>
      </w:r>
      <w:proofErr w:type="spellEnd"/>
      <w:r w:rsidR="00385DBA" w:rsidRPr="00DB3AA2">
        <w:rPr>
          <w:rFonts w:ascii="Times New Roman" w:hAnsi="Times New Roman"/>
        </w:rPr>
        <w:t>, at least in part.</w:t>
      </w:r>
    </w:p>
    <w:p w14:paraId="10F8BCF6" w14:textId="377FB504" w:rsidR="00A454EB" w:rsidRPr="00DB3AA2" w:rsidRDefault="00A454EB" w:rsidP="00A454EB">
      <w:pPr>
        <w:pStyle w:val="Heading1"/>
        <w:rPr>
          <w:rFonts w:ascii="Times New Roman" w:hAnsi="Times New Roman"/>
          <w:i/>
          <w:iCs/>
        </w:rPr>
      </w:pPr>
      <w:r w:rsidRPr="00DB3AA2">
        <w:rPr>
          <w:rFonts w:ascii="Times New Roman" w:hAnsi="Times New Roman"/>
          <w:i/>
          <w:iCs/>
        </w:rPr>
        <w:t>The position taken by Mr Brown in the papers</w:t>
      </w:r>
    </w:p>
    <w:p w14:paraId="22D2FDA4" w14:textId="0370926B" w:rsidR="00B01A3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lastRenderedPageBreak/>
        <w:t>10</w:t>
      </w:r>
      <w:r w:rsidRPr="00DB3AA2">
        <w:rPr>
          <w:rFonts w:ascii="Times New Roman" w:hAnsi="Times New Roman"/>
        </w:rPr>
        <w:tab/>
      </w:r>
      <w:r w:rsidR="00F65D6B" w:rsidRPr="00DB3AA2">
        <w:rPr>
          <w:rFonts w:ascii="Times New Roman" w:hAnsi="Times New Roman"/>
        </w:rPr>
        <w:t xml:space="preserve">Although there was a somewhat churlish exchange of correspondence on this issue, the parties </w:t>
      </w:r>
      <w:r w:rsidR="00182D52">
        <w:rPr>
          <w:rFonts w:ascii="Times New Roman" w:hAnsi="Times New Roman"/>
        </w:rPr>
        <w:t>agree</w:t>
      </w:r>
      <w:r w:rsidR="00F65D6B" w:rsidRPr="00DB3AA2">
        <w:rPr>
          <w:rFonts w:ascii="Times New Roman" w:hAnsi="Times New Roman"/>
        </w:rPr>
        <w:t xml:space="preserve"> that the Hay file notes are relevant to the pending trial. Therefore, the only issue is whether they are privileged. </w:t>
      </w:r>
    </w:p>
    <w:p w14:paraId="64B13FEA" w14:textId="40E09994" w:rsidR="00B01A3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11</w:t>
      </w:r>
      <w:r w:rsidRPr="00DB3AA2">
        <w:rPr>
          <w:rFonts w:ascii="Times New Roman" w:hAnsi="Times New Roman"/>
        </w:rPr>
        <w:tab/>
      </w:r>
      <w:r w:rsidR="00B01A3B" w:rsidRPr="00DB3AA2">
        <w:rPr>
          <w:rFonts w:ascii="Times New Roman" w:hAnsi="Times New Roman"/>
        </w:rPr>
        <w:t>In our law, there has been a general acceptance of the broad category of “legal professional privilege”; that is, acceptance that documents falling under this category do not need to be disclosed in litigation even if relevant to the pending proceedings. Under this main category, there is general acceptance that there are two sub-categories: the litigation privilege and the legal advice privilege.</w:t>
      </w:r>
      <w:r w:rsidR="006E7855" w:rsidRPr="00DB3AA2">
        <w:rPr>
          <w:rFonts w:ascii="Times New Roman" w:hAnsi="Times New Roman"/>
        </w:rPr>
        <w:t xml:space="preserve"> The litigation privilege relates to documents which were generated in contemplation of litigation. The legal advice privilege </w:t>
      </w:r>
      <w:r w:rsidR="00A920E6" w:rsidRPr="00DB3AA2">
        <w:rPr>
          <w:rFonts w:ascii="Times New Roman" w:hAnsi="Times New Roman"/>
        </w:rPr>
        <w:t xml:space="preserve">relates to general legal advice given by an attorney (or </w:t>
      </w:r>
      <w:r w:rsidR="0095663F">
        <w:rPr>
          <w:rFonts w:ascii="Times New Roman" w:hAnsi="Times New Roman"/>
        </w:rPr>
        <w:t>counsel</w:t>
      </w:r>
      <w:r w:rsidR="00A920E6" w:rsidRPr="00DB3AA2">
        <w:rPr>
          <w:rFonts w:ascii="Times New Roman" w:hAnsi="Times New Roman"/>
        </w:rPr>
        <w:t>) to his or her client.</w:t>
      </w:r>
    </w:p>
    <w:p w14:paraId="39503352" w14:textId="16DD3FAD" w:rsidR="00A454E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12</w:t>
      </w:r>
      <w:r w:rsidRPr="00DB3AA2">
        <w:rPr>
          <w:rFonts w:ascii="Times New Roman" w:hAnsi="Times New Roman"/>
        </w:rPr>
        <w:tab/>
      </w:r>
      <w:r w:rsidR="00F65D6B" w:rsidRPr="00DB3AA2">
        <w:rPr>
          <w:rFonts w:ascii="Times New Roman" w:hAnsi="Times New Roman"/>
        </w:rPr>
        <w:t xml:space="preserve">In the founding affidavit, Mr Brown’s explanation for contending </w:t>
      </w:r>
      <w:r w:rsidR="00770AE6" w:rsidRPr="00DB3AA2">
        <w:rPr>
          <w:rFonts w:ascii="Times New Roman" w:hAnsi="Times New Roman"/>
        </w:rPr>
        <w:t xml:space="preserve">that the Hay file notes are not privileged was primarily that the litigation </w:t>
      </w:r>
      <w:r w:rsidR="00A920E6" w:rsidRPr="00DB3AA2">
        <w:rPr>
          <w:rFonts w:ascii="Times New Roman" w:hAnsi="Times New Roman"/>
        </w:rPr>
        <w:t xml:space="preserve">which was launched in 2014 – </w:t>
      </w:r>
      <w:proofErr w:type="spellStart"/>
      <w:r w:rsidR="00A920E6" w:rsidRPr="00DB3AA2">
        <w:rPr>
          <w:rFonts w:ascii="Times New Roman" w:hAnsi="Times New Roman"/>
        </w:rPr>
        <w:t>ie</w:t>
      </w:r>
      <w:proofErr w:type="spellEnd"/>
      <w:r w:rsidR="00A920E6" w:rsidRPr="00DB3AA2">
        <w:rPr>
          <w:rFonts w:ascii="Times New Roman" w:hAnsi="Times New Roman"/>
        </w:rPr>
        <w:t xml:space="preserve">, the main trial action to which this interlocutory application </w:t>
      </w:r>
      <w:r w:rsidR="00177F3D" w:rsidRPr="00DB3AA2">
        <w:rPr>
          <w:rFonts w:ascii="Times New Roman" w:hAnsi="Times New Roman"/>
        </w:rPr>
        <w:t xml:space="preserve">relates – could not possibly have been contemplated at the time when the Hay file notes were generated. This </w:t>
      </w:r>
      <w:r w:rsidR="00E909CD">
        <w:rPr>
          <w:rFonts w:ascii="Times New Roman" w:hAnsi="Times New Roman"/>
        </w:rPr>
        <w:t>wa</w:t>
      </w:r>
      <w:r w:rsidR="00177F3D" w:rsidRPr="00DB3AA2">
        <w:rPr>
          <w:rFonts w:ascii="Times New Roman" w:hAnsi="Times New Roman"/>
        </w:rPr>
        <w:t xml:space="preserve">s also the stance taken by Mr Brown in correspondence before the interlocutory application was launched. Curiously, though, in explaining the legal basis for the application in the founding affidavit, Mr Brown’s </w:t>
      </w:r>
      <w:r w:rsidR="00EE3C3C" w:rsidRPr="00DB3AA2">
        <w:rPr>
          <w:rFonts w:ascii="Times New Roman" w:hAnsi="Times New Roman"/>
        </w:rPr>
        <w:t xml:space="preserve">attorney lists the requirements which are commonly considered to be applicable to asserting the legal advice privilege. </w:t>
      </w:r>
      <w:r w:rsidR="00C97178" w:rsidRPr="00DB3AA2">
        <w:rPr>
          <w:rFonts w:ascii="Times New Roman" w:hAnsi="Times New Roman"/>
        </w:rPr>
        <w:t xml:space="preserve">Given its importance to what I say below, it is perhaps prudent for me to reproduce verbatim the way in which the argument was framed in the founding </w:t>
      </w:r>
      <w:r w:rsidR="00752AF6" w:rsidRPr="00DB3AA2">
        <w:rPr>
          <w:rFonts w:ascii="Times New Roman" w:hAnsi="Times New Roman"/>
        </w:rPr>
        <w:t>affidavit:</w:t>
      </w:r>
    </w:p>
    <w:p w14:paraId="6939099B" w14:textId="2A03EC35" w:rsidR="002717F4" w:rsidRPr="00DB3AA2" w:rsidRDefault="00752AF6" w:rsidP="00752AF6">
      <w:pPr>
        <w:pStyle w:val="BodyTextIndent"/>
        <w:spacing w:line="240" w:lineRule="auto"/>
        <w:ind w:left="1134"/>
        <w:rPr>
          <w:rFonts w:ascii="Times New Roman" w:hAnsi="Times New Roman"/>
        </w:rPr>
      </w:pPr>
      <w:r w:rsidRPr="00DB3AA2">
        <w:rPr>
          <w:rFonts w:ascii="Times New Roman" w:hAnsi="Times New Roman"/>
        </w:rPr>
        <w:t xml:space="preserve">“41. </w:t>
      </w:r>
      <w:r w:rsidR="002717F4" w:rsidRPr="00DB3AA2">
        <w:rPr>
          <w:rFonts w:ascii="Times New Roman" w:hAnsi="Times New Roman"/>
        </w:rPr>
        <w:t>At the time when the said consultations occurred no litigation could have been</w:t>
      </w:r>
      <w:r w:rsidRPr="00DB3AA2">
        <w:rPr>
          <w:rFonts w:ascii="Times New Roman" w:hAnsi="Times New Roman"/>
        </w:rPr>
        <w:t xml:space="preserve"> </w:t>
      </w:r>
      <w:r w:rsidR="002717F4" w:rsidRPr="00DB3AA2">
        <w:rPr>
          <w:rFonts w:ascii="Times New Roman" w:hAnsi="Times New Roman"/>
        </w:rPr>
        <w:t>contemplated against the applicant. The chronology of events as illustrated</w:t>
      </w:r>
      <w:r w:rsidRPr="00DB3AA2">
        <w:rPr>
          <w:rFonts w:ascii="Times New Roman" w:hAnsi="Times New Roman"/>
        </w:rPr>
        <w:t xml:space="preserve"> </w:t>
      </w:r>
      <w:r w:rsidR="002717F4" w:rsidRPr="00DB3AA2">
        <w:rPr>
          <w:rFonts w:ascii="Times New Roman" w:hAnsi="Times New Roman"/>
        </w:rPr>
        <w:t>above makes that clear.</w:t>
      </w:r>
    </w:p>
    <w:p w14:paraId="28B8C0CB" w14:textId="2FC732CB" w:rsidR="002717F4" w:rsidRPr="00DB3AA2" w:rsidRDefault="002717F4" w:rsidP="00752AF6">
      <w:pPr>
        <w:pStyle w:val="BodyTextIndent"/>
        <w:spacing w:line="240" w:lineRule="auto"/>
        <w:ind w:left="1134"/>
        <w:rPr>
          <w:rFonts w:ascii="Times New Roman" w:hAnsi="Times New Roman"/>
        </w:rPr>
      </w:pPr>
      <w:r w:rsidRPr="00DB3AA2">
        <w:rPr>
          <w:rFonts w:ascii="Times New Roman" w:hAnsi="Times New Roman"/>
        </w:rPr>
        <w:lastRenderedPageBreak/>
        <w:t>42</w:t>
      </w:r>
      <w:r w:rsidRPr="00DB3AA2">
        <w:rPr>
          <w:rFonts w:ascii="Times New Roman" w:hAnsi="Times New Roman"/>
          <w:color w:val="2A2A2A"/>
        </w:rPr>
        <w:t xml:space="preserve">. </w:t>
      </w:r>
      <w:r w:rsidRPr="00DB3AA2">
        <w:rPr>
          <w:rFonts w:ascii="Times New Roman" w:hAnsi="Times New Roman"/>
        </w:rPr>
        <w:t>Hence, the test for legal professional privilege is not passed, such test being</w:t>
      </w:r>
      <w:r w:rsidR="00752AF6" w:rsidRPr="00DB3AA2">
        <w:rPr>
          <w:rFonts w:ascii="Times New Roman" w:hAnsi="Times New Roman"/>
        </w:rPr>
        <w:t xml:space="preserve"> </w:t>
      </w:r>
      <w:r w:rsidRPr="00DB3AA2">
        <w:rPr>
          <w:rFonts w:ascii="Times New Roman" w:hAnsi="Times New Roman"/>
        </w:rPr>
        <w:t>that the Hay communications with the respondent as recorded in the Hay file</w:t>
      </w:r>
      <w:r w:rsidR="00752AF6" w:rsidRPr="00DB3AA2">
        <w:rPr>
          <w:rFonts w:ascii="Times New Roman" w:hAnsi="Times New Roman"/>
        </w:rPr>
        <w:t xml:space="preserve"> </w:t>
      </w:r>
      <w:r w:rsidRPr="00DB3AA2">
        <w:rPr>
          <w:rFonts w:ascii="Times New Roman" w:hAnsi="Times New Roman"/>
        </w:rPr>
        <w:t>notes would be privileged if (1) Hay was acting in a professional capacity at</w:t>
      </w:r>
      <w:r w:rsidR="00752AF6" w:rsidRPr="00DB3AA2">
        <w:rPr>
          <w:rFonts w:ascii="Times New Roman" w:hAnsi="Times New Roman"/>
        </w:rPr>
        <w:t xml:space="preserve"> </w:t>
      </w:r>
      <w:r w:rsidRPr="00DB3AA2">
        <w:rPr>
          <w:rFonts w:ascii="Times New Roman" w:hAnsi="Times New Roman"/>
        </w:rPr>
        <w:t>the time, (2) Hay was consulted in confidence, (3) the communication was</w:t>
      </w:r>
      <w:r w:rsidR="00752AF6" w:rsidRPr="00DB3AA2">
        <w:rPr>
          <w:rFonts w:ascii="Times New Roman" w:hAnsi="Times New Roman"/>
        </w:rPr>
        <w:t xml:space="preserve"> </w:t>
      </w:r>
      <w:r w:rsidRPr="00DB3AA2">
        <w:rPr>
          <w:rFonts w:ascii="Times New Roman" w:hAnsi="Times New Roman"/>
        </w:rPr>
        <w:t>made for the purpose of obtaining legal advice and (4) the advice does not</w:t>
      </w:r>
      <w:r w:rsidR="00752AF6" w:rsidRPr="00DB3AA2">
        <w:rPr>
          <w:rFonts w:ascii="Times New Roman" w:hAnsi="Times New Roman"/>
        </w:rPr>
        <w:t xml:space="preserve"> </w:t>
      </w:r>
      <w:r w:rsidRPr="00DB3AA2">
        <w:rPr>
          <w:rFonts w:ascii="Times New Roman" w:hAnsi="Times New Roman"/>
        </w:rPr>
        <w:t>facilitate the commission of a crime or fraud.</w:t>
      </w:r>
    </w:p>
    <w:p w14:paraId="590B4636" w14:textId="02A5941E" w:rsidR="002717F4" w:rsidRPr="00DB3AA2" w:rsidRDefault="002717F4" w:rsidP="00752AF6">
      <w:pPr>
        <w:pStyle w:val="BodyTextIndent"/>
        <w:spacing w:line="240" w:lineRule="auto"/>
        <w:ind w:left="1134"/>
        <w:rPr>
          <w:rFonts w:ascii="Times New Roman" w:hAnsi="Times New Roman"/>
        </w:rPr>
      </w:pPr>
      <w:r w:rsidRPr="00DB3AA2">
        <w:rPr>
          <w:rFonts w:ascii="Times New Roman" w:hAnsi="Times New Roman"/>
        </w:rPr>
        <w:t>43</w:t>
      </w:r>
      <w:r w:rsidRPr="00DB3AA2">
        <w:rPr>
          <w:rFonts w:ascii="Times New Roman" w:hAnsi="Times New Roman"/>
          <w:color w:val="4B4B4B"/>
        </w:rPr>
        <w:t xml:space="preserve">. </w:t>
      </w:r>
      <w:r w:rsidRPr="00DB3AA2">
        <w:rPr>
          <w:rFonts w:ascii="Times New Roman" w:hAnsi="Times New Roman"/>
        </w:rPr>
        <w:t>The applicant has no difficulty in accepting that elements 1, 2 and 4 are met.</w:t>
      </w:r>
      <w:r w:rsidR="00752AF6" w:rsidRPr="00DB3AA2">
        <w:rPr>
          <w:rFonts w:ascii="Times New Roman" w:hAnsi="Times New Roman"/>
        </w:rPr>
        <w:t xml:space="preserve"> </w:t>
      </w:r>
      <w:r w:rsidRPr="00DB3AA2">
        <w:rPr>
          <w:rFonts w:ascii="Times New Roman" w:hAnsi="Times New Roman"/>
        </w:rPr>
        <w:t>However, element 3 cannot possibly be met. It is unfathomable why legal</w:t>
      </w:r>
      <w:r w:rsidR="00752AF6" w:rsidRPr="00DB3AA2">
        <w:rPr>
          <w:rFonts w:ascii="Times New Roman" w:hAnsi="Times New Roman"/>
        </w:rPr>
        <w:t xml:space="preserve"> </w:t>
      </w:r>
      <w:r w:rsidRPr="00DB3AA2">
        <w:rPr>
          <w:rFonts w:ascii="Times New Roman" w:hAnsi="Times New Roman"/>
        </w:rPr>
        <w:t>advice would have been sought against the applicant during the period 29</w:t>
      </w:r>
      <w:r w:rsidR="00752AF6" w:rsidRPr="00DB3AA2">
        <w:rPr>
          <w:rFonts w:ascii="Times New Roman" w:hAnsi="Times New Roman"/>
        </w:rPr>
        <w:t xml:space="preserve"> </w:t>
      </w:r>
      <w:r w:rsidRPr="00DB3AA2">
        <w:rPr>
          <w:rFonts w:ascii="Times New Roman" w:hAnsi="Times New Roman"/>
        </w:rPr>
        <w:t>June 2010 to 26 October 2010. I submit that if it is to be contended that Hay</w:t>
      </w:r>
      <w:r w:rsidR="00752AF6" w:rsidRPr="00DB3AA2">
        <w:rPr>
          <w:rFonts w:ascii="Times New Roman" w:hAnsi="Times New Roman"/>
        </w:rPr>
        <w:t xml:space="preserve"> </w:t>
      </w:r>
      <w:r w:rsidRPr="00DB3AA2">
        <w:rPr>
          <w:rFonts w:ascii="Times New Roman" w:hAnsi="Times New Roman"/>
        </w:rPr>
        <w:t>was consulted in order to obtain legal advice against another party (for</w:t>
      </w:r>
      <w:r w:rsidR="00752AF6" w:rsidRPr="00DB3AA2">
        <w:rPr>
          <w:rFonts w:ascii="Times New Roman" w:hAnsi="Times New Roman"/>
        </w:rPr>
        <w:t xml:space="preserve"> </w:t>
      </w:r>
      <w:r w:rsidRPr="00DB3AA2">
        <w:rPr>
          <w:rFonts w:ascii="Times New Roman" w:hAnsi="Times New Roman"/>
        </w:rPr>
        <w:t>example, the shareholders of PMS) such does not constitute a ground for</w:t>
      </w:r>
      <w:r w:rsidR="00752AF6" w:rsidRPr="00DB3AA2">
        <w:rPr>
          <w:rFonts w:ascii="Times New Roman" w:hAnsi="Times New Roman"/>
        </w:rPr>
        <w:t xml:space="preserve"> </w:t>
      </w:r>
      <w:r w:rsidRPr="00DB3AA2">
        <w:rPr>
          <w:rFonts w:ascii="Times New Roman" w:hAnsi="Times New Roman"/>
        </w:rPr>
        <w:t>raising privilege as against the applicant. In addition, I submit that it would be</w:t>
      </w:r>
      <w:r w:rsidR="00752AF6" w:rsidRPr="00DB3AA2">
        <w:rPr>
          <w:rFonts w:ascii="Times New Roman" w:hAnsi="Times New Roman"/>
        </w:rPr>
        <w:t xml:space="preserve"> </w:t>
      </w:r>
      <w:r w:rsidRPr="00DB3AA2">
        <w:rPr>
          <w:rFonts w:ascii="Times New Roman" w:hAnsi="Times New Roman"/>
        </w:rPr>
        <w:t>highly unlikely for the respondent to have sought to obtain legal advice against</w:t>
      </w:r>
      <w:r w:rsidR="00752AF6" w:rsidRPr="00DB3AA2">
        <w:rPr>
          <w:rFonts w:ascii="Times New Roman" w:hAnsi="Times New Roman"/>
        </w:rPr>
        <w:t xml:space="preserve"> </w:t>
      </w:r>
      <w:r w:rsidRPr="00DB3AA2">
        <w:rPr>
          <w:rFonts w:ascii="Times New Roman" w:hAnsi="Times New Roman"/>
        </w:rPr>
        <w:t>PMS (or any other party) during the period 29 June 2010 to 26 October 2010</w:t>
      </w:r>
      <w:r w:rsidR="00752AF6" w:rsidRPr="00DB3AA2">
        <w:rPr>
          <w:rFonts w:ascii="Times New Roman" w:hAnsi="Times New Roman"/>
        </w:rPr>
        <w:t xml:space="preserve"> </w:t>
      </w:r>
      <w:r w:rsidRPr="00DB3AA2">
        <w:rPr>
          <w:rFonts w:ascii="Times New Roman" w:hAnsi="Times New Roman"/>
        </w:rPr>
        <w:t>given the events which occurred during such period.</w:t>
      </w:r>
    </w:p>
    <w:p w14:paraId="060D45E7" w14:textId="147476AA" w:rsidR="002717F4" w:rsidRPr="00DB3AA2" w:rsidRDefault="002717F4" w:rsidP="00752AF6">
      <w:pPr>
        <w:pStyle w:val="BodyTextIndent"/>
        <w:spacing w:line="240" w:lineRule="auto"/>
        <w:ind w:left="1134"/>
        <w:rPr>
          <w:rFonts w:ascii="Times New Roman" w:hAnsi="Times New Roman"/>
        </w:rPr>
      </w:pPr>
      <w:r w:rsidRPr="00DB3AA2">
        <w:rPr>
          <w:rFonts w:ascii="Times New Roman" w:hAnsi="Times New Roman"/>
        </w:rPr>
        <w:t>44. Accordingly, I submit that the reliance on legal professional privilege is misplaced.</w:t>
      </w:r>
      <w:r w:rsidR="00752AF6" w:rsidRPr="00DB3AA2">
        <w:rPr>
          <w:rFonts w:ascii="Times New Roman" w:hAnsi="Times New Roman"/>
        </w:rPr>
        <w:t>”</w:t>
      </w:r>
    </w:p>
    <w:p w14:paraId="507A3369" w14:textId="3A1370DA" w:rsidR="000670AC"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13</w:t>
      </w:r>
      <w:r w:rsidRPr="00DB3AA2">
        <w:rPr>
          <w:rFonts w:ascii="Times New Roman" w:hAnsi="Times New Roman"/>
        </w:rPr>
        <w:tab/>
      </w:r>
      <w:r w:rsidR="00C07A65" w:rsidRPr="00DB3AA2">
        <w:rPr>
          <w:rFonts w:ascii="Times New Roman" w:hAnsi="Times New Roman"/>
        </w:rPr>
        <w:t xml:space="preserve">It may be seen from this description of the </w:t>
      </w:r>
      <w:r w:rsidR="00570A7C" w:rsidRPr="00DB3AA2">
        <w:rPr>
          <w:rFonts w:ascii="Times New Roman" w:hAnsi="Times New Roman"/>
        </w:rPr>
        <w:t xml:space="preserve">legal basis for the application that there is something of a conflation between the litigation privilege and the legal advice privilege. </w:t>
      </w:r>
      <w:r w:rsidR="00DE777E" w:rsidRPr="00DB3AA2">
        <w:rPr>
          <w:rFonts w:ascii="Times New Roman" w:hAnsi="Times New Roman"/>
        </w:rPr>
        <w:t xml:space="preserve">The stance taken in the last </w:t>
      </w:r>
      <w:r w:rsidR="00B3300C" w:rsidRPr="00DB3AA2">
        <w:rPr>
          <w:rFonts w:ascii="Times New Roman" w:hAnsi="Times New Roman"/>
        </w:rPr>
        <w:t xml:space="preserve">two </w:t>
      </w:r>
      <w:r w:rsidR="00DE777E" w:rsidRPr="00DB3AA2">
        <w:rPr>
          <w:rFonts w:ascii="Times New Roman" w:hAnsi="Times New Roman"/>
        </w:rPr>
        <w:t>paragraph</w:t>
      </w:r>
      <w:r w:rsidR="00B3300C" w:rsidRPr="00DB3AA2">
        <w:rPr>
          <w:rFonts w:ascii="Times New Roman" w:hAnsi="Times New Roman"/>
        </w:rPr>
        <w:t>s</w:t>
      </w:r>
      <w:r w:rsidR="00DE777E" w:rsidRPr="00DB3AA2">
        <w:rPr>
          <w:rFonts w:ascii="Times New Roman" w:hAnsi="Times New Roman"/>
        </w:rPr>
        <w:t xml:space="preserve"> – that no </w:t>
      </w:r>
      <w:r w:rsidR="00B3300C" w:rsidRPr="00DB3AA2">
        <w:rPr>
          <w:rFonts w:ascii="Times New Roman" w:hAnsi="Times New Roman"/>
        </w:rPr>
        <w:t xml:space="preserve">legal advice was likely to have been sought and that therefore the </w:t>
      </w:r>
      <w:r w:rsidR="00FB5157" w:rsidRPr="00DB3AA2">
        <w:rPr>
          <w:rFonts w:ascii="Times New Roman" w:hAnsi="Times New Roman"/>
        </w:rPr>
        <w:t>requirements of the legal professional privilege have not been m</w:t>
      </w:r>
      <w:r w:rsidR="000F36DF">
        <w:rPr>
          <w:rFonts w:ascii="Times New Roman" w:hAnsi="Times New Roman"/>
        </w:rPr>
        <w:t>et</w:t>
      </w:r>
      <w:r w:rsidR="00FB5157" w:rsidRPr="00DB3AA2">
        <w:rPr>
          <w:rFonts w:ascii="Times New Roman" w:hAnsi="Times New Roman"/>
        </w:rPr>
        <w:t xml:space="preserve"> – must be taken to be a non-sequitur, unless one interprets it to refer to advice in contemplation of litigation</w:t>
      </w:r>
      <w:r w:rsidR="00F66E7A">
        <w:rPr>
          <w:rFonts w:ascii="Times New Roman" w:hAnsi="Times New Roman"/>
        </w:rPr>
        <w:t xml:space="preserve"> against Mr Brown</w:t>
      </w:r>
      <w:r w:rsidR="00FB5157" w:rsidRPr="00DB3AA2">
        <w:rPr>
          <w:rFonts w:ascii="Times New Roman" w:hAnsi="Times New Roman"/>
        </w:rPr>
        <w:t xml:space="preserve">. </w:t>
      </w:r>
    </w:p>
    <w:p w14:paraId="1089C66F" w14:textId="63BEFE33" w:rsidR="00A454EB" w:rsidRPr="00DB3AA2" w:rsidRDefault="00A454EB" w:rsidP="00A454EB">
      <w:pPr>
        <w:pStyle w:val="Heading1"/>
        <w:rPr>
          <w:rFonts w:ascii="Times New Roman" w:hAnsi="Times New Roman"/>
          <w:i/>
          <w:iCs/>
        </w:rPr>
      </w:pPr>
      <w:r w:rsidRPr="00DB3AA2">
        <w:rPr>
          <w:rFonts w:ascii="Times New Roman" w:hAnsi="Times New Roman"/>
          <w:i/>
          <w:iCs/>
        </w:rPr>
        <w:t>The position taken by Mr Brown in argument</w:t>
      </w:r>
    </w:p>
    <w:p w14:paraId="312AD47A" w14:textId="0E6E572F" w:rsidR="00A454E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14</w:t>
      </w:r>
      <w:r w:rsidRPr="00DB3AA2">
        <w:rPr>
          <w:rFonts w:ascii="Times New Roman" w:hAnsi="Times New Roman"/>
        </w:rPr>
        <w:tab/>
      </w:r>
      <w:r w:rsidR="00081C09" w:rsidRPr="00DB3AA2">
        <w:rPr>
          <w:rFonts w:ascii="Times New Roman" w:hAnsi="Times New Roman"/>
        </w:rPr>
        <w:t xml:space="preserve">In the heads of argument filed on behalf of Mr Brown, the above-mentioned conflation </w:t>
      </w:r>
      <w:r w:rsidR="00572B9C" w:rsidRPr="00DB3AA2">
        <w:rPr>
          <w:rFonts w:ascii="Times New Roman" w:hAnsi="Times New Roman"/>
        </w:rPr>
        <w:t xml:space="preserve">does not appear. There is a detailed description of the law relating to the two categories of privilege mentioned above, and it is </w:t>
      </w:r>
      <w:r w:rsidR="00F019D9" w:rsidRPr="00DB3AA2">
        <w:rPr>
          <w:rFonts w:ascii="Times New Roman" w:hAnsi="Times New Roman"/>
        </w:rPr>
        <w:t>said</w:t>
      </w:r>
      <w:r w:rsidR="00572B9C" w:rsidRPr="00DB3AA2">
        <w:rPr>
          <w:rFonts w:ascii="Times New Roman" w:hAnsi="Times New Roman"/>
        </w:rPr>
        <w:t xml:space="preserve"> that, since WK Construction relies on the legal advice privilege </w:t>
      </w:r>
      <w:r w:rsidR="00D96D19" w:rsidRPr="00DB3AA2">
        <w:rPr>
          <w:rFonts w:ascii="Times New Roman" w:hAnsi="Times New Roman"/>
        </w:rPr>
        <w:t>and not the litigation privilege, the latter d</w:t>
      </w:r>
      <w:r w:rsidR="000B3D89" w:rsidRPr="00DB3AA2">
        <w:rPr>
          <w:rFonts w:ascii="Times New Roman" w:hAnsi="Times New Roman"/>
        </w:rPr>
        <w:t>oes not arise in this case</w:t>
      </w:r>
      <w:r w:rsidR="00D96D19" w:rsidRPr="00DB3AA2">
        <w:rPr>
          <w:rFonts w:ascii="Times New Roman" w:hAnsi="Times New Roman"/>
        </w:rPr>
        <w:t>.</w:t>
      </w:r>
      <w:r w:rsidR="000B3D89" w:rsidRPr="00DB3AA2">
        <w:rPr>
          <w:rFonts w:ascii="Times New Roman" w:hAnsi="Times New Roman"/>
        </w:rPr>
        <w:t xml:space="preserve"> There was, in other words, a clear appreciation of the difference between the two subcategories of the legal professional privilege</w:t>
      </w:r>
      <w:r w:rsidR="00966E37" w:rsidRPr="00DB3AA2">
        <w:rPr>
          <w:rFonts w:ascii="Times New Roman" w:hAnsi="Times New Roman"/>
        </w:rPr>
        <w:t>, unlike in the founding affidavit.</w:t>
      </w:r>
    </w:p>
    <w:p w14:paraId="0EC81D7C" w14:textId="24C75756" w:rsidR="00160908"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lastRenderedPageBreak/>
        <w:t>15</w:t>
      </w:r>
      <w:r w:rsidRPr="00DB3AA2">
        <w:rPr>
          <w:rFonts w:ascii="Times New Roman" w:hAnsi="Times New Roman"/>
        </w:rPr>
        <w:tab/>
      </w:r>
      <w:r w:rsidR="00FF12AF" w:rsidRPr="00DB3AA2">
        <w:rPr>
          <w:rFonts w:ascii="Times New Roman" w:hAnsi="Times New Roman"/>
        </w:rPr>
        <w:t xml:space="preserve">In the heads of argument, the main </w:t>
      </w:r>
      <w:r w:rsidR="00AB02CE" w:rsidRPr="00DB3AA2">
        <w:rPr>
          <w:rFonts w:ascii="Times New Roman" w:hAnsi="Times New Roman"/>
        </w:rPr>
        <w:t xml:space="preserve">point taken on behalf of Mr Brown is that, in </w:t>
      </w:r>
      <w:r w:rsidR="00DA4353" w:rsidRPr="00DB3AA2">
        <w:rPr>
          <w:rFonts w:ascii="Times New Roman" w:hAnsi="Times New Roman"/>
        </w:rPr>
        <w:t>basing its refusal to disclose the documents</w:t>
      </w:r>
      <w:r w:rsidR="00AB02CE" w:rsidRPr="00DB3AA2">
        <w:rPr>
          <w:rFonts w:ascii="Times New Roman" w:hAnsi="Times New Roman"/>
        </w:rPr>
        <w:t xml:space="preserve"> on the legal advice privilege, WK Construction relies solely on the say-so of the attorney acting for the company that the documents are privileged.</w:t>
      </w:r>
      <w:r w:rsidR="00DA4353" w:rsidRPr="00DB3AA2">
        <w:rPr>
          <w:rFonts w:ascii="Times New Roman" w:hAnsi="Times New Roman"/>
        </w:rPr>
        <w:t xml:space="preserve"> Mr Brown contends that it is impossible to discern, from the redacted versions of the Hay file notes provided by </w:t>
      </w:r>
      <w:r w:rsidR="00313B24" w:rsidRPr="00DB3AA2">
        <w:rPr>
          <w:rFonts w:ascii="Times New Roman" w:hAnsi="Times New Roman"/>
        </w:rPr>
        <w:t>WK Construction</w:t>
      </w:r>
      <w:r w:rsidR="00870656">
        <w:rPr>
          <w:rFonts w:ascii="Times New Roman" w:hAnsi="Times New Roman"/>
        </w:rPr>
        <w:t>,</w:t>
      </w:r>
      <w:r w:rsidR="00313B24" w:rsidRPr="00DB3AA2">
        <w:rPr>
          <w:rFonts w:ascii="Times New Roman" w:hAnsi="Times New Roman"/>
        </w:rPr>
        <w:t xml:space="preserve"> what was discussed during the relevant period of time – </w:t>
      </w:r>
      <w:proofErr w:type="spellStart"/>
      <w:r w:rsidR="00313B24" w:rsidRPr="00DB3AA2">
        <w:rPr>
          <w:rFonts w:ascii="Times New Roman" w:hAnsi="Times New Roman"/>
        </w:rPr>
        <w:t>ie</w:t>
      </w:r>
      <w:proofErr w:type="spellEnd"/>
      <w:r w:rsidR="00313B24" w:rsidRPr="00DB3AA2">
        <w:rPr>
          <w:rFonts w:ascii="Times New Roman" w:hAnsi="Times New Roman"/>
        </w:rPr>
        <w:t>, between June and October 2010 – but that it is likely that the acquisition of PMS</w:t>
      </w:r>
      <w:r w:rsidR="00504561" w:rsidRPr="00DB3AA2">
        <w:rPr>
          <w:rFonts w:ascii="Times New Roman" w:hAnsi="Times New Roman"/>
        </w:rPr>
        <w:t xml:space="preserve">, and the </w:t>
      </w:r>
      <w:r w:rsidR="00160908" w:rsidRPr="00DB3AA2">
        <w:rPr>
          <w:rFonts w:ascii="Times New Roman" w:hAnsi="Times New Roman"/>
        </w:rPr>
        <w:t>assumption of mining by WK Construction (having taken over the operations from PMS)</w:t>
      </w:r>
      <w:r w:rsidR="00E8378E" w:rsidRPr="00DB3AA2">
        <w:rPr>
          <w:rFonts w:ascii="Times New Roman" w:hAnsi="Times New Roman"/>
        </w:rPr>
        <w:t>,</w:t>
      </w:r>
      <w:r w:rsidR="00313B24" w:rsidRPr="00DB3AA2">
        <w:rPr>
          <w:rFonts w:ascii="Times New Roman" w:hAnsi="Times New Roman"/>
        </w:rPr>
        <w:t xml:space="preserve"> would have been the subject of the discussions between Mr Hay and Mr </w:t>
      </w:r>
      <w:proofErr w:type="spellStart"/>
      <w:r w:rsidR="00313B24" w:rsidRPr="00DB3AA2">
        <w:rPr>
          <w:rFonts w:ascii="Times New Roman" w:hAnsi="Times New Roman"/>
        </w:rPr>
        <w:t>Kusel</w:t>
      </w:r>
      <w:proofErr w:type="spellEnd"/>
      <w:r w:rsidR="00313B24" w:rsidRPr="00DB3AA2">
        <w:rPr>
          <w:rFonts w:ascii="Times New Roman" w:hAnsi="Times New Roman"/>
        </w:rPr>
        <w:t>.</w:t>
      </w:r>
    </w:p>
    <w:p w14:paraId="755B0AE7" w14:textId="1A540819" w:rsidR="005F2767"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16</w:t>
      </w:r>
      <w:r w:rsidRPr="00DB3AA2">
        <w:rPr>
          <w:rFonts w:ascii="Times New Roman" w:hAnsi="Times New Roman"/>
        </w:rPr>
        <w:tab/>
      </w:r>
      <w:r w:rsidR="008B58B9" w:rsidRPr="00DB3AA2">
        <w:rPr>
          <w:rFonts w:ascii="Times New Roman" w:hAnsi="Times New Roman"/>
        </w:rPr>
        <w:t xml:space="preserve">Placing heavy reliance on the judgment of </w:t>
      </w:r>
      <w:proofErr w:type="spellStart"/>
      <w:r w:rsidR="008B58B9" w:rsidRPr="00DB3AA2">
        <w:rPr>
          <w:rFonts w:ascii="Times New Roman" w:hAnsi="Times New Roman"/>
        </w:rPr>
        <w:t>Binns</w:t>
      </w:r>
      <w:proofErr w:type="spellEnd"/>
      <w:r w:rsidR="008B58B9" w:rsidRPr="00DB3AA2">
        <w:rPr>
          <w:rFonts w:ascii="Times New Roman" w:hAnsi="Times New Roman"/>
        </w:rPr>
        <w:t xml:space="preserve">-Ward J in </w:t>
      </w:r>
      <w:r w:rsidR="008B58B9" w:rsidRPr="00DB3AA2">
        <w:rPr>
          <w:rFonts w:ascii="Times New Roman" w:hAnsi="Times New Roman"/>
          <w:i/>
          <w:iCs/>
        </w:rPr>
        <w:t xml:space="preserve">A Company </w:t>
      </w:r>
      <w:r w:rsidR="00200040" w:rsidRPr="00DB3AA2">
        <w:rPr>
          <w:rFonts w:ascii="Times New Roman" w:hAnsi="Times New Roman"/>
          <w:i/>
          <w:iCs/>
        </w:rPr>
        <w:t>v Commissioner, South African Revenue Service</w:t>
      </w:r>
      <w:r w:rsidR="00200040" w:rsidRPr="00DB3AA2">
        <w:rPr>
          <w:rFonts w:ascii="Times New Roman" w:hAnsi="Times New Roman"/>
        </w:rPr>
        <w:t xml:space="preserve"> </w:t>
      </w:r>
      <w:r w:rsidR="008B58B9" w:rsidRPr="00DB3AA2">
        <w:rPr>
          <w:rFonts w:ascii="Times New Roman" w:hAnsi="Times New Roman"/>
        </w:rPr>
        <w:t xml:space="preserve">2014 (4) SA 549 (WCC) </w:t>
      </w:r>
      <w:r w:rsidR="00235BC6" w:rsidRPr="00DB3AA2">
        <w:rPr>
          <w:rFonts w:ascii="Times New Roman" w:hAnsi="Times New Roman"/>
        </w:rPr>
        <w:t>(“</w:t>
      </w:r>
      <w:r w:rsidR="00235BC6" w:rsidRPr="00DB3AA2">
        <w:rPr>
          <w:rFonts w:ascii="Times New Roman" w:hAnsi="Times New Roman"/>
          <w:i/>
          <w:iCs/>
        </w:rPr>
        <w:t>A Company</w:t>
      </w:r>
      <w:r w:rsidR="00235BC6" w:rsidRPr="00DB3AA2">
        <w:rPr>
          <w:rFonts w:ascii="Times New Roman" w:hAnsi="Times New Roman"/>
        </w:rPr>
        <w:t xml:space="preserve">”) </w:t>
      </w:r>
      <w:r w:rsidR="00160908" w:rsidRPr="00DB3AA2">
        <w:rPr>
          <w:rFonts w:ascii="Times New Roman" w:hAnsi="Times New Roman"/>
        </w:rPr>
        <w:t>Mr Brown contends that</w:t>
      </w:r>
      <w:r w:rsidR="008B58B9" w:rsidRPr="00DB3AA2">
        <w:rPr>
          <w:rFonts w:ascii="Times New Roman" w:hAnsi="Times New Roman"/>
        </w:rPr>
        <w:t xml:space="preserve"> the appropriate solution to the problem </w:t>
      </w:r>
      <w:r w:rsidR="00F03C44" w:rsidRPr="00DB3AA2">
        <w:rPr>
          <w:rFonts w:ascii="Times New Roman" w:hAnsi="Times New Roman"/>
        </w:rPr>
        <w:t xml:space="preserve">– </w:t>
      </w:r>
      <w:proofErr w:type="spellStart"/>
      <w:r w:rsidR="00F03C44" w:rsidRPr="00DB3AA2">
        <w:rPr>
          <w:rFonts w:ascii="Times New Roman" w:hAnsi="Times New Roman"/>
        </w:rPr>
        <w:t>ie</w:t>
      </w:r>
      <w:proofErr w:type="spellEnd"/>
      <w:r w:rsidR="00F03C44" w:rsidRPr="00DB3AA2">
        <w:rPr>
          <w:rFonts w:ascii="Times New Roman" w:hAnsi="Times New Roman"/>
        </w:rPr>
        <w:t xml:space="preserve">, the fact that neither Mr Brown nor the court has any insight into what is contained in the Hay file notes – is for me to order a </w:t>
      </w:r>
      <w:r w:rsidR="007A3479" w:rsidRPr="00DB3AA2">
        <w:rPr>
          <w:rFonts w:ascii="Times New Roman" w:hAnsi="Times New Roman"/>
        </w:rPr>
        <w:t xml:space="preserve">“judicial peek” of the documents. The concept of a judicial peek is something that I return to discuss below. In essence, it </w:t>
      </w:r>
      <w:r w:rsidR="00936194" w:rsidRPr="00DB3AA2">
        <w:rPr>
          <w:rFonts w:ascii="Times New Roman" w:hAnsi="Times New Roman"/>
        </w:rPr>
        <w:t>would involve (as it arises in this case)</w:t>
      </w:r>
      <w:r w:rsidR="007A3479" w:rsidRPr="00DB3AA2">
        <w:rPr>
          <w:rFonts w:ascii="Times New Roman" w:hAnsi="Times New Roman"/>
        </w:rPr>
        <w:t xml:space="preserve"> </w:t>
      </w:r>
      <w:r w:rsidR="00936194" w:rsidRPr="00DB3AA2">
        <w:rPr>
          <w:rFonts w:ascii="Times New Roman" w:hAnsi="Times New Roman"/>
        </w:rPr>
        <w:t xml:space="preserve">me making an order that either I, or the trial court, should look at the Hay file notes and make a decision as to whether they fall under the legal advice privilege. On the basis of this determination, </w:t>
      </w:r>
      <w:r w:rsidR="0053297B" w:rsidRPr="00DB3AA2">
        <w:rPr>
          <w:rFonts w:ascii="Times New Roman" w:hAnsi="Times New Roman"/>
        </w:rPr>
        <w:t>the documents would either have to be disclosed or the judge (</w:t>
      </w:r>
      <w:proofErr w:type="spellStart"/>
      <w:r w:rsidR="0053297B" w:rsidRPr="00DB3AA2">
        <w:rPr>
          <w:rFonts w:ascii="Times New Roman" w:hAnsi="Times New Roman"/>
        </w:rPr>
        <w:t>ie</w:t>
      </w:r>
      <w:proofErr w:type="spellEnd"/>
      <w:r w:rsidR="0053297B" w:rsidRPr="00DB3AA2">
        <w:rPr>
          <w:rFonts w:ascii="Times New Roman" w:hAnsi="Times New Roman"/>
        </w:rPr>
        <w:t xml:space="preserve">, either me or the trial judge) would confirm that </w:t>
      </w:r>
      <w:r w:rsidR="005F2767" w:rsidRPr="00DB3AA2">
        <w:rPr>
          <w:rFonts w:ascii="Times New Roman" w:hAnsi="Times New Roman"/>
        </w:rPr>
        <w:t xml:space="preserve">WK Construction is entitled to withhold the </w:t>
      </w:r>
      <w:proofErr w:type="spellStart"/>
      <w:r w:rsidR="005F2767" w:rsidRPr="00DB3AA2">
        <w:rPr>
          <w:rFonts w:ascii="Times New Roman" w:hAnsi="Times New Roman"/>
        </w:rPr>
        <w:t>unredacted</w:t>
      </w:r>
      <w:proofErr w:type="spellEnd"/>
      <w:r w:rsidR="005F2767" w:rsidRPr="00DB3AA2">
        <w:rPr>
          <w:rFonts w:ascii="Times New Roman" w:hAnsi="Times New Roman"/>
        </w:rPr>
        <w:t xml:space="preserve"> version of the documents</w:t>
      </w:r>
      <w:r w:rsidR="00321610">
        <w:rPr>
          <w:rFonts w:ascii="Times New Roman" w:hAnsi="Times New Roman"/>
        </w:rPr>
        <w:t xml:space="preserve"> on the basis of the legal advice privilege</w:t>
      </w:r>
      <w:r w:rsidR="005F2767" w:rsidRPr="00DB3AA2">
        <w:rPr>
          <w:rFonts w:ascii="Times New Roman" w:hAnsi="Times New Roman"/>
        </w:rPr>
        <w:t>.</w:t>
      </w:r>
    </w:p>
    <w:p w14:paraId="154E5F6C" w14:textId="0CFE7ED2" w:rsidR="00D17084"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17</w:t>
      </w:r>
      <w:r w:rsidRPr="00DB3AA2">
        <w:rPr>
          <w:rFonts w:ascii="Times New Roman" w:hAnsi="Times New Roman"/>
        </w:rPr>
        <w:tab/>
      </w:r>
      <w:r w:rsidR="005F2767" w:rsidRPr="00DB3AA2">
        <w:rPr>
          <w:rFonts w:ascii="Times New Roman" w:hAnsi="Times New Roman"/>
        </w:rPr>
        <w:t xml:space="preserve">In sum, </w:t>
      </w:r>
      <w:r w:rsidR="00D17084" w:rsidRPr="00DB3AA2">
        <w:rPr>
          <w:rFonts w:ascii="Times New Roman" w:hAnsi="Times New Roman"/>
        </w:rPr>
        <w:t xml:space="preserve">therefore, Mr Brown’s stance in his heads of argument was (a) the mere say-so of WK Construction’s attorney that the legal advice privilege applies is insufficient (b) we are therefore left with no insight as to whether the privilege has been appropriately </w:t>
      </w:r>
      <w:r w:rsidR="00D17084" w:rsidRPr="00DB3AA2">
        <w:rPr>
          <w:rFonts w:ascii="Times New Roman" w:hAnsi="Times New Roman"/>
        </w:rPr>
        <w:lastRenderedPageBreak/>
        <w:t>raised and (c) the solution to this problem is for a court to take a judicial peek of the documents to determine whether they fall under the legal advice privilege.</w:t>
      </w:r>
    </w:p>
    <w:p w14:paraId="0EF88A3D" w14:textId="1D16C133" w:rsidR="00B235B5"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18</w:t>
      </w:r>
      <w:r w:rsidRPr="00DB3AA2">
        <w:rPr>
          <w:rFonts w:ascii="Times New Roman" w:hAnsi="Times New Roman"/>
        </w:rPr>
        <w:tab/>
      </w:r>
      <w:r w:rsidR="0081361C" w:rsidRPr="00DB3AA2">
        <w:rPr>
          <w:rFonts w:ascii="Times New Roman" w:hAnsi="Times New Roman"/>
        </w:rPr>
        <w:t xml:space="preserve">Mr Brown’s heads of argument were drafted by </w:t>
      </w:r>
      <w:r w:rsidR="0081361C" w:rsidRPr="00DB3AA2">
        <w:rPr>
          <w:rFonts w:ascii="Times New Roman" w:hAnsi="Times New Roman"/>
          <w:i/>
          <w:iCs/>
        </w:rPr>
        <w:t xml:space="preserve">Mr </w:t>
      </w:r>
      <w:proofErr w:type="spellStart"/>
      <w:r w:rsidR="0081361C" w:rsidRPr="00DB3AA2">
        <w:rPr>
          <w:rFonts w:ascii="Times New Roman" w:hAnsi="Times New Roman"/>
          <w:i/>
          <w:iCs/>
        </w:rPr>
        <w:t>Steyn</w:t>
      </w:r>
      <w:proofErr w:type="spellEnd"/>
      <w:r w:rsidR="0081361C" w:rsidRPr="00DB3AA2">
        <w:rPr>
          <w:rFonts w:ascii="Times New Roman" w:hAnsi="Times New Roman"/>
        </w:rPr>
        <w:t xml:space="preserve">, who continued to act on behalf of Mr Brown in the oral argument before me. But, by then, he was led by </w:t>
      </w:r>
      <w:r w:rsidR="0081361C" w:rsidRPr="00DB3AA2">
        <w:rPr>
          <w:rFonts w:ascii="Times New Roman" w:hAnsi="Times New Roman"/>
          <w:i/>
          <w:iCs/>
        </w:rPr>
        <w:t xml:space="preserve">Mr </w:t>
      </w:r>
      <w:proofErr w:type="spellStart"/>
      <w:r w:rsidR="0081361C" w:rsidRPr="00DB3AA2">
        <w:rPr>
          <w:rFonts w:ascii="Times New Roman" w:hAnsi="Times New Roman"/>
          <w:i/>
          <w:iCs/>
        </w:rPr>
        <w:t>Hellens</w:t>
      </w:r>
      <w:proofErr w:type="spellEnd"/>
      <w:r w:rsidR="0081361C" w:rsidRPr="00DB3AA2">
        <w:rPr>
          <w:rFonts w:ascii="Times New Roman" w:hAnsi="Times New Roman"/>
        </w:rPr>
        <w:t xml:space="preserve">, </w:t>
      </w:r>
      <w:r w:rsidR="002249CB" w:rsidRPr="00DB3AA2">
        <w:rPr>
          <w:rFonts w:ascii="Times New Roman" w:hAnsi="Times New Roman"/>
        </w:rPr>
        <w:t xml:space="preserve">who argued the matter on behalf of Mr Brown. </w:t>
      </w:r>
      <w:r w:rsidR="002249CB" w:rsidRPr="00DB3AA2">
        <w:rPr>
          <w:rFonts w:ascii="Times New Roman" w:hAnsi="Times New Roman"/>
          <w:i/>
          <w:iCs/>
        </w:rPr>
        <w:t xml:space="preserve">Mr </w:t>
      </w:r>
      <w:proofErr w:type="spellStart"/>
      <w:r w:rsidR="002249CB" w:rsidRPr="00DB3AA2">
        <w:rPr>
          <w:rFonts w:ascii="Times New Roman" w:hAnsi="Times New Roman"/>
          <w:i/>
          <w:iCs/>
        </w:rPr>
        <w:t>Hellens</w:t>
      </w:r>
      <w:proofErr w:type="spellEnd"/>
      <w:r w:rsidR="002249CB" w:rsidRPr="00DB3AA2">
        <w:rPr>
          <w:rFonts w:ascii="Times New Roman" w:hAnsi="Times New Roman"/>
        </w:rPr>
        <w:t xml:space="preserve"> persisted in arguing that, given the lack of any meaningful information as to the contents of the Hay file notes, a judicial peek was an appropriate solution.</w:t>
      </w:r>
      <w:r w:rsidR="0021098E" w:rsidRPr="00DB3AA2">
        <w:rPr>
          <w:rFonts w:ascii="Times New Roman" w:hAnsi="Times New Roman"/>
        </w:rPr>
        <w:t xml:space="preserve"> But, he raised </w:t>
      </w:r>
      <w:r w:rsidR="00B235B5" w:rsidRPr="00DB3AA2">
        <w:rPr>
          <w:rFonts w:ascii="Times New Roman" w:hAnsi="Times New Roman"/>
        </w:rPr>
        <w:t xml:space="preserve">two other </w:t>
      </w:r>
      <w:r w:rsidR="0021098E" w:rsidRPr="00DB3AA2">
        <w:rPr>
          <w:rFonts w:ascii="Times New Roman" w:hAnsi="Times New Roman"/>
        </w:rPr>
        <w:t>argument</w:t>
      </w:r>
      <w:r w:rsidR="00B235B5" w:rsidRPr="00DB3AA2">
        <w:rPr>
          <w:rFonts w:ascii="Times New Roman" w:hAnsi="Times New Roman"/>
        </w:rPr>
        <w:t>s</w:t>
      </w:r>
      <w:r w:rsidR="0021098E" w:rsidRPr="00DB3AA2">
        <w:rPr>
          <w:rFonts w:ascii="Times New Roman" w:hAnsi="Times New Roman"/>
        </w:rPr>
        <w:t xml:space="preserve">; one </w:t>
      </w:r>
      <w:r w:rsidR="00B235B5" w:rsidRPr="00DB3AA2">
        <w:rPr>
          <w:rFonts w:ascii="Times New Roman" w:hAnsi="Times New Roman"/>
        </w:rPr>
        <w:t xml:space="preserve">of </w:t>
      </w:r>
      <w:r w:rsidR="0021098E" w:rsidRPr="00DB3AA2">
        <w:rPr>
          <w:rFonts w:ascii="Times New Roman" w:hAnsi="Times New Roman"/>
        </w:rPr>
        <w:t>which had not featured in the papers or the heads of argument.</w:t>
      </w:r>
      <w:r w:rsidR="00B235B5" w:rsidRPr="00DB3AA2">
        <w:rPr>
          <w:rFonts w:ascii="Times New Roman" w:hAnsi="Times New Roman"/>
        </w:rPr>
        <w:t xml:space="preserve"> First, on the basis of the decision in </w:t>
      </w:r>
      <w:r w:rsidR="00B235B5" w:rsidRPr="00DB3AA2">
        <w:rPr>
          <w:rFonts w:ascii="Times New Roman" w:hAnsi="Times New Roman"/>
          <w:i/>
          <w:iCs/>
        </w:rPr>
        <w:t>A Company</w:t>
      </w:r>
      <w:r w:rsidR="00B235B5" w:rsidRPr="00DB3AA2">
        <w:rPr>
          <w:rFonts w:ascii="Times New Roman" w:hAnsi="Times New Roman"/>
        </w:rPr>
        <w:t xml:space="preserve">, he submitted that WK Construction had failed to discharge the onus of giving a proper explanation for its assertion of privilege. This could lead me to decide that a judicial peek was appropriate. But, according to the argument, I could also simply grant </w:t>
      </w:r>
      <w:r w:rsidR="00F14D84" w:rsidRPr="00DB3AA2">
        <w:rPr>
          <w:rFonts w:ascii="Times New Roman" w:hAnsi="Times New Roman"/>
        </w:rPr>
        <w:t>access to the documents now (</w:t>
      </w:r>
      <w:proofErr w:type="spellStart"/>
      <w:r w:rsidR="00F14D84" w:rsidRPr="00DB3AA2">
        <w:rPr>
          <w:rFonts w:ascii="Times New Roman" w:hAnsi="Times New Roman"/>
        </w:rPr>
        <w:t>ie</w:t>
      </w:r>
      <w:proofErr w:type="spellEnd"/>
      <w:r w:rsidR="00F14D84" w:rsidRPr="00DB3AA2">
        <w:rPr>
          <w:rFonts w:ascii="Times New Roman" w:hAnsi="Times New Roman"/>
        </w:rPr>
        <w:t xml:space="preserve"> without needing to order a judicial peek) on the basis that WK Construction had failed to discharge the onus of justifying its assertion of privilege.</w:t>
      </w:r>
      <w:r w:rsidR="0021098E" w:rsidRPr="00DB3AA2">
        <w:rPr>
          <w:rFonts w:ascii="Times New Roman" w:hAnsi="Times New Roman"/>
        </w:rPr>
        <w:t xml:space="preserve"> </w:t>
      </w:r>
    </w:p>
    <w:p w14:paraId="06CC4D4E" w14:textId="4F80D922" w:rsidR="00966E37"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19</w:t>
      </w:r>
      <w:r w:rsidRPr="00DB3AA2">
        <w:rPr>
          <w:rFonts w:ascii="Times New Roman" w:hAnsi="Times New Roman"/>
        </w:rPr>
        <w:tab/>
      </w:r>
      <w:r w:rsidR="00B235B5" w:rsidRPr="00DB3AA2">
        <w:rPr>
          <w:rFonts w:ascii="Times New Roman" w:hAnsi="Times New Roman"/>
        </w:rPr>
        <w:t>The</w:t>
      </w:r>
      <w:r w:rsidR="00F14D84" w:rsidRPr="00DB3AA2">
        <w:rPr>
          <w:rFonts w:ascii="Times New Roman" w:hAnsi="Times New Roman"/>
        </w:rPr>
        <w:t xml:space="preserve"> second argument was based on the fact that</w:t>
      </w:r>
      <w:r w:rsidR="0021098E" w:rsidRPr="00DB3AA2">
        <w:rPr>
          <w:rFonts w:ascii="Times New Roman" w:hAnsi="Times New Roman"/>
        </w:rPr>
        <w:t xml:space="preserve">, at the time when the Hay file notes were generated, Mr Brown was a director of WK Construction. </w:t>
      </w:r>
      <w:r w:rsidR="00F14D84" w:rsidRPr="00DB3AA2">
        <w:rPr>
          <w:rFonts w:ascii="Times New Roman" w:hAnsi="Times New Roman"/>
        </w:rPr>
        <w:t xml:space="preserve">Mr </w:t>
      </w:r>
      <w:proofErr w:type="spellStart"/>
      <w:r w:rsidR="00F14D84" w:rsidRPr="00DB3AA2">
        <w:rPr>
          <w:rFonts w:ascii="Times New Roman" w:hAnsi="Times New Roman"/>
        </w:rPr>
        <w:t>Hellens</w:t>
      </w:r>
      <w:proofErr w:type="spellEnd"/>
      <w:r w:rsidR="00EB4D88" w:rsidRPr="00DB3AA2">
        <w:rPr>
          <w:rFonts w:ascii="Times New Roman" w:hAnsi="Times New Roman"/>
        </w:rPr>
        <w:t xml:space="preserve"> argued that, had Mr Brown asked to see the documents at the time, there could have been no lawful basis for Mr </w:t>
      </w:r>
      <w:proofErr w:type="spellStart"/>
      <w:r w:rsidR="00EB4D88" w:rsidRPr="00DB3AA2">
        <w:rPr>
          <w:rFonts w:ascii="Times New Roman" w:hAnsi="Times New Roman"/>
        </w:rPr>
        <w:t>Kusel</w:t>
      </w:r>
      <w:proofErr w:type="spellEnd"/>
      <w:r w:rsidR="00EB4D88" w:rsidRPr="00DB3AA2">
        <w:rPr>
          <w:rFonts w:ascii="Times New Roman" w:hAnsi="Times New Roman"/>
        </w:rPr>
        <w:t xml:space="preserve"> (or the board of WK Construction) to withhold them.</w:t>
      </w:r>
      <w:r w:rsidR="00F14103" w:rsidRPr="00DB3AA2">
        <w:rPr>
          <w:rFonts w:ascii="Times New Roman" w:hAnsi="Times New Roman"/>
        </w:rPr>
        <w:t xml:space="preserve"> According to this argument, there cannot now be any lawful basis for WK Construction to raise the privilege, since it would not have been able to </w:t>
      </w:r>
      <w:r w:rsidR="00F80179" w:rsidRPr="00DB3AA2">
        <w:rPr>
          <w:rFonts w:ascii="Times New Roman" w:hAnsi="Times New Roman"/>
        </w:rPr>
        <w:t>prevent Mr Brown from having access</w:t>
      </w:r>
      <w:r w:rsidR="00F14103" w:rsidRPr="00DB3AA2">
        <w:rPr>
          <w:rFonts w:ascii="Times New Roman" w:hAnsi="Times New Roman"/>
        </w:rPr>
        <w:t xml:space="preserve"> at the time when the documents were generated.</w:t>
      </w:r>
      <w:r w:rsidR="00313B24" w:rsidRPr="00DB3AA2">
        <w:rPr>
          <w:rFonts w:ascii="Times New Roman" w:hAnsi="Times New Roman"/>
        </w:rPr>
        <w:t xml:space="preserve"> </w:t>
      </w:r>
      <w:r w:rsidR="00005330" w:rsidRPr="00DB3AA2">
        <w:rPr>
          <w:rFonts w:ascii="Times New Roman" w:hAnsi="Times New Roman"/>
        </w:rPr>
        <w:t>I shall refer to this argument below as the “incumbent-director submission”.</w:t>
      </w:r>
    </w:p>
    <w:p w14:paraId="5FFE285C" w14:textId="04125CDA" w:rsidR="007035C2"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20</w:t>
      </w:r>
      <w:r w:rsidRPr="00DB3AA2">
        <w:rPr>
          <w:rFonts w:ascii="Times New Roman" w:hAnsi="Times New Roman"/>
        </w:rPr>
        <w:tab/>
      </w:r>
      <w:r w:rsidR="007035C2" w:rsidRPr="00DB3AA2">
        <w:rPr>
          <w:rFonts w:ascii="Times New Roman" w:hAnsi="Times New Roman"/>
        </w:rPr>
        <w:t>As I understood Mr Brown’s stance in oral argument, viewed as a whole, his position was: (a) on the basis of the submission</w:t>
      </w:r>
      <w:r w:rsidR="00D86AFE" w:rsidRPr="00DB3AA2">
        <w:rPr>
          <w:rFonts w:ascii="Times New Roman" w:hAnsi="Times New Roman"/>
        </w:rPr>
        <w:t>s</w:t>
      </w:r>
      <w:r w:rsidR="007035C2" w:rsidRPr="00DB3AA2">
        <w:rPr>
          <w:rFonts w:ascii="Times New Roman" w:hAnsi="Times New Roman"/>
        </w:rPr>
        <w:t xml:space="preserve"> just summarised, I should simply order the </w:t>
      </w:r>
      <w:r w:rsidR="007035C2" w:rsidRPr="00DB3AA2">
        <w:rPr>
          <w:rFonts w:ascii="Times New Roman" w:hAnsi="Times New Roman"/>
        </w:rPr>
        <w:lastRenderedPageBreak/>
        <w:t>disclosure of the documents (b) however, if I was not inclined to go that far, I should then order a judicial peek, along the lines first suggested in the heads of argument.</w:t>
      </w:r>
    </w:p>
    <w:p w14:paraId="087DF0C4" w14:textId="28C6BBB0" w:rsidR="007035C2" w:rsidRPr="00DB3AA2" w:rsidRDefault="007035C2" w:rsidP="007035C2">
      <w:pPr>
        <w:pStyle w:val="Heading1"/>
        <w:rPr>
          <w:rFonts w:ascii="Times New Roman" w:hAnsi="Times New Roman"/>
          <w:i/>
          <w:iCs/>
        </w:rPr>
      </w:pPr>
      <w:r w:rsidRPr="00DB3AA2">
        <w:rPr>
          <w:rFonts w:ascii="Times New Roman" w:hAnsi="Times New Roman"/>
          <w:i/>
          <w:iCs/>
        </w:rPr>
        <w:t>WK Construction’s</w:t>
      </w:r>
      <w:r w:rsidR="00FB0FD5" w:rsidRPr="00DB3AA2">
        <w:rPr>
          <w:rFonts w:ascii="Times New Roman" w:hAnsi="Times New Roman"/>
          <w:i/>
          <w:iCs/>
        </w:rPr>
        <w:t xml:space="preserve"> stance</w:t>
      </w:r>
    </w:p>
    <w:p w14:paraId="0A040279" w14:textId="0A9B54D6" w:rsidR="00FB0FD5"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21</w:t>
      </w:r>
      <w:r w:rsidRPr="00DB3AA2">
        <w:rPr>
          <w:rFonts w:ascii="Times New Roman" w:hAnsi="Times New Roman"/>
        </w:rPr>
        <w:tab/>
      </w:r>
      <w:r w:rsidR="00ED7D04" w:rsidRPr="00DB3AA2">
        <w:rPr>
          <w:rFonts w:ascii="Times New Roman" w:hAnsi="Times New Roman"/>
        </w:rPr>
        <w:t>As already mentioned, WK Construction did not deal with the facts of this matter in its answering affidavit. WK Construction made clear that its opposition to this application raises issues of law, which would be addressed in argument.</w:t>
      </w:r>
    </w:p>
    <w:p w14:paraId="6B419F5A" w14:textId="2C8F256B" w:rsidR="00ED7D04"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22</w:t>
      </w:r>
      <w:r w:rsidRPr="00DB3AA2">
        <w:rPr>
          <w:rFonts w:ascii="Times New Roman" w:hAnsi="Times New Roman"/>
        </w:rPr>
        <w:tab/>
      </w:r>
      <w:r w:rsidR="009B3D8A" w:rsidRPr="00DB3AA2">
        <w:rPr>
          <w:rFonts w:ascii="Times New Roman" w:hAnsi="Times New Roman"/>
        </w:rPr>
        <w:t xml:space="preserve">In WK Construction’s heads of argument, great emphasis is placed on the </w:t>
      </w:r>
      <w:r w:rsidR="00350E0C" w:rsidRPr="00DB3AA2">
        <w:rPr>
          <w:rFonts w:ascii="Times New Roman" w:hAnsi="Times New Roman"/>
        </w:rPr>
        <w:t xml:space="preserve">“shifting” nature of Mr Brown’s case. It is pointed out that, in the correspondence which was exchanged before the interlocutory application was launched, WK Construction made clear that it relied on the legal advice privilege and not the litigation privilege. Despite this, the founding affidavit is framed in a way which suggests that </w:t>
      </w:r>
      <w:r w:rsidR="007C2A38" w:rsidRPr="00DB3AA2">
        <w:rPr>
          <w:rFonts w:ascii="Times New Roman" w:hAnsi="Times New Roman"/>
        </w:rPr>
        <w:t xml:space="preserve">Mr Brown understood the privilege to relate to litigation. </w:t>
      </w:r>
      <w:r w:rsidR="00846643" w:rsidRPr="00DB3AA2">
        <w:rPr>
          <w:rFonts w:ascii="Times New Roman" w:hAnsi="Times New Roman"/>
        </w:rPr>
        <w:t>WK Construction also pointed to another shift; in the notice of motion, Mr Brown simply seeks disclosure of the documents. In the heads of argument, howe</w:t>
      </w:r>
      <w:r w:rsidR="00FD7B83" w:rsidRPr="00DB3AA2">
        <w:rPr>
          <w:rFonts w:ascii="Times New Roman" w:hAnsi="Times New Roman"/>
        </w:rPr>
        <w:t xml:space="preserve">ver, no real attempt is made to justify that order. Rather, as shown above and as highlighted by WK Construction in its heads of argument, </w:t>
      </w:r>
      <w:r w:rsidR="004F0C49" w:rsidRPr="00DB3AA2">
        <w:rPr>
          <w:rFonts w:ascii="Times New Roman" w:hAnsi="Times New Roman"/>
        </w:rPr>
        <w:t>the stance which is adopted is that, because none of us has any knowledge of the contents of the Hay file notes, a judicial peek is warranted.</w:t>
      </w:r>
    </w:p>
    <w:p w14:paraId="37DF1FFE" w14:textId="2E55CC66" w:rsidR="00287AC8"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23</w:t>
      </w:r>
      <w:r w:rsidRPr="00DB3AA2">
        <w:rPr>
          <w:rFonts w:ascii="Times New Roman" w:hAnsi="Times New Roman"/>
        </w:rPr>
        <w:tab/>
      </w:r>
      <w:r w:rsidR="00287AC8" w:rsidRPr="00DB3AA2">
        <w:rPr>
          <w:rFonts w:ascii="Times New Roman" w:hAnsi="Times New Roman"/>
        </w:rPr>
        <w:t xml:space="preserve">In addition to emphasising the shifting nature of Mr Brown’s case, WK Construction’s heads of argument </w:t>
      </w:r>
      <w:r w:rsidR="007739DD" w:rsidRPr="00DB3AA2">
        <w:rPr>
          <w:rFonts w:ascii="Times New Roman" w:hAnsi="Times New Roman"/>
        </w:rPr>
        <w:t xml:space="preserve">rely on the high threshold which must be </w:t>
      </w:r>
      <w:r w:rsidR="00D17341">
        <w:rPr>
          <w:rFonts w:ascii="Times New Roman" w:hAnsi="Times New Roman"/>
        </w:rPr>
        <w:t>overcome</w:t>
      </w:r>
      <w:r w:rsidR="007739DD" w:rsidRPr="00DB3AA2">
        <w:rPr>
          <w:rFonts w:ascii="Times New Roman" w:hAnsi="Times New Roman"/>
        </w:rPr>
        <w:t xml:space="preserve"> to go behind a statement on oath that a document is privileged. </w:t>
      </w:r>
      <w:r w:rsidR="005A57A9" w:rsidRPr="00DB3AA2">
        <w:rPr>
          <w:rFonts w:ascii="Times New Roman" w:hAnsi="Times New Roman"/>
        </w:rPr>
        <w:t xml:space="preserve">WK Construction argues that Mr Brown has not even attempted to provide any basis to go behind the sworn statement of WK Construction’s attorney that the Hay file notes are privileged. WK Construction argues </w:t>
      </w:r>
      <w:r w:rsidR="005A57A9" w:rsidRPr="00DB3AA2">
        <w:rPr>
          <w:rFonts w:ascii="Times New Roman" w:hAnsi="Times New Roman"/>
        </w:rPr>
        <w:lastRenderedPageBreak/>
        <w:t>that, in any event, the documents are clearly privileged.</w:t>
      </w:r>
      <w:r w:rsidR="00C72EA6" w:rsidRPr="00DB3AA2">
        <w:rPr>
          <w:rFonts w:ascii="Times New Roman" w:hAnsi="Times New Roman"/>
        </w:rPr>
        <w:t xml:space="preserve"> It is necessary for me to explain this submission in more detail.</w:t>
      </w:r>
    </w:p>
    <w:p w14:paraId="4D3402EB" w14:textId="79B84C58" w:rsidR="00C72EA6"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24</w:t>
      </w:r>
      <w:r w:rsidRPr="00DB3AA2">
        <w:rPr>
          <w:rFonts w:ascii="Times New Roman" w:hAnsi="Times New Roman"/>
        </w:rPr>
        <w:tab/>
      </w:r>
      <w:r w:rsidR="00C72EA6" w:rsidRPr="00DB3AA2">
        <w:rPr>
          <w:rFonts w:ascii="Times New Roman" w:hAnsi="Times New Roman"/>
        </w:rPr>
        <w:t>Counsel representing both parties are in agreement as to the applicable test to determine whether the legal advice privilege applies.</w:t>
      </w:r>
      <w:r w:rsidR="00A97CC4" w:rsidRPr="00DB3AA2">
        <w:rPr>
          <w:rFonts w:ascii="Times New Roman" w:hAnsi="Times New Roman"/>
        </w:rPr>
        <w:t xml:space="preserve"> Both sets of heads of argument set out the test. It is that:</w:t>
      </w:r>
    </w:p>
    <w:p w14:paraId="1F6B8DF2" w14:textId="488A38F8" w:rsidR="00A97CC4"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24.1</w:t>
      </w:r>
      <w:r w:rsidRPr="00DB3AA2">
        <w:rPr>
          <w:rFonts w:ascii="Times New Roman" w:hAnsi="Times New Roman"/>
        </w:rPr>
        <w:tab/>
      </w:r>
      <w:r w:rsidR="00A97CC4" w:rsidRPr="00DB3AA2">
        <w:rPr>
          <w:rFonts w:ascii="Times New Roman" w:hAnsi="Times New Roman"/>
        </w:rPr>
        <w:t>The legal advisor was acting in a pro</w:t>
      </w:r>
      <w:r w:rsidR="00CD0F01" w:rsidRPr="00DB3AA2">
        <w:rPr>
          <w:rFonts w:ascii="Times New Roman" w:hAnsi="Times New Roman"/>
        </w:rPr>
        <w:t>f</w:t>
      </w:r>
      <w:r w:rsidR="00A97CC4" w:rsidRPr="00DB3AA2">
        <w:rPr>
          <w:rFonts w:ascii="Times New Roman" w:hAnsi="Times New Roman"/>
        </w:rPr>
        <w:t>es</w:t>
      </w:r>
      <w:r w:rsidR="00CD0F01" w:rsidRPr="00DB3AA2">
        <w:rPr>
          <w:rFonts w:ascii="Times New Roman" w:hAnsi="Times New Roman"/>
        </w:rPr>
        <w:t>s</w:t>
      </w:r>
      <w:r w:rsidR="00A97CC4" w:rsidRPr="00DB3AA2">
        <w:rPr>
          <w:rFonts w:ascii="Times New Roman" w:hAnsi="Times New Roman"/>
        </w:rPr>
        <w:t>ional capacity at the time that the notes were taken.</w:t>
      </w:r>
    </w:p>
    <w:p w14:paraId="2AD710CD" w14:textId="79E45B29" w:rsidR="00A97CC4"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24.2</w:t>
      </w:r>
      <w:r w:rsidRPr="00DB3AA2">
        <w:rPr>
          <w:rFonts w:ascii="Times New Roman" w:hAnsi="Times New Roman"/>
        </w:rPr>
        <w:tab/>
      </w:r>
      <w:r w:rsidR="00A97CC4" w:rsidRPr="00DB3AA2">
        <w:rPr>
          <w:rFonts w:ascii="Times New Roman" w:hAnsi="Times New Roman"/>
        </w:rPr>
        <w:t>The legal advisor was consulted in confidence.</w:t>
      </w:r>
    </w:p>
    <w:p w14:paraId="28161600" w14:textId="48582DDD" w:rsidR="00A97CC4"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24.3</w:t>
      </w:r>
      <w:r w:rsidRPr="00DB3AA2">
        <w:rPr>
          <w:rFonts w:ascii="Times New Roman" w:hAnsi="Times New Roman"/>
        </w:rPr>
        <w:tab/>
      </w:r>
      <w:r w:rsidR="00FC0B6B" w:rsidRPr="00DB3AA2">
        <w:rPr>
          <w:rFonts w:ascii="Times New Roman" w:hAnsi="Times New Roman"/>
        </w:rPr>
        <w:t xml:space="preserve">The communication (in this case, the meeting between Mr Hay and Mr </w:t>
      </w:r>
      <w:proofErr w:type="spellStart"/>
      <w:r w:rsidR="00FC0B6B" w:rsidRPr="00DB3AA2">
        <w:rPr>
          <w:rFonts w:ascii="Times New Roman" w:hAnsi="Times New Roman"/>
        </w:rPr>
        <w:t>Kusel</w:t>
      </w:r>
      <w:proofErr w:type="spellEnd"/>
      <w:r w:rsidR="00FC0B6B" w:rsidRPr="00DB3AA2">
        <w:rPr>
          <w:rFonts w:ascii="Times New Roman" w:hAnsi="Times New Roman"/>
        </w:rPr>
        <w:t>, subsequently recorded in the Hay file notes) was made for the purposes of obtaining legal advice.</w:t>
      </w:r>
    </w:p>
    <w:p w14:paraId="5A3E1186" w14:textId="0CB64A97" w:rsidR="00FC0B6B"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24.4</w:t>
      </w:r>
      <w:r w:rsidRPr="00DB3AA2">
        <w:rPr>
          <w:rFonts w:ascii="Times New Roman" w:hAnsi="Times New Roman"/>
        </w:rPr>
        <w:tab/>
      </w:r>
      <w:r w:rsidR="00FC0B6B" w:rsidRPr="00DB3AA2">
        <w:rPr>
          <w:rFonts w:ascii="Times New Roman" w:hAnsi="Times New Roman"/>
        </w:rPr>
        <w:t>The advice does not facilitate the commission of a crime or fraud.</w:t>
      </w:r>
    </w:p>
    <w:p w14:paraId="5E5CE349" w14:textId="05B50610" w:rsidR="0022346C" w:rsidRDefault="00065B2B" w:rsidP="00065B2B">
      <w:pPr>
        <w:pStyle w:val="WLGLevel1"/>
        <w:numPr>
          <w:ilvl w:val="0"/>
          <w:numId w:val="0"/>
        </w:numPr>
        <w:tabs>
          <w:tab w:val="left" w:pos="567"/>
        </w:tabs>
        <w:ind w:left="562" w:hanging="562"/>
        <w:rPr>
          <w:rFonts w:ascii="Times New Roman" w:hAnsi="Times New Roman"/>
        </w:rPr>
      </w:pPr>
      <w:r>
        <w:rPr>
          <w:rFonts w:ascii="Times New Roman" w:hAnsi="Times New Roman"/>
        </w:rPr>
        <w:t>25</w:t>
      </w:r>
      <w:r>
        <w:rPr>
          <w:rFonts w:ascii="Times New Roman" w:hAnsi="Times New Roman"/>
        </w:rPr>
        <w:tab/>
      </w:r>
      <w:proofErr w:type="spellStart"/>
      <w:r w:rsidR="0022346C">
        <w:rPr>
          <w:rFonts w:ascii="Times New Roman" w:hAnsi="Times New Roman"/>
        </w:rPr>
        <w:t>Binns</w:t>
      </w:r>
      <w:proofErr w:type="spellEnd"/>
      <w:r w:rsidR="0022346C">
        <w:rPr>
          <w:rFonts w:ascii="Times New Roman" w:hAnsi="Times New Roman"/>
        </w:rPr>
        <w:t xml:space="preserve">-Ward J, in </w:t>
      </w:r>
      <w:r w:rsidR="0022346C" w:rsidRPr="002902D8">
        <w:rPr>
          <w:rFonts w:ascii="Times New Roman" w:hAnsi="Times New Roman"/>
          <w:i/>
          <w:iCs/>
        </w:rPr>
        <w:t>A Company</w:t>
      </w:r>
      <w:r w:rsidR="0022346C">
        <w:rPr>
          <w:rFonts w:ascii="Times New Roman" w:hAnsi="Times New Roman"/>
        </w:rPr>
        <w:t xml:space="preserve">, adds a fifth requirement: </w:t>
      </w:r>
      <w:proofErr w:type="spellStart"/>
      <w:r w:rsidR="0022346C">
        <w:rPr>
          <w:rFonts w:ascii="Times New Roman" w:hAnsi="Times New Roman"/>
        </w:rPr>
        <w:t>ie</w:t>
      </w:r>
      <w:proofErr w:type="spellEnd"/>
      <w:r w:rsidR="0022346C">
        <w:rPr>
          <w:rFonts w:ascii="Times New Roman" w:hAnsi="Times New Roman"/>
        </w:rPr>
        <w:t>, that the privilege</w:t>
      </w:r>
      <w:r w:rsidR="002902D8">
        <w:rPr>
          <w:rFonts w:ascii="Times New Roman" w:hAnsi="Times New Roman"/>
        </w:rPr>
        <w:t xml:space="preserve"> must be claimed (see paragraph 1 of the judgment)</w:t>
      </w:r>
      <w:r w:rsidR="0022346C">
        <w:rPr>
          <w:rFonts w:ascii="Times New Roman" w:hAnsi="Times New Roman"/>
        </w:rPr>
        <w:t xml:space="preserve">. </w:t>
      </w:r>
      <w:r w:rsidR="00083861">
        <w:rPr>
          <w:rFonts w:ascii="Times New Roman" w:hAnsi="Times New Roman"/>
        </w:rPr>
        <w:t>This might seem not to add much, but it does. The authorities make clear that the legal professional privilege only applies when it is invoked by the client</w:t>
      </w:r>
      <w:r w:rsidR="00C34FA5">
        <w:rPr>
          <w:rFonts w:ascii="Times New Roman" w:hAnsi="Times New Roman"/>
        </w:rPr>
        <w:t>, which means that it cannot be invoked by another party and certainly not by a court of its own accord.</w:t>
      </w:r>
    </w:p>
    <w:p w14:paraId="43F25C68" w14:textId="4A67A86C" w:rsidR="00FC0B6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26</w:t>
      </w:r>
      <w:r w:rsidRPr="00DB3AA2">
        <w:rPr>
          <w:rFonts w:ascii="Times New Roman" w:hAnsi="Times New Roman"/>
        </w:rPr>
        <w:tab/>
      </w:r>
      <w:r w:rsidR="00FC0B6B" w:rsidRPr="00DB3AA2">
        <w:rPr>
          <w:rFonts w:ascii="Times New Roman" w:hAnsi="Times New Roman"/>
        </w:rPr>
        <w:t xml:space="preserve">With reference to </w:t>
      </w:r>
      <w:r w:rsidR="000F4ABC" w:rsidRPr="00DB3AA2">
        <w:rPr>
          <w:rFonts w:ascii="Times New Roman" w:hAnsi="Times New Roman"/>
        </w:rPr>
        <w:t>the founding affidavit, WK Construction points out that Mr Brown accepts that the first, second and fourth requirements are met in this case. So, the only dispute is whether the communication was made for the purpose of obtaining legal advice.</w:t>
      </w:r>
      <w:r w:rsidR="0016642C" w:rsidRPr="00DB3AA2">
        <w:rPr>
          <w:rFonts w:ascii="Times New Roman" w:hAnsi="Times New Roman"/>
        </w:rPr>
        <w:t xml:space="preserve"> The simple submission made by WK Construction on this issue is that Mr Brown </w:t>
      </w:r>
      <w:r w:rsidR="0016642C" w:rsidRPr="00DB3AA2">
        <w:rPr>
          <w:rFonts w:ascii="Times New Roman" w:hAnsi="Times New Roman"/>
        </w:rPr>
        <w:lastRenderedPageBreak/>
        <w:t>has not suggested that there was any plausible reason</w:t>
      </w:r>
      <w:r w:rsidR="004C52D3">
        <w:rPr>
          <w:rFonts w:ascii="Times New Roman" w:hAnsi="Times New Roman"/>
        </w:rPr>
        <w:t>,</w:t>
      </w:r>
      <w:r w:rsidR="0016642C" w:rsidRPr="00DB3AA2">
        <w:rPr>
          <w:rFonts w:ascii="Times New Roman" w:hAnsi="Times New Roman"/>
        </w:rPr>
        <w:t xml:space="preserve"> other than to obtain legal advice</w:t>
      </w:r>
      <w:r w:rsidR="004C52D3">
        <w:rPr>
          <w:rFonts w:ascii="Times New Roman" w:hAnsi="Times New Roman"/>
        </w:rPr>
        <w:t>,</w:t>
      </w:r>
      <w:r w:rsidR="0016642C" w:rsidRPr="00DB3AA2">
        <w:rPr>
          <w:rFonts w:ascii="Times New Roman" w:hAnsi="Times New Roman"/>
        </w:rPr>
        <w:t xml:space="preserve"> for Mr </w:t>
      </w:r>
      <w:proofErr w:type="spellStart"/>
      <w:r w:rsidR="0016642C" w:rsidRPr="00DB3AA2">
        <w:rPr>
          <w:rFonts w:ascii="Times New Roman" w:hAnsi="Times New Roman"/>
        </w:rPr>
        <w:t>Kusel</w:t>
      </w:r>
      <w:proofErr w:type="spellEnd"/>
      <w:r w:rsidR="0016642C" w:rsidRPr="00DB3AA2">
        <w:rPr>
          <w:rFonts w:ascii="Times New Roman" w:hAnsi="Times New Roman"/>
        </w:rPr>
        <w:t xml:space="preserve"> to consult with Mr Hay.</w:t>
      </w:r>
      <w:r w:rsidR="006045BB" w:rsidRPr="00DB3AA2">
        <w:rPr>
          <w:rFonts w:ascii="Times New Roman" w:hAnsi="Times New Roman"/>
        </w:rPr>
        <w:t xml:space="preserve"> Relying on certain well-accepted authorities, WK Construction argues that our courts have </w:t>
      </w:r>
      <w:r w:rsidR="00E471F6" w:rsidRPr="00DB3AA2">
        <w:rPr>
          <w:rFonts w:ascii="Times New Roman" w:hAnsi="Times New Roman"/>
        </w:rPr>
        <w:t>repeatedly held that “consultations and records of consultations between legal advisers and clients are privileged”.</w:t>
      </w:r>
      <w:r w:rsidR="002B486C">
        <w:rPr>
          <w:rFonts w:ascii="Times New Roman" w:hAnsi="Times New Roman"/>
        </w:rPr>
        <w:t xml:space="preserve"> The best authority on this point is </w:t>
      </w:r>
      <w:r w:rsidR="002B486C" w:rsidRPr="004D7808">
        <w:rPr>
          <w:rFonts w:ascii="Times New Roman" w:hAnsi="Times New Roman"/>
          <w:i/>
          <w:iCs/>
        </w:rPr>
        <w:t xml:space="preserve">Allen v </w:t>
      </w:r>
      <w:proofErr w:type="spellStart"/>
      <w:r w:rsidR="002B486C" w:rsidRPr="004D7808">
        <w:rPr>
          <w:rFonts w:ascii="Times New Roman" w:hAnsi="Times New Roman"/>
          <w:i/>
          <w:iCs/>
        </w:rPr>
        <w:t>Kirkinis</w:t>
      </w:r>
      <w:proofErr w:type="spellEnd"/>
      <w:r w:rsidR="002B486C">
        <w:rPr>
          <w:rFonts w:ascii="Times New Roman" w:hAnsi="Times New Roman"/>
        </w:rPr>
        <w:t xml:space="preserve"> </w:t>
      </w:r>
      <w:r w:rsidR="00920103">
        <w:rPr>
          <w:rFonts w:ascii="Times New Roman" w:hAnsi="Times New Roman"/>
        </w:rPr>
        <w:t>(</w:t>
      </w:r>
      <w:r w:rsidR="003223BC">
        <w:rPr>
          <w:rFonts w:ascii="Times New Roman" w:hAnsi="Times New Roman"/>
        </w:rPr>
        <w:t>which has the neutral citation [2017]</w:t>
      </w:r>
      <w:r w:rsidR="00920103">
        <w:rPr>
          <w:rFonts w:ascii="Times New Roman" w:hAnsi="Times New Roman"/>
        </w:rPr>
        <w:t xml:space="preserve"> ZAGPJHC 327 (10 October 2017), and is available on </w:t>
      </w:r>
      <w:proofErr w:type="spellStart"/>
      <w:r w:rsidR="00920103">
        <w:rPr>
          <w:rFonts w:ascii="Times New Roman" w:hAnsi="Times New Roman"/>
        </w:rPr>
        <w:t>Saflii</w:t>
      </w:r>
      <w:proofErr w:type="spellEnd"/>
      <w:r w:rsidR="00920103">
        <w:rPr>
          <w:rFonts w:ascii="Times New Roman" w:hAnsi="Times New Roman"/>
        </w:rPr>
        <w:t xml:space="preserve"> at </w:t>
      </w:r>
      <w:hyperlink r:id="rId9" w:history="1">
        <w:r w:rsidR="004D7808" w:rsidRPr="007028D4">
          <w:rPr>
            <w:rStyle w:val="Hyperlink"/>
            <w:rFonts w:ascii="Times New Roman" w:hAnsi="Times New Roman"/>
          </w:rPr>
          <w:t>https://www.saflii.org/za/cases/ZAGPJHC/2017/327.html</w:t>
        </w:r>
      </w:hyperlink>
      <w:r w:rsidR="00920103">
        <w:rPr>
          <w:rFonts w:ascii="Times New Roman" w:hAnsi="Times New Roman"/>
        </w:rPr>
        <w:t xml:space="preserve">), </w:t>
      </w:r>
      <w:r w:rsidR="002B486C">
        <w:rPr>
          <w:rFonts w:ascii="Times New Roman" w:hAnsi="Times New Roman"/>
        </w:rPr>
        <w:t xml:space="preserve">in which the court held that consultation notes generated as a memorial of the consultations between </w:t>
      </w:r>
      <w:r w:rsidR="002B176A">
        <w:rPr>
          <w:rFonts w:ascii="Times New Roman" w:hAnsi="Times New Roman"/>
        </w:rPr>
        <w:t>“legal counsel”</w:t>
      </w:r>
      <w:r w:rsidR="00EE5CF8">
        <w:rPr>
          <w:rFonts w:ascii="Times New Roman" w:hAnsi="Times New Roman"/>
        </w:rPr>
        <w:t xml:space="preserve"> and client are covered by the legal advice privilege</w:t>
      </w:r>
      <w:r w:rsidR="00367EBE">
        <w:rPr>
          <w:rFonts w:ascii="Times New Roman" w:hAnsi="Times New Roman"/>
        </w:rPr>
        <w:t xml:space="preserve"> (see the very comprehensive discussion at paragraphs 44 to 64, and in particular paragraphs 63 and 64</w:t>
      </w:r>
      <w:r w:rsidR="006E0B45">
        <w:rPr>
          <w:rFonts w:ascii="Times New Roman" w:hAnsi="Times New Roman"/>
        </w:rPr>
        <w:t xml:space="preserve"> of the judgment in </w:t>
      </w:r>
      <w:proofErr w:type="spellStart"/>
      <w:r w:rsidR="006E0B45" w:rsidRPr="006E0B45">
        <w:rPr>
          <w:rFonts w:ascii="Times New Roman" w:hAnsi="Times New Roman"/>
          <w:i/>
          <w:iCs/>
        </w:rPr>
        <w:t>Kirkinis</w:t>
      </w:r>
      <w:proofErr w:type="spellEnd"/>
      <w:r w:rsidR="00367EBE">
        <w:rPr>
          <w:rFonts w:ascii="Times New Roman" w:hAnsi="Times New Roman"/>
        </w:rPr>
        <w:t>)</w:t>
      </w:r>
      <w:r w:rsidR="00EE5CF8">
        <w:rPr>
          <w:rFonts w:ascii="Times New Roman" w:hAnsi="Times New Roman"/>
        </w:rPr>
        <w:t>.</w:t>
      </w:r>
    </w:p>
    <w:p w14:paraId="62D566A8" w14:textId="5DF9921F" w:rsidR="00852D5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27</w:t>
      </w:r>
      <w:r w:rsidRPr="00DB3AA2">
        <w:rPr>
          <w:rFonts w:ascii="Times New Roman" w:hAnsi="Times New Roman"/>
        </w:rPr>
        <w:tab/>
      </w:r>
      <w:r w:rsidR="00852D5A" w:rsidRPr="00DB3AA2">
        <w:rPr>
          <w:rFonts w:ascii="Times New Roman" w:hAnsi="Times New Roman"/>
        </w:rPr>
        <w:t>On the question of the proposed judicial pee</w:t>
      </w:r>
      <w:r w:rsidR="00D253A2" w:rsidRPr="00DB3AA2">
        <w:rPr>
          <w:rFonts w:ascii="Times New Roman" w:hAnsi="Times New Roman"/>
        </w:rPr>
        <w:t>k, WK Construction points to authority of the Constitution</w:t>
      </w:r>
      <w:r w:rsidR="00052261">
        <w:rPr>
          <w:rFonts w:ascii="Times New Roman" w:hAnsi="Times New Roman"/>
        </w:rPr>
        <w:t>al</w:t>
      </w:r>
      <w:r w:rsidR="00D253A2" w:rsidRPr="00DB3AA2">
        <w:rPr>
          <w:rFonts w:ascii="Times New Roman" w:hAnsi="Times New Roman"/>
        </w:rPr>
        <w:t xml:space="preserve"> Court (in </w:t>
      </w:r>
      <w:r w:rsidR="00D253A2" w:rsidRPr="00DB3AA2">
        <w:rPr>
          <w:rFonts w:ascii="Times New Roman" w:hAnsi="Times New Roman"/>
          <w:i/>
          <w:iCs/>
        </w:rPr>
        <w:t xml:space="preserve">President of the Republic of South Africa v M </w:t>
      </w:r>
      <w:r w:rsidR="005C4F6D" w:rsidRPr="00DB3AA2">
        <w:rPr>
          <w:rFonts w:ascii="Times New Roman" w:hAnsi="Times New Roman"/>
          <w:i/>
          <w:iCs/>
        </w:rPr>
        <w:t>&amp; G Media Limited</w:t>
      </w:r>
      <w:r w:rsidR="005C4F6D" w:rsidRPr="00DB3AA2">
        <w:rPr>
          <w:rFonts w:ascii="Times New Roman" w:hAnsi="Times New Roman"/>
        </w:rPr>
        <w:t xml:space="preserve"> 2012 (2) SA 50 (CC); 2012 (2) BCLR 181) that </w:t>
      </w:r>
      <w:r w:rsidR="00610570" w:rsidRPr="00DB3AA2">
        <w:rPr>
          <w:rFonts w:ascii="Times New Roman" w:hAnsi="Times New Roman"/>
        </w:rPr>
        <w:t xml:space="preserve">the use of a </w:t>
      </w:r>
      <w:r w:rsidR="005C4F6D" w:rsidRPr="00DB3AA2">
        <w:rPr>
          <w:rFonts w:ascii="Times New Roman" w:hAnsi="Times New Roman"/>
        </w:rPr>
        <w:t xml:space="preserve">judicial peek is a course of action of last resort. </w:t>
      </w:r>
      <w:r w:rsidR="00E10B99" w:rsidRPr="00DB3AA2">
        <w:rPr>
          <w:rFonts w:ascii="Times New Roman" w:hAnsi="Times New Roman"/>
        </w:rPr>
        <w:t>WK Construction argues that no basis has been given in the papers for a judicial peek “although WK Construction would of course have no objection should the court be inclined to do so in the exercise of its discretion”.</w:t>
      </w:r>
    </w:p>
    <w:p w14:paraId="75EE399E" w14:textId="1A4180DE" w:rsidR="00801F3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28</w:t>
      </w:r>
      <w:r w:rsidRPr="00DB3AA2">
        <w:rPr>
          <w:rFonts w:ascii="Times New Roman" w:hAnsi="Times New Roman"/>
        </w:rPr>
        <w:tab/>
      </w:r>
      <w:r w:rsidR="00E10B99" w:rsidRPr="00DB3AA2">
        <w:rPr>
          <w:rFonts w:ascii="Times New Roman" w:hAnsi="Times New Roman"/>
        </w:rPr>
        <w:t xml:space="preserve">In oral argument, </w:t>
      </w:r>
      <w:r w:rsidR="00E10B99" w:rsidRPr="00DB3AA2">
        <w:rPr>
          <w:rFonts w:ascii="Times New Roman" w:hAnsi="Times New Roman"/>
          <w:i/>
          <w:iCs/>
        </w:rPr>
        <w:t xml:space="preserve">Mr </w:t>
      </w:r>
      <w:proofErr w:type="spellStart"/>
      <w:r w:rsidR="00E10B99" w:rsidRPr="00DB3AA2">
        <w:rPr>
          <w:rFonts w:ascii="Times New Roman" w:hAnsi="Times New Roman"/>
          <w:i/>
          <w:iCs/>
        </w:rPr>
        <w:t>Broster</w:t>
      </w:r>
      <w:proofErr w:type="spellEnd"/>
      <w:r w:rsidR="00610570" w:rsidRPr="00DB3AA2">
        <w:rPr>
          <w:rFonts w:ascii="Times New Roman" w:hAnsi="Times New Roman"/>
        </w:rPr>
        <w:t xml:space="preserve">, who appeared for WK Construction with </w:t>
      </w:r>
      <w:r w:rsidR="00610570" w:rsidRPr="00DB3AA2">
        <w:rPr>
          <w:rFonts w:ascii="Times New Roman" w:hAnsi="Times New Roman"/>
          <w:i/>
          <w:iCs/>
        </w:rPr>
        <w:t xml:space="preserve">Ms </w:t>
      </w:r>
      <w:proofErr w:type="spellStart"/>
      <w:r w:rsidR="00610570" w:rsidRPr="00DB3AA2">
        <w:rPr>
          <w:rFonts w:ascii="Times New Roman" w:hAnsi="Times New Roman"/>
          <w:i/>
          <w:iCs/>
        </w:rPr>
        <w:t>Pudifin</w:t>
      </w:r>
      <w:proofErr w:type="spellEnd"/>
      <w:r w:rsidR="00610570" w:rsidRPr="00DB3AA2">
        <w:rPr>
          <w:rFonts w:ascii="Times New Roman" w:hAnsi="Times New Roman"/>
          <w:i/>
          <w:iCs/>
        </w:rPr>
        <w:t>-Jones</w:t>
      </w:r>
      <w:r w:rsidR="00610570" w:rsidRPr="00DB3AA2">
        <w:rPr>
          <w:rFonts w:ascii="Times New Roman" w:hAnsi="Times New Roman"/>
        </w:rPr>
        <w:t>,</w:t>
      </w:r>
      <w:r w:rsidR="00E10B99" w:rsidRPr="00DB3AA2">
        <w:rPr>
          <w:rFonts w:ascii="Times New Roman" w:hAnsi="Times New Roman"/>
        </w:rPr>
        <w:t xml:space="preserve"> essentially advanced the same submissions as summarised above. </w:t>
      </w:r>
      <w:r w:rsidR="00B47942" w:rsidRPr="00DB3AA2">
        <w:rPr>
          <w:rFonts w:ascii="Times New Roman" w:hAnsi="Times New Roman"/>
        </w:rPr>
        <w:t xml:space="preserve">On the new </w:t>
      </w:r>
      <w:r w:rsidR="00552F60" w:rsidRPr="00DB3AA2">
        <w:rPr>
          <w:rFonts w:ascii="Times New Roman" w:hAnsi="Times New Roman"/>
        </w:rPr>
        <w:t>incumbent-director submission</w:t>
      </w:r>
      <w:r w:rsidR="00B47942" w:rsidRPr="00DB3AA2">
        <w:rPr>
          <w:rFonts w:ascii="Times New Roman" w:hAnsi="Times New Roman"/>
        </w:rPr>
        <w:t xml:space="preserve"> raised by </w:t>
      </w:r>
      <w:r w:rsidR="00B47942" w:rsidRPr="00DB3AA2">
        <w:rPr>
          <w:rFonts w:ascii="Times New Roman" w:hAnsi="Times New Roman"/>
          <w:i/>
          <w:iCs/>
        </w:rPr>
        <w:t xml:space="preserve">Mr </w:t>
      </w:r>
      <w:proofErr w:type="spellStart"/>
      <w:r w:rsidR="00B47942" w:rsidRPr="00DB3AA2">
        <w:rPr>
          <w:rFonts w:ascii="Times New Roman" w:hAnsi="Times New Roman"/>
          <w:i/>
          <w:iCs/>
        </w:rPr>
        <w:t>Hellens</w:t>
      </w:r>
      <w:proofErr w:type="spellEnd"/>
      <w:r w:rsidR="00B47942" w:rsidRPr="00DB3AA2">
        <w:rPr>
          <w:rFonts w:ascii="Times New Roman" w:hAnsi="Times New Roman"/>
        </w:rPr>
        <w:t xml:space="preserve">, </w:t>
      </w:r>
      <w:r w:rsidR="00B47942" w:rsidRPr="00DB3AA2">
        <w:rPr>
          <w:rFonts w:ascii="Times New Roman" w:hAnsi="Times New Roman"/>
          <w:i/>
          <w:iCs/>
        </w:rPr>
        <w:t xml:space="preserve">Mr </w:t>
      </w:r>
      <w:proofErr w:type="spellStart"/>
      <w:r w:rsidR="00B47942" w:rsidRPr="00DB3AA2">
        <w:rPr>
          <w:rFonts w:ascii="Times New Roman" w:hAnsi="Times New Roman"/>
          <w:i/>
          <w:iCs/>
        </w:rPr>
        <w:t>Broster</w:t>
      </w:r>
      <w:proofErr w:type="spellEnd"/>
      <w:r w:rsidR="00B47942" w:rsidRPr="00DB3AA2">
        <w:rPr>
          <w:rFonts w:ascii="Times New Roman" w:hAnsi="Times New Roman"/>
        </w:rPr>
        <w:t xml:space="preserve"> pointed out that it is not ventilated on the papers. He argued that the question relating to Mr Brown’s status as a director is </w:t>
      </w:r>
      <w:r w:rsidR="008A603E">
        <w:rPr>
          <w:rFonts w:ascii="Times New Roman" w:hAnsi="Times New Roman"/>
        </w:rPr>
        <w:t>not straightforward</w:t>
      </w:r>
      <w:r w:rsidR="008A1487" w:rsidRPr="00DB3AA2">
        <w:rPr>
          <w:rFonts w:ascii="Times New Roman" w:hAnsi="Times New Roman"/>
        </w:rPr>
        <w:t xml:space="preserve"> and I should avoid deciding it because it has not been properly pleaded.</w:t>
      </w:r>
      <w:r w:rsidR="003E7EE6" w:rsidRPr="00DB3AA2">
        <w:rPr>
          <w:rFonts w:ascii="Times New Roman" w:hAnsi="Times New Roman"/>
        </w:rPr>
        <w:t xml:space="preserve"> During the course of argument, </w:t>
      </w:r>
      <w:r w:rsidR="003E7EE6" w:rsidRPr="00DB3AA2">
        <w:rPr>
          <w:rFonts w:ascii="Times New Roman" w:hAnsi="Times New Roman"/>
          <w:i/>
          <w:iCs/>
        </w:rPr>
        <w:t xml:space="preserve">Mr </w:t>
      </w:r>
      <w:proofErr w:type="spellStart"/>
      <w:r w:rsidR="003E7EE6" w:rsidRPr="00DB3AA2">
        <w:rPr>
          <w:rFonts w:ascii="Times New Roman" w:hAnsi="Times New Roman"/>
          <w:i/>
          <w:iCs/>
        </w:rPr>
        <w:t>Broster</w:t>
      </w:r>
      <w:proofErr w:type="spellEnd"/>
      <w:r w:rsidR="003E7EE6" w:rsidRPr="00DB3AA2">
        <w:rPr>
          <w:rFonts w:ascii="Times New Roman" w:hAnsi="Times New Roman"/>
        </w:rPr>
        <w:t xml:space="preserve"> also undertook </w:t>
      </w:r>
      <w:r w:rsidR="00362F6A" w:rsidRPr="00DB3AA2">
        <w:rPr>
          <w:rFonts w:ascii="Times New Roman" w:hAnsi="Times New Roman"/>
        </w:rPr>
        <w:t xml:space="preserve">that his team would upload onto </w:t>
      </w:r>
      <w:proofErr w:type="spellStart"/>
      <w:r w:rsidR="00362F6A" w:rsidRPr="00DB3AA2">
        <w:rPr>
          <w:rFonts w:ascii="Times New Roman" w:hAnsi="Times New Roman"/>
        </w:rPr>
        <w:t>Caselines</w:t>
      </w:r>
      <w:proofErr w:type="spellEnd"/>
      <w:r w:rsidR="00362F6A" w:rsidRPr="00DB3AA2">
        <w:rPr>
          <w:rFonts w:ascii="Times New Roman" w:hAnsi="Times New Roman"/>
        </w:rPr>
        <w:t xml:space="preserve"> two Australian cases which he said demonstrate </w:t>
      </w:r>
      <w:r w:rsidR="004867E7" w:rsidRPr="00DB3AA2">
        <w:rPr>
          <w:rFonts w:ascii="Times New Roman" w:hAnsi="Times New Roman"/>
        </w:rPr>
        <w:t xml:space="preserve">that </w:t>
      </w:r>
      <w:r w:rsidR="004867E7" w:rsidRPr="00DB3AA2">
        <w:rPr>
          <w:rFonts w:ascii="Times New Roman" w:hAnsi="Times New Roman"/>
          <w:i/>
          <w:iCs/>
        </w:rPr>
        <w:t xml:space="preserve">Mr </w:t>
      </w:r>
      <w:proofErr w:type="spellStart"/>
      <w:r w:rsidR="004867E7" w:rsidRPr="00DB3AA2">
        <w:rPr>
          <w:rFonts w:ascii="Times New Roman" w:hAnsi="Times New Roman"/>
          <w:i/>
          <w:iCs/>
        </w:rPr>
        <w:lastRenderedPageBreak/>
        <w:t>Hellens</w:t>
      </w:r>
      <w:proofErr w:type="spellEnd"/>
      <w:r w:rsidR="004867E7" w:rsidRPr="00DB3AA2">
        <w:rPr>
          <w:rFonts w:ascii="Times New Roman" w:hAnsi="Times New Roman"/>
          <w:i/>
          <w:iCs/>
        </w:rPr>
        <w:t>’</w:t>
      </w:r>
      <w:r w:rsidR="004867E7" w:rsidRPr="00DB3AA2">
        <w:rPr>
          <w:rFonts w:ascii="Times New Roman" w:hAnsi="Times New Roman"/>
        </w:rPr>
        <w:t xml:space="preserve"> contention is in any event wrong and that WK Construction could raise the privilege even though Mr Brown was a director at the time when the documents were made.</w:t>
      </w:r>
      <w:r w:rsidR="00962616" w:rsidRPr="00DB3AA2">
        <w:rPr>
          <w:rFonts w:ascii="Times New Roman" w:hAnsi="Times New Roman"/>
        </w:rPr>
        <w:t xml:space="preserve"> </w:t>
      </w:r>
      <w:r w:rsidR="00BA3DE2" w:rsidRPr="00DB3AA2">
        <w:rPr>
          <w:rFonts w:ascii="Times New Roman" w:hAnsi="Times New Roman"/>
        </w:rPr>
        <w:t xml:space="preserve">This was done, and I refer to those cases </w:t>
      </w:r>
      <w:r w:rsidR="000B7982" w:rsidRPr="00DB3AA2">
        <w:rPr>
          <w:rFonts w:ascii="Times New Roman" w:hAnsi="Times New Roman"/>
        </w:rPr>
        <w:t>in due course</w:t>
      </w:r>
      <w:r w:rsidR="00BA3DE2" w:rsidRPr="00DB3AA2">
        <w:rPr>
          <w:rFonts w:ascii="Times New Roman" w:hAnsi="Times New Roman"/>
        </w:rPr>
        <w:t>.</w:t>
      </w:r>
      <w:r w:rsidR="000A0FF5" w:rsidRPr="00DB3AA2">
        <w:rPr>
          <w:rFonts w:ascii="Times New Roman" w:hAnsi="Times New Roman"/>
        </w:rPr>
        <w:t xml:space="preserve"> </w:t>
      </w:r>
      <w:r w:rsidR="00F81CDB" w:rsidRPr="00DB3AA2">
        <w:rPr>
          <w:rFonts w:ascii="Times New Roman" w:hAnsi="Times New Roman"/>
        </w:rPr>
        <w:t xml:space="preserve">They are </w:t>
      </w:r>
      <w:r w:rsidR="00F81CDB" w:rsidRPr="00DB3AA2">
        <w:rPr>
          <w:rFonts w:ascii="Times New Roman" w:hAnsi="Times New Roman"/>
          <w:i/>
          <w:iCs/>
        </w:rPr>
        <w:t xml:space="preserve">Hammond v </w:t>
      </w:r>
      <w:proofErr w:type="spellStart"/>
      <w:r w:rsidR="00F81CDB" w:rsidRPr="00DB3AA2">
        <w:rPr>
          <w:rFonts w:ascii="Times New Roman" w:hAnsi="Times New Roman"/>
          <w:i/>
          <w:iCs/>
        </w:rPr>
        <w:t>Quayeyeware</w:t>
      </w:r>
      <w:proofErr w:type="spellEnd"/>
      <w:r w:rsidR="00F81CDB" w:rsidRPr="00DB3AA2">
        <w:rPr>
          <w:rFonts w:ascii="Times New Roman" w:hAnsi="Times New Roman"/>
        </w:rPr>
        <w:t xml:space="preserve"> and </w:t>
      </w:r>
      <w:r w:rsidR="00F81CDB" w:rsidRPr="00DB3AA2">
        <w:rPr>
          <w:rFonts w:ascii="Times New Roman" w:hAnsi="Times New Roman"/>
          <w:i/>
          <w:iCs/>
        </w:rPr>
        <w:t>State of South Australia v Barrett</w:t>
      </w:r>
      <w:r w:rsidR="000B7982" w:rsidRPr="00DB3AA2">
        <w:rPr>
          <w:rFonts w:ascii="Times New Roman" w:hAnsi="Times New Roman"/>
        </w:rPr>
        <w:t xml:space="preserve"> and I give their full citations below.</w:t>
      </w:r>
    </w:p>
    <w:p w14:paraId="7270377B" w14:textId="128F306D" w:rsidR="00E10B99"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29</w:t>
      </w:r>
      <w:r w:rsidRPr="00DB3AA2">
        <w:rPr>
          <w:rFonts w:ascii="Times New Roman" w:hAnsi="Times New Roman"/>
        </w:rPr>
        <w:tab/>
      </w:r>
      <w:r w:rsidR="00962616" w:rsidRPr="00DB3AA2">
        <w:rPr>
          <w:rFonts w:ascii="Times New Roman" w:hAnsi="Times New Roman"/>
        </w:rPr>
        <w:t xml:space="preserve">A further argument made by </w:t>
      </w:r>
      <w:r w:rsidR="00962616" w:rsidRPr="00DB3AA2">
        <w:rPr>
          <w:rFonts w:ascii="Times New Roman" w:hAnsi="Times New Roman"/>
          <w:i/>
          <w:iCs/>
        </w:rPr>
        <w:t xml:space="preserve">Mr </w:t>
      </w:r>
      <w:proofErr w:type="spellStart"/>
      <w:r w:rsidR="00962616" w:rsidRPr="00DB3AA2">
        <w:rPr>
          <w:rFonts w:ascii="Times New Roman" w:hAnsi="Times New Roman"/>
          <w:i/>
          <w:iCs/>
        </w:rPr>
        <w:t>Broster</w:t>
      </w:r>
      <w:proofErr w:type="spellEnd"/>
      <w:r w:rsidR="00962616" w:rsidRPr="00DB3AA2">
        <w:rPr>
          <w:rFonts w:ascii="Times New Roman" w:hAnsi="Times New Roman"/>
        </w:rPr>
        <w:t xml:space="preserve"> was that it would be impossible to describe the contents of the Hay file notes</w:t>
      </w:r>
      <w:r w:rsidR="00E83350" w:rsidRPr="00DB3AA2">
        <w:rPr>
          <w:rFonts w:ascii="Times New Roman" w:hAnsi="Times New Roman"/>
        </w:rPr>
        <w:t xml:space="preserve">, other than in general terms, without breaching the privilege. He made this argument as part of a broader submission which I believe is fairly summarised as follows: when a person goes to consult with his or her attorney, it is reasonable to proceed from the premise that the purpose is to obtain legal advice. </w:t>
      </w:r>
      <w:r w:rsidR="00475B1B" w:rsidRPr="00DB3AA2">
        <w:rPr>
          <w:rFonts w:ascii="Times New Roman" w:hAnsi="Times New Roman"/>
        </w:rPr>
        <w:t xml:space="preserve">Since one cannot disclose the actual contents of the advice without breaching the privilege, some mileage must be obtained from this underlying premise. One then adds into the mix the high threshold for going behind a statement made under oath that the document is privileged, </w:t>
      </w:r>
      <w:r w:rsidR="00EF7103" w:rsidRPr="00DB3AA2">
        <w:rPr>
          <w:rFonts w:ascii="Times New Roman" w:hAnsi="Times New Roman"/>
        </w:rPr>
        <w:t>and the very strong starting point has to be that a statement under oath that the records of a consultation between a company and its lawyer are privileged must be respected, unless some proper basis is given for going behind the oath.</w:t>
      </w:r>
    </w:p>
    <w:p w14:paraId="3BFDDD08" w14:textId="7A7272BA" w:rsidR="00A454EB" w:rsidRPr="00DB3AA2" w:rsidRDefault="00A454EB" w:rsidP="00A454EB">
      <w:pPr>
        <w:pStyle w:val="Heading1"/>
        <w:rPr>
          <w:rFonts w:ascii="Times New Roman" w:hAnsi="Times New Roman"/>
          <w:i/>
          <w:iCs/>
        </w:rPr>
      </w:pPr>
      <w:r w:rsidRPr="00DB3AA2">
        <w:rPr>
          <w:rFonts w:ascii="Times New Roman" w:hAnsi="Times New Roman"/>
          <w:i/>
          <w:iCs/>
        </w:rPr>
        <w:t>The supplementary submissions</w:t>
      </w:r>
    </w:p>
    <w:p w14:paraId="13A846A1" w14:textId="0E55F470" w:rsidR="00A454E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30</w:t>
      </w:r>
      <w:r w:rsidRPr="00DB3AA2">
        <w:rPr>
          <w:rFonts w:ascii="Times New Roman" w:hAnsi="Times New Roman"/>
        </w:rPr>
        <w:tab/>
      </w:r>
      <w:r w:rsidR="00FB0FD5" w:rsidRPr="00DB3AA2">
        <w:rPr>
          <w:rFonts w:ascii="Times New Roman" w:hAnsi="Times New Roman"/>
        </w:rPr>
        <w:t xml:space="preserve">As I noted above, the argument which I have described as the </w:t>
      </w:r>
      <w:r w:rsidR="00E2466F" w:rsidRPr="00DB3AA2">
        <w:rPr>
          <w:rFonts w:ascii="Times New Roman" w:hAnsi="Times New Roman"/>
        </w:rPr>
        <w:t xml:space="preserve">incumbent-director </w:t>
      </w:r>
      <w:r w:rsidR="00BD474E" w:rsidRPr="00DB3AA2">
        <w:rPr>
          <w:rFonts w:ascii="Times New Roman" w:hAnsi="Times New Roman"/>
        </w:rPr>
        <w:t>submission</w:t>
      </w:r>
      <w:r w:rsidR="00E2466F" w:rsidRPr="00DB3AA2">
        <w:rPr>
          <w:rFonts w:ascii="Times New Roman" w:hAnsi="Times New Roman"/>
        </w:rPr>
        <w:t xml:space="preserve"> was raised for the first time at the hearing of this matter. </w:t>
      </w:r>
      <w:r w:rsidR="00FB0FD5" w:rsidRPr="00DB3AA2">
        <w:rPr>
          <w:rFonts w:ascii="Times New Roman" w:hAnsi="Times New Roman"/>
        </w:rPr>
        <w:t xml:space="preserve">The question whether Mr Brown was entitled </w:t>
      </w:r>
      <w:r w:rsidR="00BD474E" w:rsidRPr="00DB3AA2">
        <w:rPr>
          <w:rFonts w:ascii="Times New Roman" w:hAnsi="Times New Roman"/>
        </w:rPr>
        <w:t>to rely on that argument, having not run it in his founding affidavit in th</w:t>
      </w:r>
      <w:r w:rsidR="003F6473" w:rsidRPr="00DB3AA2">
        <w:rPr>
          <w:rFonts w:ascii="Times New Roman" w:hAnsi="Times New Roman"/>
        </w:rPr>
        <w:t xml:space="preserve">e interlocutory application, was debated briefly. </w:t>
      </w:r>
      <w:r w:rsidR="00801F3A" w:rsidRPr="00DB3AA2">
        <w:rPr>
          <w:rFonts w:ascii="Times New Roman" w:hAnsi="Times New Roman"/>
        </w:rPr>
        <w:t xml:space="preserve">As I have already </w:t>
      </w:r>
      <w:r w:rsidR="00D6316C">
        <w:rPr>
          <w:rFonts w:ascii="Times New Roman" w:hAnsi="Times New Roman"/>
        </w:rPr>
        <w:t>said</w:t>
      </w:r>
      <w:r w:rsidR="00801F3A" w:rsidRPr="00DB3AA2">
        <w:rPr>
          <w:rFonts w:ascii="Times New Roman" w:hAnsi="Times New Roman"/>
        </w:rPr>
        <w:t xml:space="preserve">, </w:t>
      </w:r>
      <w:r w:rsidR="003F6473" w:rsidRPr="00DB3AA2">
        <w:rPr>
          <w:rFonts w:ascii="Times New Roman" w:hAnsi="Times New Roman"/>
          <w:i/>
          <w:iCs/>
        </w:rPr>
        <w:t xml:space="preserve">Mr </w:t>
      </w:r>
      <w:proofErr w:type="spellStart"/>
      <w:r w:rsidR="003F6473" w:rsidRPr="00DB3AA2">
        <w:rPr>
          <w:rFonts w:ascii="Times New Roman" w:hAnsi="Times New Roman"/>
          <w:i/>
          <w:iCs/>
        </w:rPr>
        <w:t>Broster</w:t>
      </w:r>
      <w:proofErr w:type="spellEnd"/>
      <w:r w:rsidR="003F6473" w:rsidRPr="00DB3AA2">
        <w:rPr>
          <w:rFonts w:ascii="Times New Roman" w:hAnsi="Times New Roman"/>
        </w:rPr>
        <w:t xml:space="preserve"> </w:t>
      </w:r>
      <w:r w:rsidR="009D0ED3" w:rsidRPr="00DB3AA2">
        <w:rPr>
          <w:rFonts w:ascii="Times New Roman" w:hAnsi="Times New Roman"/>
        </w:rPr>
        <w:t>a</w:t>
      </w:r>
      <w:r w:rsidR="003F6473" w:rsidRPr="00DB3AA2">
        <w:rPr>
          <w:rFonts w:ascii="Times New Roman" w:hAnsi="Times New Roman"/>
        </w:rPr>
        <w:t xml:space="preserve">rgued that the issue did not arise on the papers and should not be considered further. </w:t>
      </w:r>
      <w:r w:rsidR="003F6473" w:rsidRPr="00DB3AA2">
        <w:rPr>
          <w:rFonts w:ascii="Times New Roman" w:hAnsi="Times New Roman"/>
          <w:i/>
          <w:iCs/>
        </w:rPr>
        <w:t xml:space="preserve">Mr </w:t>
      </w:r>
      <w:proofErr w:type="spellStart"/>
      <w:r w:rsidR="003F6473" w:rsidRPr="00DB3AA2">
        <w:rPr>
          <w:rFonts w:ascii="Times New Roman" w:hAnsi="Times New Roman"/>
          <w:i/>
          <w:iCs/>
        </w:rPr>
        <w:t>Hellens</w:t>
      </w:r>
      <w:proofErr w:type="spellEnd"/>
      <w:r w:rsidR="003F6473" w:rsidRPr="00DB3AA2">
        <w:rPr>
          <w:rFonts w:ascii="Times New Roman" w:hAnsi="Times New Roman"/>
        </w:rPr>
        <w:t xml:space="preserve"> </w:t>
      </w:r>
      <w:r w:rsidR="00EB759B">
        <w:rPr>
          <w:rFonts w:ascii="Times New Roman" w:hAnsi="Times New Roman"/>
        </w:rPr>
        <w:t>contended</w:t>
      </w:r>
      <w:r w:rsidR="003F6473" w:rsidRPr="00DB3AA2">
        <w:rPr>
          <w:rFonts w:ascii="Times New Roman" w:hAnsi="Times New Roman"/>
        </w:rPr>
        <w:t xml:space="preserve"> that the incumbent-director submission was a legal contention which arose from a fact which was common cause on the papers – </w:t>
      </w:r>
      <w:proofErr w:type="spellStart"/>
      <w:r w:rsidR="003F6473" w:rsidRPr="00DB3AA2">
        <w:rPr>
          <w:rFonts w:ascii="Times New Roman" w:hAnsi="Times New Roman"/>
        </w:rPr>
        <w:t>ie</w:t>
      </w:r>
      <w:proofErr w:type="spellEnd"/>
      <w:r w:rsidR="003F6473" w:rsidRPr="00DB3AA2">
        <w:rPr>
          <w:rFonts w:ascii="Times New Roman" w:hAnsi="Times New Roman"/>
        </w:rPr>
        <w:t xml:space="preserve">, that Mr Brown was a </w:t>
      </w:r>
      <w:r w:rsidR="003F6473" w:rsidRPr="00DB3AA2">
        <w:rPr>
          <w:rFonts w:ascii="Times New Roman" w:hAnsi="Times New Roman"/>
        </w:rPr>
        <w:lastRenderedPageBreak/>
        <w:t>director of the company throughout the time in which the Hay file notes were generated</w:t>
      </w:r>
      <w:r w:rsidR="008C6F3D">
        <w:rPr>
          <w:rFonts w:ascii="Times New Roman" w:hAnsi="Times New Roman"/>
        </w:rPr>
        <w:t xml:space="preserve"> – which could be ventilated</w:t>
      </w:r>
      <w:r w:rsidR="003F6473" w:rsidRPr="00DB3AA2">
        <w:rPr>
          <w:rFonts w:ascii="Times New Roman" w:hAnsi="Times New Roman"/>
        </w:rPr>
        <w:t>.</w:t>
      </w:r>
    </w:p>
    <w:p w14:paraId="60F695DA" w14:textId="5FEC7BCB" w:rsidR="00CF0EFF"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31</w:t>
      </w:r>
      <w:r w:rsidRPr="00DB3AA2">
        <w:rPr>
          <w:rFonts w:ascii="Times New Roman" w:hAnsi="Times New Roman"/>
        </w:rPr>
        <w:tab/>
      </w:r>
      <w:r w:rsidR="008B6BC2" w:rsidRPr="00DB3AA2">
        <w:rPr>
          <w:rFonts w:ascii="Times New Roman" w:hAnsi="Times New Roman"/>
        </w:rPr>
        <w:t xml:space="preserve">My initial impression, when the argument was first raised by </w:t>
      </w:r>
      <w:r w:rsidR="008B6BC2" w:rsidRPr="00DB3AA2">
        <w:rPr>
          <w:rFonts w:ascii="Times New Roman" w:hAnsi="Times New Roman"/>
          <w:i/>
          <w:iCs/>
        </w:rPr>
        <w:t xml:space="preserve">Mr </w:t>
      </w:r>
      <w:proofErr w:type="spellStart"/>
      <w:r w:rsidR="008B6BC2" w:rsidRPr="00DB3AA2">
        <w:rPr>
          <w:rFonts w:ascii="Times New Roman" w:hAnsi="Times New Roman"/>
          <w:i/>
          <w:iCs/>
        </w:rPr>
        <w:t>Hellens</w:t>
      </w:r>
      <w:proofErr w:type="spellEnd"/>
      <w:r w:rsidR="008B6BC2" w:rsidRPr="00DB3AA2">
        <w:rPr>
          <w:rFonts w:ascii="Times New Roman" w:hAnsi="Times New Roman"/>
        </w:rPr>
        <w:t xml:space="preserve">, was that it </w:t>
      </w:r>
      <w:r w:rsidR="00671092">
        <w:rPr>
          <w:rFonts w:ascii="Times New Roman" w:hAnsi="Times New Roman"/>
        </w:rPr>
        <w:t xml:space="preserve">had </w:t>
      </w:r>
      <w:r w:rsidR="008B6BC2" w:rsidRPr="00DB3AA2">
        <w:rPr>
          <w:rFonts w:ascii="Times New Roman" w:hAnsi="Times New Roman"/>
        </w:rPr>
        <w:t xml:space="preserve">the potential to be the decisive issue in this case. I had still to consider whether the argument could be advanced </w:t>
      </w:r>
      <w:r w:rsidR="00D76151">
        <w:rPr>
          <w:rFonts w:ascii="Times New Roman" w:hAnsi="Times New Roman"/>
        </w:rPr>
        <w:t>despite not having been pleaded</w:t>
      </w:r>
      <w:r w:rsidR="008B6BC2" w:rsidRPr="00DB3AA2">
        <w:rPr>
          <w:rFonts w:ascii="Times New Roman" w:hAnsi="Times New Roman"/>
        </w:rPr>
        <w:t xml:space="preserve">. But leaving that issue aside, </w:t>
      </w:r>
      <w:r w:rsidR="00775B4D" w:rsidRPr="00DB3AA2">
        <w:rPr>
          <w:rFonts w:ascii="Times New Roman" w:hAnsi="Times New Roman"/>
        </w:rPr>
        <w:t xml:space="preserve">I considered the argument at least to be potentially very important to the ultimate outcome of this application. I therefore issued a directive in which I invited the parties to make further written submissions on the point. I did so because I considered the </w:t>
      </w:r>
      <w:r w:rsidR="00120252" w:rsidRPr="00DB3AA2">
        <w:rPr>
          <w:rFonts w:ascii="Times New Roman" w:hAnsi="Times New Roman"/>
        </w:rPr>
        <w:t xml:space="preserve">way in which the issue had, to that point, been ventilated to be less than ideal. </w:t>
      </w:r>
      <w:r w:rsidR="00120252" w:rsidRPr="00DB3AA2">
        <w:rPr>
          <w:rFonts w:ascii="Times New Roman" w:hAnsi="Times New Roman"/>
          <w:i/>
          <w:iCs/>
        </w:rPr>
        <w:t xml:space="preserve">Mr </w:t>
      </w:r>
      <w:proofErr w:type="spellStart"/>
      <w:r w:rsidR="00120252" w:rsidRPr="00DB3AA2">
        <w:rPr>
          <w:rFonts w:ascii="Times New Roman" w:hAnsi="Times New Roman"/>
          <w:i/>
          <w:iCs/>
        </w:rPr>
        <w:t>Hellens</w:t>
      </w:r>
      <w:proofErr w:type="spellEnd"/>
      <w:r w:rsidR="00120252" w:rsidRPr="00DB3AA2">
        <w:rPr>
          <w:rFonts w:ascii="Times New Roman" w:hAnsi="Times New Roman"/>
        </w:rPr>
        <w:t xml:space="preserve"> argued the point (characteristically) persuasively </w:t>
      </w:r>
      <w:r w:rsidR="009B336C" w:rsidRPr="00DB3AA2">
        <w:rPr>
          <w:rFonts w:ascii="Times New Roman" w:hAnsi="Times New Roman"/>
        </w:rPr>
        <w:t xml:space="preserve">and </w:t>
      </w:r>
      <w:r w:rsidR="009B336C" w:rsidRPr="00DB3AA2">
        <w:rPr>
          <w:rFonts w:ascii="Times New Roman" w:hAnsi="Times New Roman"/>
          <w:i/>
          <w:iCs/>
        </w:rPr>
        <w:t xml:space="preserve">Mr </w:t>
      </w:r>
      <w:proofErr w:type="spellStart"/>
      <w:r w:rsidR="009B336C" w:rsidRPr="00DB3AA2">
        <w:rPr>
          <w:rFonts w:ascii="Times New Roman" w:hAnsi="Times New Roman"/>
          <w:i/>
          <w:iCs/>
        </w:rPr>
        <w:t>Broster</w:t>
      </w:r>
      <w:proofErr w:type="spellEnd"/>
      <w:r w:rsidR="009B336C" w:rsidRPr="00DB3AA2">
        <w:rPr>
          <w:rFonts w:ascii="Times New Roman" w:hAnsi="Times New Roman"/>
        </w:rPr>
        <w:t xml:space="preserve"> responded briefly. </w:t>
      </w:r>
      <w:r w:rsidR="009B336C" w:rsidRPr="00DB3AA2">
        <w:rPr>
          <w:rFonts w:ascii="Times New Roman" w:hAnsi="Times New Roman"/>
          <w:i/>
          <w:iCs/>
        </w:rPr>
        <w:t xml:space="preserve">Mr </w:t>
      </w:r>
      <w:proofErr w:type="spellStart"/>
      <w:r w:rsidR="009B336C" w:rsidRPr="00DB3AA2">
        <w:rPr>
          <w:rFonts w:ascii="Times New Roman" w:hAnsi="Times New Roman"/>
          <w:i/>
          <w:iCs/>
        </w:rPr>
        <w:t>Broster’s</w:t>
      </w:r>
      <w:proofErr w:type="spellEnd"/>
      <w:r w:rsidR="009B336C" w:rsidRPr="00DB3AA2">
        <w:rPr>
          <w:rFonts w:ascii="Times New Roman" w:hAnsi="Times New Roman"/>
        </w:rPr>
        <w:t xml:space="preserve"> team had clearly considered the point, because the two Australian cases which I mentioned above were immediately to hand and </w:t>
      </w:r>
      <w:r w:rsidR="00D643EF" w:rsidRPr="00DB3AA2">
        <w:rPr>
          <w:rFonts w:ascii="Times New Roman" w:hAnsi="Times New Roman"/>
        </w:rPr>
        <w:t xml:space="preserve">mentioned briefly by </w:t>
      </w:r>
      <w:r w:rsidR="00D643EF" w:rsidRPr="00DB3AA2">
        <w:rPr>
          <w:rFonts w:ascii="Times New Roman" w:hAnsi="Times New Roman"/>
          <w:i/>
          <w:iCs/>
        </w:rPr>
        <w:t xml:space="preserve">Mr </w:t>
      </w:r>
      <w:proofErr w:type="spellStart"/>
      <w:r w:rsidR="00D643EF" w:rsidRPr="00DB3AA2">
        <w:rPr>
          <w:rFonts w:ascii="Times New Roman" w:hAnsi="Times New Roman"/>
          <w:i/>
          <w:iCs/>
        </w:rPr>
        <w:t>Broster</w:t>
      </w:r>
      <w:proofErr w:type="spellEnd"/>
      <w:r w:rsidR="00D643EF" w:rsidRPr="00DB3AA2">
        <w:rPr>
          <w:rFonts w:ascii="Times New Roman" w:hAnsi="Times New Roman"/>
        </w:rPr>
        <w:t xml:space="preserve"> in his argument</w:t>
      </w:r>
      <w:r w:rsidR="00E371A9" w:rsidRPr="00DB3AA2">
        <w:rPr>
          <w:rFonts w:ascii="Times New Roman" w:hAnsi="Times New Roman"/>
        </w:rPr>
        <w:t xml:space="preserve"> (and had in fact been brought to the attention of Mr Brown’s attorneys some time before the hearing)</w:t>
      </w:r>
      <w:r w:rsidR="00D643EF" w:rsidRPr="00DB3AA2">
        <w:rPr>
          <w:rFonts w:ascii="Times New Roman" w:hAnsi="Times New Roman"/>
        </w:rPr>
        <w:t xml:space="preserve">. But I still felt that I did not have the benefit of full submissions on the point, and </w:t>
      </w:r>
      <w:r w:rsidR="00CF0EFF" w:rsidRPr="00DB3AA2">
        <w:rPr>
          <w:rFonts w:ascii="Times New Roman" w:hAnsi="Times New Roman"/>
        </w:rPr>
        <w:t>felt that I should at least give the parties a chance to address it more comprehensively.</w:t>
      </w:r>
      <w:r w:rsidR="00440EFB" w:rsidRPr="00DB3AA2">
        <w:rPr>
          <w:rFonts w:ascii="Times New Roman" w:hAnsi="Times New Roman"/>
        </w:rPr>
        <w:t xml:space="preserve"> (I should note, while dealing with the topic of the </w:t>
      </w:r>
      <w:proofErr w:type="gramStart"/>
      <w:r w:rsidR="00440EFB" w:rsidRPr="00DB3AA2">
        <w:rPr>
          <w:rFonts w:ascii="Times New Roman" w:hAnsi="Times New Roman"/>
        </w:rPr>
        <w:t>directive, that</w:t>
      </w:r>
      <w:proofErr w:type="gramEnd"/>
      <w:r w:rsidR="00440EFB" w:rsidRPr="00DB3AA2">
        <w:rPr>
          <w:rFonts w:ascii="Times New Roman" w:hAnsi="Times New Roman"/>
        </w:rPr>
        <w:t xml:space="preserve"> I made the mistake of advertising my intention in the directive to hand down judgment by 15 December 2022. </w:t>
      </w:r>
      <w:r w:rsidR="009C3C3B" w:rsidRPr="00DB3AA2">
        <w:rPr>
          <w:rFonts w:ascii="Times New Roman" w:hAnsi="Times New Roman"/>
        </w:rPr>
        <w:t>It turned out to be impossible for me to do so, for a range of reasons, including that this case turned out to be more complicated than I anticipated, and I wished to take a proper opportunity to reflect on the issues. I can only apologise profusely for misrepresenting the timetable (albeit without any malice) in that way.)</w:t>
      </w:r>
    </w:p>
    <w:p w14:paraId="5FE1D05C" w14:textId="24D2AED9" w:rsidR="00D7342E" w:rsidRPr="00DB3AA2" w:rsidRDefault="00065B2B" w:rsidP="00065B2B">
      <w:pPr>
        <w:pStyle w:val="WLGLevel1"/>
        <w:numPr>
          <w:ilvl w:val="0"/>
          <w:numId w:val="0"/>
        </w:numPr>
        <w:tabs>
          <w:tab w:val="left" w:pos="567"/>
        </w:tabs>
        <w:ind w:left="562" w:hanging="562"/>
        <w:rPr>
          <w:rFonts w:ascii="Times New Roman" w:hAnsi="Times New Roman"/>
        </w:rPr>
      </w:pPr>
      <w:bookmarkStart w:id="1" w:name="_Ref124347374"/>
      <w:r w:rsidRPr="00DB3AA2">
        <w:rPr>
          <w:rFonts w:ascii="Times New Roman" w:hAnsi="Times New Roman"/>
        </w:rPr>
        <w:t>32</w:t>
      </w:r>
      <w:r w:rsidRPr="00DB3AA2">
        <w:rPr>
          <w:rFonts w:ascii="Times New Roman" w:hAnsi="Times New Roman"/>
        </w:rPr>
        <w:tab/>
      </w:r>
      <w:r w:rsidR="00D7342E" w:rsidRPr="00DB3AA2">
        <w:rPr>
          <w:rFonts w:ascii="Times New Roman" w:hAnsi="Times New Roman"/>
        </w:rPr>
        <w:t>As part of my directive offering the parties the chance to make further submissions, I posed the following questions:</w:t>
      </w:r>
      <w:bookmarkEnd w:id="1"/>
    </w:p>
    <w:p w14:paraId="411CAF9A" w14:textId="1FB14B27" w:rsidR="001A2115" w:rsidRPr="00DB3AA2" w:rsidRDefault="00065B2B" w:rsidP="00065B2B">
      <w:pPr>
        <w:pStyle w:val="WLGLevel2"/>
        <w:numPr>
          <w:ilvl w:val="0"/>
          <w:numId w:val="0"/>
        </w:numPr>
        <w:tabs>
          <w:tab w:val="left" w:pos="1361"/>
        </w:tabs>
        <w:ind w:left="1361" w:hanging="794"/>
        <w:rPr>
          <w:rFonts w:ascii="Times New Roman" w:hAnsi="Times New Roman"/>
        </w:rPr>
      </w:pPr>
      <w:bookmarkStart w:id="2" w:name="_Ref124344975"/>
      <w:r w:rsidRPr="00DB3AA2">
        <w:rPr>
          <w:rFonts w:ascii="Times New Roman" w:hAnsi="Times New Roman"/>
        </w:rPr>
        <w:lastRenderedPageBreak/>
        <w:t>32.1</w:t>
      </w:r>
      <w:r w:rsidRPr="00DB3AA2">
        <w:rPr>
          <w:rFonts w:ascii="Times New Roman" w:hAnsi="Times New Roman"/>
        </w:rPr>
        <w:tab/>
      </w:r>
      <w:r w:rsidR="001A2115" w:rsidRPr="00DB3AA2">
        <w:rPr>
          <w:rFonts w:ascii="Times New Roman" w:hAnsi="Times New Roman"/>
        </w:rPr>
        <w:t>Is it correct that, in South African law, the question whether a document is privileged is assessed at the time when the document was generated?</w:t>
      </w:r>
      <w:bookmarkEnd w:id="2"/>
    </w:p>
    <w:p w14:paraId="04896E81" w14:textId="741D3619" w:rsidR="001A2115"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32.2</w:t>
      </w:r>
      <w:r w:rsidRPr="00DB3AA2">
        <w:rPr>
          <w:rFonts w:ascii="Times New Roman" w:hAnsi="Times New Roman"/>
        </w:rPr>
        <w:tab/>
      </w:r>
      <w:r w:rsidR="001A2115" w:rsidRPr="00DB3AA2">
        <w:rPr>
          <w:rFonts w:ascii="Times New Roman" w:hAnsi="Times New Roman"/>
        </w:rPr>
        <w:t xml:space="preserve">If so, would it not follow that the reasoning in </w:t>
      </w:r>
      <w:r w:rsidR="001A2115" w:rsidRPr="00DB3AA2">
        <w:rPr>
          <w:rFonts w:ascii="Times New Roman" w:hAnsi="Times New Roman"/>
          <w:i/>
          <w:iCs/>
        </w:rPr>
        <w:t>State of South Australian v Barrett</w:t>
      </w:r>
      <w:r w:rsidR="0011656F">
        <w:rPr>
          <w:rFonts w:ascii="Times New Roman" w:hAnsi="Times New Roman"/>
        </w:rPr>
        <w:t xml:space="preserve"> </w:t>
      </w:r>
      <w:r w:rsidR="001A2115" w:rsidRPr="00DB3AA2">
        <w:rPr>
          <w:rFonts w:ascii="Times New Roman" w:hAnsi="Times New Roman"/>
        </w:rPr>
        <w:t>cannot be correct and/or cannot apply in South African law?</w:t>
      </w:r>
    </w:p>
    <w:p w14:paraId="27611040" w14:textId="6766F6F6" w:rsidR="001A2115"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32.3</w:t>
      </w:r>
      <w:r w:rsidRPr="00DB3AA2">
        <w:rPr>
          <w:rFonts w:ascii="Times New Roman" w:hAnsi="Times New Roman"/>
        </w:rPr>
        <w:tab/>
      </w:r>
      <w:r w:rsidR="001A2115" w:rsidRPr="00DB3AA2">
        <w:rPr>
          <w:rFonts w:ascii="Times New Roman" w:hAnsi="Times New Roman"/>
        </w:rPr>
        <w:t xml:space="preserve">Leaving side </w:t>
      </w:r>
      <w:r w:rsidR="001A2115" w:rsidRPr="0011656F">
        <w:rPr>
          <w:rFonts w:ascii="Times New Roman" w:hAnsi="Times New Roman"/>
          <w:i/>
          <w:iCs/>
        </w:rPr>
        <w:t>Barrett</w:t>
      </w:r>
      <w:r w:rsidR="001A2115" w:rsidRPr="00DB3AA2">
        <w:rPr>
          <w:rFonts w:ascii="Times New Roman" w:hAnsi="Times New Roman"/>
        </w:rPr>
        <w:t>, is there any guidance in South African law either to confirm or contradict the proposition that, at the time when the Hay file notes were generated, Mr Brown could have insisted that they be provided to him?</w:t>
      </w:r>
    </w:p>
    <w:p w14:paraId="2313695C" w14:textId="4868613B" w:rsidR="00D7342E"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32.4</w:t>
      </w:r>
      <w:r w:rsidRPr="00DB3AA2">
        <w:rPr>
          <w:rFonts w:ascii="Times New Roman" w:hAnsi="Times New Roman"/>
        </w:rPr>
        <w:tab/>
      </w:r>
      <w:r w:rsidR="001A2115" w:rsidRPr="00DB3AA2">
        <w:rPr>
          <w:rFonts w:ascii="Times New Roman" w:hAnsi="Times New Roman"/>
        </w:rPr>
        <w:t xml:space="preserve">If it is correct that Mr Brown could have so insisted, does it not follow that, if the answer to </w:t>
      </w:r>
      <w:r w:rsidR="003C534A" w:rsidRPr="00DB3AA2">
        <w:rPr>
          <w:rFonts w:ascii="Times New Roman" w:hAnsi="Times New Roman"/>
        </w:rPr>
        <w:t xml:space="preserve">question described in paragraph </w:t>
      </w:r>
      <w:r w:rsidR="003C534A" w:rsidRPr="00DB3AA2">
        <w:rPr>
          <w:rFonts w:ascii="Times New Roman" w:hAnsi="Times New Roman"/>
        </w:rPr>
        <w:fldChar w:fldCharType="begin"/>
      </w:r>
      <w:r w:rsidR="003C534A" w:rsidRPr="00DB3AA2">
        <w:rPr>
          <w:rFonts w:ascii="Times New Roman" w:hAnsi="Times New Roman"/>
        </w:rPr>
        <w:instrText xml:space="preserve"> REF _Ref124344975 \r \h </w:instrText>
      </w:r>
      <w:r w:rsidR="00DB3AA2">
        <w:rPr>
          <w:rFonts w:ascii="Times New Roman" w:hAnsi="Times New Roman"/>
        </w:rPr>
        <w:instrText xml:space="preserve"> \* MERGEFORMAT </w:instrText>
      </w:r>
      <w:r w:rsidR="003C534A" w:rsidRPr="00DB3AA2">
        <w:rPr>
          <w:rFonts w:ascii="Times New Roman" w:hAnsi="Times New Roman"/>
        </w:rPr>
      </w:r>
      <w:r w:rsidR="003C534A" w:rsidRPr="00DB3AA2">
        <w:rPr>
          <w:rFonts w:ascii="Times New Roman" w:hAnsi="Times New Roman"/>
        </w:rPr>
        <w:fldChar w:fldCharType="separate"/>
      </w:r>
      <w:r w:rsidR="000E6D60">
        <w:rPr>
          <w:rFonts w:ascii="Times New Roman" w:hAnsi="Times New Roman"/>
        </w:rPr>
        <w:t>32.1</w:t>
      </w:r>
      <w:r w:rsidR="003C534A" w:rsidRPr="00DB3AA2">
        <w:rPr>
          <w:rFonts w:ascii="Times New Roman" w:hAnsi="Times New Roman"/>
        </w:rPr>
        <w:fldChar w:fldCharType="end"/>
      </w:r>
      <w:r w:rsidR="003C534A" w:rsidRPr="00DB3AA2">
        <w:rPr>
          <w:rFonts w:ascii="Times New Roman" w:hAnsi="Times New Roman"/>
        </w:rPr>
        <w:t xml:space="preserve"> above</w:t>
      </w:r>
      <w:r w:rsidR="001A2115" w:rsidRPr="00DB3AA2">
        <w:rPr>
          <w:rFonts w:ascii="Times New Roman" w:hAnsi="Times New Roman"/>
        </w:rPr>
        <w:t xml:space="preserve"> is – yes – then WK Construction cannot now assert the privilege over the Hay file notes?</w:t>
      </w:r>
    </w:p>
    <w:p w14:paraId="70FD0420" w14:textId="78E6C6DF" w:rsidR="002C1BF1" w:rsidRDefault="00065B2B" w:rsidP="00065B2B">
      <w:pPr>
        <w:pStyle w:val="WLGLevel1"/>
        <w:numPr>
          <w:ilvl w:val="0"/>
          <w:numId w:val="0"/>
        </w:numPr>
        <w:tabs>
          <w:tab w:val="left" w:pos="567"/>
        </w:tabs>
        <w:ind w:left="562" w:hanging="562"/>
        <w:rPr>
          <w:rFonts w:ascii="Times New Roman" w:hAnsi="Times New Roman"/>
        </w:rPr>
      </w:pPr>
      <w:r>
        <w:rPr>
          <w:rFonts w:ascii="Times New Roman" w:hAnsi="Times New Roman"/>
        </w:rPr>
        <w:t>33</w:t>
      </w:r>
      <w:r>
        <w:rPr>
          <w:rFonts w:ascii="Times New Roman" w:hAnsi="Times New Roman"/>
        </w:rPr>
        <w:tab/>
      </w:r>
      <w:r w:rsidR="002C1BF1">
        <w:rPr>
          <w:rFonts w:ascii="Times New Roman" w:hAnsi="Times New Roman"/>
        </w:rPr>
        <w:t xml:space="preserve">I pause to point out that the question summarised in paragraph </w:t>
      </w:r>
      <w:r w:rsidR="002C1BF1">
        <w:rPr>
          <w:rFonts w:ascii="Times New Roman" w:hAnsi="Times New Roman"/>
        </w:rPr>
        <w:fldChar w:fldCharType="begin"/>
      </w:r>
      <w:r w:rsidR="002C1BF1">
        <w:rPr>
          <w:rFonts w:ascii="Times New Roman" w:hAnsi="Times New Roman"/>
        </w:rPr>
        <w:instrText xml:space="preserve"> REF _Ref124344975 \r \h </w:instrText>
      </w:r>
      <w:r w:rsidR="002C1BF1">
        <w:rPr>
          <w:rFonts w:ascii="Times New Roman" w:hAnsi="Times New Roman"/>
        </w:rPr>
      </w:r>
      <w:r w:rsidR="002C1BF1">
        <w:rPr>
          <w:rFonts w:ascii="Times New Roman" w:hAnsi="Times New Roman"/>
        </w:rPr>
        <w:fldChar w:fldCharType="separate"/>
      </w:r>
      <w:r w:rsidR="000E6D60">
        <w:rPr>
          <w:rFonts w:ascii="Times New Roman" w:hAnsi="Times New Roman"/>
        </w:rPr>
        <w:t>32.1</w:t>
      </w:r>
      <w:r w:rsidR="002C1BF1">
        <w:rPr>
          <w:rFonts w:ascii="Times New Roman" w:hAnsi="Times New Roman"/>
        </w:rPr>
        <w:fldChar w:fldCharType="end"/>
      </w:r>
      <w:r w:rsidR="002C1BF1">
        <w:rPr>
          <w:rFonts w:ascii="Times New Roman" w:hAnsi="Times New Roman"/>
        </w:rPr>
        <w:t xml:space="preserve"> </w:t>
      </w:r>
      <w:r w:rsidR="006E2620">
        <w:rPr>
          <w:rFonts w:ascii="Times New Roman" w:hAnsi="Times New Roman"/>
        </w:rPr>
        <w:t xml:space="preserve">above </w:t>
      </w:r>
      <w:r w:rsidR="002C1BF1">
        <w:rPr>
          <w:rFonts w:ascii="Times New Roman" w:hAnsi="Times New Roman"/>
        </w:rPr>
        <w:t xml:space="preserve">arises from a debate in </w:t>
      </w:r>
      <w:r w:rsidR="002C1BF1" w:rsidRPr="002C1BF1">
        <w:rPr>
          <w:rFonts w:ascii="Times New Roman" w:hAnsi="Times New Roman"/>
          <w:i/>
          <w:iCs/>
        </w:rPr>
        <w:t>Barrett</w:t>
      </w:r>
      <w:r w:rsidR="002C1BF1">
        <w:rPr>
          <w:rFonts w:ascii="Times New Roman" w:hAnsi="Times New Roman"/>
        </w:rPr>
        <w:t>, which I discuss again below.</w:t>
      </w:r>
    </w:p>
    <w:p w14:paraId="4B5A5B1D" w14:textId="5E7CE840" w:rsidR="00801F3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34</w:t>
      </w:r>
      <w:r w:rsidRPr="00DB3AA2">
        <w:rPr>
          <w:rFonts w:ascii="Times New Roman" w:hAnsi="Times New Roman"/>
        </w:rPr>
        <w:tab/>
      </w:r>
      <w:r w:rsidR="00CF0EFF" w:rsidRPr="00DB3AA2">
        <w:rPr>
          <w:rFonts w:ascii="Times New Roman" w:hAnsi="Times New Roman"/>
        </w:rPr>
        <w:t xml:space="preserve">Both parties took up the opportunity to file further written submissions. </w:t>
      </w:r>
      <w:r w:rsidR="00ED18F3" w:rsidRPr="00DB3AA2">
        <w:rPr>
          <w:rFonts w:ascii="Times New Roman" w:hAnsi="Times New Roman"/>
        </w:rPr>
        <w:t>The parties appear to agree that there is</w:t>
      </w:r>
      <w:r w:rsidR="00CF0EFF" w:rsidRPr="00DB3AA2">
        <w:rPr>
          <w:rFonts w:ascii="Times New Roman" w:hAnsi="Times New Roman"/>
        </w:rPr>
        <w:t xml:space="preserve"> no </w:t>
      </w:r>
      <w:r w:rsidR="00ED18F3" w:rsidRPr="00DB3AA2">
        <w:rPr>
          <w:rFonts w:ascii="Times New Roman" w:hAnsi="Times New Roman"/>
        </w:rPr>
        <w:t xml:space="preserve">decided </w:t>
      </w:r>
      <w:r w:rsidR="00CF0EFF" w:rsidRPr="00DB3AA2">
        <w:rPr>
          <w:rFonts w:ascii="Times New Roman" w:hAnsi="Times New Roman"/>
        </w:rPr>
        <w:t xml:space="preserve">South African case </w:t>
      </w:r>
      <w:r w:rsidR="00ED18F3" w:rsidRPr="00DB3AA2">
        <w:rPr>
          <w:rFonts w:ascii="Times New Roman" w:hAnsi="Times New Roman"/>
        </w:rPr>
        <w:t xml:space="preserve">(at least, which can be found </w:t>
      </w:r>
      <w:r w:rsidR="0094360C" w:rsidRPr="00DB3AA2">
        <w:rPr>
          <w:rFonts w:ascii="Times New Roman" w:hAnsi="Times New Roman"/>
        </w:rPr>
        <w:t xml:space="preserve">through the usual research channels) </w:t>
      </w:r>
      <w:r w:rsidR="00CF0EFF" w:rsidRPr="00DB3AA2">
        <w:rPr>
          <w:rFonts w:ascii="Times New Roman" w:hAnsi="Times New Roman"/>
        </w:rPr>
        <w:t>on the</w:t>
      </w:r>
      <w:r w:rsidR="00161F86" w:rsidRPr="00DB3AA2">
        <w:rPr>
          <w:rFonts w:ascii="Times New Roman" w:hAnsi="Times New Roman"/>
        </w:rPr>
        <w:t xml:space="preserve"> implication (if any) for a claim of privilege arising from the </w:t>
      </w:r>
      <w:r w:rsidR="0094360C" w:rsidRPr="00DB3AA2">
        <w:rPr>
          <w:rFonts w:ascii="Times New Roman" w:hAnsi="Times New Roman"/>
        </w:rPr>
        <w:t>proposition</w:t>
      </w:r>
      <w:r w:rsidR="00161F86" w:rsidRPr="00DB3AA2">
        <w:rPr>
          <w:rFonts w:ascii="Times New Roman" w:hAnsi="Times New Roman"/>
        </w:rPr>
        <w:t xml:space="preserve"> </w:t>
      </w:r>
      <w:r w:rsidR="00440EFB" w:rsidRPr="00DB3AA2">
        <w:rPr>
          <w:rFonts w:ascii="Times New Roman" w:hAnsi="Times New Roman"/>
        </w:rPr>
        <w:t xml:space="preserve">(if correct) that Mr Brown could have insisted on access to the Hay file notes at the time </w:t>
      </w:r>
      <w:r w:rsidR="00CC5DB4">
        <w:rPr>
          <w:rFonts w:ascii="Times New Roman" w:hAnsi="Times New Roman"/>
        </w:rPr>
        <w:t>when</w:t>
      </w:r>
      <w:r w:rsidR="00440EFB" w:rsidRPr="00DB3AA2">
        <w:rPr>
          <w:rFonts w:ascii="Times New Roman" w:hAnsi="Times New Roman"/>
        </w:rPr>
        <w:t xml:space="preserve"> they were generated in 2010.</w:t>
      </w:r>
      <w:r w:rsidR="008B6BC2" w:rsidRPr="00DB3AA2">
        <w:rPr>
          <w:rFonts w:ascii="Times New Roman" w:hAnsi="Times New Roman"/>
        </w:rPr>
        <w:t xml:space="preserve"> </w:t>
      </w:r>
    </w:p>
    <w:p w14:paraId="6ED635F3" w14:textId="2DA030A0" w:rsidR="00064E3D" w:rsidRPr="00DB3AA2" w:rsidRDefault="00064E3D" w:rsidP="00064E3D">
      <w:pPr>
        <w:pStyle w:val="Heading1"/>
        <w:rPr>
          <w:rFonts w:ascii="Times New Roman" w:hAnsi="Times New Roman"/>
          <w:b w:val="0"/>
          <w:bCs/>
          <w:u w:val="single"/>
        </w:rPr>
      </w:pPr>
      <w:r w:rsidRPr="00DB3AA2">
        <w:rPr>
          <w:rFonts w:ascii="Times New Roman" w:hAnsi="Times New Roman"/>
          <w:b w:val="0"/>
          <w:bCs/>
          <w:u w:val="single"/>
        </w:rPr>
        <w:t>The supplementary submissions of Mr Brown</w:t>
      </w:r>
    </w:p>
    <w:p w14:paraId="023C93C4" w14:textId="74A44F23" w:rsidR="0095026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35</w:t>
      </w:r>
      <w:r w:rsidRPr="00DB3AA2">
        <w:rPr>
          <w:rFonts w:ascii="Times New Roman" w:hAnsi="Times New Roman"/>
        </w:rPr>
        <w:tab/>
      </w:r>
      <w:r w:rsidR="00474494" w:rsidRPr="00DB3AA2">
        <w:rPr>
          <w:rFonts w:ascii="Times New Roman" w:hAnsi="Times New Roman"/>
        </w:rPr>
        <w:t xml:space="preserve">In essence, the supplementary submissions made on behalf of Mr Brown were the following: </w:t>
      </w:r>
      <w:r w:rsidR="0050100F" w:rsidRPr="00DB3AA2">
        <w:rPr>
          <w:rFonts w:ascii="Times New Roman" w:hAnsi="Times New Roman"/>
        </w:rPr>
        <w:t xml:space="preserve">the time at which the privilege is to be assessed is the time when the communication was made. </w:t>
      </w:r>
      <w:r w:rsidR="00675ACF" w:rsidRPr="00DB3AA2">
        <w:rPr>
          <w:rFonts w:ascii="Times New Roman" w:hAnsi="Times New Roman"/>
        </w:rPr>
        <w:t xml:space="preserve">At the time when Mr </w:t>
      </w:r>
      <w:proofErr w:type="spellStart"/>
      <w:r w:rsidR="00675ACF" w:rsidRPr="00DB3AA2">
        <w:rPr>
          <w:rFonts w:ascii="Times New Roman" w:hAnsi="Times New Roman"/>
        </w:rPr>
        <w:t>Kusel</w:t>
      </w:r>
      <w:proofErr w:type="spellEnd"/>
      <w:r w:rsidR="00675ACF" w:rsidRPr="00DB3AA2">
        <w:rPr>
          <w:rFonts w:ascii="Times New Roman" w:hAnsi="Times New Roman"/>
        </w:rPr>
        <w:t xml:space="preserve"> consulted with Mr Hay, both Mr </w:t>
      </w:r>
      <w:proofErr w:type="spellStart"/>
      <w:r w:rsidR="00675ACF" w:rsidRPr="00DB3AA2">
        <w:rPr>
          <w:rFonts w:ascii="Times New Roman" w:hAnsi="Times New Roman"/>
        </w:rPr>
        <w:lastRenderedPageBreak/>
        <w:t>Kusel</w:t>
      </w:r>
      <w:proofErr w:type="spellEnd"/>
      <w:r w:rsidR="00675ACF" w:rsidRPr="00DB3AA2">
        <w:rPr>
          <w:rFonts w:ascii="Times New Roman" w:hAnsi="Times New Roman"/>
        </w:rPr>
        <w:t xml:space="preserve"> and Mr Brown were directors of WK Construction. It is inconceivable – according to Mr Brown’s argument – that Mr </w:t>
      </w:r>
      <w:proofErr w:type="spellStart"/>
      <w:r w:rsidR="00675ACF" w:rsidRPr="00DB3AA2">
        <w:rPr>
          <w:rFonts w:ascii="Times New Roman" w:hAnsi="Times New Roman"/>
        </w:rPr>
        <w:t>Kusel</w:t>
      </w:r>
      <w:proofErr w:type="spellEnd"/>
      <w:r w:rsidR="00675ACF" w:rsidRPr="00DB3AA2">
        <w:rPr>
          <w:rFonts w:ascii="Times New Roman" w:hAnsi="Times New Roman"/>
        </w:rPr>
        <w:t xml:space="preserve"> would have </w:t>
      </w:r>
      <w:r w:rsidR="000531CB" w:rsidRPr="00DB3AA2">
        <w:rPr>
          <w:rFonts w:ascii="Times New Roman" w:hAnsi="Times New Roman"/>
        </w:rPr>
        <w:t>been able to refuse to disclose the Hay file notes to Mr Brown at the time when they were generated.</w:t>
      </w:r>
      <w:r w:rsidR="007421DF" w:rsidRPr="00DB3AA2">
        <w:rPr>
          <w:rFonts w:ascii="Times New Roman" w:hAnsi="Times New Roman"/>
        </w:rPr>
        <w:t xml:space="preserve"> The advice in question was sought by one director of the company on behalf of the company (</w:t>
      </w:r>
      <w:proofErr w:type="spellStart"/>
      <w:r w:rsidR="007421DF" w:rsidRPr="00DB3AA2">
        <w:rPr>
          <w:rFonts w:ascii="Times New Roman" w:hAnsi="Times New Roman"/>
        </w:rPr>
        <w:t>ie</w:t>
      </w:r>
      <w:proofErr w:type="spellEnd"/>
      <w:r w:rsidR="007421DF" w:rsidRPr="00DB3AA2">
        <w:rPr>
          <w:rFonts w:ascii="Times New Roman" w:hAnsi="Times New Roman"/>
        </w:rPr>
        <w:t xml:space="preserve">, not in his personal capacity). </w:t>
      </w:r>
      <w:r w:rsidR="00722186" w:rsidRPr="00DB3AA2">
        <w:rPr>
          <w:rFonts w:ascii="Times New Roman" w:hAnsi="Times New Roman"/>
        </w:rPr>
        <w:t>All of the directors of the company at the time would, therefore, have been entitled to access the written reflection of the advice given to the company.</w:t>
      </w:r>
      <w:r w:rsidR="00577DD8" w:rsidRPr="00DB3AA2">
        <w:rPr>
          <w:rFonts w:ascii="Times New Roman" w:hAnsi="Times New Roman"/>
        </w:rPr>
        <w:t xml:space="preserve"> This is because they would all </w:t>
      </w:r>
      <w:r w:rsidR="006877FA" w:rsidRPr="00DB3AA2">
        <w:rPr>
          <w:rFonts w:ascii="Times New Roman" w:hAnsi="Times New Roman"/>
        </w:rPr>
        <w:t xml:space="preserve">have stood in the same fiduciary relationship to the company. Reasoning from all of these premises, it is argued on behalf of Mr Brown that </w:t>
      </w:r>
      <w:r w:rsidR="00495AF5" w:rsidRPr="00DB3AA2">
        <w:rPr>
          <w:rFonts w:ascii="Times New Roman" w:hAnsi="Times New Roman"/>
        </w:rPr>
        <w:t xml:space="preserve">it cannot be correct to say that a document “which was never privileged between [WK Construction </w:t>
      </w:r>
      <w:proofErr w:type="gramStart"/>
      <w:r w:rsidR="00495AF5" w:rsidRPr="00DB3AA2">
        <w:rPr>
          <w:rFonts w:ascii="Times New Roman" w:hAnsi="Times New Roman"/>
        </w:rPr>
        <w:t>or</w:t>
      </w:r>
      <w:proofErr w:type="gramEnd"/>
      <w:r w:rsidR="00495AF5" w:rsidRPr="00DB3AA2">
        <w:rPr>
          <w:rFonts w:ascii="Times New Roman" w:hAnsi="Times New Roman"/>
        </w:rPr>
        <w:t xml:space="preserve"> Mr </w:t>
      </w:r>
      <w:proofErr w:type="spellStart"/>
      <w:r w:rsidR="00495AF5" w:rsidRPr="00DB3AA2">
        <w:rPr>
          <w:rFonts w:ascii="Times New Roman" w:hAnsi="Times New Roman"/>
        </w:rPr>
        <w:t>Kusel</w:t>
      </w:r>
      <w:proofErr w:type="spellEnd"/>
      <w:r w:rsidR="00495AF5" w:rsidRPr="00DB3AA2">
        <w:rPr>
          <w:rFonts w:ascii="Times New Roman" w:hAnsi="Times New Roman"/>
        </w:rPr>
        <w:t xml:space="preserve">] and [Mr] Brown and the other directors at the time somehow magically became privileged when </w:t>
      </w:r>
      <w:r w:rsidR="00C235CF">
        <w:rPr>
          <w:rFonts w:ascii="Times New Roman" w:hAnsi="Times New Roman"/>
        </w:rPr>
        <w:t xml:space="preserve">[Mr] </w:t>
      </w:r>
      <w:r w:rsidR="00495AF5" w:rsidRPr="00DB3AA2">
        <w:rPr>
          <w:rFonts w:ascii="Times New Roman" w:hAnsi="Times New Roman"/>
        </w:rPr>
        <w:t>Brown was no longer a director.</w:t>
      </w:r>
      <w:r w:rsidR="0095026B" w:rsidRPr="00DB3AA2">
        <w:rPr>
          <w:rFonts w:ascii="Times New Roman" w:hAnsi="Times New Roman"/>
        </w:rPr>
        <w:t xml:space="preserve"> The question of whether communication or advice is privileged must be tested at the time when the communication takes place and when the advice is given”.</w:t>
      </w:r>
    </w:p>
    <w:p w14:paraId="110F4F0B" w14:textId="4E9CE905" w:rsidR="00A803B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36</w:t>
      </w:r>
      <w:r w:rsidRPr="00DB3AA2">
        <w:rPr>
          <w:rFonts w:ascii="Times New Roman" w:hAnsi="Times New Roman"/>
        </w:rPr>
        <w:tab/>
      </w:r>
      <w:r w:rsidR="00274406" w:rsidRPr="00DB3AA2">
        <w:rPr>
          <w:rFonts w:ascii="Times New Roman" w:hAnsi="Times New Roman"/>
        </w:rPr>
        <w:t xml:space="preserve">In the supplementary </w:t>
      </w:r>
      <w:r w:rsidR="001B16B6" w:rsidRPr="00DB3AA2">
        <w:rPr>
          <w:rFonts w:ascii="Times New Roman" w:hAnsi="Times New Roman"/>
        </w:rPr>
        <w:t xml:space="preserve">submissions, Mr Brown also contends that the Australian cases which I mentioned above are wrongly decided and/or distinguishable from the facts of the present case. </w:t>
      </w:r>
    </w:p>
    <w:p w14:paraId="2C2BE0C8" w14:textId="3BCFFCD2" w:rsidR="00474494" w:rsidRPr="00DB3AA2" w:rsidRDefault="00577DD8" w:rsidP="00064E3D">
      <w:pPr>
        <w:pStyle w:val="Heading1"/>
        <w:rPr>
          <w:rFonts w:ascii="Times New Roman" w:hAnsi="Times New Roman"/>
          <w:b w:val="0"/>
          <w:bCs/>
          <w:u w:val="single"/>
        </w:rPr>
      </w:pPr>
      <w:r w:rsidRPr="00DB3AA2">
        <w:rPr>
          <w:rFonts w:ascii="Times New Roman" w:hAnsi="Times New Roman"/>
          <w:b w:val="0"/>
          <w:bCs/>
          <w:u w:val="single"/>
        </w:rPr>
        <w:t xml:space="preserve"> </w:t>
      </w:r>
      <w:r w:rsidR="00064E3D" w:rsidRPr="00DB3AA2">
        <w:rPr>
          <w:rFonts w:ascii="Times New Roman" w:hAnsi="Times New Roman"/>
          <w:b w:val="0"/>
          <w:bCs/>
          <w:u w:val="single"/>
        </w:rPr>
        <w:t>The supplementary submissions of WK Construction</w:t>
      </w:r>
    </w:p>
    <w:p w14:paraId="13C7BFA6" w14:textId="284DE026" w:rsidR="00064E3D"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37</w:t>
      </w:r>
      <w:r w:rsidRPr="00DB3AA2">
        <w:rPr>
          <w:rFonts w:ascii="Times New Roman" w:hAnsi="Times New Roman"/>
        </w:rPr>
        <w:tab/>
      </w:r>
      <w:r w:rsidR="00B336A1" w:rsidRPr="00DB3AA2">
        <w:rPr>
          <w:rFonts w:ascii="Times New Roman" w:hAnsi="Times New Roman"/>
        </w:rPr>
        <w:t xml:space="preserve">The </w:t>
      </w:r>
      <w:r w:rsidR="0029482A" w:rsidRPr="00DB3AA2">
        <w:rPr>
          <w:rFonts w:ascii="Times New Roman" w:hAnsi="Times New Roman"/>
        </w:rPr>
        <w:t xml:space="preserve">centrepiece of the submissions made by WK Construction is the contention that I should not decide the questions summarised in paragraph </w:t>
      </w:r>
      <w:r w:rsidR="0029482A" w:rsidRPr="00DB3AA2">
        <w:rPr>
          <w:rFonts w:ascii="Times New Roman" w:hAnsi="Times New Roman"/>
        </w:rPr>
        <w:fldChar w:fldCharType="begin"/>
      </w:r>
      <w:r w:rsidR="0029482A" w:rsidRPr="00DB3AA2">
        <w:rPr>
          <w:rFonts w:ascii="Times New Roman" w:hAnsi="Times New Roman"/>
        </w:rPr>
        <w:instrText xml:space="preserve"> REF _Ref124347374 \r \h </w:instrText>
      </w:r>
      <w:r w:rsidR="00DB3AA2">
        <w:rPr>
          <w:rFonts w:ascii="Times New Roman" w:hAnsi="Times New Roman"/>
        </w:rPr>
        <w:instrText xml:space="preserve"> \* MERGEFORMAT </w:instrText>
      </w:r>
      <w:r w:rsidR="0029482A" w:rsidRPr="00DB3AA2">
        <w:rPr>
          <w:rFonts w:ascii="Times New Roman" w:hAnsi="Times New Roman"/>
        </w:rPr>
      </w:r>
      <w:r w:rsidR="0029482A" w:rsidRPr="00DB3AA2">
        <w:rPr>
          <w:rFonts w:ascii="Times New Roman" w:hAnsi="Times New Roman"/>
        </w:rPr>
        <w:fldChar w:fldCharType="separate"/>
      </w:r>
      <w:r w:rsidR="000E6D60">
        <w:rPr>
          <w:rFonts w:ascii="Times New Roman" w:hAnsi="Times New Roman"/>
        </w:rPr>
        <w:t>32</w:t>
      </w:r>
      <w:r w:rsidR="0029482A" w:rsidRPr="00DB3AA2">
        <w:rPr>
          <w:rFonts w:ascii="Times New Roman" w:hAnsi="Times New Roman"/>
        </w:rPr>
        <w:fldChar w:fldCharType="end"/>
      </w:r>
      <w:r w:rsidR="00DC4F78" w:rsidRPr="00DB3AA2">
        <w:rPr>
          <w:rFonts w:ascii="Times New Roman" w:hAnsi="Times New Roman"/>
        </w:rPr>
        <w:t xml:space="preserve"> above because they do not arise on the pleadings. Relying on the </w:t>
      </w:r>
      <w:r w:rsidR="00DB564E" w:rsidRPr="00DB3AA2">
        <w:rPr>
          <w:rFonts w:ascii="Times New Roman" w:hAnsi="Times New Roman"/>
        </w:rPr>
        <w:t>decision of the S</w:t>
      </w:r>
      <w:r w:rsidR="00CD0CA6">
        <w:rPr>
          <w:rFonts w:ascii="Times New Roman" w:hAnsi="Times New Roman"/>
        </w:rPr>
        <w:t xml:space="preserve">upreme </w:t>
      </w:r>
      <w:r w:rsidR="00DB564E" w:rsidRPr="00DB3AA2">
        <w:rPr>
          <w:rFonts w:ascii="Times New Roman" w:hAnsi="Times New Roman"/>
        </w:rPr>
        <w:t>C</w:t>
      </w:r>
      <w:r w:rsidR="00CD0CA6">
        <w:rPr>
          <w:rFonts w:ascii="Times New Roman" w:hAnsi="Times New Roman"/>
        </w:rPr>
        <w:t xml:space="preserve">ourt of </w:t>
      </w:r>
      <w:r w:rsidR="00DB564E" w:rsidRPr="00DB3AA2">
        <w:rPr>
          <w:rFonts w:ascii="Times New Roman" w:hAnsi="Times New Roman"/>
        </w:rPr>
        <w:t>A</w:t>
      </w:r>
      <w:r w:rsidR="00CD0CA6">
        <w:rPr>
          <w:rFonts w:ascii="Times New Roman" w:hAnsi="Times New Roman"/>
        </w:rPr>
        <w:t>ppeal (“SCA”)</w:t>
      </w:r>
      <w:r w:rsidR="00DB564E" w:rsidRPr="00DB3AA2">
        <w:rPr>
          <w:rFonts w:ascii="Times New Roman" w:hAnsi="Times New Roman"/>
        </w:rPr>
        <w:t xml:space="preserve"> in </w:t>
      </w:r>
      <w:r w:rsidR="00DB564E" w:rsidRPr="00DB3AA2">
        <w:rPr>
          <w:rFonts w:ascii="Times New Roman" w:hAnsi="Times New Roman"/>
          <w:i/>
          <w:iCs/>
        </w:rPr>
        <w:t xml:space="preserve">Fischer v </w:t>
      </w:r>
      <w:proofErr w:type="spellStart"/>
      <w:r w:rsidR="00CD4556" w:rsidRPr="00DB3AA2">
        <w:rPr>
          <w:rFonts w:ascii="Times New Roman" w:hAnsi="Times New Roman"/>
          <w:i/>
          <w:iCs/>
        </w:rPr>
        <w:t>Ramahlele</w:t>
      </w:r>
      <w:proofErr w:type="spellEnd"/>
      <w:r w:rsidR="00A86751" w:rsidRPr="00DB3AA2">
        <w:rPr>
          <w:rFonts w:ascii="Times New Roman" w:hAnsi="Times New Roman"/>
        </w:rPr>
        <w:t xml:space="preserve"> 2014 (4) SA 614 (SCA)</w:t>
      </w:r>
      <w:r w:rsidR="006E7F15" w:rsidRPr="00DB3AA2">
        <w:rPr>
          <w:rFonts w:ascii="Times New Roman" w:hAnsi="Times New Roman"/>
        </w:rPr>
        <w:t xml:space="preserve"> (“</w:t>
      </w:r>
      <w:proofErr w:type="spellStart"/>
      <w:r w:rsidR="006E7F15" w:rsidRPr="00DB3AA2">
        <w:rPr>
          <w:rFonts w:ascii="Times New Roman" w:hAnsi="Times New Roman"/>
          <w:i/>
          <w:iCs/>
        </w:rPr>
        <w:t>Ramahlele</w:t>
      </w:r>
      <w:proofErr w:type="spellEnd"/>
      <w:r w:rsidR="006E7F15" w:rsidRPr="00DB3AA2">
        <w:rPr>
          <w:rFonts w:ascii="Times New Roman" w:hAnsi="Times New Roman"/>
        </w:rPr>
        <w:t>”)</w:t>
      </w:r>
      <w:r w:rsidR="00A86751" w:rsidRPr="00DB3AA2">
        <w:rPr>
          <w:rFonts w:ascii="Times New Roman" w:hAnsi="Times New Roman"/>
        </w:rPr>
        <w:t xml:space="preserve">, WK Construction points to the adversarial nature of our system. It says that </w:t>
      </w:r>
      <w:proofErr w:type="spellStart"/>
      <w:r w:rsidR="00A86751" w:rsidRPr="00DB3AA2">
        <w:rPr>
          <w:rFonts w:ascii="Times New Roman" w:hAnsi="Times New Roman"/>
          <w:i/>
          <w:iCs/>
        </w:rPr>
        <w:t>Ramahlele</w:t>
      </w:r>
      <w:proofErr w:type="spellEnd"/>
      <w:r w:rsidR="00A86751" w:rsidRPr="00DB3AA2">
        <w:rPr>
          <w:rFonts w:ascii="Times New Roman" w:hAnsi="Times New Roman"/>
        </w:rPr>
        <w:t xml:space="preserve"> </w:t>
      </w:r>
      <w:r w:rsidR="005001DB" w:rsidRPr="00DB3AA2">
        <w:rPr>
          <w:rFonts w:ascii="Times New Roman" w:hAnsi="Times New Roman"/>
        </w:rPr>
        <w:t>emphasise</w:t>
      </w:r>
      <w:r w:rsidR="00C7637B" w:rsidRPr="00DB3AA2">
        <w:rPr>
          <w:rFonts w:ascii="Times New Roman" w:hAnsi="Times New Roman"/>
        </w:rPr>
        <w:t>s</w:t>
      </w:r>
      <w:r w:rsidR="005001DB" w:rsidRPr="00DB3AA2">
        <w:rPr>
          <w:rFonts w:ascii="Times New Roman" w:hAnsi="Times New Roman"/>
        </w:rPr>
        <w:t xml:space="preserve"> that parties may choose to take, or not take, a particular point for a variety of reasons and it would (and I paraphrase slightly here) be inappropriate for the court to foist its own views onto </w:t>
      </w:r>
      <w:r w:rsidR="005001DB" w:rsidRPr="00DB3AA2">
        <w:rPr>
          <w:rFonts w:ascii="Times New Roman" w:hAnsi="Times New Roman"/>
        </w:rPr>
        <w:lastRenderedPageBreak/>
        <w:t xml:space="preserve">the parties </w:t>
      </w:r>
      <w:r w:rsidR="00D31735" w:rsidRPr="00DB3AA2">
        <w:rPr>
          <w:rFonts w:ascii="Times New Roman" w:hAnsi="Times New Roman"/>
        </w:rPr>
        <w:t>when it comes to what issues should or should not be decided.</w:t>
      </w:r>
      <w:r w:rsidR="00C7637B" w:rsidRPr="00DB3AA2">
        <w:rPr>
          <w:rFonts w:ascii="Times New Roman" w:hAnsi="Times New Roman"/>
        </w:rPr>
        <w:t xml:space="preserve"> Since the founding affidavit does not raise </w:t>
      </w:r>
      <w:r w:rsidR="00910ACB">
        <w:rPr>
          <w:rFonts w:ascii="Times New Roman" w:hAnsi="Times New Roman"/>
        </w:rPr>
        <w:t>the incumbent-director submission</w:t>
      </w:r>
      <w:r w:rsidR="00C7637B" w:rsidRPr="00DB3AA2">
        <w:rPr>
          <w:rFonts w:ascii="Times New Roman" w:hAnsi="Times New Roman"/>
        </w:rPr>
        <w:t xml:space="preserve"> at all, this should be taken (according to WK Construction’s argument) as evidence that it had elected (for whatever reason) not to take the point. On the basis of </w:t>
      </w:r>
      <w:proofErr w:type="spellStart"/>
      <w:r w:rsidR="00C7637B" w:rsidRPr="00DB3AA2">
        <w:rPr>
          <w:rFonts w:ascii="Times New Roman" w:hAnsi="Times New Roman"/>
          <w:i/>
          <w:iCs/>
        </w:rPr>
        <w:t>Ramahlele</w:t>
      </w:r>
      <w:proofErr w:type="spellEnd"/>
      <w:r w:rsidR="00C7637B" w:rsidRPr="00DB3AA2">
        <w:rPr>
          <w:rFonts w:ascii="Times New Roman" w:hAnsi="Times New Roman"/>
        </w:rPr>
        <w:t xml:space="preserve">, it would therefore be </w:t>
      </w:r>
      <w:r w:rsidR="00ED61D8">
        <w:rPr>
          <w:rFonts w:ascii="Times New Roman" w:hAnsi="Times New Roman"/>
        </w:rPr>
        <w:t>in</w:t>
      </w:r>
      <w:r w:rsidR="00C7637B" w:rsidRPr="00DB3AA2">
        <w:rPr>
          <w:rFonts w:ascii="Times New Roman" w:hAnsi="Times New Roman"/>
        </w:rPr>
        <w:t xml:space="preserve">appropriate for me </w:t>
      </w:r>
      <w:r w:rsidR="005233CA" w:rsidRPr="00DB3AA2">
        <w:rPr>
          <w:rFonts w:ascii="Times New Roman" w:hAnsi="Times New Roman"/>
        </w:rPr>
        <w:t>(in essence) to take the point on behalf of Mr Brown and decide the application on that basis.</w:t>
      </w:r>
    </w:p>
    <w:p w14:paraId="764D25F3" w14:textId="243BE1B0" w:rsidR="005233C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38</w:t>
      </w:r>
      <w:r w:rsidRPr="00DB3AA2">
        <w:rPr>
          <w:rFonts w:ascii="Times New Roman" w:hAnsi="Times New Roman"/>
        </w:rPr>
        <w:tab/>
      </w:r>
      <w:r w:rsidR="005233CA" w:rsidRPr="00DB3AA2">
        <w:rPr>
          <w:rFonts w:ascii="Times New Roman" w:hAnsi="Times New Roman"/>
        </w:rPr>
        <w:t xml:space="preserve">An important component of WK Construction’s argument in this regard is its reliance on a letter sent by its attorney </w:t>
      </w:r>
      <w:r w:rsidR="00FB713E" w:rsidRPr="00DB3AA2">
        <w:rPr>
          <w:rFonts w:ascii="Times New Roman" w:hAnsi="Times New Roman"/>
        </w:rPr>
        <w:t>(“</w:t>
      </w:r>
      <w:r w:rsidR="00D00B76" w:rsidRPr="00DB3AA2">
        <w:rPr>
          <w:rFonts w:ascii="Times New Roman" w:hAnsi="Times New Roman"/>
        </w:rPr>
        <w:t xml:space="preserve">Alexander Cox”) </w:t>
      </w:r>
      <w:r w:rsidR="005233CA" w:rsidRPr="00DB3AA2">
        <w:rPr>
          <w:rFonts w:ascii="Times New Roman" w:hAnsi="Times New Roman"/>
        </w:rPr>
        <w:t xml:space="preserve">to the attorneys acting for Mr Brown on </w:t>
      </w:r>
      <w:r w:rsidR="000A0ACA" w:rsidRPr="00DB3AA2">
        <w:rPr>
          <w:rFonts w:ascii="Times New Roman" w:hAnsi="Times New Roman"/>
        </w:rPr>
        <w:t xml:space="preserve">3 November 2021. A meeting had been held in November 2020 in which, amongst other things, the parties agreed to attempt to resolve </w:t>
      </w:r>
      <w:r w:rsidR="00FB713E" w:rsidRPr="00DB3AA2">
        <w:rPr>
          <w:rFonts w:ascii="Times New Roman" w:hAnsi="Times New Roman"/>
        </w:rPr>
        <w:t xml:space="preserve">any dispute about privilege. </w:t>
      </w:r>
      <w:r w:rsidR="00ED61D8">
        <w:rPr>
          <w:rFonts w:ascii="Times New Roman" w:hAnsi="Times New Roman"/>
        </w:rPr>
        <w:t>In the November 2021 letter, r</w:t>
      </w:r>
      <w:r w:rsidR="00FB713E" w:rsidRPr="00DB3AA2">
        <w:rPr>
          <w:rFonts w:ascii="Times New Roman" w:hAnsi="Times New Roman"/>
        </w:rPr>
        <w:t>eference was made to this meeting</w:t>
      </w:r>
      <w:r w:rsidR="00790E0A" w:rsidRPr="00DB3AA2">
        <w:rPr>
          <w:rFonts w:ascii="Times New Roman" w:hAnsi="Times New Roman"/>
        </w:rPr>
        <w:t>,</w:t>
      </w:r>
      <w:r w:rsidR="00FB713E" w:rsidRPr="00DB3AA2">
        <w:rPr>
          <w:rFonts w:ascii="Times New Roman" w:hAnsi="Times New Roman"/>
        </w:rPr>
        <w:t xml:space="preserve"> and it was explained that the advice given by </w:t>
      </w:r>
      <w:r w:rsidR="00790E0A" w:rsidRPr="00DB3AA2">
        <w:rPr>
          <w:rFonts w:ascii="Times New Roman" w:hAnsi="Times New Roman"/>
        </w:rPr>
        <w:t xml:space="preserve">Alexander Cox to WK Construction was </w:t>
      </w:r>
      <w:r w:rsidR="00A87240" w:rsidRPr="00DB3AA2">
        <w:rPr>
          <w:rFonts w:ascii="Times New Roman" w:hAnsi="Times New Roman"/>
        </w:rPr>
        <w:t>that the Hay file notes were privileged and the “once privileged, always privileged” rule applied.</w:t>
      </w:r>
      <w:r w:rsidR="00FA5E2A" w:rsidRPr="00DB3AA2">
        <w:rPr>
          <w:rFonts w:ascii="Times New Roman" w:hAnsi="Times New Roman"/>
        </w:rPr>
        <w:t xml:space="preserve"> It was then explained in the letter that Alexander Cox had researched the question of whether a former director is entitled to </w:t>
      </w:r>
      <w:r w:rsidR="00C90BAD">
        <w:rPr>
          <w:rFonts w:ascii="Times New Roman" w:hAnsi="Times New Roman"/>
        </w:rPr>
        <w:t xml:space="preserve">see </w:t>
      </w:r>
      <w:r w:rsidR="00FA5E2A" w:rsidRPr="00DB3AA2">
        <w:rPr>
          <w:rFonts w:ascii="Times New Roman" w:hAnsi="Times New Roman"/>
        </w:rPr>
        <w:t>privileged documents of the company</w:t>
      </w:r>
      <w:r w:rsidR="00E4637D" w:rsidRPr="00DB3AA2">
        <w:rPr>
          <w:rFonts w:ascii="Times New Roman" w:hAnsi="Times New Roman"/>
        </w:rPr>
        <w:t>. The two Australian cases mentioned above were named and briefly described.</w:t>
      </w:r>
      <w:r w:rsidR="00802858" w:rsidRPr="00DB3AA2">
        <w:rPr>
          <w:rFonts w:ascii="Times New Roman" w:hAnsi="Times New Roman"/>
        </w:rPr>
        <w:t xml:space="preserve"> Having provided an extract from one of the cases, Alexander Cox </w:t>
      </w:r>
      <w:r w:rsidR="00057B7C" w:rsidRPr="00DB3AA2">
        <w:rPr>
          <w:rFonts w:ascii="Times New Roman" w:hAnsi="Times New Roman"/>
        </w:rPr>
        <w:t xml:space="preserve">said that the Hay file notes were clearly privileged and the only question was whether WK Construction was willing to waive the privilege. It </w:t>
      </w:r>
      <w:r w:rsidR="00802858" w:rsidRPr="00DB3AA2">
        <w:rPr>
          <w:rFonts w:ascii="Times New Roman" w:hAnsi="Times New Roman"/>
        </w:rPr>
        <w:t>then advised that it was seeking the advice of counsel as t</w:t>
      </w:r>
      <w:r w:rsidR="00057B7C" w:rsidRPr="00DB3AA2">
        <w:rPr>
          <w:rFonts w:ascii="Times New Roman" w:hAnsi="Times New Roman"/>
        </w:rPr>
        <w:t>o whether the documents were privileged and in the meantime invited Mr Brown to indicate the basis on which he contended that the documents were not privileged.</w:t>
      </w:r>
    </w:p>
    <w:p w14:paraId="226AB546" w14:textId="21E33383" w:rsidR="00474E12"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39</w:t>
      </w:r>
      <w:r w:rsidRPr="00DB3AA2">
        <w:rPr>
          <w:rFonts w:ascii="Times New Roman" w:hAnsi="Times New Roman"/>
        </w:rPr>
        <w:tab/>
      </w:r>
      <w:r w:rsidR="00474E12" w:rsidRPr="00DB3AA2">
        <w:rPr>
          <w:rFonts w:ascii="Times New Roman" w:hAnsi="Times New Roman"/>
        </w:rPr>
        <w:t>The point made by WK Construction in the supplementary submissions is that Mr Brown’s legal team was told</w:t>
      </w:r>
      <w:r w:rsidR="0089005F">
        <w:rPr>
          <w:rFonts w:ascii="Times New Roman" w:hAnsi="Times New Roman"/>
        </w:rPr>
        <w:t>,</w:t>
      </w:r>
      <w:r w:rsidR="00474E12" w:rsidRPr="00DB3AA2">
        <w:rPr>
          <w:rFonts w:ascii="Times New Roman" w:hAnsi="Times New Roman"/>
        </w:rPr>
        <w:t xml:space="preserve"> a</w:t>
      </w:r>
      <w:r w:rsidR="00EE139A" w:rsidRPr="00DB3AA2">
        <w:rPr>
          <w:rFonts w:ascii="Times New Roman" w:hAnsi="Times New Roman"/>
        </w:rPr>
        <w:t>lmost a year before launching the interlocutory application</w:t>
      </w:r>
      <w:r w:rsidR="0089005F">
        <w:rPr>
          <w:rFonts w:ascii="Times New Roman" w:hAnsi="Times New Roman"/>
        </w:rPr>
        <w:t>,</w:t>
      </w:r>
      <w:r w:rsidR="00EE139A" w:rsidRPr="00DB3AA2">
        <w:rPr>
          <w:rFonts w:ascii="Times New Roman" w:hAnsi="Times New Roman"/>
        </w:rPr>
        <w:t xml:space="preserve"> the basis on which WK Construction asserted the privilege, including its </w:t>
      </w:r>
      <w:r w:rsidR="00EE139A" w:rsidRPr="00DB3AA2">
        <w:rPr>
          <w:rFonts w:ascii="Times New Roman" w:hAnsi="Times New Roman"/>
        </w:rPr>
        <w:lastRenderedPageBreak/>
        <w:t xml:space="preserve">contention that </w:t>
      </w:r>
      <w:r w:rsidR="00853CCE" w:rsidRPr="00DB3AA2">
        <w:rPr>
          <w:rFonts w:ascii="Times New Roman" w:hAnsi="Times New Roman"/>
        </w:rPr>
        <w:t>M</w:t>
      </w:r>
      <w:r w:rsidR="00EE139A" w:rsidRPr="00DB3AA2">
        <w:rPr>
          <w:rFonts w:ascii="Times New Roman" w:hAnsi="Times New Roman"/>
        </w:rPr>
        <w:t>r Brown’s status as a former director did not destroy the privilege. In this context, Mr Brown had to be taken to have elected not to pursue access to the documentation on the basis of his status as a former director (or to put it slightly differently, his status as a director at the time when the document was generated)</w:t>
      </w:r>
      <w:r w:rsidR="008210C2" w:rsidRPr="00DB3AA2">
        <w:rPr>
          <w:rFonts w:ascii="Times New Roman" w:hAnsi="Times New Roman"/>
        </w:rPr>
        <w:t xml:space="preserve">. On the authority of </w:t>
      </w:r>
      <w:proofErr w:type="spellStart"/>
      <w:r w:rsidR="008210C2" w:rsidRPr="00DB3AA2">
        <w:rPr>
          <w:rFonts w:ascii="Times New Roman" w:hAnsi="Times New Roman"/>
          <w:i/>
          <w:iCs/>
        </w:rPr>
        <w:t>Ramahlele</w:t>
      </w:r>
      <w:proofErr w:type="spellEnd"/>
      <w:r w:rsidR="008210C2" w:rsidRPr="00DB3AA2">
        <w:rPr>
          <w:rFonts w:ascii="Times New Roman" w:hAnsi="Times New Roman"/>
        </w:rPr>
        <w:t xml:space="preserve">, it would therefore be wrong of me to raise and decide the point now. It is implicit in this argument that it would be wrong of me to do so, despite the fact that </w:t>
      </w:r>
      <w:r w:rsidR="008210C2" w:rsidRPr="00DB3AA2">
        <w:rPr>
          <w:rFonts w:ascii="Times New Roman" w:hAnsi="Times New Roman"/>
          <w:i/>
          <w:iCs/>
        </w:rPr>
        <w:t xml:space="preserve">Mr </w:t>
      </w:r>
      <w:proofErr w:type="spellStart"/>
      <w:r w:rsidR="008210C2" w:rsidRPr="00DB3AA2">
        <w:rPr>
          <w:rFonts w:ascii="Times New Roman" w:hAnsi="Times New Roman"/>
          <w:i/>
          <w:iCs/>
        </w:rPr>
        <w:t>Hellens</w:t>
      </w:r>
      <w:proofErr w:type="spellEnd"/>
      <w:r w:rsidR="008210C2" w:rsidRPr="00DB3AA2">
        <w:rPr>
          <w:rFonts w:ascii="Times New Roman" w:hAnsi="Times New Roman"/>
        </w:rPr>
        <w:t xml:space="preserve"> raised the point in argument.</w:t>
      </w:r>
    </w:p>
    <w:p w14:paraId="02685102" w14:textId="51BEA758" w:rsidR="00A454EB" w:rsidRPr="000949C7" w:rsidRDefault="00A454EB" w:rsidP="00A454EB">
      <w:pPr>
        <w:pStyle w:val="Heading1"/>
        <w:rPr>
          <w:rFonts w:ascii="Times New Roman" w:hAnsi="Times New Roman"/>
        </w:rPr>
      </w:pPr>
      <w:r w:rsidRPr="000949C7">
        <w:rPr>
          <w:rFonts w:ascii="Times New Roman" w:hAnsi="Times New Roman"/>
        </w:rPr>
        <w:t>ANALYSIS</w:t>
      </w:r>
    </w:p>
    <w:p w14:paraId="1A26B2F0" w14:textId="1CFC9B6C" w:rsidR="00A454EB" w:rsidRPr="000949C7" w:rsidRDefault="00065B2B" w:rsidP="00065B2B">
      <w:pPr>
        <w:pStyle w:val="WLGLevel1"/>
        <w:numPr>
          <w:ilvl w:val="0"/>
          <w:numId w:val="0"/>
        </w:numPr>
        <w:tabs>
          <w:tab w:val="left" w:pos="567"/>
        </w:tabs>
        <w:ind w:left="562" w:hanging="562"/>
        <w:rPr>
          <w:rFonts w:ascii="Times New Roman" w:hAnsi="Times New Roman"/>
        </w:rPr>
      </w:pPr>
      <w:r w:rsidRPr="000949C7">
        <w:rPr>
          <w:rFonts w:ascii="Times New Roman" w:hAnsi="Times New Roman"/>
        </w:rPr>
        <w:t>40</w:t>
      </w:r>
      <w:r w:rsidRPr="000949C7">
        <w:rPr>
          <w:rFonts w:ascii="Times New Roman" w:hAnsi="Times New Roman"/>
        </w:rPr>
        <w:tab/>
      </w:r>
      <w:r w:rsidR="009A256B" w:rsidRPr="000949C7">
        <w:rPr>
          <w:rFonts w:ascii="Times New Roman" w:hAnsi="Times New Roman"/>
        </w:rPr>
        <w:t>The submissions summarised above raise, in my view, the following questions:</w:t>
      </w:r>
    </w:p>
    <w:p w14:paraId="1A41CB87" w14:textId="386F32CC" w:rsidR="009A256B" w:rsidRPr="000949C7" w:rsidRDefault="00065B2B" w:rsidP="00065B2B">
      <w:pPr>
        <w:pStyle w:val="WLGLevel2"/>
        <w:numPr>
          <w:ilvl w:val="0"/>
          <w:numId w:val="0"/>
        </w:numPr>
        <w:tabs>
          <w:tab w:val="left" w:pos="1361"/>
        </w:tabs>
        <w:ind w:left="1361" w:hanging="794"/>
        <w:rPr>
          <w:rFonts w:ascii="Times New Roman" w:hAnsi="Times New Roman"/>
        </w:rPr>
      </w:pPr>
      <w:r w:rsidRPr="000949C7">
        <w:rPr>
          <w:rFonts w:ascii="Times New Roman" w:hAnsi="Times New Roman"/>
        </w:rPr>
        <w:t>40.1</w:t>
      </w:r>
      <w:r w:rsidRPr="000949C7">
        <w:rPr>
          <w:rFonts w:ascii="Times New Roman" w:hAnsi="Times New Roman"/>
        </w:rPr>
        <w:tab/>
      </w:r>
      <w:r w:rsidR="009A256B" w:rsidRPr="000949C7">
        <w:rPr>
          <w:rFonts w:ascii="Times New Roman" w:hAnsi="Times New Roman"/>
        </w:rPr>
        <w:t xml:space="preserve">Am I precluded, on the authority of </w:t>
      </w:r>
      <w:proofErr w:type="spellStart"/>
      <w:r w:rsidR="009A256B" w:rsidRPr="00D16CC3">
        <w:rPr>
          <w:rFonts w:ascii="Times New Roman" w:hAnsi="Times New Roman"/>
          <w:i/>
          <w:iCs/>
        </w:rPr>
        <w:t>Ramahlele</w:t>
      </w:r>
      <w:proofErr w:type="spellEnd"/>
      <w:r w:rsidR="00D16CC3">
        <w:rPr>
          <w:rFonts w:ascii="Times New Roman" w:hAnsi="Times New Roman"/>
        </w:rPr>
        <w:t xml:space="preserve"> or otherwise</w:t>
      </w:r>
      <w:r w:rsidR="009A256B" w:rsidRPr="000949C7">
        <w:rPr>
          <w:rFonts w:ascii="Times New Roman" w:hAnsi="Times New Roman"/>
        </w:rPr>
        <w:t xml:space="preserve">, from deciding the incumbent-director </w:t>
      </w:r>
      <w:r w:rsidR="00F7500A" w:rsidRPr="000949C7">
        <w:rPr>
          <w:rFonts w:ascii="Times New Roman" w:hAnsi="Times New Roman"/>
        </w:rPr>
        <w:t>submission now?</w:t>
      </w:r>
    </w:p>
    <w:p w14:paraId="32D6C47B" w14:textId="2410ED60" w:rsidR="00F7500A" w:rsidRPr="000949C7" w:rsidRDefault="00065B2B" w:rsidP="00065B2B">
      <w:pPr>
        <w:pStyle w:val="WLGLevel2"/>
        <w:numPr>
          <w:ilvl w:val="0"/>
          <w:numId w:val="0"/>
        </w:numPr>
        <w:tabs>
          <w:tab w:val="left" w:pos="1361"/>
        </w:tabs>
        <w:ind w:left="1361" w:hanging="794"/>
        <w:rPr>
          <w:rFonts w:ascii="Times New Roman" w:hAnsi="Times New Roman"/>
        </w:rPr>
      </w:pPr>
      <w:r w:rsidRPr="000949C7">
        <w:rPr>
          <w:rFonts w:ascii="Times New Roman" w:hAnsi="Times New Roman"/>
        </w:rPr>
        <w:t>40.2</w:t>
      </w:r>
      <w:r w:rsidRPr="000949C7">
        <w:rPr>
          <w:rFonts w:ascii="Times New Roman" w:hAnsi="Times New Roman"/>
        </w:rPr>
        <w:tab/>
      </w:r>
      <w:r w:rsidR="00F7500A" w:rsidRPr="000949C7">
        <w:rPr>
          <w:rFonts w:ascii="Times New Roman" w:hAnsi="Times New Roman"/>
        </w:rPr>
        <w:t>If not, does Mr Brown’s status as a director of WK Construction at the time when the Hay file notes were generated preclude WK Construction from asserting the privilege over them</w:t>
      </w:r>
      <w:r w:rsidR="00D16CC3">
        <w:rPr>
          <w:rFonts w:ascii="Times New Roman" w:hAnsi="Times New Roman"/>
        </w:rPr>
        <w:t xml:space="preserve"> now</w:t>
      </w:r>
      <w:r w:rsidR="00F7500A" w:rsidRPr="000949C7">
        <w:rPr>
          <w:rFonts w:ascii="Times New Roman" w:hAnsi="Times New Roman"/>
        </w:rPr>
        <w:t>?</w:t>
      </w:r>
    </w:p>
    <w:p w14:paraId="0497F393" w14:textId="32AFF9DA" w:rsidR="00F7500A" w:rsidRPr="000949C7" w:rsidRDefault="00065B2B" w:rsidP="00065B2B">
      <w:pPr>
        <w:pStyle w:val="WLGLevel2"/>
        <w:numPr>
          <w:ilvl w:val="0"/>
          <w:numId w:val="0"/>
        </w:numPr>
        <w:tabs>
          <w:tab w:val="left" w:pos="1361"/>
        </w:tabs>
        <w:ind w:left="1361" w:hanging="794"/>
        <w:rPr>
          <w:rFonts w:ascii="Times New Roman" w:hAnsi="Times New Roman"/>
        </w:rPr>
      </w:pPr>
      <w:r w:rsidRPr="000949C7">
        <w:rPr>
          <w:rFonts w:ascii="Times New Roman" w:hAnsi="Times New Roman"/>
        </w:rPr>
        <w:t>40.3</w:t>
      </w:r>
      <w:r w:rsidRPr="000949C7">
        <w:rPr>
          <w:rFonts w:ascii="Times New Roman" w:hAnsi="Times New Roman"/>
        </w:rPr>
        <w:tab/>
      </w:r>
      <w:r w:rsidR="00F7500A" w:rsidRPr="000949C7">
        <w:rPr>
          <w:rFonts w:ascii="Times New Roman" w:hAnsi="Times New Roman"/>
        </w:rPr>
        <w:t xml:space="preserve">If not, </w:t>
      </w:r>
      <w:r w:rsidR="00AE75E0" w:rsidRPr="000949C7">
        <w:rPr>
          <w:rFonts w:ascii="Times New Roman" w:hAnsi="Times New Roman"/>
        </w:rPr>
        <w:t xml:space="preserve">must Mr Brown’s application (either for full access or for an order that a court take a judicial peek of the documents) </w:t>
      </w:r>
      <w:r w:rsidR="000949C7" w:rsidRPr="000949C7">
        <w:rPr>
          <w:rFonts w:ascii="Times New Roman" w:hAnsi="Times New Roman"/>
        </w:rPr>
        <w:t>succeed on any other ground?</w:t>
      </w:r>
    </w:p>
    <w:p w14:paraId="0E0829B4" w14:textId="4F8EC1DC" w:rsidR="000949C7" w:rsidRPr="00DB3AA2" w:rsidRDefault="00065B2B" w:rsidP="00065B2B">
      <w:pPr>
        <w:pStyle w:val="WLGLevel1"/>
        <w:numPr>
          <w:ilvl w:val="0"/>
          <w:numId w:val="0"/>
        </w:numPr>
        <w:tabs>
          <w:tab w:val="left" w:pos="567"/>
        </w:tabs>
        <w:ind w:left="562" w:hanging="562"/>
      </w:pPr>
      <w:r w:rsidRPr="00DB3AA2">
        <w:rPr>
          <w:rFonts w:ascii="Times New Roman" w:hAnsi="Times New Roman"/>
        </w:rPr>
        <w:t>41</w:t>
      </w:r>
      <w:r w:rsidRPr="00DB3AA2">
        <w:rPr>
          <w:rFonts w:ascii="Times New Roman" w:hAnsi="Times New Roman"/>
        </w:rPr>
        <w:tab/>
      </w:r>
      <w:r w:rsidR="000949C7" w:rsidRPr="000949C7">
        <w:rPr>
          <w:rFonts w:ascii="Times New Roman" w:hAnsi="Times New Roman"/>
        </w:rPr>
        <w:t>I consider these questions in the discussion below.</w:t>
      </w:r>
    </w:p>
    <w:p w14:paraId="3858BA4B" w14:textId="1683EABA" w:rsidR="00945848" w:rsidRPr="00DB3AA2" w:rsidRDefault="00945848" w:rsidP="00945848">
      <w:pPr>
        <w:pStyle w:val="Heading1"/>
        <w:rPr>
          <w:rFonts w:ascii="Times New Roman" w:hAnsi="Times New Roman"/>
          <w:i/>
          <w:iCs/>
        </w:rPr>
      </w:pPr>
      <w:r w:rsidRPr="00DB3AA2">
        <w:rPr>
          <w:rFonts w:ascii="Times New Roman" w:hAnsi="Times New Roman"/>
          <w:i/>
          <w:iCs/>
        </w:rPr>
        <w:t xml:space="preserve">The implications of </w:t>
      </w:r>
      <w:r w:rsidRPr="00DB3AA2">
        <w:rPr>
          <w:rFonts w:ascii="Times New Roman" w:hAnsi="Times New Roman"/>
        </w:rPr>
        <w:t xml:space="preserve">Fischer v </w:t>
      </w:r>
      <w:proofErr w:type="spellStart"/>
      <w:r w:rsidRPr="00DB3AA2">
        <w:rPr>
          <w:rFonts w:ascii="Times New Roman" w:hAnsi="Times New Roman"/>
        </w:rPr>
        <w:t>Ramahlele</w:t>
      </w:r>
      <w:proofErr w:type="spellEnd"/>
    </w:p>
    <w:p w14:paraId="2984D5E8" w14:textId="77CB5BD4" w:rsidR="00945848"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42</w:t>
      </w:r>
      <w:r w:rsidRPr="00DB3AA2">
        <w:rPr>
          <w:rFonts w:ascii="Times New Roman" w:hAnsi="Times New Roman"/>
        </w:rPr>
        <w:tab/>
      </w:r>
      <w:r w:rsidR="00853CCE" w:rsidRPr="00DB3AA2">
        <w:rPr>
          <w:rFonts w:ascii="Times New Roman" w:hAnsi="Times New Roman"/>
        </w:rPr>
        <w:t xml:space="preserve">In </w:t>
      </w:r>
      <w:proofErr w:type="spellStart"/>
      <w:r w:rsidR="00853CCE" w:rsidRPr="00DB3AA2">
        <w:rPr>
          <w:rFonts w:ascii="Times New Roman" w:hAnsi="Times New Roman"/>
          <w:i/>
          <w:iCs/>
        </w:rPr>
        <w:t>Ramahlele</w:t>
      </w:r>
      <w:proofErr w:type="spellEnd"/>
      <w:r w:rsidR="00272E24" w:rsidRPr="00DB3AA2">
        <w:rPr>
          <w:rFonts w:ascii="Times New Roman" w:hAnsi="Times New Roman"/>
        </w:rPr>
        <w:t xml:space="preserve">, there was a dispute between Ms Fischer and the City of Cape Town, on the one hand, and the respondents, on the other, about whether the respondents had been </w:t>
      </w:r>
      <w:proofErr w:type="spellStart"/>
      <w:r w:rsidR="00272E24" w:rsidRPr="00DB3AA2">
        <w:rPr>
          <w:rFonts w:ascii="Times New Roman" w:hAnsi="Times New Roman"/>
        </w:rPr>
        <w:t>spoliated</w:t>
      </w:r>
      <w:proofErr w:type="spellEnd"/>
      <w:r w:rsidR="00272E24" w:rsidRPr="00DB3AA2">
        <w:rPr>
          <w:rFonts w:ascii="Times New Roman" w:hAnsi="Times New Roman"/>
        </w:rPr>
        <w:t xml:space="preserve"> from their homes. </w:t>
      </w:r>
      <w:r w:rsidR="000529BA" w:rsidRPr="00DB3AA2">
        <w:rPr>
          <w:rFonts w:ascii="Times New Roman" w:hAnsi="Times New Roman"/>
        </w:rPr>
        <w:t xml:space="preserve">A simplified summary of what brought the matter before the </w:t>
      </w:r>
      <w:r w:rsidR="000529BA" w:rsidRPr="00DB3AA2">
        <w:rPr>
          <w:rFonts w:ascii="Times New Roman" w:hAnsi="Times New Roman"/>
        </w:rPr>
        <w:lastRenderedPageBreak/>
        <w:t xml:space="preserve">SCA is this: </w:t>
      </w:r>
      <w:r w:rsidR="00E02E97" w:rsidRPr="00DB3AA2">
        <w:rPr>
          <w:rFonts w:ascii="Times New Roman" w:hAnsi="Times New Roman"/>
        </w:rPr>
        <w:t xml:space="preserve">structures were erected on Ms Fischer’s property in the Cape Flats and the City of Cape Town demolished them. </w:t>
      </w:r>
      <w:r w:rsidR="00536CDD" w:rsidRPr="00DB3AA2">
        <w:rPr>
          <w:rFonts w:ascii="Times New Roman" w:hAnsi="Times New Roman"/>
        </w:rPr>
        <w:t xml:space="preserve">The respondents said that they had occupied the structures as their homes for some time, and had therefore been unlawfully </w:t>
      </w:r>
      <w:proofErr w:type="spellStart"/>
      <w:r w:rsidR="00536CDD" w:rsidRPr="00DB3AA2">
        <w:rPr>
          <w:rFonts w:ascii="Times New Roman" w:hAnsi="Times New Roman"/>
        </w:rPr>
        <w:t>spoliated</w:t>
      </w:r>
      <w:proofErr w:type="spellEnd"/>
      <w:r w:rsidR="00536CDD" w:rsidRPr="00DB3AA2">
        <w:rPr>
          <w:rFonts w:ascii="Times New Roman" w:hAnsi="Times New Roman"/>
        </w:rPr>
        <w:t>. The City accepted that, if the structures were the</w:t>
      </w:r>
      <w:r w:rsidR="00EA28B4" w:rsidRPr="00DB3AA2">
        <w:rPr>
          <w:rFonts w:ascii="Times New Roman" w:hAnsi="Times New Roman"/>
        </w:rPr>
        <w:t xml:space="preserve"> respondents’</w:t>
      </w:r>
      <w:r w:rsidR="00536CDD" w:rsidRPr="00DB3AA2">
        <w:rPr>
          <w:rFonts w:ascii="Times New Roman" w:hAnsi="Times New Roman"/>
        </w:rPr>
        <w:t xml:space="preserve"> homes, the demolition of those structures w</w:t>
      </w:r>
      <w:r w:rsidR="008E46F3">
        <w:rPr>
          <w:rFonts w:ascii="Times New Roman" w:hAnsi="Times New Roman"/>
        </w:rPr>
        <w:t>ould have been</w:t>
      </w:r>
      <w:r w:rsidR="00325DA7" w:rsidRPr="00DB3AA2">
        <w:rPr>
          <w:rFonts w:ascii="Times New Roman" w:hAnsi="Times New Roman"/>
        </w:rPr>
        <w:t xml:space="preserve"> unlawful. However, the City denied that the structures were their homes and presented evidence on affidavit to support its version. </w:t>
      </w:r>
      <w:r w:rsidR="00A8277B" w:rsidRPr="00DB3AA2">
        <w:rPr>
          <w:rFonts w:ascii="Times New Roman" w:hAnsi="Times New Roman"/>
        </w:rPr>
        <w:t>The judge hearing the matter referred to oral evidence, by agreement between the parties, the question of whether the structures were the respondents’ homes</w:t>
      </w:r>
      <w:r w:rsidR="00391FF5" w:rsidRPr="00DB3AA2">
        <w:rPr>
          <w:rFonts w:ascii="Times New Roman" w:hAnsi="Times New Roman"/>
        </w:rPr>
        <w:t>. By virtue of the City’s acceptance that, if they were, the demolition was unlawful, everything turned on this factual question.</w:t>
      </w:r>
    </w:p>
    <w:p w14:paraId="7BCF7C43" w14:textId="2480AF21" w:rsidR="00391FF5"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43</w:t>
      </w:r>
      <w:r w:rsidRPr="00DB3AA2">
        <w:rPr>
          <w:rFonts w:ascii="Times New Roman" w:hAnsi="Times New Roman"/>
        </w:rPr>
        <w:tab/>
      </w:r>
      <w:r w:rsidR="0003231B" w:rsidRPr="00DB3AA2">
        <w:rPr>
          <w:rFonts w:ascii="Times New Roman" w:hAnsi="Times New Roman"/>
        </w:rPr>
        <w:t xml:space="preserve">When the matter came before the judge meant to resolve the factual dispute (Gamble J), </w:t>
      </w:r>
      <w:r w:rsidR="00E8127B">
        <w:rPr>
          <w:rFonts w:ascii="Times New Roman" w:hAnsi="Times New Roman"/>
        </w:rPr>
        <w:t>he</w:t>
      </w:r>
      <w:r w:rsidR="0003231B" w:rsidRPr="00DB3AA2">
        <w:rPr>
          <w:rFonts w:ascii="Times New Roman" w:hAnsi="Times New Roman"/>
        </w:rPr>
        <w:t xml:space="preserve"> took the case in a totally different direction. </w:t>
      </w:r>
      <w:r w:rsidR="00851C88" w:rsidRPr="00DB3AA2">
        <w:rPr>
          <w:rFonts w:ascii="Times New Roman" w:hAnsi="Times New Roman"/>
        </w:rPr>
        <w:t xml:space="preserve">Instead of hearing evidence on the factual dispute, he directed the parties to address him on two points, which he characterised as points of law. The first was whether the City had locus </w:t>
      </w:r>
      <w:proofErr w:type="spellStart"/>
      <w:r w:rsidR="00851C88" w:rsidRPr="00DB3AA2">
        <w:rPr>
          <w:rFonts w:ascii="Times New Roman" w:hAnsi="Times New Roman"/>
        </w:rPr>
        <w:t>standi</w:t>
      </w:r>
      <w:proofErr w:type="spellEnd"/>
      <w:r w:rsidR="00851C88" w:rsidRPr="00DB3AA2">
        <w:rPr>
          <w:rFonts w:ascii="Times New Roman" w:hAnsi="Times New Roman"/>
        </w:rPr>
        <w:t xml:space="preserve"> to conduct the demolition on private land. The second was </w:t>
      </w:r>
      <w:r w:rsidR="00B75C0B" w:rsidRPr="00DB3AA2">
        <w:rPr>
          <w:rFonts w:ascii="Times New Roman" w:hAnsi="Times New Roman"/>
        </w:rPr>
        <w:t>on what basis the City contended its conduct to be lawful, in the light of the provisions of section 26(3) of the Constitution and the provisions of the Prevention of Illegal Eviction from and Unlawful Occupation of Land Act</w:t>
      </w:r>
      <w:r w:rsidR="005277ED" w:rsidRPr="00DB3AA2">
        <w:rPr>
          <w:rFonts w:ascii="Times New Roman" w:hAnsi="Times New Roman"/>
        </w:rPr>
        <w:t xml:space="preserve"> </w:t>
      </w:r>
      <w:r w:rsidR="00EE5B46" w:rsidRPr="00DB3AA2">
        <w:rPr>
          <w:rFonts w:ascii="Times New Roman" w:hAnsi="Times New Roman"/>
        </w:rPr>
        <w:t>19 of 1998 (</w:t>
      </w:r>
      <w:r w:rsidR="003734A0" w:rsidRPr="00DB3AA2">
        <w:rPr>
          <w:rFonts w:ascii="Times New Roman" w:hAnsi="Times New Roman"/>
        </w:rPr>
        <w:t xml:space="preserve">“the </w:t>
      </w:r>
      <w:r w:rsidR="00EE5B46" w:rsidRPr="00DB3AA2">
        <w:rPr>
          <w:rFonts w:ascii="Times New Roman" w:hAnsi="Times New Roman"/>
        </w:rPr>
        <w:t>PIE</w:t>
      </w:r>
      <w:r w:rsidR="003734A0" w:rsidRPr="00DB3AA2">
        <w:rPr>
          <w:rFonts w:ascii="Times New Roman" w:hAnsi="Times New Roman"/>
        </w:rPr>
        <w:t xml:space="preserve"> Act”</w:t>
      </w:r>
      <w:r w:rsidR="00EE5B46" w:rsidRPr="00DB3AA2">
        <w:rPr>
          <w:rFonts w:ascii="Times New Roman" w:hAnsi="Times New Roman"/>
        </w:rPr>
        <w:t>).</w:t>
      </w:r>
      <w:r w:rsidR="0005547E" w:rsidRPr="00DB3AA2">
        <w:rPr>
          <w:rFonts w:ascii="Times New Roman" w:hAnsi="Times New Roman"/>
        </w:rPr>
        <w:t xml:space="preserve"> Gamble J heard argument on these matters and decided that,</w:t>
      </w:r>
      <w:r w:rsidR="005D6245" w:rsidRPr="00DB3AA2">
        <w:rPr>
          <w:rFonts w:ascii="Times New Roman" w:hAnsi="Times New Roman"/>
        </w:rPr>
        <w:t xml:space="preserve"> for reasons not relevant here, the first issue did not arise. </w:t>
      </w:r>
      <w:r w:rsidR="000D469D" w:rsidRPr="00DB3AA2">
        <w:rPr>
          <w:rFonts w:ascii="Times New Roman" w:hAnsi="Times New Roman"/>
        </w:rPr>
        <w:t xml:space="preserve">However, Gamble J did decide the second issue and decided it against the City, finding </w:t>
      </w:r>
      <w:r w:rsidR="003D208D" w:rsidRPr="00DB3AA2">
        <w:rPr>
          <w:rFonts w:ascii="Times New Roman" w:hAnsi="Times New Roman"/>
        </w:rPr>
        <w:t xml:space="preserve">the </w:t>
      </w:r>
      <w:r w:rsidR="000D469D" w:rsidRPr="00DB3AA2">
        <w:rPr>
          <w:rFonts w:ascii="Times New Roman" w:hAnsi="Times New Roman"/>
        </w:rPr>
        <w:t xml:space="preserve">PIE </w:t>
      </w:r>
      <w:r w:rsidR="003D208D" w:rsidRPr="00DB3AA2">
        <w:rPr>
          <w:rFonts w:ascii="Times New Roman" w:hAnsi="Times New Roman"/>
        </w:rPr>
        <w:t xml:space="preserve">Act </w:t>
      </w:r>
      <w:r w:rsidR="000D469D" w:rsidRPr="00DB3AA2">
        <w:rPr>
          <w:rFonts w:ascii="Times New Roman" w:hAnsi="Times New Roman"/>
        </w:rPr>
        <w:t xml:space="preserve">to be applicable. As the SCA put it, </w:t>
      </w:r>
      <w:r w:rsidR="00D50609" w:rsidRPr="00DB3AA2">
        <w:rPr>
          <w:rFonts w:ascii="Times New Roman" w:hAnsi="Times New Roman"/>
        </w:rPr>
        <w:t>the “factual basis upon which it [</w:t>
      </w:r>
      <w:proofErr w:type="spellStart"/>
      <w:r w:rsidR="00D50609" w:rsidRPr="00DB3AA2">
        <w:rPr>
          <w:rFonts w:ascii="Times New Roman" w:hAnsi="Times New Roman"/>
        </w:rPr>
        <w:t>ie</w:t>
      </w:r>
      <w:proofErr w:type="spellEnd"/>
      <w:r w:rsidR="00D50609" w:rsidRPr="00DB3AA2">
        <w:rPr>
          <w:rFonts w:ascii="Times New Roman" w:hAnsi="Times New Roman"/>
        </w:rPr>
        <w:t>, Gamble J] did so is, however, unclear, although it appears to have involved deciding factual disputes without evidence” (</w:t>
      </w:r>
      <w:proofErr w:type="spellStart"/>
      <w:r w:rsidR="003D208D" w:rsidRPr="00DB3AA2">
        <w:rPr>
          <w:rFonts w:ascii="Times New Roman" w:hAnsi="Times New Roman"/>
          <w:i/>
          <w:iCs/>
        </w:rPr>
        <w:t>Ramahlele</w:t>
      </w:r>
      <w:proofErr w:type="spellEnd"/>
      <w:r w:rsidR="003D208D" w:rsidRPr="00DB3AA2">
        <w:rPr>
          <w:rFonts w:ascii="Times New Roman" w:hAnsi="Times New Roman"/>
        </w:rPr>
        <w:t xml:space="preserve"> at para 10).</w:t>
      </w:r>
    </w:p>
    <w:p w14:paraId="0552C86C" w14:textId="7953F23B" w:rsidR="00D50609"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44</w:t>
      </w:r>
      <w:r w:rsidRPr="00DB3AA2">
        <w:rPr>
          <w:rFonts w:ascii="Times New Roman" w:hAnsi="Times New Roman"/>
        </w:rPr>
        <w:tab/>
      </w:r>
      <w:r w:rsidR="00695FF4" w:rsidRPr="00DB3AA2">
        <w:rPr>
          <w:rFonts w:ascii="Times New Roman" w:hAnsi="Times New Roman"/>
        </w:rPr>
        <w:t xml:space="preserve">The SCA pointed out that everything in the case turned on the factual dispute which had been referred to oral evidence. In a sense, Gamble J </w:t>
      </w:r>
      <w:r w:rsidR="001C0B67" w:rsidRPr="00DB3AA2">
        <w:rPr>
          <w:rFonts w:ascii="Times New Roman" w:hAnsi="Times New Roman"/>
        </w:rPr>
        <w:t xml:space="preserve">inverted the </w:t>
      </w:r>
      <w:r w:rsidR="00380B19">
        <w:rPr>
          <w:rFonts w:ascii="Times New Roman" w:hAnsi="Times New Roman"/>
        </w:rPr>
        <w:t xml:space="preserve">proper </w:t>
      </w:r>
      <w:r w:rsidR="001C0B67" w:rsidRPr="00DB3AA2">
        <w:rPr>
          <w:rFonts w:ascii="Times New Roman" w:hAnsi="Times New Roman"/>
        </w:rPr>
        <w:t xml:space="preserve">order of enquiry </w:t>
      </w:r>
      <w:r w:rsidR="001C0B67" w:rsidRPr="00DB3AA2">
        <w:rPr>
          <w:rFonts w:ascii="Times New Roman" w:hAnsi="Times New Roman"/>
        </w:rPr>
        <w:lastRenderedPageBreak/>
        <w:t xml:space="preserve">by reaching the legal conclusion that </w:t>
      </w:r>
      <w:r w:rsidR="00A36C64" w:rsidRPr="00DB3AA2">
        <w:rPr>
          <w:rFonts w:ascii="Times New Roman" w:hAnsi="Times New Roman"/>
        </w:rPr>
        <w:t xml:space="preserve">the </w:t>
      </w:r>
      <w:r w:rsidR="001C0B67" w:rsidRPr="00DB3AA2">
        <w:rPr>
          <w:rFonts w:ascii="Times New Roman" w:hAnsi="Times New Roman"/>
        </w:rPr>
        <w:t xml:space="preserve">PIE </w:t>
      </w:r>
      <w:r w:rsidR="00A36C64" w:rsidRPr="00DB3AA2">
        <w:rPr>
          <w:rFonts w:ascii="Times New Roman" w:hAnsi="Times New Roman"/>
        </w:rPr>
        <w:t xml:space="preserve">Act </w:t>
      </w:r>
      <w:r w:rsidR="001C0B67" w:rsidRPr="00DB3AA2">
        <w:rPr>
          <w:rFonts w:ascii="Times New Roman" w:hAnsi="Times New Roman"/>
        </w:rPr>
        <w:t>applied without any factual basis for doing so.</w:t>
      </w:r>
    </w:p>
    <w:p w14:paraId="774CD7CD" w14:textId="5542A8D6" w:rsidR="001C0B67"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45</w:t>
      </w:r>
      <w:r w:rsidRPr="00DB3AA2">
        <w:rPr>
          <w:rFonts w:ascii="Times New Roman" w:hAnsi="Times New Roman"/>
        </w:rPr>
        <w:tab/>
      </w:r>
      <w:r w:rsidR="006E244F" w:rsidRPr="00DB3AA2">
        <w:rPr>
          <w:rFonts w:ascii="Times New Roman" w:hAnsi="Times New Roman"/>
        </w:rPr>
        <w:t xml:space="preserve">Having explained the </w:t>
      </w:r>
      <w:r w:rsidR="00D62F1A">
        <w:rPr>
          <w:rFonts w:ascii="Times New Roman" w:hAnsi="Times New Roman"/>
        </w:rPr>
        <w:t xml:space="preserve">way in </w:t>
      </w:r>
      <w:r w:rsidR="00440B0A" w:rsidRPr="00DB3AA2">
        <w:rPr>
          <w:rFonts w:ascii="Times New Roman" w:hAnsi="Times New Roman"/>
        </w:rPr>
        <w:t>which the court a quo had decided the matter, the SCA emphasised the following important principles, some of which WK Construction</w:t>
      </w:r>
      <w:r w:rsidR="00935D3E" w:rsidRPr="00DB3AA2">
        <w:rPr>
          <w:rFonts w:ascii="Times New Roman" w:hAnsi="Times New Roman"/>
        </w:rPr>
        <w:t xml:space="preserve"> relies on here:</w:t>
      </w:r>
    </w:p>
    <w:p w14:paraId="2F4BF99F" w14:textId="75C30278" w:rsidR="00935D3E"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45.1</w:t>
      </w:r>
      <w:r w:rsidRPr="00DB3AA2">
        <w:rPr>
          <w:rFonts w:ascii="Times New Roman" w:hAnsi="Times New Roman"/>
        </w:rPr>
        <w:tab/>
      </w:r>
      <w:r w:rsidR="00A43542" w:rsidRPr="00DB3AA2">
        <w:rPr>
          <w:rFonts w:ascii="Times New Roman" w:hAnsi="Times New Roman"/>
        </w:rPr>
        <w:t>In our adversarial system, “it is for the parties, either in the pleadings or affidavits (which serve the function of both pleadings and evidence), to set out and define the nature of their dispute, and it is for the court to adjudicate upon those issues (</w:t>
      </w:r>
      <w:proofErr w:type="spellStart"/>
      <w:r w:rsidR="00A36C64" w:rsidRPr="00D62F1A">
        <w:rPr>
          <w:rFonts w:ascii="Times New Roman" w:hAnsi="Times New Roman"/>
          <w:i/>
          <w:iCs/>
        </w:rPr>
        <w:t>Ramahlele</w:t>
      </w:r>
      <w:proofErr w:type="spellEnd"/>
      <w:r w:rsidR="00A43542" w:rsidRPr="00DB3AA2">
        <w:rPr>
          <w:rFonts w:ascii="Times New Roman" w:hAnsi="Times New Roman"/>
        </w:rPr>
        <w:t xml:space="preserve"> at para 13).</w:t>
      </w:r>
    </w:p>
    <w:p w14:paraId="34B07D27" w14:textId="034E814C" w:rsidR="00A43542"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45.2</w:t>
      </w:r>
      <w:r w:rsidRPr="00DB3AA2">
        <w:rPr>
          <w:rFonts w:ascii="Times New Roman" w:hAnsi="Times New Roman"/>
        </w:rPr>
        <w:tab/>
      </w:r>
      <w:r w:rsidR="005A3BE6" w:rsidRPr="00DB3AA2">
        <w:rPr>
          <w:rFonts w:ascii="Times New Roman" w:hAnsi="Times New Roman"/>
        </w:rPr>
        <w:t xml:space="preserve">The SCA pointed to two exceptions to this proposition – first, where the </w:t>
      </w:r>
      <w:r w:rsidR="00A903B9" w:rsidRPr="00DB3AA2">
        <w:rPr>
          <w:rFonts w:ascii="Times New Roman" w:hAnsi="Times New Roman"/>
        </w:rPr>
        <w:t xml:space="preserve">parties may expand the issues by the way in which they conduct their case and, secondly, where the court raises </w:t>
      </w:r>
      <w:r w:rsidR="0040455D" w:rsidRPr="00DB3AA2">
        <w:rPr>
          <w:rFonts w:ascii="Times New Roman" w:hAnsi="Times New Roman"/>
        </w:rPr>
        <w:t>a question of law of its own accord which emerges fully from the evidence and is necessary for the decision in the case</w:t>
      </w:r>
      <w:r w:rsidR="00254409" w:rsidRPr="00DB3AA2">
        <w:rPr>
          <w:rFonts w:ascii="Times New Roman" w:hAnsi="Times New Roman"/>
        </w:rPr>
        <w:t>. But this “is subject to the provis</w:t>
      </w:r>
      <w:r w:rsidR="00D5716F" w:rsidRPr="00DB3AA2">
        <w:rPr>
          <w:rFonts w:ascii="Times New Roman" w:hAnsi="Times New Roman"/>
        </w:rPr>
        <w:t>o that no prejudice will be caused to any party by its being decided” (</w:t>
      </w:r>
      <w:proofErr w:type="spellStart"/>
      <w:r w:rsidR="00635253" w:rsidRPr="00DB3AA2">
        <w:rPr>
          <w:rFonts w:ascii="Times New Roman" w:hAnsi="Times New Roman"/>
          <w:i/>
          <w:iCs/>
        </w:rPr>
        <w:t>Ramahlele</w:t>
      </w:r>
      <w:proofErr w:type="spellEnd"/>
      <w:r w:rsidR="00D5716F" w:rsidRPr="00DB3AA2">
        <w:rPr>
          <w:rFonts w:ascii="Times New Roman" w:hAnsi="Times New Roman"/>
        </w:rPr>
        <w:t xml:space="preserve"> at para 1</w:t>
      </w:r>
      <w:r w:rsidR="00C300EC" w:rsidRPr="00DB3AA2">
        <w:rPr>
          <w:rFonts w:ascii="Times New Roman" w:hAnsi="Times New Roman"/>
        </w:rPr>
        <w:t>3</w:t>
      </w:r>
      <w:r w:rsidR="00D5716F" w:rsidRPr="00DB3AA2">
        <w:rPr>
          <w:rFonts w:ascii="Times New Roman" w:hAnsi="Times New Roman"/>
        </w:rPr>
        <w:t>)</w:t>
      </w:r>
      <w:r w:rsidR="00387777" w:rsidRPr="00DB3AA2">
        <w:rPr>
          <w:rFonts w:ascii="Times New Roman" w:hAnsi="Times New Roman"/>
        </w:rPr>
        <w:t xml:space="preserve">. Other than in the application of these two exceptions, “it is for the parties to identify the dispute and for the court to determine that dispute and that dispute alone” </w:t>
      </w:r>
      <w:r w:rsidR="00C300EC" w:rsidRPr="00DB3AA2">
        <w:rPr>
          <w:rFonts w:ascii="Times New Roman" w:hAnsi="Times New Roman"/>
        </w:rPr>
        <w:t>(</w:t>
      </w:r>
      <w:proofErr w:type="spellStart"/>
      <w:r w:rsidR="00635253" w:rsidRPr="00DB3AA2">
        <w:rPr>
          <w:rFonts w:ascii="Times New Roman" w:hAnsi="Times New Roman"/>
          <w:i/>
          <w:iCs/>
        </w:rPr>
        <w:t>Ramahlele</w:t>
      </w:r>
      <w:proofErr w:type="spellEnd"/>
      <w:r w:rsidR="00C300EC" w:rsidRPr="00DB3AA2">
        <w:rPr>
          <w:rFonts w:ascii="Times New Roman" w:hAnsi="Times New Roman"/>
        </w:rPr>
        <w:t xml:space="preserve"> at para 13).</w:t>
      </w:r>
    </w:p>
    <w:p w14:paraId="481EE9BE" w14:textId="727EBE11" w:rsidR="00467D94"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t>45.3</w:t>
      </w:r>
      <w:r w:rsidRPr="00DB3AA2">
        <w:rPr>
          <w:rFonts w:ascii="Times New Roman" w:hAnsi="Times New Roman"/>
        </w:rPr>
        <w:tab/>
      </w:r>
      <w:r w:rsidR="00467D94" w:rsidRPr="00DB3AA2">
        <w:rPr>
          <w:rFonts w:ascii="Times New Roman" w:hAnsi="Times New Roman"/>
        </w:rPr>
        <w:t>It is not for the court to raise new issues which were not traversed in the pleadings or affidavits</w:t>
      </w:r>
      <w:r w:rsidR="00315E64" w:rsidRPr="00DB3AA2">
        <w:rPr>
          <w:rFonts w:ascii="Times New Roman" w:hAnsi="Times New Roman"/>
        </w:rPr>
        <w:t xml:space="preserve"> “however interesting or important they may seem to it, and to insist that the parties deal with them”</w:t>
      </w:r>
      <w:r w:rsidR="002B0356" w:rsidRPr="00DB3AA2">
        <w:rPr>
          <w:rFonts w:ascii="Times New Roman" w:hAnsi="Times New Roman"/>
        </w:rPr>
        <w:t xml:space="preserve"> because the parties may have had their own reasons for not raising those issues (</w:t>
      </w:r>
      <w:proofErr w:type="spellStart"/>
      <w:r w:rsidR="00432EC7" w:rsidRPr="00DB3AA2">
        <w:rPr>
          <w:rFonts w:ascii="Times New Roman" w:hAnsi="Times New Roman"/>
          <w:i/>
          <w:iCs/>
        </w:rPr>
        <w:t>Ramahlele</w:t>
      </w:r>
      <w:proofErr w:type="spellEnd"/>
      <w:r w:rsidR="002B0356" w:rsidRPr="00DB3AA2">
        <w:rPr>
          <w:rFonts w:ascii="Times New Roman" w:hAnsi="Times New Roman"/>
        </w:rPr>
        <w:t xml:space="preserve"> at para 14).</w:t>
      </w:r>
    </w:p>
    <w:p w14:paraId="27625933" w14:textId="62625C60" w:rsidR="002B0356" w:rsidRPr="00DB3AA2" w:rsidRDefault="00065B2B" w:rsidP="00065B2B">
      <w:pPr>
        <w:pStyle w:val="WLGLevel2"/>
        <w:numPr>
          <w:ilvl w:val="0"/>
          <w:numId w:val="0"/>
        </w:numPr>
        <w:tabs>
          <w:tab w:val="left" w:pos="1361"/>
        </w:tabs>
        <w:ind w:left="1361" w:hanging="794"/>
        <w:rPr>
          <w:rFonts w:ascii="Times New Roman" w:hAnsi="Times New Roman"/>
        </w:rPr>
      </w:pPr>
      <w:r w:rsidRPr="00DB3AA2">
        <w:rPr>
          <w:rFonts w:ascii="Times New Roman" w:hAnsi="Times New Roman"/>
        </w:rPr>
        <w:lastRenderedPageBreak/>
        <w:t>45.4</w:t>
      </w:r>
      <w:r w:rsidRPr="00DB3AA2">
        <w:rPr>
          <w:rFonts w:ascii="Times New Roman" w:hAnsi="Times New Roman"/>
        </w:rPr>
        <w:tab/>
      </w:r>
      <w:r w:rsidR="002D2C44" w:rsidRPr="00DB3AA2">
        <w:rPr>
          <w:rFonts w:ascii="Times New Roman" w:hAnsi="Times New Roman"/>
        </w:rPr>
        <w:t xml:space="preserve">A court may sometimes </w:t>
      </w:r>
      <w:r w:rsidR="0034346B" w:rsidRPr="00DB3AA2">
        <w:rPr>
          <w:rFonts w:ascii="Times New Roman" w:hAnsi="Times New Roman"/>
        </w:rPr>
        <w:t>suggest a line of argument or approach to a case which had not previously occurred to the parties, but it is for the parties and not the court to decide to go down that road</w:t>
      </w:r>
      <w:r w:rsidR="00E26ECD" w:rsidRPr="00DB3AA2">
        <w:rPr>
          <w:rFonts w:ascii="Times New Roman" w:hAnsi="Times New Roman"/>
        </w:rPr>
        <w:t xml:space="preserve">. If the parties “wish to stand by the issues they have formulated, the court may not raise new ones or compel them to deal with matters other than </w:t>
      </w:r>
      <w:r w:rsidR="00E277AF" w:rsidRPr="00DB3AA2">
        <w:rPr>
          <w:rFonts w:ascii="Times New Roman" w:hAnsi="Times New Roman"/>
        </w:rPr>
        <w:t>those they have formulated in their pleadings or affidavit</w:t>
      </w:r>
      <w:r w:rsidR="00E557AF">
        <w:rPr>
          <w:rFonts w:ascii="Times New Roman" w:hAnsi="Times New Roman"/>
        </w:rPr>
        <w:t>s</w:t>
      </w:r>
      <w:r w:rsidR="00E277AF" w:rsidRPr="00DB3AA2">
        <w:rPr>
          <w:rFonts w:ascii="Times New Roman" w:hAnsi="Times New Roman"/>
        </w:rPr>
        <w:t>” (</w:t>
      </w:r>
      <w:proofErr w:type="spellStart"/>
      <w:r w:rsidR="00F81B3A" w:rsidRPr="00DB3AA2">
        <w:rPr>
          <w:rFonts w:ascii="Times New Roman" w:hAnsi="Times New Roman"/>
          <w:i/>
          <w:iCs/>
        </w:rPr>
        <w:t>Ramahlele</w:t>
      </w:r>
      <w:proofErr w:type="spellEnd"/>
      <w:r w:rsidR="00E277AF" w:rsidRPr="00DB3AA2">
        <w:rPr>
          <w:rFonts w:ascii="Times New Roman" w:hAnsi="Times New Roman"/>
        </w:rPr>
        <w:t xml:space="preserve"> at para 14).</w:t>
      </w:r>
      <w:r w:rsidR="00466417" w:rsidRPr="00DB3AA2">
        <w:rPr>
          <w:rFonts w:ascii="Times New Roman" w:hAnsi="Times New Roman"/>
        </w:rPr>
        <w:t xml:space="preserve"> In other words, judicial restraint is called for (</w:t>
      </w:r>
      <w:proofErr w:type="spellStart"/>
      <w:r w:rsidR="00F81B3A" w:rsidRPr="00DB3AA2">
        <w:rPr>
          <w:rFonts w:ascii="Times New Roman" w:hAnsi="Times New Roman"/>
          <w:i/>
          <w:iCs/>
        </w:rPr>
        <w:t>Ramahlele</w:t>
      </w:r>
      <w:proofErr w:type="spellEnd"/>
      <w:r w:rsidR="00DF6167" w:rsidRPr="00DB3AA2">
        <w:rPr>
          <w:rFonts w:ascii="Times New Roman" w:hAnsi="Times New Roman"/>
        </w:rPr>
        <w:t xml:space="preserve"> at para 15).</w:t>
      </w:r>
    </w:p>
    <w:p w14:paraId="7B1906AC" w14:textId="5A7C01EA" w:rsidR="00E277AF"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46</w:t>
      </w:r>
      <w:r w:rsidRPr="00DB3AA2">
        <w:rPr>
          <w:rFonts w:ascii="Times New Roman" w:hAnsi="Times New Roman"/>
        </w:rPr>
        <w:tab/>
      </w:r>
      <w:r w:rsidR="00C22683" w:rsidRPr="00DB3AA2">
        <w:rPr>
          <w:rFonts w:ascii="Times New Roman" w:hAnsi="Times New Roman"/>
        </w:rPr>
        <w:t xml:space="preserve">It seems to be implied </w:t>
      </w:r>
      <w:r w:rsidR="00AD0D42" w:rsidRPr="00DB3AA2">
        <w:rPr>
          <w:rFonts w:ascii="Times New Roman" w:hAnsi="Times New Roman"/>
        </w:rPr>
        <w:t>(undoubtedly with no ill-intent</w:t>
      </w:r>
      <w:r w:rsidR="00720848" w:rsidRPr="00DB3AA2">
        <w:rPr>
          <w:rFonts w:ascii="Times New Roman" w:hAnsi="Times New Roman"/>
        </w:rPr>
        <w:t xml:space="preserve">) </w:t>
      </w:r>
      <w:r w:rsidR="00C22683" w:rsidRPr="00DB3AA2">
        <w:rPr>
          <w:rFonts w:ascii="Times New Roman" w:hAnsi="Times New Roman"/>
        </w:rPr>
        <w:t xml:space="preserve">by WK Construction that, in calling for </w:t>
      </w:r>
      <w:r w:rsidR="000433AC" w:rsidRPr="00DB3AA2">
        <w:rPr>
          <w:rFonts w:ascii="Times New Roman" w:hAnsi="Times New Roman"/>
        </w:rPr>
        <w:t xml:space="preserve">the further submissions described above, I am guilty of the lack of judicial restraint </w:t>
      </w:r>
      <w:r w:rsidR="001B6F9C" w:rsidRPr="00DB3AA2">
        <w:rPr>
          <w:rFonts w:ascii="Times New Roman" w:hAnsi="Times New Roman"/>
        </w:rPr>
        <w:t xml:space="preserve">highlighted by the SCA in </w:t>
      </w:r>
      <w:proofErr w:type="spellStart"/>
      <w:r w:rsidR="00AD0D42" w:rsidRPr="00DB3AA2">
        <w:rPr>
          <w:rFonts w:ascii="Times New Roman" w:hAnsi="Times New Roman"/>
          <w:i/>
          <w:iCs/>
        </w:rPr>
        <w:t>Ramahlele</w:t>
      </w:r>
      <w:proofErr w:type="spellEnd"/>
      <w:r w:rsidR="001B6F9C" w:rsidRPr="00DB3AA2">
        <w:rPr>
          <w:rFonts w:ascii="Times New Roman" w:hAnsi="Times New Roman"/>
        </w:rPr>
        <w:t>.</w:t>
      </w:r>
      <w:r w:rsidR="00FE3867" w:rsidRPr="00DB3AA2">
        <w:rPr>
          <w:rFonts w:ascii="Times New Roman" w:hAnsi="Times New Roman"/>
        </w:rPr>
        <w:t xml:space="preserve"> But the difference between the present case and the </w:t>
      </w:r>
      <w:proofErr w:type="spellStart"/>
      <w:r w:rsidR="00720848" w:rsidRPr="00DB3AA2">
        <w:rPr>
          <w:rFonts w:ascii="Times New Roman" w:hAnsi="Times New Roman"/>
          <w:i/>
          <w:iCs/>
        </w:rPr>
        <w:t>Ramahlele</w:t>
      </w:r>
      <w:proofErr w:type="spellEnd"/>
      <w:r w:rsidR="00720848" w:rsidRPr="00DB3AA2">
        <w:rPr>
          <w:rFonts w:ascii="Times New Roman" w:hAnsi="Times New Roman"/>
        </w:rPr>
        <w:t xml:space="preserve"> </w:t>
      </w:r>
      <w:r w:rsidR="00FE3867" w:rsidRPr="00DB3AA2">
        <w:rPr>
          <w:rFonts w:ascii="Times New Roman" w:hAnsi="Times New Roman"/>
        </w:rPr>
        <w:t xml:space="preserve">scenario is that, in the latter, Gamble J took the case in an entirely different direction unilaterally, whereas my request for further submissions arose because of </w:t>
      </w:r>
      <w:r w:rsidR="00FE3867" w:rsidRPr="00DB3AA2">
        <w:rPr>
          <w:rFonts w:ascii="Times New Roman" w:hAnsi="Times New Roman"/>
          <w:i/>
          <w:iCs/>
        </w:rPr>
        <w:t xml:space="preserve">Mr </w:t>
      </w:r>
      <w:proofErr w:type="spellStart"/>
      <w:r w:rsidR="00FE3867" w:rsidRPr="00DB3AA2">
        <w:rPr>
          <w:rFonts w:ascii="Times New Roman" w:hAnsi="Times New Roman"/>
          <w:i/>
          <w:iCs/>
        </w:rPr>
        <w:t>Hellens</w:t>
      </w:r>
      <w:proofErr w:type="spellEnd"/>
      <w:r w:rsidR="00FE3867" w:rsidRPr="00DB3AA2">
        <w:rPr>
          <w:rFonts w:ascii="Times New Roman" w:hAnsi="Times New Roman"/>
          <w:i/>
          <w:iCs/>
        </w:rPr>
        <w:t>’</w:t>
      </w:r>
      <w:r w:rsidR="00FE3867" w:rsidRPr="00DB3AA2">
        <w:rPr>
          <w:rFonts w:ascii="Times New Roman" w:hAnsi="Times New Roman"/>
        </w:rPr>
        <w:t xml:space="preserve"> argument. In other words, </w:t>
      </w:r>
      <w:r w:rsidR="00FE3867" w:rsidRPr="00DB3AA2">
        <w:rPr>
          <w:rFonts w:ascii="Times New Roman" w:hAnsi="Times New Roman"/>
          <w:i/>
          <w:iCs/>
        </w:rPr>
        <w:t xml:space="preserve">Mr </w:t>
      </w:r>
      <w:proofErr w:type="spellStart"/>
      <w:r w:rsidR="00FE3867" w:rsidRPr="00DB3AA2">
        <w:rPr>
          <w:rFonts w:ascii="Times New Roman" w:hAnsi="Times New Roman"/>
          <w:i/>
          <w:iCs/>
        </w:rPr>
        <w:t>Hellens</w:t>
      </w:r>
      <w:proofErr w:type="spellEnd"/>
      <w:r w:rsidR="00FE3867" w:rsidRPr="00DB3AA2">
        <w:rPr>
          <w:rFonts w:ascii="Times New Roman" w:hAnsi="Times New Roman"/>
        </w:rPr>
        <w:t xml:space="preserve"> raised the legal argument relating to Mr Brown’s status as a director</w:t>
      </w:r>
      <w:r w:rsidR="00BC3C47" w:rsidRPr="00DB3AA2">
        <w:rPr>
          <w:rFonts w:ascii="Times New Roman" w:hAnsi="Times New Roman"/>
        </w:rPr>
        <w:t>, which is what prompted me to seek full submissions on the topic. It is not an idea which occurred to me</w:t>
      </w:r>
      <w:r w:rsidR="00467080" w:rsidRPr="00DB3AA2">
        <w:rPr>
          <w:rFonts w:ascii="Times New Roman" w:hAnsi="Times New Roman"/>
        </w:rPr>
        <w:t xml:space="preserve"> (lacking, as I am, in </w:t>
      </w:r>
      <w:r w:rsidR="008008C5" w:rsidRPr="00DB3AA2">
        <w:rPr>
          <w:rFonts w:ascii="Times New Roman" w:hAnsi="Times New Roman"/>
        </w:rPr>
        <w:t>jurisprudential imagination)</w:t>
      </w:r>
      <w:r w:rsidR="00BC3C47" w:rsidRPr="00DB3AA2">
        <w:rPr>
          <w:rFonts w:ascii="Times New Roman" w:hAnsi="Times New Roman"/>
        </w:rPr>
        <w:t xml:space="preserve">, </w:t>
      </w:r>
      <w:r w:rsidR="003909D9" w:rsidRPr="00DB3AA2">
        <w:rPr>
          <w:rFonts w:ascii="Times New Roman" w:hAnsi="Times New Roman"/>
        </w:rPr>
        <w:t xml:space="preserve">but rather a submission made by one of the parties. </w:t>
      </w:r>
    </w:p>
    <w:p w14:paraId="02D630F4" w14:textId="286C36B8" w:rsidR="00046067"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47</w:t>
      </w:r>
      <w:r w:rsidRPr="00DB3AA2">
        <w:rPr>
          <w:rFonts w:ascii="Times New Roman" w:hAnsi="Times New Roman"/>
        </w:rPr>
        <w:tab/>
      </w:r>
      <w:r w:rsidR="00046067" w:rsidRPr="00DB3AA2">
        <w:rPr>
          <w:rFonts w:ascii="Times New Roman" w:hAnsi="Times New Roman"/>
        </w:rPr>
        <w:t>So, in the present case, we are not</w:t>
      </w:r>
      <w:r w:rsidR="00677501" w:rsidRPr="00DB3AA2">
        <w:rPr>
          <w:rFonts w:ascii="Times New Roman" w:hAnsi="Times New Roman"/>
        </w:rPr>
        <w:t xml:space="preserve"> in a situation where the court has impermissibly taken the parties in a direction without their consent. One of the parties elected to raise a legal argument not previously ventilated on the papers, and the real question which now presents itself is whether that party is entitled to do so.</w:t>
      </w:r>
    </w:p>
    <w:p w14:paraId="7730494B" w14:textId="1AE398DE" w:rsidR="00945C5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48</w:t>
      </w:r>
      <w:r w:rsidRPr="00DB3AA2">
        <w:rPr>
          <w:rFonts w:ascii="Times New Roman" w:hAnsi="Times New Roman"/>
        </w:rPr>
        <w:tab/>
      </w:r>
      <w:r w:rsidR="00677501" w:rsidRPr="00DB3AA2">
        <w:rPr>
          <w:rFonts w:ascii="Times New Roman" w:hAnsi="Times New Roman"/>
        </w:rPr>
        <w:t xml:space="preserve">It seems to me that there is inherent tension in two propositions. On the one hand, as the SCA held in </w:t>
      </w:r>
      <w:proofErr w:type="spellStart"/>
      <w:r w:rsidR="008008C5" w:rsidRPr="00DB3AA2">
        <w:rPr>
          <w:rFonts w:ascii="Times New Roman" w:hAnsi="Times New Roman"/>
          <w:i/>
          <w:iCs/>
        </w:rPr>
        <w:t>Ramahlele</w:t>
      </w:r>
      <w:proofErr w:type="spellEnd"/>
      <w:r w:rsidR="008008C5" w:rsidRPr="00DB3AA2">
        <w:rPr>
          <w:rFonts w:ascii="Times New Roman" w:hAnsi="Times New Roman"/>
        </w:rPr>
        <w:t xml:space="preserve"> (and has been emphasised by our courts on multiple occasions)</w:t>
      </w:r>
      <w:r w:rsidR="00677501" w:rsidRPr="00DB3AA2">
        <w:rPr>
          <w:rFonts w:ascii="Times New Roman" w:hAnsi="Times New Roman"/>
        </w:rPr>
        <w:t xml:space="preserve">, </w:t>
      </w:r>
      <w:r w:rsidR="00A025AE" w:rsidRPr="00DB3AA2">
        <w:rPr>
          <w:rFonts w:ascii="Times New Roman" w:hAnsi="Times New Roman"/>
        </w:rPr>
        <w:t xml:space="preserve">the parties are obliged to set out and define the nature of their dispute in the pleadings, which of course includes the affidavits. </w:t>
      </w:r>
      <w:r w:rsidR="00720FE9" w:rsidRPr="00DB3AA2">
        <w:rPr>
          <w:rFonts w:ascii="Times New Roman" w:hAnsi="Times New Roman"/>
        </w:rPr>
        <w:t xml:space="preserve">The cases in which this proposition is stated are </w:t>
      </w:r>
      <w:r w:rsidR="00720FE9" w:rsidRPr="00DB3AA2">
        <w:rPr>
          <w:rFonts w:ascii="Times New Roman" w:hAnsi="Times New Roman"/>
        </w:rPr>
        <w:lastRenderedPageBreak/>
        <w:t xml:space="preserve">too numerous to mention and one could </w:t>
      </w:r>
      <w:r w:rsidR="00DA3F2D" w:rsidRPr="00DB3AA2">
        <w:rPr>
          <w:rFonts w:ascii="Times New Roman" w:hAnsi="Times New Roman"/>
        </w:rPr>
        <w:t xml:space="preserve">reasonably describe the principle that parties may not raise points which have not been pleaded as trite. On the other hand, however, is the slightly less well-known </w:t>
      </w:r>
      <w:r w:rsidR="007818C2" w:rsidRPr="00DB3AA2">
        <w:rPr>
          <w:rFonts w:ascii="Times New Roman" w:hAnsi="Times New Roman"/>
        </w:rPr>
        <w:t xml:space="preserve">(but certainly still </w:t>
      </w:r>
      <w:r w:rsidR="002057A3" w:rsidRPr="00DB3AA2">
        <w:rPr>
          <w:rFonts w:ascii="Times New Roman" w:hAnsi="Times New Roman"/>
        </w:rPr>
        <w:t xml:space="preserve">familiar) </w:t>
      </w:r>
      <w:r w:rsidR="00DA3F2D" w:rsidRPr="00DB3AA2">
        <w:rPr>
          <w:rFonts w:ascii="Times New Roman" w:hAnsi="Times New Roman"/>
        </w:rPr>
        <w:t xml:space="preserve">proposition that parties are entitled to argue points of law as long as they emerge from the pleaded </w:t>
      </w:r>
      <w:proofErr w:type="gramStart"/>
      <w:r w:rsidR="00DA3F2D" w:rsidRPr="00DB3AA2">
        <w:rPr>
          <w:rFonts w:ascii="Times New Roman" w:hAnsi="Times New Roman"/>
        </w:rPr>
        <w:t>facts.</w:t>
      </w:r>
      <w:proofErr w:type="gramEnd"/>
      <w:r w:rsidR="004C4268" w:rsidRPr="00DB3AA2">
        <w:rPr>
          <w:rFonts w:ascii="Times New Roman" w:hAnsi="Times New Roman"/>
        </w:rPr>
        <w:t xml:space="preserve"> </w:t>
      </w:r>
    </w:p>
    <w:p w14:paraId="3EA9FB6C" w14:textId="7DCF75B5" w:rsidR="00677501"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49</w:t>
      </w:r>
      <w:r w:rsidRPr="00DB3AA2">
        <w:rPr>
          <w:rFonts w:ascii="Times New Roman" w:hAnsi="Times New Roman"/>
        </w:rPr>
        <w:tab/>
      </w:r>
      <w:r w:rsidR="004C4268" w:rsidRPr="00DB3AA2">
        <w:rPr>
          <w:rFonts w:ascii="Times New Roman" w:hAnsi="Times New Roman"/>
        </w:rPr>
        <w:t xml:space="preserve">In </w:t>
      </w:r>
      <w:proofErr w:type="spellStart"/>
      <w:r w:rsidR="004C4268" w:rsidRPr="00DB3AA2">
        <w:rPr>
          <w:rFonts w:ascii="Times New Roman" w:hAnsi="Times New Roman"/>
          <w:i/>
          <w:iCs/>
        </w:rPr>
        <w:t>Bato</w:t>
      </w:r>
      <w:proofErr w:type="spellEnd"/>
      <w:r w:rsidR="004C4268" w:rsidRPr="00DB3AA2">
        <w:rPr>
          <w:rFonts w:ascii="Times New Roman" w:hAnsi="Times New Roman"/>
          <w:i/>
          <w:iCs/>
        </w:rPr>
        <w:t xml:space="preserve"> Star Fishing (Pty) Ltd v Minister of Environmental Affairs and Tourism </w:t>
      </w:r>
      <w:r w:rsidR="004C4268" w:rsidRPr="00DB3AA2">
        <w:rPr>
          <w:rFonts w:ascii="Times New Roman" w:hAnsi="Times New Roman"/>
        </w:rPr>
        <w:t xml:space="preserve">2004 (4) SA 490 (CC) at paras 26-7, </w:t>
      </w:r>
      <w:proofErr w:type="spellStart"/>
      <w:r w:rsidR="004C4268" w:rsidRPr="00DB3AA2">
        <w:rPr>
          <w:rFonts w:ascii="Times New Roman" w:hAnsi="Times New Roman"/>
        </w:rPr>
        <w:t>O’Regan</w:t>
      </w:r>
      <w:proofErr w:type="spellEnd"/>
      <w:r w:rsidR="004C4268" w:rsidRPr="00DB3AA2">
        <w:rPr>
          <w:rFonts w:ascii="Times New Roman" w:hAnsi="Times New Roman"/>
        </w:rPr>
        <w:t xml:space="preserve"> J applied a </w:t>
      </w:r>
      <w:r w:rsidR="0093733E" w:rsidRPr="00DB3AA2">
        <w:rPr>
          <w:rFonts w:ascii="Times New Roman" w:hAnsi="Times New Roman"/>
        </w:rPr>
        <w:t xml:space="preserve">species of this </w:t>
      </w:r>
      <w:r w:rsidR="005B5606" w:rsidRPr="00DB3AA2">
        <w:rPr>
          <w:rFonts w:ascii="Times New Roman" w:hAnsi="Times New Roman"/>
        </w:rPr>
        <w:t xml:space="preserve">latter </w:t>
      </w:r>
      <w:r w:rsidR="0093733E" w:rsidRPr="00DB3AA2">
        <w:rPr>
          <w:rFonts w:ascii="Times New Roman" w:hAnsi="Times New Roman"/>
        </w:rPr>
        <w:t xml:space="preserve">principle when she held that the failure of a litigant to plead reliance on specific provisions of the Promotion of Administrative Justice Act 3 of 2000 </w:t>
      </w:r>
      <w:r w:rsidR="001F3FEA" w:rsidRPr="00DB3AA2">
        <w:rPr>
          <w:rFonts w:ascii="Times New Roman" w:hAnsi="Times New Roman"/>
        </w:rPr>
        <w:t>(</w:t>
      </w:r>
      <w:r w:rsidR="00553837" w:rsidRPr="00DB3AA2">
        <w:rPr>
          <w:rFonts w:ascii="Times New Roman" w:hAnsi="Times New Roman"/>
        </w:rPr>
        <w:t>“</w:t>
      </w:r>
      <w:r w:rsidR="001F3FEA" w:rsidRPr="00DB3AA2">
        <w:rPr>
          <w:rFonts w:ascii="Times New Roman" w:hAnsi="Times New Roman"/>
        </w:rPr>
        <w:t>PAJA</w:t>
      </w:r>
      <w:r w:rsidR="00553837" w:rsidRPr="00DB3AA2">
        <w:rPr>
          <w:rFonts w:ascii="Times New Roman" w:hAnsi="Times New Roman"/>
        </w:rPr>
        <w:t>”</w:t>
      </w:r>
      <w:r w:rsidR="001F3FEA" w:rsidRPr="00DB3AA2">
        <w:rPr>
          <w:rFonts w:ascii="Times New Roman" w:hAnsi="Times New Roman"/>
        </w:rPr>
        <w:t xml:space="preserve">) </w:t>
      </w:r>
      <w:r w:rsidR="0093733E" w:rsidRPr="00DB3AA2">
        <w:rPr>
          <w:rFonts w:ascii="Times New Roman" w:hAnsi="Times New Roman"/>
        </w:rPr>
        <w:t xml:space="preserve">was not fatal to </w:t>
      </w:r>
      <w:r w:rsidR="00066233" w:rsidRPr="00DB3AA2">
        <w:rPr>
          <w:rFonts w:ascii="Times New Roman" w:hAnsi="Times New Roman"/>
        </w:rPr>
        <w:t>its</w:t>
      </w:r>
      <w:r w:rsidR="0093733E" w:rsidRPr="00DB3AA2">
        <w:rPr>
          <w:rFonts w:ascii="Times New Roman" w:hAnsi="Times New Roman"/>
        </w:rPr>
        <w:t xml:space="preserve"> case as long as it was “clear </w:t>
      </w:r>
      <w:r w:rsidR="001F3FEA" w:rsidRPr="00DB3AA2">
        <w:rPr>
          <w:rFonts w:ascii="Times New Roman" w:hAnsi="Times New Roman"/>
        </w:rPr>
        <w:t>from the facts alleged by the litigant that [PAJA] is relevant and operative”.</w:t>
      </w:r>
      <w:r w:rsidR="005B5606" w:rsidRPr="00DB3AA2">
        <w:rPr>
          <w:rFonts w:ascii="Times New Roman" w:hAnsi="Times New Roman"/>
        </w:rPr>
        <w:t xml:space="preserve"> In </w:t>
      </w:r>
      <w:r w:rsidR="005B5606" w:rsidRPr="00DB3AA2">
        <w:rPr>
          <w:rFonts w:ascii="Times New Roman" w:hAnsi="Times New Roman"/>
          <w:i/>
          <w:iCs/>
        </w:rPr>
        <w:t>My Vote Counts v Speaker of the National Assembly</w:t>
      </w:r>
      <w:r w:rsidR="004336AE" w:rsidRPr="00DB3AA2">
        <w:rPr>
          <w:rFonts w:ascii="Times New Roman" w:hAnsi="Times New Roman"/>
        </w:rPr>
        <w:t xml:space="preserve"> 2016 (1) SA 132 (CC) at para 177, the Constitutional Court held that a litigant should make out its case in its founding affidavit </w:t>
      </w:r>
      <w:r w:rsidR="00E64B6F" w:rsidRPr="00DB3AA2">
        <w:rPr>
          <w:rFonts w:ascii="Times New Roman" w:hAnsi="Times New Roman"/>
        </w:rPr>
        <w:t>“and certainly not belatedly in argument”.</w:t>
      </w:r>
      <w:r w:rsidR="00EE411C" w:rsidRPr="00DB3AA2">
        <w:rPr>
          <w:rFonts w:ascii="Times New Roman" w:hAnsi="Times New Roman"/>
        </w:rPr>
        <w:t xml:space="preserve"> But it then referred to an exception which was </w:t>
      </w:r>
      <w:r w:rsidR="00367F79" w:rsidRPr="00DB3AA2">
        <w:rPr>
          <w:rFonts w:ascii="Times New Roman" w:hAnsi="Times New Roman"/>
        </w:rPr>
        <w:t>that:</w:t>
      </w:r>
      <w:r w:rsidR="00EE411C" w:rsidRPr="00DB3AA2">
        <w:rPr>
          <w:rFonts w:ascii="Times New Roman" w:hAnsi="Times New Roman"/>
        </w:rPr>
        <w:t xml:space="preserve"> “a point that has not been raised in the affidavits may </w:t>
      </w:r>
      <w:r w:rsidR="007E0C97">
        <w:rPr>
          <w:rFonts w:ascii="Times New Roman" w:hAnsi="Times New Roman"/>
        </w:rPr>
        <w:t>. . .</w:t>
      </w:r>
      <w:r w:rsidR="00EE411C" w:rsidRPr="00DB3AA2">
        <w:rPr>
          <w:rFonts w:ascii="Times New Roman" w:hAnsi="Times New Roman"/>
        </w:rPr>
        <w:t xml:space="preserve"> be argued or determined by a court if it is legal in nature, foreshadowed in the pleaded case</w:t>
      </w:r>
      <w:r w:rsidR="00260988" w:rsidRPr="00DB3AA2">
        <w:rPr>
          <w:rFonts w:ascii="Times New Roman" w:hAnsi="Times New Roman"/>
        </w:rPr>
        <w:t xml:space="preserve"> and does not cause prejudice to the other party”.</w:t>
      </w:r>
    </w:p>
    <w:p w14:paraId="42EDF04B" w14:textId="73F7A059" w:rsidR="00AB4FD9"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50</w:t>
      </w:r>
      <w:r w:rsidRPr="00DB3AA2">
        <w:rPr>
          <w:rFonts w:ascii="Times New Roman" w:hAnsi="Times New Roman"/>
        </w:rPr>
        <w:tab/>
      </w:r>
      <w:r w:rsidR="00A74141" w:rsidRPr="00DB3AA2">
        <w:rPr>
          <w:rFonts w:ascii="Times New Roman" w:hAnsi="Times New Roman"/>
          <w:i/>
          <w:iCs/>
        </w:rPr>
        <w:t xml:space="preserve">Mr </w:t>
      </w:r>
      <w:proofErr w:type="spellStart"/>
      <w:r w:rsidR="00A74141" w:rsidRPr="00DB3AA2">
        <w:rPr>
          <w:rFonts w:ascii="Times New Roman" w:hAnsi="Times New Roman"/>
          <w:i/>
          <w:iCs/>
        </w:rPr>
        <w:t>Hellens</w:t>
      </w:r>
      <w:proofErr w:type="spellEnd"/>
      <w:r w:rsidR="00A74141" w:rsidRPr="00DB3AA2">
        <w:rPr>
          <w:rFonts w:ascii="Times New Roman" w:hAnsi="Times New Roman"/>
        </w:rPr>
        <w:t xml:space="preserve"> </w:t>
      </w:r>
      <w:r w:rsidR="004C3155" w:rsidRPr="00DB3AA2">
        <w:rPr>
          <w:rFonts w:ascii="Times New Roman" w:hAnsi="Times New Roman"/>
        </w:rPr>
        <w:t xml:space="preserve">advanced the incumbent-director submission for the first time at </w:t>
      </w:r>
      <w:r w:rsidR="00A74141" w:rsidRPr="00DB3AA2">
        <w:rPr>
          <w:rFonts w:ascii="Times New Roman" w:hAnsi="Times New Roman"/>
        </w:rPr>
        <w:t>the hearing</w:t>
      </w:r>
      <w:r w:rsidR="00D96700">
        <w:rPr>
          <w:rFonts w:ascii="Times New Roman" w:hAnsi="Times New Roman"/>
        </w:rPr>
        <w:t>.</w:t>
      </w:r>
      <w:r w:rsidR="00A74141" w:rsidRPr="00DB3AA2">
        <w:rPr>
          <w:rFonts w:ascii="Times New Roman" w:hAnsi="Times New Roman"/>
        </w:rPr>
        <w:t xml:space="preserve"> So, the question which has to be addressed is whether </w:t>
      </w:r>
      <w:r w:rsidR="00600F25" w:rsidRPr="00DB3AA2">
        <w:rPr>
          <w:rFonts w:ascii="Times New Roman" w:hAnsi="Times New Roman"/>
        </w:rPr>
        <w:t>Mr Brown is entitled now to rely on this submission on the basis that it is “legal in nature, foreshadowed in the pleaded case and does not cause prejudice to the other party”.</w:t>
      </w:r>
    </w:p>
    <w:p w14:paraId="64AB44F3" w14:textId="2E404DDB" w:rsidR="000F56B7"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51</w:t>
      </w:r>
      <w:r w:rsidRPr="00DB3AA2">
        <w:rPr>
          <w:rFonts w:ascii="Times New Roman" w:hAnsi="Times New Roman"/>
        </w:rPr>
        <w:tab/>
      </w:r>
      <w:r w:rsidR="000F56B7" w:rsidRPr="00DB3AA2">
        <w:rPr>
          <w:rFonts w:ascii="Times New Roman" w:hAnsi="Times New Roman"/>
          <w:i/>
          <w:iCs/>
        </w:rPr>
        <w:t xml:space="preserve">Mr </w:t>
      </w:r>
      <w:proofErr w:type="spellStart"/>
      <w:r w:rsidR="000F56B7" w:rsidRPr="00DB3AA2">
        <w:rPr>
          <w:rFonts w:ascii="Times New Roman" w:hAnsi="Times New Roman"/>
          <w:i/>
          <w:iCs/>
        </w:rPr>
        <w:t>Hellens</w:t>
      </w:r>
      <w:proofErr w:type="spellEnd"/>
      <w:r w:rsidR="000F56B7" w:rsidRPr="00DB3AA2">
        <w:rPr>
          <w:rFonts w:ascii="Times New Roman" w:hAnsi="Times New Roman"/>
          <w:i/>
          <w:iCs/>
        </w:rPr>
        <w:t xml:space="preserve"> </w:t>
      </w:r>
      <w:r w:rsidR="000F56B7" w:rsidRPr="00DB3AA2">
        <w:rPr>
          <w:rFonts w:ascii="Times New Roman" w:hAnsi="Times New Roman"/>
        </w:rPr>
        <w:t>submitted that the argument was foreshadowed in the pleaded case because it was pleaded (and indeed, was common cause) that Mr Brown was a director of WK Construction at the time when the Hay file notes were generated.</w:t>
      </w:r>
      <w:r w:rsidR="00F35101" w:rsidRPr="00DB3AA2">
        <w:rPr>
          <w:rFonts w:ascii="Times New Roman" w:hAnsi="Times New Roman"/>
        </w:rPr>
        <w:t xml:space="preserve"> That fact having been established, </w:t>
      </w:r>
      <w:r w:rsidR="00F35101" w:rsidRPr="00D96700">
        <w:rPr>
          <w:rFonts w:ascii="Times New Roman" w:hAnsi="Times New Roman"/>
          <w:i/>
          <w:iCs/>
        </w:rPr>
        <w:t xml:space="preserve">Mr </w:t>
      </w:r>
      <w:proofErr w:type="spellStart"/>
      <w:r w:rsidR="00F35101" w:rsidRPr="00D96700">
        <w:rPr>
          <w:rFonts w:ascii="Times New Roman" w:hAnsi="Times New Roman"/>
          <w:i/>
          <w:iCs/>
        </w:rPr>
        <w:t>Hellens</w:t>
      </w:r>
      <w:proofErr w:type="spellEnd"/>
      <w:r w:rsidR="00F35101" w:rsidRPr="00D96700">
        <w:rPr>
          <w:rFonts w:ascii="Times New Roman" w:hAnsi="Times New Roman"/>
          <w:i/>
          <w:iCs/>
        </w:rPr>
        <w:t>’</w:t>
      </w:r>
      <w:r w:rsidR="00F35101" w:rsidRPr="00DB3AA2">
        <w:rPr>
          <w:rFonts w:ascii="Times New Roman" w:hAnsi="Times New Roman"/>
        </w:rPr>
        <w:t xml:space="preserve"> argument, in essence, is that it is open to him to advance legal </w:t>
      </w:r>
      <w:r w:rsidR="00F35101" w:rsidRPr="00DB3AA2">
        <w:rPr>
          <w:rFonts w:ascii="Times New Roman" w:hAnsi="Times New Roman"/>
        </w:rPr>
        <w:lastRenderedPageBreak/>
        <w:t xml:space="preserve">submissions (such as the submission that Mr Brown would have been entitled </w:t>
      </w:r>
      <w:r w:rsidR="002551DB" w:rsidRPr="00DB3AA2">
        <w:rPr>
          <w:rFonts w:ascii="Times New Roman" w:hAnsi="Times New Roman"/>
        </w:rPr>
        <w:t>to the Hay file notes in 2010 and so they cannot be treated as privileged now) based on this fact.</w:t>
      </w:r>
    </w:p>
    <w:p w14:paraId="588A1737" w14:textId="79C24E3C" w:rsidR="001F02F3"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52</w:t>
      </w:r>
      <w:r w:rsidRPr="00DB3AA2">
        <w:rPr>
          <w:rFonts w:ascii="Times New Roman" w:hAnsi="Times New Roman"/>
        </w:rPr>
        <w:tab/>
      </w:r>
      <w:r w:rsidR="001F02F3" w:rsidRPr="00DB3AA2">
        <w:rPr>
          <w:rFonts w:ascii="Times New Roman" w:hAnsi="Times New Roman"/>
        </w:rPr>
        <w:t>WK Construction, on the other hand, argues that this issue was not pleaded at all.</w:t>
      </w:r>
      <w:r w:rsidR="0003441F" w:rsidRPr="00DB3AA2">
        <w:rPr>
          <w:rFonts w:ascii="Times New Roman" w:hAnsi="Times New Roman"/>
        </w:rPr>
        <w:t xml:space="preserve"> I have touched on this above, when summarising its case as presented in its supplementary submissions. </w:t>
      </w:r>
      <w:r w:rsidR="001E786B" w:rsidRPr="00DB3AA2">
        <w:rPr>
          <w:rFonts w:ascii="Times New Roman" w:hAnsi="Times New Roman"/>
        </w:rPr>
        <w:t>It argues that Mr Brown relied</w:t>
      </w:r>
      <w:r w:rsidR="00EC5C71">
        <w:rPr>
          <w:rFonts w:ascii="Times New Roman" w:hAnsi="Times New Roman"/>
        </w:rPr>
        <w:t>, in the founding affidavit,</w:t>
      </w:r>
      <w:r w:rsidR="001E786B" w:rsidRPr="00DB3AA2">
        <w:rPr>
          <w:rFonts w:ascii="Times New Roman" w:hAnsi="Times New Roman"/>
        </w:rPr>
        <w:t xml:space="preserve"> on the wrong privilege </w:t>
      </w:r>
      <w:r w:rsidR="00B9151F" w:rsidRPr="00DB3AA2">
        <w:rPr>
          <w:rFonts w:ascii="Times New Roman" w:hAnsi="Times New Roman"/>
        </w:rPr>
        <w:t>and the application should be dismissed on that basis</w:t>
      </w:r>
      <w:r w:rsidR="00EC5C71">
        <w:rPr>
          <w:rFonts w:ascii="Times New Roman" w:hAnsi="Times New Roman"/>
        </w:rPr>
        <w:t xml:space="preserve"> alone</w:t>
      </w:r>
      <w:r w:rsidR="00B9151F" w:rsidRPr="00DB3AA2">
        <w:rPr>
          <w:rFonts w:ascii="Times New Roman" w:hAnsi="Times New Roman"/>
        </w:rPr>
        <w:t>.</w:t>
      </w:r>
      <w:r w:rsidR="005479A1" w:rsidRPr="00DB3AA2">
        <w:rPr>
          <w:rFonts w:ascii="Times New Roman" w:hAnsi="Times New Roman"/>
        </w:rPr>
        <w:t xml:space="preserve"> It rejects the notion that Mr Brown is permitted to advance the argument relating to his status as a former director now, having not pleaded it adequately.</w:t>
      </w:r>
    </w:p>
    <w:p w14:paraId="7F829F21" w14:textId="5E36DCD2" w:rsidR="00C52C6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53</w:t>
      </w:r>
      <w:r w:rsidRPr="00DB3AA2">
        <w:rPr>
          <w:rFonts w:ascii="Times New Roman" w:hAnsi="Times New Roman"/>
        </w:rPr>
        <w:tab/>
      </w:r>
      <w:r w:rsidR="00BA5361" w:rsidRPr="00DB3AA2">
        <w:rPr>
          <w:rFonts w:ascii="Times New Roman" w:hAnsi="Times New Roman"/>
        </w:rPr>
        <w:t>In my view, it is not straightforward to determine on which side of the line th</w:t>
      </w:r>
      <w:r w:rsidR="00D71B90" w:rsidRPr="00DB3AA2">
        <w:rPr>
          <w:rFonts w:ascii="Times New Roman" w:hAnsi="Times New Roman"/>
        </w:rPr>
        <w:t>e incumbent-director</w:t>
      </w:r>
      <w:r w:rsidR="00BA5361" w:rsidRPr="00DB3AA2">
        <w:rPr>
          <w:rFonts w:ascii="Times New Roman" w:hAnsi="Times New Roman"/>
        </w:rPr>
        <w:t xml:space="preserve"> argument falls. </w:t>
      </w:r>
      <w:r w:rsidR="007775CB">
        <w:rPr>
          <w:rFonts w:ascii="Times New Roman" w:hAnsi="Times New Roman"/>
        </w:rPr>
        <w:t xml:space="preserve">I have a degree of discomfort in the notion that it is purely a point of law because I can imagine that, at least in some cases, </w:t>
      </w:r>
      <w:r w:rsidR="00107881">
        <w:rPr>
          <w:rFonts w:ascii="Times New Roman" w:hAnsi="Times New Roman"/>
        </w:rPr>
        <w:t xml:space="preserve">further factual information might be relevant to </w:t>
      </w:r>
      <w:r w:rsidR="00520CC5">
        <w:rPr>
          <w:rFonts w:ascii="Times New Roman" w:hAnsi="Times New Roman"/>
        </w:rPr>
        <w:t>resolve the implications, if any, of a party’s status as a former director</w:t>
      </w:r>
      <w:r w:rsidR="00107881">
        <w:rPr>
          <w:rFonts w:ascii="Times New Roman" w:hAnsi="Times New Roman"/>
        </w:rPr>
        <w:t xml:space="preserve">. </w:t>
      </w:r>
      <w:r w:rsidR="008C11BC">
        <w:rPr>
          <w:rFonts w:ascii="Times New Roman" w:hAnsi="Times New Roman"/>
        </w:rPr>
        <w:t>This would imply that the issue would have to be pleaded comprehensively in the founding affidavit, to enable t</w:t>
      </w:r>
      <w:r w:rsidR="003317EA">
        <w:rPr>
          <w:rFonts w:ascii="Times New Roman" w:hAnsi="Times New Roman"/>
        </w:rPr>
        <w:t>he</w:t>
      </w:r>
      <w:r w:rsidR="008C11BC">
        <w:rPr>
          <w:rFonts w:ascii="Times New Roman" w:hAnsi="Times New Roman"/>
        </w:rPr>
        <w:t xml:space="preserve"> respondent to reply to it properly. </w:t>
      </w:r>
      <w:r w:rsidR="00A64C0B">
        <w:rPr>
          <w:rFonts w:ascii="Times New Roman" w:hAnsi="Times New Roman"/>
        </w:rPr>
        <w:t>In any event, it</w:t>
      </w:r>
      <w:r w:rsidR="00B73B4E" w:rsidRPr="00DB3AA2">
        <w:rPr>
          <w:rFonts w:ascii="Times New Roman" w:hAnsi="Times New Roman"/>
        </w:rPr>
        <w:t xml:space="preserve"> is not necessary for me to decide this point, because, in my view, even if Mr Brown is entitled to raise the point now, it does not avail him.</w:t>
      </w:r>
      <w:r w:rsidR="00A64C0B">
        <w:rPr>
          <w:rFonts w:ascii="Times New Roman" w:hAnsi="Times New Roman"/>
        </w:rPr>
        <w:t xml:space="preserve"> I am prepared to assume, therefore, that the issue is simply a question of law which may be advanced despite </w:t>
      </w:r>
      <w:r w:rsidR="007B020E">
        <w:rPr>
          <w:rFonts w:ascii="Times New Roman" w:hAnsi="Times New Roman"/>
        </w:rPr>
        <w:t xml:space="preserve">it </w:t>
      </w:r>
      <w:r w:rsidR="00A64C0B">
        <w:rPr>
          <w:rFonts w:ascii="Times New Roman" w:hAnsi="Times New Roman"/>
        </w:rPr>
        <w:t>not having been pleaded.</w:t>
      </w:r>
    </w:p>
    <w:p w14:paraId="19D9CBE4" w14:textId="76F5B0D8" w:rsidR="008A5414" w:rsidRPr="00DB3AA2" w:rsidRDefault="008A5414" w:rsidP="008A5414">
      <w:pPr>
        <w:pStyle w:val="Heading1"/>
        <w:rPr>
          <w:rFonts w:ascii="Times New Roman" w:hAnsi="Times New Roman"/>
          <w:i/>
          <w:iCs/>
        </w:rPr>
      </w:pPr>
      <w:r w:rsidRPr="00DB3AA2">
        <w:rPr>
          <w:rFonts w:ascii="Times New Roman" w:hAnsi="Times New Roman"/>
          <w:i/>
          <w:iCs/>
        </w:rPr>
        <w:t>Mr Brown’s status as a former director</w:t>
      </w:r>
    </w:p>
    <w:p w14:paraId="2FF4CCAB" w14:textId="0C7777AD" w:rsidR="00B73B4E"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54</w:t>
      </w:r>
      <w:r w:rsidRPr="00DB3AA2">
        <w:rPr>
          <w:rFonts w:ascii="Times New Roman" w:hAnsi="Times New Roman"/>
        </w:rPr>
        <w:tab/>
      </w:r>
      <w:r w:rsidR="00C54E1C" w:rsidRPr="00DB3AA2">
        <w:rPr>
          <w:rFonts w:ascii="Times New Roman" w:hAnsi="Times New Roman"/>
        </w:rPr>
        <w:t>There is rhetorical force in the argument advance</w:t>
      </w:r>
      <w:r w:rsidR="00563865" w:rsidRPr="00DB3AA2">
        <w:rPr>
          <w:rFonts w:ascii="Times New Roman" w:hAnsi="Times New Roman"/>
        </w:rPr>
        <w:t>d on behalf of</w:t>
      </w:r>
      <w:r w:rsidR="00C54E1C" w:rsidRPr="00DB3AA2">
        <w:rPr>
          <w:rFonts w:ascii="Times New Roman" w:hAnsi="Times New Roman"/>
        </w:rPr>
        <w:t xml:space="preserve"> Mr Brown. If privilege is indeed assessed at the time when the document is generated, then it seems persuasive</w:t>
      </w:r>
      <w:r w:rsidR="003B7960" w:rsidRPr="00DB3AA2">
        <w:rPr>
          <w:rFonts w:ascii="Times New Roman" w:hAnsi="Times New Roman"/>
        </w:rPr>
        <w:t xml:space="preserve"> to say that the document</w:t>
      </w:r>
      <w:r w:rsidR="0024566B" w:rsidRPr="00DB3AA2">
        <w:rPr>
          <w:rFonts w:ascii="Times New Roman" w:hAnsi="Times New Roman"/>
        </w:rPr>
        <w:t>s</w:t>
      </w:r>
      <w:r w:rsidR="003B7960" w:rsidRPr="00DB3AA2">
        <w:rPr>
          <w:rFonts w:ascii="Times New Roman" w:hAnsi="Times New Roman"/>
        </w:rPr>
        <w:t xml:space="preserve"> cannot now be privilege</w:t>
      </w:r>
      <w:r w:rsidR="0024566B" w:rsidRPr="00DB3AA2">
        <w:rPr>
          <w:rFonts w:ascii="Times New Roman" w:hAnsi="Times New Roman"/>
        </w:rPr>
        <w:t>d</w:t>
      </w:r>
      <w:r w:rsidR="003B7960" w:rsidRPr="00DB3AA2">
        <w:rPr>
          <w:rFonts w:ascii="Times New Roman" w:hAnsi="Times New Roman"/>
        </w:rPr>
        <w:t xml:space="preserve">. Put differently, if one teleports oneself back to the time when the Hay file notes were </w:t>
      </w:r>
      <w:r w:rsidR="00423764">
        <w:rPr>
          <w:rFonts w:ascii="Times New Roman" w:hAnsi="Times New Roman"/>
        </w:rPr>
        <w:t>drafted</w:t>
      </w:r>
      <w:r w:rsidR="003B7960" w:rsidRPr="00DB3AA2">
        <w:rPr>
          <w:rFonts w:ascii="Times New Roman" w:hAnsi="Times New Roman"/>
        </w:rPr>
        <w:t xml:space="preserve">, </w:t>
      </w:r>
      <w:r w:rsidR="0048042F" w:rsidRPr="00DB3AA2">
        <w:rPr>
          <w:rFonts w:ascii="Times New Roman" w:hAnsi="Times New Roman"/>
        </w:rPr>
        <w:t xml:space="preserve">it would surely have been </w:t>
      </w:r>
      <w:r w:rsidR="0048042F" w:rsidRPr="00DB3AA2">
        <w:rPr>
          <w:rFonts w:ascii="Times New Roman" w:hAnsi="Times New Roman"/>
        </w:rPr>
        <w:lastRenderedPageBreak/>
        <w:t xml:space="preserve">difficult for Mr </w:t>
      </w:r>
      <w:proofErr w:type="spellStart"/>
      <w:r w:rsidR="0048042F" w:rsidRPr="00DB3AA2">
        <w:rPr>
          <w:rFonts w:ascii="Times New Roman" w:hAnsi="Times New Roman"/>
        </w:rPr>
        <w:t>Kusel</w:t>
      </w:r>
      <w:proofErr w:type="spellEnd"/>
      <w:r w:rsidR="0048042F" w:rsidRPr="00DB3AA2">
        <w:rPr>
          <w:rFonts w:ascii="Times New Roman" w:hAnsi="Times New Roman"/>
        </w:rPr>
        <w:t xml:space="preserve"> to refuse to disclose the document</w:t>
      </w:r>
      <w:r w:rsidR="0024566B" w:rsidRPr="00DB3AA2">
        <w:rPr>
          <w:rFonts w:ascii="Times New Roman" w:hAnsi="Times New Roman"/>
        </w:rPr>
        <w:t>s</w:t>
      </w:r>
      <w:r w:rsidR="0048042F" w:rsidRPr="00DB3AA2">
        <w:rPr>
          <w:rFonts w:ascii="Times New Roman" w:hAnsi="Times New Roman"/>
        </w:rPr>
        <w:t xml:space="preserve"> to Mr Brown on the basis that he had sought the advice confidentially. It is indeed easy to imagine Mr Brown retorting that </w:t>
      </w:r>
      <w:r w:rsidR="002F5104">
        <w:rPr>
          <w:rFonts w:ascii="Times New Roman" w:hAnsi="Times New Roman"/>
        </w:rPr>
        <w:t xml:space="preserve">(a) the advice was sought by Mr </w:t>
      </w:r>
      <w:proofErr w:type="spellStart"/>
      <w:r w:rsidR="002F5104">
        <w:rPr>
          <w:rFonts w:ascii="Times New Roman" w:hAnsi="Times New Roman"/>
        </w:rPr>
        <w:t>Kusel</w:t>
      </w:r>
      <w:proofErr w:type="spellEnd"/>
      <w:r w:rsidR="002F5104">
        <w:rPr>
          <w:rFonts w:ascii="Times New Roman" w:hAnsi="Times New Roman"/>
        </w:rPr>
        <w:t xml:space="preserve"> as an agent of the company (b) </w:t>
      </w:r>
      <w:r w:rsidR="006D12BD">
        <w:rPr>
          <w:rFonts w:ascii="Times New Roman" w:hAnsi="Times New Roman"/>
        </w:rPr>
        <w:t>Mr Brown,</w:t>
      </w:r>
      <w:r w:rsidR="00D26DBA" w:rsidRPr="00DB3AA2">
        <w:rPr>
          <w:rFonts w:ascii="Times New Roman" w:hAnsi="Times New Roman"/>
        </w:rPr>
        <w:t xml:space="preserve"> too</w:t>
      </w:r>
      <w:r w:rsidR="006D12BD">
        <w:rPr>
          <w:rFonts w:ascii="Times New Roman" w:hAnsi="Times New Roman"/>
        </w:rPr>
        <w:t>,</w:t>
      </w:r>
      <w:r w:rsidR="00D26DBA" w:rsidRPr="00DB3AA2">
        <w:rPr>
          <w:rFonts w:ascii="Times New Roman" w:hAnsi="Times New Roman"/>
        </w:rPr>
        <w:t xml:space="preserve"> owed fiduciary duties to the company and </w:t>
      </w:r>
      <w:r w:rsidR="002F5104">
        <w:rPr>
          <w:rFonts w:ascii="Times New Roman" w:hAnsi="Times New Roman"/>
        </w:rPr>
        <w:t xml:space="preserve">(c) he </w:t>
      </w:r>
      <w:r w:rsidR="00D26DBA" w:rsidRPr="00DB3AA2">
        <w:rPr>
          <w:rFonts w:ascii="Times New Roman" w:hAnsi="Times New Roman"/>
        </w:rPr>
        <w:t xml:space="preserve">was </w:t>
      </w:r>
      <w:r w:rsidR="002F5104">
        <w:rPr>
          <w:rFonts w:ascii="Times New Roman" w:hAnsi="Times New Roman"/>
        </w:rPr>
        <w:t xml:space="preserve">therefore </w:t>
      </w:r>
      <w:r w:rsidR="00D26DBA" w:rsidRPr="00DB3AA2">
        <w:rPr>
          <w:rFonts w:ascii="Times New Roman" w:hAnsi="Times New Roman"/>
        </w:rPr>
        <w:t>entitled to see the advice given by Mr Hay to enable him to discharge those duties.</w:t>
      </w:r>
    </w:p>
    <w:p w14:paraId="6D9E753A" w14:textId="71776556" w:rsidR="00DC2944" w:rsidRDefault="00065B2B" w:rsidP="00065B2B">
      <w:pPr>
        <w:pStyle w:val="WLGLevel1"/>
        <w:numPr>
          <w:ilvl w:val="0"/>
          <w:numId w:val="0"/>
        </w:numPr>
        <w:tabs>
          <w:tab w:val="left" w:pos="567"/>
        </w:tabs>
        <w:ind w:left="562" w:hanging="562"/>
        <w:rPr>
          <w:rFonts w:ascii="Times New Roman" w:hAnsi="Times New Roman"/>
        </w:rPr>
      </w:pPr>
      <w:r>
        <w:rPr>
          <w:rFonts w:ascii="Times New Roman" w:hAnsi="Times New Roman"/>
        </w:rPr>
        <w:t>55</w:t>
      </w:r>
      <w:r>
        <w:rPr>
          <w:rFonts w:ascii="Times New Roman" w:hAnsi="Times New Roman"/>
        </w:rPr>
        <w:tab/>
      </w:r>
      <w:r w:rsidR="00D26DBA" w:rsidRPr="00DB3AA2">
        <w:rPr>
          <w:rFonts w:ascii="Times New Roman" w:hAnsi="Times New Roman"/>
        </w:rPr>
        <w:t xml:space="preserve">However, as </w:t>
      </w:r>
      <w:r w:rsidR="006B0273">
        <w:rPr>
          <w:rFonts w:ascii="Times New Roman" w:hAnsi="Times New Roman"/>
        </w:rPr>
        <w:t xml:space="preserve">both of </w:t>
      </w:r>
      <w:r w:rsidR="00D26DBA" w:rsidRPr="00DB3AA2">
        <w:rPr>
          <w:rFonts w:ascii="Times New Roman" w:hAnsi="Times New Roman"/>
        </w:rPr>
        <w:t>the parties recognised in the supplementary submissions which they helpfully provided to me, this is an undeveloped area of our law of privilege. I conducted my own independent research and could not find case-law on this point.</w:t>
      </w:r>
      <w:r w:rsidR="00F53612">
        <w:rPr>
          <w:rFonts w:ascii="Times New Roman" w:hAnsi="Times New Roman"/>
        </w:rPr>
        <w:t xml:space="preserve"> The issue arose in the Australian cases drawn to my attention by WK Construction. </w:t>
      </w:r>
      <w:r w:rsidR="00D954FD">
        <w:rPr>
          <w:rFonts w:ascii="Times New Roman" w:hAnsi="Times New Roman"/>
        </w:rPr>
        <w:t xml:space="preserve">In </w:t>
      </w:r>
      <w:r w:rsidR="00D954FD" w:rsidRPr="00DB3AA2">
        <w:rPr>
          <w:rFonts w:ascii="Times New Roman" w:hAnsi="Times New Roman"/>
          <w:i/>
          <w:iCs/>
        </w:rPr>
        <w:t xml:space="preserve">Hammond v </w:t>
      </w:r>
      <w:proofErr w:type="spellStart"/>
      <w:r w:rsidR="00D954FD" w:rsidRPr="00DB3AA2">
        <w:rPr>
          <w:rFonts w:ascii="Times New Roman" w:hAnsi="Times New Roman"/>
          <w:i/>
          <w:iCs/>
        </w:rPr>
        <w:t>Quayeyeware</w:t>
      </w:r>
      <w:proofErr w:type="spellEnd"/>
      <w:r w:rsidR="00D954FD" w:rsidRPr="00DB3AA2">
        <w:rPr>
          <w:rFonts w:ascii="Times New Roman" w:hAnsi="Times New Roman"/>
        </w:rPr>
        <w:t xml:space="preserve"> [2021] FCA 293</w:t>
      </w:r>
      <w:r w:rsidR="00D954FD">
        <w:rPr>
          <w:rFonts w:ascii="Times New Roman" w:hAnsi="Times New Roman"/>
        </w:rPr>
        <w:t xml:space="preserve"> (“</w:t>
      </w:r>
      <w:r w:rsidR="00D954FD" w:rsidRPr="002A3CCA">
        <w:rPr>
          <w:rFonts w:ascii="Times New Roman" w:hAnsi="Times New Roman"/>
          <w:i/>
          <w:iCs/>
        </w:rPr>
        <w:t>Hammond</w:t>
      </w:r>
      <w:r w:rsidR="00D954FD">
        <w:rPr>
          <w:rFonts w:ascii="Times New Roman" w:hAnsi="Times New Roman"/>
        </w:rPr>
        <w:t>”),</w:t>
      </w:r>
      <w:r w:rsidR="009C7EEC">
        <w:rPr>
          <w:rFonts w:ascii="Times New Roman" w:hAnsi="Times New Roman"/>
        </w:rPr>
        <w:t xml:space="preserve"> </w:t>
      </w:r>
      <w:r w:rsidR="0010319E">
        <w:rPr>
          <w:rFonts w:ascii="Times New Roman" w:hAnsi="Times New Roman"/>
        </w:rPr>
        <w:t>the court</w:t>
      </w:r>
      <w:r w:rsidR="009C7EEC">
        <w:rPr>
          <w:rFonts w:ascii="Times New Roman" w:hAnsi="Times New Roman"/>
        </w:rPr>
        <w:t xml:space="preserve"> referred to a proposition advanced, and rejected, in</w:t>
      </w:r>
      <w:r w:rsidR="008F1A6D">
        <w:rPr>
          <w:rFonts w:ascii="Times New Roman" w:hAnsi="Times New Roman"/>
        </w:rPr>
        <w:t xml:space="preserve"> the main judgment of Olsson J in</w:t>
      </w:r>
      <w:r w:rsidR="00D954FD">
        <w:rPr>
          <w:rFonts w:ascii="Times New Roman" w:hAnsi="Times New Roman"/>
        </w:rPr>
        <w:t xml:space="preserve"> </w:t>
      </w:r>
      <w:r w:rsidR="009C7EEC" w:rsidRPr="000C0AD2">
        <w:rPr>
          <w:rFonts w:ascii="Times New Roman" w:hAnsi="Times New Roman"/>
          <w:i/>
          <w:iCs/>
        </w:rPr>
        <w:t>State of South Australia v Barrett</w:t>
      </w:r>
      <w:r w:rsidR="009C7EEC" w:rsidRPr="00DB3AA2">
        <w:rPr>
          <w:rFonts w:ascii="Times New Roman" w:hAnsi="Times New Roman"/>
        </w:rPr>
        <w:t xml:space="preserve"> (a decision of the Supreme Court of South Australia dated 27 April 1995 and reported in (1995) 64 SASR 73</w:t>
      </w:r>
      <w:r w:rsidR="00015423">
        <w:rPr>
          <w:rFonts w:ascii="Times New Roman" w:hAnsi="Times New Roman"/>
        </w:rPr>
        <w:t xml:space="preserve"> (“</w:t>
      </w:r>
      <w:r w:rsidR="00015423" w:rsidRPr="00015423">
        <w:rPr>
          <w:rFonts w:ascii="Times New Roman" w:hAnsi="Times New Roman"/>
          <w:i/>
          <w:iCs/>
        </w:rPr>
        <w:t>Barrett</w:t>
      </w:r>
      <w:r w:rsidR="00015423">
        <w:rPr>
          <w:rFonts w:ascii="Times New Roman" w:hAnsi="Times New Roman"/>
        </w:rPr>
        <w:t>”)</w:t>
      </w:r>
      <w:r w:rsidR="009C7EEC" w:rsidRPr="00DB3AA2">
        <w:rPr>
          <w:rFonts w:ascii="Times New Roman" w:hAnsi="Times New Roman"/>
        </w:rPr>
        <w:t>)</w:t>
      </w:r>
      <w:r w:rsidR="00D26DBA" w:rsidRPr="00DB3AA2">
        <w:rPr>
          <w:rFonts w:ascii="Times New Roman" w:hAnsi="Times New Roman"/>
        </w:rPr>
        <w:t xml:space="preserve"> </w:t>
      </w:r>
      <w:r w:rsidR="009C7EEC">
        <w:rPr>
          <w:rFonts w:ascii="Times New Roman" w:hAnsi="Times New Roman"/>
        </w:rPr>
        <w:t xml:space="preserve">to the effect that </w:t>
      </w:r>
      <w:r w:rsidR="00D933DF">
        <w:rPr>
          <w:rFonts w:ascii="Times New Roman" w:hAnsi="Times New Roman"/>
        </w:rPr>
        <w:t xml:space="preserve">“where privilege exists, it arises at the point of bringing the </w:t>
      </w:r>
      <w:r w:rsidR="00C131A4">
        <w:rPr>
          <w:rFonts w:ascii="Times New Roman" w:hAnsi="Times New Roman"/>
        </w:rPr>
        <w:t xml:space="preserve">relevant document into existence”. </w:t>
      </w:r>
      <w:r w:rsidR="00376F0B">
        <w:rPr>
          <w:rFonts w:ascii="Times New Roman" w:hAnsi="Times New Roman"/>
        </w:rPr>
        <w:t xml:space="preserve">Olsson J was doubtful as to whether that principle applied in the way in which it had been framed by the parties seeking access to documents in that case. </w:t>
      </w:r>
      <w:proofErr w:type="spellStart"/>
      <w:r w:rsidR="00CB333A">
        <w:rPr>
          <w:rFonts w:ascii="Times New Roman" w:hAnsi="Times New Roman"/>
        </w:rPr>
        <w:t>Mullighan</w:t>
      </w:r>
      <w:proofErr w:type="spellEnd"/>
      <w:r w:rsidR="00CB333A">
        <w:rPr>
          <w:rFonts w:ascii="Times New Roman" w:hAnsi="Times New Roman"/>
        </w:rPr>
        <w:t xml:space="preserve"> J</w:t>
      </w:r>
      <w:r w:rsidR="00DC2944">
        <w:rPr>
          <w:rFonts w:ascii="Times New Roman" w:hAnsi="Times New Roman"/>
        </w:rPr>
        <w:t>, writing a concurring opinion, expressed himself in this way:</w:t>
      </w:r>
    </w:p>
    <w:p w14:paraId="11F500BF" w14:textId="10C892DA" w:rsidR="00DC2944" w:rsidRPr="001037CE" w:rsidRDefault="00DC2944" w:rsidP="001037CE">
      <w:pPr>
        <w:pStyle w:val="BodyTextIndent"/>
        <w:spacing w:line="240" w:lineRule="auto"/>
        <w:ind w:left="1134"/>
        <w:rPr>
          <w:rFonts w:ascii="Times New Roman" w:hAnsi="Times New Roman"/>
        </w:rPr>
      </w:pPr>
      <w:r w:rsidRPr="001037CE">
        <w:rPr>
          <w:rFonts w:ascii="Times New Roman" w:hAnsi="Times New Roman"/>
        </w:rPr>
        <w:t xml:space="preserve">“It seems clear that the learned Judge [a reference to the court below] accepted the contention that the directors of the Bank and the Bank were, in effect, one and the same at the time when the documents came into existence and as the privilege arose at that time, it could not </w:t>
      </w:r>
      <w:r w:rsidR="00836AF6" w:rsidRPr="001037CE">
        <w:rPr>
          <w:rFonts w:ascii="Times New Roman" w:hAnsi="Times New Roman"/>
        </w:rPr>
        <w:t xml:space="preserve">extend to them. This approach does not accord with relevant principle. The directors of the Bank and the Bank are not one and the same. A corporation is a legal entity separate and distinct from its members and officers. . . </w:t>
      </w:r>
      <w:r w:rsidR="00F17334" w:rsidRPr="001037CE">
        <w:rPr>
          <w:rFonts w:ascii="Times New Roman" w:hAnsi="Times New Roman"/>
        </w:rPr>
        <w:t>The privilege is that of the Bank and not of the directors of the Bank as individuals.”</w:t>
      </w:r>
    </w:p>
    <w:p w14:paraId="3901A438" w14:textId="03D730CA" w:rsidR="00487DB6" w:rsidRDefault="00065B2B" w:rsidP="00065B2B">
      <w:pPr>
        <w:pStyle w:val="WLGLevel1"/>
        <w:numPr>
          <w:ilvl w:val="0"/>
          <w:numId w:val="0"/>
        </w:numPr>
        <w:tabs>
          <w:tab w:val="left" w:pos="567"/>
        </w:tabs>
        <w:ind w:left="562" w:hanging="562"/>
        <w:rPr>
          <w:rFonts w:ascii="Times New Roman" w:hAnsi="Times New Roman"/>
        </w:rPr>
      </w:pPr>
      <w:r>
        <w:rPr>
          <w:rFonts w:ascii="Times New Roman" w:hAnsi="Times New Roman"/>
        </w:rPr>
        <w:t>56</w:t>
      </w:r>
      <w:r>
        <w:rPr>
          <w:rFonts w:ascii="Times New Roman" w:hAnsi="Times New Roman"/>
        </w:rPr>
        <w:tab/>
      </w:r>
      <w:r w:rsidR="00C131A4">
        <w:rPr>
          <w:rFonts w:ascii="Times New Roman" w:hAnsi="Times New Roman"/>
        </w:rPr>
        <w:t>In</w:t>
      </w:r>
      <w:r w:rsidR="00840BAB">
        <w:rPr>
          <w:rFonts w:ascii="Times New Roman" w:hAnsi="Times New Roman"/>
        </w:rPr>
        <w:t xml:space="preserve"> </w:t>
      </w:r>
      <w:proofErr w:type="spellStart"/>
      <w:r w:rsidR="00015423" w:rsidRPr="00DB3AA2">
        <w:rPr>
          <w:rFonts w:ascii="Times New Roman" w:hAnsi="Times New Roman"/>
          <w:i/>
          <w:iCs/>
        </w:rPr>
        <w:t>Quayeyeware</w:t>
      </w:r>
      <w:proofErr w:type="spellEnd"/>
      <w:r w:rsidR="00015423">
        <w:rPr>
          <w:rFonts w:ascii="Times New Roman" w:hAnsi="Times New Roman"/>
          <w:i/>
          <w:iCs/>
        </w:rPr>
        <w:t xml:space="preserve">, </w:t>
      </w:r>
      <w:r w:rsidR="00EA2081" w:rsidRPr="00EA2081">
        <w:rPr>
          <w:rFonts w:ascii="Times New Roman" w:hAnsi="Times New Roman"/>
        </w:rPr>
        <w:t>the Court (see paragraph 218) seems to have assumed that there is no inflexible rule, one way or the other, as to when the privilege is to be assessed.</w:t>
      </w:r>
    </w:p>
    <w:p w14:paraId="3525E81B" w14:textId="5B8E797A" w:rsidR="00D26DB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lastRenderedPageBreak/>
        <w:t>57</w:t>
      </w:r>
      <w:r w:rsidRPr="00DB3AA2">
        <w:rPr>
          <w:rFonts w:ascii="Times New Roman" w:hAnsi="Times New Roman"/>
        </w:rPr>
        <w:tab/>
      </w:r>
      <w:r w:rsidR="00D26DBA" w:rsidRPr="00DB3AA2">
        <w:rPr>
          <w:rFonts w:ascii="Times New Roman" w:hAnsi="Times New Roman"/>
        </w:rPr>
        <w:t>In my view, Mr Brown’s argument is excessively reliant on the notion that privilege is assessed at the time when the document is generated. If that principle applies in South African law</w:t>
      </w:r>
      <w:r w:rsidR="00722E40" w:rsidRPr="00DB3AA2">
        <w:rPr>
          <w:rFonts w:ascii="Times New Roman" w:hAnsi="Times New Roman"/>
        </w:rPr>
        <w:t xml:space="preserve"> at all – and I cannot say with confidence that it does –</w:t>
      </w:r>
      <w:r w:rsidR="00D26DBA" w:rsidRPr="00DB3AA2">
        <w:rPr>
          <w:rFonts w:ascii="Times New Roman" w:hAnsi="Times New Roman"/>
        </w:rPr>
        <w:t xml:space="preserve"> then it certainly cannot operate as an inflexible injunction in all cases. And it certainly cannot be used, in my view, to operate </w:t>
      </w:r>
      <w:r w:rsidR="00822A29" w:rsidRPr="00DB3AA2">
        <w:rPr>
          <w:rFonts w:ascii="Times New Roman" w:hAnsi="Times New Roman"/>
        </w:rPr>
        <w:t xml:space="preserve">in a way which leads to </w:t>
      </w:r>
      <w:r w:rsidR="00DD64D4">
        <w:rPr>
          <w:rFonts w:ascii="Times New Roman" w:hAnsi="Times New Roman"/>
        </w:rPr>
        <w:t xml:space="preserve">outcomes which are </w:t>
      </w:r>
      <w:r w:rsidR="00822A29" w:rsidRPr="00DB3AA2">
        <w:rPr>
          <w:rFonts w:ascii="Times New Roman" w:hAnsi="Times New Roman"/>
        </w:rPr>
        <w:t>entirely counterintuitive.</w:t>
      </w:r>
    </w:p>
    <w:p w14:paraId="6B7C488F" w14:textId="3D03F302" w:rsidR="00822A29"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58</w:t>
      </w:r>
      <w:r w:rsidRPr="00DB3AA2">
        <w:rPr>
          <w:rFonts w:ascii="Times New Roman" w:hAnsi="Times New Roman"/>
        </w:rPr>
        <w:tab/>
      </w:r>
      <w:r w:rsidR="00822A29" w:rsidRPr="00DB3AA2">
        <w:rPr>
          <w:rFonts w:ascii="Times New Roman" w:hAnsi="Times New Roman"/>
        </w:rPr>
        <w:t xml:space="preserve">Why do I refer to counterintuitive outcomes? </w:t>
      </w:r>
      <w:r w:rsidR="00FC4311" w:rsidRPr="00DB3AA2">
        <w:rPr>
          <w:rFonts w:ascii="Times New Roman" w:hAnsi="Times New Roman"/>
        </w:rPr>
        <w:t>It is because the only reason why Mr Brown gets to advance this argument in the first place is because of his role as a former director. As an individual he had no right to, or interest in, any confidential information generated for the benefit of the company</w:t>
      </w:r>
      <w:r w:rsidR="005F4B45" w:rsidRPr="00DB3AA2">
        <w:rPr>
          <w:rFonts w:ascii="Times New Roman" w:hAnsi="Times New Roman"/>
        </w:rPr>
        <w:t xml:space="preserve">, which (it is trite) has a separate legal personality (see, for example, </w:t>
      </w:r>
      <w:r w:rsidR="005F4B45" w:rsidRPr="00DB3AA2">
        <w:rPr>
          <w:rFonts w:ascii="Times New Roman" w:hAnsi="Times New Roman"/>
          <w:i/>
          <w:iCs/>
        </w:rPr>
        <w:t xml:space="preserve">Cape Pacific Ltd v </w:t>
      </w:r>
      <w:proofErr w:type="spellStart"/>
      <w:r w:rsidR="005F4B45" w:rsidRPr="00DB3AA2">
        <w:rPr>
          <w:rFonts w:ascii="Times New Roman" w:hAnsi="Times New Roman"/>
          <w:i/>
          <w:iCs/>
        </w:rPr>
        <w:t>Lubner</w:t>
      </w:r>
      <w:proofErr w:type="spellEnd"/>
      <w:r w:rsidR="005F4B45" w:rsidRPr="00DB3AA2">
        <w:rPr>
          <w:rFonts w:ascii="Times New Roman" w:hAnsi="Times New Roman"/>
          <w:i/>
          <w:iCs/>
        </w:rPr>
        <w:t xml:space="preserve"> Controlling </w:t>
      </w:r>
      <w:r w:rsidR="006D6B21" w:rsidRPr="00DB3AA2">
        <w:rPr>
          <w:rFonts w:ascii="Times New Roman" w:hAnsi="Times New Roman"/>
          <w:i/>
          <w:iCs/>
        </w:rPr>
        <w:t>Investments (Pty) Ltd</w:t>
      </w:r>
      <w:r w:rsidR="006D6B21" w:rsidRPr="00DB3AA2">
        <w:rPr>
          <w:rFonts w:ascii="Times New Roman" w:hAnsi="Times New Roman"/>
        </w:rPr>
        <w:t xml:space="preserve"> 1995 (4) SA 790 (A) at 803H)</w:t>
      </w:r>
      <w:r w:rsidR="00FC4311" w:rsidRPr="00DB3AA2">
        <w:rPr>
          <w:rFonts w:ascii="Times New Roman" w:hAnsi="Times New Roman"/>
        </w:rPr>
        <w:t>.</w:t>
      </w:r>
      <w:r w:rsidR="0014353F" w:rsidRPr="00DB3AA2">
        <w:rPr>
          <w:rFonts w:ascii="Times New Roman" w:hAnsi="Times New Roman"/>
        </w:rPr>
        <w:t xml:space="preserve"> At the time when he was a director, his entitlement to information or anything else confidential to the company arose only from the fiduciary duties he owed to the company. In that context, it </w:t>
      </w:r>
      <w:r w:rsidR="006F2AE3">
        <w:rPr>
          <w:rFonts w:ascii="Times New Roman" w:hAnsi="Times New Roman"/>
        </w:rPr>
        <w:t xml:space="preserve">would </w:t>
      </w:r>
      <w:r w:rsidR="0014353F" w:rsidRPr="00DB3AA2">
        <w:rPr>
          <w:rFonts w:ascii="Times New Roman" w:hAnsi="Times New Roman"/>
        </w:rPr>
        <w:t xml:space="preserve">strike me as </w:t>
      </w:r>
      <w:r w:rsidR="006F2AE3">
        <w:rPr>
          <w:rFonts w:ascii="Times New Roman" w:hAnsi="Times New Roman"/>
        </w:rPr>
        <w:t>strange</w:t>
      </w:r>
      <w:r w:rsidR="0014353F" w:rsidRPr="00DB3AA2">
        <w:rPr>
          <w:rFonts w:ascii="Times New Roman" w:hAnsi="Times New Roman"/>
        </w:rPr>
        <w:t xml:space="preserve"> for him to be able to insist on access to documents which otherwise would clearly be privileged (which is the premise from which we must proceed</w:t>
      </w:r>
      <w:r w:rsidR="00813912" w:rsidRPr="00DB3AA2">
        <w:rPr>
          <w:rFonts w:ascii="Times New Roman" w:hAnsi="Times New Roman"/>
        </w:rPr>
        <w:t xml:space="preserve"> for the purposes of this leg of the argument)</w:t>
      </w:r>
      <w:r w:rsidR="00A410E6" w:rsidRPr="00DB3AA2">
        <w:rPr>
          <w:rFonts w:ascii="Times New Roman" w:hAnsi="Times New Roman"/>
        </w:rPr>
        <w:t xml:space="preserve"> simply because he would have been entitled to see them when he was a director. The fact of the matter is that he is no longer a director. In his capacity as a former director, he seeks to assert a right which is at odds with the interests of the company. It would be extremely odd if we could use his status as a former director – and the fact that he previously owed fiduciary duties to the company – as a basis for doing so.</w:t>
      </w:r>
    </w:p>
    <w:p w14:paraId="3E8A343E" w14:textId="31E86F56" w:rsidR="00862AD0"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59</w:t>
      </w:r>
      <w:r w:rsidRPr="00DB3AA2">
        <w:rPr>
          <w:rFonts w:ascii="Times New Roman" w:hAnsi="Times New Roman"/>
        </w:rPr>
        <w:tab/>
      </w:r>
      <w:r w:rsidR="00A410E6" w:rsidRPr="00DB3AA2">
        <w:rPr>
          <w:rFonts w:ascii="Times New Roman" w:hAnsi="Times New Roman"/>
        </w:rPr>
        <w:t xml:space="preserve">This is essentially the conclusion reached in the Australian cases on which WK Construction relies. It is not necessary to discuss them in detail. </w:t>
      </w:r>
      <w:r w:rsidR="000967EF" w:rsidRPr="00DB3AA2">
        <w:rPr>
          <w:rFonts w:ascii="Times New Roman" w:hAnsi="Times New Roman"/>
        </w:rPr>
        <w:t>In</w:t>
      </w:r>
      <w:r w:rsidR="00F53612">
        <w:rPr>
          <w:rFonts w:ascii="Times New Roman" w:hAnsi="Times New Roman"/>
        </w:rPr>
        <w:t xml:space="preserve"> </w:t>
      </w:r>
      <w:r w:rsidR="00F53612" w:rsidRPr="00F53612">
        <w:rPr>
          <w:rFonts w:ascii="Times New Roman" w:hAnsi="Times New Roman"/>
          <w:i/>
          <w:iCs/>
        </w:rPr>
        <w:t>Hammond</w:t>
      </w:r>
      <w:r w:rsidR="00475A0A" w:rsidRPr="00DB3AA2">
        <w:rPr>
          <w:rFonts w:ascii="Times New Roman" w:hAnsi="Times New Roman"/>
        </w:rPr>
        <w:t>, a director of a company sought the provision of certain documents in circumstances not dissimilar to the present case</w:t>
      </w:r>
      <w:r w:rsidR="00A410E6" w:rsidRPr="00DB3AA2">
        <w:rPr>
          <w:rFonts w:ascii="Times New Roman" w:hAnsi="Times New Roman"/>
        </w:rPr>
        <w:t>.</w:t>
      </w:r>
      <w:r w:rsidR="00475A0A" w:rsidRPr="00DB3AA2">
        <w:rPr>
          <w:rFonts w:ascii="Times New Roman" w:hAnsi="Times New Roman"/>
        </w:rPr>
        <w:t xml:space="preserve"> One notable, and interesting, difference, is that the </w:t>
      </w:r>
      <w:r w:rsidR="00A245EE" w:rsidRPr="00DB3AA2">
        <w:rPr>
          <w:rFonts w:ascii="Times New Roman" w:hAnsi="Times New Roman"/>
        </w:rPr>
        <w:t xml:space="preserve">party applying for </w:t>
      </w:r>
      <w:r w:rsidR="00A245EE" w:rsidRPr="00DB3AA2">
        <w:rPr>
          <w:rFonts w:ascii="Times New Roman" w:hAnsi="Times New Roman"/>
        </w:rPr>
        <w:lastRenderedPageBreak/>
        <w:t>access to documents which the company considered privileged, remained a director of the company at the time when</w:t>
      </w:r>
      <w:r w:rsidR="00122C84" w:rsidRPr="00DB3AA2">
        <w:rPr>
          <w:rFonts w:ascii="Times New Roman" w:hAnsi="Times New Roman"/>
        </w:rPr>
        <w:t xml:space="preserve"> the application to compel provision of the documentation was brought. Even so, the Court held that </w:t>
      </w:r>
      <w:r w:rsidR="000950B2" w:rsidRPr="00DB3AA2">
        <w:rPr>
          <w:rFonts w:ascii="Times New Roman" w:hAnsi="Times New Roman"/>
        </w:rPr>
        <w:t>“</w:t>
      </w:r>
      <w:r w:rsidR="00C50477" w:rsidRPr="00DB3AA2">
        <w:rPr>
          <w:rFonts w:ascii="Times New Roman" w:hAnsi="Times New Roman"/>
        </w:rPr>
        <w:t>directors’ rights of access, whether statutory or at common law</w:t>
      </w:r>
      <w:r w:rsidR="000950B2" w:rsidRPr="00DB3AA2">
        <w:rPr>
          <w:rFonts w:ascii="Times New Roman" w:hAnsi="Times New Roman"/>
        </w:rPr>
        <w:t>” did not “override or abrogate a company’s right to maintain legal professional privilege immunity against a director in respect of confidential advice to the company relating to a dispute between it and the director”</w:t>
      </w:r>
      <w:r w:rsidR="00793044" w:rsidRPr="00DB3AA2">
        <w:rPr>
          <w:rFonts w:ascii="Times New Roman" w:hAnsi="Times New Roman"/>
        </w:rPr>
        <w:t xml:space="preserve"> (at paragraph 195). </w:t>
      </w:r>
    </w:p>
    <w:p w14:paraId="5781FB5D" w14:textId="2F1E2118" w:rsidR="00A410E6"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60</w:t>
      </w:r>
      <w:r w:rsidRPr="00DB3AA2">
        <w:rPr>
          <w:rFonts w:ascii="Times New Roman" w:hAnsi="Times New Roman"/>
        </w:rPr>
        <w:tab/>
      </w:r>
      <w:r w:rsidR="00793044" w:rsidRPr="00DB3AA2">
        <w:rPr>
          <w:rFonts w:ascii="Times New Roman" w:hAnsi="Times New Roman"/>
        </w:rPr>
        <w:t xml:space="preserve">It is true that in </w:t>
      </w:r>
      <w:r w:rsidR="00793044" w:rsidRPr="00DB3AA2">
        <w:rPr>
          <w:rFonts w:ascii="Times New Roman" w:hAnsi="Times New Roman"/>
          <w:i/>
          <w:iCs/>
        </w:rPr>
        <w:t>Hammond</w:t>
      </w:r>
      <w:r w:rsidR="00793044" w:rsidRPr="00DB3AA2">
        <w:rPr>
          <w:rFonts w:ascii="Times New Roman" w:hAnsi="Times New Roman"/>
        </w:rPr>
        <w:t xml:space="preserve">, the advice in question was generated after the relationship between the company and the director soured. In other words, it was even easier to see how the company, with its separate legal personality and interests adverse to the director, </w:t>
      </w:r>
      <w:r w:rsidR="00E535CB" w:rsidRPr="00DB3AA2">
        <w:rPr>
          <w:rFonts w:ascii="Times New Roman" w:hAnsi="Times New Roman"/>
        </w:rPr>
        <w:t xml:space="preserve">had an interest in asserting the privilege which overrode any right which the director might have had to access the documentation. </w:t>
      </w:r>
      <w:r w:rsidR="00DD085B" w:rsidRPr="00DB3AA2">
        <w:rPr>
          <w:rFonts w:ascii="Times New Roman" w:hAnsi="Times New Roman"/>
        </w:rPr>
        <w:t>But, on the other hand, the director’s status as a current director might arguably have made her claim to access stronger</w:t>
      </w:r>
      <w:r w:rsidR="00404A66" w:rsidRPr="00DB3AA2">
        <w:rPr>
          <w:rFonts w:ascii="Times New Roman" w:hAnsi="Times New Roman"/>
        </w:rPr>
        <w:t>; and, indeed, the dispute arose because of a long-standing fight between the director and the company about her right to access to information in her capacity as the representative of the minority shareholder</w:t>
      </w:r>
      <w:r w:rsidR="00DD085B" w:rsidRPr="00DB3AA2">
        <w:rPr>
          <w:rFonts w:ascii="Times New Roman" w:hAnsi="Times New Roman"/>
        </w:rPr>
        <w:t>. To me, the main issue is th</w:t>
      </w:r>
      <w:r w:rsidR="00634968" w:rsidRPr="00DB3AA2">
        <w:rPr>
          <w:rFonts w:ascii="Times New Roman" w:hAnsi="Times New Roman"/>
        </w:rPr>
        <w:t xml:space="preserve">at any director of a company, whether past or present, only has any entitlement to access confidential information belonging to the company in his or her capacity as an agent of the company. It must follow that, if he or she ceases to be an agent, or </w:t>
      </w:r>
      <w:r w:rsidR="00A310DC" w:rsidRPr="00DB3AA2">
        <w:rPr>
          <w:rFonts w:ascii="Times New Roman" w:hAnsi="Times New Roman"/>
        </w:rPr>
        <w:t xml:space="preserve">finds himself or herself in a position where having access to that document would be adverse to the interests of the company, </w:t>
      </w:r>
      <w:r w:rsidR="00862AD0" w:rsidRPr="00DB3AA2">
        <w:rPr>
          <w:rFonts w:ascii="Times New Roman" w:hAnsi="Times New Roman"/>
        </w:rPr>
        <w:t>the right to access falls away.</w:t>
      </w:r>
      <w:r w:rsidR="004762D6" w:rsidRPr="00DB3AA2">
        <w:rPr>
          <w:rFonts w:ascii="Times New Roman" w:hAnsi="Times New Roman"/>
        </w:rPr>
        <w:t xml:space="preserve"> As the Court put it in</w:t>
      </w:r>
      <w:r w:rsidR="00D954FD">
        <w:rPr>
          <w:rFonts w:ascii="Times New Roman" w:hAnsi="Times New Roman"/>
        </w:rPr>
        <w:t xml:space="preserve"> </w:t>
      </w:r>
      <w:r w:rsidR="00D954FD" w:rsidRPr="00D954FD">
        <w:rPr>
          <w:rFonts w:ascii="Times New Roman" w:hAnsi="Times New Roman"/>
          <w:i/>
          <w:iCs/>
        </w:rPr>
        <w:t>Barrett</w:t>
      </w:r>
      <w:r w:rsidR="00001108" w:rsidRPr="00DB3AA2">
        <w:rPr>
          <w:rFonts w:ascii="Times New Roman" w:hAnsi="Times New Roman"/>
        </w:rPr>
        <w:t>:</w:t>
      </w:r>
    </w:p>
    <w:p w14:paraId="185B0644" w14:textId="428D89D3" w:rsidR="004762D6" w:rsidRPr="00DB3AA2" w:rsidRDefault="004762D6" w:rsidP="00001108">
      <w:pPr>
        <w:pStyle w:val="BodyTextIndent"/>
        <w:spacing w:line="240" w:lineRule="auto"/>
        <w:ind w:left="1134"/>
        <w:rPr>
          <w:rFonts w:ascii="Times New Roman" w:hAnsi="Times New Roman"/>
        </w:rPr>
      </w:pPr>
      <w:r w:rsidRPr="00DB3AA2">
        <w:rPr>
          <w:rFonts w:ascii="Times New Roman" w:hAnsi="Times New Roman"/>
        </w:rPr>
        <w:t>“</w:t>
      </w:r>
      <w:r w:rsidR="00882DFF" w:rsidRPr="00DB3AA2">
        <w:rPr>
          <w:rFonts w:ascii="Times New Roman" w:hAnsi="Times New Roman"/>
        </w:rPr>
        <w:t xml:space="preserve">Once it is acknowledged that the right of a director to inspect documents of a corporation </w:t>
      </w:r>
      <w:r w:rsidR="00942377" w:rsidRPr="00DB3AA2">
        <w:rPr>
          <w:rFonts w:ascii="Times New Roman" w:hAnsi="Times New Roman"/>
        </w:rPr>
        <w:t>is limited in these ways, it may be seen that legal professional privilege may apply against directors. The privilege does not cease to apply merely because the documents came into existence at a time when the directors held that office.</w:t>
      </w:r>
      <w:r w:rsidR="00FE6E26" w:rsidRPr="00DB3AA2">
        <w:rPr>
          <w:rFonts w:ascii="Times New Roman" w:hAnsi="Times New Roman"/>
        </w:rPr>
        <w:t xml:space="preserve"> The privilege will apply when the directors seek inspection in their private or personal capacity. It will extend when they seek </w:t>
      </w:r>
      <w:r w:rsidR="00941BCC" w:rsidRPr="00DB3AA2">
        <w:rPr>
          <w:rFonts w:ascii="Times New Roman" w:hAnsi="Times New Roman"/>
        </w:rPr>
        <w:t>inspection after they have ceased to be directors, subject of course to waiver”.</w:t>
      </w:r>
    </w:p>
    <w:p w14:paraId="4B1C1A61" w14:textId="618B1128" w:rsidR="00A410E6"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lastRenderedPageBreak/>
        <w:t>61</w:t>
      </w:r>
      <w:r w:rsidRPr="00DB3AA2">
        <w:rPr>
          <w:rFonts w:ascii="Times New Roman" w:hAnsi="Times New Roman"/>
        </w:rPr>
        <w:tab/>
      </w:r>
      <w:r w:rsidR="00ED2FA7" w:rsidRPr="00DB3AA2">
        <w:rPr>
          <w:rFonts w:ascii="Times New Roman" w:hAnsi="Times New Roman"/>
        </w:rPr>
        <w:t xml:space="preserve">Although this Court is not bound by the Australian cases, they are in my view a helpful guide to what should be done in a situation like this. Happily, their conclusion accords with logic and principle. I accordingly intend to adopt the same </w:t>
      </w:r>
      <w:r w:rsidR="00014150">
        <w:rPr>
          <w:rFonts w:ascii="Times New Roman" w:hAnsi="Times New Roman"/>
        </w:rPr>
        <w:t>approach</w:t>
      </w:r>
      <w:r w:rsidR="00ED2FA7" w:rsidRPr="00DB3AA2">
        <w:rPr>
          <w:rFonts w:ascii="Times New Roman" w:hAnsi="Times New Roman"/>
        </w:rPr>
        <w:t xml:space="preserve"> and conclude that Mr Brown is not entitled to access the Hay file notes as a result of his status as a former director; and, in particular, the fact that he could in principle have gained access to them at the time when they were generated had he known about them.</w:t>
      </w:r>
    </w:p>
    <w:p w14:paraId="70549240" w14:textId="760CBBBC" w:rsidR="00ED2FA7"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62</w:t>
      </w:r>
      <w:r w:rsidRPr="00DB3AA2">
        <w:rPr>
          <w:rFonts w:ascii="Times New Roman" w:hAnsi="Times New Roman"/>
        </w:rPr>
        <w:tab/>
      </w:r>
      <w:r w:rsidR="00ED2FA7" w:rsidRPr="00DB3AA2">
        <w:rPr>
          <w:rFonts w:ascii="Times New Roman" w:hAnsi="Times New Roman"/>
        </w:rPr>
        <w:t>It therefore becomes necessary to consider the rest of Mr Brown’s arguments, including his suggest</w:t>
      </w:r>
      <w:r w:rsidR="00A202D7" w:rsidRPr="00DB3AA2">
        <w:rPr>
          <w:rFonts w:ascii="Times New Roman" w:hAnsi="Times New Roman"/>
        </w:rPr>
        <w:t>ion</w:t>
      </w:r>
      <w:r w:rsidR="00ED2FA7" w:rsidRPr="00DB3AA2">
        <w:rPr>
          <w:rFonts w:ascii="Times New Roman" w:hAnsi="Times New Roman"/>
        </w:rPr>
        <w:t xml:space="preserve"> that I should order a judicial peek of the Hay file notes.</w:t>
      </w:r>
    </w:p>
    <w:p w14:paraId="6ADB163B" w14:textId="52944413" w:rsidR="00B422BA" w:rsidRPr="00DB3AA2" w:rsidRDefault="00B422BA" w:rsidP="00B422BA">
      <w:pPr>
        <w:pStyle w:val="Heading1"/>
        <w:rPr>
          <w:rFonts w:ascii="Times New Roman" w:hAnsi="Times New Roman"/>
          <w:i/>
          <w:iCs/>
        </w:rPr>
      </w:pPr>
      <w:r w:rsidRPr="00DB3AA2">
        <w:rPr>
          <w:rFonts w:ascii="Times New Roman" w:hAnsi="Times New Roman"/>
          <w:i/>
          <w:iCs/>
        </w:rPr>
        <w:t xml:space="preserve">The decision of </w:t>
      </w:r>
      <w:proofErr w:type="spellStart"/>
      <w:r w:rsidRPr="00DB3AA2">
        <w:rPr>
          <w:rFonts w:ascii="Times New Roman" w:hAnsi="Times New Roman"/>
          <w:i/>
          <w:iCs/>
        </w:rPr>
        <w:t>Binns</w:t>
      </w:r>
      <w:proofErr w:type="spellEnd"/>
      <w:r w:rsidRPr="00DB3AA2">
        <w:rPr>
          <w:rFonts w:ascii="Times New Roman" w:hAnsi="Times New Roman"/>
          <w:i/>
          <w:iCs/>
        </w:rPr>
        <w:t xml:space="preserve">-Ward J in </w:t>
      </w:r>
      <w:r w:rsidRPr="00DB3AA2">
        <w:rPr>
          <w:rFonts w:ascii="Times New Roman" w:hAnsi="Times New Roman"/>
        </w:rPr>
        <w:t>A Company</w:t>
      </w:r>
      <w:r w:rsidRPr="00DB3AA2">
        <w:rPr>
          <w:rFonts w:ascii="Times New Roman" w:hAnsi="Times New Roman"/>
          <w:i/>
          <w:iCs/>
        </w:rPr>
        <w:t xml:space="preserve"> </w:t>
      </w:r>
    </w:p>
    <w:p w14:paraId="6CDC05C1" w14:textId="7B22831C" w:rsidR="00002A7C"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63</w:t>
      </w:r>
      <w:r w:rsidRPr="00DB3AA2">
        <w:rPr>
          <w:rFonts w:ascii="Times New Roman" w:hAnsi="Times New Roman"/>
        </w:rPr>
        <w:tab/>
      </w:r>
      <w:r w:rsidR="00EE5D62" w:rsidRPr="00DB3AA2">
        <w:rPr>
          <w:rFonts w:ascii="Times New Roman" w:hAnsi="Times New Roman"/>
        </w:rPr>
        <w:t>As noted above, one of Mr Brown’s ma</w:t>
      </w:r>
      <w:r w:rsidR="007F6CA5" w:rsidRPr="00DB3AA2">
        <w:rPr>
          <w:rFonts w:ascii="Times New Roman" w:hAnsi="Times New Roman"/>
        </w:rPr>
        <w:t xml:space="preserve">in </w:t>
      </w:r>
      <w:r w:rsidR="00EE5D62" w:rsidRPr="00DB3AA2">
        <w:rPr>
          <w:rFonts w:ascii="Times New Roman" w:hAnsi="Times New Roman"/>
        </w:rPr>
        <w:t>contentions is that there is insufficient evidence on the papers as they stand for me to conclude with confidence that the Hay file notes are privileged.</w:t>
      </w:r>
      <w:r w:rsidR="00E34162" w:rsidRPr="00DB3AA2">
        <w:rPr>
          <w:rFonts w:ascii="Times New Roman" w:hAnsi="Times New Roman"/>
        </w:rPr>
        <w:t xml:space="preserve"> This should lead me either to grant the application </w:t>
      </w:r>
      <w:r w:rsidR="00870524" w:rsidRPr="00DB3AA2">
        <w:rPr>
          <w:rFonts w:ascii="Times New Roman" w:hAnsi="Times New Roman"/>
        </w:rPr>
        <w:t xml:space="preserve">(on the basis that WK Construction has not adequately </w:t>
      </w:r>
      <w:r w:rsidR="00663F15" w:rsidRPr="00DB3AA2">
        <w:rPr>
          <w:rFonts w:ascii="Times New Roman" w:hAnsi="Times New Roman"/>
        </w:rPr>
        <w:t xml:space="preserve">substantiated its claim of privilege) </w:t>
      </w:r>
      <w:r w:rsidR="00E34162" w:rsidRPr="00DB3AA2">
        <w:rPr>
          <w:rFonts w:ascii="Times New Roman" w:hAnsi="Times New Roman"/>
        </w:rPr>
        <w:t>or to order a judicial pe</w:t>
      </w:r>
      <w:r w:rsidR="00870524" w:rsidRPr="00DB3AA2">
        <w:rPr>
          <w:rFonts w:ascii="Times New Roman" w:hAnsi="Times New Roman"/>
        </w:rPr>
        <w:t>e</w:t>
      </w:r>
      <w:r w:rsidR="00E34162" w:rsidRPr="00DB3AA2">
        <w:rPr>
          <w:rFonts w:ascii="Times New Roman" w:hAnsi="Times New Roman"/>
        </w:rPr>
        <w:t>k so that this Court (either through me, or the judge presiding over the trial) may determine the nature of the notes.</w:t>
      </w:r>
      <w:r w:rsidR="00002A7C" w:rsidRPr="00DB3AA2">
        <w:rPr>
          <w:rFonts w:ascii="Times New Roman" w:hAnsi="Times New Roman"/>
        </w:rPr>
        <w:t xml:space="preserve"> For this proposition, reliance is placed on the decision of </w:t>
      </w:r>
      <w:proofErr w:type="spellStart"/>
      <w:r w:rsidR="00002A7C" w:rsidRPr="00DB3AA2">
        <w:rPr>
          <w:rFonts w:ascii="Times New Roman" w:hAnsi="Times New Roman"/>
        </w:rPr>
        <w:t>Binns</w:t>
      </w:r>
      <w:proofErr w:type="spellEnd"/>
      <w:r w:rsidR="00002A7C" w:rsidRPr="00DB3AA2">
        <w:rPr>
          <w:rFonts w:ascii="Times New Roman" w:hAnsi="Times New Roman"/>
        </w:rPr>
        <w:t xml:space="preserve">-Ward J in </w:t>
      </w:r>
      <w:r w:rsidR="00A80AD8" w:rsidRPr="00DB3AA2">
        <w:rPr>
          <w:rFonts w:ascii="Times New Roman" w:hAnsi="Times New Roman"/>
          <w:i/>
          <w:iCs/>
        </w:rPr>
        <w:t>A Company</w:t>
      </w:r>
      <w:r w:rsidR="00002A7C" w:rsidRPr="00DB3AA2">
        <w:rPr>
          <w:rFonts w:ascii="Times New Roman" w:hAnsi="Times New Roman"/>
        </w:rPr>
        <w:t>.</w:t>
      </w:r>
    </w:p>
    <w:p w14:paraId="4E953400" w14:textId="196CB9D9" w:rsidR="00E270A2"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64</w:t>
      </w:r>
      <w:r w:rsidRPr="00DB3AA2">
        <w:rPr>
          <w:rFonts w:ascii="Times New Roman" w:hAnsi="Times New Roman"/>
        </w:rPr>
        <w:tab/>
      </w:r>
      <w:r w:rsidR="00024045" w:rsidRPr="00DB3AA2">
        <w:rPr>
          <w:rFonts w:ascii="Times New Roman" w:hAnsi="Times New Roman"/>
        </w:rPr>
        <w:t xml:space="preserve">The issue in </w:t>
      </w:r>
      <w:r w:rsidR="00024045" w:rsidRPr="00DB3AA2">
        <w:rPr>
          <w:rFonts w:ascii="Times New Roman" w:hAnsi="Times New Roman"/>
          <w:i/>
          <w:iCs/>
        </w:rPr>
        <w:t>A Company</w:t>
      </w:r>
      <w:r w:rsidR="00024045" w:rsidRPr="00DB3AA2">
        <w:rPr>
          <w:rFonts w:ascii="Times New Roman" w:hAnsi="Times New Roman"/>
        </w:rPr>
        <w:t xml:space="preserve"> was whether the applicants could assert the privilege over certain invoices issued by their attorneys. Their basis for asserting the privilege </w:t>
      </w:r>
      <w:r w:rsidR="00486002">
        <w:rPr>
          <w:rFonts w:ascii="Times New Roman" w:hAnsi="Times New Roman"/>
        </w:rPr>
        <w:t>was that</w:t>
      </w:r>
      <w:r w:rsidR="00024045" w:rsidRPr="00DB3AA2">
        <w:rPr>
          <w:rFonts w:ascii="Times New Roman" w:hAnsi="Times New Roman"/>
        </w:rPr>
        <w:t xml:space="preserve"> the </w:t>
      </w:r>
      <w:r w:rsidR="00AD32C3" w:rsidRPr="00DB3AA2">
        <w:rPr>
          <w:rFonts w:ascii="Times New Roman" w:hAnsi="Times New Roman"/>
        </w:rPr>
        <w:t>legal advice which had been given by the attorneys</w:t>
      </w:r>
      <w:r w:rsidR="00486002">
        <w:rPr>
          <w:rFonts w:ascii="Times New Roman" w:hAnsi="Times New Roman"/>
        </w:rPr>
        <w:t xml:space="preserve"> could be discerned from reading the invoices</w:t>
      </w:r>
      <w:r w:rsidR="00AD32C3" w:rsidRPr="00DB3AA2">
        <w:rPr>
          <w:rFonts w:ascii="Times New Roman" w:hAnsi="Times New Roman"/>
        </w:rPr>
        <w:t xml:space="preserve">. </w:t>
      </w:r>
      <w:r w:rsidR="00E270A2" w:rsidRPr="00DB3AA2">
        <w:rPr>
          <w:rFonts w:ascii="Times New Roman" w:hAnsi="Times New Roman"/>
        </w:rPr>
        <w:t>The dispute had arisen because the applicant companies had provided the respondent (“SARS”) with redacted versions of the invoices and SARS was not satisfied by that.</w:t>
      </w:r>
    </w:p>
    <w:p w14:paraId="62730D21" w14:textId="5B8BB35C" w:rsidR="002F717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lastRenderedPageBreak/>
        <w:t>65</w:t>
      </w:r>
      <w:r w:rsidRPr="00DB3AA2">
        <w:rPr>
          <w:rFonts w:ascii="Times New Roman" w:hAnsi="Times New Roman"/>
        </w:rPr>
        <w:tab/>
      </w:r>
      <w:r w:rsidR="00E270A2" w:rsidRPr="00DB3AA2">
        <w:rPr>
          <w:rFonts w:ascii="Times New Roman" w:hAnsi="Times New Roman"/>
        </w:rPr>
        <w:t xml:space="preserve">One of the issues </w:t>
      </w:r>
      <w:r w:rsidR="00554D7F">
        <w:rPr>
          <w:rFonts w:ascii="Times New Roman" w:hAnsi="Times New Roman"/>
        </w:rPr>
        <w:t xml:space="preserve">with </w:t>
      </w:r>
      <w:r w:rsidR="00E270A2" w:rsidRPr="00DB3AA2">
        <w:rPr>
          <w:rFonts w:ascii="Times New Roman" w:hAnsi="Times New Roman"/>
        </w:rPr>
        <w:t xml:space="preserve">which </w:t>
      </w:r>
      <w:proofErr w:type="spellStart"/>
      <w:r w:rsidR="00E270A2" w:rsidRPr="00DB3AA2">
        <w:rPr>
          <w:rFonts w:ascii="Times New Roman" w:hAnsi="Times New Roman"/>
        </w:rPr>
        <w:t>Binns</w:t>
      </w:r>
      <w:proofErr w:type="spellEnd"/>
      <w:r w:rsidR="00E270A2" w:rsidRPr="00DB3AA2">
        <w:rPr>
          <w:rFonts w:ascii="Times New Roman" w:hAnsi="Times New Roman"/>
        </w:rPr>
        <w:t>-Ward J dealt during the course of an extremely comprehensive judgment was w</w:t>
      </w:r>
      <w:r w:rsidR="00945A91" w:rsidRPr="00DB3AA2">
        <w:rPr>
          <w:rFonts w:ascii="Times New Roman" w:hAnsi="Times New Roman"/>
        </w:rPr>
        <w:t xml:space="preserve">hether fee notes of attorneys are, in South African law, </w:t>
      </w:r>
      <w:r w:rsidR="003338D0" w:rsidRPr="00DB3AA2">
        <w:rPr>
          <w:rFonts w:ascii="Times New Roman" w:hAnsi="Times New Roman"/>
        </w:rPr>
        <w:t xml:space="preserve">in all cases privileged; </w:t>
      </w:r>
      <w:proofErr w:type="spellStart"/>
      <w:r w:rsidR="003338D0" w:rsidRPr="00DB3AA2">
        <w:rPr>
          <w:rFonts w:ascii="Times New Roman" w:hAnsi="Times New Roman"/>
        </w:rPr>
        <w:t>ie</w:t>
      </w:r>
      <w:proofErr w:type="spellEnd"/>
      <w:r w:rsidR="003338D0" w:rsidRPr="00DB3AA2">
        <w:rPr>
          <w:rFonts w:ascii="Times New Roman" w:hAnsi="Times New Roman"/>
        </w:rPr>
        <w:t xml:space="preserve">, as a blanket rule. </w:t>
      </w:r>
      <w:proofErr w:type="spellStart"/>
      <w:r w:rsidR="003338D0" w:rsidRPr="00DB3AA2">
        <w:rPr>
          <w:rFonts w:ascii="Times New Roman" w:hAnsi="Times New Roman"/>
        </w:rPr>
        <w:t>Binns</w:t>
      </w:r>
      <w:proofErr w:type="spellEnd"/>
      <w:r w:rsidR="003338D0" w:rsidRPr="00DB3AA2">
        <w:rPr>
          <w:rFonts w:ascii="Times New Roman" w:hAnsi="Times New Roman"/>
        </w:rPr>
        <w:t xml:space="preserve">-Ward J considered certain foreign authorities </w:t>
      </w:r>
      <w:r w:rsidR="00F1263F" w:rsidRPr="00DB3AA2">
        <w:rPr>
          <w:rFonts w:ascii="Times New Roman" w:hAnsi="Times New Roman"/>
        </w:rPr>
        <w:t xml:space="preserve">and concluded that, since South African law in this field has historically been premised on English law, it was appropriate to follow the </w:t>
      </w:r>
      <w:r w:rsidR="00F37208" w:rsidRPr="00DB3AA2">
        <w:rPr>
          <w:rFonts w:ascii="Times New Roman" w:hAnsi="Times New Roman"/>
        </w:rPr>
        <w:t xml:space="preserve">reasoning in the </w:t>
      </w:r>
      <w:r w:rsidR="00F1263F" w:rsidRPr="00DB3AA2">
        <w:rPr>
          <w:rFonts w:ascii="Times New Roman" w:hAnsi="Times New Roman"/>
        </w:rPr>
        <w:t xml:space="preserve">English </w:t>
      </w:r>
      <w:r w:rsidR="0031242B" w:rsidRPr="00DB3AA2">
        <w:rPr>
          <w:rFonts w:ascii="Times New Roman" w:hAnsi="Times New Roman"/>
        </w:rPr>
        <w:t>cases</w:t>
      </w:r>
      <w:r w:rsidR="00F1263F" w:rsidRPr="00DB3AA2">
        <w:rPr>
          <w:rFonts w:ascii="Times New Roman" w:hAnsi="Times New Roman"/>
        </w:rPr>
        <w:t xml:space="preserve">. </w:t>
      </w:r>
      <w:r w:rsidR="0031242B" w:rsidRPr="00DB3AA2">
        <w:rPr>
          <w:rFonts w:ascii="Times New Roman" w:hAnsi="Times New Roman"/>
        </w:rPr>
        <w:t xml:space="preserve">Although the position in English law (and New Zealand law, also considered by </w:t>
      </w:r>
      <w:proofErr w:type="spellStart"/>
      <w:r w:rsidR="0031242B" w:rsidRPr="00DB3AA2">
        <w:rPr>
          <w:rFonts w:ascii="Times New Roman" w:hAnsi="Times New Roman"/>
        </w:rPr>
        <w:t>Binns</w:t>
      </w:r>
      <w:proofErr w:type="spellEnd"/>
      <w:r w:rsidR="0031242B" w:rsidRPr="00DB3AA2">
        <w:rPr>
          <w:rFonts w:ascii="Times New Roman" w:hAnsi="Times New Roman"/>
        </w:rPr>
        <w:t xml:space="preserve">-Ward J) was not without complexity, </w:t>
      </w:r>
      <w:r w:rsidR="002C044B" w:rsidRPr="00DB3AA2">
        <w:rPr>
          <w:rFonts w:ascii="Times New Roman" w:hAnsi="Times New Roman"/>
        </w:rPr>
        <w:t xml:space="preserve">various English cases considered by </w:t>
      </w:r>
      <w:proofErr w:type="spellStart"/>
      <w:r w:rsidR="002C044B" w:rsidRPr="00DB3AA2">
        <w:rPr>
          <w:rFonts w:ascii="Times New Roman" w:hAnsi="Times New Roman"/>
        </w:rPr>
        <w:t>Binns</w:t>
      </w:r>
      <w:proofErr w:type="spellEnd"/>
      <w:r w:rsidR="002C044B" w:rsidRPr="00DB3AA2">
        <w:rPr>
          <w:rFonts w:ascii="Times New Roman" w:hAnsi="Times New Roman"/>
        </w:rPr>
        <w:t xml:space="preserve">-Ward J (see, in particular, </w:t>
      </w:r>
      <w:r w:rsidR="002C044B" w:rsidRPr="00DB3AA2">
        <w:rPr>
          <w:rFonts w:ascii="Times New Roman" w:hAnsi="Times New Roman"/>
          <w:i/>
          <w:iCs/>
        </w:rPr>
        <w:t xml:space="preserve">A Company </w:t>
      </w:r>
      <w:r w:rsidR="002448E8" w:rsidRPr="00DB3AA2">
        <w:rPr>
          <w:rFonts w:ascii="Times New Roman" w:hAnsi="Times New Roman"/>
        </w:rPr>
        <w:t xml:space="preserve">at </w:t>
      </w:r>
      <w:r w:rsidR="002C044B" w:rsidRPr="00DB3AA2">
        <w:rPr>
          <w:rFonts w:ascii="Times New Roman" w:hAnsi="Times New Roman"/>
        </w:rPr>
        <w:t>paragraphs 2</w:t>
      </w:r>
      <w:r w:rsidR="002448E8" w:rsidRPr="00DB3AA2">
        <w:rPr>
          <w:rFonts w:ascii="Times New Roman" w:hAnsi="Times New Roman"/>
        </w:rPr>
        <w:t>8</w:t>
      </w:r>
      <w:r w:rsidR="002C044B" w:rsidRPr="00DB3AA2">
        <w:rPr>
          <w:rFonts w:ascii="Times New Roman" w:hAnsi="Times New Roman"/>
        </w:rPr>
        <w:t xml:space="preserve"> to 29)</w:t>
      </w:r>
      <w:r w:rsidR="00F1263F" w:rsidRPr="00DB3AA2">
        <w:rPr>
          <w:rFonts w:ascii="Times New Roman" w:hAnsi="Times New Roman"/>
        </w:rPr>
        <w:t xml:space="preserve">, </w:t>
      </w:r>
      <w:r w:rsidR="0031242B" w:rsidRPr="00DB3AA2">
        <w:rPr>
          <w:rFonts w:ascii="Times New Roman" w:hAnsi="Times New Roman"/>
        </w:rPr>
        <w:t>pointed to the c</w:t>
      </w:r>
      <w:r w:rsidR="009D29DF" w:rsidRPr="00DB3AA2">
        <w:rPr>
          <w:rFonts w:ascii="Times New Roman" w:hAnsi="Times New Roman"/>
        </w:rPr>
        <w:t xml:space="preserve">onclusion that </w:t>
      </w:r>
      <w:r w:rsidR="00F1263F" w:rsidRPr="00DB3AA2">
        <w:rPr>
          <w:rFonts w:ascii="Times New Roman" w:hAnsi="Times New Roman"/>
        </w:rPr>
        <w:t>attorneys’ fee notes are not the subject of a blanket privilege</w:t>
      </w:r>
      <w:r w:rsidR="009D29DF" w:rsidRPr="00DB3AA2">
        <w:rPr>
          <w:rFonts w:ascii="Times New Roman" w:hAnsi="Times New Roman"/>
        </w:rPr>
        <w:t>. This led</w:t>
      </w:r>
      <w:r w:rsidR="00F1263F" w:rsidRPr="00DB3AA2">
        <w:rPr>
          <w:rFonts w:ascii="Times New Roman" w:hAnsi="Times New Roman"/>
        </w:rPr>
        <w:t xml:space="preserve"> </w:t>
      </w:r>
      <w:proofErr w:type="spellStart"/>
      <w:r w:rsidR="00F1263F" w:rsidRPr="00DB3AA2">
        <w:rPr>
          <w:rFonts w:ascii="Times New Roman" w:hAnsi="Times New Roman"/>
        </w:rPr>
        <w:t>Binns</w:t>
      </w:r>
      <w:proofErr w:type="spellEnd"/>
      <w:r w:rsidR="00F1263F" w:rsidRPr="00DB3AA2">
        <w:rPr>
          <w:rFonts w:ascii="Times New Roman" w:hAnsi="Times New Roman"/>
        </w:rPr>
        <w:t xml:space="preserve">-Ward J </w:t>
      </w:r>
      <w:r w:rsidR="009D29DF" w:rsidRPr="00DB3AA2">
        <w:rPr>
          <w:rFonts w:ascii="Times New Roman" w:hAnsi="Times New Roman"/>
        </w:rPr>
        <w:t xml:space="preserve">to </w:t>
      </w:r>
      <w:r w:rsidR="002F717B" w:rsidRPr="00DB3AA2">
        <w:rPr>
          <w:rFonts w:ascii="Times New Roman" w:hAnsi="Times New Roman"/>
        </w:rPr>
        <w:t>conclude that the same applies to South African law</w:t>
      </w:r>
      <w:r w:rsidR="00B8528C" w:rsidRPr="00DB3AA2">
        <w:rPr>
          <w:rFonts w:ascii="Times New Roman" w:hAnsi="Times New Roman"/>
        </w:rPr>
        <w:t>, particularly because this approach was congruent with principle</w:t>
      </w:r>
      <w:r w:rsidR="002F717B" w:rsidRPr="00DB3AA2">
        <w:rPr>
          <w:rFonts w:ascii="Times New Roman" w:hAnsi="Times New Roman"/>
        </w:rPr>
        <w:t xml:space="preserve"> (</w:t>
      </w:r>
      <w:r w:rsidR="002F717B" w:rsidRPr="00DB3AA2">
        <w:rPr>
          <w:rFonts w:ascii="Times New Roman" w:hAnsi="Times New Roman"/>
          <w:i/>
          <w:iCs/>
        </w:rPr>
        <w:t>A Company</w:t>
      </w:r>
      <w:r w:rsidR="002F717B" w:rsidRPr="00DB3AA2">
        <w:rPr>
          <w:rFonts w:ascii="Times New Roman" w:hAnsi="Times New Roman"/>
        </w:rPr>
        <w:t xml:space="preserve"> at para 30).</w:t>
      </w:r>
    </w:p>
    <w:p w14:paraId="4D5393C8" w14:textId="6FD86446" w:rsidR="00B422B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66</w:t>
      </w:r>
      <w:r w:rsidRPr="00DB3AA2">
        <w:rPr>
          <w:rFonts w:ascii="Times New Roman" w:hAnsi="Times New Roman"/>
        </w:rPr>
        <w:tab/>
      </w:r>
      <w:r w:rsidR="00D155B4" w:rsidRPr="00DB3AA2">
        <w:rPr>
          <w:rFonts w:ascii="Times New Roman" w:hAnsi="Times New Roman"/>
        </w:rPr>
        <w:t xml:space="preserve">The fact that there was no blanket rule that attorneys’ fee notes are privileged was not the end of the matter. This was because it was possible that such fee notes </w:t>
      </w:r>
      <w:r w:rsidR="009A4983" w:rsidRPr="00DB3AA2">
        <w:rPr>
          <w:rFonts w:ascii="Times New Roman" w:hAnsi="Times New Roman"/>
        </w:rPr>
        <w:t xml:space="preserve">might “set out the substance of the advice” or contain “sufficient particularity of its </w:t>
      </w:r>
      <w:r w:rsidR="008E427E" w:rsidRPr="00DB3AA2">
        <w:rPr>
          <w:rFonts w:ascii="Times New Roman" w:hAnsi="Times New Roman"/>
        </w:rPr>
        <w:t>substance to constitute secondary evidence of the substance of the advice” (</w:t>
      </w:r>
      <w:r w:rsidR="008E427E" w:rsidRPr="00DB3AA2">
        <w:rPr>
          <w:rFonts w:ascii="Times New Roman" w:hAnsi="Times New Roman"/>
          <w:i/>
          <w:iCs/>
        </w:rPr>
        <w:t>A Company</w:t>
      </w:r>
      <w:r w:rsidR="008E427E" w:rsidRPr="00DB3AA2">
        <w:rPr>
          <w:rFonts w:ascii="Times New Roman" w:hAnsi="Times New Roman"/>
        </w:rPr>
        <w:t xml:space="preserve"> at para 31)). </w:t>
      </w:r>
      <w:r w:rsidR="00523222" w:rsidRPr="00DB3AA2">
        <w:rPr>
          <w:rFonts w:ascii="Times New Roman" w:hAnsi="Times New Roman"/>
        </w:rPr>
        <w:t xml:space="preserve">In other words, even if there was no blanket privilege attached to attorneys’ fee notes, it might be that, on the facts of a particular case, an attorney’s fee note </w:t>
      </w:r>
      <w:r w:rsidR="007A3F54" w:rsidRPr="00DB3AA2">
        <w:rPr>
          <w:rFonts w:ascii="Times New Roman" w:hAnsi="Times New Roman"/>
        </w:rPr>
        <w:t>would contain sufficient evidence of the advice given that its disclosure would entail the disclosure of privileged information.</w:t>
      </w:r>
      <w:r w:rsidR="000E614F" w:rsidRPr="00DB3AA2">
        <w:rPr>
          <w:rFonts w:ascii="Times New Roman" w:hAnsi="Times New Roman"/>
        </w:rPr>
        <w:t xml:space="preserve"> The solution to this problem would be for the party claiming the privilege simply to redact the parts of the fee note reflecting the advice (see </w:t>
      </w:r>
      <w:r w:rsidR="000E614F" w:rsidRPr="00DB3AA2">
        <w:rPr>
          <w:rFonts w:ascii="Times New Roman" w:hAnsi="Times New Roman"/>
          <w:i/>
          <w:iCs/>
        </w:rPr>
        <w:t>A Company</w:t>
      </w:r>
      <w:r w:rsidR="000E614F" w:rsidRPr="00DB3AA2">
        <w:rPr>
          <w:rFonts w:ascii="Times New Roman" w:hAnsi="Times New Roman"/>
        </w:rPr>
        <w:t xml:space="preserve"> </w:t>
      </w:r>
      <w:r w:rsidR="004450BE" w:rsidRPr="00DB3AA2">
        <w:rPr>
          <w:rFonts w:ascii="Times New Roman" w:hAnsi="Times New Roman"/>
        </w:rPr>
        <w:t>at para 34).</w:t>
      </w:r>
    </w:p>
    <w:p w14:paraId="526837EF" w14:textId="546989CD" w:rsidR="00EE184A"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67</w:t>
      </w:r>
      <w:r w:rsidRPr="00DB3AA2">
        <w:rPr>
          <w:rFonts w:ascii="Times New Roman" w:hAnsi="Times New Roman"/>
        </w:rPr>
        <w:tab/>
      </w:r>
      <w:r w:rsidR="00EE184A" w:rsidRPr="00DB3AA2">
        <w:rPr>
          <w:rFonts w:ascii="Times New Roman" w:hAnsi="Times New Roman"/>
        </w:rPr>
        <w:t xml:space="preserve">The difficulty facing </w:t>
      </w:r>
      <w:proofErr w:type="spellStart"/>
      <w:r w:rsidR="00EE184A" w:rsidRPr="00DB3AA2">
        <w:rPr>
          <w:rFonts w:ascii="Times New Roman" w:hAnsi="Times New Roman"/>
        </w:rPr>
        <w:t>Binns</w:t>
      </w:r>
      <w:proofErr w:type="spellEnd"/>
      <w:r w:rsidR="00EE184A" w:rsidRPr="00DB3AA2">
        <w:rPr>
          <w:rFonts w:ascii="Times New Roman" w:hAnsi="Times New Roman"/>
        </w:rPr>
        <w:t xml:space="preserve">-Ward J in </w:t>
      </w:r>
      <w:r w:rsidR="00EE184A" w:rsidRPr="00DB3AA2">
        <w:rPr>
          <w:rFonts w:ascii="Times New Roman" w:hAnsi="Times New Roman"/>
          <w:i/>
          <w:iCs/>
        </w:rPr>
        <w:t>A Company</w:t>
      </w:r>
      <w:r w:rsidR="00EE184A" w:rsidRPr="00DB3AA2">
        <w:rPr>
          <w:rFonts w:ascii="Times New Roman" w:hAnsi="Times New Roman"/>
        </w:rPr>
        <w:t xml:space="preserve"> was that the founding </w:t>
      </w:r>
      <w:r w:rsidR="00911E8D" w:rsidRPr="00DB3AA2">
        <w:rPr>
          <w:rFonts w:ascii="Times New Roman" w:hAnsi="Times New Roman"/>
        </w:rPr>
        <w:t xml:space="preserve">affidavit disclosed “virtually no detail” to explain why the privilege was asserted in respect of the redacted </w:t>
      </w:r>
      <w:r w:rsidR="003E19C2" w:rsidRPr="00DB3AA2">
        <w:rPr>
          <w:rFonts w:ascii="Times New Roman" w:hAnsi="Times New Roman"/>
        </w:rPr>
        <w:t xml:space="preserve">parts of the invoices. It was in this context that he was invited to take a judicial </w:t>
      </w:r>
      <w:r w:rsidR="003E19C2" w:rsidRPr="00DB3AA2">
        <w:rPr>
          <w:rFonts w:ascii="Times New Roman" w:hAnsi="Times New Roman"/>
        </w:rPr>
        <w:lastRenderedPageBreak/>
        <w:t>peek to determine what had been redacted and whether it was covered by the privilege (</w:t>
      </w:r>
      <w:r w:rsidR="003E19C2" w:rsidRPr="00DB3AA2">
        <w:rPr>
          <w:rFonts w:ascii="Times New Roman" w:hAnsi="Times New Roman"/>
          <w:i/>
          <w:iCs/>
        </w:rPr>
        <w:t>A Company</w:t>
      </w:r>
      <w:r w:rsidR="003E19C2" w:rsidRPr="00DB3AA2">
        <w:rPr>
          <w:rFonts w:ascii="Times New Roman" w:hAnsi="Times New Roman"/>
        </w:rPr>
        <w:t xml:space="preserve"> at para 37)).</w:t>
      </w:r>
    </w:p>
    <w:p w14:paraId="5EDADE0D" w14:textId="0F052BAF" w:rsidR="00E0287E"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68</w:t>
      </w:r>
      <w:r w:rsidRPr="00DB3AA2">
        <w:rPr>
          <w:rFonts w:ascii="Times New Roman" w:hAnsi="Times New Roman"/>
        </w:rPr>
        <w:tab/>
      </w:r>
      <w:proofErr w:type="spellStart"/>
      <w:r w:rsidR="00E0287E" w:rsidRPr="00DB3AA2">
        <w:rPr>
          <w:rFonts w:ascii="Times New Roman" w:hAnsi="Times New Roman"/>
        </w:rPr>
        <w:t>Binns</w:t>
      </w:r>
      <w:proofErr w:type="spellEnd"/>
      <w:r w:rsidR="00E0287E" w:rsidRPr="00DB3AA2">
        <w:rPr>
          <w:rFonts w:ascii="Times New Roman" w:hAnsi="Times New Roman"/>
        </w:rPr>
        <w:t>-Ward J, in considering whether to take</w:t>
      </w:r>
      <w:r w:rsidR="00C81EDF" w:rsidRPr="00DB3AA2">
        <w:rPr>
          <w:rFonts w:ascii="Times New Roman" w:hAnsi="Times New Roman"/>
        </w:rPr>
        <w:t xml:space="preserve"> up the invitation to take a judicial peek, pointed out that our courts have considered the taking of a judicial peek to be an intervention of last resort. This is entirely understandable, because the taking of a judicial peek is inimical to the open and adversarial nature of our judicial system</w:t>
      </w:r>
      <w:r w:rsidR="00543BD2" w:rsidRPr="00DB3AA2">
        <w:rPr>
          <w:rFonts w:ascii="Times New Roman" w:hAnsi="Times New Roman"/>
        </w:rPr>
        <w:t xml:space="preserve"> (see </w:t>
      </w:r>
      <w:r w:rsidR="00543BD2" w:rsidRPr="00DB3AA2">
        <w:rPr>
          <w:rFonts w:ascii="Times New Roman" w:hAnsi="Times New Roman"/>
          <w:i/>
          <w:iCs/>
        </w:rPr>
        <w:t>A Company</w:t>
      </w:r>
      <w:r w:rsidR="00543BD2" w:rsidRPr="00DB3AA2">
        <w:rPr>
          <w:rFonts w:ascii="Times New Roman" w:hAnsi="Times New Roman"/>
        </w:rPr>
        <w:t xml:space="preserve"> at para 38). This le</w:t>
      </w:r>
      <w:r w:rsidR="00114828" w:rsidRPr="00DB3AA2">
        <w:rPr>
          <w:rFonts w:ascii="Times New Roman" w:hAnsi="Times New Roman"/>
        </w:rPr>
        <w:t>d</w:t>
      </w:r>
      <w:r w:rsidR="00543BD2" w:rsidRPr="00DB3AA2">
        <w:rPr>
          <w:rFonts w:ascii="Times New Roman" w:hAnsi="Times New Roman"/>
        </w:rPr>
        <w:t xml:space="preserve"> </w:t>
      </w:r>
      <w:proofErr w:type="spellStart"/>
      <w:r w:rsidR="00543BD2" w:rsidRPr="00DB3AA2">
        <w:rPr>
          <w:rFonts w:ascii="Times New Roman" w:hAnsi="Times New Roman"/>
        </w:rPr>
        <w:t>Binns</w:t>
      </w:r>
      <w:proofErr w:type="spellEnd"/>
      <w:r w:rsidR="00543BD2" w:rsidRPr="00DB3AA2">
        <w:rPr>
          <w:rFonts w:ascii="Times New Roman" w:hAnsi="Times New Roman"/>
        </w:rPr>
        <w:t>-Ward J to make the following remarks</w:t>
      </w:r>
      <w:r w:rsidR="009F159C" w:rsidRPr="00DB3AA2">
        <w:rPr>
          <w:rFonts w:ascii="Times New Roman" w:hAnsi="Times New Roman"/>
        </w:rPr>
        <w:t xml:space="preserve"> (at para 39)</w:t>
      </w:r>
      <w:r w:rsidR="00543BD2" w:rsidRPr="00DB3AA2">
        <w:rPr>
          <w:rFonts w:ascii="Times New Roman" w:hAnsi="Times New Roman"/>
        </w:rPr>
        <w:t xml:space="preserve">, </w:t>
      </w:r>
      <w:r w:rsidR="00C90DA1" w:rsidRPr="00DB3AA2">
        <w:rPr>
          <w:rFonts w:ascii="Times New Roman" w:hAnsi="Times New Roman"/>
        </w:rPr>
        <w:t>on which Mr Brown places reliance in his heads of argument:</w:t>
      </w:r>
    </w:p>
    <w:p w14:paraId="3EBD018D" w14:textId="138A455A" w:rsidR="00C90DA1" w:rsidRPr="00DB3AA2" w:rsidRDefault="00930701" w:rsidP="009F159C">
      <w:pPr>
        <w:pStyle w:val="BodyTextIndent"/>
        <w:spacing w:line="240" w:lineRule="auto"/>
        <w:ind w:left="1134"/>
        <w:rPr>
          <w:rFonts w:ascii="Times New Roman" w:hAnsi="Times New Roman"/>
        </w:rPr>
      </w:pPr>
      <w:r w:rsidRPr="00DB3AA2">
        <w:rPr>
          <w:rFonts w:ascii="Times New Roman" w:hAnsi="Times New Roman"/>
        </w:rPr>
        <w:t>“</w:t>
      </w:r>
      <w:r w:rsidR="00C90DA1" w:rsidRPr="00DB3AA2">
        <w:rPr>
          <w:rFonts w:ascii="Times New Roman" w:hAnsi="Times New Roman"/>
        </w:rPr>
        <w:t>I draw attention to these considerations because I consider that a party in the position of the applicants in the current case should be astute</w:t>
      </w:r>
      <w:r w:rsidRPr="00DB3AA2">
        <w:rPr>
          <w:rFonts w:ascii="Times New Roman" w:hAnsi="Times New Roman"/>
        </w:rPr>
        <w:t xml:space="preserve"> </w:t>
      </w:r>
      <w:r w:rsidR="00C90DA1" w:rsidRPr="00DB3AA2">
        <w:rPr>
          <w:rFonts w:ascii="Times New Roman" w:hAnsi="Times New Roman"/>
        </w:rPr>
        <w:t>to present its case in a manner directed as far as possible to avoid the necessity of the matter having to be decided on the basis of a secret inspection, or at the very least to minimise the one-sided effect of any private judicial inspection that might nevertheless remain necessary. In the current case that could have been done by providing a far more detailed contextual explanation in its founding papers of the bases for the non-disclosure of the allegedly privileged information. A party that asserts legal professional privilege should generally be able to provide a rational justification for its claim without needing to disclose the content or substance of the matter in respect of which the privilege is claimed. </w:t>
      </w:r>
      <w:bookmarkStart w:id="3" w:name="0-0-0-219969"/>
      <w:bookmarkEnd w:id="3"/>
      <w:r w:rsidR="00C90DA1" w:rsidRPr="00DB3AA2">
        <w:rPr>
          <w:rFonts w:ascii="Times New Roman" w:hAnsi="Times New Roman"/>
        </w:rPr>
        <w:t xml:space="preserve"> Failing such justification, there is nothing before court but the claim to privilege itself; the means for testing its validity is absent if resort is not had to the mechanism of judicial peeking, which, as has been noted, a court should generally be hesitant to undertake. Indeed, had SARS' counsel not agreed to my taking a judicial peek in the current case I might well have declined to do so — despite the fact that the application could not be determined without it — on the grounds of the applicants' failure to provide sufficient contextual justification of their claim to legal advice privilege in their founding papers.</w:t>
      </w:r>
      <w:r w:rsidR="009F159C" w:rsidRPr="00DB3AA2">
        <w:rPr>
          <w:rFonts w:ascii="Times New Roman" w:hAnsi="Times New Roman"/>
        </w:rPr>
        <w:t>”</w:t>
      </w:r>
    </w:p>
    <w:p w14:paraId="262EF20D" w14:textId="58354782" w:rsidR="007A3F54"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69</w:t>
      </w:r>
      <w:r w:rsidRPr="00DB3AA2">
        <w:rPr>
          <w:rFonts w:ascii="Times New Roman" w:hAnsi="Times New Roman"/>
        </w:rPr>
        <w:tab/>
      </w:r>
      <w:r w:rsidR="002C1244" w:rsidRPr="00DB3AA2">
        <w:rPr>
          <w:rFonts w:ascii="Times New Roman" w:hAnsi="Times New Roman"/>
        </w:rPr>
        <w:t xml:space="preserve">In essence – and this is also how I understood the oral argument of </w:t>
      </w:r>
      <w:r w:rsidR="002C1244" w:rsidRPr="00DB3AA2">
        <w:rPr>
          <w:rFonts w:ascii="Times New Roman" w:hAnsi="Times New Roman"/>
          <w:i/>
          <w:iCs/>
        </w:rPr>
        <w:t xml:space="preserve">Mr </w:t>
      </w:r>
      <w:proofErr w:type="spellStart"/>
      <w:r w:rsidR="002C1244" w:rsidRPr="00DB3AA2">
        <w:rPr>
          <w:rFonts w:ascii="Times New Roman" w:hAnsi="Times New Roman"/>
          <w:i/>
          <w:iCs/>
        </w:rPr>
        <w:t>Hellens</w:t>
      </w:r>
      <w:proofErr w:type="spellEnd"/>
      <w:r w:rsidR="002C1244" w:rsidRPr="00DB3AA2">
        <w:rPr>
          <w:rFonts w:ascii="Times New Roman" w:hAnsi="Times New Roman"/>
        </w:rPr>
        <w:t xml:space="preserve"> – the argument is that Mr Brown is in the same position in the present case as SARS was in </w:t>
      </w:r>
      <w:r w:rsidR="002C1244" w:rsidRPr="00DB3AA2">
        <w:rPr>
          <w:rFonts w:ascii="Times New Roman" w:hAnsi="Times New Roman"/>
          <w:i/>
          <w:iCs/>
        </w:rPr>
        <w:t>A Company</w:t>
      </w:r>
      <w:r w:rsidR="002C1244" w:rsidRPr="00DB3AA2">
        <w:rPr>
          <w:rFonts w:ascii="Times New Roman" w:hAnsi="Times New Roman"/>
        </w:rPr>
        <w:t xml:space="preserve">. </w:t>
      </w:r>
      <w:r w:rsidR="00E21251" w:rsidRPr="00DB3AA2">
        <w:rPr>
          <w:rFonts w:ascii="Times New Roman" w:hAnsi="Times New Roman"/>
        </w:rPr>
        <w:t>This carries the implication that I should either reject the claim of privilege on the basis that WK Construction has not done enough to substantiate it, or I should order a judicial peek as the only mechanism to determine what is actually in the Hay File notes and whether it is privileged.</w:t>
      </w:r>
    </w:p>
    <w:p w14:paraId="5A5DF082" w14:textId="500E5286" w:rsidR="001D25E6" w:rsidRPr="00DB3AA2" w:rsidRDefault="001D25E6" w:rsidP="001D25E6">
      <w:pPr>
        <w:pStyle w:val="Heading1"/>
        <w:rPr>
          <w:rFonts w:ascii="Times New Roman" w:hAnsi="Times New Roman"/>
          <w:i/>
          <w:iCs/>
        </w:rPr>
      </w:pPr>
      <w:r w:rsidRPr="00DB3AA2">
        <w:rPr>
          <w:rFonts w:ascii="Times New Roman" w:hAnsi="Times New Roman"/>
          <w:i/>
          <w:iCs/>
        </w:rPr>
        <w:lastRenderedPageBreak/>
        <w:t>Application to this case</w:t>
      </w:r>
    </w:p>
    <w:p w14:paraId="49429D55" w14:textId="05E90A1A" w:rsidR="00F25290"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70</w:t>
      </w:r>
      <w:r w:rsidRPr="00DB3AA2">
        <w:rPr>
          <w:rFonts w:ascii="Times New Roman" w:hAnsi="Times New Roman"/>
        </w:rPr>
        <w:tab/>
      </w:r>
      <w:r w:rsidR="005C5FB0" w:rsidRPr="00DB3AA2">
        <w:rPr>
          <w:rFonts w:ascii="Times New Roman" w:hAnsi="Times New Roman"/>
        </w:rPr>
        <w:t xml:space="preserve">In my view, </w:t>
      </w:r>
      <w:r w:rsidR="00AC1568" w:rsidRPr="00DB3AA2">
        <w:rPr>
          <w:rFonts w:ascii="Times New Roman" w:hAnsi="Times New Roman"/>
        </w:rPr>
        <w:t xml:space="preserve">the facts of </w:t>
      </w:r>
      <w:r w:rsidR="00AC1568" w:rsidRPr="00E116BE">
        <w:rPr>
          <w:rFonts w:ascii="Times New Roman" w:hAnsi="Times New Roman"/>
          <w:i/>
          <w:iCs/>
        </w:rPr>
        <w:t>A Company</w:t>
      </w:r>
      <w:r w:rsidR="00AC1568" w:rsidRPr="00DB3AA2">
        <w:rPr>
          <w:rFonts w:ascii="Times New Roman" w:hAnsi="Times New Roman"/>
        </w:rPr>
        <w:t xml:space="preserve"> are different to the present case in a material respect: in </w:t>
      </w:r>
      <w:r w:rsidR="00AC1568" w:rsidRPr="00DB3AA2">
        <w:rPr>
          <w:rFonts w:ascii="Times New Roman" w:hAnsi="Times New Roman"/>
          <w:i/>
          <w:iCs/>
        </w:rPr>
        <w:t>A Company</w:t>
      </w:r>
      <w:r w:rsidR="00AC1568" w:rsidRPr="00DB3AA2">
        <w:rPr>
          <w:rFonts w:ascii="Times New Roman" w:hAnsi="Times New Roman"/>
        </w:rPr>
        <w:t xml:space="preserve">, the fee notes were not the type of document which would ordinarily be privileged. </w:t>
      </w:r>
      <w:proofErr w:type="spellStart"/>
      <w:r w:rsidR="003309F5" w:rsidRPr="00DB3AA2">
        <w:rPr>
          <w:rFonts w:ascii="Times New Roman" w:hAnsi="Times New Roman"/>
        </w:rPr>
        <w:t>Binns</w:t>
      </w:r>
      <w:proofErr w:type="spellEnd"/>
      <w:r w:rsidR="003309F5" w:rsidRPr="00DB3AA2">
        <w:rPr>
          <w:rFonts w:ascii="Times New Roman" w:hAnsi="Times New Roman"/>
        </w:rPr>
        <w:t xml:space="preserve">-Ward J was faced with the type of document which, at best, could constitute secondary evidence of the advice given, and he </w:t>
      </w:r>
      <w:r w:rsidR="00BC79F5" w:rsidRPr="00DB3AA2">
        <w:rPr>
          <w:rFonts w:ascii="Times New Roman" w:hAnsi="Times New Roman"/>
        </w:rPr>
        <w:t xml:space="preserve">had the difficulty that no explanation had been provided as to why the document was privileged. </w:t>
      </w:r>
      <w:r w:rsidR="000711FC" w:rsidRPr="00DB3AA2">
        <w:rPr>
          <w:rFonts w:ascii="Times New Roman" w:hAnsi="Times New Roman"/>
        </w:rPr>
        <w:t xml:space="preserve">Here it is common cause that the Hay file notes were generated by an attorney when a client (Mr </w:t>
      </w:r>
      <w:proofErr w:type="spellStart"/>
      <w:r w:rsidR="000711FC" w:rsidRPr="00DB3AA2">
        <w:rPr>
          <w:rFonts w:ascii="Times New Roman" w:hAnsi="Times New Roman"/>
        </w:rPr>
        <w:t>Kusel</w:t>
      </w:r>
      <w:proofErr w:type="spellEnd"/>
      <w:r w:rsidR="000711FC" w:rsidRPr="00DB3AA2">
        <w:rPr>
          <w:rFonts w:ascii="Times New Roman" w:hAnsi="Times New Roman"/>
        </w:rPr>
        <w:t>, an agent of WK Construction</w:t>
      </w:r>
      <w:r w:rsidR="00826D22" w:rsidRPr="00DB3AA2">
        <w:rPr>
          <w:rFonts w:ascii="Times New Roman" w:hAnsi="Times New Roman"/>
        </w:rPr>
        <w:t xml:space="preserve">) came to consult with him. </w:t>
      </w:r>
      <w:r w:rsidR="001F4234" w:rsidRPr="00DB3AA2">
        <w:rPr>
          <w:rFonts w:ascii="Times New Roman" w:hAnsi="Times New Roman"/>
        </w:rPr>
        <w:t xml:space="preserve">It is common cause that the advice was sought in confidence. </w:t>
      </w:r>
      <w:r w:rsidR="00826D22" w:rsidRPr="00DB3AA2">
        <w:rPr>
          <w:rFonts w:ascii="Times New Roman" w:hAnsi="Times New Roman"/>
        </w:rPr>
        <w:t xml:space="preserve">I agree with </w:t>
      </w:r>
      <w:r w:rsidR="00826D22" w:rsidRPr="003844F2">
        <w:rPr>
          <w:rFonts w:ascii="Times New Roman" w:hAnsi="Times New Roman"/>
          <w:i/>
          <w:iCs/>
        </w:rPr>
        <w:t xml:space="preserve">Mr </w:t>
      </w:r>
      <w:proofErr w:type="spellStart"/>
      <w:r w:rsidR="00826D22" w:rsidRPr="003844F2">
        <w:rPr>
          <w:rFonts w:ascii="Times New Roman" w:hAnsi="Times New Roman"/>
          <w:i/>
          <w:iCs/>
        </w:rPr>
        <w:t>Broster</w:t>
      </w:r>
      <w:proofErr w:type="spellEnd"/>
      <w:r w:rsidR="00826D22" w:rsidRPr="00DB3AA2">
        <w:rPr>
          <w:rFonts w:ascii="Times New Roman" w:hAnsi="Times New Roman"/>
        </w:rPr>
        <w:t xml:space="preserve"> when he says that there could be no purpose in Mr </w:t>
      </w:r>
      <w:proofErr w:type="spellStart"/>
      <w:r w:rsidR="00826D22" w:rsidRPr="00DB3AA2">
        <w:rPr>
          <w:rFonts w:ascii="Times New Roman" w:hAnsi="Times New Roman"/>
        </w:rPr>
        <w:t>Kusel</w:t>
      </w:r>
      <w:proofErr w:type="spellEnd"/>
      <w:r w:rsidR="00826D22" w:rsidRPr="00DB3AA2">
        <w:rPr>
          <w:rFonts w:ascii="Times New Roman" w:hAnsi="Times New Roman"/>
        </w:rPr>
        <w:t xml:space="preserve"> consulting with Mr Hay </w:t>
      </w:r>
      <w:r w:rsidR="003844F2">
        <w:rPr>
          <w:rFonts w:ascii="Times New Roman" w:hAnsi="Times New Roman"/>
        </w:rPr>
        <w:t xml:space="preserve">other </w:t>
      </w:r>
      <w:r w:rsidR="00826D22" w:rsidRPr="00DB3AA2">
        <w:rPr>
          <w:rFonts w:ascii="Times New Roman" w:hAnsi="Times New Roman"/>
        </w:rPr>
        <w:t>than to obtain legal advice. This conclusion is particularly compelling in the context of the authorities which say that one does not easily go behind the oath of an attorney who says that a particular document is privileged</w:t>
      </w:r>
      <w:r w:rsidR="00F25290" w:rsidRPr="00DB3AA2">
        <w:rPr>
          <w:rFonts w:ascii="Times New Roman" w:hAnsi="Times New Roman"/>
        </w:rPr>
        <w:t xml:space="preserve"> (see, for example, </w:t>
      </w:r>
      <w:r w:rsidR="00F25290" w:rsidRPr="00190BF7">
        <w:rPr>
          <w:rFonts w:ascii="Times New Roman" w:hAnsi="Times New Roman"/>
          <w:i/>
          <w:iCs/>
        </w:rPr>
        <w:t xml:space="preserve">United Tobacco Companies (South) Ltd v International Tobacco Co of SA Ltd </w:t>
      </w:r>
      <w:r w:rsidR="00F25290" w:rsidRPr="00DB3AA2">
        <w:rPr>
          <w:rFonts w:ascii="Times New Roman" w:hAnsi="Times New Roman"/>
        </w:rPr>
        <w:t>1953 (1) SA 66 (T) at 73)</w:t>
      </w:r>
      <w:r w:rsidR="00826D22" w:rsidRPr="00DB3AA2">
        <w:rPr>
          <w:rFonts w:ascii="Times New Roman" w:hAnsi="Times New Roman"/>
        </w:rPr>
        <w:t xml:space="preserve">. </w:t>
      </w:r>
    </w:p>
    <w:p w14:paraId="023BF090" w14:textId="36C6DBBF" w:rsidR="00853396"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71</w:t>
      </w:r>
      <w:r w:rsidRPr="00DB3AA2">
        <w:rPr>
          <w:rFonts w:ascii="Times New Roman" w:hAnsi="Times New Roman"/>
        </w:rPr>
        <w:tab/>
      </w:r>
      <w:r w:rsidR="00826D22" w:rsidRPr="00DB3AA2">
        <w:rPr>
          <w:rFonts w:ascii="Times New Roman" w:hAnsi="Times New Roman"/>
        </w:rPr>
        <w:t xml:space="preserve">If I understood </w:t>
      </w:r>
      <w:r w:rsidR="00826D22" w:rsidRPr="00190BF7">
        <w:rPr>
          <w:rFonts w:ascii="Times New Roman" w:hAnsi="Times New Roman"/>
          <w:i/>
          <w:iCs/>
        </w:rPr>
        <w:t xml:space="preserve">Mr </w:t>
      </w:r>
      <w:proofErr w:type="spellStart"/>
      <w:r w:rsidR="00826D22" w:rsidRPr="00190BF7">
        <w:rPr>
          <w:rFonts w:ascii="Times New Roman" w:hAnsi="Times New Roman"/>
          <w:i/>
          <w:iCs/>
        </w:rPr>
        <w:t>Hellens</w:t>
      </w:r>
      <w:proofErr w:type="spellEnd"/>
      <w:r w:rsidR="00826D22" w:rsidRPr="00190BF7">
        <w:rPr>
          <w:rFonts w:ascii="Times New Roman" w:hAnsi="Times New Roman"/>
          <w:i/>
          <w:iCs/>
        </w:rPr>
        <w:t>’</w:t>
      </w:r>
      <w:r w:rsidR="00826D22" w:rsidRPr="00DB3AA2">
        <w:rPr>
          <w:rFonts w:ascii="Times New Roman" w:hAnsi="Times New Roman"/>
        </w:rPr>
        <w:t xml:space="preserve"> argument correctly, he sought to rely on </w:t>
      </w:r>
      <w:r w:rsidR="00826D22" w:rsidRPr="00190BF7">
        <w:rPr>
          <w:rFonts w:ascii="Times New Roman" w:hAnsi="Times New Roman"/>
          <w:i/>
          <w:iCs/>
        </w:rPr>
        <w:t xml:space="preserve">A Company </w:t>
      </w:r>
      <w:r w:rsidR="00826D22" w:rsidRPr="00DB3AA2">
        <w:rPr>
          <w:rFonts w:ascii="Times New Roman" w:hAnsi="Times New Roman"/>
        </w:rPr>
        <w:t xml:space="preserve">to defeat that proposition. In other words, he sought to argue that the present case is more like </w:t>
      </w:r>
      <w:r w:rsidR="00826D22" w:rsidRPr="00190BF7">
        <w:rPr>
          <w:rFonts w:ascii="Times New Roman" w:hAnsi="Times New Roman"/>
          <w:i/>
          <w:iCs/>
        </w:rPr>
        <w:t>A Company</w:t>
      </w:r>
      <w:r w:rsidR="00826D22" w:rsidRPr="00DB3AA2">
        <w:rPr>
          <w:rFonts w:ascii="Times New Roman" w:hAnsi="Times New Roman"/>
        </w:rPr>
        <w:t xml:space="preserve"> – where insufficient information was given to enable the court to determine whether the documents in question were privileged – than a case where one must, at least as a default, accept an attorney’s word that a document is privileged. </w:t>
      </w:r>
      <w:r w:rsidR="00154BE2" w:rsidRPr="00DB3AA2">
        <w:rPr>
          <w:rFonts w:ascii="Times New Roman" w:hAnsi="Times New Roman"/>
        </w:rPr>
        <w:t>Some of the debate focused on a letter sent by WK Construction’s attorneys to Mr Brown’s attorneys on 25 February 2022</w:t>
      </w:r>
      <w:r w:rsidR="006D5320" w:rsidRPr="00DB3AA2">
        <w:rPr>
          <w:rFonts w:ascii="Times New Roman" w:hAnsi="Times New Roman"/>
        </w:rPr>
        <w:t xml:space="preserve">. The letter was sent in response to a letter sent by Mr Brown’s attorneys on 15 February 2022 in which it was </w:t>
      </w:r>
      <w:r w:rsidR="00884474" w:rsidRPr="00DB3AA2">
        <w:rPr>
          <w:rFonts w:ascii="Times New Roman" w:hAnsi="Times New Roman"/>
        </w:rPr>
        <w:t xml:space="preserve">made clear that Mr Brown sought access to the Hay file notes. </w:t>
      </w:r>
      <w:r w:rsidR="003A0C4B" w:rsidRPr="00DB3AA2">
        <w:rPr>
          <w:rFonts w:ascii="Times New Roman" w:hAnsi="Times New Roman"/>
        </w:rPr>
        <w:t xml:space="preserve">Both letters were annexed to the founding affidavit in this interlocutory application. </w:t>
      </w:r>
      <w:r w:rsidR="00884474" w:rsidRPr="00DB3AA2">
        <w:rPr>
          <w:rFonts w:ascii="Times New Roman" w:hAnsi="Times New Roman"/>
        </w:rPr>
        <w:t xml:space="preserve">In the 25 February letter, WK Construction’s attorneys </w:t>
      </w:r>
      <w:r w:rsidR="00077A76" w:rsidRPr="00DB3AA2">
        <w:rPr>
          <w:rFonts w:ascii="Times New Roman" w:hAnsi="Times New Roman"/>
        </w:rPr>
        <w:t>explain</w:t>
      </w:r>
      <w:r w:rsidR="0010578F" w:rsidRPr="00DB3AA2">
        <w:rPr>
          <w:rFonts w:ascii="Times New Roman" w:hAnsi="Times New Roman"/>
        </w:rPr>
        <w:t xml:space="preserve">ed the basis </w:t>
      </w:r>
      <w:r w:rsidR="0010578F" w:rsidRPr="00DB3AA2">
        <w:rPr>
          <w:rFonts w:ascii="Times New Roman" w:hAnsi="Times New Roman"/>
        </w:rPr>
        <w:lastRenderedPageBreak/>
        <w:t>of asserting the privilege as follows</w:t>
      </w:r>
      <w:r w:rsidR="00ED40DD" w:rsidRPr="00DB3AA2">
        <w:rPr>
          <w:rFonts w:ascii="Times New Roman" w:hAnsi="Times New Roman"/>
        </w:rPr>
        <w:t xml:space="preserve"> (the reference to “Born Free” below is a reference to the company which I described as PMS above)</w:t>
      </w:r>
      <w:r w:rsidR="0010578F" w:rsidRPr="00DB3AA2">
        <w:rPr>
          <w:rFonts w:ascii="Times New Roman" w:hAnsi="Times New Roman"/>
        </w:rPr>
        <w:t>:</w:t>
      </w:r>
    </w:p>
    <w:p w14:paraId="1E022EF3" w14:textId="0F301097" w:rsidR="00917DBC" w:rsidRPr="00DB3AA2" w:rsidRDefault="003D23BB" w:rsidP="003D23BB">
      <w:pPr>
        <w:pStyle w:val="BodyTextIndent"/>
        <w:spacing w:line="240" w:lineRule="auto"/>
        <w:ind w:left="1134"/>
        <w:rPr>
          <w:rFonts w:ascii="Times New Roman" w:hAnsi="Times New Roman"/>
          <w:lang w:eastAsia="en-ZA"/>
        </w:rPr>
      </w:pPr>
      <w:r w:rsidRPr="00DB3AA2">
        <w:rPr>
          <w:rFonts w:ascii="Times New Roman" w:hAnsi="Times New Roman"/>
          <w:lang w:eastAsia="en-ZA"/>
        </w:rPr>
        <w:t>“</w:t>
      </w:r>
      <w:r w:rsidR="00917DBC" w:rsidRPr="00DB3AA2">
        <w:rPr>
          <w:rFonts w:ascii="Times New Roman" w:hAnsi="Times New Roman"/>
          <w:lang w:eastAsia="en-ZA"/>
        </w:rPr>
        <w:t>Mr Hay gave legal advice to our client in respect of the Born Free</w:t>
      </w:r>
      <w:r w:rsidR="00214B2F" w:rsidRPr="00DB3AA2">
        <w:rPr>
          <w:rFonts w:ascii="Times New Roman" w:hAnsi="Times New Roman"/>
          <w:lang w:eastAsia="en-ZA"/>
        </w:rPr>
        <w:t xml:space="preserve"> </w:t>
      </w:r>
      <w:r w:rsidR="00917DBC" w:rsidRPr="00DB3AA2">
        <w:rPr>
          <w:rFonts w:ascii="Times New Roman" w:hAnsi="Times New Roman"/>
          <w:lang w:eastAsia="en-ZA"/>
        </w:rPr>
        <w:t>Investments 467 (Pty) Ltd trading as Planet Mining ("Born Free") sale of</w:t>
      </w:r>
      <w:r w:rsidR="00214B2F" w:rsidRPr="00DB3AA2">
        <w:rPr>
          <w:rFonts w:ascii="Times New Roman" w:hAnsi="Times New Roman"/>
          <w:lang w:eastAsia="en-ZA"/>
        </w:rPr>
        <w:t xml:space="preserve"> </w:t>
      </w:r>
      <w:r w:rsidR="00917DBC" w:rsidRPr="00DB3AA2">
        <w:rPr>
          <w:rFonts w:ascii="Times New Roman" w:hAnsi="Times New Roman"/>
          <w:lang w:eastAsia="en-ZA"/>
        </w:rPr>
        <w:t>shares agreement and ancillary documents and agreements. There was a</w:t>
      </w:r>
      <w:r w:rsidR="00214B2F" w:rsidRPr="00DB3AA2">
        <w:rPr>
          <w:rFonts w:ascii="Times New Roman" w:hAnsi="Times New Roman"/>
          <w:lang w:eastAsia="en-ZA"/>
        </w:rPr>
        <w:t xml:space="preserve"> </w:t>
      </w:r>
      <w:r w:rsidR="00917DBC" w:rsidRPr="00DB3AA2">
        <w:rPr>
          <w:rFonts w:ascii="Times New Roman" w:hAnsi="Times New Roman"/>
          <w:lang w:eastAsia="en-ZA"/>
        </w:rPr>
        <w:t>continuum of communication between attorney and client recorded in the</w:t>
      </w:r>
      <w:r w:rsidR="00214B2F" w:rsidRPr="00DB3AA2">
        <w:rPr>
          <w:rFonts w:ascii="Times New Roman" w:hAnsi="Times New Roman"/>
          <w:lang w:eastAsia="en-ZA"/>
        </w:rPr>
        <w:t xml:space="preserve"> </w:t>
      </w:r>
      <w:r w:rsidR="00917DBC" w:rsidRPr="00DB3AA2">
        <w:rPr>
          <w:rFonts w:ascii="Times New Roman" w:hAnsi="Times New Roman"/>
          <w:lang w:eastAsia="en-ZA"/>
        </w:rPr>
        <w:t>series of file notes dated from 29 June 2010 to 26 October 2010 in which</w:t>
      </w:r>
      <w:r w:rsidR="00214B2F" w:rsidRPr="00DB3AA2">
        <w:rPr>
          <w:rFonts w:ascii="Times New Roman" w:hAnsi="Times New Roman"/>
          <w:lang w:eastAsia="en-ZA"/>
        </w:rPr>
        <w:t xml:space="preserve"> </w:t>
      </w:r>
      <w:r w:rsidR="00917DBC" w:rsidRPr="00DB3AA2">
        <w:rPr>
          <w:rFonts w:ascii="Times New Roman" w:hAnsi="Times New Roman"/>
          <w:lang w:eastAsia="en-ZA"/>
        </w:rPr>
        <w:t xml:space="preserve">Mr Hay gave legal advice to our client, </w:t>
      </w:r>
      <w:r w:rsidR="00917DBC" w:rsidRPr="00DB3AA2">
        <w:rPr>
          <w:rFonts w:ascii="Times New Roman" w:hAnsi="Times New Roman"/>
          <w:i/>
          <w:iCs/>
          <w:sz w:val="22"/>
          <w:szCs w:val="22"/>
          <w:lang w:eastAsia="en-ZA"/>
        </w:rPr>
        <w:t xml:space="preserve">inter alia, </w:t>
      </w:r>
      <w:r w:rsidR="00917DBC" w:rsidRPr="00DB3AA2">
        <w:rPr>
          <w:rFonts w:ascii="Times New Roman" w:hAnsi="Times New Roman"/>
          <w:lang w:eastAsia="en-ZA"/>
        </w:rPr>
        <w:t>in regard to:</w:t>
      </w:r>
    </w:p>
    <w:p w14:paraId="1D88D01B" w14:textId="77777777" w:rsidR="00214B2F" w:rsidRPr="00DB3AA2" w:rsidRDefault="00917DBC" w:rsidP="003D23BB">
      <w:pPr>
        <w:pStyle w:val="BodyTextIndent3"/>
        <w:spacing w:line="240" w:lineRule="auto"/>
        <w:rPr>
          <w:rFonts w:ascii="Times New Roman" w:hAnsi="Times New Roman"/>
          <w:lang w:eastAsia="en-ZA"/>
        </w:rPr>
      </w:pPr>
      <w:r w:rsidRPr="00DB3AA2">
        <w:rPr>
          <w:rFonts w:ascii="Times New Roman" w:hAnsi="Times New Roman"/>
          <w:lang w:eastAsia="en-ZA"/>
        </w:rPr>
        <w:t xml:space="preserve">4.1. </w:t>
      </w:r>
      <w:proofErr w:type="gramStart"/>
      <w:r w:rsidRPr="00DB3AA2">
        <w:rPr>
          <w:rFonts w:ascii="Times New Roman" w:hAnsi="Times New Roman"/>
          <w:lang w:eastAsia="en-ZA"/>
        </w:rPr>
        <w:t>the</w:t>
      </w:r>
      <w:proofErr w:type="gramEnd"/>
      <w:r w:rsidRPr="00DB3AA2">
        <w:rPr>
          <w:rFonts w:ascii="Times New Roman" w:hAnsi="Times New Roman"/>
          <w:lang w:eastAsia="en-ZA"/>
        </w:rPr>
        <w:t xml:space="preserve"> draft sale of shares agreement prepared by the sellers including</w:t>
      </w:r>
      <w:r w:rsidR="00214B2F" w:rsidRPr="00DB3AA2">
        <w:rPr>
          <w:rFonts w:ascii="Times New Roman" w:hAnsi="Times New Roman"/>
          <w:lang w:eastAsia="en-ZA"/>
        </w:rPr>
        <w:t xml:space="preserve"> </w:t>
      </w:r>
      <w:r w:rsidRPr="00DB3AA2">
        <w:rPr>
          <w:rFonts w:ascii="Times New Roman" w:hAnsi="Times New Roman"/>
          <w:lang w:eastAsia="en-ZA"/>
        </w:rPr>
        <w:t>the fact that the company had other creditors and whether a sale of</w:t>
      </w:r>
      <w:r w:rsidR="00214B2F" w:rsidRPr="00DB3AA2">
        <w:rPr>
          <w:rFonts w:ascii="Times New Roman" w:hAnsi="Times New Roman"/>
          <w:lang w:eastAsia="en-ZA"/>
        </w:rPr>
        <w:t xml:space="preserve"> </w:t>
      </w:r>
      <w:r w:rsidRPr="00DB3AA2">
        <w:rPr>
          <w:rFonts w:ascii="Times New Roman" w:hAnsi="Times New Roman"/>
          <w:lang w:eastAsia="en-ZA"/>
        </w:rPr>
        <w:t>shares would be preferable to a sale of business;</w:t>
      </w:r>
      <w:r w:rsidR="00214B2F" w:rsidRPr="00DB3AA2">
        <w:rPr>
          <w:rFonts w:ascii="Times New Roman" w:hAnsi="Times New Roman"/>
          <w:lang w:eastAsia="en-ZA"/>
        </w:rPr>
        <w:t xml:space="preserve"> </w:t>
      </w:r>
    </w:p>
    <w:p w14:paraId="6BC85E19" w14:textId="215F59F6" w:rsidR="00917DBC" w:rsidRPr="00DB3AA2" w:rsidRDefault="00917DBC" w:rsidP="003D23BB">
      <w:pPr>
        <w:pStyle w:val="BodyTextIndent3"/>
        <w:spacing w:line="240" w:lineRule="auto"/>
        <w:rPr>
          <w:rFonts w:ascii="Times New Roman" w:hAnsi="Times New Roman"/>
          <w:lang w:eastAsia="en-ZA"/>
        </w:rPr>
      </w:pPr>
      <w:r w:rsidRPr="00DB3AA2">
        <w:rPr>
          <w:rFonts w:ascii="Times New Roman" w:hAnsi="Times New Roman"/>
          <w:lang w:eastAsia="en-ZA"/>
        </w:rPr>
        <w:t xml:space="preserve">4.2. </w:t>
      </w:r>
      <w:proofErr w:type="gramStart"/>
      <w:r w:rsidRPr="00DB3AA2">
        <w:rPr>
          <w:rFonts w:ascii="Times New Roman" w:hAnsi="Times New Roman"/>
          <w:lang w:eastAsia="en-ZA"/>
        </w:rPr>
        <w:t>the</w:t>
      </w:r>
      <w:proofErr w:type="gramEnd"/>
      <w:r w:rsidRPr="00DB3AA2">
        <w:rPr>
          <w:rFonts w:ascii="Times New Roman" w:hAnsi="Times New Roman"/>
          <w:lang w:eastAsia="en-ZA"/>
        </w:rPr>
        <w:t xml:space="preserve"> issue of mining law also requiring input from a Zimbabwean</w:t>
      </w:r>
      <w:r w:rsidR="00214B2F" w:rsidRPr="00DB3AA2">
        <w:rPr>
          <w:rFonts w:ascii="Times New Roman" w:hAnsi="Times New Roman"/>
          <w:lang w:eastAsia="en-ZA"/>
        </w:rPr>
        <w:t xml:space="preserve"> </w:t>
      </w:r>
      <w:r w:rsidRPr="00DB3AA2">
        <w:rPr>
          <w:rFonts w:ascii="Times New Roman" w:hAnsi="Times New Roman"/>
          <w:lang w:eastAsia="en-ZA"/>
        </w:rPr>
        <w:t>lawyer;</w:t>
      </w:r>
    </w:p>
    <w:p w14:paraId="176DCAD3" w14:textId="75A70569" w:rsidR="00917DBC" w:rsidRPr="00DB3AA2" w:rsidRDefault="00917DBC" w:rsidP="003D23BB">
      <w:pPr>
        <w:pStyle w:val="BodyTextIndent3"/>
        <w:spacing w:line="240" w:lineRule="auto"/>
        <w:rPr>
          <w:rFonts w:ascii="Times New Roman" w:hAnsi="Times New Roman"/>
          <w:lang w:eastAsia="en-ZA"/>
        </w:rPr>
      </w:pPr>
      <w:r w:rsidRPr="00DB3AA2">
        <w:rPr>
          <w:rFonts w:ascii="Times New Roman" w:hAnsi="Times New Roman"/>
          <w:lang w:eastAsia="en-ZA"/>
        </w:rPr>
        <w:t xml:space="preserve">4.3. </w:t>
      </w:r>
      <w:proofErr w:type="gramStart"/>
      <w:r w:rsidRPr="00DB3AA2">
        <w:rPr>
          <w:rFonts w:ascii="Times New Roman" w:hAnsi="Times New Roman"/>
          <w:lang w:eastAsia="en-ZA"/>
        </w:rPr>
        <w:t>the</w:t>
      </w:r>
      <w:proofErr w:type="gramEnd"/>
      <w:r w:rsidRPr="00DB3AA2">
        <w:rPr>
          <w:rFonts w:ascii="Times New Roman" w:hAnsi="Times New Roman"/>
          <w:lang w:eastAsia="en-ZA"/>
        </w:rPr>
        <w:t xml:space="preserve"> structure of the transaction and the risk of buying a company with</w:t>
      </w:r>
      <w:r w:rsidR="00214B2F" w:rsidRPr="00DB3AA2">
        <w:rPr>
          <w:rFonts w:ascii="Times New Roman" w:hAnsi="Times New Roman"/>
          <w:lang w:eastAsia="en-ZA"/>
        </w:rPr>
        <w:t xml:space="preserve"> </w:t>
      </w:r>
      <w:r w:rsidRPr="00DB3AA2">
        <w:rPr>
          <w:rFonts w:ascii="Times New Roman" w:hAnsi="Times New Roman"/>
          <w:lang w:eastAsia="en-ZA"/>
        </w:rPr>
        <w:t>unknown creditors;</w:t>
      </w:r>
    </w:p>
    <w:p w14:paraId="1066897F" w14:textId="77777777" w:rsidR="00214B2F" w:rsidRPr="00DB3AA2" w:rsidRDefault="00917DBC" w:rsidP="003D23BB">
      <w:pPr>
        <w:pStyle w:val="BodyTextIndent3"/>
        <w:spacing w:line="240" w:lineRule="auto"/>
        <w:rPr>
          <w:rFonts w:ascii="Times New Roman" w:hAnsi="Times New Roman"/>
          <w:lang w:eastAsia="en-ZA"/>
        </w:rPr>
      </w:pPr>
      <w:r w:rsidRPr="00DB3AA2">
        <w:rPr>
          <w:rFonts w:ascii="Times New Roman" w:hAnsi="Times New Roman"/>
          <w:lang w:eastAsia="en-ZA"/>
        </w:rPr>
        <w:t xml:space="preserve">4.4. </w:t>
      </w:r>
      <w:proofErr w:type="gramStart"/>
      <w:r w:rsidRPr="00DB3AA2">
        <w:rPr>
          <w:rFonts w:ascii="Times New Roman" w:hAnsi="Times New Roman"/>
          <w:lang w:eastAsia="en-ZA"/>
        </w:rPr>
        <w:t>advising</w:t>
      </w:r>
      <w:proofErr w:type="gramEnd"/>
      <w:r w:rsidRPr="00DB3AA2">
        <w:rPr>
          <w:rFonts w:ascii="Times New Roman" w:hAnsi="Times New Roman"/>
          <w:lang w:eastAsia="en-ZA"/>
        </w:rPr>
        <w:t xml:space="preserve"> in respect of a royalty deal as opposed to the procedure</w:t>
      </w:r>
      <w:r w:rsidR="00214B2F" w:rsidRPr="00DB3AA2">
        <w:rPr>
          <w:rFonts w:ascii="Times New Roman" w:hAnsi="Times New Roman"/>
          <w:lang w:eastAsia="en-ZA"/>
        </w:rPr>
        <w:t xml:space="preserve"> </w:t>
      </w:r>
      <w:r w:rsidRPr="00DB3AA2">
        <w:rPr>
          <w:rFonts w:ascii="Times New Roman" w:hAnsi="Times New Roman"/>
          <w:lang w:eastAsia="en-ZA"/>
        </w:rPr>
        <w:t>proposed in the documents provided to him;</w:t>
      </w:r>
    </w:p>
    <w:p w14:paraId="4703539D" w14:textId="10D06651" w:rsidR="00917DBC" w:rsidRPr="00DB3AA2" w:rsidRDefault="00917DBC" w:rsidP="003D23BB">
      <w:pPr>
        <w:pStyle w:val="BodyTextIndent3"/>
        <w:spacing w:line="240" w:lineRule="auto"/>
        <w:rPr>
          <w:rFonts w:ascii="Times New Roman" w:hAnsi="Times New Roman"/>
          <w:lang w:eastAsia="en-ZA"/>
        </w:rPr>
      </w:pPr>
      <w:r w:rsidRPr="00DB3AA2">
        <w:rPr>
          <w:rFonts w:ascii="Times New Roman" w:hAnsi="Times New Roman"/>
          <w:lang w:eastAsia="en-ZA"/>
        </w:rPr>
        <w:t xml:space="preserve">4.5. </w:t>
      </w:r>
      <w:proofErr w:type="gramStart"/>
      <w:r w:rsidRPr="00DB3AA2">
        <w:rPr>
          <w:rFonts w:ascii="Times New Roman" w:hAnsi="Times New Roman"/>
          <w:lang w:eastAsia="en-ZA"/>
        </w:rPr>
        <w:t>the</w:t>
      </w:r>
      <w:proofErr w:type="gramEnd"/>
      <w:r w:rsidRPr="00DB3AA2">
        <w:rPr>
          <w:rFonts w:ascii="Times New Roman" w:hAnsi="Times New Roman"/>
          <w:lang w:eastAsia="en-ZA"/>
        </w:rPr>
        <w:t xml:space="preserve"> undisputed debt of approximately R7 million owed by Born Free</w:t>
      </w:r>
      <w:r w:rsidR="00214B2F" w:rsidRPr="00DB3AA2">
        <w:rPr>
          <w:rFonts w:ascii="Times New Roman" w:hAnsi="Times New Roman"/>
          <w:lang w:eastAsia="en-ZA"/>
        </w:rPr>
        <w:t xml:space="preserve"> </w:t>
      </w:r>
      <w:r w:rsidRPr="00DB3AA2">
        <w:rPr>
          <w:rFonts w:ascii="Times New Roman" w:hAnsi="Times New Roman"/>
          <w:lang w:eastAsia="en-ZA"/>
        </w:rPr>
        <w:t>to our client;</w:t>
      </w:r>
    </w:p>
    <w:p w14:paraId="65AB8BFE" w14:textId="77777777" w:rsidR="00917DBC" w:rsidRPr="00DB3AA2" w:rsidRDefault="00917DBC" w:rsidP="003D23BB">
      <w:pPr>
        <w:pStyle w:val="BodyTextIndent3"/>
        <w:spacing w:line="240" w:lineRule="auto"/>
        <w:rPr>
          <w:rFonts w:ascii="Times New Roman" w:hAnsi="Times New Roman"/>
          <w:lang w:eastAsia="en-ZA"/>
        </w:rPr>
      </w:pPr>
      <w:r w:rsidRPr="00DB3AA2">
        <w:rPr>
          <w:rFonts w:ascii="Times New Roman" w:hAnsi="Times New Roman"/>
          <w:lang w:eastAsia="en-ZA"/>
        </w:rPr>
        <w:t xml:space="preserve">4.6. </w:t>
      </w:r>
      <w:proofErr w:type="gramStart"/>
      <w:r w:rsidRPr="00DB3AA2">
        <w:rPr>
          <w:rFonts w:ascii="Times New Roman" w:hAnsi="Times New Roman"/>
          <w:lang w:eastAsia="en-ZA"/>
        </w:rPr>
        <w:t>the</w:t>
      </w:r>
      <w:proofErr w:type="gramEnd"/>
      <w:r w:rsidRPr="00DB3AA2">
        <w:rPr>
          <w:rFonts w:ascii="Times New Roman" w:hAnsi="Times New Roman"/>
          <w:lang w:eastAsia="en-ZA"/>
        </w:rPr>
        <w:t xml:space="preserve"> issue of de-establishment;</w:t>
      </w:r>
    </w:p>
    <w:p w14:paraId="3CCA30E3" w14:textId="52DF445F"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4.7</w:t>
      </w:r>
      <w:r w:rsidRPr="00DB3AA2">
        <w:rPr>
          <w:rFonts w:ascii="Times New Roman" w:hAnsi="Times New Roman"/>
          <w:color w:val="434343"/>
          <w:sz w:val="23"/>
          <w:szCs w:val="23"/>
          <w:lang w:eastAsia="en-ZA"/>
        </w:rPr>
        <w:t xml:space="preserve">.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question of future geological investigations and rights of </w:t>
      </w:r>
      <w:proofErr w:type="spellStart"/>
      <w:r w:rsidRPr="00DB3AA2">
        <w:rPr>
          <w:rFonts w:ascii="Times New Roman" w:hAnsi="Times New Roman"/>
          <w:color w:val="0F0F0F"/>
          <w:sz w:val="23"/>
          <w:szCs w:val="23"/>
          <w:lang w:eastAsia="en-ZA"/>
        </w:rPr>
        <w:t>preemption</w:t>
      </w:r>
      <w:proofErr w:type="spellEnd"/>
      <w:r w:rsidRPr="00DB3AA2">
        <w:rPr>
          <w:rFonts w:ascii="Times New Roman" w:hAnsi="Times New Roman"/>
          <w:color w:val="0F0F0F"/>
          <w:sz w:val="23"/>
          <w:szCs w:val="23"/>
          <w:lang w:eastAsia="en-ZA"/>
        </w:rPr>
        <w:t>;</w:t>
      </w:r>
    </w:p>
    <w:p w14:paraId="33C24204" w14:textId="7777777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4.8.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issue of the $1 million advance on royalties;</w:t>
      </w:r>
    </w:p>
    <w:p w14:paraId="3E6B6D38" w14:textId="7777777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4.9.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labour problems;</w:t>
      </w:r>
    </w:p>
    <w:p w14:paraId="3A49C80C" w14:textId="23861232"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4.10</w:t>
      </w:r>
      <w:r w:rsidRPr="00DB3AA2">
        <w:rPr>
          <w:rFonts w:ascii="Times New Roman" w:hAnsi="Times New Roman"/>
          <w:color w:val="434343"/>
          <w:sz w:val="23"/>
          <w:szCs w:val="23"/>
          <w:lang w:eastAsia="en-ZA"/>
        </w:rPr>
        <w:t xml:space="preserve">.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revised draft of the agreements;</w:t>
      </w:r>
    </w:p>
    <w:p w14:paraId="112DA5DE" w14:textId="6974D976"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4.11</w:t>
      </w:r>
      <w:r w:rsidRPr="00DB3AA2">
        <w:rPr>
          <w:rFonts w:ascii="Times New Roman" w:hAnsi="Times New Roman"/>
          <w:color w:val="2C2C2C"/>
          <w:sz w:val="23"/>
          <w:szCs w:val="23"/>
          <w:lang w:eastAsia="en-ZA"/>
        </w:rPr>
        <w:t xml:space="preserve">. </w:t>
      </w:r>
      <w:proofErr w:type="gramStart"/>
      <w:r w:rsidRPr="00DB3AA2">
        <w:rPr>
          <w:rFonts w:ascii="Times New Roman" w:hAnsi="Times New Roman"/>
          <w:color w:val="0F0F0F"/>
          <w:sz w:val="23"/>
          <w:szCs w:val="23"/>
          <w:lang w:eastAsia="en-ZA"/>
        </w:rPr>
        <w:t>section</w:t>
      </w:r>
      <w:proofErr w:type="gramEnd"/>
      <w:r w:rsidRPr="00DB3AA2">
        <w:rPr>
          <w:rFonts w:ascii="Times New Roman" w:hAnsi="Times New Roman"/>
          <w:color w:val="0F0F0F"/>
          <w:sz w:val="23"/>
          <w:szCs w:val="23"/>
          <w:lang w:eastAsia="en-ZA"/>
        </w:rPr>
        <w:t xml:space="preserve"> 38 of the Companies Act and whether the sale could be set</w:t>
      </w:r>
      <w:r w:rsidR="00214B2F"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aside at a later date;</w:t>
      </w:r>
    </w:p>
    <w:p w14:paraId="16A6F489" w14:textId="42C760C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4.12</w:t>
      </w:r>
      <w:r w:rsidRPr="00DB3AA2">
        <w:rPr>
          <w:rFonts w:ascii="Times New Roman" w:hAnsi="Times New Roman"/>
          <w:color w:val="2C2C2C"/>
          <w:sz w:val="23"/>
          <w:szCs w:val="23"/>
          <w:lang w:eastAsia="en-ZA"/>
        </w:rPr>
        <w:t xml:space="preserve">.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loan account by Ellis and how this could be dealt with in regard</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to the price;</w:t>
      </w:r>
    </w:p>
    <w:p w14:paraId="1DFFE46B" w14:textId="7777777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4.13.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so-called cession agreement and the security that it provided;</w:t>
      </w:r>
    </w:p>
    <w:p w14:paraId="7CEA9CA2" w14:textId="7777777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4.14.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contractual relationship between </w:t>
      </w:r>
      <w:proofErr w:type="spellStart"/>
      <w:r w:rsidRPr="00DB3AA2">
        <w:rPr>
          <w:rFonts w:ascii="Times New Roman" w:hAnsi="Times New Roman"/>
          <w:color w:val="0F0F0F"/>
          <w:sz w:val="23"/>
          <w:szCs w:val="23"/>
          <w:lang w:eastAsia="en-ZA"/>
        </w:rPr>
        <w:t>Garlpex</w:t>
      </w:r>
      <w:proofErr w:type="spellEnd"/>
      <w:r w:rsidRPr="00DB3AA2">
        <w:rPr>
          <w:rFonts w:ascii="Times New Roman" w:hAnsi="Times New Roman"/>
          <w:color w:val="0F0F0F"/>
          <w:sz w:val="23"/>
          <w:szCs w:val="23"/>
          <w:lang w:eastAsia="en-ZA"/>
        </w:rPr>
        <w:t xml:space="preserve"> and </w:t>
      </w:r>
      <w:proofErr w:type="spellStart"/>
      <w:r w:rsidRPr="00DB3AA2">
        <w:rPr>
          <w:rFonts w:ascii="Times New Roman" w:hAnsi="Times New Roman"/>
          <w:color w:val="0F0F0F"/>
          <w:sz w:val="23"/>
          <w:szCs w:val="23"/>
          <w:lang w:eastAsia="en-ZA"/>
        </w:rPr>
        <w:t>CoalBrick</w:t>
      </w:r>
      <w:proofErr w:type="spellEnd"/>
      <w:r w:rsidRPr="00DB3AA2">
        <w:rPr>
          <w:rFonts w:ascii="Times New Roman" w:hAnsi="Times New Roman"/>
          <w:color w:val="0F0F0F"/>
          <w:sz w:val="23"/>
          <w:szCs w:val="23"/>
          <w:lang w:eastAsia="en-ZA"/>
        </w:rPr>
        <w:t>;</w:t>
      </w:r>
    </w:p>
    <w:p w14:paraId="49CBB655" w14:textId="58FAB13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lastRenderedPageBreak/>
        <w:t xml:space="preserve">4.15.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convoluted methodology in regard to the relationship between</w:t>
      </w:r>
      <w:r w:rsidR="003D23BB" w:rsidRPr="00DB3AA2">
        <w:rPr>
          <w:rFonts w:ascii="Times New Roman" w:hAnsi="Times New Roman"/>
          <w:color w:val="0F0F0F"/>
          <w:sz w:val="23"/>
          <w:szCs w:val="23"/>
          <w:lang w:eastAsia="en-ZA"/>
        </w:rPr>
        <w:t xml:space="preserve"> </w:t>
      </w:r>
      <w:proofErr w:type="spellStart"/>
      <w:r w:rsidRPr="00DB3AA2">
        <w:rPr>
          <w:rFonts w:ascii="Times New Roman" w:hAnsi="Times New Roman"/>
          <w:color w:val="0F0F0F"/>
          <w:sz w:val="23"/>
          <w:szCs w:val="23"/>
          <w:lang w:eastAsia="en-ZA"/>
        </w:rPr>
        <w:t>Garlpex</w:t>
      </w:r>
      <w:proofErr w:type="spellEnd"/>
      <w:r w:rsidRPr="00DB3AA2">
        <w:rPr>
          <w:rFonts w:ascii="Times New Roman" w:hAnsi="Times New Roman"/>
          <w:color w:val="0F0F0F"/>
          <w:sz w:val="23"/>
          <w:szCs w:val="23"/>
          <w:lang w:eastAsia="en-ZA"/>
        </w:rPr>
        <w:t xml:space="preserve"> and Planet Mining and whether there was unlawful</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externalising of profits;</w:t>
      </w:r>
    </w:p>
    <w:p w14:paraId="44CD3902" w14:textId="325C6AF3"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4.16</w:t>
      </w:r>
      <w:r w:rsidRPr="00DB3AA2">
        <w:rPr>
          <w:rFonts w:ascii="Times New Roman" w:hAnsi="Times New Roman"/>
          <w:color w:val="434343"/>
          <w:sz w:val="23"/>
          <w:szCs w:val="23"/>
          <w:lang w:eastAsia="en-ZA"/>
        </w:rPr>
        <w:t xml:space="preserve">.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financial due diligence, the lack of financial statements, effective</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date accounts and difficulties relating to warranties as to the amount</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of the liabilities of the company;</w:t>
      </w:r>
    </w:p>
    <w:p w14:paraId="1010C8E9" w14:textId="7777777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4.17.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w:t>
      </w:r>
      <w:proofErr w:type="spellStart"/>
      <w:r w:rsidRPr="00DB3AA2">
        <w:rPr>
          <w:rFonts w:ascii="Times New Roman" w:hAnsi="Times New Roman"/>
          <w:color w:val="0F0F0F"/>
          <w:sz w:val="23"/>
          <w:szCs w:val="23"/>
          <w:lang w:eastAsia="en-ZA"/>
        </w:rPr>
        <w:t>voetstoots</w:t>
      </w:r>
      <w:proofErr w:type="spellEnd"/>
      <w:r w:rsidRPr="00DB3AA2">
        <w:rPr>
          <w:rFonts w:ascii="Times New Roman" w:hAnsi="Times New Roman"/>
          <w:color w:val="0F0F0F"/>
          <w:sz w:val="23"/>
          <w:szCs w:val="23"/>
          <w:lang w:eastAsia="en-ZA"/>
        </w:rPr>
        <w:t xml:space="preserve"> problem;</w:t>
      </w:r>
    </w:p>
    <w:p w14:paraId="6EF85B8C" w14:textId="52C68C15"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4.18. </w:t>
      </w:r>
      <w:proofErr w:type="gramStart"/>
      <w:r w:rsidR="00D02694">
        <w:rPr>
          <w:rFonts w:ascii="Times New Roman" w:hAnsi="Times New Roman"/>
          <w:color w:val="0F0F0F"/>
          <w:sz w:val="23"/>
          <w:szCs w:val="23"/>
          <w:lang w:eastAsia="en-ZA"/>
        </w:rPr>
        <w:t>the</w:t>
      </w:r>
      <w:proofErr w:type="gramEnd"/>
      <w:r w:rsidR="00D02694">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question of minority protection;</w:t>
      </w:r>
    </w:p>
    <w:p w14:paraId="669D6C32" w14:textId="1ACDCEF0"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4.19.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danger of </w:t>
      </w:r>
      <w:proofErr w:type="spellStart"/>
      <w:r w:rsidRPr="00DB3AA2">
        <w:rPr>
          <w:rFonts w:ascii="Times New Roman" w:hAnsi="Times New Roman"/>
          <w:color w:val="0F0F0F"/>
          <w:sz w:val="23"/>
          <w:szCs w:val="23"/>
          <w:lang w:eastAsia="en-ZA"/>
        </w:rPr>
        <w:t>Garlpex</w:t>
      </w:r>
      <w:proofErr w:type="spellEnd"/>
      <w:r w:rsidRPr="00DB3AA2">
        <w:rPr>
          <w:rFonts w:ascii="Times New Roman" w:hAnsi="Times New Roman"/>
          <w:color w:val="0F0F0F"/>
          <w:sz w:val="23"/>
          <w:szCs w:val="23"/>
          <w:lang w:eastAsia="en-ZA"/>
        </w:rPr>
        <w:t xml:space="preserve"> cancelling their agreement and the</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consequences of the obligations imposed on Planet Mining in regard</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to production;</w:t>
      </w:r>
    </w:p>
    <w:p w14:paraId="404CA28A" w14:textId="7777777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4.20.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issue of the payment clause and the details in regard thereto;</w:t>
      </w:r>
    </w:p>
    <w:p w14:paraId="570462F2" w14:textId="77777777"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4.21.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implications of the warranties relating to tax issues;</w:t>
      </w:r>
    </w:p>
    <w:p w14:paraId="73F4AEF4" w14:textId="7E29FB06"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4.22. </w:t>
      </w:r>
      <w:proofErr w:type="gramStart"/>
      <w:r w:rsidRPr="00DB3AA2">
        <w:rPr>
          <w:rFonts w:ascii="Times New Roman" w:hAnsi="Times New Roman"/>
          <w:color w:val="0F0F0F"/>
          <w:sz w:val="23"/>
          <w:szCs w:val="23"/>
          <w:lang w:eastAsia="en-ZA"/>
        </w:rPr>
        <w:t>an</w:t>
      </w:r>
      <w:proofErr w:type="gramEnd"/>
      <w:r w:rsidRPr="00DB3AA2">
        <w:rPr>
          <w:rFonts w:ascii="Times New Roman" w:hAnsi="Times New Roman"/>
          <w:color w:val="0F0F0F"/>
          <w:sz w:val="23"/>
          <w:szCs w:val="23"/>
          <w:lang w:eastAsia="en-ZA"/>
        </w:rPr>
        <w:t xml:space="preserve"> ex-employee of Born Free claiming an investment in the company</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and the consequences thereof;</w:t>
      </w:r>
    </w:p>
    <w:p w14:paraId="581E69DB" w14:textId="4B0FF48D"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4.23</w:t>
      </w:r>
      <w:r w:rsidRPr="00DB3AA2">
        <w:rPr>
          <w:rFonts w:ascii="Times New Roman" w:hAnsi="Times New Roman"/>
          <w:color w:val="2C2C2C"/>
          <w:sz w:val="23"/>
          <w:szCs w:val="23"/>
          <w:lang w:eastAsia="en-ZA"/>
        </w:rPr>
        <w:t xml:space="preserve">.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consequences of the dilapidated equipment and the warranty</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clause;</w:t>
      </w:r>
    </w:p>
    <w:p w14:paraId="0820260A" w14:textId="714795D6"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4.24</w:t>
      </w:r>
      <w:r w:rsidRPr="00DB3AA2">
        <w:rPr>
          <w:rFonts w:ascii="Times New Roman" w:hAnsi="Times New Roman"/>
          <w:color w:val="2C2C2C"/>
          <w:sz w:val="23"/>
          <w:szCs w:val="23"/>
          <w:lang w:eastAsia="en-ZA"/>
        </w:rPr>
        <w:t xml:space="preserve">.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implications of the fact that the sellers had a fall-out considering</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and advising on separate agreements with the</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sellers;</w:t>
      </w:r>
    </w:p>
    <w:p w14:paraId="77B4F562" w14:textId="1C576D30" w:rsidR="00E86901"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4.25</w:t>
      </w:r>
      <w:r w:rsidRPr="00DB3AA2">
        <w:rPr>
          <w:rFonts w:ascii="Times New Roman" w:hAnsi="Times New Roman"/>
          <w:color w:val="2C2C2C"/>
          <w:sz w:val="23"/>
          <w:szCs w:val="23"/>
          <w:lang w:eastAsia="en-ZA"/>
        </w:rPr>
        <w:t xml:space="preserve">. </w:t>
      </w:r>
      <w:r w:rsidRPr="00DB3AA2">
        <w:rPr>
          <w:rFonts w:ascii="Times New Roman" w:hAnsi="Times New Roman"/>
          <w:color w:val="0F0F0F"/>
          <w:sz w:val="23"/>
          <w:szCs w:val="23"/>
          <w:lang w:eastAsia="en-ZA"/>
        </w:rPr>
        <w:t>holding back payment against warranty claims in regard to the so</w:t>
      </w:r>
      <w:r w:rsidR="00FF361E">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called</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investors, CCMA claims, wages from employees, diesel claims</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and whether payments could be paid into a trust account and</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consequences thereof and the risk of cancellation; and</w:t>
      </w:r>
    </w:p>
    <w:p w14:paraId="1796AF52" w14:textId="3CB07B62" w:rsidR="00214B2F" w:rsidRPr="00DB3AA2" w:rsidRDefault="00E86901" w:rsidP="003D23BB">
      <w:pPr>
        <w:pStyle w:val="BodyTextIndent3"/>
        <w:spacing w:line="240" w:lineRule="auto"/>
        <w:rPr>
          <w:rFonts w:ascii="Times New Roman" w:hAnsi="Times New Roman"/>
          <w:color w:val="0F0F0F"/>
          <w:sz w:val="23"/>
          <w:szCs w:val="23"/>
          <w:lang w:eastAsia="en-ZA"/>
        </w:rPr>
      </w:pPr>
      <w:r w:rsidRPr="00DB3AA2">
        <w:rPr>
          <w:rFonts w:ascii="Times New Roman" w:hAnsi="Times New Roman"/>
          <w:color w:val="0F0F0F"/>
          <w:sz w:val="23"/>
          <w:szCs w:val="23"/>
          <w:lang w:eastAsia="en-ZA"/>
        </w:rPr>
        <w:t xml:space="preserve">4.26. </w:t>
      </w:r>
      <w:proofErr w:type="gramStart"/>
      <w:r w:rsidRPr="00DB3AA2">
        <w:rPr>
          <w:rFonts w:ascii="Times New Roman" w:hAnsi="Times New Roman"/>
          <w:color w:val="0F0F0F"/>
          <w:sz w:val="23"/>
          <w:szCs w:val="23"/>
          <w:lang w:eastAsia="en-ZA"/>
        </w:rPr>
        <w:t>the</w:t>
      </w:r>
      <w:proofErr w:type="gramEnd"/>
      <w:r w:rsidRPr="00DB3AA2">
        <w:rPr>
          <w:rFonts w:ascii="Times New Roman" w:hAnsi="Times New Roman"/>
          <w:color w:val="0F0F0F"/>
          <w:sz w:val="23"/>
          <w:szCs w:val="23"/>
          <w:lang w:eastAsia="en-ZA"/>
        </w:rPr>
        <w:t xml:space="preserve"> sellers had fraudulently misrepresented the results and the legal</w:t>
      </w:r>
      <w:r w:rsidR="003D23BB" w:rsidRPr="00DB3AA2">
        <w:rPr>
          <w:rFonts w:ascii="Times New Roman" w:hAnsi="Times New Roman"/>
          <w:color w:val="0F0F0F"/>
          <w:sz w:val="23"/>
          <w:szCs w:val="23"/>
          <w:lang w:eastAsia="en-ZA"/>
        </w:rPr>
        <w:t xml:space="preserve"> </w:t>
      </w:r>
      <w:r w:rsidRPr="00DB3AA2">
        <w:rPr>
          <w:rFonts w:ascii="Times New Roman" w:hAnsi="Times New Roman"/>
          <w:color w:val="0F0F0F"/>
          <w:sz w:val="23"/>
          <w:szCs w:val="23"/>
          <w:lang w:eastAsia="en-ZA"/>
        </w:rPr>
        <w:t>consequence thereof including criminal and civil issues.</w:t>
      </w:r>
    </w:p>
    <w:p w14:paraId="1B2420B4" w14:textId="6985381F" w:rsidR="00E21251"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72</w:t>
      </w:r>
      <w:r w:rsidRPr="00DB3AA2">
        <w:rPr>
          <w:rFonts w:ascii="Times New Roman" w:hAnsi="Times New Roman"/>
        </w:rPr>
        <w:tab/>
      </w:r>
      <w:r w:rsidR="003837ED" w:rsidRPr="00DB3AA2">
        <w:rPr>
          <w:rFonts w:ascii="Times New Roman" w:hAnsi="Times New Roman"/>
        </w:rPr>
        <w:t xml:space="preserve">Although </w:t>
      </w:r>
      <w:r w:rsidR="00291FF7" w:rsidRPr="00DB3AA2">
        <w:rPr>
          <w:rFonts w:ascii="Times New Roman" w:hAnsi="Times New Roman"/>
        </w:rPr>
        <w:t xml:space="preserve">it is not really possible to discern the full context to each of the items on this list, I agree with </w:t>
      </w:r>
      <w:r w:rsidR="00291FF7" w:rsidRPr="009E3E23">
        <w:rPr>
          <w:rFonts w:ascii="Times New Roman" w:hAnsi="Times New Roman"/>
          <w:i/>
          <w:iCs/>
        </w:rPr>
        <w:t xml:space="preserve">Mr </w:t>
      </w:r>
      <w:proofErr w:type="spellStart"/>
      <w:r w:rsidR="00291FF7" w:rsidRPr="009E3E23">
        <w:rPr>
          <w:rFonts w:ascii="Times New Roman" w:hAnsi="Times New Roman"/>
          <w:i/>
          <w:iCs/>
        </w:rPr>
        <w:t>Broster</w:t>
      </w:r>
      <w:proofErr w:type="spellEnd"/>
      <w:r w:rsidR="00291FF7" w:rsidRPr="00DB3AA2">
        <w:rPr>
          <w:rFonts w:ascii="Times New Roman" w:hAnsi="Times New Roman"/>
        </w:rPr>
        <w:t xml:space="preserve"> that, in this situation, it would have been difficult for WK Construction’s attorneys to give any further information without defeating the purpose of the privilege.</w:t>
      </w:r>
      <w:r w:rsidR="00B07ACA" w:rsidRPr="00DB3AA2">
        <w:rPr>
          <w:rFonts w:ascii="Times New Roman" w:hAnsi="Times New Roman"/>
        </w:rPr>
        <w:t xml:space="preserve"> With this starting point, we are then f</w:t>
      </w:r>
      <w:r w:rsidR="0074446A" w:rsidRPr="00DB3AA2">
        <w:rPr>
          <w:rFonts w:ascii="Times New Roman" w:hAnsi="Times New Roman"/>
        </w:rPr>
        <w:t>aced with document</w:t>
      </w:r>
      <w:r w:rsidR="00B07ACA" w:rsidRPr="00DB3AA2">
        <w:rPr>
          <w:rFonts w:ascii="Times New Roman" w:hAnsi="Times New Roman"/>
        </w:rPr>
        <w:t>s</w:t>
      </w:r>
      <w:r w:rsidR="0074446A" w:rsidRPr="00DB3AA2">
        <w:rPr>
          <w:rFonts w:ascii="Times New Roman" w:hAnsi="Times New Roman"/>
        </w:rPr>
        <w:t xml:space="preserve"> such as the Hay file notes</w:t>
      </w:r>
      <w:r w:rsidR="003E7A4F">
        <w:rPr>
          <w:rFonts w:ascii="Times New Roman" w:hAnsi="Times New Roman"/>
        </w:rPr>
        <w:t xml:space="preserve"> (which, as I mentioned above, our courts have held are ordinarily privileged)</w:t>
      </w:r>
      <w:r w:rsidR="0074446A" w:rsidRPr="00DB3AA2">
        <w:rPr>
          <w:rFonts w:ascii="Times New Roman" w:hAnsi="Times New Roman"/>
        </w:rPr>
        <w:t>, coupled with a statement from WK Construction’s attorney that th</w:t>
      </w:r>
      <w:r w:rsidR="0030519A" w:rsidRPr="00DB3AA2">
        <w:rPr>
          <w:rFonts w:ascii="Times New Roman" w:hAnsi="Times New Roman"/>
        </w:rPr>
        <w:t xml:space="preserve">at </w:t>
      </w:r>
      <w:r w:rsidR="0030519A" w:rsidRPr="00DB3AA2">
        <w:rPr>
          <w:rFonts w:ascii="Times New Roman" w:hAnsi="Times New Roman"/>
        </w:rPr>
        <w:lastRenderedPageBreak/>
        <w:t>document is privileged</w:t>
      </w:r>
      <w:r w:rsidR="00922071" w:rsidRPr="00DB3AA2">
        <w:rPr>
          <w:rFonts w:ascii="Times New Roman" w:hAnsi="Times New Roman"/>
        </w:rPr>
        <w:t>. In these circumstances</w:t>
      </w:r>
      <w:r w:rsidR="0030519A" w:rsidRPr="00DB3AA2">
        <w:rPr>
          <w:rFonts w:ascii="Times New Roman" w:hAnsi="Times New Roman"/>
        </w:rPr>
        <w:t xml:space="preserve">, it would take some other compelling consideration or piece of evidence to dislodge the strong starting presumption that the document in question reflects a written memorial of legal advice given by an attorney to his client. There is nothing before me to dislodge that </w:t>
      </w:r>
      <w:r w:rsidR="0097539D" w:rsidRPr="00DB3AA2">
        <w:rPr>
          <w:rFonts w:ascii="Times New Roman" w:hAnsi="Times New Roman"/>
        </w:rPr>
        <w:t>presumption.</w:t>
      </w:r>
    </w:p>
    <w:p w14:paraId="0C5F1835" w14:textId="34E2528A" w:rsidR="002E2F58"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73</w:t>
      </w:r>
      <w:r w:rsidRPr="00DB3AA2">
        <w:rPr>
          <w:rFonts w:ascii="Times New Roman" w:hAnsi="Times New Roman"/>
        </w:rPr>
        <w:tab/>
      </w:r>
      <w:r w:rsidR="002E2F58" w:rsidRPr="00DB3AA2">
        <w:rPr>
          <w:rFonts w:ascii="Times New Roman" w:hAnsi="Times New Roman"/>
        </w:rPr>
        <w:t xml:space="preserve">In this regard, it is important to have regard to the way in which this case was pleaded by Mr Brown. </w:t>
      </w:r>
      <w:r w:rsidR="00356DE1" w:rsidRPr="00DB3AA2">
        <w:rPr>
          <w:rFonts w:ascii="Times New Roman" w:hAnsi="Times New Roman"/>
        </w:rPr>
        <w:t xml:space="preserve">As I have already mentioned, in his founding affidavit in this interlocutory application, while stating the four requirements of the legal professional privilege (which includes the legal advice privilege on which WK Construction relies), </w:t>
      </w:r>
      <w:r w:rsidR="003851B5" w:rsidRPr="00DB3AA2">
        <w:rPr>
          <w:rFonts w:ascii="Times New Roman" w:hAnsi="Times New Roman"/>
        </w:rPr>
        <w:t>Mr Brown’s case was essentially that the privilege could not apply because no litigation could possibly have been contemplated. In response to this, WK Construction pointed out that it did not rely on the litigation privilege, but rather on the legal advice privilege. It explained its position as follows:</w:t>
      </w:r>
    </w:p>
    <w:p w14:paraId="0DDF9699" w14:textId="670283FE" w:rsidR="003851B5" w:rsidRPr="00DB3AA2" w:rsidRDefault="003851B5" w:rsidP="00B75148">
      <w:pPr>
        <w:pStyle w:val="BodyTextIndent"/>
        <w:spacing w:line="240" w:lineRule="auto"/>
        <w:ind w:left="1134"/>
        <w:rPr>
          <w:rFonts w:ascii="Times New Roman" w:hAnsi="Times New Roman"/>
        </w:rPr>
      </w:pPr>
      <w:r w:rsidRPr="00DB3AA2">
        <w:rPr>
          <w:rFonts w:ascii="Times New Roman" w:hAnsi="Times New Roman"/>
        </w:rPr>
        <w:t>“</w:t>
      </w:r>
      <w:r w:rsidR="00DB17CF" w:rsidRPr="00DB3AA2">
        <w:rPr>
          <w:rFonts w:ascii="Times New Roman" w:hAnsi="Times New Roman"/>
        </w:rPr>
        <w:t>It is apparent from the file notes annexed to the founding affidavit [a reference to the redacted Hay file notes] that the broad subject matter of the advice sought by WK from Cox Yeats was how to implement the 28 June 2013 [</w:t>
      </w:r>
      <w:r w:rsidR="008652FF" w:rsidRPr="00DB3AA2">
        <w:rPr>
          <w:rFonts w:ascii="Times New Roman" w:hAnsi="Times New Roman"/>
        </w:rPr>
        <w:t>sic</w:t>
      </w:r>
      <w:r w:rsidR="00B13F60">
        <w:rPr>
          <w:rFonts w:ascii="Times New Roman" w:hAnsi="Times New Roman"/>
        </w:rPr>
        <w:t>, this should say 2010</w:t>
      </w:r>
      <w:r w:rsidR="008652FF" w:rsidRPr="00DB3AA2">
        <w:rPr>
          <w:rFonts w:ascii="Times New Roman" w:hAnsi="Times New Roman"/>
        </w:rPr>
        <w:t xml:space="preserve">] board resolution of WK. The advice was sought by Mr Willie </w:t>
      </w:r>
      <w:proofErr w:type="spellStart"/>
      <w:r w:rsidR="008652FF" w:rsidRPr="00DB3AA2">
        <w:rPr>
          <w:rFonts w:ascii="Times New Roman" w:hAnsi="Times New Roman"/>
        </w:rPr>
        <w:t>Kusel</w:t>
      </w:r>
      <w:proofErr w:type="spellEnd"/>
      <w:r w:rsidR="008652FF" w:rsidRPr="00DB3AA2">
        <w:rPr>
          <w:rFonts w:ascii="Times New Roman" w:hAnsi="Times New Roman"/>
        </w:rPr>
        <w:t xml:space="preserve"> the then Chairman of the Board of Directors of WK. It was legal advice and it was sought in confidence. The notes are accordingly </w:t>
      </w:r>
      <w:r w:rsidR="00B75148" w:rsidRPr="00DB3AA2">
        <w:rPr>
          <w:rFonts w:ascii="Times New Roman" w:hAnsi="Times New Roman"/>
        </w:rPr>
        <w:t>privileged.”</w:t>
      </w:r>
    </w:p>
    <w:p w14:paraId="581A070F" w14:textId="3627EE00" w:rsidR="000711FC"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74</w:t>
      </w:r>
      <w:r w:rsidRPr="00DB3AA2">
        <w:rPr>
          <w:rFonts w:ascii="Times New Roman" w:hAnsi="Times New Roman"/>
        </w:rPr>
        <w:tab/>
      </w:r>
      <w:r w:rsidR="00655FC2" w:rsidRPr="00DB3AA2">
        <w:rPr>
          <w:rFonts w:ascii="Times New Roman" w:hAnsi="Times New Roman"/>
        </w:rPr>
        <w:t>It seems to me that, in the face of the contents of the founding affidavit</w:t>
      </w:r>
      <w:r w:rsidR="00395845" w:rsidRPr="00DB3AA2">
        <w:rPr>
          <w:rFonts w:ascii="Times New Roman" w:hAnsi="Times New Roman"/>
        </w:rPr>
        <w:t xml:space="preserve">, which seem to convey the view that only the litigation privilege could justify WK Construction’s refusal to </w:t>
      </w:r>
      <w:r w:rsidR="00215FD3" w:rsidRPr="00DB3AA2">
        <w:rPr>
          <w:rFonts w:ascii="Times New Roman" w:hAnsi="Times New Roman"/>
        </w:rPr>
        <w:t xml:space="preserve">reveal the </w:t>
      </w:r>
      <w:proofErr w:type="spellStart"/>
      <w:r w:rsidR="00215FD3" w:rsidRPr="00DB3AA2">
        <w:rPr>
          <w:rFonts w:ascii="Times New Roman" w:hAnsi="Times New Roman"/>
        </w:rPr>
        <w:t>unredacted</w:t>
      </w:r>
      <w:proofErr w:type="spellEnd"/>
      <w:r w:rsidR="00215FD3" w:rsidRPr="00DB3AA2">
        <w:rPr>
          <w:rFonts w:ascii="Times New Roman" w:hAnsi="Times New Roman"/>
        </w:rPr>
        <w:t xml:space="preserve"> Hay file notes, the response in the answering affidavit was perfectly reasonable. It provides sufficient information to explain why the Hay file notes are privileged. </w:t>
      </w:r>
      <w:r w:rsidR="000D58FA" w:rsidRPr="00DB3AA2">
        <w:rPr>
          <w:rFonts w:ascii="Times New Roman" w:hAnsi="Times New Roman"/>
        </w:rPr>
        <w:t xml:space="preserve">As pointed out by </w:t>
      </w:r>
      <w:r w:rsidR="000D58FA" w:rsidRPr="00A020F9">
        <w:rPr>
          <w:rFonts w:ascii="Times New Roman" w:hAnsi="Times New Roman"/>
          <w:i/>
          <w:iCs/>
        </w:rPr>
        <w:t xml:space="preserve">Mr </w:t>
      </w:r>
      <w:proofErr w:type="spellStart"/>
      <w:r w:rsidR="000D58FA" w:rsidRPr="00A020F9">
        <w:rPr>
          <w:rFonts w:ascii="Times New Roman" w:hAnsi="Times New Roman"/>
          <w:i/>
          <w:iCs/>
        </w:rPr>
        <w:t>Broster</w:t>
      </w:r>
      <w:proofErr w:type="spellEnd"/>
      <w:r w:rsidR="000D58FA" w:rsidRPr="00DB3AA2">
        <w:rPr>
          <w:rFonts w:ascii="Times New Roman" w:hAnsi="Times New Roman"/>
        </w:rPr>
        <w:t>, t</w:t>
      </w:r>
      <w:r w:rsidR="00606B81" w:rsidRPr="00DB3AA2">
        <w:rPr>
          <w:rFonts w:ascii="Times New Roman" w:hAnsi="Times New Roman"/>
        </w:rPr>
        <w:t>he information provided in the answering affidavit is consistent with what one would expect about the Hay file notes</w:t>
      </w:r>
      <w:r w:rsidR="00D01868" w:rsidRPr="00DB3AA2">
        <w:rPr>
          <w:rFonts w:ascii="Times New Roman" w:hAnsi="Times New Roman"/>
        </w:rPr>
        <w:t>. H</w:t>
      </w:r>
      <w:r w:rsidR="000E5501" w:rsidRPr="00DB3AA2">
        <w:rPr>
          <w:rFonts w:ascii="Times New Roman" w:hAnsi="Times New Roman"/>
        </w:rPr>
        <w:t xml:space="preserve">ad the document in question been something similar to the invoices in </w:t>
      </w:r>
      <w:r w:rsidR="000E5501" w:rsidRPr="00DB3AA2">
        <w:rPr>
          <w:rFonts w:ascii="Times New Roman" w:hAnsi="Times New Roman"/>
          <w:i/>
          <w:iCs/>
        </w:rPr>
        <w:t>A Company</w:t>
      </w:r>
      <w:r w:rsidR="000E5501" w:rsidRPr="00DB3AA2">
        <w:rPr>
          <w:rFonts w:ascii="Times New Roman" w:hAnsi="Times New Roman"/>
        </w:rPr>
        <w:t xml:space="preserve"> or some other type of document which one would ordinarily not expect to convey legal advice, the </w:t>
      </w:r>
      <w:r w:rsidR="000E5501" w:rsidRPr="00DB3AA2">
        <w:rPr>
          <w:rFonts w:ascii="Times New Roman" w:hAnsi="Times New Roman"/>
        </w:rPr>
        <w:lastRenderedPageBreak/>
        <w:t>position might well have been different.</w:t>
      </w:r>
      <w:r w:rsidR="00997CB0" w:rsidRPr="00DB3AA2">
        <w:rPr>
          <w:rFonts w:ascii="Times New Roman" w:hAnsi="Times New Roman"/>
        </w:rPr>
        <w:t xml:space="preserve"> But there is simply no reason to go behind the explanation in the answering affidavit</w:t>
      </w:r>
      <w:r w:rsidR="007044EA" w:rsidRPr="00DB3AA2">
        <w:rPr>
          <w:rFonts w:ascii="Times New Roman" w:hAnsi="Times New Roman"/>
        </w:rPr>
        <w:t xml:space="preserve"> in the circumstances of this case</w:t>
      </w:r>
      <w:r w:rsidR="00997CB0" w:rsidRPr="00DB3AA2">
        <w:rPr>
          <w:rFonts w:ascii="Times New Roman" w:hAnsi="Times New Roman"/>
        </w:rPr>
        <w:t>.</w:t>
      </w:r>
    </w:p>
    <w:p w14:paraId="5AA6696E" w14:textId="781D5DB6" w:rsidR="00C751C4" w:rsidRPr="00DB3AA2" w:rsidRDefault="00C751C4" w:rsidP="00C751C4">
      <w:pPr>
        <w:pStyle w:val="Heading1"/>
        <w:rPr>
          <w:rFonts w:ascii="Times New Roman" w:hAnsi="Times New Roman"/>
        </w:rPr>
      </w:pPr>
      <w:r w:rsidRPr="00DB3AA2">
        <w:rPr>
          <w:rFonts w:ascii="Times New Roman" w:hAnsi="Times New Roman"/>
        </w:rPr>
        <w:t>CONCLUSION</w:t>
      </w:r>
    </w:p>
    <w:p w14:paraId="50D3059C" w14:textId="78C845BA" w:rsidR="00C751C4"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75</w:t>
      </w:r>
      <w:r w:rsidRPr="00DB3AA2">
        <w:rPr>
          <w:rFonts w:ascii="Times New Roman" w:hAnsi="Times New Roman"/>
        </w:rPr>
        <w:tab/>
      </w:r>
      <w:r w:rsidR="00C751C4" w:rsidRPr="00DB3AA2">
        <w:rPr>
          <w:rFonts w:ascii="Times New Roman" w:hAnsi="Times New Roman"/>
        </w:rPr>
        <w:t xml:space="preserve">In the light of what I have said above, there is no basis for the relief sought by Mr Brown in this interlocutory application. It follows that it must be dismissed. </w:t>
      </w:r>
      <w:r w:rsidR="00C83511" w:rsidRPr="00DB3AA2">
        <w:rPr>
          <w:rFonts w:ascii="Times New Roman" w:hAnsi="Times New Roman"/>
        </w:rPr>
        <w:t xml:space="preserve">Mr Brown accepted that, if I ordered a judicial peek, costs should be reserved for the determination of the trial judge. This was clearly sensible. But both parties took the view that, if I granted the application outright or dismissed it, costs should follow the result. It follows that Mr Brown should pay the costs of this application. Both parties employed two counsel (at least in argument) and as may be seen from the discussion above, there were some complexities in this matter. At the very least, the eminent silks who argued this matter were no doubt </w:t>
      </w:r>
      <w:r w:rsidR="0031651B" w:rsidRPr="00DB3AA2">
        <w:rPr>
          <w:rFonts w:ascii="Times New Roman" w:hAnsi="Times New Roman"/>
        </w:rPr>
        <w:t>ably assisted by their juniors in preparing the supplementary submissions which I invited. It is therefore appropriate, in my view, for the costs to include the costs of two counsel.</w:t>
      </w:r>
    </w:p>
    <w:p w14:paraId="0F6E0A01" w14:textId="23B1D86B" w:rsidR="0031651B" w:rsidRPr="00DB3AA2" w:rsidRDefault="00065B2B" w:rsidP="00065B2B">
      <w:pPr>
        <w:pStyle w:val="WLGLevel1"/>
        <w:numPr>
          <w:ilvl w:val="0"/>
          <w:numId w:val="0"/>
        </w:numPr>
        <w:tabs>
          <w:tab w:val="left" w:pos="567"/>
        </w:tabs>
        <w:ind w:left="562" w:hanging="562"/>
        <w:rPr>
          <w:rFonts w:ascii="Times New Roman" w:hAnsi="Times New Roman"/>
        </w:rPr>
      </w:pPr>
      <w:r w:rsidRPr="00DB3AA2">
        <w:rPr>
          <w:rFonts w:ascii="Times New Roman" w:hAnsi="Times New Roman"/>
        </w:rPr>
        <w:t>76</w:t>
      </w:r>
      <w:r w:rsidRPr="00DB3AA2">
        <w:rPr>
          <w:rFonts w:ascii="Times New Roman" w:hAnsi="Times New Roman"/>
        </w:rPr>
        <w:tab/>
      </w:r>
      <w:r w:rsidR="0031651B" w:rsidRPr="00DB3AA2">
        <w:rPr>
          <w:rFonts w:ascii="Times New Roman" w:hAnsi="Times New Roman"/>
        </w:rPr>
        <w:t>I accordingly make the following order:</w:t>
      </w:r>
    </w:p>
    <w:p w14:paraId="4AABDD49" w14:textId="46BEC600" w:rsidR="00976814" w:rsidRPr="00DB3AA2" w:rsidRDefault="00065B2B" w:rsidP="00065B2B">
      <w:pPr>
        <w:pStyle w:val="BodyTextIndent"/>
        <w:ind w:left="1494" w:hanging="360"/>
        <w:rPr>
          <w:rFonts w:ascii="Times New Roman" w:hAnsi="Times New Roman"/>
          <w:b/>
          <w:bCs/>
        </w:rPr>
      </w:pPr>
      <w:bookmarkStart w:id="4" w:name="_Ref87951394"/>
      <w:r w:rsidRPr="00DB3AA2">
        <w:rPr>
          <w:rFonts w:ascii="Times New Roman" w:hAnsi="Times New Roman"/>
          <w:b/>
          <w:bCs/>
        </w:rPr>
        <w:t>1.</w:t>
      </w:r>
      <w:r w:rsidRPr="00DB3AA2">
        <w:rPr>
          <w:rFonts w:ascii="Times New Roman" w:hAnsi="Times New Roman"/>
          <w:b/>
          <w:bCs/>
        </w:rPr>
        <w:tab/>
      </w:r>
      <w:r w:rsidR="00976814" w:rsidRPr="00DB3AA2">
        <w:rPr>
          <w:rFonts w:ascii="Times New Roman" w:hAnsi="Times New Roman"/>
          <w:b/>
          <w:bCs/>
        </w:rPr>
        <w:t xml:space="preserve">The interlocutory application to compel discovery brought under case number </w:t>
      </w:r>
      <w:r w:rsidR="00A17DF6" w:rsidRPr="00DB3AA2">
        <w:rPr>
          <w:rFonts w:ascii="Times New Roman" w:hAnsi="Times New Roman"/>
          <w:b/>
          <w:bCs/>
        </w:rPr>
        <w:t>2</w:t>
      </w:r>
      <w:r w:rsidR="009963CE" w:rsidRPr="00DB3AA2">
        <w:rPr>
          <w:rFonts w:ascii="Times New Roman" w:hAnsi="Times New Roman"/>
          <w:b/>
          <w:bCs/>
        </w:rPr>
        <w:t>5092/2014 on 17 March 2022 is dismissed</w:t>
      </w:r>
      <w:r w:rsidR="00976814" w:rsidRPr="00DB3AA2">
        <w:rPr>
          <w:rFonts w:ascii="Times New Roman" w:hAnsi="Times New Roman"/>
          <w:b/>
          <w:bCs/>
        </w:rPr>
        <w:t>.</w:t>
      </w:r>
      <w:bookmarkEnd w:id="4"/>
    </w:p>
    <w:p w14:paraId="5CFA3F83" w14:textId="4EF276A7" w:rsidR="009963CE" w:rsidRPr="00DB3AA2" w:rsidRDefault="00065B2B" w:rsidP="00065B2B">
      <w:pPr>
        <w:pStyle w:val="BodyTextIndent"/>
        <w:ind w:left="1494" w:hanging="360"/>
        <w:rPr>
          <w:rFonts w:ascii="Times New Roman" w:hAnsi="Times New Roman"/>
          <w:b/>
          <w:bCs/>
        </w:rPr>
      </w:pPr>
      <w:r w:rsidRPr="00DB3AA2">
        <w:rPr>
          <w:rFonts w:ascii="Times New Roman" w:hAnsi="Times New Roman"/>
          <w:b/>
          <w:bCs/>
        </w:rPr>
        <w:t>2.</w:t>
      </w:r>
      <w:r w:rsidRPr="00DB3AA2">
        <w:rPr>
          <w:rFonts w:ascii="Times New Roman" w:hAnsi="Times New Roman"/>
          <w:b/>
          <w:bCs/>
        </w:rPr>
        <w:tab/>
      </w:r>
      <w:r w:rsidR="009963CE" w:rsidRPr="00DB3AA2">
        <w:rPr>
          <w:rFonts w:ascii="Times New Roman" w:hAnsi="Times New Roman"/>
          <w:b/>
          <w:bCs/>
        </w:rPr>
        <w:t>The applicant (defendant in the main trial action) is ordered to pay the costs of the respondent (plaintiff in the main trial action), including the costs of two counsel.</w:t>
      </w:r>
    </w:p>
    <w:p w14:paraId="3853A1AE" w14:textId="77777777" w:rsidR="00976814" w:rsidRPr="00DB3AA2" w:rsidRDefault="00976814" w:rsidP="00976814">
      <w:pPr>
        <w:pStyle w:val="BodyTextIndent"/>
        <w:ind w:left="1134"/>
        <w:rPr>
          <w:rFonts w:ascii="Times New Roman" w:hAnsi="Times New Roman"/>
          <w:b/>
          <w:bCs/>
        </w:rPr>
      </w:pPr>
    </w:p>
    <w:p w14:paraId="7B6E6819" w14:textId="77777777" w:rsidR="00976814" w:rsidRPr="00DB3AA2" w:rsidRDefault="00976814" w:rsidP="00976814">
      <w:pPr>
        <w:pStyle w:val="Parties"/>
        <w:jc w:val="right"/>
        <w:rPr>
          <w:rFonts w:ascii="Times New Roman" w:hAnsi="Times New Roman"/>
        </w:rPr>
      </w:pPr>
      <w:r w:rsidRPr="00DB3AA2">
        <w:rPr>
          <w:rFonts w:ascii="Times New Roman" w:hAnsi="Times New Roman"/>
        </w:rPr>
        <w:lastRenderedPageBreak/>
        <w:t>________________________________________</w:t>
      </w:r>
    </w:p>
    <w:p w14:paraId="559C89C2" w14:textId="77777777" w:rsidR="00976814" w:rsidRPr="00DB3AA2" w:rsidRDefault="00976814" w:rsidP="00976814">
      <w:pPr>
        <w:pStyle w:val="Parties"/>
        <w:jc w:val="right"/>
        <w:rPr>
          <w:rFonts w:ascii="Times New Roman" w:hAnsi="Times New Roman"/>
          <w:b/>
          <w:bCs/>
        </w:rPr>
      </w:pPr>
      <w:r w:rsidRPr="00DB3AA2">
        <w:rPr>
          <w:rFonts w:ascii="Times New Roman" w:hAnsi="Times New Roman"/>
          <w:b/>
          <w:bCs/>
        </w:rPr>
        <w:t>ADRIAN FRIEDMAN</w:t>
      </w:r>
    </w:p>
    <w:p w14:paraId="715DA8EC" w14:textId="77777777" w:rsidR="00976814" w:rsidRPr="00DB3AA2" w:rsidRDefault="00976814" w:rsidP="00976814">
      <w:pPr>
        <w:pStyle w:val="Parties"/>
        <w:jc w:val="right"/>
        <w:rPr>
          <w:rFonts w:ascii="Times New Roman" w:hAnsi="Times New Roman"/>
          <w:b/>
          <w:bCs/>
        </w:rPr>
      </w:pPr>
      <w:r w:rsidRPr="00DB3AA2">
        <w:rPr>
          <w:rFonts w:ascii="Times New Roman" w:hAnsi="Times New Roman"/>
          <w:b/>
          <w:bCs/>
        </w:rPr>
        <w:t>ACTING JUDGE OF THE HIGH COURT</w:t>
      </w:r>
    </w:p>
    <w:p w14:paraId="31265095" w14:textId="77777777" w:rsidR="00976814" w:rsidRPr="00DB3AA2" w:rsidRDefault="00976814" w:rsidP="00976814">
      <w:pPr>
        <w:pStyle w:val="Parties"/>
        <w:jc w:val="right"/>
        <w:rPr>
          <w:rFonts w:ascii="Times New Roman" w:hAnsi="Times New Roman"/>
          <w:b/>
          <w:bCs/>
        </w:rPr>
      </w:pPr>
      <w:r w:rsidRPr="00DB3AA2">
        <w:rPr>
          <w:rFonts w:ascii="Times New Roman" w:hAnsi="Times New Roman"/>
          <w:b/>
          <w:bCs/>
        </w:rPr>
        <w:t>GAUTENG LOCAL DIVISION, JOHANNESBURG</w:t>
      </w:r>
    </w:p>
    <w:p w14:paraId="25EE3EDE" w14:textId="77777777" w:rsidR="00976814" w:rsidRPr="00DB3AA2" w:rsidRDefault="00976814" w:rsidP="00976814">
      <w:pPr>
        <w:pStyle w:val="Parties"/>
        <w:rPr>
          <w:rFonts w:ascii="Times New Roman" w:hAnsi="Times New Roman"/>
        </w:rPr>
      </w:pPr>
    </w:p>
    <w:p w14:paraId="3FEEA337" w14:textId="77777777" w:rsidR="00976814" w:rsidRPr="00DB3AA2" w:rsidRDefault="00976814" w:rsidP="00976814">
      <w:pPr>
        <w:pStyle w:val="Parties"/>
        <w:rPr>
          <w:rFonts w:ascii="Times New Roman" w:hAnsi="Times New Roman"/>
        </w:rPr>
      </w:pPr>
    </w:p>
    <w:p w14:paraId="40F84348" w14:textId="0FD70F27" w:rsidR="00976814" w:rsidRPr="00DB3AA2" w:rsidRDefault="00976814" w:rsidP="00976814">
      <w:pPr>
        <w:pStyle w:val="Parties"/>
        <w:rPr>
          <w:rFonts w:ascii="Times New Roman" w:hAnsi="Times New Roman"/>
        </w:rPr>
      </w:pPr>
      <w:r w:rsidRPr="00DB3AA2">
        <w:rPr>
          <w:rFonts w:ascii="Times New Roman" w:hAnsi="Times New Roman"/>
        </w:rPr>
        <w:t xml:space="preserve">Delivered: This judgment was prepared and authored by the Judge whose name is reflected above and is handed down electronically by circulation to the parties/their legal representatives by email and by uploading it to the electronic file of this matter on </w:t>
      </w:r>
      <w:proofErr w:type="spellStart"/>
      <w:r w:rsidRPr="00DB3AA2">
        <w:rPr>
          <w:rFonts w:ascii="Times New Roman" w:hAnsi="Times New Roman"/>
        </w:rPr>
        <w:t>CaseLines</w:t>
      </w:r>
      <w:proofErr w:type="spellEnd"/>
      <w:r w:rsidRPr="00DB3AA2">
        <w:rPr>
          <w:rFonts w:ascii="Times New Roman" w:hAnsi="Times New Roman"/>
        </w:rPr>
        <w:t xml:space="preserve">. The date for hand down is deemed to be </w:t>
      </w:r>
      <w:r w:rsidR="009963CE" w:rsidRPr="00DB3AA2">
        <w:rPr>
          <w:rFonts w:ascii="Times New Roman" w:hAnsi="Times New Roman"/>
        </w:rPr>
        <w:t>3</w:t>
      </w:r>
      <w:r w:rsidR="00712070">
        <w:rPr>
          <w:rFonts w:ascii="Times New Roman" w:hAnsi="Times New Roman"/>
        </w:rPr>
        <w:t>1</w:t>
      </w:r>
      <w:r w:rsidR="009963CE" w:rsidRPr="00DB3AA2">
        <w:rPr>
          <w:rFonts w:ascii="Times New Roman" w:hAnsi="Times New Roman"/>
        </w:rPr>
        <w:t xml:space="preserve"> January 2023</w:t>
      </w:r>
      <w:r w:rsidRPr="00DB3AA2">
        <w:rPr>
          <w:rFonts w:ascii="Times New Roman" w:hAnsi="Times New Roman"/>
        </w:rPr>
        <w:t>.</w:t>
      </w:r>
    </w:p>
    <w:p w14:paraId="0F39F3E1" w14:textId="77777777" w:rsidR="00976814" w:rsidRPr="00DB3AA2" w:rsidRDefault="00976814" w:rsidP="00976814">
      <w:pPr>
        <w:pStyle w:val="Parties"/>
        <w:rPr>
          <w:rFonts w:ascii="Times New Roman" w:hAnsi="Times New Roman"/>
        </w:rPr>
      </w:pPr>
    </w:p>
    <w:p w14:paraId="3D4DC698" w14:textId="77777777" w:rsidR="00976814" w:rsidRPr="00DB3AA2" w:rsidRDefault="00976814" w:rsidP="00976814">
      <w:pPr>
        <w:pStyle w:val="Parties"/>
        <w:rPr>
          <w:rFonts w:ascii="Times New Roman" w:hAnsi="Times New Roman"/>
          <w:b/>
          <w:bCs/>
        </w:rPr>
      </w:pPr>
    </w:p>
    <w:p w14:paraId="6BC89679" w14:textId="77777777" w:rsidR="00976814" w:rsidRPr="00DB3AA2" w:rsidRDefault="00976814" w:rsidP="00976814">
      <w:pPr>
        <w:pStyle w:val="Parties"/>
        <w:rPr>
          <w:rFonts w:ascii="Times New Roman" w:hAnsi="Times New Roman"/>
          <w:b/>
          <w:bCs/>
        </w:rPr>
      </w:pPr>
    </w:p>
    <w:p w14:paraId="09419752" w14:textId="77777777" w:rsidR="00976814" w:rsidRPr="00DB3AA2" w:rsidRDefault="00976814" w:rsidP="00976814">
      <w:pPr>
        <w:pStyle w:val="Parties"/>
        <w:rPr>
          <w:rFonts w:ascii="Times New Roman" w:hAnsi="Times New Roman"/>
          <w:b/>
          <w:bCs/>
        </w:rPr>
      </w:pPr>
    </w:p>
    <w:p w14:paraId="3456E5E7" w14:textId="77777777" w:rsidR="00976814" w:rsidRPr="00DB3AA2" w:rsidRDefault="00976814" w:rsidP="00976814">
      <w:pPr>
        <w:pStyle w:val="Parties"/>
        <w:rPr>
          <w:rFonts w:ascii="Times New Roman" w:hAnsi="Times New Roman"/>
          <w:b/>
          <w:bCs/>
        </w:rPr>
      </w:pPr>
      <w:r w:rsidRPr="00DB3AA2">
        <w:rPr>
          <w:rFonts w:ascii="Times New Roman" w:hAnsi="Times New Roman"/>
          <w:b/>
          <w:bCs/>
        </w:rPr>
        <w:t>APPEARANCES:</w:t>
      </w:r>
    </w:p>
    <w:p w14:paraId="04BEA2D7" w14:textId="77777777" w:rsidR="00976814" w:rsidRPr="00DB3AA2" w:rsidRDefault="00976814" w:rsidP="00976814">
      <w:pPr>
        <w:pStyle w:val="Parties"/>
        <w:rPr>
          <w:rFonts w:ascii="Times New Roman" w:hAnsi="Times New Roman"/>
        </w:rPr>
      </w:pPr>
    </w:p>
    <w:p w14:paraId="2079D65E" w14:textId="4E5FFE22" w:rsidR="00976814" w:rsidRPr="00DB3AA2" w:rsidRDefault="00976814" w:rsidP="00976814">
      <w:pPr>
        <w:pStyle w:val="BodyTextIndent"/>
        <w:spacing w:after="0" w:line="240" w:lineRule="auto"/>
        <w:ind w:left="0"/>
        <w:rPr>
          <w:rFonts w:ascii="Times New Roman" w:hAnsi="Times New Roman"/>
        </w:rPr>
      </w:pPr>
      <w:r w:rsidRPr="00DB3AA2">
        <w:rPr>
          <w:rFonts w:ascii="Times New Roman" w:hAnsi="Times New Roman"/>
        </w:rPr>
        <w:t>Attorney for the applicant:</w:t>
      </w:r>
      <w:r w:rsidRPr="00DB3AA2">
        <w:rPr>
          <w:rFonts w:ascii="Times New Roman" w:hAnsi="Times New Roman"/>
        </w:rPr>
        <w:tab/>
      </w:r>
      <w:r w:rsidRPr="00DB3AA2">
        <w:rPr>
          <w:rFonts w:ascii="Times New Roman" w:hAnsi="Times New Roman"/>
        </w:rPr>
        <w:tab/>
      </w:r>
      <w:r w:rsidR="005B45F4" w:rsidRPr="00DB3AA2">
        <w:rPr>
          <w:rFonts w:ascii="Times New Roman" w:hAnsi="Times New Roman"/>
        </w:rPr>
        <w:t>Clyde &amp; Co</w:t>
      </w:r>
    </w:p>
    <w:p w14:paraId="7D2199D4" w14:textId="77777777" w:rsidR="00976814" w:rsidRPr="00DB3AA2" w:rsidRDefault="00976814" w:rsidP="00976814">
      <w:pPr>
        <w:pStyle w:val="BodyTextIndent"/>
        <w:spacing w:after="0" w:line="240" w:lineRule="auto"/>
        <w:ind w:left="0"/>
        <w:rPr>
          <w:rFonts w:ascii="Times New Roman" w:hAnsi="Times New Roman"/>
        </w:rPr>
      </w:pPr>
    </w:p>
    <w:p w14:paraId="0D175760" w14:textId="2D87C962" w:rsidR="00976814" w:rsidRPr="00DB3AA2" w:rsidRDefault="00976814" w:rsidP="00976814">
      <w:pPr>
        <w:pStyle w:val="BodyTextIndent"/>
        <w:spacing w:after="0" w:line="240" w:lineRule="auto"/>
        <w:ind w:left="0"/>
        <w:rPr>
          <w:rFonts w:ascii="Times New Roman" w:hAnsi="Times New Roman"/>
        </w:rPr>
      </w:pPr>
      <w:r w:rsidRPr="00DB3AA2">
        <w:rPr>
          <w:rFonts w:ascii="Times New Roman" w:hAnsi="Times New Roman"/>
        </w:rPr>
        <w:t>Counsel for the applicant:</w:t>
      </w:r>
      <w:r w:rsidRPr="00DB3AA2">
        <w:rPr>
          <w:rFonts w:ascii="Times New Roman" w:hAnsi="Times New Roman"/>
        </w:rPr>
        <w:tab/>
      </w:r>
      <w:r w:rsidRPr="00DB3AA2">
        <w:rPr>
          <w:rFonts w:ascii="Times New Roman" w:hAnsi="Times New Roman"/>
        </w:rPr>
        <w:tab/>
      </w:r>
      <w:r w:rsidR="005B45F4" w:rsidRPr="00DB3AA2">
        <w:rPr>
          <w:rFonts w:ascii="Times New Roman" w:hAnsi="Times New Roman"/>
        </w:rPr>
        <w:t xml:space="preserve">MR </w:t>
      </w:r>
      <w:proofErr w:type="spellStart"/>
      <w:r w:rsidR="005B45F4" w:rsidRPr="00DB3AA2">
        <w:rPr>
          <w:rFonts w:ascii="Times New Roman" w:hAnsi="Times New Roman"/>
        </w:rPr>
        <w:t>Hellens</w:t>
      </w:r>
      <w:proofErr w:type="spellEnd"/>
      <w:r w:rsidR="005B45F4" w:rsidRPr="00DB3AA2">
        <w:rPr>
          <w:rFonts w:ascii="Times New Roman" w:hAnsi="Times New Roman"/>
        </w:rPr>
        <w:t xml:space="preserve"> SC and JW </w:t>
      </w:r>
      <w:proofErr w:type="spellStart"/>
      <w:r w:rsidR="005B45F4" w:rsidRPr="00DB3AA2">
        <w:rPr>
          <w:rFonts w:ascii="Times New Roman" w:hAnsi="Times New Roman"/>
        </w:rPr>
        <w:t>Steyn</w:t>
      </w:r>
      <w:proofErr w:type="spellEnd"/>
    </w:p>
    <w:p w14:paraId="537FAD01" w14:textId="77777777" w:rsidR="00976814" w:rsidRPr="00DB3AA2" w:rsidRDefault="00976814" w:rsidP="00976814">
      <w:pPr>
        <w:pStyle w:val="BodyTextIndent"/>
        <w:spacing w:after="0" w:line="240" w:lineRule="auto"/>
        <w:ind w:left="0"/>
        <w:rPr>
          <w:rFonts w:ascii="Times New Roman" w:hAnsi="Times New Roman"/>
        </w:rPr>
      </w:pPr>
    </w:p>
    <w:p w14:paraId="641CE2DE" w14:textId="067F4D67" w:rsidR="00976814" w:rsidRPr="00DB3AA2" w:rsidRDefault="00976814" w:rsidP="00976814">
      <w:pPr>
        <w:pStyle w:val="BodyTextIndent"/>
        <w:spacing w:after="0" w:line="240" w:lineRule="auto"/>
        <w:ind w:left="0"/>
        <w:rPr>
          <w:rFonts w:ascii="Times New Roman" w:hAnsi="Times New Roman"/>
        </w:rPr>
      </w:pPr>
      <w:r w:rsidRPr="00DB3AA2">
        <w:rPr>
          <w:rFonts w:ascii="Times New Roman" w:hAnsi="Times New Roman"/>
        </w:rPr>
        <w:t>Attorney for the first and second respondents:</w:t>
      </w:r>
      <w:r w:rsidRPr="00DB3AA2">
        <w:rPr>
          <w:rFonts w:ascii="Times New Roman" w:hAnsi="Times New Roman"/>
        </w:rPr>
        <w:tab/>
      </w:r>
      <w:r w:rsidR="003604F8" w:rsidRPr="00DB3AA2">
        <w:rPr>
          <w:rFonts w:ascii="Times New Roman" w:hAnsi="Times New Roman"/>
        </w:rPr>
        <w:t>Alexander Cox Attorneys</w:t>
      </w:r>
    </w:p>
    <w:p w14:paraId="433840E1" w14:textId="77777777" w:rsidR="00976814" w:rsidRPr="00DB3AA2" w:rsidRDefault="00976814" w:rsidP="00976814">
      <w:pPr>
        <w:pStyle w:val="BodyTextIndent"/>
        <w:spacing w:after="0" w:line="240" w:lineRule="auto"/>
        <w:ind w:left="0"/>
        <w:rPr>
          <w:rFonts w:ascii="Times New Roman" w:hAnsi="Times New Roman"/>
        </w:rPr>
      </w:pPr>
    </w:p>
    <w:p w14:paraId="601DD699" w14:textId="7194F068" w:rsidR="00976814" w:rsidRPr="00DB3AA2" w:rsidRDefault="00976814" w:rsidP="00976814">
      <w:pPr>
        <w:pStyle w:val="BodyTextIndent"/>
        <w:spacing w:after="0" w:line="240" w:lineRule="auto"/>
        <w:ind w:left="0"/>
        <w:rPr>
          <w:rFonts w:ascii="Times New Roman" w:hAnsi="Times New Roman"/>
        </w:rPr>
      </w:pPr>
      <w:r w:rsidRPr="00DB3AA2">
        <w:rPr>
          <w:rFonts w:ascii="Times New Roman" w:hAnsi="Times New Roman"/>
        </w:rPr>
        <w:t>Counsel for the first and second respondents:</w:t>
      </w:r>
      <w:r w:rsidRPr="00DB3AA2">
        <w:rPr>
          <w:rFonts w:ascii="Times New Roman" w:hAnsi="Times New Roman"/>
        </w:rPr>
        <w:tab/>
      </w:r>
      <w:r w:rsidR="003604F8" w:rsidRPr="00DB3AA2">
        <w:rPr>
          <w:rFonts w:ascii="Times New Roman" w:hAnsi="Times New Roman"/>
        </w:rPr>
        <w:t xml:space="preserve">L </w:t>
      </w:r>
      <w:proofErr w:type="spellStart"/>
      <w:r w:rsidR="003604F8" w:rsidRPr="00DB3AA2">
        <w:rPr>
          <w:rFonts w:ascii="Times New Roman" w:hAnsi="Times New Roman"/>
        </w:rPr>
        <w:t>Broster</w:t>
      </w:r>
      <w:proofErr w:type="spellEnd"/>
      <w:r w:rsidR="003604F8" w:rsidRPr="00DB3AA2">
        <w:rPr>
          <w:rFonts w:ascii="Times New Roman" w:hAnsi="Times New Roman"/>
        </w:rPr>
        <w:t xml:space="preserve"> SC and S </w:t>
      </w:r>
      <w:proofErr w:type="spellStart"/>
      <w:r w:rsidR="003604F8" w:rsidRPr="00DB3AA2">
        <w:rPr>
          <w:rFonts w:ascii="Times New Roman" w:hAnsi="Times New Roman"/>
        </w:rPr>
        <w:t>Pudifin</w:t>
      </w:r>
      <w:proofErr w:type="spellEnd"/>
      <w:r w:rsidR="003604F8" w:rsidRPr="00DB3AA2">
        <w:rPr>
          <w:rFonts w:ascii="Times New Roman" w:hAnsi="Times New Roman"/>
        </w:rPr>
        <w:t>-Jones</w:t>
      </w:r>
    </w:p>
    <w:p w14:paraId="73BE83C5" w14:textId="77777777" w:rsidR="00976814" w:rsidRPr="00DB3AA2" w:rsidRDefault="00976814" w:rsidP="00976814">
      <w:pPr>
        <w:pStyle w:val="BodyTextIndent"/>
        <w:spacing w:after="0" w:line="240" w:lineRule="auto"/>
        <w:ind w:left="0"/>
        <w:rPr>
          <w:rFonts w:ascii="Times New Roman" w:hAnsi="Times New Roman"/>
        </w:rPr>
      </w:pPr>
    </w:p>
    <w:p w14:paraId="6ED214C0" w14:textId="449A7AA0" w:rsidR="00976814" w:rsidRPr="00DB3AA2" w:rsidRDefault="00976814" w:rsidP="00976814">
      <w:pPr>
        <w:pStyle w:val="BodyTextIndent"/>
        <w:spacing w:after="0" w:line="240" w:lineRule="auto"/>
        <w:ind w:left="0"/>
        <w:rPr>
          <w:rFonts w:ascii="Times New Roman" w:hAnsi="Times New Roman"/>
        </w:rPr>
      </w:pPr>
      <w:r w:rsidRPr="00DB3AA2">
        <w:rPr>
          <w:rFonts w:ascii="Times New Roman" w:hAnsi="Times New Roman"/>
        </w:rPr>
        <w:t xml:space="preserve">Date of hearing: </w:t>
      </w:r>
      <w:r w:rsidR="004375C5" w:rsidRPr="00DB3AA2">
        <w:rPr>
          <w:rFonts w:ascii="Times New Roman" w:hAnsi="Times New Roman"/>
        </w:rPr>
        <w:t>22</w:t>
      </w:r>
      <w:r w:rsidRPr="00DB3AA2">
        <w:rPr>
          <w:rFonts w:ascii="Times New Roman" w:hAnsi="Times New Roman"/>
        </w:rPr>
        <w:t xml:space="preserve"> November 202</w:t>
      </w:r>
      <w:r w:rsidR="003604F8" w:rsidRPr="00DB3AA2">
        <w:rPr>
          <w:rFonts w:ascii="Times New Roman" w:hAnsi="Times New Roman"/>
        </w:rPr>
        <w:t>2</w:t>
      </w:r>
    </w:p>
    <w:p w14:paraId="0C72F114" w14:textId="77777777" w:rsidR="00976814" w:rsidRPr="00DB3AA2" w:rsidRDefault="00976814" w:rsidP="00976814">
      <w:pPr>
        <w:pStyle w:val="BodyTextIndent"/>
        <w:spacing w:after="0" w:line="240" w:lineRule="auto"/>
        <w:ind w:left="0"/>
        <w:rPr>
          <w:rFonts w:ascii="Times New Roman" w:hAnsi="Times New Roman"/>
        </w:rPr>
      </w:pPr>
    </w:p>
    <w:p w14:paraId="30975253" w14:textId="1A3D2C0A" w:rsidR="00976814" w:rsidRPr="00DB3AA2" w:rsidRDefault="00976814" w:rsidP="00976814">
      <w:pPr>
        <w:rPr>
          <w:rFonts w:ascii="Times New Roman" w:eastAsia="Calibri" w:hAnsi="Times New Roman"/>
          <w:b/>
          <w:bCs/>
          <w:sz w:val="28"/>
          <w:szCs w:val="28"/>
        </w:rPr>
      </w:pPr>
      <w:r w:rsidRPr="00DB3AA2">
        <w:rPr>
          <w:rFonts w:ascii="Times New Roman" w:hAnsi="Times New Roman"/>
        </w:rPr>
        <w:t xml:space="preserve">Date of judgment: </w:t>
      </w:r>
      <w:r w:rsidR="006272E8">
        <w:rPr>
          <w:rFonts w:ascii="Times New Roman" w:hAnsi="Times New Roman"/>
        </w:rPr>
        <w:t>31</w:t>
      </w:r>
      <w:r w:rsidR="003604F8" w:rsidRPr="00DB3AA2">
        <w:rPr>
          <w:rFonts w:ascii="Times New Roman" w:hAnsi="Times New Roman"/>
        </w:rPr>
        <w:t xml:space="preserve"> January</w:t>
      </w:r>
      <w:r w:rsidRPr="00DB3AA2">
        <w:rPr>
          <w:rFonts w:ascii="Times New Roman" w:hAnsi="Times New Roman"/>
        </w:rPr>
        <w:t xml:space="preserve"> 202</w:t>
      </w:r>
      <w:r w:rsidR="003604F8" w:rsidRPr="00DB3AA2">
        <w:rPr>
          <w:rFonts w:ascii="Times New Roman" w:hAnsi="Times New Roman"/>
        </w:rPr>
        <w:t>3</w:t>
      </w:r>
    </w:p>
    <w:p w14:paraId="38E1D4C2" w14:textId="77777777" w:rsidR="00976814" w:rsidRPr="00DB3AA2" w:rsidRDefault="00976814" w:rsidP="0031651B">
      <w:pPr>
        <w:pStyle w:val="BodyTextIndent"/>
        <w:rPr>
          <w:rFonts w:ascii="Times New Roman" w:hAnsi="Times New Roman"/>
        </w:rPr>
      </w:pPr>
    </w:p>
    <w:sectPr w:rsidR="00976814" w:rsidRPr="00DB3AA2">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9D80" w14:textId="77777777" w:rsidR="00F061A5" w:rsidRDefault="00F061A5">
      <w:r>
        <w:separator/>
      </w:r>
    </w:p>
  </w:endnote>
  <w:endnote w:type="continuationSeparator" w:id="0">
    <w:p w14:paraId="4F869229" w14:textId="77777777" w:rsidR="00F061A5" w:rsidRDefault="00F0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40B1" w14:textId="77777777" w:rsidR="00F061A5" w:rsidRDefault="00F061A5">
      <w:r>
        <w:separator/>
      </w:r>
    </w:p>
  </w:footnote>
  <w:footnote w:type="continuationSeparator" w:id="0">
    <w:p w14:paraId="74578030" w14:textId="77777777" w:rsidR="00F061A5" w:rsidRDefault="00F0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5E8C"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FE424" w14:textId="77777777" w:rsidR="005C74EA" w:rsidRDefault="005C74EA">
    <w:pPr>
      <w:pStyle w:val="Header"/>
      <w:ind w:right="360"/>
    </w:pPr>
  </w:p>
  <w:p w14:paraId="57403DA0" w14:textId="77777777" w:rsidR="005C74EA" w:rsidRDefault="005C7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A8BEF" w14:textId="5D0E41B6"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065B2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239C1"/>
    <w:multiLevelType w:val="hybridMultilevel"/>
    <w:tmpl w:val="7F5A0A92"/>
    <w:lvl w:ilvl="0" w:tplc="F16EA924">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
    <w:nsid w:val="425450E8"/>
    <w:multiLevelType w:val="hybridMultilevel"/>
    <w:tmpl w:val="FDBA7A86"/>
    <w:lvl w:ilvl="0" w:tplc="AC64EEB4">
      <w:start w:val="1"/>
      <w:numFmt w:val="lowerLetter"/>
      <w:lvlText w:val="(%1)"/>
      <w:lvlJc w:val="left"/>
      <w:pPr>
        <w:ind w:left="1074" w:hanging="360"/>
      </w:pPr>
      <w:rPr>
        <w:rFonts w:hint="default"/>
      </w:rPr>
    </w:lvl>
    <w:lvl w:ilvl="1" w:tplc="1C090019" w:tentative="1">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2">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A61304"/>
    <w:multiLevelType w:val="multilevel"/>
    <w:tmpl w:val="24E4826A"/>
    <w:lvl w:ilvl="0">
      <w:start w:val="1"/>
      <w:numFmt w:val="decimal"/>
      <w:pStyle w:val="WLGLevel1"/>
      <w:lvlText w:val="%1"/>
      <w:lvlJc w:val="left"/>
      <w:pPr>
        <w:tabs>
          <w:tab w:val="num" w:pos="567"/>
        </w:tabs>
        <w:ind w:left="567" w:hanging="567"/>
      </w:pPr>
      <w:rPr>
        <w:rFonts w:ascii="Times New Roman" w:hAnsi="Times New Roman" w:cs="Times New Roman"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4">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abstractNum w:abstractNumId="5">
    <w:nsid w:val="761E1F63"/>
    <w:multiLevelType w:val="hybridMultilevel"/>
    <w:tmpl w:val="969C7942"/>
    <w:lvl w:ilvl="0" w:tplc="D9B0AD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C4"/>
    <w:rsid w:val="00001108"/>
    <w:rsid w:val="00001A9C"/>
    <w:rsid w:val="00001EFF"/>
    <w:rsid w:val="00002A7C"/>
    <w:rsid w:val="000042A7"/>
    <w:rsid w:val="00005330"/>
    <w:rsid w:val="0000763D"/>
    <w:rsid w:val="0000776A"/>
    <w:rsid w:val="00010037"/>
    <w:rsid w:val="00011167"/>
    <w:rsid w:val="00013ABE"/>
    <w:rsid w:val="00014150"/>
    <w:rsid w:val="00015423"/>
    <w:rsid w:val="0002016F"/>
    <w:rsid w:val="00020BAF"/>
    <w:rsid w:val="00023E10"/>
    <w:rsid w:val="00024045"/>
    <w:rsid w:val="00027757"/>
    <w:rsid w:val="0003092D"/>
    <w:rsid w:val="0003231B"/>
    <w:rsid w:val="0003337A"/>
    <w:rsid w:val="0003441F"/>
    <w:rsid w:val="00037950"/>
    <w:rsid w:val="000433AC"/>
    <w:rsid w:val="00043B4A"/>
    <w:rsid w:val="00046067"/>
    <w:rsid w:val="00050849"/>
    <w:rsid w:val="00052261"/>
    <w:rsid w:val="000529BA"/>
    <w:rsid w:val="000531CB"/>
    <w:rsid w:val="00053C4C"/>
    <w:rsid w:val="0005547E"/>
    <w:rsid w:val="00057B7C"/>
    <w:rsid w:val="00060E5C"/>
    <w:rsid w:val="0006228D"/>
    <w:rsid w:val="0006443D"/>
    <w:rsid w:val="00064E3D"/>
    <w:rsid w:val="00065B2B"/>
    <w:rsid w:val="00066233"/>
    <w:rsid w:val="000670AC"/>
    <w:rsid w:val="000711FC"/>
    <w:rsid w:val="0007342D"/>
    <w:rsid w:val="000739E4"/>
    <w:rsid w:val="00076F81"/>
    <w:rsid w:val="00077A76"/>
    <w:rsid w:val="0008029B"/>
    <w:rsid w:val="00080F88"/>
    <w:rsid w:val="00081C09"/>
    <w:rsid w:val="00083861"/>
    <w:rsid w:val="00086B61"/>
    <w:rsid w:val="000949C7"/>
    <w:rsid w:val="000950B2"/>
    <w:rsid w:val="000967EF"/>
    <w:rsid w:val="000968E9"/>
    <w:rsid w:val="000A0ACA"/>
    <w:rsid w:val="000A0EBD"/>
    <w:rsid w:val="000A0FF5"/>
    <w:rsid w:val="000A48EB"/>
    <w:rsid w:val="000A5BEF"/>
    <w:rsid w:val="000A5E17"/>
    <w:rsid w:val="000B0D8F"/>
    <w:rsid w:val="000B2728"/>
    <w:rsid w:val="000B27F3"/>
    <w:rsid w:val="000B3D89"/>
    <w:rsid w:val="000B5AA0"/>
    <w:rsid w:val="000B7982"/>
    <w:rsid w:val="000C0AD2"/>
    <w:rsid w:val="000C72F4"/>
    <w:rsid w:val="000D1A0B"/>
    <w:rsid w:val="000D469D"/>
    <w:rsid w:val="000D4790"/>
    <w:rsid w:val="000D58FA"/>
    <w:rsid w:val="000D7252"/>
    <w:rsid w:val="000D7D69"/>
    <w:rsid w:val="000E00F7"/>
    <w:rsid w:val="000E0673"/>
    <w:rsid w:val="000E5501"/>
    <w:rsid w:val="000E614F"/>
    <w:rsid w:val="000E6D60"/>
    <w:rsid w:val="000F1436"/>
    <w:rsid w:val="000F36DF"/>
    <w:rsid w:val="000F3C05"/>
    <w:rsid w:val="000F4ABC"/>
    <w:rsid w:val="000F56B7"/>
    <w:rsid w:val="000F6EA0"/>
    <w:rsid w:val="000F7C21"/>
    <w:rsid w:val="0010319E"/>
    <w:rsid w:val="001037CE"/>
    <w:rsid w:val="00103FA5"/>
    <w:rsid w:val="00104504"/>
    <w:rsid w:val="00104E96"/>
    <w:rsid w:val="0010578F"/>
    <w:rsid w:val="00107649"/>
    <w:rsid w:val="00107881"/>
    <w:rsid w:val="0011216D"/>
    <w:rsid w:val="00114828"/>
    <w:rsid w:val="001148C6"/>
    <w:rsid w:val="00115C0F"/>
    <w:rsid w:val="0011656F"/>
    <w:rsid w:val="00116EDE"/>
    <w:rsid w:val="00120252"/>
    <w:rsid w:val="00122C84"/>
    <w:rsid w:val="001249EB"/>
    <w:rsid w:val="00124C45"/>
    <w:rsid w:val="00124CF6"/>
    <w:rsid w:val="001325F0"/>
    <w:rsid w:val="00134C90"/>
    <w:rsid w:val="00135180"/>
    <w:rsid w:val="001362F6"/>
    <w:rsid w:val="00142F30"/>
    <w:rsid w:val="0014353F"/>
    <w:rsid w:val="00151AD2"/>
    <w:rsid w:val="00154BE2"/>
    <w:rsid w:val="00156F1E"/>
    <w:rsid w:val="00160908"/>
    <w:rsid w:val="00161F86"/>
    <w:rsid w:val="0016254C"/>
    <w:rsid w:val="001626FE"/>
    <w:rsid w:val="00164821"/>
    <w:rsid w:val="0016642C"/>
    <w:rsid w:val="00166917"/>
    <w:rsid w:val="00171912"/>
    <w:rsid w:val="001731F6"/>
    <w:rsid w:val="00173D28"/>
    <w:rsid w:val="00174D09"/>
    <w:rsid w:val="00177F3D"/>
    <w:rsid w:val="001807AD"/>
    <w:rsid w:val="00181720"/>
    <w:rsid w:val="0018230F"/>
    <w:rsid w:val="00182D52"/>
    <w:rsid w:val="0018431C"/>
    <w:rsid w:val="00186BCD"/>
    <w:rsid w:val="00186D92"/>
    <w:rsid w:val="00187736"/>
    <w:rsid w:val="001908D1"/>
    <w:rsid w:val="00190BF7"/>
    <w:rsid w:val="001916C5"/>
    <w:rsid w:val="0019205B"/>
    <w:rsid w:val="0019466A"/>
    <w:rsid w:val="0019672A"/>
    <w:rsid w:val="00197192"/>
    <w:rsid w:val="00197654"/>
    <w:rsid w:val="001A031F"/>
    <w:rsid w:val="001A16BA"/>
    <w:rsid w:val="001A1EB4"/>
    <w:rsid w:val="001A2115"/>
    <w:rsid w:val="001A35C2"/>
    <w:rsid w:val="001A487E"/>
    <w:rsid w:val="001A7A79"/>
    <w:rsid w:val="001B02A7"/>
    <w:rsid w:val="001B16B6"/>
    <w:rsid w:val="001B6F9C"/>
    <w:rsid w:val="001C002A"/>
    <w:rsid w:val="001C05CA"/>
    <w:rsid w:val="001C0B67"/>
    <w:rsid w:val="001C1AB8"/>
    <w:rsid w:val="001C424A"/>
    <w:rsid w:val="001C53AC"/>
    <w:rsid w:val="001D25E6"/>
    <w:rsid w:val="001D46E8"/>
    <w:rsid w:val="001E1026"/>
    <w:rsid w:val="001E31C5"/>
    <w:rsid w:val="001E3D07"/>
    <w:rsid w:val="001E3DE9"/>
    <w:rsid w:val="001E786B"/>
    <w:rsid w:val="001F02F3"/>
    <w:rsid w:val="001F05FE"/>
    <w:rsid w:val="001F2187"/>
    <w:rsid w:val="001F3FEA"/>
    <w:rsid w:val="001F4234"/>
    <w:rsid w:val="001F7ADB"/>
    <w:rsid w:val="00200040"/>
    <w:rsid w:val="002027B8"/>
    <w:rsid w:val="002031CA"/>
    <w:rsid w:val="002057A3"/>
    <w:rsid w:val="0021098E"/>
    <w:rsid w:val="002111AD"/>
    <w:rsid w:val="00212881"/>
    <w:rsid w:val="002141C8"/>
    <w:rsid w:val="00214B2F"/>
    <w:rsid w:val="00215FD3"/>
    <w:rsid w:val="00217106"/>
    <w:rsid w:val="002204A9"/>
    <w:rsid w:val="00221443"/>
    <w:rsid w:val="0022346C"/>
    <w:rsid w:val="002249CB"/>
    <w:rsid w:val="00225293"/>
    <w:rsid w:val="00226131"/>
    <w:rsid w:val="00226AC2"/>
    <w:rsid w:val="00231F75"/>
    <w:rsid w:val="002321FB"/>
    <w:rsid w:val="00234D8C"/>
    <w:rsid w:val="002351D1"/>
    <w:rsid w:val="00235BC6"/>
    <w:rsid w:val="00236227"/>
    <w:rsid w:val="002405E4"/>
    <w:rsid w:val="00240839"/>
    <w:rsid w:val="00241185"/>
    <w:rsid w:val="002448E8"/>
    <w:rsid w:val="0024566B"/>
    <w:rsid w:val="00245D4C"/>
    <w:rsid w:val="00254409"/>
    <w:rsid w:val="002551DB"/>
    <w:rsid w:val="0025673B"/>
    <w:rsid w:val="002571EE"/>
    <w:rsid w:val="00257FB0"/>
    <w:rsid w:val="00260988"/>
    <w:rsid w:val="00262A35"/>
    <w:rsid w:val="002717F4"/>
    <w:rsid w:val="00272D3E"/>
    <w:rsid w:val="00272E24"/>
    <w:rsid w:val="00274406"/>
    <w:rsid w:val="00275BF3"/>
    <w:rsid w:val="00276258"/>
    <w:rsid w:val="002849CA"/>
    <w:rsid w:val="00284B86"/>
    <w:rsid w:val="00285E30"/>
    <w:rsid w:val="002870AD"/>
    <w:rsid w:val="00287AC8"/>
    <w:rsid w:val="002902D8"/>
    <w:rsid w:val="00291B3B"/>
    <w:rsid w:val="00291FF7"/>
    <w:rsid w:val="0029482A"/>
    <w:rsid w:val="002A19B4"/>
    <w:rsid w:val="002A2369"/>
    <w:rsid w:val="002A3CCA"/>
    <w:rsid w:val="002A42BD"/>
    <w:rsid w:val="002B0356"/>
    <w:rsid w:val="002B176A"/>
    <w:rsid w:val="002B2380"/>
    <w:rsid w:val="002B4848"/>
    <w:rsid w:val="002B486C"/>
    <w:rsid w:val="002B642C"/>
    <w:rsid w:val="002C044B"/>
    <w:rsid w:val="002C1244"/>
    <w:rsid w:val="002C1BF1"/>
    <w:rsid w:val="002C45F0"/>
    <w:rsid w:val="002C5708"/>
    <w:rsid w:val="002C7E1D"/>
    <w:rsid w:val="002D2C44"/>
    <w:rsid w:val="002D386C"/>
    <w:rsid w:val="002D64FE"/>
    <w:rsid w:val="002E0A65"/>
    <w:rsid w:val="002E2F58"/>
    <w:rsid w:val="002F001B"/>
    <w:rsid w:val="002F017E"/>
    <w:rsid w:val="002F1D64"/>
    <w:rsid w:val="002F5104"/>
    <w:rsid w:val="002F5422"/>
    <w:rsid w:val="002F5847"/>
    <w:rsid w:val="002F717B"/>
    <w:rsid w:val="00301BEA"/>
    <w:rsid w:val="003026F4"/>
    <w:rsid w:val="00304C55"/>
    <w:rsid w:val="0030519A"/>
    <w:rsid w:val="00305E31"/>
    <w:rsid w:val="0031242B"/>
    <w:rsid w:val="00313960"/>
    <w:rsid w:val="00313A83"/>
    <w:rsid w:val="00313B24"/>
    <w:rsid w:val="0031450F"/>
    <w:rsid w:val="00314666"/>
    <w:rsid w:val="00314898"/>
    <w:rsid w:val="00315DCC"/>
    <w:rsid w:val="00315E64"/>
    <w:rsid w:val="0031651B"/>
    <w:rsid w:val="00316F3E"/>
    <w:rsid w:val="003176C3"/>
    <w:rsid w:val="00320DFB"/>
    <w:rsid w:val="00321610"/>
    <w:rsid w:val="003219C2"/>
    <w:rsid w:val="003223BC"/>
    <w:rsid w:val="00325DA7"/>
    <w:rsid w:val="00326DDD"/>
    <w:rsid w:val="003309F5"/>
    <w:rsid w:val="003317EA"/>
    <w:rsid w:val="003338D0"/>
    <w:rsid w:val="00335913"/>
    <w:rsid w:val="00336A11"/>
    <w:rsid w:val="00336E60"/>
    <w:rsid w:val="00337685"/>
    <w:rsid w:val="0034203C"/>
    <w:rsid w:val="0034346B"/>
    <w:rsid w:val="003454E0"/>
    <w:rsid w:val="00345C3D"/>
    <w:rsid w:val="00346E4B"/>
    <w:rsid w:val="00350E0C"/>
    <w:rsid w:val="0035583D"/>
    <w:rsid w:val="00355E28"/>
    <w:rsid w:val="00356286"/>
    <w:rsid w:val="00356D06"/>
    <w:rsid w:val="00356DE1"/>
    <w:rsid w:val="003604F8"/>
    <w:rsid w:val="00362F6A"/>
    <w:rsid w:val="00363D3B"/>
    <w:rsid w:val="003649E3"/>
    <w:rsid w:val="003650D8"/>
    <w:rsid w:val="00367920"/>
    <w:rsid w:val="00367EBE"/>
    <w:rsid w:val="00367F79"/>
    <w:rsid w:val="003734A0"/>
    <w:rsid w:val="00373959"/>
    <w:rsid w:val="00373DD1"/>
    <w:rsid w:val="00376864"/>
    <w:rsid w:val="00376F0B"/>
    <w:rsid w:val="00380B19"/>
    <w:rsid w:val="003837ED"/>
    <w:rsid w:val="003844F2"/>
    <w:rsid w:val="00384CFA"/>
    <w:rsid w:val="003851B5"/>
    <w:rsid w:val="00385DBA"/>
    <w:rsid w:val="003871FD"/>
    <w:rsid w:val="00387777"/>
    <w:rsid w:val="003909D9"/>
    <w:rsid w:val="00391FF5"/>
    <w:rsid w:val="00392AD6"/>
    <w:rsid w:val="00392B20"/>
    <w:rsid w:val="00395845"/>
    <w:rsid w:val="00395B2D"/>
    <w:rsid w:val="003A0C4B"/>
    <w:rsid w:val="003A2169"/>
    <w:rsid w:val="003A2207"/>
    <w:rsid w:val="003A5A0E"/>
    <w:rsid w:val="003A629B"/>
    <w:rsid w:val="003A7196"/>
    <w:rsid w:val="003B4D2F"/>
    <w:rsid w:val="003B536C"/>
    <w:rsid w:val="003B5E3D"/>
    <w:rsid w:val="003B6C8F"/>
    <w:rsid w:val="003B7960"/>
    <w:rsid w:val="003B7FB0"/>
    <w:rsid w:val="003C235E"/>
    <w:rsid w:val="003C3969"/>
    <w:rsid w:val="003C534A"/>
    <w:rsid w:val="003C690F"/>
    <w:rsid w:val="003C6962"/>
    <w:rsid w:val="003D0D8B"/>
    <w:rsid w:val="003D13F1"/>
    <w:rsid w:val="003D208D"/>
    <w:rsid w:val="003D20DF"/>
    <w:rsid w:val="003D23BB"/>
    <w:rsid w:val="003D66CB"/>
    <w:rsid w:val="003E19C2"/>
    <w:rsid w:val="003E40DE"/>
    <w:rsid w:val="003E7A4F"/>
    <w:rsid w:val="003E7EE6"/>
    <w:rsid w:val="003F0E83"/>
    <w:rsid w:val="003F61B3"/>
    <w:rsid w:val="003F6473"/>
    <w:rsid w:val="003F70AD"/>
    <w:rsid w:val="00401E36"/>
    <w:rsid w:val="0040455D"/>
    <w:rsid w:val="00404A66"/>
    <w:rsid w:val="004073A8"/>
    <w:rsid w:val="00411D00"/>
    <w:rsid w:val="004152E2"/>
    <w:rsid w:val="004175BF"/>
    <w:rsid w:val="004200D9"/>
    <w:rsid w:val="004201B3"/>
    <w:rsid w:val="004236B1"/>
    <w:rsid w:val="00423764"/>
    <w:rsid w:val="00427031"/>
    <w:rsid w:val="00432EC7"/>
    <w:rsid w:val="004336AE"/>
    <w:rsid w:val="004375C5"/>
    <w:rsid w:val="00437BAC"/>
    <w:rsid w:val="00440B0A"/>
    <w:rsid w:val="00440EFB"/>
    <w:rsid w:val="004415F4"/>
    <w:rsid w:val="00443673"/>
    <w:rsid w:val="004450BE"/>
    <w:rsid w:val="004457DC"/>
    <w:rsid w:val="00456ECA"/>
    <w:rsid w:val="00466417"/>
    <w:rsid w:val="00466E5D"/>
    <w:rsid w:val="00467080"/>
    <w:rsid w:val="00467D94"/>
    <w:rsid w:val="00474494"/>
    <w:rsid w:val="00474E12"/>
    <w:rsid w:val="00475A0A"/>
    <w:rsid w:val="00475B1B"/>
    <w:rsid w:val="004762D6"/>
    <w:rsid w:val="0048042F"/>
    <w:rsid w:val="004810D0"/>
    <w:rsid w:val="0048319A"/>
    <w:rsid w:val="0048378A"/>
    <w:rsid w:val="00486002"/>
    <w:rsid w:val="004867E7"/>
    <w:rsid w:val="00487DB6"/>
    <w:rsid w:val="00490D04"/>
    <w:rsid w:val="0049433D"/>
    <w:rsid w:val="004957CD"/>
    <w:rsid w:val="00495AF5"/>
    <w:rsid w:val="00496707"/>
    <w:rsid w:val="004A073E"/>
    <w:rsid w:val="004A1F14"/>
    <w:rsid w:val="004A224F"/>
    <w:rsid w:val="004A618B"/>
    <w:rsid w:val="004B217C"/>
    <w:rsid w:val="004B2B5C"/>
    <w:rsid w:val="004C0CB5"/>
    <w:rsid w:val="004C2782"/>
    <w:rsid w:val="004C2AE4"/>
    <w:rsid w:val="004C3155"/>
    <w:rsid w:val="004C4268"/>
    <w:rsid w:val="004C52D3"/>
    <w:rsid w:val="004C7E6D"/>
    <w:rsid w:val="004D33E9"/>
    <w:rsid w:val="004D3432"/>
    <w:rsid w:val="004D4608"/>
    <w:rsid w:val="004D7808"/>
    <w:rsid w:val="004E04F3"/>
    <w:rsid w:val="004E3D52"/>
    <w:rsid w:val="004F0222"/>
    <w:rsid w:val="004F0403"/>
    <w:rsid w:val="004F0C49"/>
    <w:rsid w:val="004F109F"/>
    <w:rsid w:val="004F2D77"/>
    <w:rsid w:val="004F2FBD"/>
    <w:rsid w:val="004F671F"/>
    <w:rsid w:val="005001DB"/>
    <w:rsid w:val="0050100F"/>
    <w:rsid w:val="00501213"/>
    <w:rsid w:val="00504561"/>
    <w:rsid w:val="00505F4C"/>
    <w:rsid w:val="00506B25"/>
    <w:rsid w:val="00512E6F"/>
    <w:rsid w:val="00517CD9"/>
    <w:rsid w:val="00520CC5"/>
    <w:rsid w:val="00521902"/>
    <w:rsid w:val="00521A48"/>
    <w:rsid w:val="00521F65"/>
    <w:rsid w:val="00523222"/>
    <w:rsid w:val="005233CA"/>
    <w:rsid w:val="005240A5"/>
    <w:rsid w:val="00526E77"/>
    <w:rsid w:val="005272A3"/>
    <w:rsid w:val="005277ED"/>
    <w:rsid w:val="0053297B"/>
    <w:rsid w:val="00533844"/>
    <w:rsid w:val="00533FE4"/>
    <w:rsid w:val="0053408E"/>
    <w:rsid w:val="00536CDD"/>
    <w:rsid w:val="00537245"/>
    <w:rsid w:val="00543BD2"/>
    <w:rsid w:val="005454F6"/>
    <w:rsid w:val="0054622B"/>
    <w:rsid w:val="00547546"/>
    <w:rsid w:val="005479A1"/>
    <w:rsid w:val="005500C7"/>
    <w:rsid w:val="00552F60"/>
    <w:rsid w:val="00553837"/>
    <w:rsid w:val="00554D7F"/>
    <w:rsid w:val="00557B50"/>
    <w:rsid w:val="00563865"/>
    <w:rsid w:val="00563ED1"/>
    <w:rsid w:val="00564052"/>
    <w:rsid w:val="00566343"/>
    <w:rsid w:val="00567993"/>
    <w:rsid w:val="00570A22"/>
    <w:rsid w:val="00570A7C"/>
    <w:rsid w:val="00572B9C"/>
    <w:rsid w:val="00577DD8"/>
    <w:rsid w:val="005817CD"/>
    <w:rsid w:val="00583966"/>
    <w:rsid w:val="005915C5"/>
    <w:rsid w:val="00593BC1"/>
    <w:rsid w:val="00596603"/>
    <w:rsid w:val="005A3BE6"/>
    <w:rsid w:val="005A57A9"/>
    <w:rsid w:val="005A7716"/>
    <w:rsid w:val="005B074E"/>
    <w:rsid w:val="005B2183"/>
    <w:rsid w:val="005B303A"/>
    <w:rsid w:val="005B45F4"/>
    <w:rsid w:val="005B4613"/>
    <w:rsid w:val="005B5606"/>
    <w:rsid w:val="005C0FE9"/>
    <w:rsid w:val="005C1B1E"/>
    <w:rsid w:val="005C4138"/>
    <w:rsid w:val="005C4F6D"/>
    <w:rsid w:val="005C574B"/>
    <w:rsid w:val="005C5F32"/>
    <w:rsid w:val="005C5FB0"/>
    <w:rsid w:val="005C74EA"/>
    <w:rsid w:val="005D6245"/>
    <w:rsid w:val="005E011E"/>
    <w:rsid w:val="005E09E1"/>
    <w:rsid w:val="005E32B9"/>
    <w:rsid w:val="005E38D0"/>
    <w:rsid w:val="005E3A7F"/>
    <w:rsid w:val="005E6CBB"/>
    <w:rsid w:val="005E6E4E"/>
    <w:rsid w:val="005F1E25"/>
    <w:rsid w:val="005F2767"/>
    <w:rsid w:val="005F35DE"/>
    <w:rsid w:val="005F4B45"/>
    <w:rsid w:val="0060090B"/>
    <w:rsid w:val="00600F25"/>
    <w:rsid w:val="006045BB"/>
    <w:rsid w:val="00604A23"/>
    <w:rsid w:val="00606B81"/>
    <w:rsid w:val="00607918"/>
    <w:rsid w:val="00610570"/>
    <w:rsid w:val="00610994"/>
    <w:rsid w:val="006128F2"/>
    <w:rsid w:val="00617653"/>
    <w:rsid w:val="0062077F"/>
    <w:rsid w:val="00621074"/>
    <w:rsid w:val="00621670"/>
    <w:rsid w:val="00623EAF"/>
    <w:rsid w:val="006272E8"/>
    <w:rsid w:val="00632662"/>
    <w:rsid w:val="0063315C"/>
    <w:rsid w:val="00634968"/>
    <w:rsid w:val="00634EC8"/>
    <w:rsid w:val="00635253"/>
    <w:rsid w:val="00642143"/>
    <w:rsid w:val="00642BC1"/>
    <w:rsid w:val="00642DC2"/>
    <w:rsid w:val="00647D50"/>
    <w:rsid w:val="006517F9"/>
    <w:rsid w:val="0065256F"/>
    <w:rsid w:val="00655FC2"/>
    <w:rsid w:val="00657916"/>
    <w:rsid w:val="00662155"/>
    <w:rsid w:val="00663F15"/>
    <w:rsid w:val="00664E78"/>
    <w:rsid w:val="00667E77"/>
    <w:rsid w:val="00671092"/>
    <w:rsid w:val="00671B26"/>
    <w:rsid w:val="00671CD2"/>
    <w:rsid w:val="00671D4C"/>
    <w:rsid w:val="00675ACF"/>
    <w:rsid w:val="00676006"/>
    <w:rsid w:val="006766A4"/>
    <w:rsid w:val="00677501"/>
    <w:rsid w:val="00683D69"/>
    <w:rsid w:val="006877FA"/>
    <w:rsid w:val="00690C4A"/>
    <w:rsid w:val="00694620"/>
    <w:rsid w:val="00694EC8"/>
    <w:rsid w:val="00695FF4"/>
    <w:rsid w:val="00696BBB"/>
    <w:rsid w:val="006A09F8"/>
    <w:rsid w:val="006A2C27"/>
    <w:rsid w:val="006A2CC4"/>
    <w:rsid w:val="006A4DE7"/>
    <w:rsid w:val="006A75E1"/>
    <w:rsid w:val="006B0273"/>
    <w:rsid w:val="006B3574"/>
    <w:rsid w:val="006B3639"/>
    <w:rsid w:val="006B3DA6"/>
    <w:rsid w:val="006C12C1"/>
    <w:rsid w:val="006C5B54"/>
    <w:rsid w:val="006C6D2D"/>
    <w:rsid w:val="006D0562"/>
    <w:rsid w:val="006D06E0"/>
    <w:rsid w:val="006D12BD"/>
    <w:rsid w:val="006D1DE2"/>
    <w:rsid w:val="006D42C0"/>
    <w:rsid w:val="006D5320"/>
    <w:rsid w:val="006D6B21"/>
    <w:rsid w:val="006D7905"/>
    <w:rsid w:val="006E094B"/>
    <w:rsid w:val="006E0B45"/>
    <w:rsid w:val="006E244F"/>
    <w:rsid w:val="006E2620"/>
    <w:rsid w:val="006E39B8"/>
    <w:rsid w:val="006E652E"/>
    <w:rsid w:val="006E693B"/>
    <w:rsid w:val="006E70C5"/>
    <w:rsid w:val="006E7855"/>
    <w:rsid w:val="006E7F15"/>
    <w:rsid w:val="006F114E"/>
    <w:rsid w:val="006F2AE3"/>
    <w:rsid w:val="006F3DA1"/>
    <w:rsid w:val="006F5134"/>
    <w:rsid w:val="006F557F"/>
    <w:rsid w:val="00701CE3"/>
    <w:rsid w:val="007035C2"/>
    <w:rsid w:val="007044EA"/>
    <w:rsid w:val="00705B07"/>
    <w:rsid w:val="00712070"/>
    <w:rsid w:val="00716514"/>
    <w:rsid w:val="00720848"/>
    <w:rsid w:val="00720929"/>
    <w:rsid w:val="00720FE9"/>
    <w:rsid w:val="00722186"/>
    <w:rsid w:val="00722E40"/>
    <w:rsid w:val="00723BEF"/>
    <w:rsid w:val="0072683F"/>
    <w:rsid w:val="007312F7"/>
    <w:rsid w:val="00731C52"/>
    <w:rsid w:val="00732010"/>
    <w:rsid w:val="00736D96"/>
    <w:rsid w:val="007412EB"/>
    <w:rsid w:val="007421DF"/>
    <w:rsid w:val="0074446A"/>
    <w:rsid w:val="00744585"/>
    <w:rsid w:val="007445CD"/>
    <w:rsid w:val="007473C1"/>
    <w:rsid w:val="00747A23"/>
    <w:rsid w:val="00747FDE"/>
    <w:rsid w:val="0075010D"/>
    <w:rsid w:val="00750595"/>
    <w:rsid w:val="00752AF6"/>
    <w:rsid w:val="00754169"/>
    <w:rsid w:val="00756A85"/>
    <w:rsid w:val="00763196"/>
    <w:rsid w:val="0076323B"/>
    <w:rsid w:val="00763600"/>
    <w:rsid w:val="007650A9"/>
    <w:rsid w:val="00766665"/>
    <w:rsid w:val="00770AE6"/>
    <w:rsid w:val="00770E68"/>
    <w:rsid w:val="007739DD"/>
    <w:rsid w:val="007741C2"/>
    <w:rsid w:val="00775B4D"/>
    <w:rsid w:val="007760B7"/>
    <w:rsid w:val="007775CB"/>
    <w:rsid w:val="007818C2"/>
    <w:rsid w:val="00781A3F"/>
    <w:rsid w:val="00784B6B"/>
    <w:rsid w:val="00785DCF"/>
    <w:rsid w:val="007906F1"/>
    <w:rsid w:val="007908FF"/>
    <w:rsid w:val="00790E0A"/>
    <w:rsid w:val="00793044"/>
    <w:rsid w:val="007934DC"/>
    <w:rsid w:val="00794C74"/>
    <w:rsid w:val="007A3479"/>
    <w:rsid w:val="007A3F54"/>
    <w:rsid w:val="007A47AD"/>
    <w:rsid w:val="007A777C"/>
    <w:rsid w:val="007B020E"/>
    <w:rsid w:val="007B11DD"/>
    <w:rsid w:val="007B2CB1"/>
    <w:rsid w:val="007B3E2F"/>
    <w:rsid w:val="007C189F"/>
    <w:rsid w:val="007C2A38"/>
    <w:rsid w:val="007C3AF8"/>
    <w:rsid w:val="007C4952"/>
    <w:rsid w:val="007C4BCF"/>
    <w:rsid w:val="007D2B13"/>
    <w:rsid w:val="007E0C97"/>
    <w:rsid w:val="007E2F01"/>
    <w:rsid w:val="007E45E5"/>
    <w:rsid w:val="007E714C"/>
    <w:rsid w:val="007E7690"/>
    <w:rsid w:val="007F1A89"/>
    <w:rsid w:val="007F277F"/>
    <w:rsid w:val="007F3681"/>
    <w:rsid w:val="007F47D5"/>
    <w:rsid w:val="007F6072"/>
    <w:rsid w:val="007F6CA5"/>
    <w:rsid w:val="008008C5"/>
    <w:rsid w:val="00801F3A"/>
    <w:rsid w:val="00802858"/>
    <w:rsid w:val="00804490"/>
    <w:rsid w:val="00805472"/>
    <w:rsid w:val="008103BC"/>
    <w:rsid w:val="0081361C"/>
    <w:rsid w:val="00813912"/>
    <w:rsid w:val="00813DED"/>
    <w:rsid w:val="0081587F"/>
    <w:rsid w:val="00817796"/>
    <w:rsid w:val="00817A51"/>
    <w:rsid w:val="008204E6"/>
    <w:rsid w:val="008210C2"/>
    <w:rsid w:val="008219FB"/>
    <w:rsid w:val="00822A29"/>
    <w:rsid w:val="00824645"/>
    <w:rsid w:val="00826D22"/>
    <w:rsid w:val="00832247"/>
    <w:rsid w:val="00832344"/>
    <w:rsid w:val="00833C84"/>
    <w:rsid w:val="00835419"/>
    <w:rsid w:val="00835CF5"/>
    <w:rsid w:val="00836AF6"/>
    <w:rsid w:val="00840BAB"/>
    <w:rsid w:val="00843754"/>
    <w:rsid w:val="00846515"/>
    <w:rsid w:val="00846643"/>
    <w:rsid w:val="008471C2"/>
    <w:rsid w:val="00851C88"/>
    <w:rsid w:val="00852D5A"/>
    <w:rsid w:val="00853396"/>
    <w:rsid w:val="00853CCE"/>
    <w:rsid w:val="0085452F"/>
    <w:rsid w:val="00855B20"/>
    <w:rsid w:val="0085704C"/>
    <w:rsid w:val="00860136"/>
    <w:rsid w:val="0086044A"/>
    <w:rsid w:val="00860F5A"/>
    <w:rsid w:val="008613C4"/>
    <w:rsid w:val="00861DDF"/>
    <w:rsid w:val="00862AD0"/>
    <w:rsid w:val="008652FF"/>
    <w:rsid w:val="008661FB"/>
    <w:rsid w:val="00866438"/>
    <w:rsid w:val="00870524"/>
    <w:rsid w:val="00870656"/>
    <w:rsid w:val="00877C04"/>
    <w:rsid w:val="00881D9D"/>
    <w:rsid w:val="008823C9"/>
    <w:rsid w:val="00882DFF"/>
    <w:rsid w:val="0088408F"/>
    <w:rsid w:val="00884474"/>
    <w:rsid w:val="00885657"/>
    <w:rsid w:val="00886076"/>
    <w:rsid w:val="00886CEF"/>
    <w:rsid w:val="00887BF5"/>
    <w:rsid w:val="0089005F"/>
    <w:rsid w:val="0089073F"/>
    <w:rsid w:val="00892ABC"/>
    <w:rsid w:val="0089404A"/>
    <w:rsid w:val="00895670"/>
    <w:rsid w:val="008978D6"/>
    <w:rsid w:val="008A1487"/>
    <w:rsid w:val="008A21C4"/>
    <w:rsid w:val="008A43D0"/>
    <w:rsid w:val="008A5414"/>
    <w:rsid w:val="008A603E"/>
    <w:rsid w:val="008A6E99"/>
    <w:rsid w:val="008B2F87"/>
    <w:rsid w:val="008B58B9"/>
    <w:rsid w:val="008B620F"/>
    <w:rsid w:val="008B6BC2"/>
    <w:rsid w:val="008B6F74"/>
    <w:rsid w:val="008C11BC"/>
    <w:rsid w:val="008C13C0"/>
    <w:rsid w:val="008C587A"/>
    <w:rsid w:val="008C6F3D"/>
    <w:rsid w:val="008D035A"/>
    <w:rsid w:val="008D19FE"/>
    <w:rsid w:val="008D458B"/>
    <w:rsid w:val="008D4F72"/>
    <w:rsid w:val="008D626D"/>
    <w:rsid w:val="008D7F88"/>
    <w:rsid w:val="008E2BD9"/>
    <w:rsid w:val="008E376A"/>
    <w:rsid w:val="008E382A"/>
    <w:rsid w:val="008E427E"/>
    <w:rsid w:val="008E46F3"/>
    <w:rsid w:val="008E4869"/>
    <w:rsid w:val="008E4B0D"/>
    <w:rsid w:val="008E55D5"/>
    <w:rsid w:val="008E7383"/>
    <w:rsid w:val="008F04BA"/>
    <w:rsid w:val="008F1A6D"/>
    <w:rsid w:val="008F5357"/>
    <w:rsid w:val="008F6B2E"/>
    <w:rsid w:val="0090429D"/>
    <w:rsid w:val="00906B6F"/>
    <w:rsid w:val="00910ACB"/>
    <w:rsid w:val="00911E8D"/>
    <w:rsid w:val="009177D6"/>
    <w:rsid w:val="00917DBC"/>
    <w:rsid w:val="00920103"/>
    <w:rsid w:val="0092031F"/>
    <w:rsid w:val="0092195E"/>
    <w:rsid w:val="00922071"/>
    <w:rsid w:val="00922850"/>
    <w:rsid w:val="00927E07"/>
    <w:rsid w:val="00930701"/>
    <w:rsid w:val="00933C80"/>
    <w:rsid w:val="00934AB3"/>
    <w:rsid w:val="00935D3E"/>
    <w:rsid w:val="00936127"/>
    <w:rsid w:val="00936194"/>
    <w:rsid w:val="0093733E"/>
    <w:rsid w:val="00940109"/>
    <w:rsid w:val="009406DC"/>
    <w:rsid w:val="00941BCC"/>
    <w:rsid w:val="00942377"/>
    <w:rsid w:val="0094360C"/>
    <w:rsid w:val="00945848"/>
    <w:rsid w:val="00945A91"/>
    <w:rsid w:val="00945C5B"/>
    <w:rsid w:val="009462DA"/>
    <w:rsid w:val="0095026B"/>
    <w:rsid w:val="00953C5D"/>
    <w:rsid w:val="00955148"/>
    <w:rsid w:val="00955797"/>
    <w:rsid w:val="0095663F"/>
    <w:rsid w:val="0095685C"/>
    <w:rsid w:val="009570BC"/>
    <w:rsid w:val="0095789C"/>
    <w:rsid w:val="00957FA7"/>
    <w:rsid w:val="00962616"/>
    <w:rsid w:val="00962CC2"/>
    <w:rsid w:val="009638F1"/>
    <w:rsid w:val="0096496D"/>
    <w:rsid w:val="00964DF6"/>
    <w:rsid w:val="00966081"/>
    <w:rsid w:val="00966E37"/>
    <w:rsid w:val="00967536"/>
    <w:rsid w:val="009742E7"/>
    <w:rsid w:val="0097539D"/>
    <w:rsid w:val="0097645B"/>
    <w:rsid w:val="009765EC"/>
    <w:rsid w:val="00976814"/>
    <w:rsid w:val="00976CCD"/>
    <w:rsid w:val="00980DA8"/>
    <w:rsid w:val="0098272F"/>
    <w:rsid w:val="00982F56"/>
    <w:rsid w:val="00983A0B"/>
    <w:rsid w:val="009963CE"/>
    <w:rsid w:val="009965A6"/>
    <w:rsid w:val="009967D3"/>
    <w:rsid w:val="00997CB0"/>
    <w:rsid w:val="009A06FF"/>
    <w:rsid w:val="009A256B"/>
    <w:rsid w:val="009A4090"/>
    <w:rsid w:val="009A4983"/>
    <w:rsid w:val="009A68F3"/>
    <w:rsid w:val="009A6D5C"/>
    <w:rsid w:val="009B336C"/>
    <w:rsid w:val="009B3D8A"/>
    <w:rsid w:val="009B4EE0"/>
    <w:rsid w:val="009B58EA"/>
    <w:rsid w:val="009C06E5"/>
    <w:rsid w:val="009C2D55"/>
    <w:rsid w:val="009C324A"/>
    <w:rsid w:val="009C3C3B"/>
    <w:rsid w:val="009C657F"/>
    <w:rsid w:val="009C7EEC"/>
    <w:rsid w:val="009D0ED3"/>
    <w:rsid w:val="009D1AF0"/>
    <w:rsid w:val="009D29DF"/>
    <w:rsid w:val="009D3C0C"/>
    <w:rsid w:val="009D448A"/>
    <w:rsid w:val="009D56C9"/>
    <w:rsid w:val="009D64D1"/>
    <w:rsid w:val="009D6A47"/>
    <w:rsid w:val="009E07F9"/>
    <w:rsid w:val="009E1B40"/>
    <w:rsid w:val="009E260A"/>
    <w:rsid w:val="009E3E23"/>
    <w:rsid w:val="009E6ADA"/>
    <w:rsid w:val="009F0F5E"/>
    <w:rsid w:val="009F159C"/>
    <w:rsid w:val="009F24A5"/>
    <w:rsid w:val="009F48C4"/>
    <w:rsid w:val="009F4C7E"/>
    <w:rsid w:val="00A020F9"/>
    <w:rsid w:val="00A025AE"/>
    <w:rsid w:val="00A115F3"/>
    <w:rsid w:val="00A12BE8"/>
    <w:rsid w:val="00A13DD9"/>
    <w:rsid w:val="00A17DF6"/>
    <w:rsid w:val="00A17FA0"/>
    <w:rsid w:val="00A202D7"/>
    <w:rsid w:val="00A2092A"/>
    <w:rsid w:val="00A21E71"/>
    <w:rsid w:val="00A23BA3"/>
    <w:rsid w:val="00A245EE"/>
    <w:rsid w:val="00A310DC"/>
    <w:rsid w:val="00A33ECF"/>
    <w:rsid w:val="00A36C64"/>
    <w:rsid w:val="00A37358"/>
    <w:rsid w:val="00A410E6"/>
    <w:rsid w:val="00A43542"/>
    <w:rsid w:val="00A454EB"/>
    <w:rsid w:val="00A45DE4"/>
    <w:rsid w:val="00A462AC"/>
    <w:rsid w:val="00A46840"/>
    <w:rsid w:val="00A51D8B"/>
    <w:rsid w:val="00A52BF0"/>
    <w:rsid w:val="00A53832"/>
    <w:rsid w:val="00A543EC"/>
    <w:rsid w:val="00A5723D"/>
    <w:rsid w:val="00A6423F"/>
    <w:rsid w:val="00A64C0B"/>
    <w:rsid w:val="00A6506F"/>
    <w:rsid w:val="00A65353"/>
    <w:rsid w:val="00A66357"/>
    <w:rsid w:val="00A703A8"/>
    <w:rsid w:val="00A7231A"/>
    <w:rsid w:val="00A72A84"/>
    <w:rsid w:val="00A73910"/>
    <w:rsid w:val="00A74141"/>
    <w:rsid w:val="00A76BD9"/>
    <w:rsid w:val="00A803BA"/>
    <w:rsid w:val="00A80AD8"/>
    <w:rsid w:val="00A81525"/>
    <w:rsid w:val="00A8277B"/>
    <w:rsid w:val="00A832C7"/>
    <w:rsid w:val="00A86751"/>
    <w:rsid w:val="00A87240"/>
    <w:rsid w:val="00A87C2C"/>
    <w:rsid w:val="00A903B9"/>
    <w:rsid w:val="00A920E6"/>
    <w:rsid w:val="00A9638F"/>
    <w:rsid w:val="00A97CC4"/>
    <w:rsid w:val="00AA1D16"/>
    <w:rsid w:val="00AA241A"/>
    <w:rsid w:val="00AA4E6D"/>
    <w:rsid w:val="00AA543E"/>
    <w:rsid w:val="00AA5CC4"/>
    <w:rsid w:val="00AB02CE"/>
    <w:rsid w:val="00AB48DA"/>
    <w:rsid w:val="00AB4FD9"/>
    <w:rsid w:val="00AB5102"/>
    <w:rsid w:val="00AB5C5B"/>
    <w:rsid w:val="00AB618D"/>
    <w:rsid w:val="00AB6A75"/>
    <w:rsid w:val="00AB7465"/>
    <w:rsid w:val="00AC0DC3"/>
    <w:rsid w:val="00AC1568"/>
    <w:rsid w:val="00AC4830"/>
    <w:rsid w:val="00AC54FC"/>
    <w:rsid w:val="00AC6177"/>
    <w:rsid w:val="00AC7035"/>
    <w:rsid w:val="00AC751E"/>
    <w:rsid w:val="00AD0D42"/>
    <w:rsid w:val="00AD182C"/>
    <w:rsid w:val="00AD2C24"/>
    <w:rsid w:val="00AD32C3"/>
    <w:rsid w:val="00AD53CA"/>
    <w:rsid w:val="00AD7C87"/>
    <w:rsid w:val="00AE1527"/>
    <w:rsid w:val="00AE29E8"/>
    <w:rsid w:val="00AE43B6"/>
    <w:rsid w:val="00AE545C"/>
    <w:rsid w:val="00AE75E0"/>
    <w:rsid w:val="00AF08CF"/>
    <w:rsid w:val="00AF0E96"/>
    <w:rsid w:val="00B00D67"/>
    <w:rsid w:val="00B01A3B"/>
    <w:rsid w:val="00B07ACA"/>
    <w:rsid w:val="00B11F99"/>
    <w:rsid w:val="00B12930"/>
    <w:rsid w:val="00B13F60"/>
    <w:rsid w:val="00B141D1"/>
    <w:rsid w:val="00B17466"/>
    <w:rsid w:val="00B17545"/>
    <w:rsid w:val="00B235B5"/>
    <w:rsid w:val="00B266C2"/>
    <w:rsid w:val="00B279E0"/>
    <w:rsid w:val="00B3300C"/>
    <w:rsid w:val="00B336A1"/>
    <w:rsid w:val="00B342E5"/>
    <w:rsid w:val="00B422BA"/>
    <w:rsid w:val="00B435E2"/>
    <w:rsid w:val="00B444BF"/>
    <w:rsid w:val="00B444EE"/>
    <w:rsid w:val="00B447C4"/>
    <w:rsid w:val="00B47942"/>
    <w:rsid w:val="00B508B6"/>
    <w:rsid w:val="00B519B7"/>
    <w:rsid w:val="00B62507"/>
    <w:rsid w:val="00B65ED0"/>
    <w:rsid w:val="00B73B4E"/>
    <w:rsid w:val="00B75148"/>
    <w:rsid w:val="00B75C0B"/>
    <w:rsid w:val="00B8528C"/>
    <w:rsid w:val="00B85487"/>
    <w:rsid w:val="00B86ACA"/>
    <w:rsid w:val="00B87506"/>
    <w:rsid w:val="00B9151F"/>
    <w:rsid w:val="00B91C86"/>
    <w:rsid w:val="00B94520"/>
    <w:rsid w:val="00B961CD"/>
    <w:rsid w:val="00BA1BC3"/>
    <w:rsid w:val="00BA3DE2"/>
    <w:rsid w:val="00BA5361"/>
    <w:rsid w:val="00BA6CA6"/>
    <w:rsid w:val="00BA7BF2"/>
    <w:rsid w:val="00BB09BC"/>
    <w:rsid w:val="00BB2417"/>
    <w:rsid w:val="00BB302D"/>
    <w:rsid w:val="00BB582F"/>
    <w:rsid w:val="00BC15FF"/>
    <w:rsid w:val="00BC1E78"/>
    <w:rsid w:val="00BC2EFF"/>
    <w:rsid w:val="00BC3C47"/>
    <w:rsid w:val="00BC5BFD"/>
    <w:rsid w:val="00BC5C3E"/>
    <w:rsid w:val="00BC6C10"/>
    <w:rsid w:val="00BC79F5"/>
    <w:rsid w:val="00BC7D12"/>
    <w:rsid w:val="00BD474E"/>
    <w:rsid w:val="00BD578C"/>
    <w:rsid w:val="00BD6B4F"/>
    <w:rsid w:val="00BE0800"/>
    <w:rsid w:val="00BE2910"/>
    <w:rsid w:val="00BE2C55"/>
    <w:rsid w:val="00BE3235"/>
    <w:rsid w:val="00BE531A"/>
    <w:rsid w:val="00BE547B"/>
    <w:rsid w:val="00BF01E6"/>
    <w:rsid w:val="00BF08FA"/>
    <w:rsid w:val="00BF296B"/>
    <w:rsid w:val="00BF39E3"/>
    <w:rsid w:val="00BF6E2F"/>
    <w:rsid w:val="00C00216"/>
    <w:rsid w:val="00C01F2C"/>
    <w:rsid w:val="00C04BF1"/>
    <w:rsid w:val="00C05E6A"/>
    <w:rsid w:val="00C07A65"/>
    <w:rsid w:val="00C07FA9"/>
    <w:rsid w:val="00C10969"/>
    <w:rsid w:val="00C131A4"/>
    <w:rsid w:val="00C215A9"/>
    <w:rsid w:val="00C22683"/>
    <w:rsid w:val="00C235CF"/>
    <w:rsid w:val="00C26A76"/>
    <w:rsid w:val="00C27836"/>
    <w:rsid w:val="00C300EC"/>
    <w:rsid w:val="00C30376"/>
    <w:rsid w:val="00C33EC2"/>
    <w:rsid w:val="00C34911"/>
    <w:rsid w:val="00C34F61"/>
    <w:rsid w:val="00C34FA5"/>
    <w:rsid w:val="00C41095"/>
    <w:rsid w:val="00C41C4E"/>
    <w:rsid w:val="00C42729"/>
    <w:rsid w:val="00C45A71"/>
    <w:rsid w:val="00C47D41"/>
    <w:rsid w:val="00C50477"/>
    <w:rsid w:val="00C52C6A"/>
    <w:rsid w:val="00C5359A"/>
    <w:rsid w:val="00C54E1C"/>
    <w:rsid w:val="00C604AC"/>
    <w:rsid w:val="00C620DC"/>
    <w:rsid w:val="00C62D32"/>
    <w:rsid w:val="00C65D4E"/>
    <w:rsid w:val="00C677F5"/>
    <w:rsid w:val="00C67969"/>
    <w:rsid w:val="00C72EA6"/>
    <w:rsid w:val="00C72F7E"/>
    <w:rsid w:val="00C74D21"/>
    <w:rsid w:val="00C751C4"/>
    <w:rsid w:val="00C75399"/>
    <w:rsid w:val="00C75B09"/>
    <w:rsid w:val="00C7637B"/>
    <w:rsid w:val="00C81EDF"/>
    <w:rsid w:val="00C83511"/>
    <w:rsid w:val="00C84A37"/>
    <w:rsid w:val="00C90BAD"/>
    <w:rsid w:val="00C90DA1"/>
    <w:rsid w:val="00C92F8D"/>
    <w:rsid w:val="00C9348F"/>
    <w:rsid w:val="00C93A7C"/>
    <w:rsid w:val="00C97178"/>
    <w:rsid w:val="00C9717C"/>
    <w:rsid w:val="00CA15C6"/>
    <w:rsid w:val="00CA3E2A"/>
    <w:rsid w:val="00CA50FD"/>
    <w:rsid w:val="00CA7DAC"/>
    <w:rsid w:val="00CB333A"/>
    <w:rsid w:val="00CC0603"/>
    <w:rsid w:val="00CC5229"/>
    <w:rsid w:val="00CC5DB4"/>
    <w:rsid w:val="00CC6882"/>
    <w:rsid w:val="00CC6FD8"/>
    <w:rsid w:val="00CD0CA6"/>
    <w:rsid w:val="00CD0F01"/>
    <w:rsid w:val="00CD1A3F"/>
    <w:rsid w:val="00CD2A1E"/>
    <w:rsid w:val="00CD3136"/>
    <w:rsid w:val="00CD3B8C"/>
    <w:rsid w:val="00CD4556"/>
    <w:rsid w:val="00CD455E"/>
    <w:rsid w:val="00CD45A5"/>
    <w:rsid w:val="00CE51C6"/>
    <w:rsid w:val="00CE6D53"/>
    <w:rsid w:val="00CF0EFF"/>
    <w:rsid w:val="00CF1833"/>
    <w:rsid w:val="00CF33CF"/>
    <w:rsid w:val="00CF34BB"/>
    <w:rsid w:val="00CF6E5D"/>
    <w:rsid w:val="00D00799"/>
    <w:rsid w:val="00D00B76"/>
    <w:rsid w:val="00D00CFA"/>
    <w:rsid w:val="00D01868"/>
    <w:rsid w:val="00D02694"/>
    <w:rsid w:val="00D0376E"/>
    <w:rsid w:val="00D06ADE"/>
    <w:rsid w:val="00D07742"/>
    <w:rsid w:val="00D14F6D"/>
    <w:rsid w:val="00D155B4"/>
    <w:rsid w:val="00D15629"/>
    <w:rsid w:val="00D15959"/>
    <w:rsid w:val="00D16CC3"/>
    <w:rsid w:val="00D17084"/>
    <w:rsid w:val="00D17341"/>
    <w:rsid w:val="00D178A6"/>
    <w:rsid w:val="00D21E2E"/>
    <w:rsid w:val="00D2469F"/>
    <w:rsid w:val="00D253A2"/>
    <w:rsid w:val="00D26DBA"/>
    <w:rsid w:val="00D30163"/>
    <w:rsid w:val="00D3127E"/>
    <w:rsid w:val="00D31735"/>
    <w:rsid w:val="00D32176"/>
    <w:rsid w:val="00D37B10"/>
    <w:rsid w:val="00D4707B"/>
    <w:rsid w:val="00D473B0"/>
    <w:rsid w:val="00D50609"/>
    <w:rsid w:val="00D5099D"/>
    <w:rsid w:val="00D532E6"/>
    <w:rsid w:val="00D54189"/>
    <w:rsid w:val="00D569B0"/>
    <w:rsid w:val="00D5716F"/>
    <w:rsid w:val="00D606AA"/>
    <w:rsid w:val="00D610DC"/>
    <w:rsid w:val="00D61301"/>
    <w:rsid w:val="00D622D5"/>
    <w:rsid w:val="00D62B48"/>
    <w:rsid w:val="00D62F1A"/>
    <w:rsid w:val="00D6316C"/>
    <w:rsid w:val="00D63BBE"/>
    <w:rsid w:val="00D643EF"/>
    <w:rsid w:val="00D65C58"/>
    <w:rsid w:val="00D672E9"/>
    <w:rsid w:val="00D7093C"/>
    <w:rsid w:val="00D71B90"/>
    <w:rsid w:val="00D7342E"/>
    <w:rsid w:val="00D74255"/>
    <w:rsid w:val="00D74B10"/>
    <w:rsid w:val="00D75036"/>
    <w:rsid w:val="00D751F4"/>
    <w:rsid w:val="00D76151"/>
    <w:rsid w:val="00D76C77"/>
    <w:rsid w:val="00D779E7"/>
    <w:rsid w:val="00D811E7"/>
    <w:rsid w:val="00D81971"/>
    <w:rsid w:val="00D86AFE"/>
    <w:rsid w:val="00D91DA8"/>
    <w:rsid w:val="00D93348"/>
    <w:rsid w:val="00D933DF"/>
    <w:rsid w:val="00D94A1E"/>
    <w:rsid w:val="00D954FD"/>
    <w:rsid w:val="00D96700"/>
    <w:rsid w:val="00D96D19"/>
    <w:rsid w:val="00D97E6B"/>
    <w:rsid w:val="00DA3318"/>
    <w:rsid w:val="00DA3F2D"/>
    <w:rsid w:val="00DA4353"/>
    <w:rsid w:val="00DA4936"/>
    <w:rsid w:val="00DA5657"/>
    <w:rsid w:val="00DA682B"/>
    <w:rsid w:val="00DB056D"/>
    <w:rsid w:val="00DB05C2"/>
    <w:rsid w:val="00DB17CF"/>
    <w:rsid w:val="00DB1B64"/>
    <w:rsid w:val="00DB28F1"/>
    <w:rsid w:val="00DB3AA2"/>
    <w:rsid w:val="00DB564E"/>
    <w:rsid w:val="00DB7CA8"/>
    <w:rsid w:val="00DC16F8"/>
    <w:rsid w:val="00DC2944"/>
    <w:rsid w:val="00DC4F78"/>
    <w:rsid w:val="00DD085B"/>
    <w:rsid w:val="00DD40D1"/>
    <w:rsid w:val="00DD4760"/>
    <w:rsid w:val="00DD56DD"/>
    <w:rsid w:val="00DD64D4"/>
    <w:rsid w:val="00DD6878"/>
    <w:rsid w:val="00DE317F"/>
    <w:rsid w:val="00DE3619"/>
    <w:rsid w:val="00DE777E"/>
    <w:rsid w:val="00DF2BB6"/>
    <w:rsid w:val="00DF4315"/>
    <w:rsid w:val="00DF6167"/>
    <w:rsid w:val="00DF659A"/>
    <w:rsid w:val="00DF7FD9"/>
    <w:rsid w:val="00E0287E"/>
    <w:rsid w:val="00E02E97"/>
    <w:rsid w:val="00E10B99"/>
    <w:rsid w:val="00E116BE"/>
    <w:rsid w:val="00E16547"/>
    <w:rsid w:val="00E20945"/>
    <w:rsid w:val="00E21251"/>
    <w:rsid w:val="00E21F97"/>
    <w:rsid w:val="00E2466F"/>
    <w:rsid w:val="00E2539C"/>
    <w:rsid w:val="00E26ECD"/>
    <w:rsid w:val="00E270A2"/>
    <w:rsid w:val="00E277AF"/>
    <w:rsid w:val="00E318C0"/>
    <w:rsid w:val="00E322DD"/>
    <w:rsid w:val="00E33A73"/>
    <w:rsid w:val="00E34162"/>
    <w:rsid w:val="00E371A9"/>
    <w:rsid w:val="00E37B2C"/>
    <w:rsid w:val="00E4149A"/>
    <w:rsid w:val="00E431B1"/>
    <w:rsid w:val="00E4637D"/>
    <w:rsid w:val="00E47119"/>
    <w:rsid w:val="00E471F6"/>
    <w:rsid w:val="00E5021B"/>
    <w:rsid w:val="00E535CB"/>
    <w:rsid w:val="00E539DA"/>
    <w:rsid w:val="00E557AF"/>
    <w:rsid w:val="00E56CE2"/>
    <w:rsid w:val="00E57375"/>
    <w:rsid w:val="00E648B6"/>
    <w:rsid w:val="00E64B6F"/>
    <w:rsid w:val="00E6501B"/>
    <w:rsid w:val="00E66189"/>
    <w:rsid w:val="00E74366"/>
    <w:rsid w:val="00E77D48"/>
    <w:rsid w:val="00E8127B"/>
    <w:rsid w:val="00E8147C"/>
    <w:rsid w:val="00E83350"/>
    <w:rsid w:val="00E8378E"/>
    <w:rsid w:val="00E837B3"/>
    <w:rsid w:val="00E84FE9"/>
    <w:rsid w:val="00E85809"/>
    <w:rsid w:val="00E86901"/>
    <w:rsid w:val="00E909CD"/>
    <w:rsid w:val="00E9316D"/>
    <w:rsid w:val="00E94A7C"/>
    <w:rsid w:val="00E9747B"/>
    <w:rsid w:val="00E9754C"/>
    <w:rsid w:val="00EA2081"/>
    <w:rsid w:val="00EA27A9"/>
    <w:rsid w:val="00EA28B4"/>
    <w:rsid w:val="00EA733F"/>
    <w:rsid w:val="00EB1AE5"/>
    <w:rsid w:val="00EB1C79"/>
    <w:rsid w:val="00EB4D88"/>
    <w:rsid w:val="00EB4E8B"/>
    <w:rsid w:val="00EB759B"/>
    <w:rsid w:val="00EC0874"/>
    <w:rsid w:val="00EC23D4"/>
    <w:rsid w:val="00EC2B13"/>
    <w:rsid w:val="00EC55CA"/>
    <w:rsid w:val="00EC5C71"/>
    <w:rsid w:val="00EC7D99"/>
    <w:rsid w:val="00ED18F3"/>
    <w:rsid w:val="00ED2F10"/>
    <w:rsid w:val="00ED2FA7"/>
    <w:rsid w:val="00ED40DD"/>
    <w:rsid w:val="00ED4459"/>
    <w:rsid w:val="00ED5E47"/>
    <w:rsid w:val="00ED61D8"/>
    <w:rsid w:val="00ED6BC0"/>
    <w:rsid w:val="00ED771D"/>
    <w:rsid w:val="00ED7D04"/>
    <w:rsid w:val="00EE0E09"/>
    <w:rsid w:val="00EE139A"/>
    <w:rsid w:val="00EE184A"/>
    <w:rsid w:val="00EE3C3C"/>
    <w:rsid w:val="00EE411C"/>
    <w:rsid w:val="00EE5B46"/>
    <w:rsid w:val="00EE5CF8"/>
    <w:rsid w:val="00EE5D62"/>
    <w:rsid w:val="00EF46AD"/>
    <w:rsid w:val="00EF7103"/>
    <w:rsid w:val="00EF7289"/>
    <w:rsid w:val="00F00DC8"/>
    <w:rsid w:val="00F019D9"/>
    <w:rsid w:val="00F03C44"/>
    <w:rsid w:val="00F053AC"/>
    <w:rsid w:val="00F061A5"/>
    <w:rsid w:val="00F07292"/>
    <w:rsid w:val="00F0738F"/>
    <w:rsid w:val="00F10325"/>
    <w:rsid w:val="00F1263F"/>
    <w:rsid w:val="00F1397F"/>
    <w:rsid w:val="00F14103"/>
    <w:rsid w:val="00F14D84"/>
    <w:rsid w:val="00F17334"/>
    <w:rsid w:val="00F206D4"/>
    <w:rsid w:val="00F25290"/>
    <w:rsid w:val="00F257C0"/>
    <w:rsid w:val="00F26CAD"/>
    <w:rsid w:val="00F312E1"/>
    <w:rsid w:val="00F31574"/>
    <w:rsid w:val="00F3428E"/>
    <w:rsid w:val="00F35101"/>
    <w:rsid w:val="00F37208"/>
    <w:rsid w:val="00F40276"/>
    <w:rsid w:val="00F40E13"/>
    <w:rsid w:val="00F45016"/>
    <w:rsid w:val="00F51C96"/>
    <w:rsid w:val="00F53612"/>
    <w:rsid w:val="00F547A7"/>
    <w:rsid w:val="00F607ED"/>
    <w:rsid w:val="00F60A90"/>
    <w:rsid w:val="00F6156B"/>
    <w:rsid w:val="00F62B0E"/>
    <w:rsid w:val="00F63271"/>
    <w:rsid w:val="00F64B05"/>
    <w:rsid w:val="00F65D6B"/>
    <w:rsid w:val="00F6648A"/>
    <w:rsid w:val="00F66E7A"/>
    <w:rsid w:val="00F72F70"/>
    <w:rsid w:val="00F738C5"/>
    <w:rsid w:val="00F748F0"/>
    <w:rsid w:val="00F7500A"/>
    <w:rsid w:val="00F7752B"/>
    <w:rsid w:val="00F77FE3"/>
    <w:rsid w:val="00F80179"/>
    <w:rsid w:val="00F81B3A"/>
    <w:rsid w:val="00F81CDB"/>
    <w:rsid w:val="00F82219"/>
    <w:rsid w:val="00F82222"/>
    <w:rsid w:val="00F85206"/>
    <w:rsid w:val="00F91739"/>
    <w:rsid w:val="00F940D2"/>
    <w:rsid w:val="00F95616"/>
    <w:rsid w:val="00F957D1"/>
    <w:rsid w:val="00F95B2A"/>
    <w:rsid w:val="00F95E43"/>
    <w:rsid w:val="00F96170"/>
    <w:rsid w:val="00FA4D7B"/>
    <w:rsid w:val="00FA4EA3"/>
    <w:rsid w:val="00FA5972"/>
    <w:rsid w:val="00FA5E2A"/>
    <w:rsid w:val="00FA615E"/>
    <w:rsid w:val="00FA6426"/>
    <w:rsid w:val="00FB0FD5"/>
    <w:rsid w:val="00FB5157"/>
    <w:rsid w:val="00FB713E"/>
    <w:rsid w:val="00FC09C8"/>
    <w:rsid w:val="00FC0B6B"/>
    <w:rsid w:val="00FC3061"/>
    <w:rsid w:val="00FC3D96"/>
    <w:rsid w:val="00FC4311"/>
    <w:rsid w:val="00FC59A0"/>
    <w:rsid w:val="00FD5006"/>
    <w:rsid w:val="00FD7B83"/>
    <w:rsid w:val="00FE09F5"/>
    <w:rsid w:val="00FE1277"/>
    <w:rsid w:val="00FE1283"/>
    <w:rsid w:val="00FE2E27"/>
    <w:rsid w:val="00FE3867"/>
    <w:rsid w:val="00FE3966"/>
    <w:rsid w:val="00FE6E26"/>
    <w:rsid w:val="00FE76E0"/>
    <w:rsid w:val="00FF08B1"/>
    <w:rsid w:val="00FF12AF"/>
    <w:rsid w:val="00FF16B0"/>
    <w:rsid w:val="00FF1B90"/>
    <w:rsid w:val="00FF3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AABE2"/>
  <w15:chartTrackingRefBased/>
  <w15:docId w15:val="{8045E8FC-CEC9-4167-BE1C-2A0E645D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uiPriority w:val="99"/>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ListParagraph">
    <w:name w:val="List Paragraph"/>
    <w:basedOn w:val="Normal"/>
    <w:uiPriority w:val="34"/>
    <w:qFormat/>
    <w:rsid w:val="001A2115"/>
    <w:pPr>
      <w:suppressAutoHyphens w:val="0"/>
      <w:spacing w:after="160" w:line="259" w:lineRule="auto"/>
      <w:ind w:left="720"/>
      <w:contextualSpacing/>
      <w:jc w:val="left"/>
    </w:pPr>
    <w:rPr>
      <w:rFonts w:ascii="Calibri" w:eastAsia="Calibri" w:hAnsi="Calibri"/>
      <w:sz w:val="22"/>
      <w:szCs w:val="22"/>
    </w:rPr>
  </w:style>
  <w:style w:type="character" w:customStyle="1" w:styleId="mc">
    <w:name w:val="mc"/>
    <w:basedOn w:val="DefaultParagraphFont"/>
    <w:rsid w:val="00C90DA1"/>
  </w:style>
  <w:style w:type="character" w:customStyle="1" w:styleId="g1">
    <w:name w:val="g1"/>
    <w:basedOn w:val="DefaultParagraphFont"/>
    <w:rsid w:val="00C90DA1"/>
  </w:style>
  <w:style w:type="character" w:customStyle="1" w:styleId="BodyTextIndentChar">
    <w:name w:val="Body Text Indent Char"/>
    <w:link w:val="BodyTextIndent"/>
    <w:rsid w:val="00976814"/>
    <w:rPr>
      <w:rFonts w:ascii="Arial" w:hAnsi="Arial"/>
      <w:sz w:val="24"/>
      <w:lang w:eastAsia="en-US"/>
    </w:rPr>
  </w:style>
  <w:style w:type="character" w:customStyle="1" w:styleId="UnresolvedMention">
    <w:name w:val="Unresolved Mention"/>
    <w:basedOn w:val="DefaultParagraphFont"/>
    <w:uiPriority w:val="99"/>
    <w:semiHidden/>
    <w:unhideWhenUsed/>
    <w:rsid w:val="004D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za/cases/ZAGPJHC/2017/3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F1C0-97A4-47CB-A7D4-F58F004B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0</TotalTime>
  <Pages>34</Pages>
  <Words>9272</Words>
  <Characters>52851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Mokone</cp:lastModifiedBy>
  <cp:revision>3</cp:revision>
  <cp:lastPrinted>2023-01-31T08:34:00Z</cp:lastPrinted>
  <dcterms:created xsi:type="dcterms:W3CDTF">2023-10-04T10:39:00Z</dcterms:created>
  <dcterms:modified xsi:type="dcterms:W3CDTF">2023-10-04T10:39:00Z</dcterms:modified>
</cp:coreProperties>
</file>