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43B6" w14:textId="77777777" w:rsidR="00AF5BFF" w:rsidRPr="00DB2A06" w:rsidRDefault="00AF5BFF" w:rsidP="00AF5BF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F393321" w14:textId="04ACFC4F" w:rsidR="00666DCD" w:rsidRPr="00C5475F" w:rsidRDefault="00666DCD" w:rsidP="00666DCD">
      <w:pPr>
        <w:jc w:val="center"/>
      </w:pPr>
    </w:p>
    <w:p w14:paraId="706B318E" w14:textId="0BD48C54" w:rsidR="00666DCD" w:rsidRDefault="00AF5BFF" w:rsidP="00666DCD">
      <w:pPr>
        <w:jc w:val="center"/>
      </w:pPr>
      <w:r>
        <w:rPr>
          <w:noProof/>
          <w:lang w:val="en-US"/>
        </w:rPr>
        <w:drawing>
          <wp:inline distT="0" distB="0" distL="0" distR="0" wp14:anchorId="74181AF9" wp14:editId="5BCFC5F4">
            <wp:extent cx="685800"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14:paraId="5B591A1B" w14:textId="77777777" w:rsidR="00666DCD" w:rsidRDefault="00666DCD" w:rsidP="00666DCD">
      <w:pPr>
        <w:jc w:val="center"/>
      </w:pPr>
    </w:p>
    <w:p w14:paraId="044B7207" w14:textId="77777777" w:rsidR="00666DCD" w:rsidRDefault="00666DCD" w:rsidP="00666DCD">
      <w:pPr>
        <w:jc w:val="center"/>
        <w:rPr>
          <w:rFonts w:cs="Arial"/>
          <w:b/>
          <w:bCs/>
          <w:sz w:val="32"/>
          <w:szCs w:val="32"/>
        </w:rPr>
      </w:pPr>
      <w:r>
        <w:rPr>
          <w:rFonts w:cs="Arial"/>
          <w:b/>
          <w:bCs/>
          <w:sz w:val="32"/>
          <w:szCs w:val="32"/>
        </w:rPr>
        <w:t>IN THE HIGH COURT OF SOUTH AFRICA</w:t>
      </w:r>
    </w:p>
    <w:p w14:paraId="5D621F74" w14:textId="77777777" w:rsidR="00666DCD" w:rsidRDefault="00666DCD" w:rsidP="00666DCD">
      <w:pPr>
        <w:jc w:val="center"/>
        <w:rPr>
          <w:rFonts w:cs="Arial"/>
          <w:b/>
          <w:bCs/>
          <w:sz w:val="32"/>
          <w:szCs w:val="32"/>
        </w:rPr>
      </w:pPr>
      <w:r>
        <w:rPr>
          <w:rFonts w:cs="Arial"/>
          <w:b/>
          <w:bCs/>
          <w:sz w:val="32"/>
          <w:szCs w:val="32"/>
        </w:rPr>
        <w:t>GAUTENG LOCAL DIVISION, JOHANNESBURG</w:t>
      </w:r>
    </w:p>
    <w:p w14:paraId="185D85BA" w14:textId="77777777" w:rsidR="00666DCD" w:rsidRDefault="00666DCD" w:rsidP="00666DCD"/>
    <w:p w14:paraId="56DFE937" w14:textId="77777777" w:rsidR="00666DCD" w:rsidRDefault="00666DCD" w:rsidP="00666DCD"/>
    <w:p w14:paraId="6702C91B" w14:textId="5E0A8617" w:rsidR="00666DCD" w:rsidRDefault="00FB2B06" w:rsidP="00FB2B06">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(1)</w:t>
      </w:r>
      <w:r>
        <w:rPr>
          <w:rFonts w:ascii="Times New Roman" w:hAnsi="Times New Roman"/>
          <w:szCs w:val="24"/>
          <w:lang w:eastAsia="en-GB"/>
        </w:rPr>
        <w:tab/>
      </w:r>
      <w:r w:rsidR="00666DCD">
        <w:t xml:space="preserve">REPORTABLE: </w:t>
      </w:r>
      <w:r w:rsidR="00666DCD" w:rsidRPr="00FB2B06">
        <w:rPr>
          <w:strike/>
        </w:rPr>
        <w:t>YES</w:t>
      </w:r>
      <w:r w:rsidR="00666DCD">
        <w:t>/NO</w:t>
      </w:r>
    </w:p>
    <w:p w14:paraId="70EA00C0" w14:textId="0F66104C" w:rsidR="00666DCD" w:rsidRDefault="00FB2B06" w:rsidP="00FB2B06">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(2)</w:t>
      </w:r>
      <w:r>
        <w:rPr>
          <w:rFonts w:ascii="Times New Roman" w:hAnsi="Times New Roman"/>
          <w:szCs w:val="24"/>
          <w:lang w:eastAsia="en-GB"/>
        </w:rPr>
        <w:tab/>
      </w:r>
      <w:r w:rsidR="00666DCD">
        <w:t xml:space="preserve">OF INTEREST OF OTHER JUDGES: </w:t>
      </w:r>
      <w:r w:rsidR="00666DCD" w:rsidRPr="00FB2B06">
        <w:rPr>
          <w:strike/>
        </w:rPr>
        <w:t>YES</w:t>
      </w:r>
      <w:r w:rsidR="00666DCD">
        <w:t>/NO</w:t>
      </w:r>
    </w:p>
    <w:p w14:paraId="5C2BADD3" w14:textId="1E0876FE" w:rsidR="00666DCD" w:rsidRDefault="00FB2B06" w:rsidP="00FB2B06">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(3)</w:t>
      </w:r>
      <w:r>
        <w:rPr>
          <w:rFonts w:ascii="Times New Roman" w:hAnsi="Times New Roman"/>
          <w:szCs w:val="24"/>
          <w:lang w:eastAsia="en-GB"/>
        </w:rPr>
        <w:tab/>
      </w:r>
      <w:r w:rsidR="00666DCD">
        <w:t>REVISED</w:t>
      </w:r>
    </w:p>
    <w:p w14:paraId="12B85D09" w14:textId="77777777" w:rsidR="00666DCD" w:rsidRDefault="00666DCD" w:rsidP="00666DCD">
      <w:pPr>
        <w:pBdr>
          <w:top w:val="single" w:sz="4" w:space="1" w:color="auto"/>
          <w:left w:val="single" w:sz="4" w:space="4" w:color="auto"/>
          <w:bottom w:val="single" w:sz="4" w:space="1" w:color="auto"/>
          <w:right w:val="single" w:sz="4" w:space="0" w:color="auto"/>
        </w:pBdr>
        <w:ind w:left="360"/>
      </w:pPr>
      <w:r>
        <w:t>_________________                               ________________________</w:t>
      </w:r>
    </w:p>
    <w:p w14:paraId="45D5CC87" w14:textId="77777777" w:rsidR="00666DCD" w:rsidRDefault="00666DCD" w:rsidP="00666DCD">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SIGNATURE</w:t>
      </w:r>
    </w:p>
    <w:p w14:paraId="361441F7" w14:textId="77777777" w:rsidR="00666DCD" w:rsidRDefault="00666DCD" w:rsidP="00666DCD">
      <w:pPr>
        <w:pBdr>
          <w:top w:val="single" w:sz="4" w:space="1" w:color="auto"/>
          <w:left w:val="single" w:sz="4" w:space="4" w:color="auto"/>
          <w:bottom w:val="single" w:sz="4" w:space="1" w:color="auto"/>
          <w:right w:val="single" w:sz="4" w:space="0" w:color="auto"/>
        </w:pBdr>
        <w:ind w:left="360"/>
      </w:pPr>
    </w:p>
    <w:p w14:paraId="4233824A" w14:textId="77777777" w:rsidR="00666DCD" w:rsidRDefault="00666DCD" w:rsidP="00666DCD"/>
    <w:p w14:paraId="0A6D7A2E" w14:textId="42FAF6A8" w:rsidR="004E078F" w:rsidRPr="00D74FFA" w:rsidRDefault="00D50415" w:rsidP="00D50415">
      <w:pPr>
        <w:jc w:val="right"/>
        <w:rPr>
          <w:rFonts w:ascii="Times New Roman" w:hAnsi="Times New Roman"/>
          <w:szCs w:val="24"/>
        </w:rPr>
      </w:pPr>
      <w:r w:rsidRPr="00D74FFA">
        <w:rPr>
          <w:rFonts w:ascii="Times New Roman" w:hAnsi="Times New Roman"/>
          <w:szCs w:val="24"/>
        </w:rPr>
        <w:t>Case no: 2021/22884</w:t>
      </w:r>
    </w:p>
    <w:p w14:paraId="038BE7B5" w14:textId="77777777" w:rsidR="00D50415" w:rsidRPr="00D74FFA" w:rsidRDefault="00D50415" w:rsidP="00D50415">
      <w:pPr>
        <w:jc w:val="right"/>
        <w:rPr>
          <w:rFonts w:ascii="Times New Roman" w:hAnsi="Times New Roman"/>
          <w:szCs w:val="24"/>
        </w:rPr>
      </w:pPr>
    </w:p>
    <w:p w14:paraId="4DE3A7DD" w14:textId="09B998F0" w:rsidR="00D50415" w:rsidRPr="00D74FFA" w:rsidRDefault="00D50415" w:rsidP="00D50415">
      <w:pPr>
        <w:rPr>
          <w:rFonts w:ascii="Times New Roman" w:hAnsi="Times New Roman"/>
          <w:szCs w:val="24"/>
        </w:rPr>
      </w:pPr>
      <w:r w:rsidRPr="00D74FFA">
        <w:rPr>
          <w:rFonts w:ascii="Times New Roman" w:hAnsi="Times New Roman"/>
          <w:szCs w:val="24"/>
        </w:rPr>
        <w:t>In the matter between:</w:t>
      </w:r>
    </w:p>
    <w:p w14:paraId="468FF374" w14:textId="3A3882B6" w:rsidR="00D50415" w:rsidRPr="00252AFF" w:rsidRDefault="00D50415" w:rsidP="00D50415">
      <w:pPr>
        <w:pStyle w:val="Parties"/>
        <w:rPr>
          <w:rFonts w:ascii="Times New Roman" w:hAnsi="Times New Roman"/>
          <w:b/>
          <w:bCs/>
          <w:szCs w:val="24"/>
        </w:rPr>
      </w:pPr>
      <w:r w:rsidRPr="00252AFF">
        <w:rPr>
          <w:rFonts w:ascii="Times New Roman" w:hAnsi="Times New Roman"/>
          <w:b/>
          <w:bCs/>
          <w:szCs w:val="24"/>
        </w:rPr>
        <w:t>THE STANDARD BANK OF SOUTH AFRICA LIMITED</w:t>
      </w:r>
      <w:r w:rsidRPr="00252AFF">
        <w:rPr>
          <w:rFonts w:ascii="Times New Roman" w:hAnsi="Times New Roman"/>
          <w:b/>
          <w:bCs/>
          <w:szCs w:val="24"/>
        </w:rPr>
        <w:tab/>
        <w:t>Applicant</w:t>
      </w:r>
    </w:p>
    <w:p w14:paraId="540DF22E" w14:textId="77777777" w:rsidR="00D50415" w:rsidRPr="00D74FFA" w:rsidRDefault="00D50415" w:rsidP="00D50415">
      <w:pPr>
        <w:pStyle w:val="Parties"/>
        <w:rPr>
          <w:rFonts w:ascii="Times New Roman" w:hAnsi="Times New Roman"/>
          <w:szCs w:val="24"/>
        </w:rPr>
      </w:pPr>
    </w:p>
    <w:p w14:paraId="59244445" w14:textId="77777777" w:rsidR="00D50415" w:rsidRPr="00D74FFA" w:rsidRDefault="00D50415" w:rsidP="00D50415">
      <w:pPr>
        <w:pStyle w:val="Parties"/>
        <w:rPr>
          <w:rFonts w:ascii="Times New Roman" w:hAnsi="Times New Roman"/>
          <w:szCs w:val="24"/>
        </w:rPr>
      </w:pPr>
    </w:p>
    <w:p w14:paraId="66186B0B" w14:textId="77777777" w:rsidR="00D50415" w:rsidRPr="00D74FFA" w:rsidRDefault="00D50415" w:rsidP="00D50415">
      <w:pPr>
        <w:pStyle w:val="Parties"/>
        <w:rPr>
          <w:rFonts w:ascii="Times New Roman" w:hAnsi="Times New Roman"/>
          <w:szCs w:val="24"/>
        </w:rPr>
      </w:pPr>
    </w:p>
    <w:p w14:paraId="1D44D498" w14:textId="08F30278" w:rsidR="00D50415" w:rsidRPr="00D74FFA" w:rsidRDefault="00252AFF" w:rsidP="00D50415">
      <w:pPr>
        <w:pStyle w:val="Parties"/>
        <w:rPr>
          <w:rFonts w:ascii="Times New Roman" w:hAnsi="Times New Roman"/>
          <w:szCs w:val="24"/>
        </w:rPr>
      </w:pPr>
      <w:proofErr w:type="gramStart"/>
      <w:r>
        <w:rPr>
          <w:rFonts w:ascii="Times New Roman" w:hAnsi="Times New Roman"/>
          <w:szCs w:val="24"/>
        </w:rPr>
        <w:t>a</w:t>
      </w:r>
      <w:r w:rsidR="00D50415" w:rsidRPr="00D74FFA">
        <w:rPr>
          <w:rFonts w:ascii="Times New Roman" w:hAnsi="Times New Roman"/>
          <w:szCs w:val="24"/>
        </w:rPr>
        <w:t>nd</w:t>
      </w:r>
      <w:proofErr w:type="gramEnd"/>
    </w:p>
    <w:p w14:paraId="49A26DE7" w14:textId="77777777" w:rsidR="00D50415" w:rsidRPr="00D74FFA" w:rsidRDefault="00D50415" w:rsidP="00D50415">
      <w:pPr>
        <w:pStyle w:val="Parties"/>
        <w:rPr>
          <w:rFonts w:ascii="Times New Roman" w:hAnsi="Times New Roman"/>
          <w:szCs w:val="24"/>
        </w:rPr>
      </w:pPr>
    </w:p>
    <w:p w14:paraId="2D28ECA0" w14:textId="77777777" w:rsidR="00D50415" w:rsidRPr="00D74FFA" w:rsidRDefault="00D50415" w:rsidP="00D50415">
      <w:pPr>
        <w:pStyle w:val="Parties"/>
        <w:rPr>
          <w:rFonts w:ascii="Times New Roman" w:hAnsi="Times New Roman"/>
          <w:szCs w:val="24"/>
        </w:rPr>
      </w:pPr>
    </w:p>
    <w:p w14:paraId="2CA3DB07" w14:textId="77777777" w:rsidR="00D50415" w:rsidRPr="00D74FFA" w:rsidRDefault="00D50415" w:rsidP="00D50415">
      <w:pPr>
        <w:pStyle w:val="Parties"/>
        <w:rPr>
          <w:rFonts w:ascii="Times New Roman" w:hAnsi="Times New Roman"/>
          <w:szCs w:val="24"/>
        </w:rPr>
      </w:pPr>
    </w:p>
    <w:p w14:paraId="6682E639" w14:textId="18149B15" w:rsidR="00D50415" w:rsidRPr="00252AFF" w:rsidRDefault="00D50415" w:rsidP="00D50415">
      <w:pPr>
        <w:pStyle w:val="Parties"/>
        <w:rPr>
          <w:rFonts w:ascii="Times New Roman" w:hAnsi="Times New Roman"/>
          <w:b/>
          <w:bCs/>
          <w:szCs w:val="24"/>
        </w:rPr>
      </w:pPr>
      <w:r w:rsidRPr="00252AFF">
        <w:rPr>
          <w:rFonts w:ascii="Times New Roman" w:hAnsi="Times New Roman"/>
          <w:b/>
          <w:bCs/>
          <w:szCs w:val="24"/>
        </w:rPr>
        <w:t>VERNON WILKEN N.O.</w:t>
      </w:r>
      <w:r w:rsidRPr="00252AFF">
        <w:rPr>
          <w:rFonts w:ascii="Times New Roman" w:hAnsi="Times New Roman"/>
          <w:b/>
          <w:bCs/>
          <w:szCs w:val="24"/>
        </w:rPr>
        <w:tab/>
        <w:t>First Respondent</w:t>
      </w:r>
    </w:p>
    <w:p w14:paraId="4D1A1764" w14:textId="7261170E" w:rsidR="00666DCD" w:rsidRPr="00252AFF" w:rsidRDefault="00D50415" w:rsidP="00FC32B8">
      <w:pPr>
        <w:pStyle w:val="Parties"/>
        <w:rPr>
          <w:rFonts w:ascii="Times New Roman" w:hAnsi="Times New Roman"/>
          <w:b/>
          <w:bCs/>
          <w:szCs w:val="24"/>
        </w:rPr>
      </w:pPr>
      <w:r w:rsidRPr="00252AFF">
        <w:rPr>
          <w:rFonts w:ascii="Times New Roman" w:hAnsi="Times New Roman"/>
          <w:b/>
          <w:bCs/>
          <w:szCs w:val="24"/>
        </w:rPr>
        <w:lastRenderedPageBreak/>
        <w:t>(IN HIS CAPACITY</w:t>
      </w:r>
      <w:r w:rsidR="00FC32B8" w:rsidRPr="00252AFF">
        <w:rPr>
          <w:rFonts w:ascii="Times New Roman" w:hAnsi="Times New Roman"/>
          <w:b/>
          <w:bCs/>
          <w:szCs w:val="24"/>
        </w:rPr>
        <w:t xml:space="preserve"> AS A TRUSTEE</w:t>
      </w:r>
    </w:p>
    <w:p w14:paraId="5016085C" w14:textId="7F96E087" w:rsidR="00FC32B8" w:rsidRPr="00252AFF" w:rsidRDefault="00FC32B8" w:rsidP="00FC32B8">
      <w:pPr>
        <w:pStyle w:val="Parties"/>
        <w:rPr>
          <w:rFonts w:ascii="Times New Roman" w:hAnsi="Times New Roman"/>
          <w:b/>
          <w:bCs/>
          <w:szCs w:val="24"/>
        </w:rPr>
      </w:pPr>
      <w:r w:rsidRPr="00252AFF">
        <w:rPr>
          <w:rFonts w:ascii="Times New Roman" w:hAnsi="Times New Roman"/>
          <w:b/>
          <w:bCs/>
          <w:szCs w:val="24"/>
        </w:rPr>
        <w:t>OF THE DEUTRA TRUST)</w:t>
      </w:r>
    </w:p>
    <w:p w14:paraId="15FFCECB" w14:textId="77777777" w:rsidR="00FC32B8" w:rsidRPr="00252AFF" w:rsidRDefault="00FC32B8" w:rsidP="00FC32B8">
      <w:pPr>
        <w:pStyle w:val="Parties"/>
        <w:rPr>
          <w:rFonts w:ascii="Times New Roman" w:hAnsi="Times New Roman"/>
          <w:b/>
          <w:bCs/>
          <w:szCs w:val="24"/>
        </w:rPr>
      </w:pPr>
    </w:p>
    <w:p w14:paraId="322BCA2F" w14:textId="350EE6EF" w:rsidR="00FC32B8" w:rsidRPr="00252AFF" w:rsidRDefault="00FC32B8" w:rsidP="00FC32B8">
      <w:pPr>
        <w:pStyle w:val="Parties"/>
        <w:rPr>
          <w:rFonts w:ascii="Times New Roman" w:hAnsi="Times New Roman"/>
          <w:b/>
          <w:bCs/>
          <w:szCs w:val="24"/>
        </w:rPr>
      </w:pPr>
      <w:r w:rsidRPr="00252AFF">
        <w:rPr>
          <w:rFonts w:ascii="Times New Roman" w:hAnsi="Times New Roman"/>
          <w:b/>
          <w:bCs/>
          <w:szCs w:val="24"/>
        </w:rPr>
        <w:t>ANNA SUSANNA WILKEN N.O.</w:t>
      </w:r>
      <w:r w:rsidRPr="00252AFF">
        <w:rPr>
          <w:rFonts w:ascii="Times New Roman" w:hAnsi="Times New Roman"/>
          <w:b/>
          <w:bCs/>
          <w:szCs w:val="24"/>
        </w:rPr>
        <w:tab/>
        <w:t>Second Respondent</w:t>
      </w:r>
    </w:p>
    <w:p w14:paraId="298F99F9" w14:textId="4E8AE34E" w:rsidR="00CF5476" w:rsidRPr="00252AFF" w:rsidRDefault="00CF5476" w:rsidP="00FC32B8">
      <w:pPr>
        <w:pStyle w:val="Parties"/>
        <w:rPr>
          <w:rFonts w:ascii="Times New Roman" w:hAnsi="Times New Roman"/>
          <w:b/>
          <w:bCs/>
          <w:szCs w:val="24"/>
        </w:rPr>
      </w:pPr>
      <w:r w:rsidRPr="00252AFF">
        <w:rPr>
          <w:rFonts w:ascii="Times New Roman" w:hAnsi="Times New Roman"/>
          <w:b/>
          <w:bCs/>
          <w:szCs w:val="24"/>
        </w:rPr>
        <w:t>(IN HER CAPACITY AS A TRUSTEE</w:t>
      </w:r>
    </w:p>
    <w:p w14:paraId="2717844D" w14:textId="01F61E61" w:rsidR="00CF5476" w:rsidRPr="00252AFF" w:rsidRDefault="00CF5476" w:rsidP="00FC32B8">
      <w:pPr>
        <w:pStyle w:val="Parties"/>
        <w:rPr>
          <w:rFonts w:ascii="Times New Roman" w:hAnsi="Times New Roman"/>
          <w:b/>
          <w:bCs/>
          <w:szCs w:val="24"/>
        </w:rPr>
      </w:pPr>
      <w:r w:rsidRPr="00252AFF">
        <w:rPr>
          <w:rFonts w:ascii="Times New Roman" w:hAnsi="Times New Roman"/>
          <w:b/>
          <w:bCs/>
          <w:szCs w:val="24"/>
        </w:rPr>
        <w:t>OF THE DEUTRA TRUST)</w:t>
      </w:r>
    </w:p>
    <w:p w14:paraId="1C7E7902" w14:textId="77777777" w:rsidR="00CF5476" w:rsidRPr="00252AFF" w:rsidRDefault="00CF5476" w:rsidP="00FC32B8">
      <w:pPr>
        <w:pStyle w:val="Parties"/>
        <w:rPr>
          <w:rFonts w:ascii="Times New Roman" w:hAnsi="Times New Roman"/>
          <w:b/>
          <w:bCs/>
          <w:szCs w:val="24"/>
        </w:rPr>
      </w:pPr>
    </w:p>
    <w:p w14:paraId="3B4A37E5" w14:textId="702C740B" w:rsidR="00CF5476" w:rsidRPr="00252AFF" w:rsidRDefault="00CF5476" w:rsidP="00CF5476">
      <w:pPr>
        <w:pStyle w:val="Parties"/>
        <w:rPr>
          <w:rFonts w:ascii="Times New Roman" w:hAnsi="Times New Roman"/>
          <w:b/>
          <w:bCs/>
          <w:szCs w:val="24"/>
        </w:rPr>
      </w:pPr>
      <w:r w:rsidRPr="00252AFF">
        <w:rPr>
          <w:rFonts w:ascii="Times New Roman" w:hAnsi="Times New Roman"/>
          <w:b/>
          <w:bCs/>
          <w:szCs w:val="24"/>
        </w:rPr>
        <w:t>VERNON WILKEN</w:t>
      </w:r>
      <w:r w:rsidRPr="00252AFF">
        <w:rPr>
          <w:rFonts w:ascii="Times New Roman" w:hAnsi="Times New Roman"/>
          <w:b/>
          <w:bCs/>
          <w:szCs w:val="24"/>
        </w:rPr>
        <w:tab/>
        <w:t>Third Respondent</w:t>
      </w:r>
    </w:p>
    <w:p w14:paraId="0ABB8DB1" w14:textId="19D38283" w:rsidR="00CF5476" w:rsidRPr="00252AFF" w:rsidRDefault="00CF5476" w:rsidP="00CF5476">
      <w:pPr>
        <w:pStyle w:val="Parties"/>
        <w:rPr>
          <w:rFonts w:ascii="Times New Roman" w:hAnsi="Times New Roman"/>
          <w:b/>
          <w:bCs/>
          <w:szCs w:val="24"/>
        </w:rPr>
      </w:pPr>
      <w:r w:rsidRPr="00252AFF">
        <w:rPr>
          <w:rFonts w:ascii="Times New Roman" w:hAnsi="Times New Roman"/>
          <w:b/>
          <w:bCs/>
          <w:szCs w:val="24"/>
        </w:rPr>
        <w:t>(IN HIS CAPACITY AS SURETY FOR THE</w:t>
      </w:r>
    </w:p>
    <w:p w14:paraId="2EE76BCE" w14:textId="047C5128" w:rsidR="00CF5476" w:rsidRPr="00252AFF" w:rsidRDefault="00CF5476" w:rsidP="00CF5476">
      <w:pPr>
        <w:pStyle w:val="Parties"/>
        <w:rPr>
          <w:rFonts w:ascii="Times New Roman" w:hAnsi="Times New Roman"/>
          <w:b/>
          <w:bCs/>
          <w:szCs w:val="24"/>
        </w:rPr>
      </w:pPr>
      <w:r w:rsidRPr="00252AFF">
        <w:rPr>
          <w:rFonts w:ascii="Times New Roman" w:hAnsi="Times New Roman"/>
          <w:b/>
          <w:bCs/>
          <w:szCs w:val="24"/>
        </w:rPr>
        <w:t>DEUTRA TRUST</w:t>
      </w:r>
    </w:p>
    <w:p w14:paraId="7316E81F" w14:textId="1D4BC3EA" w:rsidR="00CF5476" w:rsidRPr="00252AFF" w:rsidRDefault="00AF5BFF" w:rsidP="00CF5476">
      <w:pPr>
        <w:pStyle w:val="Parties"/>
        <w:rPr>
          <w:rFonts w:ascii="Times New Roman" w:hAnsi="Times New Roman"/>
          <w:b/>
          <w:bCs/>
          <w:szCs w:val="24"/>
        </w:rPr>
      </w:pPr>
      <w:r>
        <w:rPr>
          <w:rFonts w:ascii="Times New Roman" w:hAnsi="Times New Roman"/>
          <w:b/>
          <w:bCs/>
          <w:szCs w:val="24"/>
        </w:rPr>
        <w:t>ID: […]</w:t>
      </w:r>
      <w:r w:rsidR="00EB795C" w:rsidRPr="00252AFF">
        <w:rPr>
          <w:rFonts w:ascii="Times New Roman" w:hAnsi="Times New Roman"/>
          <w:b/>
          <w:bCs/>
          <w:szCs w:val="24"/>
        </w:rPr>
        <w:t>)</w:t>
      </w:r>
    </w:p>
    <w:p w14:paraId="5AC84377" w14:textId="77777777" w:rsidR="00EB795C" w:rsidRPr="00252AFF" w:rsidRDefault="00EB795C" w:rsidP="00CF5476">
      <w:pPr>
        <w:pStyle w:val="Parties"/>
        <w:rPr>
          <w:rFonts w:ascii="Times New Roman" w:hAnsi="Times New Roman"/>
          <w:b/>
          <w:bCs/>
          <w:szCs w:val="24"/>
        </w:rPr>
      </w:pPr>
    </w:p>
    <w:p w14:paraId="21446DD1" w14:textId="6215005F" w:rsidR="00EB795C" w:rsidRPr="00252AFF" w:rsidRDefault="00EB795C" w:rsidP="00CF5476">
      <w:pPr>
        <w:pStyle w:val="Parties"/>
        <w:rPr>
          <w:rFonts w:ascii="Times New Roman" w:hAnsi="Times New Roman"/>
          <w:b/>
          <w:bCs/>
          <w:szCs w:val="24"/>
        </w:rPr>
      </w:pPr>
      <w:r w:rsidRPr="00252AFF">
        <w:rPr>
          <w:rFonts w:ascii="Times New Roman" w:hAnsi="Times New Roman"/>
          <w:b/>
          <w:bCs/>
          <w:szCs w:val="24"/>
        </w:rPr>
        <w:t>ANNA SUSANNA WILKEN</w:t>
      </w:r>
      <w:r w:rsidR="00D74FFA" w:rsidRPr="00252AFF">
        <w:rPr>
          <w:rFonts w:ascii="Times New Roman" w:hAnsi="Times New Roman"/>
          <w:b/>
          <w:bCs/>
          <w:szCs w:val="24"/>
        </w:rPr>
        <w:tab/>
        <w:t>Fourth Respondent</w:t>
      </w:r>
    </w:p>
    <w:p w14:paraId="3FD10DB9" w14:textId="39D7204F" w:rsidR="00EB795C" w:rsidRPr="00252AFF" w:rsidRDefault="00EB795C" w:rsidP="00CF5476">
      <w:pPr>
        <w:pStyle w:val="Parties"/>
        <w:rPr>
          <w:rFonts w:ascii="Times New Roman" w:hAnsi="Times New Roman"/>
          <w:b/>
          <w:bCs/>
          <w:szCs w:val="24"/>
        </w:rPr>
      </w:pPr>
      <w:r w:rsidRPr="00252AFF">
        <w:rPr>
          <w:rFonts w:ascii="Times New Roman" w:hAnsi="Times New Roman"/>
          <w:b/>
          <w:bCs/>
          <w:szCs w:val="24"/>
        </w:rPr>
        <w:t>(IN HER CAPACITY AS SURETY FOR THE</w:t>
      </w:r>
    </w:p>
    <w:p w14:paraId="38AD9C39" w14:textId="1D397B60" w:rsidR="00EB795C" w:rsidRPr="00252AFF" w:rsidRDefault="00EB795C" w:rsidP="00CF5476">
      <w:pPr>
        <w:pStyle w:val="Parties"/>
        <w:rPr>
          <w:rFonts w:ascii="Times New Roman" w:hAnsi="Times New Roman"/>
          <w:b/>
          <w:bCs/>
          <w:szCs w:val="24"/>
        </w:rPr>
      </w:pPr>
      <w:r w:rsidRPr="00252AFF">
        <w:rPr>
          <w:rFonts w:ascii="Times New Roman" w:hAnsi="Times New Roman"/>
          <w:b/>
          <w:bCs/>
          <w:szCs w:val="24"/>
        </w:rPr>
        <w:t>DEUTRA TRUST</w:t>
      </w:r>
    </w:p>
    <w:p w14:paraId="2173505E" w14:textId="4BD48894" w:rsidR="00EB795C" w:rsidRPr="00252AFF" w:rsidRDefault="00AF5BFF" w:rsidP="00CF5476">
      <w:pPr>
        <w:pStyle w:val="Parties"/>
        <w:rPr>
          <w:rFonts w:ascii="Times New Roman" w:hAnsi="Times New Roman"/>
          <w:b/>
          <w:bCs/>
          <w:szCs w:val="24"/>
        </w:rPr>
      </w:pPr>
      <w:r>
        <w:rPr>
          <w:rFonts w:ascii="Times New Roman" w:hAnsi="Times New Roman"/>
          <w:b/>
          <w:bCs/>
          <w:szCs w:val="24"/>
        </w:rPr>
        <w:t>ID: […]</w:t>
      </w:r>
      <w:bookmarkStart w:id="0" w:name="_GoBack"/>
      <w:bookmarkEnd w:id="0"/>
      <w:r w:rsidR="00EB795C" w:rsidRPr="00252AFF">
        <w:rPr>
          <w:rFonts w:ascii="Times New Roman" w:hAnsi="Times New Roman"/>
          <w:b/>
          <w:bCs/>
          <w:szCs w:val="24"/>
        </w:rPr>
        <w:t>)</w:t>
      </w:r>
    </w:p>
    <w:p w14:paraId="1B244713" w14:textId="77777777" w:rsidR="00CF5476" w:rsidRPr="00D74FFA" w:rsidRDefault="00CF5476" w:rsidP="00CF5476">
      <w:pPr>
        <w:pStyle w:val="Parties"/>
        <w:rPr>
          <w:rFonts w:ascii="Times New Roman" w:hAnsi="Times New Roman"/>
          <w:szCs w:val="24"/>
        </w:rPr>
      </w:pPr>
    </w:p>
    <w:p w14:paraId="20BB84D8" w14:textId="77777777" w:rsidR="000123A5" w:rsidRPr="00D74FFA" w:rsidRDefault="000123A5" w:rsidP="00F43FE6">
      <w:pPr>
        <w:rPr>
          <w:rFonts w:ascii="Times New Roman" w:hAnsi="Times New Roman"/>
          <w:szCs w:val="24"/>
        </w:rPr>
      </w:pPr>
    </w:p>
    <w:p w14:paraId="4D76C78C" w14:textId="56E3174B" w:rsidR="000123A5" w:rsidRPr="00D74FFA" w:rsidRDefault="000123A5" w:rsidP="000123A5">
      <w:pPr>
        <w:pStyle w:val="Tramlinescentred"/>
        <w:rPr>
          <w:rFonts w:ascii="Times New Roman" w:hAnsi="Times New Roman"/>
          <w:szCs w:val="24"/>
        </w:rPr>
      </w:pPr>
      <w:r w:rsidRPr="00D74FFA">
        <w:rPr>
          <w:rFonts w:ascii="Times New Roman" w:hAnsi="Times New Roman"/>
          <w:szCs w:val="24"/>
        </w:rPr>
        <w:t xml:space="preserve">JUDGMENT: </w:t>
      </w:r>
      <w:r w:rsidR="00D74FFA" w:rsidRPr="00D74FFA">
        <w:rPr>
          <w:rFonts w:ascii="Times New Roman" w:hAnsi="Times New Roman"/>
          <w:szCs w:val="24"/>
        </w:rPr>
        <w:t xml:space="preserve">RESPONDENTS’ </w:t>
      </w:r>
      <w:r w:rsidRPr="00D74FFA">
        <w:rPr>
          <w:rFonts w:ascii="Times New Roman" w:hAnsi="Times New Roman"/>
          <w:szCs w:val="24"/>
        </w:rPr>
        <w:t>RULE 7(1) APPLICATION</w:t>
      </w:r>
    </w:p>
    <w:p w14:paraId="0D110A2F" w14:textId="6D418719" w:rsidR="00F43FE6" w:rsidRPr="00252AFF" w:rsidRDefault="000123A5" w:rsidP="00F43FE6">
      <w:pPr>
        <w:rPr>
          <w:rFonts w:ascii="Times New Roman" w:hAnsi="Times New Roman"/>
          <w:b/>
          <w:bCs/>
          <w:szCs w:val="24"/>
        </w:rPr>
      </w:pPr>
      <w:r w:rsidRPr="00252AFF">
        <w:rPr>
          <w:rFonts w:ascii="Times New Roman" w:hAnsi="Times New Roman"/>
          <w:b/>
          <w:bCs/>
          <w:szCs w:val="24"/>
        </w:rPr>
        <w:t>FRIEDMAN AJ:</w:t>
      </w:r>
    </w:p>
    <w:p w14:paraId="2C8CAFAA" w14:textId="2C3BCBD9" w:rsidR="00F43FE6" w:rsidRPr="00D74FFA" w:rsidRDefault="00F43FE6" w:rsidP="00F43FE6">
      <w:pPr>
        <w:rPr>
          <w:rFonts w:ascii="Times New Roman" w:hAnsi="Times New Roman"/>
          <w:szCs w:val="24"/>
        </w:rPr>
      </w:pPr>
    </w:p>
    <w:p w14:paraId="0D081B6D" w14:textId="3B2E6158" w:rsidR="00F43FE6"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w:t>
      </w:r>
      <w:r w:rsidRPr="00D74FFA">
        <w:rPr>
          <w:rFonts w:ascii="Times New Roman" w:hAnsi="Times New Roman"/>
          <w:szCs w:val="24"/>
        </w:rPr>
        <w:tab/>
      </w:r>
      <w:r w:rsidR="00F43FE6" w:rsidRPr="00D74FFA">
        <w:rPr>
          <w:rFonts w:ascii="Times New Roman" w:hAnsi="Times New Roman"/>
          <w:szCs w:val="24"/>
        </w:rPr>
        <w:t xml:space="preserve">In this matter, the applicant (“Standard Bank”) sues the trustees of the </w:t>
      </w:r>
      <w:proofErr w:type="spellStart"/>
      <w:r w:rsidR="00F43FE6" w:rsidRPr="00D74FFA">
        <w:rPr>
          <w:rFonts w:ascii="Times New Roman" w:hAnsi="Times New Roman"/>
          <w:szCs w:val="24"/>
        </w:rPr>
        <w:t>Deutra</w:t>
      </w:r>
      <w:proofErr w:type="spellEnd"/>
      <w:r w:rsidR="00F43FE6" w:rsidRPr="00D74FFA">
        <w:rPr>
          <w:rFonts w:ascii="Times New Roman" w:hAnsi="Times New Roman"/>
          <w:szCs w:val="24"/>
        </w:rPr>
        <w:t xml:space="preserve"> Trust (“the trustees”) for payment of roughly R8.2 million, an order declaring certain property owned by the </w:t>
      </w:r>
      <w:proofErr w:type="spellStart"/>
      <w:r w:rsidR="00F43FE6" w:rsidRPr="00D74FFA">
        <w:rPr>
          <w:rFonts w:ascii="Times New Roman" w:hAnsi="Times New Roman"/>
          <w:szCs w:val="24"/>
        </w:rPr>
        <w:t>Deutra</w:t>
      </w:r>
      <w:proofErr w:type="spellEnd"/>
      <w:r w:rsidR="00F43FE6" w:rsidRPr="00D74FFA">
        <w:rPr>
          <w:rFonts w:ascii="Times New Roman" w:hAnsi="Times New Roman"/>
          <w:szCs w:val="24"/>
        </w:rPr>
        <w:t xml:space="preserve"> Trust to be executable, and costs on the attorney-own client scale</w:t>
      </w:r>
      <w:r w:rsidR="00853412" w:rsidRPr="00D74FFA">
        <w:rPr>
          <w:rFonts w:ascii="Times New Roman" w:hAnsi="Times New Roman"/>
          <w:szCs w:val="24"/>
        </w:rPr>
        <w:t xml:space="preserve"> (“the main application”)</w:t>
      </w:r>
      <w:r w:rsidR="00F43FE6" w:rsidRPr="00D74FFA">
        <w:rPr>
          <w:rFonts w:ascii="Times New Roman" w:hAnsi="Times New Roman"/>
          <w:szCs w:val="24"/>
        </w:rPr>
        <w:t>.</w:t>
      </w:r>
    </w:p>
    <w:p w14:paraId="10AB6858" w14:textId="084ADDDF" w:rsidR="00F43FE6"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2</w:t>
      </w:r>
      <w:r w:rsidRPr="00D74FFA">
        <w:rPr>
          <w:rFonts w:ascii="Times New Roman" w:hAnsi="Times New Roman"/>
          <w:szCs w:val="24"/>
        </w:rPr>
        <w:tab/>
      </w:r>
      <w:r w:rsidR="00F43FE6" w:rsidRPr="00D74FFA">
        <w:rPr>
          <w:rFonts w:ascii="Times New Roman" w:hAnsi="Times New Roman"/>
          <w:szCs w:val="24"/>
        </w:rPr>
        <w:t>The trustees have brought an interlocutory application in which they seek an order:</w:t>
      </w:r>
    </w:p>
    <w:p w14:paraId="66C9BC73" w14:textId="1A674EE8" w:rsidR="00F43FE6"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2.1</w:t>
      </w:r>
      <w:r w:rsidRPr="00D74FFA">
        <w:rPr>
          <w:rFonts w:ascii="Times New Roman" w:hAnsi="Times New Roman"/>
          <w:szCs w:val="24"/>
        </w:rPr>
        <w:tab/>
      </w:r>
      <w:r w:rsidR="00F43FE6" w:rsidRPr="00D74FFA">
        <w:rPr>
          <w:rFonts w:ascii="Times New Roman" w:hAnsi="Times New Roman"/>
          <w:szCs w:val="24"/>
        </w:rPr>
        <w:t>Granting them leave to file a not</w:t>
      </w:r>
      <w:r w:rsidR="00D2171F">
        <w:rPr>
          <w:rFonts w:ascii="Times New Roman" w:hAnsi="Times New Roman"/>
          <w:szCs w:val="24"/>
        </w:rPr>
        <w:t>ic</w:t>
      </w:r>
      <w:r w:rsidR="00F43FE6" w:rsidRPr="00D74FFA">
        <w:rPr>
          <w:rFonts w:ascii="Times New Roman" w:hAnsi="Times New Roman"/>
          <w:szCs w:val="24"/>
        </w:rPr>
        <w:t xml:space="preserve">e in terms of rule 7(1) of the Uniform Rules in </w:t>
      </w:r>
      <w:proofErr w:type="gramStart"/>
      <w:r w:rsidR="00F43FE6" w:rsidRPr="00D74FFA">
        <w:rPr>
          <w:rFonts w:ascii="Times New Roman" w:hAnsi="Times New Roman"/>
          <w:szCs w:val="24"/>
        </w:rPr>
        <w:t>the</w:t>
      </w:r>
      <w:proofErr w:type="gramEnd"/>
      <w:r w:rsidR="00F43FE6" w:rsidRPr="00D74FFA">
        <w:rPr>
          <w:rFonts w:ascii="Times New Roman" w:hAnsi="Times New Roman"/>
          <w:szCs w:val="24"/>
        </w:rPr>
        <w:t xml:space="preserve"> form reflected in an annexure to the founding affidavit.</w:t>
      </w:r>
    </w:p>
    <w:p w14:paraId="70411966" w14:textId="0CC5C6C6" w:rsidR="00F43FE6"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lastRenderedPageBreak/>
        <w:t>2.2</w:t>
      </w:r>
      <w:r w:rsidRPr="00D74FFA">
        <w:rPr>
          <w:rFonts w:ascii="Times New Roman" w:hAnsi="Times New Roman"/>
          <w:szCs w:val="24"/>
        </w:rPr>
        <w:tab/>
      </w:r>
      <w:r w:rsidR="00F43FE6" w:rsidRPr="00D74FFA">
        <w:rPr>
          <w:rFonts w:ascii="Times New Roman" w:hAnsi="Times New Roman"/>
          <w:szCs w:val="24"/>
        </w:rPr>
        <w:t xml:space="preserve">Ordering that </w:t>
      </w:r>
      <w:proofErr w:type="spellStart"/>
      <w:r w:rsidR="00F43FE6" w:rsidRPr="00D74FFA">
        <w:rPr>
          <w:rFonts w:ascii="Times New Roman" w:hAnsi="Times New Roman"/>
          <w:szCs w:val="24"/>
        </w:rPr>
        <w:t>Buba</w:t>
      </w:r>
      <w:proofErr w:type="spellEnd"/>
      <w:r w:rsidR="00F43FE6" w:rsidRPr="00D74FFA">
        <w:rPr>
          <w:rFonts w:ascii="Times New Roman" w:hAnsi="Times New Roman"/>
          <w:szCs w:val="24"/>
        </w:rPr>
        <w:t xml:space="preserve"> Attorneys </w:t>
      </w:r>
      <w:proofErr w:type="spellStart"/>
      <w:r w:rsidR="00F43FE6" w:rsidRPr="00D74FFA">
        <w:rPr>
          <w:rFonts w:ascii="Times New Roman" w:hAnsi="Times New Roman"/>
          <w:szCs w:val="24"/>
        </w:rPr>
        <w:t>Inc</w:t>
      </w:r>
      <w:proofErr w:type="spellEnd"/>
      <w:r w:rsidR="00F43FE6" w:rsidRPr="00D74FFA">
        <w:rPr>
          <w:rFonts w:ascii="Times New Roman" w:hAnsi="Times New Roman"/>
          <w:szCs w:val="24"/>
        </w:rPr>
        <w:t>, the attorneys acting for Standard Bank in these proceedings, may not continue to act until they have satisfied the court that they are “authorised so to act”.</w:t>
      </w:r>
    </w:p>
    <w:p w14:paraId="729571E7" w14:textId="19D49E33" w:rsidR="00F43FE6"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2.3</w:t>
      </w:r>
      <w:r w:rsidRPr="00D74FFA">
        <w:rPr>
          <w:rFonts w:ascii="Times New Roman" w:hAnsi="Times New Roman"/>
          <w:szCs w:val="24"/>
        </w:rPr>
        <w:tab/>
      </w:r>
      <w:r w:rsidR="00F43FE6" w:rsidRPr="00D74FFA">
        <w:rPr>
          <w:rFonts w:ascii="Times New Roman" w:hAnsi="Times New Roman"/>
          <w:szCs w:val="24"/>
        </w:rPr>
        <w:t>Granting them costs in the event of opposition by Standard Bank.</w:t>
      </w:r>
    </w:p>
    <w:p w14:paraId="10849844" w14:textId="69B32D10" w:rsidR="00F43FE6"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3</w:t>
      </w:r>
      <w:r w:rsidRPr="00D74FFA">
        <w:rPr>
          <w:rFonts w:ascii="Times New Roman" w:hAnsi="Times New Roman"/>
          <w:szCs w:val="24"/>
        </w:rPr>
        <w:tab/>
      </w:r>
      <w:r w:rsidR="00F43FE6" w:rsidRPr="00D74FFA">
        <w:rPr>
          <w:rFonts w:ascii="Times New Roman" w:hAnsi="Times New Roman"/>
          <w:szCs w:val="24"/>
        </w:rPr>
        <w:t>Rule 7(1) of the Uniform Rules provides as follows:</w:t>
      </w:r>
    </w:p>
    <w:p w14:paraId="1C5F1986" w14:textId="1CDFF160" w:rsidR="00F43FE6" w:rsidRPr="00D74FFA" w:rsidRDefault="00F43FE6" w:rsidP="001A3855">
      <w:pPr>
        <w:pStyle w:val="BodyTextIndent"/>
        <w:spacing w:line="240" w:lineRule="auto"/>
        <w:ind w:left="1134"/>
        <w:rPr>
          <w:rFonts w:ascii="Times New Roman" w:hAnsi="Times New Roman"/>
          <w:szCs w:val="24"/>
        </w:rPr>
      </w:pPr>
      <w:r w:rsidRPr="00D74FFA">
        <w:rPr>
          <w:rFonts w:ascii="Times New Roman" w:hAnsi="Times New Roman"/>
          <w:szCs w:val="24"/>
        </w:rPr>
        <w:t xml:space="preserve">“Subject to the provisions of </w:t>
      </w:r>
      <w:proofErr w:type="spellStart"/>
      <w:r w:rsidRPr="00D74FFA">
        <w:rPr>
          <w:rFonts w:ascii="Times New Roman" w:hAnsi="Times New Roman"/>
          <w:szCs w:val="24"/>
        </w:rPr>
        <w:t>subrules</w:t>
      </w:r>
      <w:proofErr w:type="spellEnd"/>
      <w:r w:rsidRPr="00D74FFA">
        <w:rPr>
          <w:rFonts w:ascii="Times New Roman" w:hAnsi="Times New Roman"/>
          <w:szCs w:val="24"/>
        </w:rPr>
        <w:t xml:space="preserve">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t>
      </w:r>
      <w:proofErr w:type="spellStart"/>
      <w:r w:rsidRPr="00D74FFA">
        <w:rPr>
          <w:rFonts w:ascii="Times New Roman" w:hAnsi="Times New Roman"/>
          <w:szCs w:val="24"/>
        </w:rPr>
        <w:t>whereafter</w:t>
      </w:r>
      <w:proofErr w:type="spellEnd"/>
      <w:r w:rsidRPr="00D74FFA">
        <w:rPr>
          <w:rFonts w:ascii="Times New Roman" w:hAnsi="Times New Roman"/>
          <w:szCs w:val="24"/>
        </w:rPr>
        <w:t xml:space="preserve"> such person may no longer act unless he satisfied the court that he is authorised so to act, and to enable him to do so the court may postpone the hearing of the action or application.”</w:t>
      </w:r>
    </w:p>
    <w:p w14:paraId="563BAD28" w14:textId="1E1A1563" w:rsidR="00F43FE6"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4</w:t>
      </w:r>
      <w:r w:rsidRPr="00D74FFA">
        <w:rPr>
          <w:rFonts w:ascii="Times New Roman" w:hAnsi="Times New Roman"/>
          <w:szCs w:val="24"/>
        </w:rPr>
        <w:tab/>
      </w:r>
      <w:r w:rsidR="00F43FE6" w:rsidRPr="00D74FFA">
        <w:rPr>
          <w:rFonts w:ascii="Times New Roman" w:hAnsi="Times New Roman"/>
          <w:szCs w:val="24"/>
        </w:rPr>
        <w:t xml:space="preserve">The reason why it was necessary for the trustees to bring this application is that they sought to challenge the authority of </w:t>
      </w:r>
      <w:proofErr w:type="spellStart"/>
      <w:r w:rsidR="00F43FE6" w:rsidRPr="00D74FFA">
        <w:rPr>
          <w:rFonts w:ascii="Times New Roman" w:hAnsi="Times New Roman"/>
          <w:szCs w:val="24"/>
        </w:rPr>
        <w:t>Buba</w:t>
      </w:r>
      <w:proofErr w:type="spellEnd"/>
      <w:r w:rsidR="00F43FE6" w:rsidRPr="00D74FFA">
        <w:rPr>
          <w:rFonts w:ascii="Times New Roman" w:hAnsi="Times New Roman"/>
          <w:szCs w:val="24"/>
        </w:rPr>
        <w:t xml:space="preserve"> Attorneys to represent Standard Bank after the expiry of the ten days envisaged by rule 7(1). The</w:t>
      </w:r>
      <w:r w:rsidR="001A3855">
        <w:rPr>
          <w:rFonts w:ascii="Times New Roman" w:hAnsi="Times New Roman"/>
          <w:szCs w:val="24"/>
        </w:rPr>
        <w:t>y</w:t>
      </w:r>
      <w:r w:rsidR="00F43FE6" w:rsidRPr="00D74FFA">
        <w:rPr>
          <w:rFonts w:ascii="Times New Roman" w:hAnsi="Times New Roman"/>
          <w:szCs w:val="24"/>
        </w:rPr>
        <w:t xml:space="preserve"> therefore are only permitted to dispute that </w:t>
      </w:r>
      <w:proofErr w:type="spellStart"/>
      <w:r w:rsidR="00F43FE6" w:rsidRPr="00D74FFA">
        <w:rPr>
          <w:rFonts w:ascii="Times New Roman" w:hAnsi="Times New Roman"/>
          <w:szCs w:val="24"/>
        </w:rPr>
        <w:t>Buba</w:t>
      </w:r>
      <w:proofErr w:type="spellEnd"/>
      <w:r w:rsidR="00F43FE6" w:rsidRPr="00D74FFA">
        <w:rPr>
          <w:rFonts w:ascii="Times New Roman" w:hAnsi="Times New Roman"/>
          <w:szCs w:val="24"/>
        </w:rPr>
        <w:t xml:space="preserve"> Attorneys is entitled to represent Standard Bank “with the leave of the court on good cause shown”.</w:t>
      </w:r>
    </w:p>
    <w:p w14:paraId="46DBC326" w14:textId="61151BDD" w:rsidR="00B37147" w:rsidRPr="008421D0" w:rsidRDefault="00B37147" w:rsidP="00B37147">
      <w:pPr>
        <w:pStyle w:val="Heading1"/>
        <w:rPr>
          <w:rFonts w:ascii="Times New Roman" w:hAnsi="Times New Roman"/>
          <w:i/>
          <w:iCs/>
          <w:szCs w:val="24"/>
        </w:rPr>
      </w:pPr>
      <w:r w:rsidRPr="008421D0">
        <w:rPr>
          <w:rFonts w:ascii="Times New Roman" w:hAnsi="Times New Roman"/>
          <w:i/>
          <w:iCs/>
          <w:szCs w:val="24"/>
        </w:rPr>
        <w:t>The trustees’ case</w:t>
      </w:r>
    </w:p>
    <w:p w14:paraId="25D5CB9C" w14:textId="05D38175" w:rsidR="00853412"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5</w:t>
      </w:r>
      <w:r w:rsidRPr="00D74FFA">
        <w:rPr>
          <w:rFonts w:ascii="Times New Roman" w:hAnsi="Times New Roman"/>
          <w:szCs w:val="24"/>
        </w:rPr>
        <w:tab/>
      </w:r>
      <w:r w:rsidR="00853412" w:rsidRPr="00D74FFA">
        <w:rPr>
          <w:rFonts w:ascii="Times New Roman" w:hAnsi="Times New Roman"/>
          <w:szCs w:val="24"/>
        </w:rPr>
        <w:t>In the founding affidavit</w:t>
      </w:r>
      <w:r w:rsidR="008421D0">
        <w:rPr>
          <w:rFonts w:ascii="Times New Roman" w:hAnsi="Times New Roman"/>
          <w:szCs w:val="24"/>
        </w:rPr>
        <w:t xml:space="preserve"> in the rule 7(1) application</w:t>
      </w:r>
      <w:r w:rsidR="00853412" w:rsidRPr="00D74FFA">
        <w:rPr>
          <w:rFonts w:ascii="Times New Roman" w:hAnsi="Times New Roman"/>
          <w:szCs w:val="24"/>
        </w:rPr>
        <w:t>, the trustees explain the basis on which they seek to invoke the provisions of rule 7. They say that:</w:t>
      </w:r>
    </w:p>
    <w:p w14:paraId="2C8B444E" w14:textId="47CC5B33" w:rsidR="00853412"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5.1</w:t>
      </w:r>
      <w:r w:rsidRPr="00D74FFA">
        <w:rPr>
          <w:rFonts w:ascii="Times New Roman" w:hAnsi="Times New Roman"/>
          <w:szCs w:val="24"/>
        </w:rPr>
        <w:tab/>
      </w:r>
      <w:r w:rsidR="00853412" w:rsidRPr="00D74FFA">
        <w:rPr>
          <w:rFonts w:ascii="Times New Roman" w:hAnsi="Times New Roman"/>
          <w:szCs w:val="24"/>
        </w:rPr>
        <w:t xml:space="preserve">In the founding affidavit in the main application, the deponent </w:t>
      </w:r>
      <w:r w:rsidR="004E4B5D">
        <w:rPr>
          <w:rFonts w:ascii="Times New Roman" w:hAnsi="Times New Roman"/>
          <w:szCs w:val="24"/>
        </w:rPr>
        <w:t xml:space="preserve">(“Ms </w:t>
      </w:r>
      <w:proofErr w:type="spellStart"/>
      <w:r w:rsidR="009F75F5">
        <w:rPr>
          <w:rFonts w:ascii="Times New Roman" w:hAnsi="Times New Roman"/>
          <w:szCs w:val="24"/>
        </w:rPr>
        <w:t>Diko</w:t>
      </w:r>
      <w:r w:rsidR="003E4E1C">
        <w:rPr>
          <w:rFonts w:ascii="Times New Roman" w:hAnsi="Times New Roman"/>
          <w:szCs w:val="24"/>
        </w:rPr>
        <w:t>lomela-Mafa</w:t>
      </w:r>
      <w:proofErr w:type="spellEnd"/>
      <w:r w:rsidR="003E4E1C">
        <w:rPr>
          <w:rFonts w:ascii="Times New Roman" w:hAnsi="Times New Roman"/>
          <w:szCs w:val="24"/>
        </w:rPr>
        <w:t xml:space="preserve">”) </w:t>
      </w:r>
      <w:r w:rsidR="00853412" w:rsidRPr="00D74FFA">
        <w:rPr>
          <w:rFonts w:ascii="Times New Roman" w:hAnsi="Times New Roman"/>
          <w:szCs w:val="24"/>
        </w:rPr>
        <w:t>describes her position as being “Manager, Business Support, Rescue and Recoveries personnel at the Applicant”.</w:t>
      </w:r>
    </w:p>
    <w:p w14:paraId="7088A6A1" w14:textId="4D9E2A5F" w:rsidR="00853412"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lastRenderedPageBreak/>
        <w:t>5.2</w:t>
      </w:r>
      <w:r w:rsidRPr="00D74FFA">
        <w:rPr>
          <w:rFonts w:ascii="Times New Roman" w:hAnsi="Times New Roman"/>
          <w:szCs w:val="24"/>
        </w:rPr>
        <w:tab/>
      </w:r>
      <w:r w:rsidR="003E4E1C">
        <w:rPr>
          <w:rFonts w:ascii="Times New Roman" w:hAnsi="Times New Roman"/>
          <w:szCs w:val="24"/>
        </w:rPr>
        <w:t xml:space="preserve">Ms </w:t>
      </w:r>
      <w:proofErr w:type="spellStart"/>
      <w:r w:rsidR="003E4E1C">
        <w:rPr>
          <w:rFonts w:ascii="Times New Roman" w:hAnsi="Times New Roman"/>
          <w:szCs w:val="24"/>
        </w:rPr>
        <w:t>Dikolomela-Mafa</w:t>
      </w:r>
      <w:proofErr w:type="spellEnd"/>
      <w:r w:rsidR="00853412" w:rsidRPr="00D74FFA">
        <w:rPr>
          <w:rFonts w:ascii="Times New Roman" w:hAnsi="Times New Roman"/>
          <w:szCs w:val="24"/>
        </w:rPr>
        <w:t xml:space="preserve"> then relies on an annexure to the founding affidavit (labelled as KDM1) as evidence that she is authorised to depose to the founding affidavit. That annexure, however, describes the deponent</w:t>
      </w:r>
      <w:r w:rsidR="004E4B5D">
        <w:rPr>
          <w:rFonts w:ascii="Times New Roman" w:hAnsi="Times New Roman"/>
          <w:szCs w:val="24"/>
        </w:rPr>
        <w:t>’</w:t>
      </w:r>
      <w:r w:rsidR="00853412" w:rsidRPr="00D74FFA">
        <w:rPr>
          <w:rFonts w:ascii="Times New Roman" w:hAnsi="Times New Roman"/>
          <w:szCs w:val="24"/>
        </w:rPr>
        <w:t>s position as “Manager, Business Support and Recoveries, Business and Commercial Clients Credit, a division of The Standard Bank of South Africa Limited”. This discrepancy leads the trustees to deny that the deponent to the founding affidavit was given authority to depose to it. In other words, the evidence on which the deponent relies to establish her authority (being KDM1) does not establish it.</w:t>
      </w:r>
    </w:p>
    <w:p w14:paraId="6CEB3CBD" w14:textId="6834D361" w:rsidR="00853412"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5.3</w:t>
      </w:r>
      <w:r w:rsidRPr="00D74FFA">
        <w:rPr>
          <w:rFonts w:ascii="Times New Roman" w:hAnsi="Times New Roman"/>
          <w:szCs w:val="24"/>
        </w:rPr>
        <w:tab/>
      </w:r>
      <w:r w:rsidR="00853412" w:rsidRPr="00D74FFA">
        <w:rPr>
          <w:rFonts w:ascii="Times New Roman" w:hAnsi="Times New Roman"/>
          <w:szCs w:val="24"/>
        </w:rPr>
        <w:t xml:space="preserve">Leaving aside the question of </w:t>
      </w:r>
      <w:r w:rsidR="004323DB">
        <w:rPr>
          <w:rFonts w:ascii="Times New Roman" w:hAnsi="Times New Roman"/>
          <w:szCs w:val="24"/>
        </w:rPr>
        <w:t xml:space="preserve">Ms </w:t>
      </w:r>
      <w:proofErr w:type="spellStart"/>
      <w:r w:rsidR="004323DB">
        <w:rPr>
          <w:rFonts w:ascii="Times New Roman" w:hAnsi="Times New Roman"/>
          <w:szCs w:val="24"/>
        </w:rPr>
        <w:t>Dikolomela-Mafa</w:t>
      </w:r>
      <w:r w:rsidR="00853412" w:rsidRPr="00D74FFA">
        <w:rPr>
          <w:rFonts w:ascii="Times New Roman" w:hAnsi="Times New Roman"/>
          <w:szCs w:val="24"/>
        </w:rPr>
        <w:t>’s</w:t>
      </w:r>
      <w:proofErr w:type="spellEnd"/>
      <w:r w:rsidR="00853412" w:rsidRPr="00D74FFA">
        <w:rPr>
          <w:rFonts w:ascii="Times New Roman" w:hAnsi="Times New Roman"/>
          <w:szCs w:val="24"/>
        </w:rPr>
        <w:t xml:space="preserve"> authority, the trustees say that there is no resolution of Standard Bank authorising the launching of this litigation, and there is not even an allegation in the founding affidavit that such a resolution was taken. Since there is no evidence that a resolution was taken, “the issuing and prosecution of the application is unauthorised and constitutes a nullity”. This carries the implication, according to the trustees, that “the attorneys who are at present on record for [Standard Bank</w:t>
      </w:r>
      <w:r w:rsidR="008D6C95">
        <w:rPr>
          <w:rFonts w:ascii="Times New Roman" w:hAnsi="Times New Roman"/>
          <w:szCs w:val="24"/>
        </w:rPr>
        <w:t>]</w:t>
      </w:r>
      <w:r w:rsidR="00853412" w:rsidRPr="00D74FFA">
        <w:rPr>
          <w:rFonts w:ascii="Times New Roman" w:hAnsi="Times New Roman"/>
          <w:szCs w:val="24"/>
        </w:rPr>
        <w:t xml:space="preserve"> are not authorised to represent [Standard Bank]”.</w:t>
      </w:r>
    </w:p>
    <w:p w14:paraId="6A9A1178" w14:textId="16702B2B" w:rsidR="00853412"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5.4</w:t>
      </w:r>
      <w:r w:rsidRPr="00D74FFA">
        <w:rPr>
          <w:rFonts w:ascii="Times New Roman" w:hAnsi="Times New Roman"/>
          <w:szCs w:val="24"/>
        </w:rPr>
        <w:tab/>
      </w:r>
      <w:r w:rsidR="00853412" w:rsidRPr="00D74FFA">
        <w:rPr>
          <w:rFonts w:ascii="Times New Roman" w:hAnsi="Times New Roman"/>
          <w:szCs w:val="24"/>
        </w:rPr>
        <w:t>The trustees say that the “good cause” requirement is satisfied in this case because:</w:t>
      </w:r>
    </w:p>
    <w:p w14:paraId="20E45897" w14:textId="347C0FA0" w:rsidR="00853412" w:rsidRPr="00D74FFA" w:rsidRDefault="00FB2B06" w:rsidP="00FB2B06">
      <w:pPr>
        <w:pStyle w:val="WLGLevel3"/>
        <w:numPr>
          <w:ilvl w:val="0"/>
          <w:numId w:val="0"/>
        </w:numPr>
        <w:tabs>
          <w:tab w:val="left" w:pos="2381"/>
        </w:tabs>
        <w:ind w:left="2382" w:hanging="1021"/>
        <w:rPr>
          <w:rFonts w:ascii="Times New Roman" w:hAnsi="Times New Roman"/>
          <w:szCs w:val="24"/>
        </w:rPr>
      </w:pPr>
      <w:r w:rsidRPr="00D74FFA">
        <w:rPr>
          <w:rFonts w:ascii="Times New Roman" w:hAnsi="Times New Roman"/>
          <w:szCs w:val="24"/>
        </w:rPr>
        <w:t>5.4.1</w:t>
      </w:r>
      <w:r w:rsidRPr="00D74FFA">
        <w:rPr>
          <w:rFonts w:ascii="Times New Roman" w:hAnsi="Times New Roman"/>
          <w:szCs w:val="24"/>
        </w:rPr>
        <w:tab/>
      </w:r>
      <w:r w:rsidR="00853412" w:rsidRPr="00D74FFA">
        <w:rPr>
          <w:rFonts w:ascii="Times New Roman" w:hAnsi="Times New Roman"/>
          <w:szCs w:val="24"/>
        </w:rPr>
        <w:t>The absence of authority is “striking”.</w:t>
      </w:r>
    </w:p>
    <w:p w14:paraId="69718A87" w14:textId="4C9969C9" w:rsidR="00853412" w:rsidRPr="00D74FFA" w:rsidRDefault="00FB2B06" w:rsidP="00FB2B06">
      <w:pPr>
        <w:pStyle w:val="WLGLevel3"/>
        <w:numPr>
          <w:ilvl w:val="0"/>
          <w:numId w:val="0"/>
        </w:numPr>
        <w:tabs>
          <w:tab w:val="left" w:pos="2381"/>
        </w:tabs>
        <w:ind w:left="2382" w:hanging="1021"/>
        <w:rPr>
          <w:rFonts w:ascii="Times New Roman" w:hAnsi="Times New Roman"/>
          <w:szCs w:val="24"/>
        </w:rPr>
      </w:pPr>
      <w:r w:rsidRPr="00D74FFA">
        <w:rPr>
          <w:rFonts w:ascii="Times New Roman" w:hAnsi="Times New Roman"/>
          <w:szCs w:val="24"/>
        </w:rPr>
        <w:t>5.4.2</w:t>
      </w:r>
      <w:r w:rsidRPr="00D74FFA">
        <w:rPr>
          <w:rFonts w:ascii="Times New Roman" w:hAnsi="Times New Roman"/>
          <w:szCs w:val="24"/>
        </w:rPr>
        <w:tab/>
      </w:r>
      <w:r w:rsidR="00853412" w:rsidRPr="00D74FFA">
        <w:rPr>
          <w:rFonts w:ascii="Times New Roman" w:hAnsi="Times New Roman"/>
          <w:szCs w:val="24"/>
        </w:rPr>
        <w:t xml:space="preserve">The absence of authority is a substantive matter which, if decided in the trustees’ favour, will render the main application moot “since [Standard Bank’s] attorneys will be precluded from acting for the </w:t>
      </w:r>
      <w:r w:rsidR="00853412" w:rsidRPr="00D74FFA">
        <w:rPr>
          <w:rFonts w:ascii="Times New Roman" w:hAnsi="Times New Roman"/>
          <w:szCs w:val="24"/>
        </w:rPr>
        <w:lastRenderedPageBreak/>
        <w:t>applicant until such attorneys satisfy the Court that they are authorised to act”.</w:t>
      </w:r>
    </w:p>
    <w:p w14:paraId="35B9D207" w14:textId="7A0C800D" w:rsidR="00853412" w:rsidRPr="00D74FFA" w:rsidRDefault="00FB2B06" w:rsidP="00FB2B06">
      <w:pPr>
        <w:pStyle w:val="WLGLevel3"/>
        <w:numPr>
          <w:ilvl w:val="0"/>
          <w:numId w:val="0"/>
        </w:numPr>
        <w:tabs>
          <w:tab w:val="left" w:pos="2381"/>
        </w:tabs>
        <w:ind w:left="2382" w:hanging="1021"/>
        <w:rPr>
          <w:rFonts w:ascii="Times New Roman" w:hAnsi="Times New Roman"/>
          <w:szCs w:val="24"/>
        </w:rPr>
      </w:pPr>
      <w:r w:rsidRPr="00D74FFA">
        <w:rPr>
          <w:rFonts w:ascii="Times New Roman" w:hAnsi="Times New Roman"/>
          <w:szCs w:val="24"/>
        </w:rPr>
        <w:t>5.4.3</w:t>
      </w:r>
      <w:r w:rsidRPr="00D74FFA">
        <w:rPr>
          <w:rFonts w:ascii="Times New Roman" w:hAnsi="Times New Roman"/>
          <w:szCs w:val="24"/>
        </w:rPr>
        <w:tab/>
      </w:r>
      <w:r w:rsidR="00853412" w:rsidRPr="00D74FFA">
        <w:rPr>
          <w:rFonts w:ascii="Times New Roman" w:hAnsi="Times New Roman"/>
          <w:szCs w:val="24"/>
        </w:rPr>
        <w:t xml:space="preserve">There can be no prejudice to Standard Bank in having to establish the authority of </w:t>
      </w:r>
      <w:proofErr w:type="spellStart"/>
      <w:r w:rsidR="00853412" w:rsidRPr="00D74FFA">
        <w:rPr>
          <w:rFonts w:ascii="Times New Roman" w:hAnsi="Times New Roman"/>
          <w:szCs w:val="24"/>
        </w:rPr>
        <w:t>Buba</w:t>
      </w:r>
      <w:proofErr w:type="spellEnd"/>
      <w:r w:rsidR="00853412" w:rsidRPr="00D74FFA">
        <w:rPr>
          <w:rFonts w:ascii="Times New Roman" w:hAnsi="Times New Roman"/>
          <w:szCs w:val="24"/>
        </w:rPr>
        <w:t xml:space="preserve"> Attorneys to represent it, while there is manifest prejudice to the trustees in being precluded from challenging the</w:t>
      </w:r>
      <w:r w:rsidR="00B52FDC">
        <w:rPr>
          <w:rFonts w:ascii="Times New Roman" w:hAnsi="Times New Roman"/>
          <w:szCs w:val="24"/>
        </w:rPr>
        <w:t xml:space="preserve"> authority of the firm of attorneys</w:t>
      </w:r>
      <w:r w:rsidR="00B37147" w:rsidRPr="00D74FFA">
        <w:rPr>
          <w:rFonts w:ascii="Times New Roman" w:hAnsi="Times New Roman"/>
          <w:szCs w:val="24"/>
        </w:rPr>
        <w:t xml:space="preserve"> – </w:t>
      </w:r>
      <w:proofErr w:type="spellStart"/>
      <w:r w:rsidR="00B37147" w:rsidRPr="00D74FFA">
        <w:rPr>
          <w:rFonts w:ascii="Times New Roman" w:hAnsi="Times New Roman"/>
          <w:szCs w:val="24"/>
        </w:rPr>
        <w:t>ie</w:t>
      </w:r>
      <w:proofErr w:type="spellEnd"/>
      <w:r w:rsidR="00B37147" w:rsidRPr="00D74FFA">
        <w:rPr>
          <w:rFonts w:ascii="Times New Roman" w:hAnsi="Times New Roman"/>
          <w:szCs w:val="24"/>
        </w:rPr>
        <w:t>, the risk of being held liable to pay R8.2 million in proceedings which were defective because of the lack of authority.</w:t>
      </w:r>
    </w:p>
    <w:p w14:paraId="6F8ED4BC" w14:textId="3F5D5180" w:rsidR="00B37147"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5.5</w:t>
      </w:r>
      <w:r w:rsidRPr="00D74FFA">
        <w:rPr>
          <w:rFonts w:ascii="Times New Roman" w:hAnsi="Times New Roman"/>
          <w:szCs w:val="24"/>
        </w:rPr>
        <w:tab/>
      </w:r>
      <w:r w:rsidR="00B37147" w:rsidRPr="00D74FFA">
        <w:rPr>
          <w:rFonts w:ascii="Times New Roman" w:hAnsi="Times New Roman"/>
          <w:szCs w:val="24"/>
        </w:rPr>
        <w:t>The trustees then explain why there was a delay between the time when they knew, or ought to have known, that there was an authority problem (</w:t>
      </w:r>
      <w:proofErr w:type="spellStart"/>
      <w:r w:rsidR="00B37147" w:rsidRPr="00D74FFA">
        <w:rPr>
          <w:rFonts w:ascii="Times New Roman" w:hAnsi="Times New Roman"/>
          <w:szCs w:val="24"/>
        </w:rPr>
        <w:t>ie</w:t>
      </w:r>
      <w:proofErr w:type="spellEnd"/>
      <w:r w:rsidR="00B37147" w:rsidRPr="00D74FFA">
        <w:rPr>
          <w:rFonts w:ascii="Times New Roman" w:hAnsi="Times New Roman"/>
          <w:szCs w:val="24"/>
        </w:rPr>
        <w:t xml:space="preserve">, when the </w:t>
      </w:r>
      <w:r w:rsidR="007C2FBB">
        <w:rPr>
          <w:rFonts w:ascii="Times New Roman" w:hAnsi="Times New Roman"/>
          <w:szCs w:val="24"/>
        </w:rPr>
        <w:t xml:space="preserve">main </w:t>
      </w:r>
      <w:r w:rsidR="00B37147" w:rsidRPr="00D74FFA">
        <w:rPr>
          <w:rFonts w:ascii="Times New Roman" w:hAnsi="Times New Roman"/>
          <w:szCs w:val="24"/>
        </w:rPr>
        <w:t xml:space="preserve">application was </w:t>
      </w:r>
      <w:r w:rsidR="007C2FBB">
        <w:rPr>
          <w:rFonts w:ascii="Times New Roman" w:hAnsi="Times New Roman"/>
          <w:szCs w:val="24"/>
        </w:rPr>
        <w:t>served on them</w:t>
      </w:r>
      <w:r w:rsidR="00B37147" w:rsidRPr="00D74FFA">
        <w:rPr>
          <w:rFonts w:ascii="Times New Roman" w:hAnsi="Times New Roman"/>
          <w:szCs w:val="24"/>
        </w:rPr>
        <w:t xml:space="preserve">) and the launching of this interlocutory application. </w:t>
      </w:r>
      <w:r w:rsidR="00FD1AB4">
        <w:rPr>
          <w:rFonts w:ascii="Times New Roman" w:hAnsi="Times New Roman"/>
          <w:szCs w:val="24"/>
        </w:rPr>
        <w:t xml:space="preserve">My understanding is that </w:t>
      </w:r>
      <w:r w:rsidR="00B37147" w:rsidRPr="00D74FFA">
        <w:rPr>
          <w:rFonts w:ascii="Times New Roman" w:hAnsi="Times New Roman"/>
          <w:szCs w:val="24"/>
        </w:rPr>
        <w:t xml:space="preserve">Standard Bank does not take issue with the delay – in other words, </w:t>
      </w:r>
      <w:r w:rsidR="00FD1AB4">
        <w:rPr>
          <w:rFonts w:ascii="Times New Roman" w:hAnsi="Times New Roman"/>
          <w:szCs w:val="24"/>
        </w:rPr>
        <w:t>it</w:t>
      </w:r>
      <w:r w:rsidR="00B37147" w:rsidRPr="00D74FFA">
        <w:rPr>
          <w:rFonts w:ascii="Times New Roman" w:hAnsi="Times New Roman"/>
          <w:szCs w:val="24"/>
        </w:rPr>
        <w:t xml:space="preserve"> accept</w:t>
      </w:r>
      <w:r w:rsidR="00FD1AB4">
        <w:rPr>
          <w:rFonts w:ascii="Times New Roman" w:hAnsi="Times New Roman"/>
          <w:szCs w:val="24"/>
        </w:rPr>
        <w:t>s</w:t>
      </w:r>
      <w:r w:rsidR="00B37147" w:rsidRPr="00D74FFA">
        <w:rPr>
          <w:rFonts w:ascii="Times New Roman" w:hAnsi="Times New Roman"/>
          <w:szCs w:val="24"/>
        </w:rPr>
        <w:t xml:space="preserve"> the entitlement of the trustees to pursue the relief in this application notwithstanding the delay. It is therefore not necessary for me to discuss the reasons given for the delay in any detail. </w:t>
      </w:r>
      <w:r w:rsidR="00B906FA">
        <w:rPr>
          <w:rFonts w:ascii="Times New Roman" w:hAnsi="Times New Roman"/>
          <w:szCs w:val="24"/>
        </w:rPr>
        <w:t xml:space="preserve">I should record that, even if the question of delay </w:t>
      </w:r>
      <w:r w:rsidR="00D67C75">
        <w:rPr>
          <w:rFonts w:ascii="Times New Roman" w:hAnsi="Times New Roman"/>
          <w:szCs w:val="24"/>
        </w:rPr>
        <w:t>had been</w:t>
      </w:r>
      <w:r w:rsidR="00B906FA">
        <w:rPr>
          <w:rFonts w:ascii="Times New Roman" w:hAnsi="Times New Roman"/>
          <w:szCs w:val="24"/>
        </w:rPr>
        <w:t xml:space="preserve"> disputed, I would </w:t>
      </w:r>
      <w:r w:rsidR="00B0027D">
        <w:rPr>
          <w:rFonts w:ascii="Times New Roman" w:hAnsi="Times New Roman"/>
          <w:szCs w:val="24"/>
        </w:rPr>
        <w:t xml:space="preserve">have </w:t>
      </w:r>
      <w:r w:rsidR="00B906FA">
        <w:rPr>
          <w:rFonts w:ascii="Times New Roman" w:hAnsi="Times New Roman"/>
          <w:szCs w:val="24"/>
        </w:rPr>
        <w:t>conclude</w:t>
      </w:r>
      <w:r w:rsidR="00B0027D">
        <w:rPr>
          <w:rFonts w:ascii="Times New Roman" w:hAnsi="Times New Roman"/>
          <w:szCs w:val="24"/>
        </w:rPr>
        <w:t>d</w:t>
      </w:r>
      <w:r w:rsidR="00B906FA">
        <w:rPr>
          <w:rFonts w:ascii="Times New Roman" w:hAnsi="Times New Roman"/>
          <w:szCs w:val="24"/>
        </w:rPr>
        <w:t xml:space="preserve"> that the delay was not unreasonable in the circumstances of this case.</w:t>
      </w:r>
    </w:p>
    <w:p w14:paraId="7B452EE5" w14:textId="7987D42B" w:rsidR="00B37147" w:rsidRPr="00D67C75" w:rsidRDefault="00B37147" w:rsidP="00B37147">
      <w:pPr>
        <w:pStyle w:val="Heading1"/>
        <w:rPr>
          <w:rFonts w:ascii="Times New Roman" w:hAnsi="Times New Roman"/>
          <w:i/>
          <w:iCs/>
          <w:szCs w:val="24"/>
        </w:rPr>
      </w:pPr>
      <w:r w:rsidRPr="00D67C75">
        <w:rPr>
          <w:rFonts w:ascii="Times New Roman" w:hAnsi="Times New Roman"/>
          <w:i/>
          <w:iCs/>
          <w:szCs w:val="24"/>
        </w:rPr>
        <w:t xml:space="preserve"> Standard Bank’s answering affidavit</w:t>
      </w:r>
    </w:p>
    <w:p w14:paraId="6AE369E8" w14:textId="4C2194FB" w:rsidR="00B37147"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6</w:t>
      </w:r>
      <w:r w:rsidRPr="00D74FFA">
        <w:rPr>
          <w:rFonts w:ascii="Times New Roman" w:hAnsi="Times New Roman"/>
          <w:szCs w:val="24"/>
        </w:rPr>
        <w:tab/>
      </w:r>
      <w:r w:rsidR="00B37147" w:rsidRPr="00D74FFA">
        <w:rPr>
          <w:rFonts w:ascii="Times New Roman" w:hAnsi="Times New Roman"/>
          <w:szCs w:val="24"/>
        </w:rPr>
        <w:t xml:space="preserve">Standard Bank explains that, after the rule 7(1) application was served on it, it filed a notice in terms of rule 30. This arose from the fact that the affidavit of the trustees supporting this </w:t>
      </w:r>
      <w:r w:rsidR="00D67C75">
        <w:rPr>
          <w:rFonts w:ascii="Times New Roman" w:hAnsi="Times New Roman"/>
          <w:szCs w:val="24"/>
        </w:rPr>
        <w:t xml:space="preserve">rule 7(1) </w:t>
      </w:r>
      <w:r w:rsidR="00B37147" w:rsidRPr="00D74FFA">
        <w:rPr>
          <w:rFonts w:ascii="Times New Roman" w:hAnsi="Times New Roman"/>
          <w:szCs w:val="24"/>
        </w:rPr>
        <w:t xml:space="preserve">application was, according to Standard Bank, not compliant with the Justice of the Peace and Commissioner of Oaths Act 19 of 1963. There followed a period of time in which the parties exchanged correspondence on the future conduct of </w:t>
      </w:r>
      <w:r w:rsidR="00B37147" w:rsidRPr="00D74FFA">
        <w:rPr>
          <w:rFonts w:ascii="Times New Roman" w:hAnsi="Times New Roman"/>
          <w:szCs w:val="24"/>
        </w:rPr>
        <w:lastRenderedPageBreak/>
        <w:t>this matter</w:t>
      </w:r>
      <w:r w:rsidR="00A564EF" w:rsidRPr="00D74FFA">
        <w:rPr>
          <w:rFonts w:ascii="Times New Roman" w:hAnsi="Times New Roman"/>
          <w:szCs w:val="24"/>
        </w:rPr>
        <w:t xml:space="preserve">. The correspondence related, in essence, to Standard Bank’s suggestion that the rule 7 application and Standard Bank’s application (yet to be launched) based on the alleged defect </w:t>
      </w:r>
      <w:r w:rsidR="00323509">
        <w:rPr>
          <w:rFonts w:ascii="Times New Roman" w:hAnsi="Times New Roman"/>
          <w:szCs w:val="24"/>
        </w:rPr>
        <w:t>i</w:t>
      </w:r>
      <w:r w:rsidR="00A564EF" w:rsidRPr="00D74FFA">
        <w:rPr>
          <w:rFonts w:ascii="Times New Roman" w:hAnsi="Times New Roman"/>
          <w:szCs w:val="24"/>
        </w:rPr>
        <w:t xml:space="preserve">n the founding affidavit be heard together. The complaint on which Standard Bank’s rule 30 notice is based is that the founding affidavit in this interlocutory application contains the allegation that the deponent is a male, but the commissioner of oaths records </w:t>
      </w:r>
      <w:r w:rsidR="00323509">
        <w:rPr>
          <w:rFonts w:ascii="Times New Roman" w:hAnsi="Times New Roman"/>
          <w:szCs w:val="24"/>
        </w:rPr>
        <w:t xml:space="preserve">at the foot of the affidavit </w:t>
      </w:r>
      <w:r w:rsidR="00A564EF" w:rsidRPr="00D74FFA">
        <w:rPr>
          <w:rFonts w:ascii="Times New Roman" w:hAnsi="Times New Roman"/>
          <w:szCs w:val="24"/>
        </w:rPr>
        <w:t>that the deponent is female. For this reason, says Standard Bank, it is “not clear, what gender the deponent identifies, inter alia, whether he is male or female [sic]”. Standard Bank says that the trustees were given the opportunity to cure the defect (in the form of having received the rule 30 notice) but declined to do so.</w:t>
      </w:r>
    </w:p>
    <w:p w14:paraId="770B23A7" w14:textId="6CB73964" w:rsidR="00A564EF" w:rsidRDefault="00FB2B06" w:rsidP="00FB2B06">
      <w:pPr>
        <w:pStyle w:val="WLGLevel1"/>
        <w:numPr>
          <w:ilvl w:val="0"/>
          <w:numId w:val="0"/>
        </w:numPr>
        <w:tabs>
          <w:tab w:val="left" w:pos="567"/>
        </w:tabs>
        <w:ind w:left="562" w:hanging="562"/>
        <w:rPr>
          <w:rFonts w:ascii="Times New Roman" w:hAnsi="Times New Roman"/>
          <w:szCs w:val="24"/>
        </w:rPr>
      </w:pPr>
      <w:r>
        <w:rPr>
          <w:rFonts w:ascii="Times New Roman" w:hAnsi="Times New Roman"/>
          <w:szCs w:val="24"/>
        </w:rPr>
        <w:t>7</w:t>
      </w:r>
      <w:r>
        <w:rPr>
          <w:rFonts w:ascii="Times New Roman" w:hAnsi="Times New Roman"/>
          <w:szCs w:val="24"/>
        </w:rPr>
        <w:tab/>
      </w:r>
      <w:r w:rsidR="00A564EF" w:rsidRPr="00D74FFA">
        <w:rPr>
          <w:rFonts w:ascii="Times New Roman" w:hAnsi="Times New Roman"/>
          <w:szCs w:val="24"/>
        </w:rPr>
        <w:t xml:space="preserve">Having explained the basis of its rule 30 notice, Standard Bank proceeds to explain why the authority point is, in its view, meritless. I return to discuss that, to the extent necessary, below. I should also note that Standard Bank’s answering affidavit was filed out of time, and a request for </w:t>
      </w:r>
      <w:proofErr w:type="spellStart"/>
      <w:r w:rsidR="00A564EF" w:rsidRPr="00D74FFA">
        <w:rPr>
          <w:rFonts w:ascii="Times New Roman" w:hAnsi="Times New Roman"/>
          <w:szCs w:val="24"/>
        </w:rPr>
        <w:t>condonation</w:t>
      </w:r>
      <w:proofErr w:type="spellEnd"/>
      <w:r w:rsidR="00A564EF" w:rsidRPr="00D74FFA">
        <w:rPr>
          <w:rFonts w:ascii="Times New Roman" w:hAnsi="Times New Roman"/>
          <w:szCs w:val="24"/>
        </w:rPr>
        <w:t xml:space="preserve"> was made in its body. </w:t>
      </w:r>
      <w:r w:rsidR="009E32AD" w:rsidRPr="00D74FFA">
        <w:rPr>
          <w:rFonts w:ascii="Times New Roman" w:hAnsi="Times New Roman"/>
          <w:szCs w:val="24"/>
        </w:rPr>
        <w:t>N</w:t>
      </w:r>
      <w:r w:rsidR="00A564EF" w:rsidRPr="00D74FFA">
        <w:rPr>
          <w:rFonts w:ascii="Times New Roman" w:hAnsi="Times New Roman"/>
          <w:szCs w:val="24"/>
        </w:rPr>
        <w:t xml:space="preserve">o formal </w:t>
      </w:r>
      <w:proofErr w:type="spellStart"/>
      <w:r w:rsidR="00A564EF" w:rsidRPr="00D74FFA">
        <w:rPr>
          <w:rFonts w:ascii="Times New Roman" w:hAnsi="Times New Roman"/>
          <w:szCs w:val="24"/>
        </w:rPr>
        <w:t>condonation</w:t>
      </w:r>
      <w:proofErr w:type="spellEnd"/>
      <w:r w:rsidR="00A564EF" w:rsidRPr="00D74FFA">
        <w:rPr>
          <w:rFonts w:ascii="Times New Roman" w:hAnsi="Times New Roman"/>
          <w:szCs w:val="24"/>
        </w:rPr>
        <w:t xml:space="preserve"> application was brought</w:t>
      </w:r>
      <w:r w:rsidR="009E32AD" w:rsidRPr="00D74FFA">
        <w:rPr>
          <w:rFonts w:ascii="Times New Roman" w:hAnsi="Times New Roman"/>
          <w:szCs w:val="24"/>
        </w:rPr>
        <w:t xml:space="preserve">, a point taken by the trustees in their replying affidavit (which itself was accompanied by a </w:t>
      </w:r>
      <w:proofErr w:type="spellStart"/>
      <w:r w:rsidR="009E32AD" w:rsidRPr="00D74FFA">
        <w:rPr>
          <w:rFonts w:ascii="Times New Roman" w:hAnsi="Times New Roman"/>
          <w:szCs w:val="24"/>
        </w:rPr>
        <w:t>condonation</w:t>
      </w:r>
      <w:proofErr w:type="spellEnd"/>
      <w:r w:rsidR="009E32AD" w:rsidRPr="00D74FFA">
        <w:rPr>
          <w:rFonts w:ascii="Times New Roman" w:hAnsi="Times New Roman"/>
          <w:szCs w:val="24"/>
        </w:rPr>
        <w:t xml:space="preserve"> application because it was filed out of time)</w:t>
      </w:r>
      <w:r w:rsidR="00A564EF" w:rsidRPr="00D74FFA">
        <w:rPr>
          <w:rFonts w:ascii="Times New Roman" w:hAnsi="Times New Roman"/>
          <w:szCs w:val="24"/>
        </w:rPr>
        <w:t>.</w:t>
      </w:r>
    </w:p>
    <w:p w14:paraId="0A35C5AB" w14:textId="5DE66E23" w:rsidR="00E62D51" w:rsidRPr="00AC0193" w:rsidRDefault="00E62D51" w:rsidP="00E62D51">
      <w:pPr>
        <w:pStyle w:val="Heading1"/>
        <w:rPr>
          <w:rFonts w:ascii="Times New Roman" w:hAnsi="Times New Roman"/>
          <w:i/>
          <w:iCs/>
        </w:rPr>
      </w:pPr>
      <w:r w:rsidRPr="00AC0193">
        <w:rPr>
          <w:rFonts w:ascii="Times New Roman" w:hAnsi="Times New Roman"/>
          <w:i/>
          <w:iCs/>
        </w:rPr>
        <w:t xml:space="preserve">The replying affidavit and </w:t>
      </w:r>
      <w:proofErr w:type="spellStart"/>
      <w:r w:rsidRPr="00AC0193">
        <w:rPr>
          <w:rFonts w:ascii="Times New Roman" w:hAnsi="Times New Roman"/>
          <w:i/>
          <w:iCs/>
        </w:rPr>
        <w:t>condonation</w:t>
      </w:r>
      <w:proofErr w:type="spellEnd"/>
      <w:r w:rsidRPr="00AC0193">
        <w:rPr>
          <w:rFonts w:ascii="Times New Roman" w:hAnsi="Times New Roman"/>
          <w:i/>
          <w:iCs/>
        </w:rPr>
        <w:t xml:space="preserve"> application</w:t>
      </w:r>
    </w:p>
    <w:p w14:paraId="3F6F5A15" w14:textId="65C90AFB" w:rsidR="00E9510D"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8</w:t>
      </w:r>
      <w:r w:rsidRPr="00D74FFA">
        <w:rPr>
          <w:rFonts w:ascii="Times New Roman" w:hAnsi="Times New Roman"/>
          <w:szCs w:val="24"/>
        </w:rPr>
        <w:tab/>
      </w:r>
      <w:r w:rsidR="008D5B1E" w:rsidRPr="00D74FFA">
        <w:rPr>
          <w:rFonts w:ascii="Times New Roman" w:hAnsi="Times New Roman"/>
          <w:szCs w:val="24"/>
        </w:rPr>
        <w:t xml:space="preserve">In the application for </w:t>
      </w:r>
      <w:proofErr w:type="spellStart"/>
      <w:r w:rsidR="008D5B1E" w:rsidRPr="00D74FFA">
        <w:rPr>
          <w:rFonts w:ascii="Times New Roman" w:hAnsi="Times New Roman"/>
          <w:szCs w:val="24"/>
        </w:rPr>
        <w:t>condonation</w:t>
      </w:r>
      <w:proofErr w:type="spellEnd"/>
      <w:r w:rsidR="008D5B1E" w:rsidRPr="00D74FFA">
        <w:rPr>
          <w:rFonts w:ascii="Times New Roman" w:hAnsi="Times New Roman"/>
          <w:szCs w:val="24"/>
        </w:rPr>
        <w:t xml:space="preserve"> for the late filing of the replying affidavit, the trustees deal briefly with the </w:t>
      </w:r>
      <w:r w:rsidR="00A41007" w:rsidRPr="00D74FFA">
        <w:rPr>
          <w:rFonts w:ascii="Times New Roman" w:hAnsi="Times New Roman"/>
          <w:szCs w:val="24"/>
        </w:rPr>
        <w:t xml:space="preserve">defect in the founding affidavit which Standard Bank had highlighted. They </w:t>
      </w:r>
      <w:r w:rsidR="00582AA2">
        <w:rPr>
          <w:rFonts w:ascii="Times New Roman" w:hAnsi="Times New Roman"/>
          <w:szCs w:val="24"/>
        </w:rPr>
        <w:t>say</w:t>
      </w:r>
      <w:r w:rsidR="00A41007" w:rsidRPr="00D74FFA">
        <w:rPr>
          <w:rFonts w:ascii="Times New Roman" w:hAnsi="Times New Roman"/>
          <w:szCs w:val="24"/>
        </w:rPr>
        <w:t xml:space="preserve"> that there was a typographical error</w:t>
      </w:r>
      <w:r w:rsidR="00582AA2">
        <w:rPr>
          <w:rFonts w:ascii="Times New Roman" w:hAnsi="Times New Roman"/>
          <w:szCs w:val="24"/>
        </w:rPr>
        <w:t xml:space="preserve"> in the affidavit</w:t>
      </w:r>
      <w:r w:rsidR="00D33196" w:rsidRPr="00D74FFA">
        <w:rPr>
          <w:rFonts w:ascii="Times New Roman" w:hAnsi="Times New Roman"/>
          <w:szCs w:val="24"/>
        </w:rPr>
        <w:t xml:space="preserve">, and </w:t>
      </w:r>
      <w:r w:rsidR="00582AA2">
        <w:rPr>
          <w:rFonts w:ascii="Times New Roman" w:hAnsi="Times New Roman"/>
          <w:szCs w:val="24"/>
        </w:rPr>
        <w:t xml:space="preserve">agree </w:t>
      </w:r>
      <w:r w:rsidR="00D33196" w:rsidRPr="00D74FFA">
        <w:rPr>
          <w:rFonts w:ascii="Times New Roman" w:hAnsi="Times New Roman"/>
          <w:szCs w:val="24"/>
        </w:rPr>
        <w:t xml:space="preserve">that Standard Bank’s complaint was well-taken. They said that they refrained from </w:t>
      </w:r>
      <w:r w:rsidR="009B0E79" w:rsidRPr="00D74FFA">
        <w:rPr>
          <w:rFonts w:ascii="Times New Roman" w:hAnsi="Times New Roman"/>
          <w:szCs w:val="24"/>
        </w:rPr>
        <w:t xml:space="preserve">dealing with the issue in any detail because a separate </w:t>
      </w:r>
      <w:proofErr w:type="spellStart"/>
      <w:r w:rsidR="009B0E79" w:rsidRPr="00D74FFA">
        <w:rPr>
          <w:rFonts w:ascii="Times New Roman" w:hAnsi="Times New Roman"/>
          <w:szCs w:val="24"/>
        </w:rPr>
        <w:t>condonation</w:t>
      </w:r>
      <w:proofErr w:type="spellEnd"/>
      <w:r w:rsidR="009B0E79" w:rsidRPr="00D74FFA">
        <w:rPr>
          <w:rFonts w:ascii="Times New Roman" w:hAnsi="Times New Roman"/>
          <w:szCs w:val="24"/>
        </w:rPr>
        <w:t xml:space="preserve"> application in respect of the defect in the founding affidavit was to be brought </w:t>
      </w:r>
      <w:r w:rsidR="000C2E90" w:rsidRPr="00D74FFA">
        <w:rPr>
          <w:rFonts w:ascii="Times New Roman" w:hAnsi="Times New Roman"/>
          <w:szCs w:val="24"/>
        </w:rPr>
        <w:t xml:space="preserve">and the issue fully ventilated there. </w:t>
      </w:r>
    </w:p>
    <w:p w14:paraId="677EA6EC" w14:textId="28CD447C" w:rsidR="009D192A"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lastRenderedPageBreak/>
        <w:t>9</w:t>
      </w:r>
      <w:r w:rsidRPr="00D74FFA">
        <w:rPr>
          <w:rFonts w:ascii="Times New Roman" w:hAnsi="Times New Roman"/>
          <w:szCs w:val="24"/>
        </w:rPr>
        <w:tab/>
      </w:r>
      <w:r w:rsidR="00E9510D" w:rsidRPr="00D74FFA">
        <w:rPr>
          <w:rFonts w:ascii="Times New Roman" w:hAnsi="Times New Roman"/>
          <w:szCs w:val="24"/>
        </w:rPr>
        <w:t xml:space="preserve">That is a reference to a separate </w:t>
      </w:r>
      <w:proofErr w:type="spellStart"/>
      <w:r w:rsidR="00E9510D" w:rsidRPr="00D74FFA">
        <w:rPr>
          <w:rFonts w:ascii="Times New Roman" w:hAnsi="Times New Roman"/>
          <w:szCs w:val="24"/>
        </w:rPr>
        <w:t>condonation</w:t>
      </w:r>
      <w:proofErr w:type="spellEnd"/>
      <w:r w:rsidR="00E9510D" w:rsidRPr="00D74FFA">
        <w:rPr>
          <w:rFonts w:ascii="Times New Roman" w:hAnsi="Times New Roman"/>
          <w:szCs w:val="24"/>
        </w:rPr>
        <w:t xml:space="preserve"> application in which the trustees seek </w:t>
      </w:r>
      <w:proofErr w:type="spellStart"/>
      <w:r w:rsidR="00E9510D" w:rsidRPr="00D74FFA">
        <w:rPr>
          <w:rFonts w:ascii="Times New Roman" w:hAnsi="Times New Roman"/>
          <w:szCs w:val="24"/>
        </w:rPr>
        <w:t>condonation</w:t>
      </w:r>
      <w:proofErr w:type="spellEnd"/>
      <w:r w:rsidR="00E9510D" w:rsidRPr="00D74FFA">
        <w:rPr>
          <w:rFonts w:ascii="Times New Roman" w:hAnsi="Times New Roman"/>
          <w:szCs w:val="24"/>
        </w:rPr>
        <w:t xml:space="preserve"> for</w:t>
      </w:r>
      <w:r w:rsidR="009D192A" w:rsidRPr="00D74FFA">
        <w:rPr>
          <w:rFonts w:ascii="Times New Roman" w:hAnsi="Times New Roman"/>
          <w:szCs w:val="24"/>
        </w:rPr>
        <w:t xml:space="preserve"> </w:t>
      </w:r>
      <w:r w:rsidR="004A4A18" w:rsidRPr="00D74FFA">
        <w:rPr>
          <w:rFonts w:ascii="Times New Roman" w:hAnsi="Times New Roman"/>
          <w:szCs w:val="24"/>
        </w:rPr>
        <w:t>the late filing of the founding affidavit in respect of the rule 7(1) application and also the late filing of the third respondent’s answering affidavit in the main application</w:t>
      </w:r>
      <w:r w:rsidR="009D192A" w:rsidRPr="00D74FFA">
        <w:rPr>
          <w:rFonts w:ascii="Times New Roman" w:hAnsi="Times New Roman"/>
          <w:szCs w:val="24"/>
        </w:rPr>
        <w:t>. As part of the founding affidavit in that application, an explanation is given for the typographical error contained in the original founding affi</w:t>
      </w:r>
      <w:r w:rsidR="00056814" w:rsidRPr="00D74FFA">
        <w:rPr>
          <w:rFonts w:ascii="Times New Roman" w:hAnsi="Times New Roman"/>
          <w:szCs w:val="24"/>
        </w:rPr>
        <w:t>d</w:t>
      </w:r>
      <w:r w:rsidR="009D192A" w:rsidRPr="00D74FFA">
        <w:rPr>
          <w:rFonts w:ascii="Times New Roman" w:hAnsi="Times New Roman"/>
          <w:szCs w:val="24"/>
        </w:rPr>
        <w:t xml:space="preserve">avit in this rule 7 application. A corrected affidavit, which makes clear that the deponent to the founding affidavit (Mr </w:t>
      </w:r>
      <w:proofErr w:type="spellStart"/>
      <w:r w:rsidR="009D192A" w:rsidRPr="00D74FFA">
        <w:rPr>
          <w:rFonts w:ascii="Times New Roman" w:hAnsi="Times New Roman"/>
          <w:szCs w:val="24"/>
        </w:rPr>
        <w:t>Wilkens</w:t>
      </w:r>
      <w:proofErr w:type="spellEnd"/>
      <w:r w:rsidR="009D192A" w:rsidRPr="00D74FFA">
        <w:rPr>
          <w:rFonts w:ascii="Times New Roman" w:hAnsi="Times New Roman"/>
          <w:szCs w:val="24"/>
        </w:rPr>
        <w:t>, the first respondent in the main application) is a man (and confirmed by the commissioner of oaths this time), is annexed to this affidavit.</w:t>
      </w:r>
    </w:p>
    <w:p w14:paraId="0BA9D935" w14:textId="5E158DF7" w:rsidR="00073A48" w:rsidRPr="00D74FFA" w:rsidRDefault="00073A48" w:rsidP="00073A48">
      <w:pPr>
        <w:pStyle w:val="Heading1"/>
        <w:rPr>
          <w:rFonts w:ascii="Times New Roman" w:hAnsi="Times New Roman"/>
          <w:szCs w:val="24"/>
        </w:rPr>
      </w:pPr>
      <w:r w:rsidRPr="00D74FFA">
        <w:rPr>
          <w:rFonts w:ascii="Times New Roman" w:hAnsi="Times New Roman"/>
          <w:szCs w:val="24"/>
        </w:rPr>
        <w:t>ANALYSIS</w:t>
      </w:r>
    </w:p>
    <w:p w14:paraId="6F1CCB4B" w14:textId="26D3DCE0" w:rsidR="00846A43"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10</w:t>
      </w:r>
      <w:r w:rsidRPr="00D74FFA">
        <w:rPr>
          <w:rFonts w:ascii="Times New Roman" w:hAnsi="Times New Roman"/>
          <w:szCs w:val="24"/>
        </w:rPr>
        <w:tab/>
      </w:r>
      <w:r w:rsidR="00073A48" w:rsidRPr="00D74FFA">
        <w:rPr>
          <w:rFonts w:ascii="Times New Roman" w:hAnsi="Times New Roman"/>
          <w:szCs w:val="24"/>
        </w:rPr>
        <w:t xml:space="preserve">It may be seen from the discussion above that this matter </w:t>
      </w:r>
      <w:r w:rsidR="00864C82" w:rsidRPr="00D74FFA">
        <w:rPr>
          <w:rFonts w:ascii="Times New Roman" w:hAnsi="Times New Roman"/>
          <w:szCs w:val="24"/>
        </w:rPr>
        <w:t xml:space="preserve">is characterised both by arguments of the most technical character, as well as a series of procedural oddities. </w:t>
      </w:r>
      <w:r w:rsidR="00951EC7" w:rsidRPr="00D74FFA">
        <w:rPr>
          <w:rFonts w:ascii="Times New Roman" w:hAnsi="Times New Roman"/>
          <w:szCs w:val="24"/>
        </w:rPr>
        <w:t xml:space="preserve">The </w:t>
      </w:r>
      <w:proofErr w:type="spellStart"/>
      <w:r w:rsidR="00951EC7" w:rsidRPr="00D74FFA">
        <w:rPr>
          <w:rFonts w:ascii="Times New Roman" w:hAnsi="Times New Roman"/>
          <w:szCs w:val="24"/>
        </w:rPr>
        <w:t>Caselines</w:t>
      </w:r>
      <w:proofErr w:type="spellEnd"/>
      <w:r w:rsidR="00951EC7" w:rsidRPr="00D74FFA">
        <w:rPr>
          <w:rFonts w:ascii="Times New Roman" w:hAnsi="Times New Roman"/>
          <w:szCs w:val="24"/>
        </w:rPr>
        <w:t xml:space="preserve"> folder is littered with rule 30</w:t>
      </w:r>
      <w:r w:rsidR="00187122" w:rsidRPr="00D74FFA">
        <w:rPr>
          <w:rFonts w:ascii="Times New Roman" w:hAnsi="Times New Roman"/>
          <w:szCs w:val="24"/>
        </w:rPr>
        <w:t xml:space="preserve"> notices and skirmishes </w:t>
      </w:r>
      <w:r w:rsidR="009D350D" w:rsidRPr="00D74FFA">
        <w:rPr>
          <w:rFonts w:ascii="Times New Roman" w:hAnsi="Times New Roman"/>
          <w:szCs w:val="24"/>
        </w:rPr>
        <w:t>in relation to which my discussion above has not even scratched the surface.</w:t>
      </w:r>
      <w:r w:rsidR="00606CC4" w:rsidRPr="00D74FFA">
        <w:rPr>
          <w:rFonts w:ascii="Times New Roman" w:hAnsi="Times New Roman"/>
          <w:szCs w:val="24"/>
        </w:rPr>
        <w:t xml:space="preserve"> </w:t>
      </w:r>
      <w:r w:rsidR="00636467" w:rsidRPr="00D74FFA">
        <w:rPr>
          <w:rFonts w:ascii="Times New Roman" w:hAnsi="Times New Roman"/>
          <w:szCs w:val="24"/>
        </w:rPr>
        <w:t xml:space="preserve">While parties are entitled to take whatever points they consider appropriate, it bears emphasis that the </w:t>
      </w:r>
      <w:r w:rsidR="008414DB" w:rsidRPr="00D74FFA">
        <w:rPr>
          <w:rFonts w:ascii="Times New Roman" w:hAnsi="Times New Roman"/>
          <w:szCs w:val="24"/>
        </w:rPr>
        <w:t xml:space="preserve">fundamental purpose of the rules, and our principles of civil procedure </w:t>
      </w:r>
      <w:r w:rsidR="001A5B94">
        <w:rPr>
          <w:rFonts w:ascii="Times New Roman" w:hAnsi="Times New Roman"/>
          <w:szCs w:val="24"/>
        </w:rPr>
        <w:t xml:space="preserve">in </w:t>
      </w:r>
      <w:r w:rsidR="008414DB" w:rsidRPr="00D74FFA">
        <w:rPr>
          <w:rFonts w:ascii="Times New Roman" w:hAnsi="Times New Roman"/>
          <w:szCs w:val="24"/>
        </w:rPr>
        <w:t>general, is to ensure the convenient ventilation of disputes as fairly and quickly as possible. When parties take every technical point available to them, these principles are undermined.</w:t>
      </w:r>
      <w:r w:rsidR="0009478B">
        <w:rPr>
          <w:rFonts w:ascii="Times New Roman" w:hAnsi="Times New Roman"/>
          <w:szCs w:val="24"/>
        </w:rPr>
        <w:t xml:space="preserve"> I make this point in passing – clearly, I have an obligation to consider and decide the issue raised by the trustees’ rule 7(1) application</w:t>
      </w:r>
      <w:r w:rsidR="00B1221A">
        <w:rPr>
          <w:rFonts w:ascii="Times New Roman" w:hAnsi="Times New Roman"/>
          <w:szCs w:val="24"/>
        </w:rPr>
        <w:t xml:space="preserve"> and I do not mean to suggest that a challenge to authority is a mere technicality</w:t>
      </w:r>
      <w:r w:rsidR="0009478B">
        <w:rPr>
          <w:rFonts w:ascii="Times New Roman" w:hAnsi="Times New Roman"/>
          <w:szCs w:val="24"/>
        </w:rPr>
        <w:t>.</w:t>
      </w:r>
      <w:r w:rsidR="001F35B7">
        <w:rPr>
          <w:rFonts w:ascii="Times New Roman" w:hAnsi="Times New Roman"/>
          <w:szCs w:val="24"/>
        </w:rPr>
        <w:t xml:space="preserve"> My comment relates to the conduct of this litigation generally, rather than this rule 7(1) application in particular.</w:t>
      </w:r>
    </w:p>
    <w:p w14:paraId="00C515E8" w14:textId="38CEF639" w:rsidR="00846A43" w:rsidRPr="0009478B" w:rsidRDefault="00846A43" w:rsidP="00846A43">
      <w:pPr>
        <w:pStyle w:val="Heading1"/>
        <w:rPr>
          <w:rFonts w:ascii="Times New Roman" w:hAnsi="Times New Roman"/>
          <w:i/>
          <w:iCs/>
          <w:szCs w:val="24"/>
        </w:rPr>
      </w:pPr>
      <w:r w:rsidRPr="0009478B">
        <w:rPr>
          <w:rFonts w:ascii="Times New Roman" w:hAnsi="Times New Roman"/>
          <w:i/>
          <w:iCs/>
          <w:szCs w:val="24"/>
        </w:rPr>
        <w:t xml:space="preserve">The validity of the </w:t>
      </w:r>
      <w:r w:rsidR="0009478B">
        <w:rPr>
          <w:rFonts w:ascii="Times New Roman" w:hAnsi="Times New Roman"/>
          <w:i/>
          <w:iCs/>
          <w:szCs w:val="24"/>
        </w:rPr>
        <w:t xml:space="preserve">rule 7(1) </w:t>
      </w:r>
      <w:r w:rsidRPr="0009478B">
        <w:rPr>
          <w:rFonts w:ascii="Times New Roman" w:hAnsi="Times New Roman"/>
          <w:i/>
          <w:iCs/>
          <w:szCs w:val="24"/>
        </w:rPr>
        <w:t>founding affidavit</w:t>
      </w:r>
    </w:p>
    <w:p w14:paraId="61658A6E" w14:textId="4AE3F8FD" w:rsidR="00073A48"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lastRenderedPageBreak/>
        <w:t>11</w:t>
      </w:r>
      <w:r w:rsidRPr="00D74FFA">
        <w:rPr>
          <w:rFonts w:ascii="Times New Roman" w:hAnsi="Times New Roman"/>
          <w:szCs w:val="24"/>
        </w:rPr>
        <w:tab/>
      </w:r>
      <w:r w:rsidR="007919F1" w:rsidRPr="00D74FFA">
        <w:rPr>
          <w:rFonts w:ascii="Times New Roman" w:hAnsi="Times New Roman"/>
          <w:szCs w:val="24"/>
        </w:rPr>
        <w:t>Although Standard Bank filed a rule 30 notice in respect of the trustees’ founding affidavit in the rule 7(1) application, it did not follow-up with a formal application to set aside the affidavit. The point is now characterised in argument by Standard Bank as an “</w:t>
      </w:r>
      <w:r w:rsidR="007919F1" w:rsidRPr="00F728BA">
        <w:rPr>
          <w:rFonts w:ascii="Times New Roman" w:hAnsi="Times New Roman"/>
          <w:i/>
          <w:iCs/>
          <w:szCs w:val="24"/>
        </w:rPr>
        <w:t xml:space="preserve">in </w:t>
      </w:r>
      <w:proofErr w:type="spellStart"/>
      <w:r w:rsidR="007919F1" w:rsidRPr="00F728BA">
        <w:rPr>
          <w:rFonts w:ascii="Times New Roman" w:hAnsi="Times New Roman"/>
          <w:i/>
          <w:iCs/>
          <w:szCs w:val="24"/>
        </w:rPr>
        <w:t>limine</w:t>
      </w:r>
      <w:proofErr w:type="spellEnd"/>
      <w:r w:rsidR="007919F1" w:rsidRPr="00D74FFA">
        <w:rPr>
          <w:rFonts w:ascii="Times New Roman" w:hAnsi="Times New Roman"/>
          <w:szCs w:val="24"/>
        </w:rPr>
        <w:t xml:space="preserve"> point”.</w:t>
      </w:r>
      <w:r w:rsidR="00FF0844" w:rsidRPr="00D74FFA">
        <w:rPr>
          <w:rFonts w:ascii="Times New Roman" w:hAnsi="Times New Roman"/>
          <w:szCs w:val="24"/>
        </w:rPr>
        <w:t xml:space="preserve"> It does not seem </w:t>
      </w:r>
      <w:r w:rsidR="00F728BA">
        <w:rPr>
          <w:rFonts w:ascii="Times New Roman" w:hAnsi="Times New Roman"/>
          <w:szCs w:val="24"/>
        </w:rPr>
        <w:t xml:space="preserve">to me to be </w:t>
      </w:r>
      <w:r w:rsidR="00FF0844" w:rsidRPr="00D74FFA">
        <w:rPr>
          <w:rFonts w:ascii="Times New Roman" w:hAnsi="Times New Roman"/>
          <w:szCs w:val="24"/>
        </w:rPr>
        <w:t xml:space="preserve">permissible for a party to file a rule 30 notice complaining of an irregular step, fail to follow up with the application envisaged by rule 30(1) and then persist in taking the point on the purported basis that it is an </w:t>
      </w:r>
      <w:r w:rsidR="00FF0844" w:rsidRPr="0012665F">
        <w:rPr>
          <w:rFonts w:ascii="Times New Roman" w:hAnsi="Times New Roman"/>
          <w:i/>
          <w:iCs/>
          <w:szCs w:val="24"/>
        </w:rPr>
        <w:t xml:space="preserve">in </w:t>
      </w:r>
      <w:proofErr w:type="spellStart"/>
      <w:r w:rsidR="00FF0844" w:rsidRPr="0012665F">
        <w:rPr>
          <w:rFonts w:ascii="Times New Roman" w:hAnsi="Times New Roman"/>
          <w:i/>
          <w:iCs/>
          <w:szCs w:val="24"/>
        </w:rPr>
        <w:t>limine</w:t>
      </w:r>
      <w:proofErr w:type="spellEnd"/>
      <w:r w:rsidR="00FF0844" w:rsidRPr="00D74FFA">
        <w:rPr>
          <w:rFonts w:ascii="Times New Roman" w:hAnsi="Times New Roman"/>
          <w:szCs w:val="24"/>
        </w:rPr>
        <w:t xml:space="preserve"> </w:t>
      </w:r>
      <w:r w:rsidR="00A53A4E">
        <w:rPr>
          <w:rFonts w:ascii="Times New Roman" w:hAnsi="Times New Roman"/>
          <w:szCs w:val="24"/>
        </w:rPr>
        <w:t>issue</w:t>
      </w:r>
      <w:r w:rsidR="00FF0844" w:rsidRPr="00D74FFA">
        <w:rPr>
          <w:rFonts w:ascii="Times New Roman" w:hAnsi="Times New Roman"/>
          <w:szCs w:val="24"/>
        </w:rPr>
        <w:t xml:space="preserve"> which may simply be argued.</w:t>
      </w:r>
    </w:p>
    <w:p w14:paraId="56D2762A" w14:textId="397B5120" w:rsidR="00FF0844"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12</w:t>
      </w:r>
      <w:r w:rsidRPr="00D74FFA">
        <w:rPr>
          <w:rFonts w:ascii="Times New Roman" w:hAnsi="Times New Roman"/>
          <w:szCs w:val="24"/>
        </w:rPr>
        <w:tab/>
      </w:r>
      <w:r w:rsidR="00FF0844" w:rsidRPr="00D74FFA">
        <w:rPr>
          <w:rFonts w:ascii="Times New Roman" w:hAnsi="Times New Roman"/>
          <w:szCs w:val="24"/>
        </w:rPr>
        <w:t xml:space="preserve">In any event, it is not necessary to become bogged down in that issue because I, in any event, agree with the submission of </w:t>
      </w:r>
      <w:r w:rsidR="00FF0844" w:rsidRPr="00AA13A4">
        <w:rPr>
          <w:rFonts w:ascii="Times New Roman" w:hAnsi="Times New Roman"/>
          <w:i/>
          <w:iCs/>
          <w:szCs w:val="24"/>
        </w:rPr>
        <w:t xml:space="preserve">Mr </w:t>
      </w:r>
      <w:proofErr w:type="spellStart"/>
      <w:r w:rsidR="00FF0844" w:rsidRPr="00AA13A4">
        <w:rPr>
          <w:rFonts w:ascii="Times New Roman" w:hAnsi="Times New Roman"/>
          <w:i/>
          <w:iCs/>
          <w:szCs w:val="24"/>
        </w:rPr>
        <w:t>Steyn</w:t>
      </w:r>
      <w:proofErr w:type="spellEnd"/>
      <w:r w:rsidR="00FF0844" w:rsidRPr="00D74FFA">
        <w:rPr>
          <w:rFonts w:ascii="Times New Roman" w:hAnsi="Times New Roman"/>
          <w:szCs w:val="24"/>
        </w:rPr>
        <w:t xml:space="preserve"> </w:t>
      </w:r>
      <w:r w:rsidR="00AA13A4">
        <w:rPr>
          <w:rFonts w:ascii="Times New Roman" w:hAnsi="Times New Roman"/>
          <w:szCs w:val="24"/>
        </w:rPr>
        <w:t xml:space="preserve">(who appeared for the trustees) </w:t>
      </w:r>
      <w:r w:rsidR="00FF0844" w:rsidRPr="00D74FFA">
        <w:rPr>
          <w:rFonts w:ascii="Times New Roman" w:hAnsi="Times New Roman"/>
          <w:szCs w:val="24"/>
        </w:rPr>
        <w:t xml:space="preserve">that the whole purpose of rule 30 is to provide the other side </w:t>
      </w:r>
      <w:r w:rsidR="009041E3">
        <w:rPr>
          <w:rFonts w:ascii="Times New Roman" w:hAnsi="Times New Roman"/>
          <w:szCs w:val="24"/>
        </w:rPr>
        <w:t xml:space="preserve">with an opportunity </w:t>
      </w:r>
      <w:r w:rsidR="00FF0844" w:rsidRPr="00D74FFA">
        <w:rPr>
          <w:rFonts w:ascii="Times New Roman" w:hAnsi="Times New Roman"/>
          <w:szCs w:val="24"/>
        </w:rPr>
        <w:t xml:space="preserve">to cure an irregularity. In contrast to what Standard Bank says now, the trustees did not simply plough through and insist that the initial founding affidavit was valid. On the contrary, they filed a corrected affidavit, coupled with a </w:t>
      </w:r>
      <w:proofErr w:type="spellStart"/>
      <w:r w:rsidR="00FF0844" w:rsidRPr="00D74FFA">
        <w:rPr>
          <w:rFonts w:ascii="Times New Roman" w:hAnsi="Times New Roman"/>
          <w:szCs w:val="24"/>
        </w:rPr>
        <w:t>condonation</w:t>
      </w:r>
      <w:proofErr w:type="spellEnd"/>
      <w:r w:rsidR="00FF0844" w:rsidRPr="00D74FFA">
        <w:rPr>
          <w:rFonts w:ascii="Times New Roman" w:hAnsi="Times New Roman"/>
          <w:szCs w:val="24"/>
        </w:rPr>
        <w:t xml:space="preserve"> application in which the typographical error was explained. </w:t>
      </w:r>
      <w:r w:rsidR="00846A43" w:rsidRPr="00D74FFA">
        <w:rPr>
          <w:rFonts w:ascii="Times New Roman" w:hAnsi="Times New Roman"/>
          <w:szCs w:val="24"/>
        </w:rPr>
        <w:t xml:space="preserve">Even if Standard Bank </w:t>
      </w:r>
      <w:r w:rsidR="00C92BED">
        <w:rPr>
          <w:rFonts w:ascii="Times New Roman" w:hAnsi="Times New Roman"/>
          <w:szCs w:val="24"/>
        </w:rPr>
        <w:t>i</w:t>
      </w:r>
      <w:r w:rsidR="00846A43" w:rsidRPr="00D74FFA">
        <w:rPr>
          <w:rFonts w:ascii="Times New Roman" w:hAnsi="Times New Roman"/>
          <w:szCs w:val="24"/>
        </w:rPr>
        <w:t>s entitled</w:t>
      </w:r>
      <w:r w:rsidR="00AA749D" w:rsidRPr="00D74FFA">
        <w:rPr>
          <w:rFonts w:ascii="Times New Roman" w:hAnsi="Times New Roman"/>
          <w:szCs w:val="24"/>
        </w:rPr>
        <w:t xml:space="preserve"> to raise the apparent defect in the founding affidavit in the manner in which it d</w:t>
      </w:r>
      <w:r w:rsidR="00C92BED">
        <w:rPr>
          <w:rFonts w:ascii="Times New Roman" w:hAnsi="Times New Roman"/>
          <w:szCs w:val="24"/>
        </w:rPr>
        <w:t>oes</w:t>
      </w:r>
      <w:r w:rsidR="00AA749D" w:rsidRPr="00D74FFA">
        <w:rPr>
          <w:rFonts w:ascii="Times New Roman" w:hAnsi="Times New Roman"/>
          <w:szCs w:val="24"/>
        </w:rPr>
        <w:t xml:space="preserve">, I would not be minded to uphold the point. </w:t>
      </w:r>
      <w:r w:rsidR="000A11EB" w:rsidRPr="00D74FFA">
        <w:rPr>
          <w:rFonts w:ascii="Times New Roman" w:hAnsi="Times New Roman"/>
          <w:szCs w:val="24"/>
        </w:rPr>
        <w:t xml:space="preserve">To the extent necessary, I </w:t>
      </w:r>
      <w:r w:rsidR="0073188B">
        <w:rPr>
          <w:rFonts w:ascii="Times New Roman" w:hAnsi="Times New Roman"/>
          <w:szCs w:val="24"/>
        </w:rPr>
        <w:t xml:space="preserve">therefore </w:t>
      </w:r>
      <w:r w:rsidR="000A11EB" w:rsidRPr="00D74FFA">
        <w:rPr>
          <w:rFonts w:ascii="Times New Roman" w:hAnsi="Times New Roman"/>
          <w:szCs w:val="24"/>
        </w:rPr>
        <w:t xml:space="preserve">take the opportunity to record here that the </w:t>
      </w:r>
      <w:r w:rsidR="000A11EB" w:rsidRPr="00C92BED">
        <w:rPr>
          <w:rFonts w:ascii="Times New Roman" w:hAnsi="Times New Roman"/>
          <w:i/>
          <w:iCs/>
          <w:szCs w:val="24"/>
        </w:rPr>
        <w:t xml:space="preserve">in </w:t>
      </w:r>
      <w:proofErr w:type="spellStart"/>
      <w:r w:rsidR="000A11EB" w:rsidRPr="00C92BED">
        <w:rPr>
          <w:rFonts w:ascii="Times New Roman" w:hAnsi="Times New Roman"/>
          <w:i/>
          <w:iCs/>
          <w:szCs w:val="24"/>
        </w:rPr>
        <w:t>limine</w:t>
      </w:r>
      <w:proofErr w:type="spellEnd"/>
      <w:r w:rsidR="000A11EB" w:rsidRPr="00D74FFA">
        <w:rPr>
          <w:rFonts w:ascii="Times New Roman" w:hAnsi="Times New Roman"/>
          <w:szCs w:val="24"/>
        </w:rPr>
        <w:t xml:space="preserve"> </w:t>
      </w:r>
      <w:r w:rsidR="000167EC">
        <w:rPr>
          <w:rFonts w:ascii="Times New Roman" w:hAnsi="Times New Roman"/>
          <w:szCs w:val="24"/>
        </w:rPr>
        <w:t>argument</w:t>
      </w:r>
      <w:r w:rsidR="000A11EB" w:rsidRPr="00D74FFA">
        <w:rPr>
          <w:rFonts w:ascii="Times New Roman" w:hAnsi="Times New Roman"/>
          <w:szCs w:val="24"/>
        </w:rPr>
        <w:t xml:space="preserve"> is rejected.</w:t>
      </w:r>
    </w:p>
    <w:p w14:paraId="69E60A29" w14:textId="1A12B00A" w:rsidR="000A11EB" w:rsidRPr="00D96811" w:rsidRDefault="000A11EB" w:rsidP="000A11EB">
      <w:pPr>
        <w:pStyle w:val="Heading1"/>
        <w:rPr>
          <w:rFonts w:ascii="Times New Roman" w:hAnsi="Times New Roman"/>
          <w:i/>
          <w:iCs/>
          <w:szCs w:val="24"/>
        </w:rPr>
      </w:pPr>
      <w:r w:rsidRPr="00D96811">
        <w:rPr>
          <w:rFonts w:ascii="Times New Roman" w:hAnsi="Times New Roman"/>
          <w:i/>
          <w:iCs/>
          <w:szCs w:val="24"/>
        </w:rPr>
        <w:t>Rule 7(1)</w:t>
      </w:r>
    </w:p>
    <w:p w14:paraId="203C7147" w14:textId="4402C639" w:rsidR="000A11EB"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13</w:t>
      </w:r>
      <w:r w:rsidRPr="00D74FFA">
        <w:rPr>
          <w:rFonts w:ascii="Times New Roman" w:hAnsi="Times New Roman"/>
          <w:szCs w:val="24"/>
        </w:rPr>
        <w:tab/>
      </w:r>
      <w:r w:rsidR="00F91C89" w:rsidRPr="00D74FFA">
        <w:rPr>
          <w:rFonts w:ascii="Times New Roman" w:hAnsi="Times New Roman"/>
          <w:szCs w:val="24"/>
        </w:rPr>
        <w:t xml:space="preserve">The </w:t>
      </w:r>
      <w:r w:rsidR="00EC19C1" w:rsidRPr="00D74FFA">
        <w:rPr>
          <w:rFonts w:ascii="Times New Roman" w:hAnsi="Times New Roman"/>
          <w:szCs w:val="24"/>
        </w:rPr>
        <w:t>noteworthy feature of rule 7(1) is that, within the 10-day period contemplated by the rule, a party wishing to challenge authority as envisaged by its terms has an unqualified right to do so.</w:t>
      </w:r>
      <w:r w:rsidR="00B03870" w:rsidRPr="00D74FFA">
        <w:rPr>
          <w:rFonts w:ascii="Times New Roman" w:hAnsi="Times New Roman"/>
          <w:szCs w:val="24"/>
        </w:rPr>
        <w:t xml:space="preserve"> The need to show good cause arises only in cases where the </w:t>
      </w:r>
      <w:r w:rsidR="00E90311" w:rsidRPr="00D74FFA">
        <w:rPr>
          <w:rFonts w:ascii="Times New Roman" w:hAnsi="Times New Roman"/>
          <w:szCs w:val="24"/>
        </w:rPr>
        <w:t>challenge is sought to be made after the expiry of the ten days.</w:t>
      </w:r>
    </w:p>
    <w:p w14:paraId="46D0F625" w14:textId="654C87CE" w:rsidR="00E73C0E"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lastRenderedPageBreak/>
        <w:t>14</w:t>
      </w:r>
      <w:r w:rsidRPr="00D74FFA">
        <w:rPr>
          <w:rFonts w:ascii="Times New Roman" w:hAnsi="Times New Roman"/>
          <w:szCs w:val="24"/>
        </w:rPr>
        <w:tab/>
      </w:r>
      <w:r w:rsidR="00E90311" w:rsidRPr="00D74FFA">
        <w:rPr>
          <w:rFonts w:ascii="Times New Roman" w:hAnsi="Times New Roman"/>
          <w:szCs w:val="24"/>
        </w:rPr>
        <w:t>There is, of course, a great deal of case law on the meaning of the term “good cause”</w:t>
      </w:r>
      <w:r w:rsidR="00A33C22" w:rsidRPr="00D74FFA">
        <w:rPr>
          <w:rFonts w:ascii="Times New Roman" w:hAnsi="Times New Roman"/>
          <w:szCs w:val="24"/>
        </w:rPr>
        <w:t xml:space="preserve"> because it comes up in various contexts </w:t>
      </w:r>
      <w:r w:rsidR="00E73C0E" w:rsidRPr="00D74FFA">
        <w:rPr>
          <w:rFonts w:ascii="Times New Roman" w:hAnsi="Times New Roman"/>
          <w:szCs w:val="24"/>
        </w:rPr>
        <w:t>when courts are asked to condone non-compliance with some or other rule</w:t>
      </w:r>
      <w:r w:rsidR="00E90311" w:rsidRPr="00D74FFA">
        <w:rPr>
          <w:rFonts w:ascii="Times New Roman" w:hAnsi="Times New Roman"/>
          <w:szCs w:val="24"/>
        </w:rPr>
        <w:t xml:space="preserve">. </w:t>
      </w:r>
      <w:r w:rsidR="00B920BB" w:rsidRPr="00D74FFA">
        <w:rPr>
          <w:rFonts w:ascii="Times New Roman" w:hAnsi="Times New Roman"/>
          <w:szCs w:val="24"/>
        </w:rPr>
        <w:t>There is not as much disc</w:t>
      </w:r>
      <w:r w:rsidR="00E73C0E" w:rsidRPr="00D74FFA">
        <w:rPr>
          <w:rFonts w:ascii="Times New Roman" w:hAnsi="Times New Roman"/>
          <w:szCs w:val="24"/>
        </w:rPr>
        <w:t>us</w:t>
      </w:r>
      <w:r w:rsidR="00B920BB" w:rsidRPr="00D74FFA">
        <w:rPr>
          <w:rFonts w:ascii="Times New Roman" w:hAnsi="Times New Roman"/>
          <w:szCs w:val="24"/>
        </w:rPr>
        <w:t xml:space="preserve">sion of its particular meaning within the context of rule 7(1). </w:t>
      </w:r>
      <w:r w:rsidR="008F156F" w:rsidRPr="00D74FFA">
        <w:rPr>
          <w:rFonts w:ascii="Times New Roman" w:hAnsi="Times New Roman"/>
          <w:szCs w:val="24"/>
        </w:rPr>
        <w:t xml:space="preserve">It seems to me that the reference to “good cause” in rule 7(1) relates primarily to the question of lateness. </w:t>
      </w:r>
      <w:r w:rsidR="00E73C0E" w:rsidRPr="00D74FFA">
        <w:rPr>
          <w:rFonts w:ascii="Times New Roman" w:hAnsi="Times New Roman"/>
          <w:szCs w:val="24"/>
        </w:rPr>
        <w:t xml:space="preserve">In other words, there is an unqualified right to serve a rule 7(1) notice without any permission from a court being necessary, as long as it is done within the 10-day period. The </w:t>
      </w:r>
      <w:r w:rsidR="00F7795E" w:rsidRPr="00D74FFA">
        <w:rPr>
          <w:rFonts w:ascii="Times New Roman" w:hAnsi="Times New Roman"/>
          <w:szCs w:val="24"/>
        </w:rPr>
        <w:t xml:space="preserve">circumstance which triggers the need for the Court to grant permission is the fact that the applicant falls outside of the ten-day period. It follows, in my </w:t>
      </w:r>
      <w:proofErr w:type="gramStart"/>
      <w:r w:rsidR="00F7795E" w:rsidRPr="00D74FFA">
        <w:rPr>
          <w:rFonts w:ascii="Times New Roman" w:hAnsi="Times New Roman"/>
          <w:szCs w:val="24"/>
        </w:rPr>
        <w:t>view, that</w:t>
      </w:r>
      <w:proofErr w:type="gramEnd"/>
      <w:r w:rsidR="00F7795E" w:rsidRPr="00D74FFA">
        <w:rPr>
          <w:rFonts w:ascii="Times New Roman" w:hAnsi="Times New Roman"/>
          <w:szCs w:val="24"/>
        </w:rPr>
        <w:t xml:space="preserve"> the enquiry into “good cause”, must </w:t>
      </w:r>
      <w:r w:rsidR="00F05835">
        <w:rPr>
          <w:rFonts w:ascii="Times New Roman" w:hAnsi="Times New Roman"/>
          <w:szCs w:val="24"/>
        </w:rPr>
        <w:t xml:space="preserve">primarily focus on </w:t>
      </w:r>
      <w:r w:rsidR="00F7795E" w:rsidRPr="00D74FFA">
        <w:rPr>
          <w:rFonts w:ascii="Times New Roman" w:hAnsi="Times New Roman"/>
          <w:szCs w:val="24"/>
        </w:rPr>
        <w:t>the explanation of the lateness.</w:t>
      </w:r>
    </w:p>
    <w:p w14:paraId="3DC66F1D" w14:textId="27A44DE1" w:rsidR="002E1131"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15</w:t>
      </w:r>
      <w:r w:rsidRPr="00D74FFA">
        <w:rPr>
          <w:rFonts w:ascii="Times New Roman" w:hAnsi="Times New Roman"/>
          <w:szCs w:val="24"/>
        </w:rPr>
        <w:tab/>
      </w:r>
      <w:r w:rsidR="008F156F" w:rsidRPr="00D74FFA">
        <w:rPr>
          <w:rFonts w:ascii="Times New Roman" w:hAnsi="Times New Roman"/>
          <w:szCs w:val="24"/>
        </w:rPr>
        <w:t xml:space="preserve">But, in any </w:t>
      </w:r>
      <w:proofErr w:type="spellStart"/>
      <w:r w:rsidR="008F156F" w:rsidRPr="00D74FFA">
        <w:rPr>
          <w:rFonts w:ascii="Times New Roman" w:hAnsi="Times New Roman"/>
          <w:szCs w:val="24"/>
        </w:rPr>
        <w:t>condonation</w:t>
      </w:r>
      <w:proofErr w:type="spellEnd"/>
      <w:r w:rsidR="008F156F" w:rsidRPr="00D74FFA">
        <w:rPr>
          <w:rFonts w:ascii="Times New Roman" w:hAnsi="Times New Roman"/>
          <w:szCs w:val="24"/>
        </w:rPr>
        <w:t xml:space="preserve"> application, it is well-accepted that</w:t>
      </w:r>
      <w:r w:rsidR="002773CE" w:rsidRPr="00D74FFA">
        <w:rPr>
          <w:rFonts w:ascii="Times New Roman" w:hAnsi="Times New Roman"/>
          <w:szCs w:val="24"/>
        </w:rPr>
        <w:t xml:space="preserve">, in addition to explaining the lateness, the party seeking </w:t>
      </w:r>
      <w:proofErr w:type="spellStart"/>
      <w:r w:rsidR="002773CE" w:rsidRPr="00D74FFA">
        <w:rPr>
          <w:rFonts w:ascii="Times New Roman" w:hAnsi="Times New Roman"/>
          <w:szCs w:val="24"/>
        </w:rPr>
        <w:t>condonation</w:t>
      </w:r>
      <w:proofErr w:type="spellEnd"/>
      <w:r w:rsidR="002773CE" w:rsidRPr="00D74FFA">
        <w:rPr>
          <w:rFonts w:ascii="Times New Roman" w:hAnsi="Times New Roman"/>
          <w:szCs w:val="24"/>
        </w:rPr>
        <w:t xml:space="preserve"> generally must also establish “reasonable prospect</w:t>
      </w:r>
      <w:r w:rsidR="000366F7">
        <w:rPr>
          <w:rFonts w:ascii="Times New Roman" w:hAnsi="Times New Roman"/>
          <w:szCs w:val="24"/>
        </w:rPr>
        <w:t>s</w:t>
      </w:r>
      <w:r w:rsidR="002773CE" w:rsidRPr="00D74FFA">
        <w:rPr>
          <w:rFonts w:ascii="Times New Roman" w:hAnsi="Times New Roman"/>
          <w:szCs w:val="24"/>
        </w:rPr>
        <w:t xml:space="preserve"> of success” or a “bona fide defence”, depending on the context. </w:t>
      </w:r>
      <w:r w:rsidR="002E1131" w:rsidRPr="00D74FFA">
        <w:rPr>
          <w:rFonts w:ascii="Times New Roman" w:hAnsi="Times New Roman"/>
          <w:szCs w:val="24"/>
        </w:rPr>
        <w:t xml:space="preserve">In other words, there is an overarching theme in our law, where there is non-compliance with the rules in some or other way, that the non-compliance may be condoned if a proper explanation is given for </w:t>
      </w:r>
      <w:r w:rsidR="0030603D" w:rsidRPr="00D74FFA">
        <w:rPr>
          <w:rFonts w:ascii="Times New Roman" w:hAnsi="Times New Roman"/>
          <w:szCs w:val="24"/>
        </w:rPr>
        <w:t xml:space="preserve">it. And part of this explanation involves satisfying the court that </w:t>
      </w:r>
      <w:proofErr w:type="spellStart"/>
      <w:r w:rsidR="0030603D" w:rsidRPr="00D74FFA">
        <w:rPr>
          <w:rFonts w:ascii="Times New Roman" w:hAnsi="Times New Roman"/>
          <w:szCs w:val="24"/>
        </w:rPr>
        <w:t>condonation</w:t>
      </w:r>
      <w:proofErr w:type="spellEnd"/>
      <w:r w:rsidR="0030603D" w:rsidRPr="00D74FFA">
        <w:rPr>
          <w:rFonts w:ascii="Times New Roman" w:hAnsi="Times New Roman"/>
          <w:szCs w:val="24"/>
        </w:rPr>
        <w:t>, if granted, would not be an exercise in futility because the party seeking the indulgence has something of substance to say or add to the case.</w:t>
      </w:r>
    </w:p>
    <w:p w14:paraId="30935DD7" w14:textId="6AB472C8" w:rsidR="00404A41"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16</w:t>
      </w:r>
      <w:r w:rsidRPr="00D74FFA">
        <w:rPr>
          <w:rFonts w:ascii="Times New Roman" w:hAnsi="Times New Roman"/>
          <w:szCs w:val="24"/>
        </w:rPr>
        <w:tab/>
      </w:r>
      <w:r w:rsidR="00B920BB" w:rsidRPr="00D74FFA">
        <w:rPr>
          <w:rFonts w:ascii="Times New Roman" w:hAnsi="Times New Roman"/>
          <w:szCs w:val="24"/>
        </w:rPr>
        <w:t xml:space="preserve">The approach adopted by the trustees in their papers and argument </w:t>
      </w:r>
      <w:r w:rsidR="006F452A" w:rsidRPr="00D74FFA">
        <w:rPr>
          <w:rFonts w:ascii="Times New Roman" w:hAnsi="Times New Roman"/>
          <w:szCs w:val="24"/>
        </w:rPr>
        <w:t xml:space="preserve">broadly accords with this approach. They do not seek, as I understand their case (and, in particular, the relief as framed in the notice of motion), a final determination that </w:t>
      </w:r>
      <w:r w:rsidR="002D5EAF" w:rsidRPr="00D74FFA">
        <w:rPr>
          <w:rFonts w:ascii="Times New Roman" w:hAnsi="Times New Roman"/>
          <w:szCs w:val="24"/>
        </w:rPr>
        <w:t xml:space="preserve">the main application was not properly authorised. Rather, they have explained the delay </w:t>
      </w:r>
      <w:r w:rsidR="002858C7">
        <w:rPr>
          <w:rFonts w:ascii="Times New Roman" w:hAnsi="Times New Roman"/>
          <w:szCs w:val="24"/>
        </w:rPr>
        <w:t xml:space="preserve">in filing the rule </w:t>
      </w:r>
      <w:r w:rsidR="00F769AC">
        <w:rPr>
          <w:rFonts w:ascii="Times New Roman" w:hAnsi="Times New Roman"/>
          <w:szCs w:val="24"/>
        </w:rPr>
        <w:t xml:space="preserve">7 notice </w:t>
      </w:r>
      <w:r w:rsidR="002D5EAF" w:rsidRPr="00D74FFA">
        <w:rPr>
          <w:rFonts w:ascii="Times New Roman" w:hAnsi="Times New Roman"/>
          <w:szCs w:val="24"/>
        </w:rPr>
        <w:t>and then provided a basis on which the court may conclude that there is at least some reason to doubt that the main application was properly authorised.</w:t>
      </w:r>
      <w:r w:rsidR="00307BC2" w:rsidRPr="00D74FFA">
        <w:rPr>
          <w:rFonts w:ascii="Times New Roman" w:hAnsi="Times New Roman"/>
          <w:szCs w:val="24"/>
        </w:rPr>
        <w:t xml:space="preserve"> </w:t>
      </w:r>
    </w:p>
    <w:p w14:paraId="1A053F96" w14:textId="501C59F9" w:rsidR="00C2526A"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lastRenderedPageBreak/>
        <w:t>17</w:t>
      </w:r>
      <w:r w:rsidRPr="00D74FFA">
        <w:rPr>
          <w:rFonts w:ascii="Times New Roman" w:hAnsi="Times New Roman"/>
          <w:szCs w:val="24"/>
        </w:rPr>
        <w:tab/>
      </w:r>
      <w:r w:rsidR="004D1FC1">
        <w:rPr>
          <w:rFonts w:ascii="Times New Roman" w:hAnsi="Times New Roman"/>
          <w:szCs w:val="24"/>
        </w:rPr>
        <w:t>As mentioned above</w:t>
      </w:r>
      <w:r w:rsidR="00307BC2" w:rsidRPr="00D74FFA">
        <w:rPr>
          <w:rFonts w:ascii="Times New Roman" w:hAnsi="Times New Roman"/>
          <w:szCs w:val="24"/>
        </w:rPr>
        <w:t xml:space="preserve">, </w:t>
      </w:r>
      <w:r w:rsidR="004D1FC1">
        <w:rPr>
          <w:rFonts w:ascii="Times New Roman" w:hAnsi="Times New Roman"/>
          <w:szCs w:val="24"/>
        </w:rPr>
        <w:t>it is my understand</w:t>
      </w:r>
      <w:r w:rsidR="00BD1422">
        <w:rPr>
          <w:rFonts w:ascii="Times New Roman" w:hAnsi="Times New Roman"/>
          <w:szCs w:val="24"/>
        </w:rPr>
        <w:t>ing</w:t>
      </w:r>
      <w:r w:rsidR="004D1FC1">
        <w:rPr>
          <w:rFonts w:ascii="Times New Roman" w:hAnsi="Times New Roman"/>
          <w:szCs w:val="24"/>
        </w:rPr>
        <w:t xml:space="preserve"> that </w:t>
      </w:r>
      <w:r w:rsidR="00307BC2" w:rsidRPr="00D74FFA">
        <w:rPr>
          <w:rFonts w:ascii="Times New Roman" w:hAnsi="Times New Roman"/>
          <w:szCs w:val="24"/>
        </w:rPr>
        <w:t>Standard Bank does not take issue with the delay – in other words, it is common-cause that the delay should be condoned.</w:t>
      </w:r>
      <w:r w:rsidR="00174B6C">
        <w:rPr>
          <w:rFonts w:ascii="Times New Roman" w:hAnsi="Times New Roman"/>
          <w:szCs w:val="24"/>
        </w:rPr>
        <w:t xml:space="preserve"> And, as I have already said, even if that issue was not common cause, I would be minded to </w:t>
      </w:r>
      <w:r w:rsidR="00BB71D8">
        <w:rPr>
          <w:rFonts w:ascii="Times New Roman" w:hAnsi="Times New Roman"/>
          <w:szCs w:val="24"/>
        </w:rPr>
        <w:t xml:space="preserve">hold that the delay was not unreasonable in the circumstances of this case – and in particular, the other interlocutory matters which were being addressed in parallel </w:t>
      </w:r>
      <w:r w:rsidR="00E8396F">
        <w:rPr>
          <w:rFonts w:ascii="Times New Roman" w:hAnsi="Times New Roman"/>
          <w:szCs w:val="24"/>
        </w:rPr>
        <w:t>shortly after the main application was instituted.</w:t>
      </w:r>
      <w:r w:rsidR="00307BC2" w:rsidRPr="00D74FFA">
        <w:rPr>
          <w:rFonts w:ascii="Times New Roman" w:hAnsi="Times New Roman"/>
          <w:szCs w:val="24"/>
        </w:rPr>
        <w:t xml:space="preserve"> So, it seems to me that, unless I can say, by looking at the papers as they stand, that there is simply no substance to the authority challenge (meaning, in this context, that there would </w:t>
      </w:r>
      <w:r w:rsidR="00BE55D8">
        <w:rPr>
          <w:rFonts w:ascii="Times New Roman" w:hAnsi="Times New Roman"/>
          <w:szCs w:val="24"/>
        </w:rPr>
        <w:t xml:space="preserve">be </w:t>
      </w:r>
      <w:r w:rsidR="00307BC2" w:rsidRPr="00D74FFA">
        <w:rPr>
          <w:rFonts w:ascii="Times New Roman" w:hAnsi="Times New Roman"/>
          <w:szCs w:val="24"/>
        </w:rPr>
        <w:t xml:space="preserve">no good cause to permit the challenge to </w:t>
      </w:r>
      <w:r w:rsidR="00BE55D8">
        <w:rPr>
          <w:rFonts w:ascii="Times New Roman" w:hAnsi="Times New Roman"/>
          <w:szCs w:val="24"/>
        </w:rPr>
        <w:t xml:space="preserve">be </w:t>
      </w:r>
      <w:r w:rsidR="00307BC2" w:rsidRPr="00D74FFA">
        <w:rPr>
          <w:rFonts w:ascii="Times New Roman" w:hAnsi="Times New Roman"/>
          <w:szCs w:val="24"/>
        </w:rPr>
        <w:t xml:space="preserve">mounted), I must allow the trustees to file their notice and raise the challenge. This flows, in my view, from the starting point which I raised earlier – </w:t>
      </w:r>
      <w:proofErr w:type="spellStart"/>
      <w:r w:rsidR="00307BC2" w:rsidRPr="00D74FFA">
        <w:rPr>
          <w:rFonts w:ascii="Times New Roman" w:hAnsi="Times New Roman"/>
          <w:szCs w:val="24"/>
        </w:rPr>
        <w:t>ie</w:t>
      </w:r>
      <w:proofErr w:type="spellEnd"/>
      <w:r w:rsidR="00307BC2" w:rsidRPr="00D74FFA">
        <w:rPr>
          <w:rFonts w:ascii="Times New Roman" w:hAnsi="Times New Roman"/>
          <w:szCs w:val="24"/>
        </w:rPr>
        <w:t>, that in the ordinary course a litigant has an unqualified right to file a rule 7 notice.</w:t>
      </w:r>
      <w:r w:rsidR="00877AF8" w:rsidRPr="00D74FFA">
        <w:rPr>
          <w:rFonts w:ascii="Times New Roman" w:hAnsi="Times New Roman"/>
          <w:szCs w:val="24"/>
        </w:rPr>
        <w:t xml:space="preserve"> </w:t>
      </w:r>
    </w:p>
    <w:p w14:paraId="54D0195E" w14:textId="0794FCE4" w:rsidR="00E90311" w:rsidRPr="00D74FFA" w:rsidRDefault="00FB2B06" w:rsidP="00FB2B06">
      <w:pPr>
        <w:pStyle w:val="WLGLevel1"/>
        <w:numPr>
          <w:ilvl w:val="0"/>
          <w:numId w:val="0"/>
        </w:numPr>
        <w:tabs>
          <w:tab w:val="left" w:pos="567"/>
        </w:tabs>
        <w:ind w:left="562" w:hanging="562"/>
        <w:rPr>
          <w:rFonts w:ascii="Times New Roman" w:hAnsi="Times New Roman"/>
          <w:szCs w:val="24"/>
        </w:rPr>
      </w:pPr>
      <w:bookmarkStart w:id="1" w:name="_Ref126084524"/>
      <w:r w:rsidRPr="00D74FFA">
        <w:rPr>
          <w:rFonts w:ascii="Times New Roman" w:hAnsi="Times New Roman"/>
          <w:szCs w:val="24"/>
        </w:rPr>
        <w:t>18</w:t>
      </w:r>
      <w:r w:rsidRPr="00D74FFA">
        <w:rPr>
          <w:rFonts w:ascii="Times New Roman" w:hAnsi="Times New Roman"/>
          <w:szCs w:val="24"/>
        </w:rPr>
        <w:tab/>
      </w:r>
      <w:r w:rsidR="00877AF8" w:rsidRPr="00D74FFA">
        <w:rPr>
          <w:rFonts w:ascii="Times New Roman" w:hAnsi="Times New Roman"/>
          <w:szCs w:val="24"/>
        </w:rPr>
        <w:t>In th</w:t>
      </w:r>
      <w:r w:rsidR="00C2526A" w:rsidRPr="00D74FFA">
        <w:rPr>
          <w:rFonts w:ascii="Times New Roman" w:hAnsi="Times New Roman"/>
          <w:szCs w:val="24"/>
        </w:rPr>
        <w:t>is</w:t>
      </w:r>
      <w:r w:rsidR="00877AF8" w:rsidRPr="00D74FFA">
        <w:rPr>
          <w:rFonts w:ascii="Times New Roman" w:hAnsi="Times New Roman"/>
          <w:szCs w:val="24"/>
        </w:rPr>
        <w:t xml:space="preserve"> context, the trustees have more than amply exceeded the threshold of showing good cause</w:t>
      </w:r>
      <w:r w:rsidR="00520511" w:rsidRPr="00D74FFA">
        <w:rPr>
          <w:rFonts w:ascii="Times New Roman" w:hAnsi="Times New Roman"/>
          <w:szCs w:val="24"/>
        </w:rPr>
        <w:t>:</w:t>
      </w:r>
      <w:bookmarkEnd w:id="1"/>
    </w:p>
    <w:p w14:paraId="37AF76A5" w14:textId="2134F483" w:rsidR="00A74F90"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18.1</w:t>
      </w:r>
      <w:r w:rsidRPr="00D74FFA">
        <w:rPr>
          <w:rFonts w:ascii="Times New Roman" w:hAnsi="Times New Roman"/>
          <w:szCs w:val="24"/>
        </w:rPr>
        <w:tab/>
      </w:r>
      <w:r w:rsidR="00585C42" w:rsidRPr="00D74FFA">
        <w:rPr>
          <w:rFonts w:ascii="Times New Roman" w:hAnsi="Times New Roman"/>
          <w:szCs w:val="24"/>
        </w:rPr>
        <w:t xml:space="preserve">In the founding affidavit, the deponent </w:t>
      </w:r>
      <w:r w:rsidR="00DB1E08" w:rsidRPr="00D74FFA">
        <w:rPr>
          <w:rFonts w:ascii="Times New Roman" w:hAnsi="Times New Roman"/>
          <w:szCs w:val="24"/>
        </w:rPr>
        <w:t xml:space="preserve">does not allege that Standard Bank authorised the institution of the main application. Rather, she says that </w:t>
      </w:r>
      <w:r w:rsidR="003F7117" w:rsidRPr="00D74FFA">
        <w:rPr>
          <w:rFonts w:ascii="Times New Roman" w:hAnsi="Times New Roman"/>
          <w:szCs w:val="24"/>
        </w:rPr>
        <w:t>she is authorised to depose to the founding affidavit</w:t>
      </w:r>
      <w:r w:rsidR="00D54D82" w:rsidRPr="00D74FFA">
        <w:rPr>
          <w:rFonts w:ascii="Times New Roman" w:hAnsi="Times New Roman"/>
          <w:szCs w:val="24"/>
        </w:rPr>
        <w:t xml:space="preserve">. </w:t>
      </w:r>
      <w:r w:rsidR="00A74F90" w:rsidRPr="00D74FFA">
        <w:rPr>
          <w:rFonts w:ascii="Times New Roman" w:hAnsi="Times New Roman"/>
          <w:szCs w:val="24"/>
        </w:rPr>
        <w:t>So, the trustees are technically correct when they say that there is no positive averment that Standard Bank decided to institute the main application.</w:t>
      </w:r>
      <w:r w:rsidR="00323CBB">
        <w:rPr>
          <w:rFonts w:ascii="Times New Roman" w:hAnsi="Times New Roman"/>
          <w:szCs w:val="24"/>
        </w:rPr>
        <w:t xml:space="preserve"> Interestingly, Ms </w:t>
      </w:r>
      <w:proofErr w:type="spellStart"/>
      <w:r w:rsidR="00323CBB">
        <w:rPr>
          <w:rFonts w:ascii="Times New Roman" w:hAnsi="Times New Roman"/>
          <w:szCs w:val="24"/>
        </w:rPr>
        <w:t>Dikolomela-Mafa</w:t>
      </w:r>
      <w:proofErr w:type="spellEnd"/>
      <w:r w:rsidR="00323CBB">
        <w:rPr>
          <w:rFonts w:ascii="Times New Roman" w:hAnsi="Times New Roman"/>
          <w:szCs w:val="24"/>
        </w:rPr>
        <w:t xml:space="preserve"> herself makes the point in the answering affidavit in this rule 7(1) application </w:t>
      </w:r>
      <w:r w:rsidR="0066769B">
        <w:rPr>
          <w:rFonts w:ascii="Times New Roman" w:hAnsi="Times New Roman"/>
          <w:szCs w:val="24"/>
        </w:rPr>
        <w:t xml:space="preserve">that “a deponent to an affidavit in motion proceedings need not be authorised by the party concerned to depose to the affidavit and </w:t>
      </w:r>
      <w:r w:rsidR="00DD272E">
        <w:rPr>
          <w:rFonts w:ascii="Times New Roman" w:hAnsi="Times New Roman"/>
          <w:szCs w:val="24"/>
        </w:rPr>
        <w:t>it is the institution of the proceedings and the prosecution thereof which must be authorised”.</w:t>
      </w:r>
      <w:r w:rsidR="00D52DBE">
        <w:rPr>
          <w:rFonts w:ascii="Times New Roman" w:hAnsi="Times New Roman"/>
          <w:szCs w:val="24"/>
        </w:rPr>
        <w:t xml:space="preserve"> On Standard Bank’s own version, therefore, a </w:t>
      </w:r>
      <w:r w:rsidR="00737D05">
        <w:rPr>
          <w:rFonts w:ascii="Times New Roman" w:hAnsi="Times New Roman"/>
          <w:szCs w:val="24"/>
        </w:rPr>
        <w:t>material requirement to launch the main proceedings was not met.</w:t>
      </w:r>
    </w:p>
    <w:p w14:paraId="7F062C17" w14:textId="6C11F839" w:rsidR="00520511" w:rsidRPr="00D74FFA" w:rsidRDefault="00FB2B06" w:rsidP="00FB2B06">
      <w:pPr>
        <w:pStyle w:val="WLGLevel2"/>
        <w:numPr>
          <w:ilvl w:val="0"/>
          <w:numId w:val="0"/>
        </w:numPr>
        <w:tabs>
          <w:tab w:val="left" w:pos="1361"/>
        </w:tabs>
        <w:ind w:left="1361" w:hanging="794"/>
        <w:rPr>
          <w:rFonts w:ascii="Times New Roman" w:hAnsi="Times New Roman"/>
          <w:szCs w:val="24"/>
        </w:rPr>
      </w:pPr>
      <w:bookmarkStart w:id="2" w:name="_Ref126084360"/>
      <w:r w:rsidRPr="00D74FFA">
        <w:rPr>
          <w:rFonts w:ascii="Times New Roman" w:hAnsi="Times New Roman"/>
          <w:szCs w:val="24"/>
        </w:rPr>
        <w:lastRenderedPageBreak/>
        <w:t>18.2</w:t>
      </w:r>
      <w:r w:rsidRPr="00D74FFA">
        <w:rPr>
          <w:rFonts w:ascii="Times New Roman" w:hAnsi="Times New Roman"/>
          <w:szCs w:val="24"/>
        </w:rPr>
        <w:tab/>
      </w:r>
      <w:r w:rsidR="00A74F90" w:rsidRPr="00D74FFA">
        <w:rPr>
          <w:rFonts w:ascii="Times New Roman" w:hAnsi="Times New Roman"/>
          <w:szCs w:val="24"/>
        </w:rPr>
        <w:t xml:space="preserve">But leaving that aside, the main issue is that the deponent to the founding affidavit relies on a document, which was annexed as KDM1 to the founding affidavit, </w:t>
      </w:r>
      <w:r w:rsidR="009D43FE" w:rsidRPr="00D74FFA">
        <w:rPr>
          <w:rFonts w:ascii="Times New Roman" w:hAnsi="Times New Roman"/>
          <w:szCs w:val="24"/>
        </w:rPr>
        <w:t>described as a sub-delegation of authority. That document</w:t>
      </w:r>
      <w:r w:rsidR="00D069D7" w:rsidRPr="00D74FFA">
        <w:rPr>
          <w:rFonts w:ascii="Times New Roman" w:hAnsi="Times New Roman"/>
          <w:szCs w:val="24"/>
        </w:rPr>
        <w:t xml:space="preserve"> is</w:t>
      </w:r>
      <w:r w:rsidR="009D43FE" w:rsidRPr="00D74FFA">
        <w:rPr>
          <w:rFonts w:ascii="Times New Roman" w:hAnsi="Times New Roman"/>
          <w:szCs w:val="24"/>
        </w:rPr>
        <w:t xml:space="preserve"> signed by a Mr </w:t>
      </w:r>
      <w:r w:rsidR="00D069D7" w:rsidRPr="00D74FFA">
        <w:rPr>
          <w:rFonts w:ascii="Times New Roman" w:hAnsi="Times New Roman"/>
          <w:szCs w:val="24"/>
        </w:rPr>
        <w:t>Keith Fuller, the Chief Risk Officer, Business and Commercial Clients of the Standard Bank.</w:t>
      </w:r>
      <w:r w:rsidR="007B4199" w:rsidRPr="00D74FFA">
        <w:rPr>
          <w:rFonts w:ascii="Times New Roman" w:hAnsi="Times New Roman"/>
          <w:szCs w:val="24"/>
        </w:rPr>
        <w:t xml:space="preserve"> </w:t>
      </w:r>
      <w:r w:rsidR="00494236" w:rsidRPr="00D74FFA">
        <w:rPr>
          <w:rFonts w:ascii="Times New Roman" w:hAnsi="Times New Roman"/>
          <w:szCs w:val="24"/>
        </w:rPr>
        <w:t xml:space="preserve">It purports to “certify” that </w:t>
      </w:r>
      <w:r w:rsidR="00993840">
        <w:rPr>
          <w:rFonts w:ascii="Times New Roman" w:hAnsi="Times New Roman"/>
          <w:szCs w:val="24"/>
        </w:rPr>
        <w:t xml:space="preserve">Ms </w:t>
      </w:r>
      <w:proofErr w:type="spellStart"/>
      <w:r w:rsidR="00993840">
        <w:rPr>
          <w:rFonts w:ascii="Times New Roman" w:hAnsi="Times New Roman"/>
          <w:szCs w:val="24"/>
        </w:rPr>
        <w:t>Dikolomela-Mafa</w:t>
      </w:r>
      <w:proofErr w:type="spellEnd"/>
      <w:r w:rsidR="00494236" w:rsidRPr="00D74FFA">
        <w:rPr>
          <w:rFonts w:ascii="Times New Roman" w:hAnsi="Times New Roman"/>
          <w:szCs w:val="24"/>
        </w:rPr>
        <w:t xml:space="preserve"> </w:t>
      </w:r>
      <w:r w:rsidR="00D64343" w:rsidRPr="00D74FFA">
        <w:rPr>
          <w:rFonts w:ascii="Times New Roman" w:hAnsi="Times New Roman"/>
          <w:szCs w:val="24"/>
        </w:rPr>
        <w:t xml:space="preserve">has various powers to advance litigation such as the main application. </w:t>
      </w:r>
      <w:r w:rsidR="000E160E" w:rsidRPr="00D74FFA">
        <w:rPr>
          <w:rFonts w:ascii="Times New Roman" w:hAnsi="Times New Roman"/>
          <w:szCs w:val="24"/>
        </w:rPr>
        <w:t>It says that the fact that this authority is conferred on the deponent is “[c]</w:t>
      </w:r>
      <w:proofErr w:type="spellStart"/>
      <w:r w:rsidR="000E160E" w:rsidRPr="00D74FFA">
        <w:rPr>
          <w:rFonts w:ascii="Times New Roman" w:hAnsi="Times New Roman"/>
          <w:szCs w:val="24"/>
        </w:rPr>
        <w:t>ertified</w:t>
      </w:r>
      <w:proofErr w:type="spellEnd"/>
      <w:r w:rsidR="000E160E" w:rsidRPr="00D74FFA">
        <w:rPr>
          <w:rFonts w:ascii="Times New Roman" w:hAnsi="Times New Roman"/>
          <w:szCs w:val="24"/>
        </w:rPr>
        <w:t xml:space="preserve"> in terms of the resolution</w:t>
      </w:r>
      <w:r w:rsidR="00482317" w:rsidRPr="00D74FFA">
        <w:rPr>
          <w:rFonts w:ascii="Times New Roman" w:hAnsi="Times New Roman"/>
          <w:szCs w:val="24"/>
        </w:rPr>
        <w:t xml:space="preserve"> passed by the board of directors of The Standard Bank of South Africa Limited on the 7</w:t>
      </w:r>
      <w:r w:rsidR="00482317" w:rsidRPr="00D74FFA">
        <w:rPr>
          <w:rFonts w:ascii="Times New Roman" w:hAnsi="Times New Roman"/>
          <w:szCs w:val="24"/>
          <w:vertAlign w:val="superscript"/>
        </w:rPr>
        <w:t>th</w:t>
      </w:r>
      <w:r w:rsidR="00482317" w:rsidRPr="00D74FFA">
        <w:rPr>
          <w:rFonts w:ascii="Times New Roman" w:hAnsi="Times New Roman"/>
          <w:szCs w:val="24"/>
        </w:rPr>
        <w:t xml:space="preserve"> March 2018 and the sub-delegation of authority by </w:t>
      </w:r>
      <w:proofErr w:type="spellStart"/>
      <w:r w:rsidR="00482317" w:rsidRPr="00D74FFA">
        <w:rPr>
          <w:rFonts w:ascii="Times New Roman" w:hAnsi="Times New Roman"/>
          <w:szCs w:val="24"/>
        </w:rPr>
        <w:t>Lungisa</w:t>
      </w:r>
      <w:proofErr w:type="spellEnd"/>
      <w:r w:rsidR="00482317" w:rsidRPr="00D74FFA">
        <w:rPr>
          <w:rFonts w:ascii="Times New Roman" w:hAnsi="Times New Roman"/>
          <w:szCs w:val="24"/>
        </w:rPr>
        <w:t xml:space="preserve"> </w:t>
      </w:r>
      <w:proofErr w:type="spellStart"/>
      <w:r w:rsidR="00482317" w:rsidRPr="00D74FFA">
        <w:rPr>
          <w:rFonts w:ascii="Times New Roman" w:hAnsi="Times New Roman"/>
          <w:szCs w:val="24"/>
        </w:rPr>
        <w:t>Fuzile</w:t>
      </w:r>
      <w:proofErr w:type="spellEnd"/>
      <w:r w:rsidR="00482317" w:rsidRPr="00D74FFA">
        <w:rPr>
          <w:rFonts w:ascii="Times New Roman" w:hAnsi="Times New Roman"/>
          <w:szCs w:val="24"/>
        </w:rPr>
        <w:t xml:space="preserve"> on the 12</w:t>
      </w:r>
      <w:r w:rsidR="00482317" w:rsidRPr="00D74FFA">
        <w:rPr>
          <w:rFonts w:ascii="Times New Roman" w:hAnsi="Times New Roman"/>
          <w:szCs w:val="24"/>
          <w:vertAlign w:val="superscript"/>
        </w:rPr>
        <w:t>th</w:t>
      </w:r>
      <w:r w:rsidR="00482317" w:rsidRPr="00D74FFA">
        <w:rPr>
          <w:rFonts w:ascii="Times New Roman" w:hAnsi="Times New Roman"/>
          <w:szCs w:val="24"/>
        </w:rPr>
        <w:t xml:space="preserve"> April 2021”.</w:t>
      </w:r>
      <w:bookmarkEnd w:id="2"/>
      <w:r w:rsidR="00B94C94">
        <w:rPr>
          <w:rFonts w:ascii="Times New Roman" w:hAnsi="Times New Roman"/>
          <w:szCs w:val="24"/>
        </w:rPr>
        <w:t xml:space="preserve"> There is nothing in the papers which identifies</w:t>
      </w:r>
      <w:r w:rsidR="00857DAE">
        <w:rPr>
          <w:rFonts w:ascii="Times New Roman" w:hAnsi="Times New Roman"/>
          <w:szCs w:val="24"/>
        </w:rPr>
        <w:t>, or explains the role of,</w:t>
      </w:r>
      <w:r w:rsidR="00B94C94">
        <w:rPr>
          <w:rFonts w:ascii="Times New Roman" w:hAnsi="Times New Roman"/>
          <w:szCs w:val="24"/>
        </w:rPr>
        <w:t xml:space="preserve"> </w:t>
      </w:r>
      <w:proofErr w:type="spellStart"/>
      <w:r w:rsidR="00B94C94">
        <w:rPr>
          <w:rFonts w:ascii="Times New Roman" w:hAnsi="Times New Roman"/>
          <w:szCs w:val="24"/>
        </w:rPr>
        <w:t>Lungisa</w:t>
      </w:r>
      <w:proofErr w:type="spellEnd"/>
      <w:r w:rsidR="00B94C94">
        <w:rPr>
          <w:rFonts w:ascii="Times New Roman" w:hAnsi="Times New Roman"/>
          <w:szCs w:val="24"/>
        </w:rPr>
        <w:t xml:space="preserve"> </w:t>
      </w:r>
      <w:proofErr w:type="spellStart"/>
      <w:r w:rsidR="00B94C94">
        <w:rPr>
          <w:rFonts w:ascii="Times New Roman" w:hAnsi="Times New Roman"/>
          <w:szCs w:val="24"/>
        </w:rPr>
        <w:t>Fuzile</w:t>
      </w:r>
      <w:proofErr w:type="spellEnd"/>
      <w:r w:rsidR="00857DAE">
        <w:rPr>
          <w:rFonts w:ascii="Times New Roman" w:hAnsi="Times New Roman"/>
          <w:szCs w:val="24"/>
        </w:rPr>
        <w:t>.</w:t>
      </w:r>
    </w:p>
    <w:p w14:paraId="2B2560DA" w14:textId="5C5CB82A" w:rsidR="00DB1E08"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18.3</w:t>
      </w:r>
      <w:r w:rsidRPr="00D74FFA">
        <w:rPr>
          <w:rFonts w:ascii="Times New Roman" w:hAnsi="Times New Roman"/>
          <w:szCs w:val="24"/>
        </w:rPr>
        <w:tab/>
      </w:r>
      <w:r w:rsidR="004B5CE3" w:rsidRPr="00D74FFA">
        <w:rPr>
          <w:rFonts w:ascii="Times New Roman" w:hAnsi="Times New Roman"/>
          <w:szCs w:val="24"/>
        </w:rPr>
        <w:t xml:space="preserve">There is no </w:t>
      </w:r>
      <w:r w:rsidR="006E5794" w:rsidRPr="00D74FFA">
        <w:rPr>
          <w:rFonts w:ascii="Times New Roman" w:hAnsi="Times New Roman"/>
          <w:szCs w:val="24"/>
        </w:rPr>
        <w:t xml:space="preserve">evidence of Mr Fuller’s authority in the papers. It </w:t>
      </w:r>
      <w:r w:rsidR="00857DAE">
        <w:rPr>
          <w:rFonts w:ascii="Times New Roman" w:hAnsi="Times New Roman"/>
          <w:szCs w:val="24"/>
        </w:rPr>
        <w:t>must</w:t>
      </w:r>
      <w:r w:rsidR="006E5794" w:rsidRPr="00D74FFA">
        <w:rPr>
          <w:rFonts w:ascii="Times New Roman" w:hAnsi="Times New Roman"/>
          <w:szCs w:val="24"/>
        </w:rPr>
        <w:t xml:space="preserve"> be assumed that the resolution and sub-delegation of authority, dated 7 March 2018 and 12 April 2021</w:t>
      </w:r>
      <w:r w:rsidR="00857DAE">
        <w:rPr>
          <w:rFonts w:ascii="Times New Roman" w:hAnsi="Times New Roman"/>
          <w:szCs w:val="24"/>
        </w:rPr>
        <w:t xml:space="preserve"> respectively,</w:t>
      </w:r>
      <w:r w:rsidR="006E5794" w:rsidRPr="00D74FFA">
        <w:rPr>
          <w:rFonts w:ascii="Times New Roman" w:hAnsi="Times New Roman"/>
          <w:szCs w:val="24"/>
        </w:rPr>
        <w:t xml:space="preserve"> cast light on this issue. The problem is that they are not before court.</w:t>
      </w:r>
      <w:r w:rsidR="00CD00DB" w:rsidRPr="00D74FFA">
        <w:rPr>
          <w:rFonts w:ascii="Times New Roman" w:hAnsi="Times New Roman"/>
          <w:szCs w:val="24"/>
        </w:rPr>
        <w:t xml:space="preserve"> So, if one reads the founding affidavit together with KDM1, one does not find the answer as to the basis on which Mr Fuller was empowered to authorise M</w:t>
      </w:r>
      <w:r w:rsidR="00531BC2" w:rsidRPr="00D74FFA">
        <w:rPr>
          <w:rFonts w:ascii="Times New Roman" w:hAnsi="Times New Roman"/>
          <w:szCs w:val="24"/>
        </w:rPr>
        <w:t xml:space="preserve">s </w:t>
      </w:r>
      <w:proofErr w:type="spellStart"/>
      <w:r w:rsidR="00531BC2" w:rsidRPr="00D74FFA">
        <w:rPr>
          <w:rFonts w:ascii="Times New Roman" w:hAnsi="Times New Roman"/>
          <w:szCs w:val="24"/>
        </w:rPr>
        <w:t>Diko</w:t>
      </w:r>
      <w:r w:rsidR="007D5E11" w:rsidRPr="00D74FFA">
        <w:rPr>
          <w:rFonts w:ascii="Times New Roman" w:hAnsi="Times New Roman"/>
          <w:szCs w:val="24"/>
        </w:rPr>
        <w:t>lomela-Mafa</w:t>
      </w:r>
      <w:proofErr w:type="spellEnd"/>
      <w:r w:rsidR="007D5E11" w:rsidRPr="00D74FFA">
        <w:rPr>
          <w:rFonts w:ascii="Times New Roman" w:hAnsi="Times New Roman"/>
          <w:szCs w:val="24"/>
        </w:rPr>
        <w:t xml:space="preserve"> to take any steps in respect of this litigation. To put this problem slightly differently: Standard Bank is a juristic person. It may therefore only act through </w:t>
      </w:r>
      <w:r w:rsidR="00CA35D8" w:rsidRPr="00D74FFA">
        <w:rPr>
          <w:rFonts w:ascii="Times New Roman" w:hAnsi="Times New Roman"/>
          <w:szCs w:val="24"/>
        </w:rPr>
        <w:t xml:space="preserve">the agency of natural persons. What we are in essence dealing with here is whether Ms </w:t>
      </w:r>
      <w:proofErr w:type="spellStart"/>
      <w:r w:rsidR="00CA35D8" w:rsidRPr="00D74FFA">
        <w:rPr>
          <w:rFonts w:ascii="Times New Roman" w:hAnsi="Times New Roman"/>
          <w:szCs w:val="24"/>
        </w:rPr>
        <w:t>Dikolomela-Mafa</w:t>
      </w:r>
      <w:proofErr w:type="spellEnd"/>
      <w:r w:rsidR="00CA35D8" w:rsidRPr="00D74FFA">
        <w:rPr>
          <w:rFonts w:ascii="Times New Roman" w:hAnsi="Times New Roman"/>
          <w:szCs w:val="24"/>
        </w:rPr>
        <w:t xml:space="preserve"> and Mr Fuller are authorised agents of the Standard Bank with the authority to institute </w:t>
      </w:r>
      <w:r w:rsidR="008F5384" w:rsidRPr="00D74FFA">
        <w:rPr>
          <w:rFonts w:ascii="Times New Roman" w:hAnsi="Times New Roman"/>
          <w:szCs w:val="24"/>
        </w:rPr>
        <w:t xml:space="preserve">this litigation on behalf of the bank – and, in doing so, authorise </w:t>
      </w:r>
      <w:proofErr w:type="spellStart"/>
      <w:r w:rsidR="008F5384" w:rsidRPr="00D74FFA">
        <w:rPr>
          <w:rFonts w:ascii="Times New Roman" w:hAnsi="Times New Roman"/>
          <w:szCs w:val="24"/>
        </w:rPr>
        <w:t>Buba</w:t>
      </w:r>
      <w:proofErr w:type="spellEnd"/>
      <w:r w:rsidR="008F5384" w:rsidRPr="00D74FFA">
        <w:rPr>
          <w:rFonts w:ascii="Times New Roman" w:hAnsi="Times New Roman"/>
          <w:szCs w:val="24"/>
        </w:rPr>
        <w:t xml:space="preserve"> Attorneys to represent the bank in the litigation. </w:t>
      </w:r>
      <w:r w:rsidR="00054B80" w:rsidRPr="00D74FFA">
        <w:rPr>
          <w:rFonts w:ascii="Times New Roman" w:hAnsi="Times New Roman"/>
          <w:szCs w:val="24"/>
        </w:rPr>
        <w:t xml:space="preserve">Because the resolution and delegation of authority are not before court, there is no independent way to verify this authority. </w:t>
      </w:r>
      <w:r w:rsidR="00C3042D" w:rsidRPr="00D74FFA">
        <w:rPr>
          <w:rFonts w:ascii="Times New Roman" w:hAnsi="Times New Roman"/>
          <w:szCs w:val="24"/>
        </w:rPr>
        <w:t>There is no</w:t>
      </w:r>
      <w:r w:rsidR="00E1626B">
        <w:rPr>
          <w:rFonts w:ascii="Times New Roman" w:hAnsi="Times New Roman"/>
          <w:szCs w:val="24"/>
        </w:rPr>
        <w:t>t</w:t>
      </w:r>
      <w:r w:rsidR="00C3042D" w:rsidRPr="00D74FFA">
        <w:rPr>
          <w:rFonts w:ascii="Times New Roman" w:hAnsi="Times New Roman"/>
          <w:szCs w:val="24"/>
        </w:rPr>
        <w:t xml:space="preserve"> even a </w:t>
      </w:r>
      <w:r w:rsidR="00C3042D" w:rsidRPr="00D74FFA">
        <w:rPr>
          <w:rFonts w:ascii="Times New Roman" w:hAnsi="Times New Roman"/>
          <w:szCs w:val="24"/>
        </w:rPr>
        <w:lastRenderedPageBreak/>
        <w:t xml:space="preserve">positive averment, let alone a confirmatory affidavit, as to the authority of Mr Fuller to confer </w:t>
      </w:r>
      <w:r w:rsidR="00E47231" w:rsidRPr="00D74FFA">
        <w:rPr>
          <w:rFonts w:ascii="Times New Roman" w:hAnsi="Times New Roman"/>
          <w:szCs w:val="24"/>
        </w:rPr>
        <w:t xml:space="preserve">authority on Ms </w:t>
      </w:r>
      <w:proofErr w:type="spellStart"/>
      <w:r w:rsidR="00E47231" w:rsidRPr="00D74FFA">
        <w:rPr>
          <w:rFonts w:ascii="Times New Roman" w:hAnsi="Times New Roman"/>
          <w:szCs w:val="24"/>
        </w:rPr>
        <w:t>Dikolomela-Mafa</w:t>
      </w:r>
      <w:proofErr w:type="spellEnd"/>
      <w:r w:rsidR="00E47231" w:rsidRPr="00D74FFA">
        <w:rPr>
          <w:rFonts w:ascii="Times New Roman" w:hAnsi="Times New Roman"/>
          <w:szCs w:val="24"/>
        </w:rPr>
        <w:t>.</w:t>
      </w:r>
    </w:p>
    <w:p w14:paraId="5B3A582F" w14:textId="4F85D582" w:rsidR="00DB1E08" w:rsidRPr="00D74FFA" w:rsidRDefault="00FB2B06" w:rsidP="00FB2B06">
      <w:pPr>
        <w:pStyle w:val="WLGLevel2"/>
        <w:numPr>
          <w:ilvl w:val="0"/>
          <w:numId w:val="0"/>
        </w:numPr>
        <w:tabs>
          <w:tab w:val="left" w:pos="1361"/>
        </w:tabs>
        <w:ind w:left="1361" w:hanging="794"/>
        <w:rPr>
          <w:rFonts w:ascii="Times New Roman" w:hAnsi="Times New Roman"/>
          <w:szCs w:val="24"/>
        </w:rPr>
      </w:pPr>
      <w:r w:rsidRPr="00D74FFA">
        <w:rPr>
          <w:rFonts w:ascii="Times New Roman" w:hAnsi="Times New Roman"/>
          <w:szCs w:val="24"/>
        </w:rPr>
        <w:t>18.4</w:t>
      </w:r>
      <w:r w:rsidRPr="00D74FFA">
        <w:rPr>
          <w:rFonts w:ascii="Times New Roman" w:hAnsi="Times New Roman"/>
          <w:szCs w:val="24"/>
        </w:rPr>
        <w:tab/>
      </w:r>
      <w:r w:rsidR="00DB1E08" w:rsidRPr="00D74FFA">
        <w:rPr>
          <w:rFonts w:ascii="Times New Roman" w:hAnsi="Times New Roman"/>
          <w:szCs w:val="24"/>
        </w:rPr>
        <w:t>In an attempt to cure th</w:t>
      </w:r>
      <w:r w:rsidR="00C43C9E" w:rsidRPr="00D74FFA">
        <w:rPr>
          <w:rFonts w:ascii="Times New Roman" w:hAnsi="Times New Roman"/>
          <w:szCs w:val="24"/>
        </w:rPr>
        <w:t>e</w:t>
      </w:r>
      <w:r w:rsidR="00DB1E08" w:rsidRPr="00D74FFA">
        <w:rPr>
          <w:rFonts w:ascii="Times New Roman" w:hAnsi="Times New Roman"/>
          <w:szCs w:val="24"/>
        </w:rPr>
        <w:t xml:space="preserve"> defects mentioned above, Standard Bank </w:t>
      </w:r>
      <w:r w:rsidR="00C43C9E" w:rsidRPr="00D74FFA">
        <w:rPr>
          <w:rFonts w:ascii="Times New Roman" w:hAnsi="Times New Roman"/>
          <w:szCs w:val="24"/>
        </w:rPr>
        <w:t xml:space="preserve">filed a supplementary founding affidavit. It did so without seeking leave, and the trustees object to its admission on this basis. </w:t>
      </w:r>
      <w:r w:rsidR="00925B85" w:rsidRPr="00D74FFA">
        <w:rPr>
          <w:rFonts w:ascii="Times New Roman" w:hAnsi="Times New Roman"/>
          <w:szCs w:val="24"/>
        </w:rPr>
        <w:t xml:space="preserve">It does not, </w:t>
      </w:r>
      <w:r w:rsidR="00F41F19">
        <w:rPr>
          <w:rFonts w:ascii="Times New Roman" w:hAnsi="Times New Roman"/>
          <w:szCs w:val="24"/>
        </w:rPr>
        <w:t>in any event</w:t>
      </w:r>
      <w:r w:rsidR="00925B85" w:rsidRPr="00D74FFA">
        <w:rPr>
          <w:rFonts w:ascii="Times New Roman" w:hAnsi="Times New Roman"/>
          <w:szCs w:val="24"/>
        </w:rPr>
        <w:t>, cure the doubts raised above because it refers to “the resolution supporting the Letter of authority and the sub-delegation of authority . . . dated 7 March 2018 and 12 April 2021” but provides no proof that they were taken; or, indeed, any information about their nature.</w:t>
      </w:r>
      <w:r w:rsidR="00C453FB" w:rsidRPr="00D74FFA">
        <w:rPr>
          <w:rFonts w:ascii="Times New Roman" w:hAnsi="Times New Roman"/>
          <w:szCs w:val="24"/>
        </w:rPr>
        <w:t xml:space="preserve"> </w:t>
      </w:r>
      <w:r w:rsidR="002B50DA">
        <w:rPr>
          <w:rFonts w:ascii="Times New Roman" w:hAnsi="Times New Roman"/>
          <w:szCs w:val="24"/>
        </w:rPr>
        <w:t xml:space="preserve">The last point is key – the only way one </w:t>
      </w:r>
      <w:r w:rsidR="00840125">
        <w:rPr>
          <w:rFonts w:ascii="Times New Roman" w:hAnsi="Times New Roman"/>
          <w:szCs w:val="24"/>
        </w:rPr>
        <w:t>could understand ho</w:t>
      </w:r>
      <w:r w:rsidR="00B269C4">
        <w:rPr>
          <w:rFonts w:ascii="Times New Roman" w:hAnsi="Times New Roman"/>
          <w:szCs w:val="24"/>
        </w:rPr>
        <w:t>w</w:t>
      </w:r>
      <w:r w:rsidR="00840125">
        <w:rPr>
          <w:rFonts w:ascii="Times New Roman" w:hAnsi="Times New Roman"/>
          <w:szCs w:val="24"/>
        </w:rPr>
        <w:t xml:space="preserve"> these resolutions authorised Mr Fuller to perform the role that he did would be to consult their terms</w:t>
      </w:r>
      <w:r w:rsidR="00B269C4">
        <w:rPr>
          <w:rFonts w:ascii="Times New Roman" w:hAnsi="Times New Roman"/>
          <w:szCs w:val="24"/>
        </w:rPr>
        <w:t xml:space="preserve">. This was obviously impossible, since they have not been placed before court in any of the affidavits filed by Standard Bank. </w:t>
      </w:r>
      <w:r w:rsidR="00C453FB" w:rsidRPr="00D74FFA">
        <w:rPr>
          <w:rFonts w:ascii="Times New Roman" w:hAnsi="Times New Roman"/>
          <w:szCs w:val="24"/>
        </w:rPr>
        <w:t>So, even if I were to hold that the supplementary affidavit is admitted – and I make no finding in this regard – it does not take the matter any further.</w:t>
      </w:r>
    </w:p>
    <w:p w14:paraId="1F1CAFED" w14:textId="799E789B" w:rsidR="009F1156" w:rsidRDefault="00FB2B06" w:rsidP="00FB2B06">
      <w:pPr>
        <w:pStyle w:val="WLGLevel1"/>
        <w:numPr>
          <w:ilvl w:val="0"/>
          <w:numId w:val="0"/>
        </w:numPr>
        <w:tabs>
          <w:tab w:val="left" w:pos="567"/>
        </w:tabs>
        <w:ind w:left="562" w:hanging="562"/>
        <w:rPr>
          <w:rFonts w:ascii="Times New Roman" w:hAnsi="Times New Roman"/>
          <w:szCs w:val="24"/>
        </w:rPr>
      </w:pPr>
      <w:r>
        <w:rPr>
          <w:rFonts w:ascii="Times New Roman" w:hAnsi="Times New Roman"/>
          <w:szCs w:val="24"/>
        </w:rPr>
        <w:t>19</w:t>
      </w:r>
      <w:r>
        <w:rPr>
          <w:rFonts w:ascii="Times New Roman" w:hAnsi="Times New Roman"/>
          <w:szCs w:val="24"/>
        </w:rPr>
        <w:tab/>
      </w:r>
      <w:r w:rsidR="009F1156">
        <w:rPr>
          <w:rFonts w:ascii="Times New Roman" w:hAnsi="Times New Roman"/>
          <w:szCs w:val="24"/>
        </w:rPr>
        <w:t>In its heads of argument, Standard Bank advances essentially t</w:t>
      </w:r>
      <w:r w:rsidR="00D239DA">
        <w:rPr>
          <w:rFonts w:ascii="Times New Roman" w:hAnsi="Times New Roman"/>
          <w:szCs w:val="24"/>
        </w:rPr>
        <w:t>hree</w:t>
      </w:r>
      <w:r w:rsidR="009F1156">
        <w:rPr>
          <w:rFonts w:ascii="Times New Roman" w:hAnsi="Times New Roman"/>
          <w:szCs w:val="24"/>
        </w:rPr>
        <w:t xml:space="preserve"> arguments.</w:t>
      </w:r>
      <w:r w:rsidR="006139EE">
        <w:rPr>
          <w:rFonts w:ascii="Times New Roman" w:hAnsi="Times New Roman"/>
          <w:szCs w:val="24"/>
        </w:rPr>
        <w:t xml:space="preserve"> First, it is argued that </w:t>
      </w:r>
      <w:r w:rsidR="00CA527A">
        <w:rPr>
          <w:rFonts w:ascii="Times New Roman" w:hAnsi="Times New Roman"/>
          <w:szCs w:val="24"/>
        </w:rPr>
        <w:t xml:space="preserve">annexure KDM1 has “probative value” and authorises Ms </w:t>
      </w:r>
      <w:proofErr w:type="spellStart"/>
      <w:r w:rsidR="00CA527A">
        <w:rPr>
          <w:rFonts w:ascii="Times New Roman" w:hAnsi="Times New Roman"/>
          <w:szCs w:val="24"/>
        </w:rPr>
        <w:t>Dikolomela-Mafa</w:t>
      </w:r>
      <w:proofErr w:type="spellEnd"/>
      <w:r w:rsidR="002C0188">
        <w:rPr>
          <w:rFonts w:ascii="Times New Roman" w:hAnsi="Times New Roman"/>
          <w:szCs w:val="24"/>
        </w:rPr>
        <w:t xml:space="preserve"> to institute litigation on behalf of Standard Bank and appoint attorneys to represent the bank in that litigation.</w:t>
      </w:r>
      <w:r w:rsidR="00D239DA">
        <w:rPr>
          <w:rFonts w:ascii="Times New Roman" w:hAnsi="Times New Roman"/>
          <w:szCs w:val="24"/>
        </w:rPr>
        <w:t xml:space="preserve"> Secondly, it is said that a resolution is not the only way to prove authority and it would be impractical to require a resolution to be passed in </w:t>
      </w:r>
      <w:r w:rsidR="00E34DED">
        <w:rPr>
          <w:rFonts w:ascii="Times New Roman" w:hAnsi="Times New Roman"/>
          <w:szCs w:val="24"/>
        </w:rPr>
        <w:t>each and every debt recovery application instituted by Standard Bank. Thirdly, it is argued that the challenge to Mr Fuller’s authority was raised by the trustees for the first time in their heads of argument and that I should accordingly have no regard to it.</w:t>
      </w:r>
    </w:p>
    <w:p w14:paraId="0B5A0E18" w14:textId="75D14DB1" w:rsidR="00B87F31" w:rsidRDefault="00FB2B06" w:rsidP="00FB2B06">
      <w:pPr>
        <w:pStyle w:val="WLGLevel1"/>
        <w:numPr>
          <w:ilvl w:val="0"/>
          <w:numId w:val="0"/>
        </w:numPr>
        <w:tabs>
          <w:tab w:val="left" w:pos="567"/>
        </w:tabs>
        <w:ind w:left="562" w:hanging="562"/>
        <w:rPr>
          <w:rFonts w:ascii="Times New Roman" w:hAnsi="Times New Roman"/>
          <w:szCs w:val="24"/>
        </w:rPr>
      </w:pPr>
      <w:r>
        <w:rPr>
          <w:rFonts w:ascii="Times New Roman" w:hAnsi="Times New Roman"/>
          <w:szCs w:val="24"/>
        </w:rPr>
        <w:t>20</w:t>
      </w:r>
      <w:r>
        <w:rPr>
          <w:rFonts w:ascii="Times New Roman" w:hAnsi="Times New Roman"/>
          <w:szCs w:val="24"/>
        </w:rPr>
        <w:tab/>
      </w:r>
      <w:r w:rsidR="00B87F31">
        <w:rPr>
          <w:rFonts w:ascii="Times New Roman" w:hAnsi="Times New Roman"/>
          <w:szCs w:val="24"/>
        </w:rPr>
        <w:t xml:space="preserve">In my view, these arguments do not avail Standard Bank. The argument based on the scope of KDM1 </w:t>
      </w:r>
      <w:r w:rsidR="00685DF9">
        <w:rPr>
          <w:rFonts w:ascii="Times New Roman" w:hAnsi="Times New Roman"/>
          <w:szCs w:val="24"/>
        </w:rPr>
        <w:t>is</w:t>
      </w:r>
      <w:r w:rsidR="00B87F31">
        <w:rPr>
          <w:rFonts w:ascii="Times New Roman" w:hAnsi="Times New Roman"/>
          <w:szCs w:val="24"/>
        </w:rPr>
        <w:t xml:space="preserve"> question-begging because the trustees’ criticism of KDM1 is not that, </w:t>
      </w:r>
      <w:r w:rsidR="00B87F31">
        <w:rPr>
          <w:rFonts w:ascii="Times New Roman" w:hAnsi="Times New Roman"/>
          <w:szCs w:val="24"/>
        </w:rPr>
        <w:lastRenderedPageBreak/>
        <w:t xml:space="preserve">on its terms, it does </w:t>
      </w:r>
      <w:r w:rsidR="008535C2">
        <w:rPr>
          <w:rFonts w:ascii="Times New Roman" w:hAnsi="Times New Roman"/>
          <w:szCs w:val="24"/>
        </w:rPr>
        <w:t xml:space="preserve">not </w:t>
      </w:r>
      <w:r w:rsidR="00B87F31">
        <w:rPr>
          <w:rFonts w:ascii="Times New Roman" w:hAnsi="Times New Roman"/>
          <w:szCs w:val="24"/>
        </w:rPr>
        <w:t xml:space="preserve">authorise the institution of litigation. The criticism is that </w:t>
      </w:r>
      <w:r w:rsidR="0076036C">
        <w:rPr>
          <w:rFonts w:ascii="Times New Roman" w:hAnsi="Times New Roman"/>
          <w:szCs w:val="24"/>
        </w:rPr>
        <w:t xml:space="preserve">there is no independent evidence that the </w:t>
      </w:r>
      <w:r w:rsidR="00BC6FD2">
        <w:rPr>
          <w:rFonts w:ascii="Times New Roman" w:hAnsi="Times New Roman"/>
          <w:szCs w:val="24"/>
        </w:rPr>
        <w:t xml:space="preserve">person responsible for generating KDM1 has authority to authorise Ms </w:t>
      </w:r>
      <w:proofErr w:type="spellStart"/>
      <w:r w:rsidR="00BC6FD2">
        <w:rPr>
          <w:rFonts w:ascii="Times New Roman" w:hAnsi="Times New Roman"/>
          <w:szCs w:val="24"/>
        </w:rPr>
        <w:t>Dikolomela-Mafa</w:t>
      </w:r>
      <w:proofErr w:type="spellEnd"/>
      <w:r w:rsidR="00BC6FD2">
        <w:rPr>
          <w:rFonts w:ascii="Times New Roman" w:hAnsi="Times New Roman"/>
          <w:szCs w:val="24"/>
        </w:rPr>
        <w:t xml:space="preserve"> to institute litigation and appoint attorneys to do so. This also demonstrates why the third argument must be rejected. </w:t>
      </w:r>
      <w:r w:rsidR="00AC36E8">
        <w:rPr>
          <w:rFonts w:ascii="Times New Roman" w:hAnsi="Times New Roman"/>
          <w:szCs w:val="24"/>
        </w:rPr>
        <w:t xml:space="preserve">Standard Bank relies on KDM1 as evidence of Ms </w:t>
      </w:r>
      <w:proofErr w:type="spellStart"/>
      <w:r w:rsidR="00AC36E8">
        <w:rPr>
          <w:rFonts w:ascii="Times New Roman" w:hAnsi="Times New Roman"/>
          <w:szCs w:val="24"/>
        </w:rPr>
        <w:t>Dikolomela-Mafa’s</w:t>
      </w:r>
      <w:proofErr w:type="spellEnd"/>
      <w:r w:rsidR="00AC36E8">
        <w:rPr>
          <w:rFonts w:ascii="Times New Roman" w:hAnsi="Times New Roman"/>
          <w:szCs w:val="24"/>
        </w:rPr>
        <w:t xml:space="preserve"> authority (and consequently the authority of </w:t>
      </w:r>
      <w:proofErr w:type="spellStart"/>
      <w:r w:rsidR="00AC36E8">
        <w:rPr>
          <w:rFonts w:ascii="Times New Roman" w:hAnsi="Times New Roman"/>
          <w:szCs w:val="24"/>
        </w:rPr>
        <w:t>Buba</w:t>
      </w:r>
      <w:proofErr w:type="spellEnd"/>
      <w:r w:rsidR="00AC36E8">
        <w:rPr>
          <w:rFonts w:ascii="Times New Roman" w:hAnsi="Times New Roman"/>
          <w:szCs w:val="24"/>
        </w:rPr>
        <w:t xml:space="preserve"> Attorneys to represent Standard Bank, which would flow from </w:t>
      </w:r>
      <w:r w:rsidR="00C943DA">
        <w:rPr>
          <w:rFonts w:ascii="Times New Roman" w:hAnsi="Times New Roman"/>
          <w:szCs w:val="24"/>
        </w:rPr>
        <w:t>the firm’s</w:t>
      </w:r>
      <w:r w:rsidR="00AC36E8">
        <w:rPr>
          <w:rFonts w:ascii="Times New Roman" w:hAnsi="Times New Roman"/>
          <w:szCs w:val="24"/>
        </w:rPr>
        <w:t xml:space="preserve"> valid appointment by Ms </w:t>
      </w:r>
      <w:proofErr w:type="spellStart"/>
      <w:r w:rsidR="00AC36E8">
        <w:rPr>
          <w:rFonts w:ascii="Times New Roman" w:hAnsi="Times New Roman"/>
          <w:szCs w:val="24"/>
        </w:rPr>
        <w:t>Dikolomela-Mafa</w:t>
      </w:r>
      <w:proofErr w:type="spellEnd"/>
      <w:r w:rsidR="00AC36E8">
        <w:rPr>
          <w:rFonts w:ascii="Times New Roman" w:hAnsi="Times New Roman"/>
          <w:szCs w:val="24"/>
        </w:rPr>
        <w:t>). That is Standard Bank’s evidence. The trustees are then entitled to advance legal argument to the effect that the evidence is insufficient to establish authority. That includes an argument that there is no evidence that the person who signed KDM1 was authorised to do so.</w:t>
      </w:r>
    </w:p>
    <w:p w14:paraId="7B9F9930" w14:textId="7D20FE86" w:rsidR="00AC36E8" w:rsidRDefault="00FB2B06" w:rsidP="00FB2B06">
      <w:pPr>
        <w:pStyle w:val="WLGLevel1"/>
        <w:numPr>
          <w:ilvl w:val="0"/>
          <w:numId w:val="0"/>
        </w:numPr>
        <w:tabs>
          <w:tab w:val="left" w:pos="567"/>
        </w:tabs>
        <w:ind w:left="562" w:hanging="562"/>
        <w:rPr>
          <w:rFonts w:ascii="Times New Roman" w:hAnsi="Times New Roman"/>
          <w:szCs w:val="24"/>
        </w:rPr>
      </w:pPr>
      <w:r>
        <w:rPr>
          <w:rFonts w:ascii="Times New Roman" w:hAnsi="Times New Roman"/>
          <w:szCs w:val="24"/>
        </w:rPr>
        <w:t>21</w:t>
      </w:r>
      <w:r>
        <w:rPr>
          <w:rFonts w:ascii="Times New Roman" w:hAnsi="Times New Roman"/>
          <w:szCs w:val="24"/>
        </w:rPr>
        <w:tab/>
      </w:r>
      <w:r w:rsidR="00AC36E8">
        <w:rPr>
          <w:rFonts w:ascii="Times New Roman" w:hAnsi="Times New Roman"/>
          <w:szCs w:val="24"/>
        </w:rPr>
        <w:t>As far as the second argument is concerned: I agree with Standard Bank that it would be absurd to expect the board to pass a resolution every time the bank has to sue on a money debt. I can take judicial notice of the bank’s size and can conclude that, if such a requirement were imposed, it would prevent the board from doing any other business. This is precisely why delegations of authority</w:t>
      </w:r>
      <w:r w:rsidR="006163B1">
        <w:rPr>
          <w:rFonts w:ascii="Times New Roman" w:hAnsi="Times New Roman"/>
          <w:szCs w:val="24"/>
        </w:rPr>
        <w:t>, and resolutions cast in general terms,</w:t>
      </w:r>
      <w:r w:rsidR="00AC36E8">
        <w:rPr>
          <w:rFonts w:ascii="Times New Roman" w:hAnsi="Times New Roman"/>
          <w:szCs w:val="24"/>
        </w:rPr>
        <w:t xml:space="preserve"> are used by large organisations of this nature. All that the Bank had to do was to </w:t>
      </w:r>
      <w:r w:rsidR="003A5D40">
        <w:rPr>
          <w:rFonts w:ascii="Times New Roman" w:hAnsi="Times New Roman"/>
          <w:szCs w:val="24"/>
        </w:rPr>
        <w:t xml:space="preserve">put up the </w:t>
      </w:r>
      <w:r w:rsidR="003A5D40" w:rsidRPr="00D74FFA">
        <w:rPr>
          <w:rFonts w:ascii="Times New Roman" w:hAnsi="Times New Roman"/>
          <w:szCs w:val="24"/>
        </w:rPr>
        <w:t xml:space="preserve">resolution passed by the board of directors on </w:t>
      </w:r>
      <w:r w:rsidR="003A5D40">
        <w:rPr>
          <w:rFonts w:ascii="Times New Roman" w:hAnsi="Times New Roman"/>
          <w:szCs w:val="24"/>
        </w:rPr>
        <w:t xml:space="preserve">7 </w:t>
      </w:r>
      <w:r w:rsidR="003A5D40" w:rsidRPr="00D74FFA">
        <w:rPr>
          <w:rFonts w:ascii="Times New Roman" w:hAnsi="Times New Roman"/>
          <w:szCs w:val="24"/>
        </w:rPr>
        <w:t xml:space="preserve">March 2018 and the sub-delegation of authority by </w:t>
      </w:r>
      <w:proofErr w:type="spellStart"/>
      <w:r w:rsidR="003A5D40" w:rsidRPr="00D74FFA">
        <w:rPr>
          <w:rFonts w:ascii="Times New Roman" w:hAnsi="Times New Roman"/>
          <w:szCs w:val="24"/>
        </w:rPr>
        <w:t>Lungisa</w:t>
      </w:r>
      <w:proofErr w:type="spellEnd"/>
      <w:r w:rsidR="003A5D40" w:rsidRPr="00D74FFA">
        <w:rPr>
          <w:rFonts w:ascii="Times New Roman" w:hAnsi="Times New Roman"/>
          <w:szCs w:val="24"/>
        </w:rPr>
        <w:t xml:space="preserve"> </w:t>
      </w:r>
      <w:proofErr w:type="spellStart"/>
      <w:r w:rsidR="003A5D40" w:rsidRPr="00D74FFA">
        <w:rPr>
          <w:rFonts w:ascii="Times New Roman" w:hAnsi="Times New Roman"/>
          <w:szCs w:val="24"/>
        </w:rPr>
        <w:t>Fuzile</w:t>
      </w:r>
      <w:proofErr w:type="spellEnd"/>
      <w:r w:rsidR="003A5D40" w:rsidRPr="00D74FFA">
        <w:rPr>
          <w:rFonts w:ascii="Times New Roman" w:hAnsi="Times New Roman"/>
          <w:szCs w:val="24"/>
        </w:rPr>
        <w:t xml:space="preserve"> on the 12 April 2021</w:t>
      </w:r>
      <w:r w:rsidR="003A5D40">
        <w:rPr>
          <w:rFonts w:ascii="Times New Roman" w:hAnsi="Times New Roman"/>
          <w:szCs w:val="24"/>
        </w:rPr>
        <w:t xml:space="preserve"> (see paragraph </w:t>
      </w:r>
      <w:r w:rsidR="003A5D40">
        <w:rPr>
          <w:rFonts w:ascii="Times New Roman" w:hAnsi="Times New Roman"/>
          <w:szCs w:val="24"/>
        </w:rPr>
        <w:fldChar w:fldCharType="begin"/>
      </w:r>
      <w:r w:rsidR="003A5D40">
        <w:rPr>
          <w:rFonts w:ascii="Times New Roman" w:hAnsi="Times New Roman"/>
          <w:szCs w:val="24"/>
        </w:rPr>
        <w:instrText xml:space="preserve"> REF _Ref126084360 \r \h </w:instrText>
      </w:r>
      <w:r w:rsidR="003A5D40">
        <w:rPr>
          <w:rFonts w:ascii="Times New Roman" w:hAnsi="Times New Roman"/>
          <w:szCs w:val="24"/>
        </w:rPr>
      </w:r>
      <w:r w:rsidR="003A5D40">
        <w:rPr>
          <w:rFonts w:ascii="Times New Roman" w:hAnsi="Times New Roman"/>
          <w:szCs w:val="24"/>
        </w:rPr>
        <w:fldChar w:fldCharType="separate"/>
      </w:r>
      <w:r w:rsidR="00C50144">
        <w:rPr>
          <w:rFonts w:ascii="Times New Roman" w:hAnsi="Times New Roman"/>
          <w:szCs w:val="24"/>
        </w:rPr>
        <w:t>18.2</w:t>
      </w:r>
      <w:r w:rsidR="003A5D40">
        <w:rPr>
          <w:rFonts w:ascii="Times New Roman" w:hAnsi="Times New Roman"/>
          <w:szCs w:val="24"/>
        </w:rPr>
        <w:fldChar w:fldCharType="end"/>
      </w:r>
      <w:r w:rsidR="003A5D40">
        <w:rPr>
          <w:rFonts w:ascii="Times New Roman" w:hAnsi="Times New Roman"/>
          <w:szCs w:val="24"/>
        </w:rPr>
        <w:t xml:space="preserve"> above) and no doubt </w:t>
      </w:r>
      <w:r w:rsidR="009E3282">
        <w:rPr>
          <w:rFonts w:ascii="Times New Roman" w:hAnsi="Times New Roman"/>
          <w:szCs w:val="24"/>
        </w:rPr>
        <w:t xml:space="preserve">any questions about Mr Fuller’s authority to authorise Ms </w:t>
      </w:r>
      <w:proofErr w:type="spellStart"/>
      <w:r w:rsidR="009E3282">
        <w:rPr>
          <w:rFonts w:ascii="Times New Roman" w:hAnsi="Times New Roman"/>
          <w:szCs w:val="24"/>
        </w:rPr>
        <w:t>Dikolomela-Mafa</w:t>
      </w:r>
      <w:proofErr w:type="spellEnd"/>
      <w:r w:rsidR="009E3282">
        <w:rPr>
          <w:rFonts w:ascii="Times New Roman" w:hAnsi="Times New Roman"/>
          <w:szCs w:val="24"/>
        </w:rPr>
        <w:t xml:space="preserve"> to institute litigation relating to claims of up to R40 million (which is what KDM1 says) would be put to rest.</w:t>
      </w:r>
      <w:r w:rsidR="005D4282">
        <w:rPr>
          <w:rFonts w:ascii="Times New Roman" w:hAnsi="Times New Roman"/>
          <w:szCs w:val="24"/>
        </w:rPr>
        <w:t xml:space="preserve"> And, if in putting up this evidence, the court were still to conclude that there was some defect in authority, the solution would not be to require the bank to issue a fresh resolution every time it wished to reclaim money owed to it. The solution would be to perfect the delegation of authority.</w:t>
      </w:r>
      <w:r w:rsidR="003A5D40">
        <w:rPr>
          <w:rFonts w:ascii="Times New Roman" w:hAnsi="Times New Roman"/>
          <w:szCs w:val="24"/>
        </w:rPr>
        <w:t xml:space="preserve"> </w:t>
      </w:r>
    </w:p>
    <w:p w14:paraId="02302A7F" w14:textId="5BA8FDE4" w:rsidR="002809FC"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lastRenderedPageBreak/>
        <w:t>22</w:t>
      </w:r>
      <w:r w:rsidRPr="00D74FFA">
        <w:rPr>
          <w:rFonts w:ascii="Times New Roman" w:hAnsi="Times New Roman"/>
          <w:szCs w:val="24"/>
        </w:rPr>
        <w:tab/>
      </w:r>
      <w:r w:rsidR="004E1200" w:rsidRPr="00D74FFA">
        <w:rPr>
          <w:rFonts w:ascii="Times New Roman" w:hAnsi="Times New Roman"/>
          <w:szCs w:val="24"/>
        </w:rPr>
        <w:t xml:space="preserve">It may seem, in some senses, that the summary that I have given </w:t>
      </w:r>
      <w:r w:rsidR="005D4282">
        <w:rPr>
          <w:rFonts w:ascii="Times New Roman" w:hAnsi="Times New Roman"/>
          <w:szCs w:val="24"/>
        </w:rPr>
        <w:t xml:space="preserve">in paragraph </w:t>
      </w:r>
      <w:r w:rsidR="005D4282">
        <w:rPr>
          <w:rFonts w:ascii="Times New Roman" w:hAnsi="Times New Roman"/>
          <w:szCs w:val="24"/>
        </w:rPr>
        <w:fldChar w:fldCharType="begin"/>
      </w:r>
      <w:r w:rsidR="005D4282">
        <w:rPr>
          <w:rFonts w:ascii="Times New Roman" w:hAnsi="Times New Roman"/>
          <w:szCs w:val="24"/>
        </w:rPr>
        <w:instrText xml:space="preserve"> REF _Ref126084524 \r \h </w:instrText>
      </w:r>
      <w:r w:rsidR="005D4282">
        <w:rPr>
          <w:rFonts w:ascii="Times New Roman" w:hAnsi="Times New Roman"/>
          <w:szCs w:val="24"/>
        </w:rPr>
      </w:r>
      <w:r w:rsidR="005D4282">
        <w:rPr>
          <w:rFonts w:ascii="Times New Roman" w:hAnsi="Times New Roman"/>
          <w:szCs w:val="24"/>
        </w:rPr>
        <w:fldChar w:fldCharType="separate"/>
      </w:r>
      <w:r w:rsidR="005D4282">
        <w:rPr>
          <w:rFonts w:ascii="Times New Roman" w:hAnsi="Times New Roman"/>
          <w:szCs w:val="24"/>
        </w:rPr>
        <w:t>18</w:t>
      </w:r>
      <w:r w:rsidR="005D4282">
        <w:rPr>
          <w:rFonts w:ascii="Times New Roman" w:hAnsi="Times New Roman"/>
          <w:szCs w:val="24"/>
        </w:rPr>
        <w:fldChar w:fldCharType="end"/>
      </w:r>
      <w:r w:rsidR="005D4282">
        <w:rPr>
          <w:rFonts w:ascii="Times New Roman" w:hAnsi="Times New Roman"/>
          <w:szCs w:val="24"/>
        </w:rPr>
        <w:t xml:space="preserve"> </w:t>
      </w:r>
      <w:r w:rsidR="004E1200" w:rsidRPr="00D74FFA">
        <w:rPr>
          <w:rFonts w:ascii="Times New Roman" w:hAnsi="Times New Roman"/>
          <w:szCs w:val="24"/>
        </w:rPr>
        <w:t xml:space="preserve">above reflects a very technical approach to the question of authority. And it is true that many respondents faced with a formal letter of authority on a Standard Bank letterhead would take the view that the application must have been authorised and so there </w:t>
      </w:r>
      <w:r w:rsidR="0062006C">
        <w:rPr>
          <w:rFonts w:ascii="Times New Roman" w:hAnsi="Times New Roman"/>
          <w:szCs w:val="24"/>
        </w:rPr>
        <w:t>would be</w:t>
      </w:r>
      <w:r w:rsidR="004E1200" w:rsidRPr="00D74FFA">
        <w:rPr>
          <w:rFonts w:ascii="Times New Roman" w:hAnsi="Times New Roman"/>
          <w:szCs w:val="24"/>
        </w:rPr>
        <w:t xml:space="preserve"> no sense in wasting time </w:t>
      </w:r>
      <w:r w:rsidR="00C26DD9" w:rsidRPr="00D74FFA">
        <w:rPr>
          <w:rFonts w:ascii="Times New Roman" w:hAnsi="Times New Roman"/>
          <w:szCs w:val="24"/>
        </w:rPr>
        <w:t>invoking rule 7. But the very purpose of rule 7 was to abolish the need for a power of attorney in all cases, and instead</w:t>
      </w:r>
      <w:r w:rsidR="00690DB6">
        <w:rPr>
          <w:rFonts w:ascii="Times New Roman" w:hAnsi="Times New Roman"/>
          <w:szCs w:val="24"/>
        </w:rPr>
        <w:t xml:space="preserve"> </w:t>
      </w:r>
      <w:r w:rsidR="00C26DD9" w:rsidRPr="00D74FFA">
        <w:rPr>
          <w:rFonts w:ascii="Times New Roman" w:hAnsi="Times New Roman"/>
          <w:szCs w:val="24"/>
        </w:rPr>
        <w:t xml:space="preserve">leave challenges to authority </w:t>
      </w:r>
      <w:r w:rsidR="009366AC">
        <w:rPr>
          <w:rFonts w:ascii="Times New Roman" w:hAnsi="Times New Roman"/>
          <w:szCs w:val="24"/>
        </w:rPr>
        <w:t>to</w:t>
      </w:r>
      <w:r w:rsidR="00C26DD9" w:rsidRPr="00D74FFA">
        <w:rPr>
          <w:rFonts w:ascii="Times New Roman" w:hAnsi="Times New Roman"/>
          <w:szCs w:val="24"/>
        </w:rPr>
        <w:t xml:space="preserve"> the election of the parties. </w:t>
      </w:r>
      <w:r w:rsidR="0078257A" w:rsidRPr="00D74FFA">
        <w:rPr>
          <w:rFonts w:ascii="Times New Roman" w:hAnsi="Times New Roman"/>
          <w:szCs w:val="24"/>
        </w:rPr>
        <w:t xml:space="preserve">The implication of that is that, if a party exercises the election and wishes to use rule 7, it will be necessary for the authority to be properly established. </w:t>
      </w:r>
      <w:r w:rsidR="00AC0B62">
        <w:rPr>
          <w:rFonts w:ascii="Times New Roman" w:hAnsi="Times New Roman"/>
          <w:szCs w:val="24"/>
        </w:rPr>
        <w:t xml:space="preserve">This will sometimes involve what may seem like a pedantic exercise, to make sure that everything squares up. </w:t>
      </w:r>
      <w:r w:rsidR="00220061" w:rsidRPr="00D74FFA">
        <w:rPr>
          <w:rFonts w:ascii="Times New Roman" w:hAnsi="Times New Roman"/>
          <w:szCs w:val="24"/>
        </w:rPr>
        <w:t>On the evidence before me at present, the authority has not been properly established, which suggests that the trustees have satisfied the “good cause” requirement envisaged by rule 7(1).</w:t>
      </w:r>
    </w:p>
    <w:p w14:paraId="7B2E1F28" w14:textId="1D4D21A7" w:rsidR="00220061" w:rsidRPr="00D74FFA" w:rsidRDefault="000E63CA" w:rsidP="000E63CA">
      <w:pPr>
        <w:pStyle w:val="Heading1"/>
        <w:rPr>
          <w:rFonts w:ascii="Times New Roman" w:hAnsi="Times New Roman"/>
          <w:szCs w:val="24"/>
        </w:rPr>
      </w:pPr>
      <w:r w:rsidRPr="00D74FFA">
        <w:rPr>
          <w:rFonts w:ascii="Times New Roman" w:hAnsi="Times New Roman"/>
          <w:szCs w:val="24"/>
        </w:rPr>
        <w:t>CONCLUSION</w:t>
      </w:r>
    </w:p>
    <w:p w14:paraId="231E1151" w14:textId="67B3113B" w:rsidR="000E63CA"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23</w:t>
      </w:r>
      <w:r w:rsidRPr="00D74FFA">
        <w:rPr>
          <w:rFonts w:ascii="Times New Roman" w:hAnsi="Times New Roman"/>
          <w:szCs w:val="24"/>
        </w:rPr>
        <w:tab/>
      </w:r>
      <w:r w:rsidR="000E63CA" w:rsidRPr="00D74FFA">
        <w:rPr>
          <w:rFonts w:ascii="Times New Roman" w:hAnsi="Times New Roman"/>
          <w:szCs w:val="24"/>
        </w:rPr>
        <w:t>It follows from what I have said that the trustees should be granted the relief which they seek.</w:t>
      </w:r>
    </w:p>
    <w:p w14:paraId="7B17D679" w14:textId="63C71665" w:rsidR="00157B20"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24</w:t>
      </w:r>
      <w:r w:rsidRPr="00D74FFA">
        <w:rPr>
          <w:rFonts w:ascii="Times New Roman" w:hAnsi="Times New Roman"/>
          <w:szCs w:val="24"/>
        </w:rPr>
        <w:tab/>
      </w:r>
      <w:r w:rsidR="00157B20" w:rsidRPr="00D74FFA">
        <w:rPr>
          <w:rFonts w:ascii="Times New Roman" w:hAnsi="Times New Roman"/>
          <w:szCs w:val="24"/>
        </w:rPr>
        <w:t>There is one complexity on the issue of costs. When this matter came before me</w:t>
      </w:r>
      <w:r w:rsidR="000E66DF" w:rsidRPr="00D74FFA">
        <w:rPr>
          <w:rFonts w:ascii="Times New Roman" w:hAnsi="Times New Roman"/>
          <w:szCs w:val="24"/>
        </w:rPr>
        <w:t xml:space="preserve">, Standard Bank asked for the matter to stand down for a day. As I understood it, the idea was for this period of time to be used to pursue settlement discussions of some sort. When the matter came before me on the second day, counsel for the trustees argued that </w:t>
      </w:r>
      <w:r w:rsidR="00AC02EA" w:rsidRPr="00D74FFA">
        <w:rPr>
          <w:rFonts w:ascii="Times New Roman" w:hAnsi="Times New Roman"/>
          <w:szCs w:val="24"/>
        </w:rPr>
        <w:t xml:space="preserve">Standard Bank should be ordered to pay the costs of two days because the stand-down was </w:t>
      </w:r>
      <w:r w:rsidR="00975616" w:rsidRPr="00D74FFA">
        <w:rPr>
          <w:rFonts w:ascii="Times New Roman" w:hAnsi="Times New Roman"/>
          <w:szCs w:val="24"/>
        </w:rPr>
        <w:t>done at the request of Standard Bank</w:t>
      </w:r>
      <w:r w:rsidR="00BA3669">
        <w:rPr>
          <w:rFonts w:ascii="Times New Roman" w:hAnsi="Times New Roman"/>
          <w:szCs w:val="24"/>
        </w:rPr>
        <w:t>,</w:t>
      </w:r>
      <w:r w:rsidR="00975616" w:rsidRPr="00D74FFA">
        <w:rPr>
          <w:rFonts w:ascii="Times New Roman" w:hAnsi="Times New Roman"/>
          <w:szCs w:val="24"/>
        </w:rPr>
        <w:t xml:space="preserve"> when the trustees were ready to proceed</w:t>
      </w:r>
      <w:r w:rsidR="00BA3669">
        <w:rPr>
          <w:rFonts w:ascii="Times New Roman" w:hAnsi="Times New Roman"/>
          <w:szCs w:val="24"/>
        </w:rPr>
        <w:t>, and achieved nothing</w:t>
      </w:r>
      <w:r w:rsidR="00975616" w:rsidRPr="00D74FFA">
        <w:rPr>
          <w:rFonts w:ascii="Times New Roman" w:hAnsi="Times New Roman"/>
          <w:szCs w:val="24"/>
        </w:rPr>
        <w:t>. There is merit in this submission</w:t>
      </w:r>
      <w:r w:rsidR="0049576E">
        <w:rPr>
          <w:rFonts w:ascii="Times New Roman" w:hAnsi="Times New Roman"/>
          <w:szCs w:val="24"/>
        </w:rPr>
        <w:t>,</w:t>
      </w:r>
      <w:r w:rsidR="00975616" w:rsidRPr="00D74FFA">
        <w:rPr>
          <w:rFonts w:ascii="Times New Roman" w:hAnsi="Times New Roman"/>
          <w:szCs w:val="24"/>
        </w:rPr>
        <w:t xml:space="preserve"> and I accordingly intend to address that in my order below.</w:t>
      </w:r>
    </w:p>
    <w:p w14:paraId="5C482E5E" w14:textId="77777777" w:rsidR="00386053" w:rsidRPr="00D74FFA" w:rsidRDefault="00386053" w:rsidP="00386053">
      <w:pPr>
        <w:pStyle w:val="Heading1"/>
        <w:rPr>
          <w:rFonts w:ascii="Times New Roman" w:hAnsi="Times New Roman"/>
          <w:szCs w:val="24"/>
        </w:rPr>
      </w:pPr>
      <w:r w:rsidRPr="00D74FFA">
        <w:rPr>
          <w:rFonts w:ascii="Times New Roman" w:hAnsi="Times New Roman"/>
          <w:szCs w:val="24"/>
        </w:rPr>
        <w:lastRenderedPageBreak/>
        <w:t>ORDER</w:t>
      </w:r>
    </w:p>
    <w:p w14:paraId="5827B918" w14:textId="3AD04A81" w:rsidR="00386053" w:rsidRPr="00D74FFA" w:rsidRDefault="00FB2B06" w:rsidP="00FB2B06">
      <w:pPr>
        <w:pStyle w:val="WLGLevel1"/>
        <w:numPr>
          <w:ilvl w:val="0"/>
          <w:numId w:val="0"/>
        </w:numPr>
        <w:tabs>
          <w:tab w:val="left" w:pos="567"/>
        </w:tabs>
        <w:ind w:left="562" w:hanging="562"/>
        <w:rPr>
          <w:rFonts w:ascii="Times New Roman" w:hAnsi="Times New Roman"/>
          <w:szCs w:val="24"/>
        </w:rPr>
      </w:pPr>
      <w:r w:rsidRPr="00D74FFA">
        <w:rPr>
          <w:rFonts w:ascii="Times New Roman" w:hAnsi="Times New Roman"/>
          <w:szCs w:val="24"/>
        </w:rPr>
        <w:t>25</w:t>
      </w:r>
      <w:r w:rsidRPr="00D74FFA">
        <w:rPr>
          <w:rFonts w:ascii="Times New Roman" w:hAnsi="Times New Roman"/>
          <w:szCs w:val="24"/>
        </w:rPr>
        <w:tab/>
      </w:r>
      <w:r w:rsidR="00386053" w:rsidRPr="00D74FFA">
        <w:rPr>
          <w:rFonts w:ascii="Times New Roman" w:hAnsi="Times New Roman"/>
          <w:szCs w:val="24"/>
        </w:rPr>
        <w:t>In the light of the above, the following order is made:</w:t>
      </w:r>
    </w:p>
    <w:p w14:paraId="06F4AB9C" w14:textId="46795380" w:rsidR="00386053" w:rsidRPr="00D74FFA" w:rsidRDefault="00386053" w:rsidP="00386053">
      <w:pPr>
        <w:pStyle w:val="BodyTextIndent"/>
        <w:ind w:left="1134"/>
        <w:rPr>
          <w:rFonts w:ascii="Times New Roman" w:hAnsi="Times New Roman"/>
          <w:b/>
          <w:bCs/>
          <w:szCs w:val="24"/>
        </w:rPr>
      </w:pPr>
      <w:bookmarkStart w:id="3" w:name="_Ref87951394"/>
      <w:r w:rsidRPr="00D74FFA">
        <w:rPr>
          <w:rFonts w:ascii="Times New Roman" w:hAnsi="Times New Roman"/>
          <w:b/>
          <w:bCs/>
          <w:szCs w:val="24"/>
        </w:rPr>
        <w:t xml:space="preserve">1. </w:t>
      </w:r>
      <w:r w:rsidR="0050039C" w:rsidRPr="00D74FFA">
        <w:rPr>
          <w:rFonts w:ascii="Times New Roman" w:hAnsi="Times New Roman"/>
          <w:b/>
          <w:bCs/>
          <w:szCs w:val="24"/>
        </w:rPr>
        <w:t xml:space="preserve">Leave is granted to the first to fourth respondents in the main application under case number </w:t>
      </w:r>
      <w:r w:rsidR="004E078F" w:rsidRPr="00D74FFA">
        <w:rPr>
          <w:rFonts w:ascii="Times New Roman" w:hAnsi="Times New Roman"/>
          <w:b/>
          <w:bCs/>
          <w:szCs w:val="24"/>
        </w:rPr>
        <w:t xml:space="preserve">2021/22884 </w:t>
      </w:r>
      <w:r w:rsidR="0050039C" w:rsidRPr="00D74FFA">
        <w:rPr>
          <w:rFonts w:ascii="Times New Roman" w:hAnsi="Times New Roman"/>
          <w:b/>
          <w:bCs/>
          <w:szCs w:val="24"/>
        </w:rPr>
        <w:t xml:space="preserve">to serve a notice in terms of rule 7(1) in the form of annexure “FA1” to the founding affidavit of </w:t>
      </w:r>
      <w:r w:rsidR="00A8140E" w:rsidRPr="00D74FFA">
        <w:rPr>
          <w:rFonts w:ascii="Times New Roman" w:hAnsi="Times New Roman"/>
          <w:b/>
          <w:bCs/>
          <w:szCs w:val="24"/>
        </w:rPr>
        <w:t xml:space="preserve">Vernon </w:t>
      </w:r>
      <w:proofErr w:type="spellStart"/>
      <w:r w:rsidR="00A8140E" w:rsidRPr="00D74FFA">
        <w:rPr>
          <w:rFonts w:ascii="Times New Roman" w:hAnsi="Times New Roman"/>
          <w:b/>
          <w:bCs/>
          <w:szCs w:val="24"/>
        </w:rPr>
        <w:t>Wilken</w:t>
      </w:r>
      <w:proofErr w:type="spellEnd"/>
      <w:r w:rsidR="00A8140E" w:rsidRPr="00D74FFA">
        <w:rPr>
          <w:rFonts w:ascii="Times New Roman" w:hAnsi="Times New Roman"/>
          <w:b/>
          <w:bCs/>
          <w:szCs w:val="24"/>
        </w:rPr>
        <w:t xml:space="preserve"> on the applicant and its attorney</w:t>
      </w:r>
      <w:r w:rsidRPr="00D74FFA">
        <w:rPr>
          <w:rFonts w:ascii="Times New Roman" w:hAnsi="Times New Roman"/>
          <w:b/>
          <w:bCs/>
          <w:szCs w:val="24"/>
        </w:rPr>
        <w:t>.</w:t>
      </w:r>
      <w:bookmarkEnd w:id="3"/>
    </w:p>
    <w:p w14:paraId="736823A2" w14:textId="609144C8" w:rsidR="00386053" w:rsidRPr="00D74FFA" w:rsidRDefault="00386053" w:rsidP="00386053">
      <w:pPr>
        <w:pStyle w:val="BodyTextIndent"/>
        <w:ind w:left="1134"/>
        <w:rPr>
          <w:rFonts w:ascii="Times New Roman" w:hAnsi="Times New Roman"/>
          <w:b/>
          <w:bCs/>
          <w:szCs w:val="24"/>
        </w:rPr>
      </w:pPr>
      <w:r w:rsidRPr="00D74FFA">
        <w:rPr>
          <w:rFonts w:ascii="Times New Roman" w:hAnsi="Times New Roman"/>
          <w:b/>
          <w:bCs/>
          <w:szCs w:val="24"/>
        </w:rPr>
        <w:t xml:space="preserve">2. </w:t>
      </w:r>
      <w:proofErr w:type="spellStart"/>
      <w:r w:rsidR="00A8140E" w:rsidRPr="00D74FFA">
        <w:rPr>
          <w:rFonts w:ascii="Times New Roman" w:hAnsi="Times New Roman"/>
          <w:b/>
          <w:bCs/>
          <w:szCs w:val="24"/>
        </w:rPr>
        <w:t>Buba</w:t>
      </w:r>
      <w:proofErr w:type="spellEnd"/>
      <w:r w:rsidR="00A8140E" w:rsidRPr="00D74FFA">
        <w:rPr>
          <w:rFonts w:ascii="Times New Roman" w:hAnsi="Times New Roman"/>
          <w:b/>
          <w:bCs/>
          <w:szCs w:val="24"/>
        </w:rPr>
        <w:t xml:space="preserve"> Attorneys </w:t>
      </w:r>
      <w:proofErr w:type="spellStart"/>
      <w:r w:rsidR="00A8140E" w:rsidRPr="00D74FFA">
        <w:rPr>
          <w:rFonts w:ascii="Times New Roman" w:hAnsi="Times New Roman"/>
          <w:b/>
          <w:bCs/>
          <w:szCs w:val="24"/>
        </w:rPr>
        <w:t>Inc</w:t>
      </w:r>
      <w:proofErr w:type="spellEnd"/>
      <w:r w:rsidR="00A8140E" w:rsidRPr="00D74FFA">
        <w:rPr>
          <w:rFonts w:ascii="Times New Roman" w:hAnsi="Times New Roman"/>
          <w:b/>
          <w:bCs/>
          <w:szCs w:val="24"/>
        </w:rPr>
        <w:t xml:space="preserve"> may not act for the applicant until such time as </w:t>
      </w:r>
      <w:proofErr w:type="spellStart"/>
      <w:r w:rsidR="00A8140E" w:rsidRPr="00D74FFA">
        <w:rPr>
          <w:rFonts w:ascii="Times New Roman" w:hAnsi="Times New Roman"/>
          <w:b/>
          <w:bCs/>
          <w:szCs w:val="24"/>
        </w:rPr>
        <w:t>Buba</w:t>
      </w:r>
      <w:proofErr w:type="spellEnd"/>
      <w:r w:rsidR="00A8140E" w:rsidRPr="00D74FFA">
        <w:rPr>
          <w:rFonts w:ascii="Times New Roman" w:hAnsi="Times New Roman"/>
          <w:b/>
          <w:bCs/>
          <w:szCs w:val="24"/>
        </w:rPr>
        <w:t xml:space="preserve"> Attorneys </w:t>
      </w:r>
      <w:proofErr w:type="spellStart"/>
      <w:r w:rsidR="00A8140E" w:rsidRPr="00D74FFA">
        <w:rPr>
          <w:rFonts w:ascii="Times New Roman" w:hAnsi="Times New Roman"/>
          <w:b/>
          <w:bCs/>
          <w:szCs w:val="24"/>
        </w:rPr>
        <w:t>Inc</w:t>
      </w:r>
      <w:proofErr w:type="spellEnd"/>
      <w:r w:rsidR="00A8140E" w:rsidRPr="00D74FFA">
        <w:rPr>
          <w:rFonts w:ascii="Times New Roman" w:hAnsi="Times New Roman"/>
          <w:b/>
          <w:bCs/>
          <w:szCs w:val="24"/>
        </w:rPr>
        <w:t xml:space="preserve"> has satisfied the court that it is authorised so to act</w:t>
      </w:r>
      <w:r w:rsidRPr="00D74FFA">
        <w:rPr>
          <w:rFonts w:ascii="Times New Roman" w:hAnsi="Times New Roman"/>
          <w:b/>
          <w:bCs/>
          <w:szCs w:val="24"/>
        </w:rPr>
        <w:t>.</w:t>
      </w:r>
    </w:p>
    <w:p w14:paraId="7D2C053E" w14:textId="293529B2" w:rsidR="00386053" w:rsidRPr="00D74FFA" w:rsidRDefault="00386053" w:rsidP="00386053">
      <w:pPr>
        <w:pStyle w:val="BodyTextIndent"/>
        <w:ind w:left="1134"/>
        <w:rPr>
          <w:rFonts w:ascii="Times New Roman" w:hAnsi="Times New Roman"/>
          <w:b/>
          <w:bCs/>
          <w:szCs w:val="24"/>
        </w:rPr>
      </w:pPr>
      <w:r w:rsidRPr="00D74FFA">
        <w:rPr>
          <w:rFonts w:ascii="Times New Roman" w:hAnsi="Times New Roman"/>
          <w:b/>
          <w:bCs/>
          <w:szCs w:val="24"/>
        </w:rPr>
        <w:t xml:space="preserve">3. The applicant is to pay the costs of </w:t>
      </w:r>
      <w:r w:rsidR="004C4E96" w:rsidRPr="00D74FFA">
        <w:rPr>
          <w:rFonts w:ascii="Times New Roman" w:hAnsi="Times New Roman"/>
          <w:b/>
          <w:bCs/>
          <w:szCs w:val="24"/>
        </w:rPr>
        <w:t>this interlocutory</w:t>
      </w:r>
      <w:r w:rsidRPr="00D74FFA">
        <w:rPr>
          <w:rFonts w:ascii="Times New Roman" w:hAnsi="Times New Roman"/>
          <w:b/>
          <w:bCs/>
          <w:szCs w:val="24"/>
        </w:rPr>
        <w:t xml:space="preserve"> application</w:t>
      </w:r>
      <w:r w:rsidR="004C4E96" w:rsidRPr="00D74FFA">
        <w:rPr>
          <w:rFonts w:ascii="Times New Roman" w:hAnsi="Times New Roman"/>
          <w:b/>
          <w:bCs/>
          <w:szCs w:val="24"/>
        </w:rPr>
        <w:t>, which costs shall include provision for a hearing of two days</w:t>
      </w:r>
      <w:r w:rsidRPr="00D74FFA">
        <w:rPr>
          <w:rFonts w:ascii="Times New Roman" w:hAnsi="Times New Roman"/>
          <w:b/>
          <w:bCs/>
          <w:szCs w:val="24"/>
        </w:rPr>
        <w:t>.</w:t>
      </w:r>
    </w:p>
    <w:p w14:paraId="1CD2246B" w14:textId="77777777" w:rsidR="00386053" w:rsidRPr="00D74FFA" w:rsidRDefault="00386053" w:rsidP="00386053">
      <w:pPr>
        <w:pStyle w:val="BodyTextIndent"/>
        <w:ind w:left="1134"/>
        <w:rPr>
          <w:rFonts w:ascii="Times New Roman" w:hAnsi="Times New Roman"/>
          <w:b/>
          <w:bCs/>
          <w:szCs w:val="24"/>
        </w:rPr>
      </w:pPr>
    </w:p>
    <w:p w14:paraId="44CBF151" w14:textId="77777777" w:rsidR="00386053" w:rsidRPr="00D74FFA" w:rsidRDefault="00386053" w:rsidP="00386053">
      <w:pPr>
        <w:pStyle w:val="Parties"/>
        <w:jc w:val="right"/>
        <w:rPr>
          <w:rFonts w:ascii="Times New Roman" w:hAnsi="Times New Roman"/>
          <w:szCs w:val="24"/>
        </w:rPr>
      </w:pPr>
      <w:r w:rsidRPr="00D74FFA">
        <w:rPr>
          <w:rFonts w:ascii="Times New Roman" w:hAnsi="Times New Roman"/>
          <w:szCs w:val="24"/>
        </w:rPr>
        <w:t>________________________________________</w:t>
      </w:r>
    </w:p>
    <w:p w14:paraId="5EF57F19" w14:textId="77777777" w:rsidR="00386053" w:rsidRPr="00D74FFA" w:rsidRDefault="00386053" w:rsidP="00386053">
      <w:pPr>
        <w:pStyle w:val="Parties"/>
        <w:jc w:val="right"/>
        <w:rPr>
          <w:rFonts w:ascii="Times New Roman" w:hAnsi="Times New Roman"/>
          <w:b/>
          <w:bCs/>
          <w:szCs w:val="24"/>
        </w:rPr>
      </w:pPr>
      <w:r w:rsidRPr="00D74FFA">
        <w:rPr>
          <w:rFonts w:ascii="Times New Roman" w:hAnsi="Times New Roman"/>
          <w:b/>
          <w:bCs/>
          <w:szCs w:val="24"/>
        </w:rPr>
        <w:t>ADRIAN FRIEDMAN</w:t>
      </w:r>
    </w:p>
    <w:p w14:paraId="0B19D7A6" w14:textId="77777777" w:rsidR="00386053" w:rsidRPr="00D74FFA" w:rsidRDefault="00386053" w:rsidP="00386053">
      <w:pPr>
        <w:pStyle w:val="Parties"/>
        <w:jc w:val="right"/>
        <w:rPr>
          <w:rFonts w:ascii="Times New Roman" w:hAnsi="Times New Roman"/>
          <w:b/>
          <w:bCs/>
          <w:szCs w:val="24"/>
        </w:rPr>
      </w:pPr>
      <w:r w:rsidRPr="00D74FFA">
        <w:rPr>
          <w:rFonts w:ascii="Times New Roman" w:hAnsi="Times New Roman"/>
          <w:b/>
          <w:bCs/>
          <w:szCs w:val="24"/>
        </w:rPr>
        <w:t>ACTING JUDGE OF THE HIGH COURT</w:t>
      </w:r>
    </w:p>
    <w:p w14:paraId="7972AE8D" w14:textId="77777777" w:rsidR="00386053" w:rsidRPr="00D74FFA" w:rsidRDefault="00386053" w:rsidP="00386053">
      <w:pPr>
        <w:pStyle w:val="Parties"/>
        <w:jc w:val="right"/>
        <w:rPr>
          <w:rFonts w:ascii="Times New Roman" w:hAnsi="Times New Roman"/>
          <w:b/>
          <w:bCs/>
          <w:szCs w:val="24"/>
        </w:rPr>
      </w:pPr>
      <w:r w:rsidRPr="00D74FFA">
        <w:rPr>
          <w:rFonts w:ascii="Times New Roman" w:hAnsi="Times New Roman"/>
          <w:b/>
          <w:bCs/>
          <w:szCs w:val="24"/>
        </w:rPr>
        <w:t>GAUTENG LOCAL DIVISION, JOHANNESBURG</w:t>
      </w:r>
    </w:p>
    <w:p w14:paraId="3F9F60B7" w14:textId="77777777" w:rsidR="00386053" w:rsidRPr="00D74FFA" w:rsidRDefault="00386053" w:rsidP="00386053">
      <w:pPr>
        <w:pStyle w:val="Parties"/>
        <w:rPr>
          <w:rFonts w:ascii="Times New Roman" w:hAnsi="Times New Roman"/>
          <w:szCs w:val="24"/>
        </w:rPr>
      </w:pPr>
    </w:p>
    <w:p w14:paraId="604E324E" w14:textId="77777777" w:rsidR="00386053" w:rsidRPr="00D74FFA" w:rsidRDefault="00386053" w:rsidP="00386053">
      <w:pPr>
        <w:pStyle w:val="Parties"/>
        <w:rPr>
          <w:rFonts w:ascii="Times New Roman" w:hAnsi="Times New Roman"/>
          <w:szCs w:val="24"/>
        </w:rPr>
      </w:pPr>
    </w:p>
    <w:p w14:paraId="32ECD4C5" w14:textId="4E2737A8" w:rsidR="00386053" w:rsidRPr="00D74FFA" w:rsidRDefault="00386053" w:rsidP="00386053">
      <w:pPr>
        <w:pStyle w:val="Parties"/>
        <w:rPr>
          <w:rFonts w:ascii="Times New Roman" w:hAnsi="Times New Roman"/>
          <w:szCs w:val="24"/>
        </w:rPr>
      </w:pPr>
      <w:r w:rsidRPr="00D74FFA">
        <w:rPr>
          <w:rFonts w:ascii="Times New Roman" w:hAnsi="Times New Roman"/>
          <w:szCs w:val="24"/>
        </w:rPr>
        <w:t xml:space="preserve">Delivered: This judgment was prepared and authored by the Judge whose name is reflected above and is handed down electronically by circulation to the parties/their legal representatives by email and by uploading it to the electronic file of this matter on </w:t>
      </w:r>
      <w:proofErr w:type="spellStart"/>
      <w:r w:rsidRPr="00D74FFA">
        <w:rPr>
          <w:rFonts w:ascii="Times New Roman" w:hAnsi="Times New Roman"/>
          <w:szCs w:val="24"/>
        </w:rPr>
        <w:t>CaseLines</w:t>
      </w:r>
      <w:proofErr w:type="spellEnd"/>
      <w:r w:rsidRPr="00D74FFA">
        <w:rPr>
          <w:rFonts w:ascii="Times New Roman" w:hAnsi="Times New Roman"/>
          <w:szCs w:val="24"/>
        </w:rPr>
        <w:t>. The date for hand down is deemed to be 1</w:t>
      </w:r>
      <w:r w:rsidR="00402C43" w:rsidRPr="00D74FFA">
        <w:rPr>
          <w:rFonts w:ascii="Times New Roman" w:hAnsi="Times New Roman"/>
          <w:szCs w:val="24"/>
        </w:rPr>
        <w:t xml:space="preserve"> February</w:t>
      </w:r>
      <w:r w:rsidRPr="00D74FFA">
        <w:rPr>
          <w:rFonts w:ascii="Times New Roman" w:hAnsi="Times New Roman"/>
          <w:szCs w:val="24"/>
        </w:rPr>
        <w:t xml:space="preserve"> 202</w:t>
      </w:r>
      <w:r w:rsidR="00402C43" w:rsidRPr="00D74FFA">
        <w:rPr>
          <w:rFonts w:ascii="Times New Roman" w:hAnsi="Times New Roman"/>
          <w:szCs w:val="24"/>
        </w:rPr>
        <w:t>3</w:t>
      </w:r>
      <w:r w:rsidRPr="00D74FFA">
        <w:rPr>
          <w:rFonts w:ascii="Times New Roman" w:hAnsi="Times New Roman"/>
          <w:szCs w:val="24"/>
        </w:rPr>
        <w:t>.</w:t>
      </w:r>
    </w:p>
    <w:p w14:paraId="42AB5BC3" w14:textId="77777777" w:rsidR="00386053" w:rsidRPr="00D74FFA" w:rsidRDefault="00386053" w:rsidP="00386053">
      <w:pPr>
        <w:pStyle w:val="Parties"/>
        <w:rPr>
          <w:rFonts w:ascii="Times New Roman" w:hAnsi="Times New Roman"/>
          <w:szCs w:val="24"/>
        </w:rPr>
      </w:pPr>
    </w:p>
    <w:p w14:paraId="42EC2BA5" w14:textId="77777777" w:rsidR="00386053" w:rsidRPr="00D74FFA" w:rsidRDefault="00386053" w:rsidP="00386053">
      <w:pPr>
        <w:pStyle w:val="Parties"/>
        <w:rPr>
          <w:rFonts w:ascii="Times New Roman" w:hAnsi="Times New Roman"/>
          <w:b/>
          <w:bCs/>
          <w:szCs w:val="24"/>
        </w:rPr>
      </w:pPr>
    </w:p>
    <w:p w14:paraId="795330AE" w14:textId="77777777" w:rsidR="00386053" w:rsidRPr="00D74FFA" w:rsidRDefault="00386053" w:rsidP="00386053">
      <w:pPr>
        <w:pStyle w:val="Parties"/>
        <w:rPr>
          <w:rFonts w:ascii="Times New Roman" w:hAnsi="Times New Roman"/>
          <w:b/>
          <w:bCs/>
          <w:szCs w:val="24"/>
        </w:rPr>
      </w:pPr>
    </w:p>
    <w:p w14:paraId="077F77F4" w14:textId="77777777" w:rsidR="00386053" w:rsidRPr="00D74FFA" w:rsidRDefault="00386053" w:rsidP="00386053">
      <w:pPr>
        <w:pStyle w:val="Parties"/>
        <w:rPr>
          <w:rFonts w:ascii="Times New Roman" w:hAnsi="Times New Roman"/>
          <w:b/>
          <w:bCs/>
          <w:szCs w:val="24"/>
        </w:rPr>
      </w:pPr>
    </w:p>
    <w:p w14:paraId="40297F1E" w14:textId="77777777" w:rsidR="00386053" w:rsidRPr="00D74FFA" w:rsidRDefault="00386053" w:rsidP="00386053">
      <w:pPr>
        <w:pStyle w:val="Parties"/>
        <w:rPr>
          <w:rFonts w:ascii="Times New Roman" w:hAnsi="Times New Roman"/>
          <w:b/>
          <w:bCs/>
          <w:szCs w:val="24"/>
        </w:rPr>
      </w:pPr>
      <w:r w:rsidRPr="00D74FFA">
        <w:rPr>
          <w:rFonts w:ascii="Times New Roman" w:hAnsi="Times New Roman"/>
          <w:b/>
          <w:bCs/>
          <w:szCs w:val="24"/>
        </w:rPr>
        <w:t>APPEARANCES:</w:t>
      </w:r>
    </w:p>
    <w:p w14:paraId="12FE7393" w14:textId="77777777" w:rsidR="00386053" w:rsidRPr="00D74FFA" w:rsidRDefault="00386053" w:rsidP="00386053">
      <w:pPr>
        <w:pStyle w:val="Parties"/>
        <w:rPr>
          <w:rFonts w:ascii="Times New Roman" w:hAnsi="Times New Roman"/>
          <w:szCs w:val="24"/>
        </w:rPr>
      </w:pPr>
    </w:p>
    <w:p w14:paraId="46A4816E" w14:textId="02B63F9A" w:rsidR="00386053" w:rsidRPr="00D74FFA" w:rsidRDefault="00386053" w:rsidP="00386053">
      <w:pPr>
        <w:pStyle w:val="BodyTextIndent"/>
        <w:spacing w:after="0" w:line="240" w:lineRule="auto"/>
        <w:ind w:left="0"/>
        <w:rPr>
          <w:rFonts w:ascii="Times New Roman" w:hAnsi="Times New Roman"/>
          <w:szCs w:val="24"/>
        </w:rPr>
      </w:pPr>
      <w:r w:rsidRPr="00D74FFA">
        <w:rPr>
          <w:rFonts w:ascii="Times New Roman" w:hAnsi="Times New Roman"/>
          <w:szCs w:val="24"/>
        </w:rPr>
        <w:t>Attorney for the applicant:</w:t>
      </w:r>
      <w:r w:rsidRPr="00D74FFA">
        <w:rPr>
          <w:rFonts w:ascii="Times New Roman" w:hAnsi="Times New Roman"/>
          <w:szCs w:val="24"/>
        </w:rPr>
        <w:tab/>
      </w:r>
      <w:r w:rsidRPr="00D74FFA">
        <w:rPr>
          <w:rFonts w:ascii="Times New Roman" w:hAnsi="Times New Roman"/>
          <w:szCs w:val="24"/>
        </w:rPr>
        <w:tab/>
      </w:r>
      <w:proofErr w:type="spellStart"/>
      <w:r w:rsidR="00AD0401" w:rsidRPr="00D74FFA">
        <w:rPr>
          <w:rFonts w:ascii="Times New Roman" w:hAnsi="Times New Roman"/>
          <w:szCs w:val="24"/>
        </w:rPr>
        <w:t>Buba</w:t>
      </w:r>
      <w:proofErr w:type="spellEnd"/>
      <w:r w:rsidRPr="00D74FFA">
        <w:rPr>
          <w:rFonts w:ascii="Times New Roman" w:hAnsi="Times New Roman"/>
          <w:szCs w:val="24"/>
        </w:rPr>
        <w:t xml:space="preserve"> Attorneys</w:t>
      </w:r>
      <w:r w:rsidR="00AD0401" w:rsidRPr="00D74FFA">
        <w:rPr>
          <w:rFonts w:ascii="Times New Roman" w:hAnsi="Times New Roman"/>
          <w:szCs w:val="24"/>
        </w:rPr>
        <w:t xml:space="preserve"> </w:t>
      </w:r>
      <w:proofErr w:type="spellStart"/>
      <w:r w:rsidR="00AD0401" w:rsidRPr="00D74FFA">
        <w:rPr>
          <w:rFonts w:ascii="Times New Roman" w:hAnsi="Times New Roman"/>
          <w:szCs w:val="24"/>
        </w:rPr>
        <w:t>Inc</w:t>
      </w:r>
      <w:proofErr w:type="spellEnd"/>
    </w:p>
    <w:p w14:paraId="30062730" w14:textId="77777777" w:rsidR="00386053" w:rsidRPr="00D74FFA" w:rsidRDefault="00386053" w:rsidP="00386053">
      <w:pPr>
        <w:pStyle w:val="BodyTextIndent"/>
        <w:spacing w:after="0" w:line="240" w:lineRule="auto"/>
        <w:ind w:left="0"/>
        <w:rPr>
          <w:rFonts w:ascii="Times New Roman" w:hAnsi="Times New Roman"/>
          <w:szCs w:val="24"/>
        </w:rPr>
      </w:pPr>
    </w:p>
    <w:p w14:paraId="771A2830" w14:textId="674EC1F7" w:rsidR="00386053" w:rsidRPr="00D74FFA" w:rsidRDefault="00386053" w:rsidP="00386053">
      <w:pPr>
        <w:pStyle w:val="BodyTextIndent"/>
        <w:spacing w:after="0" w:line="240" w:lineRule="auto"/>
        <w:ind w:left="0"/>
        <w:rPr>
          <w:rFonts w:ascii="Times New Roman" w:hAnsi="Times New Roman"/>
          <w:szCs w:val="24"/>
        </w:rPr>
      </w:pPr>
      <w:r w:rsidRPr="00D74FFA">
        <w:rPr>
          <w:rFonts w:ascii="Times New Roman" w:hAnsi="Times New Roman"/>
          <w:szCs w:val="24"/>
        </w:rPr>
        <w:t>Counsel for the applicant:</w:t>
      </w:r>
      <w:r w:rsidRPr="00D74FFA">
        <w:rPr>
          <w:rFonts w:ascii="Times New Roman" w:hAnsi="Times New Roman"/>
          <w:szCs w:val="24"/>
        </w:rPr>
        <w:tab/>
      </w:r>
      <w:r w:rsidRPr="00D74FFA">
        <w:rPr>
          <w:rFonts w:ascii="Times New Roman" w:hAnsi="Times New Roman"/>
          <w:szCs w:val="24"/>
        </w:rPr>
        <w:tab/>
      </w:r>
      <w:r w:rsidR="00437E3E" w:rsidRPr="00D74FFA">
        <w:rPr>
          <w:rFonts w:ascii="Times New Roman" w:hAnsi="Times New Roman"/>
          <w:szCs w:val="24"/>
        </w:rPr>
        <w:t xml:space="preserve">M </w:t>
      </w:r>
      <w:proofErr w:type="spellStart"/>
      <w:r w:rsidR="00437E3E" w:rsidRPr="00D74FFA">
        <w:rPr>
          <w:rFonts w:ascii="Times New Roman" w:hAnsi="Times New Roman"/>
          <w:szCs w:val="24"/>
        </w:rPr>
        <w:t>Ramabulana-Mathiba</w:t>
      </w:r>
      <w:proofErr w:type="spellEnd"/>
    </w:p>
    <w:p w14:paraId="4184ABC7" w14:textId="77777777" w:rsidR="00386053" w:rsidRPr="00D74FFA" w:rsidRDefault="00386053" w:rsidP="00386053">
      <w:pPr>
        <w:pStyle w:val="BodyTextIndent"/>
        <w:spacing w:after="0" w:line="240" w:lineRule="auto"/>
        <w:ind w:left="0"/>
        <w:rPr>
          <w:rFonts w:ascii="Times New Roman" w:hAnsi="Times New Roman"/>
          <w:szCs w:val="24"/>
        </w:rPr>
      </w:pPr>
    </w:p>
    <w:p w14:paraId="2182B31E" w14:textId="77777777" w:rsidR="00402C43" w:rsidRPr="00D74FFA" w:rsidRDefault="00386053" w:rsidP="00386053">
      <w:pPr>
        <w:pStyle w:val="BodyTextIndent"/>
        <w:spacing w:after="0" w:line="240" w:lineRule="auto"/>
        <w:ind w:left="0"/>
        <w:rPr>
          <w:rFonts w:ascii="Times New Roman" w:hAnsi="Times New Roman"/>
          <w:szCs w:val="24"/>
        </w:rPr>
      </w:pPr>
      <w:r w:rsidRPr="00D74FFA">
        <w:rPr>
          <w:rFonts w:ascii="Times New Roman" w:hAnsi="Times New Roman"/>
          <w:szCs w:val="24"/>
        </w:rPr>
        <w:t xml:space="preserve">Attorney for the first </w:t>
      </w:r>
      <w:r w:rsidR="00402C43" w:rsidRPr="00D74FFA">
        <w:rPr>
          <w:rFonts w:ascii="Times New Roman" w:hAnsi="Times New Roman"/>
          <w:szCs w:val="24"/>
        </w:rPr>
        <w:t xml:space="preserve">to </w:t>
      </w:r>
    </w:p>
    <w:p w14:paraId="19BED254" w14:textId="3807CD53" w:rsidR="00386053" w:rsidRPr="00D74FFA" w:rsidRDefault="00402C43" w:rsidP="00386053">
      <w:pPr>
        <w:pStyle w:val="BodyTextIndent"/>
        <w:spacing w:after="0" w:line="240" w:lineRule="auto"/>
        <w:ind w:left="0"/>
        <w:rPr>
          <w:rFonts w:ascii="Times New Roman" w:hAnsi="Times New Roman"/>
          <w:szCs w:val="24"/>
        </w:rPr>
      </w:pPr>
      <w:proofErr w:type="gramStart"/>
      <w:r w:rsidRPr="00D74FFA">
        <w:rPr>
          <w:rFonts w:ascii="Times New Roman" w:hAnsi="Times New Roman"/>
          <w:szCs w:val="24"/>
        </w:rPr>
        <w:lastRenderedPageBreak/>
        <w:t>fourth</w:t>
      </w:r>
      <w:proofErr w:type="gramEnd"/>
      <w:r w:rsidRPr="00D74FFA">
        <w:rPr>
          <w:rFonts w:ascii="Times New Roman" w:hAnsi="Times New Roman"/>
          <w:szCs w:val="24"/>
        </w:rPr>
        <w:t xml:space="preserve"> respondents</w:t>
      </w:r>
      <w:r w:rsidR="00386053" w:rsidRPr="00D74FFA">
        <w:rPr>
          <w:rFonts w:ascii="Times New Roman" w:hAnsi="Times New Roman"/>
          <w:szCs w:val="24"/>
        </w:rPr>
        <w:t>:</w:t>
      </w:r>
      <w:r w:rsidRPr="00D74FFA">
        <w:rPr>
          <w:rFonts w:ascii="Times New Roman" w:hAnsi="Times New Roman"/>
          <w:szCs w:val="24"/>
        </w:rPr>
        <w:tab/>
      </w:r>
      <w:r w:rsidRPr="00D74FFA">
        <w:rPr>
          <w:rFonts w:ascii="Times New Roman" w:hAnsi="Times New Roman"/>
          <w:szCs w:val="24"/>
        </w:rPr>
        <w:tab/>
      </w:r>
      <w:r w:rsidR="00386053" w:rsidRPr="00D74FFA">
        <w:rPr>
          <w:rFonts w:ascii="Times New Roman" w:hAnsi="Times New Roman"/>
          <w:szCs w:val="24"/>
        </w:rPr>
        <w:tab/>
      </w:r>
      <w:proofErr w:type="spellStart"/>
      <w:r w:rsidRPr="00D74FFA">
        <w:rPr>
          <w:rFonts w:ascii="Times New Roman" w:hAnsi="Times New Roman"/>
          <w:szCs w:val="24"/>
        </w:rPr>
        <w:t>Goodes</w:t>
      </w:r>
      <w:proofErr w:type="spellEnd"/>
      <w:r w:rsidRPr="00D74FFA">
        <w:rPr>
          <w:rFonts w:ascii="Times New Roman" w:hAnsi="Times New Roman"/>
          <w:szCs w:val="24"/>
        </w:rPr>
        <w:t xml:space="preserve"> &amp; Co Attorneys</w:t>
      </w:r>
    </w:p>
    <w:p w14:paraId="48979C9C" w14:textId="77777777" w:rsidR="00386053" w:rsidRPr="00D74FFA" w:rsidRDefault="00386053" w:rsidP="00386053">
      <w:pPr>
        <w:pStyle w:val="BodyTextIndent"/>
        <w:spacing w:after="0" w:line="240" w:lineRule="auto"/>
        <w:ind w:left="0"/>
        <w:rPr>
          <w:rFonts w:ascii="Times New Roman" w:hAnsi="Times New Roman"/>
          <w:szCs w:val="24"/>
        </w:rPr>
      </w:pPr>
    </w:p>
    <w:p w14:paraId="0300C6F6" w14:textId="77777777" w:rsidR="00437E3E" w:rsidRPr="00D74FFA" w:rsidRDefault="00386053" w:rsidP="00386053">
      <w:pPr>
        <w:pStyle w:val="BodyTextIndent"/>
        <w:spacing w:after="0" w:line="240" w:lineRule="auto"/>
        <w:ind w:left="0"/>
        <w:rPr>
          <w:rFonts w:ascii="Times New Roman" w:hAnsi="Times New Roman"/>
          <w:szCs w:val="24"/>
        </w:rPr>
      </w:pPr>
      <w:r w:rsidRPr="00D74FFA">
        <w:rPr>
          <w:rFonts w:ascii="Times New Roman" w:hAnsi="Times New Roman"/>
          <w:szCs w:val="24"/>
        </w:rPr>
        <w:t xml:space="preserve">Counsel for the first </w:t>
      </w:r>
      <w:r w:rsidR="00402C43" w:rsidRPr="00D74FFA">
        <w:rPr>
          <w:rFonts w:ascii="Times New Roman" w:hAnsi="Times New Roman"/>
          <w:szCs w:val="24"/>
        </w:rPr>
        <w:t>to fourth</w:t>
      </w:r>
    </w:p>
    <w:p w14:paraId="7B5FDA12" w14:textId="4BD7F605" w:rsidR="00386053" w:rsidRPr="00D74FFA" w:rsidRDefault="00437E3E" w:rsidP="00386053">
      <w:pPr>
        <w:pStyle w:val="BodyTextIndent"/>
        <w:spacing w:after="0" w:line="240" w:lineRule="auto"/>
        <w:ind w:left="0"/>
        <w:rPr>
          <w:rFonts w:ascii="Times New Roman" w:hAnsi="Times New Roman"/>
          <w:szCs w:val="24"/>
        </w:rPr>
      </w:pPr>
      <w:proofErr w:type="gramStart"/>
      <w:r w:rsidRPr="00D74FFA">
        <w:rPr>
          <w:rFonts w:ascii="Times New Roman" w:hAnsi="Times New Roman"/>
          <w:szCs w:val="24"/>
        </w:rPr>
        <w:t>respondents</w:t>
      </w:r>
      <w:proofErr w:type="gramEnd"/>
      <w:r w:rsidR="00386053" w:rsidRPr="00D74FFA">
        <w:rPr>
          <w:rFonts w:ascii="Times New Roman" w:hAnsi="Times New Roman"/>
          <w:szCs w:val="24"/>
        </w:rPr>
        <w:t>:</w:t>
      </w:r>
      <w:r w:rsidRPr="00D74FFA">
        <w:rPr>
          <w:rFonts w:ascii="Times New Roman" w:hAnsi="Times New Roman"/>
          <w:szCs w:val="24"/>
        </w:rPr>
        <w:tab/>
      </w:r>
      <w:r w:rsidRPr="00D74FFA">
        <w:rPr>
          <w:rFonts w:ascii="Times New Roman" w:hAnsi="Times New Roman"/>
          <w:szCs w:val="24"/>
        </w:rPr>
        <w:tab/>
      </w:r>
      <w:r w:rsidRPr="00D74FFA">
        <w:rPr>
          <w:rFonts w:ascii="Times New Roman" w:hAnsi="Times New Roman"/>
          <w:szCs w:val="24"/>
        </w:rPr>
        <w:tab/>
      </w:r>
      <w:r w:rsidR="00386053" w:rsidRPr="00D74FFA">
        <w:rPr>
          <w:rFonts w:ascii="Times New Roman" w:hAnsi="Times New Roman"/>
          <w:szCs w:val="24"/>
        </w:rPr>
        <w:tab/>
      </w:r>
      <w:r w:rsidRPr="00D74FFA">
        <w:rPr>
          <w:rFonts w:ascii="Times New Roman" w:hAnsi="Times New Roman"/>
          <w:szCs w:val="24"/>
        </w:rPr>
        <w:t xml:space="preserve">JW </w:t>
      </w:r>
      <w:proofErr w:type="spellStart"/>
      <w:r w:rsidRPr="00D74FFA">
        <w:rPr>
          <w:rFonts w:ascii="Times New Roman" w:hAnsi="Times New Roman"/>
          <w:szCs w:val="24"/>
        </w:rPr>
        <w:t>Steyn</w:t>
      </w:r>
      <w:proofErr w:type="spellEnd"/>
    </w:p>
    <w:p w14:paraId="273DD6BB" w14:textId="77777777" w:rsidR="00386053" w:rsidRPr="00D74FFA" w:rsidRDefault="00386053" w:rsidP="00386053">
      <w:pPr>
        <w:pStyle w:val="BodyTextIndent"/>
        <w:spacing w:after="0" w:line="240" w:lineRule="auto"/>
        <w:ind w:left="0"/>
        <w:rPr>
          <w:rFonts w:ascii="Times New Roman" w:hAnsi="Times New Roman"/>
          <w:szCs w:val="24"/>
        </w:rPr>
      </w:pPr>
    </w:p>
    <w:p w14:paraId="0A6396E2" w14:textId="675DA035" w:rsidR="00386053" w:rsidRPr="00D74FFA" w:rsidRDefault="00386053" w:rsidP="00386053">
      <w:pPr>
        <w:pStyle w:val="BodyTextIndent"/>
        <w:spacing w:after="0" w:line="240" w:lineRule="auto"/>
        <w:ind w:left="0"/>
        <w:rPr>
          <w:rFonts w:ascii="Times New Roman" w:hAnsi="Times New Roman"/>
          <w:szCs w:val="24"/>
        </w:rPr>
      </w:pPr>
      <w:r w:rsidRPr="00D74FFA">
        <w:rPr>
          <w:rFonts w:ascii="Times New Roman" w:hAnsi="Times New Roman"/>
          <w:szCs w:val="24"/>
        </w:rPr>
        <w:t xml:space="preserve">Date of hearing: </w:t>
      </w:r>
      <w:r w:rsidR="00895A71" w:rsidRPr="00D74FFA">
        <w:rPr>
          <w:rFonts w:ascii="Times New Roman" w:hAnsi="Times New Roman"/>
          <w:szCs w:val="24"/>
        </w:rPr>
        <w:t>22 and 23</w:t>
      </w:r>
      <w:r w:rsidRPr="00D74FFA">
        <w:rPr>
          <w:rFonts w:ascii="Times New Roman" w:hAnsi="Times New Roman"/>
          <w:szCs w:val="24"/>
        </w:rPr>
        <w:t xml:space="preserve"> November 202</w:t>
      </w:r>
      <w:r w:rsidR="00AD0401" w:rsidRPr="00D74FFA">
        <w:rPr>
          <w:rFonts w:ascii="Times New Roman" w:hAnsi="Times New Roman"/>
          <w:szCs w:val="24"/>
        </w:rPr>
        <w:t>2</w:t>
      </w:r>
    </w:p>
    <w:p w14:paraId="29A01280" w14:textId="77777777" w:rsidR="00386053" w:rsidRPr="00D74FFA" w:rsidRDefault="00386053" w:rsidP="00386053">
      <w:pPr>
        <w:pStyle w:val="BodyTextIndent"/>
        <w:spacing w:after="0" w:line="240" w:lineRule="auto"/>
        <w:ind w:left="0"/>
        <w:rPr>
          <w:rFonts w:ascii="Times New Roman" w:hAnsi="Times New Roman"/>
          <w:szCs w:val="24"/>
        </w:rPr>
      </w:pPr>
    </w:p>
    <w:p w14:paraId="7CF28D64" w14:textId="68C44BEB" w:rsidR="00386053" w:rsidRPr="00D74FFA" w:rsidRDefault="00386053" w:rsidP="00386053">
      <w:pPr>
        <w:rPr>
          <w:rFonts w:ascii="Times New Roman" w:eastAsia="Calibri" w:hAnsi="Times New Roman"/>
          <w:b/>
          <w:bCs/>
          <w:szCs w:val="24"/>
        </w:rPr>
      </w:pPr>
      <w:r w:rsidRPr="00D74FFA">
        <w:rPr>
          <w:rFonts w:ascii="Times New Roman" w:hAnsi="Times New Roman"/>
          <w:szCs w:val="24"/>
        </w:rPr>
        <w:t>Date of judgment: 1</w:t>
      </w:r>
      <w:r w:rsidR="00AD0401" w:rsidRPr="00D74FFA">
        <w:rPr>
          <w:rFonts w:ascii="Times New Roman" w:hAnsi="Times New Roman"/>
          <w:szCs w:val="24"/>
        </w:rPr>
        <w:t xml:space="preserve"> February 2023</w:t>
      </w:r>
    </w:p>
    <w:p w14:paraId="350A03FF" w14:textId="77777777" w:rsidR="00386053" w:rsidRPr="00D74FFA" w:rsidRDefault="00386053" w:rsidP="00386053">
      <w:pPr>
        <w:pStyle w:val="WLGLevel1"/>
        <w:numPr>
          <w:ilvl w:val="0"/>
          <w:numId w:val="0"/>
        </w:numPr>
        <w:ind w:left="562" w:hanging="562"/>
        <w:rPr>
          <w:rFonts w:ascii="Times New Roman" w:hAnsi="Times New Roman"/>
          <w:szCs w:val="24"/>
        </w:rPr>
      </w:pPr>
    </w:p>
    <w:sectPr w:rsidR="00386053" w:rsidRPr="00D74FFA">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B4BB" w14:textId="77777777" w:rsidR="00A3411F" w:rsidRDefault="00A3411F">
      <w:r>
        <w:separator/>
      </w:r>
    </w:p>
  </w:endnote>
  <w:endnote w:type="continuationSeparator" w:id="0">
    <w:p w14:paraId="32C118E3" w14:textId="77777777" w:rsidR="00A3411F" w:rsidRDefault="00A3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C92E" w14:textId="77777777" w:rsidR="00A3411F" w:rsidRDefault="00A3411F">
      <w:r>
        <w:separator/>
      </w:r>
    </w:p>
  </w:footnote>
  <w:footnote w:type="continuationSeparator" w:id="0">
    <w:p w14:paraId="56ED9D3C" w14:textId="77777777" w:rsidR="00A3411F" w:rsidRDefault="00A3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C96"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43CBC" w14:textId="77777777" w:rsidR="005C74EA" w:rsidRDefault="005C74EA">
    <w:pPr>
      <w:pStyle w:val="Header"/>
      <w:ind w:right="360"/>
    </w:pPr>
  </w:p>
  <w:p w14:paraId="7FCAD4C1"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DB99" w14:textId="1F54897F"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F5BFF">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E6"/>
    <w:rsid w:val="00001A9C"/>
    <w:rsid w:val="00001EFF"/>
    <w:rsid w:val="000042A7"/>
    <w:rsid w:val="0000763D"/>
    <w:rsid w:val="0000776A"/>
    <w:rsid w:val="00010037"/>
    <w:rsid w:val="00011167"/>
    <w:rsid w:val="000123A5"/>
    <w:rsid w:val="00013ABE"/>
    <w:rsid w:val="000167EC"/>
    <w:rsid w:val="0002016F"/>
    <w:rsid w:val="00020BAF"/>
    <w:rsid w:val="00023E10"/>
    <w:rsid w:val="00027757"/>
    <w:rsid w:val="0003092D"/>
    <w:rsid w:val="0003337A"/>
    <w:rsid w:val="000366F7"/>
    <w:rsid w:val="00037950"/>
    <w:rsid w:val="00043B4A"/>
    <w:rsid w:val="00050849"/>
    <w:rsid w:val="0005337C"/>
    <w:rsid w:val="00053C4C"/>
    <w:rsid w:val="00054B80"/>
    <w:rsid w:val="00056814"/>
    <w:rsid w:val="00060E5C"/>
    <w:rsid w:val="0006228D"/>
    <w:rsid w:val="0006443D"/>
    <w:rsid w:val="0007342D"/>
    <w:rsid w:val="000739E4"/>
    <w:rsid w:val="00073A48"/>
    <w:rsid w:val="00076F81"/>
    <w:rsid w:val="0008029B"/>
    <w:rsid w:val="00080F88"/>
    <w:rsid w:val="00086B61"/>
    <w:rsid w:val="0009478B"/>
    <w:rsid w:val="000968E9"/>
    <w:rsid w:val="000A0EBD"/>
    <w:rsid w:val="000A11EB"/>
    <w:rsid w:val="000A48EB"/>
    <w:rsid w:val="000A5BEF"/>
    <w:rsid w:val="000A5E17"/>
    <w:rsid w:val="000B0D8F"/>
    <w:rsid w:val="000B2728"/>
    <w:rsid w:val="000B27F3"/>
    <w:rsid w:val="000B5AA0"/>
    <w:rsid w:val="000C2E90"/>
    <w:rsid w:val="000C72F4"/>
    <w:rsid w:val="000D1A0B"/>
    <w:rsid w:val="000D4790"/>
    <w:rsid w:val="000D7252"/>
    <w:rsid w:val="000D7D69"/>
    <w:rsid w:val="000E0673"/>
    <w:rsid w:val="000E160E"/>
    <w:rsid w:val="000E63CA"/>
    <w:rsid w:val="000E66DF"/>
    <w:rsid w:val="000F1436"/>
    <w:rsid w:val="000F3C05"/>
    <w:rsid w:val="000F6EA0"/>
    <w:rsid w:val="000F7C21"/>
    <w:rsid w:val="00104E96"/>
    <w:rsid w:val="00107649"/>
    <w:rsid w:val="0011216D"/>
    <w:rsid w:val="00115C0F"/>
    <w:rsid w:val="00116EDE"/>
    <w:rsid w:val="001249EB"/>
    <w:rsid w:val="00124C45"/>
    <w:rsid w:val="00124CF6"/>
    <w:rsid w:val="0012665F"/>
    <w:rsid w:val="001325F0"/>
    <w:rsid w:val="00134C90"/>
    <w:rsid w:val="00135180"/>
    <w:rsid w:val="001362F6"/>
    <w:rsid w:val="00142F30"/>
    <w:rsid w:val="00147B8A"/>
    <w:rsid w:val="00156F1E"/>
    <w:rsid w:val="00157B20"/>
    <w:rsid w:val="0016254C"/>
    <w:rsid w:val="001626FE"/>
    <w:rsid w:val="00164821"/>
    <w:rsid w:val="00166917"/>
    <w:rsid w:val="001731F6"/>
    <w:rsid w:val="00173D28"/>
    <w:rsid w:val="00174B6C"/>
    <w:rsid w:val="00174D09"/>
    <w:rsid w:val="001807AD"/>
    <w:rsid w:val="00181720"/>
    <w:rsid w:val="00186D92"/>
    <w:rsid w:val="00187122"/>
    <w:rsid w:val="001908D1"/>
    <w:rsid w:val="001916C5"/>
    <w:rsid w:val="0019466A"/>
    <w:rsid w:val="0019672A"/>
    <w:rsid w:val="00197192"/>
    <w:rsid w:val="001A031F"/>
    <w:rsid w:val="001A16BA"/>
    <w:rsid w:val="001A1EB4"/>
    <w:rsid w:val="001A3855"/>
    <w:rsid w:val="001A487E"/>
    <w:rsid w:val="001A5B94"/>
    <w:rsid w:val="001A7A79"/>
    <w:rsid w:val="001C05CA"/>
    <w:rsid w:val="001C1AB8"/>
    <w:rsid w:val="001C424A"/>
    <w:rsid w:val="001C53AC"/>
    <w:rsid w:val="001D46E8"/>
    <w:rsid w:val="001E31C5"/>
    <w:rsid w:val="001E3D07"/>
    <w:rsid w:val="001E3DE9"/>
    <w:rsid w:val="001F05FE"/>
    <w:rsid w:val="001F2187"/>
    <w:rsid w:val="001F35B7"/>
    <w:rsid w:val="001F7ADB"/>
    <w:rsid w:val="002027B8"/>
    <w:rsid w:val="002111AD"/>
    <w:rsid w:val="00212881"/>
    <w:rsid w:val="002141C8"/>
    <w:rsid w:val="00217106"/>
    <w:rsid w:val="00220061"/>
    <w:rsid w:val="002204A9"/>
    <w:rsid w:val="00221443"/>
    <w:rsid w:val="00226131"/>
    <w:rsid w:val="00226AC2"/>
    <w:rsid w:val="00231F75"/>
    <w:rsid w:val="002321FB"/>
    <w:rsid w:val="0023372B"/>
    <w:rsid w:val="00234D8C"/>
    <w:rsid w:val="002351D1"/>
    <w:rsid w:val="00236227"/>
    <w:rsid w:val="002405E4"/>
    <w:rsid w:val="00240839"/>
    <w:rsid w:val="00241185"/>
    <w:rsid w:val="00245D4C"/>
    <w:rsid w:val="00252AFF"/>
    <w:rsid w:val="0025673B"/>
    <w:rsid w:val="00257FB0"/>
    <w:rsid w:val="00262A35"/>
    <w:rsid w:val="00272D3E"/>
    <w:rsid w:val="00275BF3"/>
    <w:rsid w:val="00276258"/>
    <w:rsid w:val="002773CE"/>
    <w:rsid w:val="002809FC"/>
    <w:rsid w:val="002849CA"/>
    <w:rsid w:val="00284B86"/>
    <w:rsid w:val="002858C7"/>
    <w:rsid w:val="00285E30"/>
    <w:rsid w:val="002870AD"/>
    <w:rsid w:val="00291B3B"/>
    <w:rsid w:val="002A2369"/>
    <w:rsid w:val="002A42BD"/>
    <w:rsid w:val="002B2380"/>
    <w:rsid w:val="002B4848"/>
    <w:rsid w:val="002B50DA"/>
    <w:rsid w:val="002B642C"/>
    <w:rsid w:val="002C0188"/>
    <w:rsid w:val="002C7E1D"/>
    <w:rsid w:val="002D386C"/>
    <w:rsid w:val="002D5EAF"/>
    <w:rsid w:val="002D64FE"/>
    <w:rsid w:val="002E0A65"/>
    <w:rsid w:val="002E1131"/>
    <w:rsid w:val="002F017E"/>
    <w:rsid w:val="002F1D64"/>
    <w:rsid w:val="002F5422"/>
    <w:rsid w:val="002F5847"/>
    <w:rsid w:val="00301BEA"/>
    <w:rsid w:val="003026F4"/>
    <w:rsid w:val="00304C55"/>
    <w:rsid w:val="00305E31"/>
    <w:rsid w:val="0030603D"/>
    <w:rsid w:val="00307BC2"/>
    <w:rsid w:val="00313960"/>
    <w:rsid w:val="00313A83"/>
    <w:rsid w:val="0031450F"/>
    <w:rsid w:val="00314666"/>
    <w:rsid w:val="00314898"/>
    <w:rsid w:val="00315DCC"/>
    <w:rsid w:val="00316F3E"/>
    <w:rsid w:val="003176C3"/>
    <w:rsid w:val="00320DFB"/>
    <w:rsid w:val="003219C2"/>
    <w:rsid w:val="00323509"/>
    <w:rsid w:val="00323CBB"/>
    <w:rsid w:val="00326DDD"/>
    <w:rsid w:val="00335913"/>
    <w:rsid w:val="00336A11"/>
    <w:rsid w:val="00336E60"/>
    <w:rsid w:val="0034156F"/>
    <w:rsid w:val="0034203C"/>
    <w:rsid w:val="003454E0"/>
    <w:rsid w:val="00345C3D"/>
    <w:rsid w:val="00346E4B"/>
    <w:rsid w:val="0035583D"/>
    <w:rsid w:val="00355E28"/>
    <w:rsid w:val="00356286"/>
    <w:rsid w:val="00356D06"/>
    <w:rsid w:val="00363D3B"/>
    <w:rsid w:val="003649E3"/>
    <w:rsid w:val="003650D8"/>
    <w:rsid w:val="00367920"/>
    <w:rsid w:val="00373DD1"/>
    <w:rsid w:val="00376864"/>
    <w:rsid w:val="00386053"/>
    <w:rsid w:val="003871FD"/>
    <w:rsid w:val="00392AD6"/>
    <w:rsid w:val="00392B20"/>
    <w:rsid w:val="00395B2D"/>
    <w:rsid w:val="003A2169"/>
    <w:rsid w:val="003A2207"/>
    <w:rsid w:val="003A5D40"/>
    <w:rsid w:val="003A629B"/>
    <w:rsid w:val="003B536C"/>
    <w:rsid w:val="003B5E3D"/>
    <w:rsid w:val="003B6C8F"/>
    <w:rsid w:val="003B7FB0"/>
    <w:rsid w:val="003C235E"/>
    <w:rsid w:val="003C3969"/>
    <w:rsid w:val="003C690F"/>
    <w:rsid w:val="003C6962"/>
    <w:rsid w:val="003D13F1"/>
    <w:rsid w:val="003D20DF"/>
    <w:rsid w:val="003D66CB"/>
    <w:rsid w:val="003E4E1C"/>
    <w:rsid w:val="003F61B3"/>
    <w:rsid w:val="003F70AD"/>
    <w:rsid w:val="003F7117"/>
    <w:rsid w:val="00402C43"/>
    <w:rsid w:val="00404A41"/>
    <w:rsid w:val="00411D00"/>
    <w:rsid w:val="004152E2"/>
    <w:rsid w:val="004175BF"/>
    <w:rsid w:val="004200D9"/>
    <w:rsid w:val="004201B3"/>
    <w:rsid w:val="004236B1"/>
    <w:rsid w:val="00427031"/>
    <w:rsid w:val="004323DB"/>
    <w:rsid w:val="00437BAC"/>
    <w:rsid w:val="00437E3E"/>
    <w:rsid w:val="004415F4"/>
    <w:rsid w:val="00443673"/>
    <w:rsid w:val="004457DC"/>
    <w:rsid w:val="00456ECA"/>
    <w:rsid w:val="004810D0"/>
    <w:rsid w:val="00482317"/>
    <w:rsid w:val="0048378A"/>
    <w:rsid w:val="00490D04"/>
    <w:rsid w:val="00494236"/>
    <w:rsid w:val="0049433D"/>
    <w:rsid w:val="0049576E"/>
    <w:rsid w:val="00496707"/>
    <w:rsid w:val="004A073E"/>
    <w:rsid w:val="004A1F14"/>
    <w:rsid w:val="004A224F"/>
    <w:rsid w:val="004A4A18"/>
    <w:rsid w:val="004A618B"/>
    <w:rsid w:val="004B217C"/>
    <w:rsid w:val="004B2B5C"/>
    <w:rsid w:val="004B5CE3"/>
    <w:rsid w:val="004C0CB5"/>
    <w:rsid w:val="004C2782"/>
    <w:rsid w:val="004C2AE4"/>
    <w:rsid w:val="004C4E96"/>
    <w:rsid w:val="004C7E6D"/>
    <w:rsid w:val="004D1FC1"/>
    <w:rsid w:val="004D3432"/>
    <w:rsid w:val="004D4608"/>
    <w:rsid w:val="004E04F3"/>
    <w:rsid w:val="004E078F"/>
    <w:rsid w:val="004E1200"/>
    <w:rsid w:val="004E3D52"/>
    <w:rsid w:val="004E4B5D"/>
    <w:rsid w:val="004F0222"/>
    <w:rsid w:val="004F0403"/>
    <w:rsid w:val="004F109F"/>
    <w:rsid w:val="004F2D77"/>
    <w:rsid w:val="004F671F"/>
    <w:rsid w:val="0050039C"/>
    <w:rsid w:val="00501213"/>
    <w:rsid w:val="00506B25"/>
    <w:rsid w:val="00512E6F"/>
    <w:rsid w:val="00517CD9"/>
    <w:rsid w:val="00520511"/>
    <w:rsid w:val="00521902"/>
    <w:rsid w:val="00521A48"/>
    <w:rsid w:val="00521F65"/>
    <w:rsid w:val="005272A3"/>
    <w:rsid w:val="00531BC2"/>
    <w:rsid w:val="00533844"/>
    <w:rsid w:val="00537245"/>
    <w:rsid w:val="005454F6"/>
    <w:rsid w:val="0054622B"/>
    <w:rsid w:val="00547546"/>
    <w:rsid w:val="005500C7"/>
    <w:rsid w:val="00566343"/>
    <w:rsid w:val="00567993"/>
    <w:rsid w:val="00570A22"/>
    <w:rsid w:val="00582AA2"/>
    <w:rsid w:val="00583966"/>
    <w:rsid w:val="00585C42"/>
    <w:rsid w:val="005915C5"/>
    <w:rsid w:val="00593BC1"/>
    <w:rsid w:val="00596603"/>
    <w:rsid w:val="005A7716"/>
    <w:rsid w:val="005B074E"/>
    <w:rsid w:val="005B303A"/>
    <w:rsid w:val="005B4613"/>
    <w:rsid w:val="005C1B1E"/>
    <w:rsid w:val="005C4138"/>
    <w:rsid w:val="005C574B"/>
    <w:rsid w:val="005C5F32"/>
    <w:rsid w:val="005C74EA"/>
    <w:rsid w:val="005D4282"/>
    <w:rsid w:val="005E011E"/>
    <w:rsid w:val="005E09E1"/>
    <w:rsid w:val="005E38D0"/>
    <w:rsid w:val="005E6CBB"/>
    <w:rsid w:val="005E6E4E"/>
    <w:rsid w:val="005F1E25"/>
    <w:rsid w:val="005F35DE"/>
    <w:rsid w:val="0060090B"/>
    <w:rsid w:val="00604A23"/>
    <w:rsid w:val="00606CC4"/>
    <w:rsid w:val="00607918"/>
    <w:rsid w:val="00610994"/>
    <w:rsid w:val="006139EE"/>
    <w:rsid w:val="006163B1"/>
    <w:rsid w:val="00617653"/>
    <w:rsid w:val="0062006C"/>
    <w:rsid w:val="0062077F"/>
    <w:rsid w:val="00621074"/>
    <w:rsid w:val="00621670"/>
    <w:rsid w:val="00632662"/>
    <w:rsid w:val="0063315C"/>
    <w:rsid w:val="00634EC8"/>
    <w:rsid w:val="00636467"/>
    <w:rsid w:val="00642143"/>
    <w:rsid w:val="00642BC1"/>
    <w:rsid w:val="00642DC2"/>
    <w:rsid w:val="00647D50"/>
    <w:rsid w:val="006517F9"/>
    <w:rsid w:val="0065256F"/>
    <w:rsid w:val="00657916"/>
    <w:rsid w:val="00662155"/>
    <w:rsid w:val="00664E78"/>
    <w:rsid w:val="00666DCD"/>
    <w:rsid w:val="0066769B"/>
    <w:rsid w:val="00667E77"/>
    <w:rsid w:val="00671B26"/>
    <w:rsid w:val="00671CD2"/>
    <w:rsid w:val="00676006"/>
    <w:rsid w:val="006766A4"/>
    <w:rsid w:val="00683D69"/>
    <w:rsid w:val="00685DF9"/>
    <w:rsid w:val="00690DB6"/>
    <w:rsid w:val="00694620"/>
    <w:rsid w:val="00694EC8"/>
    <w:rsid w:val="00696BBB"/>
    <w:rsid w:val="006A09F8"/>
    <w:rsid w:val="006A2C27"/>
    <w:rsid w:val="006A2CC4"/>
    <w:rsid w:val="006A4DE7"/>
    <w:rsid w:val="006A75E1"/>
    <w:rsid w:val="006A7EF1"/>
    <w:rsid w:val="006B3574"/>
    <w:rsid w:val="006B3639"/>
    <w:rsid w:val="006B3DA6"/>
    <w:rsid w:val="006C12C1"/>
    <w:rsid w:val="006C5B54"/>
    <w:rsid w:val="006C6D2D"/>
    <w:rsid w:val="006D0562"/>
    <w:rsid w:val="006D06E0"/>
    <w:rsid w:val="006D1DE2"/>
    <w:rsid w:val="006D42C0"/>
    <w:rsid w:val="006D7905"/>
    <w:rsid w:val="006E094B"/>
    <w:rsid w:val="006E39B8"/>
    <w:rsid w:val="006E5794"/>
    <w:rsid w:val="006E652E"/>
    <w:rsid w:val="006E693B"/>
    <w:rsid w:val="006E70C5"/>
    <w:rsid w:val="006F114E"/>
    <w:rsid w:val="006F3DA1"/>
    <w:rsid w:val="006F452A"/>
    <w:rsid w:val="006F5134"/>
    <w:rsid w:val="006F557F"/>
    <w:rsid w:val="00701CE3"/>
    <w:rsid w:val="00715F1C"/>
    <w:rsid w:val="00716514"/>
    <w:rsid w:val="00720929"/>
    <w:rsid w:val="00723BEF"/>
    <w:rsid w:val="0072683F"/>
    <w:rsid w:val="0073188B"/>
    <w:rsid w:val="00731C52"/>
    <w:rsid w:val="00732010"/>
    <w:rsid w:val="00736D96"/>
    <w:rsid w:val="00737D05"/>
    <w:rsid w:val="007412EB"/>
    <w:rsid w:val="00744585"/>
    <w:rsid w:val="007445CD"/>
    <w:rsid w:val="007473C1"/>
    <w:rsid w:val="00747A23"/>
    <w:rsid w:val="00747FDE"/>
    <w:rsid w:val="0075010D"/>
    <w:rsid w:val="00750595"/>
    <w:rsid w:val="00754169"/>
    <w:rsid w:val="00756A85"/>
    <w:rsid w:val="0076036C"/>
    <w:rsid w:val="0076323B"/>
    <w:rsid w:val="00763600"/>
    <w:rsid w:val="007650A9"/>
    <w:rsid w:val="00766665"/>
    <w:rsid w:val="00770E68"/>
    <w:rsid w:val="007741C2"/>
    <w:rsid w:val="007760B7"/>
    <w:rsid w:val="00781A3F"/>
    <w:rsid w:val="0078257A"/>
    <w:rsid w:val="00785DCF"/>
    <w:rsid w:val="007906F1"/>
    <w:rsid w:val="007908FF"/>
    <w:rsid w:val="007919F1"/>
    <w:rsid w:val="007934DC"/>
    <w:rsid w:val="00794C74"/>
    <w:rsid w:val="007A47AD"/>
    <w:rsid w:val="007A777C"/>
    <w:rsid w:val="007B11DD"/>
    <w:rsid w:val="007B2CB1"/>
    <w:rsid w:val="007B3E2F"/>
    <w:rsid w:val="007B4199"/>
    <w:rsid w:val="007C189F"/>
    <w:rsid w:val="007C2FBB"/>
    <w:rsid w:val="007C3AF8"/>
    <w:rsid w:val="007C4BCF"/>
    <w:rsid w:val="007D2B13"/>
    <w:rsid w:val="007D5E11"/>
    <w:rsid w:val="007E2F01"/>
    <w:rsid w:val="007E45E5"/>
    <w:rsid w:val="007E714C"/>
    <w:rsid w:val="007F1A89"/>
    <w:rsid w:val="007F3681"/>
    <w:rsid w:val="007F47D5"/>
    <w:rsid w:val="007F6072"/>
    <w:rsid w:val="00804490"/>
    <w:rsid w:val="008103BC"/>
    <w:rsid w:val="00813DED"/>
    <w:rsid w:val="0081587F"/>
    <w:rsid w:val="00817796"/>
    <w:rsid w:val="00817A51"/>
    <w:rsid w:val="008204E6"/>
    <w:rsid w:val="008219FB"/>
    <w:rsid w:val="00824645"/>
    <w:rsid w:val="00831489"/>
    <w:rsid w:val="00832247"/>
    <w:rsid w:val="00832344"/>
    <w:rsid w:val="00833C84"/>
    <w:rsid w:val="00835CF5"/>
    <w:rsid w:val="00840125"/>
    <w:rsid w:val="008414DB"/>
    <w:rsid w:val="008421D0"/>
    <w:rsid w:val="00846515"/>
    <w:rsid w:val="00846A43"/>
    <w:rsid w:val="008471C2"/>
    <w:rsid w:val="00853412"/>
    <w:rsid w:val="008535C2"/>
    <w:rsid w:val="0085452F"/>
    <w:rsid w:val="00855B20"/>
    <w:rsid w:val="0085704C"/>
    <w:rsid w:val="00857DAE"/>
    <w:rsid w:val="0086044A"/>
    <w:rsid w:val="00861DDF"/>
    <w:rsid w:val="00864C82"/>
    <w:rsid w:val="008661FB"/>
    <w:rsid w:val="00866438"/>
    <w:rsid w:val="00877AF8"/>
    <w:rsid w:val="00881D9D"/>
    <w:rsid w:val="008823C9"/>
    <w:rsid w:val="0088408F"/>
    <w:rsid w:val="00885657"/>
    <w:rsid w:val="00886076"/>
    <w:rsid w:val="00886CEF"/>
    <w:rsid w:val="00887BF5"/>
    <w:rsid w:val="0089073F"/>
    <w:rsid w:val="00892ABC"/>
    <w:rsid w:val="0089404A"/>
    <w:rsid w:val="00895670"/>
    <w:rsid w:val="00895A71"/>
    <w:rsid w:val="008978D6"/>
    <w:rsid w:val="008A43D0"/>
    <w:rsid w:val="008B2F87"/>
    <w:rsid w:val="008B620F"/>
    <w:rsid w:val="008B6F74"/>
    <w:rsid w:val="008C587A"/>
    <w:rsid w:val="008D19FE"/>
    <w:rsid w:val="008D458B"/>
    <w:rsid w:val="008D4F72"/>
    <w:rsid w:val="008D5B1E"/>
    <w:rsid w:val="008D626D"/>
    <w:rsid w:val="008D6C95"/>
    <w:rsid w:val="008D7F88"/>
    <w:rsid w:val="008E2BD9"/>
    <w:rsid w:val="008E376A"/>
    <w:rsid w:val="008E382A"/>
    <w:rsid w:val="008E4869"/>
    <w:rsid w:val="008E4B0D"/>
    <w:rsid w:val="008E55D5"/>
    <w:rsid w:val="008E7383"/>
    <w:rsid w:val="008F04BA"/>
    <w:rsid w:val="008F156F"/>
    <w:rsid w:val="008F5357"/>
    <w:rsid w:val="008F5384"/>
    <w:rsid w:val="008F6B2E"/>
    <w:rsid w:val="009041E3"/>
    <w:rsid w:val="0090429D"/>
    <w:rsid w:val="009177D6"/>
    <w:rsid w:val="0092031F"/>
    <w:rsid w:val="0092195E"/>
    <w:rsid w:val="00922850"/>
    <w:rsid w:val="00925B85"/>
    <w:rsid w:val="00927E07"/>
    <w:rsid w:val="00933C80"/>
    <w:rsid w:val="00934AB3"/>
    <w:rsid w:val="00936127"/>
    <w:rsid w:val="009366AC"/>
    <w:rsid w:val="00940109"/>
    <w:rsid w:val="009406DC"/>
    <w:rsid w:val="009462DA"/>
    <w:rsid w:val="00951EC7"/>
    <w:rsid w:val="00953C5D"/>
    <w:rsid w:val="00955148"/>
    <w:rsid w:val="00955797"/>
    <w:rsid w:val="0095685C"/>
    <w:rsid w:val="009570BC"/>
    <w:rsid w:val="0095789C"/>
    <w:rsid w:val="00957FA7"/>
    <w:rsid w:val="00962CC2"/>
    <w:rsid w:val="009638F1"/>
    <w:rsid w:val="0096496D"/>
    <w:rsid w:val="00964DF6"/>
    <w:rsid w:val="00966081"/>
    <w:rsid w:val="009742E7"/>
    <w:rsid w:val="00975616"/>
    <w:rsid w:val="0097645B"/>
    <w:rsid w:val="009765EC"/>
    <w:rsid w:val="00976CCD"/>
    <w:rsid w:val="00980DA8"/>
    <w:rsid w:val="0098272F"/>
    <w:rsid w:val="00982F56"/>
    <w:rsid w:val="00983A0B"/>
    <w:rsid w:val="00993840"/>
    <w:rsid w:val="009965A6"/>
    <w:rsid w:val="009967D3"/>
    <w:rsid w:val="009A06FF"/>
    <w:rsid w:val="009A4090"/>
    <w:rsid w:val="009A6D5C"/>
    <w:rsid w:val="009B0E79"/>
    <w:rsid w:val="009B4EE0"/>
    <w:rsid w:val="009C2D55"/>
    <w:rsid w:val="009C657F"/>
    <w:rsid w:val="009D192A"/>
    <w:rsid w:val="009D1AF0"/>
    <w:rsid w:val="009D350D"/>
    <w:rsid w:val="009D3C0C"/>
    <w:rsid w:val="009D43FE"/>
    <w:rsid w:val="009D448A"/>
    <w:rsid w:val="009D56C9"/>
    <w:rsid w:val="009D64D1"/>
    <w:rsid w:val="009E1B40"/>
    <w:rsid w:val="009E3282"/>
    <w:rsid w:val="009E32AD"/>
    <w:rsid w:val="009E6ADA"/>
    <w:rsid w:val="009F0F5E"/>
    <w:rsid w:val="009F1156"/>
    <w:rsid w:val="009F24A5"/>
    <w:rsid w:val="009F48C4"/>
    <w:rsid w:val="009F4C7E"/>
    <w:rsid w:val="009F75F5"/>
    <w:rsid w:val="00A115F3"/>
    <w:rsid w:val="00A17FA0"/>
    <w:rsid w:val="00A2092A"/>
    <w:rsid w:val="00A21E71"/>
    <w:rsid w:val="00A23BA3"/>
    <w:rsid w:val="00A33C22"/>
    <w:rsid w:val="00A3411F"/>
    <w:rsid w:val="00A37358"/>
    <w:rsid w:val="00A41007"/>
    <w:rsid w:val="00A45DE4"/>
    <w:rsid w:val="00A462AC"/>
    <w:rsid w:val="00A46840"/>
    <w:rsid w:val="00A51D8B"/>
    <w:rsid w:val="00A52BF0"/>
    <w:rsid w:val="00A53832"/>
    <w:rsid w:val="00A53A4E"/>
    <w:rsid w:val="00A564EF"/>
    <w:rsid w:val="00A5723D"/>
    <w:rsid w:val="00A6423F"/>
    <w:rsid w:val="00A6506F"/>
    <w:rsid w:val="00A65353"/>
    <w:rsid w:val="00A66357"/>
    <w:rsid w:val="00A703A8"/>
    <w:rsid w:val="00A7231A"/>
    <w:rsid w:val="00A72A84"/>
    <w:rsid w:val="00A73910"/>
    <w:rsid w:val="00A74F90"/>
    <w:rsid w:val="00A77991"/>
    <w:rsid w:val="00A8140E"/>
    <w:rsid w:val="00A81525"/>
    <w:rsid w:val="00A87C2C"/>
    <w:rsid w:val="00A9638F"/>
    <w:rsid w:val="00AA13A4"/>
    <w:rsid w:val="00AA241A"/>
    <w:rsid w:val="00AA543E"/>
    <w:rsid w:val="00AA5CC4"/>
    <w:rsid w:val="00AA749D"/>
    <w:rsid w:val="00AB48DA"/>
    <w:rsid w:val="00AB5102"/>
    <w:rsid w:val="00AB618D"/>
    <w:rsid w:val="00AB6A75"/>
    <w:rsid w:val="00AB7465"/>
    <w:rsid w:val="00AC0193"/>
    <w:rsid w:val="00AC02EA"/>
    <w:rsid w:val="00AC0B62"/>
    <w:rsid w:val="00AC0DC3"/>
    <w:rsid w:val="00AC36E8"/>
    <w:rsid w:val="00AC4830"/>
    <w:rsid w:val="00AC54FC"/>
    <w:rsid w:val="00AC6177"/>
    <w:rsid w:val="00AC7035"/>
    <w:rsid w:val="00AC751E"/>
    <w:rsid w:val="00AD0401"/>
    <w:rsid w:val="00AD182C"/>
    <w:rsid w:val="00AD2C24"/>
    <w:rsid w:val="00AD53CA"/>
    <w:rsid w:val="00AD7C87"/>
    <w:rsid w:val="00AE1527"/>
    <w:rsid w:val="00AE29E8"/>
    <w:rsid w:val="00AE43B6"/>
    <w:rsid w:val="00AE545C"/>
    <w:rsid w:val="00AF0E96"/>
    <w:rsid w:val="00AF5BFF"/>
    <w:rsid w:val="00B0027D"/>
    <w:rsid w:val="00B00D67"/>
    <w:rsid w:val="00B03870"/>
    <w:rsid w:val="00B11F99"/>
    <w:rsid w:val="00B1221A"/>
    <w:rsid w:val="00B12930"/>
    <w:rsid w:val="00B141D1"/>
    <w:rsid w:val="00B17466"/>
    <w:rsid w:val="00B17545"/>
    <w:rsid w:val="00B269C4"/>
    <w:rsid w:val="00B342E5"/>
    <w:rsid w:val="00B37147"/>
    <w:rsid w:val="00B444BF"/>
    <w:rsid w:val="00B508B6"/>
    <w:rsid w:val="00B519B7"/>
    <w:rsid w:val="00B52FDC"/>
    <w:rsid w:val="00B65ED0"/>
    <w:rsid w:val="00B85487"/>
    <w:rsid w:val="00B87506"/>
    <w:rsid w:val="00B87F31"/>
    <w:rsid w:val="00B906FA"/>
    <w:rsid w:val="00B91C86"/>
    <w:rsid w:val="00B920BB"/>
    <w:rsid w:val="00B94520"/>
    <w:rsid w:val="00B94C94"/>
    <w:rsid w:val="00B961CD"/>
    <w:rsid w:val="00BA1BC3"/>
    <w:rsid w:val="00BA3669"/>
    <w:rsid w:val="00BA6CA6"/>
    <w:rsid w:val="00BA7BF2"/>
    <w:rsid w:val="00BB09BC"/>
    <w:rsid w:val="00BB2417"/>
    <w:rsid w:val="00BB582F"/>
    <w:rsid w:val="00BB71D8"/>
    <w:rsid w:val="00BC15FF"/>
    <w:rsid w:val="00BC1E78"/>
    <w:rsid w:val="00BC2EFF"/>
    <w:rsid w:val="00BC6FD2"/>
    <w:rsid w:val="00BC7D12"/>
    <w:rsid w:val="00BD1422"/>
    <w:rsid w:val="00BD578C"/>
    <w:rsid w:val="00BD6B4F"/>
    <w:rsid w:val="00BE0800"/>
    <w:rsid w:val="00BE2910"/>
    <w:rsid w:val="00BE2C55"/>
    <w:rsid w:val="00BE3235"/>
    <w:rsid w:val="00BE531A"/>
    <w:rsid w:val="00BE547B"/>
    <w:rsid w:val="00BE55D8"/>
    <w:rsid w:val="00BF01E6"/>
    <w:rsid w:val="00BF08FA"/>
    <w:rsid w:val="00BF296B"/>
    <w:rsid w:val="00BF39E3"/>
    <w:rsid w:val="00BF6E2F"/>
    <w:rsid w:val="00C00216"/>
    <w:rsid w:val="00C04BF1"/>
    <w:rsid w:val="00C05E6A"/>
    <w:rsid w:val="00C06C33"/>
    <w:rsid w:val="00C07FA9"/>
    <w:rsid w:val="00C10969"/>
    <w:rsid w:val="00C215A9"/>
    <w:rsid w:val="00C2526A"/>
    <w:rsid w:val="00C26DD9"/>
    <w:rsid w:val="00C30376"/>
    <w:rsid w:val="00C3042D"/>
    <w:rsid w:val="00C33EC2"/>
    <w:rsid w:val="00C34911"/>
    <w:rsid w:val="00C34F61"/>
    <w:rsid w:val="00C41095"/>
    <w:rsid w:val="00C42729"/>
    <w:rsid w:val="00C43C9E"/>
    <w:rsid w:val="00C453FB"/>
    <w:rsid w:val="00C45A71"/>
    <w:rsid w:val="00C47D41"/>
    <w:rsid w:val="00C50144"/>
    <w:rsid w:val="00C5359A"/>
    <w:rsid w:val="00C604AC"/>
    <w:rsid w:val="00C620DC"/>
    <w:rsid w:val="00C62D32"/>
    <w:rsid w:val="00C65D4E"/>
    <w:rsid w:val="00C677F5"/>
    <w:rsid w:val="00C67969"/>
    <w:rsid w:val="00C72F7E"/>
    <w:rsid w:val="00C74D21"/>
    <w:rsid w:val="00C75399"/>
    <w:rsid w:val="00C75B09"/>
    <w:rsid w:val="00C8245E"/>
    <w:rsid w:val="00C84A37"/>
    <w:rsid w:val="00C92BED"/>
    <w:rsid w:val="00C9348F"/>
    <w:rsid w:val="00C93A7C"/>
    <w:rsid w:val="00C943DA"/>
    <w:rsid w:val="00C9717C"/>
    <w:rsid w:val="00CA15C6"/>
    <w:rsid w:val="00CA35D8"/>
    <w:rsid w:val="00CA50FD"/>
    <w:rsid w:val="00CA527A"/>
    <w:rsid w:val="00CA7DAC"/>
    <w:rsid w:val="00CC5229"/>
    <w:rsid w:val="00CC6882"/>
    <w:rsid w:val="00CC6FD8"/>
    <w:rsid w:val="00CD00DB"/>
    <w:rsid w:val="00CD1A3F"/>
    <w:rsid w:val="00CD2A1E"/>
    <w:rsid w:val="00CD3136"/>
    <w:rsid w:val="00CD3B8C"/>
    <w:rsid w:val="00CD455E"/>
    <w:rsid w:val="00CD45A5"/>
    <w:rsid w:val="00CE6D53"/>
    <w:rsid w:val="00CF1833"/>
    <w:rsid w:val="00CF34BB"/>
    <w:rsid w:val="00CF5476"/>
    <w:rsid w:val="00CF593D"/>
    <w:rsid w:val="00CF6E5D"/>
    <w:rsid w:val="00D00799"/>
    <w:rsid w:val="00D00CFA"/>
    <w:rsid w:val="00D069D7"/>
    <w:rsid w:val="00D06ADE"/>
    <w:rsid w:val="00D07C9E"/>
    <w:rsid w:val="00D14F6D"/>
    <w:rsid w:val="00D15629"/>
    <w:rsid w:val="00D15959"/>
    <w:rsid w:val="00D178A6"/>
    <w:rsid w:val="00D2171F"/>
    <w:rsid w:val="00D21E2E"/>
    <w:rsid w:val="00D239DA"/>
    <w:rsid w:val="00D2469F"/>
    <w:rsid w:val="00D30163"/>
    <w:rsid w:val="00D3127E"/>
    <w:rsid w:val="00D32176"/>
    <w:rsid w:val="00D33196"/>
    <w:rsid w:val="00D37B10"/>
    <w:rsid w:val="00D4707B"/>
    <w:rsid w:val="00D473B0"/>
    <w:rsid w:val="00D50415"/>
    <w:rsid w:val="00D5099D"/>
    <w:rsid w:val="00D52DBE"/>
    <w:rsid w:val="00D532E6"/>
    <w:rsid w:val="00D54189"/>
    <w:rsid w:val="00D54D82"/>
    <w:rsid w:val="00D569B0"/>
    <w:rsid w:val="00D606AA"/>
    <w:rsid w:val="00D610DC"/>
    <w:rsid w:val="00D61301"/>
    <w:rsid w:val="00D622D5"/>
    <w:rsid w:val="00D63BBE"/>
    <w:rsid w:val="00D64343"/>
    <w:rsid w:val="00D65C58"/>
    <w:rsid w:val="00D672E9"/>
    <w:rsid w:val="00D6786C"/>
    <w:rsid w:val="00D67C75"/>
    <w:rsid w:val="00D7093C"/>
    <w:rsid w:val="00D74255"/>
    <w:rsid w:val="00D74B10"/>
    <w:rsid w:val="00D74FFA"/>
    <w:rsid w:val="00D75036"/>
    <w:rsid w:val="00D751F4"/>
    <w:rsid w:val="00D76C77"/>
    <w:rsid w:val="00D779E7"/>
    <w:rsid w:val="00D811E7"/>
    <w:rsid w:val="00D81971"/>
    <w:rsid w:val="00D94A1E"/>
    <w:rsid w:val="00D96811"/>
    <w:rsid w:val="00D97E6B"/>
    <w:rsid w:val="00DA3318"/>
    <w:rsid w:val="00DA4936"/>
    <w:rsid w:val="00DA682B"/>
    <w:rsid w:val="00DB1B64"/>
    <w:rsid w:val="00DB1E08"/>
    <w:rsid w:val="00DB28F1"/>
    <w:rsid w:val="00DC16F8"/>
    <w:rsid w:val="00DD272E"/>
    <w:rsid w:val="00DD40D1"/>
    <w:rsid w:val="00DD56DD"/>
    <w:rsid w:val="00DD6878"/>
    <w:rsid w:val="00DE317F"/>
    <w:rsid w:val="00DE3619"/>
    <w:rsid w:val="00DF4315"/>
    <w:rsid w:val="00DF659A"/>
    <w:rsid w:val="00DF7FD9"/>
    <w:rsid w:val="00E042C8"/>
    <w:rsid w:val="00E1626B"/>
    <w:rsid w:val="00E16547"/>
    <w:rsid w:val="00E20945"/>
    <w:rsid w:val="00E2539C"/>
    <w:rsid w:val="00E318C0"/>
    <w:rsid w:val="00E322DD"/>
    <w:rsid w:val="00E34DED"/>
    <w:rsid w:val="00E37B2C"/>
    <w:rsid w:val="00E4149A"/>
    <w:rsid w:val="00E431B1"/>
    <w:rsid w:val="00E47119"/>
    <w:rsid w:val="00E47231"/>
    <w:rsid w:val="00E5021B"/>
    <w:rsid w:val="00E539DA"/>
    <w:rsid w:val="00E56CE2"/>
    <w:rsid w:val="00E57375"/>
    <w:rsid w:val="00E62D51"/>
    <w:rsid w:val="00E648B6"/>
    <w:rsid w:val="00E6501B"/>
    <w:rsid w:val="00E66189"/>
    <w:rsid w:val="00E73C0E"/>
    <w:rsid w:val="00E74366"/>
    <w:rsid w:val="00E8147C"/>
    <w:rsid w:val="00E837B3"/>
    <w:rsid w:val="00E8396F"/>
    <w:rsid w:val="00E84FE9"/>
    <w:rsid w:val="00E85809"/>
    <w:rsid w:val="00E90311"/>
    <w:rsid w:val="00E94A7C"/>
    <w:rsid w:val="00E9510D"/>
    <w:rsid w:val="00E9747B"/>
    <w:rsid w:val="00EA27A9"/>
    <w:rsid w:val="00EA733F"/>
    <w:rsid w:val="00EB1AE5"/>
    <w:rsid w:val="00EB1C79"/>
    <w:rsid w:val="00EB4E8B"/>
    <w:rsid w:val="00EB795C"/>
    <w:rsid w:val="00EC0874"/>
    <w:rsid w:val="00EC19C1"/>
    <w:rsid w:val="00EC23D4"/>
    <w:rsid w:val="00EC2B13"/>
    <w:rsid w:val="00EC55CA"/>
    <w:rsid w:val="00EC7D99"/>
    <w:rsid w:val="00ED2F10"/>
    <w:rsid w:val="00ED4459"/>
    <w:rsid w:val="00ED5E47"/>
    <w:rsid w:val="00ED6BC0"/>
    <w:rsid w:val="00ED771D"/>
    <w:rsid w:val="00EE0E09"/>
    <w:rsid w:val="00EF46AD"/>
    <w:rsid w:val="00EF7289"/>
    <w:rsid w:val="00F05835"/>
    <w:rsid w:val="00F07292"/>
    <w:rsid w:val="00F0738F"/>
    <w:rsid w:val="00F10325"/>
    <w:rsid w:val="00F1397F"/>
    <w:rsid w:val="00F26CAD"/>
    <w:rsid w:val="00F312E1"/>
    <w:rsid w:val="00F31574"/>
    <w:rsid w:val="00F3428E"/>
    <w:rsid w:val="00F40276"/>
    <w:rsid w:val="00F40E13"/>
    <w:rsid w:val="00F41F19"/>
    <w:rsid w:val="00F43FE6"/>
    <w:rsid w:val="00F51C96"/>
    <w:rsid w:val="00F547A7"/>
    <w:rsid w:val="00F607ED"/>
    <w:rsid w:val="00F60A90"/>
    <w:rsid w:val="00F6156B"/>
    <w:rsid w:val="00F62B0E"/>
    <w:rsid w:val="00F63271"/>
    <w:rsid w:val="00F64B05"/>
    <w:rsid w:val="00F6648A"/>
    <w:rsid w:val="00F728BA"/>
    <w:rsid w:val="00F72F70"/>
    <w:rsid w:val="00F738C5"/>
    <w:rsid w:val="00F748F0"/>
    <w:rsid w:val="00F769AC"/>
    <w:rsid w:val="00F7795E"/>
    <w:rsid w:val="00F77FE3"/>
    <w:rsid w:val="00F82222"/>
    <w:rsid w:val="00F85206"/>
    <w:rsid w:val="00F91739"/>
    <w:rsid w:val="00F91C89"/>
    <w:rsid w:val="00F940D2"/>
    <w:rsid w:val="00F95616"/>
    <w:rsid w:val="00F957D1"/>
    <w:rsid w:val="00F95B2A"/>
    <w:rsid w:val="00F96170"/>
    <w:rsid w:val="00FA4D7B"/>
    <w:rsid w:val="00FA4EA3"/>
    <w:rsid w:val="00FA5972"/>
    <w:rsid w:val="00FA615E"/>
    <w:rsid w:val="00FA6426"/>
    <w:rsid w:val="00FB2B06"/>
    <w:rsid w:val="00FC09C8"/>
    <w:rsid w:val="00FC3061"/>
    <w:rsid w:val="00FC32B8"/>
    <w:rsid w:val="00FC59A0"/>
    <w:rsid w:val="00FD1AB4"/>
    <w:rsid w:val="00FD5006"/>
    <w:rsid w:val="00FE09F5"/>
    <w:rsid w:val="00FE1277"/>
    <w:rsid w:val="00FE1283"/>
    <w:rsid w:val="00FE2E27"/>
    <w:rsid w:val="00FE76E0"/>
    <w:rsid w:val="00FF0844"/>
    <w:rsid w:val="00FF08B1"/>
    <w:rsid w:val="00FF16B0"/>
    <w:rsid w:val="00FF1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41A70"/>
  <w15:chartTrackingRefBased/>
  <w15:docId w15:val="{787705C4-E170-4D7E-994A-405EE0D2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link w:val="Heading1Char"/>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ListParagraph">
    <w:name w:val="List Paragraph"/>
    <w:basedOn w:val="Normal"/>
    <w:uiPriority w:val="34"/>
    <w:qFormat/>
    <w:rsid w:val="00666DCD"/>
    <w:pPr>
      <w:suppressAutoHyphens w:val="0"/>
      <w:spacing w:line="240" w:lineRule="auto"/>
      <w:ind w:left="720"/>
      <w:contextualSpacing/>
      <w:jc w:val="left"/>
    </w:pPr>
    <w:rPr>
      <w:rFonts w:ascii="Times New Roman" w:hAnsi="Times New Roman"/>
      <w:szCs w:val="24"/>
      <w:lang w:eastAsia="en-GB"/>
    </w:rPr>
  </w:style>
  <w:style w:type="character" w:customStyle="1" w:styleId="Heading1Char">
    <w:name w:val="Heading 1 Char"/>
    <w:link w:val="Heading1"/>
    <w:rsid w:val="00386053"/>
    <w:rPr>
      <w:rFonts w:ascii="Arial" w:hAnsi="Arial"/>
      <w:b/>
      <w:sz w:val="24"/>
      <w:lang w:eastAsia="en-US"/>
    </w:rPr>
  </w:style>
  <w:style w:type="character" w:customStyle="1" w:styleId="BodyTextIndentChar">
    <w:name w:val="Body Text Indent Char"/>
    <w:link w:val="BodyTextIndent"/>
    <w:rsid w:val="0038605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7FBC-A962-423A-91A8-4D9963E8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3</TotalTime>
  <Pages>16</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4</cp:revision>
  <cp:lastPrinted>2002-09-16T09:28:00Z</cp:lastPrinted>
  <dcterms:created xsi:type="dcterms:W3CDTF">2023-10-04T12:56:00Z</dcterms:created>
  <dcterms:modified xsi:type="dcterms:W3CDTF">2023-10-04T12:58:00Z</dcterms:modified>
</cp:coreProperties>
</file>