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01AC" w14:textId="77777777" w:rsidR="00606EC1" w:rsidRPr="00DB2A06" w:rsidRDefault="00606EC1" w:rsidP="00606EC1">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3DA85158" w14:textId="3797DEB5" w:rsidR="007C760F" w:rsidRPr="008822DF" w:rsidRDefault="007C760F" w:rsidP="007C760F">
      <w:pPr>
        <w:jc w:val="center"/>
        <w:rPr>
          <w:rFonts w:ascii="Times New Roman" w:hAnsi="Times New Roman"/>
          <w:szCs w:val="24"/>
        </w:rPr>
      </w:pPr>
    </w:p>
    <w:p w14:paraId="6B0BAA77" w14:textId="7DB19E6F" w:rsidR="007C760F" w:rsidRPr="008822DF" w:rsidRDefault="00606EC1" w:rsidP="007C760F">
      <w:pPr>
        <w:jc w:val="center"/>
        <w:rPr>
          <w:rFonts w:ascii="Times New Roman" w:hAnsi="Times New Roman"/>
          <w:szCs w:val="24"/>
        </w:rPr>
      </w:pPr>
      <w:r>
        <w:rPr>
          <w:rFonts w:ascii="Times New Roman" w:hAnsi="Times New Roman"/>
          <w:noProof/>
          <w:szCs w:val="24"/>
          <w:lang w:val="en-US"/>
        </w:rPr>
        <w:drawing>
          <wp:inline distT="0" distB="0" distL="0" distR="0" wp14:anchorId="2217F2A6" wp14:editId="0BC49A8E">
            <wp:extent cx="685800" cy="828675"/>
            <wp:effectExtent l="0" t="0" r="0" b="0"/>
            <wp:docPr id="1" name="Picture 7" descr="page1image9486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94865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inline>
        </w:drawing>
      </w:r>
    </w:p>
    <w:p w14:paraId="235426E5" w14:textId="77777777" w:rsidR="00606EC1" w:rsidRDefault="00606EC1" w:rsidP="007C760F">
      <w:pPr>
        <w:jc w:val="center"/>
        <w:rPr>
          <w:rFonts w:ascii="Times New Roman" w:hAnsi="Times New Roman"/>
          <w:b/>
          <w:bCs/>
          <w:szCs w:val="24"/>
        </w:rPr>
      </w:pPr>
    </w:p>
    <w:p w14:paraId="399794BC" w14:textId="77777777" w:rsidR="007C760F" w:rsidRPr="008822DF" w:rsidRDefault="007C760F" w:rsidP="007C760F">
      <w:pPr>
        <w:jc w:val="center"/>
        <w:rPr>
          <w:rFonts w:ascii="Times New Roman" w:hAnsi="Times New Roman"/>
          <w:b/>
          <w:bCs/>
          <w:szCs w:val="24"/>
        </w:rPr>
      </w:pPr>
      <w:r w:rsidRPr="008822DF">
        <w:rPr>
          <w:rFonts w:ascii="Times New Roman" w:hAnsi="Times New Roman"/>
          <w:b/>
          <w:bCs/>
          <w:szCs w:val="24"/>
        </w:rPr>
        <w:t>IN THE HIGH COURT OF SOUTH AFRICA</w:t>
      </w:r>
    </w:p>
    <w:p w14:paraId="0731D3BB" w14:textId="77777777" w:rsidR="007C760F" w:rsidRPr="008822DF" w:rsidRDefault="007C760F" w:rsidP="007C760F">
      <w:pPr>
        <w:jc w:val="center"/>
        <w:rPr>
          <w:rFonts w:ascii="Times New Roman" w:hAnsi="Times New Roman"/>
          <w:b/>
          <w:bCs/>
          <w:szCs w:val="24"/>
        </w:rPr>
      </w:pPr>
      <w:r w:rsidRPr="008822DF">
        <w:rPr>
          <w:rFonts w:ascii="Times New Roman" w:hAnsi="Times New Roman"/>
          <w:b/>
          <w:bCs/>
          <w:szCs w:val="24"/>
        </w:rPr>
        <w:t>GAUTENG LOCAL DIVISION, JOHANNESBURG</w:t>
      </w:r>
    </w:p>
    <w:p w14:paraId="1D9461D6" w14:textId="77777777" w:rsidR="007C760F" w:rsidRPr="008822DF" w:rsidRDefault="007C760F" w:rsidP="007C760F">
      <w:pPr>
        <w:rPr>
          <w:rFonts w:ascii="Times New Roman" w:hAnsi="Times New Roman"/>
          <w:szCs w:val="24"/>
        </w:rPr>
      </w:pPr>
    </w:p>
    <w:p w14:paraId="607A0B5C" w14:textId="77777777" w:rsidR="007C760F" w:rsidRPr="008822DF" w:rsidRDefault="007C760F" w:rsidP="007C760F">
      <w:pPr>
        <w:rPr>
          <w:rFonts w:ascii="Times New Roman" w:hAnsi="Times New Roman"/>
          <w:szCs w:val="24"/>
        </w:rPr>
      </w:pPr>
    </w:p>
    <w:p w14:paraId="4512A03D" w14:textId="527F196F" w:rsidR="007C760F" w:rsidRPr="008327FE" w:rsidRDefault="008327FE" w:rsidP="008327FE">
      <w:pPr>
        <w:pBdr>
          <w:top w:val="single" w:sz="4" w:space="1" w:color="auto"/>
          <w:left w:val="single" w:sz="4" w:space="4" w:color="auto"/>
          <w:bottom w:val="single" w:sz="4" w:space="1" w:color="auto"/>
          <w:right w:val="single" w:sz="4" w:space="0" w:color="auto"/>
        </w:pBdr>
        <w:spacing w:line="240" w:lineRule="auto"/>
        <w:ind w:left="720" w:hanging="360"/>
        <w:rPr>
          <w:rFonts w:ascii="Times New Roman" w:hAnsi="Times New Roman"/>
          <w:szCs w:val="24"/>
        </w:rPr>
      </w:pPr>
      <w:r w:rsidRPr="008822DF">
        <w:rPr>
          <w:rFonts w:ascii="Times New Roman" w:eastAsia="Calibri" w:hAnsi="Times New Roman"/>
          <w:szCs w:val="24"/>
        </w:rPr>
        <w:t>(1)</w:t>
      </w:r>
      <w:r w:rsidRPr="008822DF">
        <w:rPr>
          <w:rFonts w:ascii="Times New Roman" w:eastAsia="Calibri" w:hAnsi="Times New Roman"/>
          <w:szCs w:val="24"/>
        </w:rPr>
        <w:tab/>
      </w:r>
      <w:r w:rsidR="007C760F" w:rsidRPr="008327FE">
        <w:rPr>
          <w:rFonts w:ascii="Times New Roman" w:hAnsi="Times New Roman"/>
          <w:szCs w:val="24"/>
        </w:rPr>
        <w:t xml:space="preserve">REPORTABLE: </w:t>
      </w:r>
      <w:r w:rsidR="007C760F" w:rsidRPr="008327FE">
        <w:rPr>
          <w:rFonts w:ascii="Times New Roman" w:hAnsi="Times New Roman"/>
          <w:strike/>
          <w:szCs w:val="24"/>
        </w:rPr>
        <w:t>YES</w:t>
      </w:r>
      <w:r w:rsidR="007C760F" w:rsidRPr="008327FE">
        <w:rPr>
          <w:rFonts w:ascii="Times New Roman" w:hAnsi="Times New Roman"/>
          <w:szCs w:val="24"/>
        </w:rPr>
        <w:t>/NO</w:t>
      </w:r>
    </w:p>
    <w:p w14:paraId="769A1980" w14:textId="04417AB8" w:rsidR="007C760F" w:rsidRPr="008327FE" w:rsidRDefault="008327FE" w:rsidP="008327FE">
      <w:pPr>
        <w:pBdr>
          <w:top w:val="single" w:sz="4" w:space="1" w:color="auto"/>
          <w:left w:val="single" w:sz="4" w:space="4" w:color="auto"/>
          <w:bottom w:val="single" w:sz="4" w:space="1" w:color="auto"/>
          <w:right w:val="single" w:sz="4" w:space="0" w:color="auto"/>
        </w:pBdr>
        <w:spacing w:line="240" w:lineRule="auto"/>
        <w:ind w:left="720" w:hanging="360"/>
        <w:rPr>
          <w:rFonts w:ascii="Times New Roman" w:hAnsi="Times New Roman"/>
          <w:szCs w:val="24"/>
        </w:rPr>
      </w:pPr>
      <w:r w:rsidRPr="008822DF">
        <w:rPr>
          <w:rFonts w:ascii="Times New Roman" w:eastAsia="Calibri" w:hAnsi="Times New Roman"/>
          <w:szCs w:val="24"/>
        </w:rPr>
        <w:t>(2)</w:t>
      </w:r>
      <w:r w:rsidRPr="008822DF">
        <w:rPr>
          <w:rFonts w:ascii="Times New Roman" w:eastAsia="Calibri" w:hAnsi="Times New Roman"/>
          <w:szCs w:val="24"/>
        </w:rPr>
        <w:tab/>
      </w:r>
      <w:r w:rsidR="007C760F" w:rsidRPr="008327FE">
        <w:rPr>
          <w:rFonts w:ascii="Times New Roman" w:hAnsi="Times New Roman"/>
          <w:szCs w:val="24"/>
        </w:rPr>
        <w:t xml:space="preserve">OF INTEREST OF OTHER JUDGES: </w:t>
      </w:r>
      <w:r w:rsidR="007C760F" w:rsidRPr="008327FE">
        <w:rPr>
          <w:rFonts w:ascii="Times New Roman" w:hAnsi="Times New Roman"/>
          <w:strike/>
          <w:szCs w:val="24"/>
        </w:rPr>
        <w:t>YES</w:t>
      </w:r>
      <w:r w:rsidR="007C760F" w:rsidRPr="008327FE">
        <w:rPr>
          <w:rFonts w:ascii="Times New Roman" w:hAnsi="Times New Roman"/>
          <w:szCs w:val="24"/>
        </w:rPr>
        <w:t>/NO</w:t>
      </w:r>
    </w:p>
    <w:p w14:paraId="10D13F6F" w14:textId="638C1C8D" w:rsidR="007C760F" w:rsidRPr="008327FE" w:rsidRDefault="008327FE" w:rsidP="008327FE">
      <w:pPr>
        <w:pBdr>
          <w:top w:val="single" w:sz="4" w:space="1" w:color="auto"/>
          <w:left w:val="single" w:sz="4" w:space="4" w:color="auto"/>
          <w:bottom w:val="single" w:sz="4" w:space="1" w:color="auto"/>
          <w:right w:val="single" w:sz="4" w:space="0" w:color="auto"/>
        </w:pBdr>
        <w:spacing w:line="240" w:lineRule="auto"/>
        <w:ind w:left="720" w:hanging="360"/>
        <w:rPr>
          <w:rFonts w:ascii="Times New Roman" w:hAnsi="Times New Roman"/>
          <w:szCs w:val="24"/>
        </w:rPr>
      </w:pPr>
      <w:r w:rsidRPr="008822DF">
        <w:rPr>
          <w:rFonts w:ascii="Times New Roman" w:eastAsia="Calibri" w:hAnsi="Times New Roman"/>
          <w:szCs w:val="24"/>
        </w:rPr>
        <w:t>(3)</w:t>
      </w:r>
      <w:r w:rsidRPr="008822DF">
        <w:rPr>
          <w:rFonts w:ascii="Times New Roman" w:eastAsia="Calibri" w:hAnsi="Times New Roman"/>
          <w:szCs w:val="24"/>
        </w:rPr>
        <w:tab/>
      </w:r>
      <w:r w:rsidR="007C760F" w:rsidRPr="008327FE">
        <w:rPr>
          <w:rFonts w:ascii="Times New Roman" w:hAnsi="Times New Roman"/>
          <w:szCs w:val="24"/>
        </w:rPr>
        <w:t>REVISED</w:t>
      </w:r>
    </w:p>
    <w:p w14:paraId="467B4995" w14:textId="77777777" w:rsidR="007C760F" w:rsidRPr="008822DF" w:rsidRDefault="007C760F" w:rsidP="007C760F">
      <w:pPr>
        <w:pBdr>
          <w:top w:val="single" w:sz="4" w:space="1" w:color="auto"/>
          <w:left w:val="single" w:sz="4" w:space="4" w:color="auto"/>
          <w:bottom w:val="single" w:sz="4" w:space="1" w:color="auto"/>
          <w:right w:val="single" w:sz="4" w:space="0" w:color="auto"/>
        </w:pBdr>
        <w:ind w:left="360"/>
        <w:rPr>
          <w:rFonts w:ascii="Times New Roman" w:hAnsi="Times New Roman"/>
          <w:szCs w:val="24"/>
        </w:rPr>
      </w:pPr>
      <w:r w:rsidRPr="008822DF">
        <w:rPr>
          <w:rFonts w:ascii="Times New Roman" w:hAnsi="Times New Roman"/>
          <w:szCs w:val="24"/>
        </w:rPr>
        <w:t>_________________                               ________________________</w:t>
      </w:r>
    </w:p>
    <w:p w14:paraId="02C2C52E" w14:textId="77777777" w:rsidR="007C760F" w:rsidRPr="008822DF" w:rsidRDefault="007C760F" w:rsidP="007C760F">
      <w:pPr>
        <w:pBdr>
          <w:top w:val="single" w:sz="4" w:space="1" w:color="auto"/>
          <w:left w:val="single" w:sz="4" w:space="4" w:color="auto"/>
          <w:bottom w:val="single" w:sz="4" w:space="1" w:color="auto"/>
          <w:right w:val="single" w:sz="4" w:space="0" w:color="auto"/>
        </w:pBdr>
        <w:ind w:left="360"/>
        <w:rPr>
          <w:rFonts w:ascii="Times New Roman" w:hAnsi="Times New Roman"/>
          <w:szCs w:val="24"/>
        </w:rPr>
      </w:pPr>
      <w:r w:rsidRPr="008822DF">
        <w:rPr>
          <w:rFonts w:ascii="Times New Roman" w:hAnsi="Times New Roman"/>
          <w:szCs w:val="24"/>
        </w:rPr>
        <w:t>DATE</w:t>
      </w:r>
      <w:r w:rsidRPr="008822DF">
        <w:rPr>
          <w:rFonts w:ascii="Times New Roman" w:hAnsi="Times New Roman"/>
          <w:szCs w:val="24"/>
        </w:rPr>
        <w:tab/>
      </w:r>
      <w:r w:rsidRPr="008822DF">
        <w:rPr>
          <w:rFonts w:ascii="Times New Roman" w:hAnsi="Times New Roman"/>
          <w:szCs w:val="24"/>
        </w:rPr>
        <w:tab/>
      </w:r>
      <w:r w:rsidRPr="008822DF">
        <w:rPr>
          <w:rFonts w:ascii="Times New Roman" w:hAnsi="Times New Roman"/>
          <w:szCs w:val="24"/>
        </w:rPr>
        <w:tab/>
      </w:r>
      <w:r w:rsidRPr="008822DF">
        <w:rPr>
          <w:rFonts w:ascii="Times New Roman" w:hAnsi="Times New Roman"/>
          <w:szCs w:val="24"/>
        </w:rPr>
        <w:tab/>
        <w:t xml:space="preserve">         SIGNATURE</w:t>
      </w:r>
    </w:p>
    <w:p w14:paraId="05132658" w14:textId="77777777" w:rsidR="007C760F" w:rsidRPr="008822DF" w:rsidRDefault="007C760F" w:rsidP="007C760F">
      <w:pPr>
        <w:pBdr>
          <w:top w:val="single" w:sz="4" w:space="1" w:color="auto"/>
          <w:left w:val="single" w:sz="4" w:space="4" w:color="auto"/>
          <w:bottom w:val="single" w:sz="4" w:space="1" w:color="auto"/>
          <w:right w:val="single" w:sz="4" w:space="0" w:color="auto"/>
        </w:pBdr>
        <w:ind w:left="360"/>
        <w:rPr>
          <w:rFonts w:ascii="Times New Roman" w:hAnsi="Times New Roman"/>
          <w:szCs w:val="24"/>
        </w:rPr>
      </w:pPr>
    </w:p>
    <w:p w14:paraId="4AB2AD07" w14:textId="77777777" w:rsidR="007C760F" w:rsidRPr="008822DF" w:rsidRDefault="007C760F" w:rsidP="007C760F">
      <w:pPr>
        <w:rPr>
          <w:rFonts w:ascii="Times New Roman" w:hAnsi="Times New Roman"/>
          <w:szCs w:val="24"/>
        </w:rPr>
      </w:pPr>
    </w:p>
    <w:p w14:paraId="444285B5" w14:textId="25441BC8" w:rsidR="008A2489" w:rsidRPr="008822DF" w:rsidRDefault="008A2489" w:rsidP="008A2489">
      <w:pPr>
        <w:autoSpaceDE w:val="0"/>
        <w:autoSpaceDN w:val="0"/>
        <w:adjustRightInd w:val="0"/>
        <w:spacing w:line="240" w:lineRule="auto"/>
        <w:jc w:val="right"/>
        <w:rPr>
          <w:rFonts w:ascii="Times New Roman" w:hAnsi="Times New Roman"/>
          <w:color w:val="3B3B3B"/>
          <w:szCs w:val="24"/>
        </w:rPr>
      </w:pPr>
      <w:r w:rsidRPr="008822DF">
        <w:rPr>
          <w:rFonts w:ascii="Times New Roman" w:hAnsi="Times New Roman"/>
          <w:color w:val="3B3B3B"/>
          <w:szCs w:val="24"/>
        </w:rPr>
        <w:t>CASE NUMBER: 21/43033</w:t>
      </w:r>
    </w:p>
    <w:p w14:paraId="3AB578BD" w14:textId="77777777" w:rsidR="008A2489" w:rsidRPr="008822DF" w:rsidRDefault="008A2489" w:rsidP="008A2489">
      <w:pPr>
        <w:autoSpaceDE w:val="0"/>
        <w:autoSpaceDN w:val="0"/>
        <w:adjustRightInd w:val="0"/>
        <w:spacing w:line="240" w:lineRule="auto"/>
        <w:rPr>
          <w:rFonts w:ascii="Times New Roman" w:hAnsi="Times New Roman"/>
          <w:color w:val="3B3B3B"/>
          <w:szCs w:val="24"/>
        </w:rPr>
      </w:pPr>
    </w:p>
    <w:p w14:paraId="2F17DB07" w14:textId="77777777" w:rsidR="008A2489" w:rsidRPr="008822DF" w:rsidRDefault="008A2489" w:rsidP="008A2489">
      <w:pPr>
        <w:autoSpaceDE w:val="0"/>
        <w:autoSpaceDN w:val="0"/>
        <w:adjustRightInd w:val="0"/>
        <w:spacing w:line="240" w:lineRule="auto"/>
        <w:rPr>
          <w:rFonts w:ascii="Times New Roman" w:hAnsi="Times New Roman"/>
          <w:color w:val="3B3B3B"/>
          <w:szCs w:val="24"/>
        </w:rPr>
      </w:pPr>
    </w:p>
    <w:p w14:paraId="471044C0" w14:textId="5EE5C087" w:rsidR="008A2489" w:rsidRPr="008822DF" w:rsidRDefault="008A2489" w:rsidP="008A2489">
      <w:pPr>
        <w:pStyle w:val="Parties"/>
        <w:rPr>
          <w:rFonts w:ascii="Times New Roman" w:hAnsi="Times New Roman"/>
          <w:b/>
          <w:bCs/>
          <w:szCs w:val="24"/>
        </w:rPr>
      </w:pPr>
      <w:r w:rsidRPr="008822DF">
        <w:rPr>
          <w:rFonts w:ascii="Times New Roman" w:hAnsi="Times New Roman"/>
          <w:b/>
          <w:bCs/>
          <w:szCs w:val="24"/>
        </w:rPr>
        <w:t>THE STANDARD BANK OF SOUTH AFRICA LIMITED</w:t>
      </w:r>
    </w:p>
    <w:p w14:paraId="562A44FA" w14:textId="414237A3" w:rsidR="008A2489" w:rsidRPr="008822DF" w:rsidRDefault="008A2489" w:rsidP="008A2489">
      <w:pPr>
        <w:pStyle w:val="Parties"/>
        <w:rPr>
          <w:rFonts w:ascii="Times New Roman" w:hAnsi="Times New Roman"/>
          <w:b/>
          <w:bCs/>
          <w:color w:val="212121"/>
          <w:szCs w:val="24"/>
        </w:rPr>
      </w:pPr>
      <w:r w:rsidRPr="008822DF">
        <w:rPr>
          <w:rFonts w:ascii="Times New Roman" w:hAnsi="Times New Roman"/>
          <w:b/>
          <w:bCs/>
          <w:color w:val="212121"/>
          <w:szCs w:val="24"/>
        </w:rPr>
        <w:t>(Registration Number: 1962/000738/06)</w:t>
      </w:r>
      <w:r w:rsidRPr="008822DF">
        <w:rPr>
          <w:rFonts w:ascii="Times New Roman" w:hAnsi="Times New Roman"/>
          <w:b/>
          <w:bCs/>
          <w:color w:val="212121"/>
          <w:szCs w:val="24"/>
        </w:rPr>
        <w:tab/>
        <w:t>Plaintiff</w:t>
      </w:r>
    </w:p>
    <w:p w14:paraId="040E0338" w14:textId="77777777" w:rsidR="008A2489" w:rsidRPr="008822DF" w:rsidRDefault="008A2489" w:rsidP="008A2489">
      <w:pPr>
        <w:pStyle w:val="Parties"/>
        <w:rPr>
          <w:rFonts w:ascii="Times New Roman" w:hAnsi="Times New Roman"/>
          <w:b/>
          <w:bCs/>
          <w:color w:val="212121"/>
          <w:szCs w:val="24"/>
        </w:rPr>
      </w:pPr>
    </w:p>
    <w:p w14:paraId="56156FDE" w14:textId="77777777" w:rsidR="008A2489" w:rsidRPr="008822DF" w:rsidRDefault="008A2489" w:rsidP="008A2489">
      <w:pPr>
        <w:pStyle w:val="Parties"/>
        <w:rPr>
          <w:rFonts w:ascii="Times New Roman" w:hAnsi="Times New Roman"/>
          <w:b/>
          <w:bCs/>
          <w:color w:val="212121"/>
          <w:szCs w:val="24"/>
        </w:rPr>
      </w:pPr>
    </w:p>
    <w:p w14:paraId="0F43ACC4" w14:textId="77777777" w:rsidR="008A2489" w:rsidRPr="008822DF" w:rsidRDefault="008A2489" w:rsidP="008A2489">
      <w:pPr>
        <w:pStyle w:val="Parties"/>
        <w:rPr>
          <w:rFonts w:ascii="Times New Roman" w:hAnsi="Times New Roman"/>
          <w:b/>
          <w:bCs/>
          <w:color w:val="212121"/>
          <w:szCs w:val="24"/>
        </w:rPr>
      </w:pPr>
    </w:p>
    <w:p w14:paraId="2EA512BF" w14:textId="0F717935" w:rsidR="008A2489" w:rsidRPr="008822DF" w:rsidRDefault="008A2489" w:rsidP="008A2489">
      <w:pPr>
        <w:pStyle w:val="Parties"/>
        <w:rPr>
          <w:rFonts w:ascii="Times New Roman" w:hAnsi="Times New Roman"/>
          <w:b/>
          <w:bCs/>
          <w:color w:val="212121"/>
          <w:szCs w:val="24"/>
        </w:rPr>
      </w:pPr>
      <w:r w:rsidRPr="008822DF">
        <w:rPr>
          <w:rFonts w:ascii="Times New Roman" w:hAnsi="Times New Roman"/>
          <w:b/>
          <w:bCs/>
          <w:color w:val="212121"/>
          <w:szCs w:val="24"/>
        </w:rPr>
        <w:t>and</w:t>
      </w:r>
    </w:p>
    <w:p w14:paraId="7DC95FEC" w14:textId="3171E7C2" w:rsidR="008A2489" w:rsidRPr="008822DF" w:rsidRDefault="008A2489" w:rsidP="008A2489">
      <w:pPr>
        <w:pStyle w:val="Parties"/>
        <w:rPr>
          <w:rFonts w:ascii="Times New Roman" w:hAnsi="Times New Roman"/>
          <w:b/>
          <w:bCs/>
          <w:szCs w:val="24"/>
        </w:rPr>
      </w:pPr>
    </w:p>
    <w:p w14:paraId="79D4BD3D" w14:textId="716CBD1A" w:rsidR="008A2489" w:rsidRPr="008822DF" w:rsidRDefault="008A2489" w:rsidP="008A2489">
      <w:pPr>
        <w:pStyle w:val="Parties"/>
        <w:rPr>
          <w:rFonts w:ascii="Times New Roman" w:hAnsi="Times New Roman"/>
          <w:b/>
          <w:bCs/>
          <w:szCs w:val="24"/>
        </w:rPr>
      </w:pPr>
    </w:p>
    <w:p w14:paraId="739F76AB" w14:textId="77777777" w:rsidR="008A2489" w:rsidRPr="008822DF" w:rsidRDefault="008A2489" w:rsidP="008A2489">
      <w:pPr>
        <w:pStyle w:val="Parties"/>
        <w:rPr>
          <w:rFonts w:ascii="Times New Roman" w:hAnsi="Times New Roman"/>
          <w:b/>
          <w:bCs/>
          <w:szCs w:val="24"/>
        </w:rPr>
      </w:pPr>
    </w:p>
    <w:p w14:paraId="0DCD00C2" w14:textId="32478BC2" w:rsidR="008A2489" w:rsidRPr="008822DF" w:rsidRDefault="008A2489" w:rsidP="008A2489">
      <w:pPr>
        <w:pStyle w:val="Parties"/>
        <w:rPr>
          <w:rFonts w:ascii="Times New Roman" w:hAnsi="Times New Roman"/>
          <w:b/>
          <w:bCs/>
          <w:szCs w:val="24"/>
        </w:rPr>
      </w:pPr>
      <w:r w:rsidRPr="008822DF">
        <w:rPr>
          <w:rFonts w:ascii="Times New Roman" w:hAnsi="Times New Roman"/>
          <w:b/>
          <w:bCs/>
          <w:szCs w:val="24"/>
        </w:rPr>
        <w:t>BAMBOO ROCK CONSTRUCTION (PTY) LIMITED</w:t>
      </w:r>
    </w:p>
    <w:p w14:paraId="0CA2BE03" w14:textId="487BEF71" w:rsidR="008A2489" w:rsidRPr="008822DF" w:rsidRDefault="008A2489" w:rsidP="008A2489">
      <w:pPr>
        <w:pStyle w:val="Parties"/>
        <w:rPr>
          <w:rFonts w:ascii="Times New Roman" w:hAnsi="Times New Roman"/>
          <w:b/>
          <w:bCs/>
          <w:color w:val="212121"/>
          <w:szCs w:val="24"/>
        </w:rPr>
      </w:pPr>
      <w:r w:rsidRPr="008822DF">
        <w:rPr>
          <w:rFonts w:ascii="Times New Roman" w:hAnsi="Times New Roman"/>
          <w:b/>
          <w:bCs/>
          <w:color w:val="212121"/>
          <w:szCs w:val="24"/>
        </w:rPr>
        <w:t>(Registration Number: 2015/015085/07)</w:t>
      </w:r>
      <w:r w:rsidRPr="008822DF">
        <w:rPr>
          <w:rFonts w:ascii="Times New Roman" w:hAnsi="Times New Roman"/>
          <w:b/>
          <w:bCs/>
          <w:color w:val="212121"/>
          <w:szCs w:val="24"/>
        </w:rPr>
        <w:tab/>
        <w:t>First Defendant</w:t>
      </w:r>
    </w:p>
    <w:p w14:paraId="3E449E25" w14:textId="77777777" w:rsidR="008A2489" w:rsidRPr="008822DF" w:rsidRDefault="008A2489" w:rsidP="008A2489">
      <w:pPr>
        <w:pStyle w:val="Parties"/>
        <w:rPr>
          <w:rFonts w:ascii="Times New Roman" w:hAnsi="Times New Roman"/>
          <w:b/>
          <w:bCs/>
          <w:szCs w:val="24"/>
        </w:rPr>
      </w:pPr>
    </w:p>
    <w:p w14:paraId="5A604105" w14:textId="47987170" w:rsidR="008A2489" w:rsidRPr="008822DF" w:rsidRDefault="008A2489" w:rsidP="008A2489">
      <w:pPr>
        <w:pStyle w:val="Parties"/>
        <w:rPr>
          <w:rFonts w:ascii="Times New Roman" w:hAnsi="Times New Roman"/>
          <w:b/>
          <w:bCs/>
          <w:szCs w:val="24"/>
        </w:rPr>
      </w:pPr>
      <w:r w:rsidRPr="008822DF">
        <w:rPr>
          <w:rFonts w:ascii="Times New Roman" w:hAnsi="Times New Roman"/>
          <w:b/>
          <w:bCs/>
          <w:szCs w:val="24"/>
        </w:rPr>
        <w:t>FD SHARED OFFICE SERVICES (PTY) LIMITED</w:t>
      </w:r>
    </w:p>
    <w:p w14:paraId="39AB450B" w14:textId="75933748" w:rsidR="008A2489" w:rsidRPr="008822DF" w:rsidRDefault="008A2489" w:rsidP="008A2489">
      <w:pPr>
        <w:pStyle w:val="Parties"/>
        <w:rPr>
          <w:rFonts w:ascii="Times New Roman" w:hAnsi="Times New Roman"/>
          <w:b/>
          <w:bCs/>
          <w:color w:val="212121"/>
          <w:szCs w:val="24"/>
        </w:rPr>
      </w:pPr>
      <w:r w:rsidRPr="008822DF">
        <w:rPr>
          <w:rFonts w:ascii="Times New Roman" w:hAnsi="Times New Roman"/>
          <w:b/>
          <w:bCs/>
          <w:color w:val="212121"/>
          <w:szCs w:val="24"/>
        </w:rPr>
        <w:t>(Registration number. 2009/010652/07)</w:t>
      </w:r>
      <w:r w:rsidRPr="008822DF">
        <w:rPr>
          <w:rFonts w:ascii="Times New Roman" w:hAnsi="Times New Roman"/>
          <w:b/>
          <w:bCs/>
          <w:color w:val="212121"/>
          <w:szCs w:val="24"/>
        </w:rPr>
        <w:tab/>
        <w:t>Second Defendant</w:t>
      </w:r>
    </w:p>
    <w:p w14:paraId="1842123D" w14:textId="77777777" w:rsidR="008A2489" w:rsidRPr="008822DF" w:rsidRDefault="008A2489" w:rsidP="008A2489">
      <w:pPr>
        <w:pStyle w:val="Parties"/>
        <w:rPr>
          <w:rFonts w:ascii="Times New Roman" w:hAnsi="Times New Roman"/>
          <w:b/>
          <w:bCs/>
          <w:szCs w:val="24"/>
        </w:rPr>
      </w:pPr>
    </w:p>
    <w:p w14:paraId="7A8483DF" w14:textId="6973BDB7" w:rsidR="008A2489" w:rsidRPr="008822DF" w:rsidRDefault="008A2489" w:rsidP="008A2489">
      <w:pPr>
        <w:pStyle w:val="Parties"/>
        <w:rPr>
          <w:rFonts w:ascii="Times New Roman" w:hAnsi="Times New Roman"/>
          <w:b/>
          <w:bCs/>
          <w:szCs w:val="24"/>
        </w:rPr>
      </w:pPr>
      <w:r w:rsidRPr="008822DF">
        <w:rPr>
          <w:rFonts w:ascii="Times New Roman" w:hAnsi="Times New Roman"/>
          <w:b/>
          <w:bCs/>
          <w:szCs w:val="24"/>
        </w:rPr>
        <w:t>BAMBOO ROCK PLANT (PTY) LIMITED</w:t>
      </w:r>
    </w:p>
    <w:p w14:paraId="48C3E9CA" w14:textId="07F413D3" w:rsidR="008A2489" w:rsidRPr="008822DF" w:rsidRDefault="008A2489" w:rsidP="008A2489">
      <w:pPr>
        <w:pStyle w:val="Parties"/>
        <w:rPr>
          <w:rFonts w:ascii="Times New Roman" w:hAnsi="Times New Roman"/>
          <w:b/>
          <w:bCs/>
          <w:color w:val="0F0F0F"/>
          <w:szCs w:val="24"/>
        </w:rPr>
      </w:pPr>
      <w:r w:rsidRPr="008822DF">
        <w:rPr>
          <w:rFonts w:ascii="Times New Roman" w:hAnsi="Times New Roman"/>
          <w:b/>
          <w:bCs/>
          <w:color w:val="212121"/>
          <w:szCs w:val="24"/>
        </w:rPr>
        <w:lastRenderedPageBreak/>
        <w:t xml:space="preserve">(Registration number: </w:t>
      </w:r>
      <w:r w:rsidRPr="008822DF">
        <w:rPr>
          <w:rFonts w:ascii="Times New Roman" w:hAnsi="Times New Roman"/>
          <w:b/>
          <w:bCs/>
          <w:color w:val="0F0F0F"/>
          <w:szCs w:val="24"/>
        </w:rPr>
        <w:t>2012/014184/07)</w:t>
      </w:r>
      <w:r w:rsidRPr="008822DF">
        <w:rPr>
          <w:rFonts w:ascii="Times New Roman" w:hAnsi="Times New Roman"/>
          <w:b/>
          <w:bCs/>
          <w:color w:val="0F0F0F"/>
          <w:szCs w:val="24"/>
        </w:rPr>
        <w:tab/>
        <w:t>Third Defendant</w:t>
      </w:r>
    </w:p>
    <w:p w14:paraId="73A3BF4E" w14:textId="77777777" w:rsidR="008A2489" w:rsidRPr="008822DF" w:rsidRDefault="008A2489" w:rsidP="008A2489">
      <w:pPr>
        <w:pStyle w:val="Parties"/>
        <w:rPr>
          <w:rFonts w:ascii="Times New Roman" w:hAnsi="Times New Roman"/>
          <w:b/>
          <w:bCs/>
          <w:szCs w:val="24"/>
        </w:rPr>
      </w:pPr>
    </w:p>
    <w:p w14:paraId="1EECB3E4" w14:textId="39C27232" w:rsidR="008A2489" w:rsidRPr="008822DF" w:rsidRDefault="008A2489" w:rsidP="008A2489">
      <w:pPr>
        <w:pStyle w:val="Parties"/>
        <w:rPr>
          <w:rFonts w:ascii="Times New Roman" w:hAnsi="Times New Roman"/>
          <w:b/>
          <w:bCs/>
          <w:szCs w:val="24"/>
        </w:rPr>
      </w:pPr>
      <w:r w:rsidRPr="008822DF">
        <w:rPr>
          <w:rFonts w:ascii="Times New Roman" w:hAnsi="Times New Roman"/>
          <w:b/>
          <w:bCs/>
          <w:szCs w:val="24"/>
        </w:rPr>
        <w:t>DIGMIN GROUP (PTY) LIMITED</w:t>
      </w:r>
    </w:p>
    <w:p w14:paraId="79BDEC92" w14:textId="2F974241" w:rsidR="008A2489" w:rsidRPr="008822DF" w:rsidRDefault="008A2489" w:rsidP="008A2489">
      <w:pPr>
        <w:pStyle w:val="Parties"/>
        <w:rPr>
          <w:rFonts w:ascii="Times New Roman" w:hAnsi="Times New Roman"/>
          <w:b/>
          <w:bCs/>
          <w:color w:val="212121"/>
          <w:szCs w:val="24"/>
        </w:rPr>
      </w:pPr>
      <w:r w:rsidRPr="008822DF">
        <w:rPr>
          <w:rFonts w:ascii="Times New Roman" w:hAnsi="Times New Roman"/>
          <w:b/>
          <w:bCs/>
          <w:color w:val="212121"/>
          <w:szCs w:val="24"/>
        </w:rPr>
        <w:t>(Registration number: 2015/042299/07)</w:t>
      </w:r>
      <w:r w:rsidRPr="008822DF">
        <w:rPr>
          <w:rFonts w:ascii="Times New Roman" w:hAnsi="Times New Roman"/>
          <w:b/>
          <w:bCs/>
          <w:color w:val="212121"/>
          <w:szCs w:val="24"/>
        </w:rPr>
        <w:tab/>
        <w:t>Fourth Defendant</w:t>
      </w:r>
    </w:p>
    <w:p w14:paraId="497AB8BF" w14:textId="77777777" w:rsidR="008A2489" w:rsidRPr="008822DF" w:rsidRDefault="008A2489" w:rsidP="008A2489">
      <w:pPr>
        <w:pStyle w:val="Parties"/>
        <w:rPr>
          <w:rFonts w:ascii="Times New Roman" w:hAnsi="Times New Roman"/>
          <w:b/>
          <w:bCs/>
          <w:szCs w:val="24"/>
        </w:rPr>
      </w:pPr>
    </w:p>
    <w:p w14:paraId="06298678" w14:textId="6BEEF6B0" w:rsidR="008A2489" w:rsidRPr="008822DF" w:rsidRDefault="008A2489" w:rsidP="008A2489">
      <w:pPr>
        <w:pStyle w:val="Parties"/>
        <w:rPr>
          <w:rFonts w:ascii="Times New Roman" w:hAnsi="Times New Roman"/>
          <w:b/>
          <w:bCs/>
          <w:szCs w:val="24"/>
        </w:rPr>
      </w:pPr>
      <w:r w:rsidRPr="008822DF">
        <w:rPr>
          <w:rFonts w:ascii="Times New Roman" w:hAnsi="Times New Roman"/>
          <w:b/>
          <w:bCs/>
          <w:szCs w:val="24"/>
        </w:rPr>
        <w:t>GERALD DAVID CHAPMAN</w:t>
      </w:r>
    </w:p>
    <w:p w14:paraId="02184C97" w14:textId="6CB8555D" w:rsidR="008A2489" w:rsidRPr="008822DF" w:rsidRDefault="00CD43BA" w:rsidP="008A2489">
      <w:pPr>
        <w:pStyle w:val="Parties"/>
        <w:rPr>
          <w:rFonts w:ascii="Times New Roman" w:hAnsi="Times New Roman"/>
          <w:b/>
          <w:bCs/>
          <w:color w:val="0F0F0F"/>
          <w:szCs w:val="24"/>
        </w:rPr>
      </w:pPr>
      <w:r>
        <w:rPr>
          <w:rFonts w:ascii="Times New Roman" w:hAnsi="Times New Roman"/>
          <w:b/>
          <w:bCs/>
          <w:color w:val="212121"/>
          <w:szCs w:val="24"/>
        </w:rPr>
        <w:t>(Registration number. […]</w:t>
      </w:r>
      <w:r w:rsidR="008A2489" w:rsidRPr="008822DF">
        <w:rPr>
          <w:rFonts w:ascii="Times New Roman" w:hAnsi="Times New Roman"/>
          <w:b/>
          <w:bCs/>
          <w:color w:val="0F0F0F"/>
          <w:szCs w:val="24"/>
        </w:rPr>
        <w:t>)</w:t>
      </w:r>
      <w:r w:rsidR="008A2489" w:rsidRPr="008822DF">
        <w:rPr>
          <w:rFonts w:ascii="Times New Roman" w:hAnsi="Times New Roman"/>
          <w:b/>
          <w:bCs/>
          <w:color w:val="0F0F0F"/>
          <w:szCs w:val="24"/>
        </w:rPr>
        <w:tab/>
        <w:t>Fifth Defendant</w:t>
      </w:r>
    </w:p>
    <w:p w14:paraId="7D09E6D5" w14:textId="5C027523" w:rsidR="004C2AE4" w:rsidRPr="008822DF" w:rsidRDefault="004C2AE4" w:rsidP="008A2489">
      <w:pPr>
        <w:pStyle w:val="Parties"/>
        <w:rPr>
          <w:rFonts w:ascii="Times New Roman" w:hAnsi="Times New Roman"/>
          <w:b/>
          <w:bCs/>
          <w:szCs w:val="24"/>
        </w:rPr>
      </w:pPr>
    </w:p>
    <w:p w14:paraId="6554A611" w14:textId="461347C1" w:rsidR="00C70926" w:rsidRPr="008822DF" w:rsidRDefault="00C70926" w:rsidP="00C70926">
      <w:pPr>
        <w:rPr>
          <w:rFonts w:ascii="Times New Roman" w:hAnsi="Times New Roman"/>
          <w:b/>
          <w:bCs/>
          <w:szCs w:val="24"/>
        </w:rPr>
      </w:pPr>
    </w:p>
    <w:p w14:paraId="6CB48D6E" w14:textId="6D70ADC8" w:rsidR="008A2489" w:rsidRPr="008822DF" w:rsidRDefault="008A2489" w:rsidP="008A2489">
      <w:pPr>
        <w:pStyle w:val="Tramlinescentred"/>
        <w:rPr>
          <w:rFonts w:ascii="Times New Roman" w:hAnsi="Times New Roman"/>
          <w:szCs w:val="24"/>
        </w:rPr>
      </w:pPr>
      <w:r w:rsidRPr="008822DF">
        <w:rPr>
          <w:rFonts w:ascii="Times New Roman" w:hAnsi="Times New Roman"/>
          <w:szCs w:val="24"/>
        </w:rPr>
        <w:t>JUDGMENT: DEFENDANTS’ EXCEPTION</w:t>
      </w:r>
    </w:p>
    <w:p w14:paraId="29BD0FAB" w14:textId="25E270A9" w:rsidR="008A2489" w:rsidRPr="008822DF" w:rsidRDefault="008A2489" w:rsidP="00C70926">
      <w:pPr>
        <w:rPr>
          <w:rFonts w:ascii="Times New Roman" w:hAnsi="Times New Roman"/>
          <w:szCs w:val="24"/>
        </w:rPr>
      </w:pPr>
      <w:r w:rsidRPr="008822DF">
        <w:rPr>
          <w:rFonts w:ascii="Times New Roman" w:hAnsi="Times New Roman"/>
          <w:szCs w:val="24"/>
        </w:rPr>
        <w:t>FRIEDMAN AJ:</w:t>
      </w:r>
    </w:p>
    <w:p w14:paraId="2180071C" w14:textId="18883776" w:rsidR="00C70926"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1</w:t>
      </w:r>
      <w:bookmarkStart w:id="0" w:name="_GoBack"/>
      <w:bookmarkEnd w:id="0"/>
      <w:r w:rsidRPr="008822DF">
        <w:rPr>
          <w:rFonts w:ascii="Times New Roman" w:hAnsi="Times New Roman"/>
          <w:szCs w:val="24"/>
        </w:rPr>
        <w:tab/>
      </w:r>
      <w:r w:rsidR="00C70926" w:rsidRPr="008822DF">
        <w:rPr>
          <w:rFonts w:ascii="Times New Roman" w:hAnsi="Times New Roman"/>
          <w:szCs w:val="24"/>
        </w:rPr>
        <w:t xml:space="preserve">In this matter, the plaintiff (“Standard Bank”) sues the </w:t>
      </w:r>
      <w:r w:rsidR="003423A6" w:rsidRPr="008822DF">
        <w:rPr>
          <w:rFonts w:ascii="Times New Roman" w:hAnsi="Times New Roman"/>
          <w:szCs w:val="24"/>
        </w:rPr>
        <w:t xml:space="preserve">first </w:t>
      </w:r>
      <w:r w:rsidR="00C70926" w:rsidRPr="008822DF">
        <w:rPr>
          <w:rFonts w:ascii="Times New Roman" w:hAnsi="Times New Roman"/>
          <w:szCs w:val="24"/>
        </w:rPr>
        <w:t>defendant</w:t>
      </w:r>
      <w:r w:rsidR="003423A6" w:rsidRPr="008822DF">
        <w:rPr>
          <w:rFonts w:ascii="Times New Roman" w:hAnsi="Times New Roman"/>
          <w:szCs w:val="24"/>
        </w:rPr>
        <w:t xml:space="preserve"> (“Bamboo Rock”)</w:t>
      </w:r>
      <w:r w:rsidR="00C70926" w:rsidRPr="008822DF">
        <w:rPr>
          <w:rFonts w:ascii="Times New Roman" w:hAnsi="Times New Roman"/>
          <w:szCs w:val="24"/>
        </w:rPr>
        <w:t xml:space="preserve"> on the basis of alleged indebtedness arising, according to Standard Bank, from:</w:t>
      </w:r>
    </w:p>
    <w:p w14:paraId="678A7790" w14:textId="633C39F4" w:rsidR="00C70926" w:rsidRPr="008822DF" w:rsidRDefault="008327FE" w:rsidP="008327FE">
      <w:pPr>
        <w:pStyle w:val="WLGLevel2"/>
        <w:numPr>
          <w:ilvl w:val="0"/>
          <w:numId w:val="0"/>
        </w:numPr>
        <w:tabs>
          <w:tab w:val="left" w:pos="1361"/>
        </w:tabs>
        <w:ind w:left="1361" w:hanging="794"/>
        <w:rPr>
          <w:rFonts w:ascii="Times New Roman" w:hAnsi="Times New Roman"/>
          <w:szCs w:val="24"/>
        </w:rPr>
      </w:pPr>
      <w:r w:rsidRPr="008822DF">
        <w:rPr>
          <w:rFonts w:ascii="Times New Roman" w:hAnsi="Times New Roman"/>
          <w:szCs w:val="24"/>
        </w:rPr>
        <w:t>1.1</w:t>
      </w:r>
      <w:r w:rsidRPr="008822DF">
        <w:rPr>
          <w:rFonts w:ascii="Times New Roman" w:hAnsi="Times New Roman"/>
          <w:szCs w:val="24"/>
        </w:rPr>
        <w:tab/>
      </w:r>
      <w:r w:rsidR="0025710F" w:rsidRPr="008822DF">
        <w:rPr>
          <w:rFonts w:ascii="Times New Roman" w:hAnsi="Times New Roman"/>
          <w:szCs w:val="24"/>
        </w:rPr>
        <w:t>the breach by Bamboo Rock of t</w:t>
      </w:r>
      <w:r w:rsidR="00C70926" w:rsidRPr="008822DF">
        <w:rPr>
          <w:rFonts w:ascii="Times New Roman" w:hAnsi="Times New Roman"/>
          <w:szCs w:val="24"/>
        </w:rPr>
        <w:t>he terms of an overdraft facility;</w:t>
      </w:r>
      <w:r w:rsidR="008B23D9" w:rsidRPr="008822DF">
        <w:rPr>
          <w:rFonts w:ascii="Times New Roman" w:hAnsi="Times New Roman"/>
          <w:szCs w:val="24"/>
        </w:rPr>
        <w:t xml:space="preserve"> and</w:t>
      </w:r>
    </w:p>
    <w:p w14:paraId="4C4BB5BE" w14:textId="4915C53B" w:rsidR="00C70926" w:rsidRPr="008822DF" w:rsidRDefault="008327FE" w:rsidP="008327FE">
      <w:pPr>
        <w:pStyle w:val="WLGLevel2"/>
        <w:numPr>
          <w:ilvl w:val="0"/>
          <w:numId w:val="0"/>
        </w:numPr>
        <w:tabs>
          <w:tab w:val="left" w:pos="1361"/>
        </w:tabs>
        <w:ind w:left="1361" w:hanging="794"/>
        <w:rPr>
          <w:rFonts w:ascii="Times New Roman" w:hAnsi="Times New Roman"/>
          <w:szCs w:val="24"/>
        </w:rPr>
      </w:pPr>
      <w:r w:rsidRPr="008822DF">
        <w:rPr>
          <w:rFonts w:ascii="Times New Roman" w:hAnsi="Times New Roman"/>
          <w:szCs w:val="24"/>
        </w:rPr>
        <w:t>1.2</w:t>
      </w:r>
      <w:r w:rsidRPr="008822DF">
        <w:rPr>
          <w:rFonts w:ascii="Times New Roman" w:hAnsi="Times New Roman"/>
          <w:szCs w:val="24"/>
        </w:rPr>
        <w:tab/>
      </w:r>
      <w:r w:rsidR="008B23D9" w:rsidRPr="008822DF">
        <w:rPr>
          <w:rFonts w:ascii="Times New Roman" w:hAnsi="Times New Roman"/>
          <w:szCs w:val="24"/>
        </w:rPr>
        <w:t>i</w:t>
      </w:r>
      <w:r w:rsidR="0025710F" w:rsidRPr="008822DF">
        <w:rPr>
          <w:rFonts w:ascii="Times New Roman" w:hAnsi="Times New Roman"/>
          <w:szCs w:val="24"/>
        </w:rPr>
        <w:t>ndebtedness of Bamboo Rock to Standard Bank arising from various credit card facilities made available by Standard Bank to Bamboo Rock.</w:t>
      </w:r>
    </w:p>
    <w:p w14:paraId="71AAAB2D" w14:textId="4A4EB8D6" w:rsidR="008E6C6D"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2</w:t>
      </w:r>
      <w:r w:rsidRPr="008822DF">
        <w:rPr>
          <w:rFonts w:ascii="Times New Roman" w:hAnsi="Times New Roman"/>
          <w:szCs w:val="24"/>
        </w:rPr>
        <w:tab/>
      </w:r>
      <w:r w:rsidR="008E6C6D" w:rsidRPr="008822DF">
        <w:rPr>
          <w:rFonts w:ascii="Times New Roman" w:hAnsi="Times New Roman"/>
          <w:szCs w:val="24"/>
        </w:rPr>
        <w:t xml:space="preserve">The cause of action against the second to fifth defendants is that they signed guarantees in favour of Standard Bank, which the bank says renders them principal co-debtors with </w:t>
      </w:r>
      <w:r w:rsidR="00234BA4" w:rsidRPr="008822DF">
        <w:rPr>
          <w:rFonts w:ascii="Times New Roman" w:hAnsi="Times New Roman"/>
          <w:szCs w:val="24"/>
        </w:rPr>
        <w:t>Bamboo Rock</w:t>
      </w:r>
      <w:r w:rsidR="008E6C6D" w:rsidRPr="008822DF">
        <w:rPr>
          <w:rFonts w:ascii="Times New Roman" w:hAnsi="Times New Roman"/>
          <w:szCs w:val="24"/>
        </w:rPr>
        <w:t xml:space="preserve">. I shall describe the second to fifth defendants as “the guarantee defendants”. The guarantee defendants are three companies and one </w:t>
      </w:r>
      <w:r w:rsidR="00234BA4" w:rsidRPr="008822DF">
        <w:rPr>
          <w:rFonts w:ascii="Times New Roman" w:hAnsi="Times New Roman"/>
          <w:szCs w:val="24"/>
        </w:rPr>
        <w:t>natural person</w:t>
      </w:r>
      <w:r w:rsidR="008E6C6D" w:rsidRPr="008822DF">
        <w:rPr>
          <w:rFonts w:ascii="Times New Roman" w:hAnsi="Times New Roman"/>
          <w:szCs w:val="24"/>
        </w:rPr>
        <w:t>.</w:t>
      </w:r>
    </w:p>
    <w:p w14:paraId="08939F5B" w14:textId="4121D755" w:rsidR="001C32E6"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3</w:t>
      </w:r>
      <w:r w:rsidRPr="008822DF">
        <w:rPr>
          <w:rFonts w:ascii="Times New Roman" w:hAnsi="Times New Roman"/>
          <w:szCs w:val="24"/>
        </w:rPr>
        <w:tab/>
      </w:r>
      <w:r w:rsidR="00D23DBD">
        <w:rPr>
          <w:rFonts w:ascii="Times New Roman" w:hAnsi="Times New Roman"/>
          <w:szCs w:val="24"/>
        </w:rPr>
        <w:t>S</w:t>
      </w:r>
      <w:r w:rsidR="001C32E6" w:rsidRPr="008822DF">
        <w:rPr>
          <w:rFonts w:ascii="Times New Roman" w:hAnsi="Times New Roman"/>
          <w:szCs w:val="24"/>
        </w:rPr>
        <w:t>tandard Bank’s amended particulars of claim rely on an Overdraft Facility Agreement as the basis of the</w:t>
      </w:r>
      <w:r w:rsidR="00F5065F" w:rsidRPr="008822DF">
        <w:rPr>
          <w:rFonts w:ascii="Times New Roman" w:hAnsi="Times New Roman"/>
          <w:szCs w:val="24"/>
        </w:rPr>
        <w:t xml:space="preserve"> claim against </w:t>
      </w:r>
      <w:r w:rsidR="00635526" w:rsidRPr="008822DF">
        <w:rPr>
          <w:rFonts w:ascii="Times New Roman" w:hAnsi="Times New Roman"/>
          <w:szCs w:val="24"/>
        </w:rPr>
        <w:t>Bamboo Rock</w:t>
      </w:r>
      <w:r w:rsidR="00F5065F" w:rsidRPr="008822DF">
        <w:rPr>
          <w:rFonts w:ascii="Times New Roman" w:hAnsi="Times New Roman"/>
          <w:szCs w:val="24"/>
        </w:rPr>
        <w:t>.</w:t>
      </w:r>
      <w:r w:rsidR="0047177E" w:rsidRPr="008822DF">
        <w:rPr>
          <w:rFonts w:ascii="Times New Roman" w:hAnsi="Times New Roman"/>
          <w:szCs w:val="24"/>
        </w:rPr>
        <w:t xml:space="preserve"> </w:t>
      </w:r>
      <w:r w:rsidR="003C1113" w:rsidRPr="008822DF">
        <w:rPr>
          <w:rFonts w:ascii="Times New Roman" w:hAnsi="Times New Roman"/>
          <w:szCs w:val="24"/>
        </w:rPr>
        <w:t>Standard Banks says that the</w:t>
      </w:r>
      <w:r w:rsidR="0047177E" w:rsidRPr="008822DF">
        <w:rPr>
          <w:rFonts w:ascii="Times New Roman" w:hAnsi="Times New Roman"/>
          <w:szCs w:val="24"/>
        </w:rPr>
        <w:t xml:space="preserve"> Overdraft Facilities Agreement takes the form of two </w:t>
      </w:r>
      <w:r w:rsidR="00511AB5" w:rsidRPr="008822DF">
        <w:rPr>
          <w:rFonts w:ascii="Times New Roman" w:hAnsi="Times New Roman"/>
          <w:szCs w:val="24"/>
        </w:rPr>
        <w:t>documents: terms and conditions agreed on 29 October</w:t>
      </w:r>
      <w:r w:rsidR="00DF3510" w:rsidRPr="008822DF">
        <w:rPr>
          <w:rFonts w:ascii="Times New Roman" w:hAnsi="Times New Roman"/>
          <w:szCs w:val="24"/>
        </w:rPr>
        <w:t xml:space="preserve"> </w:t>
      </w:r>
      <w:r w:rsidR="00511AB5" w:rsidRPr="008822DF">
        <w:rPr>
          <w:rFonts w:ascii="Times New Roman" w:hAnsi="Times New Roman"/>
          <w:szCs w:val="24"/>
        </w:rPr>
        <w:t xml:space="preserve">2018 and </w:t>
      </w:r>
      <w:r w:rsidR="00DF3510" w:rsidRPr="008822DF">
        <w:rPr>
          <w:rFonts w:ascii="Times New Roman" w:hAnsi="Times New Roman"/>
          <w:szCs w:val="24"/>
        </w:rPr>
        <w:t xml:space="preserve">amended terms and conditions, </w:t>
      </w:r>
      <w:r w:rsidR="00037123" w:rsidRPr="008822DF">
        <w:rPr>
          <w:rFonts w:ascii="Times New Roman" w:hAnsi="Times New Roman"/>
          <w:szCs w:val="24"/>
        </w:rPr>
        <w:t>agreed</w:t>
      </w:r>
      <w:r w:rsidR="00BF2E08" w:rsidRPr="008822DF">
        <w:rPr>
          <w:rFonts w:ascii="Times New Roman" w:hAnsi="Times New Roman"/>
          <w:szCs w:val="24"/>
        </w:rPr>
        <w:t xml:space="preserve"> on 1</w:t>
      </w:r>
      <w:r w:rsidR="00D677E7" w:rsidRPr="008822DF">
        <w:rPr>
          <w:rFonts w:ascii="Times New Roman" w:hAnsi="Times New Roman"/>
          <w:szCs w:val="24"/>
        </w:rPr>
        <w:t>2</w:t>
      </w:r>
      <w:r w:rsidR="00BF2E08" w:rsidRPr="008822DF">
        <w:rPr>
          <w:rFonts w:ascii="Times New Roman" w:hAnsi="Times New Roman"/>
          <w:szCs w:val="24"/>
        </w:rPr>
        <w:t xml:space="preserve"> December 2018</w:t>
      </w:r>
      <w:r w:rsidR="00D677E7" w:rsidRPr="008822DF">
        <w:rPr>
          <w:rFonts w:ascii="Times New Roman" w:hAnsi="Times New Roman"/>
          <w:szCs w:val="24"/>
        </w:rPr>
        <w:t xml:space="preserve"> (although for some reason the amended particulars of claim allege </w:t>
      </w:r>
      <w:r w:rsidR="00191DB0" w:rsidRPr="008822DF">
        <w:rPr>
          <w:rFonts w:ascii="Times New Roman" w:hAnsi="Times New Roman"/>
          <w:szCs w:val="24"/>
        </w:rPr>
        <w:t xml:space="preserve">that the amended terms </w:t>
      </w:r>
      <w:r w:rsidR="00191DB0" w:rsidRPr="008822DF">
        <w:rPr>
          <w:rFonts w:ascii="Times New Roman" w:hAnsi="Times New Roman"/>
          <w:szCs w:val="24"/>
        </w:rPr>
        <w:lastRenderedPageBreak/>
        <w:t xml:space="preserve">were accepted by </w:t>
      </w:r>
      <w:r w:rsidR="007426CC" w:rsidRPr="008822DF">
        <w:rPr>
          <w:rFonts w:ascii="Times New Roman" w:hAnsi="Times New Roman"/>
          <w:szCs w:val="24"/>
        </w:rPr>
        <w:t>Bamboo Rock on 29 October 2018</w:t>
      </w:r>
      <w:r w:rsidR="00D74A46" w:rsidRPr="008822DF">
        <w:rPr>
          <w:rFonts w:ascii="Times New Roman" w:hAnsi="Times New Roman"/>
          <w:szCs w:val="24"/>
        </w:rPr>
        <w:t>)</w:t>
      </w:r>
      <w:r w:rsidR="00DF3510" w:rsidRPr="008822DF">
        <w:rPr>
          <w:rFonts w:ascii="Times New Roman" w:hAnsi="Times New Roman"/>
          <w:szCs w:val="24"/>
        </w:rPr>
        <w:t>.</w:t>
      </w:r>
      <w:r w:rsidR="00D64A67" w:rsidRPr="008822DF">
        <w:rPr>
          <w:rFonts w:ascii="Times New Roman" w:hAnsi="Times New Roman"/>
          <w:szCs w:val="24"/>
        </w:rPr>
        <w:t xml:space="preserve"> These documents take the form of a covering letter recording </w:t>
      </w:r>
      <w:r w:rsidR="001E6633" w:rsidRPr="008822DF">
        <w:rPr>
          <w:rFonts w:ascii="Times New Roman" w:hAnsi="Times New Roman"/>
          <w:szCs w:val="24"/>
        </w:rPr>
        <w:t>that the overdraft facility had been extended</w:t>
      </w:r>
      <w:r w:rsidR="00635526" w:rsidRPr="008822DF">
        <w:rPr>
          <w:rFonts w:ascii="Times New Roman" w:hAnsi="Times New Roman"/>
          <w:szCs w:val="24"/>
        </w:rPr>
        <w:t xml:space="preserve"> </w:t>
      </w:r>
      <w:r w:rsidR="004E1D88">
        <w:rPr>
          <w:rFonts w:ascii="Times New Roman" w:hAnsi="Times New Roman"/>
          <w:szCs w:val="24"/>
        </w:rPr>
        <w:t xml:space="preserve">and a further covering letter </w:t>
      </w:r>
      <w:r w:rsidR="002D1F7C">
        <w:rPr>
          <w:rFonts w:ascii="Times New Roman" w:hAnsi="Times New Roman"/>
          <w:szCs w:val="24"/>
        </w:rPr>
        <w:t xml:space="preserve">foreshadowing the amendments </w:t>
      </w:r>
      <w:r w:rsidR="00635526" w:rsidRPr="008822DF">
        <w:rPr>
          <w:rFonts w:ascii="Times New Roman" w:hAnsi="Times New Roman"/>
          <w:szCs w:val="24"/>
        </w:rPr>
        <w:t xml:space="preserve">(which </w:t>
      </w:r>
      <w:r w:rsidR="004E1D88">
        <w:rPr>
          <w:rFonts w:ascii="Times New Roman" w:hAnsi="Times New Roman"/>
          <w:szCs w:val="24"/>
        </w:rPr>
        <w:t>themselves</w:t>
      </w:r>
      <w:r w:rsidR="00635526" w:rsidRPr="008822DF">
        <w:rPr>
          <w:rFonts w:ascii="Times New Roman" w:hAnsi="Times New Roman"/>
          <w:szCs w:val="24"/>
        </w:rPr>
        <w:t xml:space="preserve"> contain some contractual clauses)</w:t>
      </w:r>
      <w:r w:rsidR="00D64A67" w:rsidRPr="008822DF">
        <w:rPr>
          <w:rFonts w:ascii="Times New Roman" w:hAnsi="Times New Roman"/>
          <w:szCs w:val="24"/>
        </w:rPr>
        <w:t>, and the</w:t>
      </w:r>
      <w:r w:rsidR="001E6633" w:rsidRPr="008822DF">
        <w:rPr>
          <w:rFonts w:ascii="Times New Roman" w:hAnsi="Times New Roman"/>
          <w:szCs w:val="24"/>
        </w:rPr>
        <w:t>n</w:t>
      </w:r>
      <w:r w:rsidR="00D64A67" w:rsidRPr="008822DF">
        <w:rPr>
          <w:rFonts w:ascii="Times New Roman" w:hAnsi="Times New Roman"/>
          <w:szCs w:val="24"/>
        </w:rPr>
        <w:t xml:space="preserve"> terms and conditions attached to the covering letter</w:t>
      </w:r>
      <w:r w:rsidR="002D1F7C">
        <w:rPr>
          <w:rFonts w:ascii="Times New Roman" w:hAnsi="Times New Roman"/>
          <w:szCs w:val="24"/>
        </w:rPr>
        <w:t>s</w:t>
      </w:r>
      <w:r w:rsidR="00D64A67" w:rsidRPr="008822DF">
        <w:rPr>
          <w:rFonts w:ascii="Times New Roman" w:hAnsi="Times New Roman"/>
          <w:szCs w:val="24"/>
        </w:rPr>
        <w:t xml:space="preserve">. </w:t>
      </w:r>
    </w:p>
    <w:p w14:paraId="58AD5EE7" w14:textId="3C165E06" w:rsidR="0025710F"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4</w:t>
      </w:r>
      <w:r w:rsidRPr="008822DF">
        <w:rPr>
          <w:rFonts w:ascii="Times New Roman" w:hAnsi="Times New Roman"/>
          <w:szCs w:val="24"/>
        </w:rPr>
        <w:tab/>
      </w:r>
      <w:r w:rsidR="0025710F" w:rsidRPr="008822DF">
        <w:rPr>
          <w:rFonts w:ascii="Times New Roman" w:hAnsi="Times New Roman"/>
          <w:szCs w:val="24"/>
        </w:rPr>
        <w:t xml:space="preserve">The defendants, all represented by the same attorneys and counsel, have excepted to Standard Bank’s </w:t>
      </w:r>
      <w:r w:rsidR="00D60298" w:rsidRPr="008822DF">
        <w:rPr>
          <w:rFonts w:ascii="Times New Roman" w:hAnsi="Times New Roman"/>
          <w:szCs w:val="24"/>
        </w:rPr>
        <w:t xml:space="preserve">amended </w:t>
      </w:r>
      <w:r w:rsidR="0025710F" w:rsidRPr="008822DF">
        <w:rPr>
          <w:rFonts w:ascii="Times New Roman" w:hAnsi="Times New Roman"/>
          <w:szCs w:val="24"/>
        </w:rPr>
        <w:t xml:space="preserve">particulars of claim. They raise </w:t>
      </w:r>
      <w:r w:rsidR="00D60298" w:rsidRPr="008822DF">
        <w:rPr>
          <w:rFonts w:ascii="Times New Roman" w:hAnsi="Times New Roman"/>
          <w:szCs w:val="24"/>
        </w:rPr>
        <w:t>six exceptions.</w:t>
      </w:r>
    </w:p>
    <w:p w14:paraId="2EB756D4" w14:textId="4C4632C4" w:rsidR="00D60298"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5</w:t>
      </w:r>
      <w:r w:rsidRPr="008822DF">
        <w:rPr>
          <w:rFonts w:ascii="Times New Roman" w:hAnsi="Times New Roman"/>
          <w:szCs w:val="24"/>
        </w:rPr>
        <w:tab/>
      </w:r>
      <w:r w:rsidR="00D60298" w:rsidRPr="008822DF">
        <w:rPr>
          <w:rFonts w:ascii="Times New Roman" w:hAnsi="Times New Roman"/>
          <w:szCs w:val="24"/>
        </w:rPr>
        <w:t>It would not be convenient for me to embark on a detailed discussion of the amended particulars of claim and the grounds of exception</w:t>
      </w:r>
      <w:r w:rsidR="00DC37B7" w:rsidRPr="008822DF">
        <w:rPr>
          <w:rFonts w:ascii="Times New Roman" w:hAnsi="Times New Roman"/>
          <w:szCs w:val="24"/>
        </w:rPr>
        <w:t xml:space="preserve"> here</w:t>
      </w:r>
      <w:r w:rsidR="00AE2FA9" w:rsidRPr="008822DF">
        <w:rPr>
          <w:rFonts w:ascii="Times New Roman" w:hAnsi="Times New Roman"/>
          <w:szCs w:val="24"/>
        </w:rPr>
        <w:t>. Instead, I shall deal with each exception separately below, explaining each complaint as I go along.</w:t>
      </w:r>
      <w:r w:rsidR="00E04697" w:rsidRPr="008822DF">
        <w:rPr>
          <w:rFonts w:ascii="Times New Roman" w:hAnsi="Times New Roman"/>
          <w:szCs w:val="24"/>
        </w:rPr>
        <w:t xml:space="preserve"> </w:t>
      </w:r>
      <w:r w:rsidR="002D7DE4" w:rsidRPr="008822DF">
        <w:rPr>
          <w:rFonts w:ascii="Times New Roman" w:hAnsi="Times New Roman"/>
          <w:szCs w:val="24"/>
        </w:rPr>
        <w:t>I would ordinarily have reproduced the main body of the amended particulars of claim to provide the necessary context for the discussion of each of the exceptions</w:t>
      </w:r>
      <w:r w:rsidR="003046E7" w:rsidRPr="008822DF">
        <w:rPr>
          <w:rFonts w:ascii="Times New Roman" w:hAnsi="Times New Roman"/>
          <w:szCs w:val="24"/>
        </w:rPr>
        <w:t>.</w:t>
      </w:r>
      <w:r w:rsidR="002D7DE4" w:rsidRPr="008822DF">
        <w:rPr>
          <w:rFonts w:ascii="Times New Roman" w:hAnsi="Times New Roman"/>
          <w:szCs w:val="24"/>
        </w:rPr>
        <w:t xml:space="preserve"> However, the amended particulars of claim run to around 30 pages and although some </w:t>
      </w:r>
      <w:r w:rsidR="00EB2F4F" w:rsidRPr="008822DF">
        <w:rPr>
          <w:rFonts w:ascii="Times New Roman" w:hAnsi="Times New Roman"/>
          <w:szCs w:val="24"/>
        </w:rPr>
        <w:t>appropriate editing could cut them down substantially (at least for the purpose of reproducing them here), it is not necessary for me to do so. As will become clearer when I deal with each exception, they are relatively self-contained</w:t>
      </w:r>
      <w:r w:rsidR="002254E3" w:rsidRPr="008822DF">
        <w:rPr>
          <w:rFonts w:ascii="Times New Roman" w:hAnsi="Times New Roman"/>
          <w:szCs w:val="24"/>
        </w:rPr>
        <w:t>,</w:t>
      </w:r>
      <w:r w:rsidR="00EB2F4F" w:rsidRPr="008822DF">
        <w:rPr>
          <w:rFonts w:ascii="Times New Roman" w:hAnsi="Times New Roman"/>
          <w:szCs w:val="24"/>
        </w:rPr>
        <w:t xml:space="preserve"> and it is possible </w:t>
      </w:r>
      <w:r w:rsidR="00855D10">
        <w:rPr>
          <w:rFonts w:ascii="Times New Roman" w:hAnsi="Times New Roman"/>
          <w:szCs w:val="24"/>
        </w:rPr>
        <w:t xml:space="preserve">for a reader </w:t>
      </w:r>
      <w:r w:rsidR="00EB2F4F" w:rsidRPr="008822DF">
        <w:rPr>
          <w:rFonts w:ascii="Times New Roman" w:hAnsi="Times New Roman"/>
          <w:szCs w:val="24"/>
        </w:rPr>
        <w:t xml:space="preserve">to follow the </w:t>
      </w:r>
      <w:r w:rsidR="002254E3" w:rsidRPr="008822DF">
        <w:rPr>
          <w:rFonts w:ascii="Times New Roman" w:hAnsi="Times New Roman"/>
          <w:szCs w:val="24"/>
        </w:rPr>
        <w:t>position of the parties and the relevant disputes without having to see the whole document.</w:t>
      </w:r>
    </w:p>
    <w:p w14:paraId="54CEC949" w14:textId="61D53B06" w:rsidR="007F0F14"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6</w:t>
      </w:r>
      <w:r w:rsidRPr="008822DF">
        <w:rPr>
          <w:rFonts w:ascii="Times New Roman" w:hAnsi="Times New Roman"/>
          <w:szCs w:val="24"/>
        </w:rPr>
        <w:tab/>
      </w:r>
      <w:r w:rsidR="007F0F14" w:rsidRPr="008822DF">
        <w:rPr>
          <w:rFonts w:ascii="Times New Roman" w:hAnsi="Times New Roman"/>
          <w:szCs w:val="24"/>
        </w:rPr>
        <w:t>Before I tackle each of the exceptions, it would be useful for me to say a few words about the applicable legal principles, most of which are trite:</w:t>
      </w:r>
    </w:p>
    <w:p w14:paraId="763D57C2" w14:textId="38063969" w:rsidR="00C7304A" w:rsidRPr="008822DF" w:rsidRDefault="008327FE" w:rsidP="008327FE">
      <w:pPr>
        <w:pStyle w:val="WLGLevel2"/>
        <w:numPr>
          <w:ilvl w:val="0"/>
          <w:numId w:val="0"/>
        </w:numPr>
        <w:tabs>
          <w:tab w:val="left" w:pos="1361"/>
        </w:tabs>
        <w:ind w:left="1361" w:hanging="794"/>
        <w:rPr>
          <w:rFonts w:ascii="Times New Roman" w:hAnsi="Times New Roman"/>
          <w:szCs w:val="24"/>
        </w:rPr>
      </w:pPr>
      <w:r w:rsidRPr="008822DF">
        <w:rPr>
          <w:rFonts w:ascii="Times New Roman" w:hAnsi="Times New Roman"/>
          <w:szCs w:val="24"/>
        </w:rPr>
        <w:t>6.1</w:t>
      </w:r>
      <w:r w:rsidRPr="008822DF">
        <w:rPr>
          <w:rFonts w:ascii="Times New Roman" w:hAnsi="Times New Roman"/>
          <w:szCs w:val="24"/>
        </w:rPr>
        <w:tab/>
      </w:r>
      <w:r w:rsidR="00C7304A" w:rsidRPr="008822DF">
        <w:rPr>
          <w:rFonts w:ascii="Times New Roman" w:hAnsi="Times New Roman"/>
          <w:szCs w:val="24"/>
        </w:rPr>
        <w:t xml:space="preserve">When it comes to exceptions based on the contention that no cause of action is disclosed, the well-established test is the following: on every interpretation that </w:t>
      </w:r>
      <w:r w:rsidR="00C7304A" w:rsidRPr="008822DF">
        <w:rPr>
          <w:rFonts w:ascii="Times New Roman" w:hAnsi="Times New Roman"/>
          <w:szCs w:val="24"/>
        </w:rPr>
        <w:lastRenderedPageBreak/>
        <w:t>the particulars of claim can reasonably bear, and accepting the truth of the allegations made in the particulars of claim, is a cause of action disclosed?</w:t>
      </w:r>
      <w:r w:rsidR="00C7304A" w:rsidRPr="008822DF">
        <w:rPr>
          <w:rStyle w:val="FootnoteReference"/>
          <w:rFonts w:ascii="Times New Roman" w:hAnsi="Times New Roman"/>
          <w:szCs w:val="24"/>
        </w:rPr>
        <w:footnoteReference w:id="1"/>
      </w:r>
    </w:p>
    <w:p w14:paraId="2A5CAA15" w14:textId="0E719FA5" w:rsidR="00C7304A" w:rsidRPr="008822DF" w:rsidRDefault="008327FE" w:rsidP="008327FE">
      <w:pPr>
        <w:pStyle w:val="WLGLevel2"/>
        <w:numPr>
          <w:ilvl w:val="0"/>
          <w:numId w:val="0"/>
        </w:numPr>
        <w:tabs>
          <w:tab w:val="left" w:pos="1361"/>
        </w:tabs>
        <w:ind w:left="1361" w:hanging="794"/>
        <w:rPr>
          <w:rFonts w:ascii="Times New Roman" w:hAnsi="Times New Roman"/>
          <w:szCs w:val="24"/>
        </w:rPr>
      </w:pPr>
      <w:r w:rsidRPr="008822DF">
        <w:rPr>
          <w:rFonts w:ascii="Times New Roman" w:hAnsi="Times New Roman"/>
          <w:szCs w:val="24"/>
        </w:rPr>
        <w:t>6.2</w:t>
      </w:r>
      <w:r w:rsidRPr="008822DF">
        <w:rPr>
          <w:rFonts w:ascii="Times New Roman" w:hAnsi="Times New Roman"/>
          <w:szCs w:val="24"/>
        </w:rPr>
        <w:tab/>
      </w:r>
      <w:r w:rsidR="00C7304A" w:rsidRPr="008822DF">
        <w:rPr>
          <w:rFonts w:ascii="Times New Roman" w:hAnsi="Times New Roman"/>
          <w:szCs w:val="24"/>
        </w:rPr>
        <w:t>The test when determining whether a vague-and-embarrassing exception should be upheld is to establish (a) whether the pleading lacks particularity to the extent that it is vague; and (b) whether the vagueness causes prejudice to the excipient.</w:t>
      </w:r>
      <w:r w:rsidR="00C7304A" w:rsidRPr="008822DF">
        <w:rPr>
          <w:rStyle w:val="FootnoteReference"/>
          <w:rFonts w:ascii="Times New Roman" w:hAnsi="Times New Roman"/>
          <w:szCs w:val="24"/>
        </w:rPr>
        <w:footnoteReference w:id="2"/>
      </w:r>
      <w:r w:rsidR="00C7304A" w:rsidRPr="008822DF">
        <w:rPr>
          <w:rFonts w:ascii="Times New Roman" w:hAnsi="Times New Roman"/>
          <w:szCs w:val="24"/>
        </w:rPr>
        <w:t xml:space="preserve"> In this regard: </w:t>
      </w:r>
    </w:p>
    <w:p w14:paraId="3FF5C42A" w14:textId="6C90EA19" w:rsidR="00C7304A" w:rsidRPr="008822DF" w:rsidRDefault="008327FE" w:rsidP="008327FE">
      <w:pPr>
        <w:pStyle w:val="WLGLevel3"/>
        <w:numPr>
          <w:ilvl w:val="0"/>
          <w:numId w:val="0"/>
        </w:numPr>
        <w:tabs>
          <w:tab w:val="left" w:pos="2381"/>
        </w:tabs>
        <w:ind w:left="2382" w:hanging="1021"/>
        <w:rPr>
          <w:rFonts w:ascii="Times New Roman" w:hAnsi="Times New Roman"/>
          <w:szCs w:val="24"/>
        </w:rPr>
      </w:pPr>
      <w:r w:rsidRPr="008822DF">
        <w:rPr>
          <w:rFonts w:ascii="Times New Roman" w:hAnsi="Times New Roman"/>
          <w:szCs w:val="24"/>
        </w:rPr>
        <w:t>6.2.1</w:t>
      </w:r>
      <w:r w:rsidRPr="008822DF">
        <w:rPr>
          <w:rFonts w:ascii="Times New Roman" w:hAnsi="Times New Roman"/>
          <w:szCs w:val="24"/>
        </w:rPr>
        <w:tab/>
      </w:r>
      <w:r w:rsidR="00C7304A" w:rsidRPr="008822DF">
        <w:rPr>
          <w:rFonts w:ascii="Times New Roman" w:hAnsi="Times New Roman"/>
          <w:szCs w:val="24"/>
        </w:rPr>
        <w:t>The plaintiff</w:t>
      </w:r>
      <w:r w:rsidR="0074732B" w:rsidRPr="008822DF">
        <w:rPr>
          <w:rFonts w:ascii="Times New Roman" w:hAnsi="Times New Roman"/>
          <w:szCs w:val="24"/>
        </w:rPr>
        <w:t xml:space="preserve"> is</w:t>
      </w:r>
      <w:r w:rsidR="00C7304A" w:rsidRPr="008822DF">
        <w:rPr>
          <w:rFonts w:ascii="Times New Roman" w:hAnsi="Times New Roman"/>
          <w:szCs w:val="24"/>
        </w:rPr>
        <w:t xml:space="preserve"> required to state </w:t>
      </w:r>
      <w:r w:rsidR="0074732B" w:rsidRPr="008822DF">
        <w:rPr>
          <w:rFonts w:ascii="Times New Roman" w:hAnsi="Times New Roman"/>
          <w:szCs w:val="24"/>
        </w:rPr>
        <w:t>its</w:t>
      </w:r>
      <w:r w:rsidR="00C7304A" w:rsidRPr="008822DF">
        <w:rPr>
          <w:rFonts w:ascii="Times New Roman" w:hAnsi="Times New Roman"/>
          <w:szCs w:val="24"/>
        </w:rPr>
        <w:t xml:space="preserve"> case in </w:t>
      </w:r>
      <w:r w:rsidR="0074732B" w:rsidRPr="008822DF">
        <w:rPr>
          <w:rFonts w:ascii="Times New Roman" w:hAnsi="Times New Roman"/>
          <w:szCs w:val="24"/>
        </w:rPr>
        <w:t>its</w:t>
      </w:r>
      <w:r w:rsidR="00C7304A" w:rsidRPr="008822DF">
        <w:rPr>
          <w:rFonts w:ascii="Times New Roman" w:hAnsi="Times New Roman"/>
          <w:szCs w:val="24"/>
        </w:rPr>
        <w:t xml:space="preserve"> particulars of claim with precision, to assist both the parties and the court to understand the issues arising in the claim.</w:t>
      </w:r>
      <w:r w:rsidR="00C7304A" w:rsidRPr="008822DF">
        <w:rPr>
          <w:rStyle w:val="FootnoteReference"/>
          <w:rFonts w:ascii="Times New Roman" w:hAnsi="Times New Roman"/>
          <w:szCs w:val="24"/>
        </w:rPr>
        <w:footnoteReference w:id="3"/>
      </w:r>
      <w:r w:rsidR="00C7304A" w:rsidRPr="008822DF">
        <w:rPr>
          <w:rFonts w:ascii="Times New Roman" w:hAnsi="Times New Roman"/>
          <w:szCs w:val="24"/>
        </w:rPr>
        <w:t xml:space="preserve"> </w:t>
      </w:r>
    </w:p>
    <w:p w14:paraId="4F3BD298" w14:textId="559C69BA" w:rsidR="007F0F14" w:rsidRPr="008822DF" w:rsidRDefault="008327FE" w:rsidP="008327FE">
      <w:pPr>
        <w:pStyle w:val="WLGLevel3"/>
        <w:numPr>
          <w:ilvl w:val="0"/>
          <w:numId w:val="0"/>
        </w:numPr>
        <w:tabs>
          <w:tab w:val="left" w:pos="2381"/>
        </w:tabs>
        <w:ind w:left="2382" w:hanging="1021"/>
        <w:rPr>
          <w:rFonts w:ascii="Times New Roman" w:hAnsi="Times New Roman"/>
          <w:szCs w:val="24"/>
        </w:rPr>
      </w:pPr>
      <w:r w:rsidRPr="008822DF">
        <w:rPr>
          <w:rFonts w:ascii="Times New Roman" w:hAnsi="Times New Roman"/>
          <w:szCs w:val="24"/>
        </w:rPr>
        <w:t>6.2.2</w:t>
      </w:r>
      <w:r w:rsidRPr="008822DF">
        <w:rPr>
          <w:rFonts w:ascii="Times New Roman" w:hAnsi="Times New Roman"/>
          <w:szCs w:val="24"/>
        </w:rPr>
        <w:tab/>
      </w:r>
      <w:r w:rsidR="00C7304A" w:rsidRPr="008822DF">
        <w:rPr>
          <w:rFonts w:ascii="Times New Roman" w:hAnsi="Times New Roman"/>
          <w:szCs w:val="24"/>
        </w:rPr>
        <w:t xml:space="preserve">It </w:t>
      </w:r>
      <w:r w:rsidR="0074732B" w:rsidRPr="008822DF">
        <w:rPr>
          <w:rFonts w:ascii="Times New Roman" w:hAnsi="Times New Roman"/>
          <w:szCs w:val="24"/>
        </w:rPr>
        <w:t>i</w:t>
      </w:r>
      <w:r w:rsidR="00C7304A" w:rsidRPr="008822DF">
        <w:rPr>
          <w:rFonts w:ascii="Times New Roman" w:hAnsi="Times New Roman"/>
          <w:szCs w:val="24"/>
        </w:rPr>
        <w:t xml:space="preserve">s essential for the plaintiff to plead </w:t>
      </w:r>
      <w:r w:rsidR="0016578C" w:rsidRPr="008822DF">
        <w:rPr>
          <w:rFonts w:ascii="Times New Roman" w:hAnsi="Times New Roman"/>
          <w:szCs w:val="24"/>
        </w:rPr>
        <w:t>its</w:t>
      </w:r>
      <w:r w:rsidR="00C7304A" w:rsidRPr="008822DF">
        <w:rPr>
          <w:rFonts w:ascii="Times New Roman" w:hAnsi="Times New Roman"/>
          <w:szCs w:val="24"/>
        </w:rPr>
        <w:t xml:space="preserve"> case in a way that enable</w:t>
      </w:r>
      <w:r w:rsidR="0016578C" w:rsidRPr="008822DF">
        <w:rPr>
          <w:rFonts w:ascii="Times New Roman" w:hAnsi="Times New Roman"/>
          <w:szCs w:val="24"/>
        </w:rPr>
        <w:t>s</w:t>
      </w:r>
      <w:r w:rsidR="00C7304A" w:rsidRPr="008822DF">
        <w:rPr>
          <w:rFonts w:ascii="Times New Roman" w:hAnsi="Times New Roman"/>
          <w:szCs w:val="24"/>
        </w:rPr>
        <w:t xml:space="preserve"> the </w:t>
      </w:r>
      <w:r w:rsidR="0016578C" w:rsidRPr="008822DF">
        <w:rPr>
          <w:rFonts w:ascii="Times New Roman" w:hAnsi="Times New Roman"/>
          <w:szCs w:val="24"/>
        </w:rPr>
        <w:t>defendant</w:t>
      </w:r>
      <w:r w:rsidR="00C7304A" w:rsidRPr="008822DF">
        <w:rPr>
          <w:rFonts w:ascii="Times New Roman" w:hAnsi="Times New Roman"/>
          <w:szCs w:val="24"/>
        </w:rPr>
        <w:t xml:space="preserve"> to know what case </w:t>
      </w:r>
      <w:r w:rsidR="0016578C" w:rsidRPr="008822DF">
        <w:rPr>
          <w:rFonts w:ascii="Times New Roman" w:hAnsi="Times New Roman"/>
          <w:szCs w:val="24"/>
        </w:rPr>
        <w:t>it is</w:t>
      </w:r>
      <w:r w:rsidR="00C7304A" w:rsidRPr="008822DF">
        <w:rPr>
          <w:rFonts w:ascii="Times New Roman" w:hAnsi="Times New Roman"/>
          <w:szCs w:val="24"/>
        </w:rPr>
        <w:t xml:space="preserve"> called upon to meet.</w:t>
      </w:r>
      <w:r w:rsidR="00C7304A" w:rsidRPr="008822DF">
        <w:rPr>
          <w:rStyle w:val="FootnoteReference"/>
          <w:rFonts w:ascii="Times New Roman" w:hAnsi="Times New Roman"/>
          <w:szCs w:val="24"/>
        </w:rPr>
        <w:footnoteReference w:id="4"/>
      </w:r>
      <w:r w:rsidR="00C7304A" w:rsidRPr="008822DF">
        <w:rPr>
          <w:rFonts w:ascii="Times New Roman" w:hAnsi="Times New Roman"/>
          <w:szCs w:val="24"/>
        </w:rPr>
        <w:t xml:space="preserve"> This means that the particulars of claim ha</w:t>
      </w:r>
      <w:r w:rsidR="0016578C" w:rsidRPr="008822DF">
        <w:rPr>
          <w:rFonts w:ascii="Times New Roman" w:hAnsi="Times New Roman"/>
          <w:szCs w:val="24"/>
        </w:rPr>
        <w:t>ve</w:t>
      </w:r>
      <w:r w:rsidR="00C7304A" w:rsidRPr="008822DF">
        <w:rPr>
          <w:rFonts w:ascii="Times New Roman" w:hAnsi="Times New Roman"/>
          <w:szCs w:val="24"/>
        </w:rPr>
        <w:t xml:space="preserve"> to be lucid and logical and in an intelligible form so that the causes of action appear clearly from the factual allegations made.</w:t>
      </w:r>
      <w:r w:rsidR="00C7304A" w:rsidRPr="008822DF">
        <w:rPr>
          <w:rStyle w:val="FootnoteReference"/>
          <w:rFonts w:ascii="Times New Roman" w:hAnsi="Times New Roman"/>
          <w:szCs w:val="24"/>
        </w:rPr>
        <w:footnoteReference w:id="5"/>
      </w:r>
    </w:p>
    <w:p w14:paraId="1C3D8494" w14:textId="708912A0" w:rsidR="00702FDF" w:rsidRPr="008822DF" w:rsidRDefault="008327FE" w:rsidP="008327FE">
      <w:pPr>
        <w:pStyle w:val="WLGLevel3"/>
        <w:numPr>
          <w:ilvl w:val="0"/>
          <w:numId w:val="0"/>
        </w:numPr>
        <w:tabs>
          <w:tab w:val="left" w:pos="2381"/>
        </w:tabs>
        <w:ind w:left="2382" w:hanging="1021"/>
        <w:rPr>
          <w:rFonts w:ascii="Times New Roman" w:hAnsi="Times New Roman"/>
          <w:szCs w:val="24"/>
        </w:rPr>
      </w:pPr>
      <w:r w:rsidRPr="008822DF">
        <w:rPr>
          <w:rFonts w:ascii="Times New Roman" w:hAnsi="Times New Roman"/>
          <w:szCs w:val="24"/>
        </w:rPr>
        <w:t>6.2.3</w:t>
      </w:r>
      <w:r w:rsidRPr="008822DF">
        <w:rPr>
          <w:rFonts w:ascii="Times New Roman" w:hAnsi="Times New Roman"/>
          <w:szCs w:val="24"/>
        </w:rPr>
        <w:tab/>
      </w:r>
      <w:r w:rsidR="001E2AC1" w:rsidRPr="008822DF">
        <w:rPr>
          <w:rFonts w:ascii="Times New Roman" w:hAnsi="Times New Roman"/>
          <w:szCs w:val="24"/>
        </w:rPr>
        <w:t xml:space="preserve">However, </w:t>
      </w:r>
      <w:r w:rsidR="00DC3A31" w:rsidRPr="008822DF">
        <w:rPr>
          <w:rFonts w:ascii="Times New Roman" w:hAnsi="Times New Roman"/>
          <w:szCs w:val="24"/>
        </w:rPr>
        <w:t xml:space="preserve">an exception based on the contention that a pleading is vague and embarrassing will only be upheld if there is serious </w:t>
      </w:r>
      <w:r w:rsidR="00DC3A31" w:rsidRPr="008822DF">
        <w:rPr>
          <w:rFonts w:ascii="Times New Roman" w:hAnsi="Times New Roman"/>
          <w:szCs w:val="24"/>
        </w:rPr>
        <w:lastRenderedPageBreak/>
        <w:t>prejudice to the other party arising from the way in which the pleading is formulated</w:t>
      </w:r>
      <w:r w:rsidR="009E5089" w:rsidRPr="008822DF">
        <w:rPr>
          <w:rFonts w:ascii="Times New Roman" w:hAnsi="Times New Roman"/>
          <w:szCs w:val="24"/>
        </w:rPr>
        <w:t>.</w:t>
      </w:r>
      <w:r w:rsidR="00DC3A31" w:rsidRPr="008822DF">
        <w:rPr>
          <w:rStyle w:val="FootnoteReference"/>
          <w:rFonts w:ascii="Times New Roman" w:hAnsi="Times New Roman"/>
          <w:szCs w:val="24"/>
        </w:rPr>
        <w:footnoteReference w:id="6"/>
      </w:r>
    </w:p>
    <w:p w14:paraId="668C8DAE" w14:textId="2A2535AE" w:rsidR="0045053D"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7</w:t>
      </w:r>
      <w:r w:rsidRPr="008822DF">
        <w:rPr>
          <w:rFonts w:ascii="Times New Roman" w:hAnsi="Times New Roman"/>
          <w:szCs w:val="24"/>
        </w:rPr>
        <w:tab/>
      </w:r>
      <w:r w:rsidR="0045053D" w:rsidRPr="008822DF">
        <w:rPr>
          <w:rFonts w:ascii="Times New Roman" w:hAnsi="Times New Roman"/>
          <w:szCs w:val="24"/>
        </w:rPr>
        <w:t>These are broad principles relating to exceptions which are not controversial. I return to discuss the law briefly again when dealing with the fourth exception</w:t>
      </w:r>
      <w:r w:rsidR="009357F3" w:rsidRPr="008822DF">
        <w:rPr>
          <w:rFonts w:ascii="Times New Roman" w:hAnsi="Times New Roman"/>
          <w:szCs w:val="24"/>
        </w:rPr>
        <w:t xml:space="preserve"> because it raises some complexities, especially in the light of the relatively recent decision of the Constitutional Court in </w:t>
      </w:r>
      <w:r w:rsidR="00D007C9" w:rsidRPr="008822DF">
        <w:rPr>
          <w:rFonts w:ascii="Times New Roman" w:hAnsi="Times New Roman"/>
          <w:szCs w:val="24"/>
        </w:rPr>
        <w:t xml:space="preserve">the </w:t>
      </w:r>
      <w:r w:rsidR="00D007C9" w:rsidRPr="008822DF">
        <w:rPr>
          <w:rFonts w:ascii="Times New Roman" w:hAnsi="Times New Roman"/>
          <w:i/>
          <w:iCs/>
          <w:szCs w:val="24"/>
        </w:rPr>
        <w:t>University of Johannesburg</w:t>
      </w:r>
      <w:r w:rsidR="00D007C9" w:rsidRPr="008822DF">
        <w:rPr>
          <w:rFonts w:ascii="Times New Roman" w:hAnsi="Times New Roman"/>
          <w:szCs w:val="24"/>
        </w:rPr>
        <w:t xml:space="preserve"> case.</w:t>
      </w:r>
      <w:r w:rsidR="00D007C9" w:rsidRPr="008822DF">
        <w:rPr>
          <w:rStyle w:val="FootnoteReference"/>
          <w:rFonts w:ascii="Times New Roman" w:hAnsi="Times New Roman"/>
          <w:szCs w:val="24"/>
        </w:rPr>
        <w:footnoteReference w:id="7"/>
      </w:r>
    </w:p>
    <w:p w14:paraId="4D801A0B" w14:textId="1B5C9107" w:rsidR="00AE2FA9" w:rsidRPr="008822DF" w:rsidRDefault="00AE2FA9" w:rsidP="00AE2FA9">
      <w:pPr>
        <w:pStyle w:val="Heading1"/>
        <w:rPr>
          <w:rFonts w:ascii="Times New Roman" w:hAnsi="Times New Roman"/>
          <w:szCs w:val="24"/>
        </w:rPr>
      </w:pPr>
      <w:r w:rsidRPr="008822DF">
        <w:rPr>
          <w:rFonts w:ascii="Times New Roman" w:hAnsi="Times New Roman"/>
          <w:szCs w:val="24"/>
        </w:rPr>
        <w:t>THE FIRST EXCEPTION</w:t>
      </w:r>
    </w:p>
    <w:p w14:paraId="57CFFA32" w14:textId="19749FDA" w:rsidR="00AE2FA9"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8</w:t>
      </w:r>
      <w:r w:rsidRPr="008822DF">
        <w:rPr>
          <w:rFonts w:ascii="Times New Roman" w:hAnsi="Times New Roman"/>
          <w:szCs w:val="24"/>
        </w:rPr>
        <w:tab/>
      </w:r>
      <w:r w:rsidR="008A2489" w:rsidRPr="008822DF">
        <w:rPr>
          <w:rFonts w:ascii="Times New Roman" w:hAnsi="Times New Roman"/>
          <w:szCs w:val="24"/>
        </w:rPr>
        <w:t>The first exception is framed as follows:</w:t>
      </w:r>
    </w:p>
    <w:p w14:paraId="2D0297DB" w14:textId="248CE8DD" w:rsidR="00217A03" w:rsidRPr="008822DF" w:rsidRDefault="00217A03" w:rsidP="00217A03">
      <w:pPr>
        <w:pStyle w:val="BodyTextIndent"/>
        <w:spacing w:line="240" w:lineRule="auto"/>
        <w:ind w:left="1134"/>
        <w:rPr>
          <w:rFonts w:ascii="Times New Roman" w:hAnsi="Times New Roman"/>
          <w:i/>
          <w:iCs/>
          <w:szCs w:val="24"/>
        </w:rPr>
      </w:pPr>
      <w:r w:rsidRPr="008822DF">
        <w:rPr>
          <w:rFonts w:ascii="Times New Roman" w:hAnsi="Times New Roman"/>
          <w:i/>
          <w:iCs/>
          <w:szCs w:val="24"/>
        </w:rPr>
        <w:t>1. At paragraphs 8 to 11 of the Plaintiff's Particulars of Claim, the Plaintiff pleads that the Plaintiff and the First Defendant concluded the Overdraft Facility Agreement.</w:t>
      </w:r>
    </w:p>
    <w:p w14:paraId="5D7745E0" w14:textId="3BB8F52D" w:rsidR="00217A03" w:rsidRPr="008822DF" w:rsidRDefault="00217A03" w:rsidP="00217A03">
      <w:pPr>
        <w:pStyle w:val="BodyTextIndent"/>
        <w:spacing w:line="240" w:lineRule="auto"/>
        <w:ind w:left="1134"/>
        <w:rPr>
          <w:rFonts w:ascii="Times New Roman" w:hAnsi="Times New Roman"/>
          <w:i/>
          <w:iCs/>
          <w:szCs w:val="24"/>
        </w:rPr>
      </w:pPr>
      <w:r w:rsidRPr="008822DF">
        <w:rPr>
          <w:rFonts w:ascii="Times New Roman" w:hAnsi="Times New Roman"/>
          <w:i/>
          <w:iCs/>
          <w:szCs w:val="24"/>
        </w:rPr>
        <w:t>2. At paragraph 13 of the Plaintiff's Particulars of Claim, the Plaintiff pleads that, in terms of the Overdraft Facility Agreement, the rate of interest which would be applied to the Initial Limit would be charged at the Plaintiff</w:t>
      </w:r>
      <w:r w:rsidR="00255131" w:rsidRPr="008822DF">
        <w:rPr>
          <w:rFonts w:ascii="Times New Roman" w:hAnsi="Times New Roman"/>
          <w:i/>
          <w:iCs/>
          <w:szCs w:val="24"/>
        </w:rPr>
        <w:t>’</w:t>
      </w:r>
      <w:r w:rsidRPr="008822DF">
        <w:rPr>
          <w:rFonts w:ascii="Times New Roman" w:hAnsi="Times New Roman"/>
          <w:i/>
          <w:iCs/>
          <w:szCs w:val="24"/>
        </w:rPr>
        <w:t>s published variable interest rate, commonly known as the "prime rate", which is 7% as at 18 June 2021, plus a margin of 1% i.e. 8%.</w:t>
      </w:r>
    </w:p>
    <w:p w14:paraId="2F657AE7" w14:textId="5228D77F" w:rsidR="00217A03" w:rsidRPr="008822DF" w:rsidRDefault="00217A03" w:rsidP="00217A03">
      <w:pPr>
        <w:pStyle w:val="BodyTextIndent"/>
        <w:spacing w:line="240" w:lineRule="auto"/>
        <w:ind w:left="1134"/>
        <w:rPr>
          <w:rFonts w:ascii="Times New Roman" w:hAnsi="Times New Roman"/>
          <w:i/>
          <w:iCs/>
          <w:szCs w:val="24"/>
        </w:rPr>
      </w:pPr>
      <w:r w:rsidRPr="008822DF">
        <w:rPr>
          <w:rFonts w:ascii="Times New Roman" w:hAnsi="Times New Roman"/>
          <w:i/>
          <w:iCs/>
          <w:szCs w:val="24"/>
        </w:rPr>
        <w:t xml:space="preserve">3. At paragraph 23 of the Plaintiffs Particulars of Claim, the Plaintiff pleads that, in terms of the Overdraft Facility Agreement, the First Defendant is indebted to it in the amount of </w:t>
      </w:r>
      <w:r w:rsidRPr="008822DF">
        <w:rPr>
          <w:rFonts w:ascii="Times New Roman" w:hAnsi="Times New Roman"/>
          <w:b/>
          <w:bCs/>
          <w:i/>
          <w:iCs/>
          <w:szCs w:val="24"/>
        </w:rPr>
        <w:t xml:space="preserve">R19 539 742.45 </w:t>
      </w:r>
      <w:r w:rsidRPr="008822DF">
        <w:rPr>
          <w:rFonts w:ascii="Times New Roman" w:hAnsi="Times New Roman"/>
          <w:i/>
          <w:iCs/>
          <w:szCs w:val="24"/>
        </w:rPr>
        <w:t xml:space="preserve">plus interest thereon at a rate of 8% (eight percent) per annum, which interest is calculated daily and compounded monthly in arrears from </w:t>
      </w:r>
      <w:r w:rsidRPr="008822DF">
        <w:rPr>
          <w:rFonts w:ascii="Times New Roman" w:hAnsi="Times New Roman"/>
          <w:b/>
          <w:bCs/>
          <w:i/>
          <w:iCs/>
          <w:szCs w:val="24"/>
        </w:rPr>
        <w:t xml:space="preserve">25 July 2021 </w:t>
      </w:r>
      <w:r w:rsidRPr="008822DF">
        <w:rPr>
          <w:rFonts w:ascii="Times New Roman" w:hAnsi="Times New Roman"/>
          <w:i/>
          <w:iCs/>
          <w:szCs w:val="24"/>
        </w:rPr>
        <w:t>to date of payment, both days inclusive and which amount is due owing and payable by the First Defendant.</w:t>
      </w:r>
    </w:p>
    <w:p w14:paraId="2D49FABD" w14:textId="4C82458D" w:rsidR="00217A03" w:rsidRPr="008822DF" w:rsidRDefault="00217A03" w:rsidP="00217A03">
      <w:pPr>
        <w:pStyle w:val="BodyTextIndent"/>
        <w:spacing w:line="240" w:lineRule="auto"/>
        <w:ind w:left="1134"/>
        <w:rPr>
          <w:rFonts w:ascii="Times New Roman" w:hAnsi="Times New Roman"/>
          <w:i/>
          <w:iCs/>
          <w:szCs w:val="24"/>
        </w:rPr>
      </w:pPr>
      <w:r w:rsidRPr="008822DF">
        <w:rPr>
          <w:rFonts w:ascii="Times New Roman" w:hAnsi="Times New Roman"/>
          <w:i/>
          <w:iCs/>
          <w:szCs w:val="24"/>
        </w:rPr>
        <w:t>4. At prayer 1.2 of the prayers, the Plaintiff prays for judgment against the First Defendant for:</w:t>
      </w:r>
    </w:p>
    <w:p w14:paraId="0A24EF11" w14:textId="77777777" w:rsidR="00217A03" w:rsidRPr="008822DF" w:rsidRDefault="00217A03" w:rsidP="00217A03">
      <w:pPr>
        <w:pStyle w:val="BodyTextIndent"/>
        <w:spacing w:line="240" w:lineRule="auto"/>
        <w:ind w:left="1134" w:firstLine="567"/>
        <w:rPr>
          <w:rFonts w:ascii="Times New Roman" w:hAnsi="Times New Roman"/>
          <w:i/>
          <w:iCs/>
          <w:szCs w:val="24"/>
        </w:rPr>
      </w:pPr>
      <w:r w:rsidRPr="008822DF">
        <w:rPr>
          <w:rFonts w:ascii="Times New Roman" w:hAnsi="Times New Roman"/>
          <w:i/>
          <w:iCs/>
          <w:szCs w:val="24"/>
        </w:rPr>
        <w:t xml:space="preserve">4.1. payment in the amount of </w:t>
      </w:r>
      <w:r w:rsidRPr="008822DF">
        <w:rPr>
          <w:rFonts w:ascii="Times New Roman" w:hAnsi="Times New Roman"/>
          <w:b/>
          <w:bCs/>
          <w:i/>
          <w:iCs/>
          <w:szCs w:val="24"/>
        </w:rPr>
        <w:t xml:space="preserve">R19 539 742.45; </w:t>
      </w:r>
      <w:r w:rsidRPr="008822DF">
        <w:rPr>
          <w:rFonts w:ascii="Times New Roman" w:hAnsi="Times New Roman"/>
          <w:i/>
          <w:iCs/>
          <w:szCs w:val="24"/>
        </w:rPr>
        <w:t>and</w:t>
      </w:r>
    </w:p>
    <w:p w14:paraId="05804730" w14:textId="7F41879A" w:rsidR="00217A03" w:rsidRPr="008822DF" w:rsidRDefault="00217A03" w:rsidP="00217A03">
      <w:pPr>
        <w:pStyle w:val="BodyTextIndent"/>
        <w:spacing w:line="240" w:lineRule="auto"/>
        <w:ind w:left="1701"/>
        <w:rPr>
          <w:rFonts w:ascii="Times New Roman" w:hAnsi="Times New Roman"/>
          <w:i/>
          <w:iCs/>
          <w:szCs w:val="24"/>
        </w:rPr>
      </w:pPr>
      <w:r w:rsidRPr="008822DF">
        <w:rPr>
          <w:rFonts w:ascii="Times New Roman" w:hAnsi="Times New Roman"/>
          <w:i/>
          <w:iCs/>
          <w:szCs w:val="24"/>
        </w:rPr>
        <w:t xml:space="preserve">4.2. payment of interest thereon at a rate of 8% (eight percent) per annum, which interest is calculated daily and compounded monthly in arrears from </w:t>
      </w:r>
      <w:r w:rsidRPr="008822DF">
        <w:rPr>
          <w:rFonts w:ascii="Times New Roman" w:hAnsi="Times New Roman"/>
          <w:b/>
          <w:bCs/>
          <w:i/>
          <w:iCs/>
          <w:szCs w:val="24"/>
        </w:rPr>
        <w:lastRenderedPageBreak/>
        <w:t xml:space="preserve">25 July 2021 </w:t>
      </w:r>
      <w:r w:rsidRPr="008822DF">
        <w:rPr>
          <w:rFonts w:ascii="Times New Roman" w:hAnsi="Times New Roman"/>
          <w:i/>
          <w:iCs/>
          <w:szCs w:val="24"/>
        </w:rPr>
        <w:t>to date of payment, both days inclusive, the stated interest rate being subject to any changes in the prime rate.</w:t>
      </w:r>
    </w:p>
    <w:p w14:paraId="660542ED" w14:textId="30A1F179" w:rsidR="00217A03" w:rsidRPr="008822DF" w:rsidRDefault="00217A03" w:rsidP="00217A03">
      <w:pPr>
        <w:pStyle w:val="BodyTextIndent"/>
        <w:spacing w:line="240" w:lineRule="auto"/>
        <w:ind w:left="1134"/>
        <w:rPr>
          <w:rFonts w:ascii="Times New Roman" w:hAnsi="Times New Roman"/>
          <w:i/>
          <w:iCs/>
          <w:szCs w:val="24"/>
        </w:rPr>
      </w:pPr>
      <w:r w:rsidRPr="008822DF">
        <w:rPr>
          <w:rFonts w:ascii="Times New Roman" w:hAnsi="Times New Roman"/>
          <w:i/>
          <w:iCs/>
          <w:szCs w:val="24"/>
        </w:rPr>
        <w:t>5. The Plaintiff has failed to plead that it was a term of the Overdraft Facility Agreement that interest would be:</w:t>
      </w:r>
    </w:p>
    <w:p w14:paraId="72E567BE" w14:textId="77777777" w:rsidR="00217A03" w:rsidRPr="008822DF" w:rsidRDefault="00217A03" w:rsidP="00217A03">
      <w:pPr>
        <w:pStyle w:val="BodyTextIndent"/>
        <w:spacing w:line="240" w:lineRule="auto"/>
        <w:ind w:left="1134" w:firstLine="567"/>
        <w:rPr>
          <w:rFonts w:ascii="Times New Roman" w:hAnsi="Times New Roman"/>
          <w:i/>
          <w:iCs/>
          <w:szCs w:val="24"/>
        </w:rPr>
      </w:pPr>
      <w:r w:rsidRPr="008822DF">
        <w:rPr>
          <w:rFonts w:ascii="Times New Roman" w:hAnsi="Times New Roman"/>
          <w:i/>
          <w:iCs/>
          <w:szCs w:val="24"/>
        </w:rPr>
        <w:t>5.1. calculated daily; or</w:t>
      </w:r>
    </w:p>
    <w:p w14:paraId="65C9E892" w14:textId="77777777" w:rsidR="00217A03" w:rsidRPr="008822DF" w:rsidRDefault="00217A03" w:rsidP="00217A03">
      <w:pPr>
        <w:pStyle w:val="BodyTextIndent"/>
        <w:spacing w:line="240" w:lineRule="auto"/>
        <w:ind w:left="1134" w:firstLine="567"/>
        <w:rPr>
          <w:rFonts w:ascii="Times New Roman" w:hAnsi="Times New Roman"/>
          <w:i/>
          <w:iCs/>
          <w:szCs w:val="24"/>
        </w:rPr>
      </w:pPr>
      <w:r w:rsidRPr="008822DF">
        <w:rPr>
          <w:rFonts w:ascii="Times New Roman" w:hAnsi="Times New Roman"/>
          <w:i/>
          <w:iCs/>
          <w:szCs w:val="24"/>
        </w:rPr>
        <w:t>5.2. compounded monthly in arrears.</w:t>
      </w:r>
    </w:p>
    <w:p w14:paraId="54EEE5DB" w14:textId="061FE6C3" w:rsidR="00217A03" w:rsidRPr="008822DF" w:rsidRDefault="00217A03" w:rsidP="00217A03">
      <w:pPr>
        <w:pStyle w:val="BodyTextIndent"/>
        <w:spacing w:line="240" w:lineRule="auto"/>
        <w:ind w:left="1134"/>
        <w:rPr>
          <w:rFonts w:ascii="Times New Roman" w:hAnsi="Times New Roman"/>
          <w:i/>
          <w:iCs/>
          <w:color w:val="0E0E0E"/>
          <w:szCs w:val="24"/>
        </w:rPr>
      </w:pPr>
      <w:r w:rsidRPr="008822DF">
        <w:rPr>
          <w:rFonts w:ascii="Times New Roman" w:hAnsi="Times New Roman"/>
          <w:i/>
          <w:iCs/>
          <w:szCs w:val="24"/>
        </w:rPr>
        <w:t>6. The aforesaid renders the Plaintiff</w:t>
      </w:r>
      <w:r w:rsidR="00F625FB">
        <w:rPr>
          <w:rFonts w:ascii="Times New Roman" w:hAnsi="Times New Roman"/>
          <w:i/>
          <w:iCs/>
          <w:szCs w:val="24"/>
        </w:rPr>
        <w:t>’</w:t>
      </w:r>
      <w:r w:rsidRPr="008822DF">
        <w:rPr>
          <w:rFonts w:ascii="Times New Roman" w:hAnsi="Times New Roman"/>
          <w:i/>
          <w:iCs/>
          <w:szCs w:val="24"/>
        </w:rPr>
        <w:t>s Particulars of Claim excipiable on the basis that they lack averments necessary to sustain a cause of action.”</w:t>
      </w:r>
    </w:p>
    <w:p w14:paraId="321E2FF3" w14:textId="629C18E9" w:rsidR="00217A03"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9</w:t>
      </w:r>
      <w:r w:rsidRPr="008822DF">
        <w:rPr>
          <w:rFonts w:ascii="Times New Roman" w:hAnsi="Times New Roman"/>
          <w:szCs w:val="24"/>
        </w:rPr>
        <w:tab/>
      </w:r>
      <w:r w:rsidR="00595E25" w:rsidRPr="008822DF">
        <w:rPr>
          <w:rFonts w:ascii="Times New Roman" w:hAnsi="Times New Roman"/>
          <w:szCs w:val="24"/>
        </w:rPr>
        <w:t xml:space="preserve">In the heads of argument filed on behalf of the defendants, </w:t>
      </w:r>
      <w:r w:rsidR="008542C9" w:rsidRPr="008822DF">
        <w:rPr>
          <w:rFonts w:ascii="Times New Roman" w:hAnsi="Times New Roman"/>
          <w:szCs w:val="24"/>
        </w:rPr>
        <w:t>they indicate</w:t>
      </w:r>
      <w:r w:rsidR="00515A4F" w:rsidRPr="008822DF">
        <w:rPr>
          <w:rFonts w:ascii="Times New Roman" w:hAnsi="Times New Roman"/>
          <w:szCs w:val="24"/>
        </w:rPr>
        <w:t xml:space="preserve"> that they do not persist in the complaint relating to the daily calculation of interest</w:t>
      </w:r>
      <w:r w:rsidR="00440EF3" w:rsidRPr="008822DF">
        <w:rPr>
          <w:rFonts w:ascii="Times New Roman" w:hAnsi="Times New Roman"/>
          <w:szCs w:val="24"/>
        </w:rPr>
        <w:t xml:space="preserve"> because the</w:t>
      </w:r>
      <w:r w:rsidR="00DD2C68">
        <w:rPr>
          <w:rFonts w:ascii="Times New Roman" w:hAnsi="Times New Roman"/>
          <w:szCs w:val="24"/>
        </w:rPr>
        <w:t>y</w:t>
      </w:r>
      <w:r w:rsidR="00440EF3" w:rsidRPr="008822DF">
        <w:rPr>
          <w:rFonts w:ascii="Times New Roman" w:hAnsi="Times New Roman"/>
          <w:szCs w:val="24"/>
        </w:rPr>
        <w:t xml:space="preserve"> now </w:t>
      </w:r>
      <w:r w:rsidR="00DD2C68">
        <w:rPr>
          <w:rFonts w:ascii="Times New Roman" w:hAnsi="Times New Roman"/>
          <w:szCs w:val="24"/>
        </w:rPr>
        <w:t>accept</w:t>
      </w:r>
      <w:r w:rsidR="00440EF3" w:rsidRPr="008822DF">
        <w:rPr>
          <w:rFonts w:ascii="Times New Roman" w:hAnsi="Times New Roman"/>
          <w:szCs w:val="24"/>
        </w:rPr>
        <w:t xml:space="preserve"> that the </w:t>
      </w:r>
      <w:r w:rsidR="001E635A" w:rsidRPr="008822DF">
        <w:rPr>
          <w:rFonts w:ascii="Times New Roman" w:hAnsi="Times New Roman"/>
          <w:szCs w:val="24"/>
        </w:rPr>
        <w:t>terms and conditions</w:t>
      </w:r>
      <w:r w:rsidR="00440EF3" w:rsidRPr="008822DF">
        <w:rPr>
          <w:rFonts w:ascii="Times New Roman" w:hAnsi="Times New Roman"/>
          <w:szCs w:val="24"/>
        </w:rPr>
        <w:t xml:space="preserve"> provide for </w:t>
      </w:r>
      <w:r w:rsidR="002E55A9" w:rsidRPr="008822DF">
        <w:rPr>
          <w:rFonts w:ascii="Times New Roman" w:hAnsi="Times New Roman"/>
          <w:szCs w:val="24"/>
        </w:rPr>
        <w:t xml:space="preserve">interest, calculated daily. </w:t>
      </w:r>
      <w:r w:rsidR="00515A4F" w:rsidRPr="008822DF">
        <w:rPr>
          <w:rFonts w:ascii="Times New Roman" w:hAnsi="Times New Roman"/>
          <w:szCs w:val="24"/>
        </w:rPr>
        <w:t xml:space="preserve">Therefore, the only issue raised by the first exception is whether </w:t>
      </w:r>
      <w:r w:rsidR="00AE48B8" w:rsidRPr="008822DF">
        <w:rPr>
          <w:rFonts w:ascii="Times New Roman" w:hAnsi="Times New Roman"/>
          <w:szCs w:val="24"/>
        </w:rPr>
        <w:t>the amended particulars of claim do not sustain a cause of action in respect of the claim for interest</w:t>
      </w:r>
      <w:r w:rsidR="00076242" w:rsidRPr="008822DF">
        <w:rPr>
          <w:rFonts w:ascii="Times New Roman" w:hAnsi="Times New Roman"/>
          <w:szCs w:val="24"/>
        </w:rPr>
        <w:t>,</w:t>
      </w:r>
      <w:r w:rsidR="00AE48B8" w:rsidRPr="008822DF">
        <w:rPr>
          <w:rFonts w:ascii="Times New Roman" w:hAnsi="Times New Roman"/>
          <w:szCs w:val="24"/>
        </w:rPr>
        <w:t xml:space="preserve"> compounded monthly.</w:t>
      </w:r>
    </w:p>
    <w:p w14:paraId="23AABE36" w14:textId="7237D2BA" w:rsidR="002E55A9"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10</w:t>
      </w:r>
      <w:r w:rsidRPr="008822DF">
        <w:rPr>
          <w:rFonts w:ascii="Times New Roman" w:hAnsi="Times New Roman"/>
          <w:szCs w:val="24"/>
        </w:rPr>
        <w:tab/>
      </w:r>
      <w:r w:rsidR="00381FCB" w:rsidRPr="008822DF">
        <w:rPr>
          <w:rFonts w:ascii="Times New Roman" w:hAnsi="Times New Roman"/>
          <w:szCs w:val="24"/>
        </w:rPr>
        <w:t xml:space="preserve">In order to assess this first complaint, one has to have regard to the way in which Standard Bank pleaded the terms of the Overdraft Facilities Agreement. </w:t>
      </w:r>
      <w:r w:rsidR="00C6536B" w:rsidRPr="008822DF">
        <w:rPr>
          <w:rFonts w:ascii="Times New Roman" w:hAnsi="Times New Roman"/>
          <w:szCs w:val="24"/>
        </w:rPr>
        <w:t xml:space="preserve">Standard Bank refers to the two sets of terms and conditions which I described above, and says that they collectively constitute the Overdraft Facilities Agreement. It then says that all of these terms and conditions (annexed to the amended particulars of claim) must be read as incorporated into the </w:t>
      </w:r>
      <w:r w:rsidR="00076242" w:rsidRPr="008822DF">
        <w:rPr>
          <w:rFonts w:ascii="Times New Roman" w:hAnsi="Times New Roman"/>
          <w:szCs w:val="24"/>
        </w:rPr>
        <w:t xml:space="preserve">amended </w:t>
      </w:r>
      <w:r w:rsidR="00C6536B" w:rsidRPr="008822DF">
        <w:rPr>
          <w:rFonts w:ascii="Times New Roman" w:hAnsi="Times New Roman"/>
          <w:szCs w:val="24"/>
        </w:rPr>
        <w:t xml:space="preserve">particulars of claim. </w:t>
      </w:r>
      <w:r w:rsidR="00444ED9" w:rsidRPr="008822DF">
        <w:rPr>
          <w:rFonts w:ascii="Times New Roman" w:hAnsi="Times New Roman"/>
          <w:szCs w:val="24"/>
        </w:rPr>
        <w:t>T</w:t>
      </w:r>
      <w:r w:rsidR="00C6536B" w:rsidRPr="008822DF">
        <w:rPr>
          <w:rFonts w:ascii="Times New Roman" w:hAnsi="Times New Roman"/>
          <w:szCs w:val="24"/>
        </w:rPr>
        <w:t xml:space="preserve">hen, in paragraph </w:t>
      </w:r>
      <w:r w:rsidR="00E247F3" w:rsidRPr="008822DF">
        <w:rPr>
          <w:rFonts w:ascii="Times New Roman" w:hAnsi="Times New Roman"/>
          <w:szCs w:val="24"/>
        </w:rPr>
        <w:t>13</w:t>
      </w:r>
      <w:r w:rsidR="00444ED9" w:rsidRPr="008822DF">
        <w:rPr>
          <w:rFonts w:ascii="Times New Roman" w:hAnsi="Times New Roman"/>
          <w:szCs w:val="24"/>
        </w:rPr>
        <w:t>,</w:t>
      </w:r>
      <w:r w:rsidR="00E247F3" w:rsidRPr="008822DF">
        <w:rPr>
          <w:rFonts w:ascii="Times New Roman" w:hAnsi="Times New Roman"/>
          <w:szCs w:val="24"/>
        </w:rPr>
        <w:t xml:space="preserve"> </w:t>
      </w:r>
      <w:r w:rsidR="00820AB6" w:rsidRPr="008822DF">
        <w:rPr>
          <w:rFonts w:ascii="Times New Roman" w:hAnsi="Times New Roman"/>
          <w:szCs w:val="24"/>
        </w:rPr>
        <w:t>there is a summary of various aspects of what was agreed, all with reference to the terms and conditions.</w:t>
      </w:r>
      <w:r w:rsidR="002D2F58" w:rsidRPr="008822DF">
        <w:rPr>
          <w:rFonts w:ascii="Times New Roman" w:hAnsi="Times New Roman"/>
          <w:szCs w:val="24"/>
        </w:rPr>
        <w:t xml:space="preserve"> In paragraph 23 of the amended particulars of claim, Standard Bank asserts that Bamboo Rock is “indebted to [Standard Bank] pursuant to the overdraft facility agreement in the amount of R19 539 742.45 . . . together with interest thereon at a rate of 8% . . . which interest is calculated daily and compounded monthly in areas”. This proposition – ie, the statement of Bamboo Rock’s alleged indebtedness – is a conclusion </w:t>
      </w:r>
      <w:r w:rsidR="002D2F58" w:rsidRPr="008822DF">
        <w:rPr>
          <w:rFonts w:ascii="Times New Roman" w:hAnsi="Times New Roman"/>
          <w:szCs w:val="24"/>
        </w:rPr>
        <w:lastRenderedPageBreak/>
        <w:t>which is said to follow from the terms of the Overdraft Facilities Agreement</w:t>
      </w:r>
      <w:r w:rsidR="00255D28" w:rsidRPr="008822DF">
        <w:rPr>
          <w:rFonts w:ascii="Times New Roman" w:hAnsi="Times New Roman"/>
          <w:szCs w:val="24"/>
        </w:rPr>
        <w:t xml:space="preserve">, which in turn is a reference </w:t>
      </w:r>
      <w:r w:rsidR="003E261A">
        <w:rPr>
          <w:rFonts w:ascii="Times New Roman" w:hAnsi="Times New Roman"/>
          <w:szCs w:val="24"/>
        </w:rPr>
        <w:t xml:space="preserve">(at least in part) </w:t>
      </w:r>
      <w:r w:rsidR="00255D28" w:rsidRPr="008822DF">
        <w:rPr>
          <w:rFonts w:ascii="Times New Roman" w:hAnsi="Times New Roman"/>
          <w:szCs w:val="24"/>
        </w:rPr>
        <w:t>to the two sets of terms and conditions</w:t>
      </w:r>
      <w:r w:rsidR="002D2F58" w:rsidRPr="008822DF">
        <w:rPr>
          <w:rFonts w:ascii="Times New Roman" w:hAnsi="Times New Roman"/>
          <w:szCs w:val="24"/>
        </w:rPr>
        <w:t>.</w:t>
      </w:r>
    </w:p>
    <w:p w14:paraId="3979EF8B" w14:textId="425FD9EB" w:rsidR="000A23A5"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11</w:t>
      </w:r>
      <w:r w:rsidRPr="008822DF">
        <w:rPr>
          <w:rFonts w:ascii="Times New Roman" w:hAnsi="Times New Roman"/>
          <w:szCs w:val="24"/>
        </w:rPr>
        <w:tab/>
      </w:r>
      <w:r w:rsidR="000A23A5" w:rsidRPr="008822DF">
        <w:rPr>
          <w:rFonts w:ascii="Times New Roman" w:hAnsi="Times New Roman"/>
          <w:szCs w:val="24"/>
        </w:rPr>
        <w:t>So, in substance, the pleaded terms of the Overdraft Facilities Agreement are those set out in the two sets of terms and conditions.</w:t>
      </w:r>
      <w:r w:rsidR="002E0FA8" w:rsidRPr="008822DF">
        <w:rPr>
          <w:rFonts w:ascii="Times New Roman" w:hAnsi="Times New Roman"/>
          <w:szCs w:val="24"/>
        </w:rPr>
        <w:t xml:space="preserve"> Read in this way, the first exception is based on the proposition that neither of the two sets of terms and conditions provides for compounding interest monthly</w:t>
      </w:r>
      <w:r w:rsidR="008A2BA5" w:rsidRPr="008822DF">
        <w:rPr>
          <w:rFonts w:ascii="Times New Roman" w:hAnsi="Times New Roman"/>
          <w:szCs w:val="24"/>
        </w:rPr>
        <w:t xml:space="preserve"> in arrears</w:t>
      </w:r>
      <w:r w:rsidR="002E0FA8" w:rsidRPr="008822DF">
        <w:rPr>
          <w:rFonts w:ascii="Times New Roman" w:hAnsi="Times New Roman"/>
          <w:szCs w:val="24"/>
        </w:rPr>
        <w:t>.</w:t>
      </w:r>
      <w:r w:rsidR="008A2BA5" w:rsidRPr="008822DF">
        <w:rPr>
          <w:rFonts w:ascii="Times New Roman" w:hAnsi="Times New Roman"/>
          <w:szCs w:val="24"/>
        </w:rPr>
        <w:t xml:space="preserve"> </w:t>
      </w:r>
    </w:p>
    <w:p w14:paraId="280A2B6E" w14:textId="762D493F" w:rsidR="008434C3"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12</w:t>
      </w:r>
      <w:r w:rsidRPr="008822DF">
        <w:rPr>
          <w:rFonts w:ascii="Times New Roman" w:hAnsi="Times New Roman"/>
          <w:szCs w:val="24"/>
        </w:rPr>
        <w:tab/>
      </w:r>
      <w:r w:rsidR="003758DD" w:rsidRPr="008822DF">
        <w:rPr>
          <w:rFonts w:ascii="Times New Roman" w:hAnsi="Times New Roman"/>
          <w:szCs w:val="24"/>
        </w:rPr>
        <w:t>Standard Bank, in its heads of argument,</w:t>
      </w:r>
      <w:r w:rsidR="00CF4C84" w:rsidRPr="008822DF">
        <w:rPr>
          <w:rFonts w:ascii="Times New Roman" w:hAnsi="Times New Roman"/>
          <w:szCs w:val="24"/>
        </w:rPr>
        <w:t xml:space="preserve"> refers to clause 8.4 of the terms and conditions. It correctly argues that the first exception turns on the proper interpretation of clause 8</w:t>
      </w:r>
      <w:r w:rsidR="005E436D" w:rsidRPr="008822DF">
        <w:rPr>
          <w:rFonts w:ascii="Times New Roman" w:hAnsi="Times New Roman"/>
          <w:szCs w:val="24"/>
        </w:rPr>
        <w:t>.4.</w:t>
      </w:r>
    </w:p>
    <w:p w14:paraId="373657DA" w14:textId="7FC2FB3D" w:rsidR="00670842"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13</w:t>
      </w:r>
      <w:r w:rsidRPr="008822DF">
        <w:rPr>
          <w:rFonts w:ascii="Times New Roman" w:hAnsi="Times New Roman"/>
          <w:szCs w:val="24"/>
        </w:rPr>
        <w:tab/>
      </w:r>
      <w:r w:rsidR="00670842" w:rsidRPr="008822DF">
        <w:rPr>
          <w:rFonts w:ascii="Times New Roman" w:hAnsi="Times New Roman"/>
          <w:szCs w:val="24"/>
        </w:rPr>
        <w:t>Clause 8 of the terms and conditions reads as follows:</w:t>
      </w:r>
    </w:p>
    <w:p w14:paraId="5BAB68FB" w14:textId="4F5D0059" w:rsidR="005313EC" w:rsidRPr="008822DF" w:rsidRDefault="00F80EBA" w:rsidP="006D6739">
      <w:pPr>
        <w:pStyle w:val="BodyTextIndent"/>
        <w:spacing w:line="240" w:lineRule="auto"/>
        <w:ind w:firstLine="567"/>
        <w:rPr>
          <w:rFonts w:ascii="Times New Roman" w:hAnsi="Times New Roman"/>
          <w:szCs w:val="24"/>
        </w:rPr>
      </w:pPr>
      <w:r w:rsidRPr="008822DF">
        <w:rPr>
          <w:rFonts w:ascii="Times New Roman" w:hAnsi="Times New Roman"/>
          <w:szCs w:val="24"/>
        </w:rPr>
        <w:t>“</w:t>
      </w:r>
      <w:r w:rsidR="005313EC" w:rsidRPr="008822DF">
        <w:rPr>
          <w:rFonts w:ascii="Times New Roman" w:hAnsi="Times New Roman"/>
          <w:szCs w:val="24"/>
        </w:rPr>
        <w:t>8</w:t>
      </w:r>
      <w:r w:rsidR="005313EC" w:rsidRPr="008822DF">
        <w:rPr>
          <w:rFonts w:ascii="Times New Roman" w:hAnsi="Times New Roman"/>
          <w:szCs w:val="24"/>
        </w:rPr>
        <w:tab/>
        <w:t>Interest</w:t>
      </w:r>
    </w:p>
    <w:p w14:paraId="3D4CF2E8" w14:textId="5C7CB344" w:rsidR="00C17C78" w:rsidRPr="008822DF" w:rsidRDefault="005313EC" w:rsidP="006D6739">
      <w:pPr>
        <w:pStyle w:val="BodyTextIndent"/>
        <w:spacing w:line="240" w:lineRule="auto"/>
        <w:ind w:left="1701"/>
        <w:rPr>
          <w:rFonts w:ascii="Times New Roman" w:hAnsi="Times New Roman"/>
          <w:szCs w:val="24"/>
        </w:rPr>
      </w:pPr>
      <w:r w:rsidRPr="008822DF">
        <w:rPr>
          <w:rFonts w:ascii="Times New Roman" w:hAnsi="Times New Roman"/>
          <w:szCs w:val="24"/>
        </w:rPr>
        <w:t xml:space="preserve">8.1 </w:t>
      </w:r>
      <w:r w:rsidR="00C17C78" w:rsidRPr="008822DF">
        <w:rPr>
          <w:rFonts w:ascii="Times New Roman" w:hAnsi="Times New Roman"/>
          <w:szCs w:val="24"/>
        </w:rPr>
        <w:t xml:space="preserve">The variable Interest rate applicable to </w:t>
      </w:r>
      <w:r w:rsidR="00CF5DEF" w:rsidRPr="008822DF">
        <w:rPr>
          <w:rFonts w:ascii="Times New Roman" w:hAnsi="Times New Roman"/>
          <w:szCs w:val="24"/>
        </w:rPr>
        <w:t>t</w:t>
      </w:r>
      <w:r w:rsidR="00C17C78" w:rsidRPr="008822DF">
        <w:rPr>
          <w:rFonts w:ascii="Times New Roman" w:hAnsi="Times New Roman"/>
          <w:szCs w:val="24"/>
        </w:rPr>
        <w:t xml:space="preserve">his Overdraft Agreement is linked to our Prime Interest Rate by </w:t>
      </w:r>
      <w:r w:rsidR="00CF5DEF" w:rsidRPr="008822DF">
        <w:rPr>
          <w:rFonts w:ascii="Times New Roman" w:hAnsi="Times New Roman"/>
          <w:szCs w:val="24"/>
        </w:rPr>
        <w:t xml:space="preserve">a </w:t>
      </w:r>
      <w:r w:rsidR="00C17C78" w:rsidRPr="008822DF">
        <w:rPr>
          <w:rFonts w:ascii="Times New Roman" w:hAnsi="Times New Roman"/>
          <w:szCs w:val="24"/>
        </w:rPr>
        <w:t xml:space="preserve">Margin related to Prime that </w:t>
      </w:r>
      <w:r w:rsidR="00CA4E59" w:rsidRPr="008822DF">
        <w:rPr>
          <w:rFonts w:ascii="Times New Roman" w:hAnsi="Times New Roman"/>
          <w:szCs w:val="24"/>
        </w:rPr>
        <w:t>i</w:t>
      </w:r>
      <w:r w:rsidR="00C17C78" w:rsidRPr="008822DF">
        <w:rPr>
          <w:rFonts w:ascii="Times New Roman" w:hAnsi="Times New Roman"/>
          <w:szCs w:val="24"/>
        </w:rPr>
        <w:t>s determined by us and has been disclosed in the "Interest</w:t>
      </w:r>
      <w:r w:rsidR="00CF5DEF" w:rsidRPr="008822DF">
        <w:rPr>
          <w:rFonts w:ascii="Times New Roman" w:hAnsi="Times New Roman"/>
          <w:szCs w:val="24"/>
        </w:rPr>
        <w:t>”</w:t>
      </w:r>
      <w:r w:rsidR="00C17C78" w:rsidRPr="008822DF">
        <w:rPr>
          <w:rFonts w:ascii="Times New Roman" w:hAnsi="Times New Roman"/>
          <w:szCs w:val="24"/>
        </w:rPr>
        <w:t xml:space="preserve"> clause in the letter.</w:t>
      </w:r>
    </w:p>
    <w:p w14:paraId="379F37CA" w14:textId="79063105" w:rsidR="00C17C78" w:rsidRPr="008822DF" w:rsidRDefault="00CF5DEF" w:rsidP="006D6739">
      <w:pPr>
        <w:pStyle w:val="BodyTextIndent"/>
        <w:spacing w:line="240" w:lineRule="auto"/>
        <w:ind w:left="1701"/>
        <w:rPr>
          <w:rFonts w:ascii="Times New Roman" w:hAnsi="Times New Roman"/>
          <w:szCs w:val="24"/>
        </w:rPr>
      </w:pPr>
      <w:r w:rsidRPr="008822DF">
        <w:rPr>
          <w:rFonts w:ascii="Times New Roman" w:hAnsi="Times New Roman"/>
          <w:szCs w:val="24"/>
        </w:rPr>
        <w:t xml:space="preserve">8.2 </w:t>
      </w:r>
      <w:r w:rsidR="00F215CA" w:rsidRPr="008822DF">
        <w:rPr>
          <w:rFonts w:ascii="Times New Roman" w:hAnsi="Times New Roman"/>
          <w:szCs w:val="24"/>
        </w:rPr>
        <w:t>We</w:t>
      </w:r>
      <w:r w:rsidR="00C17C78" w:rsidRPr="008822DF">
        <w:rPr>
          <w:rFonts w:ascii="Times New Roman" w:hAnsi="Times New Roman"/>
          <w:szCs w:val="24"/>
        </w:rPr>
        <w:t xml:space="preserve"> may from </w:t>
      </w:r>
      <w:r w:rsidR="00F215CA" w:rsidRPr="008822DF">
        <w:rPr>
          <w:rFonts w:ascii="Times New Roman" w:hAnsi="Times New Roman"/>
          <w:szCs w:val="24"/>
        </w:rPr>
        <w:t>t</w:t>
      </w:r>
      <w:r w:rsidR="00C17C78" w:rsidRPr="008822DF">
        <w:rPr>
          <w:rFonts w:ascii="Times New Roman" w:hAnsi="Times New Roman"/>
          <w:szCs w:val="24"/>
        </w:rPr>
        <w:t>ime to time vary the interest rate applicable to this Overdraft Agreement if Prime fluctuates. If</w:t>
      </w:r>
      <w:r w:rsidR="00F215CA" w:rsidRPr="008822DF">
        <w:rPr>
          <w:rFonts w:ascii="Times New Roman" w:hAnsi="Times New Roman"/>
          <w:szCs w:val="24"/>
        </w:rPr>
        <w:t xml:space="preserve"> </w:t>
      </w:r>
      <w:r w:rsidR="00C17C78" w:rsidRPr="008822DF">
        <w:rPr>
          <w:rFonts w:ascii="Times New Roman" w:hAnsi="Times New Roman"/>
          <w:szCs w:val="24"/>
        </w:rPr>
        <w:t>we do amend the Interest rate, we will advise you in writing within at least 30 (thirty) Business Days after the</w:t>
      </w:r>
      <w:r w:rsidR="00F215CA" w:rsidRPr="008822DF">
        <w:rPr>
          <w:rFonts w:ascii="Times New Roman" w:hAnsi="Times New Roman"/>
          <w:szCs w:val="24"/>
        </w:rPr>
        <w:t xml:space="preserve"> </w:t>
      </w:r>
      <w:r w:rsidR="00C17C78" w:rsidRPr="008822DF">
        <w:rPr>
          <w:rFonts w:ascii="Times New Roman" w:hAnsi="Times New Roman"/>
          <w:szCs w:val="24"/>
        </w:rPr>
        <w:t>change becomes effective.</w:t>
      </w:r>
    </w:p>
    <w:p w14:paraId="221C0131" w14:textId="7B1D730D" w:rsidR="00C17C78" w:rsidRPr="008822DF" w:rsidRDefault="00F215CA" w:rsidP="006D6739">
      <w:pPr>
        <w:pStyle w:val="BodyTextIndent"/>
        <w:spacing w:line="240" w:lineRule="auto"/>
        <w:ind w:left="1701"/>
        <w:rPr>
          <w:rFonts w:ascii="Times New Roman" w:hAnsi="Times New Roman"/>
          <w:szCs w:val="24"/>
        </w:rPr>
      </w:pPr>
      <w:r w:rsidRPr="008822DF">
        <w:rPr>
          <w:rFonts w:ascii="Times New Roman" w:hAnsi="Times New Roman"/>
          <w:szCs w:val="24"/>
        </w:rPr>
        <w:t xml:space="preserve">8.3 </w:t>
      </w:r>
      <w:r w:rsidR="00C17C78" w:rsidRPr="008822DF">
        <w:rPr>
          <w:rFonts w:ascii="Times New Roman" w:hAnsi="Times New Roman"/>
          <w:szCs w:val="24"/>
        </w:rPr>
        <w:t xml:space="preserve">We may charge excess availment interest if you exceed any Limit, or Reduced Limit, agreed to </w:t>
      </w:r>
      <w:r w:rsidR="00ED01FF" w:rsidRPr="008822DF">
        <w:rPr>
          <w:rFonts w:ascii="Times New Roman" w:hAnsi="Times New Roman"/>
          <w:szCs w:val="24"/>
        </w:rPr>
        <w:t>i</w:t>
      </w:r>
      <w:r w:rsidR="00C17C78" w:rsidRPr="008822DF">
        <w:rPr>
          <w:rFonts w:ascii="Times New Roman" w:hAnsi="Times New Roman"/>
          <w:szCs w:val="24"/>
        </w:rPr>
        <w:t>n the</w:t>
      </w:r>
      <w:r w:rsidR="00ED01FF" w:rsidRPr="008822DF">
        <w:rPr>
          <w:rFonts w:ascii="Times New Roman" w:hAnsi="Times New Roman"/>
          <w:szCs w:val="24"/>
        </w:rPr>
        <w:t xml:space="preserve"> </w:t>
      </w:r>
      <w:r w:rsidR="00C17C78" w:rsidRPr="008822DF">
        <w:rPr>
          <w:rFonts w:ascii="Times New Roman" w:hAnsi="Times New Roman"/>
          <w:szCs w:val="24"/>
        </w:rPr>
        <w:t>Overdraft Agreement.</w:t>
      </w:r>
    </w:p>
    <w:p w14:paraId="2766697A" w14:textId="5A518944" w:rsidR="00C17C78" w:rsidRPr="008822DF" w:rsidRDefault="00ED01FF" w:rsidP="006D6739">
      <w:pPr>
        <w:pStyle w:val="BodyTextIndent"/>
        <w:spacing w:line="240" w:lineRule="auto"/>
        <w:ind w:left="1134" w:firstLine="567"/>
        <w:rPr>
          <w:rFonts w:ascii="Times New Roman" w:hAnsi="Times New Roman"/>
          <w:szCs w:val="24"/>
        </w:rPr>
      </w:pPr>
      <w:r w:rsidRPr="008822DF">
        <w:rPr>
          <w:rFonts w:ascii="Times New Roman" w:hAnsi="Times New Roman"/>
          <w:szCs w:val="24"/>
        </w:rPr>
        <w:t xml:space="preserve">8.4 </w:t>
      </w:r>
      <w:r w:rsidR="00C17C78" w:rsidRPr="008822DF">
        <w:rPr>
          <w:rFonts w:ascii="Times New Roman" w:hAnsi="Times New Roman"/>
          <w:szCs w:val="24"/>
        </w:rPr>
        <w:t>The interest payable by you is:</w:t>
      </w:r>
    </w:p>
    <w:p w14:paraId="1EE93B66" w14:textId="273687AF" w:rsidR="00C17C78" w:rsidRPr="008822DF" w:rsidRDefault="00ED01FF" w:rsidP="006D6739">
      <w:pPr>
        <w:pStyle w:val="BodyTextIndent"/>
        <w:spacing w:line="240" w:lineRule="auto"/>
        <w:ind w:left="1701" w:firstLine="567"/>
        <w:rPr>
          <w:rFonts w:ascii="Times New Roman" w:hAnsi="Times New Roman"/>
          <w:szCs w:val="24"/>
        </w:rPr>
      </w:pPr>
      <w:r w:rsidRPr="008822DF">
        <w:rPr>
          <w:rFonts w:ascii="Times New Roman" w:hAnsi="Times New Roman"/>
          <w:szCs w:val="24"/>
        </w:rPr>
        <w:t xml:space="preserve">8.4.1 </w:t>
      </w:r>
      <w:r w:rsidR="00C17C78" w:rsidRPr="008822DF">
        <w:rPr>
          <w:rFonts w:ascii="Times New Roman" w:hAnsi="Times New Roman"/>
          <w:szCs w:val="24"/>
        </w:rPr>
        <w:t>calculated on a da</w:t>
      </w:r>
      <w:r w:rsidR="0093277D" w:rsidRPr="008822DF">
        <w:rPr>
          <w:rFonts w:ascii="Times New Roman" w:hAnsi="Times New Roman"/>
          <w:szCs w:val="24"/>
        </w:rPr>
        <w:t>i</w:t>
      </w:r>
      <w:r w:rsidR="00C17C78" w:rsidRPr="008822DF">
        <w:rPr>
          <w:rFonts w:ascii="Times New Roman" w:hAnsi="Times New Roman"/>
          <w:szCs w:val="24"/>
        </w:rPr>
        <w:t>ly basis on the outstanding balance;</w:t>
      </w:r>
    </w:p>
    <w:p w14:paraId="749875DE" w14:textId="5E294539" w:rsidR="00C17C78" w:rsidRPr="008822DF" w:rsidRDefault="00ED01FF" w:rsidP="006D6739">
      <w:pPr>
        <w:pStyle w:val="BodyTextIndent"/>
        <w:spacing w:line="240" w:lineRule="auto"/>
        <w:ind w:left="2268"/>
        <w:rPr>
          <w:rFonts w:ascii="Times New Roman" w:hAnsi="Times New Roman"/>
          <w:szCs w:val="24"/>
        </w:rPr>
      </w:pPr>
      <w:r w:rsidRPr="008822DF">
        <w:rPr>
          <w:rFonts w:ascii="Times New Roman" w:hAnsi="Times New Roman"/>
          <w:szCs w:val="24"/>
        </w:rPr>
        <w:t xml:space="preserve">8.4.2 </w:t>
      </w:r>
      <w:r w:rsidR="00C17C78" w:rsidRPr="008822DF">
        <w:rPr>
          <w:rFonts w:ascii="Times New Roman" w:hAnsi="Times New Roman"/>
          <w:szCs w:val="24"/>
        </w:rPr>
        <w:t>calculated on a 365-day year, irrespective of whether the relevant year is a leap year;</w:t>
      </w:r>
    </w:p>
    <w:p w14:paraId="17EEC03C" w14:textId="464E3DA4" w:rsidR="00C17C78" w:rsidRPr="008822DF" w:rsidRDefault="006D6739" w:rsidP="006D6739">
      <w:pPr>
        <w:pStyle w:val="BodyTextIndent"/>
        <w:spacing w:line="240" w:lineRule="auto"/>
        <w:ind w:left="2268"/>
        <w:rPr>
          <w:rFonts w:ascii="Times New Roman" w:hAnsi="Times New Roman"/>
          <w:szCs w:val="24"/>
        </w:rPr>
      </w:pPr>
      <w:r w:rsidRPr="008822DF">
        <w:rPr>
          <w:rFonts w:ascii="Times New Roman" w:hAnsi="Times New Roman"/>
          <w:szCs w:val="24"/>
        </w:rPr>
        <w:t xml:space="preserve">8.4.3 </w:t>
      </w:r>
      <w:r w:rsidR="00C17C78" w:rsidRPr="008822DF">
        <w:rPr>
          <w:rFonts w:ascii="Times New Roman" w:hAnsi="Times New Roman"/>
          <w:szCs w:val="24"/>
        </w:rPr>
        <w:t xml:space="preserve">charged monthly </w:t>
      </w:r>
      <w:r w:rsidR="002F4A26" w:rsidRPr="008822DF">
        <w:rPr>
          <w:rFonts w:ascii="Times New Roman" w:hAnsi="Times New Roman"/>
          <w:szCs w:val="24"/>
        </w:rPr>
        <w:t>i</w:t>
      </w:r>
      <w:r w:rsidR="00C17C78" w:rsidRPr="008822DF">
        <w:rPr>
          <w:rFonts w:ascii="Times New Roman" w:hAnsi="Times New Roman"/>
          <w:szCs w:val="24"/>
        </w:rPr>
        <w:t xml:space="preserve">n arrears and is due and payable </w:t>
      </w:r>
      <w:r w:rsidRPr="008822DF">
        <w:rPr>
          <w:rFonts w:ascii="Times New Roman" w:hAnsi="Times New Roman"/>
          <w:szCs w:val="24"/>
        </w:rPr>
        <w:t>i</w:t>
      </w:r>
      <w:r w:rsidR="00C17C78" w:rsidRPr="008822DF">
        <w:rPr>
          <w:rFonts w:ascii="Times New Roman" w:hAnsi="Times New Roman"/>
          <w:szCs w:val="24"/>
        </w:rPr>
        <w:t>mmediately; and</w:t>
      </w:r>
    </w:p>
    <w:p w14:paraId="7964D13C" w14:textId="7D11C692" w:rsidR="00C17C78" w:rsidRPr="008822DF" w:rsidRDefault="006D6739" w:rsidP="006D6739">
      <w:pPr>
        <w:pStyle w:val="BodyTextIndent"/>
        <w:spacing w:line="240" w:lineRule="auto"/>
        <w:ind w:left="2268"/>
        <w:rPr>
          <w:rFonts w:ascii="Times New Roman" w:hAnsi="Times New Roman"/>
          <w:szCs w:val="24"/>
        </w:rPr>
      </w:pPr>
      <w:r w:rsidRPr="008822DF">
        <w:rPr>
          <w:rFonts w:ascii="Times New Roman" w:hAnsi="Times New Roman"/>
          <w:szCs w:val="24"/>
        </w:rPr>
        <w:t xml:space="preserve">8.4.4 </w:t>
      </w:r>
      <w:r w:rsidR="00C17C78" w:rsidRPr="008822DF">
        <w:rPr>
          <w:rFonts w:ascii="Times New Roman" w:hAnsi="Times New Roman"/>
          <w:szCs w:val="24"/>
        </w:rPr>
        <w:t>debited to the Current Account(s) reflected in the "Interest, costs, fees and charges" clause in the</w:t>
      </w:r>
      <w:r w:rsidRPr="008822DF">
        <w:rPr>
          <w:rFonts w:ascii="Times New Roman" w:hAnsi="Times New Roman"/>
          <w:szCs w:val="24"/>
        </w:rPr>
        <w:t xml:space="preserve"> </w:t>
      </w:r>
      <w:r w:rsidR="00C17C78" w:rsidRPr="008822DF">
        <w:rPr>
          <w:rFonts w:ascii="Times New Roman" w:hAnsi="Times New Roman"/>
          <w:szCs w:val="24"/>
        </w:rPr>
        <w:t>attached letter.</w:t>
      </w:r>
    </w:p>
    <w:p w14:paraId="2BBBE9A7" w14:textId="09D7B04E" w:rsidR="00C17C78" w:rsidRPr="008822DF" w:rsidRDefault="006D6739" w:rsidP="00F9481B">
      <w:pPr>
        <w:pStyle w:val="BodyTextIndent"/>
        <w:spacing w:line="240" w:lineRule="auto"/>
        <w:ind w:left="1701"/>
        <w:rPr>
          <w:rFonts w:ascii="Times New Roman" w:hAnsi="Times New Roman"/>
          <w:szCs w:val="24"/>
        </w:rPr>
      </w:pPr>
      <w:r w:rsidRPr="008822DF">
        <w:rPr>
          <w:rFonts w:ascii="Times New Roman" w:hAnsi="Times New Roman"/>
          <w:szCs w:val="24"/>
        </w:rPr>
        <w:lastRenderedPageBreak/>
        <w:t xml:space="preserve">8.5 </w:t>
      </w:r>
      <w:r w:rsidR="00C17C78" w:rsidRPr="008822DF">
        <w:rPr>
          <w:rFonts w:ascii="Times New Roman" w:hAnsi="Times New Roman"/>
          <w:szCs w:val="24"/>
        </w:rPr>
        <w:t>We may immediately amend the pricing structure of the Overdraft Facility if there is a change in:</w:t>
      </w:r>
    </w:p>
    <w:p w14:paraId="62FF7313" w14:textId="0C25EC2F" w:rsidR="00C17C78" w:rsidRPr="008822DF" w:rsidRDefault="006D6739" w:rsidP="00F9481B">
      <w:pPr>
        <w:pStyle w:val="BodyTextIndent"/>
        <w:spacing w:line="240" w:lineRule="auto"/>
        <w:ind w:left="2268"/>
        <w:rPr>
          <w:rFonts w:ascii="Times New Roman" w:hAnsi="Times New Roman"/>
          <w:szCs w:val="24"/>
        </w:rPr>
      </w:pPr>
      <w:r w:rsidRPr="008822DF">
        <w:rPr>
          <w:rFonts w:ascii="Times New Roman" w:hAnsi="Times New Roman"/>
          <w:szCs w:val="24"/>
        </w:rPr>
        <w:t xml:space="preserve">8.5.1 </w:t>
      </w:r>
      <w:r w:rsidR="00C17C78" w:rsidRPr="008822DF">
        <w:rPr>
          <w:rFonts w:ascii="Times New Roman" w:hAnsi="Times New Roman"/>
          <w:szCs w:val="24"/>
        </w:rPr>
        <w:t xml:space="preserve">law or the issue of a directive </w:t>
      </w:r>
      <w:r w:rsidR="009877CC" w:rsidRPr="008822DF">
        <w:rPr>
          <w:rFonts w:ascii="Times New Roman" w:hAnsi="Times New Roman"/>
          <w:szCs w:val="24"/>
        </w:rPr>
        <w:t>w</w:t>
      </w:r>
      <w:r w:rsidR="00C17C78" w:rsidRPr="008822DF">
        <w:rPr>
          <w:rFonts w:ascii="Times New Roman" w:hAnsi="Times New Roman"/>
          <w:szCs w:val="24"/>
        </w:rPr>
        <w:t>ith which we must comply; or</w:t>
      </w:r>
    </w:p>
    <w:p w14:paraId="7CEE7DB6" w14:textId="675C956A" w:rsidR="00C17C78" w:rsidRPr="008822DF" w:rsidRDefault="006D6739" w:rsidP="00F9481B">
      <w:pPr>
        <w:pStyle w:val="BodyTextIndent"/>
        <w:spacing w:line="240" w:lineRule="auto"/>
        <w:ind w:left="1701" w:firstLine="567"/>
        <w:rPr>
          <w:rFonts w:ascii="Times New Roman" w:hAnsi="Times New Roman"/>
          <w:szCs w:val="24"/>
        </w:rPr>
      </w:pPr>
      <w:r w:rsidRPr="008822DF">
        <w:rPr>
          <w:rFonts w:ascii="Times New Roman" w:hAnsi="Times New Roman"/>
          <w:szCs w:val="24"/>
        </w:rPr>
        <w:t xml:space="preserve">8.5.2 </w:t>
      </w:r>
      <w:r w:rsidR="00C17C78" w:rsidRPr="008822DF">
        <w:rPr>
          <w:rFonts w:ascii="Times New Roman" w:hAnsi="Times New Roman"/>
          <w:szCs w:val="24"/>
        </w:rPr>
        <w:t>market conditions resulting in an increasing cost to us.</w:t>
      </w:r>
    </w:p>
    <w:p w14:paraId="645998D7" w14:textId="1278D983" w:rsidR="00C17C78" w:rsidRPr="008822DF" w:rsidRDefault="00C17C78" w:rsidP="00F9481B">
      <w:pPr>
        <w:pStyle w:val="BodyTextIndent"/>
        <w:spacing w:line="240" w:lineRule="auto"/>
        <w:ind w:left="1701" w:firstLine="567"/>
        <w:rPr>
          <w:rFonts w:ascii="Times New Roman" w:hAnsi="Times New Roman"/>
          <w:szCs w:val="24"/>
        </w:rPr>
      </w:pPr>
      <w:r w:rsidRPr="008822DF">
        <w:rPr>
          <w:rFonts w:ascii="Times New Roman" w:hAnsi="Times New Roman"/>
          <w:szCs w:val="24"/>
        </w:rPr>
        <w:t>If we do so we will advise you accordingly.</w:t>
      </w:r>
      <w:r w:rsidR="006D6739" w:rsidRPr="008822DF">
        <w:rPr>
          <w:rFonts w:ascii="Times New Roman" w:hAnsi="Times New Roman"/>
          <w:szCs w:val="24"/>
        </w:rPr>
        <w:t>”</w:t>
      </w:r>
    </w:p>
    <w:p w14:paraId="6D378C2C" w14:textId="4B686A4D" w:rsidR="00CA55B0"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14</w:t>
      </w:r>
      <w:r w:rsidRPr="008822DF">
        <w:rPr>
          <w:rFonts w:ascii="Times New Roman" w:hAnsi="Times New Roman"/>
          <w:szCs w:val="24"/>
        </w:rPr>
        <w:tab/>
      </w:r>
      <w:r w:rsidR="00CA55B0" w:rsidRPr="008822DF">
        <w:rPr>
          <w:rFonts w:ascii="Times New Roman" w:hAnsi="Times New Roman"/>
          <w:szCs w:val="24"/>
        </w:rPr>
        <w:t xml:space="preserve">The references in clause 8 to the “letter” is a reference to the covering letter to which the terms and conditions </w:t>
      </w:r>
      <w:r w:rsidR="0017111D" w:rsidRPr="008822DF">
        <w:rPr>
          <w:rFonts w:ascii="Times New Roman" w:hAnsi="Times New Roman"/>
          <w:szCs w:val="24"/>
        </w:rPr>
        <w:t>w</w:t>
      </w:r>
      <w:r w:rsidR="00F80EBA" w:rsidRPr="008822DF">
        <w:rPr>
          <w:rFonts w:ascii="Times New Roman" w:hAnsi="Times New Roman"/>
          <w:szCs w:val="24"/>
        </w:rPr>
        <w:t>ere</w:t>
      </w:r>
      <w:r w:rsidR="0017111D" w:rsidRPr="008822DF">
        <w:rPr>
          <w:rFonts w:ascii="Times New Roman" w:hAnsi="Times New Roman"/>
          <w:szCs w:val="24"/>
        </w:rPr>
        <w:t xml:space="preserve"> attached. It deals (in paragraphs 3.2.2.3 and 3.2.2.5) with the topic of interest briefly </w:t>
      </w:r>
      <w:r w:rsidR="00E84FAD" w:rsidRPr="008822DF">
        <w:rPr>
          <w:rFonts w:ascii="Times New Roman" w:hAnsi="Times New Roman"/>
          <w:szCs w:val="24"/>
        </w:rPr>
        <w:t>but does not cast any light onto the proper interpretation of clause 8.4.</w:t>
      </w:r>
    </w:p>
    <w:p w14:paraId="39D609F7" w14:textId="4EC3DFAA" w:rsidR="00E84FAD"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15</w:t>
      </w:r>
      <w:r w:rsidRPr="008822DF">
        <w:rPr>
          <w:rFonts w:ascii="Times New Roman" w:hAnsi="Times New Roman"/>
          <w:szCs w:val="24"/>
        </w:rPr>
        <w:tab/>
      </w:r>
      <w:r w:rsidR="00CE46EE" w:rsidRPr="008822DF">
        <w:rPr>
          <w:rFonts w:ascii="Times New Roman" w:hAnsi="Times New Roman"/>
          <w:szCs w:val="24"/>
        </w:rPr>
        <w:t xml:space="preserve">In advancing its argument on the proper interpretation of clause 8.4, </w:t>
      </w:r>
      <w:r w:rsidR="00A6716A" w:rsidRPr="008822DF">
        <w:rPr>
          <w:rFonts w:ascii="Times New Roman" w:hAnsi="Times New Roman"/>
          <w:szCs w:val="24"/>
        </w:rPr>
        <w:t xml:space="preserve">Standard Bank relies on the evergreen </w:t>
      </w:r>
      <w:r w:rsidR="00A6716A" w:rsidRPr="008822DF">
        <w:rPr>
          <w:rFonts w:ascii="Times New Roman" w:hAnsi="Times New Roman"/>
          <w:i/>
          <w:iCs/>
          <w:szCs w:val="24"/>
        </w:rPr>
        <w:t>Endumeni</w:t>
      </w:r>
      <w:r w:rsidR="002E6F28" w:rsidRPr="008822DF">
        <w:rPr>
          <w:rStyle w:val="FootnoteReference"/>
          <w:rFonts w:ascii="Times New Roman" w:hAnsi="Times New Roman"/>
          <w:szCs w:val="24"/>
        </w:rPr>
        <w:footnoteReference w:id="8"/>
      </w:r>
      <w:r w:rsidR="00A6716A" w:rsidRPr="008822DF">
        <w:rPr>
          <w:rFonts w:ascii="Times New Roman" w:hAnsi="Times New Roman"/>
          <w:szCs w:val="24"/>
        </w:rPr>
        <w:t xml:space="preserve"> principles of interpretation, placing </w:t>
      </w:r>
      <w:r w:rsidR="002E6F28" w:rsidRPr="008822DF">
        <w:rPr>
          <w:rFonts w:ascii="Times New Roman" w:hAnsi="Times New Roman"/>
          <w:szCs w:val="24"/>
        </w:rPr>
        <w:t xml:space="preserve">emphasis on the admonition that a contract must be </w:t>
      </w:r>
      <w:r w:rsidR="00EE294C" w:rsidRPr="008822DF">
        <w:rPr>
          <w:rFonts w:ascii="Times New Roman" w:hAnsi="Times New Roman"/>
          <w:szCs w:val="24"/>
        </w:rPr>
        <w:t>interpreted</w:t>
      </w:r>
      <w:r w:rsidR="002E6F28" w:rsidRPr="008822DF">
        <w:rPr>
          <w:rFonts w:ascii="Times New Roman" w:hAnsi="Times New Roman"/>
          <w:szCs w:val="24"/>
        </w:rPr>
        <w:t xml:space="preserve"> to give it a commercially sensible </w:t>
      </w:r>
      <w:r w:rsidR="00EE294C" w:rsidRPr="008822DF">
        <w:rPr>
          <w:rFonts w:ascii="Times New Roman" w:hAnsi="Times New Roman"/>
          <w:szCs w:val="24"/>
        </w:rPr>
        <w:t>meaning</w:t>
      </w:r>
      <w:r w:rsidR="002E6F28" w:rsidRPr="008822DF">
        <w:rPr>
          <w:rFonts w:ascii="Times New Roman" w:hAnsi="Times New Roman"/>
          <w:szCs w:val="24"/>
        </w:rPr>
        <w:t>.</w:t>
      </w:r>
    </w:p>
    <w:p w14:paraId="18069657" w14:textId="1E94D534" w:rsidR="00B21E04"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16</w:t>
      </w:r>
      <w:r w:rsidRPr="008822DF">
        <w:rPr>
          <w:rFonts w:ascii="Times New Roman" w:hAnsi="Times New Roman"/>
          <w:szCs w:val="24"/>
        </w:rPr>
        <w:tab/>
      </w:r>
      <w:r w:rsidR="003E2214" w:rsidRPr="008822DF">
        <w:rPr>
          <w:rFonts w:ascii="Times New Roman" w:hAnsi="Times New Roman"/>
          <w:szCs w:val="24"/>
        </w:rPr>
        <w:t>Standard Bank’s argument is, in essence, the following:</w:t>
      </w:r>
    </w:p>
    <w:p w14:paraId="04F130C3" w14:textId="0A815489" w:rsidR="003E2214" w:rsidRPr="008822DF" w:rsidRDefault="008327FE" w:rsidP="008327FE">
      <w:pPr>
        <w:pStyle w:val="WLGLevel2"/>
        <w:numPr>
          <w:ilvl w:val="0"/>
          <w:numId w:val="0"/>
        </w:numPr>
        <w:tabs>
          <w:tab w:val="left" w:pos="1361"/>
        </w:tabs>
        <w:ind w:left="1361" w:hanging="794"/>
        <w:rPr>
          <w:rFonts w:ascii="Times New Roman" w:hAnsi="Times New Roman"/>
          <w:szCs w:val="24"/>
        </w:rPr>
      </w:pPr>
      <w:r w:rsidRPr="008822DF">
        <w:rPr>
          <w:rFonts w:ascii="Times New Roman" w:hAnsi="Times New Roman"/>
          <w:szCs w:val="24"/>
        </w:rPr>
        <w:t>16.1</w:t>
      </w:r>
      <w:r w:rsidRPr="008822DF">
        <w:rPr>
          <w:rFonts w:ascii="Times New Roman" w:hAnsi="Times New Roman"/>
          <w:szCs w:val="24"/>
        </w:rPr>
        <w:tab/>
      </w:r>
      <w:r w:rsidR="003E2214" w:rsidRPr="008822DF">
        <w:rPr>
          <w:rFonts w:ascii="Times New Roman" w:hAnsi="Times New Roman"/>
          <w:szCs w:val="24"/>
        </w:rPr>
        <w:t>The terms and conditions form part of its pleaded case.</w:t>
      </w:r>
    </w:p>
    <w:p w14:paraId="008BB338" w14:textId="28D18FAB" w:rsidR="003E2214" w:rsidRPr="008822DF" w:rsidRDefault="008327FE" w:rsidP="008327FE">
      <w:pPr>
        <w:pStyle w:val="WLGLevel2"/>
        <w:numPr>
          <w:ilvl w:val="0"/>
          <w:numId w:val="0"/>
        </w:numPr>
        <w:tabs>
          <w:tab w:val="left" w:pos="1361"/>
        </w:tabs>
        <w:ind w:left="1361" w:hanging="794"/>
        <w:rPr>
          <w:rFonts w:ascii="Times New Roman" w:hAnsi="Times New Roman"/>
          <w:szCs w:val="24"/>
        </w:rPr>
      </w:pPr>
      <w:r w:rsidRPr="008822DF">
        <w:rPr>
          <w:rFonts w:ascii="Times New Roman" w:hAnsi="Times New Roman"/>
          <w:szCs w:val="24"/>
        </w:rPr>
        <w:t>16.2</w:t>
      </w:r>
      <w:r w:rsidRPr="008822DF">
        <w:rPr>
          <w:rFonts w:ascii="Times New Roman" w:hAnsi="Times New Roman"/>
          <w:szCs w:val="24"/>
        </w:rPr>
        <w:tab/>
      </w:r>
      <w:r w:rsidR="003E2214" w:rsidRPr="008822DF">
        <w:rPr>
          <w:rFonts w:ascii="Times New Roman" w:hAnsi="Times New Roman"/>
          <w:szCs w:val="24"/>
        </w:rPr>
        <w:t xml:space="preserve">Clause 8.4, properly interpreted, provides for </w:t>
      </w:r>
      <w:r w:rsidR="0060748E" w:rsidRPr="008822DF">
        <w:rPr>
          <w:rFonts w:ascii="Times New Roman" w:hAnsi="Times New Roman"/>
          <w:szCs w:val="24"/>
        </w:rPr>
        <w:t>interest which is “compounded monthly in arrears”.</w:t>
      </w:r>
    </w:p>
    <w:p w14:paraId="6F15420D" w14:textId="3B00CD52" w:rsidR="0060748E" w:rsidRPr="008822DF" w:rsidRDefault="008327FE" w:rsidP="008327FE">
      <w:pPr>
        <w:pStyle w:val="WLGLevel2"/>
        <w:numPr>
          <w:ilvl w:val="0"/>
          <w:numId w:val="0"/>
        </w:numPr>
        <w:tabs>
          <w:tab w:val="left" w:pos="1361"/>
        </w:tabs>
        <w:ind w:left="1361" w:hanging="794"/>
        <w:rPr>
          <w:rFonts w:ascii="Times New Roman" w:hAnsi="Times New Roman"/>
          <w:szCs w:val="24"/>
        </w:rPr>
      </w:pPr>
      <w:r w:rsidRPr="008822DF">
        <w:rPr>
          <w:rFonts w:ascii="Times New Roman" w:hAnsi="Times New Roman"/>
          <w:szCs w:val="24"/>
        </w:rPr>
        <w:t>16.3</w:t>
      </w:r>
      <w:r w:rsidRPr="008822DF">
        <w:rPr>
          <w:rFonts w:ascii="Times New Roman" w:hAnsi="Times New Roman"/>
          <w:szCs w:val="24"/>
        </w:rPr>
        <w:tab/>
      </w:r>
      <w:r w:rsidR="0060748E" w:rsidRPr="008822DF">
        <w:rPr>
          <w:rFonts w:ascii="Times New Roman" w:hAnsi="Times New Roman"/>
          <w:szCs w:val="24"/>
        </w:rPr>
        <w:t xml:space="preserve">Although, in the body of the </w:t>
      </w:r>
      <w:r w:rsidR="00EC578C" w:rsidRPr="008822DF">
        <w:rPr>
          <w:rFonts w:ascii="Times New Roman" w:hAnsi="Times New Roman"/>
          <w:szCs w:val="24"/>
        </w:rPr>
        <w:t xml:space="preserve">amended </w:t>
      </w:r>
      <w:r w:rsidR="0060748E" w:rsidRPr="008822DF">
        <w:rPr>
          <w:rFonts w:ascii="Times New Roman" w:hAnsi="Times New Roman"/>
          <w:szCs w:val="24"/>
        </w:rPr>
        <w:t xml:space="preserve">particulars of claim, no allegation is made that </w:t>
      </w:r>
      <w:r w:rsidR="001C0014" w:rsidRPr="008822DF">
        <w:rPr>
          <w:rFonts w:ascii="Times New Roman" w:hAnsi="Times New Roman"/>
          <w:szCs w:val="24"/>
        </w:rPr>
        <w:t xml:space="preserve">the parties agreed that interest would be compounded monthly in arrears, the incorporation of the terms and conditions into the pleaded case </w:t>
      </w:r>
      <w:r w:rsidR="00E160FC" w:rsidRPr="008822DF">
        <w:rPr>
          <w:rFonts w:ascii="Times New Roman" w:hAnsi="Times New Roman"/>
          <w:szCs w:val="24"/>
        </w:rPr>
        <w:t xml:space="preserve">serves the same </w:t>
      </w:r>
      <w:r w:rsidR="00E160FC" w:rsidRPr="008822DF">
        <w:rPr>
          <w:rFonts w:ascii="Times New Roman" w:hAnsi="Times New Roman"/>
          <w:szCs w:val="24"/>
        </w:rPr>
        <w:lastRenderedPageBreak/>
        <w:t>purpose. This is because, by relying on clause 8.4 of the terms and conditions, Standard Bank is relying on a clause which, properly interpreted, provides for interest compounded monthly in arrears.</w:t>
      </w:r>
    </w:p>
    <w:p w14:paraId="34D22533" w14:textId="4347F7F8" w:rsidR="00E160FC" w:rsidRPr="008822DF" w:rsidRDefault="008327FE" w:rsidP="008327FE">
      <w:pPr>
        <w:pStyle w:val="WLGLevel2"/>
        <w:numPr>
          <w:ilvl w:val="0"/>
          <w:numId w:val="0"/>
        </w:numPr>
        <w:tabs>
          <w:tab w:val="left" w:pos="1361"/>
        </w:tabs>
        <w:ind w:left="1361" w:hanging="794"/>
        <w:rPr>
          <w:rFonts w:ascii="Times New Roman" w:hAnsi="Times New Roman"/>
          <w:szCs w:val="24"/>
        </w:rPr>
      </w:pPr>
      <w:r w:rsidRPr="008822DF">
        <w:rPr>
          <w:rFonts w:ascii="Times New Roman" w:hAnsi="Times New Roman"/>
          <w:szCs w:val="24"/>
        </w:rPr>
        <w:t>16.4</w:t>
      </w:r>
      <w:r w:rsidRPr="008822DF">
        <w:rPr>
          <w:rFonts w:ascii="Times New Roman" w:hAnsi="Times New Roman"/>
          <w:szCs w:val="24"/>
        </w:rPr>
        <w:tab/>
      </w:r>
      <w:r w:rsidR="00BB6F6C" w:rsidRPr="008822DF">
        <w:rPr>
          <w:rFonts w:ascii="Times New Roman" w:hAnsi="Times New Roman"/>
          <w:szCs w:val="24"/>
        </w:rPr>
        <w:t xml:space="preserve">Then, on the proper interpretation of clause </w:t>
      </w:r>
      <w:r w:rsidR="00EA7B13" w:rsidRPr="008822DF">
        <w:rPr>
          <w:rFonts w:ascii="Times New Roman" w:hAnsi="Times New Roman"/>
          <w:szCs w:val="24"/>
        </w:rPr>
        <w:t xml:space="preserve">8.4, Standard Bank refers </w:t>
      </w:r>
      <w:r w:rsidR="00F31CD4" w:rsidRPr="008822DF">
        <w:rPr>
          <w:rFonts w:ascii="Times New Roman" w:hAnsi="Times New Roman"/>
          <w:szCs w:val="24"/>
        </w:rPr>
        <w:t xml:space="preserve">in its heads of argument </w:t>
      </w:r>
      <w:r w:rsidR="00EA7B13" w:rsidRPr="008822DF">
        <w:rPr>
          <w:rFonts w:ascii="Times New Roman" w:hAnsi="Times New Roman"/>
          <w:szCs w:val="24"/>
        </w:rPr>
        <w:t xml:space="preserve">to the dictionary definition of the word “compounded” </w:t>
      </w:r>
      <w:r w:rsidR="00DB0C38" w:rsidRPr="008822DF">
        <w:rPr>
          <w:rFonts w:ascii="Times New Roman" w:hAnsi="Times New Roman"/>
          <w:szCs w:val="24"/>
        </w:rPr>
        <w:t>and says that it means “to (pay or) charge interest on an amount of money that includes interest already (earned or) charged”.</w:t>
      </w:r>
      <w:r w:rsidR="008009A6" w:rsidRPr="008822DF">
        <w:rPr>
          <w:rFonts w:ascii="Times New Roman" w:hAnsi="Times New Roman"/>
          <w:szCs w:val="24"/>
        </w:rPr>
        <w:t xml:space="preserve"> It says that clause 8.4 provides for interest which is calculated daily and debited to the account monthly in arrears.</w:t>
      </w:r>
      <w:r w:rsidR="00F31CD4" w:rsidRPr="008822DF">
        <w:rPr>
          <w:rFonts w:ascii="Times New Roman" w:hAnsi="Times New Roman"/>
          <w:szCs w:val="24"/>
        </w:rPr>
        <w:t xml:space="preserve"> It says that the “debiting of the interest to the account thus amounts thereto that the interest is charged to the account on a monthly basis and the following months [sic] interest is calculated, premised upon such new balance including previous interest”.</w:t>
      </w:r>
    </w:p>
    <w:p w14:paraId="48DEA1D2" w14:textId="3130AF78" w:rsidR="00D21733" w:rsidRPr="008822DF" w:rsidRDefault="008327FE" w:rsidP="008327FE">
      <w:pPr>
        <w:pStyle w:val="WLGLevel2"/>
        <w:numPr>
          <w:ilvl w:val="0"/>
          <w:numId w:val="0"/>
        </w:numPr>
        <w:tabs>
          <w:tab w:val="left" w:pos="1361"/>
        </w:tabs>
        <w:ind w:left="1361" w:hanging="794"/>
        <w:rPr>
          <w:rFonts w:ascii="Times New Roman" w:hAnsi="Times New Roman"/>
          <w:szCs w:val="24"/>
        </w:rPr>
      </w:pPr>
      <w:bookmarkStart w:id="1" w:name="_Ref127088365"/>
      <w:r w:rsidRPr="008822DF">
        <w:rPr>
          <w:rFonts w:ascii="Times New Roman" w:hAnsi="Times New Roman"/>
          <w:szCs w:val="24"/>
        </w:rPr>
        <w:t>16.5</w:t>
      </w:r>
      <w:r w:rsidRPr="008822DF">
        <w:rPr>
          <w:rFonts w:ascii="Times New Roman" w:hAnsi="Times New Roman"/>
          <w:szCs w:val="24"/>
        </w:rPr>
        <w:tab/>
      </w:r>
      <w:r w:rsidR="0018304F" w:rsidRPr="008822DF">
        <w:rPr>
          <w:rFonts w:ascii="Times New Roman" w:hAnsi="Times New Roman"/>
          <w:szCs w:val="24"/>
        </w:rPr>
        <w:t xml:space="preserve">Standard Bank, as a fall-back position, refers to cases which have held that compound interest may only be charged if </w:t>
      </w:r>
      <w:r w:rsidR="0038101B" w:rsidRPr="008822DF">
        <w:rPr>
          <w:rFonts w:ascii="Times New Roman" w:hAnsi="Times New Roman"/>
          <w:szCs w:val="24"/>
        </w:rPr>
        <w:t>agreed expressly or by custom.</w:t>
      </w:r>
      <w:r w:rsidR="00A46B67" w:rsidRPr="008822DF">
        <w:rPr>
          <w:rStyle w:val="FootnoteReference"/>
          <w:rFonts w:ascii="Times New Roman" w:hAnsi="Times New Roman"/>
          <w:szCs w:val="24"/>
        </w:rPr>
        <w:footnoteReference w:id="9"/>
      </w:r>
      <w:r w:rsidR="0038101B" w:rsidRPr="008822DF">
        <w:rPr>
          <w:rFonts w:ascii="Times New Roman" w:hAnsi="Times New Roman"/>
          <w:szCs w:val="24"/>
        </w:rPr>
        <w:t xml:space="preserve"> It says that it will be able to lead evidence to show that</w:t>
      </w:r>
      <w:r w:rsidR="00B22FDF" w:rsidRPr="008822DF">
        <w:rPr>
          <w:rFonts w:ascii="Times New Roman" w:hAnsi="Times New Roman"/>
          <w:szCs w:val="24"/>
        </w:rPr>
        <w:t xml:space="preserve"> the customary practice of banks is to charge compound interest.</w:t>
      </w:r>
      <w:bookmarkEnd w:id="1"/>
    </w:p>
    <w:p w14:paraId="7088203F" w14:textId="1F418FA7" w:rsidR="00B22FDF" w:rsidRPr="008822DF" w:rsidRDefault="008327FE" w:rsidP="008327FE">
      <w:pPr>
        <w:pStyle w:val="WLGLevel2"/>
        <w:numPr>
          <w:ilvl w:val="0"/>
          <w:numId w:val="0"/>
        </w:numPr>
        <w:tabs>
          <w:tab w:val="left" w:pos="1361"/>
        </w:tabs>
        <w:ind w:left="1361" w:hanging="794"/>
        <w:rPr>
          <w:rFonts w:ascii="Times New Roman" w:hAnsi="Times New Roman"/>
          <w:szCs w:val="24"/>
        </w:rPr>
      </w:pPr>
      <w:r w:rsidRPr="008822DF">
        <w:rPr>
          <w:rFonts w:ascii="Times New Roman" w:hAnsi="Times New Roman"/>
          <w:szCs w:val="24"/>
        </w:rPr>
        <w:t>16.6</w:t>
      </w:r>
      <w:r w:rsidRPr="008822DF">
        <w:rPr>
          <w:rFonts w:ascii="Times New Roman" w:hAnsi="Times New Roman"/>
          <w:szCs w:val="24"/>
        </w:rPr>
        <w:tab/>
      </w:r>
      <w:r w:rsidR="00B22FDF" w:rsidRPr="008822DF">
        <w:rPr>
          <w:rFonts w:ascii="Times New Roman" w:hAnsi="Times New Roman"/>
          <w:szCs w:val="24"/>
        </w:rPr>
        <w:t xml:space="preserve">Lastly, it says that there </w:t>
      </w:r>
      <w:r w:rsidR="00AB641E" w:rsidRPr="008822DF">
        <w:rPr>
          <w:rFonts w:ascii="Times New Roman" w:hAnsi="Times New Roman"/>
          <w:szCs w:val="24"/>
        </w:rPr>
        <w:t xml:space="preserve">is no prejudice to the defendants if they contest </w:t>
      </w:r>
      <w:r w:rsidR="009328B7" w:rsidRPr="008822DF">
        <w:rPr>
          <w:rFonts w:ascii="Times New Roman" w:hAnsi="Times New Roman"/>
          <w:szCs w:val="24"/>
        </w:rPr>
        <w:t>Standard Bank’s prayer for compound interest because “they can simply deny same in the plea</w:t>
      </w:r>
      <w:r w:rsidR="00C718AA" w:rsidRPr="008822DF">
        <w:rPr>
          <w:rFonts w:ascii="Times New Roman" w:hAnsi="Times New Roman"/>
          <w:szCs w:val="24"/>
        </w:rPr>
        <w:t>”.</w:t>
      </w:r>
    </w:p>
    <w:p w14:paraId="0E9EB593" w14:textId="2A4474CC" w:rsidR="00C718AA"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17</w:t>
      </w:r>
      <w:r w:rsidRPr="008822DF">
        <w:rPr>
          <w:rFonts w:ascii="Times New Roman" w:hAnsi="Times New Roman"/>
          <w:szCs w:val="24"/>
        </w:rPr>
        <w:tab/>
      </w:r>
      <w:r w:rsidR="00667B5D" w:rsidRPr="008822DF">
        <w:rPr>
          <w:rFonts w:ascii="Times New Roman" w:hAnsi="Times New Roman"/>
          <w:szCs w:val="24"/>
        </w:rPr>
        <w:t>To dispense with the last argument first: it is no answer, in the face of an exception, to assert that the other par</w:t>
      </w:r>
      <w:r w:rsidR="00001907" w:rsidRPr="008822DF">
        <w:rPr>
          <w:rFonts w:ascii="Times New Roman" w:hAnsi="Times New Roman"/>
          <w:szCs w:val="24"/>
        </w:rPr>
        <w:t xml:space="preserve">ty’s complaint that the particulars of claim disclose no cause of </w:t>
      </w:r>
      <w:r w:rsidR="00001907" w:rsidRPr="008822DF">
        <w:rPr>
          <w:rFonts w:ascii="Times New Roman" w:hAnsi="Times New Roman"/>
          <w:szCs w:val="24"/>
        </w:rPr>
        <w:lastRenderedPageBreak/>
        <w:t>action may be assuaged simply by making a bald denial</w:t>
      </w:r>
      <w:r w:rsidR="002B16DE" w:rsidRPr="008822DF">
        <w:rPr>
          <w:rFonts w:ascii="Times New Roman" w:hAnsi="Times New Roman"/>
          <w:szCs w:val="24"/>
        </w:rPr>
        <w:t xml:space="preserve"> in the plea of the relevant allegations making up the </w:t>
      </w:r>
      <w:r w:rsidR="00E07021" w:rsidRPr="008822DF">
        <w:rPr>
          <w:rFonts w:ascii="Times New Roman" w:hAnsi="Times New Roman"/>
          <w:szCs w:val="24"/>
        </w:rPr>
        <w:t xml:space="preserve">supposed </w:t>
      </w:r>
      <w:r w:rsidR="002B16DE" w:rsidRPr="008822DF">
        <w:rPr>
          <w:rFonts w:ascii="Times New Roman" w:hAnsi="Times New Roman"/>
          <w:szCs w:val="24"/>
        </w:rPr>
        <w:t>cause of action</w:t>
      </w:r>
      <w:r w:rsidR="00001907" w:rsidRPr="008822DF">
        <w:rPr>
          <w:rFonts w:ascii="Times New Roman" w:hAnsi="Times New Roman"/>
          <w:szCs w:val="24"/>
        </w:rPr>
        <w:t>.</w:t>
      </w:r>
      <w:r w:rsidR="00251F4B" w:rsidRPr="008822DF">
        <w:rPr>
          <w:rFonts w:ascii="Times New Roman" w:hAnsi="Times New Roman"/>
          <w:szCs w:val="24"/>
        </w:rPr>
        <w:t xml:space="preserve"> A defendant is entitled to argue that the particulars of claim do not disclose a cause of action at the exception stage and is not required to plead to a claim which discloses no cause of action. That is the whole point of rule 23</w:t>
      </w:r>
      <w:r w:rsidR="009E10E6" w:rsidRPr="008822DF">
        <w:rPr>
          <w:rFonts w:ascii="Times New Roman" w:hAnsi="Times New Roman"/>
          <w:szCs w:val="24"/>
        </w:rPr>
        <w:t xml:space="preserve"> of the Uniform Rule</w:t>
      </w:r>
      <w:r w:rsidR="00715B5F">
        <w:rPr>
          <w:rFonts w:ascii="Times New Roman" w:hAnsi="Times New Roman"/>
          <w:szCs w:val="24"/>
        </w:rPr>
        <w:t>s</w:t>
      </w:r>
      <w:r w:rsidR="00251F4B" w:rsidRPr="008822DF">
        <w:rPr>
          <w:rFonts w:ascii="Times New Roman" w:hAnsi="Times New Roman"/>
          <w:szCs w:val="24"/>
        </w:rPr>
        <w:t>.</w:t>
      </w:r>
      <w:r w:rsidR="00A975FF" w:rsidRPr="008822DF">
        <w:rPr>
          <w:rStyle w:val="FootnoteReference"/>
          <w:rFonts w:ascii="Times New Roman" w:hAnsi="Times New Roman"/>
          <w:szCs w:val="24"/>
        </w:rPr>
        <w:footnoteReference w:id="10"/>
      </w:r>
    </w:p>
    <w:p w14:paraId="14C6F91C" w14:textId="7A5BAE8E" w:rsidR="004E453B"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18</w:t>
      </w:r>
      <w:r w:rsidRPr="008822DF">
        <w:rPr>
          <w:rFonts w:ascii="Times New Roman" w:hAnsi="Times New Roman"/>
          <w:szCs w:val="24"/>
        </w:rPr>
        <w:tab/>
      </w:r>
      <w:r w:rsidR="001A3C83" w:rsidRPr="008822DF">
        <w:rPr>
          <w:rFonts w:ascii="Times New Roman" w:hAnsi="Times New Roman"/>
          <w:szCs w:val="24"/>
        </w:rPr>
        <w:t xml:space="preserve">Leaving that argument aside, then, the question is </w:t>
      </w:r>
      <w:r w:rsidR="00514BCA" w:rsidRPr="008822DF">
        <w:rPr>
          <w:rFonts w:ascii="Times New Roman" w:hAnsi="Times New Roman"/>
          <w:szCs w:val="24"/>
        </w:rPr>
        <w:t xml:space="preserve">whether the </w:t>
      </w:r>
      <w:r w:rsidR="00047366" w:rsidRPr="008822DF">
        <w:rPr>
          <w:rFonts w:ascii="Times New Roman" w:hAnsi="Times New Roman"/>
          <w:szCs w:val="24"/>
        </w:rPr>
        <w:t xml:space="preserve">amended </w:t>
      </w:r>
      <w:r w:rsidR="00514BCA" w:rsidRPr="008822DF">
        <w:rPr>
          <w:rFonts w:ascii="Times New Roman" w:hAnsi="Times New Roman"/>
          <w:szCs w:val="24"/>
        </w:rPr>
        <w:t xml:space="preserve">particulars of claim, </w:t>
      </w:r>
      <w:r w:rsidR="007C7E18" w:rsidRPr="008822DF">
        <w:rPr>
          <w:rFonts w:ascii="Times New Roman" w:hAnsi="Times New Roman"/>
          <w:szCs w:val="24"/>
        </w:rPr>
        <w:t xml:space="preserve">by incorporating the terms and conditions, can be </w:t>
      </w:r>
      <w:r w:rsidR="00C1396A" w:rsidRPr="008822DF">
        <w:rPr>
          <w:rFonts w:ascii="Times New Roman" w:hAnsi="Times New Roman"/>
          <w:szCs w:val="24"/>
        </w:rPr>
        <w:t>read as alleging t</w:t>
      </w:r>
      <w:r w:rsidR="007C7E18" w:rsidRPr="008822DF">
        <w:rPr>
          <w:rFonts w:ascii="Times New Roman" w:hAnsi="Times New Roman"/>
          <w:szCs w:val="24"/>
        </w:rPr>
        <w:t xml:space="preserve">hat </w:t>
      </w:r>
      <w:r w:rsidR="00C1396A" w:rsidRPr="008822DF">
        <w:rPr>
          <w:rFonts w:ascii="Times New Roman" w:hAnsi="Times New Roman"/>
          <w:szCs w:val="24"/>
        </w:rPr>
        <w:t>the payment of compound interest is a term of the agreement.</w:t>
      </w:r>
      <w:r w:rsidR="0081184F" w:rsidRPr="008822DF">
        <w:rPr>
          <w:rFonts w:ascii="Times New Roman" w:hAnsi="Times New Roman"/>
          <w:szCs w:val="24"/>
        </w:rPr>
        <w:t xml:space="preserve"> As will be seen when I deal with the second and third exceptions, clause 14.11 of the terms and conditions </w:t>
      </w:r>
      <w:r w:rsidR="00DF13A9" w:rsidRPr="008822DF">
        <w:rPr>
          <w:rFonts w:ascii="Times New Roman" w:hAnsi="Times New Roman"/>
          <w:szCs w:val="24"/>
        </w:rPr>
        <w:t>provides that a “certificate signed by any of our managers, whose appointment need not be proved, will on its mere production be sufficient proof of any amount due and/or owing by you in terms of this Overdraft Agreement, unless the contrary is proved”.</w:t>
      </w:r>
    </w:p>
    <w:p w14:paraId="62C91440" w14:textId="5EFF11D3" w:rsidR="00487703"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19</w:t>
      </w:r>
      <w:r w:rsidRPr="008822DF">
        <w:rPr>
          <w:rFonts w:ascii="Times New Roman" w:hAnsi="Times New Roman"/>
          <w:szCs w:val="24"/>
        </w:rPr>
        <w:tab/>
      </w:r>
      <w:r w:rsidR="00487703" w:rsidRPr="008822DF">
        <w:rPr>
          <w:rFonts w:ascii="Times New Roman" w:hAnsi="Times New Roman"/>
          <w:szCs w:val="24"/>
        </w:rPr>
        <w:t xml:space="preserve">It seems to me that, </w:t>
      </w:r>
      <w:r w:rsidR="00A87F5B" w:rsidRPr="008822DF">
        <w:rPr>
          <w:rFonts w:ascii="Times New Roman" w:hAnsi="Times New Roman"/>
          <w:szCs w:val="24"/>
        </w:rPr>
        <w:t xml:space="preserve">in pleading reliance on the terms and conditions, and then annexing the certificate of balance to the particulars of claim (as Standard Bank has done in respect of the claim against Bamboo Rock), </w:t>
      </w:r>
      <w:r w:rsidR="0048149F" w:rsidRPr="008822DF">
        <w:rPr>
          <w:rFonts w:ascii="Times New Roman" w:hAnsi="Times New Roman"/>
          <w:szCs w:val="24"/>
        </w:rPr>
        <w:t xml:space="preserve">the reference in clause 14.11 to the certificate is sufficient to defeat a cause of action exception as framed above. Bamboo Rock would be entitled </w:t>
      </w:r>
      <w:r w:rsidR="001D09C8" w:rsidRPr="008822DF">
        <w:rPr>
          <w:rFonts w:ascii="Times New Roman" w:hAnsi="Times New Roman"/>
          <w:szCs w:val="24"/>
        </w:rPr>
        <w:t>to</w:t>
      </w:r>
      <w:r w:rsidR="0048149F" w:rsidRPr="008822DF">
        <w:rPr>
          <w:rFonts w:ascii="Times New Roman" w:hAnsi="Times New Roman"/>
          <w:szCs w:val="24"/>
        </w:rPr>
        <w:t xml:space="preserve"> lead evidence, of course, to dispute what is said in the certificate. But since it provides for compound interest, it would appear to be a basis on which </w:t>
      </w:r>
      <w:r w:rsidR="001D09C8" w:rsidRPr="008822DF">
        <w:rPr>
          <w:rFonts w:ascii="Times New Roman" w:hAnsi="Times New Roman"/>
          <w:szCs w:val="24"/>
        </w:rPr>
        <w:t xml:space="preserve">Standard Bank </w:t>
      </w:r>
      <w:r w:rsidR="0092534B">
        <w:rPr>
          <w:rFonts w:ascii="Times New Roman" w:hAnsi="Times New Roman"/>
          <w:szCs w:val="24"/>
        </w:rPr>
        <w:t>c</w:t>
      </w:r>
      <w:r w:rsidR="001D09C8" w:rsidRPr="008822DF">
        <w:rPr>
          <w:rFonts w:ascii="Times New Roman" w:hAnsi="Times New Roman"/>
          <w:szCs w:val="24"/>
        </w:rPr>
        <w:t xml:space="preserve">ould make out a potential cause of action. This issue is not without its complexities, though, </w:t>
      </w:r>
      <w:r w:rsidR="00A1661B" w:rsidRPr="008822DF">
        <w:rPr>
          <w:rFonts w:ascii="Times New Roman" w:hAnsi="Times New Roman"/>
          <w:szCs w:val="24"/>
        </w:rPr>
        <w:t xml:space="preserve">and I accept that a reasonable debate might be had about whether the reference in clause 14.11 to an “amount owing” </w:t>
      </w:r>
      <w:r w:rsidR="003062B5" w:rsidRPr="008822DF">
        <w:rPr>
          <w:rFonts w:ascii="Times New Roman" w:hAnsi="Times New Roman"/>
          <w:szCs w:val="24"/>
        </w:rPr>
        <w:t>covers the manner of quantifying the interest.</w:t>
      </w:r>
    </w:p>
    <w:p w14:paraId="3C76AED0" w14:textId="214E96E2" w:rsidR="00BC17D0"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lastRenderedPageBreak/>
        <w:t>20</w:t>
      </w:r>
      <w:r w:rsidRPr="008822DF">
        <w:rPr>
          <w:rFonts w:ascii="Times New Roman" w:hAnsi="Times New Roman"/>
          <w:szCs w:val="24"/>
        </w:rPr>
        <w:tab/>
      </w:r>
      <w:r w:rsidR="003062B5" w:rsidRPr="008822DF">
        <w:rPr>
          <w:rFonts w:ascii="Times New Roman" w:hAnsi="Times New Roman"/>
          <w:szCs w:val="24"/>
        </w:rPr>
        <w:t xml:space="preserve">In any event, </w:t>
      </w:r>
      <w:r w:rsidR="009919FE" w:rsidRPr="008822DF">
        <w:rPr>
          <w:rFonts w:ascii="Times New Roman" w:hAnsi="Times New Roman"/>
          <w:szCs w:val="24"/>
        </w:rPr>
        <w:t xml:space="preserve">it is </w:t>
      </w:r>
      <w:r w:rsidR="003062B5" w:rsidRPr="008822DF">
        <w:rPr>
          <w:rFonts w:ascii="Times New Roman" w:hAnsi="Times New Roman"/>
          <w:szCs w:val="24"/>
        </w:rPr>
        <w:t xml:space="preserve">not </w:t>
      </w:r>
      <w:r w:rsidR="009919FE" w:rsidRPr="008822DF">
        <w:rPr>
          <w:rFonts w:ascii="Times New Roman" w:hAnsi="Times New Roman"/>
          <w:szCs w:val="24"/>
        </w:rPr>
        <w:t xml:space="preserve">necessary for me to </w:t>
      </w:r>
      <w:r w:rsidR="003062B5" w:rsidRPr="008822DF">
        <w:rPr>
          <w:rFonts w:ascii="Times New Roman" w:hAnsi="Times New Roman"/>
          <w:szCs w:val="24"/>
        </w:rPr>
        <w:t xml:space="preserve">decide </w:t>
      </w:r>
      <w:r w:rsidR="009919FE" w:rsidRPr="008822DF">
        <w:rPr>
          <w:rFonts w:ascii="Times New Roman" w:hAnsi="Times New Roman"/>
          <w:szCs w:val="24"/>
        </w:rPr>
        <w:t>that issue</w:t>
      </w:r>
      <w:r w:rsidR="003062B5" w:rsidRPr="008822DF">
        <w:rPr>
          <w:rFonts w:ascii="Times New Roman" w:hAnsi="Times New Roman"/>
          <w:szCs w:val="24"/>
        </w:rPr>
        <w:t xml:space="preserve">. </w:t>
      </w:r>
      <w:r w:rsidR="001B43F7" w:rsidRPr="008822DF">
        <w:rPr>
          <w:rFonts w:ascii="Times New Roman" w:hAnsi="Times New Roman"/>
          <w:szCs w:val="24"/>
        </w:rPr>
        <w:t xml:space="preserve">I deal more fully below, when dealing with the fourth exception, with the changes which have been made to our law by the Constitutional Court decision in </w:t>
      </w:r>
      <w:r w:rsidR="001B43F7" w:rsidRPr="008822DF">
        <w:rPr>
          <w:rFonts w:ascii="Times New Roman" w:hAnsi="Times New Roman"/>
          <w:i/>
          <w:iCs/>
          <w:szCs w:val="24"/>
        </w:rPr>
        <w:t>University of Johannesburg</w:t>
      </w:r>
      <w:r w:rsidR="001B43F7" w:rsidRPr="008822DF">
        <w:rPr>
          <w:rFonts w:ascii="Times New Roman" w:hAnsi="Times New Roman"/>
          <w:szCs w:val="24"/>
        </w:rPr>
        <w:t xml:space="preserve">. </w:t>
      </w:r>
      <w:r w:rsidR="00BB6DEE" w:rsidRPr="008822DF">
        <w:rPr>
          <w:rFonts w:ascii="Times New Roman" w:hAnsi="Times New Roman"/>
          <w:szCs w:val="24"/>
        </w:rPr>
        <w:t xml:space="preserve">As will be seen there, it is not always the case that parties should be given the opportunity to </w:t>
      </w:r>
      <w:r w:rsidR="00211056" w:rsidRPr="008822DF">
        <w:rPr>
          <w:rFonts w:ascii="Times New Roman" w:hAnsi="Times New Roman"/>
          <w:szCs w:val="24"/>
        </w:rPr>
        <w:t xml:space="preserve">lead evidence as to the proper meaning of contracts. But, there is now a strong default position in that direction, and </w:t>
      </w:r>
      <w:r w:rsidR="00C02AEB" w:rsidRPr="008822DF">
        <w:rPr>
          <w:rFonts w:ascii="Times New Roman" w:hAnsi="Times New Roman"/>
          <w:szCs w:val="24"/>
        </w:rPr>
        <w:t xml:space="preserve">Standard Bank’s construction of the interest clauses in the terms and conditions may well require the leading of evidence. </w:t>
      </w:r>
    </w:p>
    <w:p w14:paraId="1EEAB668" w14:textId="38AB5E54" w:rsidR="00AB3BB8"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21</w:t>
      </w:r>
      <w:r w:rsidRPr="008822DF">
        <w:rPr>
          <w:rFonts w:ascii="Times New Roman" w:hAnsi="Times New Roman"/>
          <w:szCs w:val="24"/>
        </w:rPr>
        <w:tab/>
      </w:r>
      <w:r w:rsidR="00C02AEB" w:rsidRPr="008822DF">
        <w:rPr>
          <w:rFonts w:ascii="Times New Roman" w:hAnsi="Times New Roman"/>
          <w:i/>
          <w:iCs/>
          <w:szCs w:val="24"/>
        </w:rPr>
        <w:t>Mr Hollander</w:t>
      </w:r>
      <w:r w:rsidR="00C02AEB" w:rsidRPr="008822DF">
        <w:rPr>
          <w:rFonts w:ascii="Times New Roman" w:hAnsi="Times New Roman"/>
          <w:szCs w:val="24"/>
        </w:rPr>
        <w:t>, who appeared for the defendants, correctly (in my respectful view) pointed out that</w:t>
      </w:r>
      <w:r w:rsidR="00453ED1" w:rsidRPr="008822DF">
        <w:rPr>
          <w:rFonts w:ascii="Times New Roman" w:hAnsi="Times New Roman"/>
          <w:szCs w:val="24"/>
        </w:rPr>
        <w:t xml:space="preserve">, if it is correct </w:t>
      </w:r>
      <w:r w:rsidR="00284E30">
        <w:rPr>
          <w:rFonts w:ascii="Times New Roman" w:hAnsi="Times New Roman"/>
          <w:szCs w:val="24"/>
        </w:rPr>
        <w:t xml:space="preserve">(as the case law seems to suggest) </w:t>
      </w:r>
      <w:r w:rsidR="00453ED1" w:rsidRPr="008822DF">
        <w:rPr>
          <w:rFonts w:ascii="Times New Roman" w:hAnsi="Times New Roman"/>
          <w:szCs w:val="24"/>
        </w:rPr>
        <w:t>that</w:t>
      </w:r>
      <w:r w:rsidR="00C02AEB" w:rsidRPr="008822DF">
        <w:rPr>
          <w:rFonts w:ascii="Times New Roman" w:hAnsi="Times New Roman"/>
          <w:szCs w:val="24"/>
        </w:rPr>
        <w:t xml:space="preserve"> </w:t>
      </w:r>
      <w:r w:rsidR="00453ED1" w:rsidRPr="008822DF">
        <w:rPr>
          <w:rFonts w:ascii="Times New Roman" w:hAnsi="Times New Roman"/>
          <w:szCs w:val="24"/>
        </w:rPr>
        <w:t xml:space="preserve">compound interest may only be charged by express agreement or </w:t>
      </w:r>
      <w:r w:rsidR="00D15EDE" w:rsidRPr="008822DF">
        <w:rPr>
          <w:rFonts w:ascii="Times New Roman" w:hAnsi="Times New Roman"/>
          <w:szCs w:val="24"/>
        </w:rPr>
        <w:t xml:space="preserve">because of custom, this has to be pleaded. Standard Bank has chosen to plead its case without reference to custom, which implies that, unless it seeks leave to amend its particulars of claim again, it does not rely </w:t>
      </w:r>
      <w:r w:rsidR="00302B2B" w:rsidRPr="008822DF">
        <w:rPr>
          <w:rFonts w:ascii="Times New Roman" w:hAnsi="Times New Roman"/>
          <w:szCs w:val="24"/>
        </w:rPr>
        <w:t xml:space="preserve">directly </w:t>
      </w:r>
      <w:r w:rsidR="00D15EDE" w:rsidRPr="008822DF">
        <w:rPr>
          <w:rFonts w:ascii="Times New Roman" w:hAnsi="Times New Roman"/>
          <w:szCs w:val="24"/>
        </w:rPr>
        <w:t xml:space="preserve">on custom. </w:t>
      </w:r>
      <w:r w:rsidR="00D7596F" w:rsidRPr="008822DF">
        <w:rPr>
          <w:rFonts w:ascii="Times New Roman" w:hAnsi="Times New Roman"/>
          <w:szCs w:val="24"/>
        </w:rPr>
        <w:t xml:space="preserve">However, in the light of the now trite </w:t>
      </w:r>
      <w:r w:rsidR="00D7596F" w:rsidRPr="008822DF">
        <w:rPr>
          <w:rFonts w:ascii="Times New Roman" w:hAnsi="Times New Roman"/>
          <w:i/>
          <w:iCs/>
          <w:szCs w:val="24"/>
        </w:rPr>
        <w:t>Endumeni</w:t>
      </w:r>
      <w:r w:rsidR="00D7596F" w:rsidRPr="008822DF">
        <w:rPr>
          <w:rFonts w:ascii="Times New Roman" w:hAnsi="Times New Roman"/>
          <w:szCs w:val="24"/>
        </w:rPr>
        <w:t xml:space="preserve"> principles of interpretation, </w:t>
      </w:r>
      <w:r w:rsidR="002E6C67" w:rsidRPr="008822DF">
        <w:rPr>
          <w:rFonts w:ascii="Times New Roman" w:hAnsi="Times New Roman"/>
          <w:szCs w:val="24"/>
        </w:rPr>
        <w:t xml:space="preserve">and even more so now in the light of </w:t>
      </w:r>
      <w:r w:rsidR="002E6C67" w:rsidRPr="008822DF">
        <w:rPr>
          <w:rFonts w:ascii="Times New Roman" w:hAnsi="Times New Roman"/>
          <w:i/>
          <w:iCs/>
          <w:szCs w:val="24"/>
        </w:rPr>
        <w:t>University of Johannesburg</w:t>
      </w:r>
      <w:r w:rsidR="002E6C67" w:rsidRPr="008822DF">
        <w:rPr>
          <w:rFonts w:ascii="Times New Roman" w:hAnsi="Times New Roman"/>
          <w:szCs w:val="24"/>
        </w:rPr>
        <w:t xml:space="preserve">, </w:t>
      </w:r>
      <w:r w:rsidR="00D7596F" w:rsidRPr="008822DF">
        <w:rPr>
          <w:rFonts w:ascii="Times New Roman" w:hAnsi="Times New Roman"/>
          <w:szCs w:val="24"/>
        </w:rPr>
        <w:t xml:space="preserve">it seems to me that banking custom would be relevant to the proper interpretation of </w:t>
      </w:r>
      <w:r w:rsidR="0084119B" w:rsidRPr="008822DF">
        <w:rPr>
          <w:rFonts w:ascii="Times New Roman" w:hAnsi="Times New Roman"/>
          <w:szCs w:val="24"/>
        </w:rPr>
        <w:t>clause 8.4 of the terms and conditions.</w:t>
      </w:r>
      <w:r w:rsidR="00C54A9D" w:rsidRPr="008822DF">
        <w:rPr>
          <w:rFonts w:ascii="Times New Roman" w:hAnsi="Times New Roman"/>
          <w:szCs w:val="24"/>
        </w:rPr>
        <w:t xml:space="preserve"> I prefer to deal with </w:t>
      </w:r>
      <w:r w:rsidR="00C54A9D" w:rsidRPr="008822DF">
        <w:rPr>
          <w:rFonts w:ascii="Times New Roman" w:hAnsi="Times New Roman"/>
          <w:i/>
          <w:iCs/>
          <w:szCs w:val="24"/>
        </w:rPr>
        <w:t>University of Johannesburg</w:t>
      </w:r>
      <w:r w:rsidR="00C54A9D" w:rsidRPr="008822DF">
        <w:rPr>
          <w:rFonts w:ascii="Times New Roman" w:hAnsi="Times New Roman"/>
          <w:szCs w:val="24"/>
        </w:rPr>
        <w:t xml:space="preserve"> in more detail </w:t>
      </w:r>
      <w:r w:rsidR="00DF2271" w:rsidRPr="008822DF">
        <w:rPr>
          <w:rFonts w:ascii="Times New Roman" w:hAnsi="Times New Roman"/>
          <w:szCs w:val="24"/>
        </w:rPr>
        <w:t xml:space="preserve">when dealing with the fourth exception. But for present purposes, what is noteworthy is the Constitutional Court’s emphasis on the proposition that, in the interpretive exercise, the text </w:t>
      </w:r>
      <w:r w:rsidR="00BA074C" w:rsidRPr="008822DF">
        <w:rPr>
          <w:rFonts w:ascii="Times New Roman" w:hAnsi="Times New Roman"/>
          <w:szCs w:val="24"/>
        </w:rPr>
        <w:t>of a contract no longer enjoy</w:t>
      </w:r>
      <w:r w:rsidR="00EE22EF">
        <w:rPr>
          <w:rFonts w:ascii="Times New Roman" w:hAnsi="Times New Roman"/>
          <w:szCs w:val="24"/>
        </w:rPr>
        <w:t>s</w:t>
      </w:r>
      <w:r w:rsidR="00BA074C" w:rsidRPr="008822DF">
        <w:rPr>
          <w:rFonts w:ascii="Times New Roman" w:hAnsi="Times New Roman"/>
          <w:szCs w:val="24"/>
        </w:rPr>
        <w:t xml:space="preserve"> primacy and that language, context and purpose must be given equal weight. If that is so, evidence as to banking custom </w:t>
      </w:r>
      <w:r w:rsidR="00A713C2" w:rsidRPr="008822DF">
        <w:rPr>
          <w:rFonts w:ascii="Times New Roman" w:hAnsi="Times New Roman"/>
          <w:szCs w:val="24"/>
        </w:rPr>
        <w:t>would be relevant to the proper meaning of clause 8.4 and would speak to, amongst possible other things, the purpose of the clause</w:t>
      </w:r>
      <w:r w:rsidR="006723A5">
        <w:rPr>
          <w:rFonts w:ascii="Times New Roman" w:hAnsi="Times New Roman"/>
          <w:szCs w:val="24"/>
        </w:rPr>
        <w:t xml:space="preserve"> and also the question of a commercially-sensible interpretation</w:t>
      </w:r>
      <w:r w:rsidR="00A713C2" w:rsidRPr="008822DF">
        <w:rPr>
          <w:rFonts w:ascii="Times New Roman" w:hAnsi="Times New Roman"/>
          <w:szCs w:val="24"/>
        </w:rPr>
        <w:t>. Standard Bank says that it may need to lead evidence on this issue to make out its case as to the proper meaning of clause 8.4. That being so, this is not an issue which can be determined on exception.</w:t>
      </w:r>
    </w:p>
    <w:p w14:paraId="3AC252A4" w14:textId="18F2E0EB" w:rsidR="001B43F7"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lastRenderedPageBreak/>
        <w:t>22</w:t>
      </w:r>
      <w:r w:rsidRPr="008822DF">
        <w:rPr>
          <w:rFonts w:ascii="Times New Roman" w:hAnsi="Times New Roman"/>
          <w:szCs w:val="24"/>
        </w:rPr>
        <w:tab/>
      </w:r>
      <w:r w:rsidR="00AB3BB8" w:rsidRPr="008822DF">
        <w:rPr>
          <w:rFonts w:ascii="Times New Roman" w:hAnsi="Times New Roman"/>
          <w:szCs w:val="24"/>
        </w:rPr>
        <w:t>For these reasons, the first exception must be dismissed.</w:t>
      </w:r>
      <w:r w:rsidR="006E212D" w:rsidRPr="008822DF">
        <w:rPr>
          <w:rFonts w:ascii="Times New Roman" w:hAnsi="Times New Roman"/>
          <w:szCs w:val="24"/>
        </w:rPr>
        <w:t xml:space="preserve"> </w:t>
      </w:r>
    </w:p>
    <w:p w14:paraId="74175D3C" w14:textId="77777777" w:rsidR="00670842" w:rsidRPr="008822DF" w:rsidRDefault="00670842" w:rsidP="00F26056">
      <w:pPr>
        <w:pStyle w:val="BodyTextIndent"/>
        <w:rPr>
          <w:rFonts w:ascii="Times New Roman" w:hAnsi="Times New Roman"/>
          <w:szCs w:val="24"/>
        </w:rPr>
      </w:pPr>
    </w:p>
    <w:p w14:paraId="464A3EC0" w14:textId="5ADB3A80" w:rsidR="00AE2FA9" w:rsidRPr="008822DF" w:rsidRDefault="00AE2FA9" w:rsidP="00AE2FA9">
      <w:pPr>
        <w:pStyle w:val="Heading1"/>
        <w:rPr>
          <w:rFonts w:ascii="Times New Roman" w:hAnsi="Times New Roman"/>
          <w:szCs w:val="24"/>
        </w:rPr>
      </w:pPr>
      <w:r w:rsidRPr="008822DF">
        <w:rPr>
          <w:rFonts w:ascii="Times New Roman" w:hAnsi="Times New Roman"/>
          <w:szCs w:val="24"/>
        </w:rPr>
        <w:t>THE SECOND EXCEPTION</w:t>
      </w:r>
    </w:p>
    <w:p w14:paraId="400AF611" w14:textId="216774A7" w:rsidR="00AE2FA9"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23</w:t>
      </w:r>
      <w:r w:rsidRPr="008822DF">
        <w:rPr>
          <w:rFonts w:ascii="Times New Roman" w:hAnsi="Times New Roman"/>
          <w:szCs w:val="24"/>
        </w:rPr>
        <w:tab/>
      </w:r>
      <w:r w:rsidR="00217A03" w:rsidRPr="008822DF">
        <w:rPr>
          <w:rFonts w:ascii="Times New Roman" w:hAnsi="Times New Roman"/>
          <w:szCs w:val="24"/>
        </w:rPr>
        <w:t xml:space="preserve">The second exception </w:t>
      </w:r>
      <w:r w:rsidR="002D4166" w:rsidRPr="008822DF">
        <w:rPr>
          <w:rFonts w:ascii="Times New Roman" w:hAnsi="Times New Roman"/>
          <w:szCs w:val="24"/>
        </w:rPr>
        <w:t>also relates to Standard Bank</w:t>
      </w:r>
      <w:r w:rsidR="00E56191" w:rsidRPr="008822DF">
        <w:rPr>
          <w:rFonts w:ascii="Times New Roman" w:hAnsi="Times New Roman"/>
          <w:szCs w:val="24"/>
        </w:rPr>
        <w:t>’</w:t>
      </w:r>
      <w:r w:rsidR="002D4166" w:rsidRPr="008822DF">
        <w:rPr>
          <w:rFonts w:ascii="Times New Roman" w:hAnsi="Times New Roman"/>
          <w:szCs w:val="24"/>
        </w:rPr>
        <w:t xml:space="preserve">s claim for R19 539 742.45 and interest of 8% arising from the Overdraft Facility Agreement. It </w:t>
      </w:r>
      <w:r w:rsidR="00217A03" w:rsidRPr="008822DF">
        <w:rPr>
          <w:rFonts w:ascii="Times New Roman" w:hAnsi="Times New Roman"/>
          <w:szCs w:val="24"/>
        </w:rPr>
        <w:t>is framed as follows:</w:t>
      </w:r>
    </w:p>
    <w:p w14:paraId="6D7EE087" w14:textId="11F71862" w:rsidR="00217A03" w:rsidRPr="008822DF" w:rsidRDefault="00217A03" w:rsidP="00217A03">
      <w:pPr>
        <w:pStyle w:val="BodyTextIndent"/>
        <w:spacing w:line="240" w:lineRule="auto"/>
        <w:ind w:left="1134"/>
        <w:rPr>
          <w:rFonts w:ascii="Times New Roman" w:hAnsi="Times New Roman"/>
          <w:szCs w:val="24"/>
        </w:rPr>
      </w:pPr>
      <w:r w:rsidRPr="008822DF">
        <w:rPr>
          <w:rFonts w:ascii="Times New Roman" w:hAnsi="Times New Roman"/>
          <w:szCs w:val="24"/>
        </w:rPr>
        <w:t xml:space="preserve">“8. The express terms of the Overdraft Facility Agreement include, </w:t>
      </w:r>
      <w:r w:rsidRPr="008822DF">
        <w:rPr>
          <w:rFonts w:ascii="Times New Roman" w:hAnsi="Times New Roman"/>
          <w:i/>
          <w:iCs/>
          <w:color w:val="383838"/>
          <w:szCs w:val="24"/>
        </w:rPr>
        <w:t xml:space="preserve">inter </w:t>
      </w:r>
      <w:r w:rsidRPr="008822DF">
        <w:rPr>
          <w:rFonts w:ascii="Times New Roman" w:hAnsi="Times New Roman"/>
          <w:szCs w:val="24"/>
        </w:rPr>
        <w:t>alia:</w:t>
      </w:r>
    </w:p>
    <w:p w14:paraId="26399078" w14:textId="594CE4CA" w:rsidR="00217A03" w:rsidRPr="008822DF" w:rsidRDefault="00217A03" w:rsidP="00217A03">
      <w:pPr>
        <w:pStyle w:val="BodyTextIndent"/>
        <w:spacing w:line="240" w:lineRule="auto"/>
        <w:ind w:left="1701"/>
        <w:rPr>
          <w:rFonts w:ascii="Times New Roman" w:hAnsi="Times New Roman"/>
          <w:szCs w:val="24"/>
        </w:rPr>
      </w:pPr>
      <w:r w:rsidRPr="008822DF">
        <w:rPr>
          <w:rFonts w:ascii="Times New Roman" w:hAnsi="Times New Roman"/>
          <w:szCs w:val="24"/>
        </w:rPr>
        <w:t xml:space="preserve">8.1. </w:t>
      </w:r>
      <w:r w:rsidRPr="008822DF">
        <w:rPr>
          <w:rFonts w:ascii="Times New Roman" w:hAnsi="Times New Roman"/>
          <w:color w:val="383838"/>
          <w:szCs w:val="24"/>
        </w:rPr>
        <w:t xml:space="preserve">"The </w:t>
      </w:r>
      <w:r w:rsidRPr="008822DF">
        <w:rPr>
          <w:rFonts w:ascii="Times New Roman" w:hAnsi="Times New Roman"/>
          <w:szCs w:val="24"/>
        </w:rPr>
        <w:t>rate of interest on the Limit will be charged at Prime plus 1% per annum, that is, presently 11% per annum. Prime is currently 10% per annum";</w:t>
      </w:r>
    </w:p>
    <w:p w14:paraId="2F7854F1" w14:textId="60E3BCD6" w:rsidR="00217A03" w:rsidRPr="008822DF" w:rsidRDefault="00217A03" w:rsidP="00217A03">
      <w:pPr>
        <w:pStyle w:val="BodyTextIndent"/>
        <w:spacing w:line="240" w:lineRule="auto"/>
        <w:ind w:left="1701"/>
        <w:rPr>
          <w:rFonts w:ascii="Times New Roman" w:hAnsi="Times New Roman"/>
          <w:szCs w:val="24"/>
        </w:rPr>
      </w:pPr>
      <w:r w:rsidRPr="008822DF">
        <w:rPr>
          <w:rFonts w:ascii="Times New Roman" w:hAnsi="Times New Roman"/>
          <w:szCs w:val="24"/>
        </w:rPr>
        <w:t xml:space="preserve">8.2. </w:t>
      </w:r>
      <w:r w:rsidRPr="008822DF">
        <w:rPr>
          <w:rFonts w:ascii="Times New Roman" w:hAnsi="Times New Roman"/>
          <w:color w:val="4F4F4F"/>
          <w:szCs w:val="24"/>
        </w:rPr>
        <w:t>"</w:t>
      </w:r>
      <w:r w:rsidRPr="008822DF">
        <w:rPr>
          <w:rFonts w:ascii="Times New Roman" w:hAnsi="Times New Roman"/>
          <w:szCs w:val="24"/>
        </w:rPr>
        <w:t xml:space="preserve">The variable interest rate applicable to this Overdraft Agreement </w:t>
      </w:r>
      <w:r w:rsidRPr="008822DF">
        <w:rPr>
          <w:rFonts w:ascii="Times New Roman" w:hAnsi="Times New Roman"/>
          <w:color w:val="383838"/>
          <w:szCs w:val="24"/>
        </w:rPr>
        <w:t xml:space="preserve">is </w:t>
      </w:r>
      <w:r w:rsidRPr="008822DF">
        <w:rPr>
          <w:rFonts w:ascii="Times New Roman" w:hAnsi="Times New Roman"/>
          <w:szCs w:val="24"/>
        </w:rPr>
        <w:t xml:space="preserve">linked to our Prime Interest Rate by a Margin related to Prime that is determined by us and has been disclosed </w:t>
      </w:r>
      <w:r w:rsidRPr="008822DF">
        <w:rPr>
          <w:rFonts w:ascii="Times New Roman" w:hAnsi="Times New Roman"/>
          <w:color w:val="383838"/>
          <w:szCs w:val="24"/>
        </w:rPr>
        <w:t xml:space="preserve">in </w:t>
      </w:r>
      <w:r w:rsidRPr="008822DF">
        <w:rPr>
          <w:rFonts w:ascii="Times New Roman" w:hAnsi="Times New Roman"/>
          <w:szCs w:val="24"/>
        </w:rPr>
        <w:t xml:space="preserve">the </w:t>
      </w:r>
      <w:r w:rsidRPr="008822DF">
        <w:rPr>
          <w:rFonts w:ascii="Times New Roman" w:hAnsi="Times New Roman"/>
          <w:color w:val="4F4F4F"/>
          <w:szCs w:val="24"/>
        </w:rPr>
        <w:t>"</w:t>
      </w:r>
      <w:r w:rsidRPr="008822DF">
        <w:rPr>
          <w:rFonts w:ascii="Times New Roman" w:hAnsi="Times New Roman"/>
          <w:szCs w:val="24"/>
        </w:rPr>
        <w:t>Interest</w:t>
      </w:r>
      <w:r w:rsidRPr="008822DF">
        <w:rPr>
          <w:rFonts w:ascii="Times New Roman" w:hAnsi="Times New Roman"/>
          <w:color w:val="4F4F4F"/>
          <w:szCs w:val="24"/>
        </w:rPr>
        <w:t xml:space="preserve">" </w:t>
      </w:r>
      <w:r w:rsidRPr="008822DF">
        <w:rPr>
          <w:rFonts w:ascii="Times New Roman" w:hAnsi="Times New Roman"/>
          <w:szCs w:val="24"/>
        </w:rPr>
        <w:t xml:space="preserve">clause </w:t>
      </w:r>
      <w:r w:rsidRPr="008822DF">
        <w:rPr>
          <w:rFonts w:ascii="Times New Roman" w:hAnsi="Times New Roman"/>
          <w:color w:val="383838"/>
          <w:szCs w:val="24"/>
        </w:rPr>
        <w:t xml:space="preserve">in </w:t>
      </w:r>
      <w:r w:rsidRPr="008822DF">
        <w:rPr>
          <w:rFonts w:ascii="Times New Roman" w:hAnsi="Times New Roman"/>
          <w:szCs w:val="24"/>
        </w:rPr>
        <w:t>the letter''; and</w:t>
      </w:r>
    </w:p>
    <w:p w14:paraId="6F0E055D" w14:textId="5AFE37F5" w:rsidR="00217A03" w:rsidRPr="008822DF" w:rsidRDefault="00217A03" w:rsidP="00217A03">
      <w:pPr>
        <w:pStyle w:val="BodyTextIndent"/>
        <w:spacing w:line="240" w:lineRule="auto"/>
        <w:ind w:left="1701"/>
        <w:rPr>
          <w:rFonts w:ascii="Times New Roman" w:hAnsi="Times New Roman"/>
          <w:color w:val="4F4F4F"/>
          <w:szCs w:val="24"/>
        </w:rPr>
      </w:pPr>
      <w:r w:rsidRPr="008822DF">
        <w:rPr>
          <w:rFonts w:ascii="Times New Roman" w:hAnsi="Times New Roman"/>
          <w:szCs w:val="24"/>
        </w:rPr>
        <w:t xml:space="preserve">8.3. </w:t>
      </w:r>
      <w:r w:rsidRPr="008822DF">
        <w:rPr>
          <w:rFonts w:ascii="Times New Roman" w:hAnsi="Times New Roman"/>
          <w:color w:val="383838"/>
          <w:szCs w:val="24"/>
        </w:rPr>
        <w:t xml:space="preserve">"We </w:t>
      </w:r>
      <w:r w:rsidRPr="008822DF">
        <w:rPr>
          <w:rFonts w:ascii="Times New Roman" w:hAnsi="Times New Roman"/>
          <w:szCs w:val="24"/>
        </w:rPr>
        <w:t>may from time to time vary the interest rate applicable to this Overdraft Agreement if Prime fluctuates. If we do amend the interest rate, we will advise you in writing within at least 30 (thirty) Business Days after the change becomes effective</w:t>
      </w:r>
      <w:r w:rsidRPr="008822DF">
        <w:rPr>
          <w:rFonts w:ascii="Times New Roman" w:hAnsi="Times New Roman"/>
          <w:color w:val="4F4F4F"/>
          <w:szCs w:val="24"/>
        </w:rPr>
        <w:t>."</w:t>
      </w:r>
    </w:p>
    <w:p w14:paraId="07F0A4D1" w14:textId="77777777" w:rsidR="00217A03" w:rsidRPr="008822DF" w:rsidRDefault="00217A03" w:rsidP="00217A03">
      <w:pPr>
        <w:pStyle w:val="BodyTextIndent"/>
        <w:spacing w:line="240" w:lineRule="auto"/>
        <w:ind w:firstLine="567"/>
        <w:rPr>
          <w:rFonts w:ascii="Times New Roman" w:hAnsi="Times New Roman"/>
          <w:szCs w:val="24"/>
        </w:rPr>
      </w:pPr>
      <w:r w:rsidRPr="008822DF">
        <w:rPr>
          <w:rFonts w:ascii="Times New Roman" w:hAnsi="Times New Roman"/>
          <w:szCs w:val="24"/>
        </w:rPr>
        <w:t>9. The Plaintiff has failed to plead:</w:t>
      </w:r>
    </w:p>
    <w:p w14:paraId="46B13580" w14:textId="022CDEDA" w:rsidR="00217A03" w:rsidRPr="008822DF" w:rsidRDefault="00217A03" w:rsidP="00217A03">
      <w:pPr>
        <w:pStyle w:val="BodyTextIndent"/>
        <w:spacing w:line="240" w:lineRule="auto"/>
        <w:ind w:left="1701"/>
        <w:rPr>
          <w:rFonts w:ascii="Times New Roman" w:hAnsi="Times New Roman"/>
          <w:szCs w:val="24"/>
        </w:rPr>
      </w:pPr>
      <w:r w:rsidRPr="008822DF">
        <w:rPr>
          <w:rFonts w:ascii="Times New Roman" w:hAnsi="Times New Roman"/>
          <w:szCs w:val="24"/>
        </w:rPr>
        <w:t xml:space="preserve">9.1. that there was any change </w:t>
      </w:r>
      <w:r w:rsidRPr="008822DF">
        <w:rPr>
          <w:rFonts w:ascii="Times New Roman" w:hAnsi="Times New Roman"/>
          <w:color w:val="0F0F0F"/>
          <w:szCs w:val="24"/>
        </w:rPr>
        <w:t xml:space="preserve">in </w:t>
      </w:r>
      <w:r w:rsidRPr="008822DF">
        <w:rPr>
          <w:rFonts w:ascii="Times New Roman" w:hAnsi="Times New Roman"/>
          <w:szCs w:val="24"/>
        </w:rPr>
        <w:t xml:space="preserve">the prime interest rate, </w:t>
      </w:r>
      <w:r w:rsidRPr="008822DF">
        <w:rPr>
          <w:rFonts w:ascii="Times New Roman" w:hAnsi="Times New Roman"/>
          <w:color w:val="0F0F0F"/>
          <w:szCs w:val="24"/>
        </w:rPr>
        <w:t xml:space="preserve">with </w:t>
      </w:r>
      <w:r w:rsidRPr="008822DF">
        <w:rPr>
          <w:rFonts w:ascii="Times New Roman" w:hAnsi="Times New Roman"/>
          <w:szCs w:val="24"/>
        </w:rPr>
        <w:t xml:space="preserve">the result that </w:t>
      </w:r>
      <w:r w:rsidRPr="008822DF">
        <w:rPr>
          <w:rFonts w:ascii="Times New Roman" w:hAnsi="Times New Roman"/>
          <w:color w:val="0F0F0F"/>
          <w:szCs w:val="24"/>
        </w:rPr>
        <w:t xml:space="preserve">it </w:t>
      </w:r>
      <w:r w:rsidRPr="008822DF">
        <w:rPr>
          <w:rFonts w:ascii="Times New Roman" w:hAnsi="Times New Roman"/>
          <w:szCs w:val="24"/>
        </w:rPr>
        <w:t>is claiming interest at 8%;</w:t>
      </w:r>
    </w:p>
    <w:p w14:paraId="16B7A5B6" w14:textId="2A91305F" w:rsidR="00217A03" w:rsidRPr="008822DF" w:rsidRDefault="00217A03" w:rsidP="00217A03">
      <w:pPr>
        <w:pStyle w:val="BodyTextIndent"/>
        <w:spacing w:line="240" w:lineRule="auto"/>
        <w:ind w:left="1701"/>
        <w:rPr>
          <w:rFonts w:ascii="Times New Roman" w:hAnsi="Times New Roman"/>
          <w:szCs w:val="24"/>
        </w:rPr>
      </w:pPr>
      <w:r w:rsidRPr="008822DF">
        <w:rPr>
          <w:rFonts w:ascii="Times New Roman" w:hAnsi="Times New Roman"/>
          <w:szCs w:val="24"/>
        </w:rPr>
        <w:t>9</w:t>
      </w:r>
      <w:r w:rsidRPr="008822DF">
        <w:rPr>
          <w:rFonts w:ascii="Times New Roman" w:hAnsi="Times New Roman"/>
          <w:color w:val="4F4F4F"/>
          <w:szCs w:val="24"/>
        </w:rPr>
        <w:t>.</w:t>
      </w:r>
      <w:r w:rsidRPr="008822DF">
        <w:rPr>
          <w:rFonts w:ascii="Times New Roman" w:hAnsi="Times New Roman"/>
          <w:szCs w:val="24"/>
        </w:rPr>
        <w:t>2</w:t>
      </w:r>
      <w:r w:rsidRPr="008822DF">
        <w:rPr>
          <w:rFonts w:ascii="Times New Roman" w:hAnsi="Times New Roman"/>
          <w:color w:val="4F4F4F"/>
          <w:szCs w:val="24"/>
        </w:rPr>
        <w:t xml:space="preserve">. </w:t>
      </w:r>
      <w:r w:rsidRPr="008822DF">
        <w:rPr>
          <w:rFonts w:ascii="Times New Roman" w:hAnsi="Times New Roman"/>
          <w:szCs w:val="24"/>
        </w:rPr>
        <w:t xml:space="preserve">if there were any changes </w:t>
      </w:r>
      <w:r w:rsidRPr="008822DF">
        <w:rPr>
          <w:rFonts w:ascii="Times New Roman" w:hAnsi="Times New Roman"/>
          <w:color w:val="0F0F0F"/>
          <w:szCs w:val="24"/>
        </w:rPr>
        <w:t xml:space="preserve">in </w:t>
      </w:r>
      <w:r w:rsidRPr="008822DF">
        <w:rPr>
          <w:rFonts w:ascii="Times New Roman" w:hAnsi="Times New Roman"/>
          <w:szCs w:val="24"/>
        </w:rPr>
        <w:t xml:space="preserve">the prime </w:t>
      </w:r>
      <w:r w:rsidRPr="008822DF">
        <w:rPr>
          <w:rFonts w:ascii="Times New Roman" w:hAnsi="Times New Roman"/>
          <w:color w:val="383838"/>
          <w:szCs w:val="24"/>
        </w:rPr>
        <w:t xml:space="preserve">interest </w:t>
      </w:r>
      <w:r w:rsidRPr="008822DF">
        <w:rPr>
          <w:rFonts w:ascii="Times New Roman" w:hAnsi="Times New Roman"/>
          <w:szCs w:val="24"/>
        </w:rPr>
        <w:t>rate, when those changes became effective; and</w:t>
      </w:r>
    </w:p>
    <w:p w14:paraId="708079C8" w14:textId="63B8727B" w:rsidR="00217A03" w:rsidRPr="008822DF" w:rsidRDefault="00217A03" w:rsidP="00217A03">
      <w:pPr>
        <w:pStyle w:val="BodyTextIndent"/>
        <w:spacing w:line="240" w:lineRule="auto"/>
        <w:ind w:left="1701"/>
        <w:rPr>
          <w:rFonts w:ascii="Times New Roman" w:hAnsi="Times New Roman"/>
          <w:szCs w:val="24"/>
        </w:rPr>
      </w:pPr>
      <w:r w:rsidRPr="008822DF">
        <w:rPr>
          <w:rFonts w:ascii="Times New Roman" w:hAnsi="Times New Roman"/>
          <w:szCs w:val="24"/>
        </w:rPr>
        <w:t>9</w:t>
      </w:r>
      <w:r w:rsidRPr="008822DF">
        <w:rPr>
          <w:rFonts w:ascii="Times New Roman" w:hAnsi="Times New Roman"/>
          <w:color w:val="4F4F4F"/>
          <w:szCs w:val="24"/>
        </w:rPr>
        <w:t>.</w:t>
      </w:r>
      <w:r w:rsidRPr="008822DF">
        <w:rPr>
          <w:rFonts w:ascii="Times New Roman" w:hAnsi="Times New Roman"/>
          <w:szCs w:val="24"/>
        </w:rPr>
        <w:t xml:space="preserve">3. that it notified the First Defendant of the change </w:t>
      </w:r>
      <w:r w:rsidRPr="008822DF">
        <w:rPr>
          <w:rFonts w:ascii="Times New Roman" w:hAnsi="Times New Roman"/>
          <w:color w:val="0F0F0F"/>
          <w:szCs w:val="24"/>
        </w:rPr>
        <w:t xml:space="preserve">within 30 </w:t>
      </w:r>
      <w:r w:rsidRPr="008822DF">
        <w:rPr>
          <w:rFonts w:ascii="Times New Roman" w:hAnsi="Times New Roman"/>
          <w:szCs w:val="24"/>
        </w:rPr>
        <w:t xml:space="preserve">Business Days </w:t>
      </w:r>
      <w:r w:rsidRPr="008822DF">
        <w:rPr>
          <w:rFonts w:ascii="Times New Roman" w:hAnsi="Times New Roman"/>
          <w:color w:val="383838"/>
          <w:szCs w:val="24"/>
        </w:rPr>
        <w:t xml:space="preserve">after </w:t>
      </w:r>
      <w:r w:rsidRPr="008822DF">
        <w:rPr>
          <w:rFonts w:ascii="Times New Roman" w:hAnsi="Times New Roman"/>
          <w:szCs w:val="24"/>
        </w:rPr>
        <w:t>any such changes became effective.</w:t>
      </w:r>
    </w:p>
    <w:p w14:paraId="4CDCC48D" w14:textId="2A1D0D7D" w:rsidR="00217A03" w:rsidRPr="008822DF" w:rsidRDefault="00217A03" w:rsidP="00217A03">
      <w:pPr>
        <w:pStyle w:val="BodyTextIndent"/>
        <w:spacing w:line="240" w:lineRule="auto"/>
        <w:ind w:left="1134"/>
        <w:rPr>
          <w:rFonts w:ascii="Times New Roman" w:hAnsi="Times New Roman"/>
          <w:szCs w:val="24"/>
        </w:rPr>
      </w:pPr>
      <w:r w:rsidRPr="008822DF">
        <w:rPr>
          <w:rFonts w:ascii="Times New Roman" w:hAnsi="Times New Roman"/>
          <w:color w:val="0F0F0F"/>
          <w:szCs w:val="24"/>
        </w:rPr>
        <w:t xml:space="preserve">10. In </w:t>
      </w:r>
      <w:r w:rsidRPr="008822DF">
        <w:rPr>
          <w:rFonts w:ascii="Times New Roman" w:hAnsi="Times New Roman"/>
          <w:szCs w:val="24"/>
        </w:rPr>
        <w:t xml:space="preserve">the circumstances, the First Defendant is </w:t>
      </w:r>
      <w:r w:rsidRPr="008822DF">
        <w:rPr>
          <w:rFonts w:ascii="Times New Roman" w:hAnsi="Times New Roman"/>
          <w:color w:val="0F0F0F"/>
          <w:szCs w:val="24"/>
        </w:rPr>
        <w:t xml:space="preserve">not in </w:t>
      </w:r>
      <w:r w:rsidRPr="008822DF">
        <w:rPr>
          <w:rFonts w:ascii="Times New Roman" w:hAnsi="Times New Roman"/>
          <w:color w:val="383838"/>
          <w:szCs w:val="24"/>
        </w:rPr>
        <w:t xml:space="preserve">a </w:t>
      </w:r>
      <w:r w:rsidRPr="008822DF">
        <w:rPr>
          <w:rFonts w:ascii="Times New Roman" w:hAnsi="Times New Roman"/>
          <w:szCs w:val="24"/>
        </w:rPr>
        <w:t xml:space="preserve">position to determine </w:t>
      </w:r>
      <w:r w:rsidRPr="008822DF">
        <w:rPr>
          <w:rFonts w:ascii="Times New Roman" w:hAnsi="Times New Roman"/>
          <w:color w:val="0F0F0F"/>
          <w:szCs w:val="24"/>
        </w:rPr>
        <w:t xml:space="preserve">how </w:t>
      </w:r>
      <w:r w:rsidRPr="008822DF">
        <w:rPr>
          <w:rFonts w:ascii="Times New Roman" w:hAnsi="Times New Roman"/>
          <w:szCs w:val="24"/>
        </w:rPr>
        <w:t xml:space="preserve">the amount claimed from </w:t>
      </w:r>
      <w:r w:rsidRPr="008822DF">
        <w:rPr>
          <w:rFonts w:ascii="Times New Roman" w:hAnsi="Times New Roman"/>
          <w:color w:val="383838"/>
          <w:szCs w:val="24"/>
        </w:rPr>
        <w:t xml:space="preserve">it </w:t>
      </w:r>
      <w:r w:rsidRPr="008822DF">
        <w:rPr>
          <w:rFonts w:ascii="Times New Roman" w:hAnsi="Times New Roman"/>
          <w:szCs w:val="24"/>
        </w:rPr>
        <w:t>has been calculated.</w:t>
      </w:r>
    </w:p>
    <w:p w14:paraId="3F94D15F" w14:textId="7539BCF8" w:rsidR="00217A03" w:rsidRPr="008822DF" w:rsidRDefault="00217A03" w:rsidP="00217A03">
      <w:pPr>
        <w:pStyle w:val="BodyTextIndent"/>
        <w:spacing w:line="240" w:lineRule="auto"/>
        <w:ind w:left="1134"/>
        <w:rPr>
          <w:rFonts w:ascii="Times New Roman" w:hAnsi="Times New Roman"/>
          <w:color w:val="4F4F4F"/>
          <w:szCs w:val="24"/>
        </w:rPr>
      </w:pPr>
      <w:r w:rsidRPr="008822DF">
        <w:rPr>
          <w:rFonts w:ascii="Times New Roman" w:hAnsi="Times New Roman"/>
          <w:color w:val="4F4F4F"/>
          <w:szCs w:val="24"/>
        </w:rPr>
        <w:t>1</w:t>
      </w:r>
      <w:r w:rsidRPr="008822DF">
        <w:rPr>
          <w:rFonts w:ascii="Times New Roman" w:hAnsi="Times New Roman"/>
          <w:color w:val="0F0F0F"/>
          <w:szCs w:val="24"/>
        </w:rPr>
        <w:t>1</w:t>
      </w:r>
      <w:r w:rsidRPr="008822DF">
        <w:rPr>
          <w:rFonts w:ascii="Times New Roman" w:hAnsi="Times New Roman"/>
          <w:szCs w:val="24"/>
        </w:rPr>
        <w:t>. The aforesaid renders the Plaintiff's Particulars of Claim excipiable on the basis that they are vague and embarrassing and/or lack averments necessary to sustain a cause of action</w:t>
      </w:r>
      <w:r w:rsidRPr="008822DF">
        <w:rPr>
          <w:rFonts w:ascii="Times New Roman" w:hAnsi="Times New Roman"/>
          <w:color w:val="4F4F4F"/>
          <w:szCs w:val="24"/>
        </w:rPr>
        <w:t>.”</w:t>
      </w:r>
    </w:p>
    <w:p w14:paraId="11CDEE0E" w14:textId="07354367" w:rsidR="00217A03"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lastRenderedPageBreak/>
        <w:t>24</w:t>
      </w:r>
      <w:r w:rsidRPr="008822DF">
        <w:rPr>
          <w:rFonts w:ascii="Times New Roman" w:hAnsi="Times New Roman"/>
          <w:szCs w:val="24"/>
        </w:rPr>
        <w:tab/>
      </w:r>
      <w:r w:rsidR="00E62160" w:rsidRPr="008822DF">
        <w:rPr>
          <w:rFonts w:ascii="Times New Roman" w:hAnsi="Times New Roman"/>
          <w:szCs w:val="24"/>
        </w:rPr>
        <w:t>There is rhetorical force in th</w:t>
      </w:r>
      <w:r w:rsidR="009B75F5" w:rsidRPr="008822DF">
        <w:rPr>
          <w:rFonts w:ascii="Times New Roman" w:hAnsi="Times New Roman"/>
          <w:szCs w:val="24"/>
        </w:rPr>
        <w:t xml:space="preserve">is exception. However, </w:t>
      </w:r>
      <w:r w:rsidR="003E033C" w:rsidRPr="008822DF">
        <w:rPr>
          <w:rFonts w:ascii="Times New Roman" w:hAnsi="Times New Roman"/>
          <w:szCs w:val="24"/>
        </w:rPr>
        <w:t>in my view it is without merit. As the claim is currently pleaded, there is an allegation that it was a term of the agreement that “[t]</w:t>
      </w:r>
      <w:r w:rsidR="003E033C" w:rsidRPr="008822DF">
        <w:rPr>
          <w:rFonts w:ascii="Times New Roman" w:hAnsi="Times New Roman"/>
          <w:color w:val="383838"/>
          <w:szCs w:val="24"/>
        </w:rPr>
        <w:t xml:space="preserve">he </w:t>
      </w:r>
      <w:r w:rsidR="003E033C" w:rsidRPr="008822DF">
        <w:rPr>
          <w:rFonts w:ascii="Times New Roman" w:hAnsi="Times New Roman"/>
          <w:szCs w:val="24"/>
        </w:rPr>
        <w:t>rate of interest on the Limit will be charged at Prime plus 1% per annum, that is, presently 11% per annum. Prime is currently 10% per annum</w:t>
      </w:r>
      <w:r w:rsidR="00F25A6E" w:rsidRPr="008822DF">
        <w:rPr>
          <w:rFonts w:ascii="Times New Roman" w:hAnsi="Times New Roman"/>
          <w:szCs w:val="24"/>
        </w:rPr>
        <w:t xml:space="preserve">” coupled with a claim for 8% interest. With mere proof by Standard Bank that this clause was indeed a term of the agreement, it would be entitled to claim 8% interest. This is because it has an unqualified right to abandon </w:t>
      </w:r>
      <w:r w:rsidR="007B3EC3" w:rsidRPr="008822DF">
        <w:rPr>
          <w:rFonts w:ascii="Times New Roman" w:hAnsi="Times New Roman"/>
          <w:szCs w:val="24"/>
        </w:rPr>
        <w:t xml:space="preserve">any portion of its claim. In other words, even if the prime lending rate had remained at 10% throughout the term of the agreement, it would still have an election </w:t>
      </w:r>
      <w:r w:rsidR="009B1897" w:rsidRPr="008822DF">
        <w:rPr>
          <w:rFonts w:ascii="Times New Roman" w:hAnsi="Times New Roman"/>
          <w:szCs w:val="24"/>
        </w:rPr>
        <w:t>to claim 8%.</w:t>
      </w:r>
      <w:r w:rsidR="002970B3" w:rsidRPr="008822DF">
        <w:rPr>
          <w:rFonts w:ascii="Times New Roman" w:hAnsi="Times New Roman"/>
          <w:szCs w:val="24"/>
        </w:rPr>
        <w:t xml:space="preserve"> </w:t>
      </w:r>
    </w:p>
    <w:p w14:paraId="3DE6384E" w14:textId="64E02D43" w:rsidR="00136B62"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25</w:t>
      </w:r>
      <w:r w:rsidRPr="008822DF">
        <w:rPr>
          <w:rFonts w:ascii="Times New Roman" w:hAnsi="Times New Roman"/>
          <w:szCs w:val="24"/>
        </w:rPr>
        <w:tab/>
      </w:r>
      <w:r w:rsidR="00136B62" w:rsidRPr="008822DF">
        <w:rPr>
          <w:rFonts w:ascii="Times New Roman" w:hAnsi="Times New Roman"/>
          <w:szCs w:val="24"/>
        </w:rPr>
        <w:t xml:space="preserve">But, in any event, I agree with </w:t>
      </w:r>
      <w:r w:rsidR="00136B62" w:rsidRPr="008822DF">
        <w:rPr>
          <w:rFonts w:ascii="Times New Roman" w:hAnsi="Times New Roman"/>
          <w:i/>
          <w:iCs/>
          <w:szCs w:val="24"/>
        </w:rPr>
        <w:t>Mr Re</w:t>
      </w:r>
      <w:r w:rsidR="00307941" w:rsidRPr="008822DF">
        <w:rPr>
          <w:rFonts w:ascii="Times New Roman" w:hAnsi="Times New Roman"/>
          <w:i/>
          <w:iCs/>
          <w:szCs w:val="24"/>
        </w:rPr>
        <w:t>i</w:t>
      </w:r>
      <w:r w:rsidR="00136B62" w:rsidRPr="008822DF">
        <w:rPr>
          <w:rFonts w:ascii="Times New Roman" w:hAnsi="Times New Roman"/>
          <w:i/>
          <w:iCs/>
          <w:szCs w:val="24"/>
        </w:rPr>
        <w:t>neke</w:t>
      </w:r>
      <w:r w:rsidR="00F65A88" w:rsidRPr="008822DF">
        <w:rPr>
          <w:rFonts w:ascii="Times New Roman" w:hAnsi="Times New Roman"/>
          <w:szCs w:val="24"/>
        </w:rPr>
        <w:t>, who appeared for Standard Bank,</w:t>
      </w:r>
      <w:r w:rsidR="00136B62" w:rsidRPr="008822DF">
        <w:rPr>
          <w:rFonts w:ascii="Times New Roman" w:hAnsi="Times New Roman"/>
          <w:szCs w:val="24"/>
        </w:rPr>
        <w:t xml:space="preserve"> that Standard Bank is, in terms of the Overdraft Facilities Agreement, entitled to rely on </w:t>
      </w:r>
      <w:r w:rsidR="00EE7AB9" w:rsidRPr="008822DF">
        <w:rPr>
          <w:rFonts w:ascii="Times New Roman" w:hAnsi="Times New Roman"/>
          <w:szCs w:val="24"/>
        </w:rPr>
        <w:t xml:space="preserve">the certificate of balance annexed to the amended particulars of claim. </w:t>
      </w:r>
      <w:r w:rsidR="00DF13A9" w:rsidRPr="008822DF">
        <w:rPr>
          <w:rFonts w:ascii="Times New Roman" w:hAnsi="Times New Roman"/>
          <w:szCs w:val="24"/>
        </w:rPr>
        <w:t>As I have already explained above, c</w:t>
      </w:r>
      <w:r w:rsidR="00EE7AB9" w:rsidRPr="008822DF">
        <w:rPr>
          <w:rFonts w:ascii="Times New Roman" w:hAnsi="Times New Roman"/>
          <w:szCs w:val="24"/>
        </w:rPr>
        <w:t xml:space="preserve">lause 14.11 of the </w:t>
      </w:r>
      <w:r w:rsidR="00461D23" w:rsidRPr="008822DF">
        <w:rPr>
          <w:rFonts w:ascii="Times New Roman" w:hAnsi="Times New Roman"/>
          <w:szCs w:val="24"/>
        </w:rPr>
        <w:t>amended terms and conditions</w:t>
      </w:r>
      <w:r w:rsidR="00EE7AB9" w:rsidRPr="008822DF">
        <w:rPr>
          <w:rFonts w:ascii="Times New Roman" w:hAnsi="Times New Roman"/>
          <w:szCs w:val="24"/>
        </w:rPr>
        <w:t xml:space="preserve"> provides that</w:t>
      </w:r>
      <w:r w:rsidR="00461D23" w:rsidRPr="008822DF">
        <w:rPr>
          <w:rFonts w:ascii="Times New Roman" w:hAnsi="Times New Roman"/>
          <w:szCs w:val="24"/>
        </w:rPr>
        <w:t xml:space="preserve"> a “certificate signed by any of our managers, whose appointment need not be proved, will on its mere production be sufficient proof of any amount due and/or owing by you in terms of this </w:t>
      </w:r>
      <w:r w:rsidR="00B6128D" w:rsidRPr="008822DF">
        <w:rPr>
          <w:rFonts w:ascii="Times New Roman" w:hAnsi="Times New Roman"/>
          <w:szCs w:val="24"/>
        </w:rPr>
        <w:t>Overdraft Agreement, unless the contrary is proved”.</w:t>
      </w:r>
      <w:r w:rsidR="000A1B7D" w:rsidRPr="008822DF">
        <w:rPr>
          <w:rFonts w:ascii="Times New Roman" w:hAnsi="Times New Roman"/>
          <w:szCs w:val="24"/>
        </w:rPr>
        <w:t xml:space="preserve"> The certificate of balance annexed to the particulars of claim </w:t>
      </w:r>
      <w:r w:rsidR="002659C6" w:rsidRPr="008822DF">
        <w:rPr>
          <w:rFonts w:ascii="Times New Roman" w:hAnsi="Times New Roman"/>
          <w:szCs w:val="24"/>
        </w:rPr>
        <w:t>says that Bamboo Rock owes Standard Bank “the sum of R19 539 742.45 . . . together with interest currently at 08.000%”.</w:t>
      </w:r>
      <w:r w:rsidR="002B5779" w:rsidRPr="008822DF">
        <w:rPr>
          <w:rFonts w:ascii="Times New Roman" w:hAnsi="Times New Roman"/>
          <w:szCs w:val="24"/>
        </w:rPr>
        <w:t xml:space="preserve"> The amended particulars of claim incorporate all of the terms and conditions and, furthermore, </w:t>
      </w:r>
      <w:r w:rsidR="008C7E7A" w:rsidRPr="008822DF">
        <w:rPr>
          <w:rFonts w:ascii="Times New Roman" w:hAnsi="Times New Roman"/>
          <w:szCs w:val="24"/>
        </w:rPr>
        <w:t xml:space="preserve">refer to the certificate of balance. At the exception stage, it seems to me that this is sufficient to justify the claim for 8%. </w:t>
      </w:r>
      <w:r w:rsidR="00D438E7" w:rsidRPr="008822DF">
        <w:rPr>
          <w:rFonts w:ascii="Times New Roman" w:hAnsi="Times New Roman"/>
          <w:szCs w:val="24"/>
        </w:rPr>
        <w:t xml:space="preserve">Given the reference to the possibility of the “contrary” being proven, it would be open to the defendants to dispute the quantum or the interest rate. </w:t>
      </w:r>
      <w:r w:rsidR="000E1A2A" w:rsidRPr="008822DF">
        <w:rPr>
          <w:rFonts w:ascii="Times New Roman" w:hAnsi="Times New Roman"/>
          <w:szCs w:val="24"/>
        </w:rPr>
        <w:t xml:space="preserve">But I do not agree that the </w:t>
      </w:r>
      <w:r w:rsidR="00817643" w:rsidRPr="008822DF">
        <w:rPr>
          <w:rFonts w:ascii="Times New Roman" w:hAnsi="Times New Roman"/>
          <w:szCs w:val="24"/>
        </w:rPr>
        <w:t xml:space="preserve">amended </w:t>
      </w:r>
      <w:r w:rsidR="000E1A2A" w:rsidRPr="008822DF">
        <w:rPr>
          <w:rFonts w:ascii="Times New Roman" w:hAnsi="Times New Roman"/>
          <w:szCs w:val="24"/>
        </w:rPr>
        <w:t>particulars of claim are excipiable, either because they fail to disclose a cause of action or are vague and embarrassing, on this score.</w:t>
      </w:r>
      <w:r w:rsidR="00EE7AB9" w:rsidRPr="008822DF">
        <w:rPr>
          <w:rFonts w:ascii="Times New Roman" w:hAnsi="Times New Roman"/>
          <w:szCs w:val="24"/>
        </w:rPr>
        <w:t xml:space="preserve"> </w:t>
      </w:r>
    </w:p>
    <w:p w14:paraId="683C9C80" w14:textId="0C2DE28C" w:rsidR="00AE2FA9" w:rsidRPr="008822DF" w:rsidRDefault="00AE2FA9" w:rsidP="00AE2FA9">
      <w:pPr>
        <w:pStyle w:val="Heading1"/>
        <w:rPr>
          <w:rFonts w:ascii="Times New Roman" w:hAnsi="Times New Roman"/>
          <w:szCs w:val="24"/>
        </w:rPr>
      </w:pPr>
      <w:r w:rsidRPr="008822DF">
        <w:rPr>
          <w:rFonts w:ascii="Times New Roman" w:hAnsi="Times New Roman"/>
          <w:szCs w:val="24"/>
        </w:rPr>
        <w:lastRenderedPageBreak/>
        <w:t>THE THIRD EXCEPTION</w:t>
      </w:r>
    </w:p>
    <w:p w14:paraId="5758C4F6" w14:textId="4BA3C598" w:rsidR="00AE2FA9"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26</w:t>
      </w:r>
      <w:r w:rsidRPr="008822DF">
        <w:rPr>
          <w:rFonts w:ascii="Times New Roman" w:hAnsi="Times New Roman"/>
          <w:szCs w:val="24"/>
        </w:rPr>
        <w:tab/>
      </w:r>
      <w:r w:rsidR="002D4166" w:rsidRPr="008822DF">
        <w:rPr>
          <w:rFonts w:ascii="Times New Roman" w:hAnsi="Times New Roman"/>
          <w:szCs w:val="24"/>
        </w:rPr>
        <w:t xml:space="preserve">The third exception </w:t>
      </w:r>
      <w:r w:rsidR="007F0F14" w:rsidRPr="008822DF">
        <w:rPr>
          <w:rFonts w:ascii="Times New Roman" w:hAnsi="Times New Roman"/>
          <w:szCs w:val="24"/>
        </w:rPr>
        <w:t>relates to the guarantee defendants</w:t>
      </w:r>
      <w:r w:rsidR="002D4166" w:rsidRPr="008822DF">
        <w:rPr>
          <w:rFonts w:ascii="Times New Roman" w:hAnsi="Times New Roman"/>
          <w:szCs w:val="24"/>
        </w:rPr>
        <w:t>. It is framed as follows:</w:t>
      </w:r>
    </w:p>
    <w:p w14:paraId="68E32ABD" w14:textId="5481670C" w:rsidR="002D4166" w:rsidRPr="008822DF" w:rsidRDefault="002D4166" w:rsidP="002D4166">
      <w:pPr>
        <w:pStyle w:val="BodyTextIndent"/>
        <w:spacing w:line="240" w:lineRule="auto"/>
        <w:ind w:left="1134"/>
        <w:rPr>
          <w:rFonts w:ascii="Times New Roman" w:hAnsi="Times New Roman"/>
          <w:szCs w:val="24"/>
        </w:rPr>
      </w:pPr>
      <w:r w:rsidRPr="008822DF">
        <w:rPr>
          <w:rFonts w:ascii="Times New Roman" w:hAnsi="Times New Roman"/>
          <w:szCs w:val="24"/>
        </w:rPr>
        <w:t>“13. At paragraph 25 of the Particulars of Claim the Plaintiff pleads that the Plaintiff granted and made the Credit Card Facilities available to the First Defendant.</w:t>
      </w:r>
    </w:p>
    <w:p w14:paraId="7F594F5F" w14:textId="5B197BE2" w:rsidR="002D4166" w:rsidRPr="008822DF" w:rsidRDefault="002D4166" w:rsidP="002D4166">
      <w:pPr>
        <w:pStyle w:val="BodyTextIndent"/>
        <w:spacing w:line="240" w:lineRule="auto"/>
        <w:ind w:left="1134"/>
        <w:rPr>
          <w:rFonts w:ascii="Times New Roman" w:hAnsi="Times New Roman"/>
          <w:szCs w:val="24"/>
        </w:rPr>
      </w:pPr>
      <w:r w:rsidRPr="008822DF">
        <w:rPr>
          <w:rFonts w:ascii="Times New Roman" w:hAnsi="Times New Roman"/>
          <w:szCs w:val="24"/>
        </w:rPr>
        <w:t>14. At paragraph 29 of the Particulars of Claim the Plaintiff pleads that interest payable by the First Defendant in respect of the Credit Card Facilities was prime plus 10.5%.</w:t>
      </w:r>
    </w:p>
    <w:p w14:paraId="0200C5BB" w14:textId="2D7FD7B9" w:rsidR="002D4166" w:rsidRPr="008822DF" w:rsidRDefault="002D4166" w:rsidP="002D4166">
      <w:pPr>
        <w:pStyle w:val="BodyTextIndent"/>
        <w:spacing w:line="240" w:lineRule="auto"/>
        <w:ind w:firstLine="567"/>
        <w:rPr>
          <w:rFonts w:ascii="Times New Roman" w:hAnsi="Times New Roman"/>
          <w:szCs w:val="24"/>
        </w:rPr>
      </w:pPr>
      <w:r w:rsidRPr="008822DF">
        <w:rPr>
          <w:rFonts w:ascii="Times New Roman" w:hAnsi="Times New Roman"/>
          <w:szCs w:val="24"/>
        </w:rPr>
        <w:t>15. In respect of the Second to Fifth Respondents:</w:t>
      </w:r>
    </w:p>
    <w:p w14:paraId="0C4E9870" w14:textId="1C7DF0A4" w:rsidR="002D4166" w:rsidRPr="008822DF" w:rsidRDefault="002D4166" w:rsidP="002D4166">
      <w:pPr>
        <w:pStyle w:val="BodyTextIndent"/>
        <w:spacing w:line="240" w:lineRule="auto"/>
        <w:ind w:left="1701"/>
        <w:rPr>
          <w:rFonts w:ascii="Times New Roman" w:hAnsi="Times New Roman"/>
          <w:szCs w:val="24"/>
        </w:rPr>
      </w:pPr>
      <w:r w:rsidRPr="008822DF">
        <w:rPr>
          <w:rFonts w:ascii="Times New Roman" w:hAnsi="Times New Roman"/>
          <w:szCs w:val="24"/>
        </w:rPr>
        <w:t>15.1. at paragraph 34 of the Particulars of Claim the Plaintiff pleads that each of the Second to Fifth Defendants concluded written guarantees in favour of the Plaintiff in respect of which each of them guaranteed and undertook as principal and independent obligations to and in favour of the Plaintiff the due, punctual and full payment of all of the debts of the First Defendant when owed to the Plaintiff in terms of the Overdraft Facility Agreement and the Credit Card Facilities;</w:t>
      </w:r>
    </w:p>
    <w:p w14:paraId="632BBCF6" w14:textId="1C83A8BB" w:rsidR="002D4166" w:rsidRPr="008822DF" w:rsidRDefault="002D4166" w:rsidP="002D4166">
      <w:pPr>
        <w:pStyle w:val="BodyTextIndent"/>
        <w:spacing w:line="240" w:lineRule="auto"/>
        <w:ind w:left="1701"/>
        <w:rPr>
          <w:rFonts w:ascii="Times New Roman" w:hAnsi="Times New Roman"/>
          <w:szCs w:val="24"/>
        </w:rPr>
      </w:pPr>
      <w:r w:rsidRPr="008822DF">
        <w:rPr>
          <w:rFonts w:ascii="Times New Roman" w:hAnsi="Times New Roman"/>
          <w:szCs w:val="24"/>
        </w:rPr>
        <w:t>15.2. at paragraph 37.1 of the Particulars of Claim the Plaintiff pleads that the amount which the Plaintiff would be entitled to recover under each of the aforesaid guarantees would be limited to the Relevant Guaranteed Limit together with such further amounts in respect of interest and costs as have already accrued or which will accrue until the date of payment;</w:t>
      </w:r>
    </w:p>
    <w:p w14:paraId="00DA0197" w14:textId="5E72C370" w:rsidR="002D4166" w:rsidRPr="008822DF" w:rsidRDefault="002D4166" w:rsidP="002D4166">
      <w:pPr>
        <w:pStyle w:val="BodyTextIndent"/>
        <w:spacing w:line="240" w:lineRule="auto"/>
        <w:ind w:left="1701"/>
        <w:rPr>
          <w:rFonts w:ascii="Times New Roman" w:hAnsi="Times New Roman"/>
          <w:szCs w:val="24"/>
        </w:rPr>
      </w:pPr>
      <w:r w:rsidRPr="008822DF">
        <w:rPr>
          <w:rFonts w:ascii="Times New Roman" w:hAnsi="Times New Roman"/>
          <w:szCs w:val="24"/>
        </w:rPr>
        <w:t>15.3. at prayers 2.1, 3.1 and 4.1 respectively of the Particulars of Claim, the Plaintiff prays for judgment against each of the Second to Fifth Respondents of the value of the Relevant Guaranteed Limit in terms of the aforesaid guarantees;</w:t>
      </w:r>
    </w:p>
    <w:p w14:paraId="467BAB90" w14:textId="77777777" w:rsidR="002D4166" w:rsidRPr="008822DF" w:rsidRDefault="002D4166" w:rsidP="002D4166">
      <w:pPr>
        <w:pStyle w:val="BodyTextIndent"/>
        <w:spacing w:line="240" w:lineRule="auto"/>
        <w:ind w:left="1134" w:firstLine="567"/>
        <w:rPr>
          <w:rFonts w:ascii="Times New Roman" w:hAnsi="Times New Roman"/>
          <w:szCs w:val="24"/>
        </w:rPr>
      </w:pPr>
      <w:r w:rsidRPr="008822DF">
        <w:rPr>
          <w:rFonts w:ascii="Times New Roman" w:hAnsi="Times New Roman"/>
          <w:szCs w:val="24"/>
        </w:rPr>
        <w:t>and</w:t>
      </w:r>
    </w:p>
    <w:p w14:paraId="42B95BED" w14:textId="10120741" w:rsidR="002D4166" w:rsidRPr="008822DF" w:rsidRDefault="002D4166" w:rsidP="002D4166">
      <w:pPr>
        <w:pStyle w:val="BodyTextIndent"/>
        <w:spacing w:line="240" w:lineRule="auto"/>
        <w:ind w:left="1701"/>
        <w:rPr>
          <w:rFonts w:ascii="Times New Roman" w:hAnsi="Times New Roman"/>
          <w:szCs w:val="24"/>
        </w:rPr>
      </w:pPr>
      <w:r w:rsidRPr="008822DF">
        <w:rPr>
          <w:rFonts w:ascii="Times New Roman" w:hAnsi="Times New Roman"/>
          <w:szCs w:val="24"/>
        </w:rPr>
        <w:t xml:space="preserve">15.4. at prayers 2.2, 3.2 and 4.2 respectively of the Particulars of Claim the Plaintiff prays for judgment against each of the Second to Fifth Respondents of interest on the amount of the value of the Relevant Guaranteed Limit at a rate of 7% per annum a </w:t>
      </w:r>
      <w:r w:rsidRPr="008822DF">
        <w:rPr>
          <w:rFonts w:ascii="Times New Roman" w:hAnsi="Times New Roman"/>
          <w:i/>
          <w:iCs/>
          <w:szCs w:val="24"/>
        </w:rPr>
        <w:t xml:space="preserve">tempore </w:t>
      </w:r>
      <w:r w:rsidRPr="008822DF">
        <w:rPr>
          <w:rFonts w:ascii="Times New Roman" w:hAnsi="Times New Roman"/>
          <w:szCs w:val="24"/>
        </w:rPr>
        <w:t>morae, the stated interest rate being subject to any changes in the prescribed rate.</w:t>
      </w:r>
    </w:p>
    <w:p w14:paraId="1CFB6A0F" w14:textId="3223F152" w:rsidR="002D4166" w:rsidRPr="008822DF" w:rsidRDefault="002D4166" w:rsidP="002D4166">
      <w:pPr>
        <w:pStyle w:val="BodyTextIndent"/>
        <w:spacing w:line="240" w:lineRule="auto"/>
        <w:ind w:left="1134"/>
        <w:rPr>
          <w:rFonts w:ascii="Times New Roman" w:hAnsi="Times New Roman"/>
          <w:szCs w:val="24"/>
        </w:rPr>
      </w:pPr>
      <w:r w:rsidRPr="008822DF">
        <w:rPr>
          <w:rFonts w:ascii="Times New Roman" w:hAnsi="Times New Roman"/>
          <w:szCs w:val="24"/>
        </w:rPr>
        <w:t>16. The Plaintiff has failed to plead the basis on which it is claiming payment of interest at a rate of 7% per annum from each of the Second to Fifth Defendants, as opposed to the prime rate plus 1% in respect of the Overdraft Facility Agreement or the prime rate plus 10.5% in respect of the Credit Card Facilities.</w:t>
      </w:r>
    </w:p>
    <w:p w14:paraId="4B2145E4" w14:textId="6683FD51" w:rsidR="002D4166" w:rsidRPr="008822DF" w:rsidRDefault="002D4166" w:rsidP="002D4166">
      <w:pPr>
        <w:pStyle w:val="BodyTextIndent"/>
        <w:spacing w:line="240" w:lineRule="auto"/>
        <w:ind w:left="1134"/>
        <w:rPr>
          <w:rFonts w:ascii="Times New Roman" w:hAnsi="Times New Roman"/>
          <w:szCs w:val="24"/>
        </w:rPr>
      </w:pPr>
      <w:r w:rsidRPr="008822DF">
        <w:rPr>
          <w:rFonts w:ascii="Times New Roman" w:hAnsi="Times New Roman"/>
          <w:szCs w:val="24"/>
        </w:rPr>
        <w:lastRenderedPageBreak/>
        <w:t>17</w:t>
      </w:r>
      <w:r w:rsidRPr="008822DF">
        <w:rPr>
          <w:rFonts w:ascii="Times New Roman" w:hAnsi="Times New Roman"/>
          <w:color w:val="B2B2B2"/>
          <w:szCs w:val="24"/>
        </w:rPr>
        <w:t xml:space="preserve">. </w:t>
      </w:r>
      <w:r w:rsidRPr="008822DF">
        <w:rPr>
          <w:rFonts w:ascii="Times New Roman" w:hAnsi="Times New Roman"/>
          <w:color w:val="373737"/>
          <w:szCs w:val="24"/>
        </w:rPr>
        <w:t>T</w:t>
      </w:r>
      <w:r w:rsidRPr="008822DF">
        <w:rPr>
          <w:rFonts w:ascii="Times New Roman" w:hAnsi="Times New Roman"/>
          <w:szCs w:val="24"/>
        </w:rPr>
        <w:t xml:space="preserve">he </w:t>
      </w:r>
      <w:r w:rsidRPr="008822DF">
        <w:rPr>
          <w:rFonts w:ascii="Times New Roman" w:hAnsi="Times New Roman"/>
          <w:color w:val="262626"/>
          <w:szCs w:val="24"/>
        </w:rPr>
        <w:t xml:space="preserve">aforesaid </w:t>
      </w:r>
      <w:r w:rsidRPr="008822DF">
        <w:rPr>
          <w:rFonts w:ascii="Times New Roman" w:hAnsi="Times New Roman"/>
          <w:color w:val="373737"/>
          <w:szCs w:val="24"/>
        </w:rPr>
        <w:t>re</w:t>
      </w:r>
      <w:r w:rsidRPr="008822DF">
        <w:rPr>
          <w:rFonts w:ascii="Times New Roman" w:hAnsi="Times New Roman"/>
          <w:szCs w:val="24"/>
        </w:rPr>
        <w:t xml:space="preserve">nders the </w:t>
      </w:r>
      <w:r w:rsidRPr="008822DF">
        <w:rPr>
          <w:rFonts w:ascii="Times New Roman" w:hAnsi="Times New Roman"/>
          <w:color w:val="262626"/>
          <w:szCs w:val="24"/>
        </w:rPr>
        <w:t xml:space="preserve">Plaintiff's </w:t>
      </w:r>
      <w:r w:rsidRPr="008822DF">
        <w:rPr>
          <w:rFonts w:ascii="Times New Roman" w:hAnsi="Times New Roman"/>
          <w:szCs w:val="24"/>
        </w:rPr>
        <w:t xml:space="preserve">Particulars of </w:t>
      </w:r>
      <w:r w:rsidRPr="008822DF">
        <w:rPr>
          <w:rFonts w:ascii="Times New Roman" w:hAnsi="Times New Roman"/>
          <w:color w:val="262626"/>
          <w:szCs w:val="24"/>
        </w:rPr>
        <w:t xml:space="preserve">Claim </w:t>
      </w:r>
      <w:r w:rsidRPr="008822DF">
        <w:rPr>
          <w:rFonts w:ascii="Times New Roman" w:hAnsi="Times New Roman"/>
          <w:color w:val="373737"/>
          <w:szCs w:val="24"/>
        </w:rPr>
        <w:t>exci</w:t>
      </w:r>
      <w:r w:rsidRPr="008822DF">
        <w:rPr>
          <w:rFonts w:ascii="Times New Roman" w:hAnsi="Times New Roman"/>
          <w:szCs w:val="24"/>
        </w:rPr>
        <w:t xml:space="preserve">piable on the basis that </w:t>
      </w:r>
      <w:r w:rsidRPr="008822DF">
        <w:rPr>
          <w:rFonts w:ascii="Times New Roman" w:hAnsi="Times New Roman"/>
          <w:color w:val="262626"/>
          <w:szCs w:val="24"/>
        </w:rPr>
        <w:t xml:space="preserve">they </w:t>
      </w:r>
      <w:r w:rsidRPr="008822DF">
        <w:rPr>
          <w:rFonts w:ascii="Times New Roman" w:hAnsi="Times New Roman"/>
          <w:szCs w:val="24"/>
        </w:rPr>
        <w:t xml:space="preserve">are vague and embarrassing and/or lack </w:t>
      </w:r>
      <w:r w:rsidRPr="008822DF">
        <w:rPr>
          <w:rFonts w:ascii="Times New Roman" w:hAnsi="Times New Roman"/>
          <w:color w:val="262626"/>
          <w:szCs w:val="24"/>
        </w:rPr>
        <w:t xml:space="preserve">averments </w:t>
      </w:r>
      <w:r w:rsidRPr="008822DF">
        <w:rPr>
          <w:rFonts w:ascii="Times New Roman" w:hAnsi="Times New Roman"/>
          <w:szCs w:val="24"/>
        </w:rPr>
        <w:t>ne</w:t>
      </w:r>
      <w:r w:rsidRPr="008822DF">
        <w:rPr>
          <w:rFonts w:ascii="Times New Roman" w:hAnsi="Times New Roman"/>
          <w:color w:val="373737"/>
          <w:szCs w:val="24"/>
        </w:rPr>
        <w:t>cessa</w:t>
      </w:r>
      <w:r w:rsidRPr="008822DF">
        <w:rPr>
          <w:rFonts w:ascii="Times New Roman" w:hAnsi="Times New Roman"/>
          <w:szCs w:val="24"/>
        </w:rPr>
        <w:t xml:space="preserve">ry to </w:t>
      </w:r>
      <w:r w:rsidRPr="008822DF">
        <w:rPr>
          <w:rFonts w:ascii="Times New Roman" w:hAnsi="Times New Roman"/>
          <w:color w:val="262626"/>
          <w:szCs w:val="24"/>
        </w:rPr>
        <w:t xml:space="preserve">sustain </w:t>
      </w:r>
      <w:r w:rsidRPr="008822DF">
        <w:rPr>
          <w:rFonts w:ascii="Times New Roman" w:hAnsi="Times New Roman"/>
          <w:szCs w:val="24"/>
        </w:rPr>
        <w:t xml:space="preserve">a </w:t>
      </w:r>
      <w:r w:rsidRPr="008822DF">
        <w:rPr>
          <w:rFonts w:ascii="Times New Roman" w:hAnsi="Times New Roman"/>
          <w:color w:val="262626"/>
          <w:szCs w:val="24"/>
        </w:rPr>
        <w:t xml:space="preserve">cause </w:t>
      </w:r>
      <w:r w:rsidRPr="008822DF">
        <w:rPr>
          <w:rFonts w:ascii="Times New Roman" w:hAnsi="Times New Roman"/>
          <w:szCs w:val="24"/>
        </w:rPr>
        <w:t>of action.”</w:t>
      </w:r>
    </w:p>
    <w:p w14:paraId="0702FD27" w14:textId="3FF596B7" w:rsidR="00E93D38"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27</w:t>
      </w:r>
      <w:r w:rsidRPr="008822DF">
        <w:rPr>
          <w:rFonts w:ascii="Times New Roman" w:hAnsi="Times New Roman"/>
          <w:szCs w:val="24"/>
        </w:rPr>
        <w:tab/>
      </w:r>
      <w:r w:rsidR="002F6EAA" w:rsidRPr="008822DF">
        <w:rPr>
          <w:rFonts w:ascii="Times New Roman" w:hAnsi="Times New Roman"/>
          <w:szCs w:val="24"/>
        </w:rPr>
        <w:t xml:space="preserve">For similar reasons as given above in relation to the second exception, there is no merit, in my view, in the third </w:t>
      </w:r>
      <w:r w:rsidR="00D971DC" w:rsidRPr="008822DF">
        <w:rPr>
          <w:rFonts w:ascii="Times New Roman" w:hAnsi="Times New Roman"/>
          <w:szCs w:val="24"/>
        </w:rPr>
        <w:t xml:space="preserve">exception. </w:t>
      </w:r>
      <w:r w:rsidR="00E93D38" w:rsidRPr="008822DF">
        <w:rPr>
          <w:rFonts w:ascii="Times New Roman" w:hAnsi="Times New Roman"/>
          <w:szCs w:val="24"/>
        </w:rPr>
        <w:t>Clause 9 of the guarantees</w:t>
      </w:r>
      <w:r w:rsidR="003D267E" w:rsidRPr="008822DF">
        <w:rPr>
          <w:rFonts w:ascii="Times New Roman" w:hAnsi="Times New Roman"/>
          <w:szCs w:val="24"/>
        </w:rPr>
        <w:t xml:space="preserve"> (which are annexed to the amended particulars of claim)</w:t>
      </w:r>
      <w:r w:rsidR="006E520B" w:rsidRPr="008822DF">
        <w:rPr>
          <w:rFonts w:ascii="Times New Roman" w:hAnsi="Times New Roman"/>
          <w:szCs w:val="24"/>
        </w:rPr>
        <w:t xml:space="preserve"> is </w:t>
      </w:r>
      <w:r w:rsidR="008123B8" w:rsidRPr="008822DF">
        <w:rPr>
          <w:rFonts w:ascii="Times New Roman" w:hAnsi="Times New Roman"/>
          <w:szCs w:val="24"/>
        </w:rPr>
        <w:t>similar to</w:t>
      </w:r>
      <w:r w:rsidR="006E520B" w:rsidRPr="008822DF">
        <w:rPr>
          <w:rFonts w:ascii="Times New Roman" w:hAnsi="Times New Roman"/>
          <w:szCs w:val="24"/>
        </w:rPr>
        <w:t xml:space="preserve"> clause 14.11 of the terms and conditions (binding on Bamboo Rock). It </w:t>
      </w:r>
      <w:r w:rsidR="008123B8" w:rsidRPr="008822DF">
        <w:rPr>
          <w:rFonts w:ascii="Times New Roman" w:hAnsi="Times New Roman"/>
          <w:szCs w:val="24"/>
        </w:rPr>
        <w:t>provides:</w:t>
      </w:r>
    </w:p>
    <w:p w14:paraId="0A64CEF4" w14:textId="55C8BCDB" w:rsidR="008123B8" w:rsidRPr="008822DF" w:rsidRDefault="008123B8" w:rsidP="001669F9">
      <w:pPr>
        <w:pStyle w:val="BodyTextIndent"/>
        <w:spacing w:line="240" w:lineRule="auto"/>
        <w:ind w:left="1134"/>
        <w:rPr>
          <w:rFonts w:ascii="Times New Roman" w:hAnsi="Times New Roman"/>
          <w:szCs w:val="24"/>
        </w:rPr>
      </w:pPr>
      <w:r w:rsidRPr="008822DF">
        <w:rPr>
          <w:rFonts w:ascii="Times New Roman" w:hAnsi="Times New Roman"/>
          <w:szCs w:val="24"/>
        </w:rPr>
        <w:t xml:space="preserve">“A certificate under the hand of any manager or authorised signatory of the Bank shall be sufficient proof of the contents and correctness thereof and the amount of the Guarantor’s </w:t>
      </w:r>
      <w:r w:rsidR="00160309" w:rsidRPr="008822DF">
        <w:rPr>
          <w:rFonts w:ascii="Times New Roman" w:hAnsi="Times New Roman"/>
          <w:szCs w:val="24"/>
        </w:rPr>
        <w:t>indebtedness hereunder for the purposes of provisional sentence or summary judgment or any other proceedings against such Guarantor in any competent court, and shall be valid as a liquid document for those purposes.”</w:t>
      </w:r>
    </w:p>
    <w:p w14:paraId="0A6E4260" w14:textId="2D4EB800" w:rsidR="0027429B"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28</w:t>
      </w:r>
      <w:r w:rsidRPr="008822DF">
        <w:rPr>
          <w:rFonts w:ascii="Times New Roman" w:hAnsi="Times New Roman"/>
          <w:szCs w:val="24"/>
        </w:rPr>
        <w:tab/>
      </w:r>
      <w:r w:rsidR="00D971DC" w:rsidRPr="008822DF">
        <w:rPr>
          <w:rFonts w:ascii="Times New Roman" w:hAnsi="Times New Roman"/>
          <w:szCs w:val="24"/>
        </w:rPr>
        <w:t xml:space="preserve">There are four certificates of balance annexed to the amended particulars of claim. Each certificate names one of the </w:t>
      </w:r>
      <w:r w:rsidR="00394CDA" w:rsidRPr="008822DF">
        <w:rPr>
          <w:rFonts w:ascii="Times New Roman" w:hAnsi="Times New Roman"/>
          <w:szCs w:val="24"/>
        </w:rPr>
        <w:t>guarantee defendants and records its (or, in the case of the fifth defendant, his) indebtedness. The princip</w:t>
      </w:r>
      <w:r w:rsidR="00A43420" w:rsidRPr="008822DF">
        <w:rPr>
          <w:rFonts w:ascii="Times New Roman" w:hAnsi="Times New Roman"/>
          <w:szCs w:val="24"/>
        </w:rPr>
        <w:t>al</w:t>
      </w:r>
      <w:r w:rsidR="00394CDA" w:rsidRPr="008822DF">
        <w:rPr>
          <w:rFonts w:ascii="Times New Roman" w:hAnsi="Times New Roman"/>
          <w:szCs w:val="24"/>
        </w:rPr>
        <w:t xml:space="preserve"> debt differs as between some</w:t>
      </w:r>
      <w:r w:rsidR="00A43420" w:rsidRPr="008822DF">
        <w:rPr>
          <w:rFonts w:ascii="Times New Roman" w:hAnsi="Times New Roman"/>
          <w:szCs w:val="24"/>
        </w:rPr>
        <w:t xml:space="preserve"> </w:t>
      </w:r>
      <w:r w:rsidR="00394CDA" w:rsidRPr="008822DF">
        <w:rPr>
          <w:rFonts w:ascii="Times New Roman" w:hAnsi="Times New Roman"/>
          <w:szCs w:val="24"/>
        </w:rPr>
        <w:t>of the guarantee defendants because the second</w:t>
      </w:r>
      <w:r w:rsidR="007B245E" w:rsidRPr="008822DF">
        <w:rPr>
          <w:rFonts w:ascii="Times New Roman" w:hAnsi="Times New Roman"/>
          <w:szCs w:val="24"/>
        </w:rPr>
        <w:t xml:space="preserve">, fourth and fifth defendants guaranteed payment up to a limit of R13 million, and the third defendant guaranteed payment up to R20 million. But in the case of all </w:t>
      </w:r>
      <w:r w:rsidR="00996C5D" w:rsidRPr="008822DF">
        <w:rPr>
          <w:rFonts w:ascii="Times New Roman" w:hAnsi="Times New Roman"/>
          <w:szCs w:val="24"/>
        </w:rPr>
        <w:t xml:space="preserve">four of the guarantee defendants, the certificate of balance records that interest </w:t>
      </w:r>
      <w:r w:rsidR="002F3BFF" w:rsidRPr="008822DF">
        <w:rPr>
          <w:rFonts w:ascii="Times New Roman" w:hAnsi="Times New Roman"/>
          <w:szCs w:val="24"/>
        </w:rPr>
        <w:t xml:space="preserve">of 7% is payable. </w:t>
      </w:r>
    </w:p>
    <w:p w14:paraId="5D9F6058" w14:textId="7F3EF520" w:rsidR="00AF7B09"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29</w:t>
      </w:r>
      <w:r w:rsidRPr="008822DF">
        <w:rPr>
          <w:rFonts w:ascii="Times New Roman" w:hAnsi="Times New Roman"/>
          <w:szCs w:val="24"/>
        </w:rPr>
        <w:tab/>
      </w:r>
      <w:r w:rsidR="005674E7" w:rsidRPr="008822DF">
        <w:rPr>
          <w:rFonts w:ascii="Times New Roman" w:hAnsi="Times New Roman"/>
          <w:szCs w:val="24"/>
        </w:rPr>
        <w:t>For this reason, there is clearly a cause of action disclosed</w:t>
      </w:r>
      <w:r w:rsidR="004A0373" w:rsidRPr="008822DF">
        <w:rPr>
          <w:rFonts w:ascii="Times New Roman" w:hAnsi="Times New Roman"/>
          <w:szCs w:val="24"/>
        </w:rPr>
        <w:t xml:space="preserve"> in the amended</w:t>
      </w:r>
      <w:r w:rsidR="00EE6768" w:rsidRPr="008822DF">
        <w:rPr>
          <w:rFonts w:ascii="Times New Roman" w:hAnsi="Times New Roman"/>
          <w:szCs w:val="24"/>
        </w:rPr>
        <w:t xml:space="preserve"> </w:t>
      </w:r>
      <w:r w:rsidR="004A0373" w:rsidRPr="008822DF">
        <w:rPr>
          <w:rFonts w:ascii="Times New Roman" w:hAnsi="Times New Roman"/>
          <w:szCs w:val="24"/>
        </w:rPr>
        <w:t>particulars of claim</w:t>
      </w:r>
      <w:r w:rsidR="00EE6768" w:rsidRPr="008822DF">
        <w:rPr>
          <w:rFonts w:ascii="Times New Roman" w:hAnsi="Times New Roman"/>
          <w:szCs w:val="24"/>
        </w:rPr>
        <w:t>. It takes the form of</w:t>
      </w:r>
      <w:r w:rsidR="00AF7B09" w:rsidRPr="008822DF">
        <w:rPr>
          <w:rFonts w:ascii="Times New Roman" w:hAnsi="Times New Roman"/>
          <w:szCs w:val="24"/>
        </w:rPr>
        <w:t>:</w:t>
      </w:r>
    </w:p>
    <w:p w14:paraId="4F769ADB" w14:textId="68DCF20E" w:rsidR="00AF7B09" w:rsidRPr="008822DF" w:rsidRDefault="008327FE" w:rsidP="008327FE">
      <w:pPr>
        <w:pStyle w:val="WLGLevel2"/>
        <w:numPr>
          <w:ilvl w:val="0"/>
          <w:numId w:val="0"/>
        </w:numPr>
        <w:tabs>
          <w:tab w:val="left" w:pos="1361"/>
        </w:tabs>
        <w:ind w:left="1361" w:hanging="794"/>
        <w:rPr>
          <w:rFonts w:ascii="Times New Roman" w:hAnsi="Times New Roman"/>
          <w:szCs w:val="24"/>
        </w:rPr>
      </w:pPr>
      <w:r w:rsidRPr="008822DF">
        <w:rPr>
          <w:rFonts w:ascii="Times New Roman" w:hAnsi="Times New Roman"/>
          <w:szCs w:val="24"/>
        </w:rPr>
        <w:t>29.1</w:t>
      </w:r>
      <w:r w:rsidRPr="008822DF">
        <w:rPr>
          <w:rFonts w:ascii="Times New Roman" w:hAnsi="Times New Roman"/>
          <w:szCs w:val="24"/>
        </w:rPr>
        <w:tab/>
      </w:r>
      <w:r w:rsidR="00AF7B09" w:rsidRPr="008822DF">
        <w:rPr>
          <w:rFonts w:ascii="Times New Roman" w:hAnsi="Times New Roman"/>
          <w:szCs w:val="24"/>
        </w:rPr>
        <w:t>First,</w:t>
      </w:r>
      <w:r w:rsidR="00EE6768" w:rsidRPr="008822DF">
        <w:rPr>
          <w:rFonts w:ascii="Times New Roman" w:hAnsi="Times New Roman"/>
          <w:szCs w:val="24"/>
        </w:rPr>
        <w:t xml:space="preserve"> an allegation that </w:t>
      </w:r>
      <w:r w:rsidR="00AF7B09" w:rsidRPr="008822DF">
        <w:rPr>
          <w:rFonts w:ascii="Times New Roman" w:hAnsi="Times New Roman"/>
          <w:szCs w:val="24"/>
        </w:rPr>
        <w:t xml:space="preserve">each of the </w:t>
      </w:r>
      <w:r w:rsidR="00EE6768" w:rsidRPr="008822DF">
        <w:rPr>
          <w:rFonts w:ascii="Times New Roman" w:hAnsi="Times New Roman"/>
          <w:szCs w:val="24"/>
        </w:rPr>
        <w:t>guar</w:t>
      </w:r>
      <w:r w:rsidR="00AF7B09" w:rsidRPr="008822DF">
        <w:rPr>
          <w:rFonts w:ascii="Times New Roman" w:hAnsi="Times New Roman"/>
          <w:szCs w:val="24"/>
        </w:rPr>
        <w:t>antee defendants concluded written guarantees in favour of the bank.</w:t>
      </w:r>
    </w:p>
    <w:p w14:paraId="21E19ACE" w14:textId="112C3AEB" w:rsidR="00317463" w:rsidRPr="008822DF" w:rsidRDefault="008327FE" w:rsidP="008327FE">
      <w:pPr>
        <w:pStyle w:val="WLGLevel2"/>
        <w:numPr>
          <w:ilvl w:val="0"/>
          <w:numId w:val="0"/>
        </w:numPr>
        <w:tabs>
          <w:tab w:val="left" w:pos="1361"/>
        </w:tabs>
        <w:ind w:left="1361" w:hanging="794"/>
        <w:rPr>
          <w:rFonts w:ascii="Times New Roman" w:hAnsi="Times New Roman"/>
          <w:szCs w:val="24"/>
        </w:rPr>
      </w:pPr>
      <w:r w:rsidRPr="008822DF">
        <w:rPr>
          <w:rFonts w:ascii="Times New Roman" w:hAnsi="Times New Roman"/>
          <w:szCs w:val="24"/>
        </w:rPr>
        <w:t>29.2</w:t>
      </w:r>
      <w:r w:rsidRPr="008822DF">
        <w:rPr>
          <w:rFonts w:ascii="Times New Roman" w:hAnsi="Times New Roman"/>
          <w:szCs w:val="24"/>
        </w:rPr>
        <w:tab/>
      </w:r>
      <w:r w:rsidR="000C0202" w:rsidRPr="008822DF">
        <w:rPr>
          <w:rFonts w:ascii="Times New Roman" w:hAnsi="Times New Roman"/>
          <w:szCs w:val="24"/>
        </w:rPr>
        <w:t xml:space="preserve">Secondly, an allegation that each of </w:t>
      </w:r>
      <w:r w:rsidR="0077227B" w:rsidRPr="008822DF">
        <w:rPr>
          <w:rFonts w:ascii="Times New Roman" w:hAnsi="Times New Roman"/>
          <w:szCs w:val="24"/>
        </w:rPr>
        <w:t>guarantee defendants agreed to clause 9 which I have reproduced ab</w:t>
      </w:r>
      <w:r w:rsidR="00317463" w:rsidRPr="008822DF">
        <w:rPr>
          <w:rFonts w:ascii="Times New Roman" w:hAnsi="Times New Roman"/>
          <w:szCs w:val="24"/>
        </w:rPr>
        <w:t>ove.</w:t>
      </w:r>
    </w:p>
    <w:p w14:paraId="27EA47F6" w14:textId="4ECC5D83" w:rsidR="007F0F14"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lastRenderedPageBreak/>
        <w:t>30</w:t>
      </w:r>
      <w:r w:rsidRPr="008822DF">
        <w:rPr>
          <w:rFonts w:ascii="Times New Roman" w:hAnsi="Times New Roman"/>
          <w:szCs w:val="24"/>
        </w:rPr>
        <w:tab/>
      </w:r>
      <w:r w:rsidR="00317463" w:rsidRPr="008822DF">
        <w:rPr>
          <w:rFonts w:ascii="Times New Roman" w:hAnsi="Times New Roman"/>
          <w:szCs w:val="24"/>
        </w:rPr>
        <w:t>The amended particulars of claim are also not vague and embarrassing. On the simple basis of relying on the certificates of balance, they clearly explain the basis for the interest claim.</w:t>
      </w:r>
      <w:r w:rsidR="00A81778" w:rsidRPr="008822DF">
        <w:rPr>
          <w:rFonts w:ascii="Times New Roman" w:hAnsi="Times New Roman"/>
          <w:szCs w:val="24"/>
        </w:rPr>
        <w:t xml:space="preserve"> It follows that this exception must be dismissed.</w:t>
      </w:r>
      <w:r w:rsidR="0077227B" w:rsidRPr="008822DF">
        <w:rPr>
          <w:rFonts w:ascii="Times New Roman" w:hAnsi="Times New Roman"/>
          <w:szCs w:val="24"/>
        </w:rPr>
        <w:t xml:space="preserve"> </w:t>
      </w:r>
      <w:r w:rsidR="005674E7" w:rsidRPr="008822DF">
        <w:rPr>
          <w:rFonts w:ascii="Times New Roman" w:hAnsi="Times New Roman"/>
          <w:szCs w:val="24"/>
        </w:rPr>
        <w:t xml:space="preserve"> </w:t>
      </w:r>
      <w:r w:rsidR="00D971DC" w:rsidRPr="008822DF">
        <w:rPr>
          <w:rFonts w:ascii="Times New Roman" w:hAnsi="Times New Roman"/>
          <w:szCs w:val="24"/>
        </w:rPr>
        <w:t xml:space="preserve"> </w:t>
      </w:r>
    </w:p>
    <w:p w14:paraId="79E43C27" w14:textId="5DD24932" w:rsidR="00AE2FA9" w:rsidRPr="008822DF" w:rsidRDefault="00AE2FA9" w:rsidP="00AE2FA9">
      <w:pPr>
        <w:pStyle w:val="Heading1"/>
        <w:rPr>
          <w:rFonts w:ascii="Times New Roman" w:hAnsi="Times New Roman"/>
          <w:szCs w:val="24"/>
        </w:rPr>
      </w:pPr>
      <w:r w:rsidRPr="008822DF">
        <w:rPr>
          <w:rFonts w:ascii="Times New Roman" w:hAnsi="Times New Roman"/>
          <w:szCs w:val="24"/>
        </w:rPr>
        <w:t>THE FOURTH EXCEPTION</w:t>
      </w:r>
    </w:p>
    <w:p w14:paraId="674EF0EF" w14:textId="602D8ECE" w:rsidR="00AE2FA9"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31</w:t>
      </w:r>
      <w:r w:rsidRPr="008822DF">
        <w:rPr>
          <w:rFonts w:ascii="Times New Roman" w:hAnsi="Times New Roman"/>
          <w:szCs w:val="24"/>
        </w:rPr>
        <w:tab/>
      </w:r>
      <w:r w:rsidR="007F0F14" w:rsidRPr="008822DF">
        <w:rPr>
          <w:rFonts w:ascii="Times New Roman" w:hAnsi="Times New Roman"/>
          <w:szCs w:val="24"/>
        </w:rPr>
        <w:t>The fourth exception also relates to the position of the guarantee defendants. It reads as follows:</w:t>
      </w:r>
    </w:p>
    <w:p w14:paraId="123C34FE" w14:textId="1249F398" w:rsidR="007F0F14" w:rsidRPr="008822DF" w:rsidRDefault="00801E45" w:rsidP="007F0F14">
      <w:pPr>
        <w:pStyle w:val="BodyTextIndent"/>
        <w:spacing w:line="240" w:lineRule="auto"/>
        <w:ind w:left="1134"/>
        <w:rPr>
          <w:rFonts w:ascii="Times New Roman" w:hAnsi="Times New Roman"/>
          <w:b/>
          <w:bCs/>
          <w:szCs w:val="24"/>
        </w:rPr>
      </w:pPr>
      <w:r w:rsidRPr="008822DF">
        <w:rPr>
          <w:rFonts w:ascii="Times New Roman" w:hAnsi="Times New Roman"/>
          <w:szCs w:val="24"/>
        </w:rPr>
        <w:t>“</w:t>
      </w:r>
      <w:r w:rsidR="007F0F14" w:rsidRPr="008822DF">
        <w:rPr>
          <w:rFonts w:ascii="Times New Roman" w:hAnsi="Times New Roman"/>
          <w:szCs w:val="24"/>
        </w:rPr>
        <w:t xml:space="preserve">18. The Plaintiff claims payment from each of the Second to Fifth Defendants on the basis of the guarantees attached to the Particulars of Claim marked </w:t>
      </w:r>
      <w:r w:rsidR="007F0F14" w:rsidRPr="008822DF">
        <w:rPr>
          <w:rFonts w:ascii="Times New Roman" w:hAnsi="Times New Roman"/>
          <w:b/>
          <w:bCs/>
          <w:szCs w:val="24"/>
        </w:rPr>
        <w:t xml:space="preserve">"G1" </w:t>
      </w:r>
      <w:r w:rsidR="007F0F14" w:rsidRPr="008822DF">
        <w:rPr>
          <w:rFonts w:ascii="Times New Roman" w:hAnsi="Times New Roman"/>
          <w:szCs w:val="24"/>
        </w:rPr>
        <w:t xml:space="preserve">to </w:t>
      </w:r>
      <w:r w:rsidR="007F0F14" w:rsidRPr="008822DF">
        <w:rPr>
          <w:rFonts w:ascii="Times New Roman" w:hAnsi="Times New Roman"/>
          <w:b/>
          <w:bCs/>
          <w:szCs w:val="24"/>
        </w:rPr>
        <w:t>"G3".</w:t>
      </w:r>
    </w:p>
    <w:p w14:paraId="2AC9BD2E" w14:textId="5C6A1B12" w:rsidR="007F0F14" w:rsidRPr="008822DF" w:rsidRDefault="007F0F14" w:rsidP="007F0F14">
      <w:pPr>
        <w:pStyle w:val="BodyTextIndent"/>
        <w:spacing w:line="240" w:lineRule="auto"/>
        <w:ind w:firstLine="567"/>
        <w:rPr>
          <w:rFonts w:ascii="Times New Roman" w:hAnsi="Times New Roman"/>
          <w:szCs w:val="24"/>
        </w:rPr>
      </w:pPr>
      <w:r w:rsidRPr="008822DF">
        <w:rPr>
          <w:rFonts w:ascii="Times New Roman" w:hAnsi="Times New Roman"/>
          <w:szCs w:val="24"/>
        </w:rPr>
        <w:t>19. Clause 8.3 of each of the guarantees provides as follows:</w:t>
      </w:r>
    </w:p>
    <w:p w14:paraId="186B5D70" w14:textId="1D46F533" w:rsidR="007F0F14" w:rsidRPr="008822DF" w:rsidRDefault="00044FC3" w:rsidP="007F0F14">
      <w:pPr>
        <w:pStyle w:val="BodyTextIndent"/>
        <w:spacing w:line="240" w:lineRule="auto"/>
        <w:ind w:left="1134" w:firstLine="567"/>
        <w:rPr>
          <w:rFonts w:ascii="Times New Roman" w:hAnsi="Times New Roman"/>
          <w:szCs w:val="24"/>
        </w:rPr>
      </w:pPr>
      <w:r>
        <w:rPr>
          <w:rFonts w:ascii="Times New Roman" w:hAnsi="Times New Roman"/>
          <w:szCs w:val="24"/>
        </w:rPr>
        <w:t>‘</w:t>
      </w:r>
      <w:r w:rsidR="007F0F14" w:rsidRPr="008822DF">
        <w:rPr>
          <w:rFonts w:ascii="Times New Roman" w:hAnsi="Times New Roman"/>
          <w:szCs w:val="24"/>
        </w:rPr>
        <w:t>8. 3 If the Guarantor:</w:t>
      </w:r>
    </w:p>
    <w:p w14:paraId="71251DFA" w14:textId="28E56E9D" w:rsidR="007F0F14" w:rsidRPr="008822DF" w:rsidRDefault="007F0F14" w:rsidP="007F0F14">
      <w:pPr>
        <w:pStyle w:val="BodyTextIndent"/>
        <w:spacing w:line="240" w:lineRule="auto"/>
        <w:ind w:left="2268"/>
        <w:rPr>
          <w:rFonts w:ascii="Times New Roman" w:hAnsi="Times New Roman"/>
          <w:szCs w:val="24"/>
        </w:rPr>
      </w:pPr>
      <w:r w:rsidRPr="008822DF">
        <w:rPr>
          <w:rFonts w:ascii="Times New Roman" w:hAnsi="Times New Roman"/>
          <w:szCs w:val="24"/>
        </w:rPr>
        <w:t xml:space="preserve">8.3.1 fails to pay an amount payable by the Guarantor to the Bank on the date that such amount becomes payable or if the Guarantor breach </w:t>
      </w:r>
      <w:r w:rsidR="00BF1A6E" w:rsidRPr="008822DF">
        <w:rPr>
          <w:rFonts w:ascii="Times New Roman" w:hAnsi="Times New Roman"/>
          <w:szCs w:val="24"/>
        </w:rPr>
        <w:t xml:space="preserve">[sic] </w:t>
      </w:r>
      <w:r w:rsidRPr="008822DF">
        <w:rPr>
          <w:rFonts w:ascii="Times New Roman" w:hAnsi="Times New Roman"/>
          <w:szCs w:val="24"/>
        </w:rPr>
        <w:t>any of the provisions of this Guarantee; and</w:t>
      </w:r>
    </w:p>
    <w:p w14:paraId="12C2602B" w14:textId="4609CDE2" w:rsidR="007F0F14" w:rsidRPr="008822DF" w:rsidRDefault="007F0F14" w:rsidP="007F0F14">
      <w:pPr>
        <w:pStyle w:val="BodyTextIndent"/>
        <w:spacing w:line="240" w:lineRule="auto"/>
        <w:ind w:left="2268"/>
        <w:rPr>
          <w:rFonts w:ascii="Times New Roman" w:hAnsi="Times New Roman"/>
          <w:szCs w:val="24"/>
        </w:rPr>
      </w:pPr>
      <w:r w:rsidRPr="008822DF">
        <w:rPr>
          <w:rFonts w:ascii="Times New Roman" w:hAnsi="Times New Roman"/>
          <w:szCs w:val="24"/>
        </w:rPr>
        <w:t>8.3.2 fails to pay the amount or remedy the breach within 7</w:t>
      </w:r>
      <w:r w:rsidR="00CD7C5D">
        <w:rPr>
          <w:rFonts w:ascii="Times New Roman" w:hAnsi="Times New Roman"/>
          <w:szCs w:val="24"/>
        </w:rPr>
        <w:t xml:space="preserve"> </w:t>
      </w:r>
      <w:r w:rsidRPr="008822DF">
        <w:rPr>
          <w:rFonts w:ascii="Times New Roman" w:hAnsi="Times New Roman"/>
          <w:szCs w:val="24"/>
        </w:rPr>
        <w:t>(seven) Business Days of the date of receipt of the written notice requiring the Guarantor to do so,</w:t>
      </w:r>
    </w:p>
    <w:p w14:paraId="78F1C857" w14:textId="0800211F" w:rsidR="007F0F14" w:rsidRPr="008822DF" w:rsidRDefault="007F0F14" w:rsidP="007F0F14">
      <w:pPr>
        <w:pStyle w:val="BodyTextIndent"/>
        <w:spacing w:line="240" w:lineRule="auto"/>
        <w:ind w:left="1134"/>
        <w:rPr>
          <w:rFonts w:ascii="Times New Roman" w:hAnsi="Times New Roman"/>
          <w:szCs w:val="24"/>
        </w:rPr>
      </w:pPr>
      <w:r w:rsidRPr="008822DF">
        <w:rPr>
          <w:rFonts w:ascii="Times New Roman" w:hAnsi="Times New Roman"/>
          <w:szCs w:val="24"/>
        </w:rPr>
        <w:t>then the Bank shall be entitled, without notice, to claim specific performance from the Guarantor without prejudice to any other rights the Bank may have, including the right to claim damages.</w:t>
      </w:r>
      <w:r w:rsidR="00044FC3">
        <w:rPr>
          <w:rFonts w:ascii="Times New Roman" w:hAnsi="Times New Roman"/>
          <w:szCs w:val="24"/>
        </w:rPr>
        <w:t>’</w:t>
      </w:r>
    </w:p>
    <w:p w14:paraId="3C5F4363" w14:textId="082D3B89" w:rsidR="007F0F14" w:rsidRPr="008822DF" w:rsidRDefault="007F0F14" w:rsidP="007F0F14">
      <w:pPr>
        <w:pStyle w:val="BodyTextIndent"/>
        <w:spacing w:line="240" w:lineRule="auto"/>
        <w:ind w:left="1134"/>
        <w:rPr>
          <w:rFonts w:ascii="Times New Roman" w:hAnsi="Times New Roman"/>
          <w:szCs w:val="24"/>
        </w:rPr>
      </w:pPr>
      <w:r w:rsidRPr="008822DF">
        <w:rPr>
          <w:rFonts w:ascii="Times New Roman" w:hAnsi="Times New Roman"/>
          <w:szCs w:val="24"/>
        </w:rPr>
        <w:t>20. It is therefore a condition precedent to a claim for specific performance that the Plaintiff has given each of the Second to Fifth Defendants seven business days' notice requiring it/him to remedy any alleged breach.</w:t>
      </w:r>
    </w:p>
    <w:p w14:paraId="47126E8B" w14:textId="3D10A120" w:rsidR="007F0F14" w:rsidRPr="008822DF" w:rsidRDefault="007F0F14" w:rsidP="007F0F14">
      <w:pPr>
        <w:pStyle w:val="BodyTextIndent"/>
        <w:spacing w:line="240" w:lineRule="auto"/>
        <w:ind w:left="1134"/>
        <w:rPr>
          <w:rFonts w:ascii="Times New Roman" w:hAnsi="Times New Roman"/>
          <w:szCs w:val="24"/>
        </w:rPr>
      </w:pPr>
      <w:r w:rsidRPr="008822DF">
        <w:rPr>
          <w:rFonts w:ascii="Times New Roman" w:hAnsi="Times New Roman"/>
          <w:szCs w:val="24"/>
        </w:rPr>
        <w:t>21. The Plaintiff has failed to plead that it has given each of the Second to Fifth Defendants notice as aforesaid.</w:t>
      </w:r>
    </w:p>
    <w:p w14:paraId="729E747A" w14:textId="16923445" w:rsidR="007F0F14" w:rsidRPr="008822DF" w:rsidRDefault="007F0F14" w:rsidP="007F0F14">
      <w:pPr>
        <w:pStyle w:val="BodyTextIndent"/>
        <w:spacing w:line="240" w:lineRule="auto"/>
        <w:ind w:left="1134"/>
        <w:rPr>
          <w:rFonts w:ascii="Times New Roman" w:hAnsi="Times New Roman"/>
          <w:szCs w:val="24"/>
        </w:rPr>
      </w:pPr>
      <w:r w:rsidRPr="008822DF">
        <w:rPr>
          <w:rFonts w:ascii="Times New Roman" w:hAnsi="Times New Roman"/>
          <w:szCs w:val="24"/>
        </w:rPr>
        <w:t>22. The aforesaid renders the Plaintiff's Particulars of Claim excipiable on the basis that they lack averments necessary to sustain a cause of action.”</w:t>
      </w:r>
    </w:p>
    <w:p w14:paraId="531ECD1E" w14:textId="31E959FA" w:rsidR="00B86B56"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lastRenderedPageBreak/>
        <w:t>32</w:t>
      </w:r>
      <w:r w:rsidRPr="008822DF">
        <w:rPr>
          <w:rFonts w:ascii="Times New Roman" w:hAnsi="Times New Roman"/>
          <w:szCs w:val="24"/>
        </w:rPr>
        <w:tab/>
      </w:r>
      <w:r w:rsidR="00B86B56" w:rsidRPr="008822DF">
        <w:rPr>
          <w:rFonts w:ascii="Times New Roman" w:hAnsi="Times New Roman"/>
          <w:szCs w:val="24"/>
        </w:rPr>
        <w:t xml:space="preserve">During argument, Standard Bank sought to rely on </w:t>
      </w:r>
      <w:r w:rsidR="00231330" w:rsidRPr="008822DF">
        <w:rPr>
          <w:rFonts w:ascii="Times New Roman" w:hAnsi="Times New Roman"/>
          <w:szCs w:val="24"/>
        </w:rPr>
        <w:t xml:space="preserve">the decision of </w:t>
      </w:r>
      <w:r w:rsidR="00231330" w:rsidRPr="008822DF">
        <w:rPr>
          <w:rFonts w:ascii="Times New Roman" w:hAnsi="Times New Roman"/>
          <w:i/>
          <w:iCs/>
          <w:szCs w:val="24"/>
        </w:rPr>
        <w:t>Standard Bank v Hand</w:t>
      </w:r>
      <w:r w:rsidR="00231330" w:rsidRPr="008822DF">
        <w:rPr>
          <w:rFonts w:ascii="Times New Roman" w:hAnsi="Times New Roman"/>
          <w:szCs w:val="24"/>
        </w:rPr>
        <w:t>.</w:t>
      </w:r>
      <w:r w:rsidR="00231330" w:rsidRPr="008822DF">
        <w:rPr>
          <w:rStyle w:val="FootnoteReference"/>
          <w:rFonts w:ascii="Times New Roman" w:hAnsi="Times New Roman"/>
          <w:szCs w:val="24"/>
        </w:rPr>
        <w:footnoteReference w:id="11"/>
      </w:r>
      <w:r w:rsidR="00231330" w:rsidRPr="008822DF">
        <w:rPr>
          <w:rFonts w:ascii="Times New Roman" w:hAnsi="Times New Roman"/>
          <w:szCs w:val="24"/>
        </w:rPr>
        <w:t xml:space="preserve"> Because the implications of this case were not fully argued, I gave the parties the opportunity to file short supplementary submissions on the case.</w:t>
      </w:r>
      <w:r w:rsidR="00BF018C" w:rsidRPr="008822DF">
        <w:rPr>
          <w:rFonts w:ascii="Times New Roman" w:hAnsi="Times New Roman"/>
          <w:szCs w:val="24"/>
        </w:rPr>
        <w:t xml:space="preserve"> I deal with th</w:t>
      </w:r>
      <w:r w:rsidR="00A70C1F" w:rsidRPr="008822DF">
        <w:rPr>
          <w:rFonts w:ascii="Times New Roman" w:hAnsi="Times New Roman"/>
          <w:szCs w:val="24"/>
        </w:rPr>
        <w:t>at</w:t>
      </w:r>
      <w:r w:rsidR="00BF018C" w:rsidRPr="008822DF">
        <w:rPr>
          <w:rFonts w:ascii="Times New Roman" w:hAnsi="Times New Roman"/>
          <w:szCs w:val="24"/>
        </w:rPr>
        <w:t xml:space="preserve"> </w:t>
      </w:r>
      <w:r w:rsidR="00A70C1F" w:rsidRPr="008822DF">
        <w:rPr>
          <w:rFonts w:ascii="Times New Roman" w:hAnsi="Times New Roman"/>
          <w:szCs w:val="24"/>
        </w:rPr>
        <w:t>judgment</w:t>
      </w:r>
      <w:r w:rsidR="00BF018C" w:rsidRPr="008822DF">
        <w:rPr>
          <w:rFonts w:ascii="Times New Roman" w:hAnsi="Times New Roman"/>
          <w:szCs w:val="24"/>
        </w:rPr>
        <w:t xml:space="preserve"> below.</w:t>
      </w:r>
    </w:p>
    <w:p w14:paraId="1418883C" w14:textId="474B6187" w:rsidR="00C93079"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33</w:t>
      </w:r>
      <w:r w:rsidRPr="008822DF">
        <w:rPr>
          <w:rFonts w:ascii="Times New Roman" w:hAnsi="Times New Roman"/>
          <w:szCs w:val="24"/>
        </w:rPr>
        <w:tab/>
      </w:r>
      <w:r w:rsidR="003C757E" w:rsidRPr="008822DF">
        <w:rPr>
          <w:rFonts w:ascii="Times New Roman" w:hAnsi="Times New Roman"/>
          <w:szCs w:val="24"/>
        </w:rPr>
        <w:t xml:space="preserve">There is, in my view, some </w:t>
      </w:r>
      <w:r w:rsidR="00AC4DED" w:rsidRPr="008822DF">
        <w:rPr>
          <w:rFonts w:ascii="Times New Roman" w:hAnsi="Times New Roman"/>
          <w:szCs w:val="24"/>
        </w:rPr>
        <w:t xml:space="preserve">complexity in determining the implication of the </w:t>
      </w:r>
      <w:r w:rsidR="00AC4DED" w:rsidRPr="008822DF">
        <w:rPr>
          <w:rFonts w:ascii="Times New Roman" w:hAnsi="Times New Roman"/>
          <w:i/>
          <w:iCs/>
          <w:szCs w:val="24"/>
        </w:rPr>
        <w:t>University of Johannesburg</w:t>
      </w:r>
      <w:r w:rsidR="00AC4DED" w:rsidRPr="008822DF">
        <w:rPr>
          <w:rFonts w:ascii="Times New Roman" w:hAnsi="Times New Roman"/>
          <w:szCs w:val="24"/>
        </w:rPr>
        <w:t xml:space="preserve"> </w:t>
      </w:r>
      <w:r w:rsidR="00BF018C" w:rsidRPr="008822DF">
        <w:rPr>
          <w:rFonts w:ascii="Times New Roman" w:hAnsi="Times New Roman"/>
          <w:szCs w:val="24"/>
        </w:rPr>
        <w:t xml:space="preserve">decision of the Constitutional Court, which I mentioned briefly </w:t>
      </w:r>
      <w:r w:rsidR="004058C5" w:rsidRPr="008822DF">
        <w:rPr>
          <w:rFonts w:ascii="Times New Roman" w:hAnsi="Times New Roman"/>
          <w:szCs w:val="24"/>
        </w:rPr>
        <w:t>above,</w:t>
      </w:r>
      <w:r w:rsidR="00AC4DED" w:rsidRPr="008822DF">
        <w:rPr>
          <w:rFonts w:ascii="Times New Roman" w:hAnsi="Times New Roman"/>
          <w:szCs w:val="24"/>
        </w:rPr>
        <w:t xml:space="preserve"> for the future of cause of action exceptions. </w:t>
      </w:r>
      <w:r w:rsidR="00C93079" w:rsidRPr="008822DF">
        <w:rPr>
          <w:rFonts w:ascii="Times New Roman" w:hAnsi="Times New Roman"/>
          <w:szCs w:val="24"/>
        </w:rPr>
        <w:t>I say this for the following reasons:</w:t>
      </w:r>
    </w:p>
    <w:p w14:paraId="6BAC32D4" w14:textId="73380602" w:rsidR="00C93079" w:rsidRPr="008822DF" w:rsidRDefault="008327FE" w:rsidP="008327FE">
      <w:pPr>
        <w:pStyle w:val="WLGLevel2"/>
        <w:numPr>
          <w:ilvl w:val="0"/>
          <w:numId w:val="0"/>
        </w:numPr>
        <w:tabs>
          <w:tab w:val="left" w:pos="1361"/>
        </w:tabs>
        <w:ind w:left="1361" w:hanging="794"/>
        <w:rPr>
          <w:rFonts w:ascii="Times New Roman" w:hAnsi="Times New Roman"/>
          <w:szCs w:val="24"/>
        </w:rPr>
      </w:pPr>
      <w:r w:rsidRPr="008822DF">
        <w:rPr>
          <w:rFonts w:ascii="Times New Roman" w:hAnsi="Times New Roman"/>
          <w:szCs w:val="24"/>
        </w:rPr>
        <w:t>33.1</w:t>
      </w:r>
      <w:r w:rsidRPr="008822DF">
        <w:rPr>
          <w:rFonts w:ascii="Times New Roman" w:hAnsi="Times New Roman"/>
          <w:szCs w:val="24"/>
        </w:rPr>
        <w:tab/>
      </w:r>
      <w:r w:rsidR="00C93079" w:rsidRPr="008822DF">
        <w:rPr>
          <w:rFonts w:ascii="Times New Roman" w:hAnsi="Times New Roman"/>
          <w:szCs w:val="24"/>
        </w:rPr>
        <w:t xml:space="preserve">The decision of the SCA in </w:t>
      </w:r>
      <w:r w:rsidR="00C93079" w:rsidRPr="008822DF">
        <w:rPr>
          <w:rFonts w:ascii="Times New Roman" w:hAnsi="Times New Roman"/>
          <w:i/>
          <w:iCs/>
          <w:szCs w:val="24"/>
        </w:rPr>
        <w:t xml:space="preserve">Endumeni </w:t>
      </w:r>
      <w:r w:rsidR="007945A0" w:rsidRPr="008822DF">
        <w:rPr>
          <w:rFonts w:ascii="Times New Roman" w:hAnsi="Times New Roman"/>
          <w:szCs w:val="24"/>
        </w:rPr>
        <w:t>triggered, seemingly inadvertently, a relatively radical development in our law of contract. I ha</w:t>
      </w:r>
      <w:r w:rsidR="006524BE" w:rsidRPr="008822DF">
        <w:rPr>
          <w:rFonts w:ascii="Times New Roman" w:hAnsi="Times New Roman"/>
          <w:szCs w:val="24"/>
        </w:rPr>
        <w:t>d</w:t>
      </w:r>
      <w:r w:rsidR="007945A0" w:rsidRPr="008822DF">
        <w:rPr>
          <w:rFonts w:ascii="Times New Roman" w:hAnsi="Times New Roman"/>
          <w:szCs w:val="24"/>
        </w:rPr>
        <w:t xml:space="preserve"> never understood </w:t>
      </w:r>
      <w:r w:rsidR="007945A0" w:rsidRPr="008822DF">
        <w:rPr>
          <w:rFonts w:ascii="Times New Roman" w:hAnsi="Times New Roman"/>
          <w:i/>
          <w:iCs/>
          <w:szCs w:val="24"/>
        </w:rPr>
        <w:t>Endumeni</w:t>
      </w:r>
      <w:r w:rsidR="007945A0" w:rsidRPr="008822DF">
        <w:rPr>
          <w:rFonts w:ascii="Times New Roman" w:hAnsi="Times New Roman"/>
          <w:szCs w:val="24"/>
        </w:rPr>
        <w:t xml:space="preserve"> to </w:t>
      </w:r>
      <w:r w:rsidR="006524BE" w:rsidRPr="008822DF">
        <w:rPr>
          <w:rFonts w:ascii="Times New Roman" w:hAnsi="Times New Roman"/>
          <w:szCs w:val="24"/>
        </w:rPr>
        <w:t xml:space="preserve">intend to </w:t>
      </w:r>
      <w:r w:rsidR="007945A0" w:rsidRPr="008822DF">
        <w:rPr>
          <w:rFonts w:ascii="Times New Roman" w:hAnsi="Times New Roman"/>
          <w:szCs w:val="24"/>
        </w:rPr>
        <w:t xml:space="preserve">introduce </w:t>
      </w:r>
      <w:r w:rsidR="00610FFC" w:rsidRPr="008822DF">
        <w:rPr>
          <w:rFonts w:ascii="Times New Roman" w:hAnsi="Times New Roman"/>
          <w:szCs w:val="24"/>
        </w:rPr>
        <w:t xml:space="preserve">a change </w:t>
      </w:r>
      <w:r w:rsidR="007945A0" w:rsidRPr="008822DF">
        <w:rPr>
          <w:rFonts w:ascii="Times New Roman" w:hAnsi="Times New Roman"/>
          <w:szCs w:val="24"/>
        </w:rPr>
        <w:t xml:space="preserve">to our law relating to the leading of evidence to determine the proper meaning of a contract. </w:t>
      </w:r>
      <w:r w:rsidR="00670AC1" w:rsidRPr="008822DF">
        <w:rPr>
          <w:rFonts w:ascii="Times New Roman" w:hAnsi="Times New Roman"/>
          <w:szCs w:val="24"/>
        </w:rPr>
        <w:t xml:space="preserve">The famous paragraph of </w:t>
      </w:r>
      <w:r w:rsidR="00670AC1" w:rsidRPr="008822DF">
        <w:rPr>
          <w:rFonts w:ascii="Times New Roman" w:hAnsi="Times New Roman"/>
          <w:i/>
          <w:iCs/>
          <w:szCs w:val="24"/>
        </w:rPr>
        <w:t>Endumeni</w:t>
      </w:r>
      <w:r w:rsidR="00670AC1" w:rsidRPr="008822DF">
        <w:rPr>
          <w:rFonts w:ascii="Times New Roman" w:hAnsi="Times New Roman"/>
          <w:szCs w:val="24"/>
        </w:rPr>
        <w:t xml:space="preserve"> is paragraph 18. But one must read paragraphs 18 to 26 of th</w:t>
      </w:r>
      <w:r w:rsidR="00A73DE2" w:rsidRPr="008822DF">
        <w:rPr>
          <w:rFonts w:ascii="Times New Roman" w:hAnsi="Times New Roman"/>
          <w:szCs w:val="24"/>
        </w:rPr>
        <w:t>e</w:t>
      </w:r>
      <w:r w:rsidR="00670AC1" w:rsidRPr="008822DF">
        <w:rPr>
          <w:rFonts w:ascii="Times New Roman" w:hAnsi="Times New Roman"/>
          <w:szCs w:val="24"/>
        </w:rPr>
        <w:t xml:space="preserve"> judgment to get a full picture of what Wallis JA actually said.</w:t>
      </w:r>
      <w:r w:rsidR="00AD4C4B" w:rsidRPr="008822DF">
        <w:rPr>
          <w:rFonts w:ascii="Times New Roman" w:hAnsi="Times New Roman"/>
          <w:szCs w:val="24"/>
        </w:rPr>
        <w:t xml:space="preserve"> If one reads all of those paragraphs, it becomes quite clear that Wallis JA did not intend to introduce into our law of interpretation (whether of statutes or contracts) a </w:t>
      </w:r>
      <w:r w:rsidR="00BB641D" w:rsidRPr="008822DF">
        <w:rPr>
          <w:rFonts w:ascii="Times New Roman" w:hAnsi="Times New Roman"/>
          <w:szCs w:val="24"/>
        </w:rPr>
        <w:t>new</w:t>
      </w:r>
      <w:r w:rsidR="00AD4C4B" w:rsidRPr="008822DF">
        <w:rPr>
          <w:rFonts w:ascii="Times New Roman" w:hAnsi="Times New Roman"/>
          <w:szCs w:val="24"/>
        </w:rPr>
        <w:t xml:space="preserve"> approach to the leading of evidence. Certainly</w:t>
      </w:r>
      <w:r w:rsidR="00BB641D" w:rsidRPr="008822DF">
        <w:rPr>
          <w:rFonts w:ascii="Times New Roman" w:hAnsi="Times New Roman"/>
          <w:szCs w:val="24"/>
        </w:rPr>
        <w:t>,</w:t>
      </w:r>
      <w:r w:rsidR="00AD4C4B" w:rsidRPr="008822DF">
        <w:rPr>
          <w:rFonts w:ascii="Times New Roman" w:hAnsi="Times New Roman"/>
          <w:szCs w:val="24"/>
        </w:rPr>
        <w:t xml:space="preserve"> before </w:t>
      </w:r>
      <w:r w:rsidR="00AD4C4B" w:rsidRPr="008822DF">
        <w:rPr>
          <w:rFonts w:ascii="Times New Roman" w:hAnsi="Times New Roman"/>
          <w:i/>
          <w:iCs/>
          <w:szCs w:val="24"/>
        </w:rPr>
        <w:t>Endumeni</w:t>
      </w:r>
      <w:r w:rsidR="00AD4C4B" w:rsidRPr="008822DF">
        <w:rPr>
          <w:rFonts w:ascii="Times New Roman" w:hAnsi="Times New Roman"/>
          <w:szCs w:val="24"/>
        </w:rPr>
        <w:t xml:space="preserve">, the leading of evidence to determine the meaning of a contract was an exceptional approach to adopt. Absolutely nothing said in </w:t>
      </w:r>
      <w:r w:rsidR="00AD4C4B" w:rsidRPr="007F1E75">
        <w:rPr>
          <w:rFonts w:ascii="Times New Roman" w:hAnsi="Times New Roman"/>
          <w:i/>
          <w:iCs/>
          <w:szCs w:val="24"/>
        </w:rPr>
        <w:t>Endumeni</w:t>
      </w:r>
      <w:r w:rsidR="00AD4C4B" w:rsidRPr="008822DF">
        <w:rPr>
          <w:rFonts w:ascii="Times New Roman" w:hAnsi="Times New Roman"/>
          <w:szCs w:val="24"/>
        </w:rPr>
        <w:t xml:space="preserve"> in paragraphs 19 to 26 changes that.</w:t>
      </w:r>
    </w:p>
    <w:p w14:paraId="59EF1AA3" w14:textId="2570CB67" w:rsidR="00C93079" w:rsidRPr="008822DF" w:rsidRDefault="008327FE" w:rsidP="008327FE">
      <w:pPr>
        <w:pStyle w:val="WLGLevel2"/>
        <w:numPr>
          <w:ilvl w:val="0"/>
          <w:numId w:val="0"/>
        </w:numPr>
        <w:tabs>
          <w:tab w:val="left" w:pos="1361"/>
        </w:tabs>
        <w:ind w:left="1361" w:hanging="794"/>
        <w:rPr>
          <w:rFonts w:ascii="Times New Roman" w:hAnsi="Times New Roman"/>
          <w:szCs w:val="24"/>
        </w:rPr>
      </w:pPr>
      <w:r w:rsidRPr="008822DF">
        <w:rPr>
          <w:rFonts w:ascii="Times New Roman" w:hAnsi="Times New Roman"/>
          <w:szCs w:val="24"/>
        </w:rPr>
        <w:t>33.2</w:t>
      </w:r>
      <w:r w:rsidRPr="008822DF">
        <w:rPr>
          <w:rFonts w:ascii="Times New Roman" w:hAnsi="Times New Roman"/>
          <w:szCs w:val="24"/>
        </w:rPr>
        <w:tab/>
      </w:r>
      <w:r w:rsidR="00B50CD4" w:rsidRPr="008822DF">
        <w:rPr>
          <w:rFonts w:ascii="Times New Roman" w:hAnsi="Times New Roman"/>
          <w:szCs w:val="24"/>
        </w:rPr>
        <w:t>C</w:t>
      </w:r>
      <w:r w:rsidR="00C93079" w:rsidRPr="008822DF">
        <w:rPr>
          <w:rFonts w:ascii="Times New Roman" w:hAnsi="Times New Roman"/>
          <w:szCs w:val="24"/>
        </w:rPr>
        <w:t xml:space="preserve">ourts have, long before </w:t>
      </w:r>
      <w:r w:rsidR="00C93079" w:rsidRPr="008822DF">
        <w:rPr>
          <w:rFonts w:ascii="Times New Roman" w:hAnsi="Times New Roman"/>
          <w:i/>
          <w:iCs/>
          <w:szCs w:val="24"/>
        </w:rPr>
        <w:t>University of Johannesburg</w:t>
      </w:r>
      <w:r w:rsidR="00C93079" w:rsidRPr="008822DF">
        <w:rPr>
          <w:rFonts w:ascii="Times New Roman" w:hAnsi="Times New Roman"/>
          <w:szCs w:val="24"/>
        </w:rPr>
        <w:t xml:space="preserve"> (or, indeed,</w:t>
      </w:r>
      <w:r w:rsidR="00DA724B" w:rsidRPr="008822DF">
        <w:rPr>
          <w:rFonts w:ascii="Times New Roman" w:hAnsi="Times New Roman"/>
          <w:szCs w:val="24"/>
        </w:rPr>
        <w:t xml:space="preserve"> </w:t>
      </w:r>
      <w:r w:rsidR="00DA724B" w:rsidRPr="008822DF">
        <w:rPr>
          <w:rFonts w:ascii="Times New Roman" w:hAnsi="Times New Roman"/>
          <w:i/>
          <w:iCs/>
          <w:szCs w:val="24"/>
        </w:rPr>
        <w:t>Endumeni</w:t>
      </w:r>
      <w:r w:rsidR="00DA724B" w:rsidRPr="008822DF">
        <w:rPr>
          <w:rFonts w:ascii="Times New Roman" w:hAnsi="Times New Roman"/>
          <w:szCs w:val="24"/>
        </w:rPr>
        <w:t>)</w:t>
      </w:r>
      <w:r w:rsidR="00B50CD4" w:rsidRPr="008822DF">
        <w:rPr>
          <w:rFonts w:ascii="Times New Roman" w:hAnsi="Times New Roman"/>
          <w:szCs w:val="24"/>
        </w:rPr>
        <w:t>,</w:t>
      </w:r>
      <w:r w:rsidR="00DA724B" w:rsidRPr="008822DF">
        <w:rPr>
          <w:rFonts w:ascii="Times New Roman" w:hAnsi="Times New Roman"/>
          <w:szCs w:val="24"/>
        </w:rPr>
        <w:t xml:space="preserve"> been reluctant to admit evidence to determine the meaning of contractual terms</w:t>
      </w:r>
      <w:r w:rsidR="002A4D6C" w:rsidRPr="008822DF">
        <w:rPr>
          <w:rFonts w:ascii="Times New Roman" w:hAnsi="Times New Roman"/>
          <w:szCs w:val="24"/>
        </w:rPr>
        <w:t xml:space="preserve">. </w:t>
      </w:r>
      <w:r w:rsidR="00786222" w:rsidRPr="008822DF">
        <w:rPr>
          <w:rFonts w:ascii="Times New Roman" w:hAnsi="Times New Roman"/>
          <w:szCs w:val="24"/>
        </w:rPr>
        <w:lastRenderedPageBreak/>
        <w:t xml:space="preserve">An exception was identified by the SCA in </w:t>
      </w:r>
      <w:r w:rsidR="00786222" w:rsidRPr="008822DF">
        <w:rPr>
          <w:rFonts w:ascii="Times New Roman" w:hAnsi="Times New Roman"/>
          <w:i/>
          <w:iCs/>
          <w:szCs w:val="24"/>
        </w:rPr>
        <w:t>Comwezi</w:t>
      </w:r>
      <w:r w:rsidR="006B20C7" w:rsidRPr="008822DF">
        <w:rPr>
          <w:rStyle w:val="FootnoteReference"/>
          <w:rFonts w:ascii="Times New Roman" w:hAnsi="Times New Roman"/>
          <w:szCs w:val="24"/>
        </w:rPr>
        <w:footnoteReference w:id="12"/>
      </w:r>
      <w:r w:rsidR="00786222" w:rsidRPr="008822DF">
        <w:rPr>
          <w:rFonts w:ascii="Times New Roman" w:hAnsi="Times New Roman"/>
          <w:szCs w:val="24"/>
        </w:rPr>
        <w:t xml:space="preserve"> – which held that evidence as to the manner in which both parties implemented an agreement was admissible </w:t>
      </w:r>
      <w:r w:rsidR="001A2E34" w:rsidRPr="008822DF">
        <w:rPr>
          <w:rFonts w:ascii="Times New Roman" w:hAnsi="Times New Roman"/>
          <w:szCs w:val="24"/>
        </w:rPr>
        <w:t xml:space="preserve">to demonstrate “how reasonable business people situated as they were and knowing what they knew, would construe the disputed </w:t>
      </w:r>
      <w:r w:rsidR="006B20C7" w:rsidRPr="008822DF">
        <w:rPr>
          <w:rFonts w:ascii="Times New Roman" w:hAnsi="Times New Roman"/>
          <w:szCs w:val="24"/>
        </w:rPr>
        <w:t>provision” – but even this was only part of the “objective determination of the meaning of the words they have used and the selection of the appropriate meaning from among those postulated by the parties”.</w:t>
      </w:r>
      <w:r w:rsidR="00C93079" w:rsidRPr="008822DF">
        <w:rPr>
          <w:rFonts w:ascii="Times New Roman" w:hAnsi="Times New Roman"/>
          <w:szCs w:val="24"/>
        </w:rPr>
        <w:t xml:space="preserve"> </w:t>
      </w:r>
    </w:p>
    <w:p w14:paraId="2CE163C3" w14:textId="12B0D890" w:rsidR="00CD658E" w:rsidRDefault="008327FE" w:rsidP="008327FE">
      <w:pPr>
        <w:pStyle w:val="WLGLevel2"/>
        <w:numPr>
          <w:ilvl w:val="0"/>
          <w:numId w:val="0"/>
        </w:numPr>
        <w:tabs>
          <w:tab w:val="left" w:pos="1361"/>
        </w:tabs>
        <w:ind w:left="1361" w:hanging="794"/>
        <w:rPr>
          <w:rFonts w:ascii="Times New Roman" w:hAnsi="Times New Roman"/>
          <w:szCs w:val="24"/>
        </w:rPr>
      </w:pPr>
      <w:r>
        <w:rPr>
          <w:rFonts w:ascii="Times New Roman" w:hAnsi="Times New Roman"/>
          <w:szCs w:val="24"/>
        </w:rPr>
        <w:t>33.3</w:t>
      </w:r>
      <w:r>
        <w:rPr>
          <w:rFonts w:ascii="Times New Roman" w:hAnsi="Times New Roman"/>
          <w:szCs w:val="24"/>
        </w:rPr>
        <w:tab/>
      </w:r>
      <w:r w:rsidR="00383F45" w:rsidRPr="008822DF">
        <w:rPr>
          <w:rFonts w:ascii="Times New Roman" w:hAnsi="Times New Roman"/>
          <w:szCs w:val="24"/>
        </w:rPr>
        <w:t xml:space="preserve">Despite this, the Constitutional Court in </w:t>
      </w:r>
      <w:r w:rsidR="00383F45" w:rsidRPr="008822DF">
        <w:rPr>
          <w:rFonts w:ascii="Times New Roman" w:hAnsi="Times New Roman"/>
          <w:i/>
          <w:iCs/>
          <w:szCs w:val="24"/>
        </w:rPr>
        <w:t>University of Johannesburg</w:t>
      </w:r>
      <w:r w:rsidR="00383F45" w:rsidRPr="008822DF">
        <w:rPr>
          <w:rFonts w:ascii="Times New Roman" w:hAnsi="Times New Roman"/>
          <w:szCs w:val="24"/>
        </w:rPr>
        <w:t xml:space="preserve"> appears to have seen it as axiomatic that </w:t>
      </w:r>
      <w:r w:rsidR="00383F45" w:rsidRPr="008822DF">
        <w:rPr>
          <w:rFonts w:ascii="Times New Roman" w:hAnsi="Times New Roman"/>
          <w:i/>
          <w:iCs/>
          <w:szCs w:val="24"/>
        </w:rPr>
        <w:t>Endumeni</w:t>
      </w:r>
      <w:r w:rsidR="00383F45" w:rsidRPr="008822DF">
        <w:rPr>
          <w:rFonts w:ascii="Times New Roman" w:hAnsi="Times New Roman"/>
          <w:szCs w:val="24"/>
        </w:rPr>
        <w:t xml:space="preserve"> opened the door to the leading of evidence to determine the meaning of contractual terms. It appears to have understood </w:t>
      </w:r>
      <w:r w:rsidR="00383F45" w:rsidRPr="008822DF">
        <w:rPr>
          <w:rFonts w:ascii="Times New Roman" w:hAnsi="Times New Roman"/>
          <w:i/>
          <w:iCs/>
          <w:szCs w:val="24"/>
        </w:rPr>
        <w:t>Endumeni</w:t>
      </w:r>
      <w:r w:rsidR="00383F45" w:rsidRPr="008822DF">
        <w:rPr>
          <w:rFonts w:ascii="Times New Roman" w:hAnsi="Times New Roman"/>
          <w:szCs w:val="24"/>
        </w:rPr>
        <w:t xml:space="preserve"> to mean that parties will “invariably have to adduce evidence to establish the context and purpose of the relevant contractual provisions”.</w:t>
      </w:r>
      <w:r w:rsidR="00383F45" w:rsidRPr="008822DF">
        <w:rPr>
          <w:rStyle w:val="FootnoteReference"/>
          <w:rFonts w:ascii="Times New Roman" w:hAnsi="Times New Roman"/>
          <w:szCs w:val="24"/>
        </w:rPr>
        <w:footnoteReference w:id="13"/>
      </w:r>
      <w:r w:rsidR="00296530" w:rsidRPr="008822DF">
        <w:rPr>
          <w:rFonts w:ascii="Times New Roman" w:hAnsi="Times New Roman"/>
          <w:szCs w:val="24"/>
        </w:rPr>
        <w:t xml:space="preserve"> </w:t>
      </w:r>
    </w:p>
    <w:p w14:paraId="2BB31C68" w14:textId="5DD0148A" w:rsidR="00383F45" w:rsidRPr="008822DF" w:rsidRDefault="008327FE" w:rsidP="008327FE">
      <w:pPr>
        <w:pStyle w:val="WLGLevel2"/>
        <w:numPr>
          <w:ilvl w:val="0"/>
          <w:numId w:val="0"/>
        </w:numPr>
        <w:tabs>
          <w:tab w:val="left" w:pos="1361"/>
        </w:tabs>
        <w:ind w:left="1361" w:hanging="794"/>
        <w:rPr>
          <w:rFonts w:ascii="Times New Roman" w:hAnsi="Times New Roman"/>
          <w:szCs w:val="24"/>
        </w:rPr>
      </w:pPr>
      <w:r w:rsidRPr="008822DF">
        <w:rPr>
          <w:rFonts w:ascii="Times New Roman" w:hAnsi="Times New Roman"/>
          <w:szCs w:val="24"/>
        </w:rPr>
        <w:t>33.4</w:t>
      </w:r>
      <w:r w:rsidRPr="008822DF">
        <w:rPr>
          <w:rFonts w:ascii="Times New Roman" w:hAnsi="Times New Roman"/>
          <w:szCs w:val="24"/>
        </w:rPr>
        <w:tab/>
      </w:r>
      <w:r w:rsidR="00296530" w:rsidRPr="008822DF">
        <w:rPr>
          <w:rFonts w:ascii="Times New Roman" w:hAnsi="Times New Roman"/>
          <w:szCs w:val="24"/>
        </w:rPr>
        <w:t xml:space="preserve">It seems to me that the Constitutional Court in </w:t>
      </w:r>
      <w:r w:rsidR="00296530" w:rsidRPr="008822DF">
        <w:rPr>
          <w:rFonts w:ascii="Times New Roman" w:hAnsi="Times New Roman"/>
          <w:i/>
          <w:iCs/>
          <w:szCs w:val="24"/>
        </w:rPr>
        <w:t>University of Johannesburg</w:t>
      </w:r>
      <w:r w:rsidR="00296530" w:rsidRPr="008822DF">
        <w:rPr>
          <w:rFonts w:ascii="Times New Roman" w:hAnsi="Times New Roman"/>
          <w:szCs w:val="24"/>
        </w:rPr>
        <w:t xml:space="preserve"> adopted the following approach to contractual interpretation:</w:t>
      </w:r>
    </w:p>
    <w:p w14:paraId="752413AD" w14:textId="1B3866E5" w:rsidR="00296530" w:rsidRPr="008822DF" w:rsidRDefault="008327FE" w:rsidP="008327FE">
      <w:pPr>
        <w:pStyle w:val="WLGLevel3"/>
        <w:numPr>
          <w:ilvl w:val="0"/>
          <w:numId w:val="0"/>
        </w:numPr>
        <w:tabs>
          <w:tab w:val="left" w:pos="2381"/>
        </w:tabs>
        <w:ind w:left="2382" w:hanging="1021"/>
        <w:rPr>
          <w:rFonts w:ascii="Times New Roman" w:hAnsi="Times New Roman"/>
          <w:szCs w:val="24"/>
        </w:rPr>
      </w:pPr>
      <w:r w:rsidRPr="008822DF">
        <w:rPr>
          <w:rFonts w:ascii="Times New Roman" w:hAnsi="Times New Roman"/>
          <w:szCs w:val="24"/>
        </w:rPr>
        <w:t>33.4.1</w:t>
      </w:r>
      <w:r w:rsidRPr="008822DF">
        <w:rPr>
          <w:rFonts w:ascii="Times New Roman" w:hAnsi="Times New Roman"/>
          <w:szCs w:val="24"/>
        </w:rPr>
        <w:tab/>
      </w:r>
      <w:r w:rsidR="00296530" w:rsidRPr="008822DF">
        <w:rPr>
          <w:rFonts w:ascii="Times New Roman" w:hAnsi="Times New Roman"/>
          <w:szCs w:val="24"/>
        </w:rPr>
        <w:t>First, to determine the correct meaning of a clause in a contract, one must consider the context, language and purpose from the outset, with none of these predominating over the others.</w:t>
      </w:r>
      <w:r w:rsidR="00296530" w:rsidRPr="008822DF">
        <w:rPr>
          <w:rStyle w:val="FootnoteReference"/>
          <w:rFonts w:ascii="Times New Roman" w:hAnsi="Times New Roman"/>
          <w:szCs w:val="24"/>
        </w:rPr>
        <w:footnoteReference w:id="14"/>
      </w:r>
    </w:p>
    <w:p w14:paraId="0413C3F2" w14:textId="12C84F1E" w:rsidR="00296530" w:rsidRPr="008822DF" w:rsidRDefault="008327FE" w:rsidP="008327FE">
      <w:pPr>
        <w:pStyle w:val="WLGLevel3"/>
        <w:numPr>
          <w:ilvl w:val="0"/>
          <w:numId w:val="0"/>
        </w:numPr>
        <w:tabs>
          <w:tab w:val="left" w:pos="2381"/>
        </w:tabs>
        <w:ind w:left="2382" w:hanging="1021"/>
        <w:rPr>
          <w:rFonts w:ascii="Times New Roman" w:hAnsi="Times New Roman"/>
          <w:szCs w:val="24"/>
        </w:rPr>
      </w:pPr>
      <w:bookmarkStart w:id="2" w:name="_Ref93574261"/>
      <w:r w:rsidRPr="008822DF">
        <w:rPr>
          <w:rFonts w:ascii="Times New Roman" w:hAnsi="Times New Roman"/>
          <w:szCs w:val="24"/>
        </w:rPr>
        <w:lastRenderedPageBreak/>
        <w:t>33.4.2</w:t>
      </w:r>
      <w:r w:rsidRPr="008822DF">
        <w:rPr>
          <w:rFonts w:ascii="Times New Roman" w:hAnsi="Times New Roman"/>
          <w:szCs w:val="24"/>
        </w:rPr>
        <w:tab/>
      </w:r>
      <w:r w:rsidR="00296530" w:rsidRPr="008822DF">
        <w:rPr>
          <w:rFonts w:ascii="Times New Roman" w:hAnsi="Times New Roman"/>
          <w:szCs w:val="24"/>
        </w:rPr>
        <w:t xml:space="preserve">Secondly, the principle described </w:t>
      </w:r>
      <w:r w:rsidR="006F1DB0" w:rsidRPr="008822DF">
        <w:rPr>
          <w:rFonts w:ascii="Times New Roman" w:hAnsi="Times New Roman"/>
          <w:szCs w:val="24"/>
        </w:rPr>
        <w:t xml:space="preserve">above </w:t>
      </w:r>
      <w:r w:rsidR="00296530" w:rsidRPr="008822DF">
        <w:rPr>
          <w:rFonts w:ascii="Times New Roman" w:hAnsi="Times New Roman"/>
          <w:szCs w:val="24"/>
        </w:rPr>
        <w:t>does not only apply in cases of ambiguity. When interpreting a contract a court must, from the outset, “consider the contract’s factual matrix, its purpose, the circumstances leading up to its conclusion, and the knowledge at the time of those who negotiated and produced the contract.”</w:t>
      </w:r>
      <w:r w:rsidR="00296530" w:rsidRPr="008822DF">
        <w:rPr>
          <w:rStyle w:val="FootnoteReference"/>
          <w:rFonts w:ascii="Times New Roman" w:hAnsi="Times New Roman"/>
          <w:szCs w:val="24"/>
        </w:rPr>
        <w:footnoteReference w:id="15"/>
      </w:r>
      <w:bookmarkEnd w:id="2"/>
    </w:p>
    <w:p w14:paraId="0550C434" w14:textId="1B4720F6" w:rsidR="00296530" w:rsidRPr="008822DF" w:rsidRDefault="008327FE" w:rsidP="008327FE">
      <w:pPr>
        <w:pStyle w:val="WLGLevel3"/>
        <w:numPr>
          <w:ilvl w:val="0"/>
          <w:numId w:val="0"/>
        </w:numPr>
        <w:tabs>
          <w:tab w:val="left" w:pos="2381"/>
        </w:tabs>
        <w:ind w:left="2382" w:hanging="1021"/>
        <w:rPr>
          <w:rFonts w:ascii="Times New Roman" w:hAnsi="Times New Roman"/>
          <w:szCs w:val="24"/>
        </w:rPr>
      </w:pPr>
      <w:r w:rsidRPr="008822DF">
        <w:rPr>
          <w:rFonts w:ascii="Times New Roman" w:hAnsi="Times New Roman"/>
          <w:szCs w:val="24"/>
        </w:rPr>
        <w:t>33.4.3</w:t>
      </w:r>
      <w:r w:rsidRPr="008822DF">
        <w:rPr>
          <w:rFonts w:ascii="Times New Roman" w:hAnsi="Times New Roman"/>
          <w:szCs w:val="24"/>
        </w:rPr>
        <w:tab/>
      </w:r>
      <w:r w:rsidR="00296530" w:rsidRPr="008822DF">
        <w:rPr>
          <w:rFonts w:ascii="Times New Roman" w:hAnsi="Times New Roman"/>
          <w:szCs w:val="24"/>
        </w:rPr>
        <w:t>Thirdly, in order to apply the approach described above, the parties will “invariably have to adduce evidence to establish the context and purpose of the relevant contractual provisions.”</w:t>
      </w:r>
      <w:r w:rsidR="00296530" w:rsidRPr="008822DF">
        <w:rPr>
          <w:rStyle w:val="FootnoteReference"/>
          <w:rFonts w:ascii="Times New Roman" w:hAnsi="Times New Roman"/>
          <w:szCs w:val="24"/>
        </w:rPr>
        <w:footnoteReference w:id="16"/>
      </w:r>
    </w:p>
    <w:p w14:paraId="0683B598" w14:textId="3FDCFB19" w:rsidR="00296530" w:rsidRPr="008822DF" w:rsidRDefault="008327FE" w:rsidP="008327FE">
      <w:pPr>
        <w:pStyle w:val="WLGLevel3"/>
        <w:numPr>
          <w:ilvl w:val="0"/>
          <w:numId w:val="0"/>
        </w:numPr>
        <w:tabs>
          <w:tab w:val="left" w:pos="2381"/>
        </w:tabs>
        <w:ind w:left="2382" w:hanging="1021"/>
        <w:rPr>
          <w:rFonts w:ascii="Times New Roman" w:hAnsi="Times New Roman"/>
          <w:szCs w:val="24"/>
        </w:rPr>
      </w:pPr>
      <w:bookmarkStart w:id="3" w:name="_Ref93571208"/>
      <w:r w:rsidRPr="008822DF">
        <w:rPr>
          <w:rFonts w:ascii="Times New Roman" w:hAnsi="Times New Roman"/>
          <w:szCs w:val="24"/>
        </w:rPr>
        <w:t>33.4.4</w:t>
      </w:r>
      <w:r w:rsidRPr="008822DF">
        <w:rPr>
          <w:rFonts w:ascii="Times New Roman" w:hAnsi="Times New Roman"/>
          <w:szCs w:val="24"/>
        </w:rPr>
        <w:tab/>
      </w:r>
      <w:r w:rsidR="00296530" w:rsidRPr="008822DF">
        <w:rPr>
          <w:rFonts w:ascii="Times New Roman" w:hAnsi="Times New Roman"/>
          <w:szCs w:val="24"/>
        </w:rPr>
        <w:t>Fourthly, despite this, extrinsic evidence is not always admissible. Contractual interpretation remains a question of law and evidence to establish matters of purpose and context should be used as conservatively as possible.</w:t>
      </w:r>
      <w:r w:rsidR="00296530" w:rsidRPr="008822DF">
        <w:rPr>
          <w:rStyle w:val="FootnoteReference"/>
          <w:rFonts w:ascii="Times New Roman" w:hAnsi="Times New Roman"/>
          <w:szCs w:val="24"/>
        </w:rPr>
        <w:footnoteReference w:id="17"/>
      </w:r>
      <w:bookmarkEnd w:id="3"/>
    </w:p>
    <w:p w14:paraId="40C232CF" w14:textId="711CF240" w:rsidR="00296530" w:rsidRPr="008822DF" w:rsidRDefault="008327FE" w:rsidP="008327FE">
      <w:pPr>
        <w:pStyle w:val="WLGLevel3"/>
        <w:numPr>
          <w:ilvl w:val="0"/>
          <w:numId w:val="0"/>
        </w:numPr>
        <w:tabs>
          <w:tab w:val="left" w:pos="2381"/>
        </w:tabs>
        <w:ind w:left="2382" w:hanging="1021"/>
        <w:rPr>
          <w:rFonts w:ascii="Times New Roman" w:hAnsi="Times New Roman"/>
          <w:szCs w:val="24"/>
        </w:rPr>
      </w:pPr>
      <w:bookmarkStart w:id="4" w:name="_Ref93571327"/>
      <w:r w:rsidRPr="008822DF">
        <w:rPr>
          <w:rFonts w:ascii="Times New Roman" w:hAnsi="Times New Roman"/>
          <w:szCs w:val="24"/>
        </w:rPr>
        <w:t>33.4.5</w:t>
      </w:r>
      <w:r w:rsidRPr="008822DF">
        <w:rPr>
          <w:rFonts w:ascii="Times New Roman" w:hAnsi="Times New Roman"/>
          <w:szCs w:val="24"/>
        </w:rPr>
        <w:tab/>
      </w:r>
      <w:r w:rsidR="00296530" w:rsidRPr="008822DF">
        <w:rPr>
          <w:rFonts w:ascii="Times New Roman" w:hAnsi="Times New Roman"/>
          <w:szCs w:val="24"/>
        </w:rPr>
        <w:t xml:space="preserve">Fifthly, where reasonable people might disagree </w:t>
      </w:r>
      <w:r w:rsidR="00903982">
        <w:rPr>
          <w:rFonts w:ascii="Times New Roman" w:hAnsi="Times New Roman"/>
          <w:szCs w:val="24"/>
        </w:rPr>
        <w:t>on</w:t>
      </w:r>
      <w:r w:rsidR="00296530" w:rsidRPr="008822DF">
        <w:rPr>
          <w:rFonts w:ascii="Times New Roman" w:hAnsi="Times New Roman"/>
          <w:szCs w:val="24"/>
        </w:rPr>
        <w:t xml:space="preserve"> the admissibility of evidence as to the context and purpose of the agreement, courts should err on the side of admitting the evidence. In this regard, there are sufficient checks on “any undue reach of such evidence” because courts would be free to disregard evidence considered not to be sufficiently weighty.</w:t>
      </w:r>
      <w:r w:rsidR="00296530" w:rsidRPr="008822DF">
        <w:rPr>
          <w:rStyle w:val="FootnoteReference"/>
          <w:rFonts w:ascii="Times New Roman" w:hAnsi="Times New Roman"/>
          <w:szCs w:val="24"/>
        </w:rPr>
        <w:footnoteReference w:id="18"/>
      </w:r>
      <w:bookmarkEnd w:id="4"/>
    </w:p>
    <w:p w14:paraId="43E89532" w14:textId="42A939D8" w:rsidR="004426AE"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lastRenderedPageBreak/>
        <w:t>34</w:t>
      </w:r>
      <w:r w:rsidRPr="008822DF">
        <w:rPr>
          <w:rFonts w:ascii="Times New Roman" w:hAnsi="Times New Roman"/>
          <w:szCs w:val="24"/>
        </w:rPr>
        <w:tab/>
      </w:r>
      <w:r w:rsidR="00D86D86" w:rsidRPr="008822DF">
        <w:rPr>
          <w:rFonts w:ascii="Times New Roman" w:hAnsi="Times New Roman"/>
          <w:szCs w:val="24"/>
        </w:rPr>
        <w:t>O</w:t>
      </w:r>
      <w:r w:rsidR="00816AA5" w:rsidRPr="008822DF">
        <w:rPr>
          <w:rFonts w:ascii="Times New Roman" w:hAnsi="Times New Roman"/>
          <w:szCs w:val="24"/>
        </w:rPr>
        <w:t xml:space="preserve">ne possible approach which our courts could adopt in the face of </w:t>
      </w:r>
      <w:r w:rsidR="00816AA5" w:rsidRPr="008822DF">
        <w:rPr>
          <w:rFonts w:ascii="Times New Roman" w:hAnsi="Times New Roman"/>
          <w:i/>
          <w:iCs/>
          <w:szCs w:val="24"/>
        </w:rPr>
        <w:t>University of Johannesburg</w:t>
      </w:r>
      <w:r w:rsidR="00816AA5" w:rsidRPr="008822DF">
        <w:rPr>
          <w:rFonts w:ascii="Times New Roman" w:hAnsi="Times New Roman"/>
          <w:szCs w:val="24"/>
        </w:rPr>
        <w:t xml:space="preserve"> is simply to say that interpretive questions may now never be decided on exception because it is always at least notionally possible that evidence could be led to elucidate the meaning of contractual terms. </w:t>
      </w:r>
      <w:r w:rsidR="004426AE" w:rsidRPr="008822DF">
        <w:rPr>
          <w:rFonts w:ascii="Times New Roman" w:hAnsi="Times New Roman"/>
          <w:szCs w:val="24"/>
        </w:rPr>
        <w:t>This would be an entirely reasonable approach to adopt, taking into account that</w:t>
      </w:r>
      <w:r w:rsidR="00735CA7" w:rsidRPr="008822DF">
        <w:rPr>
          <w:rFonts w:ascii="Times New Roman" w:hAnsi="Times New Roman"/>
          <w:szCs w:val="24"/>
        </w:rPr>
        <w:t>,</w:t>
      </w:r>
      <w:r w:rsidR="004426AE" w:rsidRPr="008822DF">
        <w:rPr>
          <w:rFonts w:ascii="Times New Roman" w:hAnsi="Times New Roman"/>
          <w:szCs w:val="24"/>
        </w:rPr>
        <w:t xml:space="preserve"> even before </w:t>
      </w:r>
      <w:r w:rsidR="004426AE" w:rsidRPr="008822DF">
        <w:rPr>
          <w:rFonts w:ascii="Times New Roman" w:hAnsi="Times New Roman"/>
          <w:i/>
          <w:iCs/>
          <w:szCs w:val="24"/>
        </w:rPr>
        <w:t>University of Johannesburg</w:t>
      </w:r>
      <w:r w:rsidR="004426AE" w:rsidRPr="008822DF">
        <w:rPr>
          <w:rFonts w:ascii="Times New Roman" w:hAnsi="Times New Roman"/>
          <w:szCs w:val="24"/>
        </w:rPr>
        <w:t>, courts were reluctant to decide interpretive issues on exception.</w:t>
      </w:r>
      <w:r w:rsidR="00313C7A" w:rsidRPr="008822DF">
        <w:rPr>
          <w:rStyle w:val="FootnoteReference"/>
          <w:rFonts w:ascii="Times New Roman" w:hAnsi="Times New Roman"/>
          <w:szCs w:val="24"/>
        </w:rPr>
        <w:footnoteReference w:id="19"/>
      </w:r>
      <w:r w:rsidR="004426AE" w:rsidRPr="008822DF">
        <w:rPr>
          <w:rFonts w:ascii="Times New Roman" w:hAnsi="Times New Roman"/>
          <w:szCs w:val="24"/>
        </w:rPr>
        <w:t xml:space="preserve"> </w:t>
      </w:r>
    </w:p>
    <w:p w14:paraId="2DE3679F" w14:textId="25157153" w:rsidR="007F0F14"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35</w:t>
      </w:r>
      <w:r w:rsidRPr="008822DF">
        <w:rPr>
          <w:rFonts w:ascii="Times New Roman" w:hAnsi="Times New Roman"/>
          <w:szCs w:val="24"/>
        </w:rPr>
        <w:tab/>
      </w:r>
      <w:r w:rsidR="0005437C" w:rsidRPr="008822DF">
        <w:rPr>
          <w:rFonts w:ascii="Times New Roman" w:hAnsi="Times New Roman"/>
          <w:szCs w:val="24"/>
        </w:rPr>
        <w:t xml:space="preserve">But the question has to be asked: is there not some sort of duty on a party wishing to adduce such evidence, to make out a case for its admission? So, </w:t>
      </w:r>
      <w:r w:rsidR="00774AF1" w:rsidRPr="008822DF">
        <w:rPr>
          <w:rFonts w:ascii="Times New Roman" w:hAnsi="Times New Roman"/>
          <w:szCs w:val="24"/>
        </w:rPr>
        <w:t>another possible approach is to say that this question must be decided on the facts of each case, taking into account the arguments advanced by the parties and the nature of the interpretive issue</w:t>
      </w:r>
      <w:r w:rsidR="00214F2E">
        <w:rPr>
          <w:rFonts w:ascii="Times New Roman" w:hAnsi="Times New Roman"/>
          <w:szCs w:val="24"/>
        </w:rPr>
        <w:t>s</w:t>
      </w:r>
      <w:r w:rsidR="00774AF1" w:rsidRPr="008822DF">
        <w:rPr>
          <w:rFonts w:ascii="Times New Roman" w:hAnsi="Times New Roman"/>
          <w:szCs w:val="24"/>
        </w:rPr>
        <w:t xml:space="preserve"> raised.</w:t>
      </w:r>
      <w:r w:rsidR="00816AA5" w:rsidRPr="008822DF">
        <w:rPr>
          <w:rFonts w:ascii="Times New Roman" w:hAnsi="Times New Roman"/>
          <w:szCs w:val="24"/>
        </w:rPr>
        <w:t xml:space="preserve"> </w:t>
      </w:r>
      <w:r w:rsidR="000972B4" w:rsidRPr="008822DF">
        <w:rPr>
          <w:rFonts w:ascii="Times New Roman" w:hAnsi="Times New Roman"/>
          <w:szCs w:val="24"/>
        </w:rPr>
        <w:t xml:space="preserve">In the light of the </w:t>
      </w:r>
      <w:r w:rsidR="000972B4" w:rsidRPr="008822DF">
        <w:rPr>
          <w:rFonts w:ascii="Times New Roman" w:hAnsi="Times New Roman"/>
          <w:i/>
          <w:iCs/>
          <w:szCs w:val="24"/>
        </w:rPr>
        <w:t>University of Johannesburg</w:t>
      </w:r>
      <w:r w:rsidR="000972B4" w:rsidRPr="008822DF">
        <w:rPr>
          <w:rFonts w:ascii="Times New Roman" w:hAnsi="Times New Roman"/>
          <w:szCs w:val="24"/>
        </w:rPr>
        <w:t xml:space="preserve">, the </w:t>
      </w:r>
      <w:r w:rsidR="00E61FCD" w:rsidRPr="008822DF">
        <w:rPr>
          <w:rFonts w:ascii="Times New Roman" w:hAnsi="Times New Roman"/>
          <w:szCs w:val="24"/>
        </w:rPr>
        <w:t xml:space="preserve">hurdle to overcome to succeed in a cause of action exception based on the interpretation of a contractual term will necessarily be high. </w:t>
      </w:r>
      <w:r w:rsidR="00965712" w:rsidRPr="008822DF">
        <w:rPr>
          <w:rFonts w:ascii="Times New Roman" w:hAnsi="Times New Roman"/>
          <w:szCs w:val="24"/>
        </w:rPr>
        <w:t xml:space="preserve">As the Court put it in </w:t>
      </w:r>
      <w:r w:rsidR="00965712" w:rsidRPr="008822DF">
        <w:rPr>
          <w:rFonts w:ascii="Times New Roman" w:hAnsi="Times New Roman"/>
          <w:i/>
          <w:iCs/>
          <w:szCs w:val="24"/>
        </w:rPr>
        <w:t>Super Group Trading</w:t>
      </w:r>
      <w:r w:rsidR="00965712" w:rsidRPr="008822DF">
        <w:rPr>
          <w:rFonts w:ascii="Times New Roman" w:hAnsi="Times New Roman"/>
          <w:szCs w:val="24"/>
        </w:rPr>
        <w:t>,</w:t>
      </w:r>
      <w:r w:rsidR="00C900F0" w:rsidRPr="008822DF">
        <w:rPr>
          <w:rStyle w:val="FootnoteReference"/>
          <w:rFonts w:ascii="Times New Roman" w:hAnsi="Times New Roman"/>
          <w:szCs w:val="24"/>
        </w:rPr>
        <w:footnoteReference w:id="20"/>
      </w:r>
      <w:r w:rsidR="00965712" w:rsidRPr="008822DF">
        <w:rPr>
          <w:rFonts w:ascii="Times New Roman" w:hAnsi="Times New Roman"/>
          <w:szCs w:val="24"/>
        </w:rPr>
        <w:t xml:space="preserve"> </w:t>
      </w:r>
      <w:r w:rsidR="00C900F0" w:rsidRPr="008822DF">
        <w:rPr>
          <w:rFonts w:ascii="Times New Roman" w:hAnsi="Times New Roman"/>
          <w:szCs w:val="24"/>
        </w:rPr>
        <w:t xml:space="preserve">even before </w:t>
      </w:r>
      <w:r w:rsidR="00C900F0" w:rsidRPr="008822DF">
        <w:rPr>
          <w:rFonts w:ascii="Times New Roman" w:hAnsi="Times New Roman"/>
          <w:i/>
          <w:iCs/>
          <w:szCs w:val="24"/>
        </w:rPr>
        <w:t>University of Johannesburg</w:t>
      </w:r>
      <w:r w:rsidR="00C900F0" w:rsidRPr="008822DF">
        <w:rPr>
          <w:rFonts w:ascii="Times New Roman" w:hAnsi="Times New Roman"/>
          <w:szCs w:val="24"/>
        </w:rPr>
        <w:t xml:space="preserve"> was decided, </w:t>
      </w:r>
      <w:r w:rsidR="00535AB8" w:rsidRPr="008822DF">
        <w:rPr>
          <w:rFonts w:ascii="Times New Roman" w:hAnsi="Times New Roman"/>
          <w:szCs w:val="24"/>
        </w:rPr>
        <w:t xml:space="preserve">a court on exception will have </w:t>
      </w:r>
      <w:r w:rsidR="00C900F0" w:rsidRPr="008822DF">
        <w:rPr>
          <w:rFonts w:ascii="Times New Roman" w:hAnsi="Times New Roman"/>
          <w:szCs w:val="24"/>
        </w:rPr>
        <w:t>“</w:t>
      </w:r>
      <w:r w:rsidR="00535AB8" w:rsidRPr="008822DF">
        <w:rPr>
          <w:rFonts w:ascii="Times New Roman" w:hAnsi="Times New Roman"/>
          <w:color w:val="000000"/>
          <w:szCs w:val="24"/>
        </w:rPr>
        <w:t>to allow every interpretation that the contract can reasonably bear, rather than choose the most reasonable or business like interpretation in preference to others</w:t>
      </w:r>
      <w:r w:rsidR="00C900F0" w:rsidRPr="008822DF">
        <w:rPr>
          <w:rFonts w:ascii="Times New Roman" w:hAnsi="Times New Roman"/>
          <w:color w:val="000000"/>
          <w:szCs w:val="24"/>
        </w:rPr>
        <w:t>”</w:t>
      </w:r>
      <w:r w:rsidR="00A9087E" w:rsidRPr="008822DF">
        <w:rPr>
          <w:rFonts w:ascii="Times New Roman" w:hAnsi="Times New Roman"/>
          <w:color w:val="000000"/>
          <w:szCs w:val="24"/>
        </w:rPr>
        <w:t xml:space="preserve"> and the excipient must show that on “every reasonable interpretation” of the contract the pleading</w:t>
      </w:r>
      <w:r w:rsidR="00C900F0" w:rsidRPr="008822DF">
        <w:rPr>
          <w:rFonts w:ascii="Times New Roman" w:hAnsi="Times New Roman"/>
          <w:color w:val="000000"/>
          <w:szCs w:val="24"/>
        </w:rPr>
        <w:t xml:space="preserve"> does not disclose a cause of action.</w:t>
      </w:r>
      <w:r w:rsidR="009677D9">
        <w:rPr>
          <w:rFonts w:ascii="Times New Roman" w:hAnsi="Times New Roman"/>
          <w:color w:val="000000"/>
          <w:szCs w:val="24"/>
        </w:rPr>
        <w:t xml:space="preserve"> But just because the hurdle is high, does not mean that it cannot be overcome in appropriate cases.</w:t>
      </w:r>
    </w:p>
    <w:p w14:paraId="5F432FA0" w14:textId="671B8049" w:rsidR="00F45C4E"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36</w:t>
      </w:r>
      <w:r w:rsidRPr="008822DF">
        <w:rPr>
          <w:rFonts w:ascii="Times New Roman" w:hAnsi="Times New Roman"/>
          <w:szCs w:val="24"/>
        </w:rPr>
        <w:tab/>
      </w:r>
      <w:r w:rsidR="007E1141" w:rsidRPr="008822DF">
        <w:rPr>
          <w:rFonts w:ascii="Times New Roman" w:hAnsi="Times New Roman"/>
          <w:szCs w:val="24"/>
        </w:rPr>
        <w:t>I</w:t>
      </w:r>
      <w:r w:rsidR="00F45C4E" w:rsidRPr="008822DF">
        <w:rPr>
          <w:rFonts w:ascii="Times New Roman" w:hAnsi="Times New Roman"/>
          <w:szCs w:val="24"/>
        </w:rPr>
        <w:t>n this case the whole agreement is before court and it has not been suggested</w:t>
      </w:r>
      <w:r w:rsidR="00941C92" w:rsidRPr="008822DF">
        <w:rPr>
          <w:rFonts w:ascii="Times New Roman" w:hAnsi="Times New Roman"/>
          <w:szCs w:val="24"/>
        </w:rPr>
        <w:t xml:space="preserve"> by Standard Bank</w:t>
      </w:r>
      <w:r w:rsidR="00F45C4E" w:rsidRPr="008822DF">
        <w:rPr>
          <w:rFonts w:ascii="Times New Roman" w:hAnsi="Times New Roman"/>
          <w:szCs w:val="24"/>
        </w:rPr>
        <w:t xml:space="preserve">, either in the pleadings or in argument, that any evidence is necessary to elucidate </w:t>
      </w:r>
      <w:r w:rsidR="00F45C4E" w:rsidRPr="008822DF">
        <w:rPr>
          <w:rFonts w:ascii="Times New Roman" w:hAnsi="Times New Roman"/>
          <w:szCs w:val="24"/>
        </w:rPr>
        <w:lastRenderedPageBreak/>
        <w:t>its terms.</w:t>
      </w:r>
      <w:r w:rsidR="00F45C4E" w:rsidRPr="008822DF">
        <w:rPr>
          <w:rStyle w:val="FootnoteReference"/>
          <w:rFonts w:ascii="Times New Roman" w:hAnsi="Times New Roman"/>
          <w:szCs w:val="24"/>
        </w:rPr>
        <w:footnoteReference w:id="21"/>
      </w:r>
      <w:r w:rsidR="00E17A45" w:rsidRPr="008822DF">
        <w:rPr>
          <w:rFonts w:ascii="Times New Roman" w:hAnsi="Times New Roman"/>
          <w:szCs w:val="24"/>
        </w:rPr>
        <w:t xml:space="preserve"> Standard Bank made submissions on its preferred interpretation of the guarantees without suggesting that it would wish to lead evidence as to their proper meaning.</w:t>
      </w:r>
      <w:r w:rsidR="00E579BF" w:rsidRPr="008822DF">
        <w:rPr>
          <w:rFonts w:ascii="Times New Roman" w:hAnsi="Times New Roman"/>
          <w:szCs w:val="24"/>
        </w:rPr>
        <w:t xml:space="preserve"> </w:t>
      </w:r>
    </w:p>
    <w:p w14:paraId="063FA753" w14:textId="72CABF58" w:rsidR="0061760F"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37</w:t>
      </w:r>
      <w:r w:rsidRPr="008822DF">
        <w:rPr>
          <w:rFonts w:ascii="Times New Roman" w:hAnsi="Times New Roman"/>
          <w:szCs w:val="24"/>
        </w:rPr>
        <w:tab/>
      </w:r>
      <w:r w:rsidR="007F66F5" w:rsidRPr="008822DF">
        <w:rPr>
          <w:rFonts w:ascii="Times New Roman" w:hAnsi="Times New Roman"/>
          <w:szCs w:val="24"/>
        </w:rPr>
        <w:t xml:space="preserve">Unless our law has reached a point when it is simply impermissible to decide any question of interpretation on </w:t>
      </w:r>
      <w:r w:rsidR="00C76B48" w:rsidRPr="008822DF">
        <w:rPr>
          <w:rFonts w:ascii="Times New Roman" w:hAnsi="Times New Roman"/>
          <w:szCs w:val="24"/>
        </w:rPr>
        <w:t xml:space="preserve">exception – a point </w:t>
      </w:r>
      <w:r w:rsidR="00D137C8">
        <w:rPr>
          <w:rFonts w:ascii="Times New Roman" w:hAnsi="Times New Roman"/>
          <w:szCs w:val="24"/>
        </w:rPr>
        <w:t xml:space="preserve">that </w:t>
      </w:r>
      <w:r w:rsidR="00C76B48" w:rsidRPr="008822DF">
        <w:rPr>
          <w:rFonts w:ascii="Times New Roman" w:hAnsi="Times New Roman"/>
          <w:szCs w:val="24"/>
        </w:rPr>
        <w:t>I do not believe has yet been reached – it has to be possible in appropriate case for courts to reach decisive outcomes on questions of law raised on exception.</w:t>
      </w:r>
      <w:r w:rsidR="00941C92" w:rsidRPr="008822DF">
        <w:rPr>
          <w:rFonts w:ascii="Times New Roman" w:hAnsi="Times New Roman"/>
          <w:szCs w:val="24"/>
        </w:rPr>
        <w:t xml:space="preserve"> Crucially, this is particularly the case where the party on the other side of the exception does not identify any evidence which might be relevant to the interpretive exercise or argue that the exception should be dismissed </w:t>
      </w:r>
      <w:r w:rsidR="00E02D1D" w:rsidRPr="008822DF">
        <w:rPr>
          <w:rFonts w:ascii="Times New Roman" w:hAnsi="Times New Roman"/>
          <w:szCs w:val="24"/>
        </w:rPr>
        <w:t>because some sort of evidence may need to be led</w:t>
      </w:r>
      <w:r w:rsidR="00D137C8">
        <w:rPr>
          <w:rFonts w:ascii="Times New Roman" w:hAnsi="Times New Roman"/>
          <w:szCs w:val="24"/>
        </w:rPr>
        <w:t xml:space="preserve"> (as, for instance, Standard Bank did in the case of the first exception)</w:t>
      </w:r>
      <w:r w:rsidR="00E02D1D" w:rsidRPr="008822DF">
        <w:rPr>
          <w:rFonts w:ascii="Times New Roman" w:hAnsi="Times New Roman"/>
          <w:szCs w:val="24"/>
        </w:rPr>
        <w:t xml:space="preserve">. </w:t>
      </w:r>
      <w:r w:rsidR="009B172F" w:rsidRPr="008822DF">
        <w:rPr>
          <w:rFonts w:ascii="Times New Roman" w:hAnsi="Times New Roman"/>
          <w:szCs w:val="24"/>
        </w:rPr>
        <w:t xml:space="preserve">Reasoning from the premise </w:t>
      </w:r>
      <w:r w:rsidR="00120062" w:rsidRPr="008822DF">
        <w:rPr>
          <w:rFonts w:ascii="Times New Roman" w:hAnsi="Times New Roman"/>
          <w:szCs w:val="24"/>
        </w:rPr>
        <w:t xml:space="preserve">(which, I have made clear above, I intend to do) that there is no categorical rule against deciding interpretive issues on exception, </w:t>
      </w:r>
      <w:r w:rsidR="00034602" w:rsidRPr="008822DF">
        <w:rPr>
          <w:rFonts w:ascii="Times New Roman" w:hAnsi="Times New Roman"/>
          <w:szCs w:val="24"/>
        </w:rPr>
        <w:t>the fact that no relevant evidence has been identified by the parties is an important consideration</w:t>
      </w:r>
      <w:r w:rsidR="00927971" w:rsidRPr="008822DF">
        <w:rPr>
          <w:rFonts w:ascii="Times New Roman" w:hAnsi="Times New Roman"/>
          <w:szCs w:val="24"/>
        </w:rPr>
        <w:t>.</w:t>
      </w:r>
      <w:r w:rsidR="00034602" w:rsidRPr="008822DF">
        <w:rPr>
          <w:rFonts w:ascii="Times New Roman" w:hAnsi="Times New Roman"/>
          <w:szCs w:val="24"/>
        </w:rPr>
        <w:t xml:space="preserve"> Where a party on the receiving end of an exception does not adopt </w:t>
      </w:r>
      <w:r w:rsidR="00BC6EA9">
        <w:rPr>
          <w:rFonts w:ascii="Times New Roman" w:hAnsi="Times New Roman"/>
          <w:szCs w:val="24"/>
        </w:rPr>
        <w:t>the position that further evidence is necessary</w:t>
      </w:r>
      <w:r w:rsidR="00034602" w:rsidRPr="008822DF">
        <w:rPr>
          <w:rFonts w:ascii="Times New Roman" w:hAnsi="Times New Roman"/>
          <w:szCs w:val="24"/>
        </w:rPr>
        <w:t>, the Court is left to speculate about what evidence could possibly be relevant to the interpretive exercise.</w:t>
      </w:r>
      <w:r w:rsidR="008A7827" w:rsidRPr="008822DF">
        <w:rPr>
          <w:rFonts w:ascii="Times New Roman" w:hAnsi="Times New Roman"/>
          <w:szCs w:val="24"/>
        </w:rPr>
        <w:t xml:space="preserve"> This is undesirable.</w:t>
      </w:r>
      <w:r w:rsidR="00F1320A" w:rsidRPr="008822DF">
        <w:rPr>
          <w:rFonts w:ascii="Times New Roman" w:hAnsi="Times New Roman"/>
          <w:szCs w:val="24"/>
        </w:rPr>
        <w:t xml:space="preserve"> Not only is it inconsistent with our adversarial approach to civil litigation, but it </w:t>
      </w:r>
      <w:r w:rsidR="007D5767" w:rsidRPr="008822DF">
        <w:rPr>
          <w:rFonts w:ascii="Times New Roman" w:hAnsi="Times New Roman"/>
          <w:szCs w:val="24"/>
        </w:rPr>
        <w:t xml:space="preserve">creates a situation where the court, by dismissing the exception, invites the leading of evidence in the pending trial which </w:t>
      </w:r>
      <w:r w:rsidR="00E267D7" w:rsidRPr="008822DF">
        <w:rPr>
          <w:rFonts w:ascii="Times New Roman" w:hAnsi="Times New Roman"/>
          <w:szCs w:val="24"/>
        </w:rPr>
        <w:t>may have no utility whatsoever in determining the proper meaning of the contract.</w:t>
      </w:r>
      <w:r w:rsidR="00BF6584">
        <w:rPr>
          <w:rFonts w:ascii="Times New Roman" w:hAnsi="Times New Roman"/>
          <w:szCs w:val="24"/>
        </w:rPr>
        <w:t xml:space="preserve"> Or, to put it slightly differently, it invites a situation where the court dismisses the exception on the speculative basis that further evidence may be necessary</w:t>
      </w:r>
      <w:r w:rsidR="00994CDD">
        <w:rPr>
          <w:rFonts w:ascii="Times New Roman" w:hAnsi="Times New Roman"/>
          <w:szCs w:val="24"/>
        </w:rPr>
        <w:t>,</w:t>
      </w:r>
      <w:r w:rsidR="00BF6584">
        <w:rPr>
          <w:rFonts w:ascii="Times New Roman" w:hAnsi="Times New Roman"/>
          <w:szCs w:val="24"/>
        </w:rPr>
        <w:t xml:space="preserve"> and it then turns out at trial that there is no further relevant evidence to </w:t>
      </w:r>
      <w:r w:rsidR="00994CDD">
        <w:rPr>
          <w:rFonts w:ascii="Times New Roman" w:hAnsi="Times New Roman"/>
          <w:szCs w:val="24"/>
        </w:rPr>
        <w:t xml:space="preserve">be </w:t>
      </w:r>
      <w:r w:rsidR="00BF6584">
        <w:rPr>
          <w:rFonts w:ascii="Times New Roman" w:hAnsi="Times New Roman"/>
          <w:szCs w:val="24"/>
        </w:rPr>
        <w:t>led.</w:t>
      </w:r>
    </w:p>
    <w:p w14:paraId="4C335D5C" w14:textId="20B249ED" w:rsidR="009F49C3"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lastRenderedPageBreak/>
        <w:t>38</w:t>
      </w:r>
      <w:r w:rsidRPr="008822DF">
        <w:rPr>
          <w:rFonts w:ascii="Times New Roman" w:hAnsi="Times New Roman"/>
          <w:szCs w:val="24"/>
        </w:rPr>
        <w:tab/>
      </w:r>
      <w:r w:rsidR="00DC3073" w:rsidRPr="008822DF">
        <w:rPr>
          <w:rFonts w:ascii="Times New Roman" w:hAnsi="Times New Roman"/>
          <w:szCs w:val="24"/>
        </w:rPr>
        <w:t xml:space="preserve">In my view, there is no other interpretation of clause 8.3 of the guarantee which is plausible, other than the interpretation advanced by the defendants. </w:t>
      </w:r>
      <w:r w:rsidR="00EF21A7" w:rsidRPr="008822DF">
        <w:rPr>
          <w:rFonts w:ascii="Times New Roman" w:hAnsi="Times New Roman"/>
          <w:szCs w:val="24"/>
        </w:rPr>
        <w:t xml:space="preserve">Put differently: it is clear to me that, in order to ground a cause of action in terms of clause 8.3, it is necessary for Standard Bank to plead that it </w:t>
      </w:r>
      <w:r w:rsidR="00CE088A" w:rsidRPr="008822DF">
        <w:rPr>
          <w:rFonts w:ascii="Times New Roman" w:hAnsi="Times New Roman"/>
          <w:szCs w:val="24"/>
        </w:rPr>
        <w:t xml:space="preserve">issued a written notice requiring the guarantee defendant </w:t>
      </w:r>
      <w:r w:rsidR="00896F2F">
        <w:rPr>
          <w:rFonts w:ascii="Times New Roman" w:hAnsi="Times New Roman"/>
          <w:szCs w:val="24"/>
        </w:rPr>
        <w:t xml:space="preserve">in question </w:t>
      </w:r>
      <w:r w:rsidR="00CE088A" w:rsidRPr="008822DF">
        <w:rPr>
          <w:rFonts w:ascii="Times New Roman" w:hAnsi="Times New Roman"/>
          <w:szCs w:val="24"/>
        </w:rPr>
        <w:t>to pay the amount claimed within 7 days. I say this for the reasons given below.</w:t>
      </w:r>
    </w:p>
    <w:p w14:paraId="3BF2D5AC" w14:textId="1876CD65" w:rsidR="00CE088A"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39</w:t>
      </w:r>
      <w:r w:rsidRPr="008822DF">
        <w:rPr>
          <w:rFonts w:ascii="Times New Roman" w:hAnsi="Times New Roman"/>
          <w:szCs w:val="24"/>
        </w:rPr>
        <w:tab/>
      </w:r>
      <w:r w:rsidR="00906BA8" w:rsidRPr="008822DF">
        <w:rPr>
          <w:rFonts w:ascii="Times New Roman" w:hAnsi="Times New Roman"/>
          <w:szCs w:val="24"/>
        </w:rPr>
        <w:t>Standard Bank’s argument on the proper construction of this clause may be summarised as follows:</w:t>
      </w:r>
    </w:p>
    <w:p w14:paraId="7F71B037" w14:textId="1EF7835A" w:rsidR="00906BA8" w:rsidRPr="008822DF" w:rsidRDefault="008327FE" w:rsidP="008327FE">
      <w:pPr>
        <w:pStyle w:val="WLGLevel2"/>
        <w:numPr>
          <w:ilvl w:val="0"/>
          <w:numId w:val="0"/>
        </w:numPr>
        <w:tabs>
          <w:tab w:val="left" w:pos="1361"/>
        </w:tabs>
        <w:ind w:left="1361" w:hanging="794"/>
        <w:rPr>
          <w:rFonts w:ascii="Times New Roman" w:hAnsi="Times New Roman"/>
          <w:szCs w:val="24"/>
        </w:rPr>
      </w:pPr>
      <w:r w:rsidRPr="008822DF">
        <w:rPr>
          <w:rFonts w:ascii="Times New Roman" w:hAnsi="Times New Roman"/>
          <w:szCs w:val="24"/>
        </w:rPr>
        <w:t>39.1</w:t>
      </w:r>
      <w:r w:rsidRPr="008822DF">
        <w:rPr>
          <w:rFonts w:ascii="Times New Roman" w:hAnsi="Times New Roman"/>
          <w:szCs w:val="24"/>
        </w:rPr>
        <w:tab/>
      </w:r>
      <w:r w:rsidR="00906BA8" w:rsidRPr="008822DF">
        <w:rPr>
          <w:rFonts w:ascii="Times New Roman" w:hAnsi="Times New Roman"/>
          <w:szCs w:val="24"/>
        </w:rPr>
        <w:t xml:space="preserve">The </w:t>
      </w:r>
      <w:r w:rsidR="00296378" w:rsidRPr="008822DF">
        <w:rPr>
          <w:rFonts w:ascii="Times New Roman" w:hAnsi="Times New Roman"/>
          <w:szCs w:val="24"/>
        </w:rPr>
        <w:t xml:space="preserve">need to issue a written </w:t>
      </w:r>
      <w:r w:rsidR="00B37589" w:rsidRPr="008822DF">
        <w:rPr>
          <w:rFonts w:ascii="Times New Roman" w:hAnsi="Times New Roman"/>
          <w:szCs w:val="24"/>
        </w:rPr>
        <w:t>notice only arises in cases of breach other than a failure to pay an amount payable by the Guarantor.</w:t>
      </w:r>
    </w:p>
    <w:p w14:paraId="3C6F4E70" w14:textId="54A026A6" w:rsidR="00B37589" w:rsidRPr="008822DF" w:rsidRDefault="008327FE" w:rsidP="008327FE">
      <w:pPr>
        <w:pStyle w:val="WLGLevel2"/>
        <w:numPr>
          <w:ilvl w:val="0"/>
          <w:numId w:val="0"/>
        </w:numPr>
        <w:tabs>
          <w:tab w:val="left" w:pos="1361"/>
        </w:tabs>
        <w:ind w:left="1361" w:hanging="794"/>
        <w:rPr>
          <w:rFonts w:ascii="Times New Roman" w:hAnsi="Times New Roman"/>
          <w:szCs w:val="24"/>
        </w:rPr>
      </w:pPr>
      <w:r w:rsidRPr="008822DF">
        <w:rPr>
          <w:rFonts w:ascii="Times New Roman" w:hAnsi="Times New Roman"/>
          <w:szCs w:val="24"/>
        </w:rPr>
        <w:t>39.2</w:t>
      </w:r>
      <w:r w:rsidRPr="008822DF">
        <w:rPr>
          <w:rFonts w:ascii="Times New Roman" w:hAnsi="Times New Roman"/>
          <w:szCs w:val="24"/>
        </w:rPr>
        <w:tab/>
      </w:r>
      <w:r w:rsidR="00DD674E" w:rsidRPr="008822DF">
        <w:rPr>
          <w:rFonts w:ascii="Times New Roman" w:hAnsi="Times New Roman"/>
          <w:szCs w:val="24"/>
        </w:rPr>
        <w:t>This arises from the use of the word “or” in clause 8.3.2 of the guarantee. On this construction, the notice only relates to all of the words which follow the “or” in clause 8.3.2.</w:t>
      </w:r>
    </w:p>
    <w:p w14:paraId="5BD9B95B" w14:textId="10958F1E" w:rsidR="00DD674E" w:rsidRPr="008822DF" w:rsidRDefault="008327FE" w:rsidP="008327FE">
      <w:pPr>
        <w:pStyle w:val="WLGLevel2"/>
        <w:numPr>
          <w:ilvl w:val="0"/>
          <w:numId w:val="0"/>
        </w:numPr>
        <w:tabs>
          <w:tab w:val="left" w:pos="1361"/>
        </w:tabs>
        <w:ind w:left="1361" w:hanging="794"/>
        <w:rPr>
          <w:rFonts w:ascii="Times New Roman" w:hAnsi="Times New Roman"/>
          <w:szCs w:val="24"/>
        </w:rPr>
      </w:pPr>
      <w:r w:rsidRPr="008822DF">
        <w:rPr>
          <w:rFonts w:ascii="Times New Roman" w:hAnsi="Times New Roman"/>
          <w:szCs w:val="24"/>
        </w:rPr>
        <w:t>39.3</w:t>
      </w:r>
      <w:r w:rsidRPr="008822DF">
        <w:rPr>
          <w:rFonts w:ascii="Times New Roman" w:hAnsi="Times New Roman"/>
          <w:szCs w:val="24"/>
        </w:rPr>
        <w:tab/>
      </w:r>
      <w:r w:rsidR="00DD674E" w:rsidRPr="008822DF">
        <w:rPr>
          <w:rFonts w:ascii="Times New Roman" w:hAnsi="Times New Roman"/>
          <w:szCs w:val="24"/>
        </w:rPr>
        <w:t xml:space="preserve">This interpretation is buttressed by clause </w:t>
      </w:r>
      <w:r w:rsidR="0009735C" w:rsidRPr="008822DF">
        <w:rPr>
          <w:rFonts w:ascii="Times New Roman" w:hAnsi="Times New Roman"/>
          <w:szCs w:val="24"/>
        </w:rPr>
        <w:t>1.1.1.2 of the guarantee, which provides that one of the obligations on the guarantor is to “pay to the Bank, on first written demand from the Bank and without delay, any and all amounts which are or may become due and payable in respect of the Debts”. Standard Bank argues that this clause would be rendered redundant, if the agreement has to be interpreted to require the guarantor to be given seven days to pay (as opposed to being obliged to pay “without delay”).</w:t>
      </w:r>
    </w:p>
    <w:p w14:paraId="75D75DA9" w14:textId="537D7F9D" w:rsidR="00B54EA8" w:rsidRPr="008822DF" w:rsidRDefault="008327FE" w:rsidP="008327FE">
      <w:pPr>
        <w:pStyle w:val="WLGLevel2"/>
        <w:numPr>
          <w:ilvl w:val="0"/>
          <w:numId w:val="0"/>
        </w:numPr>
        <w:tabs>
          <w:tab w:val="left" w:pos="1361"/>
        </w:tabs>
        <w:ind w:left="1361" w:hanging="794"/>
        <w:rPr>
          <w:rFonts w:ascii="Times New Roman" w:hAnsi="Times New Roman"/>
          <w:szCs w:val="24"/>
        </w:rPr>
      </w:pPr>
      <w:r w:rsidRPr="008822DF">
        <w:rPr>
          <w:rFonts w:ascii="Times New Roman" w:hAnsi="Times New Roman"/>
          <w:szCs w:val="24"/>
        </w:rPr>
        <w:t>39.4</w:t>
      </w:r>
      <w:r w:rsidRPr="008822DF">
        <w:rPr>
          <w:rFonts w:ascii="Times New Roman" w:hAnsi="Times New Roman"/>
          <w:szCs w:val="24"/>
        </w:rPr>
        <w:tab/>
      </w:r>
      <w:r w:rsidR="007C35FF" w:rsidRPr="008822DF">
        <w:rPr>
          <w:rFonts w:ascii="Times New Roman" w:hAnsi="Times New Roman"/>
          <w:szCs w:val="24"/>
        </w:rPr>
        <w:t xml:space="preserve">The </w:t>
      </w:r>
      <w:r w:rsidR="007C35FF" w:rsidRPr="008822DF">
        <w:rPr>
          <w:rFonts w:ascii="Times New Roman" w:hAnsi="Times New Roman"/>
          <w:i/>
          <w:iCs/>
          <w:szCs w:val="24"/>
        </w:rPr>
        <w:t>Hand</w:t>
      </w:r>
      <w:r w:rsidR="007C35FF" w:rsidRPr="008822DF">
        <w:rPr>
          <w:rFonts w:ascii="Times New Roman" w:hAnsi="Times New Roman"/>
          <w:szCs w:val="24"/>
        </w:rPr>
        <w:t xml:space="preserve"> decision is authority for the proposition that “unless a clause </w:t>
      </w:r>
      <w:r w:rsidR="00113FAE" w:rsidRPr="008822DF">
        <w:rPr>
          <w:rFonts w:ascii="Times New Roman" w:hAnsi="Times New Roman"/>
          <w:szCs w:val="24"/>
        </w:rPr>
        <w:t xml:space="preserve">in an agreement can be interpreted to require demand, prior to the institution of </w:t>
      </w:r>
      <w:r w:rsidR="00113FAE" w:rsidRPr="008822DF">
        <w:rPr>
          <w:rFonts w:ascii="Times New Roman" w:hAnsi="Times New Roman"/>
          <w:szCs w:val="24"/>
        </w:rPr>
        <w:lastRenderedPageBreak/>
        <w:t xml:space="preserve">proceedings, demand for payment can be made in a summons. In addition, the clause [ie, </w:t>
      </w:r>
      <w:r w:rsidR="00B060F3" w:rsidRPr="008822DF">
        <w:rPr>
          <w:rFonts w:ascii="Times New Roman" w:hAnsi="Times New Roman"/>
          <w:szCs w:val="24"/>
        </w:rPr>
        <w:t xml:space="preserve">the relevant clause </w:t>
      </w:r>
      <w:r w:rsidR="00113FAE" w:rsidRPr="008822DF">
        <w:rPr>
          <w:rFonts w:ascii="Times New Roman" w:hAnsi="Times New Roman"/>
          <w:szCs w:val="24"/>
        </w:rPr>
        <w:t xml:space="preserve">in </w:t>
      </w:r>
      <w:r w:rsidR="00113FAE" w:rsidRPr="0096525D">
        <w:rPr>
          <w:rFonts w:ascii="Times New Roman" w:hAnsi="Times New Roman"/>
          <w:i/>
          <w:iCs/>
          <w:szCs w:val="24"/>
        </w:rPr>
        <w:t>Hand</w:t>
      </w:r>
      <w:r w:rsidR="00113FAE" w:rsidRPr="008822DF">
        <w:rPr>
          <w:rFonts w:ascii="Times New Roman" w:hAnsi="Times New Roman"/>
          <w:szCs w:val="24"/>
        </w:rPr>
        <w:t>] was interp</w:t>
      </w:r>
      <w:r w:rsidR="00B060F3" w:rsidRPr="008822DF">
        <w:rPr>
          <w:rFonts w:ascii="Times New Roman" w:hAnsi="Times New Roman"/>
          <w:szCs w:val="24"/>
        </w:rPr>
        <w:t>reted as</w:t>
      </w:r>
      <w:r w:rsidR="00AF161E" w:rsidRPr="008822DF">
        <w:rPr>
          <w:rFonts w:ascii="Times New Roman" w:hAnsi="Times New Roman"/>
          <w:szCs w:val="24"/>
        </w:rPr>
        <w:t xml:space="preserve"> requiring a three</w:t>
      </w:r>
      <w:r w:rsidR="0096525D">
        <w:rPr>
          <w:rFonts w:ascii="Times New Roman" w:hAnsi="Times New Roman"/>
          <w:szCs w:val="24"/>
        </w:rPr>
        <w:t>-</w:t>
      </w:r>
      <w:r w:rsidR="00AF161E" w:rsidRPr="008822DF">
        <w:rPr>
          <w:rFonts w:ascii="Times New Roman" w:hAnsi="Times New Roman"/>
          <w:szCs w:val="24"/>
        </w:rPr>
        <w:t>step process, being breach, demand, summons and then only legal action”</w:t>
      </w:r>
      <w:r w:rsidR="00B060F3" w:rsidRPr="008822DF">
        <w:rPr>
          <w:rFonts w:ascii="Times New Roman" w:hAnsi="Times New Roman"/>
          <w:szCs w:val="24"/>
        </w:rPr>
        <w:t xml:space="preserve"> </w:t>
      </w:r>
      <w:r w:rsidR="007C35FF" w:rsidRPr="008822DF">
        <w:rPr>
          <w:rFonts w:ascii="Times New Roman" w:hAnsi="Times New Roman"/>
          <w:szCs w:val="24"/>
        </w:rPr>
        <w:t>(I quote here from Standard Bank’s supplementary submissions, filed after the hearing in this matter).</w:t>
      </w:r>
    </w:p>
    <w:p w14:paraId="5FF06C7A" w14:textId="70FA7593" w:rsidR="00AF161E"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40</w:t>
      </w:r>
      <w:r w:rsidRPr="008822DF">
        <w:rPr>
          <w:rFonts w:ascii="Times New Roman" w:hAnsi="Times New Roman"/>
          <w:szCs w:val="24"/>
        </w:rPr>
        <w:tab/>
      </w:r>
      <w:r w:rsidR="00AF161E" w:rsidRPr="008822DF">
        <w:rPr>
          <w:rFonts w:ascii="Times New Roman" w:hAnsi="Times New Roman"/>
          <w:szCs w:val="24"/>
        </w:rPr>
        <w:t xml:space="preserve">To dispense </w:t>
      </w:r>
      <w:r w:rsidR="008003DB" w:rsidRPr="008822DF">
        <w:rPr>
          <w:rFonts w:ascii="Times New Roman" w:hAnsi="Times New Roman"/>
          <w:szCs w:val="24"/>
        </w:rPr>
        <w:t xml:space="preserve">with the reliance on </w:t>
      </w:r>
      <w:r w:rsidR="008003DB" w:rsidRPr="008822DF">
        <w:rPr>
          <w:rFonts w:ascii="Times New Roman" w:hAnsi="Times New Roman"/>
          <w:i/>
          <w:iCs/>
          <w:szCs w:val="24"/>
        </w:rPr>
        <w:t>Hand</w:t>
      </w:r>
      <w:r w:rsidR="00525276" w:rsidRPr="008822DF">
        <w:rPr>
          <w:rFonts w:ascii="Times New Roman" w:hAnsi="Times New Roman"/>
          <w:szCs w:val="24"/>
        </w:rPr>
        <w:t xml:space="preserve"> first: even as characterised in Standard Bank’s own supplementary submissions, the case is clearly distinguishable. It related to a clause </w:t>
      </w:r>
      <w:r w:rsidR="00E51014" w:rsidRPr="008822DF">
        <w:rPr>
          <w:rFonts w:ascii="Times New Roman" w:hAnsi="Times New Roman"/>
          <w:szCs w:val="24"/>
        </w:rPr>
        <w:t>which entitled Standard Bank to cancel an agreement “after due demand”. So the interpretive work done by the court referred to this specific wording, which is different wording than that which arises from clause 8.3 of the guarantee.</w:t>
      </w:r>
    </w:p>
    <w:p w14:paraId="00C09141" w14:textId="0127DA9D" w:rsidR="006A0EF2"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41</w:t>
      </w:r>
      <w:r w:rsidRPr="008822DF">
        <w:rPr>
          <w:rFonts w:ascii="Times New Roman" w:hAnsi="Times New Roman"/>
          <w:szCs w:val="24"/>
        </w:rPr>
        <w:tab/>
      </w:r>
      <w:r w:rsidR="006A0EF2" w:rsidRPr="008822DF">
        <w:rPr>
          <w:rFonts w:ascii="Times New Roman" w:hAnsi="Times New Roman"/>
          <w:szCs w:val="24"/>
        </w:rPr>
        <w:t xml:space="preserve">So, leaving </w:t>
      </w:r>
      <w:r w:rsidR="006A0EF2" w:rsidRPr="008822DF">
        <w:rPr>
          <w:rFonts w:ascii="Times New Roman" w:hAnsi="Times New Roman"/>
          <w:i/>
          <w:iCs/>
          <w:szCs w:val="24"/>
        </w:rPr>
        <w:t xml:space="preserve">Hand </w:t>
      </w:r>
      <w:r w:rsidR="006A0EF2" w:rsidRPr="008822DF">
        <w:rPr>
          <w:rFonts w:ascii="Times New Roman" w:hAnsi="Times New Roman"/>
          <w:szCs w:val="24"/>
        </w:rPr>
        <w:t>aside, what is the correct interpretation of clause 8.3?</w:t>
      </w:r>
      <w:r w:rsidR="00C47108" w:rsidRPr="008822DF">
        <w:rPr>
          <w:rFonts w:ascii="Times New Roman" w:hAnsi="Times New Roman"/>
          <w:szCs w:val="24"/>
        </w:rPr>
        <w:t xml:space="preserve"> If Standard Bank’s interpretation of clause 8.3 were correct, then there is </w:t>
      </w:r>
      <w:r w:rsidR="00535F66" w:rsidRPr="008822DF">
        <w:rPr>
          <w:rFonts w:ascii="Times New Roman" w:hAnsi="Times New Roman"/>
          <w:szCs w:val="24"/>
        </w:rPr>
        <w:t>complete repetition, on the issue of a failure to pay, in clauses 8.3.1 and 8.3.2. In the supplementary heads of argument, Standard Bank says that the true interpretation of clause 8.3 is</w:t>
      </w:r>
      <w:r w:rsidR="004F7215" w:rsidRPr="008822DF">
        <w:rPr>
          <w:rFonts w:ascii="Times New Roman" w:hAnsi="Times New Roman"/>
          <w:szCs w:val="24"/>
        </w:rPr>
        <w:t>:</w:t>
      </w:r>
    </w:p>
    <w:p w14:paraId="11154207" w14:textId="77777777" w:rsidR="004F7215" w:rsidRPr="008822DF" w:rsidRDefault="004F7215" w:rsidP="00B507BE">
      <w:pPr>
        <w:pStyle w:val="BodyTextIndent"/>
        <w:spacing w:line="240" w:lineRule="auto"/>
        <w:ind w:firstLine="567"/>
        <w:rPr>
          <w:rFonts w:ascii="Times New Roman" w:hAnsi="Times New Roman"/>
          <w:szCs w:val="24"/>
        </w:rPr>
      </w:pPr>
      <w:r w:rsidRPr="008822DF">
        <w:rPr>
          <w:rFonts w:ascii="Times New Roman" w:hAnsi="Times New Roman"/>
          <w:szCs w:val="24"/>
        </w:rPr>
        <w:t>8.3 If the Guarantor:</w:t>
      </w:r>
    </w:p>
    <w:p w14:paraId="55D9E240" w14:textId="19602041" w:rsidR="004F7215" w:rsidRPr="008822DF" w:rsidRDefault="004F7215" w:rsidP="00B507BE">
      <w:pPr>
        <w:pStyle w:val="BodyTextIndent"/>
        <w:spacing w:line="240" w:lineRule="auto"/>
        <w:ind w:left="1701"/>
        <w:rPr>
          <w:rFonts w:ascii="Times New Roman" w:hAnsi="Times New Roman"/>
          <w:szCs w:val="24"/>
        </w:rPr>
      </w:pPr>
      <w:r w:rsidRPr="008822DF">
        <w:rPr>
          <w:rFonts w:ascii="Times New Roman" w:hAnsi="Times New Roman"/>
          <w:szCs w:val="24"/>
        </w:rPr>
        <w:t>8.3.1 fails to pay an amount payable by the Guarantor to the Bank on the date that such amount becomes payable and fails to pay the amount; or</w:t>
      </w:r>
    </w:p>
    <w:p w14:paraId="18D4CF81" w14:textId="0B2D1640" w:rsidR="004F7215" w:rsidRPr="008822DF" w:rsidRDefault="004F7215" w:rsidP="00B507BE">
      <w:pPr>
        <w:pStyle w:val="BodyTextIndent"/>
        <w:spacing w:line="240" w:lineRule="auto"/>
        <w:ind w:left="1701"/>
        <w:rPr>
          <w:rFonts w:ascii="Times New Roman" w:hAnsi="Times New Roman"/>
          <w:szCs w:val="24"/>
        </w:rPr>
      </w:pPr>
      <w:r w:rsidRPr="008822DF">
        <w:rPr>
          <w:rFonts w:ascii="Times New Roman" w:hAnsi="Times New Roman"/>
          <w:szCs w:val="24"/>
        </w:rPr>
        <w:t>8.3.2 if the Guarantor breach</w:t>
      </w:r>
      <w:r w:rsidR="00680994">
        <w:rPr>
          <w:rFonts w:ascii="Times New Roman" w:hAnsi="Times New Roman"/>
          <w:szCs w:val="24"/>
        </w:rPr>
        <w:t>es</w:t>
      </w:r>
      <w:r w:rsidRPr="008822DF">
        <w:rPr>
          <w:rFonts w:ascii="Times New Roman" w:hAnsi="Times New Roman"/>
          <w:szCs w:val="24"/>
        </w:rPr>
        <w:t xml:space="preserve"> any of the provisions of the Guarantee and fails</w:t>
      </w:r>
      <w:r w:rsidR="00B507BE" w:rsidRPr="008822DF">
        <w:rPr>
          <w:rFonts w:ascii="Times New Roman" w:hAnsi="Times New Roman"/>
          <w:szCs w:val="24"/>
        </w:rPr>
        <w:t xml:space="preserve"> </w:t>
      </w:r>
      <w:r w:rsidRPr="008822DF">
        <w:rPr>
          <w:rFonts w:ascii="Times New Roman" w:hAnsi="Times New Roman"/>
          <w:szCs w:val="24"/>
        </w:rPr>
        <w:t>to remedy the breach within 7 (seven) Business Days of the date of</w:t>
      </w:r>
      <w:r w:rsidR="00B507BE" w:rsidRPr="008822DF">
        <w:rPr>
          <w:rFonts w:ascii="Times New Roman" w:hAnsi="Times New Roman"/>
          <w:szCs w:val="24"/>
        </w:rPr>
        <w:t xml:space="preserve"> </w:t>
      </w:r>
      <w:r w:rsidRPr="008822DF">
        <w:rPr>
          <w:rFonts w:ascii="Times New Roman" w:hAnsi="Times New Roman"/>
          <w:szCs w:val="24"/>
        </w:rPr>
        <w:t>receipt of the written notice requiring the Guarantor to do so,</w:t>
      </w:r>
    </w:p>
    <w:p w14:paraId="6303D6F5" w14:textId="5DB6FBA4" w:rsidR="004F7215" w:rsidRPr="008822DF" w:rsidRDefault="004F7215" w:rsidP="00B507BE">
      <w:pPr>
        <w:pStyle w:val="BodyTextIndent"/>
        <w:spacing w:line="240" w:lineRule="auto"/>
        <w:ind w:left="1134"/>
        <w:rPr>
          <w:rFonts w:ascii="Times New Roman" w:hAnsi="Times New Roman"/>
          <w:color w:val="979797"/>
          <w:szCs w:val="24"/>
        </w:rPr>
      </w:pPr>
      <w:r w:rsidRPr="008822DF">
        <w:rPr>
          <w:rFonts w:ascii="Times New Roman" w:hAnsi="Times New Roman"/>
          <w:szCs w:val="24"/>
        </w:rPr>
        <w:t>then the Bank shall be entitled, without notice, to claim specific performance from the</w:t>
      </w:r>
      <w:r w:rsidR="00B507BE" w:rsidRPr="008822DF">
        <w:rPr>
          <w:rFonts w:ascii="Times New Roman" w:hAnsi="Times New Roman"/>
          <w:szCs w:val="24"/>
        </w:rPr>
        <w:t xml:space="preserve"> </w:t>
      </w:r>
      <w:r w:rsidRPr="008822DF">
        <w:rPr>
          <w:rFonts w:ascii="Times New Roman" w:hAnsi="Times New Roman"/>
          <w:szCs w:val="24"/>
        </w:rPr>
        <w:t>Guarantor without prejudice to any other rights the Bank may have, including the right</w:t>
      </w:r>
      <w:r w:rsidR="00B507BE" w:rsidRPr="008822DF">
        <w:rPr>
          <w:rFonts w:ascii="Times New Roman" w:hAnsi="Times New Roman"/>
          <w:szCs w:val="24"/>
        </w:rPr>
        <w:t xml:space="preserve"> </w:t>
      </w:r>
      <w:r w:rsidRPr="008822DF">
        <w:rPr>
          <w:rFonts w:ascii="Times New Roman" w:hAnsi="Times New Roman"/>
          <w:szCs w:val="24"/>
        </w:rPr>
        <w:t>to claim damages.” [my emphasis]</w:t>
      </w:r>
    </w:p>
    <w:p w14:paraId="4C41BDA5" w14:textId="2B55443E" w:rsidR="004F7215"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42</w:t>
      </w:r>
      <w:r w:rsidRPr="008822DF">
        <w:rPr>
          <w:rFonts w:ascii="Times New Roman" w:hAnsi="Times New Roman"/>
          <w:szCs w:val="24"/>
        </w:rPr>
        <w:tab/>
      </w:r>
      <w:r w:rsidR="003A77B7" w:rsidRPr="008822DF">
        <w:rPr>
          <w:rFonts w:ascii="Times New Roman" w:hAnsi="Times New Roman"/>
          <w:szCs w:val="24"/>
        </w:rPr>
        <w:t xml:space="preserve">Leaving aside the fact that Standard Bank has to rewrite the clause, literally, to reach this outcome, the </w:t>
      </w:r>
      <w:r w:rsidR="00D17DE5">
        <w:rPr>
          <w:rFonts w:ascii="Times New Roman" w:hAnsi="Times New Roman"/>
          <w:szCs w:val="24"/>
        </w:rPr>
        <w:t>proposed rewriting by Standard Bank</w:t>
      </w:r>
      <w:r w:rsidR="003A77B7" w:rsidRPr="008822DF">
        <w:rPr>
          <w:rFonts w:ascii="Times New Roman" w:hAnsi="Times New Roman"/>
          <w:szCs w:val="24"/>
        </w:rPr>
        <w:t xml:space="preserve"> only serves to highlight the tautology.</w:t>
      </w:r>
      <w:r w:rsidR="00EF7DA1" w:rsidRPr="008822DF">
        <w:rPr>
          <w:rFonts w:ascii="Times New Roman" w:hAnsi="Times New Roman"/>
          <w:szCs w:val="24"/>
        </w:rPr>
        <w:t xml:space="preserve"> The sentence “fails to pay an amount payable by the Gu</w:t>
      </w:r>
      <w:r w:rsidR="00C06D49" w:rsidRPr="008822DF">
        <w:rPr>
          <w:rFonts w:ascii="Times New Roman" w:hAnsi="Times New Roman"/>
          <w:szCs w:val="24"/>
        </w:rPr>
        <w:t>a</w:t>
      </w:r>
      <w:r w:rsidR="00EF7DA1" w:rsidRPr="008822DF">
        <w:rPr>
          <w:rFonts w:ascii="Times New Roman" w:hAnsi="Times New Roman"/>
          <w:szCs w:val="24"/>
        </w:rPr>
        <w:t xml:space="preserve">rantor to the Bank on the date </w:t>
      </w:r>
      <w:r w:rsidR="00EF7DA1" w:rsidRPr="008822DF">
        <w:rPr>
          <w:rFonts w:ascii="Times New Roman" w:hAnsi="Times New Roman"/>
          <w:szCs w:val="24"/>
        </w:rPr>
        <w:lastRenderedPageBreak/>
        <w:t>that such amount becomes payable and fails to pay the amount” is on its own terms tautologous. Why refer to the failure to pay twice?</w:t>
      </w:r>
    </w:p>
    <w:p w14:paraId="7ECDD7FB" w14:textId="1A759156" w:rsidR="00D37AA3"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43</w:t>
      </w:r>
      <w:r w:rsidRPr="008822DF">
        <w:rPr>
          <w:rFonts w:ascii="Times New Roman" w:hAnsi="Times New Roman"/>
          <w:szCs w:val="24"/>
        </w:rPr>
        <w:tab/>
      </w:r>
      <w:r w:rsidR="00C06D49" w:rsidRPr="008822DF">
        <w:rPr>
          <w:rFonts w:ascii="Times New Roman" w:hAnsi="Times New Roman"/>
          <w:szCs w:val="24"/>
        </w:rPr>
        <w:t xml:space="preserve">The only plausible interpretation of clause </w:t>
      </w:r>
      <w:r w:rsidR="005B2EA9" w:rsidRPr="008822DF">
        <w:rPr>
          <w:rFonts w:ascii="Times New Roman" w:hAnsi="Times New Roman"/>
          <w:szCs w:val="24"/>
        </w:rPr>
        <w:t xml:space="preserve">is that clause 8.3.1 </w:t>
      </w:r>
      <w:r w:rsidR="00B774BA" w:rsidRPr="008822DF">
        <w:rPr>
          <w:rFonts w:ascii="Times New Roman" w:hAnsi="Times New Roman"/>
          <w:szCs w:val="24"/>
        </w:rPr>
        <w:t>envisages two situations: (a) a failure to pay an amount payable by the Guarantor on the date that such amount becomes payable and (b)</w:t>
      </w:r>
      <w:r w:rsidR="00274275" w:rsidRPr="008822DF">
        <w:rPr>
          <w:rFonts w:ascii="Times New Roman" w:hAnsi="Times New Roman"/>
          <w:szCs w:val="24"/>
        </w:rPr>
        <w:t xml:space="preserve"> a breach by the Guarantor of any of the provisions of the guarantee agreement. Then, clause 8.3.2 envisages two kinds of failure: (a) a failure to pay the amount within 7 </w:t>
      </w:r>
      <w:r w:rsidR="00ED18E6" w:rsidRPr="008822DF">
        <w:rPr>
          <w:rFonts w:ascii="Times New Roman" w:hAnsi="Times New Roman"/>
          <w:szCs w:val="24"/>
        </w:rPr>
        <w:t xml:space="preserve">business days of the date of receipt of a written notice requiring the guarantor to do so and (b) a failure to remedy </w:t>
      </w:r>
      <w:r w:rsidR="00767296">
        <w:rPr>
          <w:rFonts w:ascii="Times New Roman" w:hAnsi="Times New Roman"/>
          <w:szCs w:val="24"/>
        </w:rPr>
        <w:t>a</w:t>
      </w:r>
      <w:r w:rsidR="00ED18E6" w:rsidRPr="008822DF">
        <w:rPr>
          <w:rFonts w:ascii="Times New Roman" w:hAnsi="Times New Roman"/>
          <w:szCs w:val="24"/>
        </w:rPr>
        <w:t xml:space="preserve"> breach </w:t>
      </w:r>
      <w:r w:rsidR="00D37AA3" w:rsidRPr="008822DF">
        <w:rPr>
          <w:rFonts w:ascii="Times New Roman" w:hAnsi="Times New Roman"/>
          <w:szCs w:val="24"/>
        </w:rPr>
        <w:t>within 7 business days of the date of receipt of a written notice requiring the guarantor to do so.</w:t>
      </w:r>
    </w:p>
    <w:p w14:paraId="138F70E6" w14:textId="645E8DDF" w:rsidR="00C06D49"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44</w:t>
      </w:r>
      <w:r w:rsidRPr="008822DF">
        <w:rPr>
          <w:rFonts w:ascii="Times New Roman" w:hAnsi="Times New Roman"/>
          <w:szCs w:val="24"/>
        </w:rPr>
        <w:tab/>
      </w:r>
      <w:r w:rsidR="007F4938" w:rsidRPr="008822DF">
        <w:rPr>
          <w:rFonts w:ascii="Times New Roman" w:hAnsi="Times New Roman"/>
          <w:szCs w:val="24"/>
        </w:rPr>
        <w:t>In my view, the reliance by Standard Bank on clause 1.1.</w:t>
      </w:r>
      <w:r w:rsidR="00880600" w:rsidRPr="008822DF">
        <w:rPr>
          <w:rFonts w:ascii="Times New Roman" w:hAnsi="Times New Roman"/>
          <w:szCs w:val="24"/>
        </w:rPr>
        <w:t>1.</w:t>
      </w:r>
      <w:r w:rsidR="007F4938" w:rsidRPr="008822DF">
        <w:rPr>
          <w:rFonts w:ascii="Times New Roman" w:hAnsi="Times New Roman"/>
          <w:szCs w:val="24"/>
        </w:rPr>
        <w:t>2 of the guarantee takes the matter no further.</w:t>
      </w:r>
      <w:r w:rsidR="00A902EE" w:rsidRPr="008822DF">
        <w:rPr>
          <w:rFonts w:ascii="Times New Roman" w:hAnsi="Times New Roman"/>
          <w:szCs w:val="24"/>
        </w:rPr>
        <w:t xml:space="preserve"> It seems to me that one has to distinguish between the substantive obligations created by the agreement and the manner of enforcement. Although headings in contracts </w:t>
      </w:r>
      <w:r w:rsidR="00DE69AD" w:rsidRPr="008822DF">
        <w:rPr>
          <w:rFonts w:ascii="Times New Roman" w:hAnsi="Times New Roman"/>
          <w:szCs w:val="24"/>
        </w:rPr>
        <w:t>are not conclusive evidence of the meaning of their terms, they can assist in the interpretive exercise</w:t>
      </w:r>
      <w:r w:rsidR="000B1588" w:rsidRPr="008822DF">
        <w:rPr>
          <w:rFonts w:ascii="Times New Roman" w:hAnsi="Times New Roman"/>
          <w:szCs w:val="24"/>
        </w:rPr>
        <w:t xml:space="preserve"> where there is doubt about the meaning of </w:t>
      </w:r>
      <w:r w:rsidR="001F369C">
        <w:rPr>
          <w:rFonts w:ascii="Times New Roman" w:hAnsi="Times New Roman"/>
          <w:szCs w:val="24"/>
        </w:rPr>
        <w:t>the body of the document</w:t>
      </w:r>
      <w:r w:rsidR="00DE69AD" w:rsidRPr="008822DF">
        <w:rPr>
          <w:rFonts w:ascii="Times New Roman" w:hAnsi="Times New Roman"/>
          <w:szCs w:val="24"/>
        </w:rPr>
        <w:t>.</w:t>
      </w:r>
      <w:r w:rsidR="00B65907" w:rsidRPr="008822DF">
        <w:rPr>
          <w:rStyle w:val="FootnoteReference"/>
          <w:rFonts w:ascii="Times New Roman" w:hAnsi="Times New Roman"/>
          <w:szCs w:val="24"/>
        </w:rPr>
        <w:footnoteReference w:id="22"/>
      </w:r>
      <w:r w:rsidR="00DE69AD" w:rsidRPr="008822DF">
        <w:rPr>
          <w:rFonts w:ascii="Times New Roman" w:hAnsi="Times New Roman"/>
          <w:szCs w:val="24"/>
        </w:rPr>
        <w:t xml:space="preserve"> Clause 8.3 appears in a clause, clause 8, which is headed </w:t>
      </w:r>
      <w:r w:rsidR="00CB798F" w:rsidRPr="008822DF">
        <w:rPr>
          <w:rFonts w:ascii="Times New Roman" w:hAnsi="Times New Roman"/>
          <w:szCs w:val="24"/>
        </w:rPr>
        <w:t>“Proceedings and Jurisdiction”. It is part of a roadmap created by clause 8 as a whole, as to how Standard Bank is to vindicate its rights in terms of the agreement.</w:t>
      </w:r>
      <w:r w:rsidR="00253E7C" w:rsidRPr="008822DF">
        <w:rPr>
          <w:rFonts w:ascii="Times New Roman" w:hAnsi="Times New Roman"/>
          <w:szCs w:val="24"/>
        </w:rPr>
        <w:t xml:space="preserve"> It creates, in the mechanism of requiring the issuing of a notice, a procedural requirement which must be fulfilled before Standard Bank may </w:t>
      </w:r>
      <w:r w:rsidR="00D4738B" w:rsidRPr="008822DF">
        <w:rPr>
          <w:rFonts w:ascii="Times New Roman" w:hAnsi="Times New Roman"/>
          <w:szCs w:val="24"/>
        </w:rPr>
        <w:t xml:space="preserve">vindicate its right to claim specific performance in terms of the agreement. </w:t>
      </w:r>
      <w:r w:rsidR="00502C75" w:rsidRPr="008822DF">
        <w:rPr>
          <w:rFonts w:ascii="Times New Roman" w:hAnsi="Times New Roman"/>
          <w:szCs w:val="24"/>
        </w:rPr>
        <w:t xml:space="preserve"> </w:t>
      </w:r>
      <w:r w:rsidR="00B774BA" w:rsidRPr="008822DF">
        <w:rPr>
          <w:rFonts w:ascii="Times New Roman" w:hAnsi="Times New Roman"/>
          <w:szCs w:val="24"/>
        </w:rPr>
        <w:t xml:space="preserve"> </w:t>
      </w:r>
    </w:p>
    <w:p w14:paraId="0A3E2356" w14:textId="6FC49A40" w:rsidR="00880600"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lastRenderedPageBreak/>
        <w:t>45</w:t>
      </w:r>
      <w:r w:rsidRPr="008822DF">
        <w:rPr>
          <w:rFonts w:ascii="Times New Roman" w:hAnsi="Times New Roman"/>
          <w:szCs w:val="24"/>
        </w:rPr>
        <w:tab/>
      </w:r>
      <w:r w:rsidR="00880600" w:rsidRPr="008822DF">
        <w:rPr>
          <w:rFonts w:ascii="Times New Roman" w:hAnsi="Times New Roman"/>
          <w:szCs w:val="24"/>
        </w:rPr>
        <w:t xml:space="preserve">Clause 1.1.1.2 appears in a clause headed “Liability and Obligations of the Guarantor”. </w:t>
      </w:r>
      <w:r w:rsidR="00E5092D" w:rsidRPr="008822DF">
        <w:rPr>
          <w:rFonts w:ascii="Times New Roman" w:hAnsi="Times New Roman"/>
          <w:szCs w:val="24"/>
        </w:rPr>
        <w:t>One of the obligations of the guarantor, which arises from clause 1.1.1.2</w:t>
      </w:r>
      <w:r w:rsidR="002A7030">
        <w:rPr>
          <w:rFonts w:ascii="Times New Roman" w:hAnsi="Times New Roman"/>
          <w:szCs w:val="24"/>
        </w:rPr>
        <w:t>,</w:t>
      </w:r>
      <w:r w:rsidR="00E5092D" w:rsidRPr="008822DF">
        <w:rPr>
          <w:rFonts w:ascii="Times New Roman" w:hAnsi="Times New Roman"/>
          <w:szCs w:val="24"/>
        </w:rPr>
        <w:t xml:space="preserve"> is to “pay to the Bank, on first written demand from the Bank and without delay, any amounts which are or may become due and payable in respect of the Debts”</w:t>
      </w:r>
      <w:r w:rsidR="003F338E" w:rsidRPr="008822DF">
        <w:rPr>
          <w:rFonts w:ascii="Times New Roman" w:hAnsi="Times New Roman"/>
          <w:szCs w:val="24"/>
        </w:rPr>
        <w:t>.</w:t>
      </w:r>
    </w:p>
    <w:p w14:paraId="6B22FCBC" w14:textId="43A6C446" w:rsidR="00DB2641"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46</w:t>
      </w:r>
      <w:r w:rsidRPr="008822DF">
        <w:rPr>
          <w:rFonts w:ascii="Times New Roman" w:hAnsi="Times New Roman"/>
          <w:szCs w:val="24"/>
        </w:rPr>
        <w:tab/>
      </w:r>
      <w:r w:rsidR="003F338E" w:rsidRPr="008822DF">
        <w:rPr>
          <w:rFonts w:ascii="Times New Roman" w:hAnsi="Times New Roman"/>
          <w:szCs w:val="24"/>
        </w:rPr>
        <w:t xml:space="preserve">In the first place, I would tend to agree with </w:t>
      </w:r>
      <w:r w:rsidR="003F338E" w:rsidRPr="008822DF">
        <w:rPr>
          <w:rFonts w:ascii="Times New Roman" w:hAnsi="Times New Roman"/>
          <w:i/>
          <w:iCs/>
          <w:szCs w:val="24"/>
        </w:rPr>
        <w:t>Mr Hollander</w:t>
      </w:r>
      <w:r w:rsidR="003F338E" w:rsidRPr="008822DF">
        <w:rPr>
          <w:rFonts w:ascii="Times New Roman" w:hAnsi="Times New Roman"/>
          <w:szCs w:val="24"/>
        </w:rPr>
        <w:t xml:space="preserve"> that the reference to “written demand” could be read to refer to the notice in clause 8.3. But even leaving that aside, clause 1.1.1.2 clearly imposes an obligation on the guarantor to pay </w:t>
      </w:r>
      <w:r w:rsidR="00BE1C2A" w:rsidRPr="008822DF">
        <w:rPr>
          <w:rFonts w:ascii="Times New Roman" w:hAnsi="Times New Roman"/>
          <w:szCs w:val="24"/>
        </w:rPr>
        <w:t>amounts which are due and payable “on first written demand from the Bank and without delay”.</w:t>
      </w:r>
      <w:r w:rsidR="007A15DF" w:rsidRPr="008822DF">
        <w:rPr>
          <w:rFonts w:ascii="Times New Roman" w:hAnsi="Times New Roman"/>
          <w:szCs w:val="24"/>
        </w:rPr>
        <w:t xml:space="preserve"> But there is then the entirely separate question of what procedural rules must be followed before Standard Bank is entitled to claim specific performance. That issue is addressed separately in clause 8.3.</w:t>
      </w:r>
      <w:r w:rsidR="00D46383" w:rsidRPr="008822DF">
        <w:rPr>
          <w:rFonts w:ascii="Times New Roman" w:hAnsi="Times New Roman"/>
          <w:szCs w:val="24"/>
        </w:rPr>
        <w:t xml:space="preserve"> The implication of these clauses, read as a whole, must be that the bank was obliged to serve a notice on the guarantee defendants giving them seven days to pay the amounts owing under the guarantees </w:t>
      </w:r>
      <w:r w:rsidR="005F0C8F" w:rsidRPr="008822DF">
        <w:rPr>
          <w:rFonts w:ascii="Times New Roman" w:hAnsi="Times New Roman"/>
          <w:szCs w:val="24"/>
        </w:rPr>
        <w:t>before it could proceed to sue for specific performance under the guarantees.</w:t>
      </w:r>
      <w:r w:rsidR="006752DC">
        <w:rPr>
          <w:rFonts w:ascii="Times New Roman" w:hAnsi="Times New Roman"/>
          <w:szCs w:val="24"/>
        </w:rPr>
        <w:t xml:space="preserve"> It follow</w:t>
      </w:r>
      <w:r w:rsidR="008A37EE">
        <w:rPr>
          <w:rFonts w:ascii="Times New Roman" w:hAnsi="Times New Roman"/>
          <w:szCs w:val="24"/>
        </w:rPr>
        <w:t>s</w:t>
      </w:r>
      <w:r w:rsidR="006752DC">
        <w:rPr>
          <w:rFonts w:ascii="Times New Roman" w:hAnsi="Times New Roman"/>
          <w:szCs w:val="24"/>
        </w:rPr>
        <w:t xml:space="preserve"> that particulars of claim which do not allege that such a notice was delivered, disclose no cause of action.</w:t>
      </w:r>
    </w:p>
    <w:p w14:paraId="3830E833" w14:textId="6E8A1DD1" w:rsidR="00FF28A3"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47</w:t>
      </w:r>
      <w:r w:rsidRPr="008822DF">
        <w:rPr>
          <w:rFonts w:ascii="Times New Roman" w:hAnsi="Times New Roman"/>
          <w:szCs w:val="24"/>
        </w:rPr>
        <w:tab/>
      </w:r>
      <w:r w:rsidR="00CF5E68" w:rsidRPr="008822DF">
        <w:rPr>
          <w:rFonts w:ascii="Times New Roman" w:hAnsi="Times New Roman"/>
          <w:szCs w:val="24"/>
        </w:rPr>
        <w:t>Given everything that I have said above, the question remains: am I obliged nevertheless to dismiss the exception on the basis that some or other evidence might be led by Standard Bank to militate against the interpretati</w:t>
      </w:r>
      <w:r w:rsidR="008A37EE">
        <w:rPr>
          <w:rFonts w:ascii="Times New Roman" w:hAnsi="Times New Roman"/>
          <w:szCs w:val="24"/>
        </w:rPr>
        <w:t>ve conclusion</w:t>
      </w:r>
      <w:r w:rsidR="00CF5E68" w:rsidRPr="008822DF">
        <w:rPr>
          <w:rFonts w:ascii="Times New Roman" w:hAnsi="Times New Roman"/>
          <w:szCs w:val="24"/>
        </w:rPr>
        <w:t xml:space="preserve"> which I have </w:t>
      </w:r>
      <w:r w:rsidR="008A37EE">
        <w:rPr>
          <w:rFonts w:ascii="Times New Roman" w:hAnsi="Times New Roman"/>
          <w:szCs w:val="24"/>
        </w:rPr>
        <w:t>reached</w:t>
      </w:r>
      <w:r w:rsidR="00FE1B41" w:rsidRPr="008822DF">
        <w:rPr>
          <w:rFonts w:ascii="Times New Roman" w:hAnsi="Times New Roman"/>
          <w:szCs w:val="24"/>
        </w:rPr>
        <w:t xml:space="preserve">? </w:t>
      </w:r>
      <w:r w:rsidR="008A37EE">
        <w:rPr>
          <w:rFonts w:ascii="Times New Roman" w:hAnsi="Times New Roman"/>
          <w:szCs w:val="24"/>
        </w:rPr>
        <w:t>As I noted above, n</w:t>
      </w:r>
      <w:r w:rsidR="00FE1B41" w:rsidRPr="008822DF">
        <w:rPr>
          <w:rFonts w:ascii="Times New Roman" w:hAnsi="Times New Roman"/>
          <w:szCs w:val="24"/>
        </w:rPr>
        <w:t xml:space="preserve">ot even Standard Bank, either in its heads of argument or in its oral submissions, suggested that it wished to lead evidence on this issue. That being the case, and given that it is quite difficult to imagine what evidence could possibly be led to change the conclusion which I have reached above, it seems to me that </w:t>
      </w:r>
      <w:r w:rsidR="00FF28A3" w:rsidRPr="008822DF">
        <w:rPr>
          <w:rFonts w:ascii="Times New Roman" w:hAnsi="Times New Roman"/>
          <w:szCs w:val="24"/>
        </w:rPr>
        <w:t>the answer must be no.</w:t>
      </w:r>
    </w:p>
    <w:p w14:paraId="55C8E396" w14:textId="3F10473F" w:rsidR="003F338E"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lastRenderedPageBreak/>
        <w:t>48</w:t>
      </w:r>
      <w:r w:rsidRPr="008822DF">
        <w:rPr>
          <w:rFonts w:ascii="Times New Roman" w:hAnsi="Times New Roman"/>
          <w:szCs w:val="24"/>
        </w:rPr>
        <w:tab/>
      </w:r>
      <w:r w:rsidR="00FF28A3" w:rsidRPr="008822DF">
        <w:rPr>
          <w:rFonts w:ascii="Times New Roman" w:hAnsi="Times New Roman"/>
          <w:szCs w:val="24"/>
        </w:rPr>
        <w:t xml:space="preserve">I am emboldened in my view by the remarks of Unterhalter AJA in </w:t>
      </w:r>
      <w:r w:rsidR="00356A39" w:rsidRPr="008822DF">
        <w:rPr>
          <w:rFonts w:ascii="Times New Roman" w:hAnsi="Times New Roman"/>
          <w:i/>
          <w:iCs/>
          <w:szCs w:val="24"/>
        </w:rPr>
        <w:t>Coral Lagoon</w:t>
      </w:r>
      <w:r w:rsidR="00FF28A3" w:rsidRPr="008822DF">
        <w:rPr>
          <w:rFonts w:ascii="Times New Roman" w:hAnsi="Times New Roman"/>
          <w:szCs w:val="24"/>
        </w:rPr>
        <w:t>,</w:t>
      </w:r>
      <w:r w:rsidR="0080763D" w:rsidRPr="008822DF">
        <w:rPr>
          <w:rStyle w:val="FootnoteReference"/>
          <w:rFonts w:ascii="Times New Roman" w:hAnsi="Times New Roman"/>
          <w:szCs w:val="24"/>
        </w:rPr>
        <w:footnoteReference w:id="23"/>
      </w:r>
      <w:r w:rsidR="00FF28A3" w:rsidRPr="008822DF">
        <w:rPr>
          <w:rFonts w:ascii="Times New Roman" w:hAnsi="Times New Roman"/>
          <w:szCs w:val="24"/>
        </w:rPr>
        <w:t xml:space="preserve"> when he was left to make sense of </w:t>
      </w:r>
      <w:r w:rsidR="00FF28A3" w:rsidRPr="008822DF">
        <w:rPr>
          <w:rFonts w:ascii="Times New Roman" w:hAnsi="Times New Roman"/>
          <w:i/>
          <w:iCs/>
          <w:szCs w:val="24"/>
        </w:rPr>
        <w:t>University of Johannesburg</w:t>
      </w:r>
      <w:r w:rsidR="00FF28A3" w:rsidRPr="008822DF">
        <w:rPr>
          <w:rFonts w:ascii="Times New Roman" w:hAnsi="Times New Roman"/>
          <w:szCs w:val="24"/>
        </w:rPr>
        <w:t xml:space="preserve"> as it relates to the parol evidence rule.</w:t>
      </w:r>
      <w:r w:rsidR="00D66513" w:rsidRPr="008822DF">
        <w:rPr>
          <w:rFonts w:ascii="Times New Roman" w:hAnsi="Times New Roman"/>
          <w:szCs w:val="24"/>
        </w:rPr>
        <w:t xml:space="preserve"> </w:t>
      </w:r>
      <w:r w:rsidR="00356A39" w:rsidRPr="008822DF">
        <w:rPr>
          <w:rFonts w:ascii="Times New Roman" w:hAnsi="Times New Roman"/>
          <w:szCs w:val="24"/>
        </w:rPr>
        <w:t>He made the point that</w:t>
      </w:r>
      <w:r w:rsidR="003F338E" w:rsidRPr="008822DF">
        <w:rPr>
          <w:rFonts w:ascii="Times New Roman" w:hAnsi="Times New Roman"/>
          <w:szCs w:val="24"/>
        </w:rPr>
        <w:t xml:space="preserve"> </w:t>
      </w:r>
      <w:r w:rsidR="00431A02" w:rsidRPr="008822DF">
        <w:rPr>
          <w:rFonts w:ascii="Times New Roman" w:hAnsi="Times New Roman"/>
          <w:szCs w:val="24"/>
          <w:lang w:val="en-GB"/>
        </w:rPr>
        <w:t>“</w:t>
      </w:r>
      <w:r w:rsidR="00431A02" w:rsidRPr="008822DF">
        <w:rPr>
          <w:rFonts w:ascii="Times New Roman" w:hAnsi="Times New Roman"/>
          <w:szCs w:val="24"/>
        </w:rPr>
        <w:t>there are limits to the evidence that may be admitted as relevant to context and purpose. While the factual background known to the parties before the contract was concluded may be of assistance in the interpretation of the meaning of a contract, the courts' aversion to receiving evidence of the parties' prior negotiations and what they intended (outside cases of rectification) or understood the contract to mean should remain an important limitation on what may be said to be relevant to the context or purpose of the contract.”</w:t>
      </w:r>
      <w:r w:rsidR="00431A02" w:rsidRPr="008822DF">
        <w:rPr>
          <w:rStyle w:val="FootnoteReference"/>
          <w:rFonts w:ascii="Times New Roman" w:hAnsi="Times New Roman"/>
          <w:szCs w:val="24"/>
        </w:rPr>
        <w:footnoteReference w:id="24"/>
      </w:r>
      <w:r w:rsidR="009140E8" w:rsidRPr="008822DF">
        <w:rPr>
          <w:rFonts w:ascii="Times New Roman" w:hAnsi="Times New Roman"/>
          <w:szCs w:val="24"/>
        </w:rPr>
        <w:t xml:space="preserve"> And also that, even after </w:t>
      </w:r>
      <w:r w:rsidR="009140E8" w:rsidRPr="008822DF">
        <w:rPr>
          <w:rFonts w:ascii="Times New Roman" w:hAnsi="Times New Roman"/>
          <w:i/>
          <w:iCs/>
          <w:szCs w:val="24"/>
        </w:rPr>
        <w:t>University of Johannesburg</w:t>
      </w:r>
      <w:r w:rsidR="009140E8" w:rsidRPr="008822DF">
        <w:rPr>
          <w:rFonts w:ascii="Times New Roman" w:hAnsi="Times New Roman"/>
          <w:szCs w:val="24"/>
        </w:rPr>
        <w:t>, there is no scepticism in our law “that the words and terms used in a contract have meaning”.</w:t>
      </w:r>
      <w:r w:rsidR="009140E8" w:rsidRPr="008822DF">
        <w:rPr>
          <w:rStyle w:val="FootnoteReference"/>
          <w:rFonts w:ascii="Times New Roman" w:hAnsi="Times New Roman"/>
          <w:szCs w:val="24"/>
        </w:rPr>
        <w:footnoteReference w:id="25"/>
      </w:r>
    </w:p>
    <w:p w14:paraId="01D3769D" w14:textId="7885C62B" w:rsidR="00A47054"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49</w:t>
      </w:r>
      <w:r w:rsidRPr="008822DF">
        <w:rPr>
          <w:rFonts w:ascii="Times New Roman" w:hAnsi="Times New Roman"/>
          <w:szCs w:val="24"/>
        </w:rPr>
        <w:tab/>
      </w:r>
      <w:r w:rsidR="00A47054" w:rsidRPr="008822DF">
        <w:rPr>
          <w:rFonts w:ascii="Times New Roman" w:hAnsi="Times New Roman"/>
          <w:szCs w:val="24"/>
        </w:rPr>
        <w:t xml:space="preserve">Admittedly, in </w:t>
      </w:r>
      <w:r w:rsidR="00A47054" w:rsidRPr="008822DF">
        <w:rPr>
          <w:rFonts w:ascii="Times New Roman" w:hAnsi="Times New Roman"/>
          <w:i/>
          <w:iCs/>
          <w:szCs w:val="24"/>
        </w:rPr>
        <w:t>Coral Lagoon</w:t>
      </w:r>
      <w:r w:rsidR="00A47054" w:rsidRPr="008822DF">
        <w:rPr>
          <w:rFonts w:ascii="Times New Roman" w:hAnsi="Times New Roman"/>
          <w:szCs w:val="24"/>
        </w:rPr>
        <w:t xml:space="preserve"> evidence was</w:t>
      </w:r>
      <w:r w:rsidR="00834F66" w:rsidRPr="008822DF">
        <w:rPr>
          <w:rFonts w:ascii="Times New Roman" w:hAnsi="Times New Roman"/>
          <w:szCs w:val="24"/>
        </w:rPr>
        <w:t xml:space="preserve"> held to be admissible as part of the interpretive exercise</w:t>
      </w:r>
      <w:r w:rsidR="00A47054" w:rsidRPr="008822DF">
        <w:rPr>
          <w:rFonts w:ascii="Times New Roman" w:hAnsi="Times New Roman"/>
          <w:szCs w:val="24"/>
        </w:rPr>
        <w:t>. But this was in circumstances where one of the parties argued forcefully for its admission. That is not the case here and there is simply no suggestion</w:t>
      </w:r>
      <w:r w:rsidR="008A3EFE">
        <w:rPr>
          <w:rFonts w:ascii="Times New Roman" w:hAnsi="Times New Roman"/>
          <w:szCs w:val="24"/>
        </w:rPr>
        <w:t>,</w:t>
      </w:r>
      <w:r w:rsidR="00A47054" w:rsidRPr="008822DF">
        <w:rPr>
          <w:rFonts w:ascii="Times New Roman" w:hAnsi="Times New Roman"/>
          <w:szCs w:val="24"/>
        </w:rPr>
        <w:t xml:space="preserve"> anywhere </w:t>
      </w:r>
      <w:r w:rsidR="005D09BD">
        <w:rPr>
          <w:rFonts w:ascii="Times New Roman" w:hAnsi="Times New Roman"/>
          <w:szCs w:val="24"/>
        </w:rPr>
        <w:t>in the material before me</w:t>
      </w:r>
      <w:r w:rsidR="008A3EFE">
        <w:rPr>
          <w:rFonts w:ascii="Times New Roman" w:hAnsi="Times New Roman"/>
          <w:szCs w:val="24"/>
        </w:rPr>
        <w:t>,</w:t>
      </w:r>
      <w:r w:rsidR="005D09BD">
        <w:rPr>
          <w:rFonts w:ascii="Times New Roman" w:hAnsi="Times New Roman"/>
          <w:szCs w:val="24"/>
        </w:rPr>
        <w:t xml:space="preserve"> </w:t>
      </w:r>
      <w:r w:rsidR="00A47054" w:rsidRPr="008822DF">
        <w:rPr>
          <w:rFonts w:ascii="Times New Roman" w:hAnsi="Times New Roman"/>
          <w:szCs w:val="24"/>
        </w:rPr>
        <w:t>that evidence could serve to alter the meaning of clause 8.3 of the guarantee as I have described it above. It follows that the exception must succeed.</w:t>
      </w:r>
    </w:p>
    <w:p w14:paraId="187EAA8F" w14:textId="0BA2B523" w:rsidR="00AE2FA9" w:rsidRPr="008822DF" w:rsidRDefault="00AE2FA9" w:rsidP="00AE2FA9">
      <w:pPr>
        <w:pStyle w:val="Heading1"/>
        <w:rPr>
          <w:rFonts w:ascii="Times New Roman" w:hAnsi="Times New Roman"/>
          <w:szCs w:val="24"/>
        </w:rPr>
      </w:pPr>
      <w:r w:rsidRPr="008822DF">
        <w:rPr>
          <w:rFonts w:ascii="Times New Roman" w:hAnsi="Times New Roman"/>
          <w:szCs w:val="24"/>
        </w:rPr>
        <w:t>THE FIFTH EXCEPTION</w:t>
      </w:r>
    </w:p>
    <w:p w14:paraId="7C0BA4F3" w14:textId="099371EA" w:rsidR="00AE2FA9"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50</w:t>
      </w:r>
      <w:r w:rsidRPr="008822DF">
        <w:rPr>
          <w:rFonts w:ascii="Times New Roman" w:hAnsi="Times New Roman"/>
          <w:szCs w:val="24"/>
        </w:rPr>
        <w:tab/>
      </w:r>
      <w:r w:rsidR="002E2F33" w:rsidRPr="008822DF">
        <w:rPr>
          <w:rFonts w:ascii="Times New Roman" w:hAnsi="Times New Roman"/>
          <w:szCs w:val="24"/>
        </w:rPr>
        <w:t>The fifth exception relates to the credit card facilities. It is expressed as follows:</w:t>
      </w:r>
    </w:p>
    <w:p w14:paraId="72163B45" w14:textId="1C25543A" w:rsidR="002E2F33" w:rsidRPr="00740B81" w:rsidRDefault="005E1379" w:rsidP="000808CE">
      <w:pPr>
        <w:pStyle w:val="BodyTextIndent"/>
        <w:spacing w:line="240" w:lineRule="auto"/>
        <w:ind w:left="1134"/>
        <w:rPr>
          <w:rFonts w:ascii="Times New Roman" w:hAnsi="Times New Roman"/>
          <w:szCs w:val="24"/>
        </w:rPr>
      </w:pPr>
      <w:r w:rsidRPr="008822DF">
        <w:rPr>
          <w:rFonts w:ascii="Times New Roman" w:hAnsi="Times New Roman"/>
          <w:szCs w:val="24"/>
        </w:rPr>
        <w:t>“</w:t>
      </w:r>
      <w:r w:rsidR="002E2F33" w:rsidRPr="008822DF">
        <w:rPr>
          <w:rFonts w:ascii="Times New Roman" w:hAnsi="Times New Roman"/>
          <w:szCs w:val="24"/>
        </w:rPr>
        <w:t xml:space="preserve">23. At paragraph 26.2 of the Particulars of Claim the Plaintiff pleads that the Credit Card Facilities were made available to the First Defendant in terms of oral </w:t>
      </w:r>
      <w:r w:rsidR="002E2F33" w:rsidRPr="008822DF">
        <w:rPr>
          <w:rFonts w:ascii="Times New Roman" w:hAnsi="Times New Roman"/>
          <w:szCs w:val="24"/>
        </w:rPr>
        <w:lastRenderedPageBreak/>
        <w:t xml:space="preserve">agreements concluded between the Plaintiff and the First Defendant during the </w:t>
      </w:r>
      <w:r w:rsidR="002E2F33" w:rsidRPr="00740B81">
        <w:rPr>
          <w:rFonts w:ascii="Times New Roman" w:hAnsi="Times New Roman"/>
          <w:szCs w:val="24"/>
        </w:rPr>
        <w:t>period 29 January 2018 until 24 April 2019.</w:t>
      </w:r>
    </w:p>
    <w:p w14:paraId="5845BB80" w14:textId="7EBF8B78" w:rsidR="002E2F33" w:rsidRPr="008822DF" w:rsidRDefault="002E2F33" w:rsidP="000808CE">
      <w:pPr>
        <w:pStyle w:val="BodyTextIndent"/>
        <w:spacing w:line="240" w:lineRule="auto"/>
        <w:ind w:left="1134"/>
        <w:rPr>
          <w:rFonts w:ascii="Times New Roman" w:hAnsi="Times New Roman"/>
          <w:szCs w:val="24"/>
        </w:rPr>
      </w:pPr>
      <w:r w:rsidRPr="008822DF">
        <w:rPr>
          <w:rFonts w:ascii="Times New Roman" w:hAnsi="Times New Roman"/>
          <w:szCs w:val="24"/>
        </w:rPr>
        <w:t xml:space="preserve">24. At paragraph 29.1 of the Particulars of Claim the Plaintiff pleads that </w:t>
      </w:r>
      <w:r w:rsidRPr="008822DF">
        <w:rPr>
          <w:rFonts w:ascii="Times New Roman" w:hAnsi="Times New Roman"/>
          <w:i/>
          <w:iCs/>
          <w:szCs w:val="24"/>
        </w:rPr>
        <w:t xml:space="preserve">"in accordance with </w:t>
      </w:r>
      <w:r w:rsidRPr="008822DF">
        <w:rPr>
          <w:rFonts w:ascii="Times New Roman" w:hAnsi="Times New Roman"/>
          <w:szCs w:val="24"/>
        </w:rPr>
        <w:t>normal banking practice the Plaintiff was entitled to raise interest at a rate linked to the</w:t>
      </w:r>
      <w:r w:rsidR="00941CA1" w:rsidRPr="008822DF">
        <w:rPr>
          <w:rFonts w:ascii="Times New Roman" w:hAnsi="Times New Roman"/>
          <w:szCs w:val="24"/>
        </w:rPr>
        <w:t xml:space="preserve"> </w:t>
      </w:r>
      <w:r w:rsidRPr="008822DF">
        <w:rPr>
          <w:rFonts w:ascii="Times New Roman" w:hAnsi="Times New Roman"/>
          <w:szCs w:val="24"/>
        </w:rPr>
        <w:t>prime rate and based on the risk profile of the First Defendant". [emphasis added</w:t>
      </w:r>
      <w:r w:rsidR="00941CA1" w:rsidRPr="008822DF">
        <w:rPr>
          <w:rFonts w:ascii="Times New Roman" w:hAnsi="Times New Roman"/>
          <w:szCs w:val="24"/>
        </w:rPr>
        <w:t>]</w:t>
      </w:r>
    </w:p>
    <w:p w14:paraId="07ACDFE8" w14:textId="496372AE" w:rsidR="002E2F33" w:rsidRPr="008822DF" w:rsidRDefault="002E2F33" w:rsidP="000808CE">
      <w:pPr>
        <w:pStyle w:val="BodyTextIndent"/>
        <w:spacing w:line="240" w:lineRule="auto"/>
        <w:ind w:left="1134"/>
        <w:rPr>
          <w:rFonts w:ascii="Times New Roman" w:hAnsi="Times New Roman"/>
          <w:szCs w:val="24"/>
        </w:rPr>
      </w:pPr>
      <w:r w:rsidRPr="008822DF">
        <w:rPr>
          <w:rFonts w:ascii="Times New Roman" w:hAnsi="Times New Roman"/>
          <w:szCs w:val="24"/>
        </w:rPr>
        <w:t>25. It is unclear from the Plaintiff</w:t>
      </w:r>
      <w:r w:rsidR="00FE4EE2">
        <w:rPr>
          <w:rFonts w:ascii="Times New Roman" w:hAnsi="Times New Roman"/>
          <w:szCs w:val="24"/>
        </w:rPr>
        <w:t>’</w:t>
      </w:r>
      <w:r w:rsidRPr="008822DF">
        <w:rPr>
          <w:rFonts w:ascii="Times New Roman" w:hAnsi="Times New Roman"/>
          <w:szCs w:val="24"/>
        </w:rPr>
        <w:t>s Particulars of Claim whether the Plaintiff is pleading that</w:t>
      </w:r>
      <w:r w:rsidR="00941CA1" w:rsidRPr="008822DF">
        <w:rPr>
          <w:rFonts w:ascii="Times New Roman" w:hAnsi="Times New Roman"/>
          <w:szCs w:val="24"/>
        </w:rPr>
        <w:t xml:space="preserve"> </w:t>
      </w:r>
      <w:r w:rsidRPr="008822DF">
        <w:rPr>
          <w:rFonts w:ascii="Times New Roman" w:hAnsi="Times New Roman"/>
          <w:szCs w:val="24"/>
        </w:rPr>
        <w:t>the aforesaid term in respect of interest:</w:t>
      </w:r>
    </w:p>
    <w:p w14:paraId="11C33B62" w14:textId="3A1D6837" w:rsidR="002E2F33" w:rsidRPr="008822DF" w:rsidRDefault="002E2F33" w:rsidP="000808CE">
      <w:pPr>
        <w:pStyle w:val="BodyTextIndent"/>
        <w:spacing w:line="240" w:lineRule="auto"/>
        <w:ind w:left="1701"/>
        <w:rPr>
          <w:rFonts w:ascii="Times New Roman" w:hAnsi="Times New Roman"/>
          <w:szCs w:val="24"/>
        </w:rPr>
      </w:pPr>
      <w:r w:rsidRPr="008822DF">
        <w:rPr>
          <w:rFonts w:ascii="Times New Roman" w:hAnsi="Times New Roman"/>
          <w:szCs w:val="24"/>
        </w:rPr>
        <w:t>25.1. formed part of the express terms of the alleged oral agreement/s between the</w:t>
      </w:r>
      <w:r w:rsidR="002C2B5E" w:rsidRPr="008822DF">
        <w:rPr>
          <w:rFonts w:ascii="Times New Roman" w:hAnsi="Times New Roman"/>
          <w:szCs w:val="24"/>
        </w:rPr>
        <w:t xml:space="preserve"> </w:t>
      </w:r>
      <w:r w:rsidRPr="008822DF">
        <w:rPr>
          <w:rFonts w:ascii="Times New Roman" w:hAnsi="Times New Roman"/>
          <w:szCs w:val="24"/>
        </w:rPr>
        <w:t>Plaintiff and the First Defendant; or</w:t>
      </w:r>
    </w:p>
    <w:p w14:paraId="1D200B5D" w14:textId="38A97504" w:rsidR="002E2F33" w:rsidRPr="008822DF" w:rsidRDefault="002E2F33" w:rsidP="005E1379">
      <w:pPr>
        <w:pStyle w:val="BodyTextIndent"/>
        <w:spacing w:line="240" w:lineRule="auto"/>
        <w:ind w:left="1701"/>
        <w:rPr>
          <w:rFonts w:ascii="Times New Roman" w:hAnsi="Times New Roman"/>
          <w:szCs w:val="24"/>
        </w:rPr>
      </w:pPr>
      <w:r w:rsidRPr="008822DF">
        <w:rPr>
          <w:rFonts w:ascii="Times New Roman" w:hAnsi="Times New Roman"/>
          <w:szCs w:val="24"/>
        </w:rPr>
        <w:t>25.2. was an implied term of the alleged oral agreement/s between the Plaintiff and</w:t>
      </w:r>
      <w:r w:rsidR="000808CE" w:rsidRPr="008822DF">
        <w:rPr>
          <w:rFonts w:ascii="Times New Roman" w:hAnsi="Times New Roman"/>
          <w:szCs w:val="24"/>
        </w:rPr>
        <w:t xml:space="preserve"> </w:t>
      </w:r>
      <w:r w:rsidRPr="008822DF">
        <w:rPr>
          <w:rFonts w:ascii="Times New Roman" w:hAnsi="Times New Roman"/>
          <w:szCs w:val="24"/>
        </w:rPr>
        <w:t>the First Defendant by way of trade usage.</w:t>
      </w:r>
    </w:p>
    <w:p w14:paraId="3454053D" w14:textId="4777CAB7" w:rsidR="002E2F33" w:rsidRPr="008822DF" w:rsidRDefault="002E2F33" w:rsidP="005E1379">
      <w:pPr>
        <w:pStyle w:val="BodyTextIndent"/>
        <w:spacing w:line="240" w:lineRule="auto"/>
        <w:ind w:left="1134"/>
        <w:rPr>
          <w:rFonts w:ascii="Times New Roman" w:hAnsi="Times New Roman"/>
          <w:szCs w:val="24"/>
        </w:rPr>
      </w:pPr>
      <w:r w:rsidRPr="008822DF">
        <w:rPr>
          <w:rFonts w:ascii="Times New Roman" w:hAnsi="Times New Roman"/>
          <w:szCs w:val="24"/>
        </w:rPr>
        <w:t>26. The aforesaid renders the Plaintiff's Particulars of Claim excipiable on the basis that they</w:t>
      </w:r>
      <w:r w:rsidR="005E1379" w:rsidRPr="008822DF">
        <w:rPr>
          <w:rFonts w:ascii="Times New Roman" w:hAnsi="Times New Roman"/>
          <w:szCs w:val="24"/>
        </w:rPr>
        <w:t xml:space="preserve"> </w:t>
      </w:r>
      <w:r w:rsidRPr="008822DF">
        <w:rPr>
          <w:rFonts w:ascii="Times New Roman" w:hAnsi="Times New Roman"/>
          <w:szCs w:val="24"/>
        </w:rPr>
        <w:t>are vague and embarrassing alternatively lack averments necessary to sustain a cause</w:t>
      </w:r>
      <w:r w:rsidR="005E1379" w:rsidRPr="008822DF">
        <w:rPr>
          <w:rFonts w:ascii="Times New Roman" w:hAnsi="Times New Roman"/>
          <w:szCs w:val="24"/>
        </w:rPr>
        <w:t xml:space="preserve"> </w:t>
      </w:r>
      <w:r w:rsidRPr="008822DF">
        <w:rPr>
          <w:rFonts w:ascii="Times New Roman" w:hAnsi="Times New Roman"/>
          <w:szCs w:val="24"/>
        </w:rPr>
        <w:t>of action.</w:t>
      </w:r>
      <w:r w:rsidR="005E1379" w:rsidRPr="008822DF">
        <w:rPr>
          <w:rFonts w:ascii="Times New Roman" w:hAnsi="Times New Roman"/>
          <w:szCs w:val="24"/>
        </w:rPr>
        <w:t>”</w:t>
      </w:r>
    </w:p>
    <w:p w14:paraId="23D1366B" w14:textId="31078C05" w:rsidR="002E2F33"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51</w:t>
      </w:r>
      <w:r w:rsidRPr="008822DF">
        <w:rPr>
          <w:rFonts w:ascii="Times New Roman" w:hAnsi="Times New Roman"/>
          <w:szCs w:val="24"/>
        </w:rPr>
        <w:tab/>
      </w:r>
      <w:r w:rsidR="003B19E3" w:rsidRPr="008822DF">
        <w:rPr>
          <w:rFonts w:ascii="Times New Roman" w:hAnsi="Times New Roman"/>
          <w:szCs w:val="24"/>
        </w:rPr>
        <w:t xml:space="preserve">This exception is, with respect, difficult to understand. To explain why, it is necessary for me to reproduce the whole of paragraph 29 of the </w:t>
      </w:r>
      <w:r w:rsidR="00A5696A" w:rsidRPr="008822DF">
        <w:rPr>
          <w:rFonts w:ascii="Times New Roman" w:hAnsi="Times New Roman"/>
          <w:szCs w:val="24"/>
        </w:rPr>
        <w:t xml:space="preserve">amended </w:t>
      </w:r>
      <w:r w:rsidR="003B19E3" w:rsidRPr="008822DF">
        <w:rPr>
          <w:rFonts w:ascii="Times New Roman" w:hAnsi="Times New Roman"/>
          <w:szCs w:val="24"/>
        </w:rPr>
        <w:t>particulars of claim, and not just paragraph 29.1. Paragraph 29 of the particulars of claim reads as follows:</w:t>
      </w:r>
    </w:p>
    <w:p w14:paraId="598E99EE" w14:textId="1B37E681" w:rsidR="00D3157F" w:rsidRPr="008822DF" w:rsidRDefault="00D3157F" w:rsidP="004E1460">
      <w:pPr>
        <w:pStyle w:val="BodyTextIndent"/>
        <w:spacing w:line="240" w:lineRule="auto"/>
        <w:rPr>
          <w:rFonts w:ascii="Times New Roman" w:hAnsi="Times New Roman"/>
          <w:szCs w:val="24"/>
        </w:rPr>
      </w:pPr>
      <w:r w:rsidRPr="008822DF">
        <w:rPr>
          <w:rFonts w:ascii="Times New Roman" w:hAnsi="Times New Roman"/>
          <w:szCs w:val="24"/>
        </w:rPr>
        <w:t>29. The amounts lent and advanced to the First Defendant as aforesaid are payable on demand to the Plaintiff and:</w:t>
      </w:r>
    </w:p>
    <w:p w14:paraId="4B6EB9F0" w14:textId="2806F762" w:rsidR="00D3157F" w:rsidRPr="008822DF" w:rsidRDefault="00D3157F" w:rsidP="004E1460">
      <w:pPr>
        <w:pStyle w:val="BodyTextIndent"/>
        <w:spacing w:line="240" w:lineRule="auto"/>
        <w:ind w:left="1134"/>
        <w:rPr>
          <w:rFonts w:ascii="Times New Roman" w:hAnsi="Times New Roman"/>
          <w:szCs w:val="24"/>
        </w:rPr>
      </w:pPr>
      <w:r w:rsidRPr="008822DF">
        <w:rPr>
          <w:rFonts w:ascii="Times New Roman" w:hAnsi="Times New Roman"/>
          <w:szCs w:val="24"/>
        </w:rPr>
        <w:t>29.1 in accordance with normal banking practice the Plaintiff was entitled to</w:t>
      </w:r>
      <w:r w:rsidR="004E1460" w:rsidRPr="008822DF">
        <w:rPr>
          <w:rFonts w:ascii="Times New Roman" w:hAnsi="Times New Roman"/>
          <w:szCs w:val="24"/>
        </w:rPr>
        <w:t xml:space="preserve"> </w:t>
      </w:r>
      <w:r w:rsidRPr="008822DF">
        <w:rPr>
          <w:rFonts w:ascii="Times New Roman" w:hAnsi="Times New Roman"/>
          <w:szCs w:val="24"/>
        </w:rPr>
        <w:t>raise interest at a rate linked to the pr</w:t>
      </w:r>
      <w:r w:rsidR="00A013CB" w:rsidRPr="008822DF">
        <w:rPr>
          <w:rFonts w:ascii="Times New Roman" w:hAnsi="Times New Roman"/>
          <w:szCs w:val="24"/>
        </w:rPr>
        <w:t>i</w:t>
      </w:r>
      <w:r w:rsidRPr="008822DF">
        <w:rPr>
          <w:rFonts w:ascii="Times New Roman" w:hAnsi="Times New Roman"/>
          <w:szCs w:val="24"/>
        </w:rPr>
        <w:t>me rate and based on the risk profile</w:t>
      </w:r>
      <w:r w:rsidR="004E1460" w:rsidRPr="008822DF">
        <w:rPr>
          <w:rFonts w:ascii="Times New Roman" w:hAnsi="Times New Roman"/>
          <w:szCs w:val="24"/>
        </w:rPr>
        <w:t xml:space="preserve"> </w:t>
      </w:r>
      <w:r w:rsidRPr="008822DF">
        <w:rPr>
          <w:rFonts w:ascii="Times New Roman" w:hAnsi="Times New Roman"/>
          <w:szCs w:val="24"/>
        </w:rPr>
        <w:t>of the First Defendant;</w:t>
      </w:r>
    </w:p>
    <w:p w14:paraId="62E5B955" w14:textId="502A894E" w:rsidR="00D3157F" w:rsidRPr="008822DF" w:rsidRDefault="00D3157F" w:rsidP="004E1460">
      <w:pPr>
        <w:pStyle w:val="BodyTextIndent"/>
        <w:spacing w:line="240" w:lineRule="auto"/>
        <w:ind w:left="1134"/>
        <w:rPr>
          <w:rFonts w:ascii="Times New Roman" w:hAnsi="Times New Roman"/>
          <w:szCs w:val="24"/>
        </w:rPr>
      </w:pPr>
      <w:r w:rsidRPr="008822DF">
        <w:rPr>
          <w:rFonts w:ascii="Times New Roman" w:hAnsi="Times New Roman"/>
          <w:szCs w:val="24"/>
        </w:rPr>
        <w:t>29.2. in accordance with the aforesaid, the Plaintiff raised interest at the prime</w:t>
      </w:r>
      <w:r w:rsidR="004E1460" w:rsidRPr="008822DF">
        <w:rPr>
          <w:rFonts w:ascii="Times New Roman" w:hAnsi="Times New Roman"/>
          <w:szCs w:val="24"/>
        </w:rPr>
        <w:t xml:space="preserve"> </w:t>
      </w:r>
      <w:r w:rsidR="00A013CB" w:rsidRPr="008822DF">
        <w:rPr>
          <w:rFonts w:ascii="Times New Roman" w:hAnsi="Times New Roman"/>
          <w:szCs w:val="24"/>
        </w:rPr>
        <w:t>r</w:t>
      </w:r>
      <w:r w:rsidRPr="008822DF">
        <w:rPr>
          <w:rFonts w:ascii="Times New Roman" w:hAnsi="Times New Roman"/>
          <w:szCs w:val="24"/>
        </w:rPr>
        <w:t>ate plus a margin of 10.50% and the interest rates pleaded as aforesaid</w:t>
      </w:r>
      <w:r w:rsidR="004E1460" w:rsidRPr="008822DF">
        <w:rPr>
          <w:rFonts w:ascii="Times New Roman" w:hAnsi="Times New Roman"/>
          <w:szCs w:val="24"/>
        </w:rPr>
        <w:t xml:space="preserve"> </w:t>
      </w:r>
      <w:r w:rsidRPr="008822DF">
        <w:rPr>
          <w:rFonts w:ascii="Times New Roman" w:hAnsi="Times New Roman"/>
          <w:szCs w:val="24"/>
        </w:rPr>
        <w:t>is subject to any changes in the prime rate;</w:t>
      </w:r>
    </w:p>
    <w:p w14:paraId="1670036C" w14:textId="265A79B4" w:rsidR="003B19E3" w:rsidRPr="008822DF" w:rsidRDefault="00D3157F" w:rsidP="004E1460">
      <w:pPr>
        <w:pStyle w:val="BodyTextIndent"/>
        <w:spacing w:line="240" w:lineRule="auto"/>
        <w:ind w:left="1134"/>
        <w:rPr>
          <w:rFonts w:ascii="Times New Roman" w:hAnsi="Times New Roman"/>
          <w:szCs w:val="24"/>
        </w:rPr>
      </w:pPr>
      <w:r w:rsidRPr="008822DF">
        <w:rPr>
          <w:rFonts w:ascii="Times New Roman" w:hAnsi="Times New Roman"/>
          <w:szCs w:val="24"/>
        </w:rPr>
        <w:t>29.3. the First Defendant tacitly accepted the interest rates charged by the</w:t>
      </w:r>
      <w:r w:rsidR="004E1460" w:rsidRPr="008822DF">
        <w:rPr>
          <w:rFonts w:ascii="Times New Roman" w:hAnsi="Times New Roman"/>
          <w:szCs w:val="24"/>
        </w:rPr>
        <w:t xml:space="preserve"> </w:t>
      </w:r>
      <w:r w:rsidRPr="008822DF">
        <w:rPr>
          <w:rFonts w:ascii="Times New Roman" w:hAnsi="Times New Roman"/>
          <w:szCs w:val="24"/>
        </w:rPr>
        <w:t>Plaintiff in that it was reflected on the statements sent to the First Defendant</w:t>
      </w:r>
      <w:r w:rsidR="004E1460" w:rsidRPr="008822DF">
        <w:rPr>
          <w:rFonts w:ascii="Times New Roman" w:hAnsi="Times New Roman"/>
          <w:szCs w:val="24"/>
        </w:rPr>
        <w:t xml:space="preserve"> </w:t>
      </w:r>
      <w:r w:rsidRPr="008822DF">
        <w:rPr>
          <w:rFonts w:ascii="Times New Roman" w:hAnsi="Times New Roman"/>
          <w:szCs w:val="24"/>
        </w:rPr>
        <w:t>from time to time and the First Defendant notwithstanding this made no</w:t>
      </w:r>
      <w:r w:rsidR="004E1460" w:rsidRPr="008822DF">
        <w:rPr>
          <w:rFonts w:ascii="Times New Roman" w:hAnsi="Times New Roman"/>
          <w:szCs w:val="24"/>
        </w:rPr>
        <w:t xml:space="preserve"> </w:t>
      </w:r>
      <w:r w:rsidRPr="008822DF">
        <w:rPr>
          <w:rFonts w:ascii="Times New Roman" w:hAnsi="Times New Roman"/>
          <w:szCs w:val="24"/>
        </w:rPr>
        <w:t>serious objection to the interest so raised and/or continued to avail itself of</w:t>
      </w:r>
      <w:r w:rsidR="004E1460" w:rsidRPr="008822DF">
        <w:rPr>
          <w:rFonts w:ascii="Times New Roman" w:hAnsi="Times New Roman"/>
          <w:szCs w:val="24"/>
        </w:rPr>
        <w:t xml:space="preserve"> </w:t>
      </w:r>
      <w:r w:rsidRPr="008822DF">
        <w:rPr>
          <w:rFonts w:ascii="Times New Roman" w:hAnsi="Times New Roman"/>
          <w:szCs w:val="24"/>
        </w:rPr>
        <w:t>the Credit Card Facilities.</w:t>
      </w:r>
    </w:p>
    <w:p w14:paraId="4E98345B" w14:textId="70ACD22A" w:rsidR="001513B2"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52</w:t>
      </w:r>
      <w:r w:rsidRPr="008822DF">
        <w:rPr>
          <w:rFonts w:ascii="Times New Roman" w:hAnsi="Times New Roman"/>
          <w:szCs w:val="24"/>
        </w:rPr>
        <w:tab/>
      </w:r>
      <w:r w:rsidR="001513B2" w:rsidRPr="008822DF">
        <w:rPr>
          <w:rFonts w:ascii="Times New Roman" w:hAnsi="Times New Roman"/>
          <w:szCs w:val="24"/>
        </w:rPr>
        <w:t xml:space="preserve">It seems quite clear to me that Standard Bank’s claim is that it was a tacit term of the agreements concluded between the parties in respect to the credit cards that interest would </w:t>
      </w:r>
      <w:r w:rsidR="001513B2" w:rsidRPr="008822DF">
        <w:rPr>
          <w:rFonts w:ascii="Times New Roman" w:hAnsi="Times New Roman"/>
          <w:szCs w:val="24"/>
        </w:rPr>
        <w:lastRenderedPageBreak/>
        <w:t>be charged at the rates ultimately charged.</w:t>
      </w:r>
      <w:r w:rsidR="002208C3" w:rsidRPr="008822DF">
        <w:rPr>
          <w:rFonts w:ascii="Times New Roman" w:hAnsi="Times New Roman"/>
          <w:szCs w:val="24"/>
        </w:rPr>
        <w:t xml:space="preserve"> Whether it can prov</w:t>
      </w:r>
      <w:r w:rsidR="00363FE7" w:rsidRPr="008822DF">
        <w:rPr>
          <w:rFonts w:ascii="Times New Roman" w:hAnsi="Times New Roman"/>
          <w:szCs w:val="24"/>
        </w:rPr>
        <w:t>e</w:t>
      </w:r>
      <w:r w:rsidR="002208C3" w:rsidRPr="008822DF">
        <w:rPr>
          <w:rFonts w:ascii="Times New Roman" w:hAnsi="Times New Roman"/>
          <w:szCs w:val="24"/>
        </w:rPr>
        <w:t xml:space="preserve"> this is</w:t>
      </w:r>
      <w:r w:rsidR="00195908">
        <w:rPr>
          <w:rFonts w:ascii="Times New Roman" w:hAnsi="Times New Roman"/>
          <w:szCs w:val="24"/>
        </w:rPr>
        <w:t>,</w:t>
      </w:r>
      <w:r w:rsidR="002208C3" w:rsidRPr="008822DF">
        <w:rPr>
          <w:rFonts w:ascii="Times New Roman" w:hAnsi="Times New Roman"/>
          <w:szCs w:val="24"/>
        </w:rPr>
        <w:t xml:space="preserve"> of course</w:t>
      </w:r>
      <w:r w:rsidR="00195908">
        <w:rPr>
          <w:rFonts w:ascii="Times New Roman" w:hAnsi="Times New Roman"/>
          <w:szCs w:val="24"/>
        </w:rPr>
        <w:t>,</w:t>
      </w:r>
      <w:r w:rsidR="002208C3" w:rsidRPr="008822DF">
        <w:rPr>
          <w:rFonts w:ascii="Times New Roman" w:hAnsi="Times New Roman"/>
          <w:szCs w:val="24"/>
        </w:rPr>
        <w:t xml:space="preserve"> a matter for trial. But I cannot see how the claim can be characterised as vague, much less failing to disclose a cause of action.</w:t>
      </w:r>
    </w:p>
    <w:p w14:paraId="2F7A1AA3" w14:textId="33842C86" w:rsidR="002208C3"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53</w:t>
      </w:r>
      <w:r w:rsidRPr="008822DF">
        <w:rPr>
          <w:rFonts w:ascii="Times New Roman" w:hAnsi="Times New Roman"/>
          <w:szCs w:val="24"/>
        </w:rPr>
        <w:tab/>
      </w:r>
      <w:r w:rsidR="002208C3" w:rsidRPr="008822DF">
        <w:rPr>
          <w:rFonts w:ascii="Times New Roman" w:hAnsi="Times New Roman"/>
          <w:szCs w:val="24"/>
        </w:rPr>
        <w:t>It follows that the fifth exception must be dismissed.</w:t>
      </w:r>
    </w:p>
    <w:p w14:paraId="71257D07" w14:textId="3C2A8592" w:rsidR="00AE2FA9" w:rsidRPr="008822DF" w:rsidRDefault="00AE2FA9" w:rsidP="00AE2FA9">
      <w:pPr>
        <w:pStyle w:val="Heading1"/>
        <w:rPr>
          <w:rFonts w:ascii="Times New Roman" w:hAnsi="Times New Roman"/>
          <w:szCs w:val="24"/>
        </w:rPr>
      </w:pPr>
      <w:r w:rsidRPr="008822DF">
        <w:rPr>
          <w:rFonts w:ascii="Times New Roman" w:hAnsi="Times New Roman"/>
          <w:szCs w:val="24"/>
        </w:rPr>
        <w:t>THE SIXTH EXCEPTION</w:t>
      </w:r>
    </w:p>
    <w:p w14:paraId="4652F879" w14:textId="29FEEAD8" w:rsidR="00AE2FA9"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54</w:t>
      </w:r>
      <w:r w:rsidRPr="008822DF">
        <w:rPr>
          <w:rFonts w:ascii="Times New Roman" w:hAnsi="Times New Roman"/>
          <w:szCs w:val="24"/>
        </w:rPr>
        <w:tab/>
      </w:r>
      <w:r w:rsidR="008C7C20" w:rsidRPr="008822DF">
        <w:rPr>
          <w:rFonts w:ascii="Times New Roman" w:hAnsi="Times New Roman"/>
          <w:szCs w:val="24"/>
        </w:rPr>
        <w:t xml:space="preserve">The last exception relates </w:t>
      </w:r>
      <w:r w:rsidR="00EE18EB" w:rsidRPr="008822DF">
        <w:rPr>
          <w:rFonts w:ascii="Times New Roman" w:hAnsi="Times New Roman"/>
          <w:szCs w:val="24"/>
        </w:rPr>
        <w:t>to the issue of default in terms of the Overdraft Facility Agreement. It reads as follows:</w:t>
      </w:r>
    </w:p>
    <w:p w14:paraId="4095FE40" w14:textId="0F6A452D" w:rsidR="004E701B" w:rsidRPr="008822DF" w:rsidRDefault="00DF500B" w:rsidP="00823FFE">
      <w:pPr>
        <w:pStyle w:val="BodyTextIndent"/>
        <w:spacing w:line="240" w:lineRule="auto"/>
        <w:ind w:left="1134"/>
        <w:rPr>
          <w:rFonts w:ascii="Times New Roman" w:hAnsi="Times New Roman"/>
          <w:szCs w:val="24"/>
        </w:rPr>
      </w:pPr>
      <w:r w:rsidRPr="008822DF">
        <w:rPr>
          <w:rFonts w:ascii="Times New Roman" w:hAnsi="Times New Roman"/>
          <w:szCs w:val="24"/>
        </w:rPr>
        <w:t>“</w:t>
      </w:r>
      <w:r w:rsidR="004E701B" w:rsidRPr="008822DF">
        <w:rPr>
          <w:rFonts w:ascii="Times New Roman" w:hAnsi="Times New Roman"/>
          <w:szCs w:val="24"/>
        </w:rPr>
        <w:t>28. At paragraph 13.5 of the Particulars of Claim the Plaintiff pleads that a default in terms</w:t>
      </w:r>
      <w:r w:rsidR="00823FFE" w:rsidRPr="008822DF">
        <w:rPr>
          <w:rFonts w:ascii="Times New Roman" w:hAnsi="Times New Roman"/>
          <w:szCs w:val="24"/>
        </w:rPr>
        <w:t xml:space="preserve"> </w:t>
      </w:r>
      <w:r w:rsidR="004E701B" w:rsidRPr="008822DF">
        <w:rPr>
          <w:rFonts w:ascii="Times New Roman" w:hAnsi="Times New Roman"/>
          <w:szCs w:val="24"/>
        </w:rPr>
        <w:t>of the overdraft facility agreement would occur if there is, in the Plaintiff's reasonable</w:t>
      </w:r>
      <w:r w:rsidR="00823FFE" w:rsidRPr="008822DF">
        <w:rPr>
          <w:rFonts w:ascii="Times New Roman" w:hAnsi="Times New Roman"/>
          <w:szCs w:val="24"/>
        </w:rPr>
        <w:t xml:space="preserve"> </w:t>
      </w:r>
      <w:r w:rsidR="004E701B" w:rsidRPr="008822DF">
        <w:rPr>
          <w:rFonts w:ascii="Times New Roman" w:hAnsi="Times New Roman"/>
          <w:szCs w:val="24"/>
        </w:rPr>
        <w:t>opinion, a material deterioration in the First Defendant's financial position.</w:t>
      </w:r>
    </w:p>
    <w:p w14:paraId="5547C28D" w14:textId="77777777" w:rsidR="004E701B" w:rsidRPr="008822DF" w:rsidRDefault="004E701B" w:rsidP="00823FFE">
      <w:pPr>
        <w:pStyle w:val="BodyTextIndent"/>
        <w:spacing w:line="240" w:lineRule="auto"/>
        <w:ind w:firstLine="567"/>
        <w:rPr>
          <w:rFonts w:ascii="Times New Roman" w:hAnsi="Times New Roman"/>
          <w:szCs w:val="24"/>
        </w:rPr>
      </w:pPr>
      <w:r w:rsidRPr="008822DF">
        <w:rPr>
          <w:rFonts w:ascii="Times New Roman" w:hAnsi="Times New Roman"/>
          <w:szCs w:val="24"/>
        </w:rPr>
        <w:t>29. At paragraph 18 of the Particulars of Claim the Plaintiff pleads:</w:t>
      </w:r>
    </w:p>
    <w:p w14:paraId="1130A488" w14:textId="274309F8" w:rsidR="004E701B" w:rsidRPr="008822DF" w:rsidRDefault="004E701B" w:rsidP="00823FFE">
      <w:pPr>
        <w:pStyle w:val="BodyTextIndent"/>
        <w:spacing w:line="240" w:lineRule="auto"/>
        <w:ind w:left="1701"/>
        <w:rPr>
          <w:rFonts w:ascii="Times New Roman" w:hAnsi="Times New Roman"/>
          <w:szCs w:val="24"/>
        </w:rPr>
      </w:pPr>
      <w:r w:rsidRPr="008822DF">
        <w:rPr>
          <w:rFonts w:ascii="Times New Roman" w:hAnsi="Times New Roman"/>
          <w:szCs w:val="24"/>
        </w:rPr>
        <w:t xml:space="preserve">"The Plaintiff is further of the reasonable opinion of the reasonable </w:t>
      </w:r>
      <w:r w:rsidR="00EE5440" w:rsidRPr="008822DF">
        <w:rPr>
          <w:rFonts w:ascii="Times New Roman" w:hAnsi="Times New Roman"/>
          <w:szCs w:val="24"/>
        </w:rPr>
        <w:t xml:space="preserve">[sic] </w:t>
      </w:r>
      <w:r w:rsidRPr="008822DF">
        <w:rPr>
          <w:rFonts w:ascii="Times New Roman" w:hAnsi="Times New Roman"/>
          <w:szCs w:val="24"/>
        </w:rPr>
        <w:t>that there was a</w:t>
      </w:r>
      <w:r w:rsidR="00823FFE" w:rsidRPr="008822DF">
        <w:rPr>
          <w:rFonts w:ascii="Times New Roman" w:hAnsi="Times New Roman"/>
          <w:szCs w:val="24"/>
        </w:rPr>
        <w:t xml:space="preserve"> </w:t>
      </w:r>
      <w:r w:rsidRPr="008822DF">
        <w:rPr>
          <w:rFonts w:ascii="Times New Roman" w:hAnsi="Times New Roman"/>
          <w:szCs w:val="24"/>
        </w:rPr>
        <w:t>material deterioration in the financial position of the First Defendant, not only for the</w:t>
      </w:r>
      <w:r w:rsidR="00823FFE" w:rsidRPr="008822DF">
        <w:rPr>
          <w:rFonts w:ascii="Times New Roman" w:hAnsi="Times New Roman"/>
          <w:szCs w:val="24"/>
        </w:rPr>
        <w:t xml:space="preserve"> </w:t>
      </w:r>
      <w:r w:rsidRPr="008822DF">
        <w:rPr>
          <w:rFonts w:ascii="Times New Roman" w:hAnsi="Times New Roman"/>
          <w:szCs w:val="24"/>
        </w:rPr>
        <w:t>reasons that the Plaintiff was generally not satisfied with the conduct on the overdraft</w:t>
      </w:r>
      <w:r w:rsidR="00823FFE" w:rsidRPr="008822DF">
        <w:rPr>
          <w:rFonts w:ascii="Times New Roman" w:hAnsi="Times New Roman"/>
          <w:szCs w:val="24"/>
        </w:rPr>
        <w:t xml:space="preserve"> </w:t>
      </w:r>
      <w:r w:rsidRPr="008822DF">
        <w:rPr>
          <w:rFonts w:ascii="Times New Roman" w:hAnsi="Times New Roman"/>
          <w:szCs w:val="24"/>
        </w:rPr>
        <w:t>account in that the deposits made to the overdraft account compared to the drawings</w:t>
      </w:r>
      <w:r w:rsidR="00823FFE" w:rsidRPr="008822DF">
        <w:rPr>
          <w:rFonts w:ascii="Times New Roman" w:hAnsi="Times New Roman"/>
          <w:szCs w:val="24"/>
        </w:rPr>
        <w:t xml:space="preserve"> </w:t>
      </w:r>
      <w:r w:rsidRPr="008822DF">
        <w:rPr>
          <w:rFonts w:ascii="Times New Roman" w:hAnsi="Times New Roman"/>
          <w:szCs w:val="24"/>
        </w:rPr>
        <w:t>therefrom indicated that the First Defendant was experiencing reduced trading</w:t>
      </w:r>
      <w:r w:rsidR="00823FFE" w:rsidRPr="008822DF">
        <w:rPr>
          <w:rFonts w:ascii="Times New Roman" w:hAnsi="Times New Roman"/>
          <w:szCs w:val="24"/>
        </w:rPr>
        <w:t xml:space="preserve"> </w:t>
      </w:r>
      <w:r w:rsidRPr="008822DF">
        <w:rPr>
          <w:rFonts w:ascii="Times New Roman" w:hAnsi="Times New Roman"/>
          <w:szCs w:val="24"/>
        </w:rPr>
        <w:t xml:space="preserve">capabilities, which reduced trading capabilities did not justify the Initial </w:t>
      </w:r>
      <w:r w:rsidR="006436EF" w:rsidRPr="008822DF">
        <w:rPr>
          <w:rFonts w:ascii="Times New Roman" w:hAnsi="Times New Roman"/>
          <w:szCs w:val="24"/>
        </w:rPr>
        <w:t>Li</w:t>
      </w:r>
      <w:r w:rsidRPr="008822DF">
        <w:rPr>
          <w:rFonts w:ascii="Times New Roman" w:hAnsi="Times New Roman"/>
          <w:szCs w:val="24"/>
        </w:rPr>
        <w:t>mited remaining</w:t>
      </w:r>
      <w:r w:rsidR="00823FFE" w:rsidRPr="008822DF">
        <w:rPr>
          <w:rFonts w:ascii="Times New Roman" w:hAnsi="Times New Roman"/>
          <w:szCs w:val="24"/>
        </w:rPr>
        <w:t xml:space="preserve"> </w:t>
      </w:r>
      <w:r w:rsidRPr="008822DF">
        <w:rPr>
          <w:rFonts w:ascii="Times New Roman" w:hAnsi="Times New Roman"/>
          <w:szCs w:val="24"/>
        </w:rPr>
        <w:t>in place." [sic]</w:t>
      </w:r>
    </w:p>
    <w:p w14:paraId="09576903" w14:textId="304E813E" w:rsidR="004E701B" w:rsidRPr="008822DF" w:rsidRDefault="004E701B" w:rsidP="00823FFE">
      <w:pPr>
        <w:pStyle w:val="BodyTextIndent"/>
        <w:spacing w:line="240" w:lineRule="auto"/>
        <w:ind w:left="1134"/>
        <w:rPr>
          <w:rFonts w:ascii="Times New Roman" w:hAnsi="Times New Roman"/>
          <w:szCs w:val="24"/>
        </w:rPr>
      </w:pPr>
      <w:r w:rsidRPr="008822DF">
        <w:rPr>
          <w:rFonts w:ascii="Times New Roman" w:hAnsi="Times New Roman"/>
          <w:szCs w:val="24"/>
        </w:rPr>
        <w:t>30. The Plaintiff could not reasonably form an opinion that there was a material deterioration</w:t>
      </w:r>
      <w:r w:rsidR="00823FFE" w:rsidRPr="008822DF">
        <w:rPr>
          <w:rFonts w:ascii="Times New Roman" w:hAnsi="Times New Roman"/>
          <w:szCs w:val="24"/>
        </w:rPr>
        <w:t xml:space="preserve"> </w:t>
      </w:r>
      <w:r w:rsidRPr="008822DF">
        <w:rPr>
          <w:rFonts w:ascii="Times New Roman" w:hAnsi="Times New Roman"/>
          <w:szCs w:val="24"/>
        </w:rPr>
        <w:t>in the First Defendant's financial position by simply comparing the deposits made into</w:t>
      </w:r>
      <w:r w:rsidR="00823FFE" w:rsidRPr="008822DF">
        <w:rPr>
          <w:rFonts w:ascii="Times New Roman" w:hAnsi="Times New Roman"/>
          <w:szCs w:val="24"/>
        </w:rPr>
        <w:t xml:space="preserve"> </w:t>
      </w:r>
      <w:r w:rsidRPr="008822DF">
        <w:rPr>
          <w:rFonts w:ascii="Times New Roman" w:hAnsi="Times New Roman"/>
          <w:szCs w:val="24"/>
        </w:rPr>
        <w:t>the overdraft account and the drawings therefrom.</w:t>
      </w:r>
    </w:p>
    <w:p w14:paraId="792767DF" w14:textId="6952999C" w:rsidR="004E701B" w:rsidRPr="008822DF" w:rsidRDefault="004E701B" w:rsidP="003B7427">
      <w:pPr>
        <w:pStyle w:val="BodyTextIndent"/>
        <w:spacing w:line="240" w:lineRule="auto"/>
        <w:ind w:left="1134"/>
        <w:rPr>
          <w:rFonts w:ascii="Times New Roman" w:hAnsi="Times New Roman"/>
          <w:szCs w:val="24"/>
        </w:rPr>
      </w:pPr>
      <w:r w:rsidRPr="008822DF">
        <w:rPr>
          <w:rFonts w:ascii="Times New Roman" w:hAnsi="Times New Roman"/>
          <w:szCs w:val="24"/>
        </w:rPr>
        <w:t>31. In addition, a simple comparison of the deposits into and drawings from the overdraft</w:t>
      </w:r>
      <w:r w:rsidR="003B7427" w:rsidRPr="008822DF">
        <w:rPr>
          <w:rFonts w:ascii="Times New Roman" w:hAnsi="Times New Roman"/>
          <w:szCs w:val="24"/>
        </w:rPr>
        <w:t xml:space="preserve"> </w:t>
      </w:r>
      <w:r w:rsidRPr="008822DF">
        <w:rPr>
          <w:rFonts w:ascii="Times New Roman" w:hAnsi="Times New Roman"/>
          <w:szCs w:val="24"/>
        </w:rPr>
        <w:t>account, without anything further, could never lead to a reasonable opinion that the First</w:t>
      </w:r>
      <w:r w:rsidR="003B7427" w:rsidRPr="008822DF">
        <w:rPr>
          <w:rFonts w:ascii="Times New Roman" w:hAnsi="Times New Roman"/>
          <w:szCs w:val="24"/>
        </w:rPr>
        <w:t xml:space="preserve"> </w:t>
      </w:r>
      <w:r w:rsidRPr="008822DF">
        <w:rPr>
          <w:rFonts w:ascii="Times New Roman" w:hAnsi="Times New Roman"/>
          <w:szCs w:val="24"/>
        </w:rPr>
        <w:t>Defendant was experiencing reduced trading capabilities.</w:t>
      </w:r>
    </w:p>
    <w:p w14:paraId="3471807A" w14:textId="3549583A" w:rsidR="004E701B" w:rsidRPr="008822DF" w:rsidRDefault="004E701B" w:rsidP="003B7427">
      <w:pPr>
        <w:pStyle w:val="BodyTextIndent"/>
        <w:spacing w:line="240" w:lineRule="auto"/>
        <w:ind w:left="1134"/>
        <w:rPr>
          <w:rFonts w:ascii="Times New Roman" w:hAnsi="Times New Roman"/>
          <w:szCs w:val="24"/>
        </w:rPr>
      </w:pPr>
      <w:r w:rsidRPr="008822DF">
        <w:rPr>
          <w:rFonts w:ascii="Times New Roman" w:hAnsi="Times New Roman"/>
          <w:szCs w:val="24"/>
        </w:rPr>
        <w:t>32. The aforesaid renders the Plaintiff's Particulars of Claim excipiable on the basis that they</w:t>
      </w:r>
      <w:r w:rsidR="003B7427" w:rsidRPr="008822DF">
        <w:rPr>
          <w:rFonts w:ascii="Times New Roman" w:hAnsi="Times New Roman"/>
          <w:szCs w:val="24"/>
        </w:rPr>
        <w:t xml:space="preserve"> </w:t>
      </w:r>
      <w:r w:rsidRPr="008822DF">
        <w:rPr>
          <w:rFonts w:ascii="Times New Roman" w:hAnsi="Times New Roman"/>
          <w:szCs w:val="24"/>
        </w:rPr>
        <w:t>are vague and embarrassing alternatively lack averments necessary to sustain a cause</w:t>
      </w:r>
      <w:r w:rsidR="003B7427" w:rsidRPr="008822DF">
        <w:rPr>
          <w:rFonts w:ascii="Times New Roman" w:hAnsi="Times New Roman"/>
          <w:szCs w:val="24"/>
        </w:rPr>
        <w:t xml:space="preserve"> </w:t>
      </w:r>
      <w:r w:rsidRPr="008822DF">
        <w:rPr>
          <w:rFonts w:ascii="Times New Roman" w:hAnsi="Times New Roman"/>
          <w:szCs w:val="24"/>
        </w:rPr>
        <w:t>of action.</w:t>
      </w:r>
      <w:r w:rsidR="003B7427" w:rsidRPr="008822DF">
        <w:rPr>
          <w:rFonts w:ascii="Times New Roman" w:hAnsi="Times New Roman"/>
          <w:szCs w:val="24"/>
        </w:rPr>
        <w:t>”</w:t>
      </w:r>
    </w:p>
    <w:p w14:paraId="74D88FAF" w14:textId="779BAB13" w:rsidR="00E27EF7"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lastRenderedPageBreak/>
        <w:t>55</w:t>
      </w:r>
      <w:r w:rsidRPr="008822DF">
        <w:rPr>
          <w:rFonts w:ascii="Times New Roman" w:hAnsi="Times New Roman"/>
          <w:szCs w:val="24"/>
        </w:rPr>
        <w:tab/>
      </w:r>
      <w:r w:rsidR="00472800" w:rsidRPr="008822DF">
        <w:rPr>
          <w:rFonts w:ascii="Times New Roman" w:hAnsi="Times New Roman"/>
          <w:szCs w:val="24"/>
        </w:rPr>
        <w:t xml:space="preserve">I cannot, with great respect to the defendants, see how I can determine this issue on exception. </w:t>
      </w:r>
      <w:r w:rsidR="008B3221" w:rsidRPr="008822DF">
        <w:rPr>
          <w:rFonts w:ascii="Times New Roman" w:hAnsi="Times New Roman"/>
          <w:szCs w:val="24"/>
        </w:rPr>
        <w:t>Standard Bank has pleaded the basis on which it formed a view that there was a material deterioration of Bamboo Rock’s financial position.</w:t>
      </w:r>
      <w:r w:rsidR="008603AE" w:rsidRPr="008822DF">
        <w:rPr>
          <w:rFonts w:ascii="Times New Roman" w:hAnsi="Times New Roman"/>
          <w:szCs w:val="24"/>
        </w:rPr>
        <w:t xml:space="preserve"> It has said that it formed this view because it was concerned about the activity on the overdraft account. </w:t>
      </w:r>
      <w:r w:rsidR="001F0B82" w:rsidRPr="008822DF">
        <w:rPr>
          <w:rFonts w:ascii="Times New Roman" w:hAnsi="Times New Roman"/>
          <w:szCs w:val="24"/>
        </w:rPr>
        <w:t xml:space="preserve">It will have to lead evidence to substantiate that, as a matter of fact, this is how it came to its conclusion that Bamboo Rock </w:t>
      </w:r>
      <w:r w:rsidR="00AC3C1A" w:rsidRPr="008822DF">
        <w:rPr>
          <w:rFonts w:ascii="Times New Roman" w:hAnsi="Times New Roman"/>
          <w:szCs w:val="24"/>
        </w:rPr>
        <w:t>was in financial difficulty and will also have to justify its contention that this was a reasonable view to have reached. But these are all issues which either directly rely on the leading of evidence, or are (in the case of the objective enquiry into reasonableness) inextricably linked with evidentiary matters</w:t>
      </w:r>
      <w:r w:rsidR="00DD123B" w:rsidRPr="008822DF">
        <w:rPr>
          <w:rFonts w:ascii="Times New Roman" w:hAnsi="Times New Roman"/>
          <w:szCs w:val="24"/>
        </w:rPr>
        <w:t xml:space="preserve"> – ie, they take the form of a legal conclusion to be reached from established facts</w:t>
      </w:r>
      <w:r w:rsidR="00AC3C1A" w:rsidRPr="008822DF">
        <w:rPr>
          <w:rFonts w:ascii="Times New Roman" w:hAnsi="Times New Roman"/>
          <w:szCs w:val="24"/>
        </w:rPr>
        <w:t>.</w:t>
      </w:r>
      <w:r w:rsidR="00BD329F" w:rsidRPr="008822DF">
        <w:rPr>
          <w:rStyle w:val="FootnoteReference"/>
          <w:rFonts w:ascii="Times New Roman" w:hAnsi="Times New Roman"/>
          <w:szCs w:val="24"/>
        </w:rPr>
        <w:footnoteReference w:id="26"/>
      </w:r>
      <w:r w:rsidR="00C770B2" w:rsidRPr="008822DF">
        <w:rPr>
          <w:rFonts w:ascii="Times New Roman" w:hAnsi="Times New Roman"/>
          <w:szCs w:val="24"/>
        </w:rPr>
        <w:t xml:space="preserve"> At this stage, the nature of Standard Bank’s claim in this regard is clear (albeit that paragraph 18 of the amended particulars of claim is hardly a paragon of English usage)</w:t>
      </w:r>
      <w:r w:rsidR="000735DC" w:rsidRPr="008822DF">
        <w:rPr>
          <w:rFonts w:ascii="Times New Roman" w:hAnsi="Times New Roman"/>
          <w:szCs w:val="24"/>
        </w:rPr>
        <w:t xml:space="preserve"> and the defendants are well-placed to plead to it. And when it comes to the alternative suggestion that the particulars of claim disclose no cause of action,</w:t>
      </w:r>
      <w:r w:rsidR="00DF2F82" w:rsidRPr="008822DF">
        <w:rPr>
          <w:rFonts w:ascii="Times New Roman" w:hAnsi="Times New Roman"/>
          <w:szCs w:val="24"/>
        </w:rPr>
        <w:t xml:space="preserve"> it is simply not possible to conclude that, on every construction of paragraph 18 of the amended particulars of claim, </w:t>
      </w:r>
      <w:r w:rsidR="00E27EF7" w:rsidRPr="008822DF">
        <w:rPr>
          <w:rFonts w:ascii="Times New Roman" w:hAnsi="Times New Roman"/>
          <w:szCs w:val="24"/>
        </w:rPr>
        <w:t>no proper basis for the view formed by Standard Bank is alleged.</w:t>
      </w:r>
    </w:p>
    <w:p w14:paraId="4DBFE4D8" w14:textId="475A9E30" w:rsidR="008C7C20"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56</w:t>
      </w:r>
      <w:r w:rsidRPr="008822DF">
        <w:rPr>
          <w:rFonts w:ascii="Times New Roman" w:hAnsi="Times New Roman"/>
          <w:szCs w:val="24"/>
        </w:rPr>
        <w:tab/>
      </w:r>
      <w:r w:rsidR="00E27EF7" w:rsidRPr="008822DF">
        <w:rPr>
          <w:rFonts w:ascii="Times New Roman" w:hAnsi="Times New Roman"/>
          <w:szCs w:val="24"/>
        </w:rPr>
        <w:t>It follows that the sixth exception must be dismissed.</w:t>
      </w:r>
      <w:r w:rsidR="008603AE" w:rsidRPr="008822DF">
        <w:rPr>
          <w:rFonts w:ascii="Times New Roman" w:hAnsi="Times New Roman"/>
          <w:szCs w:val="24"/>
        </w:rPr>
        <w:t xml:space="preserve"> </w:t>
      </w:r>
      <w:r w:rsidR="008B3221" w:rsidRPr="008822DF">
        <w:rPr>
          <w:rFonts w:ascii="Times New Roman" w:hAnsi="Times New Roman"/>
          <w:szCs w:val="24"/>
        </w:rPr>
        <w:t xml:space="preserve"> </w:t>
      </w:r>
    </w:p>
    <w:p w14:paraId="17521AA1" w14:textId="45C6A07D" w:rsidR="00AE2FA9" w:rsidRPr="008822DF" w:rsidRDefault="00AE2FA9" w:rsidP="00AE2FA9">
      <w:pPr>
        <w:pStyle w:val="Heading1"/>
        <w:rPr>
          <w:rFonts w:ascii="Times New Roman" w:hAnsi="Times New Roman"/>
          <w:szCs w:val="24"/>
        </w:rPr>
      </w:pPr>
      <w:r w:rsidRPr="008822DF">
        <w:rPr>
          <w:rFonts w:ascii="Times New Roman" w:hAnsi="Times New Roman"/>
          <w:szCs w:val="24"/>
        </w:rPr>
        <w:t>SUMMARY AND ORDER</w:t>
      </w:r>
    </w:p>
    <w:p w14:paraId="508151FD" w14:textId="71FE644C" w:rsidR="00816787"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57</w:t>
      </w:r>
      <w:r w:rsidRPr="008822DF">
        <w:rPr>
          <w:rFonts w:ascii="Times New Roman" w:hAnsi="Times New Roman"/>
          <w:szCs w:val="24"/>
        </w:rPr>
        <w:tab/>
      </w:r>
      <w:r w:rsidR="0011269B" w:rsidRPr="008822DF">
        <w:rPr>
          <w:rFonts w:ascii="Times New Roman" w:hAnsi="Times New Roman"/>
          <w:szCs w:val="24"/>
        </w:rPr>
        <w:t xml:space="preserve">It follows from what I have said above that the first to third, fifth and sixth exceptions must be dismissed and the fourth exception upheld. On the question of costs, </w:t>
      </w:r>
      <w:r w:rsidR="009B1C77" w:rsidRPr="008822DF">
        <w:rPr>
          <w:rFonts w:ascii="Times New Roman" w:hAnsi="Times New Roman"/>
          <w:szCs w:val="24"/>
        </w:rPr>
        <w:t xml:space="preserve">Standard Bank has been substantially successful in pure numerical terms, but the </w:t>
      </w:r>
      <w:r w:rsidR="00795534" w:rsidRPr="008822DF">
        <w:rPr>
          <w:rFonts w:ascii="Times New Roman" w:hAnsi="Times New Roman"/>
          <w:szCs w:val="24"/>
        </w:rPr>
        <w:t xml:space="preserve">upholding of the </w:t>
      </w:r>
      <w:r w:rsidR="00795534" w:rsidRPr="008822DF">
        <w:rPr>
          <w:rFonts w:ascii="Times New Roman" w:hAnsi="Times New Roman"/>
          <w:szCs w:val="24"/>
        </w:rPr>
        <w:lastRenderedPageBreak/>
        <w:t>fourth exception is a significant victory for the defendants because it is a cause of action exception which goes to the root of the claim against the guarantee defendants. In the circumstances, I consider the application as a whole to be a draw, which makes it appropriate that I make no order as to costs.</w:t>
      </w:r>
    </w:p>
    <w:p w14:paraId="51D790C6" w14:textId="2C3B176C" w:rsidR="00F829E9" w:rsidRPr="008822DF" w:rsidRDefault="008327FE" w:rsidP="008327FE">
      <w:pPr>
        <w:pStyle w:val="WLGLevel1"/>
        <w:numPr>
          <w:ilvl w:val="0"/>
          <w:numId w:val="0"/>
        </w:numPr>
        <w:tabs>
          <w:tab w:val="left" w:pos="567"/>
        </w:tabs>
        <w:ind w:left="562" w:hanging="562"/>
        <w:rPr>
          <w:rFonts w:ascii="Times New Roman" w:hAnsi="Times New Roman"/>
          <w:szCs w:val="24"/>
        </w:rPr>
      </w:pPr>
      <w:r w:rsidRPr="008822DF">
        <w:rPr>
          <w:rFonts w:ascii="Times New Roman" w:hAnsi="Times New Roman"/>
          <w:szCs w:val="24"/>
        </w:rPr>
        <w:t>58</w:t>
      </w:r>
      <w:r w:rsidRPr="008822DF">
        <w:rPr>
          <w:rFonts w:ascii="Times New Roman" w:hAnsi="Times New Roman"/>
          <w:szCs w:val="24"/>
        </w:rPr>
        <w:tab/>
      </w:r>
      <w:r w:rsidR="00F829E9" w:rsidRPr="008822DF">
        <w:rPr>
          <w:rFonts w:ascii="Times New Roman" w:hAnsi="Times New Roman"/>
          <w:szCs w:val="24"/>
        </w:rPr>
        <w:t>I accordingly make the following order:</w:t>
      </w:r>
    </w:p>
    <w:p w14:paraId="55D9DCA9" w14:textId="09A7BCB9" w:rsidR="00F829E9" w:rsidRPr="008822DF" w:rsidRDefault="008327FE" w:rsidP="008327FE">
      <w:pPr>
        <w:pStyle w:val="BodyTextIndent"/>
        <w:ind w:left="1494" w:hanging="360"/>
        <w:rPr>
          <w:rFonts w:ascii="Times New Roman" w:hAnsi="Times New Roman"/>
          <w:b/>
          <w:bCs/>
          <w:szCs w:val="24"/>
        </w:rPr>
      </w:pPr>
      <w:bookmarkStart w:id="5" w:name="_Ref87951394"/>
      <w:r w:rsidRPr="008822DF">
        <w:rPr>
          <w:rFonts w:ascii="Times New Roman" w:hAnsi="Times New Roman"/>
          <w:b/>
          <w:bCs/>
          <w:szCs w:val="24"/>
        </w:rPr>
        <w:t>1.</w:t>
      </w:r>
      <w:r w:rsidRPr="008822DF">
        <w:rPr>
          <w:rFonts w:ascii="Times New Roman" w:hAnsi="Times New Roman"/>
          <w:b/>
          <w:bCs/>
          <w:szCs w:val="24"/>
        </w:rPr>
        <w:tab/>
      </w:r>
      <w:r w:rsidR="00F829E9" w:rsidRPr="008822DF">
        <w:rPr>
          <w:rFonts w:ascii="Times New Roman" w:hAnsi="Times New Roman"/>
          <w:b/>
          <w:bCs/>
          <w:szCs w:val="24"/>
        </w:rPr>
        <w:t>The first, second, third, fifth and sixth exceptions are dismissed.</w:t>
      </w:r>
      <w:bookmarkEnd w:id="5"/>
    </w:p>
    <w:p w14:paraId="32F433E7" w14:textId="7FE830DE" w:rsidR="00F829E9" w:rsidRPr="008822DF" w:rsidRDefault="008327FE" w:rsidP="008327FE">
      <w:pPr>
        <w:pStyle w:val="BodyTextIndent"/>
        <w:ind w:left="1494" w:hanging="360"/>
        <w:rPr>
          <w:rFonts w:ascii="Times New Roman" w:hAnsi="Times New Roman"/>
          <w:b/>
          <w:bCs/>
          <w:szCs w:val="24"/>
        </w:rPr>
      </w:pPr>
      <w:r w:rsidRPr="008822DF">
        <w:rPr>
          <w:rFonts w:ascii="Times New Roman" w:hAnsi="Times New Roman"/>
          <w:b/>
          <w:bCs/>
          <w:szCs w:val="24"/>
        </w:rPr>
        <w:t>2.</w:t>
      </w:r>
      <w:r w:rsidRPr="008822DF">
        <w:rPr>
          <w:rFonts w:ascii="Times New Roman" w:hAnsi="Times New Roman"/>
          <w:b/>
          <w:bCs/>
          <w:szCs w:val="24"/>
        </w:rPr>
        <w:tab/>
      </w:r>
      <w:r w:rsidR="00F829E9" w:rsidRPr="008822DF">
        <w:rPr>
          <w:rFonts w:ascii="Times New Roman" w:hAnsi="Times New Roman"/>
          <w:b/>
          <w:bCs/>
          <w:szCs w:val="24"/>
        </w:rPr>
        <w:t>The fourth exception is upheld.</w:t>
      </w:r>
    </w:p>
    <w:p w14:paraId="5321441B" w14:textId="5B239A6D" w:rsidR="00F829E9" w:rsidRPr="008822DF" w:rsidRDefault="008327FE" w:rsidP="008327FE">
      <w:pPr>
        <w:pStyle w:val="BodyTextIndent"/>
        <w:ind w:left="1494" w:hanging="360"/>
        <w:rPr>
          <w:rFonts w:ascii="Times New Roman" w:hAnsi="Times New Roman"/>
          <w:b/>
          <w:bCs/>
          <w:szCs w:val="24"/>
        </w:rPr>
      </w:pPr>
      <w:r w:rsidRPr="008822DF">
        <w:rPr>
          <w:rFonts w:ascii="Times New Roman" w:hAnsi="Times New Roman"/>
          <w:b/>
          <w:bCs/>
          <w:szCs w:val="24"/>
        </w:rPr>
        <w:t>3.</w:t>
      </w:r>
      <w:r w:rsidRPr="008822DF">
        <w:rPr>
          <w:rFonts w:ascii="Times New Roman" w:hAnsi="Times New Roman"/>
          <w:b/>
          <w:bCs/>
          <w:szCs w:val="24"/>
        </w:rPr>
        <w:tab/>
      </w:r>
      <w:r w:rsidR="00F829E9" w:rsidRPr="008822DF">
        <w:rPr>
          <w:rFonts w:ascii="Times New Roman" w:hAnsi="Times New Roman"/>
          <w:b/>
          <w:bCs/>
          <w:szCs w:val="24"/>
        </w:rPr>
        <w:t xml:space="preserve">The plaintiff is </w:t>
      </w:r>
      <w:r w:rsidR="008A46E0" w:rsidRPr="008822DF">
        <w:rPr>
          <w:rFonts w:ascii="Times New Roman" w:hAnsi="Times New Roman"/>
          <w:b/>
          <w:bCs/>
          <w:szCs w:val="24"/>
        </w:rPr>
        <w:t xml:space="preserve">given leave to amend its particulars of claim </w:t>
      </w:r>
      <w:r w:rsidR="002C0759" w:rsidRPr="008822DF">
        <w:rPr>
          <w:rFonts w:ascii="Times New Roman" w:hAnsi="Times New Roman"/>
          <w:b/>
          <w:bCs/>
          <w:szCs w:val="24"/>
        </w:rPr>
        <w:t xml:space="preserve">by notice of amendment given </w:t>
      </w:r>
      <w:r w:rsidR="008A46E0" w:rsidRPr="008822DF">
        <w:rPr>
          <w:rFonts w:ascii="Times New Roman" w:hAnsi="Times New Roman"/>
          <w:b/>
          <w:bCs/>
          <w:szCs w:val="24"/>
        </w:rPr>
        <w:t xml:space="preserve">within </w:t>
      </w:r>
      <w:r w:rsidR="002C0759" w:rsidRPr="008822DF">
        <w:rPr>
          <w:rFonts w:ascii="Times New Roman" w:hAnsi="Times New Roman"/>
          <w:b/>
          <w:bCs/>
          <w:szCs w:val="24"/>
        </w:rPr>
        <w:t>20</w:t>
      </w:r>
      <w:r w:rsidR="008A46E0" w:rsidRPr="008822DF">
        <w:rPr>
          <w:rFonts w:ascii="Times New Roman" w:hAnsi="Times New Roman"/>
          <w:b/>
          <w:bCs/>
          <w:szCs w:val="24"/>
        </w:rPr>
        <w:t xml:space="preserve"> days of the date of this order.</w:t>
      </w:r>
    </w:p>
    <w:p w14:paraId="278E5874" w14:textId="2479439D" w:rsidR="005D1EBC" w:rsidRPr="008822DF" w:rsidRDefault="008327FE" w:rsidP="008327FE">
      <w:pPr>
        <w:pStyle w:val="BodyTextIndent"/>
        <w:ind w:left="1494" w:hanging="360"/>
        <w:rPr>
          <w:rFonts w:ascii="Times New Roman" w:hAnsi="Times New Roman"/>
          <w:b/>
          <w:bCs/>
          <w:szCs w:val="24"/>
        </w:rPr>
      </w:pPr>
      <w:r w:rsidRPr="008822DF">
        <w:rPr>
          <w:rFonts w:ascii="Times New Roman" w:hAnsi="Times New Roman"/>
          <w:b/>
          <w:bCs/>
          <w:szCs w:val="24"/>
        </w:rPr>
        <w:t>4.</w:t>
      </w:r>
      <w:r w:rsidRPr="008822DF">
        <w:rPr>
          <w:rFonts w:ascii="Times New Roman" w:hAnsi="Times New Roman"/>
          <w:b/>
          <w:bCs/>
          <w:szCs w:val="24"/>
        </w:rPr>
        <w:tab/>
      </w:r>
      <w:r w:rsidR="005D1EBC" w:rsidRPr="008822DF">
        <w:rPr>
          <w:rFonts w:ascii="Times New Roman" w:hAnsi="Times New Roman"/>
          <w:b/>
          <w:bCs/>
          <w:szCs w:val="24"/>
        </w:rPr>
        <w:t>There is no order as to costs.</w:t>
      </w:r>
    </w:p>
    <w:p w14:paraId="79E02AED" w14:textId="77777777" w:rsidR="0011269B" w:rsidRPr="008822DF" w:rsidRDefault="0011269B" w:rsidP="0011269B">
      <w:pPr>
        <w:pStyle w:val="BodyTextIndent"/>
        <w:ind w:left="1134"/>
        <w:rPr>
          <w:rFonts w:ascii="Times New Roman" w:hAnsi="Times New Roman"/>
          <w:b/>
          <w:bCs/>
          <w:szCs w:val="24"/>
        </w:rPr>
      </w:pPr>
    </w:p>
    <w:p w14:paraId="27DBBAB0" w14:textId="77777777" w:rsidR="0011269B" w:rsidRPr="008822DF" w:rsidRDefault="0011269B" w:rsidP="0011269B">
      <w:pPr>
        <w:pStyle w:val="Parties"/>
        <w:jc w:val="right"/>
        <w:rPr>
          <w:rFonts w:ascii="Times New Roman" w:hAnsi="Times New Roman"/>
          <w:szCs w:val="24"/>
        </w:rPr>
      </w:pPr>
      <w:r w:rsidRPr="008822DF">
        <w:rPr>
          <w:rFonts w:ascii="Times New Roman" w:hAnsi="Times New Roman"/>
          <w:szCs w:val="24"/>
        </w:rPr>
        <w:t>________________________________________</w:t>
      </w:r>
    </w:p>
    <w:p w14:paraId="3395BDB1" w14:textId="77777777" w:rsidR="0011269B" w:rsidRPr="008822DF" w:rsidRDefault="0011269B" w:rsidP="0011269B">
      <w:pPr>
        <w:pStyle w:val="Parties"/>
        <w:jc w:val="right"/>
        <w:rPr>
          <w:rFonts w:ascii="Times New Roman" w:hAnsi="Times New Roman"/>
          <w:b/>
          <w:bCs/>
          <w:szCs w:val="24"/>
        </w:rPr>
      </w:pPr>
      <w:r w:rsidRPr="008822DF">
        <w:rPr>
          <w:rFonts w:ascii="Times New Roman" w:hAnsi="Times New Roman"/>
          <w:b/>
          <w:bCs/>
          <w:szCs w:val="24"/>
        </w:rPr>
        <w:t>ADRIAN FRIEDMAN</w:t>
      </w:r>
    </w:p>
    <w:p w14:paraId="129AFB48" w14:textId="77777777" w:rsidR="0011269B" w:rsidRPr="008822DF" w:rsidRDefault="0011269B" w:rsidP="0011269B">
      <w:pPr>
        <w:pStyle w:val="Parties"/>
        <w:jc w:val="right"/>
        <w:rPr>
          <w:rFonts w:ascii="Times New Roman" w:hAnsi="Times New Roman"/>
          <w:b/>
          <w:bCs/>
          <w:szCs w:val="24"/>
        </w:rPr>
      </w:pPr>
      <w:r w:rsidRPr="008822DF">
        <w:rPr>
          <w:rFonts w:ascii="Times New Roman" w:hAnsi="Times New Roman"/>
          <w:b/>
          <w:bCs/>
          <w:szCs w:val="24"/>
        </w:rPr>
        <w:t>ACTING JUDGE OF THE HIGH COURT</w:t>
      </w:r>
    </w:p>
    <w:p w14:paraId="5EA6B3AC" w14:textId="77777777" w:rsidR="0011269B" w:rsidRPr="008822DF" w:rsidRDefault="0011269B" w:rsidP="0011269B">
      <w:pPr>
        <w:pStyle w:val="Parties"/>
        <w:jc w:val="right"/>
        <w:rPr>
          <w:rFonts w:ascii="Times New Roman" w:hAnsi="Times New Roman"/>
          <w:b/>
          <w:bCs/>
          <w:szCs w:val="24"/>
        </w:rPr>
      </w:pPr>
      <w:r w:rsidRPr="008822DF">
        <w:rPr>
          <w:rFonts w:ascii="Times New Roman" w:hAnsi="Times New Roman"/>
          <w:b/>
          <w:bCs/>
          <w:szCs w:val="24"/>
        </w:rPr>
        <w:t>GAUTENG LOCAL DIVISION, JOHANNESBURG</w:t>
      </w:r>
    </w:p>
    <w:p w14:paraId="3C47C85E" w14:textId="77777777" w:rsidR="0011269B" w:rsidRPr="008822DF" w:rsidRDefault="0011269B" w:rsidP="0011269B">
      <w:pPr>
        <w:pStyle w:val="Parties"/>
        <w:rPr>
          <w:rFonts w:ascii="Times New Roman" w:hAnsi="Times New Roman"/>
          <w:szCs w:val="24"/>
        </w:rPr>
      </w:pPr>
    </w:p>
    <w:p w14:paraId="28DE93CB" w14:textId="77777777" w:rsidR="0011269B" w:rsidRPr="008822DF" w:rsidRDefault="0011269B" w:rsidP="0011269B">
      <w:pPr>
        <w:pStyle w:val="Parties"/>
        <w:rPr>
          <w:rFonts w:ascii="Times New Roman" w:hAnsi="Times New Roman"/>
          <w:szCs w:val="24"/>
        </w:rPr>
      </w:pPr>
    </w:p>
    <w:p w14:paraId="7DD89DD2" w14:textId="234D0842" w:rsidR="0011269B" w:rsidRPr="008822DF" w:rsidRDefault="0011269B" w:rsidP="0011269B">
      <w:pPr>
        <w:pStyle w:val="Parties"/>
        <w:rPr>
          <w:rFonts w:ascii="Times New Roman" w:hAnsi="Times New Roman"/>
          <w:szCs w:val="24"/>
        </w:rPr>
      </w:pPr>
      <w:r w:rsidRPr="008822DF">
        <w:rPr>
          <w:rFonts w:ascii="Times New Roman" w:hAnsi="Times New Roman"/>
          <w:szCs w:val="24"/>
        </w:rPr>
        <w:t xml:space="preserve">Delivered: This judgment was prepared and authored by the Judge whose name is reflected above and is handed down electronically by circulation to the parties/their legal representatives by email and by uploading it to the electronic file of this matter on CaseLines. The date for hand down is deemed to be </w:t>
      </w:r>
      <w:r w:rsidR="005D1EBC" w:rsidRPr="008822DF">
        <w:rPr>
          <w:rFonts w:ascii="Times New Roman" w:hAnsi="Times New Roman"/>
          <w:szCs w:val="24"/>
        </w:rPr>
        <w:t>1</w:t>
      </w:r>
      <w:r w:rsidR="00533A16">
        <w:rPr>
          <w:rFonts w:ascii="Times New Roman" w:hAnsi="Times New Roman"/>
          <w:szCs w:val="24"/>
        </w:rPr>
        <w:t>7</w:t>
      </w:r>
      <w:r w:rsidR="005D1EBC" w:rsidRPr="008822DF">
        <w:rPr>
          <w:rFonts w:ascii="Times New Roman" w:hAnsi="Times New Roman"/>
          <w:szCs w:val="24"/>
        </w:rPr>
        <w:t xml:space="preserve"> February 2023</w:t>
      </w:r>
      <w:r w:rsidRPr="008822DF">
        <w:rPr>
          <w:rFonts w:ascii="Times New Roman" w:hAnsi="Times New Roman"/>
          <w:szCs w:val="24"/>
        </w:rPr>
        <w:t>.</w:t>
      </w:r>
    </w:p>
    <w:p w14:paraId="7A2B81A3" w14:textId="77777777" w:rsidR="0011269B" w:rsidRPr="008822DF" w:rsidRDefault="0011269B" w:rsidP="0011269B">
      <w:pPr>
        <w:pStyle w:val="Parties"/>
        <w:rPr>
          <w:rFonts w:ascii="Times New Roman" w:hAnsi="Times New Roman"/>
          <w:szCs w:val="24"/>
        </w:rPr>
      </w:pPr>
    </w:p>
    <w:p w14:paraId="72195042" w14:textId="77777777" w:rsidR="0011269B" w:rsidRPr="008822DF" w:rsidRDefault="0011269B" w:rsidP="0011269B">
      <w:pPr>
        <w:pStyle w:val="Parties"/>
        <w:rPr>
          <w:rFonts w:ascii="Times New Roman" w:hAnsi="Times New Roman"/>
          <w:b/>
          <w:bCs/>
          <w:szCs w:val="24"/>
        </w:rPr>
      </w:pPr>
    </w:p>
    <w:p w14:paraId="5028F288" w14:textId="77777777" w:rsidR="0011269B" w:rsidRPr="008822DF" w:rsidRDefault="0011269B" w:rsidP="0011269B">
      <w:pPr>
        <w:pStyle w:val="Parties"/>
        <w:rPr>
          <w:rFonts w:ascii="Times New Roman" w:hAnsi="Times New Roman"/>
          <w:b/>
          <w:bCs/>
          <w:szCs w:val="24"/>
        </w:rPr>
      </w:pPr>
    </w:p>
    <w:p w14:paraId="4DED1D4D" w14:textId="77777777" w:rsidR="0011269B" w:rsidRPr="008822DF" w:rsidRDefault="0011269B" w:rsidP="0011269B">
      <w:pPr>
        <w:pStyle w:val="Parties"/>
        <w:rPr>
          <w:rFonts w:ascii="Times New Roman" w:hAnsi="Times New Roman"/>
          <w:b/>
          <w:bCs/>
          <w:szCs w:val="24"/>
        </w:rPr>
      </w:pPr>
    </w:p>
    <w:p w14:paraId="1C8A0145" w14:textId="77777777" w:rsidR="0011269B" w:rsidRPr="008822DF" w:rsidRDefault="0011269B" w:rsidP="0011269B">
      <w:pPr>
        <w:pStyle w:val="Parties"/>
        <w:rPr>
          <w:rFonts w:ascii="Times New Roman" w:hAnsi="Times New Roman"/>
          <w:b/>
          <w:bCs/>
          <w:szCs w:val="24"/>
        </w:rPr>
      </w:pPr>
      <w:r w:rsidRPr="008822DF">
        <w:rPr>
          <w:rFonts w:ascii="Times New Roman" w:hAnsi="Times New Roman"/>
          <w:b/>
          <w:bCs/>
          <w:szCs w:val="24"/>
        </w:rPr>
        <w:t>APPEARANCES:</w:t>
      </w:r>
    </w:p>
    <w:p w14:paraId="755F75ED" w14:textId="77777777" w:rsidR="0011269B" w:rsidRPr="008822DF" w:rsidRDefault="0011269B" w:rsidP="0011269B">
      <w:pPr>
        <w:pStyle w:val="Parties"/>
        <w:rPr>
          <w:rFonts w:ascii="Times New Roman" w:hAnsi="Times New Roman"/>
          <w:szCs w:val="24"/>
        </w:rPr>
      </w:pPr>
    </w:p>
    <w:p w14:paraId="6A3BF856" w14:textId="72E6FDEA" w:rsidR="0011269B" w:rsidRPr="008822DF" w:rsidRDefault="0011269B" w:rsidP="0011269B">
      <w:pPr>
        <w:pStyle w:val="BodyTextIndent"/>
        <w:spacing w:after="0" w:line="240" w:lineRule="auto"/>
        <w:ind w:left="0"/>
        <w:rPr>
          <w:rFonts w:ascii="Times New Roman" w:hAnsi="Times New Roman"/>
          <w:szCs w:val="24"/>
        </w:rPr>
      </w:pPr>
      <w:r w:rsidRPr="008822DF">
        <w:rPr>
          <w:rFonts w:ascii="Times New Roman" w:hAnsi="Times New Roman"/>
          <w:szCs w:val="24"/>
        </w:rPr>
        <w:t xml:space="preserve">Attorney for the </w:t>
      </w:r>
      <w:r w:rsidR="0005090E" w:rsidRPr="008822DF">
        <w:rPr>
          <w:rFonts w:ascii="Times New Roman" w:hAnsi="Times New Roman"/>
          <w:szCs w:val="24"/>
        </w:rPr>
        <w:t>excipients</w:t>
      </w:r>
      <w:r w:rsidRPr="008822DF">
        <w:rPr>
          <w:rFonts w:ascii="Times New Roman" w:hAnsi="Times New Roman"/>
          <w:szCs w:val="24"/>
        </w:rPr>
        <w:t>:</w:t>
      </w:r>
      <w:r w:rsidRPr="008822DF">
        <w:rPr>
          <w:rFonts w:ascii="Times New Roman" w:hAnsi="Times New Roman"/>
          <w:szCs w:val="24"/>
        </w:rPr>
        <w:tab/>
      </w:r>
      <w:r w:rsidRPr="008822DF">
        <w:rPr>
          <w:rFonts w:ascii="Times New Roman" w:hAnsi="Times New Roman"/>
          <w:szCs w:val="24"/>
        </w:rPr>
        <w:tab/>
      </w:r>
      <w:r w:rsidR="00666AC8" w:rsidRPr="008822DF">
        <w:rPr>
          <w:rFonts w:ascii="Times New Roman" w:hAnsi="Times New Roman"/>
          <w:szCs w:val="24"/>
        </w:rPr>
        <w:t>Schindlers SI Attorneys</w:t>
      </w:r>
    </w:p>
    <w:p w14:paraId="19B2E32C" w14:textId="77777777" w:rsidR="0011269B" w:rsidRPr="008822DF" w:rsidRDefault="0011269B" w:rsidP="0011269B">
      <w:pPr>
        <w:pStyle w:val="BodyTextIndent"/>
        <w:spacing w:after="0" w:line="240" w:lineRule="auto"/>
        <w:ind w:left="0"/>
        <w:rPr>
          <w:rFonts w:ascii="Times New Roman" w:hAnsi="Times New Roman"/>
          <w:szCs w:val="24"/>
        </w:rPr>
      </w:pPr>
    </w:p>
    <w:p w14:paraId="7EC1BFFC" w14:textId="79D1CED9" w:rsidR="0011269B" w:rsidRPr="008822DF" w:rsidRDefault="0011269B" w:rsidP="0011269B">
      <w:pPr>
        <w:pStyle w:val="BodyTextIndent"/>
        <w:spacing w:after="0" w:line="240" w:lineRule="auto"/>
        <w:ind w:left="0"/>
        <w:rPr>
          <w:rFonts w:ascii="Times New Roman" w:hAnsi="Times New Roman"/>
          <w:szCs w:val="24"/>
        </w:rPr>
      </w:pPr>
      <w:r w:rsidRPr="008822DF">
        <w:rPr>
          <w:rFonts w:ascii="Times New Roman" w:hAnsi="Times New Roman"/>
          <w:szCs w:val="24"/>
        </w:rPr>
        <w:t xml:space="preserve">Counsel for the </w:t>
      </w:r>
      <w:r w:rsidR="0005090E" w:rsidRPr="008822DF">
        <w:rPr>
          <w:rFonts w:ascii="Times New Roman" w:hAnsi="Times New Roman"/>
          <w:szCs w:val="24"/>
        </w:rPr>
        <w:t>excipients</w:t>
      </w:r>
      <w:r w:rsidRPr="008822DF">
        <w:rPr>
          <w:rFonts w:ascii="Times New Roman" w:hAnsi="Times New Roman"/>
          <w:szCs w:val="24"/>
        </w:rPr>
        <w:t>:</w:t>
      </w:r>
      <w:r w:rsidRPr="008822DF">
        <w:rPr>
          <w:rFonts w:ascii="Times New Roman" w:hAnsi="Times New Roman"/>
          <w:szCs w:val="24"/>
        </w:rPr>
        <w:tab/>
      </w:r>
      <w:r w:rsidRPr="008822DF">
        <w:rPr>
          <w:rFonts w:ascii="Times New Roman" w:hAnsi="Times New Roman"/>
          <w:szCs w:val="24"/>
        </w:rPr>
        <w:tab/>
      </w:r>
      <w:r w:rsidR="00C5416C" w:rsidRPr="008822DF">
        <w:rPr>
          <w:rFonts w:ascii="Times New Roman" w:hAnsi="Times New Roman"/>
          <w:szCs w:val="24"/>
        </w:rPr>
        <w:t>L Hollander</w:t>
      </w:r>
    </w:p>
    <w:p w14:paraId="69EF1ECE" w14:textId="77777777" w:rsidR="0011269B" w:rsidRPr="008822DF" w:rsidRDefault="0011269B" w:rsidP="0011269B">
      <w:pPr>
        <w:pStyle w:val="BodyTextIndent"/>
        <w:spacing w:after="0" w:line="240" w:lineRule="auto"/>
        <w:ind w:left="0"/>
        <w:rPr>
          <w:rFonts w:ascii="Times New Roman" w:hAnsi="Times New Roman"/>
          <w:szCs w:val="24"/>
        </w:rPr>
      </w:pPr>
    </w:p>
    <w:p w14:paraId="157DB335" w14:textId="4153EE62" w:rsidR="0011269B" w:rsidRPr="008822DF" w:rsidRDefault="0011269B" w:rsidP="0011269B">
      <w:pPr>
        <w:pStyle w:val="BodyTextIndent"/>
        <w:spacing w:after="0" w:line="240" w:lineRule="auto"/>
        <w:ind w:left="0"/>
        <w:rPr>
          <w:rFonts w:ascii="Times New Roman" w:hAnsi="Times New Roman"/>
          <w:szCs w:val="24"/>
        </w:rPr>
      </w:pPr>
      <w:r w:rsidRPr="008822DF">
        <w:rPr>
          <w:rFonts w:ascii="Times New Roman" w:hAnsi="Times New Roman"/>
          <w:szCs w:val="24"/>
        </w:rPr>
        <w:lastRenderedPageBreak/>
        <w:t xml:space="preserve">Attorney for the </w:t>
      </w:r>
      <w:r w:rsidR="0005090E" w:rsidRPr="008822DF">
        <w:rPr>
          <w:rFonts w:ascii="Times New Roman" w:hAnsi="Times New Roman"/>
          <w:szCs w:val="24"/>
        </w:rPr>
        <w:t>plaintiff</w:t>
      </w:r>
      <w:r w:rsidRPr="008822DF">
        <w:rPr>
          <w:rFonts w:ascii="Times New Roman" w:hAnsi="Times New Roman"/>
          <w:szCs w:val="24"/>
        </w:rPr>
        <w:t>:</w:t>
      </w:r>
      <w:r w:rsidRPr="008822DF">
        <w:rPr>
          <w:rFonts w:ascii="Times New Roman" w:hAnsi="Times New Roman"/>
          <w:szCs w:val="24"/>
        </w:rPr>
        <w:tab/>
      </w:r>
      <w:r w:rsidR="00F868D8" w:rsidRPr="008822DF">
        <w:rPr>
          <w:rFonts w:ascii="Times New Roman" w:hAnsi="Times New Roman"/>
          <w:szCs w:val="24"/>
        </w:rPr>
        <w:t>Claassen Inc</w:t>
      </w:r>
    </w:p>
    <w:p w14:paraId="1250C116" w14:textId="77777777" w:rsidR="0011269B" w:rsidRPr="008822DF" w:rsidRDefault="0011269B" w:rsidP="0011269B">
      <w:pPr>
        <w:pStyle w:val="BodyTextIndent"/>
        <w:spacing w:after="0" w:line="240" w:lineRule="auto"/>
        <w:ind w:left="0"/>
        <w:rPr>
          <w:rFonts w:ascii="Times New Roman" w:hAnsi="Times New Roman"/>
          <w:szCs w:val="24"/>
        </w:rPr>
      </w:pPr>
    </w:p>
    <w:p w14:paraId="3F0C31BF" w14:textId="78FACFB7" w:rsidR="0011269B" w:rsidRPr="008822DF" w:rsidRDefault="0011269B" w:rsidP="0011269B">
      <w:pPr>
        <w:pStyle w:val="BodyTextIndent"/>
        <w:spacing w:after="0" w:line="240" w:lineRule="auto"/>
        <w:ind w:left="0"/>
        <w:rPr>
          <w:rFonts w:ascii="Times New Roman" w:hAnsi="Times New Roman"/>
          <w:szCs w:val="24"/>
        </w:rPr>
      </w:pPr>
      <w:r w:rsidRPr="008822DF">
        <w:rPr>
          <w:rFonts w:ascii="Times New Roman" w:hAnsi="Times New Roman"/>
          <w:szCs w:val="24"/>
        </w:rPr>
        <w:t xml:space="preserve">Counsel for the </w:t>
      </w:r>
      <w:r w:rsidR="0005090E" w:rsidRPr="008822DF">
        <w:rPr>
          <w:rFonts w:ascii="Times New Roman" w:hAnsi="Times New Roman"/>
          <w:szCs w:val="24"/>
        </w:rPr>
        <w:t>plaintiff</w:t>
      </w:r>
      <w:r w:rsidRPr="008822DF">
        <w:rPr>
          <w:rFonts w:ascii="Times New Roman" w:hAnsi="Times New Roman"/>
          <w:szCs w:val="24"/>
        </w:rPr>
        <w:t>:</w:t>
      </w:r>
      <w:r w:rsidRPr="008822DF">
        <w:rPr>
          <w:rFonts w:ascii="Times New Roman" w:hAnsi="Times New Roman"/>
          <w:szCs w:val="24"/>
        </w:rPr>
        <w:tab/>
      </w:r>
      <w:r w:rsidR="00C5416C" w:rsidRPr="008822DF">
        <w:rPr>
          <w:rFonts w:ascii="Times New Roman" w:hAnsi="Times New Roman"/>
          <w:szCs w:val="24"/>
        </w:rPr>
        <w:t>M Reineke</w:t>
      </w:r>
    </w:p>
    <w:p w14:paraId="51DD5489" w14:textId="77777777" w:rsidR="0011269B" w:rsidRPr="008822DF" w:rsidRDefault="0011269B" w:rsidP="0011269B">
      <w:pPr>
        <w:pStyle w:val="BodyTextIndent"/>
        <w:spacing w:after="0" w:line="240" w:lineRule="auto"/>
        <w:ind w:left="0"/>
        <w:rPr>
          <w:rFonts w:ascii="Times New Roman" w:hAnsi="Times New Roman"/>
          <w:szCs w:val="24"/>
        </w:rPr>
      </w:pPr>
    </w:p>
    <w:p w14:paraId="3300F80B" w14:textId="71AA8C2A" w:rsidR="0011269B" w:rsidRPr="008822DF" w:rsidRDefault="0011269B" w:rsidP="0011269B">
      <w:pPr>
        <w:pStyle w:val="BodyTextIndent"/>
        <w:spacing w:after="0" w:line="240" w:lineRule="auto"/>
        <w:ind w:left="0"/>
        <w:rPr>
          <w:rFonts w:ascii="Times New Roman" w:hAnsi="Times New Roman"/>
          <w:szCs w:val="24"/>
        </w:rPr>
      </w:pPr>
      <w:r w:rsidRPr="008822DF">
        <w:rPr>
          <w:rFonts w:ascii="Times New Roman" w:hAnsi="Times New Roman"/>
          <w:szCs w:val="24"/>
        </w:rPr>
        <w:t>Date of hearing: 2</w:t>
      </w:r>
      <w:r w:rsidR="0005058F" w:rsidRPr="008822DF">
        <w:rPr>
          <w:rFonts w:ascii="Times New Roman" w:hAnsi="Times New Roman"/>
          <w:szCs w:val="24"/>
        </w:rPr>
        <w:t>5</w:t>
      </w:r>
      <w:r w:rsidRPr="008822DF">
        <w:rPr>
          <w:rFonts w:ascii="Times New Roman" w:hAnsi="Times New Roman"/>
          <w:szCs w:val="24"/>
        </w:rPr>
        <w:t xml:space="preserve"> November 2022</w:t>
      </w:r>
    </w:p>
    <w:p w14:paraId="47388388" w14:textId="77777777" w:rsidR="0011269B" w:rsidRPr="008822DF" w:rsidRDefault="0011269B" w:rsidP="0011269B">
      <w:pPr>
        <w:pStyle w:val="BodyTextIndent"/>
        <w:spacing w:after="0" w:line="240" w:lineRule="auto"/>
        <w:ind w:left="0"/>
        <w:rPr>
          <w:rFonts w:ascii="Times New Roman" w:hAnsi="Times New Roman"/>
          <w:szCs w:val="24"/>
        </w:rPr>
      </w:pPr>
    </w:p>
    <w:p w14:paraId="5E1AC176" w14:textId="4D3D68D5" w:rsidR="0011269B" w:rsidRPr="008822DF" w:rsidRDefault="0011269B" w:rsidP="0011269B">
      <w:pPr>
        <w:rPr>
          <w:rFonts w:ascii="Times New Roman" w:eastAsia="Calibri" w:hAnsi="Times New Roman"/>
          <w:b/>
          <w:bCs/>
          <w:szCs w:val="24"/>
        </w:rPr>
      </w:pPr>
      <w:r w:rsidRPr="008822DF">
        <w:rPr>
          <w:rFonts w:ascii="Times New Roman" w:hAnsi="Times New Roman"/>
          <w:szCs w:val="24"/>
        </w:rPr>
        <w:t xml:space="preserve">Date of judgment: </w:t>
      </w:r>
      <w:r w:rsidR="005D1EBC" w:rsidRPr="008822DF">
        <w:rPr>
          <w:rFonts w:ascii="Times New Roman" w:hAnsi="Times New Roman"/>
          <w:szCs w:val="24"/>
        </w:rPr>
        <w:t>1</w:t>
      </w:r>
      <w:r w:rsidR="000D6252" w:rsidRPr="008822DF">
        <w:rPr>
          <w:rFonts w:ascii="Times New Roman" w:hAnsi="Times New Roman"/>
          <w:szCs w:val="24"/>
        </w:rPr>
        <w:t>7</w:t>
      </w:r>
      <w:r w:rsidR="005D1EBC" w:rsidRPr="008822DF">
        <w:rPr>
          <w:rFonts w:ascii="Times New Roman" w:hAnsi="Times New Roman"/>
          <w:szCs w:val="24"/>
        </w:rPr>
        <w:t xml:space="preserve"> February 2023</w:t>
      </w:r>
    </w:p>
    <w:p w14:paraId="437CA987" w14:textId="77777777" w:rsidR="0011269B" w:rsidRPr="008822DF" w:rsidRDefault="0011269B" w:rsidP="0011269B">
      <w:pPr>
        <w:pStyle w:val="BodyTextIndent"/>
        <w:rPr>
          <w:rFonts w:ascii="Times New Roman" w:hAnsi="Times New Roman"/>
          <w:szCs w:val="24"/>
        </w:rPr>
      </w:pPr>
    </w:p>
    <w:p w14:paraId="15EB2B13" w14:textId="77777777" w:rsidR="0011269B" w:rsidRPr="008822DF" w:rsidRDefault="0011269B" w:rsidP="0011269B">
      <w:pPr>
        <w:pStyle w:val="WLGLevel1"/>
        <w:numPr>
          <w:ilvl w:val="0"/>
          <w:numId w:val="0"/>
        </w:numPr>
        <w:rPr>
          <w:rFonts w:ascii="Times New Roman" w:hAnsi="Times New Roman"/>
          <w:szCs w:val="24"/>
        </w:rPr>
      </w:pPr>
    </w:p>
    <w:sectPr w:rsidR="0011269B" w:rsidRPr="008822DF">
      <w:headerReference w:type="even" r:id="rId9"/>
      <w:headerReference w:type="default" r:id="rId10"/>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7018D" w14:textId="77777777" w:rsidR="00887F7B" w:rsidRDefault="00887F7B">
      <w:r>
        <w:separator/>
      </w:r>
    </w:p>
  </w:endnote>
  <w:endnote w:type="continuationSeparator" w:id="0">
    <w:p w14:paraId="4189D85A" w14:textId="77777777" w:rsidR="00887F7B" w:rsidRDefault="0088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6DC73" w14:textId="77777777" w:rsidR="00887F7B" w:rsidRDefault="00887F7B">
      <w:r>
        <w:separator/>
      </w:r>
    </w:p>
  </w:footnote>
  <w:footnote w:type="continuationSeparator" w:id="0">
    <w:p w14:paraId="0F8EAA6A" w14:textId="77777777" w:rsidR="00887F7B" w:rsidRDefault="00887F7B">
      <w:r>
        <w:continuationSeparator/>
      </w:r>
    </w:p>
  </w:footnote>
  <w:footnote w:id="1">
    <w:p w14:paraId="300DF028" w14:textId="77777777" w:rsidR="00C7304A" w:rsidRPr="00585EC8" w:rsidRDefault="00C7304A" w:rsidP="00585EC8">
      <w:pPr>
        <w:pStyle w:val="FootnoteText"/>
        <w:spacing w:after="120" w:line="240" w:lineRule="auto"/>
        <w:ind w:left="567" w:hanging="567"/>
        <w:rPr>
          <w:rFonts w:ascii="Times New Roman" w:hAnsi="Times New Roman"/>
        </w:rPr>
      </w:pPr>
      <w:r w:rsidRPr="00585EC8">
        <w:rPr>
          <w:rStyle w:val="FootnoteReference"/>
          <w:rFonts w:ascii="Times New Roman" w:hAnsi="Times New Roman"/>
        </w:rPr>
        <w:footnoteRef/>
      </w:r>
      <w:r w:rsidRPr="00585EC8">
        <w:rPr>
          <w:rFonts w:ascii="Times New Roman" w:hAnsi="Times New Roman"/>
        </w:rPr>
        <w:t xml:space="preserve"> </w:t>
      </w:r>
      <w:r w:rsidRPr="00585EC8">
        <w:rPr>
          <w:rFonts w:ascii="Times New Roman" w:hAnsi="Times New Roman"/>
        </w:rPr>
        <w:tab/>
      </w:r>
      <w:r w:rsidRPr="00635983">
        <w:rPr>
          <w:rFonts w:ascii="Times New Roman" w:hAnsi="Times New Roman"/>
          <w:i/>
          <w:iCs/>
        </w:rPr>
        <w:t>Lewis v Oneanate</w:t>
      </w:r>
      <w:r w:rsidRPr="00585EC8">
        <w:rPr>
          <w:rFonts w:ascii="Times New Roman" w:hAnsi="Times New Roman"/>
        </w:rPr>
        <w:t xml:space="preserve"> (Pty) Ltd 1992 (4) SA 811 (A) at 817F-G; </w:t>
      </w:r>
      <w:r w:rsidRPr="00635983">
        <w:rPr>
          <w:rFonts w:ascii="Times New Roman" w:hAnsi="Times New Roman"/>
          <w:i/>
          <w:iCs/>
        </w:rPr>
        <w:t xml:space="preserve">First National Bank of SA v Perry NO </w:t>
      </w:r>
      <w:r w:rsidRPr="00585EC8">
        <w:rPr>
          <w:rFonts w:ascii="Times New Roman" w:hAnsi="Times New Roman"/>
        </w:rPr>
        <w:t>2001 (3) SA 960 (SCA) at 965D-E.</w:t>
      </w:r>
    </w:p>
  </w:footnote>
  <w:footnote w:id="2">
    <w:p w14:paraId="21C30A3F" w14:textId="77777777" w:rsidR="00C7304A" w:rsidRPr="00585EC8" w:rsidRDefault="00C7304A" w:rsidP="00585EC8">
      <w:pPr>
        <w:pStyle w:val="FootnoteText"/>
        <w:tabs>
          <w:tab w:val="left" w:pos="142"/>
        </w:tabs>
        <w:spacing w:after="120" w:line="240" w:lineRule="auto"/>
        <w:ind w:left="567" w:hanging="567"/>
        <w:rPr>
          <w:rFonts w:ascii="Times New Roman" w:hAnsi="Times New Roman"/>
        </w:rPr>
      </w:pPr>
      <w:r w:rsidRPr="00585EC8">
        <w:rPr>
          <w:rStyle w:val="FootnoteReference"/>
          <w:rFonts w:ascii="Times New Roman" w:hAnsi="Times New Roman"/>
        </w:rPr>
        <w:footnoteRef/>
      </w:r>
      <w:r w:rsidRPr="00585EC8">
        <w:rPr>
          <w:rFonts w:ascii="Times New Roman" w:hAnsi="Times New Roman"/>
        </w:rPr>
        <w:t xml:space="preserve"> </w:t>
      </w:r>
      <w:r w:rsidRPr="00585EC8">
        <w:rPr>
          <w:rFonts w:ascii="Times New Roman" w:hAnsi="Times New Roman"/>
        </w:rPr>
        <w:tab/>
      </w:r>
      <w:r w:rsidRPr="00585EC8">
        <w:rPr>
          <w:rFonts w:ascii="Times New Roman" w:hAnsi="Times New Roman"/>
        </w:rPr>
        <w:tab/>
      </w:r>
      <w:r w:rsidRPr="00635983">
        <w:rPr>
          <w:rFonts w:ascii="Times New Roman" w:hAnsi="Times New Roman"/>
          <w:i/>
          <w:iCs/>
        </w:rPr>
        <w:t xml:space="preserve">Barloworld Logistics Africa (Pty) Ltd v Ford </w:t>
      </w:r>
      <w:r w:rsidRPr="00585EC8">
        <w:rPr>
          <w:rFonts w:ascii="Times New Roman" w:hAnsi="Times New Roman"/>
        </w:rPr>
        <w:t xml:space="preserve">2019 (5) SA 133 (GJ) at para 40; </w:t>
      </w:r>
      <w:r w:rsidRPr="00635983">
        <w:rPr>
          <w:rFonts w:ascii="Times New Roman" w:hAnsi="Times New Roman"/>
          <w:i/>
          <w:iCs/>
        </w:rPr>
        <w:t>Trope v South African Reserve Bank</w:t>
      </w:r>
      <w:r w:rsidRPr="00585EC8">
        <w:rPr>
          <w:rFonts w:ascii="Times New Roman" w:hAnsi="Times New Roman"/>
        </w:rPr>
        <w:t xml:space="preserve"> 1992 (3) SA 208 (T)</w:t>
      </w:r>
    </w:p>
  </w:footnote>
  <w:footnote w:id="3">
    <w:p w14:paraId="526CD2F3" w14:textId="77777777" w:rsidR="00C7304A" w:rsidRPr="00585EC8" w:rsidRDefault="00C7304A" w:rsidP="00585EC8">
      <w:pPr>
        <w:pStyle w:val="FootnoteText"/>
        <w:spacing w:after="120" w:line="240" w:lineRule="auto"/>
        <w:ind w:left="567" w:hanging="567"/>
        <w:rPr>
          <w:rFonts w:ascii="Times New Roman" w:hAnsi="Times New Roman"/>
        </w:rPr>
      </w:pPr>
      <w:r w:rsidRPr="00585EC8">
        <w:rPr>
          <w:rStyle w:val="FootnoteReference"/>
          <w:rFonts w:ascii="Times New Roman" w:hAnsi="Times New Roman"/>
        </w:rPr>
        <w:footnoteRef/>
      </w:r>
      <w:r w:rsidRPr="00585EC8">
        <w:rPr>
          <w:rFonts w:ascii="Times New Roman" w:hAnsi="Times New Roman"/>
        </w:rPr>
        <w:t xml:space="preserve"> </w:t>
      </w:r>
      <w:r w:rsidRPr="00585EC8">
        <w:rPr>
          <w:rFonts w:ascii="Times New Roman" w:hAnsi="Times New Roman"/>
        </w:rPr>
        <w:tab/>
      </w:r>
      <w:r w:rsidRPr="00635983">
        <w:rPr>
          <w:rFonts w:ascii="Times New Roman" w:hAnsi="Times New Roman"/>
          <w:i/>
          <w:iCs/>
        </w:rPr>
        <w:t>Imprefed (Pty) Ltd v National Transport Commission</w:t>
      </w:r>
      <w:r w:rsidRPr="00585EC8">
        <w:rPr>
          <w:rFonts w:ascii="Times New Roman" w:hAnsi="Times New Roman"/>
        </w:rPr>
        <w:t xml:space="preserve"> 1993 (3) SA 94 (A) at 107C; </w:t>
      </w:r>
      <w:r w:rsidRPr="00074B55">
        <w:rPr>
          <w:rFonts w:ascii="Times New Roman" w:hAnsi="Times New Roman"/>
          <w:i/>
          <w:iCs/>
        </w:rPr>
        <w:t xml:space="preserve">MN v AJ </w:t>
      </w:r>
      <w:r w:rsidRPr="00585EC8">
        <w:rPr>
          <w:rFonts w:ascii="Times New Roman" w:hAnsi="Times New Roman"/>
        </w:rPr>
        <w:t>2013 (3) SA 26 (WCC) at para 20</w:t>
      </w:r>
    </w:p>
  </w:footnote>
  <w:footnote w:id="4">
    <w:p w14:paraId="33E599BB" w14:textId="77777777" w:rsidR="00C7304A" w:rsidRPr="00585EC8" w:rsidRDefault="00C7304A" w:rsidP="00585EC8">
      <w:pPr>
        <w:pStyle w:val="FootnoteText"/>
        <w:spacing w:after="120" w:line="240" w:lineRule="auto"/>
        <w:ind w:left="567" w:hanging="567"/>
        <w:rPr>
          <w:rFonts w:ascii="Times New Roman" w:hAnsi="Times New Roman"/>
        </w:rPr>
      </w:pPr>
      <w:r w:rsidRPr="00585EC8">
        <w:rPr>
          <w:rStyle w:val="FootnoteReference"/>
          <w:rFonts w:ascii="Times New Roman" w:hAnsi="Times New Roman"/>
        </w:rPr>
        <w:footnoteRef/>
      </w:r>
      <w:r w:rsidRPr="00585EC8">
        <w:rPr>
          <w:rFonts w:ascii="Times New Roman" w:hAnsi="Times New Roman"/>
        </w:rPr>
        <w:t xml:space="preserve"> </w:t>
      </w:r>
      <w:r w:rsidRPr="00585EC8">
        <w:rPr>
          <w:rFonts w:ascii="Times New Roman" w:hAnsi="Times New Roman"/>
        </w:rPr>
        <w:tab/>
      </w:r>
      <w:r w:rsidRPr="00074B55">
        <w:rPr>
          <w:rFonts w:ascii="Times New Roman" w:hAnsi="Times New Roman"/>
          <w:i/>
          <w:iCs/>
        </w:rPr>
        <w:t>Venter v Barritt Venter</w:t>
      </w:r>
      <w:r w:rsidRPr="00585EC8">
        <w:rPr>
          <w:rFonts w:ascii="Times New Roman" w:hAnsi="Times New Roman"/>
        </w:rPr>
        <w:t xml:space="preserve"> 2008 (4) SA 639 (C) at para 12; </w:t>
      </w:r>
      <w:r w:rsidRPr="00074B55">
        <w:rPr>
          <w:rFonts w:ascii="Times New Roman" w:hAnsi="Times New Roman"/>
          <w:i/>
          <w:iCs/>
        </w:rPr>
        <w:t>General Commercial and Industrial Finance Corporation Ltd v Pretoria Portland Cement Co Ltd</w:t>
      </w:r>
      <w:r w:rsidRPr="00585EC8">
        <w:rPr>
          <w:rFonts w:ascii="Times New Roman" w:hAnsi="Times New Roman"/>
        </w:rPr>
        <w:t xml:space="preserve"> 1944 AD 444 at 454</w:t>
      </w:r>
    </w:p>
  </w:footnote>
  <w:footnote w:id="5">
    <w:p w14:paraId="0A477287" w14:textId="7BA3CF68" w:rsidR="00C7304A" w:rsidRPr="00585EC8" w:rsidRDefault="00C7304A" w:rsidP="00585EC8">
      <w:pPr>
        <w:pStyle w:val="FootnoteText"/>
        <w:spacing w:after="120" w:line="240" w:lineRule="auto"/>
        <w:ind w:left="567" w:hanging="567"/>
        <w:rPr>
          <w:rFonts w:ascii="Times New Roman" w:hAnsi="Times New Roman"/>
        </w:rPr>
      </w:pPr>
      <w:r w:rsidRPr="00585EC8">
        <w:rPr>
          <w:rStyle w:val="FootnoteReference"/>
          <w:rFonts w:ascii="Times New Roman" w:hAnsi="Times New Roman"/>
        </w:rPr>
        <w:footnoteRef/>
      </w:r>
      <w:r w:rsidRPr="00585EC8">
        <w:rPr>
          <w:rFonts w:ascii="Times New Roman" w:hAnsi="Times New Roman"/>
        </w:rPr>
        <w:t xml:space="preserve"> </w:t>
      </w:r>
      <w:r w:rsidRPr="00585EC8">
        <w:rPr>
          <w:rFonts w:ascii="Times New Roman" w:hAnsi="Times New Roman"/>
        </w:rPr>
        <w:tab/>
      </w:r>
      <w:r w:rsidRPr="00074B55">
        <w:rPr>
          <w:rFonts w:ascii="Times New Roman" w:hAnsi="Times New Roman"/>
          <w:i/>
          <w:iCs/>
        </w:rPr>
        <w:t>Trope</w:t>
      </w:r>
      <w:r w:rsidRPr="00585EC8">
        <w:rPr>
          <w:rFonts w:ascii="Times New Roman" w:hAnsi="Times New Roman"/>
        </w:rPr>
        <w:t xml:space="preserve"> </w:t>
      </w:r>
      <w:r w:rsidR="00074B55">
        <w:rPr>
          <w:rFonts w:ascii="Times New Roman" w:hAnsi="Times New Roman"/>
        </w:rPr>
        <w:t>(supra)</w:t>
      </w:r>
      <w:r w:rsidRPr="00585EC8">
        <w:rPr>
          <w:rFonts w:ascii="Times New Roman" w:hAnsi="Times New Roman"/>
        </w:rPr>
        <w:t xml:space="preserve"> at 210</w:t>
      </w:r>
    </w:p>
  </w:footnote>
  <w:footnote w:id="6">
    <w:p w14:paraId="74882F9F" w14:textId="23486FAF" w:rsidR="00DC3A31" w:rsidRPr="00585EC8" w:rsidRDefault="00DC3A31" w:rsidP="00585EC8">
      <w:pPr>
        <w:pStyle w:val="FootnoteText"/>
        <w:spacing w:after="120" w:line="240" w:lineRule="auto"/>
        <w:ind w:left="567" w:hanging="567"/>
        <w:rPr>
          <w:rFonts w:ascii="Times New Roman" w:hAnsi="Times New Roman"/>
        </w:rPr>
      </w:pPr>
      <w:r w:rsidRPr="00585EC8">
        <w:rPr>
          <w:rStyle w:val="FootnoteReference"/>
          <w:rFonts w:ascii="Times New Roman" w:hAnsi="Times New Roman"/>
        </w:rPr>
        <w:footnoteRef/>
      </w:r>
      <w:r w:rsidRPr="00585EC8">
        <w:rPr>
          <w:rFonts w:ascii="Times New Roman" w:hAnsi="Times New Roman"/>
        </w:rPr>
        <w:t xml:space="preserve"> </w:t>
      </w:r>
      <w:r w:rsidRPr="00585EC8">
        <w:rPr>
          <w:rFonts w:ascii="Times New Roman" w:hAnsi="Times New Roman"/>
        </w:rPr>
        <w:tab/>
      </w:r>
      <w:r w:rsidR="0070480F" w:rsidRPr="00074B55">
        <w:rPr>
          <w:rFonts w:ascii="Times New Roman" w:hAnsi="Times New Roman"/>
          <w:i/>
          <w:iCs/>
        </w:rPr>
        <w:t>Levitan v Newhaven Holiday Enterprises CC</w:t>
      </w:r>
      <w:r w:rsidR="0070480F" w:rsidRPr="00585EC8">
        <w:rPr>
          <w:rFonts w:ascii="Times New Roman" w:hAnsi="Times New Roman"/>
        </w:rPr>
        <w:t xml:space="preserve"> 1991 (2) SA 297 (C) at 298A</w:t>
      </w:r>
    </w:p>
  </w:footnote>
  <w:footnote w:id="7">
    <w:p w14:paraId="0ADE9F0D" w14:textId="7E8ABCA0" w:rsidR="00D007C9" w:rsidRPr="00585EC8" w:rsidRDefault="00D007C9" w:rsidP="00585EC8">
      <w:pPr>
        <w:pStyle w:val="FootnoteText"/>
        <w:spacing w:after="120" w:line="240" w:lineRule="auto"/>
        <w:ind w:left="567" w:hanging="567"/>
        <w:rPr>
          <w:rFonts w:ascii="Times New Roman" w:hAnsi="Times New Roman"/>
        </w:rPr>
      </w:pPr>
      <w:r w:rsidRPr="00585EC8">
        <w:rPr>
          <w:rStyle w:val="FootnoteReference"/>
          <w:rFonts w:ascii="Times New Roman" w:hAnsi="Times New Roman"/>
        </w:rPr>
        <w:footnoteRef/>
      </w:r>
      <w:r w:rsidRPr="00585EC8">
        <w:rPr>
          <w:rFonts w:ascii="Times New Roman" w:hAnsi="Times New Roman"/>
        </w:rPr>
        <w:t xml:space="preserve"> </w:t>
      </w:r>
      <w:r w:rsidRPr="00585EC8">
        <w:rPr>
          <w:rFonts w:ascii="Times New Roman" w:hAnsi="Times New Roman"/>
        </w:rPr>
        <w:tab/>
      </w:r>
      <w:r w:rsidRPr="00074B55">
        <w:rPr>
          <w:rFonts w:ascii="Times New Roman" w:hAnsi="Times New Roman"/>
          <w:i/>
          <w:iCs/>
        </w:rPr>
        <w:t xml:space="preserve">University of Johannesburg v Auckland Park Theological Seminary </w:t>
      </w:r>
      <w:r w:rsidRPr="00585EC8">
        <w:rPr>
          <w:rFonts w:ascii="Times New Roman" w:hAnsi="Times New Roman"/>
        </w:rPr>
        <w:t>2021 (6) SA 1 (CC)</w:t>
      </w:r>
    </w:p>
  </w:footnote>
  <w:footnote w:id="8">
    <w:p w14:paraId="37DEAE5E" w14:textId="161FD6AF" w:rsidR="002E6F28" w:rsidRPr="00585EC8" w:rsidRDefault="002E6F28" w:rsidP="00585EC8">
      <w:pPr>
        <w:pStyle w:val="FootnoteText"/>
        <w:spacing w:after="120" w:line="240" w:lineRule="auto"/>
        <w:ind w:left="567" w:hanging="567"/>
        <w:rPr>
          <w:rFonts w:ascii="Times New Roman" w:hAnsi="Times New Roman"/>
        </w:rPr>
      </w:pPr>
      <w:r w:rsidRPr="00585EC8">
        <w:rPr>
          <w:rStyle w:val="FootnoteReference"/>
          <w:rFonts w:ascii="Times New Roman" w:hAnsi="Times New Roman"/>
        </w:rPr>
        <w:footnoteRef/>
      </w:r>
      <w:r w:rsidRPr="00585EC8">
        <w:rPr>
          <w:rFonts w:ascii="Times New Roman" w:hAnsi="Times New Roman"/>
        </w:rPr>
        <w:t xml:space="preserve"> </w:t>
      </w:r>
      <w:r w:rsidRPr="00585EC8">
        <w:rPr>
          <w:rFonts w:ascii="Times New Roman" w:hAnsi="Times New Roman"/>
        </w:rPr>
        <w:tab/>
      </w:r>
      <w:r w:rsidR="00455BD7" w:rsidRPr="00074B55">
        <w:rPr>
          <w:rFonts w:ascii="Times New Roman" w:hAnsi="Times New Roman"/>
          <w:i/>
          <w:iCs/>
        </w:rPr>
        <w:t>Natal Joint Municipal Fund v E</w:t>
      </w:r>
      <w:r w:rsidR="000A23A1" w:rsidRPr="00074B55">
        <w:rPr>
          <w:rFonts w:ascii="Times New Roman" w:hAnsi="Times New Roman"/>
          <w:i/>
          <w:iCs/>
        </w:rPr>
        <w:t>n</w:t>
      </w:r>
      <w:r w:rsidR="00455BD7" w:rsidRPr="00074B55">
        <w:rPr>
          <w:rFonts w:ascii="Times New Roman" w:hAnsi="Times New Roman"/>
          <w:i/>
          <w:iCs/>
        </w:rPr>
        <w:t>dumeni Municipality</w:t>
      </w:r>
      <w:r w:rsidR="00455BD7" w:rsidRPr="00585EC8">
        <w:rPr>
          <w:rFonts w:ascii="Times New Roman" w:hAnsi="Times New Roman"/>
        </w:rPr>
        <w:t xml:space="preserve"> 2012 (</w:t>
      </w:r>
      <w:r w:rsidR="0036112D" w:rsidRPr="00585EC8">
        <w:rPr>
          <w:rFonts w:ascii="Times New Roman" w:hAnsi="Times New Roman"/>
        </w:rPr>
        <w:t>4) SA 593 (SCA)</w:t>
      </w:r>
    </w:p>
  </w:footnote>
  <w:footnote w:id="9">
    <w:p w14:paraId="2906A1D0" w14:textId="4B17691B" w:rsidR="00A46B67" w:rsidRPr="00585EC8" w:rsidRDefault="00A46B67" w:rsidP="00585EC8">
      <w:pPr>
        <w:pStyle w:val="FootnoteText"/>
        <w:spacing w:after="120" w:line="240" w:lineRule="auto"/>
        <w:ind w:left="567" w:hanging="567"/>
        <w:rPr>
          <w:rFonts w:ascii="Times New Roman" w:hAnsi="Times New Roman"/>
        </w:rPr>
      </w:pPr>
      <w:r w:rsidRPr="00585EC8">
        <w:rPr>
          <w:rStyle w:val="FootnoteReference"/>
          <w:rFonts w:ascii="Times New Roman" w:hAnsi="Times New Roman"/>
        </w:rPr>
        <w:footnoteRef/>
      </w:r>
      <w:r w:rsidRPr="00585EC8">
        <w:rPr>
          <w:rFonts w:ascii="Times New Roman" w:hAnsi="Times New Roman"/>
        </w:rPr>
        <w:t xml:space="preserve"> </w:t>
      </w:r>
      <w:r w:rsidRPr="00585EC8">
        <w:rPr>
          <w:rFonts w:ascii="Times New Roman" w:hAnsi="Times New Roman"/>
        </w:rPr>
        <w:tab/>
        <w:t>See for example</w:t>
      </w:r>
      <w:r w:rsidRPr="00074B55">
        <w:rPr>
          <w:rFonts w:ascii="Times New Roman" w:hAnsi="Times New Roman"/>
          <w:i/>
          <w:iCs/>
        </w:rPr>
        <w:t xml:space="preserve"> Standard Bank of SA Ltd v Oneanate Investments (Pty) Ltd </w:t>
      </w:r>
      <w:r w:rsidRPr="00585EC8">
        <w:rPr>
          <w:rFonts w:ascii="Times New Roman" w:hAnsi="Times New Roman"/>
        </w:rPr>
        <w:t xml:space="preserve">1995 (4) SA 510 (C) at </w:t>
      </w:r>
      <w:r w:rsidR="00AB641E" w:rsidRPr="00585EC8">
        <w:rPr>
          <w:rFonts w:ascii="Times New Roman" w:hAnsi="Times New Roman"/>
        </w:rPr>
        <w:t>566F-H</w:t>
      </w:r>
    </w:p>
  </w:footnote>
  <w:footnote w:id="10">
    <w:p w14:paraId="1EE13C91" w14:textId="5B01E369" w:rsidR="00A975FF" w:rsidRPr="00585EC8" w:rsidRDefault="00A975FF" w:rsidP="00585EC8">
      <w:pPr>
        <w:pStyle w:val="FootnoteText"/>
        <w:spacing w:after="120" w:line="240" w:lineRule="auto"/>
        <w:ind w:left="567" w:hanging="567"/>
        <w:rPr>
          <w:rFonts w:ascii="Times New Roman" w:hAnsi="Times New Roman"/>
        </w:rPr>
      </w:pPr>
      <w:r w:rsidRPr="00585EC8">
        <w:rPr>
          <w:rStyle w:val="FootnoteReference"/>
          <w:rFonts w:ascii="Times New Roman" w:hAnsi="Times New Roman"/>
        </w:rPr>
        <w:footnoteRef/>
      </w:r>
      <w:r w:rsidRPr="00585EC8">
        <w:rPr>
          <w:rFonts w:ascii="Times New Roman" w:hAnsi="Times New Roman"/>
        </w:rPr>
        <w:t xml:space="preserve"> </w:t>
      </w:r>
      <w:r w:rsidRPr="00585EC8">
        <w:rPr>
          <w:rFonts w:ascii="Times New Roman" w:hAnsi="Times New Roman"/>
        </w:rPr>
        <w:tab/>
        <w:t>See</w:t>
      </w:r>
      <w:r w:rsidR="00AF3A69" w:rsidRPr="00585EC8">
        <w:rPr>
          <w:rFonts w:ascii="Times New Roman" w:hAnsi="Times New Roman"/>
        </w:rPr>
        <w:t xml:space="preserve"> </w:t>
      </w:r>
      <w:r w:rsidR="00AF3A69" w:rsidRPr="00074B55">
        <w:rPr>
          <w:rFonts w:ascii="Times New Roman" w:hAnsi="Times New Roman"/>
          <w:i/>
          <w:iCs/>
        </w:rPr>
        <w:t>Hlapo</w:t>
      </w:r>
      <w:r w:rsidR="00E05E01" w:rsidRPr="00074B55">
        <w:rPr>
          <w:rFonts w:ascii="Times New Roman" w:hAnsi="Times New Roman"/>
          <w:i/>
          <w:iCs/>
        </w:rPr>
        <w:t xml:space="preserve">losa v Lishiva </w:t>
      </w:r>
      <w:r w:rsidR="00E05E01" w:rsidRPr="00585EC8">
        <w:rPr>
          <w:rFonts w:ascii="Times New Roman" w:hAnsi="Times New Roman"/>
        </w:rPr>
        <w:t xml:space="preserve">2019 JDR 2639 (GP) </w:t>
      </w:r>
      <w:r w:rsidR="00AF3A69" w:rsidRPr="00585EC8">
        <w:rPr>
          <w:rFonts w:ascii="Times New Roman" w:hAnsi="Times New Roman"/>
        </w:rPr>
        <w:t>at paras 14</w:t>
      </w:r>
      <w:r w:rsidR="006A3E17" w:rsidRPr="00585EC8">
        <w:rPr>
          <w:rFonts w:ascii="Times New Roman" w:hAnsi="Times New Roman"/>
        </w:rPr>
        <w:t>-1</w:t>
      </w:r>
      <w:r w:rsidR="00AF3A69" w:rsidRPr="00585EC8">
        <w:rPr>
          <w:rFonts w:ascii="Times New Roman" w:hAnsi="Times New Roman"/>
        </w:rPr>
        <w:t>5</w:t>
      </w:r>
    </w:p>
  </w:footnote>
  <w:footnote w:id="11">
    <w:p w14:paraId="4C9DB656" w14:textId="1EBD7925" w:rsidR="00231330" w:rsidRPr="00585EC8" w:rsidRDefault="00231330" w:rsidP="00585EC8">
      <w:pPr>
        <w:pStyle w:val="FootnoteText"/>
        <w:spacing w:after="120" w:line="240" w:lineRule="auto"/>
        <w:ind w:left="567" w:hanging="567"/>
        <w:rPr>
          <w:rFonts w:ascii="Times New Roman" w:hAnsi="Times New Roman"/>
        </w:rPr>
      </w:pPr>
      <w:r w:rsidRPr="00585EC8">
        <w:rPr>
          <w:rStyle w:val="FootnoteReference"/>
          <w:rFonts w:ascii="Times New Roman" w:hAnsi="Times New Roman"/>
        </w:rPr>
        <w:footnoteRef/>
      </w:r>
      <w:r w:rsidRPr="00585EC8">
        <w:rPr>
          <w:rFonts w:ascii="Times New Roman" w:hAnsi="Times New Roman"/>
        </w:rPr>
        <w:t xml:space="preserve"> </w:t>
      </w:r>
      <w:r w:rsidRPr="00585EC8">
        <w:rPr>
          <w:rFonts w:ascii="Times New Roman" w:hAnsi="Times New Roman"/>
        </w:rPr>
        <w:tab/>
        <w:t>2012 (3) SA 319 (GJ)</w:t>
      </w:r>
    </w:p>
  </w:footnote>
  <w:footnote w:id="12">
    <w:p w14:paraId="6DD81573" w14:textId="7F02A59A" w:rsidR="006B20C7" w:rsidRPr="00585EC8" w:rsidRDefault="006B20C7" w:rsidP="00585EC8">
      <w:pPr>
        <w:pStyle w:val="FootnoteText"/>
        <w:spacing w:after="120" w:line="240" w:lineRule="auto"/>
        <w:ind w:left="567" w:hanging="567"/>
        <w:rPr>
          <w:rFonts w:ascii="Times New Roman" w:hAnsi="Times New Roman"/>
        </w:rPr>
      </w:pPr>
      <w:r w:rsidRPr="00585EC8">
        <w:rPr>
          <w:rStyle w:val="FootnoteReference"/>
          <w:rFonts w:ascii="Times New Roman" w:hAnsi="Times New Roman"/>
        </w:rPr>
        <w:footnoteRef/>
      </w:r>
      <w:r w:rsidRPr="00585EC8">
        <w:rPr>
          <w:rFonts w:ascii="Times New Roman" w:hAnsi="Times New Roman"/>
        </w:rPr>
        <w:t xml:space="preserve"> </w:t>
      </w:r>
      <w:r w:rsidRPr="00585EC8">
        <w:rPr>
          <w:rFonts w:ascii="Times New Roman" w:hAnsi="Times New Roman"/>
        </w:rPr>
        <w:tab/>
      </w:r>
      <w:r w:rsidRPr="00AB4681">
        <w:rPr>
          <w:rFonts w:ascii="Times New Roman" w:hAnsi="Times New Roman"/>
          <w:i/>
          <w:iCs/>
        </w:rPr>
        <w:t>Comwezi Security Services (Pty) Ltd v Cape Empowerment Trust Limited</w:t>
      </w:r>
      <w:r w:rsidRPr="00585EC8">
        <w:rPr>
          <w:rFonts w:ascii="Times New Roman" w:hAnsi="Times New Roman"/>
        </w:rPr>
        <w:t xml:space="preserve"> 2012 JDR 1734 (SCA) at para 15</w:t>
      </w:r>
    </w:p>
  </w:footnote>
  <w:footnote w:id="13">
    <w:p w14:paraId="18C4DC87" w14:textId="77777777" w:rsidR="00383F45" w:rsidRPr="00585EC8" w:rsidRDefault="00383F45" w:rsidP="00585EC8">
      <w:pPr>
        <w:pStyle w:val="FootnoteText"/>
        <w:spacing w:after="120" w:line="240" w:lineRule="auto"/>
        <w:ind w:left="567" w:hanging="567"/>
        <w:rPr>
          <w:rFonts w:ascii="Times New Roman" w:hAnsi="Times New Roman"/>
        </w:rPr>
      </w:pPr>
      <w:r w:rsidRPr="00585EC8">
        <w:rPr>
          <w:rStyle w:val="FootnoteReference"/>
          <w:rFonts w:ascii="Times New Roman" w:hAnsi="Times New Roman"/>
        </w:rPr>
        <w:footnoteRef/>
      </w:r>
      <w:r w:rsidRPr="00585EC8">
        <w:rPr>
          <w:rFonts w:ascii="Times New Roman" w:hAnsi="Times New Roman"/>
        </w:rPr>
        <w:t xml:space="preserve"> </w:t>
      </w:r>
      <w:r w:rsidRPr="00585EC8">
        <w:rPr>
          <w:rFonts w:ascii="Times New Roman" w:hAnsi="Times New Roman"/>
        </w:rPr>
        <w:tab/>
        <w:t xml:space="preserve">See </w:t>
      </w:r>
      <w:r w:rsidRPr="00F15C20">
        <w:rPr>
          <w:rFonts w:ascii="Times New Roman" w:hAnsi="Times New Roman"/>
          <w:i/>
          <w:iCs/>
        </w:rPr>
        <w:t>University of Johannesburg</w:t>
      </w:r>
      <w:r w:rsidRPr="00585EC8">
        <w:rPr>
          <w:rFonts w:ascii="Times New Roman" w:hAnsi="Times New Roman"/>
        </w:rPr>
        <w:t xml:space="preserve"> (supra) at paras 64 to 67</w:t>
      </w:r>
    </w:p>
  </w:footnote>
  <w:footnote w:id="14">
    <w:p w14:paraId="1DE0C7FB" w14:textId="77777777" w:rsidR="00296530" w:rsidRPr="00585EC8" w:rsidRDefault="00296530" w:rsidP="00585EC8">
      <w:pPr>
        <w:pStyle w:val="FootnoteText"/>
        <w:spacing w:after="120" w:line="240" w:lineRule="auto"/>
        <w:ind w:left="567" w:hanging="567"/>
        <w:rPr>
          <w:rFonts w:ascii="Times New Roman" w:hAnsi="Times New Roman"/>
        </w:rPr>
      </w:pPr>
      <w:r w:rsidRPr="00585EC8">
        <w:rPr>
          <w:rStyle w:val="FootnoteReference"/>
          <w:rFonts w:ascii="Times New Roman" w:hAnsi="Times New Roman"/>
        </w:rPr>
        <w:footnoteRef/>
      </w:r>
      <w:r w:rsidRPr="00585EC8">
        <w:rPr>
          <w:rFonts w:ascii="Times New Roman" w:hAnsi="Times New Roman"/>
        </w:rPr>
        <w:t xml:space="preserve"> </w:t>
      </w:r>
      <w:r w:rsidRPr="00585EC8">
        <w:rPr>
          <w:rFonts w:ascii="Times New Roman" w:hAnsi="Times New Roman"/>
        </w:rPr>
        <w:tab/>
      </w:r>
      <w:r w:rsidRPr="00F15C20">
        <w:rPr>
          <w:rFonts w:ascii="Times New Roman" w:hAnsi="Times New Roman"/>
          <w:i/>
          <w:iCs/>
        </w:rPr>
        <w:t>University of Johannesburg</w:t>
      </w:r>
      <w:r w:rsidRPr="00585EC8">
        <w:rPr>
          <w:rFonts w:ascii="Times New Roman" w:hAnsi="Times New Roman"/>
        </w:rPr>
        <w:t xml:space="preserve"> (supra) at para 65</w:t>
      </w:r>
    </w:p>
  </w:footnote>
  <w:footnote w:id="15">
    <w:p w14:paraId="5364A027" w14:textId="77777777" w:rsidR="00296530" w:rsidRPr="00585EC8" w:rsidRDefault="00296530" w:rsidP="00585EC8">
      <w:pPr>
        <w:pStyle w:val="FootnoteText"/>
        <w:spacing w:after="120" w:line="240" w:lineRule="auto"/>
        <w:ind w:left="567" w:hanging="567"/>
        <w:rPr>
          <w:rFonts w:ascii="Times New Roman" w:hAnsi="Times New Roman"/>
        </w:rPr>
      </w:pPr>
      <w:r w:rsidRPr="00585EC8">
        <w:rPr>
          <w:rStyle w:val="FootnoteReference"/>
          <w:rFonts w:ascii="Times New Roman" w:hAnsi="Times New Roman"/>
        </w:rPr>
        <w:footnoteRef/>
      </w:r>
      <w:r w:rsidRPr="00585EC8">
        <w:rPr>
          <w:rFonts w:ascii="Times New Roman" w:hAnsi="Times New Roman"/>
        </w:rPr>
        <w:t xml:space="preserve"> </w:t>
      </w:r>
      <w:r w:rsidRPr="00585EC8">
        <w:rPr>
          <w:rFonts w:ascii="Times New Roman" w:hAnsi="Times New Roman"/>
        </w:rPr>
        <w:tab/>
      </w:r>
      <w:r w:rsidRPr="00F15C20">
        <w:rPr>
          <w:rFonts w:ascii="Times New Roman" w:hAnsi="Times New Roman"/>
          <w:i/>
          <w:iCs/>
        </w:rPr>
        <w:t>University of Johannesburg</w:t>
      </w:r>
      <w:r w:rsidRPr="00585EC8">
        <w:rPr>
          <w:rFonts w:ascii="Times New Roman" w:hAnsi="Times New Roman"/>
        </w:rPr>
        <w:t xml:space="preserve"> (supra) at para 66</w:t>
      </w:r>
    </w:p>
  </w:footnote>
  <w:footnote w:id="16">
    <w:p w14:paraId="5660EC4E" w14:textId="77777777" w:rsidR="00296530" w:rsidRPr="00585EC8" w:rsidRDefault="00296530" w:rsidP="00585EC8">
      <w:pPr>
        <w:pStyle w:val="FootnoteText"/>
        <w:spacing w:after="120" w:line="240" w:lineRule="auto"/>
        <w:ind w:left="567" w:hanging="567"/>
        <w:rPr>
          <w:rFonts w:ascii="Times New Roman" w:hAnsi="Times New Roman"/>
        </w:rPr>
      </w:pPr>
      <w:r w:rsidRPr="00585EC8">
        <w:rPr>
          <w:rStyle w:val="FootnoteReference"/>
          <w:rFonts w:ascii="Times New Roman" w:hAnsi="Times New Roman"/>
        </w:rPr>
        <w:footnoteRef/>
      </w:r>
      <w:r w:rsidRPr="00585EC8">
        <w:rPr>
          <w:rFonts w:ascii="Times New Roman" w:hAnsi="Times New Roman"/>
        </w:rPr>
        <w:t xml:space="preserve"> </w:t>
      </w:r>
      <w:r w:rsidRPr="00585EC8">
        <w:rPr>
          <w:rFonts w:ascii="Times New Roman" w:hAnsi="Times New Roman"/>
        </w:rPr>
        <w:tab/>
      </w:r>
      <w:r w:rsidRPr="00F15C20">
        <w:rPr>
          <w:rFonts w:ascii="Times New Roman" w:hAnsi="Times New Roman"/>
          <w:i/>
          <w:iCs/>
        </w:rPr>
        <w:t>University of Johannesburg</w:t>
      </w:r>
      <w:r w:rsidRPr="00585EC8">
        <w:rPr>
          <w:rFonts w:ascii="Times New Roman" w:hAnsi="Times New Roman"/>
        </w:rPr>
        <w:t xml:space="preserve"> (supra) at para 67</w:t>
      </w:r>
    </w:p>
  </w:footnote>
  <w:footnote w:id="17">
    <w:p w14:paraId="5F565B01" w14:textId="77777777" w:rsidR="00296530" w:rsidRPr="00585EC8" w:rsidRDefault="00296530" w:rsidP="00585EC8">
      <w:pPr>
        <w:pStyle w:val="FootnoteText"/>
        <w:spacing w:after="120" w:line="240" w:lineRule="auto"/>
        <w:ind w:left="567" w:hanging="567"/>
        <w:rPr>
          <w:rFonts w:ascii="Times New Roman" w:hAnsi="Times New Roman"/>
        </w:rPr>
      </w:pPr>
      <w:r w:rsidRPr="00585EC8">
        <w:rPr>
          <w:rStyle w:val="FootnoteReference"/>
          <w:rFonts w:ascii="Times New Roman" w:hAnsi="Times New Roman"/>
        </w:rPr>
        <w:footnoteRef/>
      </w:r>
      <w:r w:rsidRPr="00585EC8">
        <w:rPr>
          <w:rFonts w:ascii="Times New Roman" w:hAnsi="Times New Roman"/>
        </w:rPr>
        <w:t xml:space="preserve"> </w:t>
      </w:r>
      <w:r w:rsidRPr="00585EC8">
        <w:rPr>
          <w:rFonts w:ascii="Times New Roman" w:hAnsi="Times New Roman"/>
        </w:rPr>
        <w:tab/>
      </w:r>
      <w:r w:rsidRPr="00F15C20">
        <w:rPr>
          <w:rFonts w:ascii="Times New Roman" w:hAnsi="Times New Roman"/>
          <w:i/>
          <w:iCs/>
        </w:rPr>
        <w:t>University of Johannesburg</w:t>
      </w:r>
      <w:r w:rsidRPr="00585EC8">
        <w:rPr>
          <w:rFonts w:ascii="Times New Roman" w:hAnsi="Times New Roman"/>
        </w:rPr>
        <w:t xml:space="preserve"> (supra) at para 68</w:t>
      </w:r>
    </w:p>
  </w:footnote>
  <w:footnote w:id="18">
    <w:p w14:paraId="0EEE1A12" w14:textId="77777777" w:rsidR="00296530" w:rsidRPr="00585EC8" w:rsidRDefault="00296530" w:rsidP="00585EC8">
      <w:pPr>
        <w:pStyle w:val="FootnoteText"/>
        <w:spacing w:after="120" w:line="240" w:lineRule="auto"/>
        <w:ind w:left="567" w:hanging="567"/>
        <w:rPr>
          <w:rFonts w:ascii="Times New Roman" w:hAnsi="Times New Roman"/>
        </w:rPr>
      </w:pPr>
      <w:r w:rsidRPr="00585EC8">
        <w:rPr>
          <w:rStyle w:val="FootnoteReference"/>
          <w:rFonts w:ascii="Times New Roman" w:hAnsi="Times New Roman"/>
        </w:rPr>
        <w:footnoteRef/>
      </w:r>
      <w:r w:rsidRPr="00585EC8">
        <w:rPr>
          <w:rFonts w:ascii="Times New Roman" w:hAnsi="Times New Roman"/>
        </w:rPr>
        <w:t xml:space="preserve"> </w:t>
      </w:r>
      <w:r w:rsidRPr="00585EC8">
        <w:rPr>
          <w:rFonts w:ascii="Times New Roman" w:hAnsi="Times New Roman"/>
        </w:rPr>
        <w:tab/>
      </w:r>
      <w:r w:rsidRPr="00F15C20">
        <w:rPr>
          <w:rFonts w:ascii="Times New Roman" w:hAnsi="Times New Roman"/>
          <w:i/>
          <w:iCs/>
        </w:rPr>
        <w:t>University of Johannesburg</w:t>
      </w:r>
      <w:r w:rsidRPr="00585EC8">
        <w:rPr>
          <w:rFonts w:ascii="Times New Roman" w:hAnsi="Times New Roman"/>
        </w:rPr>
        <w:t xml:space="preserve"> (supra) at para 68</w:t>
      </w:r>
    </w:p>
  </w:footnote>
  <w:footnote w:id="19">
    <w:p w14:paraId="5DEA0294" w14:textId="4BE27810" w:rsidR="00313C7A" w:rsidRPr="00585EC8" w:rsidRDefault="00313C7A" w:rsidP="00585EC8">
      <w:pPr>
        <w:pStyle w:val="FootnoteText"/>
        <w:spacing w:after="120" w:line="240" w:lineRule="auto"/>
        <w:ind w:left="567" w:hanging="567"/>
        <w:rPr>
          <w:rFonts w:ascii="Times New Roman" w:hAnsi="Times New Roman"/>
        </w:rPr>
      </w:pPr>
      <w:r w:rsidRPr="00585EC8">
        <w:rPr>
          <w:rStyle w:val="FootnoteReference"/>
          <w:rFonts w:ascii="Times New Roman" w:hAnsi="Times New Roman"/>
        </w:rPr>
        <w:footnoteRef/>
      </w:r>
      <w:r w:rsidRPr="00585EC8">
        <w:rPr>
          <w:rFonts w:ascii="Times New Roman" w:hAnsi="Times New Roman"/>
        </w:rPr>
        <w:t xml:space="preserve"> </w:t>
      </w:r>
      <w:r w:rsidRPr="00585EC8">
        <w:rPr>
          <w:rFonts w:ascii="Times New Roman" w:hAnsi="Times New Roman"/>
        </w:rPr>
        <w:tab/>
        <w:t>See</w:t>
      </w:r>
      <w:r w:rsidR="003513C3" w:rsidRPr="00585EC8">
        <w:rPr>
          <w:rFonts w:ascii="Times New Roman" w:hAnsi="Times New Roman"/>
        </w:rPr>
        <w:t xml:space="preserve"> </w:t>
      </w:r>
      <w:r w:rsidR="003513C3" w:rsidRPr="00F15C20">
        <w:rPr>
          <w:rFonts w:ascii="Times New Roman" w:hAnsi="Times New Roman"/>
          <w:i/>
          <w:iCs/>
        </w:rPr>
        <w:t>Picbel Group Voorsong Fonds (In Liquidation) v Sommerville and Related Matters</w:t>
      </w:r>
      <w:r w:rsidR="003513C3" w:rsidRPr="00585EC8">
        <w:rPr>
          <w:rFonts w:ascii="Times New Roman" w:hAnsi="Times New Roman"/>
        </w:rPr>
        <w:t xml:space="preserve"> 2013 (5) SA 496 (SCA) at para 40</w:t>
      </w:r>
    </w:p>
  </w:footnote>
  <w:footnote w:id="20">
    <w:p w14:paraId="1D127BFF" w14:textId="77F9B470" w:rsidR="00C900F0" w:rsidRPr="00585EC8" w:rsidRDefault="00C900F0" w:rsidP="00585EC8">
      <w:pPr>
        <w:pStyle w:val="FootnoteText"/>
        <w:spacing w:after="120" w:line="240" w:lineRule="auto"/>
        <w:ind w:left="567" w:hanging="567"/>
        <w:rPr>
          <w:rFonts w:ascii="Times New Roman" w:hAnsi="Times New Roman"/>
        </w:rPr>
      </w:pPr>
      <w:r w:rsidRPr="00585EC8">
        <w:rPr>
          <w:rStyle w:val="FootnoteReference"/>
          <w:rFonts w:ascii="Times New Roman" w:hAnsi="Times New Roman"/>
        </w:rPr>
        <w:footnoteRef/>
      </w:r>
      <w:r w:rsidRPr="00585EC8">
        <w:rPr>
          <w:rFonts w:ascii="Times New Roman" w:hAnsi="Times New Roman"/>
        </w:rPr>
        <w:t xml:space="preserve"> </w:t>
      </w:r>
      <w:r w:rsidRPr="00585EC8">
        <w:rPr>
          <w:rFonts w:ascii="Times New Roman" w:hAnsi="Times New Roman"/>
        </w:rPr>
        <w:tab/>
      </w:r>
      <w:r w:rsidRPr="00F15C20">
        <w:rPr>
          <w:rFonts w:ascii="Times New Roman" w:hAnsi="Times New Roman"/>
          <w:i/>
          <w:iCs/>
        </w:rPr>
        <w:t>Super Group Trading (Pty) Ltd v Premier FMCG (Pty) Ltd</w:t>
      </w:r>
      <w:r w:rsidRPr="00585EC8">
        <w:rPr>
          <w:rFonts w:ascii="Times New Roman" w:hAnsi="Times New Roman"/>
        </w:rPr>
        <w:t xml:space="preserve"> 2019</w:t>
      </w:r>
      <w:r w:rsidR="00FC2AE4" w:rsidRPr="00585EC8">
        <w:rPr>
          <w:rFonts w:ascii="Times New Roman" w:hAnsi="Times New Roman"/>
        </w:rPr>
        <w:t xml:space="preserve"> JDR 0062 (GP</w:t>
      </w:r>
      <w:r w:rsidR="00E712F2">
        <w:rPr>
          <w:rFonts w:ascii="Times New Roman" w:hAnsi="Times New Roman"/>
        </w:rPr>
        <w:t>)</w:t>
      </w:r>
      <w:r w:rsidR="00FC2AE4" w:rsidRPr="00585EC8">
        <w:rPr>
          <w:rFonts w:ascii="Times New Roman" w:hAnsi="Times New Roman"/>
        </w:rPr>
        <w:t xml:space="preserve"> at para 10</w:t>
      </w:r>
    </w:p>
  </w:footnote>
  <w:footnote w:id="21">
    <w:p w14:paraId="59299048" w14:textId="6339124E" w:rsidR="00F45C4E" w:rsidRPr="00585EC8" w:rsidRDefault="00F45C4E" w:rsidP="00585EC8">
      <w:pPr>
        <w:pStyle w:val="FootnoteText"/>
        <w:spacing w:after="120" w:line="240" w:lineRule="auto"/>
        <w:ind w:left="567" w:hanging="567"/>
        <w:rPr>
          <w:rFonts w:ascii="Times New Roman" w:hAnsi="Times New Roman"/>
        </w:rPr>
      </w:pPr>
      <w:r w:rsidRPr="00585EC8">
        <w:rPr>
          <w:rStyle w:val="FootnoteReference"/>
          <w:rFonts w:ascii="Times New Roman" w:hAnsi="Times New Roman"/>
        </w:rPr>
        <w:footnoteRef/>
      </w:r>
      <w:r w:rsidRPr="00585EC8">
        <w:rPr>
          <w:rFonts w:ascii="Times New Roman" w:hAnsi="Times New Roman"/>
        </w:rPr>
        <w:t xml:space="preserve"> </w:t>
      </w:r>
      <w:r w:rsidRPr="00585EC8">
        <w:rPr>
          <w:rFonts w:ascii="Times New Roman" w:hAnsi="Times New Roman"/>
        </w:rPr>
        <w:tab/>
        <w:t xml:space="preserve">See </w:t>
      </w:r>
      <w:r w:rsidRPr="00F15C20">
        <w:rPr>
          <w:rFonts w:ascii="Times New Roman" w:hAnsi="Times New Roman"/>
          <w:i/>
          <w:iCs/>
        </w:rPr>
        <w:t xml:space="preserve">Picbel </w:t>
      </w:r>
      <w:r w:rsidR="00F01153" w:rsidRPr="00F15C20">
        <w:rPr>
          <w:rFonts w:ascii="Times New Roman" w:hAnsi="Times New Roman"/>
          <w:i/>
          <w:iCs/>
        </w:rPr>
        <w:t>Group</w:t>
      </w:r>
      <w:r w:rsidR="00F01153" w:rsidRPr="00585EC8">
        <w:rPr>
          <w:rFonts w:ascii="Times New Roman" w:hAnsi="Times New Roman"/>
        </w:rPr>
        <w:t xml:space="preserve"> </w:t>
      </w:r>
      <w:r w:rsidR="003513C3" w:rsidRPr="00585EC8">
        <w:rPr>
          <w:rFonts w:ascii="Times New Roman" w:hAnsi="Times New Roman"/>
        </w:rPr>
        <w:t>(supra)</w:t>
      </w:r>
      <w:r w:rsidR="005D6DF0" w:rsidRPr="00585EC8">
        <w:rPr>
          <w:rFonts w:ascii="Times New Roman" w:hAnsi="Times New Roman"/>
        </w:rPr>
        <w:t xml:space="preserve"> </w:t>
      </w:r>
      <w:r w:rsidRPr="00585EC8">
        <w:rPr>
          <w:rFonts w:ascii="Times New Roman" w:hAnsi="Times New Roman"/>
        </w:rPr>
        <w:t xml:space="preserve">at </w:t>
      </w:r>
      <w:r w:rsidR="00CF2386" w:rsidRPr="00585EC8">
        <w:rPr>
          <w:rFonts w:ascii="Times New Roman" w:hAnsi="Times New Roman"/>
        </w:rPr>
        <w:t>para 40</w:t>
      </w:r>
      <w:r w:rsidR="002217C4">
        <w:rPr>
          <w:rFonts w:ascii="Times New Roman" w:hAnsi="Times New Roman"/>
        </w:rPr>
        <w:t xml:space="preserve"> (a decision admittedly taken before </w:t>
      </w:r>
      <w:r w:rsidR="002217C4" w:rsidRPr="00B63696">
        <w:rPr>
          <w:rFonts w:ascii="Times New Roman" w:hAnsi="Times New Roman"/>
          <w:i/>
          <w:iCs/>
        </w:rPr>
        <w:t>University of Johannesburg</w:t>
      </w:r>
      <w:r w:rsidR="002217C4">
        <w:rPr>
          <w:rFonts w:ascii="Times New Roman" w:hAnsi="Times New Roman"/>
        </w:rPr>
        <w:t>)</w:t>
      </w:r>
    </w:p>
  </w:footnote>
  <w:footnote w:id="22">
    <w:p w14:paraId="51BB38A8" w14:textId="55C9EA95" w:rsidR="00B65907" w:rsidRPr="00585EC8" w:rsidRDefault="00B65907" w:rsidP="00585EC8">
      <w:pPr>
        <w:pStyle w:val="FootnoteText"/>
        <w:spacing w:after="120" w:line="240" w:lineRule="auto"/>
        <w:ind w:left="567" w:hanging="567"/>
        <w:rPr>
          <w:rFonts w:ascii="Times New Roman" w:hAnsi="Times New Roman"/>
        </w:rPr>
      </w:pPr>
      <w:r w:rsidRPr="00585EC8">
        <w:rPr>
          <w:rStyle w:val="FootnoteReference"/>
          <w:rFonts w:ascii="Times New Roman" w:hAnsi="Times New Roman"/>
        </w:rPr>
        <w:footnoteRef/>
      </w:r>
      <w:r w:rsidRPr="00585EC8">
        <w:rPr>
          <w:rFonts w:ascii="Times New Roman" w:hAnsi="Times New Roman"/>
        </w:rPr>
        <w:t xml:space="preserve"> </w:t>
      </w:r>
      <w:r w:rsidRPr="00585EC8">
        <w:rPr>
          <w:rFonts w:ascii="Times New Roman" w:hAnsi="Times New Roman"/>
        </w:rPr>
        <w:tab/>
        <w:t xml:space="preserve">See </w:t>
      </w:r>
      <w:r w:rsidRPr="00F15C20">
        <w:rPr>
          <w:rFonts w:ascii="Times New Roman" w:hAnsi="Times New Roman"/>
          <w:i/>
          <w:iCs/>
        </w:rPr>
        <w:t>Mzalisi NO v Ochogwu</w:t>
      </w:r>
      <w:r w:rsidRPr="00585EC8">
        <w:rPr>
          <w:rFonts w:ascii="Times New Roman" w:hAnsi="Times New Roman"/>
        </w:rPr>
        <w:t xml:space="preserve"> 2020 (3) SA 83 (SCA) </w:t>
      </w:r>
      <w:r w:rsidR="009766CE" w:rsidRPr="00585EC8">
        <w:rPr>
          <w:rFonts w:ascii="Times New Roman" w:hAnsi="Times New Roman"/>
        </w:rPr>
        <w:t>at paras 31-32</w:t>
      </w:r>
    </w:p>
  </w:footnote>
  <w:footnote w:id="23">
    <w:p w14:paraId="0A2A9BF8" w14:textId="2A9E77B2" w:rsidR="0080763D" w:rsidRPr="00585EC8" w:rsidRDefault="0080763D" w:rsidP="00585EC8">
      <w:pPr>
        <w:pStyle w:val="FootnoteText"/>
        <w:spacing w:after="120" w:line="240" w:lineRule="auto"/>
        <w:ind w:left="567" w:hanging="567"/>
        <w:rPr>
          <w:rFonts w:ascii="Times New Roman" w:hAnsi="Times New Roman"/>
        </w:rPr>
      </w:pPr>
      <w:r w:rsidRPr="00585EC8">
        <w:rPr>
          <w:rStyle w:val="FootnoteReference"/>
          <w:rFonts w:ascii="Times New Roman" w:hAnsi="Times New Roman"/>
        </w:rPr>
        <w:footnoteRef/>
      </w:r>
      <w:r w:rsidRPr="00585EC8">
        <w:rPr>
          <w:rFonts w:ascii="Times New Roman" w:hAnsi="Times New Roman"/>
        </w:rPr>
        <w:t xml:space="preserve"> </w:t>
      </w:r>
      <w:r w:rsidRPr="00585EC8">
        <w:rPr>
          <w:rFonts w:ascii="Times New Roman" w:hAnsi="Times New Roman"/>
        </w:rPr>
        <w:tab/>
      </w:r>
      <w:r w:rsidRPr="00585EC8">
        <w:rPr>
          <w:rFonts w:ascii="Times New Roman" w:hAnsi="Times New Roman"/>
          <w:i/>
          <w:iCs/>
          <w:lang w:val="en-GB"/>
        </w:rPr>
        <w:t xml:space="preserve">Capitec Bank Holdings Ltd v Coral Lagoon Investments (Pty) Ltd </w:t>
      </w:r>
      <w:r w:rsidR="005F44BF" w:rsidRPr="00585EC8">
        <w:rPr>
          <w:rFonts w:ascii="Times New Roman" w:hAnsi="Times New Roman"/>
        </w:rPr>
        <w:t>2022 (1) SA 100 (SCA)</w:t>
      </w:r>
    </w:p>
  </w:footnote>
  <w:footnote w:id="24">
    <w:p w14:paraId="21582AE8" w14:textId="77777777" w:rsidR="00431A02" w:rsidRPr="00585EC8" w:rsidRDefault="00431A02" w:rsidP="00585EC8">
      <w:pPr>
        <w:pStyle w:val="FootnoteText"/>
        <w:spacing w:after="120" w:line="240" w:lineRule="auto"/>
        <w:ind w:left="567" w:hanging="567"/>
        <w:rPr>
          <w:rFonts w:ascii="Times New Roman" w:hAnsi="Times New Roman"/>
        </w:rPr>
      </w:pPr>
      <w:r w:rsidRPr="00585EC8">
        <w:rPr>
          <w:rStyle w:val="FootnoteReference"/>
          <w:rFonts w:ascii="Times New Roman" w:hAnsi="Times New Roman"/>
        </w:rPr>
        <w:footnoteRef/>
      </w:r>
      <w:r w:rsidRPr="00585EC8">
        <w:rPr>
          <w:rFonts w:ascii="Times New Roman" w:hAnsi="Times New Roman"/>
        </w:rPr>
        <w:t xml:space="preserve"> </w:t>
      </w:r>
      <w:r w:rsidRPr="00F15C20">
        <w:rPr>
          <w:rFonts w:ascii="Times New Roman" w:hAnsi="Times New Roman"/>
          <w:i/>
          <w:iCs/>
        </w:rPr>
        <w:tab/>
        <w:t>Coral Lagoon</w:t>
      </w:r>
      <w:r w:rsidRPr="00585EC8">
        <w:rPr>
          <w:rFonts w:ascii="Times New Roman" w:hAnsi="Times New Roman"/>
        </w:rPr>
        <w:t xml:space="preserve"> (supra) at para 48</w:t>
      </w:r>
    </w:p>
  </w:footnote>
  <w:footnote w:id="25">
    <w:p w14:paraId="09247BF7" w14:textId="77777777" w:rsidR="009140E8" w:rsidRPr="00585EC8" w:rsidRDefault="009140E8" w:rsidP="00585EC8">
      <w:pPr>
        <w:pStyle w:val="FootnoteText"/>
        <w:spacing w:after="120" w:line="240" w:lineRule="auto"/>
        <w:ind w:left="567" w:hanging="567"/>
        <w:rPr>
          <w:rFonts w:ascii="Times New Roman" w:hAnsi="Times New Roman"/>
        </w:rPr>
      </w:pPr>
      <w:r w:rsidRPr="00585EC8">
        <w:rPr>
          <w:rStyle w:val="FootnoteReference"/>
          <w:rFonts w:ascii="Times New Roman" w:hAnsi="Times New Roman"/>
        </w:rPr>
        <w:footnoteRef/>
      </w:r>
      <w:r w:rsidRPr="00585EC8">
        <w:rPr>
          <w:rFonts w:ascii="Times New Roman" w:hAnsi="Times New Roman"/>
        </w:rPr>
        <w:t xml:space="preserve"> </w:t>
      </w:r>
      <w:r w:rsidRPr="00585EC8">
        <w:rPr>
          <w:rFonts w:ascii="Times New Roman" w:hAnsi="Times New Roman"/>
        </w:rPr>
        <w:tab/>
      </w:r>
      <w:r w:rsidRPr="00F15C20">
        <w:rPr>
          <w:rFonts w:ascii="Times New Roman" w:hAnsi="Times New Roman"/>
          <w:i/>
          <w:iCs/>
        </w:rPr>
        <w:t>Coral Lagoon</w:t>
      </w:r>
      <w:r w:rsidRPr="00585EC8">
        <w:rPr>
          <w:rFonts w:ascii="Times New Roman" w:hAnsi="Times New Roman"/>
        </w:rPr>
        <w:t xml:space="preserve"> (supra) at para 49</w:t>
      </w:r>
    </w:p>
  </w:footnote>
  <w:footnote w:id="26">
    <w:p w14:paraId="69F8F2E8" w14:textId="5DFEF064" w:rsidR="00BD329F" w:rsidRPr="00585EC8" w:rsidRDefault="00BD329F" w:rsidP="00585EC8">
      <w:pPr>
        <w:pStyle w:val="FootnoteText"/>
        <w:spacing w:after="120" w:line="240" w:lineRule="auto"/>
        <w:ind w:left="567" w:hanging="567"/>
        <w:rPr>
          <w:rFonts w:ascii="Times New Roman" w:hAnsi="Times New Roman"/>
        </w:rPr>
      </w:pPr>
      <w:r w:rsidRPr="00585EC8">
        <w:rPr>
          <w:rStyle w:val="FootnoteReference"/>
          <w:rFonts w:ascii="Times New Roman" w:hAnsi="Times New Roman"/>
        </w:rPr>
        <w:footnoteRef/>
      </w:r>
      <w:r w:rsidRPr="00585EC8">
        <w:rPr>
          <w:rFonts w:ascii="Times New Roman" w:hAnsi="Times New Roman"/>
        </w:rPr>
        <w:t xml:space="preserve"> </w:t>
      </w:r>
      <w:r w:rsidRPr="00585EC8">
        <w:rPr>
          <w:rFonts w:ascii="Times New Roman" w:hAnsi="Times New Roman"/>
        </w:rPr>
        <w:tab/>
        <w:t xml:space="preserve">See </w:t>
      </w:r>
      <w:r w:rsidRPr="00F15C20">
        <w:rPr>
          <w:rFonts w:ascii="Times New Roman" w:hAnsi="Times New Roman"/>
          <w:i/>
          <w:iCs/>
        </w:rPr>
        <w:t xml:space="preserve">Rail Commuters Action Group v Transnet Ltd t/a Metrorail </w:t>
      </w:r>
      <w:r w:rsidRPr="00585EC8">
        <w:rPr>
          <w:rFonts w:ascii="Times New Roman" w:hAnsi="Times New Roman"/>
        </w:rPr>
        <w:t>2005 (2) SA 359 (CC) at para 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9BC9B" w14:textId="77777777" w:rsidR="005C74EA" w:rsidRDefault="005C74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6534B0" w14:textId="77777777" w:rsidR="005C74EA" w:rsidRDefault="005C74EA">
    <w:pPr>
      <w:pStyle w:val="Header"/>
      <w:ind w:right="360"/>
    </w:pPr>
  </w:p>
  <w:p w14:paraId="0DA32E7D" w14:textId="77777777" w:rsidR="005C74EA" w:rsidRDefault="005C74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216BD" w14:textId="7D3282AC" w:rsidR="005C74EA" w:rsidRDefault="005C74EA">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8327FE">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3239C1"/>
    <w:multiLevelType w:val="hybridMultilevel"/>
    <w:tmpl w:val="7F5A0A92"/>
    <w:lvl w:ilvl="0" w:tplc="F16EA924">
      <w:start w:val="1"/>
      <w:numFmt w:val="decimal"/>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
    <w:nsid w:val="57A92548"/>
    <w:multiLevelType w:val="hybridMultilevel"/>
    <w:tmpl w:val="D41CB464"/>
    <w:lvl w:ilvl="0" w:tplc="73502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
    <w:nsid w:val="662272A2"/>
    <w:multiLevelType w:val="multilevel"/>
    <w:tmpl w:val="02D4D004"/>
    <w:lvl w:ilvl="0">
      <w:start w:val="1"/>
      <w:numFmt w:val="decimal"/>
      <w:isLgl/>
      <w:lvlText w:val="%1."/>
      <w:lvlJc w:val="left"/>
      <w:pPr>
        <w:tabs>
          <w:tab w:val="num" w:pos="567"/>
        </w:tabs>
        <w:ind w:left="567" w:hanging="567"/>
      </w:pPr>
      <w:rPr>
        <w:rFonts w:hint="default"/>
      </w:rPr>
    </w:lvl>
    <w:lvl w:ilvl="1">
      <w:start w:val="1"/>
      <w:numFmt w:val="decimal"/>
      <w:lvlText w:val="%1.%2."/>
      <w:lvlJc w:val="left"/>
      <w:pPr>
        <w:tabs>
          <w:tab w:val="num" w:pos="1304"/>
        </w:tabs>
        <w:ind w:left="1304" w:hanging="737"/>
      </w:pPr>
      <w:rPr>
        <w:rFonts w:hint="default"/>
      </w:rPr>
    </w:lvl>
    <w:lvl w:ilvl="2">
      <w:start w:val="1"/>
      <w:numFmt w:val="decimal"/>
      <w:pStyle w:val="Heading3"/>
      <w:lvlText w:val="%1.%2.%3."/>
      <w:lvlJc w:val="left"/>
      <w:pPr>
        <w:tabs>
          <w:tab w:val="num" w:pos="2495"/>
        </w:tabs>
        <w:ind w:left="2495" w:hanging="1191"/>
      </w:pPr>
      <w:rPr>
        <w:rFonts w:hint="default"/>
      </w:rPr>
    </w:lvl>
    <w:lvl w:ilvl="3">
      <w:start w:val="1"/>
      <w:numFmt w:val="decimal"/>
      <w:pStyle w:val="Heading4"/>
      <w:lvlText w:val="%1.%2.%3.%4."/>
      <w:lvlJc w:val="left"/>
      <w:pPr>
        <w:tabs>
          <w:tab w:val="num" w:pos="3686"/>
        </w:tabs>
        <w:ind w:left="3686" w:hanging="1191"/>
      </w:pPr>
      <w:rPr>
        <w:rFonts w:hint="default"/>
      </w:rPr>
    </w:lvl>
    <w:lvl w:ilvl="4">
      <w:start w:val="1"/>
      <w:numFmt w:val="decimal"/>
      <w:pStyle w:val="Heading5"/>
      <w:lvlText w:val="%1.%2.%3.%4.%5."/>
      <w:lvlJc w:val="left"/>
      <w:pPr>
        <w:tabs>
          <w:tab w:val="num" w:pos="4876"/>
        </w:tabs>
        <w:ind w:left="4876" w:hanging="1190"/>
      </w:pPr>
      <w:rPr>
        <w:rFonts w:hint="default"/>
      </w:rPr>
    </w:lvl>
    <w:lvl w:ilvl="5">
      <w:start w:val="1"/>
      <w:numFmt w:val="decimal"/>
      <w:pStyle w:val="Heading6"/>
      <w:lvlText w:val="%1.%2.%3.%4.%5.%6"/>
      <w:lvlJc w:val="left"/>
      <w:pPr>
        <w:tabs>
          <w:tab w:val="num" w:pos="3062"/>
        </w:tabs>
        <w:ind w:left="3062" w:hanging="3062"/>
      </w:pPr>
      <w:rPr>
        <w:rFonts w:hint="default"/>
      </w:rPr>
    </w:lvl>
    <w:lvl w:ilvl="6">
      <w:start w:val="1"/>
      <w:numFmt w:val="decimal"/>
      <w:pStyle w:val="Heading7"/>
      <w:lvlText w:val="%1.%2.%3.%4.%5.%6.%7"/>
      <w:lvlJc w:val="left"/>
      <w:pPr>
        <w:tabs>
          <w:tab w:val="num" w:pos="3572"/>
        </w:tabs>
        <w:ind w:left="3572" w:hanging="3572"/>
      </w:pPr>
      <w:rPr>
        <w:rFonts w:hint="default"/>
      </w:rPr>
    </w:lvl>
    <w:lvl w:ilvl="7">
      <w:start w:val="1"/>
      <w:numFmt w:val="decimal"/>
      <w:pStyle w:val="Heading8"/>
      <w:lvlText w:val="%1.%2.%3.%4.%5.%6.%7.%8"/>
      <w:lvlJc w:val="left"/>
      <w:pPr>
        <w:tabs>
          <w:tab w:val="num" w:pos="4082"/>
        </w:tabs>
        <w:ind w:left="4082" w:hanging="4082"/>
      </w:pPr>
      <w:rPr>
        <w:rFonts w:hint="default"/>
      </w:rPr>
    </w:lvl>
    <w:lvl w:ilvl="8">
      <w:start w:val="1"/>
      <w:numFmt w:val="decimal"/>
      <w:pStyle w:val="Heading9"/>
      <w:lvlText w:val="%1.%2.%3.%4.%5.%6.%7.%8.%9"/>
      <w:lvlJc w:val="left"/>
      <w:pPr>
        <w:tabs>
          <w:tab w:val="num" w:pos="4593"/>
        </w:tabs>
        <w:ind w:left="4593" w:hanging="4593"/>
      </w:pPr>
      <w:rPr>
        <w:rFont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ZA" w:vendorID="8" w:dllVersion="513" w:checkStyle="1"/>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26"/>
    <w:rsid w:val="00001907"/>
    <w:rsid w:val="00001A9C"/>
    <w:rsid w:val="00001EFF"/>
    <w:rsid w:val="000042A7"/>
    <w:rsid w:val="00004B8C"/>
    <w:rsid w:val="00005559"/>
    <w:rsid w:val="000068FA"/>
    <w:rsid w:val="0000763D"/>
    <w:rsid w:val="0000776A"/>
    <w:rsid w:val="00010037"/>
    <w:rsid w:val="00011167"/>
    <w:rsid w:val="00013ABE"/>
    <w:rsid w:val="0002016F"/>
    <w:rsid w:val="00020BAF"/>
    <w:rsid w:val="00023E10"/>
    <w:rsid w:val="00027757"/>
    <w:rsid w:val="0003092D"/>
    <w:rsid w:val="0003337A"/>
    <w:rsid w:val="00034602"/>
    <w:rsid w:val="0003510A"/>
    <w:rsid w:val="00037123"/>
    <w:rsid w:val="00037950"/>
    <w:rsid w:val="00043B4A"/>
    <w:rsid w:val="00044521"/>
    <w:rsid w:val="00044FC3"/>
    <w:rsid w:val="00045F50"/>
    <w:rsid w:val="00047366"/>
    <w:rsid w:val="0005058F"/>
    <w:rsid w:val="00050849"/>
    <w:rsid w:val="0005090E"/>
    <w:rsid w:val="00053C4C"/>
    <w:rsid w:val="0005437C"/>
    <w:rsid w:val="00060E5C"/>
    <w:rsid w:val="0006228D"/>
    <w:rsid w:val="0006443D"/>
    <w:rsid w:val="0007342D"/>
    <w:rsid w:val="000735DC"/>
    <w:rsid w:val="000739E4"/>
    <w:rsid w:val="00074B55"/>
    <w:rsid w:val="00076242"/>
    <w:rsid w:val="00076859"/>
    <w:rsid w:val="00076F81"/>
    <w:rsid w:val="0008029B"/>
    <w:rsid w:val="000808CE"/>
    <w:rsid w:val="00080F88"/>
    <w:rsid w:val="00086B61"/>
    <w:rsid w:val="000968E9"/>
    <w:rsid w:val="000972B4"/>
    <w:rsid w:val="0009735C"/>
    <w:rsid w:val="000A0EBD"/>
    <w:rsid w:val="000A1B7D"/>
    <w:rsid w:val="000A23A1"/>
    <w:rsid w:val="000A23A5"/>
    <w:rsid w:val="000A48EB"/>
    <w:rsid w:val="000A5BEF"/>
    <w:rsid w:val="000A5E17"/>
    <w:rsid w:val="000B0D8F"/>
    <w:rsid w:val="000B1588"/>
    <w:rsid w:val="000B2728"/>
    <w:rsid w:val="000B27F3"/>
    <w:rsid w:val="000B5AA0"/>
    <w:rsid w:val="000C0202"/>
    <w:rsid w:val="000C72F4"/>
    <w:rsid w:val="000D1A0B"/>
    <w:rsid w:val="000D4790"/>
    <w:rsid w:val="000D6252"/>
    <w:rsid w:val="000D7252"/>
    <w:rsid w:val="000D7D69"/>
    <w:rsid w:val="000E0673"/>
    <w:rsid w:val="000E1A2A"/>
    <w:rsid w:val="000E6DB0"/>
    <w:rsid w:val="000F1436"/>
    <w:rsid w:val="000F3C05"/>
    <w:rsid w:val="000F6EA0"/>
    <w:rsid w:val="000F7C21"/>
    <w:rsid w:val="00104E96"/>
    <w:rsid w:val="00107649"/>
    <w:rsid w:val="0011216D"/>
    <w:rsid w:val="0011269B"/>
    <w:rsid w:val="00113FAE"/>
    <w:rsid w:val="00115C0F"/>
    <w:rsid w:val="00116EDE"/>
    <w:rsid w:val="00120062"/>
    <w:rsid w:val="001249EB"/>
    <w:rsid w:val="00124C45"/>
    <w:rsid w:val="00124CF6"/>
    <w:rsid w:val="0012598E"/>
    <w:rsid w:val="001325F0"/>
    <w:rsid w:val="00134C90"/>
    <w:rsid w:val="00135180"/>
    <w:rsid w:val="001362F6"/>
    <w:rsid w:val="00136B62"/>
    <w:rsid w:val="001424E1"/>
    <w:rsid w:val="00142F30"/>
    <w:rsid w:val="001513B2"/>
    <w:rsid w:val="00156F1E"/>
    <w:rsid w:val="00160309"/>
    <w:rsid w:val="0016254C"/>
    <w:rsid w:val="001626FE"/>
    <w:rsid w:val="00163BCF"/>
    <w:rsid w:val="00164821"/>
    <w:rsid w:val="0016578C"/>
    <w:rsid w:val="00166917"/>
    <w:rsid w:val="001669F9"/>
    <w:rsid w:val="0017111D"/>
    <w:rsid w:val="001731F6"/>
    <w:rsid w:val="00173352"/>
    <w:rsid w:val="00173D28"/>
    <w:rsid w:val="00174D09"/>
    <w:rsid w:val="001807AD"/>
    <w:rsid w:val="00181720"/>
    <w:rsid w:val="0018304F"/>
    <w:rsid w:val="00185F06"/>
    <w:rsid w:val="00186D92"/>
    <w:rsid w:val="001908D1"/>
    <w:rsid w:val="001916C5"/>
    <w:rsid w:val="00191DB0"/>
    <w:rsid w:val="0019466A"/>
    <w:rsid w:val="00195908"/>
    <w:rsid w:val="0019672A"/>
    <w:rsid w:val="0019710A"/>
    <w:rsid w:val="00197192"/>
    <w:rsid w:val="001A031F"/>
    <w:rsid w:val="001A16BA"/>
    <w:rsid w:val="001A1EB4"/>
    <w:rsid w:val="001A2E34"/>
    <w:rsid w:val="001A3C83"/>
    <w:rsid w:val="001A487E"/>
    <w:rsid w:val="001A6CE3"/>
    <w:rsid w:val="001A7A79"/>
    <w:rsid w:val="001B43F7"/>
    <w:rsid w:val="001C0014"/>
    <w:rsid w:val="001C05CA"/>
    <w:rsid w:val="001C1AB8"/>
    <w:rsid w:val="001C32E6"/>
    <w:rsid w:val="001C424A"/>
    <w:rsid w:val="001C53AC"/>
    <w:rsid w:val="001C7F9C"/>
    <w:rsid w:val="001D09C8"/>
    <w:rsid w:val="001D46E8"/>
    <w:rsid w:val="001E2AC1"/>
    <w:rsid w:val="001E31C5"/>
    <w:rsid w:val="001E3D07"/>
    <w:rsid w:val="001E3DE9"/>
    <w:rsid w:val="001E635A"/>
    <w:rsid w:val="001E6633"/>
    <w:rsid w:val="001F05FE"/>
    <w:rsid w:val="001F0B82"/>
    <w:rsid w:val="001F2187"/>
    <w:rsid w:val="001F369C"/>
    <w:rsid w:val="001F7ADB"/>
    <w:rsid w:val="002027B8"/>
    <w:rsid w:val="00211056"/>
    <w:rsid w:val="002111AD"/>
    <w:rsid w:val="00212881"/>
    <w:rsid w:val="002141C8"/>
    <w:rsid w:val="00214F2E"/>
    <w:rsid w:val="00217106"/>
    <w:rsid w:val="00217A03"/>
    <w:rsid w:val="00217E13"/>
    <w:rsid w:val="002204A9"/>
    <w:rsid w:val="002208C3"/>
    <w:rsid w:val="00221443"/>
    <w:rsid w:val="002217C4"/>
    <w:rsid w:val="002254E3"/>
    <w:rsid w:val="00226131"/>
    <w:rsid w:val="00226AC2"/>
    <w:rsid w:val="00231330"/>
    <w:rsid w:val="00231F75"/>
    <w:rsid w:val="002321FB"/>
    <w:rsid w:val="00234BA4"/>
    <w:rsid w:val="00234D8C"/>
    <w:rsid w:val="002351D1"/>
    <w:rsid w:val="00236227"/>
    <w:rsid w:val="002405E4"/>
    <w:rsid w:val="00240839"/>
    <w:rsid w:val="00241185"/>
    <w:rsid w:val="00245D4C"/>
    <w:rsid w:val="00251F4B"/>
    <w:rsid w:val="002521F0"/>
    <w:rsid w:val="00253E7C"/>
    <w:rsid w:val="00255131"/>
    <w:rsid w:val="00255D28"/>
    <w:rsid w:val="0025673B"/>
    <w:rsid w:val="0025710F"/>
    <w:rsid w:val="00257FB0"/>
    <w:rsid w:val="00262A35"/>
    <w:rsid w:val="002659C6"/>
    <w:rsid w:val="00266009"/>
    <w:rsid w:val="00272D3E"/>
    <w:rsid w:val="00274275"/>
    <w:rsid w:val="0027429B"/>
    <w:rsid w:val="00275BF3"/>
    <w:rsid w:val="00276258"/>
    <w:rsid w:val="002849CA"/>
    <w:rsid w:val="00284B86"/>
    <w:rsid w:val="00284E30"/>
    <w:rsid w:val="00285137"/>
    <w:rsid w:val="00285E30"/>
    <w:rsid w:val="002870AD"/>
    <w:rsid w:val="00291B3B"/>
    <w:rsid w:val="00295CA8"/>
    <w:rsid w:val="00296378"/>
    <w:rsid w:val="00296530"/>
    <w:rsid w:val="002970B3"/>
    <w:rsid w:val="002A2369"/>
    <w:rsid w:val="002A42BD"/>
    <w:rsid w:val="002A4D6C"/>
    <w:rsid w:val="002A7030"/>
    <w:rsid w:val="002B16DE"/>
    <w:rsid w:val="002B2380"/>
    <w:rsid w:val="002B4848"/>
    <w:rsid w:val="002B5779"/>
    <w:rsid w:val="002B642C"/>
    <w:rsid w:val="002C0759"/>
    <w:rsid w:val="002C2B5E"/>
    <w:rsid w:val="002C7E1D"/>
    <w:rsid w:val="002D0334"/>
    <w:rsid w:val="002D1F7C"/>
    <w:rsid w:val="002D2F58"/>
    <w:rsid w:val="002D386C"/>
    <w:rsid w:val="002D4166"/>
    <w:rsid w:val="002D64FE"/>
    <w:rsid w:val="002D7DE4"/>
    <w:rsid w:val="002E0A65"/>
    <w:rsid w:val="002E0FA8"/>
    <w:rsid w:val="002E2F33"/>
    <w:rsid w:val="002E55A9"/>
    <w:rsid w:val="002E6C67"/>
    <w:rsid w:val="002E6F28"/>
    <w:rsid w:val="002F017E"/>
    <w:rsid w:val="002F1D64"/>
    <w:rsid w:val="002F3BFF"/>
    <w:rsid w:val="002F4A26"/>
    <w:rsid w:val="002F5422"/>
    <w:rsid w:val="002F5847"/>
    <w:rsid w:val="002F6EAA"/>
    <w:rsid w:val="00301BEA"/>
    <w:rsid w:val="003026F4"/>
    <w:rsid w:val="00302B2B"/>
    <w:rsid w:val="003046E7"/>
    <w:rsid w:val="00304C55"/>
    <w:rsid w:val="00305E31"/>
    <w:rsid w:val="003062B5"/>
    <w:rsid w:val="00307941"/>
    <w:rsid w:val="00310A9C"/>
    <w:rsid w:val="00313960"/>
    <w:rsid w:val="00313A83"/>
    <w:rsid w:val="00313C7A"/>
    <w:rsid w:val="0031450F"/>
    <w:rsid w:val="00314666"/>
    <w:rsid w:val="00314898"/>
    <w:rsid w:val="00315616"/>
    <w:rsid w:val="00315DCC"/>
    <w:rsid w:val="00316F3E"/>
    <w:rsid w:val="00317463"/>
    <w:rsid w:val="003176C3"/>
    <w:rsid w:val="00320DFB"/>
    <w:rsid w:val="003219C2"/>
    <w:rsid w:val="00326DDD"/>
    <w:rsid w:val="00335913"/>
    <w:rsid w:val="0033615A"/>
    <w:rsid w:val="00336A11"/>
    <w:rsid w:val="00336E60"/>
    <w:rsid w:val="00341B33"/>
    <w:rsid w:val="0034203C"/>
    <w:rsid w:val="003423A6"/>
    <w:rsid w:val="003454E0"/>
    <w:rsid w:val="00345C3D"/>
    <w:rsid w:val="00346E4B"/>
    <w:rsid w:val="003513C3"/>
    <w:rsid w:val="0035583D"/>
    <w:rsid w:val="00355E28"/>
    <w:rsid w:val="00356286"/>
    <w:rsid w:val="00356A39"/>
    <w:rsid w:val="00356D06"/>
    <w:rsid w:val="0036112D"/>
    <w:rsid w:val="00363D3B"/>
    <w:rsid w:val="00363FE7"/>
    <w:rsid w:val="003649E3"/>
    <w:rsid w:val="003650D8"/>
    <w:rsid w:val="00367920"/>
    <w:rsid w:val="00373DD1"/>
    <w:rsid w:val="003758DD"/>
    <w:rsid w:val="00376864"/>
    <w:rsid w:val="0038101B"/>
    <w:rsid w:val="00381FCB"/>
    <w:rsid w:val="00382044"/>
    <w:rsid w:val="00383F45"/>
    <w:rsid w:val="00383F78"/>
    <w:rsid w:val="003871FD"/>
    <w:rsid w:val="00392AD6"/>
    <w:rsid w:val="00392B20"/>
    <w:rsid w:val="00394CDA"/>
    <w:rsid w:val="003957B5"/>
    <w:rsid w:val="00395B2D"/>
    <w:rsid w:val="003A2169"/>
    <w:rsid w:val="003A2207"/>
    <w:rsid w:val="003A629B"/>
    <w:rsid w:val="003A77B7"/>
    <w:rsid w:val="003B19E3"/>
    <w:rsid w:val="003B536C"/>
    <w:rsid w:val="003B5E3D"/>
    <w:rsid w:val="003B6C8F"/>
    <w:rsid w:val="003B7427"/>
    <w:rsid w:val="003B7FB0"/>
    <w:rsid w:val="003C1113"/>
    <w:rsid w:val="003C235E"/>
    <w:rsid w:val="003C3969"/>
    <w:rsid w:val="003C690F"/>
    <w:rsid w:val="003C6962"/>
    <w:rsid w:val="003C757E"/>
    <w:rsid w:val="003D13F1"/>
    <w:rsid w:val="003D20DF"/>
    <w:rsid w:val="003D267E"/>
    <w:rsid w:val="003D2DF8"/>
    <w:rsid w:val="003D66CB"/>
    <w:rsid w:val="003E033C"/>
    <w:rsid w:val="003E2214"/>
    <w:rsid w:val="003E261A"/>
    <w:rsid w:val="003E2758"/>
    <w:rsid w:val="003F338E"/>
    <w:rsid w:val="003F61B3"/>
    <w:rsid w:val="003F70AD"/>
    <w:rsid w:val="004058C5"/>
    <w:rsid w:val="00411D00"/>
    <w:rsid w:val="004152E2"/>
    <w:rsid w:val="004175BF"/>
    <w:rsid w:val="004200D9"/>
    <w:rsid w:val="004201B3"/>
    <w:rsid w:val="004236B1"/>
    <w:rsid w:val="00424279"/>
    <w:rsid w:val="00427031"/>
    <w:rsid w:val="00431A02"/>
    <w:rsid w:val="00437BAC"/>
    <w:rsid w:val="00440EF3"/>
    <w:rsid w:val="004415F4"/>
    <w:rsid w:val="004426AE"/>
    <w:rsid w:val="00443673"/>
    <w:rsid w:val="00444ED9"/>
    <w:rsid w:val="004457DC"/>
    <w:rsid w:val="0045051C"/>
    <w:rsid w:val="0045053D"/>
    <w:rsid w:val="00453ED1"/>
    <w:rsid w:val="00455BD7"/>
    <w:rsid w:val="00456ECA"/>
    <w:rsid w:val="00461D23"/>
    <w:rsid w:val="00464A39"/>
    <w:rsid w:val="004701A1"/>
    <w:rsid w:val="0047177E"/>
    <w:rsid w:val="00472800"/>
    <w:rsid w:val="004810D0"/>
    <w:rsid w:val="0048149F"/>
    <w:rsid w:val="0048378A"/>
    <w:rsid w:val="00485D9B"/>
    <w:rsid w:val="00487703"/>
    <w:rsid w:val="00490D04"/>
    <w:rsid w:val="004917AE"/>
    <w:rsid w:val="0049433D"/>
    <w:rsid w:val="00496707"/>
    <w:rsid w:val="004A0373"/>
    <w:rsid w:val="004A073E"/>
    <w:rsid w:val="004A1F14"/>
    <w:rsid w:val="004A224F"/>
    <w:rsid w:val="004A618B"/>
    <w:rsid w:val="004B217C"/>
    <w:rsid w:val="004B2B5C"/>
    <w:rsid w:val="004C0CB5"/>
    <w:rsid w:val="004C2782"/>
    <w:rsid w:val="004C2AE4"/>
    <w:rsid w:val="004C7E6D"/>
    <w:rsid w:val="004D3432"/>
    <w:rsid w:val="004D4608"/>
    <w:rsid w:val="004D68B4"/>
    <w:rsid w:val="004E04F3"/>
    <w:rsid w:val="004E1460"/>
    <w:rsid w:val="004E1D88"/>
    <w:rsid w:val="004E3D52"/>
    <w:rsid w:val="004E453B"/>
    <w:rsid w:val="004E701B"/>
    <w:rsid w:val="004F0222"/>
    <w:rsid w:val="004F0403"/>
    <w:rsid w:val="004F109F"/>
    <w:rsid w:val="004F2D77"/>
    <w:rsid w:val="004F671F"/>
    <w:rsid w:val="004F7215"/>
    <w:rsid w:val="00500613"/>
    <w:rsid w:val="00501213"/>
    <w:rsid w:val="00502C75"/>
    <w:rsid w:val="00506B25"/>
    <w:rsid w:val="00511AB5"/>
    <w:rsid w:val="00512E6F"/>
    <w:rsid w:val="00514BCA"/>
    <w:rsid w:val="00515A4F"/>
    <w:rsid w:val="00517CD9"/>
    <w:rsid w:val="00521902"/>
    <w:rsid w:val="00521A48"/>
    <w:rsid w:val="00521F65"/>
    <w:rsid w:val="00525276"/>
    <w:rsid w:val="005272A3"/>
    <w:rsid w:val="005313EC"/>
    <w:rsid w:val="00533844"/>
    <w:rsid w:val="00533A16"/>
    <w:rsid w:val="00535AB8"/>
    <w:rsid w:val="00535F66"/>
    <w:rsid w:val="00536ED4"/>
    <w:rsid w:val="00537245"/>
    <w:rsid w:val="005454F6"/>
    <w:rsid w:val="00545A21"/>
    <w:rsid w:val="0054622B"/>
    <w:rsid w:val="00547546"/>
    <w:rsid w:val="005500C7"/>
    <w:rsid w:val="00566343"/>
    <w:rsid w:val="005674E7"/>
    <w:rsid w:val="00567993"/>
    <w:rsid w:val="00570A22"/>
    <w:rsid w:val="00583966"/>
    <w:rsid w:val="00584598"/>
    <w:rsid w:val="005849D3"/>
    <w:rsid w:val="00585EC8"/>
    <w:rsid w:val="00587B8F"/>
    <w:rsid w:val="005915C5"/>
    <w:rsid w:val="00593BC1"/>
    <w:rsid w:val="00595E25"/>
    <w:rsid w:val="00596603"/>
    <w:rsid w:val="005A7716"/>
    <w:rsid w:val="005B074E"/>
    <w:rsid w:val="005B2EA9"/>
    <w:rsid w:val="005B303A"/>
    <w:rsid w:val="005B4613"/>
    <w:rsid w:val="005C1B1E"/>
    <w:rsid w:val="005C4138"/>
    <w:rsid w:val="005C574B"/>
    <w:rsid w:val="005C5F32"/>
    <w:rsid w:val="005C74EA"/>
    <w:rsid w:val="005D09BD"/>
    <w:rsid w:val="005D1EBC"/>
    <w:rsid w:val="005D6DF0"/>
    <w:rsid w:val="005E011E"/>
    <w:rsid w:val="005E09E1"/>
    <w:rsid w:val="005E1379"/>
    <w:rsid w:val="005E38D0"/>
    <w:rsid w:val="005E436D"/>
    <w:rsid w:val="005E6CBB"/>
    <w:rsid w:val="005E6E4E"/>
    <w:rsid w:val="005F0C8F"/>
    <w:rsid w:val="005F1E25"/>
    <w:rsid w:val="005F35DE"/>
    <w:rsid w:val="005F44BF"/>
    <w:rsid w:val="0060090B"/>
    <w:rsid w:val="00604A23"/>
    <w:rsid w:val="00606EC1"/>
    <w:rsid w:val="0060748E"/>
    <w:rsid w:val="00607918"/>
    <w:rsid w:val="00610994"/>
    <w:rsid w:val="00610D0D"/>
    <w:rsid w:val="00610FFC"/>
    <w:rsid w:val="0061219B"/>
    <w:rsid w:val="00613C58"/>
    <w:rsid w:val="00615AD7"/>
    <w:rsid w:val="006173EF"/>
    <w:rsid w:val="0061760F"/>
    <w:rsid w:val="00617653"/>
    <w:rsid w:val="0062077F"/>
    <w:rsid w:val="00621074"/>
    <w:rsid w:val="00621670"/>
    <w:rsid w:val="00632662"/>
    <w:rsid w:val="0063315C"/>
    <w:rsid w:val="00634EC8"/>
    <w:rsid w:val="00635526"/>
    <w:rsid w:val="00635983"/>
    <w:rsid w:val="00642143"/>
    <w:rsid w:val="00642BC1"/>
    <w:rsid w:val="00642DC2"/>
    <w:rsid w:val="006436EF"/>
    <w:rsid w:val="00647D50"/>
    <w:rsid w:val="006517F9"/>
    <w:rsid w:val="006524BE"/>
    <w:rsid w:val="0065256F"/>
    <w:rsid w:val="00657916"/>
    <w:rsid w:val="00662155"/>
    <w:rsid w:val="00664E78"/>
    <w:rsid w:val="00666AC8"/>
    <w:rsid w:val="00667B5D"/>
    <w:rsid w:val="00667E77"/>
    <w:rsid w:val="00670842"/>
    <w:rsid w:val="00670AC1"/>
    <w:rsid w:val="00671B26"/>
    <w:rsid w:val="00671CD2"/>
    <w:rsid w:val="006723A5"/>
    <w:rsid w:val="006752DC"/>
    <w:rsid w:val="00676006"/>
    <w:rsid w:val="006766A4"/>
    <w:rsid w:val="00680994"/>
    <w:rsid w:val="00683D69"/>
    <w:rsid w:val="00694620"/>
    <w:rsid w:val="00694EC8"/>
    <w:rsid w:val="00696BBB"/>
    <w:rsid w:val="006A09F8"/>
    <w:rsid w:val="006A0EF2"/>
    <w:rsid w:val="006A2C27"/>
    <w:rsid w:val="006A2CC4"/>
    <w:rsid w:val="006A3E17"/>
    <w:rsid w:val="006A4DE7"/>
    <w:rsid w:val="006A75E1"/>
    <w:rsid w:val="006B20C7"/>
    <w:rsid w:val="006B3574"/>
    <w:rsid w:val="006B3639"/>
    <w:rsid w:val="006B3DA6"/>
    <w:rsid w:val="006C12C1"/>
    <w:rsid w:val="006C5B54"/>
    <w:rsid w:val="006C6D2D"/>
    <w:rsid w:val="006D0562"/>
    <w:rsid w:val="006D06E0"/>
    <w:rsid w:val="006D1DE2"/>
    <w:rsid w:val="006D42C0"/>
    <w:rsid w:val="006D6739"/>
    <w:rsid w:val="006D7905"/>
    <w:rsid w:val="006E094B"/>
    <w:rsid w:val="006E212D"/>
    <w:rsid w:val="006E39B8"/>
    <w:rsid w:val="006E520B"/>
    <w:rsid w:val="006E652E"/>
    <w:rsid w:val="006E693B"/>
    <w:rsid w:val="006E70C5"/>
    <w:rsid w:val="006E7D7B"/>
    <w:rsid w:val="006F114E"/>
    <w:rsid w:val="006F1DB0"/>
    <w:rsid w:val="006F3DA1"/>
    <w:rsid w:val="006F5134"/>
    <w:rsid w:val="006F557F"/>
    <w:rsid w:val="00701CE3"/>
    <w:rsid w:val="00702FDF"/>
    <w:rsid w:val="0070480F"/>
    <w:rsid w:val="00715B5F"/>
    <w:rsid w:val="00716514"/>
    <w:rsid w:val="00720929"/>
    <w:rsid w:val="00723BEF"/>
    <w:rsid w:val="0072683F"/>
    <w:rsid w:val="00731C52"/>
    <w:rsid w:val="00732010"/>
    <w:rsid w:val="00735CA7"/>
    <w:rsid w:val="00736D96"/>
    <w:rsid w:val="00740B81"/>
    <w:rsid w:val="007412EB"/>
    <w:rsid w:val="007426CC"/>
    <w:rsid w:val="00744585"/>
    <w:rsid w:val="007445CD"/>
    <w:rsid w:val="0074732B"/>
    <w:rsid w:val="007473C1"/>
    <w:rsid w:val="00747A23"/>
    <w:rsid w:val="00747FDE"/>
    <w:rsid w:val="0075010D"/>
    <w:rsid w:val="00750595"/>
    <w:rsid w:val="00754169"/>
    <w:rsid w:val="00756A85"/>
    <w:rsid w:val="0076323B"/>
    <w:rsid w:val="00763600"/>
    <w:rsid w:val="007650A9"/>
    <w:rsid w:val="00765DE6"/>
    <w:rsid w:val="00766665"/>
    <w:rsid w:val="00767296"/>
    <w:rsid w:val="00770E68"/>
    <w:rsid w:val="0077227B"/>
    <w:rsid w:val="007741C2"/>
    <w:rsid w:val="00774AF1"/>
    <w:rsid w:val="007760B7"/>
    <w:rsid w:val="00781A3F"/>
    <w:rsid w:val="00785DCF"/>
    <w:rsid w:val="00786222"/>
    <w:rsid w:val="007906F1"/>
    <w:rsid w:val="007908FF"/>
    <w:rsid w:val="007934DC"/>
    <w:rsid w:val="007945A0"/>
    <w:rsid w:val="007947D2"/>
    <w:rsid w:val="00794C74"/>
    <w:rsid w:val="00795534"/>
    <w:rsid w:val="007A15DF"/>
    <w:rsid w:val="007A47AD"/>
    <w:rsid w:val="007A777C"/>
    <w:rsid w:val="007B11DD"/>
    <w:rsid w:val="007B245E"/>
    <w:rsid w:val="007B2CB1"/>
    <w:rsid w:val="007B3E2F"/>
    <w:rsid w:val="007B3EC3"/>
    <w:rsid w:val="007C189F"/>
    <w:rsid w:val="007C35FF"/>
    <w:rsid w:val="007C3AF8"/>
    <w:rsid w:val="007C4BCF"/>
    <w:rsid w:val="007C7461"/>
    <w:rsid w:val="007C760F"/>
    <w:rsid w:val="007C7E18"/>
    <w:rsid w:val="007D2B13"/>
    <w:rsid w:val="007D5767"/>
    <w:rsid w:val="007E1141"/>
    <w:rsid w:val="007E2F01"/>
    <w:rsid w:val="007E45E5"/>
    <w:rsid w:val="007E714C"/>
    <w:rsid w:val="007F0F14"/>
    <w:rsid w:val="007F1A89"/>
    <w:rsid w:val="007F1E75"/>
    <w:rsid w:val="007F3681"/>
    <w:rsid w:val="007F47D5"/>
    <w:rsid w:val="007F4938"/>
    <w:rsid w:val="007F6072"/>
    <w:rsid w:val="007F66F5"/>
    <w:rsid w:val="008003DB"/>
    <w:rsid w:val="008009A6"/>
    <w:rsid w:val="00801E45"/>
    <w:rsid w:val="00804490"/>
    <w:rsid w:val="0080763D"/>
    <w:rsid w:val="008103BC"/>
    <w:rsid w:val="0081184F"/>
    <w:rsid w:val="008123B8"/>
    <w:rsid w:val="00813DED"/>
    <w:rsid w:val="0081587F"/>
    <w:rsid w:val="00816787"/>
    <w:rsid w:val="00816AA5"/>
    <w:rsid w:val="00817643"/>
    <w:rsid w:val="00817796"/>
    <w:rsid w:val="00817A51"/>
    <w:rsid w:val="008204E6"/>
    <w:rsid w:val="00820AB6"/>
    <w:rsid w:val="008219FB"/>
    <w:rsid w:val="00823FFE"/>
    <w:rsid w:val="00824645"/>
    <w:rsid w:val="00832247"/>
    <w:rsid w:val="00832344"/>
    <w:rsid w:val="008327FE"/>
    <w:rsid w:val="00833C84"/>
    <w:rsid w:val="00834F66"/>
    <w:rsid w:val="00835CF5"/>
    <w:rsid w:val="0084119B"/>
    <w:rsid w:val="008434C3"/>
    <w:rsid w:val="00846515"/>
    <w:rsid w:val="008471C2"/>
    <w:rsid w:val="008542C9"/>
    <w:rsid w:val="0085452F"/>
    <w:rsid w:val="00855B20"/>
    <w:rsid w:val="00855D10"/>
    <w:rsid w:val="0085704C"/>
    <w:rsid w:val="008603AE"/>
    <w:rsid w:val="0086044A"/>
    <w:rsid w:val="00861DDF"/>
    <w:rsid w:val="008661FB"/>
    <w:rsid w:val="00866438"/>
    <w:rsid w:val="00880600"/>
    <w:rsid w:val="00881D9D"/>
    <w:rsid w:val="008822DF"/>
    <w:rsid w:val="008823C9"/>
    <w:rsid w:val="0088408F"/>
    <w:rsid w:val="00885657"/>
    <w:rsid w:val="00886076"/>
    <w:rsid w:val="00886CEF"/>
    <w:rsid w:val="00887BF5"/>
    <w:rsid w:val="00887F7B"/>
    <w:rsid w:val="0089073F"/>
    <w:rsid w:val="00892ABC"/>
    <w:rsid w:val="0089404A"/>
    <w:rsid w:val="00895670"/>
    <w:rsid w:val="00896F2F"/>
    <w:rsid w:val="008978D6"/>
    <w:rsid w:val="008A2489"/>
    <w:rsid w:val="008A2BA5"/>
    <w:rsid w:val="008A37EE"/>
    <w:rsid w:val="008A3EFE"/>
    <w:rsid w:val="008A43D0"/>
    <w:rsid w:val="008A46E0"/>
    <w:rsid w:val="008A6FA5"/>
    <w:rsid w:val="008A7827"/>
    <w:rsid w:val="008B23D9"/>
    <w:rsid w:val="008B2F87"/>
    <w:rsid w:val="008B3221"/>
    <w:rsid w:val="008B620F"/>
    <w:rsid w:val="008B6F74"/>
    <w:rsid w:val="008C587A"/>
    <w:rsid w:val="008C7C20"/>
    <w:rsid w:val="008C7E7A"/>
    <w:rsid w:val="008D19FE"/>
    <w:rsid w:val="008D458B"/>
    <w:rsid w:val="008D4F72"/>
    <w:rsid w:val="008D626D"/>
    <w:rsid w:val="008D7F88"/>
    <w:rsid w:val="008E15AE"/>
    <w:rsid w:val="008E2BD9"/>
    <w:rsid w:val="008E376A"/>
    <w:rsid w:val="008E382A"/>
    <w:rsid w:val="008E4869"/>
    <w:rsid w:val="008E4B0D"/>
    <w:rsid w:val="008E55D5"/>
    <w:rsid w:val="008E6C6D"/>
    <w:rsid w:val="008E7383"/>
    <w:rsid w:val="008F04BA"/>
    <w:rsid w:val="008F5357"/>
    <w:rsid w:val="008F54ED"/>
    <w:rsid w:val="008F6B2E"/>
    <w:rsid w:val="00903982"/>
    <w:rsid w:val="0090429D"/>
    <w:rsid w:val="00906BA8"/>
    <w:rsid w:val="009140E8"/>
    <w:rsid w:val="009177D6"/>
    <w:rsid w:val="0092031F"/>
    <w:rsid w:val="0092195E"/>
    <w:rsid w:val="00922850"/>
    <w:rsid w:val="0092534B"/>
    <w:rsid w:val="00927971"/>
    <w:rsid w:val="00927E07"/>
    <w:rsid w:val="0093277D"/>
    <w:rsid w:val="009328B7"/>
    <w:rsid w:val="00933C80"/>
    <w:rsid w:val="00934AB3"/>
    <w:rsid w:val="009357F3"/>
    <w:rsid w:val="00936127"/>
    <w:rsid w:val="00940109"/>
    <w:rsid w:val="009406DC"/>
    <w:rsid w:val="00941C92"/>
    <w:rsid w:val="00941CA1"/>
    <w:rsid w:val="00944A79"/>
    <w:rsid w:val="009462DA"/>
    <w:rsid w:val="00953C5D"/>
    <w:rsid w:val="00955148"/>
    <w:rsid w:val="00955797"/>
    <w:rsid w:val="0095685C"/>
    <w:rsid w:val="009570BC"/>
    <w:rsid w:val="0095789C"/>
    <w:rsid w:val="00957FA7"/>
    <w:rsid w:val="00962CC2"/>
    <w:rsid w:val="009638F1"/>
    <w:rsid w:val="0096496D"/>
    <w:rsid w:val="00964DF6"/>
    <w:rsid w:val="0096525D"/>
    <w:rsid w:val="00965712"/>
    <w:rsid w:val="00966081"/>
    <w:rsid w:val="009677D9"/>
    <w:rsid w:val="009742E7"/>
    <w:rsid w:val="0097498F"/>
    <w:rsid w:val="0097645B"/>
    <w:rsid w:val="009765EC"/>
    <w:rsid w:val="009766CE"/>
    <w:rsid w:val="00976CCD"/>
    <w:rsid w:val="00980DA8"/>
    <w:rsid w:val="0098272F"/>
    <w:rsid w:val="00982F56"/>
    <w:rsid w:val="00983A0B"/>
    <w:rsid w:val="009877CC"/>
    <w:rsid w:val="009919FE"/>
    <w:rsid w:val="00994CDD"/>
    <w:rsid w:val="009965A6"/>
    <w:rsid w:val="009967D3"/>
    <w:rsid w:val="00996C5D"/>
    <w:rsid w:val="009A06FF"/>
    <w:rsid w:val="009A4090"/>
    <w:rsid w:val="009A6D5C"/>
    <w:rsid w:val="009B172F"/>
    <w:rsid w:val="009B1897"/>
    <w:rsid w:val="009B1C77"/>
    <w:rsid w:val="009B3F38"/>
    <w:rsid w:val="009B4EE0"/>
    <w:rsid w:val="009B75F5"/>
    <w:rsid w:val="009C2D55"/>
    <w:rsid w:val="009C5AA1"/>
    <w:rsid w:val="009C657F"/>
    <w:rsid w:val="009C7079"/>
    <w:rsid w:val="009D1AF0"/>
    <w:rsid w:val="009D3C0C"/>
    <w:rsid w:val="009D448A"/>
    <w:rsid w:val="009D56C9"/>
    <w:rsid w:val="009D64D1"/>
    <w:rsid w:val="009E10E6"/>
    <w:rsid w:val="009E1B40"/>
    <w:rsid w:val="009E5089"/>
    <w:rsid w:val="009E6ADA"/>
    <w:rsid w:val="009F0F5E"/>
    <w:rsid w:val="009F24A5"/>
    <w:rsid w:val="009F48C4"/>
    <w:rsid w:val="009F49C3"/>
    <w:rsid w:val="009F4C7E"/>
    <w:rsid w:val="00A013CB"/>
    <w:rsid w:val="00A103D3"/>
    <w:rsid w:val="00A115F3"/>
    <w:rsid w:val="00A1661B"/>
    <w:rsid w:val="00A17FA0"/>
    <w:rsid w:val="00A2092A"/>
    <w:rsid w:val="00A21E71"/>
    <w:rsid w:val="00A23BA3"/>
    <w:rsid w:val="00A2653B"/>
    <w:rsid w:val="00A37358"/>
    <w:rsid w:val="00A43420"/>
    <w:rsid w:val="00A45DE4"/>
    <w:rsid w:val="00A462AC"/>
    <w:rsid w:val="00A46840"/>
    <w:rsid w:val="00A46B67"/>
    <w:rsid w:val="00A47054"/>
    <w:rsid w:val="00A51D8B"/>
    <w:rsid w:val="00A52BF0"/>
    <w:rsid w:val="00A53832"/>
    <w:rsid w:val="00A5696A"/>
    <w:rsid w:val="00A5723D"/>
    <w:rsid w:val="00A6423F"/>
    <w:rsid w:val="00A6506F"/>
    <w:rsid w:val="00A65353"/>
    <w:rsid w:val="00A66357"/>
    <w:rsid w:val="00A6716A"/>
    <w:rsid w:val="00A703A8"/>
    <w:rsid w:val="00A70C1F"/>
    <w:rsid w:val="00A713C2"/>
    <w:rsid w:val="00A7231A"/>
    <w:rsid w:val="00A72A84"/>
    <w:rsid w:val="00A73910"/>
    <w:rsid w:val="00A73DE2"/>
    <w:rsid w:val="00A740B7"/>
    <w:rsid w:val="00A81525"/>
    <w:rsid w:val="00A81778"/>
    <w:rsid w:val="00A87C2C"/>
    <w:rsid w:val="00A87F5B"/>
    <w:rsid w:val="00A902EE"/>
    <w:rsid w:val="00A9087E"/>
    <w:rsid w:val="00A9638F"/>
    <w:rsid w:val="00A975FF"/>
    <w:rsid w:val="00AA241A"/>
    <w:rsid w:val="00AA2425"/>
    <w:rsid w:val="00AA543E"/>
    <w:rsid w:val="00AA5CC4"/>
    <w:rsid w:val="00AB3BB8"/>
    <w:rsid w:val="00AB4681"/>
    <w:rsid w:val="00AB48DA"/>
    <w:rsid w:val="00AB5102"/>
    <w:rsid w:val="00AB618D"/>
    <w:rsid w:val="00AB641E"/>
    <w:rsid w:val="00AB6A75"/>
    <w:rsid w:val="00AB7465"/>
    <w:rsid w:val="00AC0DC3"/>
    <w:rsid w:val="00AC3C1A"/>
    <w:rsid w:val="00AC4830"/>
    <w:rsid w:val="00AC4DED"/>
    <w:rsid w:val="00AC54FC"/>
    <w:rsid w:val="00AC6177"/>
    <w:rsid w:val="00AC7035"/>
    <w:rsid w:val="00AC751E"/>
    <w:rsid w:val="00AD182C"/>
    <w:rsid w:val="00AD2C24"/>
    <w:rsid w:val="00AD4C4B"/>
    <w:rsid w:val="00AD53CA"/>
    <w:rsid w:val="00AD7C87"/>
    <w:rsid w:val="00AE1527"/>
    <w:rsid w:val="00AE15E2"/>
    <w:rsid w:val="00AE29E8"/>
    <w:rsid w:val="00AE2FA9"/>
    <w:rsid w:val="00AE43B6"/>
    <w:rsid w:val="00AE48B8"/>
    <w:rsid w:val="00AE545C"/>
    <w:rsid w:val="00AF0E96"/>
    <w:rsid w:val="00AF161E"/>
    <w:rsid w:val="00AF3A69"/>
    <w:rsid w:val="00AF7B09"/>
    <w:rsid w:val="00B00D67"/>
    <w:rsid w:val="00B060F3"/>
    <w:rsid w:val="00B11F99"/>
    <w:rsid w:val="00B12930"/>
    <w:rsid w:val="00B141D1"/>
    <w:rsid w:val="00B17466"/>
    <w:rsid w:val="00B17545"/>
    <w:rsid w:val="00B21E04"/>
    <w:rsid w:val="00B22FDF"/>
    <w:rsid w:val="00B342E5"/>
    <w:rsid w:val="00B37589"/>
    <w:rsid w:val="00B43549"/>
    <w:rsid w:val="00B444BF"/>
    <w:rsid w:val="00B507BE"/>
    <w:rsid w:val="00B508B6"/>
    <w:rsid w:val="00B50CD4"/>
    <w:rsid w:val="00B519B7"/>
    <w:rsid w:val="00B51A7A"/>
    <w:rsid w:val="00B54EA8"/>
    <w:rsid w:val="00B6128D"/>
    <w:rsid w:val="00B6164C"/>
    <w:rsid w:val="00B63696"/>
    <w:rsid w:val="00B65907"/>
    <w:rsid w:val="00B65C8F"/>
    <w:rsid w:val="00B65ED0"/>
    <w:rsid w:val="00B774BA"/>
    <w:rsid w:val="00B85487"/>
    <w:rsid w:val="00B86B56"/>
    <w:rsid w:val="00B87506"/>
    <w:rsid w:val="00B91C86"/>
    <w:rsid w:val="00B94520"/>
    <w:rsid w:val="00B961CD"/>
    <w:rsid w:val="00BA074C"/>
    <w:rsid w:val="00BA1BC3"/>
    <w:rsid w:val="00BA4D63"/>
    <w:rsid w:val="00BA6CA6"/>
    <w:rsid w:val="00BA7BF2"/>
    <w:rsid w:val="00BB01BA"/>
    <w:rsid w:val="00BB09BC"/>
    <w:rsid w:val="00BB2417"/>
    <w:rsid w:val="00BB582F"/>
    <w:rsid w:val="00BB641D"/>
    <w:rsid w:val="00BB6DEE"/>
    <w:rsid w:val="00BB6F6C"/>
    <w:rsid w:val="00BC15FF"/>
    <w:rsid w:val="00BC17D0"/>
    <w:rsid w:val="00BC1E78"/>
    <w:rsid w:val="00BC2EFF"/>
    <w:rsid w:val="00BC54B7"/>
    <w:rsid w:val="00BC6EA9"/>
    <w:rsid w:val="00BC7D12"/>
    <w:rsid w:val="00BD329F"/>
    <w:rsid w:val="00BD578C"/>
    <w:rsid w:val="00BD6B4F"/>
    <w:rsid w:val="00BE0800"/>
    <w:rsid w:val="00BE1C2A"/>
    <w:rsid w:val="00BE2910"/>
    <w:rsid w:val="00BE2C55"/>
    <w:rsid w:val="00BE3235"/>
    <w:rsid w:val="00BE3F5F"/>
    <w:rsid w:val="00BE531A"/>
    <w:rsid w:val="00BE547B"/>
    <w:rsid w:val="00BF018C"/>
    <w:rsid w:val="00BF01E6"/>
    <w:rsid w:val="00BF08FA"/>
    <w:rsid w:val="00BF1A6E"/>
    <w:rsid w:val="00BF296B"/>
    <w:rsid w:val="00BF2E08"/>
    <w:rsid w:val="00BF39E3"/>
    <w:rsid w:val="00BF6584"/>
    <w:rsid w:val="00BF6E2F"/>
    <w:rsid w:val="00C00216"/>
    <w:rsid w:val="00C02AEB"/>
    <w:rsid w:val="00C04BF1"/>
    <w:rsid w:val="00C05E6A"/>
    <w:rsid w:val="00C06D49"/>
    <w:rsid w:val="00C07FA9"/>
    <w:rsid w:val="00C10969"/>
    <w:rsid w:val="00C1396A"/>
    <w:rsid w:val="00C14A93"/>
    <w:rsid w:val="00C17C78"/>
    <w:rsid w:val="00C215A9"/>
    <w:rsid w:val="00C30376"/>
    <w:rsid w:val="00C33EC2"/>
    <w:rsid w:val="00C34911"/>
    <w:rsid w:val="00C34F61"/>
    <w:rsid w:val="00C41095"/>
    <w:rsid w:val="00C42729"/>
    <w:rsid w:val="00C45A71"/>
    <w:rsid w:val="00C47108"/>
    <w:rsid w:val="00C47D41"/>
    <w:rsid w:val="00C5359A"/>
    <w:rsid w:val="00C5416C"/>
    <w:rsid w:val="00C54A9D"/>
    <w:rsid w:val="00C604AC"/>
    <w:rsid w:val="00C620DC"/>
    <w:rsid w:val="00C62D32"/>
    <w:rsid w:val="00C63A1B"/>
    <w:rsid w:val="00C6536B"/>
    <w:rsid w:val="00C65D4E"/>
    <w:rsid w:val="00C677F5"/>
    <w:rsid w:val="00C67969"/>
    <w:rsid w:val="00C70926"/>
    <w:rsid w:val="00C718AA"/>
    <w:rsid w:val="00C72F7E"/>
    <w:rsid w:val="00C7304A"/>
    <w:rsid w:val="00C74D21"/>
    <w:rsid w:val="00C75399"/>
    <w:rsid w:val="00C75B09"/>
    <w:rsid w:val="00C76B48"/>
    <w:rsid w:val="00C770B2"/>
    <w:rsid w:val="00C84A37"/>
    <w:rsid w:val="00C900F0"/>
    <w:rsid w:val="00C93079"/>
    <w:rsid w:val="00C9348F"/>
    <w:rsid w:val="00C93A7C"/>
    <w:rsid w:val="00C9717C"/>
    <w:rsid w:val="00CA15C6"/>
    <w:rsid w:val="00CA4E59"/>
    <w:rsid w:val="00CA50FD"/>
    <w:rsid w:val="00CA55B0"/>
    <w:rsid w:val="00CA7DAC"/>
    <w:rsid w:val="00CB798F"/>
    <w:rsid w:val="00CC46B0"/>
    <w:rsid w:val="00CC5229"/>
    <w:rsid w:val="00CC6882"/>
    <w:rsid w:val="00CC6FD8"/>
    <w:rsid w:val="00CD1503"/>
    <w:rsid w:val="00CD1A3F"/>
    <w:rsid w:val="00CD2A1E"/>
    <w:rsid w:val="00CD3136"/>
    <w:rsid w:val="00CD3B8C"/>
    <w:rsid w:val="00CD43BA"/>
    <w:rsid w:val="00CD455E"/>
    <w:rsid w:val="00CD45A5"/>
    <w:rsid w:val="00CD658E"/>
    <w:rsid w:val="00CD7C5D"/>
    <w:rsid w:val="00CE088A"/>
    <w:rsid w:val="00CE46EE"/>
    <w:rsid w:val="00CE6D53"/>
    <w:rsid w:val="00CF1833"/>
    <w:rsid w:val="00CF2386"/>
    <w:rsid w:val="00CF34BB"/>
    <w:rsid w:val="00CF4C84"/>
    <w:rsid w:val="00CF5DEF"/>
    <w:rsid w:val="00CF5E68"/>
    <w:rsid w:val="00CF6E5D"/>
    <w:rsid w:val="00D00799"/>
    <w:rsid w:val="00D007C9"/>
    <w:rsid w:val="00D00CFA"/>
    <w:rsid w:val="00D06ADE"/>
    <w:rsid w:val="00D137C8"/>
    <w:rsid w:val="00D14F6D"/>
    <w:rsid w:val="00D15629"/>
    <w:rsid w:val="00D15959"/>
    <w:rsid w:val="00D15E5C"/>
    <w:rsid w:val="00D15EDE"/>
    <w:rsid w:val="00D178A6"/>
    <w:rsid w:val="00D17DE5"/>
    <w:rsid w:val="00D21733"/>
    <w:rsid w:val="00D21E2E"/>
    <w:rsid w:val="00D23DBD"/>
    <w:rsid w:val="00D2469F"/>
    <w:rsid w:val="00D30163"/>
    <w:rsid w:val="00D3127E"/>
    <w:rsid w:val="00D3157F"/>
    <w:rsid w:val="00D32176"/>
    <w:rsid w:val="00D34A2E"/>
    <w:rsid w:val="00D37AA3"/>
    <w:rsid w:val="00D37B10"/>
    <w:rsid w:val="00D438E7"/>
    <w:rsid w:val="00D46383"/>
    <w:rsid w:val="00D4707B"/>
    <w:rsid w:val="00D4738B"/>
    <w:rsid w:val="00D473B0"/>
    <w:rsid w:val="00D5099D"/>
    <w:rsid w:val="00D532E6"/>
    <w:rsid w:val="00D54189"/>
    <w:rsid w:val="00D569B0"/>
    <w:rsid w:val="00D60298"/>
    <w:rsid w:val="00D606AA"/>
    <w:rsid w:val="00D610DC"/>
    <w:rsid w:val="00D61301"/>
    <w:rsid w:val="00D622D5"/>
    <w:rsid w:val="00D63BBE"/>
    <w:rsid w:val="00D64A67"/>
    <w:rsid w:val="00D65C58"/>
    <w:rsid w:val="00D66513"/>
    <w:rsid w:val="00D672E9"/>
    <w:rsid w:val="00D677E7"/>
    <w:rsid w:val="00D7093C"/>
    <w:rsid w:val="00D74255"/>
    <w:rsid w:val="00D74A46"/>
    <w:rsid w:val="00D74B10"/>
    <w:rsid w:val="00D75036"/>
    <w:rsid w:val="00D751F4"/>
    <w:rsid w:val="00D7596F"/>
    <w:rsid w:val="00D76C77"/>
    <w:rsid w:val="00D779E7"/>
    <w:rsid w:val="00D811E7"/>
    <w:rsid w:val="00D81971"/>
    <w:rsid w:val="00D86D86"/>
    <w:rsid w:val="00D94A1E"/>
    <w:rsid w:val="00D971DC"/>
    <w:rsid w:val="00D97E6B"/>
    <w:rsid w:val="00DA066E"/>
    <w:rsid w:val="00DA3318"/>
    <w:rsid w:val="00DA4936"/>
    <w:rsid w:val="00DA682B"/>
    <w:rsid w:val="00DA724B"/>
    <w:rsid w:val="00DB0C38"/>
    <w:rsid w:val="00DB1B64"/>
    <w:rsid w:val="00DB2641"/>
    <w:rsid w:val="00DB28F1"/>
    <w:rsid w:val="00DC16F8"/>
    <w:rsid w:val="00DC3073"/>
    <w:rsid w:val="00DC37B7"/>
    <w:rsid w:val="00DC3A31"/>
    <w:rsid w:val="00DD123B"/>
    <w:rsid w:val="00DD2C68"/>
    <w:rsid w:val="00DD40D1"/>
    <w:rsid w:val="00DD56DD"/>
    <w:rsid w:val="00DD674E"/>
    <w:rsid w:val="00DD6878"/>
    <w:rsid w:val="00DE317F"/>
    <w:rsid w:val="00DE3619"/>
    <w:rsid w:val="00DE69AD"/>
    <w:rsid w:val="00DF13A9"/>
    <w:rsid w:val="00DF2271"/>
    <w:rsid w:val="00DF2F82"/>
    <w:rsid w:val="00DF3510"/>
    <w:rsid w:val="00DF4315"/>
    <w:rsid w:val="00DF500B"/>
    <w:rsid w:val="00DF659A"/>
    <w:rsid w:val="00DF7FD9"/>
    <w:rsid w:val="00E02D1D"/>
    <w:rsid w:val="00E04697"/>
    <w:rsid w:val="00E05E01"/>
    <w:rsid w:val="00E07021"/>
    <w:rsid w:val="00E12FDF"/>
    <w:rsid w:val="00E160FC"/>
    <w:rsid w:val="00E16547"/>
    <w:rsid w:val="00E168FD"/>
    <w:rsid w:val="00E17A45"/>
    <w:rsid w:val="00E20945"/>
    <w:rsid w:val="00E247F3"/>
    <w:rsid w:val="00E2539C"/>
    <w:rsid w:val="00E267D7"/>
    <w:rsid w:val="00E27EF7"/>
    <w:rsid w:val="00E318C0"/>
    <w:rsid w:val="00E322DD"/>
    <w:rsid w:val="00E34623"/>
    <w:rsid w:val="00E37B2C"/>
    <w:rsid w:val="00E4149A"/>
    <w:rsid w:val="00E431B1"/>
    <w:rsid w:val="00E47119"/>
    <w:rsid w:val="00E5021B"/>
    <w:rsid w:val="00E5092D"/>
    <w:rsid w:val="00E51014"/>
    <w:rsid w:val="00E539DA"/>
    <w:rsid w:val="00E5493F"/>
    <w:rsid w:val="00E56191"/>
    <w:rsid w:val="00E56CE2"/>
    <w:rsid w:val="00E57375"/>
    <w:rsid w:val="00E579BF"/>
    <w:rsid w:val="00E61FCD"/>
    <w:rsid w:val="00E62160"/>
    <w:rsid w:val="00E63906"/>
    <w:rsid w:val="00E648B6"/>
    <w:rsid w:val="00E6501B"/>
    <w:rsid w:val="00E66189"/>
    <w:rsid w:val="00E712F2"/>
    <w:rsid w:val="00E74366"/>
    <w:rsid w:val="00E76091"/>
    <w:rsid w:val="00E8147C"/>
    <w:rsid w:val="00E837B3"/>
    <w:rsid w:val="00E84FAD"/>
    <w:rsid w:val="00E84FE9"/>
    <w:rsid w:val="00E85809"/>
    <w:rsid w:val="00E93D38"/>
    <w:rsid w:val="00E94A7C"/>
    <w:rsid w:val="00E9747B"/>
    <w:rsid w:val="00EA27A9"/>
    <w:rsid w:val="00EA733F"/>
    <w:rsid w:val="00EA7B13"/>
    <w:rsid w:val="00EB1AE5"/>
    <w:rsid w:val="00EB1C79"/>
    <w:rsid w:val="00EB2F4F"/>
    <w:rsid w:val="00EB4E8B"/>
    <w:rsid w:val="00EC0874"/>
    <w:rsid w:val="00EC23D4"/>
    <w:rsid w:val="00EC2B13"/>
    <w:rsid w:val="00EC55CA"/>
    <w:rsid w:val="00EC578C"/>
    <w:rsid w:val="00EC7D99"/>
    <w:rsid w:val="00ED01FF"/>
    <w:rsid w:val="00ED18E6"/>
    <w:rsid w:val="00ED2F10"/>
    <w:rsid w:val="00ED4459"/>
    <w:rsid w:val="00ED57B6"/>
    <w:rsid w:val="00ED5E47"/>
    <w:rsid w:val="00ED6BC0"/>
    <w:rsid w:val="00ED771D"/>
    <w:rsid w:val="00EE0E09"/>
    <w:rsid w:val="00EE18EB"/>
    <w:rsid w:val="00EE22EF"/>
    <w:rsid w:val="00EE294C"/>
    <w:rsid w:val="00EE5440"/>
    <w:rsid w:val="00EE6768"/>
    <w:rsid w:val="00EE7AB9"/>
    <w:rsid w:val="00EF21A7"/>
    <w:rsid w:val="00EF3B70"/>
    <w:rsid w:val="00EF46AD"/>
    <w:rsid w:val="00EF5D5F"/>
    <w:rsid w:val="00EF7289"/>
    <w:rsid w:val="00EF7DA1"/>
    <w:rsid w:val="00F009D9"/>
    <w:rsid w:val="00F01153"/>
    <w:rsid w:val="00F07292"/>
    <w:rsid w:val="00F0738F"/>
    <w:rsid w:val="00F10325"/>
    <w:rsid w:val="00F1320A"/>
    <w:rsid w:val="00F1397F"/>
    <w:rsid w:val="00F15C20"/>
    <w:rsid w:val="00F215CA"/>
    <w:rsid w:val="00F25A6E"/>
    <w:rsid w:val="00F26056"/>
    <w:rsid w:val="00F26CAD"/>
    <w:rsid w:val="00F312E1"/>
    <w:rsid w:val="00F31574"/>
    <w:rsid w:val="00F31CD4"/>
    <w:rsid w:val="00F3428E"/>
    <w:rsid w:val="00F40276"/>
    <w:rsid w:val="00F40E13"/>
    <w:rsid w:val="00F457AD"/>
    <w:rsid w:val="00F45C4E"/>
    <w:rsid w:val="00F5065F"/>
    <w:rsid w:val="00F51C96"/>
    <w:rsid w:val="00F547A7"/>
    <w:rsid w:val="00F607ED"/>
    <w:rsid w:val="00F60A90"/>
    <w:rsid w:val="00F6156B"/>
    <w:rsid w:val="00F625FB"/>
    <w:rsid w:val="00F62B0E"/>
    <w:rsid w:val="00F63271"/>
    <w:rsid w:val="00F64B05"/>
    <w:rsid w:val="00F65A88"/>
    <w:rsid w:val="00F6648A"/>
    <w:rsid w:val="00F664F7"/>
    <w:rsid w:val="00F72F70"/>
    <w:rsid w:val="00F738C5"/>
    <w:rsid w:val="00F748F0"/>
    <w:rsid w:val="00F77FE3"/>
    <w:rsid w:val="00F80EBA"/>
    <w:rsid w:val="00F82222"/>
    <w:rsid w:val="00F829E9"/>
    <w:rsid w:val="00F85206"/>
    <w:rsid w:val="00F85894"/>
    <w:rsid w:val="00F868D8"/>
    <w:rsid w:val="00F91739"/>
    <w:rsid w:val="00F940D2"/>
    <w:rsid w:val="00F9481B"/>
    <w:rsid w:val="00F95616"/>
    <w:rsid w:val="00F957D1"/>
    <w:rsid w:val="00F95B2A"/>
    <w:rsid w:val="00F96170"/>
    <w:rsid w:val="00F97C04"/>
    <w:rsid w:val="00FA4D7B"/>
    <w:rsid w:val="00FA4EA3"/>
    <w:rsid w:val="00FA5972"/>
    <w:rsid w:val="00FA615E"/>
    <w:rsid w:val="00FA6426"/>
    <w:rsid w:val="00FB2A88"/>
    <w:rsid w:val="00FC094A"/>
    <w:rsid w:val="00FC09C8"/>
    <w:rsid w:val="00FC2AE4"/>
    <w:rsid w:val="00FC3061"/>
    <w:rsid w:val="00FC3B00"/>
    <w:rsid w:val="00FC59A0"/>
    <w:rsid w:val="00FD5006"/>
    <w:rsid w:val="00FE09F5"/>
    <w:rsid w:val="00FE1277"/>
    <w:rsid w:val="00FE1283"/>
    <w:rsid w:val="00FE1B41"/>
    <w:rsid w:val="00FE2E27"/>
    <w:rsid w:val="00FE4EE2"/>
    <w:rsid w:val="00FE76E0"/>
    <w:rsid w:val="00FF08B1"/>
    <w:rsid w:val="00FF16B0"/>
    <w:rsid w:val="00FF1B90"/>
    <w:rsid w:val="00FF28A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90333"/>
  <w15:chartTrackingRefBased/>
  <w15:docId w15:val="{66191D12-447E-4D51-AA5C-44047963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qFormat="1"/>
    <w:lsdException w:name="Subtitle" w:qFormat="1"/>
    <w:lsdException w:name="Body Text Indent 2" w:qFormat="1"/>
    <w:lsdException w:name="Body Text Indent 3"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AE4"/>
    <w:pPr>
      <w:suppressAutoHyphens/>
      <w:spacing w:line="480" w:lineRule="auto"/>
      <w:jc w:val="both"/>
    </w:pPr>
    <w:rPr>
      <w:rFonts w:ascii="Arial" w:hAnsi="Arial"/>
      <w:sz w:val="24"/>
      <w:lang w:eastAsia="en-US"/>
    </w:rPr>
  </w:style>
  <w:style w:type="paragraph" w:styleId="Heading1">
    <w:name w:val="heading 1"/>
    <w:basedOn w:val="BodyTextIndent5"/>
    <w:qFormat/>
    <w:rsid w:val="004C2AE4"/>
    <w:pPr>
      <w:ind w:left="0"/>
      <w:outlineLvl w:val="0"/>
    </w:pPr>
    <w:rPr>
      <w:b/>
    </w:rPr>
  </w:style>
  <w:style w:type="paragraph" w:styleId="Heading2">
    <w:name w:val="heading 2"/>
    <w:basedOn w:val="WLGLevel1"/>
    <w:qFormat/>
    <w:rsid w:val="00676006"/>
    <w:pPr>
      <w:keepNext/>
      <w:numPr>
        <w:numId w:val="0"/>
      </w:numPr>
      <w:ind w:left="562" w:hanging="562"/>
      <w:outlineLvl w:val="1"/>
    </w:pPr>
    <w:rPr>
      <w:b/>
      <w:i/>
    </w:rPr>
  </w:style>
  <w:style w:type="paragraph" w:styleId="Heading3">
    <w:name w:val="heading 3"/>
    <w:basedOn w:val="Normal"/>
    <w:qFormat/>
    <w:pPr>
      <w:numPr>
        <w:ilvl w:val="2"/>
        <w:numId w:val="1"/>
      </w:numPr>
      <w:spacing w:before="240" w:after="60"/>
      <w:outlineLvl w:val="2"/>
    </w:pPr>
  </w:style>
  <w:style w:type="paragraph" w:styleId="Heading4">
    <w:name w:val="heading 4"/>
    <w:basedOn w:val="Normal"/>
    <w:qFormat/>
    <w:pPr>
      <w:numPr>
        <w:ilvl w:val="3"/>
        <w:numId w:val="1"/>
      </w:numPr>
      <w:spacing w:before="240" w:after="60"/>
      <w:outlineLvl w:val="3"/>
    </w:pPr>
  </w:style>
  <w:style w:type="paragraph" w:styleId="Heading5">
    <w:name w:val="heading 5"/>
    <w:basedOn w:val="Normal"/>
    <w:qFormat/>
    <w:pPr>
      <w:numPr>
        <w:ilvl w:val="4"/>
        <w:numId w:val="1"/>
      </w:numPr>
      <w:spacing w:before="240" w:after="60"/>
      <w:outlineLvl w:val="4"/>
    </w:pPr>
  </w:style>
  <w:style w:type="paragraph" w:styleId="Heading6">
    <w:name w:val="heading 6"/>
    <w:basedOn w:val="Normal"/>
    <w:qFormat/>
    <w:pPr>
      <w:numPr>
        <w:ilvl w:val="5"/>
        <w:numId w:val="1"/>
      </w:numPr>
      <w:spacing w:before="240" w:after="60"/>
      <w:outlineLvl w:val="5"/>
    </w:pPr>
  </w:style>
  <w:style w:type="paragraph" w:styleId="Heading7">
    <w:name w:val="heading 7"/>
    <w:basedOn w:val="Normal"/>
    <w:qFormat/>
    <w:pPr>
      <w:numPr>
        <w:ilvl w:val="6"/>
        <w:numId w:val="1"/>
      </w:numPr>
      <w:spacing w:before="240" w:after="60"/>
      <w:outlineLvl w:val="6"/>
    </w:pPr>
  </w:style>
  <w:style w:type="paragraph" w:styleId="Heading8">
    <w:name w:val="heading 8"/>
    <w:basedOn w:val="Normal"/>
    <w:qFormat/>
    <w:pPr>
      <w:numPr>
        <w:ilvl w:val="7"/>
        <w:numId w:val="1"/>
      </w:numPr>
      <w:spacing w:before="240" w:after="60"/>
      <w:outlineLvl w:val="7"/>
    </w:pPr>
  </w:style>
  <w:style w:type="paragraph" w:styleId="Heading9">
    <w:name w:val="heading 9"/>
    <w:basedOn w:val="Normal"/>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qFormat/>
    <w:pPr>
      <w:spacing w:after="320"/>
      <w:ind w:left="567"/>
    </w:pPr>
  </w:style>
  <w:style w:type="paragraph" w:styleId="BodyTextIndent2">
    <w:name w:val="Body Text Indent 2"/>
    <w:basedOn w:val="Normal"/>
    <w:qFormat/>
    <w:pPr>
      <w:spacing w:after="320"/>
      <w:ind w:left="1361"/>
    </w:pPr>
  </w:style>
  <w:style w:type="paragraph" w:styleId="BodyTextIndent3">
    <w:name w:val="Body Text Indent 3"/>
    <w:basedOn w:val="Normal"/>
    <w:qFormat/>
    <w:pPr>
      <w:spacing w:after="320"/>
      <w:ind w:left="2381"/>
    </w:pPr>
  </w:style>
  <w:style w:type="paragraph" w:customStyle="1" w:styleId="BodyTextIndent4">
    <w:name w:val="Body Text Indent 4"/>
    <w:basedOn w:val="Normal"/>
    <w:qFormat/>
    <w:pPr>
      <w:spacing w:after="320"/>
      <w:ind w:left="3572"/>
    </w:pPr>
  </w:style>
  <w:style w:type="paragraph" w:customStyle="1" w:styleId="BodyTextIndent5">
    <w:name w:val="Body Text Indent 5"/>
    <w:basedOn w:val="Normal"/>
    <w:qFormat/>
    <w:pPr>
      <w:spacing w:after="320"/>
      <w:ind w:left="4933"/>
    </w:pPr>
  </w:style>
  <w:style w:type="paragraph" w:styleId="Footer">
    <w:name w:val="footer"/>
    <w:basedOn w:val="Normal"/>
    <w:pPr>
      <w:tabs>
        <w:tab w:val="center" w:pos="4383"/>
        <w:tab w:val="right" w:pos="8766"/>
      </w:tabs>
      <w:spacing w:line="240" w:lineRule="auto"/>
    </w:pPr>
    <w:rPr>
      <w:sz w:val="16"/>
    </w:rPr>
  </w:style>
  <w:style w:type="paragraph" w:styleId="Header">
    <w:name w:val="header"/>
    <w:basedOn w:val="Normal"/>
    <w:pPr>
      <w:spacing w:line="240" w:lineRule="auto"/>
      <w:jc w:val="right"/>
    </w:pPr>
  </w:style>
  <w:style w:type="paragraph" w:customStyle="1" w:styleId="WLGLevel1">
    <w:name w:val="WLGLevel1"/>
    <w:basedOn w:val="Normal"/>
    <w:qFormat/>
    <w:pPr>
      <w:numPr>
        <w:numId w:val="2"/>
      </w:numPr>
      <w:spacing w:before="320" w:after="320"/>
      <w:ind w:left="562" w:hanging="562"/>
      <w:outlineLvl w:val="0"/>
    </w:pPr>
  </w:style>
  <w:style w:type="paragraph" w:customStyle="1" w:styleId="WLGLevel2">
    <w:name w:val="WLGLevel2"/>
    <w:basedOn w:val="Normal"/>
    <w:qFormat/>
    <w:pPr>
      <w:numPr>
        <w:ilvl w:val="1"/>
        <w:numId w:val="2"/>
      </w:numPr>
      <w:spacing w:after="320"/>
      <w:outlineLvl w:val="1"/>
    </w:pPr>
  </w:style>
  <w:style w:type="paragraph" w:customStyle="1" w:styleId="WLGLevel3">
    <w:name w:val="WLGLevel3"/>
    <w:basedOn w:val="Normal"/>
    <w:qFormat/>
    <w:pPr>
      <w:numPr>
        <w:ilvl w:val="2"/>
        <w:numId w:val="2"/>
      </w:numPr>
      <w:spacing w:after="320"/>
      <w:ind w:left="2382" w:hanging="1021"/>
      <w:outlineLvl w:val="2"/>
    </w:pPr>
  </w:style>
  <w:style w:type="paragraph" w:customStyle="1" w:styleId="WLGLevel4">
    <w:name w:val="WLGLevel4"/>
    <w:basedOn w:val="Normal"/>
    <w:qFormat/>
    <w:pPr>
      <w:numPr>
        <w:ilvl w:val="3"/>
        <w:numId w:val="2"/>
      </w:numPr>
      <w:spacing w:after="320"/>
      <w:outlineLvl w:val="3"/>
    </w:pPr>
  </w:style>
  <w:style w:type="paragraph" w:customStyle="1" w:styleId="WLGLevel5">
    <w:name w:val="WLGLevel5"/>
    <w:basedOn w:val="Normal"/>
    <w:qFormat/>
    <w:pPr>
      <w:numPr>
        <w:ilvl w:val="4"/>
        <w:numId w:val="2"/>
      </w:numPr>
      <w:spacing w:after="320"/>
      <w:outlineLvl w:val="4"/>
    </w:pPr>
  </w:style>
  <w:style w:type="character" w:styleId="PageNumber">
    <w:name w:val="page number"/>
    <w:rPr>
      <w:rFonts w:ascii="Arial" w:hAnsi="Arial"/>
      <w:sz w:val="24"/>
    </w:rPr>
  </w:style>
  <w:style w:type="paragraph" w:customStyle="1" w:styleId="Tabs-Cntr">
    <w:name w:val="Tabs-Cntr"/>
    <w:aliases w:val="FRght"/>
    <w:basedOn w:val="Normal"/>
    <w:next w:val="Normal"/>
    <w:pPr>
      <w:tabs>
        <w:tab w:val="center" w:pos="4536"/>
        <w:tab w:val="right" w:pos="9072"/>
      </w:tabs>
    </w:pPr>
  </w:style>
  <w:style w:type="paragraph" w:styleId="TOC1">
    <w:name w:val="toc 1"/>
    <w:basedOn w:val="Normal"/>
    <w:autoRedefine/>
    <w:semiHidden/>
    <w:pPr>
      <w:tabs>
        <w:tab w:val="left" w:pos="567"/>
        <w:tab w:val="right" w:leader="dot" w:pos="8756"/>
      </w:tabs>
      <w:spacing w:before="120" w:after="120" w:line="240" w:lineRule="auto"/>
      <w:jc w:val="left"/>
    </w:pPr>
    <w:rPr>
      <w:noProof/>
    </w:rPr>
  </w:style>
  <w:style w:type="paragraph" w:styleId="TOC2">
    <w:name w:val="toc 2"/>
    <w:basedOn w:val="Normal"/>
    <w:autoRedefine/>
    <w:semiHidden/>
    <w:pPr>
      <w:spacing w:before="120" w:after="120" w:line="240" w:lineRule="auto"/>
      <w:ind w:left="510" w:right="1134" w:hanging="510"/>
      <w:jc w:val="left"/>
    </w:pPr>
  </w:style>
  <w:style w:type="paragraph" w:styleId="TOC3">
    <w:name w:val="toc 3"/>
    <w:basedOn w:val="Normal"/>
    <w:autoRedefine/>
    <w:semiHidden/>
    <w:pPr>
      <w:spacing w:before="120" w:after="120" w:line="240" w:lineRule="auto"/>
      <w:ind w:left="510" w:right="1134" w:hanging="510"/>
      <w:jc w:val="left"/>
    </w:pPr>
  </w:style>
  <w:style w:type="paragraph" w:styleId="TOC4">
    <w:name w:val="toc 4"/>
    <w:basedOn w:val="Normal"/>
    <w:autoRedefine/>
    <w:semiHidden/>
    <w:pPr>
      <w:spacing w:before="120" w:after="120" w:line="240" w:lineRule="auto"/>
      <w:ind w:left="510" w:right="1134" w:hanging="510"/>
      <w:jc w:val="left"/>
    </w:pPr>
  </w:style>
  <w:style w:type="paragraph" w:styleId="TOC5">
    <w:name w:val="toc 5"/>
    <w:basedOn w:val="Normal"/>
    <w:autoRedefine/>
    <w:semiHidden/>
    <w:pPr>
      <w:spacing w:before="120" w:after="120" w:line="240" w:lineRule="auto"/>
      <w:ind w:left="510" w:right="1134" w:hanging="510"/>
      <w:jc w:val="left"/>
    </w:pPr>
  </w:style>
  <w:style w:type="paragraph" w:styleId="TOC6">
    <w:name w:val="toc 6"/>
    <w:basedOn w:val="Normal"/>
    <w:autoRedefine/>
    <w:semiHidden/>
    <w:pPr>
      <w:spacing w:before="120" w:after="120" w:line="240" w:lineRule="auto"/>
      <w:ind w:left="510" w:right="1134" w:hanging="510"/>
      <w:jc w:val="left"/>
    </w:pPr>
  </w:style>
  <w:style w:type="paragraph" w:styleId="TOC7">
    <w:name w:val="toc 7"/>
    <w:basedOn w:val="Normal"/>
    <w:autoRedefine/>
    <w:semiHidden/>
    <w:pPr>
      <w:spacing w:before="120" w:after="120" w:line="240" w:lineRule="auto"/>
      <w:ind w:left="510" w:right="1134" w:hanging="510"/>
      <w:jc w:val="left"/>
    </w:pPr>
  </w:style>
  <w:style w:type="paragraph" w:styleId="TOC8">
    <w:name w:val="toc 8"/>
    <w:basedOn w:val="Normal"/>
    <w:autoRedefine/>
    <w:semiHidden/>
    <w:pPr>
      <w:spacing w:before="120" w:after="120" w:line="240" w:lineRule="auto"/>
      <w:ind w:left="510" w:right="1134" w:hanging="510"/>
      <w:jc w:val="left"/>
    </w:pPr>
  </w:style>
  <w:style w:type="paragraph" w:styleId="TOC9">
    <w:name w:val="toc 9"/>
    <w:basedOn w:val="Normal"/>
    <w:autoRedefine/>
    <w:semiHidden/>
    <w:pPr>
      <w:spacing w:before="120" w:after="120" w:line="240" w:lineRule="auto"/>
      <w:ind w:left="510" w:right="1134" w:hanging="510"/>
      <w:jc w:val="left"/>
    </w:pPr>
  </w:style>
  <w:style w:type="paragraph" w:customStyle="1" w:styleId="TramLines">
    <w:name w:val="TramLines"/>
    <w:basedOn w:val="Normal"/>
    <w:pPr>
      <w:pBdr>
        <w:top w:val="single" w:sz="8" w:space="12" w:color="auto"/>
        <w:bottom w:val="single" w:sz="8" w:space="12" w:color="auto"/>
      </w:pBdr>
      <w:spacing w:after="320" w:line="240" w:lineRule="auto"/>
    </w:pPr>
    <w:rPr>
      <w:b/>
    </w:rPr>
  </w:style>
  <w:style w:type="character" w:styleId="Hyperlink">
    <w:name w:val="Hyperlink"/>
    <w:rPr>
      <w:color w:val="0000FF"/>
      <w:u w:val="single"/>
    </w:rPr>
  </w:style>
  <w:style w:type="paragraph" w:customStyle="1" w:styleId="Parties">
    <w:name w:val="Parties"/>
    <w:basedOn w:val="Normal"/>
    <w:qFormat/>
    <w:pPr>
      <w:tabs>
        <w:tab w:val="right" w:pos="9072"/>
      </w:tabs>
      <w:spacing w:line="240" w:lineRule="auto"/>
    </w:pPr>
  </w:style>
  <w:style w:type="paragraph" w:customStyle="1" w:styleId="Tramlinescentred">
    <w:name w:val="Tramlines centred"/>
    <w:basedOn w:val="TramLines"/>
    <w:qFormat/>
    <w:rsid w:val="004C2AE4"/>
    <w:pPr>
      <w:jc w:val="center"/>
    </w:pPr>
    <w:rPr>
      <w:bCs/>
    </w:rPr>
  </w:style>
  <w:style w:type="paragraph" w:styleId="FootnoteText">
    <w:name w:val="footnote text"/>
    <w:basedOn w:val="Normal"/>
    <w:link w:val="FootnoteTextChar"/>
    <w:rsid w:val="002E6F28"/>
    <w:rPr>
      <w:sz w:val="20"/>
    </w:rPr>
  </w:style>
  <w:style w:type="character" w:customStyle="1" w:styleId="FootnoteTextChar">
    <w:name w:val="Footnote Text Char"/>
    <w:link w:val="FootnoteText"/>
    <w:rsid w:val="002E6F28"/>
    <w:rPr>
      <w:rFonts w:ascii="Arial" w:hAnsi="Arial"/>
      <w:lang w:eastAsia="en-US"/>
    </w:rPr>
  </w:style>
  <w:style w:type="character" w:styleId="FootnoteReference">
    <w:name w:val="footnote reference"/>
    <w:rsid w:val="002E6F28"/>
    <w:rPr>
      <w:vertAlign w:val="superscript"/>
    </w:rPr>
  </w:style>
  <w:style w:type="paragraph" w:styleId="ListParagraph">
    <w:name w:val="List Paragraph"/>
    <w:basedOn w:val="Normal"/>
    <w:uiPriority w:val="34"/>
    <w:qFormat/>
    <w:rsid w:val="007C760F"/>
    <w:pPr>
      <w:suppressAutoHyphens w:val="0"/>
      <w:spacing w:after="160" w:line="259" w:lineRule="auto"/>
      <w:ind w:left="720"/>
      <w:contextualSpacing/>
      <w:jc w:val="left"/>
    </w:pPr>
    <w:rPr>
      <w:rFonts w:ascii="Calibri" w:eastAsia="Calibri" w:hAnsi="Calibri"/>
      <w:sz w:val="22"/>
      <w:szCs w:val="22"/>
    </w:rPr>
  </w:style>
  <w:style w:type="character" w:customStyle="1" w:styleId="BodyTextIndentChar">
    <w:name w:val="Body Text Indent Char"/>
    <w:link w:val="BodyTextIndent"/>
    <w:rsid w:val="0011269B"/>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d\OneDrive\Documents\Current%20Matters\atemplate%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FCA50-D179-4BFA-9B61-7BE0F83CA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atemplate 2013</Template>
  <TotalTime>4</TotalTime>
  <Pages>31</Pages>
  <Words>7448</Words>
  <Characters>42457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Friedman</dc:creator>
  <cp:keywords/>
  <cp:lastModifiedBy>Mokone</cp:lastModifiedBy>
  <cp:revision>4</cp:revision>
  <cp:lastPrinted>2002-09-16T09:28:00Z</cp:lastPrinted>
  <dcterms:created xsi:type="dcterms:W3CDTF">2023-10-04T13:02:00Z</dcterms:created>
  <dcterms:modified xsi:type="dcterms:W3CDTF">2023-10-04T13:06:00Z</dcterms:modified>
</cp:coreProperties>
</file>