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568409F3" w:rsidR="006C43D7" w:rsidRPr="006C43D7" w:rsidRDefault="006C43D7" w:rsidP="006C43D7">
      <w:pPr>
        <w:spacing w:after="120" w:line="360" w:lineRule="auto"/>
        <w:jc w:val="center"/>
        <w:rPr>
          <w:rFonts w:cs="Arial"/>
          <w:b/>
          <w:bCs/>
        </w:rPr>
      </w:pPr>
      <w:r w:rsidRPr="006C43D7">
        <w:rPr>
          <w:rFonts w:cs="Arial"/>
          <w:b/>
          <w:bCs/>
          <w:noProof/>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6C43D7" w:rsidRDefault="006C43D7" w:rsidP="006C43D7">
      <w:pPr>
        <w:jc w:val="center"/>
        <w:rPr>
          <w:b/>
        </w:rPr>
      </w:pPr>
      <w:r w:rsidRPr="006C43D7">
        <w:rPr>
          <w:b/>
        </w:rPr>
        <w:t xml:space="preserve">IN THE HIGH COURT OF SOUTH AFRICA, </w:t>
      </w:r>
    </w:p>
    <w:p w14:paraId="566C4D1B" w14:textId="77777777" w:rsidR="006C43D7" w:rsidRPr="006C43D7" w:rsidRDefault="006C43D7" w:rsidP="006C43D7">
      <w:pPr>
        <w:jc w:val="center"/>
        <w:rPr>
          <w:b/>
        </w:rPr>
      </w:pPr>
      <w:r w:rsidRPr="006C43D7">
        <w:rPr>
          <w:b/>
        </w:rPr>
        <w:t>GAUTENG DIVISION, JOHANNESBURG</w:t>
      </w:r>
    </w:p>
    <w:p w14:paraId="13D6E83E" w14:textId="77777777" w:rsidR="006C43D7" w:rsidRPr="006C43D7" w:rsidRDefault="006C43D7" w:rsidP="006C43D7">
      <w:pPr>
        <w:jc w:val="both"/>
        <w:rPr>
          <w:b/>
        </w:rPr>
      </w:pPr>
    </w:p>
    <w:p w14:paraId="3698476C" w14:textId="2ED6B1BA" w:rsidR="006C43D7" w:rsidRPr="006C43D7" w:rsidRDefault="006C43D7" w:rsidP="006C43D7">
      <w:pPr>
        <w:spacing w:line="360" w:lineRule="auto"/>
        <w:jc w:val="right"/>
        <w:rPr>
          <w:b/>
        </w:rPr>
      </w:pPr>
      <w:r w:rsidRPr="006C43D7">
        <w:rPr>
          <w:b/>
        </w:rPr>
        <w:t xml:space="preserve">CASE NO: </w:t>
      </w:r>
      <w:r w:rsidR="00A27A51">
        <w:rPr>
          <w:b/>
        </w:rPr>
        <w:t>20</w:t>
      </w:r>
      <w:r w:rsidR="00C93FBD">
        <w:rPr>
          <w:b/>
        </w:rPr>
        <w:t>22</w:t>
      </w:r>
      <w:r w:rsidR="00A27A51">
        <w:rPr>
          <w:b/>
        </w:rPr>
        <w:t>/</w:t>
      </w:r>
      <w:r w:rsidR="00175051">
        <w:rPr>
          <w:b/>
        </w:rPr>
        <w:t>1245</w:t>
      </w:r>
    </w:p>
    <w:p w14:paraId="0AF8DD38" w14:textId="77777777" w:rsidR="006C43D7" w:rsidRPr="006C43D7" w:rsidRDefault="006C43D7" w:rsidP="006C43D7">
      <w:pPr>
        <w:spacing w:line="360" w:lineRule="auto"/>
        <w:jc w:val="right"/>
      </w:pPr>
      <w:r w:rsidRPr="006C43D7">
        <w:rPr>
          <w:noProof/>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D645C6" w:rsidRPr="00913F95" w:rsidRDefault="00D645C6" w:rsidP="006C43D7">
                            <w:pPr>
                              <w:jc w:val="center"/>
                              <w:rPr>
                                <w:rFonts w:ascii="Century Gothic" w:hAnsi="Century Gothic"/>
                                <w:b/>
                                <w:sz w:val="20"/>
                                <w:szCs w:val="20"/>
                              </w:rPr>
                            </w:pPr>
                          </w:p>
                          <w:p w14:paraId="01FDAE28" w14:textId="781EB856" w:rsidR="00D645C6" w:rsidRDefault="00C47A6D" w:rsidP="00C47A6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0DC5CB8E" w:rsidR="00D645C6" w:rsidRPr="001D3CC2" w:rsidRDefault="00C47A6D" w:rsidP="00C47A6D">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D645C6" w:rsidRPr="00913F95" w:rsidRDefault="00D645C6" w:rsidP="006C43D7">
                      <w:pPr>
                        <w:jc w:val="center"/>
                        <w:rPr>
                          <w:rFonts w:ascii="Century Gothic" w:hAnsi="Century Gothic"/>
                          <w:b/>
                          <w:sz w:val="20"/>
                          <w:szCs w:val="20"/>
                        </w:rPr>
                      </w:pPr>
                    </w:p>
                    <w:p w14:paraId="01FDAE28" w14:textId="781EB856" w:rsidR="00D645C6" w:rsidRDefault="00C47A6D" w:rsidP="00C47A6D">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5C6" w:rsidRPr="001D3CC2">
                        <w:rPr>
                          <w:rFonts w:ascii="Century Gothic" w:hAnsi="Century Gothic"/>
                          <w:sz w:val="20"/>
                          <w:szCs w:val="20"/>
                        </w:rPr>
                        <w:t xml:space="preserve">REPORTABLE: </w:t>
                      </w:r>
                      <w:r w:rsidR="00D645C6">
                        <w:rPr>
                          <w:rFonts w:ascii="Century Gothic" w:hAnsi="Century Gothic"/>
                          <w:sz w:val="20"/>
                          <w:szCs w:val="20"/>
                        </w:rPr>
                        <w:t>NO</w:t>
                      </w:r>
                    </w:p>
                    <w:p w14:paraId="3A4C7296" w14:textId="0DC5CB8E" w:rsidR="00D645C6" w:rsidRPr="001D3CC2" w:rsidRDefault="00C47A6D" w:rsidP="00C47A6D">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D645C6" w:rsidRPr="001D3CC2">
                        <w:rPr>
                          <w:rFonts w:ascii="Century Gothic" w:hAnsi="Century Gothic"/>
                          <w:sz w:val="20"/>
                          <w:szCs w:val="20"/>
                        </w:rPr>
                        <w:t>OF INTEREST TO OTHER JUDGES</w:t>
                      </w:r>
                      <w:r w:rsidR="00D645C6">
                        <w:rPr>
                          <w:rFonts w:ascii="Century Gothic" w:hAnsi="Century Gothic"/>
                          <w:sz w:val="20"/>
                          <w:szCs w:val="20"/>
                        </w:rPr>
                        <w:t xml:space="preserve">: </w:t>
                      </w:r>
                      <w:r w:rsidR="00175051">
                        <w:rPr>
                          <w:rFonts w:ascii="Century Gothic" w:hAnsi="Century Gothic"/>
                          <w:sz w:val="20"/>
                          <w:szCs w:val="20"/>
                        </w:rPr>
                        <w:t>NO</w:t>
                      </w:r>
                    </w:p>
                    <w:p w14:paraId="21D4A71B" w14:textId="5B58BFC8" w:rsidR="00D645C6" w:rsidRPr="00913F95" w:rsidRDefault="00D645C6" w:rsidP="001D3CC2">
                      <w:pPr>
                        <w:ind w:left="180"/>
                        <w:rPr>
                          <w:rFonts w:ascii="Century Gothic" w:hAnsi="Century Gothic"/>
                          <w:sz w:val="20"/>
                          <w:szCs w:val="20"/>
                        </w:rPr>
                      </w:pPr>
                    </w:p>
                    <w:p w14:paraId="761B7CA4" w14:textId="77777777" w:rsidR="00D645C6" w:rsidRDefault="00D645C6" w:rsidP="006C43D7">
                      <w:pPr>
                        <w:rPr>
                          <w:rFonts w:ascii="Century Gothic" w:hAnsi="Century Gothic"/>
                          <w:b/>
                          <w:sz w:val="18"/>
                          <w:szCs w:val="18"/>
                        </w:rPr>
                      </w:pPr>
                    </w:p>
                    <w:p w14:paraId="0EC4BA5C" w14:textId="61945B0D" w:rsidR="00D645C6" w:rsidRPr="001D3CC2" w:rsidRDefault="00D645C6"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D645C6" w:rsidRPr="00084341" w:rsidRDefault="00D645C6"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6C43D7" w:rsidRDefault="006C43D7" w:rsidP="006C43D7">
      <w:pPr>
        <w:spacing w:line="360" w:lineRule="auto"/>
        <w:jc w:val="both"/>
      </w:pPr>
    </w:p>
    <w:p w14:paraId="4E808D74" w14:textId="77777777" w:rsidR="006C43D7" w:rsidRPr="006C43D7" w:rsidRDefault="006C43D7" w:rsidP="006C43D7">
      <w:pPr>
        <w:spacing w:line="360" w:lineRule="auto"/>
        <w:jc w:val="both"/>
      </w:pPr>
    </w:p>
    <w:p w14:paraId="34BF70B6" w14:textId="77777777" w:rsidR="006C43D7" w:rsidRPr="006C43D7" w:rsidRDefault="006C43D7" w:rsidP="006C43D7">
      <w:pPr>
        <w:spacing w:line="360" w:lineRule="auto"/>
        <w:jc w:val="both"/>
      </w:pPr>
    </w:p>
    <w:p w14:paraId="2F53BA3A" w14:textId="77777777" w:rsidR="006C43D7" w:rsidRPr="006C43D7" w:rsidRDefault="006C43D7" w:rsidP="006C43D7">
      <w:pPr>
        <w:spacing w:line="480" w:lineRule="auto"/>
        <w:jc w:val="both"/>
      </w:pPr>
    </w:p>
    <w:p w14:paraId="3A1C212E" w14:textId="77777777" w:rsidR="006C43D7" w:rsidRPr="006C43D7" w:rsidRDefault="006C43D7" w:rsidP="006C43D7">
      <w:pPr>
        <w:spacing w:line="480" w:lineRule="auto"/>
        <w:jc w:val="both"/>
      </w:pPr>
    </w:p>
    <w:p w14:paraId="04919B1B" w14:textId="77777777" w:rsidR="001D3CC2" w:rsidRDefault="001D3CC2" w:rsidP="006C43D7">
      <w:pPr>
        <w:spacing w:line="480" w:lineRule="auto"/>
        <w:jc w:val="both"/>
        <w:rPr>
          <w:rFonts w:cs="Arial"/>
          <w:szCs w:val="22"/>
        </w:rPr>
      </w:pPr>
    </w:p>
    <w:p w14:paraId="65EE98C6" w14:textId="77777777" w:rsidR="00AA7A76" w:rsidRPr="006C43D7" w:rsidRDefault="00AA7A76" w:rsidP="00AA7A76">
      <w:pPr>
        <w:spacing w:line="480" w:lineRule="auto"/>
        <w:jc w:val="both"/>
        <w:rPr>
          <w:rFonts w:cs="Arial"/>
          <w:szCs w:val="22"/>
        </w:rPr>
      </w:pPr>
      <w:r w:rsidRPr="006C43D7">
        <w:rPr>
          <w:rFonts w:cs="Arial"/>
          <w:szCs w:val="22"/>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7A1D60" w14:paraId="4E86F7E7" w14:textId="77777777" w:rsidTr="00F4468A">
        <w:tc>
          <w:tcPr>
            <w:tcW w:w="6305" w:type="dxa"/>
          </w:tcPr>
          <w:p w14:paraId="74EE3EDE" w14:textId="574A4EB2" w:rsidR="002104BF" w:rsidRPr="0089562F" w:rsidRDefault="00175051" w:rsidP="00AA7A76">
            <w:pPr>
              <w:spacing w:line="480" w:lineRule="auto"/>
              <w:jc w:val="both"/>
              <w:rPr>
                <w:rFonts w:cs="Arial"/>
                <w:b/>
                <w:szCs w:val="22"/>
              </w:rPr>
            </w:pPr>
            <w:r>
              <w:rPr>
                <w:rFonts w:cs="Arial"/>
                <w:b/>
              </w:rPr>
              <w:t>AFRICA’S BEST FOODS (PTY) LTD</w:t>
            </w:r>
          </w:p>
        </w:tc>
        <w:tc>
          <w:tcPr>
            <w:tcW w:w="2246" w:type="dxa"/>
          </w:tcPr>
          <w:p w14:paraId="72EECEF8" w14:textId="415A9154" w:rsidR="002104BF" w:rsidRDefault="00C93FBD" w:rsidP="00E61081">
            <w:pPr>
              <w:spacing w:line="480" w:lineRule="auto"/>
              <w:rPr>
                <w:rFonts w:cs="Arial"/>
                <w:szCs w:val="22"/>
              </w:rPr>
            </w:pPr>
            <w:r>
              <w:rPr>
                <w:rFonts w:cs="Arial"/>
                <w:szCs w:val="22"/>
              </w:rPr>
              <w:t>Applicant</w:t>
            </w:r>
          </w:p>
        </w:tc>
      </w:tr>
      <w:tr w:rsidR="007A1D60" w14:paraId="64E42908" w14:textId="77777777" w:rsidTr="00F4468A">
        <w:tc>
          <w:tcPr>
            <w:tcW w:w="6305" w:type="dxa"/>
          </w:tcPr>
          <w:p w14:paraId="6E1E5BEB" w14:textId="50CB6C2A" w:rsidR="002104BF" w:rsidRPr="00A22A14" w:rsidRDefault="00A22A14" w:rsidP="00A22A14">
            <w:pPr>
              <w:spacing w:line="480" w:lineRule="auto"/>
              <w:jc w:val="both"/>
              <w:rPr>
                <w:szCs w:val="22"/>
              </w:rPr>
            </w:pPr>
            <w:r>
              <w:rPr>
                <w:szCs w:val="22"/>
              </w:rPr>
              <w:t>a</w:t>
            </w:r>
            <w:r w:rsidR="002104BF" w:rsidRPr="00A22A14">
              <w:rPr>
                <w:szCs w:val="22"/>
              </w:rPr>
              <w:t>nd</w:t>
            </w:r>
          </w:p>
        </w:tc>
        <w:tc>
          <w:tcPr>
            <w:tcW w:w="2246" w:type="dxa"/>
          </w:tcPr>
          <w:p w14:paraId="1DB932F2" w14:textId="77777777" w:rsidR="002104BF" w:rsidRDefault="002104BF" w:rsidP="007237D1">
            <w:pPr>
              <w:spacing w:line="480" w:lineRule="auto"/>
              <w:jc w:val="right"/>
              <w:rPr>
                <w:rFonts w:cs="Arial"/>
                <w:szCs w:val="22"/>
              </w:rPr>
            </w:pPr>
          </w:p>
        </w:tc>
      </w:tr>
      <w:tr w:rsidR="007A1D60" w14:paraId="3BCAF70A" w14:textId="77777777" w:rsidTr="00F4468A">
        <w:tc>
          <w:tcPr>
            <w:tcW w:w="6305" w:type="dxa"/>
          </w:tcPr>
          <w:p w14:paraId="0E8BF73D" w14:textId="12E8DA98" w:rsidR="002104BF" w:rsidRDefault="00175051" w:rsidP="00C549F4">
            <w:pPr>
              <w:spacing w:line="480" w:lineRule="auto"/>
              <w:jc w:val="both"/>
              <w:rPr>
                <w:b/>
                <w:szCs w:val="22"/>
              </w:rPr>
            </w:pPr>
            <w:r>
              <w:rPr>
                <w:b/>
              </w:rPr>
              <w:t>ED FOOD S.R.L</w:t>
            </w:r>
          </w:p>
        </w:tc>
        <w:tc>
          <w:tcPr>
            <w:tcW w:w="2246" w:type="dxa"/>
          </w:tcPr>
          <w:p w14:paraId="2A989CFA" w14:textId="35C12180" w:rsidR="002104BF" w:rsidRDefault="00C93FBD" w:rsidP="00E61081">
            <w:pPr>
              <w:spacing w:line="480" w:lineRule="auto"/>
              <w:rPr>
                <w:rFonts w:cs="Arial"/>
                <w:szCs w:val="22"/>
              </w:rPr>
            </w:pPr>
            <w:r>
              <w:rPr>
                <w:rFonts w:cs="Arial"/>
                <w:szCs w:val="22"/>
              </w:rPr>
              <w:t>First Respondent</w:t>
            </w:r>
          </w:p>
        </w:tc>
      </w:tr>
      <w:tr w:rsidR="00466300" w:rsidRPr="00466300" w14:paraId="726EF528" w14:textId="77777777" w:rsidTr="00F4468A">
        <w:tc>
          <w:tcPr>
            <w:tcW w:w="6305" w:type="dxa"/>
          </w:tcPr>
          <w:p w14:paraId="2DFA29E9" w14:textId="50947666" w:rsidR="00466300" w:rsidRPr="00466300" w:rsidRDefault="00466300" w:rsidP="00C549F4">
            <w:pPr>
              <w:spacing w:line="480" w:lineRule="auto"/>
              <w:jc w:val="both"/>
              <w:rPr>
                <w:bCs/>
                <w:i/>
                <w:iCs/>
              </w:rPr>
            </w:pPr>
            <w:r>
              <w:rPr>
                <w:b/>
              </w:rPr>
              <w:t>CISA SPECIALIT</w:t>
            </w:r>
            <w:r>
              <w:rPr>
                <w:rFonts w:cs="Arial"/>
                <w:b/>
              </w:rPr>
              <w:t>À</w:t>
            </w:r>
            <w:r>
              <w:rPr>
                <w:b/>
              </w:rPr>
              <w:t xml:space="preserve"> ALIMENTARI S.R.L</w:t>
            </w:r>
          </w:p>
        </w:tc>
        <w:tc>
          <w:tcPr>
            <w:tcW w:w="2246" w:type="dxa"/>
          </w:tcPr>
          <w:p w14:paraId="7126A403" w14:textId="76719B85" w:rsidR="00466300" w:rsidRPr="00466300" w:rsidRDefault="00466300" w:rsidP="00E61081">
            <w:pPr>
              <w:spacing w:line="480" w:lineRule="auto"/>
              <w:rPr>
                <w:rFonts w:cs="Arial"/>
                <w:bCs/>
                <w:i/>
                <w:iCs/>
                <w:szCs w:val="22"/>
              </w:rPr>
            </w:pPr>
            <w:r>
              <w:rPr>
                <w:rFonts w:cs="Arial"/>
                <w:szCs w:val="22"/>
              </w:rPr>
              <w:t>Second Respondent</w:t>
            </w:r>
          </w:p>
        </w:tc>
      </w:tr>
      <w:tr w:rsidR="00C93FBD" w:rsidRPr="00466300" w14:paraId="4DF1DC9E" w14:textId="77777777" w:rsidTr="00F4468A">
        <w:tc>
          <w:tcPr>
            <w:tcW w:w="6305" w:type="dxa"/>
          </w:tcPr>
          <w:p w14:paraId="2BA8D4C3" w14:textId="5E6321F9" w:rsidR="00C93FBD" w:rsidRPr="00466300" w:rsidRDefault="00466300" w:rsidP="00C549F4">
            <w:pPr>
              <w:spacing w:line="480" w:lineRule="auto"/>
              <w:jc w:val="both"/>
              <w:rPr>
                <w:bCs/>
                <w:i/>
                <w:iCs/>
              </w:rPr>
            </w:pPr>
            <w:r w:rsidRPr="00466300">
              <w:rPr>
                <w:bCs/>
                <w:i/>
                <w:iCs/>
              </w:rPr>
              <w:t>In re</w:t>
            </w:r>
          </w:p>
        </w:tc>
        <w:tc>
          <w:tcPr>
            <w:tcW w:w="2246" w:type="dxa"/>
          </w:tcPr>
          <w:p w14:paraId="06F707C6" w14:textId="67A31536" w:rsidR="00C93FBD" w:rsidRPr="00466300" w:rsidRDefault="00C93FBD" w:rsidP="00E61081">
            <w:pPr>
              <w:spacing w:line="480" w:lineRule="auto"/>
              <w:rPr>
                <w:rFonts w:cs="Arial"/>
                <w:bCs/>
                <w:i/>
                <w:iCs/>
                <w:szCs w:val="22"/>
              </w:rPr>
            </w:pPr>
          </w:p>
        </w:tc>
      </w:tr>
      <w:tr w:rsidR="00466300" w14:paraId="29F14DFC" w14:textId="77777777" w:rsidTr="00F4468A">
        <w:tc>
          <w:tcPr>
            <w:tcW w:w="6305" w:type="dxa"/>
          </w:tcPr>
          <w:p w14:paraId="4267104A" w14:textId="36D2C314" w:rsidR="00466300" w:rsidRDefault="00466300" w:rsidP="00C549F4">
            <w:pPr>
              <w:spacing w:line="480" w:lineRule="auto"/>
              <w:jc w:val="both"/>
              <w:rPr>
                <w:b/>
              </w:rPr>
            </w:pPr>
            <w:r>
              <w:rPr>
                <w:b/>
              </w:rPr>
              <w:t>ED FOOD S.R.L</w:t>
            </w:r>
          </w:p>
        </w:tc>
        <w:tc>
          <w:tcPr>
            <w:tcW w:w="2246" w:type="dxa"/>
          </w:tcPr>
          <w:p w14:paraId="06E8BEED" w14:textId="1B68569C" w:rsidR="00466300" w:rsidRDefault="00466300" w:rsidP="00E61081">
            <w:pPr>
              <w:spacing w:line="480" w:lineRule="auto"/>
              <w:rPr>
                <w:rFonts w:cs="Arial"/>
                <w:szCs w:val="22"/>
              </w:rPr>
            </w:pPr>
            <w:r>
              <w:rPr>
                <w:rFonts w:cs="Arial"/>
                <w:szCs w:val="22"/>
              </w:rPr>
              <w:t>Applicant</w:t>
            </w:r>
          </w:p>
        </w:tc>
      </w:tr>
      <w:tr w:rsidR="00466300" w14:paraId="6343A1BE" w14:textId="77777777" w:rsidTr="00F4468A">
        <w:tc>
          <w:tcPr>
            <w:tcW w:w="6305" w:type="dxa"/>
          </w:tcPr>
          <w:p w14:paraId="5B0FD28E" w14:textId="43A1E9F0" w:rsidR="00466300" w:rsidRDefault="00466300" w:rsidP="00C549F4">
            <w:pPr>
              <w:spacing w:line="480" w:lineRule="auto"/>
              <w:jc w:val="both"/>
              <w:rPr>
                <w:b/>
              </w:rPr>
            </w:pPr>
            <w:r w:rsidRPr="00466300">
              <w:rPr>
                <w:bCs/>
              </w:rPr>
              <w:t>and</w:t>
            </w:r>
          </w:p>
        </w:tc>
        <w:tc>
          <w:tcPr>
            <w:tcW w:w="2246" w:type="dxa"/>
          </w:tcPr>
          <w:p w14:paraId="090D6E0D" w14:textId="77777777" w:rsidR="00466300" w:rsidRDefault="00466300" w:rsidP="00E61081">
            <w:pPr>
              <w:spacing w:line="480" w:lineRule="auto"/>
              <w:rPr>
                <w:rFonts w:cs="Arial"/>
                <w:szCs w:val="22"/>
              </w:rPr>
            </w:pPr>
          </w:p>
        </w:tc>
      </w:tr>
      <w:tr w:rsidR="00466300" w14:paraId="4C0ECF7C" w14:textId="77777777" w:rsidTr="00F4468A">
        <w:tc>
          <w:tcPr>
            <w:tcW w:w="6305" w:type="dxa"/>
          </w:tcPr>
          <w:p w14:paraId="6CF35568" w14:textId="680916C9" w:rsidR="00466300" w:rsidRDefault="00466300" w:rsidP="00C549F4">
            <w:pPr>
              <w:spacing w:line="480" w:lineRule="auto"/>
              <w:jc w:val="both"/>
              <w:rPr>
                <w:b/>
              </w:rPr>
            </w:pPr>
            <w:r>
              <w:rPr>
                <w:rFonts w:cs="Arial"/>
                <w:b/>
              </w:rPr>
              <w:t>AFRICA’S BEST FOODS (PTY) LTD</w:t>
            </w:r>
          </w:p>
        </w:tc>
        <w:tc>
          <w:tcPr>
            <w:tcW w:w="2246" w:type="dxa"/>
          </w:tcPr>
          <w:p w14:paraId="4E2066A6" w14:textId="5F7E1F90" w:rsidR="00466300" w:rsidRDefault="00466300" w:rsidP="00E61081">
            <w:pPr>
              <w:spacing w:line="480" w:lineRule="auto"/>
              <w:rPr>
                <w:rFonts w:cs="Arial"/>
                <w:szCs w:val="22"/>
              </w:rPr>
            </w:pPr>
            <w:r>
              <w:rPr>
                <w:rFonts w:cs="Arial"/>
                <w:szCs w:val="22"/>
              </w:rPr>
              <w:t>Respondent</w:t>
            </w:r>
          </w:p>
        </w:tc>
      </w:tr>
    </w:tbl>
    <w:p w14:paraId="64CFD117" w14:textId="77777777" w:rsidR="00CE6301" w:rsidRPr="006C43D7" w:rsidRDefault="00CE6301" w:rsidP="006C43D7">
      <w:pPr>
        <w:pBdr>
          <w:bottom w:val="single" w:sz="4" w:space="1" w:color="auto"/>
        </w:pBdr>
        <w:spacing w:line="360" w:lineRule="auto"/>
        <w:jc w:val="both"/>
        <w:rPr>
          <w:rFonts w:cs="Arial"/>
          <w:szCs w:val="22"/>
        </w:rPr>
      </w:pPr>
    </w:p>
    <w:p w14:paraId="58DE5549" w14:textId="77777777" w:rsidR="006C43D7" w:rsidRPr="006C43D7" w:rsidRDefault="006C43D7" w:rsidP="006C43D7">
      <w:pPr>
        <w:spacing w:line="276" w:lineRule="auto"/>
        <w:jc w:val="both"/>
        <w:rPr>
          <w:rFonts w:cs="Arial"/>
          <w:szCs w:val="22"/>
        </w:rPr>
      </w:pPr>
    </w:p>
    <w:p w14:paraId="647AB70C" w14:textId="77777777" w:rsidR="006C43D7" w:rsidRPr="006C43D7" w:rsidRDefault="006C43D7" w:rsidP="006C43D7">
      <w:pPr>
        <w:keepNext/>
        <w:spacing w:line="276" w:lineRule="auto"/>
        <w:jc w:val="center"/>
        <w:outlineLvl w:val="1"/>
        <w:rPr>
          <w:rFonts w:cs="Arial"/>
          <w:b/>
          <w:bCs/>
          <w:szCs w:val="22"/>
        </w:rPr>
      </w:pPr>
      <w:r w:rsidRPr="006C43D7">
        <w:rPr>
          <w:rFonts w:cs="Arial"/>
          <w:b/>
          <w:bCs/>
          <w:szCs w:val="22"/>
        </w:rPr>
        <w:t>JUDGMENT</w:t>
      </w:r>
    </w:p>
    <w:p w14:paraId="52CD25EB" w14:textId="77777777" w:rsidR="006C43D7" w:rsidRPr="006C43D7" w:rsidRDefault="006C43D7" w:rsidP="006C43D7">
      <w:pPr>
        <w:pBdr>
          <w:bottom w:val="single" w:sz="4" w:space="1" w:color="auto"/>
        </w:pBdr>
        <w:jc w:val="both"/>
        <w:rPr>
          <w:rFonts w:cs="Arial"/>
          <w:szCs w:val="22"/>
        </w:rPr>
      </w:pPr>
    </w:p>
    <w:p w14:paraId="0CA76DA1" w14:textId="77777777" w:rsidR="00DC621D" w:rsidRDefault="00DC621D" w:rsidP="00DC621D">
      <w:pPr>
        <w:spacing w:line="480" w:lineRule="auto"/>
        <w:jc w:val="both"/>
        <w:rPr>
          <w:rFonts w:cs="Arial"/>
          <w:b/>
          <w:szCs w:val="22"/>
        </w:rPr>
      </w:pPr>
    </w:p>
    <w:p w14:paraId="5BD82EFE" w14:textId="0F8FBF70" w:rsidR="00BE6AB8" w:rsidRPr="00BE6AB8" w:rsidRDefault="00C676F3" w:rsidP="00BE6AB8">
      <w:pPr>
        <w:spacing w:after="480" w:line="480" w:lineRule="auto"/>
        <w:jc w:val="both"/>
        <w:rPr>
          <w:rFonts w:cs="Arial"/>
          <w:b/>
          <w:szCs w:val="22"/>
        </w:rPr>
      </w:pPr>
      <w:r>
        <w:rPr>
          <w:rFonts w:cs="Arial"/>
          <w:b/>
          <w:szCs w:val="22"/>
        </w:rPr>
        <w:t>MOORCROFT</w:t>
      </w:r>
      <w:r w:rsidR="006C43D7" w:rsidRPr="006C43D7">
        <w:rPr>
          <w:rFonts w:cs="Arial"/>
          <w:b/>
          <w:szCs w:val="22"/>
        </w:rPr>
        <w:t xml:space="preserve"> AJ:</w:t>
      </w:r>
    </w:p>
    <w:p w14:paraId="09239A78" w14:textId="202EF25D" w:rsidR="00C460A0" w:rsidRDefault="00C460A0" w:rsidP="00653BA4">
      <w:pPr>
        <w:keepNext/>
        <w:spacing w:after="480" w:line="480" w:lineRule="auto"/>
        <w:jc w:val="both"/>
        <w:rPr>
          <w:rFonts w:cs="Arial"/>
          <w:bCs/>
          <w:i/>
          <w:iCs/>
          <w:szCs w:val="20"/>
          <w:u w:val="single"/>
        </w:rPr>
      </w:pPr>
      <w:r w:rsidRPr="003D19C3">
        <w:rPr>
          <w:rFonts w:cs="Arial"/>
          <w:bCs/>
          <w:i/>
          <w:iCs/>
          <w:szCs w:val="20"/>
          <w:u w:val="single"/>
        </w:rPr>
        <w:lastRenderedPageBreak/>
        <w:t>Summary</w:t>
      </w:r>
    </w:p>
    <w:p w14:paraId="752DE392" w14:textId="079455F9" w:rsidR="00A3283B" w:rsidRDefault="00A3283B" w:rsidP="00653BA4">
      <w:pPr>
        <w:keepNext/>
        <w:spacing w:after="480" w:line="480" w:lineRule="auto"/>
        <w:jc w:val="both"/>
        <w:rPr>
          <w:rFonts w:cs="Arial"/>
          <w:bCs/>
          <w:i/>
          <w:iCs/>
          <w:szCs w:val="20"/>
        </w:rPr>
      </w:pPr>
      <w:r>
        <w:rPr>
          <w:rFonts w:cs="Arial"/>
          <w:bCs/>
          <w:i/>
          <w:iCs/>
          <w:szCs w:val="20"/>
        </w:rPr>
        <w:t xml:space="preserve">Application by respondent to join a second respondent – </w:t>
      </w:r>
      <w:r w:rsidR="00CA3E24">
        <w:rPr>
          <w:rFonts w:cs="Arial"/>
          <w:bCs/>
          <w:i/>
          <w:iCs/>
          <w:szCs w:val="20"/>
        </w:rPr>
        <w:t xml:space="preserve">Rule 10 - </w:t>
      </w:r>
      <w:r>
        <w:rPr>
          <w:rFonts w:cs="Arial"/>
          <w:bCs/>
          <w:i/>
          <w:iCs/>
          <w:szCs w:val="20"/>
        </w:rPr>
        <w:t xml:space="preserve">basis of application is an oral guarantee that could be construed as </w:t>
      </w:r>
      <w:r w:rsidR="00E7122F">
        <w:rPr>
          <w:rFonts w:cs="Arial"/>
          <w:bCs/>
          <w:i/>
          <w:iCs/>
          <w:szCs w:val="20"/>
        </w:rPr>
        <w:t>a</w:t>
      </w:r>
      <w:r>
        <w:rPr>
          <w:rFonts w:cs="Arial"/>
          <w:bCs/>
          <w:i/>
          <w:iCs/>
          <w:szCs w:val="20"/>
        </w:rPr>
        <w:t xml:space="preserve"> non-compliant suretyship or an indemnity</w:t>
      </w:r>
    </w:p>
    <w:p w14:paraId="26F422FB" w14:textId="6393A269" w:rsidR="00A3283B" w:rsidRPr="00A3283B" w:rsidRDefault="00A3283B" w:rsidP="00653BA4">
      <w:pPr>
        <w:keepNext/>
        <w:spacing w:after="480" w:line="480" w:lineRule="auto"/>
        <w:jc w:val="both"/>
        <w:rPr>
          <w:rFonts w:cs="Arial"/>
          <w:bCs/>
          <w:i/>
          <w:iCs/>
          <w:szCs w:val="20"/>
        </w:rPr>
      </w:pPr>
      <w:r>
        <w:rPr>
          <w:rFonts w:cs="Arial"/>
          <w:bCs/>
          <w:i/>
          <w:iCs/>
          <w:szCs w:val="20"/>
        </w:rPr>
        <w:t xml:space="preserve">Application brought without service on the party sought to be joined and seeking to join a peregrinus without attachment to find or confirm jurisdiction – </w:t>
      </w:r>
      <w:r w:rsidR="00CA3E24">
        <w:rPr>
          <w:rFonts w:cs="Arial"/>
          <w:bCs/>
          <w:i/>
          <w:iCs/>
          <w:szCs w:val="20"/>
        </w:rPr>
        <w:t xml:space="preserve">application dilatory - </w:t>
      </w:r>
      <w:r>
        <w:rPr>
          <w:rFonts w:cs="Arial"/>
          <w:bCs/>
          <w:i/>
          <w:iCs/>
          <w:szCs w:val="20"/>
        </w:rPr>
        <w:t>punitive cost order justified</w:t>
      </w:r>
    </w:p>
    <w:p w14:paraId="07A92DEE" w14:textId="77777777" w:rsidR="00A3283B" w:rsidRDefault="00A3283B" w:rsidP="00653BA4">
      <w:pPr>
        <w:keepNext/>
        <w:spacing w:after="480" w:line="480" w:lineRule="auto"/>
        <w:jc w:val="both"/>
        <w:rPr>
          <w:rFonts w:cs="Arial"/>
          <w:bCs/>
          <w:szCs w:val="22"/>
          <w:u w:val="single"/>
        </w:rPr>
      </w:pPr>
    </w:p>
    <w:p w14:paraId="18AFD427" w14:textId="074F48D1" w:rsidR="00BE6AB8" w:rsidRPr="00BE6AB8" w:rsidRDefault="00BE6AB8" w:rsidP="00653BA4">
      <w:pPr>
        <w:keepNext/>
        <w:spacing w:after="480" w:line="480" w:lineRule="auto"/>
        <w:jc w:val="both"/>
        <w:rPr>
          <w:rFonts w:cs="Arial"/>
          <w:bCs/>
          <w:szCs w:val="22"/>
          <w:u w:val="single"/>
        </w:rPr>
      </w:pPr>
      <w:r>
        <w:rPr>
          <w:rFonts w:cs="Arial"/>
          <w:bCs/>
          <w:szCs w:val="22"/>
          <w:u w:val="single"/>
        </w:rPr>
        <w:t>Order</w:t>
      </w:r>
    </w:p>
    <w:p w14:paraId="25A66E53" w14:textId="36B66176" w:rsidR="00DC6EF8" w:rsidRPr="005B696E" w:rsidRDefault="00C47A6D" w:rsidP="00C47A6D">
      <w:pPr>
        <w:tabs>
          <w:tab w:val="left" w:pos="567"/>
        </w:tabs>
        <w:spacing w:after="480" w:line="480" w:lineRule="auto"/>
        <w:jc w:val="both"/>
        <w:rPr>
          <w:rFonts w:cs="Arial"/>
          <w:bCs/>
          <w:szCs w:val="22"/>
        </w:rPr>
      </w:pPr>
      <w:r w:rsidRPr="005B696E">
        <w:rPr>
          <w:rFonts w:cs="Arial"/>
          <w:bCs/>
          <w:szCs w:val="22"/>
        </w:rPr>
        <w:t>[1]</w:t>
      </w:r>
      <w:r w:rsidRPr="005B696E">
        <w:rPr>
          <w:rFonts w:cs="Arial"/>
          <w:bCs/>
          <w:szCs w:val="22"/>
        </w:rPr>
        <w:tab/>
      </w:r>
      <w:r w:rsidR="003B4100">
        <w:rPr>
          <w:rFonts w:cs="Arial"/>
          <w:bCs/>
          <w:szCs w:val="22"/>
        </w:rPr>
        <w:t xml:space="preserve">In this </w:t>
      </w:r>
      <w:r w:rsidR="00B56906">
        <w:rPr>
          <w:rFonts w:cs="Arial"/>
          <w:bCs/>
          <w:szCs w:val="22"/>
        </w:rPr>
        <w:t xml:space="preserve">matter </w:t>
      </w:r>
      <w:r w:rsidR="00C460A0">
        <w:rPr>
          <w:rFonts w:cs="Arial"/>
          <w:bCs/>
          <w:szCs w:val="22"/>
        </w:rPr>
        <w:t>I ma</w:t>
      </w:r>
      <w:r w:rsidR="00DF5291">
        <w:rPr>
          <w:rFonts w:cs="Arial"/>
          <w:bCs/>
          <w:szCs w:val="22"/>
        </w:rPr>
        <w:t>k</w:t>
      </w:r>
      <w:r w:rsidR="00DC6EF8">
        <w:rPr>
          <w:rFonts w:cs="Arial"/>
          <w:bCs/>
          <w:szCs w:val="22"/>
        </w:rPr>
        <w:t>e</w:t>
      </w:r>
      <w:r w:rsidR="00C460A0">
        <w:rPr>
          <w:rFonts w:cs="Arial"/>
          <w:bCs/>
          <w:szCs w:val="22"/>
        </w:rPr>
        <w:t xml:space="preserve"> the following order:</w:t>
      </w:r>
    </w:p>
    <w:p w14:paraId="2C90C30F" w14:textId="42B50CBC" w:rsidR="00DF5291" w:rsidRPr="00C47A6D" w:rsidRDefault="00C47A6D" w:rsidP="00C47A6D">
      <w:pPr>
        <w:spacing w:before="120" w:after="120"/>
        <w:ind w:left="360" w:hanging="360"/>
        <w:rPr>
          <w:i/>
          <w:iCs/>
        </w:rPr>
      </w:pPr>
      <w:r>
        <w:rPr>
          <w:i/>
          <w:iCs/>
        </w:rPr>
        <w:t>1.</w:t>
      </w:r>
      <w:r>
        <w:rPr>
          <w:i/>
          <w:iCs/>
        </w:rPr>
        <w:tab/>
      </w:r>
      <w:r w:rsidR="00466300" w:rsidRPr="00C47A6D">
        <w:rPr>
          <w:i/>
          <w:iCs/>
        </w:rPr>
        <w:t>The application is dismissed;</w:t>
      </w:r>
    </w:p>
    <w:p w14:paraId="03582D32" w14:textId="408840FE" w:rsidR="00DF5291" w:rsidRPr="00C47A6D" w:rsidRDefault="00C47A6D" w:rsidP="00C47A6D">
      <w:pPr>
        <w:spacing w:before="120" w:after="120"/>
        <w:ind w:left="360" w:hanging="360"/>
        <w:rPr>
          <w:i/>
          <w:iCs/>
        </w:rPr>
      </w:pPr>
      <w:r>
        <w:rPr>
          <w:i/>
          <w:iCs/>
        </w:rPr>
        <w:t>2.</w:t>
      </w:r>
      <w:r>
        <w:rPr>
          <w:i/>
          <w:iCs/>
        </w:rPr>
        <w:tab/>
      </w:r>
      <w:r w:rsidR="00466300" w:rsidRPr="00C47A6D">
        <w:rPr>
          <w:i/>
          <w:iCs/>
        </w:rPr>
        <w:t>The applicant is ordered to pay the costs of the application on the scale as between attorney and own client.</w:t>
      </w:r>
    </w:p>
    <w:p w14:paraId="3B893A85" w14:textId="77777777" w:rsidR="00DF5291" w:rsidRPr="00466300" w:rsidRDefault="00DF5291" w:rsidP="00466300">
      <w:pPr>
        <w:spacing w:before="120" w:after="120"/>
        <w:rPr>
          <w:i/>
          <w:iCs/>
        </w:rPr>
      </w:pPr>
    </w:p>
    <w:p w14:paraId="5493FAA1" w14:textId="77777777" w:rsidR="00B16F69" w:rsidRPr="00B16F69" w:rsidRDefault="00B16F69" w:rsidP="00B16F69">
      <w:pPr>
        <w:spacing w:before="120" w:after="120"/>
        <w:rPr>
          <w:i/>
          <w:iCs/>
        </w:rPr>
      </w:pPr>
    </w:p>
    <w:p w14:paraId="08540072" w14:textId="0B3B8B43" w:rsidR="00C9310B" w:rsidRPr="00C47A6D" w:rsidRDefault="00C47A6D" w:rsidP="00C47A6D">
      <w:pPr>
        <w:widowControl w:val="0"/>
        <w:tabs>
          <w:tab w:val="left" w:pos="567"/>
        </w:tabs>
        <w:spacing w:before="480" w:after="480" w:line="360" w:lineRule="auto"/>
        <w:jc w:val="both"/>
        <w:rPr>
          <w:rFonts w:cs="Arial"/>
          <w:bCs/>
          <w:szCs w:val="22"/>
          <w:u w:val="single"/>
        </w:rPr>
      </w:pPr>
      <w:r w:rsidRPr="00DC621D">
        <w:rPr>
          <w:rFonts w:cs="Arial"/>
          <w:bCs/>
          <w:szCs w:val="22"/>
        </w:rPr>
        <w:t>[2]</w:t>
      </w:r>
      <w:r w:rsidRPr="00DC621D">
        <w:rPr>
          <w:rFonts w:cs="Arial"/>
          <w:bCs/>
          <w:szCs w:val="22"/>
        </w:rPr>
        <w:tab/>
      </w:r>
      <w:r w:rsidR="00573FF9" w:rsidRPr="00C47A6D">
        <w:rPr>
          <w:rFonts w:cs="Arial"/>
          <w:bCs/>
          <w:szCs w:val="22"/>
        </w:rPr>
        <w:t xml:space="preserve">The reasons for the order </w:t>
      </w:r>
      <w:r w:rsidR="00A63709" w:rsidRPr="00C47A6D">
        <w:rPr>
          <w:rFonts w:cs="Arial"/>
          <w:bCs/>
          <w:szCs w:val="22"/>
        </w:rPr>
        <w:t>follow</w:t>
      </w:r>
      <w:r w:rsidR="00573FF9" w:rsidRPr="00C47A6D">
        <w:rPr>
          <w:rFonts w:cs="Arial"/>
          <w:bCs/>
          <w:szCs w:val="22"/>
        </w:rPr>
        <w:t xml:space="preserve"> below.</w:t>
      </w:r>
    </w:p>
    <w:p w14:paraId="4D9C7018" w14:textId="77777777" w:rsidR="00856204" w:rsidRDefault="00856204" w:rsidP="00A3283B">
      <w:pPr>
        <w:widowControl w:val="0"/>
        <w:spacing w:before="480" w:after="480" w:line="360" w:lineRule="auto"/>
        <w:jc w:val="both"/>
        <w:rPr>
          <w:rFonts w:cs="Arial"/>
          <w:bCs/>
          <w:szCs w:val="22"/>
          <w:u w:val="single"/>
        </w:rPr>
      </w:pPr>
    </w:p>
    <w:p w14:paraId="50138F75" w14:textId="1322917F" w:rsidR="00EC38E3" w:rsidRPr="00143036" w:rsidRDefault="00466300" w:rsidP="00A3283B">
      <w:pPr>
        <w:widowControl w:val="0"/>
        <w:spacing w:before="480" w:after="480" w:line="360" w:lineRule="auto"/>
        <w:jc w:val="both"/>
        <w:rPr>
          <w:rFonts w:cs="Arial"/>
          <w:bCs/>
          <w:szCs w:val="22"/>
          <w:u w:val="single"/>
        </w:rPr>
      </w:pPr>
      <w:r>
        <w:rPr>
          <w:rFonts w:cs="Arial"/>
          <w:bCs/>
          <w:szCs w:val="22"/>
          <w:u w:val="single"/>
        </w:rPr>
        <w:t>Introduction</w:t>
      </w:r>
    </w:p>
    <w:p w14:paraId="295EC434" w14:textId="33824594" w:rsidR="00611F96" w:rsidRPr="00611F96"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611F96">
        <w:rPr>
          <w:rFonts w:cs="Arial"/>
          <w:iCs/>
          <w:szCs w:val="22"/>
          <w:lang w:eastAsia="en-ZA"/>
        </w:rPr>
        <w:t>[3]</w:t>
      </w:r>
      <w:r w:rsidRPr="00611F96">
        <w:rPr>
          <w:rFonts w:cs="Arial"/>
          <w:iCs/>
          <w:szCs w:val="22"/>
          <w:lang w:eastAsia="en-ZA"/>
        </w:rPr>
        <w:tab/>
      </w:r>
      <w:r w:rsidR="00611F96" w:rsidRPr="00611F96">
        <w:rPr>
          <w:rFonts w:cs="Arial"/>
          <w:szCs w:val="22"/>
          <w:lang w:val="en-GB" w:eastAsia="en-ZA"/>
        </w:rPr>
        <w:t>This is a joinder application</w:t>
      </w:r>
      <w:r w:rsidR="00611F96">
        <w:rPr>
          <w:rFonts w:cs="Arial"/>
          <w:szCs w:val="22"/>
          <w:lang w:val="en-GB" w:eastAsia="en-ZA"/>
        </w:rPr>
        <w:t>.</w:t>
      </w:r>
      <w:r w:rsidR="00A253D0">
        <w:rPr>
          <w:rStyle w:val="FootnoteReference"/>
          <w:rFonts w:cs="Arial"/>
          <w:szCs w:val="22"/>
          <w:lang w:val="en-GB" w:eastAsia="en-ZA"/>
        </w:rPr>
        <w:footnoteReference w:id="1"/>
      </w:r>
      <w:r w:rsidR="00611F96">
        <w:rPr>
          <w:rFonts w:cs="Arial"/>
          <w:szCs w:val="22"/>
          <w:lang w:val="en-GB" w:eastAsia="en-ZA"/>
        </w:rPr>
        <w:t xml:space="preserve"> </w:t>
      </w:r>
      <w:r w:rsidR="00611F96" w:rsidRPr="00611F96">
        <w:rPr>
          <w:rFonts w:cs="Arial"/>
          <w:szCs w:val="22"/>
          <w:lang w:val="en-GB" w:eastAsia="en-ZA"/>
        </w:rPr>
        <w:t>The applicant</w:t>
      </w:r>
      <w:r w:rsidR="00611F96">
        <w:rPr>
          <w:rFonts w:cs="Arial"/>
          <w:szCs w:val="22"/>
          <w:lang w:val="en-GB" w:eastAsia="en-ZA"/>
        </w:rPr>
        <w:t xml:space="preserve"> (“ABF”)</w:t>
      </w:r>
      <w:r w:rsidR="00611F96" w:rsidRPr="00611F96">
        <w:rPr>
          <w:rFonts w:cs="Arial"/>
          <w:szCs w:val="22"/>
          <w:lang w:val="en-GB" w:eastAsia="en-ZA"/>
        </w:rPr>
        <w:t xml:space="preserve"> seeks to join the second respondent </w:t>
      </w:r>
      <w:r w:rsidR="00611F96">
        <w:rPr>
          <w:rFonts w:cs="Arial"/>
          <w:szCs w:val="22"/>
          <w:lang w:val="en-GB" w:eastAsia="en-ZA"/>
        </w:rPr>
        <w:t xml:space="preserve">(“CISA”) </w:t>
      </w:r>
      <w:r w:rsidR="00611F96" w:rsidRPr="00611F96">
        <w:rPr>
          <w:rFonts w:cs="Arial"/>
          <w:szCs w:val="22"/>
          <w:lang w:val="en-GB" w:eastAsia="en-ZA"/>
        </w:rPr>
        <w:t>as a respondent in the main application between</w:t>
      </w:r>
      <w:r w:rsidR="00611F96">
        <w:rPr>
          <w:rFonts w:cs="Arial"/>
          <w:szCs w:val="22"/>
          <w:lang w:val="en-GB" w:eastAsia="en-ZA"/>
        </w:rPr>
        <w:t xml:space="preserve"> the first respondent </w:t>
      </w:r>
      <w:r w:rsidR="00611F96">
        <w:rPr>
          <w:rFonts w:cs="Arial"/>
          <w:szCs w:val="22"/>
          <w:lang w:val="en-GB" w:eastAsia="en-ZA"/>
        </w:rPr>
        <w:lastRenderedPageBreak/>
        <w:t>(“EDF”) and ABF.</w:t>
      </w:r>
      <w:r w:rsidR="00667EDC">
        <w:rPr>
          <w:rFonts w:cs="Arial"/>
          <w:szCs w:val="22"/>
          <w:lang w:val="en-GB" w:eastAsia="en-ZA"/>
        </w:rPr>
        <w:t xml:space="preserve"> EDF is the applicant in the main application</w:t>
      </w:r>
      <w:r w:rsidR="00A3283B">
        <w:rPr>
          <w:rFonts w:cs="Arial"/>
          <w:szCs w:val="22"/>
          <w:lang w:val="en-GB" w:eastAsia="en-ZA"/>
        </w:rPr>
        <w:t xml:space="preserve"> and ABF is the respondent</w:t>
      </w:r>
      <w:r w:rsidR="00667EDC">
        <w:rPr>
          <w:rFonts w:cs="Arial"/>
          <w:szCs w:val="22"/>
          <w:lang w:val="en-GB" w:eastAsia="en-ZA"/>
        </w:rPr>
        <w:t>.</w:t>
      </w:r>
    </w:p>
    <w:p w14:paraId="44DE8C46" w14:textId="2C5427A9" w:rsidR="005F6338" w:rsidRPr="00884B89"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884B89">
        <w:rPr>
          <w:rFonts w:cs="Arial"/>
          <w:iCs/>
          <w:szCs w:val="22"/>
          <w:lang w:eastAsia="en-ZA"/>
        </w:rPr>
        <w:t>[4]</w:t>
      </w:r>
      <w:r w:rsidRPr="00884B89">
        <w:rPr>
          <w:rFonts w:cs="Arial"/>
          <w:iCs/>
          <w:szCs w:val="22"/>
          <w:lang w:eastAsia="en-ZA"/>
        </w:rPr>
        <w:tab/>
      </w:r>
      <w:r w:rsidR="005F6338">
        <w:rPr>
          <w:rFonts w:cs="Arial"/>
          <w:szCs w:val="22"/>
          <w:lang w:val="en-GB" w:eastAsia="en-ZA"/>
        </w:rPr>
        <w:t xml:space="preserve">In October 2017 EDF and ABF entered into an agreement whereby ABF </w:t>
      </w:r>
      <w:r w:rsidR="005F6338" w:rsidRPr="00661812">
        <w:rPr>
          <w:rFonts w:cs="Arial"/>
          <w:szCs w:val="22"/>
          <w:lang w:val="en-GB" w:eastAsia="en-ZA"/>
        </w:rPr>
        <w:t xml:space="preserve">was to sell and deliver produce </w:t>
      </w:r>
      <w:r w:rsidR="005F6338">
        <w:rPr>
          <w:rFonts w:cs="Arial"/>
          <w:szCs w:val="22"/>
          <w:lang w:val="en-GB" w:eastAsia="en-ZA"/>
        </w:rPr>
        <w:t>t</w:t>
      </w:r>
      <w:r w:rsidR="005F6338" w:rsidRPr="00661812">
        <w:rPr>
          <w:rFonts w:cs="Arial"/>
          <w:szCs w:val="22"/>
          <w:lang w:val="en-GB" w:eastAsia="en-ZA"/>
        </w:rPr>
        <w:t>o EDF</w:t>
      </w:r>
      <w:r w:rsidR="005F6338">
        <w:rPr>
          <w:rFonts w:cs="Arial"/>
          <w:szCs w:val="22"/>
          <w:lang w:val="en-GB" w:eastAsia="en-ZA"/>
        </w:rPr>
        <w:t xml:space="preserve">. </w:t>
      </w:r>
      <w:r w:rsidR="005F6338" w:rsidRPr="00661812">
        <w:rPr>
          <w:rFonts w:cs="Arial"/>
          <w:szCs w:val="22"/>
          <w:lang w:val="en-GB" w:eastAsia="en-ZA"/>
        </w:rPr>
        <w:t xml:space="preserve">The total purchase price was </w:t>
      </w:r>
      <w:r w:rsidR="005F6338" w:rsidRPr="00837BEE">
        <w:rPr>
          <w:rFonts w:cs="Arial"/>
          <w:szCs w:val="22"/>
          <w:lang w:eastAsia="en-ZA"/>
        </w:rPr>
        <w:t>€</w:t>
      </w:r>
      <w:r w:rsidR="005F6338" w:rsidRPr="00661812">
        <w:rPr>
          <w:rFonts w:cs="Arial"/>
          <w:szCs w:val="22"/>
          <w:lang w:val="en-GB" w:eastAsia="en-ZA"/>
        </w:rPr>
        <w:t>92,916 and EDF paid a deposit</w:t>
      </w:r>
      <w:r w:rsidR="005F6338">
        <w:rPr>
          <w:rFonts w:cs="Arial"/>
          <w:szCs w:val="22"/>
          <w:lang w:val="en-GB" w:eastAsia="en-ZA"/>
        </w:rPr>
        <w:t xml:space="preserve"> </w:t>
      </w:r>
      <w:r w:rsidR="005F6338" w:rsidRPr="00661812">
        <w:rPr>
          <w:rFonts w:cs="Arial"/>
          <w:szCs w:val="22"/>
          <w:lang w:val="en-GB" w:eastAsia="en-ZA"/>
        </w:rPr>
        <w:t xml:space="preserve">of </w:t>
      </w:r>
      <w:r w:rsidR="005F6338" w:rsidRPr="00837BEE">
        <w:rPr>
          <w:rFonts w:cs="Arial"/>
          <w:szCs w:val="22"/>
          <w:lang w:eastAsia="en-ZA"/>
        </w:rPr>
        <w:t>€</w:t>
      </w:r>
      <w:r w:rsidR="005F6338" w:rsidRPr="00661812">
        <w:rPr>
          <w:rFonts w:cs="Arial"/>
          <w:szCs w:val="22"/>
          <w:lang w:val="en-GB" w:eastAsia="en-ZA"/>
        </w:rPr>
        <w:t>42,453 to ABF on 31 October 2017</w:t>
      </w:r>
      <w:r w:rsidR="005F6338">
        <w:rPr>
          <w:rFonts w:cs="Arial"/>
          <w:szCs w:val="22"/>
          <w:lang w:val="en-GB" w:eastAsia="en-ZA"/>
        </w:rPr>
        <w:t xml:space="preserve">. </w:t>
      </w:r>
      <w:r w:rsidR="005F6338" w:rsidRPr="00661812">
        <w:rPr>
          <w:rFonts w:cs="Arial"/>
          <w:szCs w:val="22"/>
          <w:lang w:val="en-GB" w:eastAsia="en-ZA"/>
        </w:rPr>
        <w:t xml:space="preserve">ABF was unable to deliver the produce and EDF cancelled the agreement on </w:t>
      </w:r>
      <w:r w:rsidR="005F6338">
        <w:rPr>
          <w:rFonts w:cs="Arial"/>
          <w:szCs w:val="22"/>
          <w:lang w:val="en-GB" w:eastAsia="en-ZA"/>
        </w:rPr>
        <w:t>2</w:t>
      </w:r>
      <w:r w:rsidR="005F6338" w:rsidRPr="00661812">
        <w:rPr>
          <w:rFonts w:cs="Arial"/>
          <w:szCs w:val="22"/>
          <w:lang w:val="en-GB" w:eastAsia="en-ZA"/>
        </w:rPr>
        <w:t xml:space="preserve"> May 2018</w:t>
      </w:r>
      <w:r w:rsidR="005F6338">
        <w:rPr>
          <w:rFonts w:cs="Arial"/>
          <w:szCs w:val="22"/>
          <w:lang w:val="en-GB" w:eastAsia="en-ZA"/>
        </w:rPr>
        <w:t xml:space="preserve">. </w:t>
      </w:r>
      <w:r w:rsidR="005F6338" w:rsidRPr="00661812">
        <w:rPr>
          <w:rFonts w:cs="Arial"/>
          <w:szCs w:val="22"/>
          <w:lang w:val="en-GB" w:eastAsia="en-ZA"/>
        </w:rPr>
        <w:t xml:space="preserve">Its </w:t>
      </w:r>
      <w:r w:rsidR="005F6338">
        <w:rPr>
          <w:rFonts w:cs="Arial"/>
          <w:szCs w:val="22"/>
          <w:lang w:val="en-GB" w:eastAsia="en-ZA"/>
        </w:rPr>
        <w:t>demand</w:t>
      </w:r>
      <w:r w:rsidR="005F6338" w:rsidRPr="00661812">
        <w:rPr>
          <w:rFonts w:cs="Arial"/>
          <w:szCs w:val="22"/>
          <w:lang w:val="en-GB" w:eastAsia="en-ZA"/>
        </w:rPr>
        <w:t xml:space="preserve"> for the return of the deposit </w:t>
      </w:r>
      <w:r w:rsidR="005F6338">
        <w:rPr>
          <w:rFonts w:cs="Arial"/>
          <w:szCs w:val="22"/>
          <w:lang w:val="en-GB" w:eastAsia="en-ZA"/>
        </w:rPr>
        <w:t>fell on deaf ears and it issued summons</w:t>
      </w:r>
      <w:r w:rsidR="005F6338" w:rsidRPr="00661812">
        <w:rPr>
          <w:rFonts w:cs="Arial"/>
          <w:szCs w:val="22"/>
          <w:lang w:val="en-GB" w:eastAsia="en-ZA"/>
        </w:rPr>
        <w:t xml:space="preserve"> out of the High Court in Johannesburg</w:t>
      </w:r>
      <w:r w:rsidR="005F6338">
        <w:rPr>
          <w:rStyle w:val="FootnoteReference"/>
          <w:rFonts w:cs="Arial"/>
          <w:szCs w:val="22"/>
          <w:lang w:val="en-GB" w:eastAsia="en-ZA"/>
        </w:rPr>
        <w:footnoteReference w:id="2"/>
      </w:r>
      <w:r w:rsidR="005F6338" w:rsidRPr="00661812">
        <w:rPr>
          <w:rFonts w:cs="Arial"/>
          <w:szCs w:val="22"/>
          <w:lang w:val="en-GB" w:eastAsia="en-ZA"/>
        </w:rPr>
        <w:t xml:space="preserve"> for the repayment of the deposit</w:t>
      </w:r>
      <w:r w:rsidR="005F6338">
        <w:rPr>
          <w:rFonts w:cs="Arial"/>
          <w:szCs w:val="22"/>
          <w:lang w:val="en-GB" w:eastAsia="en-ZA"/>
        </w:rPr>
        <w:t>.</w:t>
      </w:r>
    </w:p>
    <w:p w14:paraId="13B438DF" w14:textId="580E0149" w:rsidR="00222343" w:rsidRPr="00222343"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222343">
        <w:rPr>
          <w:rFonts w:cs="Arial"/>
          <w:iCs/>
          <w:szCs w:val="22"/>
          <w:lang w:eastAsia="en-ZA"/>
        </w:rPr>
        <w:t>[5]</w:t>
      </w:r>
      <w:r w:rsidRPr="00222343">
        <w:rPr>
          <w:rFonts w:cs="Arial"/>
          <w:iCs/>
          <w:szCs w:val="22"/>
          <w:lang w:eastAsia="en-ZA"/>
        </w:rPr>
        <w:tab/>
      </w:r>
      <w:r w:rsidR="00683854">
        <w:rPr>
          <w:rFonts w:cs="Arial"/>
          <w:szCs w:val="22"/>
          <w:lang w:val="en-GB" w:eastAsia="en-ZA"/>
        </w:rPr>
        <w:t>In August</w:t>
      </w:r>
      <w:r w:rsidR="00884B89">
        <w:rPr>
          <w:rFonts w:cs="Arial"/>
          <w:szCs w:val="22"/>
          <w:lang w:val="en-GB" w:eastAsia="en-ZA"/>
        </w:rPr>
        <w:t xml:space="preserve"> 2019 </w:t>
      </w:r>
      <w:r w:rsidR="00683854" w:rsidRPr="00683854">
        <w:rPr>
          <w:rFonts w:cs="Arial"/>
          <w:szCs w:val="22"/>
          <w:lang w:val="en-GB" w:eastAsia="en-ZA"/>
        </w:rPr>
        <w:t>EDF and AB</w:t>
      </w:r>
      <w:r w:rsidR="00683854">
        <w:rPr>
          <w:rFonts w:cs="Arial"/>
          <w:szCs w:val="22"/>
          <w:lang w:val="en-GB" w:eastAsia="en-ZA"/>
        </w:rPr>
        <w:t>F</w:t>
      </w:r>
      <w:r w:rsidR="00683854" w:rsidRPr="00683854">
        <w:rPr>
          <w:rFonts w:cs="Arial"/>
          <w:szCs w:val="22"/>
          <w:lang w:val="en-GB" w:eastAsia="en-ZA"/>
        </w:rPr>
        <w:t xml:space="preserve"> entered into an oral settlement agreement in Italy</w:t>
      </w:r>
      <w:r w:rsidR="00683854">
        <w:rPr>
          <w:rFonts w:cs="Arial"/>
          <w:szCs w:val="22"/>
          <w:lang w:val="en-GB" w:eastAsia="en-ZA"/>
        </w:rPr>
        <w:t xml:space="preserve"> </w:t>
      </w:r>
      <w:r w:rsidR="00683854" w:rsidRPr="00683854">
        <w:rPr>
          <w:rFonts w:cs="Arial"/>
          <w:szCs w:val="22"/>
          <w:lang w:val="en-GB" w:eastAsia="en-ZA"/>
        </w:rPr>
        <w:t xml:space="preserve">whereby ABF </w:t>
      </w:r>
      <w:r w:rsidR="009E1697">
        <w:rPr>
          <w:rFonts w:cs="Arial"/>
          <w:szCs w:val="22"/>
          <w:lang w:val="en-GB" w:eastAsia="en-ZA"/>
        </w:rPr>
        <w:t>under</w:t>
      </w:r>
      <w:r w:rsidR="00683854" w:rsidRPr="00683854">
        <w:rPr>
          <w:rFonts w:cs="Arial"/>
          <w:szCs w:val="22"/>
          <w:lang w:val="en-GB" w:eastAsia="en-ZA"/>
        </w:rPr>
        <w:t>took to pay</w:t>
      </w:r>
      <w:r w:rsidR="00683854">
        <w:rPr>
          <w:rFonts w:cs="Arial"/>
          <w:szCs w:val="22"/>
          <w:lang w:val="en-GB" w:eastAsia="en-ZA"/>
        </w:rPr>
        <w:t xml:space="preserve"> </w:t>
      </w:r>
      <w:r w:rsidR="00683854" w:rsidRPr="00837BEE">
        <w:rPr>
          <w:rFonts w:cs="Arial"/>
          <w:szCs w:val="22"/>
          <w:lang w:eastAsia="en-ZA"/>
        </w:rPr>
        <w:t>€</w:t>
      </w:r>
      <w:r w:rsidR="00683854">
        <w:rPr>
          <w:rFonts w:cs="Arial"/>
          <w:szCs w:val="22"/>
          <w:lang w:eastAsia="en-ZA"/>
        </w:rPr>
        <w:t>4</w:t>
      </w:r>
      <w:r w:rsidR="00683854" w:rsidRPr="00837BEE">
        <w:rPr>
          <w:rFonts w:cs="Arial"/>
          <w:szCs w:val="22"/>
          <w:lang w:eastAsia="en-ZA"/>
        </w:rPr>
        <w:t>8,00</w:t>
      </w:r>
      <w:r w:rsidR="00683854">
        <w:rPr>
          <w:rFonts w:cs="Arial"/>
          <w:szCs w:val="22"/>
          <w:lang w:eastAsia="en-ZA"/>
        </w:rPr>
        <w:t xml:space="preserve">0 </w:t>
      </w:r>
      <w:r w:rsidR="00683854" w:rsidRPr="00683854">
        <w:rPr>
          <w:rFonts w:cs="Arial"/>
          <w:szCs w:val="22"/>
          <w:lang w:val="en-GB" w:eastAsia="en-ZA"/>
        </w:rPr>
        <w:t>in settlement of the claim and</w:t>
      </w:r>
      <w:r w:rsidR="00683854">
        <w:rPr>
          <w:rFonts w:cs="Arial"/>
          <w:szCs w:val="22"/>
          <w:lang w:val="en-GB" w:eastAsia="en-ZA"/>
        </w:rPr>
        <w:t xml:space="preserve"> E</w:t>
      </w:r>
      <w:r w:rsidR="00683854" w:rsidRPr="00683854">
        <w:rPr>
          <w:rFonts w:cs="Arial"/>
          <w:szCs w:val="22"/>
          <w:lang w:val="en-GB" w:eastAsia="en-ZA"/>
        </w:rPr>
        <w:t>DF in turn agreed to withdraw the action and to abandon criminal charges laid against the directing minds of ABF</w:t>
      </w:r>
      <w:r w:rsidR="00683854">
        <w:rPr>
          <w:rFonts w:cs="Arial"/>
          <w:szCs w:val="22"/>
          <w:lang w:val="en-GB" w:eastAsia="en-ZA"/>
        </w:rPr>
        <w:t>.</w:t>
      </w:r>
      <w:r w:rsidR="00683854" w:rsidRPr="00683854">
        <w:rPr>
          <w:rFonts w:cs="Arial"/>
          <w:szCs w:val="22"/>
          <w:lang w:val="en-GB" w:eastAsia="en-ZA"/>
        </w:rPr>
        <w:t xml:space="preserve"> </w:t>
      </w:r>
    </w:p>
    <w:p w14:paraId="22C1B8D9" w14:textId="07DD8398" w:rsidR="00222343" w:rsidRPr="00222343"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222343">
        <w:rPr>
          <w:rFonts w:cs="Arial"/>
          <w:iCs/>
          <w:szCs w:val="22"/>
          <w:lang w:eastAsia="en-ZA"/>
        </w:rPr>
        <w:t>[6]</w:t>
      </w:r>
      <w:r w:rsidRPr="00222343">
        <w:rPr>
          <w:rFonts w:cs="Arial"/>
          <w:iCs/>
          <w:szCs w:val="22"/>
          <w:lang w:eastAsia="en-ZA"/>
        </w:rPr>
        <w:tab/>
      </w:r>
      <w:r w:rsidR="00683854" w:rsidRPr="00683854">
        <w:rPr>
          <w:rFonts w:cs="Arial"/>
          <w:szCs w:val="22"/>
          <w:lang w:val="en-GB" w:eastAsia="en-ZA"/>
        </w:rPr>
        <w:t>While the amount was not in dispute the parties differ on when payment was to be made</w:t>
      </w:r>
      <w:r w:rsidR="00683854">
        <w:rPr>
          <w:rFonts w:cs="Arial"/>
          <w:szCs w:val="22"/>
          <w:lang w:val="en-GB" w:eastAsia="en-ZA"/>
        </w:rPr>
        <w:t>. On EDF’s v</w:t>
      </w:r>
      <w:r w:rsidR="00683854" w:rsidRPr="00683854">
        <w:rPr>
          <w:rFonts w:cs="Arial"/>
          <w:szCs w:val="22"/>
          <w:lang w:val="en-GB" w:eastAsia="en-ZA"/>
        </w:rPr>
        <w:t>ersion payment had to be made by the end of 2019 and on</w:t>
      </w:r>
      <w:r w:rsidR="00683854">
        <w:rPr>
          <w:rFonts w:cs="Arial"/>
          <w:szCs w:val="22"/>
          <w:lang w:val="en-GB" w:eastAsia="en-ZA"/>
        </w:rPr>
        <w:t xml:space="preserve"> ABF’s </w:t>
      </w:r>
      <w:r w:rsidR="00683854" w:rsidRPr="00683854">
        <w:rPr>
          <w:rFonts w:cs="Arial"/>
          <w:szCs w:val="22"/>
          <w:lang w:val="en-GB" w:eastAsia="en-ZA"/>
        </w:rPr>
        <w:t>version</w:t>
      </w:r>
      <w:r w:rsidR="00683854">
        <w:rPr>
          <w:rFonts w:cs="Arial"/>
          <w:szCs w:val="22"/>
          <w:lang w:val="en-GB" w:eastAsia="en-ZA"/>
        </w:rPr>
        <w:t xml:space="preserve"> </w:t>
      </w:r>
      <w:r w:rsidR="00683854" w:rsidRPr="00683854">
        <w:rPr>
          <w:rFonts w:cs="Arial"/>
          <w:szCs w:val="22"/>
          <w:lang w:val="en-GB" w:eastAsia="en-ZA"/>
        </w:rPr>
        <w:t>there was no fixed date for payment an</w:t>
      </w:r>
      <w:r w:rsidR="00683854">
        <w:rPr>
          <w:rFonts w:cs="Arial"/>
          <w:szCs w:val="22"/>
          <w:lang w:val="en-GB" w:eastAsia="en-ZA"/>
        </w:rPr>
        <w:t xml:space="preserve">d </w:t>
      </w:r>
      <w:r w:rsidR="00683854" w:rsidRPr="00683854">
        <w:rPr>
          <w:rFonts w:cs="Arial"/>
          <w:szCs w:val="22"/>
          <w:lang w:val="en-GB" w:eastAsia="en-ZA"/>
        </w:rPr>
        <w:t>payment would be made</w:t>
      </w:r>
      <w:r w:rsidR="00683854">
        <w:rPr>
          <w:rFonts w:cs="Arial"/>
          <w:szCs w:val="22"/>
          <w:lang w:val="en-GB" w:eastAsia="en-ZA"/>
        </w:rPr>
        <w:t xml:space="preserve"> </w:t>
      </w:r>
      <w:r w:rsidR="009E1697">
        <w:rPr>
          <w:rFonts w:cs="Arial"/>
          <w:szCs w:val="22"/>
          <w:lang w:val="en-GB" w:eastAsia="en-ZA"/>
        </w:rPr>
        <w:t>w</w:t>
      </w:r>
      <w:r w:rsidR="00683854" w:rsidRPr="00683854">
        <w:rPr>
          <w:rFonts w:cs="Arial"/>
          <w:szCs w:val="22"/>
          <w:lang w:val="en-GB" w:eastAsia="en-ZA"/>
        </w:rPr>
        <w:t>hen it was possible to do so and on terms still to be agreed by the parties</w:t>
      </w:r>
      <w:r w:rsidR="00683854">
        <w:rPr>
          <w:rFonts w:cs="Arial"/>
          <w:szCs w:val="22"/>
          <w:lang w:val="en-GB" w:eastAsia="en-ZA"/>
        </w:rPr>
        <w:t xml:space="preserve">. </w:t>
      </w:r>
      <w:r w:rsidR="00683854" w:rsidRPr="00683854">
        <w:rPr>
          <w:rFonts w:cs="Arial"/>
          <w:szCs w:val="22"/>
          <w:lang w:val="en-GB" w:eastAsia="en-ZA"/>
        </w:rPr>
        <w:t xml:space="preserve">Perhaps in contradiction of the allegation that </w:t>
      </w:r>
      <w:r w:rsidR="00683854">
        <w:rPr>
          <w:rFonts w:cs="Arial"/>
          <w:szCs w:val="22"/>
          <w:lang w:val="en-GB" w:eastAsia="en-ZA"/>
        </w:rPr>
        <w:t>ABF</w:t>
      </w:r>
      <w:r w:rsidR="00683854" w:rsidRPr="00683854">
        <w:rPr>
          <w:rFonts w:cs="Arial"/>
          <w:szCs w:val="22"/>
          <w:lang w:val="en-GB" w:eastAsia="en-ZA"/>
        </w:rPr>
        <w:t xml:space="preserve"> </w:t>
      </w:r>
      <w:r w:rsidR="00CA3E24">
        <w:rPr>
          <w:rFonts w:cs="Arial"/>
          <w:szCs w:val="22"/>
          <w:lang w:val="en-GB" w:eastAsia="en-ZA"/>
        </w:rPr>
        <w:t>was obligated to</w:t>
      </w:r>
      <w:r w:rsidR="00683854" w:rsidRPr="00683854">
        <w:rPr>
          <w:rFonts w:cs="Arial"/>
          <w:szCs w:val="22"/>
          <w:lang w:val="en-GB" w:eastAsia="en-ZA"/>
        </w:rPr>
        <w:t xml:space="preserve"> make payment </w:t>
      </w:r>
      <w:r w:rsidR="00CA3E24">
        <w:rPr>
          <w:rFonts w:cs="Arial"/>
          <w:szCs w:val="22"/>
          <w:lang w:val="en-GB" w:eastAsia="en-ZA"/>
        </w:rPr>
        <w:t xml:space="preserve">only if and </w:t>
      </w:r>
      <w:r w:rsidR="00683854" w:rsidRPr="00683854">
        <w:rPr>
          <w:rFonts w:cs="Arial"/>
          <w:szCs w:val="22"/>
          <w:lang w:val="en-GB" w:eastAsia="en-ZA"/>
        </w:rPr>
        <w:t>when it was possible to do so</w:t>
      </w:r>
      <w:r w:rsidR="00683854">
        <w:rPr>
          <w:rFonts w:cs="Arial"/>
          <w:szCs w:val="22"/>
          <w:lang w:val="en-GB" w:eastAsia="en-ZA"/>
        </w:rPr>
        <w:t xml:space="preserve">, </w:t>
      </w:r>
      <w:r w:rsidR="00683854" w:rsidRPr="00683854">
        <w:rPr>
          <w:rFonts w:cs="Arial"/>
          <w:szCs w:val="22"/>
          <w:lang w:val="en-GB" w:eastAsia="en-ZA"/>
        </w:rPr>
        <w:t>it is also alleged that a third party</w:t>
      </w:r>
      <w:r w:rsidR="00683854">
        <w:rPr>
          <w:rFonts w:cs="Arial"/>
          <w:szCs w:val="22"/>
          <w:lang w:val="en-GB" w:eastAsia="en-ZA"/>
        </w:rPr>
        <w:t xml:space="preserve">, </w:t>
      </w:r>
      <w:r w:rsidR="00D630E3">
        <w:rPr>
          <w:rFonts w:cs="Arial"/>
          <w:szCs w:val="22"/>
          <w:lang w:val="en-GB" w:eastAsia="en-ZA"/>
        </w:rPr>
        <w:t xml:space="preserve">namely </w:t>
      </w:r>
      <w:r w:rsidR="00683854">
        <w:rPr>
          <w:rFonts w:cs="Arial"/>
          <w:szCs w:val="22"/>
          <w:lang w:val="en-GB" w:eastAsia="en-ZA"/>
        </w:rPr>
        <w:t>CISA</w:t>
      </w:r>
      <w:r w:rsidR="00D630E3">
        <w:rPr>
          <w:rFonts w:cs="Arial"/>
          <w:szCs w:val="22"/>
          <w:lang w:val="en-GB" w:eastAsia="en-ZA"/>
        </w:rPr>
        <w:t>,</w:t>
      </w:r>
      <w:r w:rsidR="00683854" w:rsidRPr="00683854">
        <w:rPr>
          <w:rFonts w:cs="Arial"/>
          <w:szCs w:val="22"/>
          <w:lang w:val="en-GB" w:eastAsia="en-ZA"/>
        </w:rPr>
        <w:t xml:space="preserve"> would </w:t>
      </w:r>
      <w:r w:rsidR="00CA3E24">
        <w:rPr>
          <w:rFonts w:cs="Arial"/>
          <w:szCs w:val="22"/>
          <w:lang w:val="en-GB" w:eastAsia="en-ZA"/>
        </w:rPr>
        <w:t>“</w:t>
      </w:r>
      <w:r w:rsidR="00683854" w:rsidRPr="00683854">
        <w:rPr>
          <w:rFonts w:cs="Arial"/>
          <w:szCs w:val="22"/>
          <w:lang w:val="en-GB" w:eastAsia="en-ZA"/>
        </w:rPr>
        <w:t>intervene</w:t>
      </w:r>
      <w:r w:rsidR="00CA3E24">
        <w:rPr>
          <w:rFonts w:cs="Arial"/>
          <w:szCs w:val="22"/>
          <w:lang w:val="en-GB" w:eastAsia="en-ZA"/>
        </w:rPr>
        <w:t>”</w:t>
      </w:r>
      <w:r w:rsidR="00683854" w:rsidRPr="00683854">
        <w:rPr>
          <w:rFonts w:cs="Arial"/>
          <w:szCs w:val="22"/>
          <w:lang w:val="en-GB" w:eastAsia="en-ZA"/>
        </w:rPr>
        <w:t xml:space="preserve"> when necessary </w:t>
      </w:r>
      <w:r w:rsidR="009E1697">
        <w:rPr>
          <w:rFonts w:cs="Arial"/>
          <w:szCs w:val="22"/>
          <w:lang w:val="en-GB" w:eastAsia="en-ZA"/>
        </w:rPr>
        <w:t>t</w:t>
      </w:r>
      <w:r w:rsidR="00683854" w:rsidRPr="00683854">
        <w:rPr>
          <w:rFonts w:cs="Arial"/>
          <w:szCs w:val="22"/>
          <w:lang w:val="en-GB" w:eastAsia="en-ZA"/>
        </w:rPr>
        <w:t>o make payment to EDF</w:t>
      </w:r>
      <w:r w:rsidR="00683854">
        <w:rPr>
          <w:rFonts w:cs="Arial"/>
          <w:szCs w:val="22"/>
          <w:lang w:val="en-GB" w:eastAsia="en-ZA"/>
        </w:rPr>
        <w:t xml:space="preserve"> </w:t>
      </w:r>
      <w:r w:rsidR="00611F96">
        <w:rPr>
          <w:rFonts w:cs="Arial"/>
          <w:szCs w:val="22"/>
          <w:lang w:val="en-GB" w:eastAsia="en-ZA"/>
        </w:rPr>
        <w:t>if</w:t>
      </w:r>
      <w:r w:rsidR="00683854">
        <w:rPr>
          <w:rFonts w:cs="Arial"/>
          <w:szCs w:val="22"/>
          <w:lang w:val="en-GB" w:eastAsia="en-ZA"/>
        </w:rPr>
        <w:t xml:space="preserve"> </w:t>
      </w:r>
      <w:r w:rsidR="00683854" w:rsidRPr="00683854">
        <w:rPr>
          <w:rFonts w:cs="Arial"/>
          <w:szCs w:val="22"/>
          <w:lang w:val="en-GB" w:eastAsia="en-ZA"/>
        </w:rPr>
        <w:t>ABF w</w:t>
      </w:r>
      <w:r w:rsidR="00611F96">
        <w:rPr>
          <w:rFonts w:cs="Arial"/>
          <w:szCs w:val="22"/>
          <w:lang w:val="en-GB" w:eastAsia="en-ZA"/>
        </w:rPr>
        <w:t>ere</w:t>
      </w:r>
      <w:r w:rsidR="00683854" w:rsidRPr="00683854">
        <w:rPr>
          <w:rFonts w:cs="Arial"/>
          <w:szCs w:val="22"/>
          <w:lang w:val="en-GB" w:eastAsia="en-ZA"/>
        </w:rPr>
        <w:t xml:space="preserve"> unable to do so</w:t>
      </w:r>
      <w:r w:rsidR="00683854">
        <w:rPr>
          <w:rFonts w:cs="Arial"/>
          <w:szCs w:val="22"/>
          <w:lang w:val="en-GB" w:eastAsia="en-ZA"/>
        </w:rPr>
        <w:t xml:space="preserve">. </w:t>
      </w:r>
      <w:r w:rsidR="00683854" w:rsidRPr="00683854">
        <w:rPr>
          <w:rFonts w:cs="Arial"/>
          <w:szCs w:val="22"/>
          <w:lang w:val="en-GB" w:eastAsia="en-ZA"/>
        </w:rPr>
        <w:t>In other word</w:t>
      </w:r>
      <w:r w:rsidR="00683854">
        <w:rPr>
          <w:rFonts w:cs="Arial"/>
          <w:szCs w:val="22"/>
          <w:lang w:val="en-GB" w:eastAsia="en-ZA"/>
        </w:rPr>
        <w:t xml:space="preserve">s, </w:t>
      </w:r>
      <w:r w:rsidR="00683854" w:rsidRPr="00683854">
        <w:rPr>
          <w:rFonts w:cs="Arial"/>
          <w:szCs w:val="22"/>
          <w:lang w:val="en-GB" w:eastAsia="en-ZA"/>
        </w:rPr>
        <w:t>when it was not possible for ABF to pay then</w:t>
      </w:r>
      <w:r w:rsidR="00683854">
        <w:rPr>
          <w:rFonts w:cs="Arial"/>
          <w:szCs w:val="22"/>
          <w:lang w:val="en-GB" w:eastAsia="en-ZA"/>
        </w:rPr>
        <w:t xml:space="preserve"> CISA </w:t>
      </w:r>
      <w:r w:rsidR="00683854" w:rsidRPr="00683854">
        <w:rPr>
          <w:rFonts w:cs="Arial"/>
          <w:szCs w:val="22"/>
          <w:lang w:val="en-GB" w:eastAsia="en-ZA"/>
        </w:rPr>
        <w:t>would step into its shoes and make the payment</w:t>
      </w:r>
      <w:r w:rsidR="00683854">
        <w:rPr>
          <w:rFonts w:cs="Arial"/>
          <w:szCs w:val="22"/>
          <w:lang w:val="en-GB" w:eastAsia="en-ZA"/>
        </w:rPr>
        <w:t xml:space="preserve">. </w:t>
      </w:r>
      <w:r w:rsidR="00CA3E24">
        <w:rPr>
          <w:rFonts w:cs="Arial"/>
          <w:szCs w:val="22"/>
          <w:lang w:val="en-GB" w:eastAsia="en-ZA"/>
        </w:rPr>
        <w:t>There would be no need to wait because CISA “guaranteed” payment.</w:t>
      </w:r>
    </w:p>
    <w:p w14:paraId="43297065" w14:textId="03F6810E" w:rsidR="00884B89" w:rsidRPr="00661812" w:rsidRDefault="00683854" w:rsidP="00D630E3">
      <w:pPr>
        <w:widowControl w:val="0"/>
        <w:autoSpaceDE w:val="0"/>
        <w:autoSpaceDN w:val="0"/>
        <w:adjustRightInd w:val="0"/>
        <w:spacing w:before="480" w:after="480" w:line="360" w:lineRule="auto"/>
        <w:jc w:val="both"/>
        <w:rPr>
          <w:rFonts w:cs="Arial"/>
          <w:i/>
          <w:iCs/>
          <w:szCs w:val="22"/>
          <w:lang w:eastAsia="en-ZA"/>
        </w:rPr>
      </w:pPr>
      <w:r w:rsidRPr="00683854">
        <w:rPr>
          <w:rFonts w:cs="Arial"/>
          <w:szCs w:val="22"/>
          <w:lang w:val="en-GB" w:eastAsia="en-ZA"/>
        </w:rPr>
        <w:t xml:space="preserve">On this version there would be no reason to postpone payment indefinitely </w:t>
      </w:r>
      <w:r>
        <w:rPr>
          <w:rFonts w:cs="Arial"/>
          <w:szCs w:val="22"/>
          <w:lang w:val="en-GB" w:eastAsia="en-ZA"/>
        </w:rPr>
        <w:t>until</w:t>
      </w:r>
      <w:r w:rsidRPr="00683854">
        <w:rPr>
          <w:rFonts w:cs="Arial"/>
          <w:szCs w:val="22"/>
          <w:lang w:val="en-GB" w:eastAsia="en-ZA"/>
        </w:rPr>
        <w:t xml:space="preserve"> ABF was able to pay</w:t>
      </w:r>
      <w:r>
        <w:rPr>
          <w:rFonts w:cs="Arial"/>
          <w:szCs w:val="22"/>
          <w:lang w:val="en-GB" w:eastAsia="en-ZA"/>
        </w:rPr>
        <w:t xml:space="preserve"> </w:t>
      </w:r>
      <w:r w:rsidRPr="00683854">
        <w:rPr>
          <w:rFonts w:cs="Arial"/>
          <w:szCs w:val="22"/>
          <w:lang w:val="en-GB" w:eastAsia="en-ZA"/>
        </w:rPr>
        <w:t xml:space="preserve">as </w:t>
      </w:r>
      <w:r>
        <w:rPr>
          <w:rFonts w:cs="Arial"/>
          <w:szCs w:val="22"/>
          <w:lang w:val="en-GB" w:eastAsia="en-ZA"/>
        </w:rPr>
        <w:t xml:space="preserve">CISA </w:t>
      </w:r>
      <w:r w:rsidRPr="00683854">
        <w:rPr>
          <w:rFonts w:cs="Arial"/>
          <w:szCs w:val="22"/>
          <w:lang w:val="en-GB" w:eastAsia="en-ZA"/>
        </w:rPr>
        <w:t>would be as a guarantor</w:t>
      </w:r>
      <w:r w:rsidR="009E1697">
        <w:rPr>
          <w:rFonts w:cs="Arial"/>
          <w:szCs w:val="22"/>
          <w:lang w:val="en-GB" w:eastAsia="en-ZA"/>
        </w:rPr>
        <w:t xml:space="preserve"> and would pay if and when ABF could not</w:t>
      </w:r>
      <w:r>
        <w:rPr>
          <w:rFonts w:cs="Arial"/>
          <w:szCs w:val="22"/>
          <w:lang w:val="en-GB" w:eastAsia="en-ZA"/>
        </w:rPr>
        <w:t xml:space="preserve">. </w:t>
      </w:r>
      <w:r w:rsidRPr="00683854">
        <w:rPr>
          <w:rFonts w:cs="Arial"/>
          <w:szCs w:val="22"/>
          <w:lang w:val="en-GB" w:eastAsia="en-ZA"/>
        </w:rPr>
        <w:t>This apparent discrepancy however need not be decided upon in this application</w:t>
      </w:r>
      <w:r>
        <w:rPr>
          <w:rFonts w:cs="Arial"/>
          <w:szCs w:val="22"/>
          <w:lang w:val="en-GB" w:eastAsia="en-ZA"/>
        </w:rPr>
        <w:t>.</w:t>
      </w:r>
    </w:p>
    <w:p w14:paraId="0E2E03C5" w14:textId="1BF7AE11" w:rsidR="00222343" w:rsidRPr="00222343"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222343">
        <w:rPr>
          <w:rFonts w:cs="Arial"/>
          <w:iCs/>
          <w:szCs w:val="22"/>
          <w:lang w:eastAsia="en-ZA"/>
        </w:rPr>
        <w:t>[7]</w:t>
      </w:r>
      <w:r w:rsidRPr="00222343">
        <w:rPr>
          <w:rFonts w:cs="Arial"/>
          <w:iCs/>
          <w:szCs w:val="22"/>
          <w:lang w:eastAsia="en-ZA"/>
        </w:rPr>
        <w:tab/>
      </w:r>
      <w:r w:rsidR="009E1697">
        <w:rPr>
          <w:rFonts w:cs="Arial"/>
          <w:szCs w:val="22"/>
          <w:lang w:eastAsia="en-ZA"/>
        </w:rPr>
        <w:t xml:space="preserve">It is common cause that </w:t>
      </w:r>
      <w:r w:rsidR="009E1697" w:rsidRPr="00837BEE">
        <w:rPr>
          <w:rFonts w:cs="Arial"/>
          <w:szCs w:val="22"/>
          <w:lang w:eastAsia="en-ZA"/>
        </w:rPr>
        <w:t>€</w:t>
      </w:r>
      <w:r w:rsidR="009E1697" w:rsidRPr="00D9304D">
        <w:rPr>
          <w:rFonts w:cs="Arial"/>
          <w:szCs w:val="22"/>
          <w:lang w:val="en-GB" w:eastAsia="en-ZA"/>
        </w:rPr>
        <w:t>20,000</w:t>
      </w:r>
      <w:r w:rsidR="009E1697">
        <w:rPr>
          <w:rFonts w:cs="Arial"/>
          <w:szCs w:val="22"/>
          <w:lang w:val="en-GB" w:eastAsia="en-ZA"/>
        </w:rPr>
        <w:t xml:space="preserve"> was paid towards the indebtedness</w:t>
      </w:r>
      <w:r w:rsidR="00222343">
        <w:rPr>
          <w:rFonts w:cs="Arial"/>
          <w:szCs w:val="22"/>
          <w:lang w:val="en-GB" w:eastAsia="en-ZA"/>
        </w:rPr>
        <w:t xml:space="preserve"> in December 2019 and January 2020</w:t>
      </w:r>
      <w:r w:rsidR="009E1697">
        <w:rPr>
          <w:rFonts w:cs="Arial"/>
          <w:szCs w:val="22"/>
          <w:lang w:val="en-GB" w:eastAsia="en-ZA"/>
        </w:rPr>
        <w:t xml:space="preserve">. </w:t>
      </w:r>
      <w:r w:rsidR="00222343">
        <w:rPr>
          <w:rFonts w:cs="Arial"/>
          <w:szCs w:val="22"/>
          <w:lang w:val="en-GB" w:eastAsia="en-ZA"/>
        </w:rPr>
        <w:t>No further payments were forthcoming. Two years later, i</w:t>
      </w:r>
      <w:r w:rsidR="009E1697">
        <w:rPr>
          <w:rFonts w:cs="Arial"/>
          <w:szCs w:val="22"/>
          <w:lang w:val="en-GB" w:eastAsia="en-ZA"/>
        </w:rPr>
        <w:t xml:space="preserve">n January 2022 </w:t>
      </w:r>
      <w:r w:rsidR="0030744F">
        <w:rPr>
          <w:rFonts w:cs="Arial"/>
          <w:szCs w:val="22"/>
          <w:lang w:eastAsia="en-ZA"/>
        </w:rPr>
        <w:t>EDF</w:t>
      </w:r>
      <w:r w:rsidR="009E1697">
        <w:rPr>
          <w:rFonts w:cs="Arial"/>
          <w:szCs w:val="22"/>
          <w:lang w:eastAsia="en-ZA"/>
        </w:rPr>
        <w:t xml:space="preserve"> </w:t>
      </w:r>
      <w:r w:rsidR="00837BEE">
        <w:rPr>
          <w:rFonts w:cs="Arial"/>
          <w:szCs w:val="22"/>
          <w:lang w:eastAsia="en-ZA"/>
        </w:rPr>
        <w:t>launched</w:t>
      </w:r>
      <w:r w:rsidR="0030744F">
        <w:rPr>
          <w:rFonts w:cs="Arial"/>
          <w:szCs w:val="22"/>
          <w:lang w:eastAsia="en-ZA"/>
        </w:rPr>
        <w:t xml:space="preserve"> an application </w:t>
      </w:r>
      <w:r w:rsidR="00837BEE" w:rsidRPr="00837BEE">
        <w:rPr>
          <w:rFonts w:cs="Arial"/>
          <w:szCs w:val="22"/>
          <w:lang w:eastAsia="en-ZA"/>
        </w:rPr>
        <w:t>seeking payment of €28,00</w:t>
      </w:r>
      <w:r w:rsidR="00837BEE">
        <w:rPr>
          <w:rFonts w:cs="Arial"/>
          <w:szCs w:val="22"/>
          <w:lang w:eastAsia="en-ZA"/>
        </w:rPr>
        <w:t xml:space="preserve">0 </w:t>
      </w:r>
      <w:r w:rsidR="00837BEE" w:rsidRPr="00837BEE">
        <w:rPr>
          <w:rFonts w:cs="Arial"/>
          <w:szCs w:val="22"/>
          <w:lang w:val="en-GB" w:eastAsia="en-ZA"/>
        </w:rPr>
        <w:t>together with interest</w:t>
      </w:r>
      <w:r w:rsidR="009E1697">
        <w:rPr>
          <w:rFonts w:cs="Arial"/>
          <w:szCs w:val="22"/>
          <w:lang w:val="en-GB" w:eastAsia="en-ZA"/>
        </w:rPr>
        <w:t xml:space="preserve"> from </w:t>
      </w:r>
      <w:r w:rsidR="00667EDC">
        <w:rPr>
          <w:rFonts w:cs="Arial"/>
          <w:szCs w:val="22"/>
          <w:lang w:val="en-GB" w:eastAsia="en-ZA"/>
        </w:rPr>
        <w:t>ABF</w:t>
      </w:r>
      <w:r w:rsidR="009E1697">
        <w:rPr>
          <w:rFonts w:cs="Arial"/>
          <w:szCs w:val="22"/>
          <w:lang w:val="en-GB" w:eastAsia="en-ZA"/>
        </w:rPr>
        <w:t>.</w:t>
      </w:r>
      <w:r w:rsidR="005F6338">
        <w:rPr>
          <w:rFonts w:cs="Arial"/>
          <w:szCs w:val="22"/>
          <w:lang w:val="en-GB" w:eastAsia="en-ZA"/>
        </w:rPr>
        <w:t xml:space="preserve"> </w:t>
      </w:r>
      <w:r w:rsidR="00D630E3">
        <w:rPr>
          <w:rFonts w:cs="Arial"/>
          <w:szCs w:val="22"/>
          <w:lang w:val="en-GB" w:eastAsia="en-ZA"/>
        </w:rPr>
        <w:t xml:space="preserve">This joinder application was foreshadowed in the </w:t>
      </w:r>
      <w:r w:rsidR="009E1697">
        <w:rPr>
          <w:rFonts w:cs="Arial"/>
          <w:szCs w:val="22"/>
          <w:lang w:val="en-GB" w:eastAsia="en-ZA"/>
        </w:rPr>
        <w:t xml:space="preserve">answering affidavit </w:t>
      </w:r>
      <w:r w:rsidR="00D630E3">
        <w:rPr>
          <w:rFonts w:cs="Arial"/>
          <w:szCs w:val="22"/>
          <w:lang w:val="en-GB" w:eastAsia="en-ZA"/>
        </w:rPr>
        <w:t>of</w:t>
      </w:r>
      <w:r w:rsidR="009E1697">
        <w:rPr>
          <w:rFonts w:cs="Arial"/>
          <w:szCs w:val="22"/>
          <w:lang w:val="en-GB" w:eastAsia="en-ZA"/>
        </w:rPr>
        <w:t xml:space="preserve"> February 2022</w:t>
      </w:r>
      <w:r w:rsidR="00D630E3">
        <w:rPr>
          <w:rFonts w:cs="Arial"/>
          <w:szCs w:val="22"/>
          <w:lang w:val="en-GB" w:eastAsia="en-ZA"/>
        </w:rPr>
        <w:t>.</w:t>
      </w:r>
      <w:r w:rsidR="00517067">
        <w:rPr>
          <w:rFonts w:cs="Arial"/>
          <w:szCs w:val="22"/>
          <w:lang w:val="en-GB" w:eastAsia="en-ZA"/>
        </w:rPr>
        <w:t xml:space="preserve"> </w:t>
      </w:r>
      <w:r w:rsidR="00222343">
        <w:rPr>
          <w:rFonts w:cs="Arial"/>
          <w:szCs w:val="22"/>
          <w:lang w:val="en-GB" w:eastAsia="en-ZA"/>
        </w:rPr>
        <w:t>EDF filed a</w:t>
      </w:r>
      <w:r w:rsidR="00222343" w:rsidRPr="00517067">
        <w:rPr>
          <w:rFonts w:cs="Arial"/>
          <w:szCs w:val="22"/>
          <w:lang w:val="en-GB" w:eastAsia="en-ZA"/>
        </w:rPr>
        <w:t xml:space="preserve"> replying affidavit in March 202</w:t>
      </w:r>
      <w:r w:rsidR="00222343">
        <w:rPr>
          <w:rFonts w:cs="Arial"/>
          <w:szCs w:val="22"/>
          <w:lang w:val="en-GB" w:eastAsia="en-ZA"/>
        </w:rPr>
        <w:t>2.</w:t>
      </w:r>
    </w:p>
    <w:p w14:paraId="039989EE" w14:textId="40DEE43B" w:rsidR="00222343" w:rsidRPr="00222343" w:rsidRDefault="00517067" w:rsidP="00222343">
      <w:pPr>
        <w:widowControl w:val="0"/>
        <w:autoSpaceDE w:val="0"/>
        <w:autoSpaceDN w:val="0"/>
        <w:adjustRightInd w:val="0"/>
        <w:spacing w:before="480" w:after="480" w:line="360" w:lineRule="auto"/>
        <w:jc w:val="both"/>
        <w:rPr>
          <w:rFonts w:cs="Arial"/>
          <w:i/>
          <w:iCs/>
          <w:szCs w:val="22"/>
          <w:lang w:eastAsia="en-ZA"/>
        </w:rPr>
      </w:pPr>
      <w:r>
        <w:rPr>
          <w:rFonts w:cs="Arial"/>
          <w:szCs w:val="22"/>
          <w:lang w:val="en-GB" w:eastAsia="en-ZA"/>
        </w:rPr>
        <w:lastRenderedPageBreak/>
        <w:t>A</w:t>
      </w:r>
      <w:r w:rsidR="00667EDC">
        <w:rPr>
          <w:rFonts w:cs="Arial"/>
          <w:szCs w:val="22"/>
          <w:lang w:val="en-GB" w:eastAsia="en-ZA"/>
        </w:rPr>
        <w:t>B</w:t>
      </w:r>
      <w:r>
        <w:rPr>
          <w:rFonts w:cs="Arial"/>
          <w:szCs w:val="22"/>
          <w:lang w:val="en-GB" w:eastAsia="en-ZA"/>
        </w:rPr>
        <w:t xml:space="preserve">F </w:t>
      </w:r>
      <w:r w:rsidRPr="00517067">
        <w:rPr>
          <w:rFonts w:cs="Arial"/>
          <w:szCs w:val="22"/>
          <w:lang w:val="en-GB" w:eastAsia="en-ZA"/>
        </w:rPr>
        <w:t>also filed</w:t>
      </w:r>
      <w:r>
        <w:rPr>
          <w:rFonts w:cs="Arial"/>
          <w:szCs w:val="22"/>
          <w:lang w:val="en-GB" w:eastAsia="en-ZA"/>
        </w:rPr>
        <w:t xml:space="preserve"> </w:t>
      </w:r>
      <w:r w:rsidR="005E5DC1">
        <w:rPr>
          <w:rFonts w:cs="Arial"/>
          <w:szCs w:val="22"/>
          <w:lang w:val="en-GB" w:eastAsia="en-ZA"/>
        </w:rPr>
        <w:t xml:space="preserve">copies of </w:t>
      </w:r>
      <w:r w:rsidRPr="00517067">
        <w:rPr>
          <w:rFonts w:cs="Arial"/>
          <w:szCs w:val="22"/>
          <w:lang w:val="en-GB" w:eastAsia="en-ZA"/>
        </w:rPr>
        <w:t>the papers in a</w:t>
      </w:r>
      <w:r w:rsidR="005E5DC1">
        <w:rPr>
          <w:rFonts w:cs="Arial"/>
          <w:szCs w:val="22"/>
          <w:lang w:val="en-GB" w:eastAsia="en-ZA"/>
        </w:rPr>
        <w:t xml:space="preserve"> separate</w:t>
      </w:r>
      <w:r w:rsidRPr="00517067">
        <w:rPr>
          <w:rFonts w:cs="Arial"/>
          <w:szCs w:val="22"/>
          <w:lang w:val="en-GB" w:eastAsia="en-ZA"/>
        </w:rPr>
        <w:t xml:space="preserve"> application between</w:t>
      </w:r>
      <w:r>
        <w:rPr>
          <w:rFonts w:cs="Arial"/>
          <w:szCs w:val="22"/>
          <w:lang w:val="en-GB" w:eastAsia="en-ZA"/>
        </w:rPr>
        <w:t xml:space="preserve"> CISA </w:t>
      </w:r>
      <w:r w:rsidRPr="00517067">
        <w:rPr>
          <w:rFonts w:cs="Arial"/>
          <w:szCs w:val="22"/>
          <w:lang w:val="en-GB" w:eastAsia="en-ZA"/>
        </w:rPr>
        <w:t>as applicant</w:t>
      </w:r>
      <w:r>
        <w:rPr>
          <w:rFonts w:cs="Arial"/>
          <w:szCs w:val="22"/>
          <w:lang w:val="en-GB" w:eastAsia="en-ZA"/>
        </w:rPr>
        <w:t xml:space="preserve"> </w:t>
      </w:r>
      <w:r w:rsidRPr="00517067">
        <w:rPr>
          <w:rFonts w:cs="Arial"/>
          <w:szCs w:val="22"/>
          <w:lang w:val="en-GB" w:eastAsia="en-ZA"/>
        </w:rPr>
        <w:t>and</w:t>
      </w:r>
      <w:r>
        <w:rPr>
          <w:rFonts w:cs="Arial"/>
          <w:szCs w:val="22"/>
          <w:lang w:val="en-GB" w:eastAsia="en-ZA"/>
        </w:rPr>
        <w:t xml:space="preserve"> A</w:t>
      </w:r>
      <w:r w:rsidR="00667EDC">
        <w:rPr>
          <w:rFonts w:cs="Arial"/>
          <w:szCs w:val="22"/>
          <w:lang w:val="en-GB" w:eastAsia="en-ZA"/>
        </w:rPr>
        <w:t>B</w:t>
      </w:r>
      <w:r>
        <w:rPr>
          <w:rFonts w:cs="Arial"/>
          <w:szCs w:val="22"/>
          <w:lang w:val="en-GB" w:eastAsia="en-ZA"/>
        </w:rPr>
        <w:t xml:space="preserve">F </w:t>
      </w:r>
      <w:r w:rsidRPr="00517067">
        <w:rPr>
          <w:rFonts w:cs="Arial"/>
          <w:szCs w:val="22"/>
          <w:lang w:val="en-GB" w:eastAsia="en-ZA"/>
        </w:rPr>
        <w:t xml:space="preserve">as </w:t>
      </w:r>
      <w:r>
        <w:rPr>
          <w:rFonts w:cs="Arial"/>
          <w:szCs w:val="22"/>
          <w:lang w:val="en-GB" w:eastAsia="en-ZA"/>
        </w:rPr>
        <w:t>r</w:t>
      </w:r>
      <w:r w:rsidRPr="00517067">
        <w:rPr>
          <w:rFonts w:cs="Arial"/>
          <w:szCs w:val="22"/>
          <w:lang w:val="en-GB" w:eastAsia="en-ZA"/>
        </w:rPr>
        <w:t>espondent</w:t>
      </w:r>
      <w:r>
        <w:rPr>
          <w:rFonts w:cs="Arial"/>
          <w:szCs w:val="22"/>
          <w:lang w:val="en-GB" w:eastAsia="en-ZA"/>
        </w:rPr>
        <w:t xml:space="preserve"> </w:t>
      </w:r>
      <w:r w:rsidRPr="00517067">
        <w:rPr>
          <w:rFonts w:cs="Arial"/>
          <w:szCs w:val="22"/>
          <w:lang w:val="en-GB" w:eastAsia="en-ZA"/>
        </w:rPr>
        <w:t>pending in the</w:t>
      </w:r>
      <w:r>
        <w:rPr>
          <w:rFonts w:cs="Arial"/>
          <w:szCs w:val="22"/>
          <w:lang w:val="en-GB" w:eastAsia="en-ZA"/>
        </w:rPr>
        <w:t xml:space="preserve"> Gauteng </w:t>
      </w:r>
      <w:r w:rsidRPr="00517067">
        <w:rPr>
          <w:rFonts w:cs="Arial"/>
          <w:szCs w:val="22"/>
          <w:lang w:val="en-GB" w:eastAsia="en-ZA"/>
        </w:rPr>
        <w:t>Division</w:t>
      </w:r>
      <w:r>
        <w:rPr>
          <w:rFonts w:cs="Arial"/>
          <w:szCs w:val="22"/>
          <w:lang w:val="en-GB" w:eastAsia="en-ZA"/>
        </w:rPr>
        <w:t xml:space="preserve">, Johannesburg, </w:t>
      </w:r>
      <w:r w:rsidRPr="00517067">
        <w:rPr>
          <w:rFonts w:cs="Arial"/>
          <w:szCs w:val="22"/>
          <w:lang w:val="en-GB" w:eastAsia="en-ZA"/>
        </w:rPr>
        <w:t>under case number</w:t>
      </w:r>
      <w:r>
        <w:rPr>
          <w:rFonts w:cs="Arial"/>
          <w:szCs w:val="22"/>
          <w:lang w:val="en-GB" w:eastAsia="en-ZA"/>
        </w:rPr>
        <w:t xml:space="preserve"> 2021/26828. </w:t>
      </w:r>
    </w:p>
    <w:p w14:paraId="274B4082" w14:textId="7D360200" w:rsidR="00285F28" w:rsidRPr="00285F28"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285F28">
        <w:rPr>
          <w:rFonts w:cs="Arial"/>
          <w:iCs/>
          <w:szCs w:val="22"/>
          <w:lang w:eastAsia="en-ZA"/>
        </w:rPr>
        <w:t>[8]</w:t>
      </w:r>
      <w:r w:rsidRPr="00285F28">
        <w:rPr>
          <w:rFonts w:cs="Arial"/>
          <w:iCs/>
          <w:szCs w:val="22"/>
          <w:lang w:eastAsia="en-ZA"/>
        </w:rPr>
        <w:tab/>
      </w:r>
      <w:r w:rsidR="00285F28">
        <w:rPr>
          <w:rFonts w:cs="Arial"/>
          <w:szCs w:val="22"/>
          <w:lang w:eastAsia="en-ZA"/>
        </w:rPr>
        <w:t>In March 2022 ABF launched an application in terms of rule 30 and 30A, arguing that an affidavit by a commissioner of oaths setting out how EDF’s affidavits were commissioned by video link</w:t>
      </w:r>
      <w:r w:rsidR="009719EA">
        <w:rPr>
          <w:rFonts w:cs="Arial"/>
          <w:szCs w:val="22"/>
          <w:lang w:eastAsia="en-ZA"/>
        </w:rPr>
        <w:t xml:space="preserve"> as well as the founding affidavits</w:t>
      </w:r>
      <w:r w:rsidR="005E5DC1">
        <w:rPr>
          <w:rFonts w:cs="Arial"/>
          <w:szCs w:val="22"/>
          <w:lang w:eastAsia="en-ZA"/>
        </w:rPr>
        <w:t xml:space="preserve"> ought to</w:t>
      </w:r>
      <w:r w:rsidR="009719EA">
        <w:rPr>
          <w:rFonts w:cs="Arial"/>
          <w:szCs w:val="22"/>
          <w:lang w:eastAsia="en-ZA"/>
        </w:rPr>
        <w:t xml:space="preserve"> be struck out. The application was heard by Moultrie AJ and was dismissed with costs.</w:t>
      </w:r>
    </w:p>
    <w:p w14:paraId="664D78D1" w14:textId="7920DFC8" w:rsidR="00466300" w:rsidRPr="00661812"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661812">
        <w:rPr>
          <w:rFonts w:cs="Arial"/>
          <w:iCs/>
          <w:szCs w:val="22"/>
          <w:lang w:eastAsia="en-ZA"/>
        </w:rPr>
        <w:t>[9]</w:t>
      </w:r>
      <w:r w:rsidRPr="00661812">
        <w:rPr>
          <w:rFonts w:cs="Arial"/>
          <w:iCs/>
          <w:szCs w:val="22"/>
          <w:lang w:eastAsia="en-ZA"/>
        </w:rPr>
        <w:tab/>
      </w:r>
      <w:r w:rsidR="00611F96">
        <w:rPr>
          <w:rFonts w:cs="Arial"/>
          <w:szCs w:val="22"/>
          <w:lang w:val="en-GB" w:eastAsia="en-ZA"/>
        </w:rPr>
        <w:t>In February 2023 ABF launched this application to join CISA as a second respondent in the main application where ABF is cited as the first respondent.</w:t>
      </w:r>
      <w:r w:rsidR="00667EDC">
        <w:rPr>
          <w:rFonts w:cs="Arial"/>
          <w:szCs w:val="22"/>
          <w:lang w:val="en-GB" w:eastAsia="en-ZA"/>
        </w:rPr>
        <w:t xml:space="preserve"> The application was launched a year after it was foreshadowed in the answering affidavit.</w:t>
      </w:r>
    </w:p>
    <w:p w14:paraId="4B1115A6" w14:textId="77777777" w:rsidR="000A1522" w:rsidRDefault="000A1522" w:rsidP="00A3283B">
      <w:pPr>
        <w:widowControl w:val="0"/>
        <w:autoSpaceDE w:val="0"/>
        <w:autoSpaceDN w:val="0"/>
        <w:adjustRightInd w:val="0"/>
        <w:spacing w:before="480" w:after="480" w:line="360" w:lineRule="auto"/>
        <w:jc w:val="both"/>
        <w:rPr>
          <w:rFonts w:cs="Arial"/>
          <w:szCs w:val="22"/>
          <w:u w:val="single"/>
          <w:lang w:eastAsia="en-ZA"/>
        </w:rPr>
      </w:pPr>
    </w:p>
    <w:p w14:paraId="17840B0A" w14:textId="05DDABC8" w:rsidR="00466300" w:rsidRPr="000A1522" w:rsidRDefault="000A1522" w:rsidP="00A3283B">
      <w:pPr>
        <w:widowControl w:val="0"/>
        <w:autoSpaceDE w:val="0"/>
        <w:autoSpaceDN w:val="0"/>
        <w:adjustRightInd w:val="0"/>
        <w:spacing w:before="480" w:after="480" w:line="360" w:lineRule="auto"/>
        <w:jc w:val="both"/>
        <w:rPr>
          <w:rFonts w:cs="Arial"/>
          <w:i/>
          <w:iCs/>
          <w:szCs w:val="22"/>
          <w:u w:val="single"/>
          <w:lang w:eastAsia="en-ZA"/>
        </w:rPr>
      </w:pPr>
      <w:r w:rsidRPr="000A1522">
        <w:rPr>
          <w:rFonts w:cs="Arial"/>
          <w:szCs w:val="22"/>
          <w:u w:val="single"/>
          <w:lang w:eastAsia="en-ZA"/>
        </w:rPr>
        <w:t xml:space="preserve">Service of the </w:t>
      </w:r>
      <w:r w:rsidR="002208C5">
        <w:rPr>
          <w:rFonts w:cs="Arial"/>
          <w:szCs w:val="22"/>
          <w:u w:val="single"/>
          <w:lang w:eastAsia="en-ZA"/>
        </w:rPr>
        <w:t xml:space="preserve">joinder </w:t>
      </w:r>
      <w:r w:rsidRPr="000A1522">
        <w:rPr>
          <w:rFonts w:cs="Arial"/>
          <w:szCs w:val="22"/>
          <w:u w:val="single"/>
          <w:lang w:eastAsia="en-ZA"/>
        </w:rPr>
        <w:t>application</w:t>
      </w:r>
    </w:p>
    <w:p w14:paraId="32C80BA5" w14:textId="3E485CE7" w:rsidR="00466300" w:rsidRPr="002208C5" w:rsidRDefault="00C47A6D" w:rsidP="00C47A6D">
      <w:pPr>
        <w:widowControl w:val="0"/>
        <w:tabs>
          <w:tab w:val="left" w:pos="567"/>
        </w:tabs>
        <w:autoSpaceDE w:val="0"/>
        <w:autoSpaceDN w:val="0"/>
        <w:adjustRightInd w:val="0"/>
        <w:spacing w:before="480" w:after="480" w:line="360" w:lineRule="auto"/>
        <w:jc w:val="both"/>
        <w:rPr>
          <w:rFonts w:cs="Arial"/>
          <w:i/>
          <w:iCs/>
          <w:szCs w:val="22"/>
          <w:lang w:eastAsia="en-ZA"/>
        </w:rPr>
      </w:pPr>
      <w:r w:rsidRPr="002208C5">
        <w:rPr>
          <w:rFonts w:cs="Arial"/>
          <w:iCs/>
          <w:szCs w:val="22"/>
          <w:lang w:eastAsia="en-ZA"/>
        </w:rPr>
        <w:t>[10]</w:t>
      </w:r>
      <w:r w:rsidRPr="002208C5">
        <w:rPr>
          <w:rFonts w:cs="Arial"/>
          <w:iCs/>
          <w:szCs w:val="22"/>
          <w:lang w:eastAsia="en-ZA"/>
        </w:rPr>
        <w:tab/>
      </w:r>
      <w:r w:rsidR="002208C5">
        <w:rPr>
          <w:rFonts w:cs="Arial"/>
          <w:szCs w:val="22"/>
          <w:lang w:eastAsia="en-ZA"/>
        </w:rPr>
        <w:t xml:space="preserve">CISA is an Italian company and it does not have a place of business in South Africa. </w:t>
      </w:r>
      <w:r w:rsidR="002208C5" w:rsidRPr="002208C5">
        <w:rPr>
          <w:rFonts w:cs="Arial"/>
          <w:szCs w:val="22"/>
          <w:lang w:eastAsia="en-ZA"/>
        </w:rPr>
        <w:t xml:space="preserve">ABF </w:t>
      </w:r>
      <w:r w:rsidR="002208C5" w:rsidRPr="002208C5">
        <w:rPr>
          <w:rFonts w:cs="Arial"/>
          <w:szCs w:val="22"/>
          <w:lang w:val="en-GB" w:eastAsia="en-ZA"/>
        </w:rPr>
        <w:t>elected not to bring an application for edictal citation</w:t>
      </w:r>
      <w:r w:rsidR="002208C5">
        <w:rPr>
          <w:rFonts w:cs="Arial"/>
          <w:szCs w:val="22"/>
          <w:lang w:val="en-GB" w:eastAsia="en-ZA"/>
        </w:rPr>
        <w:t xml:space="preserve"> </w:t>
      </w:r>
      <w:r w:rsidR="002208C5" w:rsidRPr="002208C5">
        <w:rPr>
          <w:rFonts w:cs="Arial"/>
          <w:szCs w:val="22"/>
          <w:lang w:val="en-GB" w:eastAsia="en-ZA"/>
        </w:rPr>
        <w:t xml:space="preserve">in terms of rule </w:t>
      </w:r>
      <w:r w:rsidR="002208C5">
        <w:rPr>
          <w:rFonts w:cs="Arial"/>
          <w:szCs w:val="22"/>
          <w:lang w:val="en-GB" w:eastAsia="en-ZA"/>
        </w:rPr>
        <w:t>5</w:t>
      </w:r>
      <w:r w:rsidR="002208C5" w:rsidRPr="002208C5">
        <w:rPr>
          <w:rFonts w:cs="Arial"/>
          <w:szCs w:val="22"/>
          <w:lang w:val="en-GB" w:eastAsia="en-ZA"/>
        </w:rPr>
        <w:t xml:space="preserve"> of the uniform rules</w:t>
      </w:r>
      <w:r w:rsidR="002208C5">
        <w:rPr>
          <w:rFonts w:cs="Arial"/>
          <w:szCs w:val="22"/>
          <w:lang w:val="en-GB" w:eastAsia="en-ZA"/>
        </w:rPr>
        <w:t>. The rule reads as follows:</w:t>
      </w:r>
    </w:p>
    <w:p w14:paraId="3932319A" w14:textId="0A4D8E55" w:rsidR="002208C5" w:rsidRPr="002208C5" w:rsidRDefault="002208C5" w:rsidP="00A3283B">
      <w:pPr>
        <w:spacing w:line="360" w:lineRule="auto"/>
        <w:ind w:left="720"/>
        <w:jc w:val="both"/>
        <w:rPr>
          <w:i/>
          <w:iCs/>
          <w:lang w:eastAsia="en-ZA"/>
        </w:rPr>
      </w:pPr>
      <w:r w:rsidRPr="002208C5">
        <w:rPr>
          <w:i/>
          <w:iCs/>
          <w:lang w:eastAsia="en-ZA"/>
        </w:rPr>
        <w:t>“(1) Save by leave of the court no process or document whereby proceedings are instituted shall be served outside the Republic.</w:t>
      </w:r>
    </w:p>
    <w:p w14:paraId="55A5AFFE" w14:textId="77777777" w:rsidR="002208C5" w:rsidRPr="002208C5" w:rsidRDefault="002208C5" w:rsidP="00A3283B">
      <w:pPr>
        <w:spacing w:line="360" w:lineRule="auto"/>
        <w:ind w:left="720"/>
        <w:jc w:val="both"/>
        <w:rPr>
          <w:i/>
          <w:iCs/>
          <w:lang w:eastAsia="en-ZA"/>
        </w:rPr>
      </w:pPr>
      <w:r w:rsidRPr="002208C5">
        <w:rPr>
          <w:i/>
          <w:iCs/>
          <w:lang w:eastAsia="en-ZA"/>
        </w:rPr>
        <w:t>(2) Any person desiring to obtain such leave shall make application to the court setting forth concisely the nature and extent of his claim, the grounds upon which it is based and upon which the court has jurisdiction to entertain the claim and also the manner of service which the court is asked to authorize. If such manner be other than personal service, the application shall further set forth the last-known whereabouts of the person to be served and the inquiries made to ascertain his present whereabouts. Upon such application the court may make such order as to the manner of service as to it seems meet and shall further order the time within which notice of intention to defend is to be given or any other step that is to be taken by the person to be served. Where service by publication is ordered, it may be in a form as near as may be in accordance with Form 1 of the First Schedule, approved and signed by the registrar.</w:t>
      </w:r>
    </w:p>
    <w:p w14:paraId="505D9550" w14:textId="547710A5" w:rsidR="002208C5" w:rsidRPr="002208C5" w:rsidRDefault="002208C5" w:rsidP="00A3283B">
      <w:pPr>
        <w:spacing w:line="360" w:lineRule="auto"/>
        <w:ind w:left="720"/>
        <w:jc w:val="both"/>
        <w:rPr>
          <w:i/>
          <w:iCs/>
          <w:lang w:eastAsia="en-ZA"/>
        </w:rPr>
      </w:pPr>
      <w:r w:rsidRPr="002208C5">
        <w:rPr>
          <w:i/>
          <w:iCs/>
          <w:lang w:eastAsia="en-ZA"/>
        </w:rPr>
        <w:lastRenderedPageBreak/>
        <w:t>(3) Any person desiring to obtain leave to effect service outside the Republic of any document other than one whereby proceedings are instituted, may either make application for such leave in terms of subrule (2) or request such leave at any hearing at which the court is dealing with the matter, in which latter event no papers need be filed in support of such request, and the court may act upon such information as may be given from the bar or given in such other manner as it may require, and may make such order as to it seems meet.”</w:t>
      </w:r>
    </w:p>
    <w:p w14:paraId="4D14C0F1" w14:textId="2A55F297" w:rsidR="001C7D7D" w:rsidRPr="001C7D7D" w:rsidRDefault="00C47A6D" w:rsidP="00C47A6D">
      <w:pPr>
        <w:widowControl w:val="0"/>
        <w:tabs>
          <w:tab w:val="left" w:pos="567"/>
        </w:tabs>
        <w:spacing w:before="480" w:after="480" w:line="360" w:lineRule="auto"/>
        <w:jc w:val="both"/>
        <w:rPr>
          <w:rFonts w:cs="Arial"/>
          <w:bCs/>
          <w:szCs w:val="22"/>
        </w:rPr>
      </w:pPr>
      <w:r w:rsidRPr="001C7D7D">
        <w:rPr>
          <w:rFonts w:cs="Arial"/>
          <w:bCs/>
          <w:szCs w:val="22"/>
        </w:rPr>
        <w:t>[11]</w:t>
      </w:r>
      <w:r w:rsidRPr="001C7D7D">
        <w:rPr>
          <w:rFonts w:cs="Arial"/>
          <w:bCs/>
          <w:szCs w:val="22"/>
        </w:rPr>
        <w:tab/>
      </w:r>
      <w:r w:rsidR="002208C5" w:rsidRPr="002208C5">
        <w:rPr>
          <w:rFonts w:cs="Arial"/>
          <w:bCs/>
          <w:szCs w:val="22"/>
          <w:lang w:val="en-GB"/>
        </w:rPr>
        <w:t>An application for edic</w:t>
      </w:r>
      <w:r w:rsidR="002208C5">
        <w:rPr>
          <w:rFonts w:cs="Arial"/>
          <w:bCs/>
          <w:szCs w:val="22"/>
          <w:lang w:val="en-GB"/>
        </w:rPr>
        <w:t>t</w:t>
      </w:r>
      <w:r w:rsidR="002208C5" w:rsidRPr="002208C5">
        <w:rPr>
          <w:rFonts w:cs="Arial"/>
          <w:bCs/>
          <w:szCs w:val="22"/>
          <w:lang w:val="en-GB"/>
        </w:rPr>
        <w:t>al citation</w:t>
      </w:r>
      <w:r w:rsidR="002208C5">
        <w:rPr>
          <w:rFonts w:cs="Arial"/>
          <w:bCs/>
          <w:szCs w:val="22"/>
          <w:lang w:val="en-GB"/>
        </w:rPr>
        <w:t xml:space="preserve"> </w:t>
      </w:r>
      <w:r w:rsidR="00667EDC">
        <w:rPr>
          <w:rFonts w:cs="Arial"/>
          <w:bCs/>
          <w:szCs w:val="22"/>
          <w:lang w:val="en-GB"/>
        </w:rPr>
        <w:t>may</w:t>
      </w:r>
      <w:r w:rsidR="002208C5" w:rsidRPr="002208C5">
        <w:rPr>
          <w:rFonts w:cs="Arial"/>
          <w:bCs/>
          <w:szCs w:val="22"/>
          <w:lang w:val="en-GB"/>
        </w:rPr>
        <w:t xml:space="preserve"> under appropriate circumstances be combined with an application for substituted service in terms of rule</w:t>
      </w:r>
      <w:r w:rsidR="002208C5">
        <w:rPr>
          <w:rFonts w:cs="Arial"/>
          <w:bCs/>
          <w:szCs w:val="22"/>
          <w:lang w:val="en-GB"/>
        </w:rPr>
        <w:t xml:space="preserve"> 4(2)</w:t>
      </w:r>
      <w:r w:rsidR="006105B8">
        <w:rPr>
          <w:rFonts w:cs="Arial"/>
          <w:bCs/>
          <w:szCs w:val="22"/>
          <w:lang w:val="en-GB"/>
        </w:rPr>
        <w:t xml:space="preserve">. </w:t>
      </w:r>
      <w:r w:rsidR="006105B8" w:rsidRPr="006105B8">
        <w:rPr>
          <w:rFonts w:cs="Arial"/>
          <w:bCs/>
          <w:szCs w:val="22"/>
          <w:lang w:val="en-GB"/>
        </w:rPr>
        <w:t xml:space="preserve">The </w:t>
      </w:r>
      <w:r w:rsidR="006105B8">
        <w:rPr>
          <w:rFonts w:cs="Arial"/>
          <w:bCs/>
          <w:szCs w:val="22"/>
          <w:lang w:val="en-GB"/>
        </w:rPr>
        <w:t>sub-</w:t>
      </w:r>
      <w:r w:rsidR="006105B8" w:rsidRPr="006105B8">
        <w:rPr>
          <w:rFonts w:cs="Arial"/>
          <w:bCs/>
          <w:szCs w:val="22"/>
          <w:lang w:val="en-GB"/>
        </w:rPr>
        <w:t>rule provides that</w:t>
      </w:r>
      <w:r w:rsidR="006105B8">
        <w:rPr>
          <w:rFonts w:cs="Arial"/>
          <w:bCs/>
          <w:szCs w:val="22"/>
          <w:lang w:val="en-GB"/>
        </w:rPr>
        <w:t xml:space="preserve"> when </w:t>
      </w:r>
      <w:r w:rsidR="006105B8" w:rsidRPr="003A2863">
        <w:rPr>
          <w:rFonts w:cs="Arial"/>
        </w:rPr>
        <w:t xml:space="preserve">it is not possible to effect service in </w:t>
      </w:r>
      <w:r w:rsidR="006105B8" w:rsidRPr="006105B8">
        <w:rPr>
          <w:rFonts w:cs="Arial"/>
          <w:lang w:val="en-GB"/>
        </w:rPr>
        <w:t>accordance with rule 4</w:t>
      </w:r>
      <w:r w:rsidR="006105B8">
        <w:rPr>
          <w:rFonts w:cs="Arial"/>
          <w:lang w:val="en-GB"/>
        </w:rPr>
        <w:t>(</w:t>
      </w:r>
      <w:r w:rsidR="006105B8" w:rsidRPr="006105B8">
        <w:rPr>
          <w:rFonts w:cs="Arial"/>
          <w:lang w:val="en-GB"/>
        </w:rPr>
        <w:t>1</w:t>
      </w:r>
      <w:r w:rsidR="006105B8">
        <w:rPr>
          <w:rFonts w:cs="Arial"/>
          <w:lang w:val="en-GB"/>
        </w:rPr>
        <w:t xml:space="preserve">) </w:t>
      </w:r>
      <w:r w:rsidR="006105B8" w:rsidRPr="003A2863">
        <w:rPr>
          <w:rFonts w:cs="Arial"/>
        </w:rPr>
        <w:t>the court may</w:t>
      </w:r>
      <w:r w:rsidR="006105B8">
        <w:rPr>
          <w:rFonts w:cs="Arial"/>
        </w:rPr>
        <w:t xml:space="preserve"> be approached to give </w:t>
      </w:r>
      <w:r w:rsidR="006105B8" w:rsidRPr="003A2863">
        <w:rPr>
          <w:rFonts w:cs="Arial"/>
        </w:rPr>
        <w:t>directions in regard thereto</w:t>
      </w:r>
      <w:r w:rsidR="006105B8">
        <w:rPr>
          <w:rFonts w:cs="Arial"/>
        </w:rPr>
        <w:t>. This will be the case</w:t>
      </w:r>
      <w:r w:rsidR="00B273DC">
        <w:rPr>
          <w:rFonts w:cs="Arial"/>
        </w:rPr>
        <w:t>, for instance,</w:t>
      </w:r>
      <w:r w:rsidR="006105B8">
        <w:rPr>
          <w:rFonts w:cs="Arial"/>
        </w:rPr>
        <w:t xml:space="preserve"> where leave </w:t>
      </w:r>
      <w:r w:rsidR="00AC163D">
        <w:rPr>
          <w:rFonts w:cs="Arial"/>
        </w:rPr>
        <w:t>is</w:t>
      </w:r>
      <w:r w:rsidR="006105B8">
        <w:rPr>
          <w:rFonts w:cs="Arial"/>
        </w:rPr>
        <w:t xml:space="preserve"> sought to serve by email on a company in Italy</w:t>
      </w:r>
      <w:r w:rsidR="00D630E3">
        <w:rPr>
          <w:rFonts w:cs="Arial"/>
        </w:rPr>
        <w:t xml:space="preserve"> or to permit service by a person in Italy other than the person designated by Italian law to effect service of process. A case will have to be made out</w:t>
      </w:r>
      <w:r w:rsidR="00654409">
        <w:rPr>
          <w:rFonts w:cs="Arial"/>
        </w:rPr>
        <w:t xml:space="preserve"> for the relief sought.</w:t>
      </w:r>
    </w:p>
    <w:p w14:paraId="785C277C" w14:textId="6BE4246A" w:rsidR="00AC163D" w:rsidRPr="001C7D7D" w:rsidRDefault="00C47A6D" w:rsidP="00C47A6D">
      <w:pPr>
        <w:widowControl w:val="0"/>
        <w:tabs>
          <w:tab w:val="left" w:pos="567"/>
        </w:tabs>
        <w:spacing w:before="480" w:after="480" w:line="360" w:lineRule="auto"/>
        <w:jc w:val="both"/>
        <w:rPr>
          <w:rFonts w:cs="Arial"/>
          <w:bCs/>
          <w:szCs w:val="22"/>
        </w:rPr>
      </w:pPr>
      <w:r w:rsidRPr="001C7D7D">
        <w:rPr>
          <w:rFonts w:cs="Arial"/>
          <w:bCs/>
          <w:szCs w:val="22"/>
        </w:rPr>
        <w:t>[12]</w:t>
      </w:r>
      <w:r w:rsidRPr="001C7D7D">
        <w:rPr>
          <w:rFonts w:cs="Arial"/>
          <w:bCs/>
          <w:szCs w:val="22"/>
        </w:rPr>
        <w:tab/>
      </w:r>
      <w:r w:rsidR="00656062" w:rsidRPr="001C7D7D">
        <w:rPr>
          <w:rFonts w:cs="Arial"/>
          <w:lang w:val="en-GB"/>
        </w:rPr>
        <w:t xml:space="preserve">ABF chose not to bring an application for the edictal citation for leave to serve on </w:t>
      </w:r>
      <w:r w:rsidR="00222343">
        <w:rPr>
          <w:rFonts w:cs="Arial"/>
          <w:lang w:val="en-GB"/>
        </w:rPr>
        <w:t>CISA</w:t>
      </w:r>
      <w:r w:rsidR="00656062" w:rsidRPr="001C7D7D">
        <w:rPr>
          <w:rFonts w:cs="Arial"/>
          <w:lang w:val="en-GB"/>
        </w:rPr>
        <w:t xml:space="preserve"> but instead served the application on a firm of attorneys in South Africa on the basis that this firm represents </w:t>
      </w:r>
      <w:r w:rsidR="00222343">
        <w:rPr>
          <w:rFonts w:cs="Arial"/>
          <w:lang w:val="en-GB"/>
        </w:rPr>
        <w:t>CISA</w:t>
      </w:r>
      <w:r w:rsidR="00656062" w:rsidRPr="001C7D7D">
        <w:rPr>
          <w:rFonts w:cs="Arial"/>
          <w:lang w:val="en-GB"/>
        </w:rPr>
        <w:t xml:space="preserve"> in the other litigation between </w:t>
      </w:r>
      <w:r w:rsidR="00222343">
        <w:rPr>
          <w:rFonts w:cs="Arial"/>
          <w:lang w:val="en-GB"/>
        </w:rPr>
        <w:t>CISA</w:t>
      </w:r>
      <w:r w:rsidR="00656062" w:rsidRPr="001C7D7D">
        <w:rPr>
          <w:rFonts w:cs="Arial"/>
          <w:lang w:val="en-GB"/>
        </w:rPr>
        <w:t xml:space="preserve"> and ABF and also because an officer of CISA deposed to a confirmatory affidavit in the main application. </w:t>
      </w:r>
      <w:r w:rsidR="001C7D7D" w:rsidRPr="001C7D7D">
        <w:rPr>
          <w:rFonts w:cs="Arial"/>
          <w:lang w:val="en-GB"/>
        </w:rPr>
        <w:t>The attorneys did not consent to receive service on behalf of CISA.</w:t>
      </w:r>
      <w:r w:rsidR="001C7D7D">
        <w:rPr>
          <w:rFonts w:cs="Arial"/>
          <w:lang w:val="en-GB"/>
        </w:rPr>
        <w:t xml:space="preserve"> </w:t>
      </w:r>
      <w:r w:rsidR="00AC163D" w:rsidRPr="001C7D7D">
        <w:rPr>
          <w:rFonts w:cs="Arial"/>
        </w:rPr>
        <w:t>Service on an attorney who represents a party in other matters is not good service</w:t>
      </w:r>
      <w:r w:rsidR="00AC163D">
        <w:rPr>
          <w:rStyle w:val="FootnoteReference"/>
          <w:rFonts w:cs="Arial"/>
        </w:rPr>
        <w:footnoteReference w:id="3"/>
      </w:r>
      <w:r w:rsidR="00667EDC">
        <w:rPr>
          <w:rFonts w:cs="Arial"/>
        </w:rPr>
        <w:t xml:space="preserve"> and the attorneys were under no obligation to accept service.</w:t>
      </w:r>
      <w:r w:rsidR="00222343">
        <w:rPr>
          <w:rFonts w:cs="Arial"/>
        </w:rPr>
        <w:t xml:space="preserve"> They made it clear that they were not accepting service.</w:t>
      </w:r>
    </w:p>
    <w:p w14:paraId="1026271A" w14:textId="2C58F60D" w:rsidR="001C7D7D" w:rsidRPr="007C1424" w:rsidRDefault="00C47A6D" w:rsidP="00C47A6D">
      <w:pPr>
        <w:widowControl w:val="0"/>
        <w:tabs>
          <w:tab w:val="left" w:pos="567"/>
        </w:tabs>
        <w:spacing w:before="480" w:after="480" w:line="360" w:lineRule="auto"/>
        <w:jc w:val="both"/>
        <w:rPr>
          <w:rFonts w:cs="Arial"/>
          <w:bCs/>
          <w:szCs w:val="22"/>
        </w:rPr>
      </w:pPr>
      <w:r w:rsidRPr="007C1424">
        <w:rPr>
          <w:rFonts w:cs="Arial"/>
          <w:bCs/>
          <w:szCs w:val="22"/>
        </w:rPr>
        <w:t>[13]</w:t>
      </w:r>
      <w:r w:rsidRPr="007C1424">
        <w:rPr>
          <w:rFonts w:cs="Arial"/>
          <w:bCs/>
          <w:szCs w:val="22"/>
        </w:rPr>
        <w:tab/>
      </w:r>
      <w:r w:rsidR="001C7D7D" w:rsidRPr="007C1424">
        <w:rPr>
          <w:lang w:val="en-GB"/>
        </w:rPr>
        <w:t>Rule 27(3) provides for the condonation of any non</w:t>
      </w:r>
      <w:r w:rsidR="00667EDC">
        <w:rPr>
          <w:lang w:val="en-GB"/>
        </w:rPr>
        <w:t>-</w:t>
      </w:r>
      <w:r w:rsidR="001C7D7D" w:rsidRPr="007C1424">
        <w:rPr>
          <w:lang w:val="en-GB"/>
        </w:rPr>
        <w:t>compliance with the rules on good cause shown. ABF did not attempt to show good cause for its failure to comply with rule 5 and rule 4 in respect of service on CISA</w:t>
      </w:r>
      <w:r w:rsidR="007C1424" w:rsidRPr="007C1424">
        <w:rPr>
          <w:lang w:val="en-GB"/>
        </w:rPr>
        <w:t>. ABF does not deal with the reasons for not employing the existing provisions relating to service.</w:t>
      </w:r>
      <w:r w:rsidR="007C1424">
        <w:rPr>
          <w:lang w:val="en-GB"/>
        </w:rPr>
        <w:t xml:space="preserve"> </w:t>
      </w:r>
      <w:r w:rsidR="007C1424" w:rsidRPr="007C1424">
        <w:rPr>
          <w:lang w:val="en-GB"/>
        </w:rPr>
        <w:t xml:space="preserve">On the facts no case is made out for </w:t>
      </w:r>
      <w:r w:rsidR="007C1424">
        <w:rPr>
          <w:lang w:val="en-GB"/>
        </w:rPr>
        <w:t>condonation</w:t>
      </w:r>
      <w:r w:rsidR="007C1424" w:rsidRPr="007C1424">
        <w:rPr>
          <w:lang w:val="en-GB"/>
        </w:rPr>
        <w:t xml:space="preserve"> and</w:t>
      </w:r>
      <w:r w:rsidR="007C1424">
        <w:rPr>
          <w:lang w:val="en-GB"/>
        </w:rPr>
        <w:t xml:space="preserve"> </w:t>
      </w:r>
      <w:r w:rsidR="001C7D7D">
        <w:t>I need not decide whether</w:t>
      </w:r>
      <w:r w:rsidR="00222343">
        <w:t xml:space="preserve">, and if so under what circumstances, </w:t>
      </w:r>
      <w:r w:rsidR="001C7D7D">
        <w:t>an applicant can serve first and then seek condonation in terms of Rule 27(3).</w:t>
      </w:r>
      <w:r w:rsidR="001C7D7D">
        <w:rPr>
          <w:rStyle w:val="FootnoteReference"/>
          <w:rFonts w:cs="Arial"/>
        </w:rPr>
        <w:footnoteReference w:id="4"/>
      </w:r>
    </w:p>
    <w:p w14:paraId="36B4DDFD" w14:textId="451406E2" w:rsidR="007C1424" w:rsidRPr="007C1424" w:rsidRDefault="00C47A6D" w:rsidP="00C47A6D">
      <w:pPr>
        <w:widowControl w:val="0"/>
        <w:tabs>
          <w:tab w:val="left" w:pos="567"/>
        </w:tabs>
        <w:spacing w:before="480" w:after="480" w:line="360" w:lineRule="auto"/>
        <w:jc w:val="both"/>
        <w:rPr>
          <w:rFonts w:cs="Arial"/>
          <w:bCs/>
          <w:szCs w:val="22"/>
        </w:rPr>
      </w:pPr>
      <w:r w:rsidRPr="007C1424">
        <w:rPr>
          <w:rFonts w:cs="Arial"/>
          <w:bCs/>
          <w:szCs w:val="22"/>
        </w:rPr>
        <w:lastRenderedPageBreak/>
        <w:t>[14]</w:t>
      </w:r>
      <w:r w:rsidRPr="007C1424">
        <w:rPr>
          <w:rFonts w:cs="Arial"/>
          <w:bCs/>
          <w:szCs w:val="22"/>
        </w:rPr>
        <w:tab/>
      </w:r>
      <w:r w:rsidR="007C1424" w:rsidRPr="007C1424">
        <w:rPr>
          <w:lang w:val="en-GB"/>
        </w:rPr>
        <w:t xml:space="preserve">The application is therefore </w:t>
      </w:r>
      <w:r w:rsidR="007C1424">
        <w:rPr>
          <w:lang w:val="en-GB"/>
        </w:rPr>
        <w:t>fatally</w:t>
      </w:r>
      <w:r w:rsidR="007C1424" w:rsidRPr="007C1424">
        <w:rPr>
          <w:lang w:val="en-GB"/>
        </w:rPr>
        <w:t xml:space="preserve"> defective</w:t>
      </w:r>
      <w:r w:rsidR="007C1424">
        <w:rPr>
          <w:lang w:val="en-GB"/>
        </w:rPr>
        <w:t xml:space="preserve"> </w:t>
      </w:r>
      <w:r w:rsidR="007C1424" w:rsidRPr="007C1424">
        <w:rPr>
          <w:lang w:val="en-GB"/>
        </w:rPr>
        <w:t xml:space="preserve">and </w:t>
      </w:r>
      <w:r w:rsidR="00CA3E24">
        <w:rPr>
          <w:lang w:val="en-GB"/>
        </w:rPr>
        <w:t xml:space="preserve">stands to </w:t>
      </w:r>
      <w:r w:rsidR="007C1424" w:rsidRPr="007C1424">
        <w:rPr>
          <w:lang w:val="en-GB"/>
        </w:rPr>
        <w:t xml:space="preserve"> be dismissed for this reason alone</w:t>
      </w:r>
      <w:r w:rsidR="007C1424">
        <w:rPr>
          <w:lang w:val="en-GB"/>
        </w:rPr>
        <w:t>.</w:t>
      </w:r>
    </w:p>
    <w:p w14:paraId="3388EB52" w14:textId="77777777" w:rsidR="00C54B12" w:rsidRDefault="00C54B12" w:rsidP="00A3283B">
      <w:pPr>
        <w:widowControl w:val="0"/>
        <w:spacing w:before="480" w:after="480" w:line="360" w:lineRule="auto"/>
        <w:jc w:val="both"/>
        <w:rPr>
          <w:rFonts w:cs="Arial"/>
          <w:bCs/>
          <w:szCs w:val="22"/>
          <w:u w:val="single"/>
        </w:rPr>
      </w:pPr>
    </w:p>
    <w:p w14:paraId="5F75A292" w14:textId="04510712" w:rsidR="00C54B12" w:rsidRPr="00C54B12" w:rsidRDefault="00C54B12" w:rsidP="00A3283B">
      <w:pPr>
        <w:widowControl w:val="0"/>
        <w:spacing w:before="480" w:after="480" w:line="360" w:lineRule="auto"/>
        <w:jc w:val="both"/>
        <w:rPr>
          <w:rFonts w:cs="Arial"/>
          <w:bCs/>
          <w:szCs w:val="22"/>
          <w:u w:val="single"/>
        </w:rPr>
      </w:pPr>
      <w:r w:rsidRPr="00C54B12">
        <w:rPr>
          <w:rFonts w:cs="Arial"/>
          <w:bCs/>
          <w:szCs w:val="22"/>
          <w:u w:val="single"/>
        </w:rPr>
        <w:t>Jurisdiction over second respondent</w:t>
      </w:r>
    </w:p>
    <w:p w14:paraId="4C85DD8F" w14:textId="138088FD" w:rsidR="00C54B12" w:rsidRPr="007D7194" w:rsidRDefault="00C47A6D" w:rsidP="00C47A6D">
      <w:pPr>
        <w:widowControl w:val="0"/>
        <w:tabs>
          <w:tab w:val="left" w:pos="567"/>
        </w:tabs>
        <w:spacing w:before="480" w:after="480" w:line="360" w:lineRule="auto"/>
        <w:jc w:val="both"/>
        <w:rPr>
          <w:rFonts w:cs="Arial"/>
          <w:bCs/>
          <w:szCs w:val="22"/>
        </w:rPr>
      </w:pPr>
      <w:r w:rsidRPr="007D7194">
        <w:rPr>
          <w:rFonts w:cs="Arial"/>
          <w:bCs/>
          <w:szCs w:val="22"/>
        </w:rPr>
        <w:t>[15]</w:t>
      </w:r>
      <w:r w:rsidRPr="007D7194">
        <w:rPr>
          <w:rFonts w:cs="Arial"/>
          <w:bCs/>
          <w:szCs w:val="22"/>
        </w:rPr>
        <w:tab/>
      </w:r>
      <w:r w:rsidR="007C1424" w:rsidRPr="007C1424">
        <w:rPr>
          <w:rFonts w:cs="Arial"/>
          <w:bCs/>
          <w:szCs w:val="22"/>
          <w:lang w:val="en-GB"/>
        </w:rPr>
        <w:t>Jurisdiction must not be confused with service</w:t>
      </w:r>
      <w:r w:rsidR="007C1424">
        <w:rPr>
          <w:rFonts w:cs="Arial"/>
          <w:bCs/>
          <w:szCs w:val="22"/>
          <w:lang w:val="en-GB"/>
        </w:rPr>
        <w:t xml:space="preserve">. </w:t>
      </w:r>
      <w:r w:rsidR="00222343">
        <w:rPr>
          <w:rFonts w:cs="Arial"/>
          <w:bCs/>
          <w:szCs w:val="22"/>
          <w:lang w:val="en-GB"/>
        </w:rPr>
        <w:t>CISA</w:t>
      </w:r>
      <w:r w:rsidR="007C1424">
        <w:rPr>
          <w:rFonts w:cs="Arial"/>
          <w:bCs/>
          <w:szCs w:val="22"/>
          <w:lang w:val="en-GB"/>
        </w:rPr>
        <w:t xml:space="preserve"> is a </w:t>
      </w:r>
      <w:r w:rsidR="007C1424" w:rsidRPr="00222343">
        <w:rPr>
          <w:rFonts w:cs="Arial"/>
          <w:bCs/>
          <w:i/>
          <w:iCs/>
          <w:szCs w:val="22"/>
          <w:lang w:val="en-GB"/>
        </w:rPr>
        <w:t>peregrinus</w:t>
      </w:r>
      <w:r w:rsidR="007C1424">
        <w:rPr>
          <w:rFonts w:cs="Arial"/>
          <w:bCs/>
          <w:szCs w:val="22"/>
          <w:lang w:val="en-GB"/>
        </w:rPr>
        <w:t xml:space="preserve"> </w:t>
      </w:r>
      <w:r w:rsidR="00571FEB">
        <w:rPr>
          <w:rFonts w:cs="Arial"/>
          <w:bCs/>
          <w:szCs w:val="22"/>
          <w:lang w:val="en-GB"/>
        </w:rPr>
        <w:t xml:space="preserve">and </w:t>
      </w:r>
      <w:r w:rsidR="007D7194">
        <w:rPr>
          <w:rFonts w:cs="Arial"/>
          <w:bCs/>
          <w:szCs w:val="22"/>
          <w:lang w:val="en-GB"/>
        </w:rPr>
        <w:t xml:space="preserve">in the absence of attachment to found or confirm jurisdiction </w:t>
      </w:r>
      <w:r w:rsidR="00571FEB">
        <w:rPr>
          <w:rFonts w:cs="Arial"/>
          <w:bCs/>
          <w:szCs w:val="22"/>
          <w:lang w:val="en-GB"/>
        </w:rPr>
        <w:t xml:space="preserve">this Court does not have jurisdiction over </w:t>
      </w:r>
      <w:r w:rsidR="00222343">
        <w:rPr>
          <w:rFonts w:cs="Arial"/>
          <w:bCs/>
          <w:szCs w:val="22"/>
          <w:lang w:val="en-GB"/>
        </w:rPr>
        <w:t>CISA</w:t>
      </w:r>
      <w:r w:rsidR="00571FEB">
        <w:rPr>
          <w:rFonts w:cs="Arial"/>
          <w:bCs/>
          <w:szCs w:val="22"/>
          <w:lang w:val="en-GB"/>
        </w:rPr>
        <w:t>.</w:t>
      </w:r>
      <w:r w:rsidR="00571FEB">
        <w:rPr>
          <w:rStyle w:val="FootnoteReference"/>
          <w:rFonts w:cs="Arial"/>
          <w:bCs/>
          <w:szCs w:val="22"/>
          <w:lang w:val="en-GB"/>
        </w:rPr>
        <w:footnoteReference w:id="5"/>
      </w:r>
      <w:r w:rsidR="00571FEB">
        <w:rPr>
          <w:rFonts w:cs="Arial"/>
          <w:bCs/>
          <w:szCs w:val="22"/>
          <w:lang w:val="en-GB"/>
        </w:rPr>
        <w:t xml:space="preserve"> Any order granted by a Court when it has no jurisdiction is a nullity.</w:t>
      </w:r>
      <w:r w:rsidR="00571FEB">
        <w:rPr>
          <w:rStyle w:val="FootnoteReference"/>
          <w:rFonts w:cs="Arial"/>
          <w:bCs/>
          <w:szCs w:val="22"/>
          <w:lang w:val="en-GB"/>
        </w:rPr>
        <w:footnoteReference w:id="6"/>
      </w:r>
    </w:p>
    <w:p w14:paraId="40519C29" w14:textId="4B90F7D5" w:rsidR="007D7194" w:rsidRPr="007D7194" w:rsidRDefault="00C47A6D" w:rsidP="00C47A6D">
      <w:pPr>
        <w:widowControl w:val="0"/>
        <w:tabs>
          <w:tab w:val="left" w:pos="567"/>
        </w:tabs>
        <w:spacing w:before="480" w:after="480" w:line="360" w:lineRule="auto"/>
        <w:jc w:val="both"/>
        <w:rPr>
          <w:rFonts w:cs="Arial"/>
          <w:bCs/>
          <w:szCs w:val="22"/>
        </w:rPr>
      </w:pPr>
      <w:r w:rsidRPr="007D7194">
        <w:rPr>
          <w:rFonts w:cs="Arial"/>
          <w:bCs/>
          <w:szCs w:val="22"/>
        </w:rPr>
        <w:t>[16]</w:t>
      </w:r>
      <w:r w:rsidRPr="007D7194">
        <w:rPr>
          <w:rFonts w:cs="Arial"/>
          <w:bCs/>
          <w:szCs w:val="22"/>
        </w:rPr>
        <w:tab/>
      </w:r>
      <w:r w:rsidR="007D7194">
        <w:rPr>
          <w:rFonts w:cs="Arial"/>
          <w:bCs/>
          <w:szCs w:val="22"/>
          <w:lang w:val="en-GB"/>
        </w:rPr>
        <w:t>The application must fail for this reason also.</w:t>
      </w:r>
    </w:p>
    <w:p w14:paraId="0216AB1E" w14:textId="77777777" w:rsidR="0030744F" w:rsidRDefault="0030744F" w:rsidP="00A3283B">
      <w:pPr>
        <w:widowControl w:val="0"/>
        <w:spacing w:before="480" w:after="480" w:line="360" w:lineRule="auto"/>
        <w:jc w:val="both"/>
        <w:rPr>
          <w:rFonts w:cs="Arial"/>
          <w:bCs/>
          <w:szCs w:val="22"/>
          <w:u w:val="single"/>
        </w:rPr>
      </w:pPr>
    </w:p>
    <w:p w14:paraId="5AD0D704" w14:textId="29BE3C29" w:rsidR="00C54B12" w:rsidRPr="0030744F" w:rsidRDefault="0030744F" w:rsidP="00A3283B">
      <w:pPr>
        <w:widowControl w:val="0"/>
        <w:spacing w:before="480" w:after="480" w:line="360" w:lineRule="auto"/>
        <w:jc w:val="both"/>
        <w:rPr>
          <w:rFonts w:cs="Arial"/>
          <w:bCs/>
          <w:szCs w:val="22"/>
          <w:u w:val="single"/>
        </w:rPr>
      </w:pPr>
      <w:r w:rsidRPr="0030744F">
        <w:rPr>
          <w:rFonts w:cs="Arial"/>
          <w:bCs/>
          <w:szCs w:val="22"/>
          <w:u w:val="single"/>
        </w:rPr>
        <w:t>The joinder</w:t>
      </w:r>
    </w:p>
    <w:p w14:paraId="615746CF" w14:textId="3D99AD0F" w:rsidR="008D499C" w:rsidRDefault="00C47A6D" w:rsidP="00C47A6D">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942A7D" w:rsidRPr="008D499C">
        <w:rPr>
          <w:rFonts w:cs="Arial"/>
          <w:bCs/>
          <w:szCs w:val="22"/>
        </w:rPr>
        <w:t>Joinder of a party is intended to avoid a multiplicity of actions.</w:t>
      </w:r>
      <w:r w:rsidR="00942A7D">
        <w:rPr>
          <w:rStyle w:val="FootnoteReference"/>
          <w:rFonts w:cs="Arial"/>
          <w:bCs/>
          <w:szCs w:val="22"/>
        </w:rPr>
        <w:footnoteReference w:id="7"/>
      </w:r>
      <w:r w:rsidR="00014506" w:rsidRPr="008D499C">
        <w:rPr>
          <w:rFonts w:cs="Arial"/>
          <w:bCs/>
          <w:szCs w:val="22"/>
        </w:rPr>
        <w:t xml:space="preserve"> The party sought to be joined must have a direct and substantial interest</w:t>
      </w:r>
      <w:r w:rsidR="00A451FC" w:rsidRPr="008D499C">
        <w:rPr>
          <w:rFonts w:cs="Arial"/>
          <w:bCs/>
          <w:szCs w:val="22"/>
        </w:rPr>
        <w:t xml:space="preserve">, </w:t>
      </w:r>
      <w:r w:rsidR="005E5DC1">
        <w:rPr>
          <w:rFonts w:cs="Arial"/>
          <w:bCs/>
          <w:szCs w:val="22"/>
        </w:rPr>
        <w:t>i.e.</w:t>
      </w:r>
      <w:r w:rsidR="000F376A">
        <w:rPr>
          <w:rFonts w:cs="Arial"/>
          <w:bCs/>
          <w:szCs w:val="22"/>
        </w:rPr>
        <w:t xml:space="preserve"> </w:t>
      </w:r>
      <w:r w:rsidR="00A451FC" w:rsidRPr="008D499C">
        <w:rPr>
          <w:rFonts w:cs="Arial"/>
          <w:bCs/>
          <w:szCs w:val="22"/>
        </w:rPr>
        <w:t>a legal interest,</w:t>
      </w:r>
      <w:r w:rsidR="00A451FC">
        <w:rPr>
          <w:rStyle w:val="FootnoteReference"/>
          <w:rFonts w:cs="Arial"/>
          <w:bCs/>
          <w:szCs w:val="22"/>
        </w:rPr>
        <w:footnoteReference w:id="8"/>
      </w:r>
      <w:r w:rsidR="00014506" w:rsidRPr="008D499C">
        <w:rPr>
          <w:rFonts w:cs="Arial"/>
          <w:bCs/>
          <w:szCs w:val="22"/>
        </w:rPr>
        <w:t xml:space="preserve"> in</w:t>
      </w:r>
      <w:r w:rsidR="00500786">
        <w:rPr>
          <w:rFonts w:cs="Arial"/>
          <w:bCs/>
          <w:szCs w:val="22"/>
        </w:rPr>
        <w:t xml:space="preserve"> the</w:t>
      </w:r>
      <w:r w:rsidR="00014506" w:rsidRPr="008D499C">
        <w:rPr>
          <w:rFonts w:cs="Arial"/>
          <w:bCs/>
          <w:szCs w:val="22"/>
        </w:rPr>
        <w:t xml:space="preserve"> </w:t>
      </w:r>
      <w:r w:rsidR="00A451FC" w:rsidRPr="008D499C">
        <w:rPr>
          <w:rFonts w:cs="Arial"/>
          <w:bCs/>
          <w:szCs w:val="22"/>
        </w:rPr>
        <w:t>litigation</w:t>
      </w:r>
      <w:r w:rsidR="00014506" w:rsidRPr="008D499C">
        <w:rPr>
          <w:rFonts w:cs="Arial"/>
          <w:bCs/>
          <w:szCs w:val="22"/>
        </w:rPr>
        <w:t>.</w:t>
      </w:r>
      <w:r w:rsidR="00A451FC" w:rsidRPr="008D499C">
        <w:rPr>
          <w:rFonts w:cs="Arial"/>
          <w:bCs/>
          <w:szCs w:val="22"/>
        </w:rPr>
        <w:t xml:space="preserve"> </w:t>
      </w:r>
    </w:p>
    <w:p w14:paraId="66678970" w14:textId="1250B76E" w:rsidR="00A332DE" w:rsidRPr="00A332DE" w:rsidRDefault="00C47A6D" w:rsidP="00C47A6D">
      <w:pPr>
        <w:widowControl w:val="0"/>
        <w:tabs>
          <w:tab w:val="left" w:pos="567"/>
        </w:tabs>
        <w:spacing w:before="480" w:after="480" w:line="360" w:lineRule="auto"/>
        <w:jc w:val="both"/>
        <w:rPr>
          <w:rFonts w:cs="Arial"/>
          <w:bCs/>
          <w:szCs w:val="22"/>
        </w:rPr>
      </w:pPr>
      <w:r w:rsidRPr="00A332DE">
        <w:rPr>
          <w:rFonts w:cs="Arial"/>
          <w:bCs/>
          <w:szCs w:val="22"/>
        </w:rPr>
        <w:t>[18]</w:t>
      </w:r>
      <w:r w:rsidRPr="00A332DE">
        <w:rPr>
          <w:rFonts w:cs="Arial"/>
          <w:bCs/>
          <w:szCs w:val="22"/>
        </w:rPr>
        <w:tab/>
      </w:r>
      <w:r w:rsidR="00A332DE">
        <w:rPr>
          <w:rFonts w:cs="Arial"/>
          <w:bCs/>
          <w:szCs w:val="22"/>
        </w:rPr>
        <w:t xml:space="preserve">ABF argues that </w:t>
      </w:r>
      <w:r w:rsidR="00222343">
        <w:rPr>
          <w:rFonts w:cs="Arial"/>
          <w:bCs/>
          <w:szCs w:val="22"/>
        </w:rPr>
        <w:t>CISA</w:t>
      </w:r>
      <w:r w:rsidR="00A332DE">
        <w:rPr>
          <w:rFonts w:cs="Arial"/>
          <w:bCs/>
          <w:szCs w:val="22"/>
        </w:rPr>
        <w:t xml:space="preserve"> </w:t>
      </w:r>
      <w:r w:rsidR="00A332DE" w:rsidRPr="00A332DE">
        <w:rPr>
          <w:rFonts w:cs="Arial"/>
          <w:bCs/>
          <w:szCs w:val="22"/>
          <w:lang w:val="en-GB"/>
        </w:rPr>
        <w:t>was a party to the settlement agreement and it</w:t>
      </w:r>
      <w:r w:rsidR="00A332DE">
        <w:rPr>
          <w:rFonts w:cs="Arial"/>
          <w:bCs/>
          <w:szCs w:val="22"/>
          <w:lang w:val="en-GB"/>
        </w:rPr>
        <w:t xml:space="preserve"> </w:t>
      </w:r>
      <w:r w:rsidR="00A332DE" w:rsidRPr="00A332DE">
        <w:rPr>
          <w:rFonts w:cs="Arial"/>
          <w:bCs/>
          <w:szCs w:val="22"/>
          <w:lang w:val="en-GB"/>
        </w:rPr>
        <w:t xml:space="preserve">relies on a </w:t>
      </w:r>
      <w:r w:rsidR="00A332DE">
        <w:rPr>
          <w:rFonts w:cs="Arial"/>
          <w:bCs/>
          <w:szCs w:val="22"/>
          <w:lang w:val="en-GB"/>
        </w:rPr>
        <w:t>“</w:t>
      </w:r>
      <w:r w:rsidR="00A332DE" w:rsidRPr="000F376A">
        <w:rPr>
          <w:rFonts w:cs="Arial"/>
          <w:bCs/>
          <w:i/>
          <w:iCs/>
          <w:szCs w:val="22"/>
          <w:lang w:val="en-GB"/>
        </w:rPr>
        <w:t>guarantee</w:t>
      </w:r>
      <w:r w:rsidR="00A332DE">
        <w:rPr>
          <w:rFonts w:cs="Arial"/>
          <w:bCs/>
          <w:szCs w:val="22"/>
          <w:lang w:val="en-GB"/>
        </w:rPr>
        <w:t>”</w:t>
      </w:r>
      <w:r w:rsidR="00A332DE" w:rsidRPr="00A332DE">
        <w:rPr>
          <w:rFonts w:cs="Arial"/>
          <w:bCs/>
          <w:szCs w:val="22"/>
          <w:lang w:val="en-GB"/>
        </w:rPr>
        <w:t xml:space="preserve"> given by </w:t>
      </w:r>
      <w:r w:rsidR="00222343">
        <w:rPr>
          <w:rFonts w:cs="Arial"/>
          <w:bCs/>
          <w:szCs w:val="22"/>
          <w:lang w:val="en-GB"/>
        </w:rPr>
        <w:t>CISA</w:t>
      </w:r>
      <w:r w:rsidR="00A332DE">
        <w:rPr>
          <w:rFonts w:cs="Arial"/>
          <w:bCs/>
          <w:szCs w:val="22"/>
          <w:lang w:val="en-GB"/>
        </w:rPr>
        <w:t xml:space="preserve">. </w:t>
      </w:r>
      <w:r w:rsidR="00A332DE" w:rsidRPr="00A332DE">
        <w:rPr>
          <w:rFonts w:cs="Arial"/>
          <w:bCs/>
          <w:szCs w:val="22"/>
          <w:lang w:val="en-GB"/>
        </w:rPr>
        <w:t xml:space="preserve">The allegation is </w:t>
      </w:r>
      <w:r w:rsidR="00A332DE">
        <w:rPr>
          <w:rFonts w:cs="Arial"/>
          <w:bCs/>
          <w:szCs w:val="22"/>
          <w:lang w:val="en-GB"/>
        </w:rPr>
        <w:t>worded</w:t>
      </w:r>
      <w:r w:rsidR="00A332DE" w:rsidRPr="00A332DE">
        <w:rPr>
          <w:rFonts w:cs="Arial"/>
          <w:bCs/>
          <w:szCs w:val="22"/>
          <w:lang w:val="en-GB"/>
        </w:rPr>
        <w:t xml:space="preserve"> it as follows in the </w:t>
      </w:r>
      <w:r w:rsidR="00A332DE">
        <w:rPr>
          <w:rFonts w:cs="Arial"/>
          <w:bCs/>
          <w:szCs w:val="22"/>
          <w:lang w:val="en-GB"/>
        </w:rPr>
        <w:t>answering</w:t>
      </w:r>
      <w:r w:rsidR="00A332DE" w:rsidRPr="00A332DE">
        <w:rPr>
          <w:rFonts w:cs="Arial"/>
          <w:bCs/>
          <w:szCs w:val="22"/>
          <w:lang w:val="en-GB"/>
        </w:rPr>
        <w:t xml:space="preserve"> affidavit in the main application</w:t>
      </w:r>
      <w:r w:rsidR="00A332DE">
        <w:rPr>
          <w:rFonts w:cs="Arial"/>
          <w:bCs/>
          <w:szCs w:val="22"/>
          <w:lang w:val="en-GB"/>
        </w:rPr>
        <w:t>:</w:t>
      </w:r>
    </w:p>
    <w:p w14:paraId="067B7165" w14:textId="4F951ABA" w:rsidR="002E7F8D" w:rsidRPr="002E7F8D" w:rsidRDefault="00A332DE" w:rsidP="00A3283B">
      <w:pPr>
        <w:widowControl w:val="0"/>
        <w:spacing w:before="480" w:after="480" w:line="360" w:lineRule="auto"/>
        <w:jc w:val="both"/>
        <w:rPr>
          <w:rFonts w:cs="Arial"/>
          <w:bCs/>
          <w:szCs w:val="22"/>
        </w:rPr>
      </w:pPr>
      <w:r w:rsidRPr="00A332DE">
        <w:rPr>
          <w:rFonts w:cs="Arial"/>
          <w:bCs/>
          <w:noProof/>
          <w:szCs w:val="22"/>
          <w:lang w:val="en-US"/>
        </w:rPr>
        <w:lastRenderedPageBreak/>
        <w:drawing>
          <wp:inline distT="0" distB="0" distL="0" distR="0" wp14:anchorId="0D064EB9" wp14:editId="485B3B5D">
            <wp:extent cx="5429885" cy="1009650"/>
            <wp:effectExtent l="0" t="0" r="0" b="0"/>
            <wp:docPr id="8478758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885" cy="1009650"/>
                    </a:xfrm>
                    <a:prstGeom prst="rect">
                      <a:avLst/>
                    </a:prstGeom>
                    <a:noFill/>
                    <a:ln>
                      <a:noFill/>
                    </a:ln>
                  </pic:spPr>
                </pic:pic>
              </a:graphicData>
            </a:graphic>
          </wp:inline>
        </w:drawing>
      </w:r>
    </w:p>
    <w:p w14:paraId="7B41E75D" w14:textId="609A1627" w:rsidR="00CA3E24" w:rsidRPr="00CA3E24" w:rsidRDefault="00C47A6D" w:rsidP="00C47A6D">
      <w:pPr>
        <w:widowControl w:val="0"/>
        <w:tabs>
          <w:tab w:val="left" w:pos="567"/>
        </w:tabs>
        <w:spacing w:before="480" w:after="480" w:line="360" w:lineRule="auto"/>
        <w:jc w:val="both"/>
        <w:rPr>
          <w:rFonts w:cs="Arial"/>
          <w:bCs/>
          <w:szCs w:val="22"/>
        </w:rPr>
      </w:pPr>
      <w:r w:rsidRPr="00CA3E24">
        <w:rPr>
          <w:rFonts w:cs="Arial"/>
          <w:bCs/>
          <w:szCs w:val="22"/>
        </w:rPr>
        <w:t>[19]</w:t>
      </w:r>
      <w:r w:rsidRPr="00CA3E24">
        <w:rPr>
          <w:rFonts w:cs="Arial"/>
          <w:bCs/>
          <w:szCs w:val="22"/>
        </w:rPr>
        <w:tab/>
      </w:r>
      <w:r w:rsidR="00A332DE" w:rsidRPr="00A332DE">
        <w:rPr>
          <w:rFonts w:cs="Arial"/>
          <w:bCs/>
          <w:szCs w:val="22"/>
          <w:lang w:val="en-GB"/>
        </w:rPr>
        <w:t xml:space="preserve">The question that arises in my view is whether this guarantee is a suretyship or an indemnity. </w:t>
      </w:r>
    </w:p>
    <w:p w14:paraId="56ED7857" w14:textId="019F8ABD" w:rsidR="00DD4A81" w:rsidRPr="00DD4A81" w:rsidRDefault="00C47A6D" w:rsidP="00C47A6D">
      <w:pPr>
        <w:widowControl w:val="0"/>
        <w:tabs>
          <w:tab w:val="left" w:pos="567"/>
        </w:tabs>
        <w:spacing w:before="480" w:after="480" w:line="360" w:lineRule="auto"/>
        <w:jc w:val="both"/>
        <w:rPr>
          <w:rFonts w:cs="Arial"/>
          <w:bCs/>
          <w:szCs w:val="22"/>
        </w:rPr>
      </w:pPr>
      <w:r w:rsidRPr="00DD4A81">
        <w:rPr>
          <w:rFonts w:cs="Arial"/>
          <w:bCs/>
          <w:szCs w:val="22"/>
        </w:rPr>
        <w:t>[20]</w:t>
      </w:r>
      <w:r w:rsidRPr="00DD4A81">
        <w:rPr>
          <w:rFonts w:cs="Arial"/>
          <w:bCs/>
          <w:szCs w:val="22"/>
        </w:rPr>
        <w:tab/>
      </w:r>
      <w:r w:rsidR="00CA3E24">
        <w:rPr>
          <w:rFonts w:cs="Arial"/>
          <w:bCs/>
          <w:szCs w:val="22"/>
          <w:lang w:val="en-GB"/>
        </w:rPr>
        <w:t xml:space="preserve">The authors of LAWSA </w:t>
      </w:r>
      <w:r w:rsidR="00DD4A81" w:rsidRPr="00DD4A81">
        <w:rPr>
          <w:rFonts w:cs="Arial"/>
          <w:bCs/>
          <w:szCs w:val="22"/>
          <w:lang w:val="en-GB"/>
        </w:rPr>
        <w:t>define</w:t>
      </w:r>
      <w:r w:rsidR="00DD4A81">
        <w:rPr>
          <w:rFonts w:cs="Arial"/>
          <w:bCs/>
          <w:szCs w:val="22"/>
          <w:lang w:val="en-GB"/>
        </w:rPr>
        <w:t>d</w:t>
      </w:r>
      <w:r w:rsidR="00DD4A81" w:rsidRPr="00DD4A81">
        <w:rPr>
          <w:rFonts w:cs="Arial"/>
          <w:bCs/>
          <w:szCs w:val="22"/>
          <w:lang w:val="en-GB"/>
        </w:rPr>
        <w:t xml:space="preserve"> a suretyship as follows</w:t>
      </w:r>
      <w:r w:rsidR="00DD4A81">
        <w:rPr>
          <w:rFonts w:cs="Arial"/>
          <w:bCs/>
          <w:szCs w:val="22"/>
          <w:lang w:val="en-GB"/>
        </w:rPr>
        <w:t>:</w:t>
      </w:r>
      <w:r w:rsidR="00DD4A81">
        <w:rPr>
          <w:rStyle w:val="FootnoteReference"/>
          <w:rFonts w:cs="Arial"/>
          <w:bCs/>
          <w:szCs w:val="22"/>
          <w:lang w:val="en-GB"/>
        </w:rPr>
        <w:footnoteReference w:id="9"/>
      </w:r>
    </w:p>
    <w:p w14:paraId="67E337D2" w14:textId="1213DF40" w:rsidR="00DD4A81" w:rsidRPr="00DD4A81" w:rsidRDefault="00DD4A81" w:rsidP="00DD4A81">
      <w:pPr>
        <w:widowControl w:val="0"/>
        <w:spacing w:before="480" w:after="480" w:line="360" w:lineRule="auto"/>
        <w:ind w:left="720"/>
        <w:jc w:val="both"/>
        <w:rPr>
          <w:rFonts w:cs="Arial"/>
          <w:bCs/>
          <w:i/>
          <w:iCs/>
          <w:szCs w:val="22"/>
        </w:rPr>
      </w:pPr>
      <w:r w:rsidRPr="00DD4A81">
        <w:rPr>
          <w:rFonts w:cs="Arial"/>
          <w:bCs/>
          <w:i/>
          <w:iCs/>
          <w:szCs w:val="22"/>
        </w:rPr>
        <w:t>“</w:t>
      </w:r>
      <w:r>
        <w:rPr>
          <w:rFonts w:cs="Arial"/>
          <w:bCs/>
          <w:i/>
          <w:iCs/>
          <w:szCs w:val="22"/>
          <w:lang w:val="en-GB"/>
        </w:rPr>
        <w:t>Surety</w:t>
      </w:r>
      <w:r w:rsidRPr="00DD4A81">
        <w:rPr>
          <w:rFonts w:cs="Arial"/>
          <w:bCs/>
          <w:i/>
          <w:iCs/>
          <w:szCs w:val="22"/>
          <w:lang w:val="en-GB"/>
        </w:rPr>
        <w:t xml:space="preserve">ship is a contract in terms of which one person </w:t>
      </w:r>
      <w:r>
        <w:rPr>
          <w:rFonts w:cs="Arial"/>
          <w:bCs/>
          <w:i/>
          <w:iCs/>
          <w:szCs w:val="22"/>
          <w:lang w:val="en-GB"/>
        </w:rPr>
        <w:t>(</w:t>
      </w:r>
      <w:r w:rsidRPr="00DD4A81">
        <w:rPr>
          <w:rFonts w:cs="Arial"/>
          <w:bCs/>
          <w:i/>
          <w:iCs/>
          <w:szCs w:val="22"/>
          <w:lang w:val="en-GB"/>
        </w:rPr>
        <w:t>the surety</w:t>
      </w:r>
      <w:r>
        <w:rPr>
          <w:rFonts w:cs="Arial"/>
          <w:bCs/>
          <w:i/>
          <w:iCs/>
          <w:szCs w:val="22"/>
          <w:lang w:val="en-GB"/>
        </w:rPr>
        <w:t xml:space="preserve">) </w:t>
      </w:r>
      <w:r w:rsidRPr="00DD4A81">
        <w:rPr>
          <w:rFonts w:cs="Arial"/>
          <w:bCs/>
          <w:i/>
          <w:iCs/>
          <w:szCs w:val="22"/>
          <w:lang w:val="en-GB"/>
        </w:rPr>
        <w:t>binds himself as a debtor to the creditor of another person</w:t>
      </w:r>
      <w:r>
        <w:rPr>
          <w:rFonts w:cs="Arial"/>
          <w:bCs/>
          <w:i/>
          <w:iCs/>
          <w:szCs w:val="22"/>
          <w:lang w:val="en-GB"/>
        </w:rPr>
        <w:t xml:space="preserve"> (the principal debtor) </w:t>
      </w:r>
      <w:r w:rsidRPr="00DD4A81">
        <w:rPr>
          <w:rFonts w:cs="Arial"/>
          <w:bCs/>
          <w:i/>
          <w:iCs/>
          <w:szCs w:val="22"/>
          <w:lang w:val="en-GB"/>
        </w:rPr>
        <w:t xml:space="preserve">to render the whole or part of the performance due to the creditor by the </w:t>
      </w:r>
      <w:r>
        <w:rPr>
          <w:rFonts w:cs="Arial"/>
          <w:bCs/>
          <w:i/>
          <w:iCs/>
          <w:szCs w:val="22"/>
          <w:lang w:val="en-GB"/>
        </w:rPr>
        <w:t>principal debtor</w:t>
      </w:r>
      <w:r w:rsidRPr="00DD4A81">
        <w:rPr>
          <w:rFonts w:cs="Arial"/>
          <w:bCs/>
          <w:i/>
          <w:iCs/>
          <w:szCs w:val="22"/>
          <w:lang w:val="en-GB"/>
        </w:rPr>
        <w:t xml:space="preserve"> if </w:t>
      </w:r>
      <w:r>
        <w:rPr>
          <w:rFonts w:cs="Arial"/>
          <w:bCs/>
          <w:i/>
          <w:iCs/>
          <w:szCs w:val="22"/>
          <w:lang w:val="en-GB"/>
        </w:rPr>
        <w:t>and</w:t>
      </w:r>
      <w:r w:rsidRPr="00DD4A81">
        <w:rPr>
          <w:rFonts w:cs="Arial"/>
          <w:bCs/>
          <w:i/>
          <w:iCs/>
          <w:szCs w:val="22"/>
          <w:lang w:val="en-GB"/>
        </w:rPr>
        <w:t xml:space="preserve"> to the exten</w:t>
      </w:r>
      <w:r>
        <w:rPr>
          <w:rFonts w:cs="Arial"/>
          <w:bCs/>
          <w:i/>
          <w:iCs/>
          <w:szCs w:val="22"/>
          <w:lang w:val="en-GB"/>
        </w:rPr>
        <w:t>t</w:t>
      </w:r>
      <w:r w:rsidRPr="00DD4A81">
        <w:rPr>
          <w:rFonts w:cs="Arial"/>
          <w:bCs/>
          <w:i/>
          <w:iCs/>
          <w:szCs w:val="22"/>
          <w:lang w:val="en-GB"/>
        </w:rPr>
        <w:t xml:space="preserve"> </w:t>
      </w:r>
      <w:r>
        <w:rPr>
          <w:rFonts w:cs="Arial"/>
          <w:bCs/>
          <w:i/>
          <w:iCs/>
          <w:szCs w:val="22"/>
          <w:lang w:val="en-GB"/>
        </w:rPr>
        <w:t xml:space="preserve">that </w:t>
      </w:r>
      <w:r w:rsidRPr="00DD4A81">
        <w:rPr>
          <w:rFonts w:cs="Arial"/>
          <w:bCs/>
          <w:i/>
          <w:iCs/>
          <w:szCs w:val="22"/>
          <w:lang w:val="en-GB"/>
        </w:rPr>
        <w:t>the princip</w:t>
      </w:r>
      <w:r>
        <w:rPr>
          <w:rFonts w:cs="Arial"/>
          <w:bCs/>
          <w:i/>
          <w:iCs/>
          <w:szCs w:val="22"/>
          <w:lang w:val="en-GB"/>
        </w:rPr>
        <w:t>al</w:t>
      </w:r>
      <w:r w:rsidRPr="00DD4A81">
        <w:rPr>
          <w:rFonts w:cs="Arial"/>
          <w:bCs/>
          <w:i/>
          <w:iCs/>
          <w:szCs w:val="22"/>
          <w:lang w:val="en-GB"/>
        </w:rPr>
        <w:t xml:space="preserve"> d</w:t>
      </w:r>
      <w:r>
        <w:rPr>
          <w:rFonts w:cs="Arial"/>
          <w:bCs/>
          <w:i/>
          <w:iCs/>
          <w:szCs w:val="22"/>
          <w:lang w:val="en-GB"/>
        </w:rPr>
        <w:t>ebtor</w:t>
      </w:r>
      <w:r w:rsidRPr="00DD4A81">
        <w:rPr>
          <w:rFonts w:cs="Arial"/>
          <w:bCs/>
          <w:i/>
          <w:iCs/>
          <w:szCs w:val="22"/>
          <w:lang w:val="en-GB"/>
        </w:rPr>
        <w:t xml:space="preserve"> fails</w:t>
      </w:r>
      <w:r>
        <w:rPr>
          <w:rFonts w:cs="Arial"/>
          <w:bCs/>
          <w:i/>
          <w:iCs/>
          <w:szCs w:val="22"/>
          <w:lang w:val="en-GB"/>
        </w:rPr>
        <w:t xml:space="preserve">, </w:t>
      </w:r>
      <w:r w:rsidRPr="00DD4A81">
        <w:rPr>
          <w:rFonts w:cs="Arial"/>
          <w:bCs/>
          <w:i/>
          <w:iCs/>
          <w:szCs w:val="22"/>
          <w:lang w:val="en-GB"/>
        </w:rPr>
        <w:t>without lawful excuse</w:t>
      </w:r>
      <w:r>
        <w:rPr>
          <w:rFonts w:cs="Arial"/>
          <w:bCs/>
          <w:i/>
          <w:iCs/>
          <w:szCs w:val="22"/>
          <w:lang w:val="en-GB"/>
        </w:rPr>
        <w:t xml:space="preserve">, </w:t>
      </w:r>
      <w:r w:rsidRPr="00DD4A81">
        <w:rPr>
          <w:rFonts w:cs="Arial"/>
          <w:bCs/>
          <w:i/>
          <w:iCs/>
          <w:szCs w:val="22"/>
          <w:lang w:val="en-GB"/>
        </w:rPr>
        <w:t>do render the performance himself</w:t>
      </w:r>
      <w:r w:rsidRPr="00DD4A81">
        <w:rPr>
          <w:rFonts w:cs="Arial"/>
          <w:bCs/>
          <w:i/>
          <w:iCs/>
          <w:szCs w:val="22"/>
        </w:rPr>
        <w:t>”</w:t>
      </w:r>
    </w:p>
    <w:p w14:paraId="2E55FE64" w14:textId="06E7B1E0" w:rsidR="000F376A" w:rsidRPr="000F376A" w:rsidRDefault="00C47A6D" w:rsidP="00C47A6D">
      <w:pPr>
        <w:widowControl w:val="0"/>
        <w:tabs>
          <w:tab w:val="left" w:pos="567"/>
        </w:tabs>
        <w:spacing w:before="480" w:after="480" w:line="360" w:lineRule="auto"/>
        <w:jc w:val="both"/>
        <w:rPr>
          <w:rFonts w:cs="Arial"/>
          <w:bCs/>
          <w:szCs w:val="22"/>
        </w:rPr>
      </w:pPr>
      <w:r w:rsidRPr="000F376A">
        <w:rPr>
          <w:rFonts w:cs="Arial"/>
          <w:bCs/>
          <w:szCs w:val="22"/>
        </w:rPr>
        <w:t>[21]</w:t>
      </w:r>
      <w:r w:rsidRPr="000F376A">
        <w:rPr>
          <w:rFonts w:cs="Arial"/>
          <w:bCs/>
          <w:szCs w:val="22"/>
        </w:rPr>
        <w:tab/>
      </w:r>
      <w:r w:rsidR="00A52ED5" w:rsidRPr="00A332DE">
        <w:rPr>
          <w:rFonts w:cs="Arial"/>
          <w:bCs/>
          <w:szCs w:val="22"/>
          <w:lang w:val="en-GB"/>
        </w:rPr>
        <w:t xml:space="preserve">The obligation of </w:t>
      </w:r>
      <w:r w:rsidR="000F376A">
        <w:rPr>
          <w:rFonts w:cs="Arial"/>
          <w:bCs/>
          <w:szCs w:val="22"/>
          <w:lang w:val="en-GB"/>
        </w:rPr>
        <w:t>a</w:t>
      </w:r>
      <w:r w:rsidR="00A52ED5" w:rsidRPr="00A332DE">
        <w:rPr>
          <w:rFonts w:cs="Arial"/>
          <w:bCs/>
          <w:szCs w:val="22"/>
          <w:lang w:val="en-GB"/>
        </w:rPr>
        <w:t xml:space="preserve"> surety is an accessory</w:t>
      </w:r>
      <w:r w:rsidR="00DD4A81">
        <w:rPr>
          <w:rStyle w:val="FootnoteReference"/>
          <w:rFonts w:cs="Arial"/>
          <w:bCs/>
          <w:szCs w:val="22"/>
          <w:lang w:val="en-GB"/>
        </w:rPr>
        <w:footnoteReference w:id="10"/>
      </w:r>
      <w:r w:rsidR="00A52ED5" w:rsidRPr="00A332DE">
        <w:rPr>
          <w:rFonts w:cs="Arial"/>
          <w:bCs/>
          <w:szCs w:val="22"/>
          <w:lang w:val="en-GB"/>
        </w:rPr>
        <w:t xml:space="preserve"> obligation and arises if and when the principal debtor is unable to pay. </w:t>
      </w:r>
      <w:r w:rsidR="00A52ED5">
        <w:rPr>
          <w:rFonts w:cs="Arial"/>
          <w:bCs/>
          <w:szCs w:val="22"/>
          <w:lang w:val="en-GB"/>
        </w:rPr>
        <w:t>The obligation of the surety is to the creditor, not to the principal debtor</w:t>
      </w:r>
      <w:r w:rsidR="007E6B92">
        <w:rPr>
          <w:rFonts w:cs="Arial"/>
          <w:bCs/>
          <w:szCs w:val="22"/>
          <w:lang w:val="en-GB"/>
        </w:rPr>
        <w:t xml:space="preserve"> and the principal debtor is not a party to the contract</w:t>
      </w:r>
      <w:r w:rsidR="00A52ED5">
        <w:rPr>
          <w:rFonts w:cs="Arial"/>
          <w:bCs/>
          <w:szCs w:val="22"/>
          <w:lang w:val="en-GB"/>
        </w:rPr>
        <w:t>.</w:t>
      </w:r>
      <w:r w:rsidR="007E6B92">
        <w:rPr>
          <w:rStyle w:val="FootnoteReference"/>
          <w:rFonts w:cs="Arial"/>
          <w:bCs/>
          <w:szCs w:val="22"/>
          <w:lang w:val="en-GB"/>
        </w:rPr>
        <w:footnoteReference w:id="11"/>
      </w:r>
      <w:r w:rsidR="00A52ED5">
        <w:rPr>
          <w:rFonts w:cs="Arial"/>
          <w:bCs/>
          <w:szCs w:val="22"/>
          <w:lang w:val="en-GB"/>
        </w:rPr>
        <w:t xml:space="preserve"> If is ABF’s case that </w:t>
      </w:r>
      <w:r w:rsidR="00222343">
        <w:rPr>
          <w:rFonts w:cs="Arial"/>
          <w:bCs/>
          <w:szCs w:val="22"/>
          <w:lang w:val="en-GB"/>
        </w:rPr>
        <w:t>CISA</w:t>
      </w:r>
      <w:r w:rsidR="00A52ED5">
        <w:rPr>
          <w:rFonts w:cs="Arial"/>
          <w:bCs/>
          <w:szCs w:val="22"/>
          <w:lang w:val="en-GB"/>
        </w:rPr>
        <w:t xml:space="preserve"> became bound to EDF then the guarantee </w:t>
      </w:r>
      <w:r w:rsidR="000F376A">
        <w:rPr>
          <w:rFonts w:cs="Arial"/>
          <w:bCs/>
          <w:szCs w:val="22"/>
          <w:lang w:val="en-GB"/>
        </w:rPr>
        <w:t>would be</w:t>
      </w:r>
      <w:r w:rsidR="00A52ED5">
        <w:rPr>
          <w:rFonts w:cs="Arial"/>
          <w:bCs/>
          <w:szCs w:val="22"/>
          <w:lang w:val="en-GB"/>
        </w:rPr>
        <w:t xml:space="preserve"> a suretyship. </w:t>
      </w:r>
    </w:p>
    <w:p w14:paraId="0C765D91" w14:textId="0842D4BB" w:rsidR="006D3C5C" w:rsidRPr="00965EAF" w:rsidRDefault="00C47A6D" w:rsidP="00C47A6D">
      <w:pPr>
        <w:widowControl w:val="0"/>
        <w:tabs>
          <w:tab w:val="left" w:pos="567"/>
        </w:tabs>
        <w:spacing w:before="480" w:after="480" w:line="360" w:lineRule="auto"/>
        <w:jc w:val="both"/>
        <w:rPr>
          <w:rFonts w:cs="Arial"/>
          <w:bCs/>
          <w:szCs w:val="22"/>
        </w:rPr>
      </w:pPr>
      <w:r w:rsidRPr="00965EAF">
        <w:rPr>
          <w:rFonts w:cs="Arial"/>
          <w:bCs/>
          <w:szCs w:val="22"/>
        </w:rPr>
        <w:t>[22]</w:t>
      </w:r>
      <w:r w:rsidRPr="00965EAF">
        <w:rPr>
          <w:rFonts w:cs="Arial"/>
          <w:bCs/>
          <w:szCs w:val="22"/>
        </w:rPr>
        <w:tab/>
      </w:r>
      <w:r w:rsidR="006D3C5C">
        <w:rPr>
          <w:rFonts w:cs="Arial"/>
          <w:bCs/>
          <w:szCs w:val="22"/>
          <w:lang w:val="en-GB"/>
        </w:rPr>
        <w:t>A contract of suretyship must be in writing and must be signed by or on behalf of the surety.</w:t>
      </w:r>
      <w:r w:rsidR="006D3C5C">
        <w:rPr>
          <w:rStyle w:val="FootnoteReference"/>
          <w:rFonts w:cs="Arial"/>
          <w:bCs/>
          <w:szCs w:val="22"/>
          <w:lang w:val="en-GB"/>
        </w:rPr>
        <w:footnoteReference w:id="12"/>
      </w:r>
      <w:r w:rsidR="002E7F8D">
        <w:rPr>
          <w:rFonts w:cs="Arial"/>
          <w:bCs/>
          <w:szCs w:val="22"/>
          <w:lang w:val="en-GB"/>
        </w:rPr>
        <w:t xml:space="preserve"> It is common cause that ABF relies on an oral agreement and insofar as it is alleging a suretyship, the agreement i</w:t>
      </w:r>
      <w:r w:rsidR="000A7534">
        <w:rPr>
          <w:rFonts w:cs="Arial"/>
          <w:bCs/>
          <w:szCs w:val="22"/>
          <w:lang w:val="en-GB"/>
        </w:rPr>
        <w:t>t</w:t>
      </w:r>
      <w:r w:rsidR="002E7F8D">
        <w:rPr>
          <w:rFonts w:cs="Arial"/>
          <w:bCs/>
          <w:szCs w:val="22"/>
          <w:lang w:val="en-GB"/>
        </w:rPr>
        <w:t xml:space="preserve"> relies on </w:t>
      </w:r>
      <w:r w:rsidR="00965EAF">
        <w:rPr>
          <w:rFonts w:cs="Arial"/>
          <w:bCs/>
          <w:szCs w:val="22"/>
          <w:lang w:val="en-GB"/>
        </w:rPr>
        <w:t xml:space="preserve">does not comply with the prescribed formalities </w:t>
      </w:r>
      <w:r w:rsidR="000F376A">
        <w:rPr>
          <w:rFonts w:cs="Arial"/>
          <w:bCs/>
          <w:szCs w:val="22"/>
          <w:lang w:val="en-GB"/>
        </w:rPr>
        <w:t>in respect of</w:t>
      </w:r>
      <w:r w:rsidR="00965EAF">
        <w:rPr>
          <w:rFonts w:cs="Arial"/>
          <w:bCs/>
          <w:szCs w:val="22"/>
          <w:lang w:val="en-GB"/>
        </w:rPr>
        <w:t xml:space="preserve"> writing and signature.</w:t>
      </w:r>
    </w:p>
    <w:p w14:paraId="2810C564" w14:textId="0A62B83E" w:rsidR="000F376A" w:rsidRPr="000F376A" w:rsidRDefault="00C47A6D" w:rsidP="00C47A6D">
      <w:pPr>
        <w:widowControl w:val="0"/>
        <w:tabs>
          <w:tab w:val="left" w:pos="567"/>
        </w:tabs>
        <w:spacing w:before="480" w:after="480" w:line="360" w:lineRule="auto"/>
        <w:jc w:val="both"/>
        <w:rPr>
          <w:rFonts w:cs="Arial"/>
          <w:bCs/>
          <w:szCs w:val="22"/>
        </w:rPr>
      </w:pPr>
      <w:r w:rsidRPr="000F376A">
        <w:rPr>
          <w:rFonts w:cs="Arial"/>
          <w:bCs/>
          <w:szCs w:val="22"/>
        </w:rPr>
        <w:t>[23]</w:t>
      </w:r>
      <w:r w:rsidRPr="000F376A">
        <w:rPr>
          <w:rFonts w:cs="Arial"/>
          <w:bCs/>
          <w:szCs w:val="22"/>
        </w:rPr>
        <w:tab/>
      </w:r>
      <w:r w:rsidR="00965EAF">
        <w:rPr>
          <w:rFonts w:cs="Arial"/>
          <w:bCs/>
          <w:szCs w:val="22"/>
          <w:lang w:val="en-GB"/>
        </w:rPr>
        <w:t>If the guarantee were to be construed as a</w:t>
      </w:r>
      <w:r w:rsidR="000A7534">
        <w:rPr>
          <w:rFonts w:cs="Arial"/>
          <w:bCs/>
          <w:szCs w:val="22"/>
          <w:lang w:val="en-GB"/>
        </w:rPr>
        <w:t xml:space="preserve"> type of</w:t>
      </w:r>
      <w:r w:rsidR="00965EAF">
        <w:rPr>
          <w:rFonts w:cs="Arial"/>
          <w:bCs/>
          <w:szCs w:val="22"/>
          <w:lang w:val="en-GB"/>
        </w:rPr>
        <w:t xml:space="preserve"> indemnity, it consists of an obligation by </w:t>
      </w:r>
      <w:r w:rsidR="00222343">
        <w:rPr>
          <w:rFonts w:cs="Arial"/>
          <w:bCs/>
          <w:szCs w:val="22"/>
          <w:lang w:val="en-GB"/>
        </w:rPr>
        <w:t>CISA</w:t>
      </w:r>
      <w:r w:rsidR="00965EAF">
        <w:rPr>
          <w:rFonts w:cs="Arial"/>
          <w:bCs/>
          <w:szCs w:val="22"/>
          <w:lang w:val="en-GB"/>
        </w:rPr>
        <w:t xml:space="preserve"> to pay the debt of ABF if and when ADF is unable to pay. It is thus an obligation owed to ABF that arises when EDF demands payment. </w:t>
      </w:r>
    </w:p>
    <w:p w14:paraId="5C16000B" w14:textId="5AE47B80" w:rsidR="00965EAF" w:rsidRPr="00B45476" w:rsidRDefault="00C47A6D" w:rsidP="00C47A6D">
      <w:pPr>
        <w:widowControl w:val="0"/>
        <w:tabs>
          <w:tab w:val="left" w:pos="567"/>
        </w:tabs>
        <w:spacing w:before="480" w:after="480" w:line="360" w:lineRule="auto"/>
        <w:jc w:val="both"/>
        <w:rPr>
          <w:rFonts w:cs="Arial"/>
          <w:bCs/>
          <w:szCs w:val="22"/>
        </w:rPr>
      </w:pPr>
      <w:r w:rsidRPr="00B45476">
        <w:rPr>
          <w:rFonts w:cs="Arial"/>
          <w:bCs/>
          <w:szCs w:val="22"/>
        </w:rPr>
        <w:lastRenderedPageBreak/>
        <w:t>[24]</w:t>
      </w:r>
      <w:r w:rsidRPr="00B45476">
        <w:rPr>
          <w:rFonts w:cs="Arial"/>
          <w:bCs/>
          <w:szCs w:val="22"/>
        </w:rPr>
        <w:tab/>
      </w:r>
      <w:r w:rsidR="00965EAF">
        <w:rPr>
          <w:rFonts w:cs="Arial"/>
          <w:bCs/>
          <w:szCs w:val="22"/>
          <w:lang w:val="en-GB"/>
        </w:rPr>
        <w:t xml:space="preserve">EDF cannot rely on the indemnity – it is not a contract of suretyship – and the right </w:t>
      </w:r>
      <w:r w:rsidR="000A7534">
        <w:rPr>
          <w:rFonts w:cs="Arial"/>
          <w:bCs/>
          <w:szCs w:val="22"/>
          <w:lang w:val="en-GB"/>
        </w:rPr>
        <w:t xml:space="preserve">(if any) </w:t>
      </w:r>
      <w:r w:rsidR="00965EAF">
        <w:rPr>
          <w:rFonts w:cs="Arial"/>
          <w:bCs/>
          <w:szCs w:val="22"/>
          <w:lang w:val="en-GB"/>
        </w:rPr>
        <w:t xml:space="preserve">to enforce it is a right that belongs to ABF. It must demand that </w:t>
      </w:r>
      <w:r w:rsidR="00222343">
        <w:rPr>
          <w:rFonts w:cs="Arial"/>
          <w:bCs/>
          <w:szCs w:val="22"/>
          <w:lang w:val="en-GB"/>
        </w:rPr>
        <w:t>CISA</w:t>
      </w:r>
      <w:r w:rsidR="00965EAF">
        <w:rPr>
          <w:rFonts w:cs="Arial"/>
          <w:bCs/>
          <w:szCs w:val="22"/>
          <w:lang w:val="en-GB"/>
        </w:rPr>
        <w:t xml:space="preserve"> pay the debt, thus indemnifying ABF.</w:t>
      </w:r>
      <w:r w:rsidR="005E23E3">
        <w:rPr>
          <w:rFonts w:cs="Arial"/>
          <w:bCs/>
          <w:szCs w:val="22"/>
          <w:lang w:val="en-GB"/>
        </w:rPr>
        <w:t xml:space="preserve"> This is likely to be a dispute before the Italian courts</w:t>
      </w:r>
      <w:r w:rsidR="00472150">
        <w:rPr>
          <w:rFonts w:cs="Arial"/>
          <w:bCs/>
          <w:szCs w:val="22"/>
          <w:lang w:val="en-GB"/>
        </w:rPr>
        <w:t xml:space="preserve"> but the dispute will not involve EDF. EDF must stand or fall by its claim against ABF.</w:t>
      </w:r>
    </w:p>
    <w:p w14:paraId="2E6E986A" w14:textId="78F49AD3" w:rsidR="00B45476" w:rsidRPr="00DD69AF" w:rsidRDefault="00C47A6D" w:rsidP="00C47A6D">
      <w:pPr>
        <w:widowControl w:val="0"/>
        <w:tabs>
          <w:tab w:val="left" w:pos="567"/>
        </w:tabs>
        <w:spacing w:before="480" w:after="480" w:line="360" w:lineRule="auto"/>
        <w:jc w:val="both"/>
        <w:rPr>
          <w:rFonts w:cs="Arial"/>
          <w:bCs/>
          <w:szCs w:val="22"/>
        </w:rPr>
      </w:pPr>
      <w:r w:rsidRPr="00DD69AF">
        <w:rPr>
          <w:rFonts w:cs="Arial"/>
          <w:bCs/>
          <w:szCs w:val="22"/>
        </w:rPr>
        <w:t>[25]</w:t>
      </w:r>
      <w:r w:rsidRPr="00DD69AF">
        <w:rPr>
          <w:rFonts w:cs="Arial"/>
          <w:bCs/>
          <w:szCs w:val="22"/>
        </w:rPr>
        <w:tab/>
      </w:r>
      <w:r w:rsidR="00B45476">
        <w:rPr>
          <w:rFonts w:cs="Arial"/>
          <w:bCs/>
          <w:szCs w:val="22"/>
          <w:lang w:val="en-GB"/>
        </w:rPr>
        <w:t xml:space="preserve">On the construction of the guarantee in the </w:t>
      </w:r>
      <w:r w:rsidR="000F376A">
        <w:rPr>
          <w:rFonts w:cs="Arial"/>
          <w:bCs/>
          <w:szCs w:val="22"/>
          <w:lang w:val="en-GB"/>
        </w:rPr>
        <w:t>paragraph</w:t>
      </w:r>
      <w:r w:rsidR="00B45476">
        <w:rPr>
          <w:rFonts w:cs="Arial"/>
          <w:bCs/>
          <w:szCs w:val="22"/>
          <w:lang w:val="en-GB"/>
        </w:rPr>
        <w:t xml:space="preserve"> from the affidavit quoted above, it is not the case for ABF that the question of liability is disputed. ABF admitted liability and if it is called upon to pay and finds itself unable to pay, all it has to do is to </w:t>
      </w:r>
      <w:r w:rsidR="000F376A">
        <w:rPr>
          <w:rFonts w:cs="Arial"/>
          <w:bCs/>
          <w:szCs w:val="22"/>
          <w:lang w:val="en-GB"/>
        </w:rPr>
        <w:t>call upon</w:t>
      </w:r>
      <w:r w:rsidR="00B45476">
        <w:rPr>
          <w:rFonts w:cs="Arial"/>
          <w:bCs/>
          <w:szCs w:val="22"/>
          <w:lang w:val="en-GB"/>
        </w:rPr>
        <w:t xml:space="preserve"> </w:t>
      </w:r>
      <w:r w:rsidR="00222343">
        <w:rPr>
          <w:rFonts w:cs="Arial"/>
          <w:bCs/>
          <w:szCs w:val="22"/>
          <w:lang w:val="en-GB"/>
        </w:rPr>
        <w:t>CISA</w:t>
      </w:r>
      <w:r w:rsidR="00B45476">
        <w:rPr>
          <w:rFonts w:cs="Arial"/>
          <w:bCs/>
          <w:szCs w:val="22"/>
          <w:lang w:val="en-GB"/>
        </w:rPr>
        <w:t xml:space="preserve"> to pay.</w:t>
      </w:r>
      <w:r w:rsidR="00DD69AF">
        <w:rPr>
          <w:rFonts w:cs="Arial"/>
          <w:bCs/>
          <w:szCs w:val="22"/>
          <w:lang w:val="en-GB"/>
        </w:rPr>
        <w:t xml:space="preserve"> CISA has denied the existence of the guarantee.</w:t>
      </w:r>
    </w:p>
    <w:p w14:paraId="23DDA216" w14:textId="68ED76D4" w:rsidR="00DD69AF" w:rsidRPr="00A332DE" w:rsidRDefault="00C47A6D" w:rsidP="00C47A6D">
      <w:pPr>
        <w:widowControl w:val="0"/>
        <w:tabs>
          <w:tab w:val="left" w:pos="567"/>
        </w:tabs>
        <w:spacing w:before="480" w:after="480" w:line="360" w:lineRule="auto"/>
        <w:jc w:val="both"/>
        <w:rPr>
          <w:rFonts w:cs="Arial"/>
          <w:bCs/>
          <w:szCs w:val="22"/>
        </w:rPr>
      </w:pPr>
      <w:r w:rsidRPr="00A332DE">
        <w:rPr>
          <w:rFonts w:cs="Arial"/>
          <w:bCs/>
          <w:szCs w:val="22"/>
        </w:rPr>
        <w:t>[26]</w:t>
      </w:r>
      <w:r w:rsidRPr="00A332DE">
        <w:rPr>
          <w:rFonts w:cs="Arial"/>
          <w:bCs/>
          <w:szCs w:val="22"/>
        </w:rPr>
        <w:tab/>
      </w:r>
      <w:r w:rsidR="00DD69AF">
        <w:rPr>
          <w:rFonts w:cs="Arial"/>
          <w:bCs/>
          <w:szCs w:val="22"/>
          <w:lang w:val="en-GB"/>
        </w:rPr>
        <w:t>No case is made out for the joinder of CISA.</w:t>
      </w:r>
    </w:p>
    <w:p w14:paraId="33E4D8A7" w14:textId="77777777" w:rsidR="00C54B12" w:rsidRDefault="00C54B12" w:rsidP="00A3283B">
      <w:pPr>
        <w:widowControl w:val="0"/>
        <w:spacing w:before="480" w:after="480" w:line="360" w:lineRule="auto"/>
        <w:jc w:val="both"/>
        <w:rPr>
          <w:rFonts w:cs="Arial"/>
          <w:bCs/>
          <w:szCs w:val="22"/>
          <w:u w:val="single"/>
        </w:rPr>
      </w:pPr>
    </w:p>
    <w:p w14:paraId="5D47C069" w14:textId="54F0C5E6" w:rsidR="00C54B12" w:rsidRPr="00C54B12" w:rsidRDefault="00C54B12" w:rsidP="00A3283B">
      <w:pPr>
        <w:widowControl w:val="0"/>
        <w:spacing w:before="480" w:after="480" w:line="360" w:lineRule="auto"/>
        <w:jc w:val="both"/>
        <w:rPr>
          <w:rFonts w:cs="Arial"/>
          <w:bCs/>
          <w:szCs w:val="22"/>
          <w:u w:val="single"/>
        </w:rPr>
      </w:pPr>
      <w:r w:rsidRPr="00C54B12">
        <w:rPr>
          <w:rFonts w:cs="Arial"/>
          <w:bCs/>
          <w:szCs w:val="22"/>
          <w:u w:val="single"/>
        </w:rPr>
        <w:t>Costs</w:t>
      </w:r>
    </w:p>
    <w:p w14:paraId="53CC7560" w14:textId="5B3DB249" w:rsidR="006C59A9" w:rsidRDefault="00C47A6D" w:rsidP="00C47A6D">
      <w:pPr>
        <w:widowControl w:val="0"/>
        <w:tabs>
          <w:tab w:val="left" w:pos="567"/>
        </w:tabs>
        <w:spacing w:before="480" w:after="480" w:line="360" w:lineRule="auto"/>
        <w:jc w:val="both"/>
        <w:rPr>
          <w:rFonts w:cs="Arial"/>
          <w:bCs/>
          <w:szCs w:val="22"/>
        </w:rPr>
      </w:pPr>
      <w:r>
        <w:rPr>
          <w:rFonts w:cs="Arial"/>
          <w:bCs/>
          <w:szCs w:val="22"/>
        </w:rPr>
        <w:t>[27]</w:t>
      </w:r>
      <w:r>
        <w:rPr>
          <w:rFonts w:cs="Arial"/>
          <w:bCs/>
          <w:szCs w:val="22"/>
        </w:rPr>
        <w:tab/>
      </w:r>
      <w:r w:rsidR="004F4D7D">
        <w:rPr>
          <w:rFonts w:cs="Arial"/>
          <w:bCs/>
          <w:szCs w:val="22"/>
        </w:rPr>
        <w:t>EDF seeks costs on the attorney and own client scale</w:t>
      </w:r>
      <w:r w:rsidR="00C54B12">
        <w:rPr>
          <w:rFonts w:cs="Arial"/>
          <w:bCs/>
          <w:szCs w:val="22"/>
        </w:rPr>
        <w:t>.</w:t>
      </w:r>
      <w:r w:rsidR="004F4D7D">
        <w:rPr>
          <w:rFonts w:cs="Arial"/>
          <w:bCs/>
          <w:szCs w:val="22"/>
        </w:rPr>
        <w:t xml:space="preserve"> </w:t>
      </w:r>
      <w:r w:rsidR="00285F28">
        <w:rPr>
          <w:rFonts w:cs="Arial"/>
          <w:bCs/>
          <w:szCs w:val="22"/>
        </w:rPr>
        <w:t xml:space="preserve">It argued that the application </w:t>
      </w:r>
      <w:r w:rsidR="001B498E">
        <w:rPr>
          <w:rFonts w:cs="Arial"/>
          <w:bCs/>
          <w:szCs w:val="22"/>
        </w:rPr>
        <w:t>was</w:t>
      </w:r>
      <w:r w:rsidR="00285F28">
        <w:rPr>
          <w:rFonts w:cs="Arial"/>
          <w:bCs/>
          <w:szCs w:val="22"/>
        </w:rPr>
        <w:t xml:space="preserve"> not </w:t>
      </w:r>
      <w:r w:rsidR="00285F28" w:rsidRPr="001B498E">
        <w:rPr>
          <w:rFonts w:cs="Arial"/>
          <w:bCs/>
          <w:i/>
          <w:iCs/>
          <w:szCs w:val="22"/>
        </w:rPr>
        <w:t>bona fide</w:t>
      </w:r>
      <w:r w:rsidR="00285F28">
        <w:rPr>
          <w:rFonts w:cs="Arial"/>
          <w:bCs/>
          <w:szCs w:val="22"/>
        </w:rPr>
        <w:t xml:space="preserve"> but was brought simply to delay</w:t>
      </w:r>
      <w:r w:rsidR="005B0E76">
        <w:rPr>
          <w:rFonts w:cs="Arial"/>
          <w:bCs/>
          <w:szCs w:val="22"/>
        </w:rPr>
        <w:t xml:space="preserve"> the finalisation of the litigation</w:t>
      </w:r>
      <w:r w:rsidR="00285F28">
        <w:rPr>
          <w:rFonts w:cs="Arial"/>
          <w:bCs/>
          <w:szCs w:val="22"/>
        </w:rPr>
        <w:t>. The application was not served on CISA and the court does not have jurisdiction over CISA</w:t>
      </w:r>
      <w:r w:rsidR="00DD69AF">
        <w:rPr>
          <w:rFonts w:cs="Arial"/>
          <w:bCs/>
          <w:szCs w:val="22"/>
        </w:rPr>
        <w:t xml:space="preserve">, but this did not stop ABF from persisting with the application. </w:t>
      </w:r>
      <w:r w:rsidR="00285F28">
        <w:rPr>
          <w:rFonts w:cs="Arial"/>
          <w:bCs/>
          <w:szCs w:val="22"/>
        </w:rPr>
        <w:t>The alleged guarantee is not a defence to the claim and insofar as the guarantee is a purported suretyship, it does not comply with the prescribed formalities.</w:t>
      </w:r>
    </w:p>
    <w:p w14:paraId="7BB6D538" w14:textId="4D0F33A9" w:rsidR="00285F28" w:rsidRDefault="00C47A6D" w:rsidP="00C47A6D">
      <w:pPr>
        <w:widowControl w:val="0"/>
        <w:tabs>
          <w:tab w:val="left" w:pos="567"/>
        </w:tabs>
        <w:spacing w:before="480" w:after="480" w:line="360" w:lineRule="auto"/>
        <w:jc w:val="both"/>
        <w:rPr>
          <w:rFonts w:cs="Arial"/>
          <w:bCs/>
          <w:szCs w:val="22"/>
        </w:rPr>
      </w:pPr>
      <w:r>
        <w:rPr>
          <w:rFonts w:cs="Arial"/>
          <w:bCs/>
          <w:szCs w:val="22"/>
        </w:rPr>
        <w:t>[28]</w:t>
      </w:r>
      <w:r>
        <w:rPr>
          <w:rFonts w:cs="Arial"/>
          <w:bCs/>
          <w:szCs w:val="22"/>
        </w:rPr>
        <w:tab/>
      </w:r>
      <w:r w:rsidR="001B498E">
        <w:rPr>
          <w:rFonts w:cs="Arial"/>
          <w:bCs/>
          <w:szCs w:val="22"/>
        </w:rPr>
        <w:t>Awards of attorney and client costs are not easily granted but are justified when the conduct of the losing party justify such an order.</w:t>
      </w:r>
      <w:r w:rsidR="001B498E">
        <w:rPr>
          <w:rStyle w:val="FootnoteReference"/>
          <w:rFonts w:cs="Arial"/>
          <w:bCs/>
          <w:szCs w:val="22"/>
        </w:rPr>
        <w:footnoteReference w:id="13"/>
      </w:r>
      <w:r w:rsidR="001B498E">
        <w:rPr>
          <w:rFonts w:cs="Arial"/>
          <w:bCs/>
          <w:szCs w:val="22"/>
        </w:rPr>
        <w:t xml:space="preserve"> For the reasons set out in this judgment I am of the view that an attorney and client cost order is justified.</w:t>
      </w:r>
    </w:p>
    <w:p w14:paraId="5EAB1B45" w14:textId="77777777" w:rsidR="002F60E1" w:rsidRDefault="002F60E1" w:rsidP="002F60E1">
      <w:pPr>
        <w:keepNext/>
        <w:widowControl w:val="0"/>
        <w:spacing w:before="480" w:after="480" w:line="360" w:lineRule="auto"/>
        <w:jc w:val="both"/>
        <w:rPr>
          <w:rFonts w:cs="Arial"/>
          <w:bCs/>
          <w:szCs w:val="22"/>
          <w:u w:val="single"/>
        </w:rPr>
      </w:pPr>
    </w:p>
    <w:p w14:paraId="2B632C8A" w14:textId="781F2A6A" w:rsidR="004F4D7D" w:rsidRPr="004F4D7D" w:rsidRDefault="004F4D7D" w:rsidP="002F60E1">
      <w:pPr>
        <w:keepNext/>
        <w:widowControl w:val="0"/>
        <w:spacing w:before="480" w:after="480" w:line="360" w:lineRule="auto"/>
        <w:jc w:val="both"/>
        <w:rPr>
          <w:rFonts w:cs="Arial"/>
          <w:bCs/>
          <w:szCs w:val="22"/>
          <w:u w:val="single"/>
        </w:rPr>
      </w:pPr>
      <w:r w:rsidRPr="004F4D7D">
        <w:rPr>
          <w:rFonts w:cs="Arial"/>
          <w:bCs/>
          <w:szCs w:val="22"/>
          <w:u w:val="single"/>
        </w:rPr>
        <w:t>Conclusion</w:t>
      </w:r>
    </w:p>
    <w:p w14:paraId="2123C4F6" w14:textId="6DABAD26" w:rsidR="00051A2B" w:rsidRPr="00BF4DDA" w:rsidRDefault="00C47A6D" w:rsidP="00C47A6D">
      <w:pPr>
        <w:keepNext/>
        <w:widowControl w:val="0"/>
        <w:tabs>
          <w:tab w:val="left" w:pos="567"/>
        </w:tabs>
        <w:spacing w:before="480" w:after="480" w:line="360" w:lineRule="auto"/>
        <w:jc w:val="both"/>
        <w:rPr>
          <w:rFonts w:cs="Arial"/>
          <w:bCs/>
          <w:szCs w:val="22"/>
        </w:rPr>
      </w:pPr>
      <w:r w:rsidRPr="00BF4DDA">
        <w:rPr>
          <w:rFonts w:cs="Arial"/>
          <w:bCs/>
          <w:szCs w:val="22"/>
        </w:rPr>
        <w:t>[29]</w:t>
      </w:r>
      <w:r w:rsidRPr="00BF4DDA">
        <w:rPr>
          <w:rFonts w:cs="Arial"/>
          <w:bCs/>
          <w:szCs w:val="22"/>
        </w:rPr>
        <w:tab/>
      </w:r>
      <w:r w:rsidR="00051A2B" w:rsidRPr="00BF4DDA">
        <w:rPr>
          <w:rFonts w:cs="Arial"/>
          <w:bCs/>
          <w:szCs w:val="22"/>
        </w:rPr>
        <w:t>I theref</w:t>
      </w:r>
      <w:bookmarkStart w:id="0" w:name="_GoBack"/>
      <w:bookmarkEnd w:id="0"/>
      <w:r w:rsidR="00051A2B" w:rsidRPr="00BF4DDA">
        <w:rPr>
          <w:rFonts w:cs="Arial"/>
          <w:bCs/>
          <w:szCs w:val="22"/>
        </w:rPr>
        <w:t>ore make the order as set out</w:t>
      </w:r>
      <w:r w:rsidR="00DD69AF">
        <w:rPr>
          <w:rFonts w:cs="Arial"/>
          <w:bCs/>
          <w:szCs w:val="22"/>
        </w:rPr>
        <w:t xml:space="preserve"> in paragraph 1</w:t>
      </w:r>
      <w:r w:rsidR="00051A2B" w:rsidRPr="00BF4DDA">
        <w:rPr>
          <w:rFonts w:cs="Arial"/>
          <w:bCs/>
          <w:szCs w:val="22"/>
        </w:rPr>
        <w:t xml:space="preserve"> above.</w:t>
      </w:r>
    </w:p>
    <w:p w14:paraId="3E6BA7DA" w14:textId="43133B0D" w:rsidR="00AE287F" w:rsidRDefault="00AE287F" w:rsidP="00A3283B">
      <w:pPr>
        <w:tabs>
          <w:tab w:val="right" w:pos="0"/>
        </w:tabs>
        <w:spacing w:line="360" w:lineRule="auto"/>
        <w:contextualSpacing/>
        <w:jc w:val="both"/>
        <w:rPr>
          <w:rFonts w:cs="Arial"/>
          <w:b/>
        </w:rPr>
      </w:pPr>
    </w:p>
    <w:p w14:paraId="53CD27EE" w14:textId="672559CF" w:rsidR="00AE287F" w:rsidRDefault="00A649E6" w:rsidP="006C43D7">
      <w:pPr>
        <w:tabs>
          <w:tab w:val="right" w:pos="0"/>
        </w:tabs>
        <w:spacing w:line="360" w:lineRule="auto"/>
        <w:contextualSpacing/>
        <w:jc w:val="right"/>
        <w:rPr>
          <w:rFonts w:cs="Arial"/>
          <w:b/>
        </w:rPr>
      </w:pPr>
      <w:r>
        <w:rPr>
          <w:rFonts w:cs="Arial"/>
          <w:b/>
        </w:rPr>
        <w:t>______________</w:t>
      </w:r>
    </w:p>
    <w:p w14:paraId="0CCB9BFE" w14:textId="7ABE564D" w:rsidR="006C43D7" w:rsidRPr="006C43D7" w:rsidRDefault="00C676F3" w:rsidP="006C43D7">
      <w:pPr>
        <w:tabs>
          <w:tab w:val="right" w:pos="0"/>
        </w:tabs>
        <w:spacing w:line="360" w:lineRule="auto"/>
        <w:contextualSpacing/>
        <w:jc w:val="right"/>
        <w:rPr>
          <w:rFonts w:cs="Arial"/>
          <w:b/>
        </w:rPr>
      </w:pPr>
      <w:r>
        <w:rPr>
          <w:rFonts w:cs="Arial"/>
          <w:b/>
        </w:rPr>
        <w:t>J MOORCROFT</w:t>
      </w:r>
    </w:p>
    <w:p w14:paraId="7A2C1059" w14:textId="77777777" w:rsidR="006C43D7" w:rsidRPr="006C43D7" w:rsidRDefault="006C43D7" w:rsidP="006C43D7">
      <w:pPr>
        <w:tabs>
          <w:tab w:val="right" w:pos="0"/>
        </w:tabs>
        <w:spacing w:line="360" w:lineRule="auto"/>
        <w:contextualSpacing/>
        <w:jc w:val="right"/>
        <w:rPr>
          <w:rFonts w:cs="Arial"/>
          <w:b/>
        </w:rPr>
      </w:pPr>
      <w:r w:rsidRPr="006C43D7">
        <w:rPr>
          <w:rFonts w:cs="Arial"/>
          <w:b/>
        </w:rPr>
        <w:t>ACTING JUDGE OF THE HIGH COURT OF SOUTH AFRICA</w:t>
      </w:r>
    </w:p>
    <w:p w14:paraId="077C2590" w14:textId="7452355B"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GAUTENG DIVISION</w:t>
      </w:r>
    </w:p>
    <w:p w14:paraId="40B9C946" w14:textId="77777777" w:rsidR="006C43D7" w:rsidRPr="006C43D7" w:rsidRDefault="006C43D7" w:rsidP="006C43D7">
      <w:pPr>
        <w:tabs>
          <w:tab w:val="right" w:pos="0"/>
          <w:tab w:val="left" w:pos="4253"/>
        </w:tabs>
        <w:spacing w:line="360" w:lineRule="auto"/>
        <w:contextualSpacing/>
        <w:jc w:val="right"/>
        <w:rPr>
          <w:rFonts w:cs="Arial"/>
          <w:b/>
        </w:rPr>
      </w:pPr>
      <w:r w:rsidRPr="006C43D7">
        <w:rPr>
          <w:rFonts w:cs="Arial"/>
          <w:b/>
        </w:rPr>
        <w:t>JOHANNESBURG</w:t>
      </w:r>
    </w:p>
    <w:p w14:paraId="326B529B" w14:textId="77777777" w:rsidR="006C43D7" w:rsidRPr="006C43D7" w:rsidRDefault="006C43D7" w:rsidP="006C43D7">
      <w:pPr>
        <w:tabs>
          <w:tab w:val="right" w:pos="0"/>
          <w:tab w:val="left" w:pos="4253"/>
        </w:tabs>
        <w:spacing w:line="360" w:lineRule="auto"/>
        <w:contextualSpacing/>
        <w:jc w:val="center"/>
        <w:rPr>
          <w:rFonts w:cs="Arial"/>
          <w:b/>
        </w:rPr>
      </w:pPr>
    </w:p>
    <w:p w14:paraId="5A4CC56C" w14:textId="051C4E22" w:rsidR="006C43D7" w:rsidRPr="006C43D7" w:rsidRDefault="006C43D7" w:rsidP="006C43D7">
      <w:pPr>
        <w:spacing w:after="200" w:line="480" w:lineRule="auto"/>
        <w:contextualSpacing/>
        <w:jc w:val="right"/>
        <w:rPr>
          <w:rFonts w:cs="Arial"/>
          <w:b/>
          <w:i/>
          <w:iCs/>
        </w:rPr>
      </w:pPr>
      <w:r w:rsidRPr="006C43D7">
        <w:rPr>
          <w:rFonts w:cs="Arial"/>
          <w:b/>
          <w:i/>
          <w:iCs/>
        </w:rPr>
        <w:t>Electronically submitted</w:t>
      </w:r>
    </w:p>
    <w:p w14:paraId="4E3E9427" w14:textId="77777777" w:rsidR="006C43D7" w:rsidRPr="006C43D7" w:rsidRDefault="006C43D7" w:rsidP="006C43D7">
      <w:pPr>
        <w:spacing w:after="200" w:line="360" w:lineRule="auto"/>
        <w:contextualSpacing/>
        <w:jc w:val="both"/>
        <w:rPr>
          <w:rFonts w:eastAsia="Arial Unicode MS" w:cs="Arial"/>
          <w:bCs/>
        </w:rPr>
      </w:pPr>
    </w:p>
    <w:p w14:paraId="51C686CA" w14:textId="29EB5BAF" w:rsidR="006C43D7" w:rsidRPr="00051A2B" w:rsidRDefault="006C43D7" w:rsidP="006C43D7">
      <w:pPr>
        <w:spacing w:after="200" w:line="360" w:lineRule="auto"/>
        <w:contextualSpacing/>
        <w:jc w:val="both"/>
        <w:rPr>
          <w:rFonts w:eastAsia="Arial Unicode MS" w:cs="Arial"/>
          <w:bCs/>
        </w:rPr>
      </w:pPr>
      <w:r w:rsidRPr="006C43D7">
        <w:rPr>
          <w:rFonts w:eastAsia="Arial Unicode MS" w:cs="Arial"/>
          <w:bCs/>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Pr>
          <w:rFonts w:eastAsia="Arial Unicode MS" w:cs="Arial"/>
          <w:bCs/>
        </w:rPr>
        <w:t xml:space="preserve"> </w:t>
      </w:r>
      <w:r w:rsidR="00A3283B">
        <w:rPr>
          <w:rFonts w:eastAsia="Arial Unicode MS" w:cs="Arial"/>
          <w:b/>
        </w:rPr>
        <w:t>5</w:t>
      </w:r>
      <w:r w:rsidR="00C93FBD">
        <w:rPr>
          <w:rFonts w:eastAsia="Arial Unicode MS" w:cs="Arial"/>
          <w:b/>
        </w:rPr>
        <w:t xml:space="preserve"> OCTOBER </w:t>
      </w:r>
      <w:r w:rsidR="00237FF9">
        <w:rPr>
          <w:rFonts w:eastAsia="Arial Unicode MS" w:cs="Arial"/>
          <w:b/>
          <w:bCs/>
        </w:rPr>
        <w:t>202</w:t>
      </w:r>
      <w:r w:rsidR="00051A2B">
        <w:rPr>
          <w:rFonts w:eastAsia="Arial Unicode MS" w:cs="Arial"/>
          <w:b/>
          <w:bCs/>
        </w:rPr>
        <w:t>3</w:t>
      </w:r>
      <w:r w:rsidR="00051A2B">
        <w:rPr>
          <w:rFonts w:eastAsia="Arial Unicode MS" w:cs="Arial"/>
          <w:bCs/>
        </w:rPr>
        <w:t>.</w:t>
      </w:r>
    </w:p>
    <w:p w14:paraId="482DDF6E" w14:textId="77777777" w:rsidR="006C43D7" w:rsidRPr="006C43D7" w:rsidRDefault="006C43D7" w:rsidP="006C43D7">
      <w:pPr>
        <w:tabs>
          <w:tab w:val="right" w:pos="0"/>
          <w:tab w:val="left" w:pos="4253"/>
        </w:tabs>
        <w:spacing w:line="360" w:lineRule="auto"/>
        <w:contextualSpacing/>
        <w:jc w:val="center"/>
        <w:rPr>
          <w:rFonts w:cs="Arial"/>
          <w:b/>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878"/>
        <w:gridCol w:w="283"/>
        <w:gridCol w:w="2693"/>
      </w:tblGrid>
      <w:tr w:rsidR="009D35B5" w14:paraId="493AF0D7" w14:textId="77777777" w:rsidTr="0053293A">
        <w:tc>
          <w:tcPr>
            <w:tcW w:w="5529" w:type="dxa"/>
            <w:gridSpan w:val="2"/>
          </w:tcPr>
          <w:p w14:paraId="6A05541A" w14:textId="092AE0D8"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53293A">
              <w:rPr>
                <w:rFonts w:cs="Arial"/>
              </w:rPr>
              <w:t xml:space="preserve">THE </w:t>
            </w:r>
            <w:r w:rsidR="00466300">
              <w:rPr>
                <w:rFonts w:cs="Arial"/>
              </w:rPr>
              <w:t>APPLICANT</w:t>
            </w:r>
            <w:r w:rsidRPr="006C43D7">
              <w:rPr>
                <w:rFonts w:cs="Arial"/>
              </w:rPr>
              <w:t>:</w:t>
            </w:r>
          </w:p>
        </w:tc>
        <w:tc>
          <w:tcPr>
            <w:tcW w:w="2976" w:type="dxa"/>
            <w:gridSpan w:val="2"/>
          </w:tcPr>
          <w:p w14:paraId="69785AA9" w14:textId="1D927A30" w:rsidR="00DC6EF8" w:rsidRDefault="000A1522" w:rsidP="00DF5291">
            <w:pPr>
              <w:tabs>
                <w:tab w:val="right" w:pos="0"/>
                <w:tab w:val="left" w:pos="567"/>
                <w:tab w:val="right" w:pos="2727"/>
                <w:tab w:val="left" w:pos="4253"/>
              </w:tabs>
              <w:spacing w:line="360" w:lineRule="auto"/>
              <w:contextualSpacing/>
              <w:jc w:val="right"/>
              <w:rPr>
                <w:rFonts w:cs="Arial"/>
              </w:rPr>
            </w:pPr>
            <w:r>
              <w:rPr>
                <w:rFonts w:cs="Arial"/>
              </w:rPr>
              <w:t xml:space="preserve">A </w:t>
            </w:r>
            <w:r w:rsidR="00466300">
              <w:rPr>
                <w:rFonts w:cs="Arial"/>
              </w:rPr>
              <w:t>PILLAY</w:t>
            </w:r>
          </w:p>
        </w:tc>
      </w:tr>
      <w:tr w:rsidR="009D35B5" w14:paraId="183C176D" w14:textId="77777777" w:rsidTr="0053293A">
        <w:tc>
          <w:tcPr>
            <w:tcW w:w="3651" w:type="dxa"/>
          </w:tcPr>
          <w:p w14:paraId="75365413" w14:textId="481747BC"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4854" w:type="dxa"/>
            <w:gridSpan w:val="3"/>
          </w:tcPr>
          <w:p w14:paraId="4044534A" w14:textId="2887ECD3" w:rsidR="00762178" w:rsidRDefault="000A1522" w:rsidP="00762178">
            <w:pPr>
              <w:tabs>
                <w:tab w:val="right" w:pos="0"/>
                <w:tab w:val="left" w:pos="4253"/>
              </w:tabs>
              <w:spacing w:line="360" w:lineRule="auto"/>
              <w:contextualSpacing/>
              <w:jc w:val="right"/>
              <w:rPr>
                <w:rFonts w:cs="Arial"/>
              </w:rPr>
            </w:pPr>
            <w:r>
              <w:rPr>
                <w:rFonts w:cs="Arial"/>
              </w:rPr>
              <w:t>C &amp; O INC</w:t>
            </w:r>
          </w:p>
        </w:tc>
      </w:tr>
      <w:tr w:rsidR="009D35B5" w14:paraId="6E2BF966" w14:textId="77777777" w:rsidTr="0053293A">
        <w:tc>
          <w:tcPr>
            <w:tcW w:w="5812" w:type="dxa"/>
            <w:gridSpan w:val="3"/>
          </w:tcPr>
          <w:p w14:paraId="545B6665" w14:textId="5D0EACC4" w:rsidR="009D35B5" w:rsidRDefault="009D35B5" w:rsidP="002C2E80">
            <w:pPr>
              <w:tabs>
                <w:tab w:val="right" w:pos="0"/>
                <w:tab w:val="left" w:pos="4253"/>
              </w:tabs>
              <w:spacing w:line="360" w:lineRule="auto"/>
              <w:contextualSpacing/>
              <w:rPr>
                <w:rFonts w:cs="Arial"/>
              </w:rPr>
            </w:pPr>
            <w:r>
              <w:rPr>
                <w:rFonts w:cs="Arial"/>
              </w:rPr>
              <w:t>COUNSEL</w:t>
            </w:r>
            <w:r w:rsidRPr="006C43D7">
              <w:rPr>
                <w:rFonts w:cs="Arial"/>
              </w:rPr>
              <w:t xml:space="preserve"> FOR </w:t>
            </w:r>
            <w:r w:rsidR="0053293A">
              <w:rPr>
                <w:rFonts w:cs="Arial"/>
              </w:rPr>
              <w:t xml:space="preserve">THE </w:t>
            </w:r>
            <w:r w:rsidR="00466300">
              <w:rPr>
                <w:rFonts w:cs="Arial"/>
              </w:rPr>
              <w:t>FIRST</w:t>
            </w:r>
            <w:r w:rsidR="0053293A">
              <w:rPr>
                <w:rFonts w:cs="Arial"/>
              </w:rPr>
              <w:t xml:space="preserve"> </w:t>
            </w:r>
            <w:r w:rsidR="00466300">
              <w:rPr>
                <w:rFonts w:cs="Arial"/>
              </w:rPr>
              <w:t>RESPONDENT</w:t>
            </w:r>
            <w:r w:rsidRPr="006C43D7">
              <w:rPr>
                <w:rFonts w:cs="Arial"/>
              </w:rPr>
              <w:t>:</w:t>
            </w:r>
          </w:p>
        </w:tc>
        <w:tc>
          <w:tcPr>
            <w:tcW w:w="2693" w:type="dxa"/>
          </w:tcPr>
          <w:p w14:paraId="51741A90" w14:textId="46BDFB2A" w:rsidR="009D35B5" w:rsidRDefault="00466300" w:rsidP="00424BA6">
            <w:pPr>
              <w:tabs>
                <w:tab w:val="right" w:pos="0"/>
                <w:tab w:val="left" w:pos="4253"/>
              </w:tabs>
              <w:spacing w:line="360" w:lineRule="auto"/>
              <w:contextualSpacing/>
              <w:jc w:val="right"/>
              <w:rPr>
                <w:rFonts w:cs="Arial"/>
              </w:rPr>
            </w:pPr>
            <w:r>
              <w:rPr>
                <w:rFonts w:cs="Arial"/>
              </w:rPr>
              <w:t>M NIEUWOUDT</w:t>
            </w:r>
          </w:p>
        </w:tc>
      </w:tr>
      <w:tr w:rsidR="009D35B5" w14:paraId="1EC4105A" w14:textId="77777777" w:rsidTr="0053293A">
        <w:tc>
          <w:tcPr>
            <w:tcW w:w="3651" w:type="dxa"/>
          </w:tcPr>
          <w:p w14:paraId="184EC2ED" w14:textId="1E42F28A" w:rsidR="009D35B5" w:rsidRDefault="009D35B5" w:rsidP="002C2E80">
            <w:pPr>
              <w:tabs>
                <w:tab w:val="right" w:pos="0"/>
                <w:tab w:val="left" w:pos="4253"/>
              </w:tabs>
              <w:spacing w:line="360" w:lineRule="auto"/>
              <w:contextualSpacing/>
              <w:rPr>
                <w:rFonts w:cs="Arial"/>
              </w:rPr>
            </w:pPr>
            <w:r w:rsidRPr="006C43D7">
              <w:rPr>
                <w:rFonts w:cs="Arial"/>
              </w:rPr>
              <w:t>INSTRUCTED BY:</w:t>
            </w:r>
          </w:p>
        </w:tc>
        <w:tc>
          <w:tcPr>
            <w:tcW w:w="4854" w:type="dxa"/>
            <w:gridSpan w:val="3"/>
          </w:tcPr>
          <w:p w14:paraId="2098BE2A" w14:textId="55D46671" w:rsidR="009D35B5" w:rsidRDefault="000A1522" w:rsidP="00424BA6">
            <w:pPr>
              <w:tabs>
                <w:tab w:val="right" w:pos="0"/>
                <w:tab w:val="left" w:pos="4253"/>
              </w:tabs>
              <w:spacing w:line="360" w:lineRule="auto"/>
              <w:contextualSpacing/>
              <w:jc w:val="right"/>
              <w:rPr>
                <w:rFonts w:cs="Arial"/>
              </w:rPr>
            </w:pPr>
            <w:r>
              <w:rPr>
                <w:rFonts w:cs="Arial"/>
              </w:rPr>
              <w:t>WERTHSCHRÖDER INC</w:t>
            </w:r>
          </w:p>
        </w:tc>
      </w:tr>
      <w:tr w:rsidR="009D35B5" w14:paraId="2A3FE2B1" w14:textId="77777777" w:rsidTr="0053293A">
        <w:tc>
          <w:tcPr>
            <w:tcW w:w="3651" w:type="dxa"/>
          </w:tcPr>
          <w:p w14:paraId="0767D0FE" w14:textId="5D8C7247" w:rsidR="009D35B5" w:rsidRPr="006C43D7" w:rsidRDefault="009D35B5" w:rsidP="002C2E80">
            <w:pPr>
              <w:tabs>
                <w:tab w:val="right" w:pos="0"/>
                <w:tab w:val="left" w:pos="4253"/>
              </w:tabs>
              <w:spacing w:line="360" w:lineRule="auto"/>
              <w:contextualSpacing/>
              <w:rPr>
                <w:rFonts w:cs="Arial"/>
              </w:rPr>
            </w:pPr>
            <w:r w:rsidRPr="006C43D7">
              <w:rPr>
                <w:rFonts w:cs="Arial"/>
              </w:rPr>
              <w:t xml:space="preserve">DATE OF </w:t>
            </w:r>
            <w:r w:rsidR="00C93FBD">
              <w:rPr>
                <w:rFonts w:cs="Arial"/>
              </w:rPr>
              <w:t>HEARING</w:t>
            </w:r>
            <w:r w:rsidRPr="006C43D7">
              <w:rPr>
                <w:rFonts w:cs="Arial"/>
              </w:rPr>
              <w:t>:</w:t>
            </w:r>
          </w:p>
        </w:tc>
        <w:tc>
          <w:tcPr>
            <w:tcW w:w="4854" w:type="dxa"/>
            <w:gridSpan w:val="3"/>
          </w:tcPr>
          <w:p w14:paraId="34C95147" w14:textId="0F4A86E1" w:rsidR="009D35B5" w:rsidRDefault="00C93FBD" w:rsidP="009D35B5">
            <w:pPr>
              <w:tabs>
                <w:tab w:val="right" w:pos="0"/>
                <w:tab w:val="left" w:pos="4253"/>
              </w:tabs>
              <w:spacing w:line="360" w:lineRule="auto"/>
              <w:contextualSpacing/>
              <w:jc w:val="right"/>
              <w:rPr>
                <w:rFonts w:cs="Arial"/>
              </w:rPr>
            </w:pPr>
            <w:r>
              <w:rPr>
                <w:rFonts w:cs="Arial"/>
              </w:rPr>
              <w:t>4 OCTOBER 2023</w:t>
            </w:r>
          </w:p>
        </w:tc>
      </w:tr>
      <w:tr w:rsidR="009D35B5" w14:paraId="757AA656" w14:textId="77777777" w:rsidTr="0053293A">
        <w:tc>
          <w:tcPr>
            <w:tcW w:w="3651" w:type="dxa"/>
          </w:tcPr>
          <w:p w14:paraId="05387251" w14:textId="5A778948" w:rsidR="009D35B5" w:rsidRPr="006C43D7" w:rsidRDefault="009D35B5" w:rsidP="002C2E80">
            <w:pPr>
              <w:tabs>
                <w:tab w:val="right" w:pos="0"/>
                <w:tab w:val="left" w:pos="4253"/>
              </w:tabs>
              <w:spacing w:line="360" w:lineRule="auto"/>
              <w:contextualSpacing/>
              <w:rPr>
                <w:rFonts w:cs="Arial"/>
              </w:rPr>
            </w:pPr>
            <w:r w:rsidRPr="006C43D7">
              <w:rPr>
                <w:rFonts w:cs="Arial"/>
              </w:rPr>
              <w:t>DATE OF JUDGMENT:</w:t>
            </w:r>
          </w:p>
        </w:tc>
        <w:tc>
          <w:tcPr>
            <w:tcW w:w="4854" w:type="dxa"/>
            <w:gridSpan w:val="3"/>
          </w:tcPr>
          <w:p w14:paraId="61863A62" w14:textId="50D30AF6" w:rsidR="009D35B5" w:rsidRDefault="00A3283B" w:rsidP="009D35B5">
            <w:pPr>
              <w:tabs>
                <w:tab w:val="right" w:pos="0"/>
                <w:tab w:val="left" w:pos="4253"/>
              </w:tabs>
              <w:spacing w:line="360" w:lineRule="auto"/>
              <w:contextualSpacing/>
              <w:jc w:val="right"/>
              <w:rPr>
                <w:rFonts w:cs="Arial"/>
              </w:rPr>
            </w:pPr>
            <w:r>
              <w:rPr>
                <w:rFonts w:cs="Arial"/>
              </w:rPr>
              <w:t>5</w:t>
            </w:r>
            <w:r w:rsidR="005B696E">
              <w:rPr>
                <w:rFonts w:cs="Arial"/>
              </w:rPr>
              <w:t xml:space="preserve"> </w:t>
            </w:r>
            <w:r w:rsidR="00A97BBC">
              <w:rPr>
                <w:rFonts w:cs="Arial"/>
              </w:rPr>
              <w:t>OCTOBER</w:t>
            </w:r>
            <w:r w:rsidR="00051A2B">
              <w:rPr>
                <w:rFonts w:cs="Arial"/>
              </w:rPr>
              <w:t xml:space="preserve"> 2023</w:t>
            </w:r>
          </w:p>
        </w:tc>
      </w:tr>
    </w:tbl>
    <w:p w14:paraId="1BD8F4EB" w14:textId="5263C90B" w:rsidR="00A402F6" w:rsidRPr="006C43D7" w:rsidRDefault="00A402F6" w:rsidP="00DC1DED">
      <w:pPr>
        <w:tabs>
          <w:tab w:val="right" w:pos="8647"/>
        </w:tabs>
        <w:spacing w:line="360" w:lineRule="auto"/>
        <w:contextualSpacing/>
        <w:jc w:val="both"/>
        <w:rPr>
          <w:rFonts w:cs="Arial"/>
        </w:rPr>
      </w:pPr>
    </w:p>
    <w:sectPr w:rsidR="00A402F6" w:rsidRPr="006C43D7" w:rsidSect="009869F2">
      <w:headerReference w:type="default" r:id="rId10"/>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265FF" w14:textId="77777777" w:rsidR="006D4016" w:rsidRDefault="006D4016">
      <w:r>
        <w:separator/>
      </w:r>
    </w:p>
  </w:endnote>
  <w:endnote w:type="continuationSeparator" w:id="0">
    <w:p w14:paraId="526ADABE" w14:textId="77777777" w:rsidR="006D4016" w:rsidRDefault="006D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48449" w14:textId="77777777" w:rsidR="006D4016" w:rsidRDefault="006D4016">
      <w:r>
        <w:separator/>
      </w:r>
    </w:p>
  </w:footnote>
  <w:footnote w:type="continuationSeparator" w:id="0">
    <w:p w14:paraId="4739D3D9" w14:textId="77777777" w:rsidR="006D4016" w:rsidRDefault="006D4016">
      <w:r>
        <w:continuationSeparator/>
      </w:r>
    </w:p>
  </w:footnote>
  <w:footnote w:id="1">
    <w:p w14:paraId="7A2A5DC7" w14:textId="61B14EBC" w:rsidR="00A253D0" w:rsidRDefault="00A253D0">
      <w:pPr>
        <w:pStyle w:val="FootnoteText"/>
      </w:pPr>
      <w:r>
        <w:rPr>
          <w:rStyle w:val="FootnoteReference"/>
        </w:rPr>
        <w:footnoteRef/>
      </w:r>
      <w:r>
        <w:t xml:space="preserve"> </w:t>
      </w:r>
      <w:r>
        <w:tab/>
        <w:t>I am indebted to both counsel for their useful and lucid argument in this matter.</w:t>
      </w:r>
    </w:p>
  </w:footnote>
  <w:footnote w:id="2">
    <w:p w14:paraId="41A046DE" w14:textId="77777777" w:rsidR="005F6338" w:rsidRDefault="005F6338" w:rsidP="005F6338">
      <w:pPr>
        <w:pStyle w:val="FootnoteText"/>
      </w:pPr>
      <w:r>
        <w:rPr>
          <w:rStyle w:val="FootnoteReference"/>
        </w:rPr>
        <w:footnoteRef/>
      </w:r>
      <w:r>
        <w:t xml:space="preserve"> </w:t>
      </w:r>
      <w:r>
        <w:tab/>
        <w:t>Case number 2018/28941.</w:t>
      </w:r>
    </w:p>
  </w:footnote>
  <w:footnote w:id="3">
    <w:p w14:paraId="18D81409" w14:textId="3E6C0218" w:rsidR="00AC163D" w:rsidRDefault="00AC163D">
      <w:pPr>
        <w:pStyle w:val="FootnoteText"/>
      </w:pPr>
      <w:r>
        <w:rPr>
          <w:rStyle w:val="FootnoteReference"/>
        </w:rPr>
        <w:footnoteRef/>
      </w:r>
      <w:r>
        <w:t xml:space="preserve"> </w:t>
      </w:r>
      <w:r>
        <w:tab/>
        <w:t xml:space="preserve">See also </w:t>
      </w:r>
      <w:r w:rsidRPr="00C51F8F">
        <w:rPr>
          <w:i/>
          <w:iCs/>
        </w:rPr>
        <w:t>Stefanutti Stocks Civils, A Division of Stefanutti Stocks (Pty) Limited v Trans Caledon Tunnel Authority</w:t>
      </w:r>
      <w:r>
        <w:t xml:space="preserve"> </w:t>
      </w:r>
      <w:r w:rsidRPr="008C2EB4">
        <w:t>2012 JDR 2073 (GNP)</w:t>
      </w:r>
      <w:r>
        <w:t xml:space="preserve"> para 14.</w:t>
      </w:r>
    </w:p>
  </w:footnote>
  <w:footnote w:id="4">
    <w:p w14:paraId="56CF3A31" w14:textId="77777777" w:rsidR="001C7D7D" w:rsidRDefault="001C7D7D" w:rsidP="001C7D7D">
      <w:pPr>
        <w:pStyle w:val="FootnoteText"/>
      </w:pPr>
      <w:r>
        <w:rPr>
          <w:rStyle w:val="FootnoteReference"/>
        </w:rPr>
        <w:footnoteRef/>
      </w:r>
      <w:r>
        <w:t xml:space="preserve"> </w:t>
      </w:r>
      <w:r>
        <w:tab/>
        <w:t xml:space="preserve">See </w:t>
      </w:r>
      <w:r w:rsidRPr="003A2863">
        <w:rPr>
          <w:i/>
          <w:iCs/>
          <w:color w:val="000000" w:themeColor="text1"/>
        </w:rPr>
        <w:t>Brumloop v Brumloop (2)</w:t>
      </w:r>
      <w:r w:rsidRPr="003A2863">
        <w:rPr>
          <w:color w:val="000000" w:themeColor="text1"/>
        </w:rPr>
        <w:t> </w:t>
      </w:r>
      <w:hyperlink r:id="rId1" w:anchor="y1972v1SApg503" w:history="1">
        <w:r w:rsidRPr="003A2863">
          <w:rPr>
            <w:rStyle w:val="Hyperlink"/>
            <w:color w:val="000000" w:themeColor="text1"/>
            <w:u w:val="none"/>
          </w:rPr>
          <w:t>1972 (1) SA 503 (O)</w:t>
        </w:r>
      </w:hyperlink>
      <w:r>
        <w:rPr>
          <w:rStyle w:val="Hyperlink"/>
          <w:color w:val="000000" w:themeColor="text1"/>
          <w:u w:val="none"/>
        </w:rPr>
        <w:t xml:space="preserve"> 504G and </w:t>
      </w:r>
      <w:r w:rsidRPr="00EA4062">
        <w:rPr>
          <w:i/>
          <w:iCs/>
          <w:color w:val="000000" w:themeColor="text1"/>
        </w:rPr>
        <w:t>Chasen v Ritter</w:t>
      </w:r>
      <w:r w:rsidRPr="008861B9">
        <w:rPr>
          <w:color w:val="000000" w:themeColor="text1"/>
        </w:rPr>
        <w:t> </w:t>
      </w:r>
      <w:hyperlink r:id="rId2" w:anchor="y1992v4SApg323" w:history="1">
        <w:r w:rsidRPr="00AC163D">
          <w:rPr>
            <w:rStyle w:val="Hyperlink"/>
            <w:color w:val="000000" w:themeColor="text1"/>
            <w:u w:val="none"/>
          </w:rPr>
          <w:t>1992 (4) SA 323 (SE)</w:t>
        </w:r>
      </w:hyperlink>
      <w:r w:rsidRPr="00AC163D">
        <w:rPr>
          <w:color w:val="000000" w:themeColor="text1"/>
        </w:rPr>
        <w:t> </w:t>
      </w:r>
      <w:r w:rsidRPr="008861B9">
        <w:rPr>
          <w:color w:val="000000" w:themeColor="text1"/>
        </w:rPr>
        <w:t>329</w:t>
      </w:r>
      <w:r>
        <w:rPr>
          <w:color w:val="000000" w:themeColor="text1"/>
        </w:rPr>
        <w:t>B.</w:t>
      </w:r>
    </w:p>
  </w:footnote>
  <w:footnote w:id="5">
    <w:p w14:paraId="59438C72" w14:textId="1DAC8B8E" w:rsidR="00571FEB" w:rsidRDefault="00571FEB">
      <w:pPr>
        <w:pStyle w:val="FootnoteText"/>
      </w:pPr>
      <w:r>
        <w:rPr>
          <w:rStyle w:val="FootnoteReference"/>
        </w:rPr>
        <w:footnoteRef/>
      </w:r>
      <w:r>
        <w:t xml:space="preserve"> </w:t>
      </w:r>
      <w:r>
        <w:tab/>
        <w:t xml:space="preserve">See van Loggerenberg </w:t>
      </w:r>
      <w:r w:rsidRPr="00571FEB">
        <w:rPr>
          <w:i/>
          <w:iCs/>
        </w:rPr>
        <w:t>Erasmus: Superior Court Practice</w:t>
      </w:r>
      <w:r>
        <w:t xml:space="preserve"> </w:t>
      </w:r>
      <w:r w:rsidR="007D7194">
        <w:t>D1-196</w:t>
      </w:r>
      <w:r w:rsidR="00F14302">
        <w:t xml:space="preserve"> and section 21(1) and (2) of the Superior Courts Act</w:t>
      </w:r>
      <w:r w:rsidR="007D7194">
        <w:t>.</w:t>
      </w:r>
    </w:p>
  </w:footnote>
  <w:footnote w:id="6">
    <w:p w14:paraId="0BCCF024" w14:textId="53B9CCB9" w:rsidR="00571FEB" w:rsidRDefault="00571FEB">
      <w:pPr>
        <w:pStyle w:val="FootnoteText"/>
      </w:pPr>
      <w:r>
        <w:rPr>
          <w:rStyle w:val="FootnoteReference"/>
        </w:rPr>
        <w:footnoteRef/>
      </w:r>
      <w:r>
        <w:t xml:space="preserve"> </w:t>
      </w:r>
      <w:r>
        <w:tab/>
      </w:r>
      <w:r w:rsidRPr="00B00124">
        <w:rPr>
          <w:i/>
          <w:iCs/>
          <w:color w:val="000000" w:themeColor="text1"/>
        </w:rPr>
        <w:t>The Master of the High Court (North Gauteng High Court, Pretoria) v Motala NO </w:t>
      </w:r>
      <w:r w:rsidRPr="00B00124">
        <w:rPr>
          <w:color w:val="000000" w:themeColor="text1"/>
        </w:rPr>
        <w:t> </w:t>
      </w:r>
      <w:hyperlink r:id="rId3" w:anchor="y2012v3SApg325" w:history="1">
        <w:r w:rsidRPr="00B00124">
          <w:rPr>
            <w:rStyle w:val="Hyperlink"/>
            <w:color w:val="000000" w:themeColor="text1"/>
            <w:u w:val="none"/>
          </w:rPr>
          <w:t>2012 (3) SA 325 (SCA)</w:t>
        </w:r>
      </w:hyperlink>
      <w:r>
        <w:rPr>
          <w:color w:val="000000" w:themeColor="text1"/>
        </w:rPr>
        <w:t xml:space="preserve"> </w:t>
      </w:r>
      <w:r w:rsidRPr="00B00124">
        <w:rPr>
          <w:color w:val="000000" w:themeColor="text1"/>
        </w:rPr>
        <w:t>331H</w:t>
      </w:r>
      <w:r>
        <w:rPr>
          <w:color w:val="000000" w:themeColor="text1"/>
        </w:rPr>
        <w:t xml:space="preserve"> </w:t>
      </w:r>
      <w:r w:rsidRPr="00B00124">
        <w:rPr>
          <w:color w:val="000000" w:themeColor="text1"/>
        </w:rPr>
        <w:t>–</w:t>
      </w:r>
      <w:r>
        <w:rPr>
          <w:color w:val="000000" w:themeColor="text1"/>
        </w:rPr>
        <w:t xml:space="preserve"> </w:t>
      </w:r>
      <w:r w:rsidRPr="00B00124">
        <w:rPr>
          <w:color w:val="000000" w:themeColor="text1"/>
        </w:rPr>
        <w:t>333C</w:t>
      </w:r>
    </w:p>
  </w:footnote>
  <w:footnote w:id="7">
    <w:p w14:paraId="650893DC" w14:textId="7872114F" w:rsidR="00942A7D" w:rsidRDefault="00942A7D">
      <w:pPr>
        <w:pStyle w:val="FootnoteText"/>
      </w:pPr>
      <w:r>
        <w:rPr>
          <w:rStyle w:val="FootnoteReference"/>
        </w:rPr>
        <w:footnoteRef/>
      </w:r>
      <w:r>
        <w:t xml:space="preserve"> </w:t>
      </w:r>
      <w:r>
        <w:tab/>
      </w:r>
      <w:r w:rsidRPr="00F86128">
        <w:rPr>
          <w:rFonts w:cs="Arial"/>
          <w:i/>
          <w:iCs/>
          <w:color w:val="000000" w:themeColor="text1"/>
          <w:shd w:val="clear" w:color="auto" w:fill="FFFFFF"/>
        </w:rPr>
        <w:t>Gross v Commercial Union Assurance Co Ltd</w:t>
      </w:r>
      <w:r w:rsidRPr="00F86128">
        <w:rPr>
          <w:rFonts w:cs="Arial"/>
          <w:color w:val="000000" w:themeColor="text1"/>
          <w:shd w:val="clear" w:color="auto" w:fill="FFFFFF"/>
        </w:rPr>
        <w:t> </w:t>
      </w:r>
      <w:hyperlink r:id="rId4" w:anchor="y1974v1SApg630" w:history="1">
        <w:r w:rsidRPr="00F86128">
          <w:rPr>
            <w:rStyle w:val="Hyperlink"/>
            <w:rFonts w:cs="Arial"/>
            <w:color w:val="000000" w:themeColor="text1"/>
            <w:u w:val="none"/>
            <w:shd w:val="clear" w:color="auto" w:fill="FFFFFF"/>
          </w:rPr>
          <w:t>1974 (1) SA 630 (A)</w:t>
        </w:r>
      </w:hyperlink>
      <w:r w:rsidRPr="00F86128">
        <w:rPr>
          <w:rFonts w:cs="Arial"/>
          <w:color w:val="000000" w:themeColor="text1"/>
          <w:shd w:val="clear" w:color="auto" w:fill="FFFFFF"/>
        </w:rPr>
        <w:t xml:space="preserve"> 634E</w:t>
      </w:r>
      <w:r>
        <w:rPr>
          <w:rFonts w:cs="Arial"/>
          <w:color w:val="000000" w:themeColor="text1"/>
          <w:shd w:val="clear" w:color="auto" w:fill="FFFFFF"/>
        </w:rPr>
        <w:t>.</w:t>
      </w:r>
    </w:p>
  </w:footnote>
  <w:footnote w:id="8">
    <w:p w14:paraId="5C344F87" w14:textId="24DEBB32" w:rsidR="00A451FC" w:rsidRDefault="00A451FC" w:rsidP="00A451FC">
      <w:pPr>
        <w:pStyle w:val="FootnoteText"/>
      </w:pPr>
      <w:r>
        <w:rPr>
          <w:rStyle w:val="FootnoteReference"/>
        </w:rPr>
        <w:footnoteRef/>
      </w:r>
      <w:r>
        <w:t xml:space="preserve"> </w:t>
      </w:r>
      <w:r>
        <w:tab/>
      </w:r>
      <w:r w:rsidRPr="0024684E">
        <w:rPr>
          <w:i/>
          <w:iCs/>
        </w:rPr>
        <w:t xml:space="preserve">United Watch &amp; Diamond Co (Pty) Ltd and Others v Disa Hotels Ltd and Another </w:t>
      </w:r>
      <w:r w:rsidRPr="0024684E">
        <w:t>1972 (4) SA 409 (C)</w:t>
      </w:r>
      <w:r>
        <w:t xml:space="preserve"> 415E – 416A.</w:t>
      </w:r>
      <w:r w:rsidR="00472150">
        <w:t xml:space="preserve"> See also </w:t>
      </w:r>
      <w:r w:rsidR="00472150" w:rsidRPr="00CA5B71">
        <w:rPr>
          <w:i/>
          <w:iCs/>
        </w:rPr>
        <w:t>Judicial Service Commission v Cape Bar Council</w:t>
      </w:r>
      <w:r w:rsidR="00472150" w:rsidRPr="00CA5B71">
        <w:t xml:space="preserve"> 2013 (1) SA 170 (SCA) 176</w:t>
      </w:r>
      <w:r w:rsidR="00472150">
        <w:t xml:space="preserve"> </w:t>
      </w:r>
      <w:r w:rsidR="00472150" w:rsidRPr="00CA5B71">
        <w:t>I</w:t>
      </w:r>
      <w:r w:rsidR="00472150">
        <w:t xml:space="preserve"> </w:t>
      </w:r>
      <w:r w:rsidR="00472150" w:rsidRPr="00CA5B71">
        <w:t>–</w:t>
      </w:r>
      <w:r w:rsidR="00472150">
        <w:t xml:space="preserve"> </w:t>
      </w:r>
      <w:r w:rsidR="00472150" w:rsidRPr="00CA5B71">
        <w:t>177A</w:t>
      </w:r>
      <w:r w:rsidR="00472150">
        <w:t>.</w:t>
      </w:r>
    </w:p>
  </w:footnote>
  <w:footnote w:id="9">
    <w:p w14:paraId="7FE22595" w14:textId="0D9D3CDF" w:rsidR="00DD4A81" w:rsidRPr="00DD4A81" w:rsidRDefault="00DD4A81">
      <w:pPr>
        <w:pStyle w:val="FootnoteText"/>
      </w:pPr>
      <w:r>
        <w:rPr>
          <w:rStyle w:val="FootnoteReference"/>
        </w:rPr>
        <w:footnoteRef/>
      </w:r>
      <w:r>
        <w:t xml:space="preserve"> </w:t>
      </w:r>
      <w:r>
        <w:tab/>
        <w:t xml:space="preserve">Lotz ‘Suretyship’ </w:t>
      </w:r>
      <w:r>
        <w:rPr>
          <w:i/>
          <w:iCs/>
        </w:rPr>
        <w:t xml:space="preserve">The Law of South Africa </w:t>
      </w:r>
      <w:r w:rsidRPr="00DD4A81">
        <w:t xml:space="preserve"> </w:t>
      </w:r>
      <w:r>
        <w:t xml:space="preserve">vol 26, </w:t>
      </w:r>
      <w:r w:rsidRPr="00DD4A81">
        <w:t>1</w:t>
      </w:r>
      <w:r w:rsidRPr="00DD4A81">
        <w:rPr>
          <w:vertAlign w:val="superscript"/>
        </w:rPr>
        <w:t>st</w:t>
      </w:r>
      <w:r w:rsidRPr="00DD4A81">
        <w:t xml:space="preserve"> reissue</w:t>
      </w:r>
      <w:r>
        <w:t>, 1997,</w:t>
      </w:r>
      <w:r w:rsidRPr="00DD4A81">
        <w:t xml:space="preserve"> </w:t>
      </w:r>
      <w:r>
        <w:t>para 190.</w:t>
      </w:r>
    </w:p>
  </w:footnote>
  <w:footnote w:id="10">
    <w:p w14:paraId="6019CC4B" w14:textId="27548774" w:rsidR="00DD4A81" w:rsidRDefault="00DD4A81">
      <w:pPr>
        <w:pStyle w:val="FootnoteText"/>
      </w:pPr>
      <w:r>
        <w:rPr>
          <w:rStyle w:val="FootnoteReference"/>
        </w:rPr>
        <w:footnoteRef/>
      </w:r>
      <w:r>
        <w:t xml:space="preserve"> </w:t>
      </w:r>
      <w:r>
        <w:tab/>
      </w:r>
      <w:r w:rsidR="00472150" w:rsidRPr="00472150">
        <w:rPr>
          <w:i/>
          <w:iCs/>
        </w:rPr>
        <w:t>Ibid</w:t>
      </w:r>
      <w:r w:rsidR="00472150">
        <w:t xml:space="preserve"> para 192.</w:t>
      </w:r>
    </w:p>
  </w:footnote>
  <w:footnote w:id="11">
    <w:p w14:paraId="77B08696" w14:textId="5E08BBD2" w:rsidR="007E6B92" w:rsidRDefault="007E6B92">
      <w:pPr>
        <w:pStyle w:val="FootnoteText"/>
      </w:pPr>
      <w:r>
        <w:rPr>
          <w:rStyle w:val="FootnoteReference"/>
        </w:rPr>
        <w:footnoteRef/>
      </w:r>
      <w:r>
        <w:t xml:space="preserve"> </w:t>
      </w:r>
      <w:r>
        <w:tab/>
        <w:t>Ibid para 194.</w:t>
      </w:r>
    </w:p>
  </w:footnote>
  <w:footnote w:id="12">
    <w:p w14:paraId="538868EB" w14:textId="22904709" w:rsidR="006D3C5C" w:rsidRDefault="006D3C5C">
      <w:pPr>
        <w:pStyle w:val="FootnoteText"/>
      </w:pPr>
      <w:r>
        <w:rPr>
          <w:rStyle w:val="FootnoteReference"/>
        </w:rPr>
        <w:footnoteRef/>
      </w:r>
      <w:r>
        <w:t xml:space="preserve"> </w:t>
      </w:r>
      <w:r>
        <w:tab/>
      </w:r>
      <w:r w:rsidR="007E6B92" w:rsidRPr="007E6B92">
        <w:rPr>
          <w:i/>
          <w:iCs/>
        </w:rPr>
        <w:t>Ibid</w:t>
      </w:r>
      <w:r w:rsidR="007E6B92">
        <w:t xml:space="preserve"> para 195; s</w:t>
      </w:r>
      <w:r>
        <w:t>ection 6 of the General Law Amendment Act, 50 of 1956. The date of commencement was 22 June 1956.</w:t>
      </w:r>
    </w:p>
  </w:footnote>
  <w:footnote w:id="13">
    <w:p w14:paraId="79198A57" w14:textId="03C93C8C" w:rsidR="001B498E" w:rsidRDefault="001B498E">
      <w:pPr>
        <w:pStyle w:val="FootnoteText"/>
      </w:pPr>
      <w:r>
        <w:rPr>
          <w:rStyle w:val="FootnoteReference"/>
        </w:rPr>
        <w:footnoteRef/>
      </w:r>
      <w:r>
        <w:t xml:space="preserve"> </w:t>
      </w:r>
      <w:r>
        <w:tab/>
      </w:r>
      <w:r w:rsidR="00DD69AF" w:rsidRPr="0021309A">
        <w:rPr>
          <w:i/>
          <w:iCs/>
          <w:color w:val="000000" w:themeColor="text1"/>
        </w:rPr>
        <w:t>Nel v Waterberg Landbouwers Ko-operatieve Vereeniging</w:t>
      </w:r>
      <w:r w:rsidR="00DD69AF" w:rsidRPr="0021309A">
        <w:rPr>
          <w:color w:val="000000" w:themeColor="text1"/>
        </w:rPr>
        <w:t> </w:t>
      </w:r>
      <w:hyperlink r:id="rId5" w:anchor="y1946ADpg597" w:history="1">
        <w:r w:rsidR="00DD69AF" w:rsidRPr="0021309A">
          <w:rPr>
            <w:rStyle w:val="Hyperlink"/>
            <w:color w:val="000000" w:themeColor="text1"/>
            <w:u w:val="none"/>
          </w:rPr>
          <w:t>1946 AD 597</w:t>
        </w:r>
      </w:hyperlink>
      <w:r w:rsidR="003B57A4">
        <w:rPr>
          <w:color w:val="000000" w:themeColor="text1"/>
        </w:rPr>
        <w:t>;</w:t>
      </w:r>
      <w:r w:rsidR="00DD69AF" w:rsidRPr="0021309A">
        <w:rPr>
          <w:color w:val="000000" w:themeColor="text1"/>
        </w:rPr>
        <w:t xml:space="preserve"> </w:t>
      </w:r>
      <w:r w:rsidR="00DD69AF" w:rsidRPr="0021309A">
        <w:rPr>
          <w:i/>
          <w:iCs/>
          <w:color w:val="000000" w:themeColor="text1"/>
        </w:rPr>
        <w:t>Mudzimu v Chinhoyi Municipality</w:t>
      </w:r>
      <w:r w:rsidR="00DD69AF" w:rsidRPr="0021309A">
        <w:rPr>
          <w:color w:val="000000" w:themeColor="text1"/>
        </w:rPr>
        <w:t> </w:t>
      </w:r>
      <w:hyperlink r:id="rId6" w:anchor="y1986v3SApg140" w:history="1">
        <w:r w:rsidR="00DD69AF" w:rsidRPr="0021309A">
          <w:rPr>
            <w:rStyle w:val="Hyperlink"/>
            <w:color w:val="000000" w:themeColor="text1"/>
            <w:u w:val="none"/>
          </w:rPr>
          <w:t>1986 (3) SA 140 (ZH)</w:t>
        </w:r>
      </w:hyperlink>
      <w:r w:rsidR="00DD69AF" w:rsidRPr="0021309A">
        <w:rPr>
          <w:color w:val="000000" w:themeColor="text1"/>
        </w:rPr>
        <w:t>  143D–I, 144</w:t>
      </w:r>
      <w:r w:rsidR="003B57A4">
        <w:rPr>
          <w:color w:val="000000" w:themeColor="text1"/>
        </w:rPr>
        <w:t>;</w:t>
      </w:r>
      <w:r w:rsidR="00DD69AF">
        <w:rPr>
          <w:color w:val="000000" w:themeColor="text1"/>
        </w:rPr>
        <w:t xml:space="preserve"> </w:t>
      </w:r>
      <w:r w:rsidR="00DD69AF" w:rsidRPr="0021309A">
        <w:rPr>
          <w:i/>
          <w:iCs/>
          <w:color w:val="000000" w:themeColor="text1"/>
        </w:rPr>
        <w:t>Ward v Sulzer</w:t>
      </w:r>
      <w:r w:rsidR="00DD69AF" w:rsidRPr="0021309A">
        <w:rPr>
          <w:color w:val="000000" w:themeColor="text1"/>
        </w:rPr>
        <w:t> </w:t>
      </w:r>
      <w:hyperlink r:id="rId7" w:anchor="y1973v3SApg701" w:history="1">
        <w:r w:rsidR="00DD69AF" w:rsidRPr="0021309A">
          <w:rPr>
            <w:rStyle w:val="Hyperlink"/>
            <w:color w:val="000000" w:themeColor="text1"/>
            <w:u w:val="none"/>
          </w:rPr>
          <w:t>1973 (3) SA 701 (A)</w:t>
        </w:r>
      </w:hyperlink>
      <w:r w:rsidR="003B57A4">
        <w:rPr>
          <w:color w:val="000000" w:themeColor="text1"/>
        </w:rPr>
        <w:t>:</w:t>
      </w:r>
      <w:r w:rsidR="00DD69AF" w:rsidRPr="0021309A">
        <w:rPr>
          <w:color w:val="000000" w:themeColor="text1"/>
        </w:rPr>
        <w:t> </w:t>
      </w:r>
      <w:r w:rsidR="00DD69AF" w:rsidRPr="0021309A">
        <w:rPr>
          <w:i/>
          <w:iCs/>
          <w:color w:val="000000" w:themeColor="text1"/>
        </w:rPr>
        <w:t>Buthelezi v Poorter</w:t>
      </w:r>
      <w:r w:rsidR="00DD69AF" w:rsidRPr="0021309A">
        <w:rPr>
          <w:color w:val="000000" w:themeColor="text1"/>
        </w:rPr>
        <w:t> </w:t>
      </w:r>
      <w:hyperlink r:id="rId8" w:anchor="y1975v4SApg608" w:history="1">
        <w:r w:rsidR="00DD69AF" w:rsidRPr="0021309A">
          <w:rPr>
            <w:rStyle w:val="Hyperlink"/>
            <w:color w:val="000000" w:themeColor="text1"/>
            <w:u w:val="none"/>
          </w:rPr>
          <w:t>1975 (4) SA 608 (W)</w:t>
        </w:r>
      </w:hyperlink>
      <w:r w:rsidR="00DD69AF" w:rsidRPr="0021309A">
        <w:rPr>
          <w:color w:val="000000" w:themeColor="text1"/>
        </w:rPr>
        <w:t> 619.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273500D5" w:rsidR="00D645C6" w:rsidRPr="006C43D7" w:rsidRDefault="00D645C6"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C47A6D">
      <w:rPr>
        <w:rFonts w:cs="Arial"/>
        <w:noProof/>
        <w:sz w:val="20"/>
        <w:szCs w:val="20"/>
        <w:lang w:val="en-GB"/>
      </w:rPr>
      <w:t>9</w:t>
    </w:r>
    <w:r w:rsidRPr="006C43D7">
      <w:rPr>
        <w:rFonts w:cs="Arial"/>
        <w:sz w:val="20"/>
        <w:szCs w:val="20"/>
        <w:lang w:val="en-GB"/>
      </w:rPr>
      <w:fldChar w:fldCharType="end"/>
    </w:r>
  </w:p>
  <w:p w14:paraId="08C008E5" w14:textId="77777777" w:rsidR="00D645C6" w:rsidRPr="006C43D7" w:rsidRDefault="00D645C6" w:rsidP="006C43D7">
    <w:pPr>
      <w:tabs>
        <w:tab w:val="center" w:pos="4153"/>
        <w:tab w:val="right" w:pos="8306"/>
      </w:tabs>
      <w:spacing w:line="276" w:lineRule="auto"/>
      <w:jc w:val="right"/>
      <w:rPr>
        <w:rFonts w:cs="Arial"/>
        <w:lang w:val="en-US"/>
      </w:rPr>
    </w:pPr>
  </w:p>
  <w:p w14:paraId="4A21EF97" w14:textId="77777777" w:rsidR="00D645C6" w:rsidRPr="006C43D7" w:rsidRDefault="00D645C6"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1"/>
  </w:num>
  <w:num w:numId="4">
    <w:abstractNumId w:val="5"/>
  </w:num>
  <w:num w:numId="5">
    <w:abstractNumId w:val="10"/>
  </w:num>
  <w:num w:numId="6">
    <w:abstractNumId w:val="8"/>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2"/>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1138"/>
    <w:rsid w:val="00006113"/>
    <w:rsid w:val="0001111B"/>
    <w:rsid w:val="0001140A"/>
    <w:rsid w:val="00011522"/>
    <w:rsid w:val="00013B7F"/>
    <w:rsid w:val="00014506"/>
    <w:rsid w:val="00015D74"/>
    <w:rsid w:val="00024A29"/>
    <w:rsid w:val="000262B3"/>
    <w:rsid w:val="00030A89"/>
    <w:rsid w:val="000325E2"/>
    <w:rsid w:val="00047F26"/>
    <w:rsid w:val="00050086"/>
    <w:rsid w:val="000504F1"/>
    <w:rsid w:val="00051A2B"/>
    <w:rsid w:val="00063F7B"/>
    <w:rsid w:val="000737E1"/>
    <w:rsid w:val="00073E30"/>
    <w:rsid w:val="00081716"/>
    <w:rsid w:val="000833BB"/>
    <w:rsid w:val="00087AE6"/>
    <w:rsid w:val="00092591"/>
    <w:rsid w:val="0009488C"/>
    <w:rsid w:val="00097968"/>
    <w:rsid w:val="000A1522"/>
    <w:rsid w:val="000A6AD8"/>
    <w:rsid w:val="000A7534"/>
    <w:rsid w:val="000B21DA"/>
    <w:rsid w:val="000C3DDE"/>
    <w:rsid w:val="000D5760"/>
    <w:rsid w:val="000D7D6A"/>
    <w:rsid w:val="000E1EC8"/>
    <w:rsid w:val="000E5343"/>
    <w:rsid w:val="000F376A"/>
    <w:rsid w:val="000F59F8"/>
    <w:rsid w:val="000F7039"/>
    <w:rsid w:val="001025B5"/>
    <w:rsid w:val="00104142"/>
    <w:rsid w:val="001142D1"/>
    <w:rsid w:val="00120C79"/>
    <w:rsid w:val="00120FB1"/>
    <w:rsid w:val="00130253"/>
    <w:rsid w:val="00133E81"/>
    <w:rsid w:val="00140CED"/>
    <w:rsid w:val="00141199"/>
    <w:rsid w:val="00147FF5"/>
    <w:rsid w:val="00152899"/>
    <w:rsid w:val="00154961"/>
    <w:rsid w:val="00155A21"/>
    <w:rsid w:val="001671C1"/>
    <w:rsid w:val="00171182"/>
    <w:rsid w:val="0017124B"/>
    <w:rsid w:val="00171D7F"/>
    <w:rsid w:val="00172DDF"/>
    <w:rsid w:val="00175051"/>
    <w:rsid w:val="00185ACF"/>
    <w:rsid w:val="00190579"/>
    <w:rsid w:val="001916C4"/>
    <w:rsid w:val="00192F78"/>
    <w:rsid w:val="00196E14"/>
    <w:rsid w:val="001A5145"/>
    <w:rsid w:val="001A522A"/>
    <w:rsid w:val="001A67C6"/>
    <w:rsid w:val="001A7904"/>
    <w:rsid w:val="001B1D39"/>
    <w:rsid w:val="001B4217"/>
    <w:rsid w:val="001B498E"/>
    <w:rsid w:val="001B5D3E"/>
    <w:rsid w:val="001B606B"/>
    <w:rsid w:val="001B729C"/>
    <w:rsid w:val="001C0755"/>
    <w:rsid w:val="001C285B"/>
    <w:rsid w:val="001C7D7D"/>
    <w:rsid w:val="001D35F8"/>
    <w:rsid w:val="001D3CC2"/>
    <w:rsid w:val="001E2EED"/>
    <w:rsid w:val="001E518E"/>
    <w:rsid w:val="001F0A29"/>
    <w:rsid w:val="001F3DBD"/>
    <w:rsid w:val="001F648A"/>
    <w:rsid w:val="00201620"/>
    <w:rsid w:val="00202CB7"/>
    <w:rsid w:val="00205392"/>
    <w:rsid w:val="002104BF"/>
    <w:rsid w:val="00215824"/>
    <w:rsid w:val="00216BC8"/>
    <w:rsid w:val="002208C5"/>
    <w:rsid w:val="0022218D"/>
    <w:rsid w:val="00222343"/>
    <w:rsid w:val="00226926"/>
    <w:rsid w:val="00232528"/>
    <w:rsid w:val="00235D20"/>
    <w:rsid w:val="00237FF9"/>
    <w:rsid w:val="002409CA"/>
    <w:rsid w:val="00241FCE"/>
    <w:rsid w:val="00250164"/>
    <w:rsid w:val="00253F38"/>
    <w:rsid w:val="002625C5"/>
    <w:rsid w:val="00262819"/>
    <w:rsid w:val="002747D6"/>
    <w:rsid w:val="00285040"/>
    <w:rsid w:val="00285062"/>
    <w:rsid w:val="00285F28"/>
    <w:rsid w:val="00290C5C"/>
    <w:rsid w:val="0029369B"/>
    <w:rsid w:val="002976B8"/>
    <w:rsid w:val="002A030C"/>
    <w:rsid w:val="002A4B7B"/>
    <w:rsid w:val="002C15AC"/>
    <w:rsid w:val="002C2E80"/>
    <w:rsid w:val="002C4687"/>
    <w:rsid w:val="002D2842"/>
    <w:rsid w:val="002D300B"/>
    <w:rsid w:val="002D47B3"/>
    <w:rsid w:val="002E1B51"/>
    <w:rsid w:val="002E5B57"/>
    <w:rsid w:val="002E6CD7"/>
    <w:rsid w:val="002E7F8D"/>
    <w:rsid w:val="002F1C4D"/>
    <w:rsid w:val="002F4115"/>
    <w:rsid w:val="002F60E1"/>
    <w:rsid w:val="002F72D3"/>
    <w:rsid w:val="00302290"/>
    <w:rsid w:val="00302C31"/>
    <w:rsid w:val="00303919"/>
    <w:rsid w:val="003047C2"/>
    <w:rsid w:val="0030653F"/>
    <w:rsid w:val="0030744F"/>
    <w:rsid w:val="003102C8"/>
    <w:rsid w:val="0031117B"/>
    <w:rsid w:val="00312EBC"/>
    <w:rsid w:val="00313056"/>
    <w:rsid w:val="00323204"/>
    <w:rsid w:val="00337135"/>
    <w:rsid w:val="0034147B"/>
    <w:rsid w:val="00342E02"/>
    <w:rsid w:val="00345CED"/>
    <w:rsid w:val="003463D6"/>
    <w:rsid w:val="00346D31"/>
    <w:rsid w:val="00346DE6"/>
    <w:rsid w:val="003543C5"/>
    <w:rsid w:val="00354EF2"/>
    <w:rsid w:val="00357081"/>
    <w:rsid w:val="00357D35"/>
    <w:rsid w:val="00363FCD"/>
    <w:rsid w:val="00364C43"/>
    <w:rsid w:val="00364E6A"/>
    <w:rsid w:val="003676CF"/>
    <w:rsid w:val="00367720"/>
    <w:rsid w:val="00367778"/>
    <w:rsid w:val="0037029D"/>
    <w:rsid w:val="00373181"/>
    <w:rsid w:val="003760FF"/>
    <w:rsid w:val="00381213"/>
    <w:rsid w:val="003832F7"/>
    <w:rsid w:val="003840EC"/>
    <w:rsid w:val="00390891"/>
    <w:rsid w:val="00390C3F"/>
    <w:rsid w:val="00393127"/>
    <w:rsid w:val="003A7864"/>
    <w:rsid w:val="003B4100"/>
    <w:rsid w:val="003B57A4"/>
    <w:rsid w:val="003C1A16"/>
    <w:rsid w:val="003C1E91"/>
    <w:rsid w:val="003D12B2"/>
    <w:rsid w:val="003D19C3"/>
    <w:rsid w:val="003D36F9"/>
    <w:rsid w:val="003D77F1"/>
    <w:rsid w:val="003E562A"/>
    <w:rsid w:val="003E7A60"/>
    <w:rsid w:val="003F1F49"/>
    <w:rsid w:val="003F7448"/>
    <w:rsid w:val="00407F28"/>
    <w:rsid w:val="0041100A"/>
    <w:rsid w:val="004131C5"/>
    <w:rsid w:val="0042423E"/>
    <w:rsid w:val="00424BA6"/>
    <w:rsid w:val="004339E6"/>
    <w:rsid w:val="0043683A"/>
    <w:rsid w:val="00437EB1"/>
    <w:rsid w:val="00441422"/>
    <w:rsid w:val="00444ED6"/>
    <w:rsid w:val="00445DCB"/>
    <w:rsid w:val="0045044C"/>
    <w:rsid w:val="00460495"/>
    <w:rsid w:val="00460EEA"/>
    <w:rsid w:val="004630B6"/>
    <w:rsid w:val="00463106"/>
    <w:rsid w:val="00466300"/>
    <w:rsid w:val="00472150"/>
    <w:rsid w:val="00474607"/>
    <w:rsid w:val="00474910"/>
    <w:rsid w:val="004749AF"/>
    <w:rsid w:val="00475410"/>
    <w:rsid w:val="00484116"/>
    <w:rsid w:val="0048424E"/>
    <w:rsid w:val="00486F42"/>
    <w:rsid w:val="00487D14"/>
    <w:rsid w:val="004A2C7E"/>
    <w:rsid w:val="004A6625"/>
    <w:rsid w:val="004A69D6"/>
    <w:rsid w:val="004A7DFE"/>
    <w:rsid w:val="004B21D9"/>
    <w:rsid w:val="004C0CE3"/>
    <w:rsid w:val="004C368B"/>
    <w:rsid w:val="004D0599"/>
    <w:rsid w:val="004D1A31"/>
    <w:rsid w:val="004D262A"/>
    <w:rsid w:val="004D2C6F"/>
    <w:rsid w:val="004D2E01"/>
    <w:rsid w:val="004E3305"/>
    <w:rsid w:val="004E568C"/>
    <w:rsid w:val="004E5AD8"/>
    <w:rsid w:val="004F0806"/>
    <w:rsid w:val="004F12D8"/>
    <w:rsid w:val="004F22A6"/>
    <w:rsid w:val="004F4A37"/>
    <w:rsid w:val="004F4D7D"/>
    <w:rsid w:val="004F7551"/>
    <w:rsid w:val="00500786"/>
    <w:rsid w:val="00504B53"/>
    <w:rsid w:val="00505202"/>
    <w:rsid w:val="0051015D"/>
    <w:rsid w:val="0051292D"/>
    <w:rsid w:val="00513307"/>
    <w:rsid w:val="0051442D"/>
    <w:rsid w:val="0051622D"/>
    <w:rsid w:val="00517067"/>
    <w:rsid w:val="005219EB"/>
    <w:rsid w:val="005262C2"/>
    <w:rsid w:val="0052705A"/>
    <w:rsid w:val="0053293A"/>
    <w:rsid w:val="00537A72"/>
    <w:rsid w:val="005405F8"/>
    <w:rsid w:val="00546878"/>
    <w:rsid w:val="005509BE"/>
    <w:rsid w:val="00560E18"/>
    <w:rsid w:val="00571E81"/>
    <w:rsid w:val="00571FEB"/>
    <w:rsid w:val="00573FF9"/>
    <w:rsid w:val="00576B16"/>
    <w:rsid w:val="005A313A"/>
    <w:rsid w:val="005A680F"/>
    <w:rsid w:val="005B07CB"/>
    <w:rsid w:val="005B0E76"/>
    <w:rsid w:val="005B2FF9"/>
    <w:rsid w:val="005B696E"/>
    <w:rsid w:val="005B6D81"/>
    <w:rsid w:val="005B7DD3"/>
    <w:rsid w:val="005C50F5"/>
    <w:rsid w:val="005C7FC2"/>
    <w:rsid w:val="005D2408"/>
    <w:rsid w:val="005D522E"/>
    <w:rsid w:val="005D6122"/>
    <w:rsid w:val="005D6E80"/>
    <w:rsid w:val="005D7DA8"/>
    <w:rsid w:val="005E23E3"/>
    <w:rsid w:val="005E2F7B"/>
    <w:rsid w:val="005E3C94"/>
    <w:rsid w:val="005E5C01"/>
    <w:rsid w:val="005E5DC1"/>
    <w:rsid w:val="005E7118"/>
    <w:rsid w:val="005F1CDA"/>
    <w:rsid w:val="005F37A4"/>
    <w:rsid w:val="005F6338"/>
    <w:rsid w:val="00602403"/>
    <w:rsid w:val="006041A4"/>
    <w:rsid w:val="006105B8"/>
    <w:rsid w:val="006109EC"/>
    <w:rsid w:val="00611D8A"/>
    <w:rsid w:val="00611F96"/>
    <w:rsid w:val="0061430D"/>
    <w:rsid w:val="006150CE"/>
    <w:rsid w:val="006165F4"/>
    <w:rsid w:val="006245EC"/>
    <w:rsid w:val="006309D5"/>
    <w:rsid w:val="00642664"/>
    <w:rsid w:val="00644BBE"/>
    <w:rsid w:val="006479F9"/>
    <w:rsid w:val="00647DDD"/>
    <w:rsid w:val="00653BA4"/>
    <w:rsid w:val="00654409"/>
    <w:rsid w:val="00656062"/>
    <w:rsid w:val="00657EDA"/>
    <w:rsid w:val="006609A2"/>
    <w:rsid w:val="00660C84"/>
    <w:rsid w:val="00661812"/>
    <w:rsid w:val="0066194B"/>
    <w:rsid w:val="00661FC4"/>
    <w:rsid w:val="00666D4D"/>
    <w:rsid w:val="00667EDC"/>
    <w:rsid w:val="00672205"/>
    <w:rsid w:val="006748BB"/>
    <w:rsid w:val="00683854"/>
    <w:rsid w:val="006858DA"/>
    <w:rsid w:val="006902F1"/>
    <w:rsid w:val="006918E9"/>
    <w:rsid w:val="006951CE"/>
    <w:rsid w:val="00695B2C"/>
    <w:rsid w:val="006A3B6B"/>
    <w:rsid w:val="006A438B"/>
    <w:rsid w:val="006A4F20"/>
    <w:rsid w:val="006B1E87"/>
    <w:rsid w:val="006B514A"/>
    <w:rsid w:val="006C31B7"/>
    <w:rsid w:val="006C4213"/>
    <w:rsid w:val="006C43D7"/>
    <w:rsid w:val="006C53ED"/>
    <w:rsid w:val="006C5694"/>
    <w:rsid w:val="006C59A9"/>
    <w:rsid w:val="006D29AA"/>
    <w:rsid w:val="006D3C5C"/>
    <w:rsid w:val="006D4016"/>
    <w:rsid w:val="006D4128"/>
    <w:rsid w:val="006D5E57"/>
    <w:rsid w:val="006E2083"/>
    <w:rsid w:val="006E3064"/>
    <w:rsid w:val="006E68E6"/>
    <w:rsid w:val="006F042A"/>
    <w:rsid w:val="006F0D9B"/>
    <w:rsid w:val="006F2187"/>
    <w:rsid w:val="006F25E5"/>
    <w:rsid w:val="006F2FCE"/>
    <w:rsid w:val="006F415C"/>
    <w:rsid w:val="007112CA"/>
    <w:rsid w:val="007202BD"/>
    <w:rsid w:val="007205BF"/>
    <w:rsid w:val="007237D1"/>
    <w:rsid w:val="007241D4"/>
    <w:rsid w:val="00724D82"/>
    <w:rsid w:val="00730BF2"/>
    <w:rsid w:val="00732A6F"/>
    <w:rsid w:val="0074214D"/>
    <w:rsid w:val="00742764"/>
    <w:rsid w:val="00751452"/>
    <w:rsid w:val="0075156A"/>
    <w:rsid w:val="00751F90"/>
    <w:rsid w:val="007575E7"/>
    <w:rsid w:val="007619C5"/>
    <w:rsid w:val="00761C35"/>
    <w:rsid w:val="00762178"/>
    <w:rsid w:val="00766026"/>
    <w:rsid w:val="00772025"/>
    <w:rsid w:val="00780A2B"/>
    <w:rsid w:val="00781AA0"/>
    <w:rsid w:val="00781CF7"/>
    <w:rsid w:val="00782DE8"/>
    <w:rsid w:val="00792E10"/>
    <w:rsid w:val="007A1D60"/>
    <w:rsid w:val="007B165A"/>
    <w:rsid w:val="007B2DAD"/>
    <w:rsid w:val="007B7246"/>
    <w:rsid w:val="007B78C2"/>
    <w:rsid w:val="007C1424"/>
    <w:rsid w:val="007C23FF"/>
    <w:rsid w:val="007C5008"/>
    <w:rsid w:val="007D1E79"/>
    <w:rsid w:val="007D27CF"/>
    <w:rsid w:val="007D4DAF"/>
    <w:rsid w:val="007D6F16"/>
    <w:rsid w:val="007D7194"/>
    <w:rsid w:val="007E1175"/>
    <w:rsid w:val="007E468A"/>
    <w:rsid w:val="007E58FC"/>
    <w:rsid w:val="007E6B92"/>
    <w:rsid w:val="007F1517"/>
    <w:rsid w:val="007F207F"/>
    <w:rsid w:val="007F5B91"/>
    <w:rsid w:val="00803CEC"/>
    <w:rsid w:val="008076A4"/>
    <w:rsid w:val="00810CA3"/>
    <w:rsid w:val="00822050"/>
    <w:rsid w:val="00830952"/>
    <w:rsid w:val="00830F84"/>
    <w:rsid w:val="00837BEE"/>
    <w:rsid w:val="008443A9"/>
    <w:rsid w:val="008469B3"/>
    <w:rsid w:val="00856204"/>
    <w:rsid w:val="00860576"/>
    <w:rsid w:val="008674AA"/>
    <w:rsid w:val="008675CC"/>
    <w:rsid w:val="0087609B"/>
    <w:rsid w:val="0088094C"/>
    <w:rsid w:val="00881004"/>
    <w:rsid w:val="00882C40"/>
    <w:rsid w:val="00884B89"/>
    <w:rsid w:val="00892908"/>
    <w:rsid w:val="008942FC"/>
    <w:rsid w:val="0089562F"/>
    <w:rsid w:val="008A082A"/>
    <w:rsid w:val="008A4DF4"/>
    <w:rsid w:val="008B1DA9"/>
    <w:rsid w:val="008B6162"/>
    <w:rsid w:val="008C3EBC"/>
    <w:rsid w:val="008C57F6"/>
    <w:rsid w:val="008D33A3"/>
    <w:rsid w:val="008D4715"/>
    <w:rsid w:val="008D499C"/>
    <w:rsid w:val="008D6F1D"/>
    <w:rsid w:val="008F11CF"/>
    <w:rsid w:val="008F189C"/>
    <w:rsid w:val="008F1FE1"/>
    <w:rsid w:val="008F32FF"/>
    <w:rsid w:val="008F4486"/>
    <w:rsid w:val="008F4FC6"/>
    <w:rsid w:val="00900DC1"/>
    <w:rsid w:val="00902179"/>
    <w:rsid w:val="00903877"/>
    <w:rsid w:val="0091544C"/>
    <w:rsid w:val="00921D03"/>
    <w:rsid w:val="00925CD2"/>
    <w:rsid w:val="00933065"/>
    <w:rsid w:val="00933569"/>
    <w:rsid w:val="009365B1"/>
    <w:rsid w:val="0093799C"/>
    <w:rsid w:val="009422A1"/>
    <w:rsid w:val="00942A7D"/>
    <w:rsid w:val="009444C5"/>
    <w:rsid w:val="00944804"/>
    <w:rsid w:val="0094634F"/>
    <w:rsid w:val="009473D8"/>
    <w:rsid w:val="00960ADF"/>
    <w:rsid w:val="00963A0C"/>
    <w:rsid w:val="00965EAF"/>
    <w:rsid w:val="009719EA"/>
    <w:rsid w:val="00974A92"/>
    <w:rsid w:val="00975270"/>
    <w:rsid w:val="00975BA1"/>
    <w:rsid w:val="009835E3"/>
    <w:rsid w:val="009837A6"/>
    <w:rsid w:val="009869F2"/>
    <w:rsid w:val="00987CDB"/>
    <w:rsid w:val="009A2726"/>
    <w:rsid w:val="009A30E0"/>
    <w:rsid w:val="009A3619"/>
    <w:rsid w:val="009A66D0"/>
    <w:rsid w:val="009B08AF"/>
    <w:rsid w:val="009B3DFC"/>
    <w:rsid w:val="009B793E"/>
    <w:rsid w:val="009C1EA6"/>
    <w:rsid w:val="009C37B9"/>
    <w:rsid w:val="009C38E7"/>
    <w:rsid w:val="009D32BD"/>
    <w:rsid w:val="009D35B5"/>
    <w:rsid w:val="009D4486"/>
    <w:rsid w:val="009D4AC1"/>
    <w:rsid w:val="009E1697"/>
    <w:rsid w:val="009F211E"/>
    <w:rsid w:val="009F2572"/>
    <w:rsid w:val="009F294E"/>
    <w:rsid w:val="009F30F1"/>
    <w:rsid w:val="009F37C7"/>
    <w:rsid w:val="009F50AB"/>
    <w:rsid w:val="00A005F6"/>
    <w:rsid w:val="00A0424F"/>
    <w:rsid w:val="00A04762"/>
    <w:rsid w:val="00A103FF"/>
    <w:rsid w:val="00A16C6E"/>
    <w:rsid w:val="00A17DB2"/>
    <w:rsid w:val="00A22A14"/>
    <w:rsid w:val="00A253D0"/>
    <w:rsid w:val="00A26214"/>
    <w:rsid w:val="00A27A51"/>
    <w:rsid w:val="00A3283B"/>
    <w:rsid w:val="00A332DE"/>
    <w:rsid w:val="00A37BA4"/>
    <w:rsid w:val="00A402F6"/>
    <w:rsid w:val="00A43739"/>
    <w:rsid w:val="00A451FC"/>
    <w:rsid w:val="00A47815"/>
    <w:rsid w:val="00A47A18"/>
    <w:rsid w:val="00A52ED5"/>
    <w:rsid w:val="00A539CB"/>
    <w:rsid w:val="00A54302"/>
    <w:rsid w:val="00A63709"/>
    <w:rsid w:val="00A649E6"/>
    <w:rsid w:val="00A660AF"/>
    <w:rsid w:val="00A70A95"/>
    <w:rsid w:val="00A70BDA"/>
    <w:rsid w:val="00A740B6"/>
    <w:rsid w:val="00A7621E"/>
    <w:rsid w:val="00A817D5"/>
    <w:rsid w:val="00A93351"/>
    <w:rsid w:val="00A95538"/>
    <w:rsid w:val="00A97BBC"/>
    <w:rsid w:val="00AA0013"/>
    <w:rsid w:val="00AA26FF"/>
    <w:rsid w:val="00AA6E8C"/>
    <w:rsid w:val="00AA6F19"/>
    <w:rsid w:val="00AA75E6"/>
    <w:rsid w:val="00AA79A8"/>
    <w:rsid w:val="00AA7A76"/>
    <w:rsid w:val="00AB0286"/>
    <w:rsid w:val="00AB4C6D"/>
    <w:rsid w:val="00AB55F7"/>
    <w:rsid w:val="00AC163D"/>
    <w:rsid w:val="00AC2995"/>
    <w:rsid w:val="00AC4165"/>
    <w:rsid w:val="00AC556A"/>
    <w:rsid w:val="00AC76EA"/>
    <w:rsid w:val="00AD2631"/>
    <w:rsid w:val="00AE1220"/>
    <w:rsid w:val="00AE287F"/>
    <w:rsid w:val="00AE45B9"/>
    <w:rsid w:val="00AE63BD"/>
    <w:rsid w:val="00AF0B2B"/>
    <w:rsid w:val="00AF2914"/>
    <w:rsid w:val="00AF363F"/>
    <w:rsid w:val="00AF3E4F"/>
    <w:rsid w:val="00B05CC4"/>
    <w:rsid w:val="00B071FF"/>
    <w:rsid w:val="00B11505"/>
    <w:rsid w:val="00B11DC2"/>
    <w:rsid w:val="00B15142"/>
    <w:rsid w:val="00B16F69"/>
    <w:rsid w:val="00B1789D"/>
    <w:rsid w:val="00B273DC"/>
    <w:rsid w:val="00B279DF"/>
    <w:rsid w:val="00B42807"/>
    <w:rsid w:val="00B428A6"/>
    <w:rsid w:val="00B43340"/>
    <w:rsid w:val="00B4461C"/>
    <w:rsid w:val="00B45476"/>
    <w:rsid w:val="00B53913"/>
    <w:rsid w:val="00B554D4"/>
    <w:rsid w:val="00B55F3A"/>
    <w:rsid w:val="00B56906"/>
    <w:rsid w:val="00B71CB5"/>
    <w:rsid w:val="00B72922"/>
    <w:rsid w:val="00B72A13"/>
    <w:rsid w:val="00B72ADA"/>
    <w:rsid w:val="00B84042"/>
    <w:rsid w:val="00B84DD5"/>
    <w:rsid w:val="00B9487E"/>
    <w:rsid w:val="00B95910"/>
    <w:rsid w:val="00BA29E7"/>
    <w:rsid w:val="00BA3A4C"/>
    <w:rsid w:val="00BB0F20"/>
    <w:rsid w:val="00BB7F08"/>
    <w:rsid w:val="00BC35CD"/>
    <w:rsid w:val="00BC415B"/>
    <w:rsid w:val="00BC7BBE"/>
    <w:rsid w:val="00BD2CDE"/>
    <w:rsid w:val="00BD41CF"/>
    <w:rsid w:val="00BE0164"/>
    <w:rsid w:val="00BE12BD"/>
    <w:rsid w:val="00BE2ED7"/>
    <w:rsid w:val="00BE6AB8"/>
    <w:rsid w:val="00BF040B"/>
    <w:rsid w:val="00BF086D"/>
    <w:rsid w:val="00BF2167"/>
    <w:rsid w:val="00BF43BC"/>
    <w:rsid w:val="00BF4DDA"/>
    <w:rsid w:val="00BF55C7"/>
    <w:rsid w:val="00BF7ED8"/>
    <w:rsid w:val="00C04139"/>
    <w:rsid w:val="00C044B1"/>
    <w:rsid w:val="00C0572E"/>
    <w:rsid w:val="00C21B3D"/>
    <w:rsid w:val="00C24267"/>
    <w:rsid w:val="00C2788D"/>
    <w:rsid w:val="00C322E9"/>
    <w:rsid w:val="00C33398"/>
    <w:rsid w:val="00C361F6"/>
    <w:rsid w:val="00C3669A"/>
    <w:rsid w:val="00C423E3"/>
    <w:rsid w:val="00C44BAC"/>
    <w:rsid w:val="00C45626"/>
    <w:rsid w:val="00C458AF"/>
    <w:rsid w:val="00C45AC9"/>
    <w:rsid w:val="00C460A0"/>
    <w:rsid w:val="00C4720D"/>
    <w:rsid w:val="00C47A6D"/>
    <w:rsid w:val="00C50068"/>
    <w:rsid w:val="00C549F4"/>
    <w:rsid w:val="00C54B12"/>
    <w:rsid w:val="00C610F2"/>
    <w:rsid w:val="00C676F3"/>
    <w:rsid w:val="00C71AB8"/>
    <w:rsid w:val="00C7535D"/>
    <w:rsid w:val="00C75909"/>
    <w:rsid w:val="00C767D5"/>
    <w:rsid w:val="00C77EFD"/>
    <w:rsid w:val="00C81A10"/>
    <w:rsid w:val="00C82423"/>
    <w:rsid w:val="00C829DF"/>
    <w:rsid w:val="00C84021"/>
    <w:rsid w:val="00C875AE"/>
    <w:rsid w:val="00C9310B"/>
    <w:rsid w:val="00C93FBD"/>
    <w:rsid w:val="00CA3E24"/>
    <w:rsid w:val="00CA696D"/>
    <w:rsid w:val="00CA6B5A"/>
    <w:rsid w:val="00CB1536"/>
    <w:rsid w:val="00CB3907"/>
    <w:rsid w:val="00CB6167"/>
    <w:rsid w:val="00CC0C54"/>
    <w:rsid w:val="00CC1016"/>
    <w:rsid w:val="00CD1721"/>
    <w:rsid w:val="00CD4DDC"/>
    <w:rsid w:val="00CD6B80"/>
    <w:rsid w:val="00CE6301"/>
    <w:rsid w:val="00CE74A8"/>
    <w:rsid w:val="00CF2008"/>
    <w:rsid w:val="00CF3649"/>
    <w:rsid w:val="00CF4188"/>
    <w:rsid w:val="00CF4E9E"/>
    <w:rsid w:val="00CF7848"/>
    <w:rsid w:val="00D058FC"/>
    <w:rsid w:val="00D06213"/>
    <w:rsid w:val="00D06732"/>
    <w:rsid w:val="00D10010"/>
    <w:rsid w:val="00D12BB7"/>
    <w:rsid w:val="00D1420E"/>
    <w:rsid w:val="00D21601"/>
    <w:rsid w:val="00D31882"/>
    <w:rsid w:val="00D31BAB"/>
    <w:rsid w:val="00D31D27"/>
    <w:rsid w:val="00D34AFB"/>
    <w:rsid w:val="00D35A03"/>
    <w:rsid w:val="00D37377"/>
    <w:rsid w:val="00D41830"/>
    <w:rsid w:val="00D45B8C"/>
    <w:rsid w:val="00D56058"/>
    <w:rsid w:val="00D567E0"/>
    <w:rsid w:val="00D56A09"/>
    <w:rsid w:val="00D61F2D"/>
    <w:rsid w:val="00D630DE"/>
    <w:rsid w:val="00D630E3"/>
    <w:rsid w:val="00D645C6"/>
    <w:rsid w:val="00D65905"/>
    <w:rsid w:val="00D7327A"/>
    <w:rsid w:val="00D74EC8"/>
    <w:rsid w:val="00D81AC9"/>
    <w:rsid w:val="00D858CC"/>
    <w:rsid w:val="00D86FD3"/>
    <w:rsid w:val="00D9086C"/>
    <w:rsid w:val="00D9304D"/>
    <w:rsid w:val="00D94745"/>
    <w:rsid w:val="00D95DFF"/>
    <w:rsid w:val="00D963D5"/>
    <w:rsid w:val="00D96AF5"/>
    <w:rsid w:val="00DA41B2"/>
    <w:rsid w:val="00DA5D06"/>
    <w:rsid w:val="00DA7B20"/>
    <w:rsid w:val="00DB5727"/>
    <w:rsid w:val="00DC1DED"/>
    <w:rsid w:val="00DC52BC"/>
    <w:rsid w:val="00DC621D"/>
    <w:rsid w:val="00DC6A98"/>
    <w:rsid w:val="00DC6EF8"/>
    <w:rsid w:val="00DC7245"/>
    <w:rsid w:val="00DC730A"/>
    <w:rsid w:val="00DD12FC"/>
    <w:rsid w:val="00DD4A81"/>
    <w:rsid w:val="00DD69AF"/>
    <w:rsid w:val="00DE130A"/>
    <w:rsid w:val="00DE1F21"/>
    <w:rsid w:val="00DE38B2"/>
    <w:rsid w:val="00DF2C9A"/>
    <w:rsid w:val="00DF5291"/>
    <w:rsid w:val="00DF6AC1"/>
    <w:rsid w:val="00E05572"/>
    <w:rsid w:val="00E16292"/>
    <w:rsid w:val="00E166FD"/>
    <w:rsid w:val="00E25706"/>
    <w:rsid w:val="00E25BDD"/>
    <w:rsid w:val="00E264BB"/>
    <w:rsid w:val="00E276DF"/>
    <w:rsid w:val="00E30596"/>
    <w:rsid w:val="00E33434"/>
    <w:rsid w:val="00E41EA6"/>
    <w:rsid w:val="00E43C23"/>
    <w:rsid w:val="00E45E6A"/>
    <w:rsid w:val="00E50A42"/>
    <w:rsid w:val="00E5197A"/>
    <w:rsid w:val="00E54FA5"/>
    <w:rsid w:val="00E56D64"/>
    <w:rsid w:val="00E61081"/>
    <w:rsid w:val="00E65B9D"/>
    <w:rsid w:val="00E6777A"/>
    <w:rsid w:val="00E7122F"/>
    <w:rsid w:val="00E71CE6"/>
    <w:rsid w:val="00E71E16"/>
    <w:rsid w:val="00E76641"/>
    <w:rsid w:val="00E851E8"/>
    <w:rsid w:val="00E86DF2"/>
    <w:rsid w:val="00E879EC"/>
    <w:rsid w:val="00E934B6"/>
    <w:rsid w:val="00E95703"/>
    <w:rsid w:val="00EA0297"/>
    <w:rsid w:val="00EA2C29"/>
    <w:rsid w:val="00EA3F05"/>
    <w:rsid w:val="00EA5E85"/>
    <w:rsid w:val="00EB0B07"/>
    <w:rsid w:val="00EB144E"/>
    <w:rsid w:val="00EB1B82"/>
    <w:rsid w:val="00EB635D"/>
    <w:rsid w:val="00EB6AA6"/>
    <w:rsid w:val="00EC2653"/>
    <w:rsid w:val="00EC38E3"/>
    <w:rsid w:val="00EC70BC"/>
    <w:rsid w:val="00ED018E"/>
    <w:rsid w:val="00ED07AD"/>
    <w:rsid w:val="00ED3B36"/>
    <w:rsid w:val="00EE55F9"/>
    <w:rsid w:val="00EE62A5"/>
    <w:rsid w:val="00EE63DE"/>
    <w:rsid w:val="00F03754"/>
    <w:rsid w:val="00F11454"/>
    <w:rsid w:val="00F14302"/>
    <w:rsid w:val="00F221FC"/>
    <w:rsid w:val="00F24025"/>
    <w:rsid w:val="00F35CAE"/>
    <w:rsid w:val="00F36EE7"/>
    <w:rsid w:val="00F4468A"/>
    <w:rsid w:val="00F45F1C"/>
    <w:rsid w:val="00F57AFC"/>
    <w:rsid w:val="00F627E4"/>
    <w:rsid w:val="00F65DBD"/>
    <w:rsid w:val="00F669B9"/>
    <w:rsid w:val="00F725AC"/>
    <w:rsid w:val="00F773E6"/>
    <w:rsid w:val="00F80CEE"/>
    <w:rsid w:val="00F81F36"/>
    <w:rsid w:val="00F8493C"/>
    <w:rsid w:val="00F85468"/>
    <w:rsid w:val="00F86A45"/>
    <w:rsid w:val="00F86BC7"/>
    <w:rsid w:val="00F9202F"/>
    <w:rsid w:val="00F92AA4"/>
    <w:rsid w:val="00FA6B1E"/>
    <w:rsid w:val="00FB4165"/>
    <w:rsid w:val="00FB59A0"/>
    <w:rsid w:val="00FC42BD"/>
    <w:rsid w:val="00FD0D76"/>
    <w:rsid w:val="00FD2E9B"/>
    <w:rsid w:val="00FE065B"/>
    <w:rsid w:val="00FE17D2"/>
    <w:rsid w:val="00FF6D2A"/>
    <w:rsid w:val="00FF71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E1F9935E-2E9F-4B13-8260-886E8E0B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footnotes">
    <w:name w:val="footnotes"/>
    <w:basedOn w:val="Normal"/>
    <w:rsid w:val="00345CED"/>
    <w:pPr>
      <w:tabs>
        <w:tab w:val="right" w:pos="397"/>
        <w:tab w:val="left" w:pos="567"/>
      </w:tabs>
      <w:adjustRightInd w:val="0"/>
      <w:ind w:left="567" w:hanging="567"/>
      <w:jc w:val="both"/>
      <w:textAlignment w:val="baseline"/>
    </w:pPr>
    <w:rPr>
      <w:rFonts w:ascii="Verdana" w:hAnsi="Verdana"/>
      <w:sz w:val="16"/>
      <w:szCs w:val="20"/>
      <w:lang w:val="en-US" w:eastAsia="en-ZA"/>
    </w:rPr>
  </w:style>
  <w:style w:type="character" w:customStyle="1" w:styleId="apple-converted-space">
    <w:name w:val="apple-converted-space"/>
    <w:basedOn w:val="DefaultParagraphFont"/>
    <w:rsid w:val="00CD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463887362">
      <w:bodyDiv w:val="1"/>
      <w:marLeft w:val="0"/>
      <w:marRight w:val="0"/>
      <w:marTop w:val="0"/>
      <w:marBottom w:val="0"/>
      <w:divBdr>
        <w:top w:val="none" w:sz="0" w:space="0" w:color="auto"/>
        <w:left w:val="none" w:sz="0" w:space="0" w:color="auto"/>
        <w:bottom w:val="none" w:sz="0" w:space="0" w:color="auto"/>
        <w:right w:val="none" w:sz="0" w:space="0" w:color="auto"/>
      </w:divBdr>
      <w:divsChild>
        <w:div w:id="850796764">
          <w:marLeft w:val="0"/>
          <w:marRight w:val="0"/>
          <w:marTop w:val="120"/>
          <w:marBottom w:val="0"/>
          <w:divBdr>
            <w:top w:val="none" w:sz="0" w:space="0" w:color="auto"/>
            <w:left w:val="none" w:sz="0" w:space="0" w:color="auto"/>
            <w:bottom w:val="none" w:sz="0" w:space="0" w:color="auto"/>
            <w:right w:val="none" w:sz="0" w:space="0" w:color="auto"/>
          </w:divBdr>
        </w:div>
      </w:divsChild>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822624161">
      <w:bodyDiv w:val="1"/>
      <w:marLeft w:val="0"/>
      <w:marRight w:val="0"/>
      <w:marTop w:val="0"/>
      <w:marBottom w:val="0"/>
      <w:divBdr>
        <w:top w:val="none" w:sz="0" w:space="0" w:color="auto"/>
        <w:left w:val="none" w:sz="0" w:space="0" w:color="auto"/>
        <w:bottom w:val="none" w:sz="0" w:space="0" w:color="auto"/>
        <w:right w:val="none" w:sz="0" w:space="0" w:color="auto"/>
      </w:divBdr>
      <w:divsChild>
        <w:div w:id="1073314101">
          <w:marLeft w:val="0"/>
          <w:marRight w:val="0"/>
          <w:marTop w:val="120"/>
          <w:marBottom w:val="0"/>
          <w:divBdr>
            <w:top w:val="none" w:sz="0" w:space="0" w:color="auto"/>
            <w:left w:val="none" w:sz="0" w:space="0" w:color="auto"/>
            <w:bottom w:val="none" w:sz="0" w:space="0" w:color="auto"/>
            <w:right w:val="none" w:sz="0" w:space="0" w:color="auto"/>
          </w:divBdr>
        </w:div>
        <w:div w:id="148712595">
          <w:marLeft w:val="0"/>
          <w:marRight w:val="0"/>
          <w:marTop w:val="120"/>
          <w:marBottom w:val="0"/>
          <w:divBdr>
            <w:top w:val="none" w:sz="0" w:space="0" w:color="auto"/>
            <w:left w:val="none" w:sz="0" w:space="0" w:color="auto"/>
            <w:bottom w:val="none" w:sz="0" w:space="0" w:color="auto"/>
            <w:right w:val="none" w:sz="0" w:space="0" w:color="auto"/>
          </w:divBdr>
        </w:div>
        <w:div w:id="708187907">
          <w:marLeft w:val="0"/>
          <w:marRight w:val="0"/>
          <w:marTop w:val="60"/>
          <w:marBottom w:val="0"/>
          <w:divBdr>
            <w:top w:val="none" w:sz="0" w:space="0" w:color="auto"/>
            <w:left w:val="none" w:sz="0" w:space="0" w:color="auto"/>
            <w:bottom w:val="none" w:sz="0" w:space="0" w:color="auto"/>
            <w:right w:val="none" w:sz="0" w:space="0" w:color="auto"/>
          </w:divBdr>
        </w:div>
        <w:div w:id="1729719204">
          <w:marLeft w:val="0"/>
          <w:marRight w:val="0"/>
          <w:marTop w:val="60"/>
          <w:marBottom w:val="0"/>
          <w:divBdr>
            <w:top w:val="none" w:sz="0" w:space="0" w:color="auto"/>
            <w:left w:val="none" w:sz="0" w:space="0" w:color="auto"/>
            <w:bottom w:val="none" w:sz="0" w:space="0" w:color="auto"/>
            <w:right w:val="none" w:sz="0" w:space="0" w:color="auto"/>
          </w:divBdr>
        </w:div>
        <w:div w:id="518784028">
          <w:marLeft w:val="0"/>
          <w:marRight w:val="0"/>
          <w:marTop w:val="60"/>
          <w:marBottom w:val="0"/>
          <w:divBdr>
            <w:top w:val="none" w:sz="0" w:space="0" w:color="auto"/>
            <w:left w:val="none" w:sz="0" w:space="0" w:color="auto"/>
            <w:bottom w:val="none" w:sz="0" w:space="0" w:color="auto"/>
            <w:right w:val="none" w:sz="0" w:space="0" w:color="auto"/>
          </w:divBdr>
        </w:div>
      </w:divsChild>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app.jutastatevolve.co.za/y1975v4SApg608" TargetMode="External"/><Relationship Id="rId3" Type="http://schemas.openxmlformats.org/officeDocument/2006/relationships/hyperlink" Target="https://app.jutastatevolve.co.za/y2012v3SApg325" TargetMode="External"/><Relationship Id="rId7" Type="http://schemas.openxmlformats.org/officeDocument/2006/relationships/hyperlink" Target="https://app.jutastatevolve.co.za/y1973v3SApg701" TargetMode="External"/><Relationship Id="rId2" Type="http://schemas.openxmlformats.org/officeDocument/2006/relationships/hyperlink" Target="https://app.jutastatevolve.co.za/y1992v4SApg323" TargetMode="External"/><Relationship Id="rId1" Type="http://schemas.openxmlformats.org/officeDocument/2006/relationships/hyperlink" Target="https://app.jutastatevolve.co.za/y1972v1SApg503" TargetMode="External"/><Relationship Id="rId6" Type="http://schemas.openxmlformats.org/officeDocument/2006/relationships/hyperlink" Target="https://app.jutastatevolve.co.za/y1986v3SApg140" TargetMode="External"/><Relationship Id="rId5" Type="http://schemas.openxmlformats.org/officeDocument/2006/relationships/hyperlink" Target="https://app.jutastatevolve.co.za/y1946ADpg597" TargetMode="External"/><Relationship Id="rId4" Type="http://schemas.openxmlformats.org/officeDocument/2006/relationships/hyperlink" Target="https://app.jutastatevolve.co.za/y1974v1SApg6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F7B0-F580-493D-B88C-0ADC133D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2</TotalTime>
  <Pages>9</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2023-10-05T07:52:00Z</cp:lastPrinted>
  <dcterms:created xsi:type="dcterms:W3CDTF">2023-10-05T13:21:00Z</dcterms:created>
  <dcterms:modified xsi:type="dcterms:W3CDTF">2023-10-05T13:25:00Z</dcterms:modified>
</cp:coreProperties>
</file>