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bookmarkStart w:id="0" w:name="_GoBack"/>
      <w:bookmarkEnd w:id="0"/>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2F742F99" w:rsidR="00B50B7F" w:rsidRDefault="000F4C34" w:rsidP="000F4C3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77C3D94C" w:rsidR="006F2A2D" w:rsidRPr="00B50B7F" w:rsidRDefault="000F4C34" w:rsidP="000F4C34">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12162CDD" w:rsidR="006F2A2D" w:rsidRDefault="000F4C34" w:rsidP="000F4C3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30C1262" w:rsidR="006F2A2D" w:rsidRDefault="006F2A2D" w:rsidP="006D4C73">
                            <w:pPr>
                              <w:rPr>
                                <w:noProof/>
                                <w:lang w:val="en-US"/>
                              </w:rPr>
                            </w:pPr>
                            <w:r>
                              <w:rPr>
                                <w:rFonts w:ascii="Century Gothic" w:hAnsi="Century Gothic"/>
                                <w:b/>
                                <w:sz w:val="18"/>
                                <w:szCs w:val="18"/>
                              </w:rPr>
                              <w:t xml:space="preserve"> </w:t>
                            </w:r>
                          </w:p>
                          <w:p w14:paraId="312A41BF" w14:textId="77777777" w:rsidR="00012F6C" w:rsidRDefault="00012F6C"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2E00686F"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0A49EA">
                              <w:rPr>
                                <w:rFonts w:ascii="Century Gothic" w:hAnsi="Century Gothic"/>
                                <w:sz w:val="18"/>
                                <w:szCs w:val="18"/>
                              </w:rPr>
                              <w:t>6</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73507D98" w14:textId="2F742F99" w:rsidR="00B50B7F" w:rsidRDefault="000F4C34" w:rsidP="000F4C3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77C3D94C" w:rsidR="006F2A2D" w:rsidRPr="00B50B7F" w:rsidRDefault="000F4C34" w:rsidP="000F4C34">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12162CDD" w:rsidR="006F2A2D" w:rsidRDefault="000F4C34" w:rsidP="000F4C3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730C1262" w:rsidR="006F2A2D" w:rsidRDefault="006F2A2D" w:rsidP="006D4C73">
                      <w:pPr>
                        <w:rPr>
                          <w:noProof/>
                          <w:lang w:val="en-US"/>
                        </w:rPr>
                      </w:pPr>
                      <w:r>
                        <w:rPr>
                          <w:rFonts w:ascii="Century Gothic" w:hAnsi="Century Gothic"/>
                          <w:b/>
                          <w:sz w:val="18"/>
                          <w:szCs w:val="18"/>
                        </w:rPr>
                        <w:t xml:space="preserve"> </w:t>
                      </w:r>
                    </w:p>
                    <w:p w14:paraId="312A41BF" w14:textId="77777777" w:rsidR="00012F6C" w:rsidRDefault="00012F6C"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2E00686F"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0A49EA">
                        <w:rPr>
                          <w:rFonts w:ascii="Century Gothic" w:hAnsi="Century Gothic"/>
                          <w:sz w:val="18"/>
                          <w:szCs w:val="18"/>
                        </w:rPr>
                        <w:t>6</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7F62B156"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0A49EA">
        <w:rPr>
          <w:rFonts w:cs="Arial"/>
          <w:b w:val="0"/>
          <w:sz w:val="24"/>
          <w:szCs w:val="24"/>
          <w:lang w:val="en-US"/>
        </w:rPr>
        <w:t>2023-</w:t>
      </w:r>
      <w:r w:rsidR="000A49EA" w:rsidRPr="000A49EA">
        <w:rPr>
          <w:rFonts w:cs="Arial"/>
          <w:b w:val="0"/>
          <w:sz w:val="24"/>
          <w:szCs w:val="24"/>
          <w:lang w:val="en-US"/>
        </w:rPr>
        <w:t>093107</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p>
    <w:p w14:paraId="12880D4B" w14:textId="77777777" w:rsidR="000A49EA" w:rsidRDefault="000A49EA" w:rsidP="000A49EA">
      <w:pPr>
        <w:tabs>
          <w:tab w:val="right" w:pos="8646"/>
        </w:tabs>
        <w:rPr>
          <w:rFonts w:ascii="Arial" w:hAnsi="Arial"/>
          <w:bCs/>
        </w:rPr>
      </w:pPr>
      <w:r>
        <w:rPr>
          <w:rFonts w:ascii="Arial" w:hAnsi="Arial"/>
          <w:b/>
        </w:rPr>
        <w:t xml:space="preserve">WILLEM LUND </w:t>
      </w:r>
      <w:r w:rsidRPr="00D261C3">
        <w:rPr>
          <w:rFonts w:ascii="Arial" w:hAnsi="Arial"/>
          <w:b/>
        </w:rPr>
        <w:tab/>
      </w:r>
      <w:r>
        <w:rPr>
          <w:rFonts w:ascii="Arial" w:hAnsi="Arial"/>
          <w:bCs/>
        </w:rPr>
        <w:t>Applicant</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43421D31" w14:textId="77777777" w:rsidR="000A49EA" w:rsidRDefault="000A49EA" w:rsidP="000A49EA">
      <w:pPr>
        <w:tabs>
          <w:tab w:val="right" w:pos="8646"/>
        </w:tabs>
        <w:rPr>
          <w:rFonts w:ascii="Arial" w:hAnsi="Arial"/>
          <w:bCs/>
        </w:rPr>
      </w:pPr>
      <w:r>
        <w:rPr>
          <w:rFonts w:ascii="Arial" w:hAnsi="Arial"/>
          <w:b/>
          <w:bCs/>
        </w:rPr>
        <w:t>THE STATE</w:t>
      </w:r>
      <w:r>
        <w:rPr>
          <w:rFonts w:ascii="Arial" w:hAnsi="Arial"/>
          <w:bCs/>
        </w:rPr>
        <w:tab/>
        <w:t>First Respondent</w:t>
      </w:r>
    </w:p>
    <w:p w14:paraId="5A66B46B" w14:textId="77777777" w:rsidR="000A49EA" w:rsidRDefault="000A49EA" w:rsidP="000A49EA">
      <w:pPr>
        <w:tabs>
          <w:tab w:val="right" w:pos="8646"/>
        </w:tabs>
        <w:rPr>
          <w:rFonts w:ascii="Arial" w:hAnsi="Arial"/>
          <w:bCs/>
        </w:rPr>
      </w:pPr>
    </w:p>
    <w:p w14:paraId="312461FC" w14:textId="77777777" w:rsidR="000A49EA" w:rsidRDefault="000A49EA" w:rsidP="000A49EA">
      <w:pPr>
        <w:tabs>
          <w:tab w:val="right" w:pos="8646"/>
        </w:tabs>
        <w:rPr>
          <w:rFonts w:ascii="Arial" w:hAnsi="Arial"/>
          <w:bCs/>
        </w:rPr>
      </w:pPr>
      <w:r w:rsidRPr="00D01BB3">
        <w:rPr>
          <w:rFonts w:ascii="Arial" w:hAnsi="Arial"/>
          <w:b/>
          <w:bCs/>
        </w:rPr>
        <w:t>REGIONAL COURT PRESIDENT MODIBEDI DJAJE</w:t>
      </w:r>
      <w:r>
        <w:rPr>
          <w:rFonts w:ascii="Arial" w:hAnsi="Arial"/>
          <w:bCs/>
        </w:rPr>
        <w:tab/>
        <w:t>Second Respondent</w:t>
      </w:r>
    </w:p>
    <w:p w14:paraId="5BCFD6B7" w14:textId="77777777" w:rsidR="000A49EA" w:rsidRDefault="000A49EA" w:rsidP="000A49EA">
      <w:pPr>
        <w:tabs>
          <w:tab w:val="right" w:pos="8646"/>
        </w:tabs>
        <w:rPr>
          <w:rFonts w:ascii="Arial" w:hAnsi="Arial"/>
          <w:bCs/>
        </w:rPr>
      </w:pPr>
    </w:p>
    <w:p w14:paraId="4F6CFFF9" w14:textId="77777777" w:rsidR="000A49EA" w:rsidRDefault="000A49EA" w:rsidP="000A49EA">
      <w:pPr>
        <w:tabs>
          <w:tab w:val="right" w:pos="8646"/>
        </w:tabs>
        <w:rPr>
          <w:rFonts w:ascii="Arial" w:hAnsi="Arial"/>
          <w:bCs/>
        </w:rPr>
      </w:pPr>
      <w:r w:rsidRPr="00D01BB3">
        <w:rPr>
          <w:rFonts w:ascii="Arial" w:hAnsi="Arial"/>
          <w:b/>
          <w:bCs/>
        </w:rPr>
        <w:t>REGIONAL COURT MAGISTRATE BERTIE ROUX</w:t>
      </w:r>
      <w:r>
        <w:rPr>
          <w:rFonts w:ascii="Arial" w:hAnsi="Arial"/>
          <w:bCs/>
        </w:rPr>
        <w:tab/>
        <w:t>Third Respondent</w:t>
      </w:r>
    </w:p>
    <w:p w14:paraId="23A4D6F7" w14:textId="77777777" w:rsidR="000A49EA" w:rsidRDefault="000A49EA" w:rsidP="000A49EA">
      <w:pPr>
        <w:tabs>
          <w:tab w:val="right" w:pos="8646"/>
        </w:tabs>
        <w:rPr>
          <w:rFonts w:ascii="Arial" w:hAnsi="Arial"/>
          <w:bCs/>
        </w:rPr>
      </w:pPr>
    </w:p>
    <w:p w14:paraId="05D77D9A" w14:textId="77777777" w:rsidR="000A49EA" w:rsidRDefault="000A49EA" w:rsidP="000A49EA">
      <w:pPr>
        <w:tabs>
          <w:tab w:val="right" w:pos="8646"/>
        </w:tabs>
        <w:rPr>
          <w:rFonts w:ascii="Arial" w:hAnsi="Arial"/>
          <w:bCs/>
        </w:rPr>
      </w:pPr>
      <w:r w:rsidRPr="00D01BB3">
        <w:rPr>
          <w:rFonts w:ascii="Arial" w:hAnsi="Arial"/>
          <w:b/>
          <w:bCs/>
        </w:rPr>
        <w:t>MINISTER OF JUSTICE</w:t>
      </w:r>
      <w:r>
        <w:rPr>
          <w:rFonts w:ascii="Arial" w:hAnsi="Arial"/>
          <w:bCs/>
        </w:rPr>
        <w:tab/>
        <w:t>Fourth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5474D9F6" w14:textId="2F134A4D" w:rsidR="00C324C1" w:rsidRPr="00C324C1" w:rsidRDefault="000F4C34" w:rsidP="000F4C34">
      <w:pPr>
        <w:pStyle w:val="Paragraph12pt"/>
        <w:tabs>
          <w:tab w:val="left" w:pos="851"/>
        </w:tabs>
        <w:ind w:left="851" w:hanging="851"/>
        <w:rPr>
          <w:rFonts w:cs="Arial"/>
        </w:rPr>
      </w:pPr>
      <w:r w:rsidRPr="00C324C1">
        <w:rPr>
          <w:rFonts w:cs="Arial"/>
          <w:color w:val="000000"/>
          <w:szCs w:val="24"/>
        </w:rPr>
        <w:t>1</w:t>
      </w:r>
      <w:r w:rsidRPr="00C324C1">
        <w:rPr>
          <w:rFonts w:cs="Arial"/>
          <w:color w:val="000000"/>
          <w:szCs w:val="24"/>
        </w:rPr>
        <w:tab/>
      </w:r>
      <w:r w:rsidR="000A49EA">
        <w:t>On 2 March 2021, t</w:t>
      </w:r>
      <w:r w:rsidR="00C21AE5">
        <w:t>he</w:t>
      </w:r>
      <w:r w:rsidR="000A49EA">
        <w:t xml:space="preserve"> applicant, Mr. Lund, was convicted in the Regional Court on four counts of stock theft. On 28 September 2021, he was sentenced to 12 years’ imprisonment. The Regional Court refused his application for leave to </w:t>
      </w:r>
      <w:r w:rsidR="000A49EA">
        <w:lastRenderedPageBreak/>
        <w:t>appeal, but, on a petition determined sometime in January 2023, this court granted leave to appeal against Mr. Lund’s convictions and sentence.</w:t>
      </w:r>
    </w:p>
    <w:p w14:paraId="4FDD2A38" w14:textId="0E42ADD4" w:rsidR="000A49EA" w:rsidRDefault="000F4C34" w:rsidP="000F4C34">
      <w:pPr>
        <w:pStyle w:val="Paragraph12pt"/>
        <w:tabs>
          <w:tab w:val="left" w:pos="851"/>
        </w:tabs>
        <w:ind w:left="851" w:hanging="851"/>
        <w:rPr>
          <w:rFonts w:cs="Arial"/>
        </w:rPr>
      </w:pPr>
      <w:r>
        <w:rPr>
          <w:rFonts w:cs="Arial"/>
          <w:color w:val="000000"/>
          <w:szCs w:val="24"/>
        </w:rPr>
        <w:t>2</w:t>
      </w:r>
      <w:r>
        <w:rPr>
          <w:rFonts w:cs="Arial"/>
          <w:color w:val="000000"/>
          <w:szCs w:val="24"/>
        </w:rPr>
        <w:tab/>
      </w:r>
      <w:r w:rsidR="000A49EA">
        <w:rPr>
          <w:rFonts w:cs="Arial"/>
        </w:rPr>
        <w:t xml:space="preserve">On 27 March 2023, Mr. Lund applied for bail pending appeal. </w:t>
      </w:r>
      <w:r w:rsidR="006A33FC">
        <w:rPr>
          <w:rFonts w:cs="Arial"/>
        </w:rPr>
        <w:t>The Regional Court granted bail and released Mr. Lund on a bond of R10 000. The second respondent, the Regional Court President, then referred the decision to grant bail pending appeal to this court on special review, under section 304 (4) of the Criminal Procedure Act 51 of 1977</w:t>
      </w:r>
      <w:r w:rsidR="009F14FC">
        <w:rPr>
          <w:rFonts w:cs="Arial"/>
        </w:rPr>
        <w:t xml:space="preserve"> (“the Act”)</w:t>
      </w:r>
      <w:r w:rsidR="006A33FC">
        <w:rPr>
          <w:rFonts w:cs="Arial"/>
        </w:rPr>
        <w:t>. On 31 August 2023, Africa AJ (with whom Moosa J agreed), reviewed the decision to grant Mr. Lund bail and set it aside. Mr. Lund was directed to report to the Johannesburg Prison by no later than 14 September 2023.</w:t>
      </w:r>
    </w:p>
    <w:p w14:paraId="6DCA8487" w14:textId="0821A850" w:rsidR="006A33FC" w:rsidRDefault="000F4C34" w:rsidP="000F4C34">
      <w:pPr>
        <w:pStyle w:val="Paragraph12pt"/>
        <w:tabs>
          <w:tab w:val="left" w:pos="851"/>
        </w:tabs>
        <w:ind w:left="851" w:hanging="851"/>
        <w:rPr>
          <w:rFonts w:cs="Arial"/>
        </w:rPr>
      </w:pPr>
      <w:r>
        <w:rPr>
          <w:rFonts w:cs="Arial"/>
          <w:color w:val="000000"/>
          <w:szCs w:val="24"/>
        </w:rPr>
        <w:t>3</w:t>
      </w:r>
      <w:r>
        <w:rPr>
          <w:rFonts w:cs="Arial"/>
          <w:color w:val="000000"/>
          <w:szCs w:val="24"/>
        </w:rPr>
        <w:tab/>
      </w:r>
      <w:r w:rsidR="006A33FC">
        <w:rPr>
          <w:rFonts w:cs="Arial"/>
        </w:rPr>
        <w:t xml:space="preserve">Mr. Lund then applied urgently to me to rescind Africa AJ’s decision under rule 42 (1) (a), which provides for the rescission of an order erroneously sought or granted in the absence of an affected party. I heard the matter on 12 September 2023, reserved judgment, and suspended the order detaining Mr. Lund until 6 October 2023. </w:t>
      </w:r>
    </w:p>
    <w:p w14:paraId="3C6F8355" w14:textId="0F0D311C" w:rsidR="009F14FC" w:rsidRDefault="000F4C34" w:rsidP="000F4C34">
      <w:pPr>
        <w:pStyle w:val="Paragraph12pt"/>
        <w:tabs>
          <w:tab w:val="left" w:pos="851"/>
        </w:tabs>
        <w:ind w:left="851" w:hanging="851"/>
        <w:rPr>
          <w:rFonts w:cs="Arial"/>
        </w:rPr>
      </w:pPr>
      <w:r>
        <w:rPr>
          <w:rFonts w:cs="Arial"/>
          <w:color w:val="000000"/>
          <w:szCs w:val="24"/>
        </w:rPr>
        <w:t>4</w:t>
      </w:r>
      <w:r>
        <w:rPr>
          <w:rFonts w:cs="Arial"/>
          <w:color w:val="000000"/>
          <w:szCs w:val="24"/>
        </w:rPr>
        <w:tab/>
      </w:r>
      <w:r w:rsidR="009F14FC">
        <w:rPr>
          <w:rFonts w:cs="Arial"/>
        </w:rPr>
        <w:t>Mr. Lund advances his rescission application on two bases. The first is that he was given no opportunity to make submissions to Africa AJ</w:t>
      </w:r>
      <w:r w:rsidR="00C324C1">
        <w:rPr>
          <w:rFonts w:cs="Arial"/>
        </w:rPr>
        <w:t xml:space="preserve"> and</w:t>
      </w:r>
      <w:r w:rsidR="009F14FC">
        <w:rPr>
          <w:rFonts w:cs="Arial"/>
        </w:rPr>
        <w:t xml:space="preserve"> Moosa J before their decision was issued. The second is that this court lacks the jurisdiction to set aside the grant of bail under section 304 (4) of the Act. </w:t>
      </w:r>
      <w:r w:rsidR="00B50B7F">
        <w:rPr>
          <w:rFonts w:cs="Arial"/>
        </w:rPr>
        <w:t>In my view, these</w:t>
      </w:r>
      <w:r w:rsidR="009F14FC">
        <w:rPr>
          <w:rFonts w:cs="Arial"/>
        </w:rPr>
        <w:t xml:space="preserve"> are both</w:t>
      </w:r>
      <w:r w:rsidR="00B50B7F">
        <w:rPr>
          <w:rFonts w:cs="Arial"/>
        </w:rPr>
        <w:t xml:space="preserve"> </w:t>
      </w:r>
      <w:r w:rsidR="009F14FC">
        <w:rPr>
          <w:rFonts w:cs="Arial"/>
        </w:rPr>
        <w:t xml:space="preserve">arguable </w:t>
      </w:r>
      <w:r w:rsidR="00C324C1">
        <w:rPr>
          <w:rFonts w:cs="Arial"/>
        </w:rPr>
        <w:t>grounds</w:t>
      </w:r>
      <w:r w:rsidR="009F14FC">
        <w:rPr>
          <w:rFonts w:cs="Arial"/>
        </w:rPr>
        <w:t xml:space="preserve">. However, it would not be appropriate for me to say anything more than that, because I do not think it is wise for me, sitting as a single Judge, to rescind an order granted by two other Judges of this </w:t>
      </w:r>
      <w:r w:rsidR="00C324C1">
        <w:rPr>
          <w:rFonts w:cs="Arial"/>
        </w:rPr>
        <w:t>Division</w:t>
      </w:r>
      <w:r w:rsidR="009F14FC">
        <w:rPr>
          <w:rFonts w:cs="Arial"/>
        </w:rPr>
        <w:t>.</w:t>
      </w:r>
    </w:p>
    <w:p w14:paraId="43B463C5" w14:textId="6F82FC12" w:rsidR="009F14FC" w:rsidRDefault="000F4C34" w:rsidP="000F4C34">
      <w:pPr>
        <w:pStyle w:val="Paragraph12pt"/>
        <w:tabs>
          <w:tab w:val="left" w:pos="851"/>
        </w:tabs>
        <w:ind w:left="851" w:hanging="851"/>
        <w:rPr>
          <w:rFonts w:cs="Arial"/>
        </w:rPr>
      </w:pPr>
      <w:r>
        <w:rPr>
          <w:rFonts w:cs="Arial"/>
          <w:color w:val="000000"/>
          <w:szCs w:val="24"/>
        </w:rPr>
        <w:lastRenderedPageBreak/>
        <w:t>5</w:t>
      </w:r>
      <w:r>
        <w:rPr>
          <w:rFonts w:cs="Arial"/>
          <w:color w:val="000000"/>
          <w:szCs w:val="24"/>
        </w:rPr>
        <w:tab/>
      </w:r>
      <w:r w:rsidR="009F14FC">
        <w:rPr>
          <w:rFonts w:cs="Arial"/>
        </w:rPr>
        <w:t>It is well-established that a single Judge deciding a question of law is bound by a decision on the same point</w:t>
      </w:r>
      <w:r w:rsidR="00C324C1">
        <w:rPr>
          <w:rFonts w:cs="Arial"/>
        </w:rPr>
        <w:t xml:space="preserve"> by two Judges in the same Division</w:t>
      </w:r>
      <w:r w:rsidR="009F14FC">
        <w:rPr>
          <w:rFonts w:cs="Arial"/>
        </w:rPr>
        <w:t xml:space="preserve">. </w:t>
      </w:r>
      <w:r w:rsidR="00B50B7F">
        <w:rPr>
          <w:rFonts w:cs="Arial"/>
        </w:rPr>
        <w:t>T</w:t>
      </w:r>
      <w:r w:rsidR="009F14FC">
        <w:rPr>
          <w:rFonts w:cs="Arial"/>
        </w:rPr>
        <w:t>he questions of whether or not Mr. Lund should be heard</w:t>
      </w:r>
      <w:r w:rsidR="00C324C1">
        <w:rPr>
          <w:rFonts w:cs="Arial"/>
        </w:rPr>
        <w:t xml:space="preserve"> </w:t>
      </w:r>
      <w:r w:rsidR="009F14FC">
        <w:rPr>
          <w:rFonts w:cs="Arial"/>
        </w:rPr>
        <w:t xml:space="preserve">and whether or not Africa AJ and Moosa J had jurisdiction under section 304 (4) to decide the review as they did </w:t>
      </w:r>
      <w:r w:rsidR="00C324C1">
        <w:rPr>
          <w:rFonts w:cs="Arial"/>
        </w:rPr>
        <w:t>were</w:t>
      </w:r>
      <w:r w:rsidR="009F14FC">
        <w:rPr>
          <w:rFonts w:cs="Arial"/>
        </w:rPr>
        <w:t xml:space="preserve"> not explicitly raised before them</w:t>
      </w:r>
      <w:r w:rsidR="00B50B7F">
        <w:rPr>
          <w:rFonts w:cs="Arial"/>
        </w:rPr>
        <w:t>. But</w:t>
      </w:r>
      <w:r w:rsidR="009F14FC">
        <w:rPr>
          <w:rFonts w:cs="Arial"/>
        </w:rPr>
        <w:t xml:space="preserve"> their decision</w:t>
      </w:r>
      <w:r w:rsidR="00B50B7F">
        <w:rPr>
          <w:rFonts w:cs="Arial"/>
        </w:rPr>
        <w:t xml:space="preserve"> was clearly made on the assumption </w:t>
      </w:r>
      <w:r w:rsidR="009F14FC">
        <w:rPr>
          <w:rFonts w:cs="Arial"/>
        </w:rPr>
        <w:t xml:space="preserve">that they </w:t>
      </w:r>
      <w:r w:rsidR="00B50B7F">
        <w:rPr>
          <w:rFonts w:cs="Arial"/>
        </w:rPr>
        <w:t>had</w:t>
      </w:r>
      <w:r w:rsidR="009F14FC">
        <w:rPr>
          <w:rFonts w:cs="Arial"/>
        </w:rPr>
        <w:t xml:space="preserve"> jurisdiction </w:t>
      </w:r>
      <w:r w:rsidR="00B50B7F">
        <w:rPr>
          <w:rFonts w:cs="Arial"/>
        </w:rPr>
        <w:t>and</w:t>
      </w:r>
      <w:r w:rsidR="009F14FC">
        <w:rPr>
          <w:rFonts w:cs="Arial"/>
        </w:rPr>
        <w:t xml:space="preserve"> that they were</w:t>
      </w:r>
      <w:r w:rsidR="009C0043">
        <w:rPr>
          <w:rFonts w:cs="Arial"/>
        </w:rPr>
        <w:t xml:space="preserve"> not</w:t>
      </w:r>
      <w:r w:rsidR="009F14FC">
        <w:rPr>
          <w:rFonts w:cs="Arial"/>
        </w:rPr>
        <w:t xml:space="preserve"> required to give Mr. Lund a hearing before they determined the review. </w:t>
      </w:r>
    </w:p>
    <w:p w14:paraId="764E2F5E" w14:textId="5462DB46" w:rsidR="009F14FC" w:rsidRDefault="000F4C34" w:rsidP="000F4C34">
      <w:pPr>
        <w:pStyle w:val="Paragraph12pt"/>
        <w:tabs>
          <w:tab w:val="left" w:pos="851"/>
        </w:tabs>
        <w:ind w:left="851" w:hanging="851"/>
        <w:rPr>
          <w:rFonts w:cs="Arial"/>
        </w:rPr>
      </w:pPr>
      <w:r>
        <w:rPr>
          <w:rFonts w:cs="Arial"/>
          <w:color w:val="000000"/>
          <w:szCs w:val="24"/>
        </w:rPr>
        <w:t>6</w:t>
      </w:r>
      <w:r>
        <w:rPr>
          <w:rFonts w:cs="Arial"/>
          <w:color w:val="000000"/>
          <w:szCs w:val="24"/>
        </w:rPr>
        <w:tab/>
      </w:r>
      <w:r w:rsidR="00C324C1">
        <w:rPr>
          <w:rFonts w:cs="Arial"/>
        </w:rPr>
        <w:t>The difficult question of whether I am technically bound by Africa AJ</w:t>
      </w:r>
      <w:r w:rsidR="00AD3E03">
        <w:rPr>
          <w:rFonts w:cs="Arial"/>
        </w:rPr>
        <w:t>’s</w:t>
      </w:r>
      <w:r w:rsidR="00C324C1">
        <w:rPr>
          <w:rFonts w:cs="Arial"/>
        </w:rPr>
        <w:t xml:space="preserve"> and Moosa J’s assumptions rather than their explicit conclusions, can and should be avoided by referring </w:t>
      </w:r>
      <w:r w:rsidR="009F14FC" w:rsidRPr="00C324C1">
        <w:rPr>
          <w:rFonts w:cs="Arial"/>
        </w:rPr>
        <w:t xml:space="preserve">the rescission application </w:t>
      </w:r>
      <w:r w:rsidR="00C324C1">
        <w:rPr>
          <w:rFonts w:cs="Arial"/>
        </w:rPr>
        <w:t>to</w:t>
      </w:r>
      <w:r w:rsidR="009F14FC" w:rsidRPr="00C324C1">
        <w:rPr>
          <w:rFonts w:cs="Arial"/>
        </w:rPr>
        <w:t xml:space="preserve"> a Full Court. </w:t>
      </w:r>
      <w:r w:rsidR="00C324C1">
        <w:rPr>
          <w:rFonts w:cs="Arial"/>
        </w:rPr>
        <w:t xml:space="preserve">That is what I intend to do. </w:t>
      </w:r>
    </w:p>
    <w:p w14:paraId="2A15EAE7" w14:textId="4FA3A7A2" w:rsidR="00C324C1" w:rsidRDefault="000F4C34" w:rsidP="000F4C34">
      <w:pPr>
        <w:pStyle w:val="Paragraph12pt"/>
        <w:tabs>
          <w:tab w:val="left" w:pos="851"/>
        </w:tabs>
        <w:ind w:left="851" w:hanging="851"/>
        <w:rPr>
          <w:rFonts w:cs="Arial"/>
        </w:rPr>
      </w:pPr>
      <w:r>
        <w:rPr>
          <w:rFonts w:cs="Arial"/>
          <w:color w:val="000000"/>
          <w:szCs w:val="24"/>
        </w:rPr>
        <w:t>7</w:t>
      </w:r>
      <w:r>
        <w:rPr>
          <w:rFonts w:cs="Arial"/>
          <w:color w:val="000000"/>
          <w:szCs w:val="24"/>
        </w:rPr>
        <w:tab/>
      </w:r>
      <w:r w:rsidR="00C324C1">
        <w:rPr>
          <w:rFonts w:cs="Arial"/>
        </w:rPr>
        <w:t>Obviously, given that Mr. Lund has raised arguable grounds for rescission, and that his incarceration pending the Full Court hearing would cause him irreparable harm, the suspension I placed on the Africa AJ</w:t>
      </w:r>
      <w:r w:rsidR="00B50B7F">
        <w:rPr>
          <w:rFonts w:cs="Arial"/>
        </w:rPr>
        <w:t>’s</w:t>
      </w:r>
      <w:r w:rsidR="00C324C1">
        <w:rPr>
          <w:rFonts w:cs="Arial"/>
        </w:rPr>
        <w:t xml:space="preserve"> and Moosa J’s order should remain in place until the rescission application is finally determined. </w:t>
      </w:r>
    </w:p>
    <w:p w14:paraId="77587322" w14:textId="0CA74676" w:rsidR="00C324C1" w:rsidRPr="00C324C1" w:rsidRDefault="00C324C1" w:rsidP="00C324C1">
      <w:pPr>
        <w:pStyle w:val="Paragraph12pt"/>
        <w:rPr>
          <w:rFonts w:cs="Arial"/>
          <w:b/>
        </w:rPr>
      </w:pPr>
      <w:r w:rsidRPr="00C324C1">
        <w:rPr>
          <w:rFonts w:cs="Arial"/>
          <w:b/>
        </w:rPr>
        <w:t>Order</w:t>
      </w:r>
    </w:p>
    <w:p w14:paraId="3D59CD4F" w14:textId="3F558A33" w:rsidR="00C324C1" w:rsidRDefault="000F4C34" w:rsidP="000F4C34">
      <w:pPr>
        <w:pStyle w:val="Paragraph12pt"/>
        <w:tabs>
          <w:tab w:val="left" w:pos="851"/>
        </w:tabs>
        <w:ind w:left="851" w:hanging="851"/>
        <w:rPr>
          <w:rFonts w:cs="Arial"/>
        </w:rPr>
      </w:pPr>
      <w:r>
        <w:rPr>
          <w:rFonts w:cs="Arial"/>
          <w:color w:val="000000"/>
          <w:szCs w:val="24"/>
        </w:rPr>
        <w:t>8</w:t>
      </w:r>
      <w:r>
        <w:rPr>
          <w:rFonts w:cs="Arial"/>
          <w:color w:val="000000"/>
          <w:szCs w:val="24"/>
        </w:rPr>
        <w:tab/>
      </w:r>
      <w:r w:rsidR="00C324C1">
        <w:rPr>
          <w:rFonts w:cs="Arial"/>
        </w:rPr>
        <w:t>Accordingly –</w:t>
      </w:r>
    </w:p>
    <w:p w14:paraId="5046D277" w14:textId="1A6C145A" w:rsidR="00C324C1" w:rsidRDefault="000F4C34" w:rsidP="000F4C34">
      <w:pPr>
        <w:pStyle w:val="Paragraph12pt"/>
        <w:tabs>
          <w:tab w:val="left" w:pos="1814"/>
        </w:tabs>
        <w:ind w:left="1814" w:hanging="963"/>
        <w:rPr>
          <w:rFonts w:cs="Arial"/>
        </w:rPr>
      </w:pPr>
      <w:r>
        <w:rPr>
          <w:rFonts w:cs="Arial"/>
        </w:rPr>
        <w:t>8.1</w:t>
      </w:r>
      <w:r>
        <w:rPr>
          <w:rFonts w:cs="Arial"/>
        </w:rPr>
        <w:tab/>
      </w:r>
      <w:r w:rsidR="00C324C1">
        <w:rPr>
          <w:rFonts w:cs="Arial"/>
        </w:rPr>
        <w:t>The rescission application is referred to Full Court of this Division.</w:t>
      </w:r>
    </w:p>
    <w:p w14:paraId="6EACDB0E" w14:textId="08ED809F" w:rsidR="00C324C1" w:rsidRPr="008A2FCD" w:rsidRDefault="000F4C34" w:rsidP="000F4C34">
      <w:pPr>
        <w:pStyle w:val="Paragraph12pt"/>
        <w:tabs>
          <w:tab w:val="left" w:pos="1814"/>
        </w:tabs>
        <w:ind w:left="1814" w:hanging="963"/>
      </w:pPr>
      <w:r w:rsidRPr="008A2FCD">
        <w:t>8.2</w:t>
      </w:r>
      <w:r w:rsidRPr="008A2FCD">
        <w:tab/>
      </w:r>
      <w:r w:rsidR="00C324C1">
        <w:t xml:space="preserve">Paragraphs 1 and 2 of the order of Moosa J and Africa AJ made under case number R14/2023 remain suspended until the rescission application is finally determined. </w:t>
      </w:r>
    </w:p>
    <w:p w14:paraId="45CF11E5" w14:textId="3467B091" w:rsidR="00C324C1" w:rsidRPr="00C324C1" w:rsidRDefault="000F4C34" w:rsidP="000F4C34">
      <w:pPr>
        <w:pStyle w:val="Paragraph12pt"/>
        <w:tabs>
          <w:tab w:val="left" w:pos="1814"/>
        </w:tabs>
        <w:ind w:left="1814" w:hanging="963"/>
        <w:rPr>
          <w:rFonts w:cs="Arial"/>
        </w:rPr>
      </w:pPr>
      <w:r w:rsidRPr="00C324C1">
        <w:rPr>
          <w:rFonts w:cs="Arial"/>
        </w:rPr>
        <w:lastRenderedPageBreak/>
        <w:t>8.3</w:t>
      </w:r>
      <w:r w:rsidRPr="00C324C1">
        <w:rPr>
          <w:rFonts w:cs="Arial"/>
        </w:rPr>
        <w:tab/>
      </w:r>
      <w:r w:rsidR="00C324C1">
        <w:rPr>
          <w:rFonts w:cs="Arial"/>
        </w:rPr>
        <w:t xml:space="preserve">The costs of the urgent application are reserved. </w:t>
      </w:r>
    </w:p>
    <w:p w14:paraId="1A19F2FB" w14:textId="14E47F0B" w:rsidR="00EA6B7E" w:rsidRPr="005F55A1" w:rsidRDefault="005F55A1" w:rsidP="000A49EA">
      <w:pPr>
        <w:pStyle w:val="ListParagraph"/>
        <w:spacing w:before="240" w:after="360" w:line="480" w:lineRule="auto"/>
        <w:ind w:left="1814"/>
        <w:jc w:val="both"/>
        <w:rPr>
          <w:rFonts w:ascii="Arial" w:hAnsi="Arial" w:cs="Arial"/>
        </w:rPr>
      </w:pPr>
      <w:r w:rsidRPr="005F55A1">
        <w:rPr>
          <w:rFonts w:ascii="Arial" w:hAnsi="Arial" w:cs="Arial"/>
        </w:rPr>
        <w:t xml:space="preserve"> </w:t>
      </w:r>
    </w:p>
    <w:p w14:paraId="2FFE60A2" w14:textId="05275249" w:rsidR="00FE593E" w:rsidRDefault="00FE593E" w:rsidP="003E5957">
      <w:pPr>
        <w:pStyle w:val="Paragraph12pt"/>
        <w:spacing w:after="0"/>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21605095" w14:textId="35073D1A" w:rsidR="000315F7" w:rsidRDefault="0004799B" w:rsidP="004F6A2D">
      <w:pPr>
        <w:pStyle w:val="Paragraph12pt"/>
        <w:spacing w:after="0" w:line="240" w:lineRule="auto"/>
        <w:ind w:left="3600" w:hanging="3600"/>
        <w:jc w:val="left"/>
      </w:pPr>
      <w:r>
        <w:t>HEARD ON:</w:t>
      </w:r>
      <w:r>
        <w:tab/>
      </w:r>
      <w:r w:rsidR="000A49EA">
        <w:t>19</w:t>
      </w:r>
      <w:r w:rsidR="00104CBB">
        <w:t xml:space="preserve"> </w:t>
      </w:r>
      <w:r w:rsidR="00840B4E">
        <w:t>September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587FF732" w:rsidR="00B06BF0" w:rsidRDefault="00104CBB" w:rsidP="00A31389">
      <w:pPr>
        <w:pStyle w:val="Paragraph12pt"/>
        <w:spacing w:after="0" w:line="240" w:lineRule="auto"/>
        <w:jc w:val="left"/>
      </w:pPr>
      <w:r>
        <w:t>DECIDED ON</w:t>
      </w:r>
      <w:r w:rsidR="00B06BF0">
        <w:t>:</w:t>
      </w:r>
      <w:r w:rsidR="00B06BF0">
        <w:tab/>
      </w:r>
      <w:r w:rsidR="00B06BF0">
        <w:tab/>
      </w:r>
      <w:r w:rsidR="00B06BF0">
        <w:tab/>
      </w:r>
      <w:r w:rsidR="000A49EA">
        <w:t>6</w:t>
      </w:r>
      <w:r w:rsidR="00B06BF0">
        <w:t xml:space="preserve"> </w:t>
      </w:r>
      <w:r w:rsidR="00840B4E">
        <w:t>October</w:t>
      </w:r>
      <w:r w:rsidR="00B06BF0">
        <w:t xml:space="preserve"> 2023</w:t>
      </w:r>
    </w:p>
    <w:p w14:paraId="0D0089FF" w14:textId="77777777" w:rsidR="004F4C87" w:rsidRDefault="004F4C87" w:rsidP="006210A1">
      <w:pPr>
        <w:pStyle w:val="Paragraph12pt"/>
        <w:spacing w:after="0" w:line="240" w:lineRule="auto"/>
        <w:jc w:val="left"/>
      </w:pPr>
    </w:p>
    <w:p w14:paraId="100A9876" w14:textId="05B88170" w:rsidR="00840B4E" w:rsidRDefault="0051403A" w:rsidP="006210A1">
      <w:pPr>
        <w:pStyle w:val="Paragraph12pt"/>
        <w:spacing w:after="0" w:line="240" w:lineRule="auto"/>
        <w:jc w:val="left"/>
      </w:pPr>
      <w:r>
        <w:t>For the</w:t>
      </w:r>
      <w:r w:rsidR="00226B2D">
        <w:t xml:space="preserve"> </w:t>
      </w:r>
      <w:r w:rsidR="006210A1">
        <w:t>Applicant</w:t>
      </w:r>
      <w:r>
        <w:t xml:space="preserve">: </w:t>
      </w:r>
      <w:r>
        <w:tab/>
      </w:r>
      <w:r>
        <w:tab/>
      </w:r>
      <w:r>
        <w:tab/>
      </w:r>
      <w:r w:rsidR="000A49EA">
        <w:t>JP Spangenberg</w:t>
      </w:r>
    </w:p>
    <w:p w14:paraId="6AEAAC50" w14:textId="54DE3ED5" w:rsidR="006210A1" w:rsidRDefault="006210A1" w:rsidP="0004799B">
      <w:pPr>
        <w:pStyle w:val="Paragraph12pt"/>
        <w:spacing w:after="0" w:line="240" w:lineRule="auto"/>
        <w:ind w:left="3600"/>
        <w:jc w:val="left"/>
      </w:pPr>
      <w:r>
        <w:t xml:space="preserve">Instructed by </w:t>
      </w:r>
      <w:r w:rsidR="000A49EA">
        <w:t>Spangenberg Attorneys</w:t>
      </w:r>
    </w:p>
    <w:p w14:paraId="4B3EBF8B" w14:textId="77777777" w:rsidR="000F77C7" w:rsidRDefault="000F77C7" w:rsidP="00B06BF0">
      <w:pPr>
        <w:pStyle w:val="Paragraph12pt"/>
        <w:spacing w:after="0" w:line="240" w:lineRule="auto"/>
        <w:jc w:val="left"/>
      </w:pPr>
    </w:p>
    <w:p w14:paraId="2F1B8BBA" w14:textId="038AA6B7" w:rsidR="00FA5D44" w:rsidRDefault="000F77C7" w:rsidP="006210A1">
      <w:pPr>
        <w:pStyle w:val="Paragraph12pt"/>
        <w:spacing w:after="0" w:line="240" w:lineRule="auto"/>
        <w:jc w:val="left"/>
      </w:pPr>
      <w:r>
        <w:t>For the</w:t>
      </w:r>
      <w:r w:rsidR="006C1853">
        <w:t xml:space="preserve"> </w:t>
      </w:r>
      <w:r w:rsidR="0024496A">
        <w:t xml:space="preserve">First </w:t>
      </w:r>
      <w:r w:rsidR="006C1853">
        <w:t>Respondent:</w:t>
      </w:r>
      <w:r w:rsidR="00FA5D44">
        <w:tab/>
      </w:r>
      <w:r w:rsidR="00FA5D44">
        <w:tab/>
      </w:r>
      <w:r w:rsidR="000A49EA">
        <w:t>E le Roux</w:t>
      </w:r>
    </w:p>
    <w:p w14:paraId="19D00031" w14:textId="1FD0683F" w:rsidR="000F77C7" w:rsidRDefault="006C1853" w:rsidP="00B06BF0">
      <w:pPr>
        <w:pStyle w:val="Paragraph12pt"/>
        <w:spacing w:after="0" w:line="240" w:lineRule="auto"/>
        <w:jc w:val="left"/>
      </w:pPr>
      <w:r>
        <w:tab/>
      </w:r>
      <w:r>
        <w:tab/>
      </w:r>
      <w:r w:rsidR="001A3CEE">
        <w:tab/>
      </w:r>
      <w:r w:rsidR="00C61E71">
        <w:tab/>
      </w:r>
      <w:r w:rsidR="00FA5D44">
        <w:tab/>
      </w:r>
      <w:r w:rsidR="0004799B">
        <w:t>I</w:t>
      </w:r>
      <w:r w:rsidR="006210A1">
        <w:t xml:space="preserve">nstructed by </w:t>
      </w:r>
      <w:r w:rsidR="000A49EA">
        <w:t>the National Prosecuting Authority</w:t>
      </w:r>
    </w:p>
    <w:p w14:paraId="39C8156A" w14:textId="77777777" w:rsidR="0024496A" w:rsidRDefault="0024496A" w:rsidP="00B06BF0">
      <w:pPr>
        <w:pStyle w:val="Paragraph12pt"/>
        <w:spacing w:after="0" w:line="240" w:lineRule="auto"/>
        <w:jc w:val="left"/>
      </w:pPr>
    </w:p>
    <w:sectPr w:rsidR="0024496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04E2" w14:textId="77777777" w:rsidR="004732AB" w:rsidRDefault="004732AB" w:rsidP="00023136">
      <w:r>
        <w:separator/>
      </w:r>
    </w:p>
  </w:endnote>
  <w:endnote w:type="continuationSeparator" w:id="0">
    <w:p w14:paraId="18A27CD8" w14:textId="77777777" w:rsidR="004732AB" w:rsidRDefault="004732AB"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356F07F5"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F4C34">
          <w:rPr>
            <w:noProof/>
            <w:sz w:val="24"/>
            <w:szCs w:val="24"/>
          </w:rPr>
          <w:t>4</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395D" w14:textId="77777777" w:rsidR="004732AB" w:rsidRDefault="004732AB" w:rsidP="00023136">
      <w:r>
        <w:separator/>
      </w:r>
    </w:p>
  </w:footnote>
  <w:footnote w:type="continuationSeparator" w:id="0">
    <w:p w14:paraId="725FF98E" w14:textId="77777777" w:rsidR="004732AB" w:rsidRDefault="004732AB"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2F6C"/>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4E8F"/>
    <w:rsid w:val="0009563B"/>
    <w:rsid w:val="0009673F"/>
    <w:rsid w:val="00097961"/>
    <w:rsid w:val="000A002D"/>
    <w:rsid w:val="000A108F"/>
    <w:rsid w:val="000A17A7"/>
    <w:rsid w:val="000A2F1E"/>
    <w:rsid w:val="000A346F"/>
    <w:rsid w:val="000A49EA"/>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C34"/>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45D45"/>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2AB"/>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5038F"/>
    <w:rsid w:val="00551283"/>
    <w:rsid w:val="00551750"/>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E70F1"/>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EBD"/>
    <w:rsid w:val="007B2D51"/>
    <w:rsid w:val="007B3D57"/>
    <w:rsid w:val="007B4E46"/>
    <w:rsid w:val="007B5277"/>
    <w:rsid w:val="007B5296"/>
    <w:rsid w:val="007B5EE5"/>
    <w:rsid w:val="007B683A"/>
    <w:rsid w:val="007B7B1B"/>
    <w:rsid w:val="007C0693"/>
    <w:rsid w:val="007C088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33D"/>
    <w:rsid w:val="009B3638"/>
    <w:rsid w:val="009B3C66"/>
    <w:rsid w:val="009B3F8C"/>
    <w:rsid w:val="009B5239"/>
    <w:rsid w:val="009B77CA"/>
    <w:rsid w:val="009C0043"/>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619C-23C9-49A4-A7D5-57961F21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Mary Bruce</cp:lastModifiedBy>
  <cp:revision>3</cp:revision>
  <cp:lastPrinted>2023-10-05T13:11:00Z</cp:lastPrinted>
  <dcterms:created xsi:type="dcterms:W3CDTF">2023-10-06T12:37:00Z</dcterms:created>
  <dcterms:modified xsi:type="dcterms:W3CDTF">2023-10-06T14:06:00Z</dcterms:modified>
</cp:coreProperties>
</file>