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09055" w14:textId="77777777" w:rsidR="00276CF8" w:rsidRPr="00F82393" w:rsidRDefault="00E63594" w:rsidP="00CE7A9B">
      <w:pPr>
        <w:spacing w:after="0" w:line="360" w:lineRule="auto"/>
        <w:jc w:val="center"/>
        <w:rPr>
          <w:rFonts w:ascii="Arial" w:hAnsi="Arial" w:cs="Arial"/>
          <w:b/>
          <w:noProof/>
          <w:sz w:val="24"/>
          <w:szCs w:val="24"/>
          <w:lang w:eastAsia="en-ZA"/>
        </w:rPr>
      </w:pPr>
      <w:bookmarkStart w:id="0" w:name="_GoBack"/>
      <w:bookmarkEnd w:id="0"/>
      <w:r>
        <w:rPr>
          <w:rFonts w:ascii="Arial" w:hAnsi="Arial" w:cs="Arial"/>
          <w:b/>
          <w:noProof/>
          <w:sz w:val="24"/>
          <w:szCs w:val="24"/>
          <w:lang w:eastAsia="en-ZA"/>
        </w:rPr>
        <w:drawing>
          <wp:inline distT="0" distB="0" distL="0" distR="0" wp14:anchorId="5D866D67" wp14:editId="091FEFF9">
            <wp:extent cx="5734050" cy="2260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4050" cy="2260600"/>
                    </a:xfrm>
                    <a:prstGeom prst="rect">
                      <a:avLst/>
                    </a:prstGeom>
                    <a:noFill/>
                  </pic:spPr>
                </pic:pic>
              </a:graphicData>
            </a:graphic>
          </wp:inline>
        </w:drawing>
      </w:r>
    </w:p>
    <w:p w14:paraId="79FDE464" w14:textId="77777777" w:rsidR="00276CF8" w:rsidRPr="00F82393" w:rsidRDefault="00E63594" w:rsidP="00CE7A9B">
      <w:pPr>
        <w:spacing w:after="0" w:line="360" w:lineRule="auto"/>
        <w:jc w:val="center"/>
        <w:rPr>
          <w:rFonts w:ascii="Arial" w:hAnsi="Arial" w:cs="Arial"/>
          <w:b/>
          <w:noProof/>
          <w:sz w:val="24"/>
          <w:szCs w:val="24"/>
          <w:lang w:eastAsia="en-ZA"/>
        </w:rPr>
      </w:pPr>
      <w:r w:rsidRPr="00F82393">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2945D7FC" wp14:editId="777B9EAF">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14:paraId="177AB93A" w14:textId="77777777" w:rsidR="00276CF8" w:rsidRPr="00913F95" w:rsidRDefault="00276CF8" w:rsidP="00276CF8">
                            <w:pPr>
                              <w:jc w:val="center"/>
                              <w:rPr>
                                <w:rFonts w:ascii="Century Gothic" w:hAnsi="Century Gothic"/>
                                <w:b/>
                                <w:sz w:val="20"/>
                                <w:szCs w:val="20"/>
                              </w:rPr>
                            </w:pPr>
                          </w:p>
                          <w:p w14:paraId="5A20A2E9" w14:textId="316FE4B8" w:rsidR="00276CF8" w:rsidRDefault="00114A8B" w:rsidP="00114A8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E63594" w:rsidRPr="00913F95">
                              <w:rPr>
                                <w:rFonts w:ascii="Century Gothic" w:hAnsi="Century Gothic"/>
                                <w:sz w:val="20"/>
                                <w:szCs w:val="20"/>
                              </w:rPr>
                              <w:t xml:space="preserve">REPORTABLE: </w:t>
                            </w:r>
                            <w:r w:rsidR="00F2174E">
                              <w:rPr>
                                <w:rFonts w:ascii="Century Gothic" w:hAnsi="Century Gothic"/>
                                <w:sz w:val="20"/>
                                <w:szCs w:val="20"/>
                              </w:rPr>
                              <w:t xml:space="preserve"> </w:t>
                            </w:r>
                            <w:r w:rsidR="00570F91">
                              <w:rPr>
                                <w:rFonts w:ascii="Century Gothic" w:hAnsi="Century Gothic"/>
                                <w:b/>
                                <w:sz w:val="20"/>
                                <w:szCs w:val="20"/>
                              </w:rPr>
                              <w:t>NO</w:t>
                            </w:r>
                          </w:p>
                          <w:p w14:paraId="3116B15E" w14:textId="6F6FDCA0" w:rsidR="00276CF8" w:rsidRPr="00913F95" w:rsidRDefault="00114A8B" w:rsidP="00114A8B">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E63594" w:rsidRPr="00913F95">
                              <w:rPr>
                                <w:rFonts w:ascii="Century Gothic" w:hAnsi="Century Gothic"/>
                                <w:sz w:val="20"/>
                                <w:szCs w:val="20"/>
                              </w:rPr>
                              <w:t xml:space="preserve">OF INTEREST TO OTHER JUDGES: </w:t>
                            </w:r>
                            <w:r w:rsidR="00E63594" w:rsidRPr="00570F91">
                              <w:rPr>
                                <w:rFonts w:ascii="Century Gothic" w:hAnsi="Century Gothic"/>
                                <w:b/>
                                <w:sz w:val="20"/>
                                <w:szCs w:val="20"/>
                              </w:rPr>
                              <w:t>NO</w:t>
                            </w:r>
                          </w:p>
                          <w:p w14:paraId="4E9F2C21" w14:textId="1CE3EFB6" w:rsidR="00276CF8" w:rsidRPr="00913F95" w:rsidRDefault="00114A8B" w:rsidP="00114A8B">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E63594" w:rsidRPr="007A2810">
                              <w:rPr>
                                <w:rFonts w:ascii="Century Gothic" w:hAnsi="Century Gothic"/>
                                <w:sz w:val="20"/>
                                <w:szCs w:val="20"/>
                              </w:rPr>
                              <w:t>REVISED.</w:t>
                            </w:r>
                            <w:r w:rsidR="00E63594">
                              <w:rPr>
                                <w:rFonts w:ascii="Century Gothic" w:hAnsi="Century Gothic"/>
                                <w:sz w:val="20"/>
                                <w:szCs w:val="20"/>
                              </w:rPr>
                              <w:t xml:space="preserve"> </w:t>
                            </w:r>
                          </w:p>
                          <w:p w14:paraId="4B6CC4AE" w14:textId="77777777" w:rsidR="00276CF8" w:rsidRDefault="00276CF8" w:rsidP="00276CF8">
                            <w:pPr>
                              <w:rPr>
                                <w:rFonts w:ascii="Century Gothic" w:hAnsi="Century Gothic"/>
                                <w:b/>
                                <w:sz w:val="18"/>
                                <w:szCs w:val="18"/>
                              </w:rPr>
                            </w:pPr>
                          </w:p>
                          <w:p w14:paraId="26C2271F" w14:textId="77777777" w:rsidR="00276CF8" w:rsidRPr="00084341" w:rsidRDefault="00E63594"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16396EC" w14:textId="77777777" w:rsidR="00276CF8" w:rsidRPr="00084341" w:rsidRDefault="00E63594"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2945D7FC"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">
                <v:textbox>
                  <w:txbxContent>
                    <w:p w14:paraId="177AB93A" w14:textId="77777777" w:rsidR="00276CF8" w:rsidRPr="00913F95" w:rsidRDefault="00276CF8" w:rsidP="00276CF8">
                      <w:pPr>
                        <w:jc w:val="center"/>
                        <w:rPr>
                          <w:rFonts w:ascii="Century Gothic" w:hAnsi="Century Gothic"/>
                          <w:b/>
                          <w:sz w:val="20"/>
                          <w:szCs w:val="20"/>
                        </w:rPr>
                      </w:pPr>
                    </w:p>
                    <w:p w14:paraId="5A20A2E9" w14:textId="316FE4B8" w:rsidR="00276CF8" w:rsidRDefault="00114A8B" w:rsidP="00114A8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E63594" w:rsidRPr="00913F95">
                        <w:rPr>
                          <w:rFonts w:ascii="Century Gothic" w:hAnsi="Century Gothic"/>
                          <w:sz w:val="20"/>
                          <w:szCs w:val="20"/>
                        </w:rPr>
                        <w:t xml:space="preserve">REPORTABLE: </w:t>
                      </w:r>
                      <w:r w:rsidR="00F2174E">
                        <w:rPr>
                          <w:rFonts w:ascii="Century Gothic" w:hAnsi="Century Gothic"/>
                          <w:sz w:val="20"/>
                          <w:szCs w:val="20"/>
                        </w:rPr>
                        <w:t xml:space="preserve"> </w:t>
                      </w:r>
                      <w:r w:rsidR="00570F91">
                        <w:rPr>
                          <w:rFonts w:ascii="Century Gothic" w:hAnsi="Century Gothic"/>
                          <w:b/>
                          <w:sz w:val="20"/>
                          <w:szCs w:val="20"/>
                        </w:rPr>
                        <w:t>NO</w:t>
                      </w:r>
                    </w:p>
                    <w:p w14:paraId="3116B15E" w14:textId="6F6FDCA0" w:rsidR="00276CF8" w:rsidRPr="00913F95" w:rsidRDefault="00114A8B" w:rsidP="00114A8B">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E63594" w:rsidRPr="00913F95">
                        <w:rPr>
                          <w:rFonts w:ascii="Century Gothic" w:hAnsi="Century Gothic"/>
                          <w:sz w:val="20"/>
                          <w:szCs w:val="20"/>
                        </w:rPr>
                        <w:t xml:space="preserve">OF INTEREST TO OTHER JUDGES: </w:t>
                      </w:r>
                      <w:r w:rsidR="00E63594" w:rsidRPr="00570F91">
                        <w:rPr>
                          <w:rFonts w:ascii="Century Gothic" w:hAnsi="Century Gothic"/>
                          <w:b/>
                          <w:sz w:val="20"/>
                          <w:szCs w:val="20"/>
                        </w:rPr>
                        <w:t>NO</w:t>
                      </w:r>
                    </w:p>
                    <w:p w14:paraId="4E9F2C21" w14:textId="1CE3EFB6" w:rsidR="00276CF8" w:rsidRPr="00913F95" w:rsidRDefault="00114A8B" w:rsidP="00114A8B">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E63594" w:rsidRPr="007A2810">
                        <w:rPr>
                          <w:rFonts w:ascii="Century Gothic" w:hAnsi="Century Gothic"/>
                          <w:sz w:val="20"/>
                          <w:szCs w:val="20"/>
                        </w:rPr>
                        <w:t>REVISED.</w:t>
                      </w:r>
                      <w:r w:rsidR="00E63594">
                        <w:rPr>
                          <w:rFonts w:ascii="Century Gothic" w:hAnsi="Century Gothic"/>
                          <w:sz w:val="20"/>
                          <w:szCs w:val="20"/>
                        </w:rPr>
                        <w:t xml:space="preserve"> </w:t>
                      </w:r>
                    </w:p>
                    <w:p w14:paraId="4B6CC4AE" w14:textId="77777777" w:rsidR="00276CF8" w:rsidRDefault="00276CF8" w:rsidP="00276CF8">
                      <w:pPr>
                        <w:rPr>
                          <w:rFonts w:ascii="Century Gothic" w:hAnsi="Century Gothic"/>
                          <w:b/>
                          <w:sz w:val="18"/>
                          <w:szCs w:val="18"/>
                        </w:rPr>
                      </w:pPr>
                    </w:p>
                    <w:p w14:paraId="26C2271F" w14:textId="77777777" w:rsidR="00276CF8" w:rsidRPr="00084341" w:rsidRDefault="00E63594"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16396EC" w14:textId="77777777" w:rsidR="00276CF8" w:rsidRPr="00084341" w:rsidRDefault="00E63594"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1C2FD687" w14:textId="77777777" w:rsidR="00276CF8" w:rsidRPr="00F82393" w:rsidRDefault="00276CF8" w:rsidP="00CE7A9B">
      <w:pPr>
        <w:spacing w:after="0" w:line="360" w:lineRule="auto"/>
        <w:jc w:val="center"/>
        <w:rPr>
          <w:rFonts w:ascii="Arial" w:hAnsi="Arial" w:cs="Arial"/>
          <w:b/>
          <w:noProof/>
          <w:sz w:val="24"/>
          <w:szCs w:val="24"/>
          <w:lang w:eastAsia="en-ZA"/>
        </w:rPr>
      </w:pPr>
    </w:p>
    <w:p w14:paraId="7245B8CE" w14:textId="77777777" w:rsidR="00276CF8" w:rsidRPr="00F82393" w:rsidRDefault="00276CF8" w:rsidP="00CE7A9B">
      <w:pPr>
        <w:spacing w:after="0" w:line="360" w:lineRule="auto"/>
        <w:jc w:val="center"/>
        <w:rPr>
          <w:rFonts w:ascii="Arial" w:hAnsi="Arial" w:cs="Arial"/>
          <w:b/>
          <w:noProof/>
          <w:sz w:val="24"/>
          <w:szCs w:val="24"/>
          <w:lang w:eastAsia="en-ZA"/>
        </w:rPr>
      </w:pPr>
    </w:p>
    <w:p w14:paraId="77CFA6C7" w14:textId="77777777" w:rsidR="00276CF8" w:rsidRPr="00F82393" w:rsidRDefault="00276CF8" w:rsidP="00CE7A9B">
      <w:pPr>
        <w:spacing w:after="0" w:line="360" w:lineRule="auto"/>
        <w:jc w:val="both"/>
        <w:rPr>
          <w:rFonts w:ascii="Arial" w:hAnsi="Arial" w:cs="Arial"/>
          <w:noProof/>
          <w:sz w:val="24"/>
          <w:szCs w:val="24"/>
          <w:lang w:eastAsia="en-ZA"/>
        </w:rPr>
      </w:pPr>
    </w:p>
    <w:p w14:paraId="743E0884" w14:textId="77777777" w:rsidR="00276CF8" w:rsidRPr="00F82393" w:rsidRDefault="00276CF8" w:rsidP="00CE7A9B">
      <w:pPr>
        <w:spacing w:after="0" w:line="360" w:lineRule="auto"/>
        <w:jc w:val="both"/>
        <w:rPr>
          <w:rFonts w:ascii="Arial" w:hAnsi="Arial" w:cs="Arial"/>
          <w:noProof/>
          <w:sz w:val="24"/>
          <w:szCs w:val="24"/>
          <w:lang w:eastAsia="en-ZA"/>
        </w:rPr>
      </w:pPr>
    </w:p>
    <w:p w14:paraId="0AD9A345" w14:textId="77777777" w:rsidR="00276CF8" w:rsidRPr="00F82393" w:rsidRDefault="00276CF8" w:rsidP="00CE7A9B">
      <w:pPr>
        <w:spacing w:after="0" w:line="360" w:lineRule="auto"/>
        <w:jc w:val="both"/>
        <w:rPr>
          <w:rFonts w:ascii="Arial" w:hAnsi="Arial" w:cs="Arial"/>
          <w:noProof/>
          <w:sz w:val="24"/>
          <w:szCs w:val="24"/>
          <w:lang w:eastAsia="en-ZA"/>
        </w:rPr>
      </w:pPr>
    </w:p>
    <w:p w14:paraId="5A595685" w14:textId="77777777" w:rsidR="00276CF8" w:rsidRPr="00F82393" w:rsidRDefault="00276CF8" w:rsidP="00CE7A9B">
      <w:pPr>
        <w:spacing w:after="0" w:line="360" w:lineRule="auto"/>
        <w:jc w:val="center"/>
        <w:rPr>
          <w:rFonts w:ascii="Arial" w:hAnsi="Arial" w:cs="Arial"/>
          <w:sz w:val="24"/>
          <w:szCs w:val="24"/>
        </w:rPr>
      </w:pPr>
    </w:p>
    <w:p w14:paraId="30591EF5" w14:textId="77777777" w:rsidR="00EF1DCC" w:rsidRPr="00D87D87" w:rsidRDefault="00E63594" w:rsidP="0024382B">
      <w:pPr>
        <w:tabs>
          <w:tab w:val="left" w:pos="3000"/>
        </w:tabs>
        <w:spacing w:after="0" w:line="360" w:lineRule="auto"/>
        <w:ind w:firstLine="1985"/>
        <w:rPr>
          <w:rFonts w:ascii="Arial" w:hAnsi="Arial" w:cs="Arial"/>
          <w:b/>
          <w:sz w:val="24"/>
          <w:szCs w:val="24"/>
        </w:rPr>
      </w:pP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0024382B">
        <w:rPr>
          <w:rFonts w:ascii="Arial" w:hAnsi="Arial" w:cs="Arial"/>
          <w:sz w:val="24"/>
          <w:szCs w:val="24"/>
        </w:rPr>
        <w:tab/>
      </w:r>
      <w:r w:rsidR="0024382B">
        <w:rPr>
          <w:rFonts w:ascii="Arial" w:hAnsi="Arial" w:cs="Arial"/>
          <w:sz w:val="24"/>
          <w:szCs w:val="24"/>
        </w:rPr>
        <w:tab/>
      </w:r>
      <w:r w:rsidR="0024382B">
        <w:rPr>
          <w:rFonts w:ascii="Arial" w:hAnsi="Arial" w:cs="Arial"/>
          <w:sz w:val="24"/>
          <w:szCs w:val="24"/>
        </w:rPr>
        <w:tab/>
      </w:r>
      <w:r w:rsidR="001454D5" w:rsidRPr="00D87D87">
        <w:rPr>
          <w:rFonts w:ascii="Arial" w:hAnsi="Arial" w:cs="Arial"/>
          <w:sz w:val="24"/>
          <w:szCs w:val="24"/>
        </w:rPr>
        <w:t>Case no.</w:t>
      </w:r>
      <w:r w:rsidR="005378E5" w:rsidRPr="00D87D87">
        <w:rPr>
          <w:rFonts w:ascii="Arial" w:hAnsi="Arial" w:cs="Arial"/>
          <w:b/>
          <w:bCs/>
          <w:sz w:val="24"/>
          <w:szCs w:val="24"/>
        </w:rPr>
        <w:t>:</w:t>
      </w:r>
      <w:r w:rsidR="00570F91" w:rsidRPr="00D87D87">
        <w:rPr>
          <w:rFonts w:ascii="Arial" w:eastAsia="Times New Roman" w:hAnsi="Arial" w:cs="Arial"/>
          <w:b/>
          <w:bCs/>
          <w:sz w:val="20"/>
          <w:szCs w:val="20"/>
          <w:lang w:val="de-DE"/>
        </w:rPr>
        <w:t xml:space="preserve"> </w:t>
      </w:r>
      <w:r w:rsidR="00F0625D">
        <w:rPr>
          <w:rFonts w:ascii="Arial" w:hAnsi="Arial" w:cs="Arial"/>
          <w:b/>
          <w:bCs/>
          <w:sz w:val="24"/>
          <w:szCs w:val="24"/>
          <w:lang w:val="de-DE"/>
        </w:rPr>
        <w:t>37332</w:t>
      </w:r>
      <w:r w:rsidR="007A73CC">
        <w:rPr>
          <w:rFonts w:ascii="Arial" w:hAnsi="Arial" w:cs="Arial"/>
          <w:b/>
          <w:bCs/>
          <w:sz w:val="24"/>
          <w:szCs w:val="24"/>
          <w:lang w:val="de-DE"/>
        </w:rPr>
        <w:t>/</w:t>
      </w:r>
      <w:r w:rsidR="00FA76CA">
        <w:rPr>
          <w:rFonts w:ascii="Arial" w:hAnsi="Arial" w:cs="Arial"/>
          <w:b/>
          <w:bCs/>
          <w:sz w:val="24"/>
          <w:szCs w:val="24"/>
          <w:lang w:val="de-DE"/>
        </w:rPr>
        <w:t>18</w:t>
      </w:r>
      <w:r w:rsidRPr="00D87D87">
        <w:rPr>
          <w:rFonts w:ascii="Arial" w:hAnsi="Arial" w:cs="Arial"/>
          <w:b/>
          <w:sz w:val="24"/>
          <w:szCs w:val="24"/>
        </w:rPr>
        <w:tab/>
      </w:r>
      <w:r w:rsidRPr="00D87D87">
        <w:rPr>
          <w:rFonts w:ascii="Arial" w:hAnsi="Arial" w:cs="Arial"/>
          <w:b/>
          <w:sz w:val="24"/>
          <w:szCs w:val="24"/>
        </w:rPr>
        <w:tab/>
      </w:r>
      <w:r w:rsidRPr="00D87D87">
        <w:rPr>
          <w:rFonts w:ascii="Arial" w:hAnsi="Arial" w:cs="Arial"/>
          <w:b/>
          <w:sz w:val="24"/>
          <w:szCs w:val="24"/>
        </w:rPr>
        <w:tab/>
      </w:r>
      <w:r w:rsidRPr="00D87D87">
        <w:rPr>
          <w:rFonts w:ascii="Arial" w:hAnsi="Arial" w:cs="Arial"/>
          <w:b/>
          <w:sz w:val="24"/>
          <w:szCs w:val="24"/>
        </w:rPr>
        <w:tab/>
      </w:r>
      <w:r w:rsidRPr="00D87D87">
        <w:rPr>
          <w:rFonts w:ascii="Arial" w:hAnsi="Arial" w:cs="Arial"/>
          <w:b/>
          <w:sz w:val="24"/>
          <w:szCs w:val="24"/>
        </w:rPr>
        <w:tab/>
      </w:r>
      <w:r w:rsidRPr="00D87D87">
        <w:rPr>
          <w:rFonts w:ascii="Arial" w:hAnsi="Arial" w:cs="Arial"/>
          <w:b/>
          <w:sz w:val="24"/>
          <w:szCs w:val="24"/>
        </w:rPr>
        <w:tab/>
      </w:r>
    </w:p>
    <w:p w14:paraId="66057365" w14:textId="77777777" w:rsidR="00DA6EE6" w:rsidRDefault="00E63594" w:rsidP="00CE7A9B">
      <w:pPr>
        <w:spacing w:after="0" w:line="360" w:lineRule="auto"/>
        <w:jc w:val="both"/>
        <w:rPr>
          <w:rFonts w:ascii="Arial" w:hAnsi="Arial" w:cs="Arial"/>
          <w:sz w:val="24"/>
          <w:szCs w:val="24"/>
        </w:rPr>
      </w:pPr>
      <w:r w:rsidRPr="00D87D87">
        <w:rPr>
          <w:rFonts w:ascii="Arial" w:hAnsi="Arial" w:cs="Arial"/>
          <w:sz w:val="24"/>
          <w:szCs w:val="24"/>
        </w:rPr>
        <w:t>In the matter between:</w:t>
      </w:r>
    </w:p>
    <w:p w14:paraId="7A28D416" w14:textId="77777777" w:rsidR="008B18D7" w:rsidRPr="00D87D87" w:rsidRDefault="008B18D7" w:rsidP="00CE7A9B">
      <w:pPr>
        <w:spacing w:after="0" w:line="360" w:lineRule="auto"/>
        <w:jc w:val="both"/>
        <w:rPr>
          <w:rFonts w:ascii="Arial" w:hAnsi="Arial" w:cs="Arial"/>
          <w:sz w:val="24"/>
          <w:szCs w:val="24"/>
        </w:rPr>
      </w:pPr>
    </w:p>
    <w:tbl>
      <w:tblPr>
        <w:tblStyle w:val="TableGrid"/>
        <w:tblpPr w:leftFromText="180" w:rightFromText="180" w:vertAnchor="text" w:horzAnchor="margin" w:tblpX="-142" w:tblpY="170"/>
        <w:tblW w:w="50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9"/>
        <w:gridCol w:w="2930"/>
      </w:tblGrid>
      <w:tr w:rsidR="00DB607C" w14:paraId="3DBDFA47" w14:textId="77777777" w:rsidTr="00CE7A9B">
        <w:tc>
          <w:tcPr>
            <w:tcW w:w="3402" w:type="pct"/>
            <w:hideMark/>
          </w:tcPr>
          <w:p w14:paraId="0B5D4D80" w14:textId="77777777" w:rsidR="00C13FA9" w:rsidRDefault="00E63594" w:rsidP="000F0090">
            <w:pPr>
              <w:spacing w:line="360" w:lineRule="auto"/>
              <w:ind w:left="-110"/>
              <w:rPr>
                <w:rFonts w:ascii="Arial" w:hAnsi="Arial" w:cs="Arial"/>
                <w:b/>
                <w:bCs/>
                <w:sz w:val="24"/>
                <w:szCs w:val="24"/>
                <w:lang w:val="en-GB"/>
              </w:rPr>
            </w:pPr>
            <w:r>
              <w:rPr>
                <w:rFonts w:ascii="Arial" w:hAnsi="Arial" w:cs="Arial"/>
                <w:b/>
                <w:bCs/>
                <w:sz w:val="24"/>
                <w:szCs w:val="24"/>
                <w:lang w:val="en-GB"/>
              </w:rPr>
              <w:t>DEVELOPMENT BANK OF SA</w:t>
            </w:r>
          </w:p>
          <w:p w14:paraId="1572E492" w14:textId="77777777" w:rsidR="008B18D7" w:rsidRDefault="008B18D7" w:rsidP="008B18D7">
            <w:pPr>
              <w:spacing w:line="360" w:lineRule="auto"/>
              <w:ind w:left="-110"/>
              <w:rPr>
                <w:rFonts w:ascii="Arial" w:hAnsi="Arial" w:cs="Arial"/>
                <w:b/>
                <w:bCs/>
                <w:sz w:val="24"/>
                <w:szCs w:val="24"/>
                <w:lang w:val="en-GB"/>
              </w:rPr>
            </w:pPr>
          </w:p>
          <w:p w14:paraId="73B769F0" w14:textId="77777777" w:rsidR="008B18D7" w:rsidRDefault="00E63594" w:rsidP="008B18D7">
            <w:pPr>
              <w:spacing w:line="360" w:lineRule="auto"/>
              <w:ind w:left="-110"/>
              <w:rPr>
                <w:rFonts w:ascii="Arial" w:hAnsi="Arial" w:cs="Arial"/>
                <w:b/>
                <w:bCs/>
                <w:sz w:val="24"/>
                <w:szCs w:val="24"/>
                <w:lang w:val="en-GB"/>
              </w:rPr>
            </w:pPr>
            <w:r>
              <w:rPr>
                <w:rFonts w:ascii="Arial" w:hAnsi="Arial" w:cs="Arial"/>
                <w:b/>
                <w:bCs/>
                <w:sz w:val="24"/>
                <w:szCs w:val="24"/>
                <w:lang w:val="en-GB"/>
              </w:rPr>
              <w:t>And</w:t>
            </w:r>
          </w:p>
          <w:p w14:paraId="5E67FF2B" w14:textId="77777777" w:rsidR="008B18D7" w:rsidRDefault="008B18D7" w:rsidP="008B18D7">
            <w:pPr>
              <w:spacing w:line="360" w:lineRule="auto"/>
              <w:ind w:left="-110"/>
              <w:rPr>
                <w:rFonts w:ascii="Arial" w:hAnsi="Arial" w:cs="Arial"/>
                <w:b/>
                <w:bCs/>
                <w:sz w:val="24"/>
                <w:szCs w:val="24"/>
                <w:lang w:val="en-GB"/>
              </w:rPr>
            </w:pPr>
          </w:p>
          <w:p w14:paraId="56B4EC83" w14:textId="77777777" w:rsidR="000F0090" w:rsidRDefault="00E63594" w:rsidP="00FA76CA">
            <w:pPr>
              <w:spacing w:line="360" w:lineRule="auto"/>
              <w:ind w:left="-110"/>
              <w:rPr>
                <w:rFonts w:ascii="Arial" w:hAnsi="Arial" w:cs="Arial"/>
                <w:b/>
                <w:bCs/>
                <w:sz w:val="24"/>
                <w:szCs w:val="24"/>
                <w:lang w:val="en-GB"/>
              </w:rPr>
            </w:pPr>
            <w:r>
              <w:rPr>
                <w:rFonts w:ascii="Arial" w:hAnsi="Arial" w:cs="Arial"/>
                <w:b/>
                <w:bCs/>
                <w:sz w:val="24"/>
                <w:szCs w:val="24"/>
                <w:lang w:val="en-GB"/>
              </w:rPr>
              <w:t>FUSION GUARANTEE (PTY) LTD</w:t>
            </w:r>
          </w:p>
          <w:p w14:paraId="75E239E6" w14:textId="77777777" w:rsidR="000F0090" w:rsidRDefault="000F0090" w:rsidP="008B18D7">
            <w:pPr>
              <w:spacing w:line="360" w:lineRule="auto"/>
              <w:rPr>
                <w:rFonts w:ascii="Arial" w:hAnsi="Arial" w:cs="Arial"/>
                <w:b/>
                <w:bCs/>
                <w:sz w:val="24"/>
                <w:szCs w:val="24"/>
                <w:lang w:val="en-GB"/>
              </w:rPr>
            </w:pPr>
          </w:p>
          <w:p w14:paraId="02D4245E" w14:textId="77777777" w:rsidR="008B18D7" w:rsidRPr="008B18D7" w:rsidRDefault="00E63594" w:rsidP="00FA76CA">
            <w:pPr>
              <w:spacing w:line="360" w:lineRule="auto"/>
              <w:ind w:left="-110"/>
              <w:rPr>
                <w:rFonts w:ascii="Arial" w:hAnsi="Arial" w:cs="Arial"/>
                <w:b/>
                <w:bCs/>
                <w:sz w:val="24"/>
                <w:szCs w:val="24"/>
                <w:lang w:val="en-GB"/>
              </w:rPr>
            </w:pPr>
            <w:r>
              <w:rPr>
                <w:rFonts w:ascii="Arial" w:hAnsi="Arial" w:cs="Arial"/>
                <w:b/>
                <w:bCs/>
                <w:sz w:val="24"/>
                <w:szCs w:val="24"/>
                <w:lang w:val="en-GB"/>
              </w:rPr>
              <w:t xml:space="preserve">REITY TRADING ENTERPRISE CC.                                                                                                                                                                                                                                                   </w:t>
            </w:r>
          </w:p>
        </w:tc>
        <w:tc>
          <w:tcPr>
            <w:tcW w:w="1598" w:type="pct"/>
            <w:hideMark/>
          </w:tcPr>
          <w:p w14:paraId="1F83EEB6" w14:textId="77777777" w:rsidR="00394EAF" w:rsidRPr="00D87D87" w:rsidRDefault="00E63594" w:rsidP="0024382B">
            <w:pPr>
              <w:spacing w:line="360" w:lineRule="auto"/>
              <w:ind w:left="29" w:firstLine="142"/>
              <w:rPr>
                <w:rFonts w:ascii="Arial" w:hAnsi="Arial" w:cs="Arial"/>
                <w:bCs/>
                <w:sz w:val="24"/>
                <w:szCs w:val="24"/>
              </w:rPr>
            </w:pPr>
            <w:r>
              <w:rPr>
                <w:rFonts w:ascii="Arial" w:hAnsi="Arial" w:cs="Arial"/>
                <w:bCs/>
                <w:sz w:val="24"/>
                <w:szCs w:val="24"/>
              </w:rPr>
              <w:t xml:space="preserve"> </w:t>
            </w:r>
            <w:r w:rsidR="0024382B">
              <w:rPr>
                <w:rFonts w:ascii="Arial" w:hAnsi="Arial" w:cs="Arial"/>
                <w:bCs/>
                <w:sz w:val="24"/>
                <w:szCs w:val="24"/>
              </w:rPr>
              <w:t xml:space="preserve"> </w:t>
            </w:r>
            <w:r>
              <w:rPr>
                <w:rFonts w:ascii="Arial" w:hAnsi="Arial" w:cs="Arial"/>
                <w:bCs/>
                <w:sz w:val="24"/>
                <w:szCs w:val="24"/>
              </w:rPr>
              <w:t>P</w:t>
            </w:r>
            <w:r w:rsidR="00D31DA8">
              <w:rPr>
                <w:rFonts w:ascii="Arial" w:hAnsi="Arial" w:cs="Arial"/>
                <w:bCs/>
                <w:sz w:val="24"/>
                <w:szCs w:val="24"/>
              </w:rPr>
              <w:t>LAINTIFF</w:t>
            </w:r>
          </w:p>
          <w:p w14:paraId="23697751" w14:textId="77777777" w:rsidR="00CE7A9B" w:rsidRPr="00D87D87" w:rsidRDefault="00E63594" w:rsidP="008B18D7">
            <w:pPr>
              <w:spacing w:line="360" w:lineRule="auto"/>
              <w:rPr>
                <w:rFonts w:ascii="Arial" w:hAnsi="Arial" w:cs="Arial"/>
                <w:bCs/>
                <w:sz w:val="24"/>
                <w:szCs w:val="24"/>
              </w:rPr>
            </w:pPr>
            <w:r w:rsidRPr="00D87D87">
              <w:rPr>
                <w:rFonts w:ascii="Arial" w:hAnsi="Arial" w:cs="Arial"/>
                <w:bCs/>
                <w:sz w:val="24"/>
                <w:szCs w:val="24"/>
              </w:rPr>
              <w:t xml:space="preserve"> </w:t>
            </w:r>
          </w:p>
          <w:p w14:paraId="20131593" w14:textId="77777777" w:rsidR="008B18D7" w:rsidRDefault="008B18D7" w:rsidP="008B18D7">
            <w:pPr>
              <w:spacing w:line="360" w:lineRule="auto"/>
              <w:jc w:val="center"/>
              <w:rPr>
                <w:rFonts w:ascii="Arial" w:hAnsi="Arial" w:cs="Arial"/>
                <w:bCs/>
                <w:sz w:val="24"/>
                <w:szCs w:val="24"/>
              </w:rPr>
            </w:pPr>
          </w:p>
          <w:p w14:paraId="172F7641" w14:textId="77777777" w:rsidR="008B18D7" w:rsidRDefault="008B18D7" w:rsidP="008B18D7">
            <w:pPr>
              <w:spacing w:line="360" w:lineRule="auto"/>
              <w:jc w:val="center"/>
              <w:rPr>
                <w:rFonts w:ascii="Arial" w:hAnsi="Arial" w:cs="Arial"/>
                <w:bCs/>
                <w:sz w:val="24"/>
                <w:szCs w:val="24"/>
              </w:rPr>
            </w:pPr>
          </w:p>
          <w:p w14:paraId="12D86AE4" w14:textId="77777777" w:rsidR="000F0090" w:rsidRDefault="00E63594" w:rsidP="0024382B">
            <w:pPr>
              <w:spacing w:line="360" w:lineRule="auto"/>
              <w:ind w:firstLine="171"/>
              <w:rPr>
                <w:rFonts w:ascii="Arial" w:hAnsi="Arial" w:cs="Arial"/>
                <w:bCs/>
                <w:sz w:val="24"/>
                <w:szCs w:val="24"/>
              </w:rPr>
            </w:pPr>
            <w:r>
              <w:rPr>
                <w:rFonts w:ascii="Arial" w:hAnsi="Arial" w:cs="Arial"/>
                <w:bCs/>
                <w:sz w:val="24"/>
                <w:szCs w:val="24"/>
              </w:rPr>
              <w:t xml:space="preserve"> </w:t>
            </w:r>
            <w:r w:rsidR="0024382B">
              <w:rPr>
                <w:rFonts w:ascii="Arial" w:hAnsi="Arial" w:cs="Arial"/>
                <w:bCs/>
                <w:sz w:val="24"/>
                <w:szCs w:val="24"/>
              </w:rPr>
              <w:t xml:space="preserve"> </w:t>
            </w:r>
            <w:r>
              <w:rPr>
                <w:rFonts w:ascii="Arial" w:hAnsi="Arial" w:cs="Arial"/>
                <w:bCs/>
                <w:sz w:val="24"/>
                <w:szCs w:val="24"/>
              </w:rPr>
              <w:t>1</w:t>
            </w:r>
            <w:r w:rsidRPr="000F0090">
              <w:rPr>
                <w:rFonts w:ascii="Arial" w:hAnsi="Arial" w:cs="Arial"/>
                <w:bCs/>
                <w:sz w:val="24"/>
                <w:szCs w:val="24"/>
                <w:vertAlign w:val="superscript"/>
              </w:rPr>
              <w:t>st</w:t>
            </w:r>
            <w:r>
              <w:rPr>
                <w:rFonts w:ascii="Arial" w:hAnsi="Arial" w:cs="Arial"/>
                <w:bCs/>
                <w:sz w:val="24"/>
                <w:szCs w:val="24"/>
              </w:rPr>
              <w:t xml:space="preserve"> DEFENDANT</w:t>
            </w:r>
          </w:p>
          <w:p w14:paraId="1389670D" w14:textId="77777777" w:rsidR="008B18D7" w:rsidRDefault="008B18D7" w:rsidP="008B18D7">
            <w:pPr>
              <w:spacing w:line="360" w:lineRule="auto"/>
              <w:rPr>
                <w:rFonts w:ascii="Arial" w:hAnsi="Arial" w:cs="Arial"/>
                <w:bCs/>
                <w:sz w:val="24"/>
                <w:szCs w:val="24"/>
              </w:rPr>
            </w:pPr>
          </w:p>
          <w:p w14:paraId="1943165F" w14:textId="77777777" w:rsidR="00DA6EE6" w:rsidRPr="00D87D87" w:rsidRDefault="00E63594" w:rsidP="0024382B">
            <w:pPr>
              <w:spacing w:line="360" w:lineRule="auto"/>
              <w:ind w:firstLine="313"/>
              <w:rPr>
                <w:rFonts w:ascii="Arial" w:hAnsi="Arial" w:cs="Arial"/>
                <w:bCs/>
                <w:sz w:val="24"/>
                <w:szCs w:val="24"/>
              </w:rPr>
            </w:pPr>
            <w:r>
              <w:rPr>
                <w:rFonts w:ascii="Arial" w:hAnsi="Arial" w:cs="Arial"/>
                <w:bCs/>
                <w:sz w:val="24"/>
                <w:szCs w:val="24"/>
              </w:rPr>
              <w:t>2</w:t>
            </w:r>
            <w:r w:rsidR="00FA76CA" w:rsidRPr="00FA76CA">
              <w:rPr>
                <w:rFonts w:ascii="Arial" w:hAnsi="Arial" w:cs="Arial"/>
                <w:bCs/>
                <w:sz w:val="24"/>
                <w:szCs w:val="24"/>
                <w:vertAlign w:val="superscript"/>
              </w:rPr>
              <w:t>nd</w:t>
            </w:r>
            <w:r>
              <w:rPr>
                <w:rFonts w:ascii="Arial" w:hAnsi="Arial" w:cs="Arial"/>
                <w:bCs/>
                <w:sz w:val="24"/>
                <w:szCs w:val="24"/>
              </w:rPr>
              <w:t xml:space="preserve"> DEFENDANT</w:t>
            </w:r>
            <w:r w:rsidR="00A60895" w:rsidRPr="00D87D87">
              <w:rPr>
                <w:rFonts w:ascii="Arial" w:hAnsi="Arial" w:cs="Arial"/>
                <w:bCs/>
                <w:sz w:val="24"/>
                <w:szCs w:val="24"/>
              </w:rPr>
              <w:t xml:space="preserve">  </w:t>
            </w:r>
          </w:p>
        </w:tc>
      </w:tr>
      <w:tr w:rsidR="00DB607C" w14:paraId="0D3AEACC" w14:textId="77777777" w:rsidTr="00CE7A9B">
        <w:tc>
          <w:tcPr>
            <w:tcW w:w="3402" w:type="pct"/>
          </w:tcPr>
          <w:p w14:paraId="3C373F60" w14:textId="77777777" w:rsidR="00394EAF" w:rsidRPr="00D87D87" w:rsidRDefault="00394EAF" w:rsidP="00CE7A9B">
            <w:pPr>
              <w:spacing w:line="360" w:lineRule="auto"/>
              <w:rPr>
                <w:rFonts w:ascii="Arial" w:hAnsi="Arial" w:cs="Arial"/>
                <w:b/>
                <w:bCs/>
                <w:sz w:val="24"/>
                <w:szCs w:val="24"/>
                <w:lang w:val="en-GB"/>
              </w:rPr>
            </w:pPr>
          </w:p>
        </w:tc>
        <w:tc>
          <w:tcPr>
            <w:tcW w:w="1598" w:type="pct"/>
          </w:tcPr>
          <w:p w14:paraId="2E870797" w14:textId="77777777" w:rsidR="00394EAF" w:rsidRPr="00D87D87" w:rsidRDefault="00394EAF" w:rsidP="008B18D7">
            <w:pPr>
              <w:spacing w:line="360" w:lineRule="auto"/>
              <w:rPr>
                <w:rFonts w:ascii="Arial" w:hAnsi="Arial" w:cs="Arial"/>
                <w:bCs/>
                <w:sz w:val="24"/>
                <w:szCs w:val="24"/>
              </w:rPr>
            </w:pPr>
          </w:p>
        </w:tc>
      </w:tr>
      <w:tr w:rsidR="00DB607C" w14:paraId="20808D8D" w14:textId="77777777" w:rsidTr="00CE7A9B">
        <w:tc>
          <w:tcPr>
            <w:tcW w:w="3402" w:type="pct"/>
          </w:tcPr>
          <w:p w14:paraId="284E5DC4" w14:textId="77777777" w:rsidR="00DA6EE6" w:rsidRPr="00D87D87" w:rsidRDefault="00DA6EE6" w:rsidP="008B18D7">
            <w:pPr>
              <w:spacing w:line="360" w:lineRule="auto"/>
              <w:jc w:val="both"/>
              <w:rPr>
                <w:rFonts w:ascii="Arial" w:hAnsi="Arial" w:cs="Arial"/>
                <w:bCs/>
                <w:sz w:val="24"/>
                <w:szCs w:val="24"/>
              </w:rPr>
            </w:pPr>
          </w:p>
          <w:p w14:paraId="616FF0E2" w14:textId="77777777" w:rsidR="00C92C6D" w:rsidRPr="00D87D87" w:rsidRDefault="00C92C6D" w:rsidP="00CE7A9B">
            <w:pPr>
              <w:spacing w:line="360" w:lineRule="auto"/>
              <w:jc w:val="both"/>
              <w:rPr>
                <w:rFonts w:ascii="Arial" w:hAnsi="Arial" w:cs="Arial"/>
                <w:bCs/>
                <w:sz w:val="24"/>
                <w:szCs w:val="24"/>
              </w:rPr>
            </w:pPr>
          </w:p>
        </w:tc>
        <w:tc>
          <w:tcPr>
            <w:tcW w:w="1598" w:type="pct"/>
            <w:hideMark/>
          </w:tcPr>
          <w:p w14:paraId="1E78EF49" w14:textId="77777777" w:rsidR="00DA6EE6" w:rsidRPr="00D87D87" w:rsidRDefault="00DA6EE6" w:rsidP="00CE7A9B">
            <w:pPr>
              <w:spacing w:line="360" w:lineRule="auto"/>
              <w:jc w:val="both"/>
              <w:rPr>
                <w:rFonts w:ascii="Arial" w:hAnsi="Arial" w:cs="Arial"/>
                <w:bCs/>
                <w:sz w:val="24"/>
                <w:szCs w:val="24"/>
              </w:rPr>
            </w:pPr>
          </w:p>
        </w:tc>
      </w:tr>
      <w:tr w:rsidR="00DB607C" w14:paraId="68C8E1B2" w14:textId="77777777" w:rsidTr="00CE7A9B">
        <w:trPr>
          <w:trHeight w:val="1164"/>
        </w:trPr>
        <w:tc>
          <w:tcPr>
            <w:tcW w:w="3402" w:type="pct"/>
          </w:tcPr>
          <w:p w14:paraId="7EC31F61" w14:textId="77777777" w:rsidR="00CE7A9B" w:rsidRPr="00D87D87" w:rsidRDefault="00CE7A9B" w:rsidP="008B18D7">
            <w:pPr>
              <w:spacing w:line="360" w:lineRule="auto"/>
              <w:rPr>
                <w:rFonts w:ascii="Arial" w:hAnsi="Arial" w:cs="Arial"/>
                <w:b/>
                <w:bCs/>
                <w:sz w:val="24"/>
                <w:szCs w:val="24"/>
                <w:lang w:val="en-US"/>
              </w:rPr>
            </w:pPr>
          </w:p>
          <w:p w14:paraId="1E97BF2E" w14:textId="77777777" w:rsidR="00CE7A9B" w:rsidRPr="00D87D87" w:rsidRDefault="00CE7A9B" w:rsidP="008B18D7">
            <w:pPr>
              <w:spacing w:line="360" w:lineRule="auto"/>
              <w:rPr>
                <w:rFonts w:ascii="Arial" w:hAnsi="Arial" w:cs="Arial"/>
                <w:sz w:val="24"/>
                <w:szCs w:val="24"/>
              </w:rPr>
            </w:pPr>
          </w:p>
          <w:p w14:paraId="3E8E13C3" w14:textId="77777777" w:rsidR="005378E5" w:rsidRPr="00D87D87" w:rsidRDefault="005378E5" w:rsidP="00CE7A9B">
            <w:pPr>
              <w:spacing w:line="360" w:lineRule="auto"/>
              <w:rPr>
                <w:rFonts w:ascii="Arial" w:hAnsi="Arial" w:cs="Arial"/>
                <w:sz w:val="24"/>
                <w:szCs w:val="24"/>
              </w:rPr>
            </w:pPr>
          </w:p>
        </w:tc>
        <w:tc>
          <w:tcPr>
            <w:tcW w:w="1598" w:type="pct"/>
          </w:tcPr>
          <w:p w14:paraId="6B9907B0" w14:textId="77777777" w:rsidR="0026549D" w:rsidRPr="00D87D87" w:rsidRDefault="00E63594" w:rsidP="008B18D7">
            <w:pPr>
              <w:spacing w:line="360" w:lineRule="auto"/>
              <w:jc w:val="right"/>
              <w:rPr>
                <w:rFonts w:ascii="Arial" w:hAnsi="Arial" w:cs="Arial"/>
                <w:bCs/>
                <w:sz w:val="24"/>
                <w:szCs w:val="24"/>
              </w:rPr>
            </w:pPr>
            <w:r w:rsidRPr="00D87D87">
              <w:rPr>
                <w:rFonts w:ascii="Arial" w:hAnsi="Arial" w:cs="Arial"/>
                <w:bCs/>
                <w:sz w:val="24"/>
                <w:szCs w:val="24"/>
              </w:rPr>
              <w:t xml:space="preserve">    </w:t>
            </w:r>
          </w:p>
        </w:tc>
      </w:tr>
    </w:tbl>
    <w:p w14:paraId="7D87661E" w14:textId="77777777" w:rsidR="00CE7A9B" w:rsidRPr="00D87D87" w:rsidRDefault="00CE7A9B" w:rsidP="00CE7A9B">
      <w:pPr>
        <w:spacing w:after="0" w:line="360" w:lineRule="auto"/>
        <w:jc w:val="both"/>
        <w:rPr>
          <w:rFonts w:ascii="Arial" w:hAnsi="Arial" w:cs="Arial"/>
          <w:sz w:val="24"/>
          <w:szCs w:val="24"/>
        </w:rPr>
      </w:pPr>
    </w:p>
    <w:p w14:paraId="4E6581C9" w14:textId="77777777" w:rsidR="00276CF8" w:rsidRPr="00D87D87" w:rsidRDefault="00E63594" w:rsidP="00FA76CA">
      <w:pPr>
        <w:spacing w:after="0" w:line="360" w:lineRule="auto"/>
        <w:ind w:left="-142"/>
        <w:jc w:val="both"/>
        <w:rPr>
          <w:rFonts w:ascii="Arial" w:hAnsi="Arial" w:cs="Arial"/>
          <w:sz w:val="24"/>
          <w:szCs w:val="24"/>
        </w:rPr>
      </w:pPr>
      <w:r w:rsidRPr="00D87D87">
        <w:rPr>
          <w:rFonts w:ascii="Arial" w:hAnsi="Arial" w:cs="Arial"/>
          <w:sz w:val="24"/>
          <w:szCs w:val="24"/>
        </w:rPr>
        <w:t>Coram:</w:t>
      </w:r>
      <w:r w:rsidRPr="00D87D87">
        <w:rPr>
          <w:rFonts w:ascii="Arial" w:hAnsi="Arial" w:cs="Arial"/>
          <w:sz w:val="24"/>
          <w:szCs w:val="24"/>
        </w:rPr>
        <w:tab/>
      </w:r>
      <w:r w:rsidR="00EF1DCC" w:rsidRPr="00D87D87">
        <w:rPr>
          <w:rFonts w:ascii="Arial" w:hAnsi="Arial" w:cs="Arial"/>
          <w:sz w:val="24"/>
          <w:szCs w:val="24"/>
        </w:rPr>
        <w:tab/>
      </w:r>
      <w:r w:rsidR="00EF1DCC" w:rsidRPr="00D87D87">
        <w:rPr>
          <w:rFonts w:ascii="Arial" w:hAnsi="Arial" w:cs="Arial"/>
          <w:sz w:val="24"/>
          <w:szCs w:val="24"/>
        </w:rPr>
        <w:tab/>
      </w:r>
      <w:r w:rsidR="00CE7A9B" w:rsidRPr="00D87D87">
        <w:rPr>
          <w:rFonts w:ascii="Arial" w:hAnsi="Arial" w:cs="Arial"/>
          <w:sz w:val="24"/>
          <w:szCs w:val="24"/>
        </w:rPr>
        <w:tab/>
      </w:r>
      <w:r w:rsidR="00CE7A9B" w:rsidRPr="00D87D87">
        <w:rPr>
          <w:rFonts w:ascii="Arial" w:hAnsi="Arial" w:cs="Arial"/>
          <w:sz w:val="24"/>
          <w:szCs w:val="24"/>
        </w:rPr>
        <w:tab/>
      </w:r>
      <w:r w:rsidRPr="00D87D87">
        <w:rPr>
          <w:rFonts w:ascii="Arial" w:hAnsi="Arial" w:cs="Arial"/>
          <w:sz w:val="24"/>
          <w:szCs w:val="24"/>
        </w:rPr>
        <w:t xml:space="preserve">Dlamini J </w:t>
      </w:r>
    </w:p>
    <w:p w14:paraId="2730E3A6" w14:textId="77777777" w:rsidR="00212DB4" w:rsidRDefault="00E63594" w:rsidP="00CE7A9B">
      <w:pPr>
        <w:spacing w:after="0" w:line="360" w:lineRule="auto"/>
        <w:ind w:left="-142" w:hanging="3600"/>
        <w:jc w:val="both"/>
        <w:rPr>
          <w:rFonts w:ascii="Arial" w:hAnsi="Arial" w:cs="Arial"/>
          <w:sz w:val="24"/>
          <w:szCs w:val="24"/>
        </w:rPr>
      </w:pPr>
      <w:r>
        <w:rPr>
          <w:rFonts w:ascii="Arial" w:hAnsi="Arial" w:cs="Arial"/>
          <w:sz w:val="24"/>
          <w:szCs w:val="24"/>
        </w:rPr>
        <w:t>D</w:t>
      </w:r>
      <w:r w:rsidR="00CE7A9B" w:rsidRPr="00D87D87">
        <w:rPr>
          <w:rFonts w:ascii="Arial" w:hAnsi="Arial" w:cs="Arial"/>
          <w:sz w:val="24"/>
          <w:szCs w:val="24"/>
        </w:rPr>
        <w:t>ate of hearing:</w:t>
      </w:r>
      <w:r w:rsidR="00CE7A9B" w:rsidRPr="00D87D87">
        <w:rPr>
          <w:rFonts w:ascii="Arial" w:hAnsi="Arial" w:cs="Arial"/>
          <w:sz w:val="24"/>
          <w:szCs w:val="24"/>
        </w:rPr>
        <w:tab/>
      </w:r>
      <w:r w:rsidR="00CE7A9B" w:rsidRPr="00D87D87">
        <w:rPr>
          <w:rFonts w:ascii="Arial" w:hAnsi="Arial" w:cs="Arial"/>
          <w:sz w:val="24"/>
          <w:szCs w:val="24"/>
        </w:rPr>
        <w:tab/>
      </w:r>
    </w:p>
    <w:p w14:paraId="199A12CD" w14:textId="77777777" w:rsidR="00276CF8" w:rsidRPr="00D87D87" w:rsidRDefault="00E63594" w:rsidP="00CE7A9B">
      <w:pPr>
        <w:spacing w:after="0" w:line="360" w:lineRule="auto"/>
        <w:ind w:left="-142" w:hanging="3600"/>
        <w:jc w:val="both"/>
        <w:rPr>
          <w:rFonts w:ascii="Arial" w:hAnsi="Arial" w:cs="Arial"/>
          <w:sz w:val="24"/>
          <w:szCs w:val="24"/>
        </w:rPr>
      </w:pPr>
      <w:r w:rsidRPr="00D87D87">
        <w:rPr>
          <w:rFonts w:ascii="Arial" w:hAnsi="Arial" w:cs="Arial"/>
          <w:sz w:val="24"/>
          <w:szCs w:val="24"/>
        </w:rPr>
        <w:tab/>
      </w:r>
      <w:r w:rsidR="00212DB4">
        <w:rPr>
          <w:rFonts w:ascii="Arial" w:hAnsi="Arial" w:cs="Arial"/>
          <w:sz w:val="24"/>
          <w:szCs w:val="24"/>
        </w:rPr>
        <w:t>Date of hearing:</w:t>
      </w:r>
      <w:r w:rsidR="00FA76CA">
        <w:rPr>
          <w:rFonts w:ascii="Arial" w:hAnsi="Arial" w:cs="Arial"/>
          <w:sz w:val="24"/>
          <w:szCs w:val="24"/>
        </w:rPr>
        <w:tab/>
      </w:r>
      <w:r w:rsidR="00FA76CA">
        <w:rPr>
          <w:rFonts w:ascii="Arial" w:hAnsi="Arial" w:cs="Arial"/>
          <w:sz w:val="24"/>
          <w:szCs w:val="24"/>
        </w:rPr>
        <w:tab/>
      </w:r>
      <w:r w:rsidR="00FA76CA">
        <w:rPr>
          <w:rFonts w:ascii="Arial" w:hAnsi="Arial" w:cs="Arial"/>
          <w:sz w:val="24"/>
          <w:szCs w:val="24"/>
        </w:rPr>
        <w:tab/>
      </w:r>
      <w:r w:rsidR="00F0625D">
        <w:rPr>
          <w:rFonts w:ascii="Arial" w:hAnsi="Arial" w:cs="Arial"/>
          <w:sz w:val="24"/>
          <w:szCs w:val="24"/>
        </w:rPr>
        <w:t>1</w:t>
      </w:r>
      <w:r w:rsidR="00FA76CA">
        <w:rPr>
          <w:rFonts w:ascii="Arial" w:hAnsi="Arial" w:cs="Arial"/>
          <w:sz w:val="24"/>
          <w:szCs w:val="24"/>
        </w:rPr>
        <w:t>6</w:t>
      </w:r>
      <w:r w:rsidR="00F0625D">
        <w:rPr>
          <w:rFonts w:ascii="Arial" w:hAnsi="Arial" w:cs="Arial"/>
          <w:sz w:val="24"/>
          <w:szCs w:val="24"/>
        </w:rPr>
        <w:t xml:space="preserve"> August</w:t>
      </w:r>
      <w:r w:rsidR="008B18D7">
        <w:rPr>
          <w:rFonts w:ascii="Arial" w:hAnsi="Arial" w:cs="Arial"/>
          <w:sz w:val="24"/>
          <w:szCs w:val="24"/>
        </w:rPr>
        <w:t xml:space="preserve"> </w:t>
      </w:r>
      <w:r w:rsidRPr="00D87D87">
        <w:rPr>
          <w:rFonts w:ascii="Arial" w:hAnsi="Arial" w:cs="Arial"/>
          <w:sz w:val="24"/>
          <w:szCs w:val="24"/>
        </w:rPr>
        <w:t xml:space="preserve"> 202</w:t>
      </w:r>
      <w:r w:rsidR="00FA76CA">
        <w:rPr>
          <w:rFonts w:ascii="Arial" w:hAnsi="Arial" w:cs="Arial"/>
          <w:sz w:val="24"/>
          <w:szCs w:val="24"/>
        </w:rPr>
        <w:t>3</w:t>
      </w:r>
    </w:p>
    <w:p w14:paraId="46CFFE7D" w14:textId="77777777" w:rsidR="00276CF8" w:rsidRPr="00D87D87" w:rsidRDefault="00276CF8" w:rsidP="00CE7A9B">
      <w:pPr>
        <w:spacing w:after="0" w:line="360" w:lineRule="auto"/>
        <w:ind w:left="-142"/>
        <w:jc w:val="both"/>
        <w:rPr>
          <w:rFonts w:ascii="Arial" w:hAnsi="Arial" w:cs="Arial"/>
          <w:sz w:val="24"/>
          <w:szCs w:val="24"/>
        </w:rPr>
      </w:pPr>
    </w:p>
    <w:p w14:paraId="3462EE35" w14:textId="77777777" w:rsidR="00276CF8" w:rsidRPr="00D87D87" w:rsidRDefault="00E63594" w:rsidP="00CE7A9B">
      <w:pPr>
        <w:spacing w:after="0" w:line="360" w:lineRule="auto"/>
        <w:ind w:left="-142"/>
        <w:jc w:val="both"/>
        <w:rPr>
          <w:rFonts w:ascii="Arial" w:hAnsi="Arial" w:cs="Arial"/>
          <w:sz w:val="24"/>
          <w:szCs w:val="24"/>
        </w:rPr>
      </w:pPr>
      <w:r w:rsidRPr="00D87D87">
        <w:rPr>
          <w:rFonts w:ascii="Arial" w:hAnsi="Arial" w:cs="Arial"/>
          <w:sz w:val="24"/>
          <w:szCs w:val="24"/>
        </w:rPr>
        <w:t xml:space="preserve">Date of delivery of </w:t>
      </w:r>
      <w:r w:rsidR="00CE7A9B" w:rsidRPr="00D87D87">
        <w:rPr>
          <w:rFonts w:ascii="Arial" w:hAnsi="Arial" w:cs="Arial"/>
          <w:sz w:val="24"/>
          <w:szCs w:val="24"/>
        </w:rPr>
        <w:t>judgmen</w:t>
      </w:r>
      <w:r w:rsidR="00FA76CA">
        <w:rPr>
          <w:rFonts w:ascii="Arial" w:hAnsi="Arial" w:cs="Arial"/>
          <w:sz w:val="24"/>
          <w:szCs w:val="24"/>
        </w:rPr>
        <w:t>t:</w:t>
      </w:r>
      <w:r w:rsidR="00FA76CA">
        <w:rPr>
          <w:rFonts w:ascii="Arial" w:hAnsi="Arial" w:cs="Arial"/>
          <w:sz w:val="24"/>
          <w:szCs w:val="24"/>
        </w:rPr>
        <w:tab/>
      </w:r>
      <w:r w:rsidR="00AB3F14">
        <w:rPr>
          <w:rFonts w:ascii="Arial" w:hAnsi="Arial" w:cs="Arial"/>
          <w:sz w:val="24"/>
          <w:szCs w:val="24"/>
        </w:rPr>
        <w:t xml:space="preserve"> </w:t>
      </w:r>
      <w:r w:rsidR="00604BAC">
        <w:rPr>
          <w:rFonts w:ascii="Arial" w:hAnsi="Arial" w:cs="Arial"/>
          <w:sz w:val="24"/>
          <w:szCs w:val="24"/>
        </w:rPr>
        <w:t xml:space="preserve">6 October </w:t>
      </w:r>
      <w:r w:rsidR="0090131E" w:rsidRPr="00D87D87">
        <w:rPr>
          <w:rFonts w:ascii="Arial" w:hAnsi="Arial" w:cs="Arial"/>
          <w:sz w:val="24"/>
          <w:szCs w:val="24"/>
        </w:rPr>
        <w:t xml:space="preserve"> 20</w:t>
      </w:r>
      <w:r w:rsidR="00FA76CA">
        <w:rPr>
          <w:rFonts w:ascii="Arial" w:hAnsi="Arial" w:cs="Arial"/>
          <w:sz w:val="24"/>
          <w:szCs w:val="24"/>
        </w:rPr>
        <w:t>23</w:t>
      </w:r>
    </w:p>
    <w:p w14:paraId="52593734" w14:textId="77777777" w:rsidR="00276CF8" w:rsidRPr="00D87D87" w:rsidRDefault="00276CF8" w:rsidP="00CE7A9B">
      <w:pPr>
        <w:spacing w:after="0" w:line="360" w:lineRule="auto"/>
        <w:jc w:val="both"/>
        <w:rPr>
          <w:rFonts w:ascii="Arial" w:hAnsi="Arial" w:cs="Arial"/>
          <w:sz w:val="24"/>
          <w:szCs w:val="24"/>
        </w:rPr>
      </w:pPr>
    </w:p>
    <w:p w14:paraId="43A79876" w14:textId="77777777" w:rsidR="00FC1240" w:rsidRPr="00D87D87" w:rsidRDefault="00E63594" w:rsidP="00CE7A9B">
      <w:pPr>
        <w:spacing w:after="0" w:line="360" w:lineRule="auto"/>
        <w:ind w:left="-142"/>
        <w:jc w:val="both"/>
        <w:rPr>
          <w:rFonts w:ascii="Arial" w:hAnsi="Arial" w:cs="Arial"/>
          <w:sz w:val="24"/>
          <w:szCs w:val="24"/>
        </w:rPr>
      </w:pPr>
      <w:r w:rsidRPr="00D87D87">
        <w:rPr>
          <w:rFonts w:ascii="Arial" w:hAnsi="Arial" w:cs="Arial"/>
          <w:sz w:val="24"/>
          <w:szCs w:val="24"/>
        </w:rPr>
        <w:t>The Judgment is</w:t>
      </w:r>
      <w:r w:rsidR="00570F89" w:rsidRPr="00D87D87">
        <w:rPr>
          <w:rFonts w:ascii="Arial" w:hAnsi="Arial" w:cs="Arial"/>
          <w:sz w:val="24"/>
          <w:szCs w:val="24"/>
        </w:rPr>
        <w:t xml:space="preserve"> </w:t>
      </w:r>
      <w:r w:rsidR="003915CC" w:rsidRPr="00D87D87">
        <w:rPr>
          <w:rFonts w:ascii="Arial" w:hAnsi="Arial" w:cs="Arial"/>
          <w:sz w:val="24"/>
          <w:szCs w:val="24"/>
        </w:rPr>
        <w:t>deemed to have been delivered</w:t>
      </w:r>
      <w:r w:rsidR="00276CF8" w:rsidRPr="00D87D87">
        <w:rPr>
          <w:rFonts w:ascii="Arial" w:hAnsi="Arial" w:cs="Arial"/>
          <w:sz w:val="24"/>
          <w:szCs w:val="24"/>
        </w:rPr>
        <w:t xml:space="preserve"> electronically by circulation</w:t>
      </w:r>
      <w:r w:rsidR="00900FC5" w:rsidRPr="00D87D87">
        <w:rPr>
          <w:rFonts w:ascii="Arial" w:hAnsi="Arial" w:cs="Arial"/>
          <w:sz w:val="24"/>
          <w:szCs w:val="24"/>
        </w:rPr>
        <w:t xml:space="preserve"> to the parties’ representative</w:t>
      </w:r>
      <w:r w:rsidR="0090131E" w:rsidRPr="00D87D87">
        <w:rPr>
          <w:rFonts w:ascii="Arial" w:hAnsi="Arial" w:cs="Arial"/>
          <w:sz w:val="24"/>
          <w:szCs w:val="24"/>
        </w:rPr>
        <w:t>s</w:t>
      </w:r>
      <w:r w:rsidR="00276CF8" w:rsidRPr="00D87D87">
        <w:rPr>
          <w:rFonts w:ascii="Arial" w:hAnsi="Arial" w:cs="Arial"/>
          <w:sz w:val="24"/>
          <w:szCs w:val="24"/>
        </w:rPr>
        <w:t xml:space="preserve"> via email and</w:t>
      </w:r>
      <w:r w:rsidR="00900FC5" w:rsidRPr="00D87D87">
        <w:rPr>
          <w:rFonts w:ascii="Arial" w:hAnsi="Arial" w:cs="Arial"/>
          <w:sz w:val="24"/>
          <w:szCs w:val="24"/>
        </w:rPr>
        <w:t xml:space="preserve"> the same</w:t>
      </w:r>
      <w:r w:rsidR="00276CF8" w:rsidRPr="00D87D87">
        <w:rPr>
          <w:rFonts w:ascii="Arial" w:hAnsi="Arial" w:cs="Arial"/>
          <w:sz w:val="24"/>
          <w:szCs w:val="24"/>
        </w:rPr>
        <w:t xml:space="preserve"> </w:t>
      </w:r>
      <w:r w:rsidR="006E792C" w:rsidRPr="00D87D87">
        <w:rPr>
          <w:rFonts w:ascii="Arial" w:hAnsi="Arial" w:cs="Arial"/>
          <w:sz w:val="24"/>
          <w:szCs w:val="24"/>
        </w:rPr>
        <w:t xml:space="preserve">shall be </w:t>
      </w:r>
      <w:r w:rsidR="00276CF8" w:rsidRPr="00D87D87">
        <w:rPr>
          <w:rFonts w:ascii="Arial" w:hAnsi="Arial" w:cs="Arial"/>
          <w:sz w:val="24"/>
          <w:szCs w:val="24"/>
        </w:rPr>
        <w:t xml:space="preserve">uploaded onto </w:t>
      </w:r>
      <w:r w:rsidR="006E792C" w:rsidRPr="00D87D87">
        <w:rPr>
          <w:rFonts w:ascii="Arial" w:hAnsi="Arial" w:cs="Arial"/>
          <w:sz w:val="24"/>
          <w:szCs w:val="24"/>
        </w:rPr>
        <w:t xml:space="preserve">the </w:t>
      </w:r>
      <w:r w:rsidR="00276CF8" w:rsidRPr="00D87D87">
        <w:rPr>
          <w:rFonts w:ascii="Arial" w:hAnsi="Arial" w:cs="Arial"/>
          <w:sz w:val="24"/>
          <w:szCs w:val="24"/>
        </w:rPr>
        <w:t xml:space="preserve">caselines system. </w:t>
      </w:r>
    </w:p>
    <w:p w14:paraId="0F90C727" w14:textId="77777777" w:rsidR="00276CF8" w:rsidRPr="00D87D87" w:rsidRDefault="00276CF8" w:rsidP="00CE7A9B">
      <w:pPr>
        <w:pBdr>
          <w:bottom w:val="single" w:sz="12" w:space="1" w:color="auto"/>
        </w:pBdr>
        <w:spacing w:after="0" w:line="360" w:lineRule="auto"/>
        <w:jc w:val="both"/>
        <w:rPr>
          <w:rFonts w:ascii="Arial" w:hAnsi="Arial" w:cs="Arial"/>
          <w:sz w:val="24"/>
          <w:szCs w:val="24"/>
        </w:rPr>
      </w:pPr>
    </w:p>
    <w:p w14:paraId="4034E64E" w14:textId="77777777" w:rsidR="00276CF8" w:rsidRPr="00D87D87" w:rsidRDefault="00E63594" w:rsidP="00CE7A9B">
      <w:pPr>
        <w:spacing w:after="0" w:line="360" w:lineRule="auto"/>
        <w:jc w:val="both"/>
        <w:rPr>
          <w:rFonts w:ascii="Arial" w:hAnsi="Arial" w:cs="Arial"/>
          <w:sz w:val="24"/>
          <w:szCs w:val="24"/>
        </w:rPr>
      </w:pPr>
      <w:r w:rsidRPr="00D87D87">
        <w:rPr>
          <w:rFonts w:ascii="Arial" w:hAnsi="Arial" w:cs="Arial"/>
          <w:sz w:val="24"/>
          <w:szCs w:val="24"/>
        </w:rPr>
        <w:tab/>
      </w:r>
      <w:r w:rsidRPr="00D87D87">
        <w:rPr>
          <w:rFonts w:ascii="Arial" w:hAnsi="Arial" w:cs="Arial"/>
          <w:sz w:val="24"/>
          <w:szCs w:val="24"/>
        </w:rPr>
        <w:tab/>
      </w:r>
      <w:r w:rsidRPr="00D87D87">
        <w:rPr>
          <w:rFonts w:ascii="Arial" w:hAnsi="Arial" w:cs="Arial"/>
          <w:sz w:val="24"/>
          <w:szCs w:val="24"/>
        </w:rPr>
        <w:tab/>
      </w:r>
    </w:p>
    <w:p w14:paraId="48740E95" w14:textId="77777777" w:rsidR="00276CF8" w:rsidRPr="00D87D87" w:rsidRDefault="00E63594" w:rsidP="00CE7A9B">
      <w:pPr>
        <w:pBdr>
          <w:bottom w:val="single" w:sz="12" w:space="1" w:color="auto"/>
        </w:pBdr>
        <w:spacing w:after="0" w:line="360" w:lineRule="auto"/>
        <w:jc w:val="center"/>
        <w:rPr>
          <w:rFonts w:ascii="Arial" w:hAnsi="Arial" w:cs="Arial"/>
          <w:b/>
          <w:sz w:val="24"/>
          <w:szCs w:val="24"/>
        </w:rPr>
      </w:pPr>
      <w:r w:rsidRPr="00D87D87">
        <w:rPr>
          <w:rFonts w:ascii="Arial" w:hAnsi="Arial" w:cs="Arial"/>
          <w:b/>
          <w:sz w:val="24"/>
          <w:szCs w:val="24"/>
        </w:rPr>
        <w:t>JUDGMENT</w:t>
      </w:r>
    </w:p>
    <w:p w14:paraId="27605893" w14:textId="77777777" w:rsidR="00276CF8" w:rsidRPr="00D87D87" w:rsidRDefault="00276CF8" w:rsidP="00CE7A9B">
      <w:pPr>
        <w:pBdr>
          <w:bottom w:val="single" w:sz="12" w:space="1" w:color="auto"/>
        </w:pBdr>
        <w:spacing w:after="0" w:line="360" w:lineRule="auto"/>
        <w:rPr>
          <w:rFonts w:ascii="Arial" w:hAnsi="Arial" w:cs="Arial"/>
          <w:sz w:val="24"/>
          <w:szCs w:val="24"/>
        </w:rPr>
      </w:pPr>
    </w:p>
    <w:p w14:paraId="3632CF34" w14:textId="77777777" w:rsidR="00276CF8" w:rsidRPr="00D87D87" w:rsidRDefault="00276CF8" w:rsidP="00CE7A9B">
      <w:pPr>
        <w:spacing w:after="0" w:line="360" w:lineRule="auto"/>
        <w:jc w:val="both"/>
        <w:rPr>
          <w:rFonts w:ascii="Arial" w:hAnsi="Arial" w:cs="Arial"/>
          <w:bCs/>
          <w:sz w:val="24"/>
          <w:szCs w:val="24"/>
        </w:rPr>
      </w:pPr>
    </w:p>
    <w:p w14:paraId="5643C286" w14:textId="77777777" w:rsidR="00951C12" w:rsidRPr="00D87D87" w:rsidRDefault="00E63594" w:rsidP="00CE7A9B">
      <w:pPr>
        <w:spacing w:after="0" w:line="360" w:lineRule="auto"/>
        <w:jc w:val="both"/>
        <w:rPr>
          <w:rFonts w:ascii="Arial" w:eastAsia="Arial Unicode MS" w:hAnsi="Arial" w:cs="Arial"/>
          <w:b/>
          <w:sz w:val="24"/>
          <w:szCs w:val="24"/>
        </w:rPr>
      </w:pPr>
      <w:r w:rsidRPr="00D87D87">
        <w:rPr>
          <w:rFonts w:ascii="Arial" w:hAnsi="Arial" w:cs="Arial"/>
          <w:b/>
          <w:bCs/>
          <w:sz w:val="24"/>
          <w:szCs w:val="24"/>
        </w:rPr>
        <w:t>DLAMINI J</w:t>
      </w:r>
      <w:r w:rsidRPr="00D87D87">
        <w:rPr>
          <w:rFonts w:ascii="Arial" w:eastAsia="Arial Unicode MS" w:hAnsi="Arial" w:cs="Arial"/>
          <w:b/>
          <w:sz w:val="24"/>
          <w:szCs w:val="24"/>
        </w:rPr>
        <w:t xml:space="preserve">   </w:t>
      </w:r>
    </w:p>
    <w:p w14:paraId="008A7735" w14:textId="77777777" w:rsidR="005E252C" w:rsidRPr="005E252C" w:rsidRDefault="005E252C" w:rsidP="00CE7A9B">
      <w:pPr>
        <w:spacing w:after="0" w:line="360" w:lineRule="auto"/>
        <w:jc w:val="both"/>
        <w:rPr>
          <w:rFonts w:ascii="Arial" w:hAnsi="Arial" w:cs="Arial"/>
          <w:sz w:val="24"/>
          <w:szCs w:val="24"/>
          <w:lang w:val="en-US"/>
        </w:rPr>
      </w:pPr>
    </w:p>
    <w:p w14:paraId="5B0BEEA4" w14:textId="00C190FD" w:rsidR="000F0090" w:rsidRPr="00114A8B" w:rsidRDefault="00114A8B" w:rsidP="00114A8B">
      <w:pPr>
        <w:spacing w:after="0" w:line="360" w:lineRule="auto"/>
        <w:ind w:left="851" w:hanging="851"/>
        <w:jc w:val="both"/>
        <w:rPr>
          <w:rFonts w:ascii="Arial" w:hAnsi="Arial" w:cs="Arial"/>
          <w:sz w:val="24"/>
          <w:szCs w:val="24"/>
          <w:lang w:val="en-US"/>
        </w:rPr>
      </w:pPr>
      <w:r w:rsidRPr="00A64E69">
        <w:rPr>
          <w:rFonts w:ascii="Arial" w:hAnsi="Arial" w:cs="Arial"/>
          <w:sz w:val="24"/>
          <w:szCs w:val="24"/>
          <w:lang w:val="en-US"/>
        </w:rPr>
        <w:t>[1]</w:t>
      </w:r>
      <w:r w:rsidRPr="00A64E69">
        <w:rPr>
          <w:rFonts w:ascii="Arial" w:hAnsi="Arial" w:cs="Arial"/>
          <w:sz w:val="24"/>
          <w:szCs w:val="24"/>
          <w:lang w:val="en-US"/>
        </w:rPr>
        <w:tab/>
      </w:r>
      <w:r w:rsidR="00E63594" w:rsidRPr="00114A8B">
        <w:rPr>
          <w:rFonts w:ascii="Arial" w:hAnsi="Arial" w:cs="Arial"/>
          <w:sz w:val="24"/>
          <w:szCs w:val="24"/>
          <w:lang w:val="en-US"/>
        </w:rPr>
        <w:t xml:space="preserve">This a special plea application brought by the </w:t>
      </w:r>
      <w:r w:rsidR="0016118A" w:rsidRPr="00114A8B">
        <w:rPr>
          <w:rFonts w:ascii="Arial" w:hAnsi="Arial" w:cs="Arial"/>
          <w:sz w:val="24"/>
          <w:szCs w:val="24"/>
          <w:lang w:val="en-US"/>
        </w:rPr>
        <w:t>first</w:t>
      </w:r>
      <w:r w:rsidR="00E63594" w:rsidRPr="00114A8B">
        <w:rPr>
          <w:rFonts w:ascii="Arial" w:hAnsi="Arial" w:cs="Arial"/>
          <w:sz w:val="24"/>
          <w:szCs w:val="24"/>
          <w:lang w:val="en-US"/>
        </w:rPr>
        <w:t xml:space="preserve"> defendant against the plaintiff's Particulars of Claim. </w:t>
      </w:r>
      <w:r w:rsidR="00A60895" w:rsidRPr="00114A8B">
        <w:rPr>
          <w:rFonts w:ascii="Arial" w:hAnsi="Arial" w:cs="Arial"/>
          <w:sz w:val="24"/>
          <w:szCs w:val="24"/>
          <w:lang w:val="en-US"/>
        </w:rPr>
        <w:t>Th</w:t>
      </w:r>
      <w:r w:rsidR="00E63594" w:rsidRPr="00114A8B">
        <w:rPr>
          <w:rFonts w:ascii="Arial" w:hAnsi="Arial" w:cs="Arial"/>
          <w:sz w:val="24"/>
          <w:szCs w:val="24"/>
          <w:lang w:val="en-US"/>
        </w:rPr>
        <w:t>e plaintiff, the Development Bank of SA (</w:t>
      </w:r>
      <w:r w:rsidR="001A3023" w:rsidRPr="00114A8B">
        <w:rPr>
          <w:rFonts w:ascii="Arial" w:hAnsi="Arial" w:cs="Arial"/>
          <w:sz w:val="24"/>
          <w:szCs w:val="24"/>
          <w:lang w:val="en-US"/>
        </w:rPr>
        <w:t>“</w:t>
      </w:r>
      <w:r w:rsidR="00E63594" w:rsidRPr="00114A8B">
        <w:rPr>
          <w:rFonts w:ascii="Arial" w:hAnsi="Arial" w:cs="Arial"/>
          <w:sz w:val="24"/>
          <w:szCs w:val="24"/>
          <w:lang w:val="en-US"/>
        </w:rPr>
        <w:t>DBSA</w:t>
      </w:r>
      <w:r w:rsidR="001A3023" w:rsidRPr="00114A8B">
        <w:rPr>
          <w:rFonts w:ascii="Arial" w:hAnsi="Arial" w:cs="Arial"/>
          <w:sz w:val="24"/>
          <w:szCs w:val="24"/>
          <w:lang w:val="en-US"/>
        </w:rPr>
        <w:t>”</w:t>
      </w:r>
      <w:r w:rsidR="00E63594" w:rsidRPr="00114A8B">
        <w:rPr>
          <w:rFonts w:ascii="Arial" w:hAnsi="Arial" w:cs="Arial"/>
          <w:sz w:val="24"/>
          <w:szCs w:val="24"/>
          <w:lang w:val="en-US"/>
        </w:rPr>
        <w:t xml:space="preserve">) </w:t>
      </w:r>
      <w:r w:rsidR="00F0625D" w:rsidRPr="00114A8B">
        <w:rPr>
          <w:rFonts w:ascii="Arial" w:hAnsi="Arial" w:cs="Arial"/>
          <w:sz w:val="24"/>
          <w:szCs w:val="24"/>
          <w:lang w:val="en-US"/>
        </w:rPr>
        <w:t xml:space="preserve">issued summons against the defendants and </w:t>
      </w:r>
      <w:r w:rsidR="00983DDC" w:rsidRPr="00114A8B">
        <w:rPr>
          <w:rFonts w:ascii="Arial" w:hAnsi="Arial" w:cs="Arial"/>
          <w:sz w:val="24"/>
          <w:szCs w:val="24"/>
          <w:lang w:val="en-US"/>
        </w:rPr>
        <w:t>claimed payment of the sum of</w:t>
      </w:r>
      <w:r w:rsidR="00532BBC" w:rsidRPr="00114A8B">
        <w:rPr>
          <w:rFonts w:ascii="Arial" w:hAnsi="Arial" w:cs="Arial"/>
          <w:sz w:val="24"/>
          <w:szCs w:val="24"/>
          <w:lang w:val="en-US"/>
        </w:rPr>
        <w:t xml:space="preserve"> R3 370 640.74.</w:t>
      </w:r>
      <w:r w:rsidR="00983DDC" w:rsidRPr="00114A8B">
        <w:rPr>
          <w:rFonts w:ascii="Arial" w:hAnsi="Arial" w:cs="Arial"/>
          <w:sz w:val="24"/>
          <w:szCs w:val="24"/>
          <w:lang w:val="en-US"/>
        </w:rPr>
        <w:t xml:space="preserve"> as against </w:t>
      </w:r>
      <w:r w:rsidR="00E63594" w:rsidRPr="00114A8B">
        <w:rPr>
          <w:rFonts w:ascii="Arial" w:hAnsi="Arial" w:cs="Arial"/>
          <w:sz w:val="24"/>
          <w:szCs w:val="24"/>
          <w:lang w:val="en-US"/>
        </w:rPr>
        <w:t>the</w:t>
      </w:r>
      <w:r w:rsidR="00532BBC" w:rsidRPr="00114A8B">
        <w:rPr>
          <w:rFonts w:ascii="Arial" w:hAnsi="Arial" w:cs="Arial"/>
          <w:sz w:val="24"/>
          <w:szCs w:val="24"/>
          <w:lang w:val="en-US"/>
        </w:rPr>
        <w:t xml:space="preserve"> first</w:t>
      </w:r>
      <w:r w:rsidR="00E63594" w:rsidRPr="00114A8B">
        <w:rPr>
          <w:rFonts w:ascii="Arial" w:hAnsi="Arial" w:cs="Arial"/>
          <w:sz w:val="24"/>
          <w:szCs w:val="24"/>
          <w:lang w:val="en-US"/>
        </w:rPr>
        <w:t xml:space="preserve"> defendant</w:t>
      </w:r>
      <w:r w:rsidR="00532BBC" w:rsidRPr="00114A8B">
        <w:rPr>
          <w:rFonts w:ascii="Arial" w:hAnsi="Arial" w:cs="Arial"/>
          <w:sz w:val="24"/>
          <w:szCs w:val="24"/>
          <w:lang w:val="en-US"/>
        </w:rPr>
        <w:t xml:space="preserve"> </w:t>
      </w:r>
      <w:r w:rsidR="001A3023" w:rsidRPr="00114A8B">
        <w:rPr>
          <w:rFonts w:ascii="Arial" w:hAnsi="Arial" w:cs="Arial"/>
          <w:sz w:val="24"/>
          <w:szCs w:val="24"/>
          <w:lang w:val="en-US"/>
        </w:rPr>
        <w:t>(“Fusion”)</w:t>
      </w:r>
      <w:r w:rsidR="00532BBC" w:rsidRPr="00114A8B">
        <w:rPr>
          <w:rFonts w:ascii="Arial" w:hAnsi="Arial" w:cs="Arial"/>
          <w:sz w:val="24"/>
          <w:szCs w:val="24"/>
          <w:lang w:val="en-US"/>
        </w:rPr>
        <w:t>based on the performance guarantee issued by the first defendant and</w:t>
      </w:r>
      <w:r w:rsidR="00983DDC" w:rsidRPr="00114A8B">
        <w:rPr>
          <w:rFonts w:ascii="Arial" w:hAnsi="Arial" w:cs="Arial"/>
          <w:sz w:val="24"/>
          <w:szCs w:val="24"/>
          <w:lang w:val="en-US"/>
        </w:rPr>
        <w:t xml:space="preserve"> a sum of </w:t>
      </w:r>
      <w:r w:rsidR="00532BBC" w:rsidRPr="00114A8B">
        <w:rPr>
          <w:rFonts w:ascii="Arial" w:hAnsi="Arial" w:cs="Arial"/>
          <w:sz w:val="24"/>
          <w:szCs w:val="24"/>
          <w:lang w:val="en-US"/>
        </w:rPr>
        <w:t>R 12 237 633. 67 against the</w:t>
      </w:r>
      <w:r w:rsidR="00E63594" w:rsidRPr="00114A8B">
        <w:rPr>
          <w:rFonts w:ascii="Arial" w:hAnsi="Arial" w:cs="Arial"/>
          <w:sz w:val="24"/>
          <w:szCs w:val="24"/>
          <w:lang w:val="en-US"/>
        </w:rPr>
        <w:t xml:space="preserve"> </w:t>
      </w:r>
      <w:r w:rsidR="00532BBC" w:rsidRPr="00114A8B">
        <w:rPr>
          <w:rFonts w:ascii="Arial" w:hAnsi="Arial" w:cs="Arial"/>
          <w:sz w:val="24"/>
          <w:szCs w:val="24"/>
          <w:lang w:val="en-US"/>
        </w:rPr>
        <w:t>second defendant. The second defendant has not entered an appearance to defend.</w:t>
      </w:r>
    </w:p>
    <w:p w14:paraId="73CEE0DE" w14:textId="77777777" w:rsidR="000F0090" w:rsidRPr="000F0090" w:rsidRDefault="000F0090" w:rsidP="000F0090">
      <w:pPr>
        <w:pStyle w:val="ListParagraph"/>
        <w:rPr>
          <w:rFonts w:ascii="Arial" w:hAnsi="Arial" w:cs="Arial"/>
          <w:sz w:val="24"/>
          <w:szCs w:val="24"/>
          <w:lang w:val="en-US"/>
        </w:rPr>
      </w:pPr>
    </w:p>
    <w:p w14:paraId="6295A167" w14:textId="77777777" w:rsidR="000F0090" w:rsidRPr="000F0090" w:rsidRDefault="000F0090" w:rsidP="000F0090">
      <w:pPr>
        <w:pStyle w:val="ListParagraph"/>
        <w:rPr>
          <w:rFonts w:ascii="Arial" w:hAnsi="Arial" w:cs="Arial"/>
          <w:b/>
          <w:sz w:val="24"/>
          <w:szCs w:val="24"/>
          <w:lang w:val="en-US"/>
        </w:rPr>
      </w:pPr>
    </w:p>
    <w:p w14:paraId="215DD6E5" w14:textId="77777777" w:rsidR="000F0090" w:rsidRDefault="00E63594" w:rsidP="000F0090">
      <w:pPr>
        <w:pStyle w:val="ListParagraph"/>
        <w:spacing w:after="0" w:line="360" w:lineRule="auto"/>
        <w:ind w:left="851"/>
        <w:jc w:val="both"/>
        <w:rPr>
          <w:rFonts w:ascii="Arial" w:hAnsi="Arial" w:cs="Arial"/>
          <w:b/>
          <w:sz w:val="24"/>
          <w:szCs w:val="24"/>
          <w:lang w:val="en-US"/>
        </w:rPr>
      </w:pPr>
      <w:r>
        <w:rPr>
          <w:rFonts w:ascii="Arial" w:hAnsi="Arial" w:cs="Arial"/>
          <w:b/>
          <w:sz w:val="24"/>
          <w:szCs w:val="24"/>
          <w:lang w:val="en-US"/>
        </w:rPr>
        <w:t>BACKGROUND FACTS</w:t>
      </w:r>
    </w:p>
    <w:p w14:paraId="2809C6F1" w14:textId="77777777" w:rsidR="000F0090" w:rsidRPr="000F0090" w:rsidRDefault="000F0090" w:rsidP="000F0090">
      <w:pPr>
        <w:pStyle w:val="ListParagraph"/>
        <w:rPr>
          <w:rFonts w:ascii="Arial" w:hAnsi="Arial" w:cs="Arial"/>
          <w:sz w:val="24"/>
          <w:szCs w:val="24"/>
          <w:lang w:val="en-US"/>
        </w:rPr>
      </w:pPr>
    </w:p>
    <w:p w14:paraId="1A21C46D" w14:textId="3F504A31" w:rsidR="000F0090"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E63594" w:rsidRPr="00114A8B">
        <w:rPr>
          <w:rFonts w:ascii="Arial" w:hAnsi="Arial" w:cs="Arial"/>
          <w:sz w:val="24"/>
          <w:szCs w:val="24"/>
          <w:lang w:val="en-US"/>
        </w:rPr>
        <w:t>The facts underlying the dispute are largely common cause.</w:t>
      </w:r>
    </w:p>
    <w:p w14:paraId="1C7937E8" w14:textId="77777777" w:rsidR="00FA76CA" w:rsidRDefault="00FA76CA" w:rsidP="00FA76CA">
      <w:pPr>
        <w:pStyle w:val="ListParagraph"/>
        <w:spacing w:after="0" w:line="360" w:lineRule="auto"/>
        <w:ind w:left="851"/>
        <w:jc w:val="both"/>
        <w:rPr>
          <w:rFonts w:ascii="Arial" w:hAnsi="Arial" w:cs="Arial"/>
          <w:sz w:val="24"/>
          <w:szCs w:val="24"/>
          <w:lang w:val="en-US"/>
        </w:rPr>
      </w:pPr>
    </w:p>
    <w:p w14:paraId="71627C7F" w14:textId="6D932231" w:rsidR="000F0090"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E63594" w:rsidRPr="00114A8B">
        <w:rPr>
          <w:rFonts w:ascii="Arial" w:hAnsi="Arial" w:cs="Arial"/>
          <w:sz w:val="24"/>
          <w:szCs w:val="24"/>
          <w:lang w:val="en-US"/>
        </w:rPr>
        <w:t xml:space="preserve">On 18 July 2014, the plaintiff </w:t>
      </w:r>
      <w:r w:rsidR="00983DDC" w:rsidRPr="00114A8B">
        <w:rPr>
          <w:rFonts w:ascii="Arial" w:hAnsi="Arial" w:cs="Arial"/>
          <w:sz w:val="24"/>
          <w:szCs w:val="24"/>
          <w:lang w:val="en-US"/>
        </w:rPr>
        <w:t xml:space="preserve">awarded </w:t>
      </w:r>
      <w:r w:rsidR="00F0625D" w:rsidRPr="00114A8B">
        <w:rPr>
          <w:rFonts w:ascii="Arial" w:hAnsi="Arial" w:cs="Arial"/>
          <w:sz w:val="24"/>
          <w:szCs w:val="24"/>
          <w:lang w:val="en-US"/>
        </w:rPr>
        <w:t>a C</w:t>
      </w:r>
      <w:r w:rsidR="00E63594" w:rsidRPr="00114A8B">
        <w:rPr>
          <w:rFonts w:ascii="Arial" w:hAnsi="Arial" w:cs="Arial"/>
          <w:sz w:val="24"/>
          <w:szCs w:val="24"/>
          <w:lang w:val="en-US"/>
        </w:rPr>
        <w:t xml:space="preserve">ontract </w:t>
      </w:r>
      <w:r w:rsidR="00983DDC" w:rsidRPr="00114A8B">
        <w:rPr>
          <w:rFonts w:ascii="Arial" w:hAnsi="Arial" w:cs="Arial"/>
          <w:sz w:val="24"/>
          <w:szCs w:val="24"/>
          <w:lang w:val="en-US"/>
        </w:rPr>
        <w:t>to a joint venture</w:t>
      </w:r>
      <w:r w:rsidR="00E63594" w:rsidRPr="00114A8B">
        <w:rPr>
          <w:rFonts w:ascii="Arial" w:hAnsi="Arial" w:cs="Arial"/>
          <w:sz w:val="24"/>
          <w:szCs w:val="24"/>
          <w:lang w:val="en-US"/>
        </w:rPr>
        <w:t xml:space="preserve"> between the second defendant and an entity called Phumi HD Construction CC </w:t>
      </w:r>
      <w:r w:rsidR="00F0625D" w:rsidRPr="00114A8B">
        <w:rPr>
          <w:rFonts w:ascii="Arial" w:hAnsi="Arial" w:cs="Arial"/>
          <w:sz w:val="24"/>
          <w:szCs w:val="24"/>
          <w:lang w:val="en-US"/>
        </w:rPr>
        <w:t xml:space="preserve">(‘the Contractor’) </w:t>
      </w:r>
      <w:r w:rsidR="00E63594" w:rsidRPr="00114A8B">
        <w:rPr>
          <w:rFonts w:ascii="Arial" w:hAnsi="Arial" w:cs="Arial"/>
          <w:sz w:val="24"/>
          <w:szCs w:val="24"/>
          <w:lang w:val="en-US"/>
        </w:rPr>
        <w:t xml:space="preserve">for the demolition and additions of the new administration block, </w:t>
      </w:r>
      <w:r w:rsidR="00E63594" w:rsidRPr="00114A8B">
        <w:rPr>
          <w:rFonts w:ascii="Arial" w:hAnsi="Arial" w:cs="Arial"/>
          <w:sz w:val="24"/>
          <w:szCs w:val="24"/>
          <w:lang w:val="en-US"/>
        </w:rPr>
        <w:lastRenderedPageBreak/>
        <w:t>dining and nutrition center, computer room and related works to the New Waban Senior Secondary School, Libode, Eastern Cape.</w:t>
      </w:r>
    </w:p>
    <w:p w14:paraId="6A4EFD55" w14:textId="77777777" w:rsidR="00FA76CA" w:rsidRPr="00FA76CA" w:rsidRDefault="00FA76CA" w:rsidP="00FA76CA">
      <w:pPr>
        <w:spacing w:after="0" w:line="360" w:lineRule="auto"/>
        <w:jc w:val="both"/>
        <w:rPr>
          <w:rFonts w:ascii="Arial" w:hAnsi="Arial" w:cs="Arial"/>
          <w:sz w:val="24"/>
          <w:szCs w:val="24"/>
          <w:lang w:val="en-US"/>
        </w:rPr>
      </w:pPr>
    </w:p>
    <w:p w14:paraId="7359A6FA" w14:textId="0C32908D" w:rsidR="000F0090" w:rsidRPr="00114A8B" w:rsidRDefault="00114A8B" w:rsidP="00114A8B">
      <w:pPr>
        <w:spacing w:after="0" w:line="360" w:lineRule="auto"/>
        <w:ind w:left="851" w:hanging="851"/>
        <w:jc w:val="both"/>
        <w:rPr>
          <w:rFonts w:ascii="Arial" w:hAnsi="Arial" w:cs="Arial"/>
          <w:sz w:val="24"/>
          <w:szCs w:val="24"/>
          <w:lang w:val="en-US"/>
        </w:rPr>
      </w:pPr>
      <w:r w:rsidRPr="000F0090">
        <w:rPr>
          <w:rFonts w:ascii="Arial" w:hAnsi="Arial" w:cs="Arial"/>
          <w:sz w:val="24"/>
          <w:szCs w:val="24"/>
          <w:lang w:val="en-US"/>
        </w:rPr>
        <w:t>[4]</w:t>
      </w:r>
      <w:r w:rsidRPr="000F0090">
        <w:rPr>
          <w:rFonts w:ascii="Arial" w:hAnsi="Arial" w:cs="Arial"/>
          <w:sz w:val="24"/>
          <w:szCs w:val="24"/>
          <w:lang w:val="en-US"/>
        </w:rPr>
        <w:tab/>
      </w:r>
      <w:r w:rsidR="00E63594" w:rsidRPr="00114A8B">
        <w:rPr>
          <w:rFonts w:ascii="Arial" w:hAnsi="Arial" w:cs="Arial"/>
          <w:sz w:val="24"/>
          <w:szCs w:val="24"/>
          <w:lang w:val="en-US"/>
        </w:rPr>
        <w:t xml:space="preserve">In terms of the aforesaid contract, the </w:t>
      </w:r>
      <w:r w:rsidR="00F0625D" w:rsidRPr="00114A8B">
        <w:rPr>
          <w:rFonts w:ascii="Arial" w:hAnsi="Arial" w:cs="Arial"/>
          <w:sz w:val="24"/>
          <w:szCs w:val="24"/>
          <w:lang w:val="en-US"/>
        </w:rPr>
        <w:t>C</w:t>
      </w:r>
      <w:r w:rsidR="00E63594" w:rsidRPr="00114A8B">
        <w:rPr>
          <w:rFonts w:ascii="Arial" w:hAnsi="Arial" w:cs="Arial"/>
          <w:sz w:val="24"/>
          <w:szCs w:val="24"/>
          <w:lang w:val="en-US"/>
        </w:rPr>
        <w:t xml:space="preserve">ontractor was required to procure and obtain a performance guarantee on behalf of the </w:t>
      </w:r>
      <w:r w:rsidR="00F0625D" w:rsidRPr="00114A8B">
        <w:rPr>
          <w:rFonts w:ascii="Arial" w:hAnsi="Arial" w:cs="Arial"/>
          <w:sz w:val="24"/>
          <w:szCs w:val="24"/>
          <w:lang w:val="en-US"/>
        </w:rPr>
        <w:t>C</w:t>
      </w:r>
      <w:r w:rsidR="00E63594" w:rsidRPr="00114A8B">
        <w:rPr>
          <w:rFonts w:ascii="Arial" w:hAnsi="Arial" w:cs="Arial"/>
          <w:sz w:val="24"/>
          <w:szCs w:val="24"/>
          <w:lang w:val="en-US"/>
        </w:rPr>
        <w:t>ontractor in favor of the plaintiff. The contract consisted of the following;</w:t>
      </w:r>
    </w:p>
    <w:p w14:paraId="5167C3C0" w14:textId="77777777" w:rsidR="00FA76CA" w:rsidRDefault="00E63594" w:rsidP="00FA76CA">
      <w:pPr>
        <w:pStyle w:val="ListParagraph"/>
        <w:spacing w:after="0" w:line="360" w:lineRule="auto"/>
        <w:ind w:left="1418" w:hanging="567"/>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r>
      <w:r w:rsidR="00212DB4">
        <w:rPr>
          <w:rFonts w:ascii="Arial" w:hAnsi="Arial" w:cs="Arial"/>
          <w:sz w:val="24"/>
          <w:szCs w:val="24"/>
          <w:lang w:val="en-US"/>
        </w:rPr>
        <w:t>The Agreement and Contract Data and the Special Conditions of Contract.</w:t>
      </w:r>
    </w:p>
    <w:p w14:paraId="14CD6B34" w14:textId="77777777" w:rsidR="000F0090" w:rsidRDefault="00E63594" w:rsidP="00FA76CA">
      <w:pPr>
        <w:pStyle w:val="ListParagraph"/>
        <w:spacing w:after="0" w:line="360" w:lineRule="auto"/>
        <w:ind w:left="1418" w:hanging="567"/>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r>
      <w:r w:rsidR="00212DB4" w:rsidRPr="00FA76CA">
        <w:rPr>
          <w:rFonts w:ascii="Arial" w:hAnsi="Arial" w:cs="Arial"/>
          <w:sz w:val="24"/>
          <w:szCs w:val="24"/>
          <w:lang w:val="en-US"/>
        </w:rPr>
        <w:t>The General Conditions of Contract, the JBCC Series 2000 Principal Building Agreement ( Edition 4.1 of March 2005)  ( the JBCC).</w:t>
      </w:r>
    </w:p>
    <w:p w14:paraId="27966430" w14:textId="77777777" w:rsidR="00FA76CA" w:rsidRDefault="00FA76CA" w:rsidP="00F0625D">
      <w:pPr>
        <w:spacing w:after="0" w:line="360" w:lineRule="auto"/>
        <w:jc w:val="both"/>
        <w:rPr>
          <w:rFonts w:ascii="Arial" w:hAnsi="Arial" w:cs="Arial"/>
          <w:sz w:val="24"/>
          <w:szCs w:val="24"/>
          <w:lang w:val="en-US"/>
        </w:rPr>
      </w:pPr>
    </w:p>
    <w:p w14:paraId="4F8E450D" w14:textId="6A184BEE" w:rsidR="00FA76CA"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E63594" w:rsidRPr="00114A8B">
        <w:rPr>
          <w:rFonts w:ascii="Arial" w:hAnsi="Arial" w:cs="Arial"/>
          <w:sz w:val="24"/>
          <w:szCs w:val="24"/>
          <w:lang w:val="en-US"/>
        </w:rPr>
        <w:t xml:space="preserve">According to the plaintiff, the Contractor provided a fixed guarantee in terms of clause 14 of the Contract, issued by </w:t>
      </w:r>
      <w:r w:rsidR="00893015" w:rsidRPr="00114A8B">
        <w:rPr>
          <w:rFonts w:ascii="Arial" w:hAnsi="Arial" w:cs="Arial"/>
          <w:sz w:val="24"/>
          <w:szCs w:val="24"/>
          <w:lang w:val="en-US"/>
        </w:rPr>
        <w:t>Fusion as security for the due fulfillment of the Contract.</w:t>
      </w:r>
    </w:p>
    <w:p w14:paraId="1FFBE5BB" w14:textId="77777777" w:rsidR="00FA76CA" w:rsidRDefault="00FA76CA" w:rsidP="00FA76CA">
      <w:pPr>
        <w:pStyle w:val="ListParagraph"/>
        <w:spacing w:after="0" w:line="360" w:lineRule="auto"/>
        <w:ind w:left="851"/>
        <w:jc w:val="both"/>
        <w:rPr>
          <w:rFonts w:ascii="Arial" w:hAnsi="Arial" w:cs="Arial"/>
          <w:sz w:val="24"/>
          <w:szCs w:val="24"/>
          <w:lang w:val="en-US"/>
        </w:rPr>
      </w:pPr>
    </w:p>
    <w:p w14:paraId="1DA900E4" w14:textId="1F721EBE" w:rsidR="00457E07" w:rsidRPr="00114A8B" w:rsidRDefault="00114A8B" w:rsidP="00114A8B">
      <w:pPr>
        <w:spacing w:after="0" w:line="360" w:lineRule="auto"/>
        <w:ind w:left="851" w:hanging="851"/>
        <w:jc w:val="both"/>
        <w:rPr>
          <w:rFonts w:ascii="Arial" w:hAnsi="Arial" w:cs="Arial"/>
          <w:sz w:val="24"/>
          <w:szCs w:val="24"/>
          <w:lang w:val="en-US"/>
        </w:rPr>
      </w:pPr>
      <w:r w:rsidRPr="00FA76CA">
        <w:rPr>
          <w:rFonts w:ascii="Arial" w:hAnsi="Arial" w:cs="Arial"/>
          <w:sz w:val="24"/>
          <w:szCs w:val="24"/>
          <w:lang w:val="en-US"/>
        </w:rPr>
        <w:t>[6]</w:t>
      </w:r>
      <w:r w:rsidRPr="00FA76CA">
        <w:rPr>
          <w:rFonts w:ascii="Arial" w:hAnsi="Arial" w:cs="Arial"/>
          <w:sz w:val="24"/>
          <w:szCs w:val="24"/>
          <w:lang w:val="en-US"/>
        </w:rPr>
        <w:tab/>
      </w:r>
      <w:r w:rsidR="00E63594" w:rsidRPr="00114A8B">
        <w:rPr>
          <w:rFonts w:ascii="Arial" w:hAnsi="Arial" w:cs="Arial"/>
          <w:sz w:val="24"/>
          <w:szCs w:val="24"/>
          <w:lang w:val="en-US"/>
        </w:rPr>
        <w:t xml:space="preserve">It is </w:t>
      </w:r>
      <w:r w:rsidR="00983DDC" w:rsidRPr="00114A8B">
        <w:rPr>
          <w:rFonts w:ascii="Arial" w:hAnsi="Arial" w:cs="Arial"/>
          <w:sz w:val="24"/>
          <w:szCs w:val="24"/>
          <w:lang w:val="en-US"/>
        </w:rPr>
        <w:t xml:space="preserve">apparent that the </w:t>
      </w:r>
      <w:r w:rsidR="00F0625D" w:rsidRPr="00114A8B">
        <w:rPr>
          <w:rFonts w:ascii="Arial" w:hAnsi="Arial" w:cs="Arial"/>
          <w:sz w:val="24"/>
          <w:szCs w:val="24"/>
          <w:lang w:val="en-US"/>
        </w:rPr>
        <w:t>C</w:t>
      </w:r>
      <w:r w:rsidR="00983DDC" w:rsidRPr="00114A8B">
        <w:rPr>
          <w:rFonts w:ascii="Arial" w:hAnsi="Arial" w:cs="Arial"/>
          <w:sz w:val="24"/>
          <w:szCs w:val="24"/>
          <w:lang w:val="en-US"/>
        </w:rPr>
        <w:t xml:space="preserve">ontractor struggled with the timely completion of the scope of the </w:t>
      </w:r>
      <w:r w:rsidR="00F0625D" w:rsidRPr="00114A8B">
        <w:rPr>
          <w:rFonts w:ascii="Arial" w:hAnsi="Arial" w:cs="Arial"/>
          <w:sz w:val="24"/>
          <w:szCs w:val="24"/>
          <w:lang w:val="en-US"/>
        </w:rPr>
        <w:t>W</w:t>
      </w:r>
      <w:r w:rsidR="00983DDC" w:rsidRPr="00114A8B">
        <w:rPr>
          <w:rFonts w:ascii="Arial" w:hAnsi="Arial" w:cs="Arial"/>
          <w:sz w:val="24"/>
          <w:szCs w:val="24"/>
          <w:lang w:val="en-US"/>
        </w:rPr>
        <w:t xml:space="preserve">orks. As a result, the plaintiff extended the completion of the works to 6 August 2015. </w:t>
      </w:r>
      <w:r w:rsidR="00E63594" w:rsidRPr="00114A8B">
        <w:rPr>
          <w:rFonts w:ascii="Arial" w:hAnsi="Arial" w:cs="Arial"/>
          <w:sz w:val="24"/>
          <w:szCs w:val="24"/>
          <w:lang w:val="en-US"/>
        </w:rPr>
        <w:t>A</w:t>
      </w:r>
      <w:r w:rsidR="000F0090" w:rsidRPr="00114A8B">
        <w:rPr>
          <w:rFonts w:ascii="Arial" w:hAnsi="Arial" w:cs="Arial"/>
          <w:sz w:val="24"/>
          <w:szCs w:val="24"/>
          <w:lang w:val="en-US"/>
        </w:rPr>
        <w:t>s a result of the Contractor's failure to meet the revised practical completion date of 6 August 20215, the plaintiff on 1</w:t>
      </w:r>
      <w:r w:rsidR="00D84EE7" w:rsidRPr="00114A8B">
        <w:rPr>
          <w:rFonts w:ascii="Arial" w:hAnsi="Arial" w:cs="Arial"/>
          <w:sz w:val="24"/>
          <w:szCs w:val="24"/>
          <w:lang w:val="en-US"/>
        </w:rPr>
        <w:t>0</w:t>
      </w:r>
      <w:r w:rsidR="000F0090" w:rsidRPr="00114A8B">
        <w:rPr>
          <w:rFonts w:ascii="Arial" w:hAnsi="Arial" w:cs="Arial"/>
          <w:sz w:val="24"/>
          <w:szCs w:val="24"/>
          <w:lang w:val="en-US"/>
        </w:rPr>
        <w:t xml:space="preserve"> October 2015 canceled the </w:t>
      </w:r>
      <w:r w:rsidR="00E63594" w:rsidRPr="00114A8B">
        <w:rPr>
          <w:rFonts w:ascii="Arial" w:hAnsi="Arial" w:cs="Arial"/>
          <w:sz w:val="24"/>
          <w:szCs w:val="24"/>
          <w:lang w:val="en-US"/>
        </w:rPr>
        <w:t>C</w:t>
      </w:r>
      <w:r w:rsidR="000F0090" w:rsidRPr="00114A8B">
        <w:rPr>
          <w:rFonts w:ascii="Arial" w:hAnsi="Arial" w:cs="Arial"/>
          <w:sz w:val="24"/>
          <w:szCs w:val="24"/>
          <w:lang w:val="en-US"/>
        </w:rPr>
        <w:t xml:space="preserve">ontract. </w:t>
      </w:r>
    </w:p>
    <w:p w14:paraId="7793E904" w14:textId="77777777" w:rsidR="00F0625D" w:rsidRPr="00F0625D" w:rsidRDefault="00F0625D" w:rsidP="00F0625D">
      <w:pPr>
        <w:spacing w:after="0" w:line="360" w:lineRule="auto"/>
        <w:ind w:left="720"/>
        <w:jc w:val="both"/>
        <w:rPr>
          <w:rFonts w:ascii="Arial" w:hAnsi="Arial" w:cs="Arial"/>
          <w:sz w:val="24"/>
          <w:szCs w:val="24"/>
          <w:lang w:val="en-US"/>
        </w:rPr>
      </w:pPr>
    </w:p>
    <w:p w14:paraId="005F3585" w14:textId="4911DFC0" w:rsidR="00B00E80"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E63594" w:rsidRPr="00114A8B">
        <w:rPr>
          <w:rFonts w:ascii="Arial" w:hAnsi="Arial" w:cs="Arial"/>
          <w:sz w:val="24"/>
          <w:szCs w:val="24"/>
          <w:lang w:val="en-US"/>
        </w:rPr>
        <w:t xml:space="preserve">After the cancellation </w:t>
      </w:r>
      <w:r w:rsidR="00F0625D" w:rsidRPr="00114A8B">
        <w:rPr>
          <w:rFonts w:ascii="Arial" w:hAnsi="Arial" w:cs="Arial"/>
          <w:sz w:val="24"/>
          <w:szCs w:val="24"/>
          <w:lang w:val="en-US"/>
        </w:rPr>
        <w:t>of the Contract</w:t>
      </w:r>
      <w:r w:rsidR="00E63594" w:rsidRPr="00114A8B">
        <w:rPr>
          <w:rFonts w:ascii="Arial" w:hAnsi="Arial" w:cs="Arial"/>
          <w:sz w:val="24"/>
          <w:szCs w:val="24"/>
          <w:lang w:val="en-US"/>
        </w:rPr>
        <w:t>,</w:t>
      </w:r>
      <w:r w:rsidR="00F0625D" w:rsidRPr="00114A8B">
        <w:rPr>
          <w:rFonts w:ascii="Arial" w:hAnsi="Arial" w:cs="Arial"/>
          <w:sz w:val="24"/>
          <w:szCs w:val="24"/>
          <w:lang w:val="en-US"/>
        </w:rPr>
        <w:t xml:space="preserve"> </w:t>
      </w:r>
      <w:r w:rsidR="00E63594" w:rsidRPr="00114A8B">
        <w:rPr>
          <w:rFonts w:ascii="Arial" w:hAnsi="Arial" w:cs="Arial"/>
          <w:sz w:val="24"/>
          <w:szCs w:val="24"/>
          <w:lang w:val="en-US"/>
        </w:rPr>
        <w:t>DBSA issued a new tender and appointed a new service provider who completed the project.</w:t>
      </w:r>
    </w:p>
    <w:p w14:paraId="5F94D48E" w14:textId="77777777" w:rsidR="00FA76CA" w:rsidRPr="00FA76CA" w:rsidRDefault="00FA76CA" w:rsidP="00FA76CA">
      <w:pPr>
        <w:spacing w:after="0" w:line="360" w:lineRule="auto"/>
        <w:jc w:val="both"/>
        <w:rPr>
          <w:rFonts w:ascii="Arial" w:hAnsi="Arial" w:cs="Arial"/>
          <w:sz w:val="24"/>
          <w:szCs w:val="24"/>
          <w:lang w:val="en-US"/>
        </w:rPr>
      </w:pPr>
    </w:p>
    <w:p w14:paraId="6BAB2FFD" w14:textId="4561CFCD" w:rsidR="00B00E80"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E63594" w:rsidRPr="00114A8B">
        <w:rPr>
          <w:rFonts w:ascii="Arial" w:hAnsi="Arial" w:cs="Arial"/>
          <w:sz w:val="24"/>
          <w:szCs w:val="24"/>
          <w:lang w:val="en-US"/>
        </w:rPr>
        <w:t>According to the plaintif</w:t>
      </w:r>
      <w:r w:rsidR="00983DDC" w:rsidRPr="00114A8B">
        <w:rPr>
          <w:rFonts w:ascii="Arial" w:hAnsi="Arial" w:cs="Arial"/>
          <w:sz w:val="24"/>
          <w:szCs w:val="24"/>
          <w:lang w:val="en-US"/>
        </w:rPr>
        <w:t>f</w:t>
      </w:r>
      <w:r w:rsidR="00E63594" w:rsidRPr="00114A8B">
        <w:rPr>
          <w:rFonts w:ascii="Arial" w:hAnsi="Arial" w:cs="Arial"/>
          <w:sz w:val="24"/>
          <w:szCs w:val="24"/>
          <w:lang w:val="en-US"/>
        </w:rPr>
        <w:t xml:space="preserve"> on the date of cancellation of the Contract</w:t>
      </w:r>
      <w:r w:rsidR="00F0625D" w:rsidRPr="00114A8B">
        <w:rPr>
          <w:rFonts w:ascii="Arial" w:hAnsi="Arial" w:cs="Arial"/>
          <w:sz w:val="24"/>
          <w:szCs w:val="24"/>
          <w:lang w:val="en-US"/>
        </w:rPr>
        <w:t xml:space="preserve">, </w:t>
      </w:r>
      <w:r w:rsidR="00893015" w:rsidRPr="00114A8B">
        <w:rPr>
          <w:rFonts w:ascii="Arial" w:hAnsi="Arial" w:cs="Arial"/>
          <w:sz w:val="24"/>
          <w:szCs w:val="24"/>
          <w:lang w:val="en-US"/>
        </w:rPr>
        <w:t>DBSA</w:t>
      </w:r>
      <w:r w:rsidR="00F0625D" w:rsidRPr="00114A8B">
        <w:rPr>
          <w:rFonts w:ascii="Arial" w:hAnsi="Arial" w:cs="Arial"/>
          <w:sz w:val="24"/>
          <w:szCs w:val="24"/>
          <w:lang w:val="en-US"/>
        </w:rPr>
        <w:t xml:space="preserve"> avers </w:t>
      </w:r>
      <w:r w:rsidR="008F6713" w:rsidRPr="00114A8B">
        <w:rPr>
          <w:rFonts w:ascii="Arial" w:hAnsi="Arial" w:cs="Arial"/>
          <w:sz w:val="24"/>
          <w:szCs w:val="24"/>
          <w:lang w:val="en-US"/>
        </w:rPr>
        <w:t xml:space="preserve">that it had already paid the Contractor an amount of R 15 079 071.00 in the form of interim payments. The balance of the value of the contract was </w:t>
      </w:r>
      <w:r w:rsidR="00E63594" w:rsidRPr="00114A8B">
        <w:rPr>
          <w:rFonts w:ascii="Arial" w:hAnsi="Arial" w:cs="Arial"/>
          <w:sz w:val="24"/>
          <w:szCs w:val="24"/>
          <w:lang w:val="en-US"/>
        </w:rPr>
        <w:t>R1</w:t>
      </w:r>
      <w:r w:rsidR="008F6713" w:rsidRPr="00114A8B">
        <w:rPr>
          <w:rFonts w:ascii="Arial" w:hAnsi="Arial" w:cs="Arial"/>
          <w:sz w:val="24"/>
          <w:szCs w:val="24"/>
          <w:lang w:val="en-US"/>
        </w:rPr>
        <w:t>8 827 336.47</w:t>
      </w:r>
      <w:r w:rsidR="00E63594" w:rsidRPr="00114A8B">
        <w:rPr>
          <w:rFonts w:ascii="Arial" w:hAnsi="Arial" w:cs="Arial"/>
          <w:sz w:val="24"/>
          <w:szCs w:val="24"/>
          <w:lang w:val="en-US"/>
        </w:rPr>
        <w:t xml:space="preserve">. </w:t>
      </w:r>
      <w:r w:rsidR="008F6713" w:rsidRPr="00114A8B">
        <w:rPr>
          <w:rFonts w:ascii="Arial" w:hAnsi="Arial" w:cs="Arial"/>
          <w:sz w:val="24"/>
          <w:szCs w:val="24"/>
          <w:lang w:val="en-US"/>
        </w:rPr>
        <w:t>DBSA had withheld an amount of R 762 852 90, as rete</w:t>
      </w:r>
      <w:r w:rsidR="00893015" w:rsidRPr="00114A8B">
        <w:rPr>
          <w:rFonts w:ascii="Arial" w:hAnsi="Arial" w:cs="Arial"/>
          <w:sz w:val="24"/>
          <w:szCs w:val="24"/>
          <w:lang w:val="en-US"/>
        </w:rPr>
        <w:t>ntion</w:t>
      </w:r>
      <w:r w:rsidR="008F6713" w:rsidRPr="00114A8B">
        <w:rPr>
          <w:rFonts w:ascii="Arial" w:hAnsi="Arial" w:cs="Arial"/>
          <w:sz w:val="24"/>
          <w:szCs w:val="24"/>
          <w:lang w:val="en-US"/>
        </w:rPr>
        <w:t xml:space="preserve"> in terms of the Contract</w:t>
      </w:r>
      <w:r w:rsidR="00893015" w:rsidRPr="00114A8B">
        <w:rPr>
          <w:rFonts w:ascii="Arial" w:hAnsi="Arial" w:cs="Arial"/>
          <w:sz w:val="24"/>
          <w:szCs w:val="24"/>
          <w:lang w:val="en-US"/>
        </w:rPr>
        <w:t>.</w:t>
      </w:r>
      <w:r w:rsidR="008F6713" w:rsidRPr="00114A8B">
        <w:rPr>
          <w:rFonts w:ascii="Arial" w:hAnsi="Arial" w:cs="Arial"/>
          <w:sz w:val="24"/>
          <w:szCs w:val="24"/>
          <w:lang w:val="en-US"/>
        </w:rPr>
        <w:t xml:space="preserve"> </w:t>
      </w:r>
      <w:r w:rsidR="00E63594" w:rsidRPr="00114A8B">
        <w:rPr>
          <w:rFonts w:ascii="Arial" w:hAnsi="Arial" w:cs="Arial"/>
          <w:sz w:val="24"/>
          <w:szCs w:val="24"/>
          <w:lang w:val="en-US"/>
        </w:rPr>
        <w:t>The contract value of the replacement contract to complete the Works was R 31 627 823.04. The plaintiff says it thus suffered damages of R 1</w:t>
      </w:r>
      <w:r w:rsidR="008F6713" w:rsidRPr="00114A8B">
        <w:rPr>
          <w:rFonts w:ascii="Arial" w:hAnsi="Arial" w:cs="Arial"/>
          <w:sz w:val="24"/>
          <w:szCs w:val="24"/>
          <w:lang w:val="en-US"/>
        </w:rPr>
        <w:t>2 237 633.67 being the difference between the replacement contract value of R 31 627 823 .04 and the total available amount of R19 390 189.37</w:t>
      </w:r>
    </w:p>
    <w:p w14:paraId="215CF46C" w14:textId="6A0ADF8A" w:rsidR="00983DDC"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lastRenderedPageBreak/>
        <w:t>[9]</w:t>
      </w:r>
      <w:r>
        <w:rPr>
          <w:rFonts w:ascii="Arial" w:hAnsi="Arial" w:cs="Arial"/>
          <w:sz w:val="24"/>
          <w:szCs w:val="24"/>
          <w:lang w:val="en-US"/>
        </w:rPr>
        <w:tab/>
      </w:r>
      <w:r w:rsidR="00E63594" w:rsidRPr="00114A8B">
        <w:rPr>
          <w:rFonts w:ascii="Arial" w:hAnsi="Arial" w:cs="Arial"/>
          <w:sz w:val="24"/>
          <w:szCs w:val="24"/>
          <w:lang w:val="en-US"/>
        </w:rPr>
        <w:t xml:space="preserve">Having filed a notice to defend </w:t>
      </w:r>
      <w:r w:rsidR="00893015" w:rsidRPr="00114A8B">
        <w:rPr>
          <w:rFonts w:ascii="Arial" w:hAnsi="Arial" w:cs="Arial"/>
          <w:sz w:val="24"/>
          <w:szCs w:val="24"/>
          <w:lang w:val="en-US"/>
        </w:rPr>
        <w:t>and</w:t>
      </w:r>
      <w:r w:rsidR="00E63594" w:rsidRPr="00114A8B">
        <w:rPr>
          <w:rFonts w:ascii="Arial" w:hAnsi="Arial" w:cs="Arial"/>
          <w:sz w:val="24"/>
          <w:szCs w:val="24"/>
          <w:lang w:val="en-US"/>
        </w:rPr>
        <w:t xml:space="preserve"> a plea, Fusion also filed a special plea </w:t>
      </w:r>
      <w:r w:rsidR="00F0625D" w:rsidRPr="00114A8B">
        <w:rPr>
          <w:rFonts w:ascii="Arial" w:hAnsi="Arial" w:cs="Arial"/>
          <w:sz w:val="24"/>
          <w:szCs w:val="24"/>
          <w:lang w:val="en-US"/>
        </w:rPr>
        <w:t xml:space="preserve">of </w:t>
      </w:r>
      <w:r w:rsidR="00E63594" w:rsidRPr="00114A8B">
        <w:rPr>
          <w:rFonts w:ascii="Arial" w:hAnsi="Arial" w:cs="Arial"/>
          <w:sz w:val="24"/>
          <w:szCs w:val="24"/>
          <w:lang w:val="en-US"/>
        </w:rPr>
        <w:t xml:space="preserve">prescription, alleging that the plaintiff's claim has been prescribed in terms of </w:t>
      </w:r>
      <w:r w:rsidR="00893015" w:rsidRPr="00114A8B">
        <w:rPr>
          <w:rFonts w:ascii="Arial" w:hAnsi="Arial" w:cs="Arial"/>
          <w:sz w:val="24"/>
          <w:szCs w:val="24"/>
          <w:lang w:val="en-US"/>
        </w:rPr>
        <w:t xml:space="preserve">section 11 (d) of the </w:t>
      </w:r>
      <w:r w:rsidR="00E63594" w:rsidRPr="00114A8B">
        <w:rPr>
          <w:rFonts w:ascii="Arial" w:hAnsi="Arial" w:cs="Arial"/>
          <w:sz w:val="24"/>
          <w:szCs w:val="24"/>
          <w:lang w:val="en-US"/>
        </w:rPr>
        <w:t>Prescription Ac</w:t>
      </w:r>
      <w:r w:rsidR="0016118A" w:rsidRPr="00114A8B">
        <w:rPr>
          <w:rFonts w:ascii="Arial" w:hAnsi="Arial" w:cs="Arial"/>
          <w:sz w:val="24"/>
          <w:szCs w:val="24"/>
          <w:lang w:val="en-US"/>
        </w:rPr>
        <w:t>t</w:t>
      </w:r>
      <w:r w:rsidR="00E63594">
        <w:rPr>
          <w:rStyle w:val="FootnoteReference"/>
          <w:rFonts w:ascii="Arial" w:hAnsi="Arial" w:cs="Arial"/>
          <w:sz w:val="24"/>
          <w:szCs w:val="24"/>
          <w:lang w:val="en-US"/>
        </w:rPr>
        <w:footnoteReference w:id="1"/>
      </w:r>
      <w:r w:rsidR="00E63594" w:rsidRPr="00114A8B">
        <w:rPr>
          <w:rFonts w:ascii="Arial" w:hAnsi="Arial" w:cs="Arial"/>
          <w:sz w:val="24"/>
          <w:szCs w:val="24"/>
          <w:lang w:val="en-US"/>
        </w:rPr>
        <w:t xml:space="preserve"> </w:t>
      </w:r>
      <w:r w:rsidR="00893015" w:rsidRPr="00114A8B">
        <w:rPr>
          <w:rFonts w:ascii="Arial" w:hAnsi="Arial" w:cs="Arial"/>
          <w:sz w:val="24"/>
          <w:szCs w:val="24"/>
          <w:lang w:val="en-US"/>
        </w:rPr>
        <w:t>("The Act").</w:t>
      </w:r>
    </w:p>
    <w:p w14:paraId="0619A24A" w14:textId="77777777" w:rsidR="00FA76CA" w:rsidRPr="000F0090" w:rsidRDefault="00FA76CA" w:rsidP="00FA76CA">
      <w:pPr>
        <w:pStyle w:val="ListParagraph"/>
        <w:spacing w:after="0" w:line="360" w:lineRule="auto"/>
        <w:ind w:left="851"/>
        <w:jc w:val="both"/>
        <w:rPr>
          <w:rFonts w:ascii="Arial" w:hAnsi="Arial" w:cs="Arial"/>
          <w:sz w:val="24"/>
          <w:szCs w:val="24"/>
          <w:lang w:val="en-US"/>
        </w:rPr>
      </w:pPr>
    </w:p>
    <w:p w14:paraId="20739633" w14:textId="389C0183" w:rsidR="00B00E80" w:rsidRPr="00114A8B" w:rsidRDefault="00114A8B" w:rsidP="00114A8B">
      <w:pPr>
        <w:spacing w:after="0" w:line="360" w:lineRule="auto"/>
        <w:ind w:left="851" w:hanging="851"/>
        <w:jc w:val="both"/>
        <w:rPr>
          <w:rFonts w:ascii="Arial" w:hAnsi="Arial" w:cs="Arial"/>
          <w:b/>
          <w:sz w:val="24"/>
          <w:szCs w:val="24"/>
          <w:lang w:val="en-US"/>
        </w:rPr>
      </w:pPr>
      <w:r w:rsidRPr="005C2D42">
        <w:rPr>
          <w:rFonts w:ascii="Arial" w:hAnsi="Arial" w:cs="Arial"/>
          <w:sz w:val="24"/>
          <w:szCs w:val="24"/>
          <w:lang w:val="en-US"/>
        </w:rPr>
        <w:t>[10]</w:t>
      </w:r>
      <w:r w:rsidRPr="005C2D42">
        <w:rPr>
          <w:rFonts w:ascii="Arial" w:hAnsi="Arial" w:cs="Arial"/>
          <w:sz w:val="24"/>
          <w:szCs w:val="24"/>
          <w:lang w:val="en-US"/>
        </w:rPr>
        <w:tab/>
      </w:r>
      <w:r w:rsidR="00E63594" w:rsidRPr="00114A8B">
        <w:rPr>
          <w:rFonts w:ascii="Arial" w:hAnsi="Arial" w:cs="Arial"/>
          <w:sz w:val="24"/>
          <w:szCs w:val="24"/>
          <w:lang w:val="en-US"/>
        </w:rPr>
        <w:t xml:space="preserve"> This is so insists </w:t>
      </w:r>
      <w:r w:rsidR="00532BBC" w:rsidRPr="00114A8B">
        <w:rPr>
          <w:rFonts w:ascii="Arial" w:hAnsi="Arial" w:cs="Arial"/>
          <w:sz w:val="24"/>
          <w:szCs w:val="24"/>
          <w:lang w:val="en-US"/>
        </w:rPr>
        <w:t xml:space="preserve"> Fusion</w:t>
      </w:r>
      <w:r w:rsidR="00893015" w:rsidRPr="00114A8B">
        <w:rPr>
          <w:rFonts w:ascii="Arial" w:hAnsi="Arial" w:cs="Arial"/>
          <w:sz w:val="24"/>
          <w:szCs w:val="24"/>
          <w:lang w:val="en-US"/>
        </w:rPr>
        <w:t xml:space="preserve">, </w:t>
      </w:r>
      <w:r w:rsidR="00E63594" w:rsidRPr="00114A8B">
        <w:rPr>
          <w:rFonts w:ascii="Arial" w:hAnsi="Arial" w:cs="Arial"/>
          <w:sz w:val="24"/>
          <w:szCs w:val="24"/>
          <w:lang w:val="en-US"/>
        </w:rPr>
        <w:t xml:space="preserve">because the plaintiffs purported in terms of clause 36 of the written construction contract to cancel the contract on or about 5 September 2015. The </w:t>
      </w:r>
      <w:r w:rsidR="00532BBC" w:rsidRPr="00114A8B">
        <w:rPr>
          <w:rFonts w:ascii="Arial" w:hAnsi="Arial" w:cs="Arial"/>
          <w:sz w:val="24"/>
          <w:szCs w:val="24"/>
          <w:lang w:val="en-US"/>
        </w:rPr>
        <w:t xml:space="preserve">first </w:t>
      </w:r>
      <w:r w:rsidR="00E63594" w:rsidRPr="00114A8B">
        <w:rPr>
          <w:rFonts w:ascii="Arial" w:hAnsi="Arial" w:cs="Arial"/>
          <w:sz w:val="24"/>
          <w:szCs w:val="24"/>
          <w:lang w:val="en-US"/>
        </w:rPr>
        <w:t>defendant submitted that the plaintiff's summons were served on the first defendant on or about 11 October 2018 which is more than three years after the date on which the plaintiff allege</w:t>
      </w:r>
      <w:r w:rsidR="00893015" w:rsidRPr="00114A8B">
        <w:rPr>
          <w:rFonts w:ascii="Arial" w:hAnsi="Arial" w:cs="Arial"/>
          <w:sz w:val="24"/>
          <w:szCs w:val="24"/>
          <w:lang w:val="en-US"/>
        </w:rPr>
        <w:t>s its claim arose against the first defendant.</w:t>
      </w:r>
      <w:r w:rsidR="00E63594" w:rsidRPr="00114A8B">
        <w:rPr>
          <w:rFonts w:ascii="Arial" w:hAnsi="Arial" w:cs="Arial"/>
          <w:sz w:val="24"/>
          <w:szCs w:val="24"/>
          <w:lang w:val="en-US"/>
        </w:rPr>
        <w:t xml:space="preserve"> claim arose. Therefore the plaintiff's claim has prescribed</w:t>
      </w:r>
      <w:r w:rsidR="00893015" w:rsidRPr="00114A8B">
        <w:rPr>
          <w:rFonts w:ascii="Arial" w:hAnsi="Arial" w:cs="Arial"/>
          <w:sz w:val="24"/>
          <w:szCs w:val="24"/>
          <w:lang w:val="en-US"/>
        </w:rPr>
        <w:t>.</w:t>
      </w:r>
    </w:p>
    <w:p w14:paraId="0D55E78A" w14:textId="77777777" w:rsidR="00B00E80" w:rsidRPr="00B00E80" w:rsidRDefault="00B00E80" w:rsidP="00B00E80">
      <w:pPr>
        <w:spacing w:after="0" w:line="360" w:lineRule="auto"/>
        <w:jc w:val="both"/>
        <w:rPr>
          <w:rFonts w:ascii="Arial" w:hAnsi="Arial" w:cs="Arial"/>
          <w:sz w:val="24"/>
          <w:szCs w:val="24"/>
          <w:lang w:val="en-US"/>
        </w:rPr>
      </w:pPr>
    </w:p>
    <w:p w14:paraId="33A057C6" w14:textId="77777777" w:rsidR="00F0625D" w:rsidRPr="00F0625D" w:rsidRDefault="00E63594" w:rsidP="00F0625D">
      <w:pPr>
        <w:pStyle w:val="ListParagraph"/>
        <w:spacing w:after="0" w:line="360" w:lineRule="auto"/>
        <w:ind w:left="851"/>
        <w:jc w:val="both"/>
        <w:rPr>
          <w:rFonts w:ascii="Arial" w:hAnsi="Arial" w:cs="Arial"/>
          <w:b/>
          <w:sz w:val="24"/>
          <w:szCs w:val="24"/>
          <w:lang w:val="en-US"/>
        </w:rPr>
      </w:pPr>
      <w:r>
        <w:rPr>
          <w:rFonts w:ascii="Arial" w:hAnsi="Arial" w:cs="Arial"/>
          <w:b/>
          <w:sz w:val="24"/>
          <w:szCs w:val="24"/>
          <w:lang w:val="en-US"/>
        </w:rPr>
        <w:t>ISSUE FOR DETERMINATION</w:t>
      </w:r>
    </w:p>
    <w:p w14:paraId="29541B13" w14:textId="77777777" w:rsidR="00B00E80" w:rsidRPr="00B00E80" w:rsidRDefault="00B00E80" w:rsidP="00B00E80">
      <w:pPr>
        <w:spacing w:after="0" w:line="360" w:lineRule="auto"/>
        <w:jc w:val="both"/>
        <w:rPr>
          <w:rFonts w:ascii="Arial" w:hAnsi="Arial" w:cs="Arial"/>
          <w:sz w:val="24"/>
          <w:szCs w:val="24"/>
          <w:lang w:val="en-US"/>
        </w:rPr>
      </w:pPr>
    </w:p>
    <w:p w14:paraId="1A9F8112" w14:textId="10D5D10A" w:rsidR="00B00E80"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E63594" w:rsidRPr="00114A8B">
        <w:rPr>
          <w:rFonts w:ascii="Arial" w:hAnsi="Arial" w:cs="Arial"/>
          <w:sz w:val="24"/>
          <w:szCs w:val="24"/>
          <w:lang w:val="en-US"/>
        </w:rPr>
        <w:t xml:space="preserve">The issue for determination at this stage is a very narrow one, the question is when did the DBSA claim arose against Fusion. The issue is not whether  DBSA </w:t>
      </w:r>
      <w:r w:rsidR="00532BBC" w:rsidRPr="00114A8B">
        <w:rPr>
          <w:rFonts w:ascii="Arial" w:hAnsi="Arial" w:cs="Arial"/>
          <w:sz w:val="24"/>
          <w:szCs w:val="24"/>
          <w:lang w:val="en-US"/>
        </w:rPr>
        <w:t>has</w:t>
      </w:r>
      <w:r w:rsidR="00E63594" w:rsidRPr="00114A8B">
        <w:rPr>
          <w:rFonts w:ascii="Arial" w:hAnsi="Arial" w:cs="Arial"/>
          <w:sz w:val="24"/>
          <w:szCs w:val="24"/>
          <w:lang w:val="en-US"/>
        </w:rPr>
        <w:t xml:space="preserve"> a valid claim or not against Fusion. That is, whether the plaintiff's particulars of claim disclose any cause of action or not</w:t>
      </w:r>
      <w:r w:rsidR="00604BAC" w:rsidRPr="00114A8B">
        <w:rPr>
          <w:rFonts w:ascii="Arial" w:hAnsi="Arial" w:cs="Arial"/>
          <w:sz w:val="24"/>
          <w:szCs w:val="24"/>
          <w:lang w:val="en-US"/>
        </w:rPr>
        <w:t xml:space="preserve"> against the first defendant</w:t>
      </w:r>
      <w:r w:rsidR="00E63594" w:rsidRPr="00114A8B">
        <w:rPr>
          <w:rFonts w:ascii="Arial" w:hAnsi="Arial" w:cs="Arial"/>
          <w:sz w:val="24"/>
          <w:szCs w:val="24"/>
          <w:lang w:val="en-US"/>
        </w:rPr>
        <w:t xml:space="preserve">. The determination of this aspect, I submit must be left and be adjudicated upon during trial. The numb of the issue between the parties at this stage concerns the date on which DBSA alleges its claim arose against </w:t>
      </w:r>
      <w:r w:rsidR="00AB3F14" w:rsidRPr="00114A8B">
        <w:rPr>
          <w:rFonts w:ascii="Arial" w:hAnsi="Arial" w:cs="Arial"/>
          <w:sz w:val="24"/>
          <w:szCs w:val="24"/>
          <w:lang w:val="en-US"/>
        </w:rPr>
        <w:t>Fusion</w:t>
      </w:r>
      <w:r w:rsidR="00E63594" w:rsidRPr="00114A8B">
        <w:rPr>
          <w:rFonts w:ascii="Arial" w:hAnsi="Arial" w:cs="Arial"/>
          <w:sz w:val="24"/>
          <w:szCs w:val="24"/>
          <w:lang w:val="en-US"/>
        </w:rPr>
        <w:t>. It is contended by  Fusion that the only debt</w:t>
      </w:r>
      <w:r w:rsidR="00065DFE" w:rsidRPr="00114A8B">
        <w:rPr>
          <w:rFonts w:ascii="Arial" w:hAnsi="Arial" w:cs="Arial"/>
          <w:sz w:val="24"/>
          <w:szCs w:val="24"/>
          <w:lang w:val="en-US"/>
        </w:rPr>
        <w:t xml:space="preserve"> for</w:t>
      </w:r>
      <w:r w:rsidR="00E63594" w:rsidRPr="00114A8B">
        <w:rPr>
          <w:rFonts w:ascii="Arial" w:hAnsi="Arial" w:cs="Arial"/>
          <w:sz w:val="24"/>
          <w:szCs w:val="24"/>
          <w:lang w:val="en-US"/>
        </w:rPr>
        <w:t xml:space="preserve"> which it could be liable arose at the least after the extended date of the practical completion on or before 7 August 2015, </w:t>
      </w:r>
      <w:r w:rsidR="00AB3F14" w:rsidRPr="00114A8B">
        <w:rPr>
          <w:rFonts w:ascii="Arial" w:hAnsi="Arial" w:cs="Arial"/>
          <w:sz w:val="24"/>
          <w:szCs w:val="24"/>
          <w:lang w:val="en-US"/>
        </w:rPr>
        <w:t xml:space="preserve">whilst </w:t>
      </w:r>
      <w:r w:rsidR="00E63594" w:rsidRPr="00114A8B">
        <w:rPr>
          <w:rFonts w:ascii="Arial" w:hAnsi="Arial" w:cs="Arial"/>
          <w:sz w:val="24"/>
          <w:szCs w:val="24"/>
          <w:lang w:val="en-US"/>
        </w:rPr>
        <w:t>the plaintiff insist</w:t>
      </w:r>
      <w:r w:rsidR="00524DFD" w:rsidRPr="00114A8B">
        <w:rPr>
          <w:rFonts w:ascii="Arial" w:hAnsi="Arial" w:cs="Arial"/>
          <w:sz w:val="24"/>
          <w:szCs w:val="24"/>
          <w:lang w:val="en-US"/>
        </w:rPr>
        <w:t>s</w:t>
      </w:r>
      <w:r w:rsidR="00E63594" w:rsidRPr="00114A8B">
        <w:rPr>
          <w:rFonts w:ascii="Arial" w:hAnsi="Arial" w:cs="Arial"/>
          <w:sz w:val="24"/>
          <w:szCs w:val="24"/>
          <w:lang w:val="en-US"/>
        </w:rPr>
        <w:t xml:space="preserve"> that the claim arose on or after the date of cancellation</w:t>
      </w:r>
      <w:r w:rsidR="00524DFD" w:rsidRPr="00114A8B">
        <w:rPr>
          <w:rFonts w:ascii="Arial" w:hAnsi="Arial" w:cs="Arial"/>
          <w:sz w:val="24"/>
          <w:szCs w:val="24"/>
          <w:lang w:val="en-US"/>
        </w:rPr>
        <w:t xml:space="preserve"> that is 10 October 2015.</w:t>
      </w:r>
    </w:p>
    <w:p w14:paraId="742748DB" w14:textId="77777777" w:rsidR="0024382B" w:rsidRDefault="0024382B" w:rsidP="0024382B">
      <w:pPr>
        <w:pStyle w:val="ListParagraph"/>
        <w:spacing w:after="0" w:line="360" w:lineRule="auto"/>
        <w:ind w:left="851"/>
        <w:jc w:val="both"/>
        <w:rPr>
          <w:rFonts w:ascii="Arial" w:hAnsi="Arial" w:cs="Arial"/>
          <w:sz w:val="24"/>
          <w:szCs w:val="24"/>
          <w:lang w:val="en-US"/>
        </w:rPr>
      </w:pPr>
    </w:p>
    <w:p w14:paraId="2222F80A" w14:textId="12CDEBC3" w:rsidR="00524DFD"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E63594" w:rsidRPr="00114A8B">
        <w:rPr>
          <w:rFonts w:ascii="Arial" w:hAnsi="Arial" w:cs="Arial"/>
          <w:sz w:val="24"/>
          <w:szCs w:val="24"/>
          <w:lang w:val="en-US"/>
        </w:rPr>
        <w:t>It is important to point out that at this stage</w:t>
      </w:r>
      <w:r w:rsidR="00604BAC" w:rsidRPr="00114A8B">
        <w:rPr>
          <w:rFonts w:ascii="Arial" w:hAnsi="Arial" w:cs="Arial"/>
          <w:sz w:val="24"/>
          <w:szCs w:val="24"/>
          <w:lang w:val="en-US"/>
        </w:rPr>
        <w:t xml:space="preserve"> that</w:t>
      </w:r>
      <w:r w:rsidR="00E63594" w:rsidRPr="00114A8B">
        <w:rPr>
          <w:rFonts w:ascii="Arial" w:hAnsi="Arial" w:cs="Arial"/>
          <w:sz w:val="24"/>
          <w:szCs w:val="24"/>
          <w:lang w:val="en-US"/>
        </w:rPr>
        <w:t xml:space="preserve"> we are only concerned with the interpretation of </w:t>
      </w:r>
      <w:r w:rsidR="004B3DE1" w:rsidRPr="00114A8B">
        <w:rPr>
          <w:rFonts w:ascii="Arial" w:hAnsi="Arial" w:cs="Arial"/>
          <w:sz w:val="24"/>
          <w:szCs w:val="24"/>
          <w:lang w:val="en-US"/>
        </w:rPr>
        <w:t xml:space="preserve">the </w:t>
      </w:r>
      <w:r w:rsidR="00E63594" w:rsidRPr="00114A8B">
        <w:rPr>
          <w:rFonts w:ascii="Arial" w:hAnsi="Arial" w:cs="Arial"/>
          <w:sz w:val="24"/>
          <w:szCs w:val="24"/>
          <w:lang w:val="en-US"/>
        </w:rPr>
        <w:t xml:space="preserve">terms </w:t>
      </w:r>
      <w:r w:rsidR="004B3DE1" w:rsidRPr="00114A8B">
        <w:rPr>
          <w:rFonts w:ascii="Arial" w:hAnsi="Arial" w:cs="Arial"/>
          <w:sz w:val="24"/>
          <w:szCs w:val="24"/>
          <w:lang w:val="en-US"/>
        </w:rPr>
        <w:t xml:space="preserve">of </w:t>
      </w:r>
      <w:r w:rsidR="0016118A" w:rsidRPr="00114A8B">
        <w:rPr>
          <w:rFonts w:ascii="Arial" w:hAnsi="Arial" w:cs="Arial"/>
          <w:sz w:val="24"/>
          <w:szCs w:val="24"/>
          <w:lang w:val="en-US"/>
        </w:rPr>
        <w:t>clause 11(d) of the</w:t>
      </w:r>
      <w:r w:rsidR="00E63594" w:rsidRPr="00114A8B">
        <w:rPr>
          <w:rFonts w:ascii="Arial" w:hAnsi="Arial" w:cs="Arial"/>
          <w:sz w:val="24"/>
          <w:szCs w:val="24"/>
          <w:lang w:val="en-US"/>
        </w:rPr>
        <w:t xml:space="preserve"> Act.</w:t>
      </w:r>
    </w:p>
    <w:p w14:paraId="3292627D" w14:textId="77777777" w:rsidR="00524DFD" w:rsidRDefault="00524DFD" w:rsidP="00524DFD">
      <w:pPr>
        <w:pStyle w:val="ListParagraph"/>
        <w:spacing w:after="0" w:line="360" w:lineRule="auto"/>
        <w:ind w:left="851"/>
        <w:jc w:val="both"/>
        <w:rPr>
          <w:rFonts w:ascii="Arial" w:hAnsi="Arial" w:cs="Arial"/>
          <w:sz w:val="24"/>
          <w:szCs w:val="24"/>
          <w:lang w:val="en-US"/>
        </w:rPr>
      </w:pPr>
    </w:p>
    <w:p w14:paraId="34D91A7F" w14:textId="77777777" w:rsidR="008B18D7" w:rsidRPr="008B18D7" w:rsidRDefault="008B18D7" w:rsidP="008B18D7">
      <w:pPr>
        <w:pStyle w:val="ListParagraph"/>
        <w:rPr>
          <w:rFonts w:ascii="Arial" w:hAnsi="Arial" w:cs="Arial"/>
          <w:sz w:val="24"/>
          <w:szCs w:val="24"/>
          <w:lang w:val="en-US"/>
        </w:rPr>
      </w:pPr>
    </w:p>
    <w:p w14:paraId="07DA3FC0" w14:textId="109C1645" w:rsidR="00B00E80" w:rsidRPr="00114A8B" w:rsidRDefault="00114A8B" w:rsidP="00114A8B">
      <w:pPr>
        <w:spacing w:after="0" w:line="360" w:lineRule="auto"/>
        <w:ind w:left="851" w:hanging="851"/>
        <w:jc w:val="both"/>
        <w:rPr>
          <w:rFonts w:ascii="Arial" w:hAnsi="Arial" w:cs="Arial"/>
          <w:sz w:val="24"/>
          <w:szCs w:val="24"/>
          <w:lang w:val="en-US"/>
        </w:rPr>
      </w:pPr>
      <w:r w:rsidRPr="00212DB4">
        <w:rPr>
          <w:rFonts w:ascii="Arial" w:hAnsi="Arial" w:cs="Arial"/>
          <w:sz w:val="24"/>
          <w:szCs w:val="24"/>
          <w:lang w:val="en-US"/>
        </w:rPr>
        <w:t>[13]</w:t>
      </w:r>
      <w:r w:rsidRPr="00212DB4">
        <w:rPr>
          <w:rFonts w:ascii="Arial" w:hAnsi="Arial" w:cs="Arial"/>
          <w:sz w:val="24"/>
          <w:szCs w:val="24"/>
          <w:lang w:val="en-US"/>
        </w:rPr>
        <w:tab/>
      </w:r>
      <w:r w:rsidR="00E63594" w:rsidRPr="00114A8B">
        <w:rPr>
          <w:rFonts w:ascii="Arial" w:hAnsi="Arial" w:cs="Arial"/>
          <w:sz w:val="24"/>
          <w:szCs w:val="24"/>
          <w:lang w:val="en-US"/>
        </w:rPr>
        <w:t xml:space="preserve">The case made by  Fusion is that any potential relevant claim to be made against it must have arisen before the Contract was canceled. This is so </w:t>
      </w:r>
      <w:r w:rsidR="00E63594" w:rsidRPr="00114A8B">
        <w:rPr>
          <w:rFonts w:ascii="Arial" w:hAnsi="Arial" w:cs="Arial"/>
          <w:sz w:val="24"/>
          <w:szCs w:val="24"/>
          <w:lang w:val="en-US"/>
        </w:rPr>
        <w:lastRenderedPageBreak/>
        <w:t>submit  Fusion because the effect of the cancellation of a contract is in general to terminate all the obligations between the parties.  Second, is that Fusion bound itself only to make good the Contractor's contractual obligations vis-à-vis the employer. That cancellation completely extinguishes an obligation and has no existence after the termination of the contrac</w:t>
      </w:r>
      <w:r w:rsidR="00524DFD" w:rsidRPr="00114A8B">
        <w:rPr>
          <w:rFonts w:ascii="Arial" w:hAnsi="Arial" w:cs="Arial"/>
          <w:sz w:val="24"/>
          <w:szCs w:val="24"/>
          <w:lang w:val="en-US"/>
        </w:rPr>
        <w:t>t.</w:t>
      </w:r>
    </w:p>
    <w:p w14:paraId="5ACC5269" w14:textId="77777777" w:rsidR="00B00E80" w:rsidRPr="00FA76CA" w:rsidRDefault="00B00E80" w:rsidP="00FA76CA">
      <w:pPr>
        <w:rPr>
          <w:rFonts w:ascii="Arial" w:hAnsi="Arial" w:cs="Arial"/>
          <w:sz w:val="24"/>
          <w:szCs w:val="24"/>
          <w:lang w:val="en-US"/>
        </w:rPr>
      </w:pPr>
    </w:p>
    <w:p w14:paraId="6B825FAE" w14:textId="77777777" w:rsidR="00B00E80" w:rsidRPr="00B00E80" w:rsidRDefault="00E63594" w:rsidP="00B00E80">
      <w:pPr>
        <w:pStyle w:val="ListParagraph"/>
        <w:spacing w:after="0" w:line="360" w:lineRule="auto"/>
        <w:ind w:left="851"/>
        <w:jc w:val="both"/>
        <w:rPr>
          <w:rFonts w:ascii="Arial" w:hAnsi="Arial" w:cs="Arial"/>
          <w:b/>
          <w:sz w:val="24"/>
          <w:szCs w:val="24"/>
          <w:lang w:val="en-US"/>
        </w:rPr>
      </w:pPr>
      <w:r w:rsidRPr="00B00E80">
        <w:rPr>
          <w:rFonts w:ascii="Arial" w:hAnsi="Arial" w:cs="Arial"/>
          <w:b/>
          <w:sz w:val="24"/>
          <w:szCs w:val="24"/>
          <w:lang w:val="en-US"/>
        </w:rPr>
        <w:t>THE GUARANTEE RELATIONSHIP</w:t>
      </w:r>
    </w:p>
    <w:p w14:paraId="039D98BD" w14:textId="77777777" w:rsidR="00B00E80" w:rsidRPr="00B00E80" w:rsidRDefault="00B00E80" w:rsidP="00B00E80">
      <w:pPr>
        <w:pStyle w:val="ListParagraph"/>
        <w:rPr>
          <w:rFonts w:ascii="Arial" w:hAnsi="Arial" w:cs="Arial"/>
          <w:sz w:val="24"/>
          <w:szCs w:val="24"/>
          <w:lang w:val="en-US"/>
        </w:rPr>
      </w:pPr>
    </w:p>
    <w:p w14:paraId="4FF94E52" w14:textId="579FABBC" w:rsidR="00B00E80"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E63594" w:rsidRPr="00114A8B">
        <w:rPr>
          <w:rFonts w:ascii="Arial" w:hAnsi="Arial" w:cs="Arial"/>
          <w:sz w:val="24"/>
          <w:szCs w:val="24"/>
          <w:lang w:val="en-US"/>
        </w:rPr>
        <w:t>It is argued on behalf of Fusion that in this case the Guarantee is conditional, that it is a suretyship that incorporates the principle of accessories and does not have the principle of independence as a feature. Thus only in case of a principal debt owing by the Contractor to the Employer being in existence that the Employer can rely on the Guarantee vis-à-vis the Guarantor.</w:t>
      </w:r>
    </w:p>
    <w:p w14:paraId="2A3E7A74" w14:textId="77777777" w:rsidR="00B00E80" w:rsidRPr="00B00E80" w:rsidRDefault="00B00E80" w:rsidP="00B00E80">
      <w:pPr>
        <w:spacing w:after="0" w:line="360" w:lineRule="auto"/>
        <w:jc w:val="both"/>
        <w:rPr>
          <w:rFonts w:ascii="Arial" w:hAnsi="Arial" w:cs="Arial"/>
          <w:sz w:val="24"/>
          <w:szCs w:val="24"/>
          <w:lang w:val="en-US"/>
        </w:rPr>
      </w:pPr>
    </w:p>
    <w:p w14:paraId="39EC85BD" w14:textId="77777777" w:rsidR="00B00E80" w:rsidRPr="00B00E80" w:rsidRDefault="00E63594" w:rsidP="00B00E80">
      <w:pPr>
        <w:pStyle w:val="ListParagraph"/>
        <w:spacing w:after="0" w:line="360" w:lineRule="auto"/>
        <w:ind w:left="851"/>
        <w:jc w:val="both"/>
        <w:rPr>
          <w:rFonts w:ascii="Arial" w:hAnsi="Arial" w:cs="Arial"/>
          <w:b/>
          <w:sz w:val="24"/>
          <w:szCs w:val="24"/>
          <w:lang w:val="en-US"/>
        </w:rPr>
      </w:pPr>
      <w:r w:rsidRPr="00B00E80">
        <w:rPr>
          <w:rFonts w:ascii="Arial" w:hAnsi="Arial" w:cs="Arial"/>
          <w:b/>
          <w:sz w:val="24"/>
          <w:szCs w:val="24"/>
          <w:lang w:val="en-US"/>
        </w:rPr>
        <w:t>CONDITIONAL NATURE OF LIABILITY</w:t>
      </w:r>
    </w:p>
    <w:p w14:paraId="41D37615" w14:textId="77777777" w:rsidR="00B00E80" w:rsidRPr="00B00E80" w:rsidRDefault="00B00E80" w:rsidP="00B00E80">
      <w:pPr>
        <w:pStyle w:val="ListParagraph"/>
        <w:rPr>
          <w:rFonts w:ascii="Arial" w:hAnsi="Arial" w:cs="Arial"/>
          <w:sz w:val="24"/>
          <w:szCs w:val="24"/>
          <w:lang w:val="en-US"/>
        </w:rPr>
      </w:pPr>
    </w:p>
    <w:p w14:paraId="6865D5F9" w14:textId="43D67D76" w:rsidR="00B00E80"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E63594" w:rsidRPr="00114A8B">
        <w:rPr>
          <w:rFonts w:ascii="Arial" w:hAnsi="Arial" w:cs="Arial"/>
          <w:sz w:val="24"/>
          <w:szCs w:val="24"/>
          <w:lang w:val="en-US"/>
        </w:rPr>
        <w:t>According to Fusion, the Guarantee was only given for a very specific and very limited type of obligation by the Contractor owing to the Employer, namely a right of recovery against the contractor in terms of clause 33 of the JBCC. Thus insists Fusion that the Employer's claim against the Contractor is for damages flo</w:t>
      </w:r>
      <w:r w:rsidR="00951A75" w:rsidRPr="00114A8B">
        <w:rPr>
          <w:rFonts w:ascii="Arial" w:hAnsi="Arial" w:cs="Arial"/>
          <w:sz w:val="24"/>
          <w:szCs w:val="24"/>
          <w:lang w:val="en-US"/>
        </w:rPr>
        <w:t>wing</w:t>
      </w:r>
      <w:r w:rsidR="00E63594" w:rsidRPr="00114A8B">
        <w:rPr>
          <w:rFonts w:ascii="Arial" w:hAnsi="Arial" w:cs="Arial"/>
          <w:sz w:val="24"/>
          <w:szCs w:val="24"/>
          <w:lang w:val="en-US"/>
        </w:rPr>
        <w:t xml:space="preserve"> from the cancellation of the Contract and not from the Contractor's breach. Therefore the debt against it could thus not arise upon cancellation. Furthermore, Fusion could be liable for any debt by reference to clause 33 and that such debt has prescribed</w:t>
      </w:r>
      <w:r w:rsidR="00D31DA8" w:rsidRPr="00114A8B">
        <w:rPr>
          <w:rFonts w:ascii="Arial" w:hAnsi="Arial" w:cs="Arial"/>
          <w:sz w:val="24"/>
          <w:szCs w:val="24"/>
          <w:lang w:val="en-US"/>
        </w:rPr>
        <w:t>.</w:t>
      </w:r>
    </w:p>
    <w:p w14:paraId="25CEA333" w14:textId="77777777" w:rsidR="00FA76CA" w:rsidRDefault="00FA76CA" w:rsidP="00FA76CA">
      <w:pPr>
        <w:pStyle w:val="ListParagraph"/>
        <w:spacing w:after="0" w:line="360" w:lineRule="auto"/>
        <w:ind w:left="851"/>
        <w:jc w:val="both"/>
        <w:rPr>
          <w:rFonts w:ascii="Arial" w:hAnsi="Arial" w:cs="Arial"/>
          <w:sz w:val="24"/>
          <w:szCs w:val="24"/>
          <w:lang w:val="en-US"/>
        </w:rPr>
      </w:pPr>
    </w:p>
    <w:p w14:paraId="0357AB08" w14:textId="37FD4457" w:rsidR="00D31DA8"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E63594" w:rsidRPr="00114A8B">
        <w:rPr>
          <w:rFonts w:ascii="Arial" w:hAnsi="Arial" w:cs="Arial"/>
          <w:sz w:val="24"/>
          <w:szCs w:val="24"/>
          <w:lang w:val="en-US"/>
        </w:rPr>
        <w:t xml:space="preserve">Accordingly, Fusion submits that the plaintiff's claim has prescribed in terms of section 11 </w:t>
      </w:r>
      <w:r w:rsidR="0016118A" w:rsidRPr="00114A8B">
        <w:rPr>
          <w:rFonts w:ascii="Arial" w:hAnsi="Arial" w:cs="Arial"/>
          <w:sz w:val="24"/>
          <w:szCs w:val="24"/>
          <w:lang w:val="en-US"/>
        </w:rPr>
        <w:t>of the</w:t>
      </w:r>
      <w:r w:rsidR="00D84EE7" w:rsidRPr="00114A8B">
        <w:rPr>
          <w:rFonts w:ascii="Arial" w:hAnsi="Arial" w:cs="Arial"/>
          <w:sz w:val="24"/>
          <w:szCs w:val="24"/>
          <w:lang w:val="en-US"/>
        </w:rPr>
        <w:t xml:space="preserve"> Act</w:t>
      </w:r>
      <w:r w:rsidR="00E63594" w:rsidRPr="00114A8B">
        <w:rPr>
          <w:rFonts w:ascii="Arial" w:hAnsi="Arial" w:cs="Arial"/>
          <w:sz w:val="24"/>
          <w:szCs w:val="24"/>
          <w:lang w:val="en-US"/>
        </w:rPr>
        <w:t>, since the summons was served on 11 October 2018, which, the defendant insists is more than three years after the date on which the DBSA’s claim against Fusion arose.</w:t>
      </w:r>
    </w:p>
    <w:p w14:paraId="5548FAAB" w14:textId="77777777" w:rsidR="00FA76CA" w:rsidRPr="00FA76CA" w:rsidRDefault="00FA76CA" w:rsidP="00FA76CA">
      <w:pPr>
        <w:spacing w:after="0" w:line="360" w:lineRule="auto"/>
        <w:jc w:val="both"/>
        <w:rPr>
          <w:rFonts w:ascii="Arial" w:hAnsi="Arial" w:cs="Arial"/>
          <w:sz w:val="24"/>
          <w:szCs w:val="24"/>
          <w:lang w:val="en-US"/>
        </w:rPr>
      </w:pPr>
    </w:p>
    <w:p w14:paraId="6BC544C4" w14:textId="5D82D8AC" w:rsidR="00D31DA8"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E63594" w:rsidRPr="00114A8B">
        <w:rPr>
          <w:rFonts w:ascii="Arial" w:hAnsi="Arial" w:cs="Arial"/>
          <w:sz w:val="24"/>
          <w:szCs w:val="24"/>
          <w:lang w:val="en-US"/>
        </w:rPr>
        <w:t xml:space="preserve">In sum, DBSA contends that the </w:t>
      </w:r>
      <w:r w:rsidR="00D84EE7" w:rsidRPr="00114A8B">
        <w:rPr>
          <w:rFonts w:ascii="Arial" w:hAnsi="Arial" w:cs="Arial"/>
          <w:sz w:val="24"/>
          <w:szCs w:val="24"/>
          <w:lang w:val="en-US"/>
        </w:rPr>
        <w:t>first</w:t>
      </w:r>
      <w:r w:rsidR="00E63594" w:rsidRPr="00114A8B">
        <w:rPr>
          <w:rFonts w:ascii="Arial" w:hAnsi="Arial" w:cs="Arial"/>
          <w:sz w:val="24"/>
          <w:szCs w:val="24"/>
          <w:lang w:val="en-US"/>
        </w:rPr>
        <w:t xml:space="preserve"> defendant has not challenged its allegation that its debt ag</w:t>
      </w:r>
      <w:r w:rsidR="00893015" w:rsidRPr="00114A8B">
        <w:rPr>
          <w:rFonts w:ascii="Arial" w:hAnsi="Arial" w:cs="Arial"/>
          <w:sz w:val="24"/>
          <w:szCs w:val="24"/>
          <w:lang w:val="en-US"/>
        </w:rPr>
        <w:t xml:space="preserve">ainst </w:t>
      </w:r>
      <w:r w:rsidR="00E63594" w:rsidRPr="00114A8B">
        <w:rPr>
          <w:rFonts w:ascii="Arial" w:hAnsi="Arial" w:cs="Arial"/>
          <w:sz w:val="24"/>
          <w:szCs w:val="24"/>
          <w:lang w:val="en-US"/>
        </w:rPr>
        <w:t xml:space="preserve">Fusion and the second defendant arose on or after </w:t>
      </w:r>
      <w:r w:rsidR="00604BAC" w:rsidRPr="00114A8B">
        <w:rPr>
          <w:rFonts w:ascii="Arial" w:hAnsi="Arial" w:cs="Arial"/>
          <w:sz w:val="24"/>
          <w:szCs w:val="24"/>
          <w:lang w:val="en-US"/>
        </w:rPr>
        <w:t>10</w:t>
      </w:r>
      <w:r w:rsidR="00E63594" w:rsidRPr="00114A8B">
        <w:rPr>
          <w:rFonts w:ascii="Arial" w:hAnsi="Arial" w:cs="Arial"/>
          <w:sz w:val="24"/>
          <w:szCs w:val="24"/>
          <w:lang w:val="en-US"/>
        </w:rPr>
        <w:t xml:space="preserve"> October 2015, when  DBSA canceled the contract. The plaintiff avers that Fusion challenges the merits of the DBSA's claim, not when the debt </w:t>
      </w:r>
      <w:r w:rsidR="00E63594" w:rsidRPr="00114A8B">
        <w:rPr>
          <w:rFonts w:ascii="Arial" w:hAnsi="Arial" w:cs="Arial"/>
          <w:sz w:val="24"/>
          <w:szCs w:val="24"/>
          <w:lang w:val="en-US"/>
        </w:rPr>
        <w:lastRenderedPageBreak/>
        <w:t xml:space="preserve">arose. DBSA submits that this issue is not a matter that this Court can adjudicate upon at the prescription stage. That at the prescription stage, it must be accepted as it should, that the DBSA's claim as pleaded is valid, the issue being when the debts arose and not if the debt is valid as against the defendants. I agree with </w:t>
      </w:r>
      <w:r w:rsidR="00685C86" w:rsidRPr="00114A8B">
        <w:rPr>
          <w:rFonts w:ascii="Arial" w:hAnsi="Arial" w:cs="Arial"/>
          <w:sz w:val="24"/>
          <w:szCs w:val="24"/>
          <w:lang w:val="en-US"/>
        </w:rPr>
        <w:t xml:space="preserve">the plaintiff’s </w:t>
      </w:r>
      <w:r w:rsidR="00E63594" w:rsidRPr="00114A8B">
        <w:rPr>
          <w:rFonts w:ascii="Arial" w:hAnsi="Arial" w:cs="Arial"/>
          <w:sz w:val="24"/>
          <w:szCs w:val="24"/>
          <w:lang w:val="en-US"/>
        </w:rPr>
        <w:t>submission</w:t>
      </w:r>
      <w:r w:rsidR="00685C86" w:rsidRPr="00114A8B">
        <w:rPr>
          <w:rFonts w:ascii="Arial" w:hAnsi="Arial" w:cs="Arial"/>
          <w:sz w:val="24"/>
          <w:szCs w:val="24"/>
          <w:lang w:val="en-US"/>
        </w:rPr>
        <w:t xml:space="preserve"> in this regard.</w:t>
      </w:r>
    </w:p>
    <w:p w14:paraId="09EBFA75" w14:textId="77777777" w:rsidR="00FA76CA" w:rsidRPr="00FA76CA" w:rsidRDefault="00FA76CA" w:rsidP="00FA76CA">
      <w:pPr>
        <w:spacing w:after="0" w:line="360" w:lineRule="auto"/>
        <w:jc w:val="both"/>
        <w:rPr>
          <w:rFonts w:ascii="Arial" w:hAnsi="Arial" w:cs="Arial"/>
          <w:sz w:val="24"/>
          <w:szCs w:val="24"/>
          <w:lang w:val="en-US"/>
        </w:rPr>
      </w:pPr>
    </w:p>
    <w:p w14:paraId="3CF419AB" w14:textId="06E7BBE0" w:rsidR="00D31DA8"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E63594" w:rsidRPr="00114A8B">
        <w:rPr>
          <w:rFonts w:ascii="Arial" w:hAnsi="Arial" w:cs="Arial"/>
          <w:sz w:val="24"/>
          <w:szCs w:val="24"/>
          <w:lang w:val="en-US"/>
        </w:rPr>
        <w:t>It is apposite at the stage to look at section 11 (d) of the Act</w:t>
      </w:r>
      <w:r w:rsidR="00893015" w:rsidRPr="00114A8B">
        <w:rPr>
          <w:rFonts w:ascii="Arial" w:hAnsi="Arial" w:cs="Arial"/>
          <w:sz w:val="24"/>
          <w:szCs w:val="24"/>
          <w:lang w:val="en-US"/>
        </w:rPr>
        <w:t xml:space="preserve">. It </w:t>
      </w:r>
      <w:r w:rsidR="00E63594" w:rsidRPr="00114A8B">
        <w:rPr>
          <w:rFonts w:ascii="Arial" w:hAnsi="Arial" w:cs="Arial"/>
          <w:sz w:val="24"/>
          <w:szCs w:val="24"/>
          <w:lang w:val="en-US"/>
        </w:rPr>
        <w:t xml:space="preserve"> </w:t>
      </w:r>
      <w:r w:rsidR="00893015" w:rsidRPr="00114A8B">
        <w:rPr>
          <w:rFonts w:ascii="Arial" w:hAnsi="Arial" w:cs="Arial"/>
          <w:sz w:val="24"/>
          <w:szCs w:val="24"/>
          <w:lang w:val="en-US"/>
        </w:rPr>
        <w:t>stipulates</w:t>
      </w:r>
      <w:r w:rsidR="00E63594" w:rsidRPr="00114A8B">
        <w:rPr>
          <w:rFonts w:ascii="Arial" w:hAnsi="Arial" w:cs="Arial"/>
          <w:sz w:val="24"/>
          <w:szCs w:val="24"/>
          <w:lang w:val="en-US"/>
        </w:rPr>
        <w:t xml:space="preserve">  as follows:</w:t>
      </w:r>
    </w:p>
    <w:p w14:paraId="7B8993AD" w14:textId="77777777" w:rsidR="00D31DA8" w:rsidRPr="00FA76CA" w:rsidRDefault="00E63594" w:rsidP="00D31DA8">
      <w:pPr>
        <w:pStyle w:val="ListParagraph"/>
        <w:spacing w:after="0" w:line="360" w:lineRule="auto"/>
        <w:ind w:left="851"/>
        <w:jc w:val="both"/>
        <w:rPr>
          <w:rFonts w:ascii="Arial" w:hAnsi="Arial" w:cs="Arial"/>
          <w:i/>
          <w:iCs/>
          <w:sz w:val="24"/>
          <w:szCs w:val="24"/>
          <w:lang w:val="en-US"/>
        </w:rPr>
      </w:pPr>
      <w:r w:rsidRPr="00FA76CA">
        <w:rPr>
          <w:rFonts w:ascii="Arial" w:hAnsi="Arial" w:cs="Arial"/>
          <w:i/>
          <w:iCs/>
          <w:sz w:val="24"/>
          <w:szCs w:val="24"/>
          <w:lang w:val="en-US"/>
        </w:rPr>
        <w:t>The periods  of prescription of debts shall be the following:</w:t>
      </w:r>
    </w:p>
    <w:p w14:paraId="67F35CE4" w14:textId="77777777" w:rsidR="00951A75" w:rsidRPr="00FA76CA" w:rsidRDefault="00E63594" w:rsidP="00D31DA8">
      <w:pPr>
        <w:pStyle w:val="ListParagraph"/>
        <w:spacing w:after="0" w:line="360" w:lineRule="auto"/>
        <w:ind w:left="851"/>
        <w:jc w:val="both"/>
        <w:rPr>
          <w:rFonts w:ascii="Arial" w:hAnsi="Arial" w:cs="Arial"/>
          <w:i/>
          <w:iCs/>
          <w:sz w:val="24"/>
          <w:szCs w:val="24"/>
          <w:lang w:val="en-US"/>
        </w:rPr>
      </w:pPr>
      <w:r w:rsidRPr="00FA76CA">
        <w:rPr>
          <w:rFonts w:ascii="Arial" w:hAnsi="Arial" w:cs="Arial"/>
          <w:i/>
          <w:iCs/>
          <w:sz w:val="24"/>
          <w:szCs w:val="24"/>
          <w:lang w:val="en-US"/>
        </w:rPr>
        <w:t>(d) save where an Act of Parliament provides otherwise, thee years in respect of any other debt.</w:t>
      </w:r>
      <w:r w:rsidR="00532BBC" w:rsidRPr="00FA76CA">
        <w:rPr>
          <w:rFonts w:ascii="Arial" w:hAnsi="Arial" w:cs="Arial"/>
          <w:i/>
          <w:iCs/>
          <w:sz w:val="24"/>
          <w:szCs w:val="24"/>
          <w:lang w:val="en-US"/>
        </w:rPr>
        <w:t xml:space="preserve"> </w:t>
      </w:r>
    </w:p>
    <w:p w14:paraId="7E3F7935" w14:textId="77777777" w:rsidR="00951A75" w:rsidRPr="00532BBC" w:rsidRDefault="00951A75" w:rsidP="00951A75">
      <w:pPr>
        <w:pStyle w:val="ListParagraph"/>
        <w:spacing w:after="0" w:line="360" w:lineRule="auto"/>
        <w:ind w:left="851"/>
        <w:jc w:val="both"/>
        <w:rPr>
          <w:rFonts w:ascii="Arial" w:hAnsi="Arial" w:cs="Arial"/>
          <w:i/>
          <w:sz w:val="24"/>
          <w:szCs w:val="24"/>
          <w:lang w:val="en-US"/>
        </w:rPr>
      </w:pPr>
    </w:p>
    <w:p w14:paraId="6419D30C" w14:textId="55534FFA" w:rsidR="005503F9" w:rsidRPr="00114A8B" w:rsidRDefault="00114A8B" w:rsidP="00114A8B">
      <w:pPr>
        <w:spacing w:after="0" w:line="360" w:lineRule="auto"/>
        <w:ind w:left="851" w:hanging="851"/>
        <w:jc w:val="both"/>
        <w:rPr>
          <w:rFonts w:ascii="Arial" w:hAnsi="Arial" w:cs="Arial"/>
          <w:sz w:val="24"/>
          <w:szCs w:val="24"/>
          <w:lang w:val="en-US"/>
        </w:rPr>
      </w:pPr>
      <w:r w:rsidRPr="005503F9">
        <w:rPr>
          <w:rFonts w:ascii="Arial" w:hAnsi="Arial" w:cs="Arial"/>
          <w:sz w:val="24"/>
          <w:szCs w:val="24"/>
          <w:lang w:val="en-US"/>
        </w:rPr>
        <w:t>[19]</w:t>
      </w:r>
      <w:r w:rsidRPr="005503F9">
        <w:rPr>
          <w:rFonts w:ascii="Arial" w:hAnsi="Arial" w:cs="Arial"/>
          <w:sz w:val="24"/>
          <w:szCs w:val="24"/>
          <w:lang w:val="en-US"/>
        </w:rPr>
        <w:tab/>
      </w:r>
      <w:r w:rsidR="00E63594" w:rsidRPr="00114A8B">
        <w:rPr>
          <w:rFonts w:ascii="Arial" w:hAnsi="Arial" w:cs="Arial"/>
          <w:sz w:val="24"/>
          <w:szCs w:val="24"/>
          <w:lang w:val="en-US"/>
        </w:rPr>
        <w:t xml:space="preserve">The principle of interpretation of </w:t>
      </w:r>
      <w:r w:rsidR="00D31DA8" w:rsidRPr="00114A8B">
        <w:rPr>
          <w:rFonts w:ascii="Arial" w:hAnsi="Arial" w:cs="Arial"/>
          <w:sz w:val="24"/>
          <w:szCs w:val="24"/>
          <w:lang w:val="en-US"/>
        </w:rPr>
        <w:t>statu</w:t>
      </w:r>
      <w:r w:rsidR="00E63594" w:rsidRPr="00114A8B">
        <w:rPr>
          <w:rFonts w:ascii="Arial" w:hAnsi="Arial" w:cs="Arial"/>
          <w:sz w:val="24"/>
          <w:szCs w:val="24"/>
          <w:lang w:val="en-US"/>
        </w:rPr>
        <w:t xml:space="preserve">tes is now well established and has </w:t>
      </w:r>
      <w:r w:rsidR="00EF12FB" w:rsidRPr="00114A8B">
        <w:rPr>
          <w:rFonts w:ascii="Arial" w:hAnsi="Arial" w:cs="Arial"/>
          <w:sz w:val="24"/>
          <w:szCs w:val="24"/>
          <w:lang w:val="en-US"/>
        </w:rPr>
        <w:t xml:space="preserve">been </w:t>
      </w:r>
      <w:r w:rsidR="00E63594" w:rsidRPr="00114A8B">
        <w:rPr>
          <w:rFonts w:ascii="Arial" w:hAnsi="Arial" w:cs="Arial"/>
          <w:sz w:val="24"/>
          <w:szCs w:val="24"/>
          <w:lang w:val="en-US"/>
        </w:rPr>
        <w:t xml:space="preserve">repeated in numerous judgments of </w:t>
      </w:r>
      <w:r w:rsidR="00893015" w:rsidRPr="00114A8B">
        <w:rPr>
          <w:rFonts w:ascii="Arial" w:hAnsi="Arial" w:cs="Arial"/>
          <w:sz w:val="24"/>
          <w:szCs w:val="24"/>
          <w:lang w:val="en-US"/>
        </w:rPr>
        <w:t>our</w:t>
      </w:r>
      <w:r w:rsidR="00E63594" w:rsidRPr="00114A8B">
        <w:rPr>
          <w:rFonts w:ascii="Arial" w:hAnsi="Arial" w:cs="Arial"/>
          <w:sz w:val="24"/>
          <w:szCs w:val="24"/>
          <w:lang w:val="en-US"/>
        </w:rPr>
        <w:t xml:space="preserve"> </w:t>
      </w:r>
      <w:r w:rsidR="00685C86" w:rsidRPr="00114A8B">
        <w:rPr>
          <w:rFonts w:ascii="Arial" w:hAnsi="Arial" w:cs="Arial"/>
          <w:sz w:val="24"/>
          <w:szCs w:val="24"/>
          <w:lang w:val="en-US"/>
        </w:rPr>
        <w:t>c</w:t>
      </w:r>
      <w:r w:rsidR="00E63594" w:rsidRPr="00114A8B">
        <w:rPr>
          <w:rFonts w:ascii="Arial" w:hAnsi="Arial" w:cs="Arial"/>
          <w:sz w:val="24"/>
          <w:szCs w:val="24"/>
          <w:lang w:val="en-US"/>
        </w:rPr>
        <w:t>ourt</w:t>
      </w:r>
      <w:r w:rsidR="00893015" w:rsidRPr="00114A8B">
        <w:rPr>
          <w:rFonts w:ascii="Arial" w:hAnsi="Arial" w:cs="Arial"/>
          <w:sz w:val="24"/>
          <w:szCs w:val="24"/>
          <w:lang w:val="en-US"/>
        </w:rPr>
        <w:t>s</w:t>
      </w:r>
      <w:r w:rsidR="00E63594" w:rsidRPr="00114A8B">
        <w:rPr>
          <w:rFonts w:ascii="Arial" w:hAnsi="Arial" w:cs="Arial"/>
          <w:sz w:val="24"/>
          <w:szCs w:val="24"/>
          <w:lang w:val="en-US"/>
        </w:rPr>
        <w:t xml:space="preserve">. A sensible meaning is to be preferred to one that leads to insensible or unbusinesslike results or undermines the apparent purpose of the document. This process, it should be emphasised entails a simultaneous consideration of having regard to the context, the document as a whole, and the circumstances attendant upon its coming into existence. See </w:t>
      </w:r>
      <w:r w:rsidR="00E63594" w:rsidRPr="00114A8B">
        <w:rPr>
          <w:rFonts w:ascii="Arial" w:hAnsi="Arial" w:cs="Arial"/>
          <w:i/>
          <w:sz w:val="24"/>
          <w:szCs w:val="24"/>
          <w:lang w:val="en-US"/>
        </w:rPr>
        <w:t>Natal Joint Municipal Pension Fund v</w:t>
      </w:r>
      <w:r w:rsidR="00E63594" w:rsidRPr="00114A8B">
        <w:rPr>
          <w:rFonts w:ascii="Arial" w:hAnsi="Arial" w:cs="Arial"/>
          <w:sz w:val="24"/>
          <w:szCs w:val="24"/>
          <w:lang w:val="en-US"/>
        </w:rPr>
        <w:t xml:space="preserve"> </w:t>
      </w:r>
      <w:r w:rsidR="00E63594" w:rsidRPr="00114A8B">
        <w:rPr>
          <w:rFonts w:ascii="Arial" w:hAnsi="Arial" w:cs="Arial"/>
          <w:i/>
          <w:sz w:val="24"/>
          <w:szCs w:val="24"/>
          <w:lang w:val="en-US"/>
        </w:rPr>
        <w:t>Endumeni Municipality</w:t>
      </w:r>
      <w:r w:rsidR="0016118A" w:rsidRPr="00114A8B">
        <w:rPr>
          <w:rFonts w:ascii="Arial" w:hAnsi="Arial" w:cs="Arial"/>
          <w:sz w:val="24"/>
          <w:szCs w:val="24"/>
          <w:lang w:val="en-US"/>
        </w:rPr>
        <w:t>.</w:t>
      </w:r>
      <w:r w:rsidR="00E63594">
        <w:rPr>
          <w:rStyle w:val="FootnoteReference"/>
          <w:rFonts w:ascii="Arial" w:hAnsi="Arial" w:cs="Arial"/>
          <w:sz w:val="24"/>
          <w:szCs w:val="24"/>
          <w:lang w:val="en-US"/>
        </w:rPr>
        <w:footnoteReference w:id="2"/>
      </w:r>
    </w:p>
    <w:p w14:paraId="4DC269AC" w14:textId="77777777" w:rsidR="00D361AE" w:rsidRDefault="00D361AE" w:rsidP="00951A75">
      <w:pPr>
        <w:pStyle w:val="ListParagraph"/>
        <w:spacing w:after="0" w:line="360" w:lineRule="auto"/>
        <w:ind w:left="851"/>
        <w:jc w:val="both"/>
        <w:rPr>
          <w:rFonts w:ascii="Arial" w:hAnsi="Arial" w:cs="Arial"/>
          <w:sz w:val="24"/>
          <w:szCs w:val="24"/>
          <w:lang w:val="en-US"/>
        </w:rPr>
      </w:pPr>
    </w:p>
    <w:p w14:paraId="365CBE0E" w14:textId="6EF3040A" w:rsidR="00532BBC"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E63594" w:rsidRPr="00114A8B">
        <w:rPr>
          <w:rFonts w:ascii="Arial" w:hAnsi="Arial" w:cs="Arial"/>
          <w:sz w:val="24"/>
          <w:szCs w:val="24"/>
          <w:lang w:val="en-US"/>
        </w:rPr>
        <w:t xml:space="preserve">A sensible and business interpretation of the </w:t>
      </w:r>
      <w:r w:rsidR="00D31DA8" w:rsidRPr="00114A8B">
        <w:rPr>
          <w:rFonts w:ascii="Arial" w:hAnsi="Arial" w:cs="Arial"/>
          <w:sz w:val="24"/>
          <w:szCs w:val="24"/>
          <w:lang w:val="en-US"/>
        </w:rPr>
        <w:t>Act</w:t>
      </w:r>
      <w:r w:rsidR="00E63594" w:rsidRPr="00114A8B">
        <w:rPr>
          <w:rFonts w:ascii="Arial" w:hAnsi="Arial" w:cs="Arial"/>
          <w:sz w:val="24"/>
          <w:szCs w:val="24"/>
          <w:lang w:val="en-US"/>
        </w:rPr>
        <w:t xml:space="preserve"> means that </w:t>
      </w:r>
      <w:r w:rsidR="00D31DA8" w:rsidRPr="00114A8B">
        <w:rPr>
          <w:rFonts w:ascii="Arial" w:hAnsi="Arial" w:cs="Arial"/>
          <w:sz w:val="24"/>
          <w:szCs w:val="24"/>
          <w:lang w:val="en-US"/>
        </w:rPr>
        <w:t xml:space="preserve">any </w:t>
      </w:r>
      <w:r w:rsidR="00E63594" w:rsidRPr="00114A8B">
        <w:rPr>
          <w:rFonts w:ascii="Arial" w:hAnsi="Arial" w:cs="Arial"/>
          <w:sz w:val="24"/>
          <w:szCs w:val="24"/>
          <w:lang w:val="en-US"/>
        </w:rPr>
        <w:t xml:space="preserve">plaintiff </w:t>
      </w:r>
      <w:r w:rsidR="00D31DA8" w:rsidRPr="00114A8B">
        <w:rPr>
          <w:rFonts w:ascii="Arial" w:hAnsi="Arial" w:cs="Arial"/>
          <w:sz w:val="24"/>
          <w:szCs w:val="24"/>
          <w:lang w:val="en-US"/>
        </w:rPr>
        <w:t>who avers that it has a claim agai</w:t>
      </w:r>
      <w:r w:rsidR="00893015" w:rsidRPr="00114A8B">
        <w:rPr>
          <w:rFonts w:ascii="Arial" w:hAnsi="Arial" w:cs="Arial"/>
          <w:sz w:val="24"/>
          <w:szCs w:val="24"/>
          <w:lang w:val="en-US"/>
        </w:rPr>
        <w:t>nst</w:t>
      </w:r>
      <w:r w:rsidR="00D31DA8" w:rsidRPr="00114A8B">
        <w:rPr>
          <w:rFonts w:ascii="Arial" w:hAnsi="Arial" w:cs="Arial"/>
          <w:sz w:val="24"/>
          <w:szCs w:val="24"/>
          <w:lang w:val="en-US"/>
        </w:rPr>
        <w:t xml:space="preserve"> any defendant must issue </w:t>
      </w:r>
      <w:r w:rsidR="00893015" w:rsidRPr="00114A8B">
        <w:rPr>
          <w:rFonts w:ascii="Arial" w:hAnsi="Arial" w:cs="Arial"/>
          <w:sz w:val="24"/>
          <w:szCs w:val="24"/>
          <w:lang w:val="en-US"/>
        </w:rPr>
        <w:t xml:space="preserve">and serve </w:t>
      </w:r>
      <w:r w:rsidR="00D31DA8" w:rsidRPr="00114A8B">
        <w:rPr>
          <w:rFonts w:ascii="Arial" w:hAnsi="Arial" w:cs="Arial"/>
          <w:sz w:val="24"/>
          <w:szCs w:val="24"/>
          <w:lang w:val="en-US"/>
        </w:rPr>
        <w:t>summons within three years against that defendant. The Act is not concerned about the validity or otherwise of the plaintiff's claim.</w:t>
      </w:r>
      <w:r w:rsidR="00893015" w:rsidRPr="00114A8B">
        <w:rPr>
          <w:rFonts w:ascii="Arial" w:hAnsi="Arial" w:cs="Arial"/>
          <w:sz w:val="24"/>
          <w:szCs w:val="24"/>
          <w:lang w:val="en-US"/>
        </w:rPr>
        <w:t xml:space="preserve"> </w:t>
      </w:r>
      <w:r w:rsidR="00E63594" w:rsidRPr="00114A8B">
        <w:rPr>
          <w:rFonts w:ascii="Arial" w:hAnsi="Arial" w:cs="Arial"/>
          <w:sz w:val="24"/>
          <w:szCs w:val="24"/>
          <w:lang w:val="en-US"/>
        </w:rPr>
        <w:t>The plaintiff insists that its claim against Fusion arose on  1</w:t>
      </w:r>
      <w:r w:rsidR="005C2D42" w:rsidRPr="00114A8B">
        <w:rPr>
          <w:rFonts w:ascii="Arial" w:hAnsi="Arial" w:cs="Arial"/>
          <w:sz w:val="24"/>
          <w:szCs w:val="24"/>
          <w:lang w:val="en-US"/>
        </w:rPr>
        <w:t>0</w:t>
      </w:r>
      <w:r w:rsidR="00E63594" w:rsidRPr="00114A8B">
        <w:rPr>
          <w:rFonts w:ascii="Arial" w:hAnsi="Arial" w:cs="Arial"/>
          <w:sz w:val="24"/>
          <w:szCs w:val="24"/>
          <w:lang w:val="en-US"/>
        </w:rPr>
        <w:t xml:space="preserve"> October 2015 and that it issued served summons upon the </w:t>
      </w:r>
      <w:r w:rsidR="00685C86" w:rsidRPr="00114A8B">
        <w:rPr>
          <w:rFonts w:ascii="Arial" w:hAnsi="Arial" w:cs="Arial"/>
          <w:sz w:val="24"/>
          <w:szCs w:val="24"/>
          <w:lang w:val="en-US"/>
        </w:rPr>
        <w:t xml:space="preserve">first </w:t>
      </w:r>
      <w:r w:rsidR="00E63594" w:rsidRPr="00114A8B">
        <w:rPr>
          <w:rFonts w:ascii="Arial" w:hAnsi="Arial" w:cs="Arial"/>
          <w:sz w:val="24"/>
          <w:szCs w:val="24"/>
          <w:lang w:val="en-US"/>
        </w:rPr>
        <w:t>defendant on 1</w:t>
      </w:r>
      <w:r w:rsidR="005C2D42" w:rsidRPr="00114A8B">
        <w:rPr>
          <w:rFonts w:ascii="Arial" w:hAnsi="Arial" w:cs="Arial"/>
          <w:sz w:val="24"/>
          <w:szCs w:val="24"/>
          <w:lang w:val="en-US"/>
        </w:rPr>
        <w:t>1</w:t>
      </w:r>
      <w:r w:rsidR="00E63594" w:rsidRPr="00114A8B">
        <w:rPr>
          <w:rFonts w:ascii="Arial" w:hAnsi="Arial" w:cs="Arial"/>
          <w:sz w:val="24"/>
          <w:szCs w:val="24"/>
          <w:lang w:val="en-US"/>
        </w:rPr>
        <w:t xml:space="preserve"> October 2018</w:t>
      </w:r>
      <w:r w:rsidR="00D31DA8" w:rsidRPr="00114A8B">
        <w:rPr>
          <w:rFonts w:ascii="Arial" w:hAnsi="Arial" w:cs="Arial"/>
          <w:sz w:val="24"/>
          <w:szCs w:val="24"/>
          <w:lang w:val="en-US"/>
        </w:rPr>
        <w:t>.</w:t>
      </w:r>
    </w:p>
    <w:p w14:paraId="1EF3FF5F" w14:textId="77777777" w:rsidR="00532BBC" w:rsidRPr="00532BBC" w:rsidRDefault="00532BBC" w:rsidP="00532BBC">
      <w:pPr>
        <w:pStyle w:val="ListParagraph"/>
        <w:rPr>
          <w:rFonts w:ascii="Arial" w:hAnsi="Arial" w:cs="Arial"/>
          <w:sz w:val="24"/>
          <w:szCs w:val="24"/>
          <w:lang w:val="en-US"/>
        </w:rPr>
      </w:pPr>
    </w:p>
    <w:p w14:paraId="1198A2A7" w14:textId="2BB4B448" w:rsidR="00FA2FFF"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E63594" w:rsidRPr="00114A8B">
        <w:rPr>
          <w:rFonts w:ascii="Arial" w:hAnsi="Arial" w:cs="Arial"/>
          <w:sz w:val="24"/>
          <w:szCs w:val="24"/>
          <w:lang w:val="en-US"/>
        </w:rPr>
        <w:t xml:space="preserve">In my view, once Fusion has </w:t>
      </w:r>
      <w:r w:rsidR="005C2D42" w:rsidRPr="00114A8B">
        <w:rPr>
          <w:rFonts w:ascii="Arial" w:hAnsi="Arial" w:cs="Arial"/>
          <w:sz w:val="24"/>
          <w:szCs w:val="24"/>
          <w:lang w:val="en-US"/>
        </w:rPr>
        <w:t>concede</w:t>
      </w:r>
      <w:r w:rsidR="00604BAC" w:rsidRPr="00114A8B">
        <w:rPr>
          <w:rFonts w:ascii="Arial" w:hAnsi="Arial" w:cs="Arial"/>
          <w:sz w:val="24"/>
          <w:szCs w:val="24"/>
          <w:lang w:val="en-US"/>
        </w:rPr>
        <w:t>d</w:t>
      </w:r>
      <w:r w:rsidR="00E63594" w:rsidRPr="00114A8B">
        <w:rPr>
          <w:rFonts w:ascii="Arial" w:hAnsi="Arial" w:cs="Arial"/>
          <w:sz w:val="24"/>
          <w:szCs w:val="24"/>
          <w:lang w:val="en-US"/>
        </w:rPr>
        <w:t xml:space="preserve"> as it has done</w:t>
      </w:r>
      <w:r w:rsidR="00D31DA8" w:rsidRPr="00114A8B">
        <w:rPr>
          <w:rFonts w:ascii="Arial" w:hAnsi="Arial" w:cs="Arial"/>
          <w:sz w:val="24"/>
          <w:szCs w:val="24"/>
          <w:lang w:val="en-US"/>
        </w:rPr>
        <w:t xml:space="preserve"> in this case</w:t>
      </w:r>
      <w:r w:rsidR="00E63594" w:rsidRPr="00114A8B">
        <w:rPr>
          <w:rFonts w:ascii="Arial" w:hAnsi="Arial" w:cs="Arial"/>
          <w:sz w:val="24"/>
          <w:szCs w:val="24"/>
          <w:lang w:val="en-US"/>
        </w:rPr>
        <w:t xml:space="preserve"> that DBSA cance</w:t>
      </w:r>
      <w:r w:rsidR="00604BAC" w:rsidRPr="00114A8B">
        <w:rPr>
          <w:rFonts w:ascii="Arial" w:hAnsi="Arial" w:cs="Arial"/>
          <w:sz w:val="24"/>
          <w:szCs w:val="24"/>
          <w:lang w:val="en-US"/>
        </w:rPr>
        <w:t>l</w:t>
      </w:r>
      <w:r w:rsidR="00E63594" w:rsidRPr="00114A8B">
        <w:rPr>
          <w:rFonts w:ascii="Arial" w:hAnsi="Arial" w:cs="Arial"/>
          <w:sz w:val="24"/>
          <w:szCs w:val="24"/>
          <w:lang w:val="en-US"/>
        </w:rPr>
        <w:t>led the contract on 10 October 2015</w:t>
      </w:r>
      <w:r w:rsidR="00D31DA8" w:rsidRPr="00114A8B">
        <w:rPr>
          <w:rFonts w:ascii="Arial" w:hAnsi="Arial" w:cs="Arial"/>
          <w:sz w:val="24"/>
          <w:szCs w:val="24"/>
          <w:lang w:val="en-US"/>
        </w:rPr>
        <w:t xml:space="preserve"> and Fusion concedes that</w:t>
      </w:r>
      <w:r w:rsidR="005C2D42" w:rsidRPr="00114A8B">
        <w:rPr>
          <w:rFonts w:ascii="Arial" w:hAnsi="Arial" w:cs="Arial"/>
          <w:sz w:val="24"/>
          <w:szCs w:val="24"/>
          <w:lang w:val="en-US"/>
        </w:rPr>
        <w:t xml:space="preserve"> the</w:t>
      </w:r>
      <w:r w:rsidR="00D31DA8" w:rsidRPr="00114A8B">
        <w:rPr>
          <w:rFonts w:ascii="Arial" w:hAnsi="Arial" w:cs="Arial"/>
          <w:sz w:val="24"/>
          <w:szCs w:val="24"/>
          <w:lang w:val="en-US"/>
        </w:rPr>
        <w:t xml:space="preserve"> su</w:t>
      </w:r>
      <w:r w:rsidR="00E63594" w:rsidRPr="00114A8B">
        <w:rPr>
          <w:rFonts w:ascii="Arial" w:hAnsi="Arial" w:cs="Arial"/>
          <w:sz w:val="24"/>
          <w:szCs w:val="24"/>
          <w:lang w:val="en-US"/>
        </w:rPr>
        <w:t>mmons was issued and served on them on 11 October</w:t>
      </w:r>
      <w:r w:rsidR="00D31DA8" w:rsidRPr="00114A8B">
        <w:rPr>
          <w:rFonts w:ascii="Arial" w:hAnsi="Arial" w:cs="Arial"/>
          <w:sz w:val="24"/>
          <w:szCs w:val="24"/>
          <w:lang w:val="en-US"/>
        </w:rPr>
        <w:t xml:space="preserve"> 2018</w:t>
      </w:r>
      <w:r w:rsidR="00E63594" w:rsidRPr="00114A8B">
        <w:rPr>
          <w:rFonts w:ascii="Arial" w:hAnsi="Arial" w:cs="Arial"/>
          <w:sz w:val="24"/>
          <w:szCs w:val="24"/>
          <w:lang w:val="en-US"/>
        </w:rPr>
        <w:t>. The logical conclusion is that</w:t>
      </w:r>
      <w:r w:rsidR="005C2D42" w:rsidRPr="00114A8B">
        <w:rPr>
          <w:rFonts w:ascii="Arial" w:hAnsi="Arial" w:cs="Arial"/>
          <w:sz w:val="24"/>
          <w:szCs w:val="24"/>
          <w:lang w:val="en-US"/>
        </w:rPr>
        <w:t xml:space="preserve"> the</w:t>
      </w:r>
      <w:r w:rsidR="00E63594" w:rsidRPr="00114A8B">
        <w:rPr>
          <w:rFonts w:ascii="Arial" w:hAnsi="Arial" w:cs="Arial"/>
          <w:sz w:val="24"/>
          <w:szCs w:val="24"/>
          <w:lang w:val="en-US"/>
        </w:rPr>
        <w:t xml:space="preserve"> summons were validly issued and served on Fusion </w:t>
      </w:r>
      <w:r w:rsidR="00E63594" w:rsidRPr="00114A8B">
        <w:rPr>
          <w:rFonts w:ascii="Arial" w:hAnsi="Arial" w:cs="Arial"/>
          <w:sz w:val="24"/>
          <w:szCs w:val="24"/>
          <w:lang w:val="en-US"/>
        </w:rPr>
        <w:lastRenderedPageBreak/>
        <w:t xml:space="preserve">within three years as prescribed by the Act. </w:t>
      </w:r>
      <w:r w:rsidR="00D31DA8" w:rsidRPr="00114A8B">
        <w:rPr>
          <w:rFonts w:ascii="Arial" w:hAnsi="Arial" w:cs="Arial"/>
          <w:sz w:val="24"/>
          <w:szCs w:val="24"/>
          <w:lang w:val="en-US"/>
        </w:rPr>
        <w:t>This therefore means that DBSA’s claim is valid and was issued and served within the stat</w:t>
      </w:r>
      <w:r w:rsidR="00E63594" w:rsidRPr="00114A8B">
        <w:rPr>
          <w:rFonts w:ascii="Arial" w:hAnsi="Arial" w:cs="Arial"/>
          <w:sz w:val="24"/>
          <w:szCs w:val="24"/>
          <w:lang w:val="en-US"/>
        </w:rPr>
        <w:t>utory</w:t>
      </w:r>
      <w:r w:rsidR="00D31DA8" w:rsidRPr="00114A8B">
        <w:rPr>
          <w:rFonts w:ascii="Arial" w:hAnsi="Arial" w:cs="Arial"/>
          <w:sz w:val="24"/>
          <w:szCs w:val="24"/>
          <w:lang w:val="en-US"/>
        </w:rPr>
        <w:t xml:space="preserve"> limits as required by the </w:t>
      </w:r>
      <w:r w:rsidR="00E63594" w:rsidRPr="00114A8B">
        <w:rPr>
          <w:rFonts w:ascii="Arial" w:hAnsi="Arial" w:cs="Arial"/>
          <w:sz w:val="24"/>
          <w:szCs w:val="24"/>
          <w:lang w:val="en-US"/>
        </w:rPr>
        <w:t>Act</w:t>
      </w:r>
      <w:r w:rsidR="00D31DA8" w:rsidRPr="00114A8B">
        <w:rPr>
          <w:rFonts w:ascii="Arial" w:hAnsi="Arial" w:cs="Arial"/>
          <w:sz w:val="24"/>
          <w:szCs w:val="24"/>
          <w:lang w:val="en-US"/>
        </w:rPr>
        <w:t xml:space="preserve">. </w:t>
      </w:r>
    </w:p>
    <w:p w14:paraId="27A48A8E" w14:textId="77777777" w:rsidR="00FA2FFF" w:rsidRPr="00FA2FFF" w:rsidRDefault="00FA2FFF" w:rsidP="00FA2FFF">
      <w:pPr>
        <w:pStyle w:val="ListParagraph"/>
        <w:rPr>
          <w:rFonts w:ascii="Arial" w:hAnsi="Arial" w:cs="Arial"/>
          <w:sz w:val="24"/>
          <w:szCs w:val="24"/>
          <w:lang w:val="en-US"/>
        </w:rPr>
      </w:pPr>
    </w:p>
    <w:p w14:paraId="6E6431AA" w14:textId="5A8B2A60" w:rsidR="00532BBC"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E63594" w:rsidRPr="00114A8B">
        <w:rPr>
          <w:rFonts w:ascii="Arial" w:hAnsi="Arial" w:cs="Arial"/>
          <w:sz w:val="24"/>
          <w:szCs w:val="24"/>
          <w:lang w:val="en-US"/>
        </w:rPr>
        <w:t xml:space="preserve">In light of the foregoing, this must be the end of this inquiry. In any event, Fusion is entitled to pursue the rest of its complaints against the plaintiff's particulars of claim either through an exception or during trial. </w:t>
      </w:r>
      <w:r w:rsidR="00FA2FFF" w:rsidRPr="00114A8B">
        <w:rPr>
          <w:rFonts w:ascii="Arial" w:hAnsi="Arial" w:cs="Arial"/>
          <w:sz w:val="24"/>
          <w:szCs w:val="24"/>
          <w:lang w:val="en-US"/>
        </w:rPr>
        <w:t xml:space="preserve">The </w:t>
      </w:r>
      <w:r w:rsidR="00212DB4" w:rsidRPr="00114A8B">
        <w:rPr>
          <w:rFonts w:ascii="Arial" w:hAnsi="Arial" w:cs="Arial"/>
          <w:sz w:val="24"/>
          <w:szCs w:val="24"/>
          <w:lang w:val="en-US"/>
        </w:rPr>
        <w:t>Act is clear and unambiguous, it only requires the plaintiff to issue its claim within three years from the date within which the claim arose. The</w:t>
      </w:r>
      <w:r w:rsidR="00FA2FFF" w:rsidRPr="00114A8B">
        <w:rPr>
          <w:rFonts w:ascii="Arial" w:hAnsi="Arial" w:cs="Arial"/>
          <w:sz w:val="24"/>
          <w:szCs w:val="24"/>
          <w:lang w:val="en-US"/>
        </w:rPr>
        <w:t xml:space="preserve"> Act</w:t>
      </w:r>
      <w:r w:rsidR="00212DB4" w:rsidRPr="00114A8B">
        <w:rPr>
          <w:rFonts w:ascii="Arial" w:hAnsi="Arial" w:cs="Arial"/>
          <w:sz w:val="24"/>
          <w:szCs w:val="24"/>
          <w:lang w:val="en-US"/>
        </w:rPr>
        <w:t xml:space="preserve"> is not concerned about the validity or otherwise of the plaintiff's claim. </w:t>
      </w:r>
    </w:p>
    <w:p w14:paraId="14D23CEC" w14:textId="77777777" w:rsidR="00532BBC" w:rsidRPr="00532BBC" w:rsidRDefault="00532BBC" w:rsidP="00532BBC">
      <w:pPr>
        <w:pStyle w:val="ListParagraph"/>
        <w:rPr>
          <w:rFonts w:ascii="Arial" w:hAnsi="Arial" w:cs="Arial"/>
          <w:sz w:val="24"/>
          <w:szCs w:val="24"/>
          <w:lang w:val="en-US"/>
        </w:rPr>
      </w:pPr>
    </w:p>
    <w:p w14:paraId="6077EE71" w14:textId="407BE844" w:rsidR="00822501" w:rsidRPr="00114A8B" w:rsidRDefault="00114A8B" w:rsidP="00114A8B">
      <w:pPr>
        <w:spacing w:after="0" w:line="360" w:lineRule="auto"/>
        <w:ind w:left="851" w:hanging="851"/>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E63594" w:rsidRPr="00114A8B">
        <w:rPr>
          <w:rFonts w:ascii="Arial" w:hAnsi="Arial" w:cs="Arial"/>
          <w:sz w:val="24"/>
          <w:szCs w:val="24"/>
          <w:lang w:val="en-US"/>
        </w:rPr>
        <w:t xml:space="preserve">In all the circumstances that I have mentioned above </w:t>
      </w:r>
      <w:r w:rsidR="00EF12FB" w:rsidRPr="00114A8B">
        <w:rPr>
          <w:rFonts w:ascii="Arial" w:hAnsi="Arial" w:cs="Arial"/>
          <w:sz w:val="24"/>
          <w:szCs w:val="24"/>
          <w:lang w:val="en-US"/>
        </w:rPr>
        <w:t>I am</w:t>
      </w:r>
      <w:r w:rsidR="00E63594" w:rsidRPr="00114A8B">
        <w:rPr>
          <w:rFonts w:ascii="Arial" w:hAnsi="Arial" w:cs="Arial"/>
          <w:sz w:val="24"/>
          <w:szCs w:val="24"/>
          <w:lang w:val="en-US"/>
        </w:rPr>
        <w:t xml:space="preserve"> not sat</w:t>
      </w:r>
      <w:r w:rsidR="00D31DA8" w:rsidRPr="00114A8B">
        <w:rPr>
          <w:rFonts w:ascii="Arial" w:hAnsi="Arial" w:cs="Arial"/>
          <w:sz w:val="24"/>
          <w:szCs w:val="24"/>
          <w:lang w:val="en-US"/>
        </w:rPr>
        <w:t>isfied</w:t>
      </w:r>
      <w:r w:rsidR="00E63594" w:rsidRPr="00114A8B">
        <w:rPr>
          <w:rFonts w:ascii="Arial" w:hAnsi="Arial" w:cs="Arial"/>
          <w:sz w:val="24"/>
          <w:szCs w:val="24"/>
          <w:lang w:val="en-US"/>
        </w:rPr>
        <w:t xml:space="preserve"> that Fusion has discharged the onus that rested on its shoulders </w:t>
      </w:r>
      <w:r w:rsidR="00EF12FB" w:rsidRPr="00114A8B">
        <w:rPr>
          <w:rFonts w:ascii="Arial" w:hAnsi="Arial" w:cs="Arial"/>
          <w:sz w:val="24"/>
          <w:szCs w:val="24"/>
          <w:lang w:val="en-US"/>
        </w:rPr>
        <w:t xml:space="preserve">to prove </w:t>
      </w:r>
      <w:r w:rsidR="00E63594" w:rsidRPr="00114A8B">
        <w:rPr>
          <w:rFonts w:ascii="Arial" w:hAnsi="Arial" w:cs="Arial"/>
          <w:sz w:val="24"/>
          <w:szCs w:val="24"/>
          <w:lang w:val="en-US"/>
        </w:rPr>
        <w:t>that the plaintiff</w:t>
      </w:r>
      <w:r w:rsidR="00EF12FB" w:rsidRPr="00114A8B">
        <w:rPr>
          <w:rFonts w:ascii="Arial" w:hAnsi="Arial" w:cs="Arial"/>
          <w:sz w:val="24"/>
          <w:szCs w:val="24"/>
          <w:lang w:val="en-US"/>
        </w:rPr>
        <w:t>’s</w:t>
      </w:r>
      <w:r w:rsidR="00E63594" w:rsidRPr="00114A8B">
        <w:rPr>
          <w:rFonts w:ascii="Arial" w:hAnsi="Arial" w:cs="Arial"/>
          <w:sz w:val="24"/>
          <w:szCs w:val="24"/>
          <w:lang w:val="en-US"/>
        </w:rPr>
        <w:t xml:space="preserve"> claim has prescribed</w:t>
      </w:r>
      <w:r w:rsidR="00EF12FB" w:rsidRPr="00114A8B">
        <w:rPr>
          <w:rFonts w:ascii="Arial" w:hAnsi="Arial" w:cs="Arial"/>
          <w:sz w:val="24"/>
          <w:szCs w:val="24"/>
          <w:lang w:val="en-US"/>
        </w:rPr>
        <w:t xml:space="preserve">. </w:t>
      </w:r>
    </w:p>
    <w:p w14:paraId="2F68CC5E" w14:textId="77777777" w:rsidR="00AB0BF9" w:rsidRPr="00D143C6" w:rsidRDefault="00AB0BF9" w:rsidP="00D143C6">
      <w:pPr>
        <w:spacing w:after="0" w:line="360" w:lineRule="auto"/>
        <w:jc w:val="both"/>
        <w:rPr>
          <w:rFonts w:ascii="Arial" w:hAnsi="Arial" w:cs="Arial"/>
          <w:sz w:val="24"/>
          <w:szCs w:val="24"/>
          <w:lang w:val="en-US"/>
        </w:rPr>
      </w:pPr>
    </w:p>
    <w:p w14:paraId="62750086" w14:textId="77777777" w:rsidR="00AF057A" w:rsidRDefault="00E63594" w:rsidP="00195CF0">
      <w:pPr>
        <w:spacing w:after="0" w:line="360" w:lineRule="auto"/>
        <w:jc w:val="both"/>
        <w:rPr>
          <w:rFonts w:ascii="Arial" w:hAnsi="Arial" w:cs="Arial"/>
          <w:b/>
          <w:sz w:val="24"/>
          <w:szCs w:val="24"/>
          <w:lang w:val="en-US"/>
        </w:rPr>
      </w:pPr>
      <w:r w:rsidRPr="00195CF0">
        <w:rPr>
          <w:rFonts w:ascii="Arial" w:hAnsi="Arial" w:cs="Arial"/>
          <w:b/>
          <w:sz w:val="24"/>
          <w:szCs w:val="24"/>
          <w:lang w:val="en-US"/>
        </w:rPr>
        <w:t>ORDER</w:t>
      </w:r>
    </w:p>
    <w:p w14:paraId="3DA1EE5F" w14:textId="77777777" w:rsidR="00822501" w:rsidRPr="00195CF0" w:rsidRDefault="00822501" w:rsidP="00195CF0">
      <w:pPr>
        <w:spacing w:after="0" w:line="360" w:lineRule="auto"/>
        <w:jc w:val="both"/>
        <w:rPr>
          <w:rFonts w:ascii="Arial" w:hAnsi="Arial" w:cs="Arial"/>
          <w:b/>
          <w:sz w:val="24"/>
          <w:szCs w:val="24"/>
          <w:lang w:val="en-US"/>
        </w:rPr>
      </w:pPr>
    </w:p>
    <w:p w14:paraId="08427640" w14:textId="516F1906" w:rsidR="00822501" w:rsidRPr="00114A8B" w:rsidRDefault="00114A8B" w:rsidP="00114A8B">
      <w:pPr>
        <w:spacing w:after="0" w:line="360" w:lineRule="auto"/>
        <w:ind w:left="1211" w:hanging="360"/>
        <w:jc w:val="both"/>
        <w:rPr>
          <w:rFonts w:ascii="Arial" w:hAnsi="Arial" w:cs="Arial"/>
          <w:sz w:val="24"/>
          <w:szCs w:val="24"/>
          <w:lang w:val="en-US"/>
        </w:rPr>
      </w:pPr>
      <w:r w:rsidRPr="00D143C6">
        <w:rPr>
          <w:rFonts w:ascii="Arial" w:hAnsi="Arial" w:cs="Arial"/>
          <w:sz w:val="24"/>
          <w:szCs w:val="24"/>
          <w:lang w:val="en-US"/>
        </w:rPr>
        <w:t>1.</w:t>
      </w:r>
      <w:r w:rsidRPr="00D143C6">
        <w:rPr>
          <w:rFonts w:ascii="Arial" w:hAnsi="Arial" w:cs="Arial"/>
          <w:sz w:val="24"/>
          <w:szCs w:val="24"/>
          <w:lang w:val="en-US"/>
        </w:rPr>
        <w:tab/>
      </w:r>
      <w:r w:rsidR="00E63594" w:rsidRPr="00114A8B">
        <w:rPr>
          <w:rFonts w:ascii="Arial" w:hAnsi="Arial" w:cs="Arial"/>
          <w:sz w:val="24"/>
          <w:szCs w:val="24"/>
          <w:lang w:val="en-US"/>
        </w:rPr>
        <w:t xml:space="preserve">The </w:t>
      </w:r>
      <w:r w:rsidR="00195CF0" w:rsidRPr="00114A8B">
        <w:rPr>
          <w:rFonts w:ascii="Arial" w:hAnsi="Arial" w:cs="Arial"/>
          <w:sz w:val="24"/>
          <w:szCs w:val="24"/>
          <w:lang w:val="en-US"/>
        </w:rPr>
        <w:t xml:space="preserve"> defendant</w:t>
      </w:r>
      <w:r w:rsidR="00532BBC" w:rsidRPr="00114A8B">
        <w:rPr>
          <w:rFonts w:ascii="Arial" w:hAnsi="Arial" w:cs="Arial"/>
          <w:sz w:val="24"/>
          <w:szCs w:val="24"/>
          <w:lang w:val="en-US"/>
        </w:rPr>
        <w:t xml:space="preserve">’s  special plea application </w:t>
      </w:r>
      <w:r w:rsidR="004B3DE1" w:rsidRPr="00114A8B">
        <w:rPr>
          <w:rFonts w:ascii="Arial" w:hAnsi="Arial" w:cs="Arial"/>
          <w:sz w:val="24"/>
          <w:szCs w:val="24"/>
          <w:lang w:val="en-US"/>
        </w:rPr>
        <w:t xml:space="preserve">of prescription </w:t>
      </w:r>
      <w:r w:rsidR="00532BBC" w:rsidRPr="00114A8B">
        <w:rPr>
          <w:rFonts w:ascii="Arial" w:hAnsi="Arial" w:cs="Arial"/>
          <w:sz w:val="24"/>
          <w:szCs w:val="24"/>
          <w:lang w:val="en-US"/>
        </w:rPr>
        <w:t>is dismissed with costs</w:t>
      </w:r>
      <w:r w:rsidR="004B3DE1" w:rsidRPr="00114A8B">
        <w:rPr>
          <w:rFonts w:ascii="Arial" w:hAnsi="Arial" w:cs="Arial"/>
          <w:sz w:val="24"/>
          <w:szCs w:val="24"/>
          <w:lang w:val="en-US"/>
        </w:rPr>
        <w:t>.</w:t>
      </w:r>
    </w:p>
    <w:p w14:paraId="78BF3084" w14:textId="77777777" w:rsidR="00822501" w:rsidRDefault="00822501" w:rsidP="00822501">
      <w:pPr>
        <w:spacing w:after="0" w:line="360" w:lineRule="auto"/>
        <w:jc w:val="both"/>
        <w:rPr>
          <w:rFonts w:ascii="Arial" w:hAnsi="Arial" w:cs="Arial"/>
          <w:sz w:val="24"/>
          <w:szCs w:val="24"/>
          <w:lang w:val="en-US"/>
        </w:rPr>
      </w:pPr>
    </w:p>
    <w:p w14:paraId="59B52BCB" w14:textId="77777777" w:rsidR="004B3DE1" w:rsidRDefault="004B3DE1" w:rsidP="00822501">
      <w:pPr>
        <w:spacing w:after="0" w:line="360" w:lineRule="auto"/>
        <w:jc w:val="both"/>
        <w:rPr>
          <w:rFonts w:ascii="Arial" w:hAnsi="Arial" w:cs="Arial"/>
          <w:sz w:val="24"/>
          <w:szCs w:val="24"/>
          <w:lang w:val="en-US"/>
        </w:rPr>
      </w:pPr>
    </w:p>
    <w:p w14:paraId="165DDDB2" w14:textId="77777777" w:rsidR="004B3DE1" w:rsidRDefault="004B3DE1" w:rsidP="00822501">
      <w:pPr>
        <w:spacing w:after="0" w:line="360" w:lineRule="auto"/>
        <w:jc w:val="both"/>
        <w:rPr>
          <w:rFonts w:ascii="Arial" w:hAnsi="Arial" w:cs="Arial"/>
          <w:sz w:val="24"/>
          <w:szCs w:val="24"/>
          <w:lang w:val="en-US"/>
        </w:rPr>
      </w:pPr>
    </w:p>
    <w:p w14:paraId="2A0EAC10" w14:textId="77777777" w:rsidR="0016118A" w:rsidRPr="00822501" w:rsidRDefault="0016118A" w:rsidP="00822501">
      <w:pPr>
        <w:spacing w:after="0" w:line="360" w:lineRule="auto"/>
        <w:jc w:val="both"/>
        <w:rPr>
          <w:rFonts w:ascii="Arial" w:hAnsi="Arial" w:cs="Arial"/>
          <w:sz w:val="24"/>
          <w:szCs w:val="24"/>
          <w:lang w:val="en-US"/>
        </w:rPr>
      </w:pPr>
    </w:p>
    <w:p w14:paraId="0FEBB6B6" w14:textId="77777777" w:rsidR="00C57961" w:rsidRPr="00F82393" w:rsidRDefault="00E63594" w:rsidP="00EF12FB">
      <w:pPr>
        <w:spacing w:after="0" w:line="360" w:lineRule="auto"/>
        <w:jc w:val="center"/>
        <w:rPr>
          <w:rFonts w:ascii="Arial" w:hAnsi="Arial" w:cs="Arial"/>
          <w:sz w:val="24"/>
          <w:szCs w:val="24"/>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A60895" w:rsidRPr="00F82393">
        <w:rPr>
          <w:rFonts w:ascii="Arial" w:hAnsi="Arial" w:cs="Arial"/>
          <w:sz w:val="24"/>
          <w:szCs w:val="24"/>
          <w:lang w:val="en-US"/>
        </w:rPr>
        <w:tab/>
      </w:r>
      <w:r w:rsidR="00A60895" w:rsidRPr="00F82393">
        <w:rPr>
          <w:rFonts w:ascii="Arial" w:hAnsi="Arial" w:cs="Arial"/>
          <w:sz w:val="24"/>
          <w:szCs w:val="24"/>
        </w:rPr>
        <w:t>_______________________</w:t>
      </w:r>
    </w:p>
    <w:p w14:paraId="60CD0FE0" w14:textId="77777777" w:rsidR="00822501" w:rsidRPr="00F82393" w:rsidRDefault="00E63594" w:rsidP="004078A6">
      <w:pPr>
        <w:spacing w:after="0" w:line="360" w:lineRule="auto"/>
        <w:jc w:val="right"/>
        <w:rPr>
          <w:rFonts w:ascii="Arial" w:hAnsi="Arial" w:cs="Arial"/>
          <w:b/>
          <w:sz w:val="24"/>
          <w:szCs w:val="24"/>
        </w:rPr>
      </w:pPr>
      <w:r w:rsidRPr="00F82393">
        <w:rPr>
          <w:rFonts w:ascii="Arial" w:hAnsi="Arial" w:cs="Arial"/>
          <w:b/>
          <w:sz w:val="24"/>
          <w:szCs w:val="24"/>
        </w:rPr>
        <w:t>DLAMINI J</w:t>
      </w:r>
    </w:p>
    <w:p w14:paraId="35E6E136" w14:textId="77777777" w:rsidR="00C57961" w:rsidRPr="00F82393" w:rsidRDefault="00E63594" w:rsidP="00CE7A9B">
      <w:pPr>
        <w:spacing w:after="0" w:line="360" w:lineRule="auto"/>
        <w:jc w:val="right"/>
        <w:rPr>
          <w:rFonts w:ascii="Arial" w:hAnsi="Arial" w:cs="Arial"/>
          <w:sz w:val="24"/>
          <w:szCs w:val="24"/>
        </w:rPr>
      </w:pPr>
      <w:r w:rsidRPr="00F82393">
        <w:rPr>
          <w:rFonts w:ascii="Arial" w:hAnsi="Arial" w:cs="Arial"/>
          <w:sz w:val="24"/>
          <w:szCs w:val="24"/>
        </w:rPr>
        <w:t>JUDGE OF THE HIGH COURT OF SOUTH AFRICA</w:t>
      </w:r>
    </w:p>
    <w:p w14:paraId="755AB07A" w14:textId="77777777" w:rsidR="00C57961" w:rsidRPr="00F82393" w:rsidRDefault="00E63594" w:rsidP="00CE7A9B">
      <w:pPr>
        <w:spacing w:after="0" w:line="360" w:lineRule="auto"/>
        <w:jc w:val="right"/>
        <w:rPr>
          <w:rFonts w:ascii="Arial" w:hAnsi="Arial" w:cs="Arial"/>
          <w:sz w:val="24"/>
          <w:szCs w:val="24"/>
        </w:rPr>
      </w:pPr>
      <w:r w:rsidRPr="00F82393">
        <w:rPr>
          <w:rFonts w:ascii="Arial" w:hAnsi="Arial" w:cs="Arial"/>
          <w:sz w:val="24"/>
          <w:szCs w:val="24"/>
        </w:rPr>
        <w:t>GAUTENG</w:t>
      </w:r>
      <w:r w:rsidR="00F6157D" w:rsidRPr="00F82393">
        <w:rPr>
          <w:rFonts w:ascii="Arial" w:hAnsi="Arial" w:cs="Arial"/>
          <w:sz w:val="24"/>
          <w:szCs w:val="24"/>
        </w:rPr>
        <w:t xml:space="preserve"> </w:t>
      </w:r>
      <w:r w:rsidRPr="00F82393">
        <w:rPr>
          <w:rFonts w:ascii="Arial" w:hAnsi="Arial" w:cs="Arial"/>
          <w:sz w:val="24"/>
          <w:szCs w:val="24"/>
        </w:rPr>
        <w:t>DIVISION, JOHANNESBURG</w:t>
      </w:r>
    </w:p>
    <w:p w14:paraId="33312CAF" w14:textId="77777777" w:rsidR="00DC0C92" w:rsidRDefault="00DC0C92" w:rsidP="00CE7A9B">
      <w:pPr>
        <w:spacing w:before="240" w:after="0" w:line="360" w:lineRule="auto"/>
        <w:jc w:val="both"/>
        <w:rPr>
          <w:rFonts w:ascii="Arial" w:hAnsi="Arial" w:cs="Arial"/>
          <w:sz w:val="24"/>
          <w:szCs w:val="24"/>
          <w:lang w:val="en-US"/>
        </w:rPr>
      </w:pPr>
    </w:p>
    <w:p w14:paraId="008C12DD" w14:textId="77777777" w:rsidR="004B3DE1" w:rsidRDefault="004B3DE1" w:rsidP="00CE7A9B">
      <w:pPr>
        <w:spacing w:before="240" w:after="0" w:line="360" w:lineRule="auto"/>
        <w:jc w:val="both"/>
        <w:rPr>
          <w:rFonts w:ascii="Arial" w:hAnsi="Arial" w:cs="Arial"/>
          <w:sz w:val="24"/>
          <w:szCs w:val="24"/>
          <w:lang w:val="en-US"/>
        </w:rPr>
      </w:pPr>
    </w:p>
    <w:p w14:paraId="18BC613C" w14:textId="77777777" w:rsidR="004B3DE1" w:rsidRDefault="004B3DE1" w:rsidP="00CE7A9B">
      <w:pPr>
        <w:spacing w:before="240" w:after="0" w:line="360" w:lineRule="auto"/>
        <w:jc w:val="both"/>
        <w:rPr>
          <w:rFonts w:ascii="Arial" w:hAnsi="Arial" w:cs="Arial"/>
          <w:sz w:val="24"/>
          <w:szCs w:val="24"/>
          <w:lang w:val="en-US"/>
        </w:rPr>
      </w:pPr>
    </w:p>
    <w:p w14:paraId="0DEAF013" w14:textId="77777777" w:rsidR="004B3DE1" w:rsidRDefault="004B3DE1" w:rsidP="00CE7A9B">
      <w:pPr>
        <w:spacing w:before="240" w:after="0" w:line="360" w:lineRule="auto"/>
        <w:jc w:val="both"/>
        <w:rPr>
          <w:rFonts w:ascii="Arial" w:hAnsi="Arial" w:cs="Arial"/>
          <w:sz w:val="24"/>
          <w:szCs w:val="24"/>
          <w:lang w:val="en-US"/>
        </w:rPr>
      </w:pPr>
    </w:p>
    <w:p w14:paraId="0908CD81" w14:textId="77777777" w:rsidR="004B3DE1" w:rsidRDefault="004B3DE1" w:rsidP="00CE7A9B">
      <w:pPr>
        <w:spacing w:before="240" w:after="0" w:line="360" w:lineRule="auto"/>
        <w:jc w:val="both"/>
        <w:rPr>
          <w:rFonts w:ascii="Arial" w:hAnsi="Arial" w:cs="Arial"/>
          <w:sz w:val="24"/>
          <w:szCs w:val="24"/>
          <w:lang w:val="en-US"/>
        </w:rPr>
      </w:pPr>
    </w:p>
    <w:p w14:paraId="31C0795C" w14:textId="77777777" w:rsidR="004B3DE1" w:rsidRDefault="004B3DE1" w:rsidP="00CE7A9B">
      <w:pPr>
        <w:spacing w:before="240" w:after="0" w:line="360" w:lineRule="auto"/>
        <w:jc w:val="both"/>
        <w:rPr>
          <w:rFonts w:ascii="Arial" w:hAnsi="Arial" w:cs="Arial"/>
          <w:sz w:val="24"/>
          <w:szCs w:val="24"/>
          <w:lang w:val="en-US"/>
        </w:rPr>
      </w:pPr>
    </w:p>
    <w:p w14:paraId="3FFC960D" w14:textId="77777777" w:rsidR="00C57961" w:rsidRPr="00F82393" w:rsidRDefault="00E63594" w:rsidP="00CE7A9B">
      <w:pPr>
        <w:spacing w:before="240" w:after="0" w:line="360" w:lineRule="auto"/>
        <w:jc w:val="both"/>
        <w:rPr>
          <w:rFonts w:ascii="Arial" w:hAnsi="Arial" w:cs="Arial"/>
          <w:sz w:val="24"/>
          <w:szCs w:val="24"/>
          <w:lang w:val="en-US"/>
        </w:rPr>
      </w:pPr>
      <w:r w:rsidRPr="00F82393">
        <w:rPr>
          <w:rFonts w:ascii="Arial" w:hAnsi="Arial" w:cs="Arial"/>
          <w:sz w:val="24"/>
          <w:szCs w:val="24"/>
          <w:lang w:val="en-US"/>
        </w:rPr>
        <w:t>Date of hearing:</w:t>
      </w:r>
      <w:r w:rsidR="000B1A9A">
        <w:rPr>
          <w:rFonts w:ascii="Arial" w:hAnsi="Arial" w:cs="Arial"/>
          <w:sz w:val="24"/>
          <w:szCs w:val="24"/>
          <w:lang w:val="en-US"/>
        </w:rPr>
        <w:tab/>
      </w:r>
      <w:r w:rsidR="000B1A9A">
        <w:rPr>
          <w:rFonts w:ascii="Arial" w:hAnsi="Arial" w:cs="Arial"/>
          <w:sz w:val="24"/>
          <w:szCs w:val="24"/>
          <w:lang w:val="en-US"/>
        </w:rPr>
        <w:tab/>
      </w:r>
      <w:r w:rsidR="00FA76CA">
        <w:rPr>
          <w:rFonts w:ascii="Arial" w:hAnsi="Arial" w:cs="Arial"/>
          <w:sz w:val="24"/>
          <w:szCs w:val="24"/>
          <w:lang w:val="en-US"/>
        </w:rPr>
        <w:t>16</w:t>
      </w:r>
      <w:r w:rsidR="00A64E69">
        <w:rPr>
          <w:rFonts w:ascii="Arial" w:hAnsi="Arial" w:cs="Arial"/>
          <w:sz w:val="24"/>
          <w:szCs w:val="24"/>
          <w:lang w:val="en-US"/>
        </w:rPr>
        <w:t xml:space="preserve"> August 2023</w:t>
      </w:r>
    </w:p>
    <w:p w14:paraId="581547D3" w14:textId="77777777" w:rsidR="00C57961" w:rsidRPr="00F82393" w:rsidRDefault="00E63594" w:rsidP="00CE7A9B">
      <w:pPr>
        <w:spacing w:before="240" w:after="0" w:line="360" w:lineRule="auto"/>
        <w:jc w:val="both"/>
        <w:rPr>
          <w:rFonts w:ascii="Arial" w:hAnsi="Arial" w:cs="Arial"/>
          <w:sz w:val="24"/>
          <w:szCs w:val="24"/>
          <w:lang w:val="en-US"/>
        </w:rPr>
      </w:pPr>
      <w:r w:rsidRPr="00F82393">
        <w:rPr>
          <w:rFonts w:ascii="Arial" w:hAnsi="Arial" w:cs="Arial"/>
          <w:sz w:val="24"/>
          <w:szCs w:val="24"/>
          <w:lang w:val="en-US"/>
        </w:rPr>
        <w:t>Delivered:</w:t>
      </w:r>
      <w:r w:rsidR="0024382B">
        <w:rPr>
          <w:rFonts w:ascii="Arial" w:hAnsi="Arial" w:cs="Arial"/>
          <w:sz w:val="24"/>
          <w:szCs w:val="24"/>
          <w:lang w:val="en-US"/>
        </w:rPr>
        <w:tab/>
      </w:r>
      <w:r w:rsidR="0024382B">
        <w:rPr>
          <w:rFonts w:ascii="Arial" w:hAnsi="Arial" w:cs="Arial"/>
          <w:sz w:val="24"/>
          <w:szCs w:val="24"/>
          <w:lang w:val="en-US"/>
        </w:rPr>
        <w:tab/>
      </w:r>
      <w:r w:rsidR="0024382B">
        <w:rPr>
          <w:rFonts w:ascii="Arial" w:hAnsi="Arial" w:cs="Arial"/>
          <w:sz w:val="24"/>
          <w:szCs w:val="24"/>
          <w:lang w:val="en-US"/>
        </w:rPr>
        <w:tab/>
      </w:r>
      <w:r w:rsidR="00604BAC">
        <w:rPr>
          <w:rFonts w:ascii="Arial" w:hAnsi="Arial" w:cs="Arial"/>
          <w:sz w:val="24"/>
          <w:szCs w:val="24"/>
          <w:lang w:val="en-US"/>
        </w:rPr>
        <w:t xml:space="preserve"> 6 October</w:t>
      </w:r>
      <w:r w:rsidR="00D143C6">
        <w:rPr>
          <w:rFonts w:ascii="Arial" w:hAnsi="Arial" w:cs="Arial"/>
          <w:sz w:val="24"/>
          <w:szCs w:val="24"/>
          <w:lang w:val="en-US"/>
        </w:rPr>
        <w:t xml:space="preserve"> </w:t>
      </w:r>
      <w:r w:rsidR="0090131E" w:rsidRPr="00F82393">
        <w:rPr>
          <w:rFonts w:ascii="Arial" w:hAnsi="Arial" w:cs="Arial"/>
          <w:sz w:val="24"/>
          <w:szCs w:val="24"/>
          <w:lang w:val="en-US"/>
        </w:rPr>
        <w:t xml:space="preserve"> 2023</w:t>
      </w:r>
    </w:p>
    <w:p w14:paraId="43715CBE" w14:textId="77777777" w:rsidR="00C57961" w:rsidRPr="00F82393" w:rsidRDefault="00C57961" w:rsidP="00CE7A9B">
      <w:pPr>
        <w:spacing w:before="240" w:after="0" w:line="360" w:lineRule="auto"/>
        <w:jc w:val="both"/>
        <w:rPr>
          <w:rFonts w:ascii="Arial" w:hAnsi="Arial" w:cs="Arial"/>
          <w:sz w:val="24"/>
          <w:szCs w:val="24"/>
          <w:lang w:val="en-US"/>
        </w:rPr>
      </w:pPr>
    </w:p>
    <w:p w14:paraId="6EFFBEDC" w14:textId="77777777" w:rsidR="00FA76CA" w:rsidRDefault="00E63594" w:rsidP="00D143C6">
      <w:pPr>
        <w:spacing w:after="0" w:line="360" w:lineRule="auto"/>
        <w:jc w:val="both"/>
        <w:rPr>
          <w:rFonts w:ascii="Arial" w:hAnsi="Arial" w:cs="Arial"/>
          <w:sz w:val="24"/>
          <w:szCs w:val="24"/>
        </w:rPr>
      </w:pPr>
      <w:r>
        <w:rPr>
          <w:rFonts w:ascii="Arial" w:hAnsi="Arial" w:cs="Arial"/>
          <w:sz w:val="24"/>
          <w:szCs w:val="24"/>
          <w:lang w:val="en-US"/>
        </w:rPr>
        <w:t>For the Plaintiff</w:t>
      </w:r>
      <w:r w:rsidR="00064810">
        <w:rPr>
          <w:rFonts w:ascii="Arial" w:hAnsi="Arial" w:cs="Arial"/>
          <w:sz w:val="24"/>
          <w:szCs w:val="24"/>
          <w:lang w:val="en-US"/>
        </w:rPr>
        <w:t>s</w:t>
      </w:r>
      <w:r w:rsidR="002A58DE" w:rsidRPr="00F82393">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r>
      <w:r w:rsidRPr="00FA76CA">
        <w:rPr>
          <w:rFonts w:ascii="Arial" w:hAnsi="Arial" w:cs="Arial"/>
          <w:sz w:val="24"/>
          <w:szCs w:val="24"/>
        </w:rPr>
        <w:t>Adv L Segeels-Ncube</w:t>
      </w:r>
    </w:p>
    <w:p w14:paraId="6449F5F5" w14:textId="77777777" w:rsidR="00EA4232" w:rsidRPr="00F82393" w:rsidRDefault="00E63594" w:rsidP="00D143C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Pr="00397A91">
          <w:rPr>
            <w:rStyle w:val="Hyperlink"/>
            <w:rFonts w:ascii="Arial" w:hAnsi="Arial" w:cs="Arial"/>
            <w:sz w:val="24"/>
            <w:szCs w:val="24"/>
          </w:rPr>
          <w:t>segeels@advocatesa.co.za</w:t>
        </w:r>
      </w:hyperlink>
      <w:r>
        <w:rPr>
          <w:rFonts w:ascii="Arial" w:hAnsi="Arial" w:cs="Arial"/>
          <w:sz w:val="24"/>
          <w:szCs w:val="24"/>
        </w:rPr>
        <w:t xml:space="preserve"> </w:t>
      </w:r>
      <w:r>
        <w:rPr>
          <w:rFonts w:ascii="Arial" w:hAnsi="Arial" w:cs="Arial"/>
          <w:sz w:val="24"/>
          <w:szCs w:val="24"/>
          <w:lang w:val="en-US"/>
        </w:rPr>
        <w:tab/>
      </w:r>
      <w:r>
        <w:rPr>
          <w:rFonts w:ascii="Arial" w:hAnsi="Arial" w:cs="Arial"/>
          <w:sz w:val="24"/>
          <w:szCs w:val="24"/>
          <w:lang w:val="en-US"/>
        </w:rPr>
        <w:tab/>
      </w:r>
      <w:r w:rsidR="002A58DE" w:rsidRPr="00F82393">
        <w:rPr>
          <w:rFonts w:ascii="Arial" w:hAnsi="Arial" w:cs="Arial"/>
          <w:sz w:val="24"/>
          <w:szCs w:val="24"/>
          <w:lang w:val="en-US"/>
        </w:rPr>
        <w:tab/>
      </w:r>
      <w:r w:rsidR="002A58DE" w:rsidRPr="00F82393">
        <w:rPr>
          <w:rFonts w:ascii="Arial" w:hAnsi="Arial" w:cs="Arial"/>
          <w:sz w:val="24"/>
          <w:szCs w:val="24"/>
          <w:lang w:val="en-US"/>
        </w:rPr>
        <w:tab/>
      </w:r>
      <w:r w:rsidR="00BA1C31">
        <w:rPr>
          <w:rFonts w:ascii="Arial" w:hAnsi="Arial" w:cs="Arial"/>
          <w:sz w:val="24"/>
          <w:szCs w:val="24"/>
          <w:lang w:val="en-US"/>
        </w:rPr>
        <w:tab/>
      </w:r>
      <w:r w:rsidR="00212DB4" w:rsidRPr="00F82393">
        <w:rPr>
          <w:rFonts w:ascii="Arial" w:hAnsi="Arial" w:cs="Arial"/>
          <w:sz w:val="24"/>
          <w:szCs w:val="24"/>
        </w:rPr>
        <w:t xml:space="preserve"> </w:t>
      </w:r>
    </w:p>
    <w:p w14:paraId="046D918C" w14:textId="77777777" w:rsidR="00FA76CA" w:rsidRDefault="00E63594" w:rsidP="00D143C6">
      <w:pPr>
        <w:spacing w:after="0" w:line="360" w:lineRule="auto"/>
        <w:jc w:val="both"/>
        <w:rPr>
          <w:rFonts w:ascii="Arial" w:hAnsi="Arial" w:cs="Arial"/>
          <w:sz w:val="24"/>
          <w:szCs w:val="24"/>
        </w:rPr>
      </w:pPr>
      <w:r>
        <w:rPr>
          <w:rFonts w:ascii="Arial" w:hAnsi="Arial" w:cs="Arial"/>
          <w:sz w:val="24"/>
          <w:szCs w:val="24"/>
        </w:rPr>
        <w:t>I</w:t>
      </w:r>
      <w:r w:rsidR="00A60895" w:rsidRPr="00F82393">
        <w:rPr>
          <w:rFonts w:ascii="Arial" w:hAnsi="Arial" w:cs="Arial"/>
          <w:sz w:val="24"/>
          <w:szCs w:val="24"/>
        </w:rPr>
        <w:t>nstructed by:</w:t>
      </w:r>
      <w:r>
        <w:rPr>
          <w:rFonts w:ascii="Arial" w:hAnsi="Arial" w:cs="Arial"/>
          <w:sz w:val="24"/>
          <w:szCs w:val="24"/>
        </w:rPr>
        <w:tab/>
      </w:r>
      <w:r>
        <w:rPr>
          <w:rFonts w:ascii="Arial" w:hAnsi="Arial" w:cs="Arial"/>
          <w:sz w:val="24"/>
          <w:szCs w:val="24"/>
        </w:rPr>
        <w:tab/>
      </w:r>
      <w:r w:rsidRPr="00FA76CA">
        <w:rPr>
          <w:rFonts w:ascii="Arial" w:hAnsi="Arial" w:cs="Arial"/>
          <w:sz w:val="24"/>
          <w:szCs w:val="24"/>
        </w:rPr>
        <w:t>CLIFF DEKKER HOFMEYR INC</w:t>
      </w:r>
    </w:p>
    <w:p w14:paraId="7A755DA8" w14:textId="77777777" w:rsidR="00FA76CA" w:rsidRDefault="00E63594" w:rsidP="00D143C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000B1A9A" w:rsidRPr="00397A91">
          <w:rPr>
            <w:rStyle w:val="Hyperlink"/>
            <w:rFonts w:ascii="Arial" w:hAnsi="Arial" w:cs="Arial"/>
            <w:sz w:val="24"/>
            <w:szCs w:val="24"/>
          </w:rPr>
          <w:t>Krevania.Pillay@cdhlegal.com</w:t>
        </w:r>
      </w:hyperlink>
      <w:r>
        <w:rPr>
          <w:rFonts w:ascii="Arial" w:hAnsi="Arial" w:cs="Arial"/>
          <w:sz w:val="24"/>
          <w:szCs w:val="24"/>
        </w:rPr>
        <w:t xml:space="preserve"> </w:t>
      </w:r>
    </w:p>
    <w:p w14:paraId="0396DFE9" w14:textId="77777777" w:rsidR="006D3ADC" w:rsidRDefault="00E63594" w:rsidP="00D143C6">
      <w:pPr>
        <w:spacing w:after="0" w:line="360" w:lineRule="auto"/>
        <w:jc w:val="both"/>
        <w:rPr>
          <w:rFonts w:ascii="Arial" w:hAnsi="Arial" w:cs="Arial"/>
          <w:color w:val="FF000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60895" w:rsidRPr="00F82393">
        <w:rPr>
          <w:rFonts w:ascii="Arial" w:hAnsi="Arial" w:cs="Arial"/>
          <w:sz w:val="24"/>
          <w:szCs w:val="24"/>
        </w:rPr>
        <w:tab/>
      </w:r>
      <w:r w:rsidR="00A60895" w:rsidRPr="00F82393">
        <w:rPr>
          <w:rFonts w:ascii="Arial" w:hAnsi="Arial" w:cs="Arial"/>
          <w:sz w:val="24"/>
          <w:szCs w:val="24"/>
        </w:rPr>
        <w:tab/>
      </w:r>
      <w:r w:rsidR="00A60895" w:rsidRPr="00F82393">
        <w:rPr>
          <w:rFonts w:ascii="Arial" w:hAnsi="Arial" w:cs="Arial"/>
          <w:sz w:val="24"/>
          <w:szCs w:val="24"/>
        </w:rPr>
        <w:tab/>
      </w:r>
      <w:r w:rsidR="00BA1C31">
        <w:rPr>
          <w:rFonts w:ascii="Arial" w:hAnsi="Arial" w:cs="Arial"/>
          <w:sz w:val="24"/>
          <w:szCs w:val="24"/>
        </w:rPr>
        <w:tab/>
      </w:r>
      <w:r w:rsidR="00A60895">
        <w:rPr>
          <w:rFonts w:ascii="Arial" w:hAnsi="Arial" w:cs="Arial"/>
          <w:color w:val="FF0000"/>
          <w:sz w:val="24"/>
          <w:szCs w:val="24"/>
        </w:rPr>
        <w:t xml:space="preserve"> </w:t>
      </w:r>
    </w:p>
    <w:p w14:paraId="4E189415" w14:textId="77777777" w:rsidR="00C57961" w:rsidRPr="00F82393" w:rsidRDefault="00C57961" w:rsidP="00CE7A9B">
      <w:pPr>
        <w:spacing w:before="240" w:after="0" w:line="360" w:lineRule="auto"/>
        <w:jc w:val="both"/>
        <w:rPr>
          <w:rFonts w:ascii="Arial" w:hAnsi="Arial" w:cs="Arial"/>
          <w:sz w:val="24"/>
          <w:szCs w:val="24"/>
        </w:rPr>
      </w:pPr>
    </w:p>
    <w:p w14:paraId="1FF5CA70" w14:textId="77777777" w:rsidR="004078A6" w:rsidRDefault="00E63594" w:rsidP="00D143C6">
      <w:pPr>
        <w:spacing w:after="0" w:line="360" w:lineRule="auto"/>
        <w:jc w:val="both"/>
        <w:rPr>
          <w:rFonts w:ascii="Arial" w:hAnsi="Arial" w:cs="Arial"/>
          <w:sz w:val="24"/>
          <w:szCs w:val="24"/>
        </w:rPr>
      </w:pPr>
      <w:r>
        <w:rPr>
          <w:rFonts w:ascii="Arial" w:hAnsi="Arial" w:cs="Arial"/>
          <w:sz w:val="24"/>
          <w:szCs w:val="24"/>
        </w:rPr>
        <w:t>For the</w:t>
      </w:r>
      <w:r w:rsidR="00D143C6">
        <w:rPr>
          <w:rFonts w:ascii="Arial" w:hAnsi="Arial" w:cs="Arial"/>
          <w:sz w:val="24"/>
          <w:szCs w:val="24"/>
        </w:rPr>
        <w:t xml:space="preserve"> </w:t>
      </w:r>
      <w:r w:rsidR="00FA76CA">
        <w:rPr>
          <w:rFonts w:ascii="Arial" w:hAnsi="Arial" w:cs="Arial"/>
          <w:sz w:val="24"/>
          <w:szCs w:val="24"/>
        </w:rPr>
        <w:t>first</w:t>
      </w:r>
      <w:r>
        <w:rPr>
          <w:rFonts w:ascii="Arial" w:hAnsi="Arial" w:cs="Arial"/>
          <w:sz w:val="24"/>
          <w:szCs w:val="24"/>
        </w:rPr>
        <w:t xml:space="preserve"> Defendant</w:t>
      </w:r>
      <w:r w:rsidR="00585E7B">
        <w:rPr>
          <w:rFonts w:ascii="Arial" w:hAnsi="Arial" w:cs="Arial"/>
          <w:sz w:val="24"/>
          <w:szCs w:val="24"/>
          <w:lang w:val="en-US"/>
        </w:rPr>
        <w:t>:</w:t>
      </w:r>
      <w:r w:rsidR="00FA76CA">
        <w:rPr>
          <w:rFonts w:ascii="Arial" w:hAnsi="Arial" w:cs="Arial"/>
          <w:sz w:val="24"/>
          <w:szCs w:val="24"/>
          <w:lang w:val="en-US"/>
        </w:rPr>
        <w:tab/>
      </w:r>
      <w:r w:rsidR="00FA76CA" w:rsidRPr="00FA76CA">
        <w:rPr>
          <w:rFonts w:ascii="Arial" w:hAnsi="Arial" w:cs="Arial"/>
          <w:sz w:val="24"/>
          <w:szCs w:val="24"/>
        </w:rPr>
        <w:t>Adv. P. Louw S.C</w:t>
      </w:r>
    </w:p>
    <w:p w14:paraId="3363F83D" w14:textId="77777777" w:rsidR="004078A6" w:rsidRDefault="00E63594" w:rsidP="00D143C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1" w:history="1">
        <w:r w:rsidRPr="00397A91">
          <w:rPr>
            <w:rStyle w:val="Hyperlink"/>
            <w:rFonts w:ascii="Arial" w:hAnsi="Arial" w:cs="Arial"/>
            <w:sz w:val="24"/>
            <w:szCs w:val="24"/>
          </w:rPr>
          <w:t>pflouw@law.co.za</w:t>
        </w:r>
      </w:hyperlink>
      <w:r>
        <w:rPr>
          <w:rFonts w:ascii="Arial" w:hAnsi="Arial" w:cs="Arial"/>
          <w:sz w:val="24"/>
          <w:szCs w:val="24"/>
        </w:rPr>
        <w:t xml:space="preserve"> </w:t>
      </w:r>
    </w:p>
    <w:p w14:paraId="1D3715ED" w14:textId="77777777" w:rsidR="00A31C5A" w:rsidRDefault="00E63594" w:rsidP="00D143C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2" w:history="1">
        <w:r w:rsidRPr="00397A91">
          <w:rPr>
            <w:rStyle w:val="Hyperlink"/>
            <w:rFonts w:ascii="Arial" w:hAnsi="Arial" w:cs="Arial"/>
            <w:sz w:val="24"/>
            <w:szCs w:val="24"/>
          </w:rPr>
          <w:t>gjkotze@counsel.co.za</w:t>
        </w:r>
      </w:hyperlink>
      <w:r>
        <w:rPr>
          <w:rFonts w:ascii="Arial" w:hAnsi="Arial" w:cs="Arial"/>
          <w:sz w:val="24"/>
          <w:szCs w:val="24"/>
        </w:rPr>
        <w:t xml:space="preserve"> </w:t>
      </w:r>
      <w:r w:rsidR="00585E7B">
        <w:rPr>
          <w:rFonts w:ascii="Arial" w:hAnsi="Arial" w:cs="Arial"/>
          <w:sz w:val="24"/>
          <w:szCs w:val="24"/>
          <w:lang w:val="en-US"/>
        </w:rPr>
        <w:tab/>
      </w:r>
      <w:r w:rsidR="00585E7B">
        <w:rPr>
          <w:rFonts w:ascii="Arial" w:hAnsi="Arial" w:cs="Arial"/>
          <w:sz w:val="24"/>
          <w:szCs w:val="24"/>
          <w:lang w:val="en-US"/>
        </w:rPr>
        <w:tab/>
      </w:r>
    </w:p>
    <w:p w14:paraId="6550EFCD" w14:textId="77777777" w:rsidR="004078A6" w:rsidRDefault="00E63594" w:rsidP="00D143C6">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Pr="004078A6">
        <w:rPr>
          <w:rFonts w:ascii="Arial" w:hAnsi="Arial" w:cs="Arial"/>
          <w:sz w:val="24"/>
          <w:szCs w:val="24"/>
        </w:rPr>
        <w:t>COWAN-HARPER-MADIKIZELA ATTORNEYS</w:t>
      </w:r>
    </w:p>
    <w:p w14:paraId="6D0C68FB" w14:textId="77777777" w:rsidR="006D3ADC" w:rsidRDefault="00E63594" w:rsidP="00D143C6">
      <w:pPr>
        <w:spacing w:after="0" w:line="360" w:lineRule="auto"/>
        <w:jc w:val="both"/>
        <w:rPr>
          <w:rFonts w:ascii="Arial" w:hAnsi="Arial" w:cs="Arial"/>
          <w:color w:val="FF000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3" w:history="1">
        <w:r w:rsidRPr="00397A91">
          <w:rPr>
            <w:rStyle w:val="Hyperlink"/>
            <w:rFonts w:ascii="Arial" w:hAnsi="Arial" w:cs="Arial"/>
            <w:sz w:val="24"/>
            <w:szCs w:val="24"/>
          </w:rPr>
          <w:t>hkorsten@chmlegal.co.za</w:t>
        </w:r>
      </w:hyperlink>
      <w:r>
        <w:rPr>
          <w:rFonts w:ascii="Arial" w:hAnsi="Arial" w:cs="Arial"/>
          <w:sz w:val="24"/>
          <w:szCs w:val="24"/>
        </w:rPr>
        <w:t xml:space="preserve"> </w:t>
      </w:r>
      <w:r w:rsidR="00212DB4">
        <w:rPr>
          <w:rFonts w:ascii="Arial" w:hAnsi="Arial" w:cs="Arial"/>
          <w:sz w:val="24"/>
          <w:szCs w:val="24"/>
        </w:rPr>
        <w:tab/>
      </w:r>
      <w:r w:rsidR="00212DB4">
        <w:rPr>
          <w:rFonts w:ascii="Arial" w:hAnsi="Arial" w:cs="Arial"/>
          <w:sz w:val="24"/>
          <w:szCs w:val="24"/>
        </w:rPr>
        <w:tab/>
      </w:r>
      <w:r w:rsidR="00BA1C31">
        <w:rPr>
          <w:rFonts w:ascii="Arial" w:hAnsi="Arial" w:cs="Arial"/>
          <w:sz w:val="24"/>
          <w:szCs w:val="24"/>
        </w:rPr>
        <w:tab/>
      </w:r>
      <w:r w:rsidR="00921795">
        <w:rPr>
          <w:rFonts w:ascii="Arial" w:hAnsi="Arial" w:cs="Arial"/>
          <w:color w:val="FF0000"/>
          <w:sz w:val="24"/>
          <w:szCs w:val="24"/>
        </w:rPr>
        <w:t xml:space="preserve"> </w:t>
      </w:r>
    </w:p>
    <w:p w14:paraId="10245967" w14:textId="77777777" w:rsidR="00AE0C2D" w:rsidRPr="00F82393" w:rsidRDefault="00AE0C2D" w:rsidP="00CE7A9B">
      <w:pPr>
        <w:spacing w:line="360" w:lineRule="auto"/>
        <w:rPr>
          <w:rFonts w:ascii="Arial" w:hAnsi="Arial" w:cs="Arial"/>
          <w:b/>
          <w:bCs/>
          <w:sz w:val="24"/>
          <w:szCs w:val="24"/>
          <w:lang w:val="en-US"/>
        </w:rPr>
      </w:pPr>
    </w:p>
    <w:sectPr w:rsidR="00AE0C2D" w:rsidRPr="00F82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FBE98" w14:textId="77777777" w:rsidR="00EE40C3" w:rsidRDefault="00EE40C3">
      <w:pPr>
        <w:spacing w:after="0" w:line="240" w:lineRule="auto"/>
      </w:pPr>
      <w:r>
        <w:separator/>
      </w:r>
    </w:p>
  </w:endnote>
  <w:endnote w:type="continuationSeparator" w:id="0">
    <w:p w14:paraId="0CE6527B" w14:textId="77777777" w:rsidR="00EE40C3" w:rsidRDefault="00EE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7A8BB" w14:textId="77777777" w:rsidR="00EE40C3" w:rsidRDefault="00EE40C3" w:rsidP="0016118A">
      <w:pPr>
        <w:spacing w:after="0" w:line="240" w:lineRule="auto"/>
      </w:pPr>
      <w:r>
        <w:separator/>
      </w:r>
    </w:p>
  </w:footnote>
  <w:footnote w:type="continuationSeparator" w:id="0">
    <w:p w14:paraId="2CBEB547" w14:textId="77777777" w:rsidR="00EE40C3" w:rsidRDefault="00EE40C3" w:rsidP="0016118A">
      <w:pPr>
        <w:spacing w:after="0" w:line="240" w:lineRule="auto"/>
      </w:pPr>
      <w:r>
        <w:continuationSeparator/>
      </w:r>
    </w:p>
  </w:footnote>
  <w:footnote w:id="1">
    <w:p w14:paraId="20C08923" w14:textId="77777777" w:rsidR="0016118A" w:rsidRPr="0016118A" w:rsidRDefault="00E63594">
      <w:pPr>
        <w:pStyle w:val="FootnoteText"/>
        <w:rPr>
          <w:lang w:val="en-GB"/>
        </w:rPr>
      </w:pPr>
      <w:r>
        <w:rPr>
          <w:rStyle w:val="FootnoteReference"/>
        </w:rPr>
        <w:footnoteRef/>
      </w:r>
      <w:r>
        <w:t xml:space="preserve"> </w:t>
      </w:r>
      <w:r>
        <w:rPr>
          <w:lang w:val="en-GB"/>
        </w:rPr>
        <w:t>The Prescription Act, Act 68 of 1969.</w:t>
      </w:r>
    </w:p>
  </w:footnote>
  <w:footnote w:id="2">
    <w:p w14:paraId="1559BB64" w14:textId="77777777" w:rsidR="0016118A" w:rsidRPr="0016118A" w:rsidRDefault="00E63594">
      <w:pPr>
        <w:pStyle w:val="FootnoteText"/>
        <w:rPr>
          <w:lang w:val="en-GB"/>
        </w:rPr>
      </w:pPr>
      <w:r>
        <w:rPr>
          <w:rStyle w:val="FootnoteReference"/>
        </w:rPr>
        <w:footnoteRef/>
      </w:r>
      <w:r>
        <w:t xml:space="preserve"> </w:t>
      </w:r>
      <w:r w:rsidRPr="0016118A">
        <w:rPr>
          <w:lang w:val="en-US"/>
        </w:rPr>
        <w:t>[ 2012] ZASCA 13 ; 2012 (4) SA 593 (SCA).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338E3B6C">
      <w:start w:val="1"/>
      <w:numFmt w:val="decimal"/>
      <w:lvlText w:val="(%1)"/>
      <w:lvlJc w:val="left"/>
      <w:pPr>
        <w:tabs>
          <w:tab w:val="num" w:pos="900"/>
        </w:tabs>
        <w:ind w:left="900" w:hanging="720"/>
      </w:pPr>
      <w:rPr>
        <w:rFonts w:hint="default"/>
      </w:rPr>
    </w:lvl>
    <w:lvl w:ilvl="1" w:tplc="FC62BF78" w:tentative="1">
      <w:start w:val="1"/>
      <w:numFmt w:val="lowerLetter"/>
      <w:lvlText w:val="%2."/>
      <w:lvlJc w:val="left"/>
      <w:pPr>
        <w:tabs>
          <w:tab w:val="num" w:pos="1260"/>
        </w:tabs>
        <w:ind w:left="1260" w:hanging="360"/>
      </w:pPr>
    </w:lvl>
    <w:lvl w:ilvl="2" w:tplc="EDCA01E6" w:tentative="1">
      <w:start w:val="1"/>
      <w:numFmt w:val="lowerRoman"/>
      <w:lvlText w:val="%3."/>
      <w:lvlJc w:val="right"/>
      <w:pPr>
        <w:tabs>
          <w:tab w:val="num" w:pos="1980"/>
        </w:tabs>
        <w:ind w:left="1980" w:hanging="180"/>
      </w:pPr>
    </w:lvl>
    <w:lvl w:ilvl="3" w:tplc="296A2298" w:tentative="1">
      <w:start w:val="1"/>
      <w:numFmt w:val="decimal"/>
      <w:lvlText w:val="%4."/>
      <w:lvlJc w:val="left"/>
      <w:pPr>
        <w:tabs>
          <w:tab w:val="num" w:pos="2700"/>
        </w:tabs>
        <w:ind w:left="2700" w:hanging="360"/>
      </w:pPr>
    </w:lvl>
    <w:lvl w:ilvl="4" w:tplc="80888A1A" w:tentative="1">
      <w:start w:val="1"/>
      <w:numFmt w:val="lowerLetter"/>
      <w:lvlText w:val="%5."/>
      <w:lvlJc w:val="left"/>
      <w:pPr>
        <w:tabs>
          <w:tab w:val="num" w:pos="3420"/>
        </w:tabs>
        <w:ind w:left="3420" w:hanging="360"/>
      </w:pPr>
    </w:lvl>
    <w:lvl w:ilvl="5" w:tplc="AE7A2FF8" w:tentative="1">
      <w:start w:val="1"/>
      <w:numFmt w:val="lowerRoman"/>
      <w:lvlText w:val="%6."/>
      <w:lvlJc w:val="right"/>
      <w:pPr>
        <w:tabs>
          <w:tab w:val="num" w:pos="4140"/>
        </w:tabs>
        <w:ind w:left="4140" w:hanging="180"/>
      </w:pPr>
    </w:lvl>
    <w:lvl w:ilvl="6" w:tplc="956E1C28" w:tentative="1">
      <w:start w:val="1"/>
      <w:numFmt w:val="decimal"/>
      <w:lvlText w:val="%7."/>
      <w:lvlJc w:val="left"/>
      <w:pPr>
        <w:tabs>
          <w:tab w:val="num" w:pos="4860"/>
        </w:tabs>
        <w:ind w:left="4860" w:hanging="360"/>
      </w:pPr>
    </w:lvl>
    <w:lvl w:ilvl="7" w:tplc="7646B51C" w:tentative="1">
      <w:start w:val="1"/>
      <w:numFmt w:val="lowerLetter"/>
      <w:lvlText w:val="%8."/>
      <w:lvlJc w:val="left"/>
      <w:pPr>
        <w:tabs>
          <w:tab w:val="num" w:pos="5580"/>
        </w:tabs>
        <w:ind w:left="5580" w:hanging="360"/>
      </w:pPr>
    </w:lvl>
    <w:lvl w:ilvl="8" w:tplc="83D4D6A0" w:tentative="1">
      <w:start w:val="1"/>
      <w:numFmt w:val="lowerRoman"/>
      <w:lvlText w:val="%9."/>
      <w:lvlJc w:val="right"/>
      <w:pPr>
        <w:tabs>
          <w:tab w:val="num" w:pos="6300"/>
        </w:tabs>
        <w:ind w:left="6300" w:hanging="180"/>
      </w:pPr>
    </w:lvl>
  </w:abstractNum>
  <w:abstractNum w:abstractNumId="1" w15:restartNumberingAfterBreak="0">
    <w:nsid w:val="4D7004AE"/>
    <w:multiLevelType w:val="hybridMultilevel"/>
    <w:tmpl w:val="525A9AB0"/>
    <w:lvl w:ilvl="0" w:tplc="014616D0">
      <w:start w:val="1"/>
      <w:numFmt w:val="decimal"/>
      <w:lvlText w:val="%1."/>
      <w:lvlJc w:val="left"/>
      <w:pPr>
        <w:ind w:left="1211" w:hanging="360"/>
      </w:pPr>
      <w:rPr>
        <w:rFonts w:ascii="Arial" w:eastAsiaTheme="minorHAnsi" w:hAnsi="Arial" w:cs="Arial"/>
      </w:rPr>
    </w:lvl>
    <w:lvl w:ilvl="1" w:tplc="7A28C546" w:tentative="1">
      <w:start w:val="1"/>
      <w:numFmt w:val="lowerLetter"/>
      <w:lvlText w:val="%2."/>
      <w:lvlJc w:val="left"/>
      <w:pPr>
        <w:ind w:left="1931" w:hanging="360"/>
      </w:pPr>
    </w:lvl>
    <w:lvl w:ilvl="2" w:tplc="B9662876" w:tentative="1">
      <w:start w:val="1"/>
      <w:numFmt w:val="lowerRoman"/>
      <w:lvlText w:val="%3."/>
      <w:lvlJc w:val="right"/>
      <w:pPr>
        <w:ind w:left="2651" w:hanging="180"/>
      </w:pPr>
    </w:lvl>
    <w:lvl w:ilvl="3" w:tplc="7CE4AF14" w:tentative="1">
      <w:start w:val="1"/>
      <w:numFmt w:val="decimal"/>
      <w:lvlText w:val="%4."/>
      <w:lvlJc w:val="left"/>
      <w:pPr>
        <w:ind w:left="3371" w:hanging="360"/>
      </w:pPr>
    </w:lvl>
    <w:lvl w:ilvl="4" w:tplc="4894D6C2" w:tentative="1">
      <w:start w:val="1"/>
      <w:numFmt w:val="lowerLetter"/>
      <w:lvlText w:val="%5."/>
      <w:lvlJc w:val="left"/>
      <w:pPr>
        <w:ind w:left="4091" w:hanging="360"/>
      </w:pPr>
    </w:lvl>
    <w:lvl w:ilvl="5" w:tplc="79308DE8" w:tentative="1">
      <w:start w:val="1"/>
      <w:numFmt w:val="lowerRoman"/>
      <w:lvlText w:val="%6."/>
      <w:lvlJc w:val="right"/>
      <w:pPr>
        <w:ind w:left="4811" w:hanging="180"/>
      </w:pPr>
    </w:lvl>
    <w:lvl w:ilvl="6" w:tplc="6EF41970" w:tentative="1">
      <w:start w:val="1"/>
      <w:numFmt w:val="decimal"/>
      <w:lvlText w:val="%7."/>
      <w:lvlJc w:val="left"/>
      <w:pPr>
        <w:ind w:left="5531" w:hanging="360"/>
      </w:pPr>
    </w:lvl>
    <w:lvl w:ilvl="7" w:tplc="5BC408BE" w:tentative="1">
      <w:start w:val="1"/>
      <w:numFmt w:val="lowerLetter"/>
      <w:lvlText w:val="%8."/>
      <w:lvlJc w:val="left"/>
      <w:pPr>
        <w:ind w:left="6251" w:hanging="360"/>
      </w:pPr>
    </w:lvl>
    <w:lvl w:ilvl="8" w:tplc="C7BAB6E0" w:tentative="1">
      <w:start w:val="1"/>
      <w:numFmt w:val="lowerRoman"/>
      <w:lvlText w:val="%9."/>
      <w:lvlJc w:val="right"/>
      <w:pPr>
        <w:ind w:left="6971" w:hanging="180"/>
      </w:pPr>
    </w:lvl>
  </w:abstractNum>
  <w:abstractNum w:abstractNumId="2" w15:restartNumberingAfterBreak="0">
    <w:nsid w:val="65E374B3"/>
    <w:multiLevelType w:val="hybridMultilevel"/>
    <w:tmpl w:val="6AFE1C76"/>
    <w:lvl w:ilvl="0" w:tplc="1F16E530">
      <w:start w:val="1"/>
      <w:numFmt w:val="decimal"/>
      <w:lvlText w:val="[%1]"/>
      <w:lvlJc w:val="left"/>
      <w:pPr>
        <w:ind w:left="720" w:hanging="360"/>
      </w:pPr>
      <w:rPr>
        <w:rFonts w:ascii="Arial" w:hAnsi="Arial" w:cs="Arial" w:hint="default"/>
        <w:b w:val="0"/>
        <w:i w:val="0"/>
        <w:sz w:val="24"/>
        <w:szCs w:val="24"/>
      </w:rPr>
    </w:lvl>
    <w:lvl w:ilvl="1" w:tplc="E1A89948" w:tentative="1">
      <w:start w:val="1"/>
      <w:numFmt w:val="lowerLetter"/>
      <w:lvlText w:val="%2."/>
      <w:lvlJc w:val="left"/>
      <w:pPr>
        <w:ind w:left="1440" w:hanging="360"/>
      </w:pPr>
    </w:lvl>
    <w:lvl w:ilvl="2" w:tplc="DC0EAF1C" w:tentative="1">
      <w:start w:val="1"/>
      <w:numFmt w:val="lowerRoman"/>
      <w:lvlText w:val="%3."/>
      <w:lvlJc w:val="right"/>
      <w:pPr>
        <w:ind w:left="2160" w:hanging="180"/>
      </w:pPr>
    </w:lvl>
    <w:lvl w:ilvl="3" w:tplc="4AB6B520" w:tentative="1">
      <w:start w:val="1"/>
      <w:numFmt w:val="decimal"/>
      <w:lvlText w:val="%4."/>
      <w:lvlJc w:val="left"/>
      <w:pPr>
        <w:ind w:left="2880" w:hanging="360"/>
      </w:pPr>
    </w:lvl>
    <w:lvl w:ilvl="4" w:tplc="21A8907E" w:tentative="1">
      <w:start w:val="1"/>
      <w:numFmt w:val="lowerLetter"/>
      <w:lvlText w:val="%5."/>
      <w:lvlJc w:val="left"/>
      <w:pPr>
        <w:ind w:left="3600" w:hanging="360"/>
      </w:pPr>
    </w:lvl>
    <w:lvl w:ilvl="5" w:tplc="C4603FBC" w:tentative="1">
      <w:start w:val="1"/>
      <w:numFmt w:val="lowerRoman"/>
      <w:lvlText w:val="%6."/>
      <w:lvlJc w:val="right"/>
      <w:pPr>
        <w:ind w:left="4320" w:hanging="180"/>
      </w:pPr>
    </w:lvl>
    <w:lvl w:ilvl="6" w:tplc="A50AEEEE" w:tentative="1">
      <w:start w:val="1"/>
      <w:numFmt w:val="decimal"/>
      <w:lvlText w:val="%7."/>
      <w:lvlJc w:val="left"/>
      <w:pPr>
        <w:ind w:left="5040" w:hanging="360"/>
      </w:pPr>
    </w:lvl>
    <w:lvl w:ilvl="7" w:tplc="AB42920E" w:tentative="1">
      <w:start w:val="1"/>
      <w:numFmt w:val="lowerLetter"/>
      <w:lvlText w:val="%8."/>
      <w:lvlJc w:val="left"/>
      <w:pPr>
        <w:ind w:left="5760" w:hanging="360"/>
      </w:pPr>
    </w:lvl>
    <w:lvl w:ilvl="8" w:tplc="86EEEC64"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40"/>
    <w:rsid w:val="00003577"/>
    <w:rsid w:val="00004BA7"/>
    <w:rsid w:val="00010260"/>
    <w:rsid w:val="00012E80"/>
    <w:rsid w:val="0002246C"/>
    <w:rsid w:val="000247E7"/>
    <w:rsid w:val="00027404"/>
    <w:rsid w:val="0003017E"/>
    <w:rsid w:val="00031EE4"/>
    <w:rsid w:val="0004066A"/>
    <w:rsid w:val="0004743C"/>
    <w:rsid w:val="00053ACF"/>
    <w:rsid w:val="00056DBA"/>
    <w:rsid w:val="00062182"/>
    <w:rsid w:val="00064810"/>
    <w:rsid w:val="00065DFE"/>
    <w:rsid w:val="00077513"/>
    <w:rsid w:val="00084341"/>
    <w:rsid w:val="0009246C"/>
    <w:rsid w:val="000A35E3"/>
    <w:rsid w:val="000A4027"/>
    <w:rsid w:val="000A7B8A"/>
    <w:rsid w:val="000B1A9A"/>
    <w:rsid w:val="000B1B4E"/>
    <w:rsid w:val="000B612C"/>
    <w:rsid w:val="000B6C46"/>
    <w:rsid w:val="000B6E45"/>
    <w:rsid w:val="000C1155"/>
    <w:rsid w:val="000C3906"/>
    <w:rsid w:val="000C62C3"/>
    <w:rsid w:val="000D5D57"/>
    <w:rsid w:val="000D6963"/>
    <w:rsid w:val="000D7F8F"/>
    <w:rsid w:val="000E1D54"/>
    <w:rsid w:val="000E6DED"/>
    <w:rsid w:val="000F001C"/>
    <w:rsid w:val="000F0090"/>
    <w:rsid w:val="000F0123"/>
    <w:rsid w:val="000F6F98"/>
    <w:rsid w:val="00114254"/>
    <w:rsid w:val="00114A8B"/>
    <w:rsid w:val="00115BA2"/>
    <w:rsid w:val="001168D1"/>
    <w:rsid w:val="00117E60"/>
    <w:rsid w:val="0012146A"/>
    <w:rsid w:val="00140BFF"/>
    <w:rsid w:val="001454D5"/>
    <w:rsid w:val="00146713"/>
    <w:rsid w:val="00153DCC"/>
    <w:rsid w:val="001552E0"/>
    <w:rsid w:val="0016118A"/>
    <w:rsid w:val="0016174D"/>
    <w:rsid w:val="00171EAC"/>
    <w:rsid w:val="001746D8"/>
    <w:rsid w:val="001849BF"/>
    <w:rsid w:val="00193951"/>
    <w:rsid w:val="00195CF0"/>
    <w:rsid w:val="0019758A"/>
    <w:rsid w:val="001A13CB"/>
    <w:rsid w:val="001A3023"/>
    <w:rsid w:val="001A65E3"/>
    <w:rsid w:val="001B0FEE"/>
    <w:rsid w:val="001B32C9"/>
    <w:rsid w:val="001C6489"/>
    <w:rsid w:val="001C6C3E"/>
    <w:rsid w:val="001D6FAE"/>
    <w:rsid w:val="001E29D1"/>
    <w:rsid w:val="001E5205"/>
    <w:rsid w:val="001F3A0C"/>
    <w:rsid w:val="001F5E6D"/>
    <w:rsid w:val="001F68DA"/>
    <w:rsid w:val="001F7219"/>
    <w:rsid w:val="00200523"/>
    <w:rsid w:val="002007F6"/>
    <w:rsid w:val="00212DB4"/>
    <w:rsid w:val="00213EBC"/>
    <w:rsid w:val="002153CF"/>
    <w:rsid w:val="0022034B"/>
    <w:rsid w:val="00221329"/>
    <w:rsid w:val="00231407"/>
    <w:rsid w:val="00241F69"/>
    <w:rsid w:val="0024382B"/>
    <w:rsid w:val="00244275"/>
    <w:rsid w:val="00247942"/>
    <w:rsid w:val="00261381"/>
    <w:rsid w:val="00264C1F"/>
    <w:rsid w:val="0026549D"/>
    <w:rsid w:val="002655AA"/>
    <w:rsid w:val="00265AC3"/>
    <w:rsid w:val="0027019C"/>
    <w:rsid w:val="00270DCB"/>
    <w:rsid w:val="00271909"/>
    <w:rsid w:val="00275C0E"/>
    <w:rsid w:val="00276CF8"/>
    <w:rsid w:val="00285734"/>
    <w:rsid w:val="00290ABE"/>
    <w:rsid w:val="002A039B"/>
    <w:rsid w:val="002A3B64"/>
    <w:rsid w:val="002A58DE"/>
    <w:rsid w:val="002B121F"/>
    <w:rsid w:val="002B3928"/>
    <w:rsid w:val="002B6F07"/>
    <w:rsid w:val="002C41D4"/>
    <w:rsid w:val="002C5045"/>
    <w:rsid w:val="002D6668"/>
    <w:rsid w:val="002D6D32"/>
    <w:rsid w:val="002D7187"/>
    <w:rsid w:val="002E5F51"/>
    <w:rsid w:val="002F0F21"/>
    <w:rsid w:val="00302AAF"/>
    <w:rsid w:val="00314257"/>
    <w:rsid w:val="00316A08"/>
    <w:rsid w:val="003220D9"/>
    <w:rsid w:val="00324951"/>
    <w:rsid w:val="0032626D"/>
    <w:rsid w:val="00346D7C"/>
    <w:rsid w:val="00351B74"/>
    <w:rsid w:val="00355175"/>
    <w:rsid w:val="003560BE"/>
    <w:rsid w:val="0035626E"/>
    <w:rsid w:val="00361A9B"/>
    <w:rsid w:val="00362676"/>
    <w:rsid w:val="00362A0F"/>
    <w:rsid w:val="003855BC"/>
    <w:rsid w:val="003915CC"/>
    <w:rsid w:val="00394EAF"/>
    <w:rsid w:val="00397A91"/>
    <w:rsid w:val="003A2028"/>
    <w:rsid w:val="003A2082"/>
    <w:rsid w:val="003A48FC"/>
    <w:rsid w:val="003A7725"/>
    <w:rsid w:val="003C4972"/>
    <w:rsid w:val="003C54B7"/>
    <w:rsid w:val="003C659A"/>
    <w:rsid w:val="003D5FEC"/>
    <w:rsid w:val="003E3874"/>
    <w:rsid w:val="003E5A53"/>
    <w:rsid w:val="003F26E5"/>
    <w:rsid w:val="003F2E7D"/>
    <w:rsid w:val="003F52EA"/>
    <w:rsid w:val="00403010"/>
    <w:rsid w:val="004078A6"/>
    <w:rsid w:val="00407F77"/>
    <w:rsid w:val="0041399C"/>
    <w:rsid w:val="00414518"/>
    <w:rsid w:val="004159D7"/>
    <w:rsid w:val="004165BF"/>
    <w:rsid w:val="00434F72"/>
    <w:rsid w:val="00446C8E"/>
    <w:rsid w:val="0045258C"/>
    <w:rsid w:val="00456536"/>
    <w:rsid w:val="004576A2"/>
    <w:rsid w:val="00457E07"/>
    <w:rsid w:val="004638AD"/>
    <w:rsid w:val="00463C15"/>
    <w:rsid w:val="00466B9A"/>
    <w:rsid w:val="004705AC"/>
    <w:rsid w:val="00471F62"/>
    <w:rsid w:val="00472B82"/>
    <w:rsid w:val="00480502"/>
    <w:rsid w:val="00480608"/>
    <w:rsid w:val="0048519E"/>
    <w:rsid w:val="00493B2C"/>
    <w:rsid w:val="00494A14"/>
    <w:rsid w:val="00497864"/>
    <w:rsid w:val="004A3541"/>
    <w:rsid w:val="004B05B7"/>
    <w:rsid w:val="004B2FEB"/>
    <w:rsid w:val="004B3DE1"/>
    <w:rsid w:val="004B6702"/>
    <w:rsid w:val="004B6FA6"/>
    <w:rsid w:val="004C53AC"/>
    <w:rsid w:val="004C62E3"/>
    <w:rsid w:val="004D5263"/>
    <w:rsid w:val="004D5CE1"/>
    <w:rsid w:val="004D7B54"/>
    <w:rsid w:val="004E4F28"/>
    <w:rsid w:val="004E52C3"/>
    <w:rsid w:val="004E594C"/>
    <w:rsid w:val="004E7A6F"/>
    <w:rsid w:val="004F5D06"/>
    <w:rsid w:val="00502E71"/>
    <w:rsid w:val="0050402D"/>
    <w:rsid w:val="005044B1"/>
    <w:rsid w:val="00515B6C"/>
    <w:rsid w:val="00515F0D"/>
    <w:rsid w:val="00521438"/>
    <w:rsid w:val="00524DFD"/>
    <w:rsid w:val="00530393"/>
    <w:rsid w:val="00532BBC"/>
    <w:rsid w:val="005378E5"/>
    <w:rsid w:val="005407E5"/>
    <w:rsid w:val="00547BB7"/>
    <w:rsid w:val="005503F9"/>
    <w:rsid w:val="00551687"/>
    <w:rsid w:val="0055500C"/>
    <w:rsid w:val="0056716D"/>
    <w:rsid w:val="00570F89"/>
    <w:rsid w:val="00570F91"/>
    <w:rsid w:val="005827E2"/>
    <w:rsid w:val="00585DDC"/>
    <w:rsid w:val="00585E7B"/>
    <w:rsid w:val="00591044"/>
    <w:rsid w:val="00596447"/>
    <w:rsid w:val="005A3A2E"/>
    <w:rsid w:val="005C28DC"/>
    <w:rsid w:val="005C2D42"/>
    <w:rsid w:val="005C41DA"/>
    <w:rsid w:val="005D101F"/>
    <w:rsid w:val="005D35D2"/>
    <w:rsid w:val="005D3B1D"/>
    <w:rsid w:val="005E0E80"/>
    <w:rsid w:val="005E252C"/>
    <w:rsid w:val="005F3F1D"/>
    <w:rsid w:val="005F6160"/>
    <w:rsid w:val="006008D9"/>
    <w:rsid w:val="00604BAC"/>
    <w:rsid w:val="00605579"/>
    <w:rsid w:val="00611165"/>
    <w:rsid w:val="0061705F"/>
    <w:rsid w:val="006274C6"/>
    <w:rsid w:val="00627D58"/>
    <w:rsid w:val="006318F7"/>
    <w:rsid w:val="00631CF1"/>
    <w:rsid w:val="006438A3"/>
    <w:rsid w:val="00646FEF"/>
    <w:rsid w:val="00647714"/>
    <w:rsid w:val="006479F2"/>
    <w:rsid w:val="006510BB"/>
    <w:rsid w:val="00656743"/>
    <w:rsid w:val="00657908"/>
    <w:rsid w:val="00662635"/>
    <w:rsid w:val="0066327E"/>
    <w:rsid w:val="00664421"/>
    <w:rsid w:val="006704C0"/>
    <w:rsid w:val="00671B64"/>
    <w:rsid w:val="00672131"/>
    <w:rsid w:val="00673BA8"/>
    <w:rsid w:val="00675F09"/>
    <w:rsid w:val="00682F78"/>
    <w:rsid w:val="00685C86"/>
    <w:rsid w:val="00685F2E"/>
    <w:rsid w:val="00690A27"/>
    <w:rsid w:val="00692941"/>
    <w:rsid w:val="00695070"/>
    <w:rsid w:val="006A14F9"/>
    <w:rsid w:val="006A1D6B"/>
    <w:rsid w:val="006A23C2"/>
    <w:rsid w:val="006A3C59"/>
    <w:rsid w:val="006B37D1"/>
    <w:rsid w:val="006B3B2C"/>
    <w:rsid w:val="006B5C18"/>
    <w:rsid w:val="006B72E6"/>
    <w:rsid w:val="006C59B0"/>
    <w:rsid w:val="006C6534"/>
    <w:rsid w:val="006D1575"/>
    <w:rsid w:val="006D3ADC"/>
    <w:rsid w:val="006D593E"/>
    <w:rsid w:val="006D5B69"/>
    <w:rsid w:val="006E591D"/>
    <w:rsid w:val="006E792C"/>
    <w:rsid w:val="00704256"/>
    <w:rsid w:val="00710CE7"/>
    <w:rsid w:val="00720B64"/>
    <w:rsid w:val="007239C0"/>
    <w:rsid w:val="007249D3"/>
    <w:rsid w:val="007270E8"/>
    <w:rsid w:val="007368A7"/>
    <w:rsid w:val="007430A0"/>
    <w:rsid w:val="00745229"/>
    <w:rsid w:val="00752E47"/>
    <w:rsid w:val="00756277"/>
    <w:rsid w:val="007565F5"/>
    <w:rsid w:val="00760644"/>
    <w:rsid w:val="00760E19"/>
    <w:rsid w:val="00763074"/>
    <w:rsid w:val="00764B81"/>
    <w:rsid w:val="00775277"/>
    <w:rsid w:val="0078099F"/>
    <w:rsid w:val="0079165A"/>
    <w:rsid w:val="007954F9"/>
    <w:rsid w:val="00796E3E"/>
    <w:rsid w:val="007A1717"/>
    <w:rsid w:val="007A1F3C"/>
    <w:rsid w:val="007A2810"/>
    <w:rsid w:val="007A6F91"/>
    <w:rsid w:val="007A73CC"/>
    <w:rsid w:val="007C3DFD"/>
    <w:rsid w:val="007C3EA5"/>
    <w:rsid w:val="007C56BD"/>
    <w:rsid w:val="007D076F"/>
    <w:rsid w:val="007E1F9E"/>
    <w:rsid w:val="007E356D"/>
    <w:rsid w:val="007F6C7A"/>
    <w:rsid w:val="00807811"/>
    <w:rsid w:val="00807A9E"/>
    <w:rsid w:val="008118B9"/>
    <w:rsid w:val="00822385"/>
    <w:rsid w:val="00822501"/>
    <w:rsid w:val="0082686E"/>
    <w:rsid w:val="00830471"/>
    <w:rsid w:val="00831DAF"/>
    <w:rsid w:val="00832C7E"/>
    <w:rsid w:val="0083355B"/>
    <w:rsid w:val="008375F5"/>
    <w:rsid w:val="00837C7B"/>
    <w:rsid w:val="00837EB1"/>
    <w:rsid w:val="00840172"/>
    <w:rsid w:val="008452A2"/>
    <w:rsid w:val="00846B9A"/>
    <w:rsid w:val="00852E9E"/>
    <w:rsid w:val="00857AEC"/>
    <w:rsid w:val="00862E9F"/>
    <w:rsid w:val="008646E3"/>
    <w:rsid w:val="00872A49"/>
    <w:rsid w:val="00872A8B"/>
    <w:rsid w:val="00875AB0"/>
    <w:rsid w:val="00882E80"/>
    <w:rsid w:val="008867CA"/>
    <w:rsid w:val="00890D4A"/>
    <w:rsid w:val="00893015"/>
    <w:rsid w:val="008943D5"/>
    <w:rsid w:val="0089716F"/>
    <w:rsid w:val="00897C57"/>
    <w:rsid w:val="008A3E44"/>
    <w:rsid w:val="008A649C"/>
    <w:rsid w:val="008A7343"/>
    <w:rsid w:val="008A7CD9"/>
    <w:rsid w:val="008B18D7"/>
    <w:rsid w:val="008B2B26"/>
    <w:rsid w:val="008C5B83"/>
    <w:rsid w:val="008D604C"/>
    <w:rsid w:val="008E3E7F"/>
    <w:rsid w:val="008F455A"/>
    <w:rsid w:val="008F6713"/>
    <w:rsid w:val="00900FC5"/>
    <w:rsid w:val="00901138"/>
    <w:rsid w:val="0090131E"/>
    <w:rsid w:val="00902F21"/>
    <w:rsid w:val="00903534"/>
    <w:rsid w:val="0090458A"/>
    <w:rsid w:val="009050FA"/>
    <w:rsid w:val="009058E9"/>
    <w:rsid w:val="00905E7C"/>
    <w:rsid w:val="00910929"/>
    <w:rsid w:val="00913F95"/>
    <w:rsid w:val="00921795"/>
    <w:rsid w:val="00921D40"/>
    <w:rsid w:val="009236BA"/>
    <w:rsid w:val="00925A42"/>
    <w:rsid w:val="0092743E"/>
    <w:rsid w:val="00932F63"/>
    <w:rsid w:val="00933942"/>
    <w:rsid w:val="009501A7"/>
    <w:rsid w:val="009506CC"/>
    <w:rsid w:val="009515CA"/>
    <w:rsid w:val="00951A75"/>
    <w:rsid w:val="00951C12"/>
    <w:rsid w:val="009636EF"/>
    <w:rsid w:val="00964529"/>
    <w:rsid w:val="00964CBF"/>
    <w:rsid w:val="009653ED"/>
    <w:rsid w:val="00967B10"/>
    <w:rsid w:val="0097477D"/>
    <w:rsid w:val="00975585"/>
    <w:rsid w:val="009774D2"/>
    <w:rsid w:val="00981641"/>
    <w:rsid w:val="00981704"/>
    <w:rsid w:val="009817D6"/>
    <w:rsid w:val="00982111"/>
    <w:rsid w:val="00983DDC"/>
    <w:rsid w:val="00991AD9"/>
    <w:rsid w:val="0099758C"/>
    <w:rsid w:val="009A0498"/>
    <w:rsid w:val="009A38CF"/>
    <w:rsid w:val="009B1FD8"/>
    <w:rsid w:val="009B51D5"/>
    <w:rsid w:val="009B7D4B"/>
    <w:rsid w:val="009C48FB"/>
    <w:rsid w:val="009D2952"/>
    <w:rsid w:val="009D3829"/>
    <w:rsid w:val="009E4984"/>
    <w:rsid w:val="009E7A40"/>
    <w:rsid w:val="009E7B35"/>
    <w:rsid w:val="009F3E11"/>
    <w:rsid w:val="009F4A06"/>
    <w:rsid w:val="00A115AF"/>
    <w:rsid w:val="00A12B0E"/>
    <w:rsid w:val="00A13727"/>
    <w:rsid w:val="00A212A7"/>
    <w:rsid w:val="00A241D0"/>
    <w:rsid w:val="00A31C5A"/>
    <w:rsid w:val="00A340E8"/>
    <w:rsid w:val="00A362C6"/>
    <w:rsid w:val="00A44973"/>
    <w:rsid w:val="00A47B07"/>
    <w:rsid w:val="00A47DF1"/>
    <w:rsid w:val="00A60895"/>
    <w:rsid w:val="00A63727"/>
    <w:rsid w:val="00A64E69"/>
    <w:rsid w:val="00A7157F"/>
    <w:rsid w:val="00A807E9"/>
    <w:rsid w:val="00A9377D"/>
    <w:rsid w:val="00A93FF9"/>
    <w:rsid w:val="00A9776B"/>
    <w:rsid w:val="00AB0BF9"/>
    <w:rsid w:val="00AB3F14"/>
    <w:rsid w:val="00AB7BFD"/>
    <w:rsid w:val="00AC425C"/>
    <w:rsid w:val="00AC7642"/>
    <w:rsid w:val="00AD4545"/>
    <w:rsid w:val="00AD6CC9"/>
    <w:rsid w:val="00AE0790"/>
    <w:rsid w:val="00AE0C2D"/>
    <w:rsid w:val="00AE2910"/>
    <w:rsid w:val="00AE5374"/>
    <w:rsid w:val="00AE6E50"/>
    <w:rsid w:val="00AE78BC"/>
    <w:rsid w:val="00AF057A"/>
    <w:rsid w:val="00AF67F6"/>
    <w:rsid w:val="00B00E80"/>
    <w:rsid w:val="00B06178"/>
    <w:rsid w:val="00B14942"/>
    <w:rsid w:val="00B162CA"/>
    <w:rsid w:val="00B20C6A"/>
    <w:rsid w:val="00B25B06"/>
    <w:rsid w:val="00B346A8"/>
    <w:rsid w:val="00B40774"/>
    <w:rsid w:val="00B411CD"/>
    <w:rsid w:val="00B41CD4"/>
    <w:rsid w:val="00B43077"/>
    <w:rsid w:val="00B440C5"/>
    <w:rsid w:val="00B45A4A"/>
    <w:rsid w:val="00B47937"/>
    <w:rsid w:val="00B51E52"/>
    <w:rsid w:val="00B54134"/>
    <w:rsid w:val="00B54880"/>
    <w:rsid w:val="00B56E80"/>
    <w:rsid w:val="00B60085"/>
    <w:rsid w:val="00B6347B"/>
    <w:rsid w:val="00B65639"/>
    <w:rsid w:val="00B65804"/>
    <w:rsid w:val="00B7082F"/>
    <w:rsid w:val="00B73800"/>
    <w:rsid w:val="00B75102"/>
    <w:rsid w:val="00B761F4"/>
    <w:rsid w:val="00B806BB"/>
    <w:rsid w:val="00B81835"/>
    <w:rsid w:val="00B9061E"/>
    <w:rsid w:val="00B96C01"/>
    <w:rsid w:val="00BA1C31"/>
    <w:rsid w:val="00BA6321"/>
    <w:rsid w:val="00BC21D4"/>
    <w:rsid w:val="00BC270C"/>
    <w:rsid w:val="00BC5CAE"/>
    <w:rsid w:val="00BC711A"/>
    <w:rsid w:val="00BD5091"/>
    <w:rsid w:val="00BE5756"/>
    <w:rsid w:val="00BE6F29"/>
    <w:rsid w:val="00C00B46"/>
    <w:rsid w:val="00C0214D"/>
    <w:rsid w:val="00C0485B"/>
    <w:rsid w:val="00C05C83"/>
    <w:rsid w:val="00C11484"/>
    <w:rsid w:val="00C13FA9"/>
    <w:rsid w:val="00C27B83"/>
    <w:rsid w:val="00C31194"/>
    <w:rsid w:val="00C31FCC"/>
    <w:rsid w:val="00C370D5"/>
    <w:rsid w:val="00C4107C"/>
    <w:rsid w:val="00C47479"/>
    <w:rsid w:val="00C509E3"/>
    <w:rsid w:val="00C57961"/>
    <w:rsid w:val="00C63274"/>
    <w:rsid w:val="00C67C25"/>
    <w:rsid w:val="00C70A94"/>
    <w:rsid w:val="00C8262F"/>
    <w:rsid w:val="00C87CE4"/>
    <w:rsid w:val="00C92C6D"/>
    <w:rsid w:val="00C97720"/>
    <w:rsid w:val="00CA07F6"/>
    <w:rsid w:val="00CA2796"/>
    <w:rsid w:val="00CA718A"/>
    <w:rsid w:val="00CC0E69"/>
    <w:rsid w:val="00CC1D4D"/>
    <w:rsid w:val="00CC272B"/>
    <w:rsid w:val="00CD3856"/>
    <w:rsid w:val="00CD79F6"/>
    <w:rsid w:val="00CE1453"/>
    <w:rsid w:val="00CE32DE"/>
    <w:rsid w:val="00CE37EE"/>
    <w:rsid w:val="00CE401E"/>
    <w:rsid w:val="00CE7A9B"/>
    <w:rsid w:val="00CF2044"/>
    <w:rsid w:val="00CF4B19"/>
    <w:rsid w:val="00CF72BA"/>
    <w:rsid w:val="00D004D6"/>
    <w:rsid w:val="00D04D32"/>
    <w:rsid w:val="00D06021"/>
    <w:rsid w:val="00D06188"/>
    <w:rsid w:val="00D061C2"/>
    <w:rsid w:val="00D112C6"/>
    <w:rsid w:val="00D14241"/>
    <w:rsid w:val="00D143C6"/>
    <w:rsid w:val="00D24705"/>
    <w:rsid w:val="00D26013"/>
    <w:rsid w:val="00D31DA8"/>
    <w:rsid w:val="00D3205F"/>
    <w:rsid w:val="00D33997"/>
    <w:rsid w:val="00D361AE"/>
    <w:rsid w:val="00D424F5"/>
    <w:rsid w:val="00D42CE0"/>
    <w:rsid w:val="00D44686"/>
    <w:rsid w:val="00D46870"/>
    <w:rsid w:val="00D5091D"/>
    <w:rsid w:val="00D619AD"/>
    <w:rsid w:val="00D6333A"/>
    <w:rsid w:val="00D634BC"/>
    <w:rsid w:val="00D65D68"/>
    <w:rsid w:val="00D670D7"/>
    <w:rsid w:val="00D7512C"/>
    <w:rsid w:val="00D81FAC"/>
    <w:rsid w:val="00D83CFE"/>
    <w:rsid w:val="00D84EE7"/>
    <w:rsid w:val="00D87D87"/>
    <w:rsid w:val="00D90125"/>
    <w:rsid w:val="00D94813"/>
    <w:rsid w:val="00DA6EE6"/>
    <w:rsid w:val="00DB607C"/>
    <w:rsid w:val="00DB71EF"/>
    <w:rsid w:val="00DB78A3"/>
    <w:rsid w:val="00DC0C92"/>
    <w:rsid w:val="00DC0F51"/>
    <w:rsid w:val="00DE3150"/>
    <w:rsid w:val="00DE4C26"/>
    <w:rsid w:val="00DF235F"/>
    <w:rsid w:val="00DF2D14"/>
    <w:rsid w:val="00E00AFC"/>
    <w:rsid w:val="00E02AF9"/>
    <w:rsid w:val="00E04016"/>
    <w:rsid w:val="00E1737D"/>
    <w:rsid w:val="00E23489"/>
    <w:rsid w:val="00E310B0"/>
    <w:rsid w:val="00E325FC"/>
    <w:rsid w:val="00E3362F"/>
    <w:rsid w:val="00E35750"/>
    <w:rsid w:val="00E43BB7"/>
    <w:rsid w:val="00E4621F"/>
    <w:rsid w:val="00E63594"/>
    <w:rsid w:val="00E727FC"/>
    <w:rsid w:val="00E91A17"/>
    <w:rsid w:val="00EA4232"/>
    <w:rsid w:val="00EB080B"/>
    <w:rsid w:val="00EC1251"/>
    <w:rsid w:val="00ED21C2"/>
    <w:rsid w:val="00ED751B"/>
    <w:rsid w:val="00EE1E10"/>
    <w:rsid w:val="00EE40C3"/>
    <w:rsid w:val="00EE747D"/>
    <w:rsid w:val="00EF12FB"/>
    <w:rsid w:val="00EF1DCC"/>
    <w:rsid w:val="00EF7BE4"/>
    <w:rsid w:val="00F003BE"/>
    <w:rsid w:val="00F01290"/>
    <w:rsid w:val="00F024F1"/>
    <w:rsid w:val="00F0625D"/>
    <w:rsid w:val="00F10817"/>
    <w:rsid w:val="00F1317F"/>
    <w:rsid w:val="00F15C4A"/>
    <w:rsid w:val="00F160AB"/>
    <w:rsid w:val="00F2174E"/>
    <w:rsid w:val="00F33D88"/>
    <w:rsid w:val="00F40878"/>
    <w:rsid w:val="00F436C3"/>
    <w:rsid w:val="00F44340"/>
    <w:rsid w:val="00F51A72"/>
    <w:rsid w:val="00F6157D"/>
    <w:rsid w:val="00F647DA"/>
    <w:rsid w:val="00F65053"/>
    <w:rsid w:val="00F735C3"/>
    <w:rsid w:val="00F75282"/>
    <w:rsid w:val="00F7617C"/>
    <w:rsid w:val="00F76FE0"/>
    <w:rsid w:val="00F77B82"/>
    <w:rsid w:val="00F82393"/>
    <w:rsid w:val="00F868DE"/>
    <w:rsid w:val="00F9374C"/>
    <w:rsid w:val="00F9704E"/>
    <w:rsid w:val="00F97814"/>
    <w:rsid w:val="00FA2FFF"/>
    <w:rsid w:val="00FA32C9"/>
    <w:rsid w:val="00FA365E"/>
    <w:rsid w:val="00FA4237"/>
    <w:rsid w:val="00FA61AF"/>
    <w:rsid w:val="00FA6B13"/>
    <w:rsid w:val="00FA76CA"/>
    <w:rsid w:val="00FB08C5"/>
    <w:rsid w:val="00FB18F9"/>
    <w:rsid w:val="00FB5573"/>
    <w:rsid w:val="00FB6BF7"/>
    <w:rsid w:val="00FC1240"/>
    <w:rsid w:val="00FC4895"/>
    <w:rsid w:val="00FC7F51"/>
    <w:rsid w:val="00FD5288"/>
    <w:rsid w:val="00FD6BDA"/>
    <w:rsid w:val="00FE1DAB"/>
    <w:rsid w:val="00FE6734"/>
    <w:rsid w:val="00FF06BD"/>
    <w:rsid w:val="00FF59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11AC"/>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 w:type="character" w:customStyle="1" w:styleId="UnresolvedMention">
    <w:name w:val="Unresolved Mention"/>
    <w:basedOn w:val="DefaultParagraphFont"/>
    <w:uiPriority w:val="99"/>
    <w:semiHidden/>
    <w:unhideWhenUsed/>
    <w:rsid w:val="00FA7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korsten@chmleg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jkotze@counsel.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louw@law.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evania.Pillay@cdhlegal.com" TargetMode="External"/><Relationship Id="rId4" Type="http://schemas.openxmlformats.org/officeDocument/2006/relationships/settings" Target="settings.xml"/><Relationship Id="rId9" Type="http://schemas.openxmlformats.org/officeDocument/2006/relationships/hyperlink" Target="mailto:segeels@advocatesa.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B973-4A1F-42EA-A960-232D2E47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Thupaatlase Tebogo</dc:creator>
  <cp:lastModifiedBy>Mary Bruce</cp:lastModifiedBy>
  <cp:revision>3</cp:revision>
  <cp:lastPrinted>2023-10-06T09:52:00Z</cp:lastPrinted>
  <dcterms:created xsi:type="dcterms:W3CDTF">2023-10-06T13:10:00Z</dcterms:created>
  <dcterms:modified xsi:type="dcterms:W3CDTF">2023-10-06T14:17:00Z</dcterms:modified>
</cp:coreProperties>
</file>