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4662" w14:textId="77777777" w:rsidR="00DD6A31" w:rsidRDefault="00DD6A31" w:rsidP="00B27116">
      <w:pPr>
        <w:jc w:val="center"/>
        <w:rPr>
          <w:b/>
          <w:u w:val="none"/>
          <w:lang w:val="en-ZA"/>
        </w:rPr>
      </w:pPr>
      <w:bookmarkStart w:id="0" w:name="_GoBack"/>
      <w:bookmarkEnd w:id="0"/>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28C5ED84" w:rsidR="009528D8" w:rsidRDefault="00DD6A31" w:rsidP="004E35BA">
      <w:pPr>
        <w:jc w:val="center"/>
        <w:rPr>
          <w:b/>
          <w:u w:val="none"/>
          <w:lang w:val="en-ZA"/>
        </w:rPr>
      </w:pPr>
      <w:r>
        <w:rPr>
          <w:b/>
          <w:u w:val="none"/>
          <w:lang w:val="en-ZA"/>
        </w:rPr>
        <w:t>GAUT</w:t>
      </w:r>
      <w:r w:rsidR="00C405B4">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6BD9ABDB"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DB7750">
        <w:rPr>
          <w:b/>
          <w:u w:val="none"/>
          <w:lang w:val="en-ZA"/>
        </w:rPr>
        <w:t>317</w:t>
      </w:r>
      <w:r w:rsidR="00C405B4">
        <w:rPr>
          <w:b/>
          <w:u w:val="none"/>
          <w:lang w:val="en-ZA"/>
        </w:rPr>
        <w:t>8</w:t>
      </w:r>
      <w:r w:rsidR="00DB7750">
        <w:rPr>
          <w:b/>
          <w:u w:val="none"/>
          <w:lang w:val="en-ZA"/>
        </w:rPr>
        <w:t>3/2014</w:t>
      </w:r>
    </w:p>
    <w:p w14:paraId="16ADFF64" w14:textId="1958A6A9"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p>
    <w:p w14:paraId="2C2B5FFE" w14:textId="56E5D3D6" w:rsidR="00DD6A31" w:rsidRDefault="000850F6" w:rsidP="00DB2E83">
      <w:pPr>
        <w:jc w:val="both"/>
      </w:pPr>
      <w:r>
        <w:rPr>
          <w:noProof/>
          <w:u w:val="none"/>
          <w:lang w:val="en-US" w:eastAsia="en-US"/>
        </w:rPr>
        <mc:AlternateContent>
          <mc:Choice Requires="wps">
            <w:drawing>
              <wp:anchor distT="0" distB="0" distL="114300" distR="114300" simplePos="0" relativeHeight="251658240" behindDoc="0" locked="0" layoutInCell="1" allowOverlap="1" wp14:anchorId="00293FA9" wp14:editId="71F16B66">
                <wp:simplePos x="0" y="0"/>
                <wp:positionH relativeFrom="column">
                  <wp:posOffset>12700</wp:posOffset>
                </wp:positionH>
                <wp:positionV relativeFrom="paragraph">
                  <wp:posOffset>34290</wp:posOffset>
                </wp:positionV>
                <wp:extent cx="3238500" cy="13208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20800"/>
                        </a:xfrm>
                        <a:prstGeom prst="rect">
                          <a:avLst/>
                        </a:prstGeom>
                        <a:solidFill>
                          <a:srgbClr val="FFFFFF"/>
                        </a:solidFill>
                        <a:ln w="9525">
                          <a:solidFill>
                            <a:srgbClr val="000000"/>
                          </a:solidFill>
                          <a:miter lim="800000"/>
                          <a:headEnd/>
                          <a:tailEnd/>
                        </a:ln>
                      </wps:spPr>
                      <wps:txbx>
                        <w:txbxContent>
                          <w:p w14:paraId="036A7F34" w14:textId="77777777" w:rsidR="00D66014" w:rsidRDefault="00D66014" w:rsidP="00DD6A31">
                            <w:pPr>
                              <w:jc w:val="center"/>
                              <w:rPr>
                                <w:rFonts w:ascii="Century Gothic" w:hAnsi="Century Gothic"/>
                                <w:b/>
                                <w:sz w:val="20"/>
                                <w:szCs w:val="20"/>
                              </w:rPr>
                            </w:pPr>
                          </w:p>
                          <w:p w14:paraId="279EA2E7"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66014" w:rsidRDefault="00D66014" w:rsidP="00DD6A31">
                            <w:pPr>
                              <w:ind w:left="180"/>
                              <w:rPr>
                                <w:rFonts w:ascii="Century Gothic" w:hAnsi="Century Gothic"/>
                                <w:sz w:val="20"/>
                                <w:szCs w:val="20"/>
                              </w:rPr>
                            </w:pPr>
                          </w:p>
                          <w:p w14:paraId="7E641D80" w14:textId="77777777" w:rsidR="00D66014" w:rsidRDefault="00D66014" w:rsidP="00DD6A31">
                            <w:pPr>
                              <w:rPr>
                                <w:rFonts w:ascii="Century Gothic" w:hAnsi="Century Gothic"/>
                                <w:b/>
                                <w:sz w:val="18"/>
                                <w:szCs w:val="18"/>
                              </w:rPr>
                            </w:pPr>
                          </w:p>
                          <w:p w14:paraId="61CCBCA5" w14:textId="77777777" w:rsidR="00D66014" w:rsidRDefault="00D6601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66014" w:rsidRDefault="00D6601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1pt;margin-top:2.7pt;width:25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7xKQIAAFE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">
                <v:textbox>
                  <w:txbxContent>
                    <w:p w14:paraId="036A7F34" w14:textId="77777777" w:rsidR="00D66014" w:rsidRDefault="00D66014" w:rsidP="00DD6A31">
                      <w:pPr>
                        <w:jc w:val="center"/>
                        <w:rPr>
                          <w:rFonts w:ascii="Century Gothic" w:hAnsi="Century Gothic"/>
                          <w:b/>
                          <w:sz w:val="20"/>
                          <w:szCs w:val="20"/>
                        </w:rPr>
                      </w:pPr>
                    </w:p>
                    <w:p w14:paraId="279EA2E7"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D66014" w:rsidRDefault="00D66014"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D66014" w:rsidRDefault="00D66014" w:rsidP="00DD6A31">
                      <w:pPr>
                        <w:ind w:left="180"/>
                        <w:rPr>
                          <w:rFonts w:ascii="Century Gothic" w:hAnsi="Century Gothic"/>
                          <w:sz w:val="20"/>
                          <w:szCs w:val="20"/>
                        </w:rPr>
                      </w:pPr>
                    </w:p>
                    <w:p w14:paraId="7E641D80" w14:textId="77777777" w:rsidR="00D66014" w:rsidRDefault="00D66014" w:rsidP="00DD6A31">
                      <w:pPr>
                        <w:rPr>
                          <w:rFonts w:ascii="Century Gothic" w:hAnsi="Century Gothic"/>
                          <w:b/>
                          <w:sz w:val="18"/>
                          <w:szCs w:val="18"/>
                        </w:rPr>
                      </w:pPr>
                    </w:p>
                    <w:p w14:paraId="61CCBCA5" w14:textId="77777777" w:rsidR="00D66014" w:rsidRDefault="00D6601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66014" w:rsidRDefault="00D6601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p>
    <w:p w14:paraId="170E63C0" w14:textId="46B63396"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0F5ECDB3" w14:textId="77777777" w:rsidR="00B73D5A" w:rsidRDefault="00B73D5A" w:rsidP="00DB2E83">
      <w:pPr>
        <w:jc w:val="both"/>
        <w:rPr>
          <w:u w:val="none"/>
        </w:rPr>
      </w:pPr>
    </w:p>
    <w:p w14:paraId="385A44C7" w14:textId="77777777" w:rsidR="000850F6" w:rsidRDefault="000850F6" w:rsidP="00DB2E83">
      <w:pPr>
        <w:jc w:val="both"/>
        <w:rPr>
          <w:u w:val="none"/>
        </w:rPr>
      </w:pPr>
    </w:p>
    <w:p w14:paraId="57D26CD8" w14:textId="0C086012" w:rsidR="00DD6A31" w:rsidRDefault="00DD6A31" w:rsidP="00DB2E83">
      <w:pPr>
        <w:jc w:val="both"/>
        <w:rPr>
          <w:u w:val="none"/>
        </w:rPr>
      </w:pPr>
      <w:r>
        <w:rPr>
          <w:u w:val="none"/>
        </w:rPr>
        <w:t>In the matter between:</w:t>
      </w:r>
    </w:p>
    <w:p w14:paraId="3EA68458" w14:textId="77777777" w:rsidR="00D62427" w:rsidRDefault="00D62427" w:rsidP="00DB2E83">
      <w:pPr>
        <w:jc w:val="both"/>
        <w:rPr>
          <w:b/>
          <w:u w:val="none"/>
        </w:rPr>
      </w:pPr>
    </w:p>
    <w:p w14:paraId="152FF0B3" w14:textId="528BADDF" w:rsidR="00DD6A31" w:rsidRDefault="00FB1BD1" w:rsidP="00E9058E">
      <w:pPr>
        <w:jc w:val="both"/>
        <w:rPr>
          <w:u w:val="none"/>
        </w:rPr>
      </w:pPr>
      <w:r>
        <w:rPr>
          <w:b/>
          <w:u w:val="none"/>
        </w:rPr>
        <w:t>B</w:t>
      </w:r>
      <w:r w:rsidR="008D03A6">
        <w:rPr>
          <w:b/>
          <w:u w:val="none"/>
        </w:rPr>
        <w:t>LAKEY INVESTMENTS (PTY) LTD</w:t>
      </w:r>
      <w:r w:rsidR="00B27116">
        <w:rPr>
          <w:b/>
          <w:u w:val="none"/>
        </w:rPr>
        <w:tab/>
      </w:r>
      <w:r w:rsidR="00B27116">
        <w:rPr>
          <w:b/>
          <w:u w:val="none"/>
        </w:rPr>
        <w:tab/>
      </w:r>
      <w:r w:rsidR="00DD6A31">
        <w:rPr>
          <w:u w:val="none"/>
        </w:rPr>
        <w:tab/>
      </w:r>
      <w:r w:rsidR="00DD6A31">
        <w:rPr>
          <w:u w:val="none"/>
        </w:rPr>
        <w:tab/>
        <w:t xml:space="preserve">       </w:t>
      </w:r>
      <w:r w:rsidR="00427E21">
        <w:rPr>
          <w:u w:val="none"/>
        </w:rPr>
        <w:tab/>
      </w:r>
      <w:r w:rsidR="00427E21">
        <w:rPr>
          <w:u w:val="none"/>
        </w:rPr>
        <w:tab/>
        <w:t xml:space="preserve"> </w:t>
      </w:r>
      <w:r w:rsidR="00DD6A31">
        <w:rPr>
          <w:u w:val="none"/>
        </w:rPr>
        <w:t>Applicant</w:t>
      </w:r>
    </w:p>
    <w:p w14:paraId="6B31B680" w14:textId="45B8C2E0" w:rsidR="00DD6A31" w:rsidRDefault="00DD6A31" w:rsidP="00DB2E83">
      <w:pPr>
        <w:jc w:val="both"/>
        <w:rPr>
          <w:u w:val="none"/>
        </w:rPr>
      </w:pPr>
    </w:p>
    <w:p w14:paraId="083ADEEE" w14:textId="6397B97A" w:rsidR="008D03A6" w:rsidRDefault="008D03A6" w:rsidP="00DB2E83">
      <w:pPr>
        <w:jc w:val="both"/>
        <w:rPr>
          <w:u w:val="none"/>
        </w:rPr>
      </w:pPr>
    </w:p>
    <w:p w14:paraId="62D9154F" w14:textId="4EB3791A" w:rsidR="00DD6A31" w:rsidRDefault="00DD6A31" w:rsidP="00DB2E83">
      <w:pPr>
        <w:jc w:val="both"/>
        <w:rPr>
          <w:u w:val="none"/>
        </w:rPr>
      </w:pPr>
      <w:r>
        <w:rPr>
          <w:u w:val="none"/>
        </w:rPr>
        <w:t>And</w:t>
      </w:r>
    </w:p>
    <w:p w14:paraId="5639B6FB" w14:textId="77777777" w:rsidR="008D03A6" w:rsidRDefault="008D03A6" w:rsidP="00DB2E83">
      <w:pPr>
        <w:jc w:val="both"/>
        <w:rPr>
          <w:u w:val="none"/>
        </w:rPr>
      </w:pPr>
    </w:p>
    <w:p w14:paraId="3D1353F0" w14:textId="77777777" w:rsidR="00DD6A31" w:rsidRDefault="00DD6A31" w:rsidP="00DB2E83">
      <w:pPr>
        <w:jc w:val="both"/>
        <w:rPr>
          <w:u w:val="none"/>
        </w:rPr>
      </w:pPr>
    </w:p>
    <w:p w14:paraId="5DF5B0BA" w14:textId="5541C54A" w:rsidR="00B27116" w:rsidRDefault="008D03A6" w:rsidP="00B27116">
      <w:pPr>
        <w:jc w:val="both"/>
        <w:rPr>
          <w:b/>
          <w:u w:val="none"/>
        </w:rPr>
      </w:pPr>
      <w:r w:rsidRPr="008D03A6">
        <w:rPr>
          <w:b/>
          <w:u w:val="none"/>
        </w:rPr>
        <w:t>RECKITT BENCKISER SOUTH AFRICA (PTY) LTD</w:t>
      </w:r>
      <w:r w:rsidR="00E9058E">
        <w:rPr>
          <w:b/>
          <w:u w:val="none"/>
        </w:rPr>
        <w:tab/>
      </w:r>
      <w:r w:rsidR="00E9058E">
        <w:rPr>
          <w:b/>
          <w:u w:val="none"/>
        </w:rPr>
        <w:tab/>
      </w:r>
      <w:r w:rsidR="00B27116">
        <w:rPr>
          <w:b/>
          <w:u w:val="none"/>
        </w:rPr>
        <w:tab/>
      </w:r>
      <w:r w:rsidR="00B27116">
        <w:rPr>
          <w:u w:val="none"/>
        </w:rPr>
        <w:t>First Respondent</w:t>
      </w:r>
    </w:p>
    <w:p w14:paraId="3589A9C9" w14:textId="77777777" w:rsidR="00B27116" w:rsidRDefault="00B27116" w:rsidP="00B27116">
      <w:pPr>
        <w:jc w:val="both"/>
        <w:rPr>
          <w:b/>
          <w:u w:val="none"/>
        </w:rPr>
      </w:pPr>
    </w:p>
    <w:p w14:paraId="7D43522B" w14:textId="539A1DA0" w:rsidR="00B27116" w:rsidRDefault="008D03A6" w:rsidP="00B27116">
      <w:pPr>
        <w:jc w:val="both"/>
        <w:rPr>
          <w:u w:val="none"/>
        </w:rPr>
      </w:pPr>
      <w:r>
        <w:rPr>
          <w:b/>
          <w:u w:val="none"/>
        </w:rPr>
        <w:t>THE SHERIFF OF THE HIGH COURT</w:t>
      </w:r>
      <w:r w:rsidR="00FB1BD1">
        <w:rPr>
          <w:b/>
          <w:u w:val="none"/>
        </w:rPr>
        <w:t>,</w:t>
      </w:r>
      <w:r>
        <w:rPr>
          <w:b/>
          <w:u w:val="none"/>
        </w:rPr>
        <w:t xml:space="preserve"> DURBAN NORTH</w:t>
      </w:r>
      <w:r w:rsidR="00B27116">
        <w:rPr>
          <w:b/>
          <w:u w:val="none"/>
        </w:rPr>
        <w:tab/>
        <w:t xml:space="preserve">     </w:t>
      </w:r>
      <w:r w:rsidR="00B27116">
        <w:rPr>
          <w:u w:val="none"/>
        </w:rPr>
        <w:t>Second Respondent</w:t>
      </w:r>
    </w:p>
    <w:p w14:paraId="694DAAA0" w14:textId="77777777" w:rsidR="008D03A6" w:rsidRDefault="008D03A6" w:rsidP="00B27116">
      <w:pPr>
        <w:jc w:val="both"/>
        <w:rPr>
          <w:u w:val="none"/>
        </w:rPr>
      </w:pPr>
    </w:p>
    <w:p w14:paraId="0C4023D1" w14:textId="5E98C7B8"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68FA5127" w:rsidR="00DD6A31" w:rsidRDefault="00DD6A31" w:rsidP="00DB2E83">
      <w:pPr>
        <w:tabs>
          <w:tab w:val="right" w:pos="8280"/>
        </w:tabs>
        <w:jc w:val="both"/>
        <w:rPr>
          <w:b/>
          <w:u w:val="none"/>
          <w:lang w:val="en-ZA"/>
        </w:rPr>
      </w:pPr>
    </w:p>
    <w:p w14:paraId="1B210987" w14:textId="52352959" w:rsidR="00DD6A31" w:rsidRDefault="00896E6D" w:rsidP="00EC1AB5">
      <w:pPr>
        <w:pBdr>
          <w:bottom w:val="single" w:sz="12" w:space="1" w:color="auto"/>
        </w:pBdr>
        <w:tabs>
          <w:tab w:val="right" w:pos="8280"/>
        </w:tabs>
        <w:jc w:val="center"/>
        <w:rPr>
          <w:b/>
          <w:u w:val="none"/>
          <w:lang w:val="en-ZA"/>
        </w:rPr>
      </w:pPr>
      <w:r>
        <w:rPr>
          <w:b/>
          <w:u w:val="none"/>
          <w:lang w:val="en-ZA"/>
        </w:rPr>
        <w:t>JUDGMENT</w:t>
      </w:r>
      <w:r w:rsidR="00052E68">
        <w:rPr>
          <w:b/>
          <w:u w:val="none"/>
          <w:lang w:val="en-ZA"/>
        </w:rPr>
        <w:t xml:space="preserve"> ON APPLICATION FOR LEAVE TO APPEAL</w:t>
      </w:r>
    </w:p>
    <w:p w14:paraId="5D7744AD" w14:textId="77777777" w:rsidR="00DD6A31" w:rsidRDefault="00DD6A31" w:rsidP="00DB2E83">
      <w:pPr>
        <w:pBdr>
          <w:bottom w:val="single" w:sz="12" w:space="1" w:color="auto"/>
        </w:pBdr>
        <w:tabs>
          <w:tab w:val="right" w:pos="8280"/>
        </w:tabs>
        <w:jc w:val="both"/>
        <w:rPr>
          <w:b/>
          <w:u w:val="none"/>
          <w:lang w:val="en-ZA"/>
        </w:rPr>
      </w:pPr>
    </w:p>
    <w:p w14:paraId="4392895F" w14:textId="77777777" w:rsidR="00896E6D" w:rsidRDefault="00896E6D" w:rsidP="00896E6D">
      <w:pPr>
        <w:tabs>
          <w:tab w:val="right" w:pos="0"/>
        </w:tabs>
        <w:spacing w:line="480" w:lineRule="auto"/>
        <w:jc w:val="both"/>
        <w:rPr>
          <w:b/>
          <w:lang w:val="en-ZA"/>
        </w:rPr>
      </w:pPr>
    </w:p>
    <w:p w14:paraId="67ACEA42" w14:textId="77777777"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6FA3E3A1" w14:textId="77777777" w:rsidR="002809BF" w:rsidRDefault="002809BF" w:rsidP="00896E6D">
      <w:pPr>
        <w:tabs>
          <w:tab w:val="right" w:pos="0"/>
        </w:tabs>
        <w:spacing w:line="480" w:lineRule="auto"/>
        <w:jc w:val="both"/>
        <w:rPr>
          <w:b/>
          <w:u w:val="none"/>
          <w:lang w:val="en-ZA"/>
        </w:rPr>
      </w:pPr>
    </w:p>
    <w:p w14:paraId="731C909C" w14:textId="58B6B292" w:rsidR="007F46F6" w:rsidRDefault="00896E6D" w:rsidP="007B4933">
      <w:pPr>
        <w:tabs>
          <w:tab w:val="right" w:pos="0"/>
        </w:tabs>
        <w:spacing w:line="480" w:lineRule="auto"/>
        <w:ind w:left="720" w:hanging="720"/>
        <w:jc w:val="both"/>
        <w:rPr>
          <w:u w:val="none"/>
          <w:lang w:val="en-ZA"/>
        </w:rPr>
      </w:pPr>
      <w:r>
        <w:rPr>
          <w:u w:val="none"/>
          <w:lang w:val="en-ZA"/>
        </w:rPr>
        <w:t>[</w:t>
      </w:r>
      <w:r w:rsidR="00DD6A31">
        <w:rPr>
          <w:u w:val="none"/>
          <w:lang w:val="en-ZA"/>
        </w:rPr>
        <w:t>1]</w:t>
      </w:r>
      <w:r w:rsidR="00022EFE">
        <w:rPr>
          <w:u w:val="none"/>
          <w:lang w:val="en-ZA"/>
        </w:rPr>
        <w:tab/>
      </w:r>
      <w:r w:rsidR="007B4933">
        <w:rPr>
          <w:u w:val="none"/>
          <w:lang w:val="en-ZA"/>
        </w:rPr>
        <w:t>This is an Application for Leave to Appeal the judgement dated the 28</w:t>
      </w:r>
      <w:r w:rsidR="007B4933" w:rsidRPr="007B4933">
        <w:rPr>
          <w:u w:val="none"/>
          <w:vertAlign w:val="superscript"/>
          <w:lang w:val="en-ZA"/>
        </w:rPr>
        <w:t>th</w:t>
      </w:r>
      <w:r w:rsidR="007B4933">
        <w:rPr>
          <w:u w:val="none"/>
          <w:lang w:val="en-ZA"/>
        </w:rPr>
        <w:t xml:space="preserve"> April 2023 in which </w:t>
      </w:r>
      <w:r w:rsidR="007F46F6">
        <w:rPr>
          <w:u w:val="none"/>
          <w:lang w:val="en-ZA"/>
        </w:rPr>
        <w:t xml:space="preserve">judgement this Court dismissed with </w:t>
      </w:r>
      <w:r w:rsidR="007B4933">
        <w:rPr>
          <w:u w:val="none"/>
          <w:lang w:val="en-ZA"/>
        </w:rPr>
        <w:t>costs an application</w:t>
      </w:r>
      <w:r w:rsidR="007F46F6">
        <w:rPr>
          <w:u w:val="none"/>
          <w:lang w:val="en-ZA"/>
        </w:rPr>
        <w:t xml:space="preserve"> in terms </w:t>
      </w:r>
      <w:r w:rsidR="007F46F6">
        <w:rPr>
          <w:u w:val="none"/>
          <w:lang w:val="en-ZA"/>
        </w:rPr>
        <w:lastRenderedPageBreak/>
        <w:t>of Rule 45Aof the Uniform Rules of Court.  The judgment was only handed down on the 12 June 2</w:t>
      </w:r>
      <w:r w:rsidR="005B64AB">
        <w:rPr>
          <w:u w:val="none"/>
          <w:lang w:val="en-ZA"/>
        </w:rPr>
        <w:t>023 as a result of administrative</w:t>
      </w:r>
      <w:r w:rsidR="007F46F6">
        <w:rPr>
          <w:u w:val="none"/>
          <w:lang w:val="en-ZA"/>
        </w:rPr>
        <w:t xml:space="preserve"> problem</w:t>
      </w:r>
      <w:r w:rsidR="005B64AB">
        <w:rPr>
          <w:u w:val="none"/>
          <w:lang w:val="en-ZA"/>
        </w:rPr>
        <w:t>s</w:t>
      </w:r>
      <w:r w:rsidR="007F46F6">
        <w:rPr>
          <w:u w:val="none"/>
          <w:lang w:val="en-ZA"/>
        </w:rPr>
        <w:t>.</w:t>
      </w:r>
    </w:p>
    <w:p w14:paraId="75168DA0" w14:textId="6BAD5180" w:rsidR="00FA1DA0" w:rsidRPr="00FA1DA0" w:rsidRDefault="007B4933" w:rsidP="007B4933">
      <w:pPr>
        <w:tabs>
          <w:tab w:val="right" w:pos="0"/>
        </w:tabs>
        <w:spacing w:line="480" w:lineRule="auto"/>
        <w:ind w:left="720" w:hanging="720"/>
        <w:jc w:val="both"/>
        <w:rPr>
          <w:u w:val="none"/>
          <w:lang w:val="en-ZA"/>
        </w:rPr>
      </w:pPr>
      <w:r>
        <w:rPr>
          <w:u w:val="none"/>
          <w:lang w:val="en-ZA"/>
        </w:rPr>
        <w:t xml:space="preserve">  </w:t>
      </w:r>
    </w:p>
    <w:p w14:paraId="7F7B5BC8" w14:textId="41FC6A21" w:rsidR="00022EFE" w:rsidRDefault="00DD6A31" w:rsidP="00013282">
      <w:pPr>
        <w:spacing w:line="360" w:lineRule="auto"/>
        <w:ind w:left="720" w:hanging="720"/>
        <w:jc w:val="both"/>
        <w:rPr>
          <w:u w:val="none"/>
          <w:lang w:val="en-ZA"/>
        </w:rPr>
      </w:pPr>
      <w:r>
        <w:rPr>
          <w:u w:val="none"/>
          <w:lang w:val="en-ZA"/>
        </w:rPr>
        <w:t>[2]</w:t>
      </w:r>
      <w:r w:rsidR="006E3D7E">
        <w:rPr>
          <w:u w:val="none"/>
          <w:lang w:val="en-ZA"/>
        </w:rPr>
        <w:tab/>
      </w:r>
      <w:r w:rsidR="00167EA7">
        <w:rPr>
          <w:u w:val="none"/>
          <w:lang w:val="en-ZA"/>
        </w:rPr>
        <w:t xml:space="preserve"> </w:t>
      </w:r>
      <w:r w:rsidR="007F46F6">
        <w:rPr>
          <w:u w:val="none"/>
          <w:lang w:val="en-ZA"/>
        </w:rPr>
        <w:t xml:space="preserve">The background facts leading to that application were fully set out in my judgement and I do not need to repeat same save to say that this application is an attempt by the Applicant to recycle the issues that have already been dealt with by the High Court </w:t>
      </w:r>
      <w:r w:rsidR="00A0028D">
        <w:rPr>
          <w:u w:val="none"/>
          <w:lang w:val="en-ZA"/>
        </w:rPr>
        <w:t>including the SCA and the Constitutional Court.</w:t>
      </w:r>
    </w:p>
    <w:p w14:paraId="022601A8" w14:textId="53337899" w:rsidR="00115735" w:rsidRDefault="00013282" w:rsidP="00013282">
      <w:pPr>
        <w:tabs>
          <w:tab w:val="left" w:pos="7490"/>
        </w:tabs>
        <w:spacing w:line="360" w:lineRule="auto"/>
        <w:jc w:val="both"/>
        <w:rPr>
          <w:u w:val="none"/>
          <w:lang w:val="en-ZA"/>
        </w:rPr>
      </w:pPr>
      <w:r>
        <w:rPr>
          <w:u w:val="none"/>
          <w:lang w:val="en-ZA"/>
        </w:rPr>
        <w:tab/>
      </w:r>
    </w:p>
    <w:p w14:paraId="7CBF43D0" w14:textId="77777777" w:rsidR="00AF5AB9" w:rsidRDefault="00DD6A31" w:rsidP="00167EA7">
      <w:pPr>
        <w:spacing w:line="360" w:lineRule="auto"/>
        <w:ind w:left="720" w:hanging="720"/>
        <w:jc w:val="both"/>
        <w:rPr>
          <w:u w:val="none"/>
          <w:lang w:val="en-ZA"/>
        </w:rPr>
      </w:pPr>
      <w:r>
        <w:rPr>
          <w:u w:val="none"/>
          <w:lang w:val="en-ZA"/>
        </w:rPr>
        <w:t>[3]</w:t>
      </w:r>
      <w:r w:rsidR="008A4425">
        <w:rPr>
          <w:u w:val="none"/>
          <w:lang w:val="en-ZA"/>
        </w:rPr>
        <w:tab/>
      </w:r>
      <w:r w:rsidR="00AF5AB9">
        <w:rPr>
          <w:u w:val="none"/>
          <w:lang w:val="en-ZA"/>
        </w:rPr>
        <w:t>This Court is requested to grant Leave to Appeal on the following grounds</w:t>
      </w:r>
    </w:p>
    <w:p w14:paraId="2A07044D" w14:textId="77777777" w:rsidR="00AF5AB9" w:rsidRDefault="00AF5AB9" w:rsidP="00167EA7">
      <w:pPr>
        <w:spacing w:line="360" w:lineRule="auto"/>
        <w:ind w:left="720" w:hanging="720"/>
        <w:jc w:val="both"/>
        <w:rPr>
          <w:u w:val="none"/>
          <w:lang w:val="en-ZA"/>
        </w:rPr>
      </w:pPr>
    </w:p>
    <w:p w14:paraId="0306EEB9" w14:textId="762BEF90" w:rsidR="00AF5AB9" w:rsidRDefault="00AF5AB9" w:rsidP="00AF5AB9">
      <w:pPr>
        <w:spacing w:line="360" w:lineRule="auto"/>
        <w:ind w:left="1440" w:hanging="720"/>
        <w:jc w:val="both"/>
        <w:rPr>
          <w:u w:val="none"/>
          <w:lang w:val="en-ZA"/>
        </w:rPr>
      </w:pPr>
      <w:r>
        <w:rPr>
          <w:u w:val="none"/>
          <w:lang w:val="en-ZA"/>
        </w:rPr>
        <w:t>3.1</w:t>
      </w:r>
      <w:r>
        <w:rPr>
          <w:u w:val="none"/>
          <w:lang w:val="en-ZA"/>
        </w:rPr>
        <w:tab/>
        <w:t>Firstly that this Court erred by denying the Applicant a right to fair public hearing and access to court in terms of Section 34 of the Constitution of South Africa by handing down judgment despite there being an application by the Applicant to adduce further evidence.</w:t>
      </w:r>
    </w:p>
    <w:p w14:paraId="09F69A63" w14:textId="77777777" w:rsidR="00AF5AB9" w:rsidRDefault="00AF5AB9" w:rsidP="00167EA7">
      <w:pPr>
        <w:spacing w:line="360" w:lineRule="auto"/>
        <w:ind w:left="720" w:hanging="720"/>
        <w:jc w:val="both"/>
        <w:rPr>
          <w:u w:val="none"/>
          <w:lang w:val="en-ZA"/>
        </w:rPr>
      </w:pPr>
    </w:p>
    <w:p w14:paraId="69E17B76" w14:textId="4F0CDA0C" w:rsidR="00AF5AB9" w:rsidRDefault="00AF5AB9" w:rsidP="00AF5AB9">
      <w:pPr>
        <w:spacing w:line="360" w:lineRule="auto"/>
        <w:ind w:left="1440" w:hanging="720"/>
        <w:jc w:val="both"/>
        <w:rPr>
          <w:u w:val="none"/>
          <w:lang w:val="en-ZA"/>
        </w:rPr>
      </w:pPr>
      <w:r>
        <w:rPr>
          <w:u w:val="none"/>
          <w:lang w:val="en-ZA"/>
        </w:rPr>
        <w:t>3.2</w:t>
      </w:r>
      <w:r>
        <w:rPr>
          <w:u w:val="none"/>
          <w:lang w:val="en-ZA"/>
        </w:rPr>
        <w:tab/>
        <w:t xml:space="preserve">That this Court erred in law by prematurely handing down judgement because the Common Law principle </w:t>
      </w:r>
      <w:r w:rsidRPr="00AF5AB9">
        <w:rPr>
          <w:b/>
          <w:lang w:val="en-ZA"/>
        </w:rPr>
        <w:t>of set off allows for an automatic</w:t>
      </w:r>
      <w:r>
        <w:rPr>
          <w:u w:val="none"/>
          <w:lang w:val="en-ZA"/>
        </w:rPr>
        <w:t xml:space="preserve"> set off </w:t>
      </w:r>
      <w:r w:rsidR="005B64AB">
        <w:rPr>
          <w:u w:val="none"/>
          <w:lang w:val="en-ZA"/>
        </w:rPr>
        <w:t xml:space="preserve">against </w:t>
      </w:r>
      <w:r>
        <w:rPr>
          <w:u w:val="none"/>
          <w:lang w:val="en-ZA"/>
        </w:rPr>
        <w:t>a debt assuming the validity of the Applicants claim against Reckitt under Case Number 42182/2014.</w:t>
      </w:r>
    </w:p>
    <w:p w14:paraId="5D11235F" w14:textId="77777777" w:rsidR="00AF5AB9" w:rsidRDefault="00AF5AB9" w:rsidP="00167EA7">
      <w:pPr>
        <w:spacing w:line="360" w:lineRule="auto"/>
        <w:ind w:left="720" w:hanging="720"/>
        <w:jc w:val="both"/>
        <w:rPr>
          <w:u w:val="none"/>
          <w:lang w:val="en-ZA"/>
        </w:rPr>
      </w:pPr>
    </w:p>
    <w:p w14:paraId="1493F775" w14:textId="1E7808B6" w:rsidR="008C6D79" w:rsidRDefault="00AF5AB9" w:rsidP="00AF5AB9">
      <w:pPr>
        <w:spacing w:line="360" w:lineRule="auto"/>
        <w:ind w:left="1440" w:hanging="720"/>
        <w:jc w:val="both"/>
        <w:rPr>
          <w:u w:val="none"/>
          <w:lang w:val="en-ZA"/>
        </w:rPr>
      </w:pPr>
      <w:r>
        <w:rPr>
          <w:u w:val="none"/>
          <w:lang w:val="en-ZA"/>
        </w:rPr>
        <w:t>3.3</w:t>
      </w:r>
      <w:r>
        <w:rPr>
          <w:u w:val="none"/>
          <w:lang w:val="en-ZA"/>
        </w:rPr>
        <w:tab/>
        <w:t xml:space="preserve">That this Court erred in its interpretation of the decided cases dealing with Rule 45A.   </w:t>
      </w:r>
    </w:p>
    <w:p w14:paraId="4D1AD139" w14:textId="77777777" w:rsidR="0075218B" w:rsidRDefault="0075218B" w:rsidP="00BF488F">
      <w:pPr>
        <w:spacing w:line="360" w:lineRule="auto"/>
        <w:ind w:left="720" w:hanging="720"/>
        <w:jc w:val="both"/>
        <w:rPr>
          <w:u w:val="none"/>
          <w:lang w:val="en-ZA"/>
        </w:rPr>
      </w:pPr>
    </w:p>
    <w:p w14:paraId="765D44D9" w14:textId="77777777" w:rsidR="00276313" w:rsidRDefault="00452E60" w:rsidP="0075218B">
      <w:pPr>
        <w:spacing w:line="360" w:lineRule="auto"/>
        <w:ind w:left="720" w:hanging="720"/>
        <w:jc w:val="both"/>
        <w:rPr>
          <w:u w:val="none"/>
          <w:lang w:val="en-ZA"/>
        </w:rPr>
      </w:pPr>
      <w:r>
        <w:rPr>
          <w:u w:val="none"/>
          <w:lang w:val="en-ZA"/>
        </w:rPr>
        <w:t>[4]</w:t>
      </w:r>
      <w:r w:rsidR="0075218B">
        <w:rPr>
          <w:u w:val="none"/>
          <w:lang w:val="en-ZA"/>
        </w:rPr>
        <w:tab/>
      </w:r>
      <w:r w:rsidR="00276313">
        <w:rPr>
          <w:u w:val="none"/>
          <w:lang w:val="en-ZA"/>
        </w:rPr>
        <w:t>The test to be applied in deciding whether or not Leave to Appeal should be granted is governed by the provisions of Section 17(1) of the Superior Court Act number 10 of 2013 which provides as follows:</w:t>
      </w:r>
    </w:p>
    <w:p w14:paraId="40B01804" w14:textId="77777777" w:rsidR="00276313" w:rsidRPr="002F264E" w:rsidRDefault="00276313" w:rsidP="0075218B">
      <w:pPr>
        <w:spacing w:line="360" w:lineRule="auto"/>
        <w:ind w:left="720" w:hanging="720"/>
        <w:jc w:val="both"/>
        <w:rPr>
          <w:sz w:val="22"/>
          <w:szCs w:val="22"/>
          <w:u w:val="none"/>
          <w:lang w:val="en-ZA"/>
        </w:rPr>
      </w:pPr>
    </w:p>
    <w:p w14:paraId="09CB786D" w14:textId="77777777" w:rsidR="00276313" w:rsidRPr="002F264E" w:rsidRDefault="00276313" w:rsidP="00276313">
      <w:pPr>
        <w:spacing w:line="360" w:lineRule="auto"/>
        <w:ind w:left="1440" w:firstLine="70"/>
        <w:jc w:val="both"/>
        <w:rPr>
          <w:sz w:val="22"/>
          <w:szCs w:val="22"/>
          <w:u w:val="none"/>
          <w:lang w:val="en-ZA"/>
        </w:rPr>
      </w:pPr>
      <w:r w:rsidRPr="002F264E">
        <w:rPr>
          <w:sz w:val="22"/>
          <w:szCs w:val="22"/>
          <w:u w:val="none"/>
          <w:lang w:val="en-ZA"/>
        </w:rPr>
        <w:t>“Leave to Appeal may only be given where the judge or judges</w:t>
      </w:r>
    </w:p>
    <w:p w14:paraId="36543EFB" w14:textId="77777777" w:rsidR="00276313" w:rsidRPr="002F264E" w:rsidRDefault="00276313" w:rsidP="00276313">
      <w:pPr>
        <w:spacing w:line="360" w:lineRule="auto"/>
        <w:ind w:left="1440" w:firstLine="70"/>
        <w:jc w:val="both"/>
        <w:rPr>
          <w:sz w:val="22"/>
          <w:szCs w:val="22"/>
          <w:u w:val="none"/>
          <w:lang w:val="en-ZA"/>
        </w:rPr>
      </w:pPr>
      <w:r w:rsidRPr="002F264E">
        <w:rPr>
          <w:sz w:val="22"/>
          <w:szCs w:val="22"/>
          <w:u w:val="none"/>
          <w:lang w:val="en-ZA"/>
        </w:rPr>
        <w:t xml:space="preserve"> concerned are of the opinion that:</w:t>
      </w:r>
    </w:p>
    <w:p w14:paraId="16B27873" w14:textId="77777777" w:rsidR="00276313" w:rsidRPr="002F264E" w:rsidRDefault="00276313" w:rsidP="00276313">
      <w:pPr>
        <w:spacing w:line="360" w:lineRule="auto"/>
        <w:ind w:left="1440" w:firstLine="70"/>
        <w:jc w:val="both"/>
        <w:rPr>
          <w:sz w:val="22"/>
          <w:szCs w:val="22"/>
          <w:u w:val="none"/>
          <w:lang w:val="en-ZA"/>
        </w:rPr>
      </w:pPr>
    </w:p>
    <w:p w14:paraId="479DCB1A" w14:textId="77777777" w:rsidR="002F264E" w:rsidRPr="002F264E" w:rsidRDefault="00276313" w:rsidP="00276313">
      <w:pPr>
        <w:spacing w:line="360" w:lineRule="auto"/>
        <w:ind w:left="1440" w:firstLine="70"/>
        <w:jc w:val="both"/>
        <w:rPr>
          <w:sz w:val="22"/>
          <w:szCs w:val="22"/>
          <w:u w:val="none"/>
          <w:lang w:val="en-ZA"/>
        </w:rPr>
      </w:pPr>
      <w:r w:rsidRPr="002F264E">
        <w:rPr>
          <w:sz w:val="22"/>
          <w:szCs w:val="22"/>
          <w:u w:val="none"/>
          <w:lang w:val="en-ZA"/>
        </w:rPr>
        <w:tab/>
        <w:t>(a)</w:t>
      </w:r>
      <w:r w:rsidR="002F264E" w:rsidRPr="002F264E">
        <w:rPr>
          <w:sz w:val="22"/>
          <w:szCs w:val="22"/>
          <w:u w:val="none"/>
          <w:lang w:val="en-ZA"/>
        </w:rPr>
        <w:t>…</w:t>
      </w:r>
    </w:p>
    <w:p w14:paraId="54317A7D" w14:textId="592A5222" w:rsidR="00276313" w:rsidRPr="002F264E" w:rsidRDefault="00276313" w:rsidP="002F264E">
      <w:pPr>
        <w:spacing w:line="360" w:lineRule="auto"/>
        <w:ind w:left="1440" w:firstLine="720"/>
        <w:jc w:val="both"/>
        <w:rPr>
          <w:sz w:val="22"/>
          <w:szCs w:val="22"/>
          <w:u w:val="none"/>
          <w:lang w:val="en-ZA"/>
        </w:rPr>
      </w:pPr>
      <w:r w:rsidRPr="002F264E">
        <w:rPr>
          <w:sz w:val="22"/>
          <w:szCs w:val="22"/>
          <w:u w:val="none"/>
          <w:lang w:val="en-ZA"/>
        </w:rPr>
        <w:t xml:space="preserve">(i) the appeal would have a reasonable prospect of success; or </w:t>
      </w:r>
    </w:p>
    <w:p w14:paraId="64B5728C" w14:textId="03DCFF45" w:rsidR="0075218B" w:rsidRPr="002F264E" w:rsidRDefault="00276313" w:rsidP="002F264E">
      <w:pPr>
        <w:spacing w:line="360" w:lineRule="auto"/>
        <w:ind w:left="2160"/>
        <w:jc w:val="both"/>
        <w:rPr>
          <w:sz w:val="22"/>
          <w:szCs w:val="22"/>
          <w:u w:val="none"/>
          <w:lang w:val="en-ZA"/>
        </w:rPr>
      </w:pPr>
      <w:r w:rsidRPr="002F264E">
        <w:rPr>
          <w:sz w:val="22"/>
          <w:szCs w:val="22"/>
          <w:u w:val="none"/>
          <w:lang w:val="en-ZA"/>
        </w:rPr>
        <w:lastRenderedPageBreak/>
        <w:t xml:space="preserve">(ii) </w:t>
      </w:r>
      <w:r w:rsidR="0075218B" w:rsidRPr="002F264E">
        <w:rPr>
          <w:sz w:val="22"/>
          <w:szCs w:val="22"/>
          <w:u w:val="none"/>
          <w:lang w:val="en-ZA"/>
        </w:rPr>
        <w:t xml:space="preserve"> </w:t>
      </w:r>
      <w:r w:rsidR="002F264E" w:rsidRPr="002F264E">
        <w:rPr>
          <w:sz w:val="22"/>
          <w:szCs w:val="22"/>
          <w:u w:val="none"/>
          <w:lang w:val="en-ZA"/>
        </w:rPr>
        <w:t>there is some other compelling reason why the appeal should be heard including conflicting judgements.”</w:t>
      </w:r>
    </w:p>
    <w:p w14:paraId="1FC25908" w14:textId="1AE8CC97" w:rsidR="008A4425" w:rsidRDefault="0075218B" w:rsidP="002F264E">
      <w:pPr>
        <w:spacing w:line="360" w:lineRule="auto"/>
        <w:ind w:left="720" w:hanging="720"/>
        <w:jc w:val="both"/>
        <w:rPr>
          <w:u w:val="none"/>
          <w:lang w:val="en-ZA"/>
        </w:rPr>
      </w:pPr>
      <w:r w:rsidRPr="002F264E">
        <w:rPr>
          <w:sz w:val="22"/>
          <w:szCs w:val="22"/>
          <w:u w:val="none"/>
          <w:lang w:val="en-ZA"/>
        </w:rPr>
        <w:tab/>
      </w:r>
      <w:r w:rsidR="00167EA7" w:rsidRPr="002F264E">
        <w:rPr>
          <w:sz w:val="22"/>
          <w:szCs w:val="22"/>
          <w:u w:val="none"/>
          <w:lang w:val="en-ZA"/>
        </w:rPr>
        <w:tab/>
      </w:r>
    </w:p>
    <w:p w14:paraId="00129F2D" w14:textId="5134D6FC" w:rsidR="00DB37FE" w:rsidRDefault="0013141D" w:rsidP="00E82F47">
      <w:pPr>
        <w:spacing w:line="360" w:lineRule="auto"/>
        <w:ind w:left="720" w:hanging="720"/>
        <w:jc w:val="both"/>
        <w:rPr>
          <w:u w:val="none"/>
          <w:lang w:val="en-ZA"/>
        </w:rPr>
      </w:pPr>
      <w:r>
        <w:rPr>
          <w:u w:val="none"/>
          <w:lang w:val="en-ZA"/>
        </w:rPr>
        <w:t>[5]</w:t>
      </w:r>
      <w:r w:rsidR="00DB37FE">
        <w:rPr>
          <w:u w:val="none"/>
          <w:lang w:val="en-ZA"/>
        </w:rPr>
        <w:tab/>
      </w:r>
      <w:r w:rsidR="005B64AB">
        <w:rPr>
          <w:u w:val="none"/>
          <w:lang w:val="en-ZA"/>
        </w:rPr>
        <w:t>In my view there a</w:t>
      </w:r>
      <w:r w:rsidR="00712341">
        <w:rPr>
          <w:u w:val="none"/>
          <w:lang w:val="en-ZA"/>
        </w:rPr>
        <w:t>re only two</w:t>
      </w:r>
      <w:r w:rsidR="005B64AB">
        <w:rPr>
          <w:u w:val="none"/>
          <w:lang w:val="en-ZA"/>
        </w:rPr>
        <w:t xml:space="preserve"> grounds that merit attention</w:t>
      </w:r>
      <w:r w:rsidR="00712341">
        <w:rPr>
          <w:u w:val="none"/>
          <w:lang w:val="en-ZA"/>
        </w:rPr>
        <w:t xml:space="preserve"> firstly </w:t>
      </w:r>
      <w:r w:rsidR="005B64AB">
        <w:rPr>
          <w:u w:val="none"/>
          <w:lang w:val="en-ZA"/>
        </w:rPr>
        <w:t xml:space="preserve">it is </w:t>
      </w:r>
      <w:r w:rsidR="00712341">
        <w:rPr>
          <w:u w:val="none"/>
          <w:lang w:val="en-ZA"/>
        </w:rPr>
        <w:t>whether this Court erred in handing down judgement and ignored the Applicant’s appli</w:t>
      </w:r>
      <w:r w:rsidR="00865539">
        <w:rPr>
          <w:u w:val="none"/>
          <w:lang w:val="en-ZA"/>
        </w:rPr>
        <w:t>cation to lead further evidence.  Secondly whether this Court misdirected itself in its interpretation of the provisions of Rule 45A and the decided cases therein.</w:t>
      </w:r>
    </w:p>
    <w:p w14:paraId="4623B1C5" w14:textId="77777777" w:rsidR="00E82F47" w:rsidRDefault="00E82F47" w:rsidP="00DB2E83">
      <w:pPr>
        <w:spacing w:line="360" w:lineRule="auto"/>
        <w:jc w:val="both"/>
        <w:rPr>
          <w:u w:val="none"/>
          <w:lang w:val="en-ZA"/>
        </w:rPr>
      </w:pPr>
    </w:p>
    <w:p w14:paraId="20C13AC4" w14:textId="6FD644A8" w:rsidR="00C730FB" w:rsidRDefault="00452E60" w:rsidP="00E82F47">
      <w:pPr>
        <w:spacing w:line="360" w:lineRule="auto"/>
        <w:ind w:left="720" w:hanging="720"/>
        <w:jc w:val="both"/>
        <w:rPr>
          <w:u w:val="none"/>
          <w:lang w:val="en-ZA"/>
        </w:rPr>
      </w:pPr>
      <w:r>
        <w:rPr>
          <w:u w:val="none"/>
          <w:lang w:val="en-ZA"/>
        </w:rPr>
        <w:t>[6]</w:t>
      </w:r>
      <w:r w:rsidR="00E82F47">
        <w:rPr>
          <w:u w:val="none"/>
          <w:lang w:val="en-ZA"/>
        </w:rPr>
        <w:tab/>
      </w:r>
      <w:r w:rsidR="00865539">
        <w:rPr>
          <w:u w:val="none"/>
          <w:lang w:val="en-ZA"/>
        </w:rPr>
        <w:t>Judgement in this matter was signed by me on the 28 April 2023 by that time there had been no application by the Applicant seeking an opportunity to adduce further evidence.  There is no law or rule that grants any judge to revisit a judgement that has already been signed.  The only way that such a judgment could be revisited is by an application to rescind same in terms of Rule 42 of the Uniform Rules or in terms of the Common Law.</w:t>
      </w:r>
    </w:p>
    <w:p w14:paraId="00D7A9FB" w14:textId="77777777" w:rsidR="00432D7E" w:rsidRDefault="00432D7E" w:rsidP="00DB2E83">
      <w:pPr>
        <w:spacing w:line="360" w:lineRule="auto"/>
        <w:jc w:val="both"/>
        <w:rPr>
          <w:u w:val="none"/>
          <w:lang w:val="en-ZA"/>
        </w:rPr>
      </w:pPr>
    </w:p>
    <w:p w14:paraId="7B49BB2E" w14:textId="20160F0C" w:rsidR="007D3E71" w:rsidRDefault="009E4FCA" w:rsidP="00D62D77">
      <w:pPr>
        <w:spacing w:line="360" w:lineRule="auto"/>
        <w:ind w:left="720" w:hanging="720"/>
        <w:jc w:val="both"/>
        <w:rPr>
          <w:u w:val="none"/>
          <w:lang w:val="en-ZA"/>
        </w:rPr>
      </w:pPr>
      <w:r>
        <w:rPr>
          <w:u w:val="none"/>
          <w:lang w:val="en-ZA"/>
        </w:rPr>
        <w:t>[7]</w:t>
      </w:r>
      <w:r w:rsidR="00DB37FE">
        <w:rPr>
          <w:u w:val="none"/>
          <w:lang w:val="en-ZA"/>
        </w:rPr>
        <w:tab/>
      </w:r>
      <w:r w:rsidR="005F7D61">
        <w:rPr>
          <w:u w:val="none"/>
          <w:lang w:val="en-ZA"/>
        </w:rPr>
        <w:t xml:space="preserve"> </w:t>
      </w:r>
      <w:r w:rsidR="00EC581A">
        <w:rPr>
          <w:u w:val="none"/>
          <w:lang w:val="en-ZA"/>
        </w:rPr>
        <w:t>The Ap</w:t>
      </w:r>
      <w:r w:rsidR="005B64AB">
        <w:rPr>
          <w:u w:val="none"/>
          <w:lang w:val="en-ZA"/>
        </w:rPr>
        <w:t>plicant maintains that sometime</w:t>
      </w:r>
      <w:r w:rsidR="00EC581A">
        <w:rPr>
          <w:u w:val="none"/>
          <w:lang w:val="en-ZA"/>
        </w:rPr>
        <w:t xml:space="preserve"> after submissions had been made and argued it then received legal opinion from Senior Counsel to the effect that their former attorneys and Counsel had given them wrong advice hence their application to adduce further evidence based on new advice by their new Counsel.  The fallacy with this contention is that Senior Counsel’s advice is unassailable Applicant should be in the know that such opinion could still have to be argued and only if found to be sound then a judge would give it effect.  As at </w:t>
      </w:r>
      <w:r w:rsidR="005B64AB">
        <w:rPr>
          <w:u w:val="none"/>
          <w:lang w:val="en-ZA"/>
        </w:rPr>
        <w:t>the moment it still remains an unte</w:t>
      </w:r>
      <w:r w:rsidR="00EC581A">
        <w:rPr>
          <w:u w:val="none"/>
          <w:lang w:val="en-ZA"/>
        </w:rPr>
        <w:t xml:space="preserve">sted opinion. </w:t>
      </w:r>
    </w:p>
    <w:p w14:paraId="5FAF2158" w14:textId="77777777" w:rsidR="00F3574B" w:rsidRDefault="00F3574B" w:rsidP="00DB2E83">
      <w:pPr>
        <w:spacing w:line="360" w:lineRule="auto"/>
        <w:jc w:val="both"/>
        <w:rPr>
          <w:u w:val="none"/>
          <w:lang w:val="en-ZA"/>
        </w:rPr>
      </w:pPr>
    </w:p>
    <w:p w14:paraId="610C6DF0" w14:textId="62755D8A" w:rsidR="006A22C2" w:rsidRDefault="00F3574B" w:rsidP="00B73D5A">
      <w:pPr>
        <w:spacing w:line="360" w:lineRule="auto"/>
        <w:ind w:left="720" w:hanging="720"/>
        <w:jc w:val="both"/>
        <w:rPr>
          <w:u w:val="none"/>
          <w:lang w:val="en-ZA"/>
        </w:rPr>
      </w:pPr>
      <w:r>
        <w:rPr>
          <w:u w:val="none"/>
          <w:lang w:val="en-ZA"/>
        </w:rPr>
        <w:t>[8]</w:t>
      </w:r>
      <w:r w:rsidR="00C133E6">
        <w:rPr>
          <w:u w:val="none"/>
          <w:lang w:val="en-ZA"/>
        </w:rPr>
        <w:tab/>
      </w:r>
      <w:r w:rsidR="00C37226">
        <w:rPr>
          <w:u w:val="none"/>
          <w:lang w:val="en-ZA"/>
        </w:rPr>
        <w:t>The argument that Applicant was d</w:t>
      </w:r>
      <w:r w:rsidR="00F5526F">
        <w:rPr>
          <w:u w:val="none"/>
          <w:lang w:val="en-ZA"/>
        </w:rPr>
        <w:t xml:space="preserve">enied fair trial in contravention of its Constitutional right entrenched in Section 34 is once more a redherring.  The Applicant is diverting attention from the main issue which is that a judgement granted against it as far back as 2014 has been tested </w:t>
      </w:r>
      <w:r w:rsidR="00CE2B48">
        <w:rPr>
          <w:u w:val="none"/>
          <w:lang w:val="en-ZA"/>
        </w:rPr>
        <w:t xml:space="preserve">right up to the </w:t>
      </w:r>
      <w:r w:rsidR="00720100">
        <w:rPr>
          <w:u w:val="none"/>
          <w:lang w:val="en-ZA"/>
        </w:rPr>
        <w:t>Constitutional Court and was found to be valid.</w:t>
      </w:r>
      <w:r w:rsidR="00CE2B48">
        <w:rPr>
          <w:u w:val="none"/>
          <w:lang w:val="en-ZA"/>
        </w:rPr>
        <w:t xml:space="preserve"> </w:t>
      </w:r>
    </w:p>
    <w:p w14:paraId="751C5C53" w14:textId="77777777" w:rsidR="008C2175" w:rsidRPr="006A22C2" w:rsidRDefault="008C2175" w:rsidP="00B73D5A">
      <w:pPr>
        <w:spacing w:line="360" w:lineRule="auto"/>
        <w:ind w:left="720" w:hanging="720"/>
        <w:jc w:val="both"/>
        <w:rPr>
          <w:u w:val="none"/>
          <w:lang w:val="en-ZA"/>
        </w:rPr>
      </w:pPr>
    </w:p>
    <w:p w14:paraId="46C2A3BB" w14:textId="1B5C25AE" w:rsidR="00504426" w:rsidRPr="00AA120E" w:rsidRDefault="00D0699A" w:rsidP="00B73D5A">
      <w:pPr>
        <w:spacing w:line="360" w:lineRule="auto"/>
        <w:ind w:left="720" w:hanging="720"/>
        <w:jc w:val="both"/>
        <w:rPr>
          <w:lang w:val="en-ZA"/>
        </w:rPr>
      </w:pPr>
      <w:r>
        <w:rPr>
          <w:u w:val="none"/>
          <w:lang w:val="en-ZA"/>
        </w:rPr>
        <w:t>[9]</w:t>
      </w:r>
      <w:r w:rsidR="008C2175">
        <w:rPr>
          <w:u w:val="none"/>
          <w:lang w:val="en-ZA"/>
        </w:rPr>
        <w:tab/>
      </w:r>
      <w:r w:rsidR="00720100">
        <w:rPr>
          <w:u w:val="none"/>
          <w:lang w:val="en-ZA"/>
        </w:rPr>
        <w:t xml:space="preserve">It is trite law that as a rule once </w:t>
      </w:r>
      <w:r w:rsidR="005B64AB">
        <w:rPr>
          <w:u w:val="none"/>
          <w:lang w:val="en-ZA"/>
        </w:rPr>
        <w:t xml:space="preserve">a </w:t>
      </w:r>
      <w:r w:rsidR="00720100">
        <w:rPr>
          <w:u w:val="none"/>
          <w:lang w:val="en-ZA"/>
        </w:rPr>
        <w:t xml:space="preserve">party </w:t>
      </w:r>
      <w:r w:rsidR="006F0361">
        <w:rPr>
          <w:u w:val="none"/>
          <w:lang w:val="en-ZA"/>
        </w:rPr>
        <w:t xml:space="preserve">has closed its case it is not permitted to call further evidence save in rebuttal.  In a number of cases starting with </w:t>
      </w:r>
      <w:r w:rsidR="006F0361" w:rsidRPr="006F0361">
        <w:rPr>
          <w:b/>
          <w:u w:val="none"/>
          <w:lang w:val="en-ZA"/>
        </w:rPr>
        <w:t xml:space="preserve">Kemp v Mullan (1858) 3 </w:t>
      </w:r>
      <w:r w:rsidR="005B64AB">
        <w:rPr>
          <w:b/>
          <w:u w:val="none"/>
          <w:lang w:val="en-ZA"/>
        </w:rPr>
        <w:t>Searle</w:t>
      </w:r>
      <w:r w:rsidR="006F0361" w:rsidRPr="006F0361">
        <w:rPr>
          <w:b/>
          <w:u w:val="none"/>
          <w:lang w:val="en-ZA"/>
        </w:rPr>
        <w:t xml:space="preserve"> 87 at 88</w:t>
      </w:r>
      <w:r w:rsidR="006F0361">
        <w:rPr>
          <w:u w:val="none"/>
          <w:lang w:val="en-ZA"/>
        </w:rPr>
        <w:t xml:space="preserve">; </w:t>
      </w:r>
      <w:r w:rsidR="006F0361" w:rsidRPr="006F0361">
        <w:rPr>
          <w:b/>
          <w:u w:val="none"/>
          <w:lang w:val="en-ZA"/>
        </w:rPr>
        <w:t xml:space="preserve">Du Plessis v Ackerman 1932 EDC 139 at </w:t>
      </w:r>
      <w:r w:rsidR="006F0361" w:rsidRPr="006F0361">
        <w:rPr>
          <w:b/>
          <w:u w:val="none"/>
          <w:lang w:val="en-ZA"/>
        </w:rPr>
        <w:lastRenderedPageBreak/>
        <w:t>147</w:t>
      </w:r>
      <w:r w:rsidR="006F0361">
        <w:rPr>
          <w:u w:val="none"/>
          <w:lang w:val="en-ZA"/>
        </w:rPr>
        <w:t xml:space="preserve">; </w:t>
      </w:r>
      <w:r w:rsidR="006F0361" w:rsidRPr="006F0361">
        <w:rPr>
          <w:b/>
          <w:u w:val="none"/>
          <w:lang w:val="en-ZA"/>
        </w:rPr>
        <w:t>Mkhwanazi v Van der Merwe 1970 (1) SA 609 (D)</w:t>
      </w:r>
      <w:r w:rsidR="006F0361">
        <w:rPr>
          <w:u w:val="none"/>
          <w:lang w:val="en-ZA"/>
        </w:rPr>
        <w:t>;</w:t>
      </w:r>
      <w:r w:rsidR="006F0361" w:rsidRPr="006F0361">
        <w:rPr>
          <w:b/>
          <w:u w:val="none"/>
          <w:lang w:val="en-ZA"/>
        </w:rPr>
        <w:t xml:space="preserve"> Barclays Western Bank v Gunas 1981 (3) SA 91 – D</w:t>
      </w:r>
      <w:r w:rsidR="006F0361">
        <w:rPr>
          <w:u w:val="none"/>
          <w:lang w:val="en-ZA"/>
        </w:rPr>
        <w:t xml:space="preserve"> it was held tha</w:t>
      </w:r>
      <w:r w:rsidR="009E1389">
        <w:rPr>
          <w:u w:val="none"/>
          <w:lang w:val="en-ZA"/>
        </w:rPr>
        <w:t>t the Court will be less ready</w:t>
      </w:r>
      <w:r w:rsidR="006F0361">
        <w:rPr>
          <w:u w:val="none"/>
          <w:lang w:val="en-ZA"/>
        </w:rPr>
        <w:t xml:space="preserve"> to accede to an application </w:t>
      </w:r>
      <w:r w:rsidR="009E1389">
        <w:rPr>
          <w:u w:val="none"/>
          <w:lang w:val="en-ZA"/>
        </w:rPr>
        <w:t>for leave to reopen a</w:t>
      </w:r>
      <w:r w:rsidR="006F0361">
        <w:rPr>
          <w:u w:val="none"/>
          <w:lang w:val="en-ZA"/>
        </w:rPr>
        <w:t xml:space="preserve"> case for the purposes of leading fresh evidence and will require a strong case to be made out before granting that </w:t>
      </w:r>
      <w:r w:rsidR="00CB3868">
        <w:rPr>
          <w:u w:val="none"/>
          <w:lang w:val="en-ZA"/>
        </w:rPr>
        <w:t>privilege</w:t>
      </w:r>
      <w:r w:rsidR="006F0361">
        <w:rPr>
          <w:u w:val="none"/>
          <w:lang w:val="en-ZA"/>
        </w:rPr>
        <w:t xml:space="preserve"> where argument has already been concluded.</w:t>
      </w:r>
    </w:p>
    <w:p w14:paraId="288EBAEF" w14:textId="77777777" w:rsidR="00504426" w:rsidRDefault="00504426" w:rsidP="00D0699A">
      <w:pPr>
        <w:spacing w:line="360" w:lineRule="auto"/>
        <w:jc w:val="both"/>
        <w:rPr>
          <w:u w:val="none"/>
          <w:lang w:val="en-ZA"/>
        </w:rPr>
      </w:pPr>
    </w:p>
    <w:p w14:paraId="7579D3A9" w14:textId="59C0B049" w:rsidR="00504426" w:rsidRDefault="00535D73" w:rsidP="00504426">
      <w:pPr>
        <w:spacing w:line="360" w:lineRule="auto"/>
        <w:ind w:left="720" w:hanging="720"/>
        <w:jc w:val="both"/>
        <w:rPr>
          <w:u w:val="none"/>
          <w:lang w:val="en-ZA"/>
        </w:rPr>
      </w:pPr>
      <w:r>
        <w:rPr>
          <w:u w:val="none"/>
          <w:lang w:val="en-ZA"/>
        </w:rPr>
        <w:t>[10]</w:t>
      </w:r>
      <w:r w:rsidR="00504426">
        <w:rPr>
          <w:u w:val="none"/>
          <w:lang w:val="en-ZA"/>
        </w:rPr>
        <w:tab/>
      </w:r>
      <w:r w:rsidR="00103211">
        <w:rPr>
          <w:u w:val="none"/>
          <w:lang w:val="en-ZA"/>
        </w:rPr>
        <w:t>In this matter argument had been concluded on the 18</w:t>
      </w:r>
      <w:r w:rsidR="00103211" w:rsidRPr="00103211">
        <w:rPr>
          <w:u w:val="none"/>
          <w:vertAlign w:val="superscript"/>
          <w:lang w:val="en-ZA"/>
        </w:rPr>
        <w:t>th</w:t>
      </w:r>
      <w:r w:rsidR="00103211">
        <w:rPr>
          <w:u w:val="none"/>
          <w:lang w:val="en-ZA"/>
        </w:rPr>
        <w:t xml:space="preserve"> April 2023 and judgement was reserved.  In its application the Applicant did raise the</w:t>
      </w:r>
      <w:r w:rsidR="005B64AB">
        <w:rPr>
          <w:u w:val="none"/>
          <w:lang w:val="en-ZA"/>
        </w:rPr>
        <w:t xml:space="preserve"> issue of set off in paragraph </w:t>
      </w:r>
      <w:r w:rsidR="00103211">
        <w:rPr>
          <w:u w:val="none"/>
          <w:lang w:val="en-ZA"/>
        </w:rPr>
        <w:t xml:space="preserve">10 of their founding affidavit.  That aspect was thoroughly debated and in my judgement I dealt with set off.  There is accordingly no new evidence to have been considered by me.  </w:t>
      </w:r>
    </w:p>
    <w:p w14:paraId="6EC1D1AE" w14:textId="1F1B4D86" w:rsidR="007147EB" w:rsidRDefault="00535D73" w:rsidP="00AB74B5">
      <w:pPr>
        <w:spacing w:line="360" w:lineRule="auto"/>
        <w:jc w:val="both"/>
        <w:rPr>
          <w:u w:val="none"/>
          <w:lang w:val="en-ZA"/>
        </w:rPr>
      </w:pPr>
      <w:r>
        <w:rPr>
          <w:u w:val="none"/>
          <w:lang w:val="en-ZA"/>
        </w:rPr>
        <w:tab/>
      </w:r>
    </w:p>
    <w:p w14:paraId="280C0180" w14:textId="6251565E" w:rsidR="00735276" w:rsidRDefault="00FF42A6" w:rsidP="00B563C3">
      <w:pPr>
        <w:spacing w:line="360" w:lineRule="auto"/>
        <w:ind w:left="720" w:hanging="720"/>
        <w:jc w:val="both"/>
        <w:rPr>
          <w:u w:val="none"/>
          <w:lang w:val="en-ZA"/>
        </w:rPr>
      </w:pPr>
      <w:r>
        <w:rPr>
          <w:u w:val="none"/>
          <w:lang w:val="en-ZA"/>
        </w:rPr>
        <w:t>[11]</w:t>
      </w:r>
      <w:r w:rsidR="000220E1">
        <w:rPr>
          <w:u w:val="none"/>
          <w:lang w:val="en-ZA"/>
        </w:rPr>
        <w:tab/>
      </w:r>
      <w:r w:rsidR="00B563C3">
        <w:rPr>
          <w:u w:val="none"/>
          <w:lang w:val="en-ZA"/>
        </w:rPr>
        <w:t xml:space="preserve"> </w:t>
      </w:r>
      <w:r w:rsidR="00103211">
        <w:rPr>
          <w:u w:val="none"/>
          <w:lang w:val="en-ZA"/>
        </w:rPr>
        <w:t xml:space="preserve">The second ground of appeal is that this court erred in its interpretation of the decided case law dealing with Rule 45A.  The legal principle applicable </w:t>
      </w:r>
      <w:r w:rsidR="005B64AB">
        <w:rPr>
          <w:u w:val="none"/>
          <w:lang w:val="en-ZA"/>
        </w:rPr>
        <w:t>to Rule 45A were correctly summiris</w:t>
      </w:r>
      <w:r w:rsidR="00ED32C8">
        <w:rPr>
          <w:u w:val="none"/>
          <w:lang w:val="en-ZA"/>
        </w:rPr>
        <w:t>ed in MEC Department of Public Works and Others vs Ikamva Architects and Others 2022 (6) S</w:t>
      </w:r>
      <w:r w:rsidR="005B64AB">
        <w:rPr>
          <w:u w:val="none"/>
          <w:lang w:val="en-ZA"/>
        </w:rPr>
        <w:t>A 275 ECB at page 309 paragraph</w:t>
      </w:r>
      <w:r w:rsidR="00ED32C8">
        <w:rPr>
          <w:u w:val="none"/>
          <w:lang w:val="en-ZA"/>
        </w:rPr>
        <w:t xml:space="preserve"> 82 as follows:</w:t>
      </w:r>
    </w:p>
    <w:p w14:paraId="0407633A" w14:textId="2A766331" w:rsidR="00ED32C8" w:rsidRDefault="00ED32C8" w:rsidP="00B563C3">
      <w:pPr>
        <w:spacing w:line="360" w:lineRule="auto"/>
        <w:ind w:left="720" w:hanging="720"/>
        <w:jc w:val="both"/>
        <w:rPr>
          <w:u w:val="none"/>
          <w:lang w:val="en-ZA"/>
        </w:rPr>
      </w:pPr>
    </w:p>
    <w:p w14:paraId="1AC80E58" w14:textId="01123F3B" w:rsidR="00ED32C8" w:rsidRPr="00ED32C8" w:rsidRDefault="00ED32C8" w:rsidP="00ED32C8">
      <w:pPr>
        <w:spacing w:line="360" w:lineRule="auto"/>
        <w:ind w:left="1440"/>
        <w:jc w:val="both"/>
        <w:rPr>
          <w:sz w:val="22"/>
          <w:szCs w:val="22"/>
          <w:u w:val="none"/>
          <w:lang w:val="en-ZA"/>
        </w:rPr>
      </w:pPr>
      <w:r w:rsidRPr="00ED32C8">
        <w:rPr>
          <w:sz w:val="22"/>
          <w:szCs w:val="22"/>
          <w:u w:val="none"/>
          <w:lang w:val="en-ZA"/>
        </w:rPr>
        <w:t>“Courts enjoy constitutionally supported i</w:t>
      </w:r>
      <w:r w:rsidR="005B64AB">
        <w:rPr>
          <w:sz w:val="22"/>
          <w:szCs w:val="22"/>
          <w:u w:val="none"/>
          <w:lang w:val="en-ZA"/>
        </w:rPr>
        <w:t>nherent jurisdiction to control</w:t>
      </w:r>
      <w:r w:rsidRPr="00ED32C8">
        <w:rPr>
          <w:sz w:val="22"/>
          <w:szCs w:val="22"/>
          <w:u w:val="none"/>
          <w:lang w:val="en-ZA"/>
        </w:rPr>
        <w:t xml:space="preserve"> their own processes taking into account the interests of justice.  It appears as if this inherent discretion operates independently of the provisions of Uniform Rule 45A.  Execution must generally be allowed.  This is so even in cases where a stay is sought pending the determination of proceedings still to be instituted</w:t>
      </w:r>
      <w:r>
        <w:rPr>
          <w:sz w:val="22"/>
          <w:szCs w:val="22"/>
          <w:u w:val="none"/>
          <w:lang w:val="en-ZA"/>
        </w:rPr>
        <w:t>.</w:t>
      </w:r>
      <w:r w:rsidRPr="00ED32C8">
        <w:rPr>
          <w:sz w:val="22"/>
          <w:szCs w:val="22"/>
          <w:u w:val="none"/>
          <w:lang w:val="en-ZA"/>
        </w:rPr>
        <w:t xml:space="preserve"> Court will generally grant a stay of execution if the Applicant demonstrate that real and substantial justice requires this or w</w:t>
      </w:r>
      <w:r>
        <w:rPr>
          <w:sz w:val="22"/>
          <w:szCs w:val="22"/>
          <w:u w:val="none"/>
          <w:lang w:val="en-ZA"/>
        </w:rPr>
        <w:t>h</w:t>
      </w:r>
      <w:r w:rsidR="005B64AB">
        <w:rPr>
          <w:sz w:val="22"/>
          <w:szCs w:val="22"/>
          <w:u w:val="none"/>
          <w:lang w:val="en-ZA"/>
        </w:rPr>
        <w:t>ere a</w:t>
      </w:r>
      <w:r w:rsidRPr="00ED32C8">
        <w:rPr>
          <w:sz w:val="22"/>
          <w:szCs w:val="22"/>
          <w:u w:val="none"/>
          <w:lang w:val="en-ZA"/>
        </w:rPr>
        <w:t xml:space="preserve">n injustice will result if execution proceeds.  The Courts discretion must be exercised judicially but cannot otherwise be limited.” </w:t>
      </w:r>
    </w:p>
    <w:p w14:paraId="76CE5A03" w14:textId="77777777" w:rsidR="00ED32C8" w:rsidRDefault="00ED32C8" w:rsidP="00B563C3">
      <w:pPr>
        <w:spacing w:line="360" w:lineRule="auto"/>
        <w:ind w:left="720" w:hanging="720"/>
        <w:jc w:val="both"/>
        <w:rPr>
          <w:u w:val="none"/>
          <w:lang w:val="en-ZA"/>
        </w:rPr>
      </w:pPr>
    </w:p>
    <w:p w14:paraId="0D739443" w14:textId="7DB54670" w:rsidR="00277588" w:rsidRDefault="00FF42A6" w:rsidP="00735276">
      <w:pPr>
        <w:spacing w:line="360" w:lineRule="auto"/>
        <w:ind w:left="720" w:hanging="720"/>
        <w:jc w:val="both"/>
        <w:rPr>
          <w:u w:val="none"/>
          <w:lang w:val="en-ZA"/>
        </w:rPr>
      </w:pPr>
      <w:r>
        <w:rPr>
          <w:u w:val="none"/>
          <w:lang w:val="en-ZA"/>
        </w:rPr>
        <w:t>[12]</w:t>
      </w:r>
      <w:r w:rsidR="00CA60C8">
        <w:rPr>
          <w:u w:val="none"/>
          <w:lang w:val="en-ZA"/>
        </w:rPr>
        <w:tab/>
      </w:r>
      <w:r w:rsidR="00ED32C8">
        <w:rPr>
          <w:u w:val="none"/>
          <w:lang w:val="en-ZA"/>
        </w:rPr>
        <w:t>This application is primarily based on the argument that this Court refused to hear further evidence from the Applicant prior to handing down its judgement.  This refusal so argues the Applicant entitles the Applicant to be granted leave so as to adduce the fresh evidence which the Applicant says came to its knowledge after the close of argument and whilst judgement remained reserved.</w:t>
      </w:r>
    </w:p>
    <w:p w14:paraId="09390EF7" w14:textId="77777777" w:rsidR="00735276" w:rsidRDefault="00735276" w:rsidP="00DB2E83">
      <w:pPr>
        <w:spacing w:line="360" w:lineRule="auto"/>
        <w:jc w:val="both"/>
        <w:rPr>
          <w:u w:val="none"/>
          <w:lang w:val="en-ZA"/>
        </w:rPr>
      </w:pPr>
    </w:p>
    <w:p w14:paraId="56E3FFC0" w14:textId="5A81A8DA" w:rsidR="00722F14" w:rsidRDefault="00987F3C" w:rsidP="001D1DE6">
      <w:pPr>
        <w:spacing w:line="360" w:lineRule="auto"/>
        <w:ind w:left="720" w:hanging="720"/>
        <w:jc w:val="both"/>
        <w:rPr>
          <w:u w:val="none"/>
          <w:lang w:val="en-ZA"/>
        </w:rPr>
      </w:pPr>
      <w:r>
        <w:rPr>
          <w:u w:val="none"/>
          <w:lang w:val="en-ZA"/>
        </w:rPr>
        <w:t>[</w:t>
      </w:r>
      <w:r w:rsidR="00FF42A6" w:rsidRPr="00AC2568">
        <w:rPr>
          <w:u w:val="none"/>
          <w:lang w:val="en-ZA"/>
        </w:rPr>
        <w:t>13]</w:t>
      </w:r>
      <w:r w:rsidR="00735276">
        <w:rPr>
          <w:u w:val="none"/>
          <w:lang w:val="en-ZA"/>
        </w:rPr>
        <w:tab/>
      </w:r>
      <w:r w:rsidR="00ED32C8">
        <w:rPr>
          <w:u w:val="none"/>
          <w:lang w:val="en-ZA"/>
        </w:rPr>
        <w:t>A trial Court has a general discretion to allow a part</w:t>
      </w:r>
      <w:r w:rsidR="005B64AB">
        <w:rPr>
          <w:u w:val="none"/>
          <w:lang w:val="en-ZA"/>
        </w:rPr>
        <w:t>y who has closed his case to lea</w:t>
      </w:r>
      <w:r w:rsidR="00ED32C8">
        <w:rPr>
          <w:u w:val="none"/>
          <w:lang w:val="en-ZA"/>
        </w:rPr>
        <w:t xml:space="preserve">d further evidence </w:t>
      </w:r>
      <w:r w:rsidR="001435FA">
        <w:rPr>
          <w:u w:val="none"/>
          <w:lang w:val="en-ZA"/>
        </w:rPr>
        <w:t xml:space="preserve">at any time up to judgement (See: </w:t>
      </w:r>
      <w:r w:rsidR="001435FA" w:rsidRPr="001435FA">
        <w:rPr>
          <w:b/>
          <w:u w:val="none"/>
          <w:lang w:val="en-ZA"/>
        </w:rPr>
        <w:t>Barclays Western Bank Ltd vs Gunas and Another 1981 (3) SA 91 (1)</w:t>
      </w:r>
      <w:r w:rsidR="001435FA">
        <w:rPr>
          <w:u w:val="none"/>
          <w:lang w:val="en-ZA"/>
        </w:rPr>
        <w:t xml:space="preserve">.  However this discretion is not to be exercised without due regard to prejudice on the opposing litigant.  The Court in </w:t>
      </w:r>
      <w:r w:rsidR="001435FA" w:rsidRPr="001435FA">
        <w:rPr>
          <w:b/>
          <w:u w:val="none"/>
          <w:lang w:val="en-ZA"/>
        </w:rPr>
        <w:t>Terblanche vs Minister of Safety and Security [2009] 2 ALL SA 211 (C) at paragraph 89</w:t>
      </w:r>
      <w:r w:rsidR="001435FA">
        <w:rPr>
          <w:b/>
          <w:u w:val="none"/>
          <w:lang w:val="en-ZA"/>
        </w:rPr>
        <w:t xml:space="preserve"> </w:t>
      </w:r>
      <w:r w:rsidR="001435FA">
        <w:rPr>
          <w:u w:val="none"/>
          <w:lang w:val="en-ZA"/>
        </w:rPr>
        <w:t>held that where the reason for a party seeking to reopen its case is bl</w:t>
      </w:r>
      <w:r w:rsidR="005B64AB">
        <w:rPr>
          <w:u w:val="none"/>
          <w:lang w:val="en-ZA"/>
        </w:rPr>
        <w:t>atantly misused by him it is a s</w:t>
      </w:r>
      <w:r w:rsidR="001435FA">
        <w:rPr>
          <w:u w:val="none"/>
          <w:lang w:val="en-ZA"/>
        </w:rPr>
        <w:t xml:space="preserve">ound basis for the Court to show its disapproval.  </w:t>
      </w:r>
      <w:r w:rsidR="00ED32C8">
        <w:rPr>
          <w:u w:val="none"/>
          <w:lang w:val="en-ZA"/>
        </w:rPr>
        <w:t xml:space="preserve"> </w:t>
      </w:r>
    </w:p>
    <w:p w14:paraId="481A24CF" w14:textId="64D7AAD5" w:rsidR="00B91D9D" w:rsidRDefault="00B91D9D" w:rsidP="00AC2568">
      <w:pPr>
        <w:spacing w:line="360" w:lineRule="auto"/>
        <w:jc w:val="both"/>
        <w:rPr>
          <w:u w:val="none"/>
          <w:lang w:val="en-ZA"/>
        </w:rPr>
      </w:pPr>
    </w:p>
    <w:p w14:paraId="29706546" w14:textId="3B5A87F9" w:rsidR="002F29D6" w:rsidRDefault="0063028E" w:rsidP="001D1DE6">
      <w:pPr>
        <w:spacing w:line="360" w:lineRule="auto"/>
        <w:ind w:left="720" w:hanging="720"/>
        <w:jc w:val="both"/>
        <w:rPr>
          <w:u w:val="none"/>
          <w:lang w:val="en-ZA"/>
        </w:rPr>
      </w:pPr>
      <w:r>
        <w:rPr>
          <w:u w:val="none"/>
          <w:lang w:val="en-ZA"/>
        </w:rPr>
        <w:t>[14]</w:t>
      </w:r>
      <w:r w:rsidR="00B91D9D">
        <w:rPr>
          <w:u w:val="none"/>
          <w:lang w:val="en-ZA"/>
        </w:rPr>
        <w:tab/>
      </w:r>
      <w:r w:rsidR="001435FA">
        <w:rPr>
          <w:u w:val="none"/>
          <w:lang w:val="en-ZA"/>
        </w:rPr>
        <w:t xml:space="preserve">The Applicant has since this matter started in 2014 placed blame for not filing documents or furnishing response on its legal advisers.  It is not surprising that Tsoka J in the full bench decision dismissing the Appeal against Rescission of judgement at paragraph 9 of that judgement </w:t>
      </w:r>
      <w:r w:rsidR="005B64AB">
        <w:rPr>
          <w:u w:val="none"/>
          <w:lang w:val="en-ZA"/>
        </w:rPr>
        <w:t xml:space="preserve">referred to the judgement </w:t>
      </w:r>
      <w:r w:rsidR="001435FA">
        <w:rPr>
          <w:u w:val="none"/>
          <w:lang w:val="en-ZA"/>
        </w:rPr>
        <w:t xml:space="preserve">in </w:t>
      </w:r>
      <w:r w:rsidR="001435FA" w:rsidRPr="001435FA">
        <w:rPr>
          <w:b/>
          <w:u w:val="none"/>
          <w:lang w:val="en-ZA"/>
        </w:rPr>
        <w:t>Sallojee and Another NNO v Minister of Community Development 1965 (2) SA 135 (A) at 141 (C)</w:t>
      </w:r>
      <w:r w:rsidR="001435FA">
        <w:rPr>
          <w:u w:val="none"/>
          <w:lang w:val="en-ZA"/>
        </w:rPr>
        <w:t xml:space="preserve"> in which that Court reasoned as follows:</w:t>
      </w:r>
    </w:p>
    <w:p w14:paraId="050BE176" w14:textId="33D52B2F" w:rsidR="001435FA" w:rsidRDefault="001435FA" w:rsidP="001D1DE6">
      <w:pPr>
        <w:spacing w:line="360" w:lineRule="auto"/>
        <w:ind w:left="720" w:hanging="720"/>
        <w:jc w:val="both"/>
        <w:rPr>
          <w:u w:val="none"/>
          <w:lang w:val="en-ZA"/>
        </w:rPr>
      </w:pPr>
    </w:p>
    <w:p w14:paraId="13E67036" w14:textId="5A9B7472" w:rsidR="001435FA" w:rsidRDefault="001435FA" w:rsidP="001435FA">
      <w:pPr>
        <w:spacing w:line="360" w:lineRule="auto"/>
        <w:ind w:left="1440"/>
        <w:jc w:val="both"/>
        <w:rPr>
          <w:u w:val="none"/>
          <w:lang w:val="en-ZA"/>
        </w:rPr>
      </w:pPr>
      <w:r>
        <w:rPr>
          <w:u w:val="none"/>
          <w:lang w:val="en-ZA"/>
        </w:rPr>
        <w:t xml:space="preserve">“There is a limit beyond which a litigant cannot escape the result of his attorneys lack of diligence or insufficiency of the explanation tendered.  To hold otherwise might have disastrous effect upon the observation of the Rules of this Court. Consideration </w:t>
      </w:r>
      <w:r w:rsidRPr="001435FA">
        <w:rPr>
          <w:i/>
          <w:u w:val="none"/>
          <w:lang w:val="en-ZA"/>
        </w:rPr>
        <w:t>ad misericordiam</w:t>
      </w:r>
      <w:r>
        <w:rPr>
          <w:u w:val="none"/>
          <w:lang w:val="en-ZA"/>
        </w:rPr>
        <w:t xml:space="preserve"> should not be allowed to become an invitation to laxity.”</w:t>
      </w:r>
    </w:p>
    <w:p w14:paraId="4764CD80" w14:textId="5EA635F2" w:rsidR="00495B46" w:rsidRDefault="00E26A27" w:rsidP="00DB2E83">
      <w:pPr>
        <w:spacing w:line="360" w:lineRule="auto"/>
        <w:jc w:val="both"/>
        <w:rPr>
          <w:u w:val="none"/>
          <w:lang w:val="en-ZA"/>
        </w:rPr>
      </w:pPr>
      <w:r>
        <w:rPr>
          <w:u w:val="none"/>
          <w:lang w:val="en-ZA"/>
        </w:rPr>
        <w:tab/>
      </w:r>
    </w:p>
    <w:p w14:paraId="5D5FE8A5" w14:textId="3992705C" w:rsidR="0023249E" w:rsidRDefault="0063028E" w:rsidP="007B4933">
      <w:pPr>
        <w:spacing w:line="360" w:lineRule="auto"/>
        <w:ind w:left="720" w:hanging="720"/>
        <w:jc w:val="both"/>
        <w:rPr>
          <w:u w:val="none"/>
          <w:lang w:val="en-ZA"/>
        </w:rPr>
      </w:pPr>
      <w:r>
        <w:rPr>
          <w:u w:val="none"/>
          <w:lang w:val="en-ZA"/>
        </w:rPr>
        <w:t>[15]</w:t>
      </w:r>
      <w:r w:rsidR="00AA7876">
        <w:rPr>
          <w:u w:val="none"/>
          <w:lang w:val="en-ZA"/>
        </w:rPr>
        <w:tab/>
      </w:r>
      <w:r w:rsidR="00B91D9D">
        <w:rPr>
          <w:u w:val="none"/>
          <w:lang w:val="en-ZA"/>
        </w:rPr>
        <w:t xml:space="preserve"> </w:t>
      </w:r>
      <w:r w:rsidR="00EF0160">
        <w:rPr>
          <w:u w:val="none"/>
          <w:lang w:val="en-ZA"/>
        </w:rPr>
        <w:t>The Applicant</w:t>
      </w:r>
      <w:r w:rsidR="005B64AB">
        <w:rPr>
          <w:u w:val="none"/>
          <w:lang w:val="en-ZA"/>
        </w:rPr>
        <w:t>’</w:t>
      </w:r>
      <w:r w:rsidR="00EF0160">
        <w:rPr>
          <w:u w:val="none"/>
          <w:lang w:val="en-ZA"/>
        </w:rPr>
        <w:t>s counterclaim in case number 42182/2014 was drafted by Senior Coun</w:t>
      </w:r>
      <w:r w:rsidR="005B64AB">
        <w:rPr>
          <w:u w:val="none"/>
          <w:lang w:val="en-ZA"/>
        </w:rPr>
        <w:t>sel and no set off was pleaded S</w:t>
      </w:r>
      <w:r w:rsidR="00EF0160">
        <w:rPr>
          <w:u w:val="none"/>
          <w:lang w:val="en-ZA"/>
        </w:rPr>
        <w:t xml:space="preserve">et off was raised for the first time in the application to stay the writ and as I indicated earlier this issue was dealt with in paragraph 25 of my judgement.  The </w:t>
      </w:r>
      <w:r w:rsidR="00146477">
        <w:rPr>
          <w:u w:val="none"/>
          <w:lang w:val="en-ZA"/>
        </w:rPr>
        <w:t>Applicant had in that instance s</w:t>
      </w:r>
      <w:r w:rsidR="00EF0160">
        <w:rPr>
          <w:u w:val="none"/>
          <w:lang w:val="en-ZA"/>
        </w:rPr>
        <w:t xml:space="preserve">ought </w:t>
      </w:r>
      <w:r w:rsidR="00146477">
        <w:rPr>
          <w:u w:val="none"/>
          <w:lang w:val="en-ZA"/>
        </w:rPr>
        <w:t>to rely on Rule 22 (4) of the Uniform Rules of Court.</w:t>
      </w:r>
    </w:p>
    <w:p w14:paraId="33D1D06F" w14:textId="77777777" w:rsidR="00146477" w:rsidRDefault="00146477" w:rsidP="007B4933">
      <w:pPr>
        <w:spacing w:line="360" w:lineRule="auto"/>
        <w:ind w:left="720" w:hanging="720"/>
        <w:jc w:val="both"/>
        <w:rPr>
          <w:u w:val="none"/>
          <w:lang w:val="en-ZA"/>
        </w:rPr>
      </w:pPr>
    </w:p>
    <w:p w14:paraId="6C0B4D8D" w14:textId="77777777" w:rsidR="00864193" w:rsidRDefault="001C3DF4" w:rsidP="006A0116">
      <w:pPr>
        <w:spacing w:line="360" w:lineRule="auto"/>
        <w:ind w:left="720" w:hanging="720"/>
        <w:jc w:val="both"/>
        <w:rPr>
          <w:u w:val="none"/>
          <w:lang w:val="en-ZA"/>
        </w:rPr>
      </w:pPr>
      <w:r w:rsidRPr="001C3DF4">
        <w:rPr>
          <w:u w:val="none"/>
          <w:lang w:val="en-ZA"/>
        </w:rPr>
        <w:t>[16]</w:t>
      </w:r>
      <w:r w:rsidR="00146477">
        <w:rPr>
          <w:u w:val="none"/>
          <w:lang w:val="en-ZA"/>
        </w:rPr>
        <w:tab/>
      </w:r>
      <w:r w:rsidR="00864193">
        <w:rPr>
          <w:u w:val="none"/>
          <w:lang w:val="en-ZA"/>
        </w:rPr>
        <w:t>Section 17 (1) of the Superior Court Act which I have quoted above besides requiring a judge to have an opinion that the Appeal would have a reasonable prospects of success also states that if there is some other compelling reason the Appeal should be heard including conflicting judgements.</w:t>
      </w:r>
    </w:p>
    <w:p w14:paraId="204B5EF1" w14:textId="3D366D49" w:rsidR="005C7339" w:rsidRPr="005C7339" w:rsidRDefault="001D559E" w:rsidP="006A0116">
      <w:pPr>
        <w:spacing w:line="360" w:lineRule="auto"/>
        <w:ind w:left="720" w:hanging="720"/>
        <w:jc w:val="both"/>
        <w:rPr>
          <w:i/>
          <w:iCs/>
          <w:u w:val="none"/>
          <w:lang w:val="en-ZA"/>
        </w:rPr>
      </w:pPr>
      <w:r>
        <w:rPr>
          <w:u w:val="none"/>
          <w:lang w:val="en-ZA"/>
        </w:rPr>
        <w:tab/>
      </w:r>
    </w:p>
    <w:p w14:paraId="4D4C504B" w14:textId="21C63C56" w:rsidR="00CB7719" w:rsidRPr="00A665F0" w:rsidRDefault="001C3DF4" w:rsidP="00B563C3">
      <w:pPr>
        <w:spacing w:line="360" w:lineRule="auto"/>
        <w:ind w:left="720" w:hanging="720"/>
        <w:jc w:val="both"/>
        <w:rPr>
          <w:lang w:val="en-ZA"/>
        </w:rPr>
      </w:pPr>
      <w:r w:rsidRPr="001C3DF4">
        <w:rPr>
          <w:u w:val="none"/>
          <w:lang w:val="en-ZA"/>
        </w:rPr>
        <w:lastRenderedPageBreak/>
        <w:t>[17]</w:t>
      </w:r>
      <w:r w:rsidR="00E8755F">
        <w:rPr>
          <w:u w:val="none"/>
          <w:lang w:val="en-ZA"/>
        </w:rPr>
        <w:t xml:space="preserve"> I must categorically indicate that I hold the view that there are no reasonable prospects that this Appeal would succeed even if this Court had granted the Applicant leave to lead further evidence.  The question remains whether there are any compelling reasons that the Appeal should be heard. </w:t>
      </w:r>
      <w:r w:rsidR="00EA34A9">
        <w:rPr>
          <w:u w:val="none"/>
          <w:lang w:val="en-ZA"/>
        </w:rPr>
        <w:tab/>
      </w:r>
      <w:r w:rsidR="0061535A">
        <w:rPr>
          <w:u w:val="none"/>
          <w:lang w:val="en-ZA"/>
        </w:rPr>
        <w:t xml:space="preserve"> </w:t>
      </w:r>
    </w:p>
    <w:p w14:paraId="546D9C49" w14:textId="77777777" w:rsidR="006A0116" w:rsidRDefault="006A0116" w:rsidP="00DB2E83">
      <w:pPr>
        <w:spacing w:line="360" w:lineRule="auto"/>
        <w:jc w:val="both"/>
        <w:rPr>
          <w:u w:val="none"/>
          <w:lang w:val="en-ZA"/>
        </w:rPr>
      </w:pPr>
    </w:p>
    <w:p w14:paraId="75532FBC" w14:textId="4907711F" w:rsidR="00A665F0" w:rsidRDefault="001C3DF4" w:rsidP="002D67D6">
      <w:pPr>
        <w:spacing w:line="360" w:lineRule="auto"/>
        <w:ind w:left="720" w:hanging="720"/>
        <w:jc w:val="both"/>
        <w:rPr>
          <w:u w:val="none"/>
          <w:lang w:val="en-ZA"/>
        </w:rPr>
      </w:pPr>
      <w:r w:rsidRPr="001C3DF4">
        <w:rPr>
          <w:u w:val="none"/>
          <w:lang w:val="en-ZA"/>
        </w:rPr>
        <w:t>[18]</w:t>
      </w:r>
      <w:r w:rsidR="00CB7719">
        <w:rPr>
          <w:u w:val="none"/>
          <w:lang w:val="en-ZA"/>
        </w:rPr>
        <w:tab/>
      </w:r>
      <w:r w:rsidR="008854BC">
        <w:rPr>
          <w:u w:val="none"/>
          <w:lang w:val="en-ZA"/>
        </w:rPr>
        <w:t xml:space="preserve">The grounds for allowing further evidence on appeal were stated by Tshiqi JA in </w:t>
      </w:r>
      <w:r w:rsidR="008854BC" w:rsidRPr="008854BC">
        <w:rPr>
          <w:b/>
          <w:u w:val="none"/>
          <w:lang w:val="en-ZA"/>
        </w:rPr>
        <w:t>Seedat v S 2017 (1) SACR 141 SCA at paragraph 21</w:t>
      </w:r>
      <w:r w:rsidR="008854BC">
        <w:rPr>
          <w:u w:val="none"/>
          <w:lang w:val="en-ZA"/>
        </w:rPr>
        <w:t xml:space="preserve"> as follows: </w:t>
      </w:r>
    </w:p>
    <w:p w14:paraId="3D8B7E50" w14:textId="2B79AAEA" w:rsidR="008854BC" w:rsidRDefault="008854BC" w:rsidP="002D67D6">
      <w:pPr>
        <w:spacing w:line="360" w:lineRule="auto"/>
        <w:ind w:left="720" w:hanging="720"/>
        <w:jc w:val="both"/>
        <w:rPr>
          <w:u w:val="none"/>
          <w:lang w:val="en-ZA"/>
        </w:rPr>
      </w:pPr>
    </w:p>
    <w:p w14:paraId="759EA367" w14:textId="529F5612" w:rsidR="008854BC" w:rsidRPr="008854BC" w:rsidRDefault="008854BC" w:rsidP="008854BC">
      <w:pPr>
        <w:spacing w:line="360" w:lineRule="auto"/>
        <w:ind w:left="1440"/>
        <w:jc w:val="both"/>
        <w:rPr>
          <w:sz w:val="22"/>
          <w:szCs w:val="22"/>
          <w:u w:val="none"/>
          <w:lang w:val="en-ZA"/>
        </w:rPr>
      </w:pPr>
      <w:r w:rsidRPr="008854BC">
        <w:rPr>
          <w:sz w:val="22"/>
          <w:szCs w:val="22"/>
          <w:u w:val="none"/>
          <w:lang w:val="en-ZA"/>
        </w:rPr>
        <w:t xml:space="preserve">“There should be a reasonably sufficient explanation, based on allegations which may be true why the evidence which is sought to be led was not led at the trial.  There should be a prima facie likelihood of the truth of the evidence.  The evidence should be materially relevant to the outcome of the trial.”  </w:t>
      </w:r>
    </w:p>
    <w:p w14:paraId="3C63A237" w14:textId="77777777" w:rsidR="002D67D6" w:rsidRDefault="002D67D6" w:rsidP="00E964B5">
      <w:pPr>
        <w:spacing w:line="360" w:lineRule="auto"/>
        <w:jc w:val="both"/>
        <w:rPr>
          <w:u w:val="none"/>
          <w:lang w:val="en-ZA"/>
        </w:rPr>
      </w:pPr>
    </w:p>
    <w:p w14:paraId="7FF21167" w14:textId="2D21576D" w:rsidR="005C7339" w:rsidRDefault="001C3DF4" w:rsidP="00B9298B">
      <w:pPr>
        <w:spacing w:line="360" w:lineRule="auto"/>
        <w:ind w:left="720" w:hanging="720"/>
        <w:jc w:val="both"/>
        <w:rPr>
          <w:u w:val="none"/>
          <w:lang w:val="en-ZA"/>
        </w:rPr>
      </w:pPr>
      <w:r w:rsidRPr="001C3DF4">
        <w:rPr>
          <w:u w:val="none"/>
          <w:lang w:val="en-ZA"/>
        </w:rPr>
        <w:t>[19</w:t>
      </w:r>
      <w:r w:rsidR="001E5892">
        <w:rPr>
          <w:u w:val="none"/>
          <w:lang w:val="en-ZA"/>
        </w:rPr>
        <w:t>]</w:t>
      </w:r>
      <w:r w:rsidR="00D46DD7">
        <w:rPr>
          <w:u w:val="none"/>
          <w:lang w:val="en-ZA"/>
        </w:rPr>
        <w:tab/>
      </w:r>
      <w:r w:rsidR="004D11AD">
        <w:rPr>
          <w:u w:val="none"/>
          <w:lang w:val="en-ZA"/>
        </w:rPr>
        <w:t>There is in my view no compelling reason to grant leave.  The Applicant is clearly on a trajectory aimed at dragging this matter indefinitely based on flawed reasoning.</w:t>
      </w:r>
    </w:p>
    <w:p w14:paraId="2A72305D" w14:textId="77777777" w:rsidR="007D3A9E" w:rsidRPr="00165F98" w:rsidRDefault="007D3A9E" w:rsidP="00DB2E83">
      <w:pPr>
        <w:spacing w:line="360" w:lineRule="auto"/>
        <w:jc w:val="both"/>
        <w:rPr>
          <w:u w:val="none"/>
          <w:lang w:val="en-ZA"/>
        </w:rPr>
      </w:pPr>
    </w:p>
    <w:p w14:paraId="23F60FC6" w14:textId="1D5CADCE" w:rsidR="00D46DD7" w:rsidRPr="00165F98" w:rsidRDefault="001C3DF4" w:rsidP="007B4933">
      <w:pPr>
        <w:spacing w:line="360" w:lineRule="auto"/>
        <w:ind w:left="720" w:hanging="720"/>
        <w:jc w:val="both"/>
        <w:rPr>
          <w:u w:val="none"/>
          <w:lang w:val="en-ZA"/>
        </w:rPr>
      </w:pPr>
      <w:r w:rsidRPr="00165F98">
        <w:rPr>
          <w:u w:val="none"/>
          <w:lang w:val="en-ZA"/>
        </w:rPr>
        <w:t>[20]</w:t>
      </w:r>
      <w:r w:rsidR="00A665F0" w:rsidRPr="00165F98">
        <w:rPr>
          <w:u w:val="none"/>
          <w:lang w:val="en-ZA"/>
        </w:rPr>
        <w:tab/>
      </w:r>
      <w:r w:rsidR="00D46DD7" w:rsidRPr="00165F98">
        <w:rPr>
          <w:u w:val="none"/>
          <w:lang w:val="en-ZA"/>
        </w:rPr>
        <w:t xml:space="preserve"> </w:t>
      </w:r>
      <w:r w:rsidR="004D11AD" w:rsidRPr="00165F98">
        <w:rPr>
          <w:u w:val="none"/>
          <w:lang w:val="en-ZA"/>
        </w:rPr>
        <w:t xml:space="preserve">I need also to deal with the contention by the Applicant that this Court erred in failing to hold that my judgement was not final until it was handed down even if it had already been signed.  This Court has been referred to the Constitutional Court decision in </w:t>
      </w:r>
      <w:r w:rsidR="00165F98" w:rsidRPr="00165F98">
        <w:rPr>
          <w:b/>
          <w:u w:val="none"/>
          <w:lang w:val="en-ZA"/>
        </w:rPr>
        <w:t>Maphango and</w:t>
      </w:r>
      <w:r w:rsidR="004D11AD" w:rsidRPr="00165F98">
        <w:rPr>
          <w:b/>
          <w:u w:val="none"/>
          <w:lang w:val="en-ZA"/>
        </w:rPr>
        <w:t xml:space="preserve"> Others v A</w:t>
      </w:r>
      <w:r w:rsidR="0015757E" w:rsidRPr="00165F98">
        <w:rPr>
          <w:b/>
          <w:u w:val="none"/>
          <w:lang w:val="en-ZA"/>
        </w:rPr>
        <w:t>engus Lifestyle Properties (Pty) Ltd 2012 (3) SA 531 (CC) at 127.</w:t>
      </w:r>
    </w:p>
    <w:p w14:paraId="59A61C28" w14:textId="77777777" w:rsidR="001E5892" w:rsidRPr="00165F98" w:rsidRDefault="001E5892" w:rsidP="00DB2E83">
      <w:pPr>
        <w:spacing w:line="360" w:lineRule="auto"/>
        <w:jc w:val="both"/>
        <w:rPr>
          <w:lang w:val="en-ZA"/>
        </w:rPr>
      </w:pPr>
    </w:p>
    <w:p w14:paraId="1CDC2EE4" w14:textId="67DA7B4D" w:rsidR="000D47FC" w:rsidRDefault="001E5892" w:rsidP="00A665F0">
      <w:pPr>
        <w:spacing w:line="360" w:lineRule="auto"/>
        <w:ind w:left="720" w:hanging="720"/>
        <w:jc w:val="both"/>
        <w:rPr>
          <w:u w:val="none"/>
          <w:lang w:val="en-ZA"/>
        </w:rPr>
      </w:pPr>
      <w:r>
        <w:rPr>
          <w:u w:val="none"/>
          <w:lang w:val="en-ZA"/>
        </w:rPr>
        <w:t>[21]</w:t>
      </w:r>
      <w:r w:rsidR="001479D7">
        <w:rPr>
          <w:u w:val="none"/>
          <w:lang w:val="en-ZA"/>
        </w:rPr>
        <w:tab/>
      </w:r>
      <w:r w:rsidR="0044577D">
        <w:rPr>
          <w:u w:val="none"/>
          <w:lang w:val="en-ZA"/>
        </w:rPr>
        <w:t xml:space="preserve">Paragraph 127 of that judgement is part of a minority judgement by Zondo AJ as he then was.  Secondly that paragraph has no reference to what is being contented to by the Applicant.  My further reading of that judgement took me to paragraph 137 which to me appears to be relevant to the issues in this matter it deals with an application to stay. </w:t>
      </w:r>
    </w:p>
    <w:p w14:paraId="5836BD78" w14:textId="77777777" w:rsidR="00EC0F4F" w:rsidRDefault="00EC0F4F" w:rsidP="00DB2E83">
      <w:pPr>
        <w:spacing w:line="360" w:lineRule="auto"/>
        <w:jc w:val="both"/>
        <w:rPr>
          <w:u w:val="none"/>
          <w:lang w:val="en-ZA"/>
        </w:rPr>
      </w:pPr>
    </w:p>
    <w:p w14:paraId="3720D063" w14:textId="6BD7EE16" w:rsidR="000D47FC" w:rsidRDefault="001E5892" w:rsidP="00E964B5">
      <w:pPr>
        <w:spacing w:line="360" w:lineRule="auto"/>
        <w:ind w:left="720" w:hanging="720"/>
        <w:jc w:val="both"/>
        <w:rPr>
          <w:u w:val="none"/>
          <w:lang w:val="en-ZA"/>
        </w:rPr>
      </w:pPr>
      <w:r>
        <w:rPr>
          <w:u w:val="none"/>
          <w:lang w:val="en-ZA"/>
        </w:rPr>
        <w:t>[22]</w:t>
      </w:r>
      <w:r w:rsidR="007C24B6">
        <w:rPr>
          <w:u w:val="none"/>
          <w:lang w:val="en-ZA"/>
        </w:rPr>
        <w:tab/>
      </w:r>
      <w:r w:rsidR="0044577D">
        <w:rPr>
          <w:u w:val="none"/>
          <w:lang w:val="en-ZA"/>
        </w:rPr>
        <w:t xml:space="preserve">Zondo AJ’s judgement despite being a minority judgement is not supportive of the Applicant’s contention.  It clearly emphasises on the timing of the bringing </w:t>
      </w:r>
      <w:r w:rsidR="005B64AB">
        <w:rPr>
          <w:u w:val="none"/>
          <w:lang w:val="en-ZA"/>
        </w:rPr>
        <w:t xml:space="preserve">of </w:t>
      </w:r>
      <w:r w:rsidR="0044577D">
        <w:rPr>
          <w:u w:val="none"/>
          <w:lang w:val="en-ZA"/>
        </w:rPr>
        <w:t>such application and the prejudice occasioned to the Respondent.  Paragraph 137 reads</w:t>
      </w:r>
      <w:r w:rsidR="005B64AB">
        <w:rPr>
          <w:u w:val="none"/>
          <w:lang w:val="en-ZA"/>
        </w:rPr>
        <w:t xml:space="preserve"> as follows</w:t>
      </w:r>
      <w:r w:rsidR="0044577D">
        <w:rPr>
          <w:u w:val="none"/>
          <w:lang w:val="en-ZA"/>
        </w:rPr>
        <w:t>:</w:t>
      </w:r>
    </w:p>
    <w:p w14:paraId="48452057" w14:textId="1EF674D7" w:rsidR="001B68C3" w:rsidRPr="00D25E2C" w:rsidRDefault="001B68C3" w:rsidP="00E964B5">
      <w:pPr>
        <w:spacing w:line="360" w:lineRule="auto"/>
        <w:ind w:left="720" w:hanging="720"/>
        <w:jc w:val="both"/>
        <w:rPr>
          <w:sz w:val="22"/>
          <w:szCs w:val="22"/>
          <w:u w:val="none"/>
          <w:lang w:val="en-ZA"/>
        </w:rPr>
      </w:pPr>
    </w:p>
    <w:p w14:paraId="6FED0E4E" w14:textId="2CD4C412" w:rsidR="001B68C3" w:rsidRDefault="001B68C3" w:rsidP="001B68C3">
      <w:pPr>
        <w:spacing w:line="360" w:lineRule="auto"/>
        <w:ind w:left="1440"/>
        <w:jc w:val="both"/>
        <w:rPr>
          <w:u w:val="none"/>
          <w:lang w:val="en-ZA"/>
        </w:rPr>
      </w:pPr>
      <w:r w:rsidRPr="00D25E2C">
        <w:rPr>
          <w:sz w:val="22"/>
          <w:szCs w:val="22"/>
          <w:u w:val="none"/>
          <w:lang w:val="en-ZA"/>
        </w:rPr>
        <w:lastRenderedPageBreak/>
        <w:t xml:space="preserve">“If the Applicants wanted a stay the proper forum and time for that application was before the High Court and before it handed down its judgement.  Once the High Court had delivered its judgement without that application having been made there was no room for </w:t>
      </w:r>
      <w:r w:rsidR="00970254" w:rsidRPr="00D25E2C">
        <w:rPr>
          <w:sz w:val="22"/>
          <w:szCs w:val="22"/>
          <w:u w:val="none"/>
          <w:lang w:val="en-ZA"/>
        </w:rPr>
        <w:t xml:space="preserve">the application because from that time on there was a judgement in favour of the Respondent which could only be set aside if it were found to be wrong.  In case I am wrong in the view that this application could have been made only before the High Court handed down its judgement then the least that the Applicants would be required to do if they applied for a stay of the Appeal to the Supreme Court of Appeal would have been to explain why they did not make that application before the High Court handed down its judgement and why they took as long as they did to bring that application.  They would have had to give a proper explanation for all of this.  The Respondent would have been entitled </w:t>
      </w:r>
      <w:r w:rsidR="00D25E2C">
        <w:rPr>
          <w:sz w:val="22"/>
          <w:szCs w:val="22"/>
          <w:u w:val="none"/>
          <w:lang w:val="en-ZA"/>
        </w:rPr>
        <w:t>to oppose the application for a</w:t>
      </w:r>
      <w:r w:rsidR="00970254" w:rsidRPr="00D25E2C">
        <w:rPr>
          <w:sz w:val="22"/>
          <w:szCs w:val="22"/>
          <w:u w:val="none"/>
          <w:lang w:val="en-ZA"/>
        </w:rPr>
        <w:t xml:space="preserve"> stay</w:t>
      </w:r>
      <w:r w:rsidR="005B64AB">
        <w:rPr>
          <w:sz w:val="22"/>
          <w:szCs w:val="22"/>
          <w:u w:val="none"/>
          <w:lang w:val="en-ZA"/>
        </w:rPr>
        <w:t xml:space="preserve"> and to show the prejudice that a stay</w:t>
      </w:r>
      <w:r w:rsidR="00970254" w:rsidRPr="00D25E2C">
        <w:rPr>
          <w:sz w:val="22"/>
          <w:szCs w:val="22"/>
          <w:u w:val="none"/>
          <w:lang w:val="en-ZA"/>
        </w:rPr>
        <w:t xml:space="preserve"> would occasion it.  On the same basis if the Applicants had applied to this Court for a stay of the appeal pending the referral, once again of their complaint to the tribunal they would have had to explain why they were only seeking to do this after three years of litigation and deal with the prejudice to the Respondent.  They would also have had to explain why they must be given another opportunity three years later to refer their complaint and why they withdrew their complaint before the tribunal at a time when they were about </w:t>
      </w:r>
      <w:r w:rsidR="00D25E2C" w:rsidRPr="00D25E2C">
        <w:rPr>
          <w:sz w:val="22"/>
          <w:szCs w:val="22"/>
          <w:u w:val="none"/>
          <w:lang w:val="en-ZA"/>
        </w:rPr>
        <w:t xml:space="preserve">to be afforded a hearing that could have resulted in an award in their favour which would have prevented the litigation in the High Court, Supreme Court of Appeal and in this Court.  The main judgement grants the Applicants a stay without their having had to give any explanation for their withdrawal of their complaint in the tribunal and for their failure to apply for a stay all these years.” </w:t>
      </w:r>
      <w:r w:rsidR="00970254">
        <w:rPr>
          <w:u w:val="none"/>
          <w:lang w:val="en-ZA"/>
        </w:rPr>
        <w:t xml:space="preserve">     </w:t>
      </w:r>
      <w:r>
        <w:rPr>
          <w:u w:val="none"/>
          <w:lang w:val="en-ZA"/>
        </w:rPr>
        <w:tab/>
      </w:r>
      <w:r>
        <w:rPr>
          <w:u w:val="none"/>
          <w:lang w:val="en-ZA"/>
        </w:rPr>
        <w:tab/>
      </w:r>
      <w:r>
        <w:rPr>
          <w:u w:val="none"/>
          <w:lang w:val="en-ZA"/>
        </w:rPr>
        <w:tab/>
      </w:r>
    </w:p>
    <w:p w14:paraId="133A9F20" w14:textId="77777777" w:rsidR="0044577D" w:rsidRDefault="0044577D" w:rsidP="00E964B5">
      <w:pPr>
        <w:spacing w:line="360" w:lineRule="auto"/>
        <w:ind w:left="720" w:hanging="720"/>
        <w:jc w:val="both"/>
        <w:rPr>
          <w:u w:val="none"/>
          <w:lang w:val="en-ZA"/>
        </w:rPr>
      </w:pPr>
    </w:p>
    <w:p w14:paraId="34F67EBC" w14:textId="6F2BAF55" w:rsidR="005A7B34" w:rsidRDefault="005A7B34" w:rsidP="00DB2E83">
      <w:pPr>
        <w:spacing w:line="360" w:lineRule="auto"/>
        <w:jc w:val="both"/>
        <w:rPr>
          <w:u w:val="none"/>
          <w:lang w:val="en-ZA"/>
        </w:rPr>
      </w:pPr>
    </w:p>
    <w:p w14:paraId="4B603FA3" w14:textId="3AF90E80" w:rsidR="000E154B" w:rsidRDefault="001E5892" w:rsidP="007B4933">
      <w:pPr>
        <w:spacing w:line="360" w:lineRule="auto"/>
        <w:ind w:left="720" w:hanging="720"/>
        <w:jc w:val="both"/>
        <w:rPr>
          <w:u w:val="none"/>
          <w:lang w:val="en-ZA"/>
        </w:rPr>
      </w:pPr>
      <w:r>
        <w:rPr>
          <w:u w:val="none"/>
          <w:lang w:val="en-ZA"/>
        </w:rPr>
        <w:t>[23]</w:t>
      </w:r>
      <w:r w:rsidR="003622D9">
        <w:rPr>
          <w:u w:val="none"/>
          <w:lang w:val="en-ZA"/>
        </w:rPr>
        <w:tab/>
      </w:r>
      <w:r w:rsidR="0095771E">
        <w:rPr>
          <w:u w:val="none"/>
          <w:lang w:val="en-ZA"/>
        </w:rPr>
        <w:t xml:space="preserve"> </w:t>
      </w:r>
      <w:r w:rsidR="00861306">
        <w:rPr>
          <w:u w:val="none"/>
          <w:lang w:val="en-ZA"/>
        </w:rPr>
        <w:t>It is now almost nin</w:t>
      </w:r>
      <w:r w:rsidR="005B64AB">
        <w:rPr>
          <w:u w:val="none"/>
          <w:lang w:val="en-ZA"/>
        </w:rPr>
        <w:t>e years since summary judgement</w:t>
      </w:r>
      <w:r w:rsidR="00861306">
        <w:rPr>
          <w:u w:val="none"/>
          <w:lang w:val="en-ZA"/>
        </w:rPr>
        <w:t xml:space="preserve"> was granted and because of the various failed attempts to avoid execution of that judgement Reckitt the Respondent has been seriously prejudice</w:t>
      </w:r>
      <w:r w:rsidR="005B64AB">
        <w:rPr>
          <w:u w:val="none"/>
          <w:lang w:val="en-ZA"/>
        </w:rPr>
        <w:t>d</w:t>
      </w:r>
      <w:r w:rsidR="00861306">
        <w:rPr>
          <w:u w:val="none"/>
          <w:lang w:val="en-ZA"/>
        </w:rPr>
        <w:t>.  There is no basis on which the Applicant should be granted another opportunity to recycle the whole legal process.</w:t>
      </w:r>
    </w:p>
    <w:p w14:paraId="364ACF75" w14:textId="77777777" w:rsidR="00861306" w:rsidRPr="00E964B5" w:rsidRDefault="00861306" w:rsidP="007B4933">
      <w:pPr>
        <w:spacing w:line="360" w:lineRule="auto"/>
        <w:ind w:left="720" w:hanging="720"/>
        <w:jc w:val="both"/>
        <w:rPr>
          <w:u w:val="none"/>
          <w:lang w:val="en-ZA"/>
        </w:rPr>
      </w:pPr>
    </w:p>
    <w:p w14:paraId="3A1F9928" w14:textId="6299215D" w:rsidR="002327BC" w:rsidRDefault="001E5892" w:rsidP="00E964B5">
      <w:pPr>
        <w:spacing w:line="360" w:lineRule="auto"/>
        <w:ind w:left="720" w:hanging="720"/>
        <w:jc w:val="both"/>
        <w:rPr>
          <w:u w:val="none"/>
          <w:lang w:val="en-ZA"/>
        </w:rPr>
      </w:pPr>
      <w:r>
        <w:rPr>
          <w:u w:val="none"/>
          <w:lang w:val="en-ZA"/>
        </w:rPr>
        <w:t>[24]</w:t>
      </w:r>
      <w:r w:rsidR="00861306">
        <w:rPr>
          <w:u w:val="none"/>
          <w:lang w:val="en-ZA"/>
        </w:rPr>
        <w:tab/>
      </w:r>
      <w:r w:rsidR="002327BC">
        <w:rPr>
          <w:u w:val="none"/>
          <w:lang w:val="en-ZA"/>
        </w:rPr>
        <w:t xml:space="preserve">The Constitutional Court in the matter of </w:t>
      </w:r>
      <w:r w:rsidR="002327BC" w:rsidRPr="00E57B56">
        <w:rPr>
          <w:b/>
          <w:u w:val="none"/>
          <w:lang w:val="en-ZA"/>
        </w:rPr>
        <w:t>S v Shaik and Others 2008 (1) SACR</w:t>
      </w:r>
      <w:r w:rsidR="002327BC">
        <w:rPr>
          <w:u w:val="none"/>
          <w:lang w:val="en-ZA"/>
        </w:rPr>
        <w:t xml:space="preserve"> 1 in dealing with the test for granting leave to appeal as well as the law </w:t>
      </w:r>
      <w:r w:rsidR="002327BC">
        <w:rPr>
          <w:u w:val="none"/>
          <w:lang w:val="en-ZA"/>
        </w:rPr>
        <w:lastRenderedPageBreak/>
        <w:t>regarding the admission of new evidence on appeal held as follows at paragraph [15] as well as [17].</w:t>
      </w:r>
    </w:p>
    <w:p w14:paraId="57A88B23" w14:textId="77777777" w:rsidR="002327BC" w:rsidRDefault="002327BC" w:rsidP="00E964B5">
      <w:pPr>
        <w:spacing w:line="360" w:lineRule="auto"/>
        <w:ind w:left="720" w:hanging="720"/>
        <w:jc w:val="both"/>
        <w:rPr>
          <w:u w:val="none"/>
          <w:lang w:val="en-ZA"/>
        </w:rPr>
      </w:pPr>
    </w:p>
    <w:p w14:paraId="1BB6F92F" w14:textId="270ACCA1" w:rsidR="00FC188F" w:rsidRPr="00FC188F" w:rsidRDefault="00FC188F" w:rsidP="00FC188F">
      <w:pPr>
        <w:spacing w:line="360" w:lineRule="auto"/>
        <w:ind w:left="1440"/>
        <w:jc w:val="both"/>
        <w:rPr>
          <w:sz w:val="22"/>
          <w:szCs w:val="22"/>
          <w:u w:val="none"/>
          <w:lang w:val="en-ZA"/>
        </w:rPr>
      </w:pPr>
      <w:r w:rsidRPr="00FC188F">
        <w:rPr>
          <w:sz w:val="22"/>
          <w:szCs w:val="22"/>
          <w:u w:val="none"/>
          <w:lang w:val="en-ZA"/>
        </w:rPr>
        <w:t>“</w:t>
      </w:r>
      <w:r w:rsidR="002327BC" w:rsidRPr="00FC188F">
        <w:rPr>
          <w:sz w:val="22"/>
          <w:szCs w:val="22"/>
          <w:u w:val="none"/>
          <w:lang w:val="en-ZA"/>
        </w:rPr>
        <w:t>[15] Leave to Appeal will be granted if an Applicant raises a Constitutional matter or an issue connected with a decision on a Constitutional matter, and if it is in the interest of justice to grant leave to appeal.  Whether it is in the interest of justice for an application for leave to appeal to be granted depends on a careful and balanced weighing up of all relevant factors, including the importance of the Constitutional issues and the prospects of success.  With regard to the prospects of success the Court</w:t>
      </w:r>
      <w:r w:rsidRPr="00FC188F">
        <w:rPr>
          <w:sz w:val="22"/>
          <w:szCs w:val="22"/>
          <w:u w:val="none"/>
          <w:lang w:val="en-ZA"/>
        </w:rPr>
        <w:t xml:space="preserve"> must have regard to and make a</w:t>
      </w:r>
      <w:r w:rsidR="002327BC" w:rsidRPr="00FC188F">
        <w:rPr>
          <w:sz w:val="22"/>
          <w:szCs w:val="22"/>
          <w:u w:val="none"/>
          <w:lang w:val="en-ZA"/>
        </w:rPr>
        <w:t xml:space="preserve"> revaluation of the evidence which is before it.</w:t>
      </w:r>
    </w:p>
    <w:p w14:paraId="001D0D18" w14:textId="77777777" w:rsidR="00FC188F" w:rsidRPr="00FC188F" w:rsidRDefault="00FC188F" w:rsidP="00E964B5">
      <w:pPr>
        <w:spacing w:line="360" w:lineRule="auto"/>
        <w:ind w:left="720" w:hanging="720"/>
        <w:jc w:val="both"/>
        <w:rPr>
          <w:sz w:val="22"/>
          <w:szCs w:val="22"/>
          <w:u w:val="none"/>
          <w:lang w:val="en-ZA"/>
        </w:rPr>
      </w:pPr>
    </w:p>
    <w:p w14:paraId="548B3D2D" w14:textId="3CA00595" w:rsidR="003622D9" w:rsidRPr="00FC188F" w:rsidRDefault="00FC188F" w:rsidP="00FC188F">
      <w:pPr>
        <w:spacing w:line="360" w:lineRule="auto"/>
        <w:ind w:left="1440"/>
        <w:jc w:val="both"/>
        <w:rPr>
          <w:sz w:val="22"/>
          <w:szCs w:val="22"/>
          <w:u w:val="none"/>
          <w:lang w:val="en-ZA"/>
        </w:rPr>
      </w:pPr>
      <w:r w:rsidRPr="00FC188F">
        <w:rPr>
          <w:sz w:val="22"/>
          <w:szCs w:val="22"/>
          <w:u w:val="none"/>
          <w:lang w:val="en-ZA"/>
        </w:rPr>
        <w:t>[17] In this application to introduce further evidence the Applicants rely on rules 30 and 31 of the rules of this Court.   Rule 30 incorporates amongst other Section, S 22 of the Supreme Court Act.”</w:t>
      </w:r>
      <w:r w:rsidR="002327BC" w:rsidRPr="00FC188F">
        <w:rPr>
          <w:sz w:val="22"/>
          <w:szCs w:val="22"/>
          <w:u w:val="none"/>
          <w:lang w:val="en-ZA"/>
        </w:rPr>
        <w:t xml:space="preserve"> </w:t>
      </w:r>
      <w:r w:rsidR="003622D9" w:rsidRPr="00FC188F">
        <w:rPr>
          <w:sz w:val="22"/>
          <w:szCs w:val="22"/>
          <w:u w:val="none"/>
          <w:lang w:val="en-ZA"/>
        </w:rPr>
        <w:tab/>
      </w:r>
    </w:p>
    <w:p w14:paraId="27601D71" w14:textId="3A57C772" w:rsidR="00CF3D2D" w:rsidRPr="00FC188F" w:rsidRDefault="0052556B" w:rsidP="00E964B5">
      <w:pPr>
        <w:spacing w:line="360" w:lineRule="auto"/>
        <w:ind w:left="720" w:hanging="720"/>
        <w:jc w:val="both"/>
        <w:rPr>
          <w:sz w:val="22"/>
          <w:szCs w:val="22"/>
          <w:u w:val="none"/>
          <w:lang w:val="en-ZA"/>
        </w:rPr>
      </w:pPr>
      <w:r w:rsidRPr="00FC188F">
        <w:rPr>
          <w:sz w:val="22"/>
          <w:szCs w:val="22"/>
          <w:u w:val="none"/>
          <w:lang w:val="en-ZA"/>
        </w:rPr>
        <w:tab/>
      </w:r>
      <w:r w:rsidR="0095771E" w:rsidRPr="00FC188F">
        <w:rPr>
          <w:sz w:val="22"/>
          <w:szCs w:val="22"/>
          <w:u w:val="none"/>
          <w:lang w:val="en-ZA"/>
        </w:rPr>
        <w:t xml:space="preserve"> </w:t>
      </w:r>
    </w:p>
    <w:p w14:paraId="6BB62143" w14:textId="74834D04" w:rsidR="00FC188F" w:rsidRDefault="001E5892" w:rsidP="007B4933">
      <w:pPr>
        <w:spacing w:line="360" w:lineRule="auto"/>
        <w:ind w:left="720" w:hanging="720"/>
        <w:jc w:val="both"/>
        <w:rPr>
          <w:u w:val="none"/>
          <w:lang w:val="en-ZA"/>
        </w:rPr>
      </w:pPr>
      <w:r>
        <w:rPr>
          <w:u w:val="none"/>
          <w:lang w:val="en-ZA"/>
        </w:rPr>
        <w:t>[25]</w:t>
      </w:r>
      <w:r w:rsidR="008F0FFB">
        <w:rPr>
          <w:u w:val="none"/>
          <w:lang w:val="en-ZA"/>
        </w:rPr>
        <w:tab/>
      </w:r>
      <w:r w:rsidR="00FC188F">
        <w:rPr>
          <w:u w:val="none"/>
          <w:lang w:val="en-ZA"/>
        </w:rPr>
        <w:t xml:space="preserve">In </w:t>
      </w:r>
      <w:r w:rsidR="00FC188F" w:rsidRPr="009703E2">
        <w:rPr>
          <w:b/>
          <w:u w:val="none"/>
          <w:lang w:val="en-ZA"/>
        </w:rPr>
        <w:t>Prince vs President Cape Law Society and Others 2002 (1) SACR 431 CC</w:t>
      </w:r>
      <w:r w:rsidR="00FC188F">
        <w:rPr>
          <w:u w:val="none"/>
          <w:lang w:val="en-ZA"/>
        </w:rPr>
        <w:t xml:space="preserve"> the Court held that if the evidence sought to be adduced under Rule 31 is not incontrovertible then it</w:t>
      </w:r>
      <w:r w:rsidR="005B64AB">
        <w:rPr>
          <w:u w:val="none"/>
          <w:lang w:val="en-ZA"/>
        </w:rPr>
        <w:t xml:space="preserve"> is inadmissible.  T</w:t>
      </w:r>
      <w:r w:rsidR="00FC188F">
        <w:rPr>
          <w:u w:val="none"/>
          <w:lang w:val="en-ZA"/>
        </w:rPr>
        <w:t xml:space="preserve">he Constitutional Court in </w:t>
      </w:r>
      <w:r w:rsidR="00FC188F" w:rsidRPr="00E57B56">
        <w:rPr>
          <w:b/>
          <w:u w:val="none"/>
          <w:lang w:val="en-ZA"/>
        </w:rPr>
        <w:t>Rail Commuters Action Group and Others vs Transnet Ltd t/a Metrorail and Others 2005 (2) SA 359 CC</w:t>
      </w:r>
      <w:r w:rsidR="00FC188F">
        <w:rPr>
          <w:u w:val="none"/>
          <w:lang w:val="en-ZA"/>
        </w:rPr>
        <w:t xml:space="preserve"> confirmed the ruling in Prince by concluding that the evidence sought to be introduced was not admissible since it was “all put in issue by the Respondent and therefore falls to be excluded on that basis alone.  The Court further held that Rule 31 will find no application were the facts sought to be canvassed are irrelevant or genuinely disputed in other words where they are not incontrovertible.</w:t>
      </w:r>
    </w:p>
    <w:p w14:paraId="3CED0FCE" w14:textId="6BC7D152" w:rsidR="003C6F6C" w:rsidRDefault="00FC188F" w:rsidP="007B4933">
      <w:pPr>
        <w:spacing w:line="360" w:lineRule="auto"/>
        <w:ind w:left="720" w:hanging="720"/>
        <w:jc w:val="both"/>
        <w:rPr>
          <w:u w:val="none"/>
          <w:lang w:val="en-ZA"/>
        </w:rPr>
      </w:pPr>
      <w:r>
        <w:rPr>
          <w:u w:val="none"/>
          <w:lang w:val="en-ZA"/>
        </w:rPr>
        <w:t xml:space="preserve">  </w:t>
      </w:r>
    </w:p>
    <w:p w14:paraId="622239A6" w14:textId="520AA55C" w:rsidR="00F730AA" w:rsidRDefault="001E5892" w:rsidP="0020179C">
      <w:pPr>
        <w:spacing w:line="360" w:lineRule="auto"/>
        <w:ind w:left="720" w:hanging="720"/>
        <w:jc w:val="both"/>
        <w:rPr>
          <w:u w:val="none"/>
          <w:lang w:val="en-ZA"/>
        </w:rPr>
      </w:pPr>
      <w:r>
        <w:rPr>
          <w:u w:val="none"/>
          <w:lang w:val="en-ZA"/>
        </w:rPr>
        <w:t>[26]</w:t>
      </w:r>
      <w:r w:rsidR="005A45D7">
        <w:rPr>
          <w:u w:val="none"/>
          <w:lang w:val="en-ZA"/>
        </w:rPr>
        <w:tab/>
      </w:r>
      <w:r w:rsidR="00B1468D">
        <w:rPr>
          <w:u w:val="none"/>
          <w:lang w:val="en-ZA"/>
        </w:rPr>
        <w:t xml:space="preserve"> </w:t>
      </w:r>
      <w:r w:rsidR="00F730AA">
        <w:rPr>
          <w:u w:val="none"/>
          <w:lang w:val="en-ZA"/>
        </w:rPr>
        <w:t>At para</w:t>
      </w:r>
      <w:r w:rsidR="005B64AB">
        <w:rPr>
          <w:u w:val="none"/>
          <w:lang w:val="en-ZA"/>
        </w:rPr>
        <w:t>gr</w:t>
      </w:r>
      <w:r w:rsidR="00E57B56">
        <w:rPr>
          <w:u w:val="none"/>
          <w:lang w:val="en-ZA"/>
        </w:rPr>
        <w:t>aph 25 of the Shaik</w:t>
      </w:r>
      <w:r w:rsidR="00F730AA">
        <w:rPr>
          <w:u w:val="none"/>
          <w:lang w:val="en-ZA"/>
        </w:rPr>
        <w:t xml:space="preserve"> decision t</w:t>
      </w:r>
      <w:r w:rsidR="00E57B56">
        <w:rPr>
          <w:u w:val="none"/>
          <w:lang w:val="en-ZA"/>
        </w:rPr>
        <w:t xml:space="preserve">he Court concluded as follows: </w:t>
      </w:r>
    </w:p>
    <w:p w14:paraId="6D2AE403" w14:textId="77777777" w:rsidR="00F730AA" w:rsidRDefault="00F730AA" w:rsidP="0020179C">
      <w:pPr>
        <w:spacing w:line="360" w:lineRule="auto"/>
        <w:ind w:left="720" w:hanging="720"/>
        <w:jc w:val="both"/>
        <w:rPr>
          <w:u w:val="none"/>
          <w:lang w:val="en-ZA"/>
        </w:rPr>
      </w:pPr>
    </w:p>
    <w:p w14:paraId="7BC0B310" w14:textId="13FA4FCA" w:rsidR="000D47FC" w:rsidRPr="00F730AA" w:rsidRDefault="00F730AA" w:rsidP="00F730AA">
      <w:pPr>
        <w:spacing w:line="360" w:lineRule="auto"/>
        <w:ind w:left="1440"/>
        <w:jc w:val="both"/>
        <w:rPr>
          <w:sz w:val="22"/>
          <w:szCs w:val="22"/>
          <w:u w:val="none"/>
          <w:lang w:val="en-ZA"/>
        </w:rPr>
      </w:pPr>
      <w:r w:rsidRPr="00F730AA">
        <w:rPr>
          <w:sz w:val="22"/>
          <w:szCs w:val="22"/>
          <w:u w:val="none"/>
          <w:lang w:val="en-ZA"/>
        </w:rPr>
        <w:t>“The second route by which new evidence can be adduced is provided by Rule 30 which a</w:t>
      </w:r>
      <w:r w:rsidR="005B64AB">
        <w:rPr>
          <w:sz w:val="22"/>
          <w:szCs w:val="22"/>
          <w:u w:val="none"/>
          <w:lang w:val="en-ZA"/>
        </w:rPr>
        <w:t>s already stated incorporates S2</w:t>
      </w:r>
      <w:r w:rsidRPr="00F730AA">
        <w:rPr>
          <w:sz w:val="22"/>
          <w:szCs w:val="22"/>
          <w:u w:val="none"/>
          <w:lang w:val="en-ZA"/>
        </w:rPr>
        <w:t>2 of the Supreme Court Act.  That Section deals with the powers of the Court on he</w:t>
      </w:r>
      <w:r w:rsidR="005B64AB">
        <w:rPr>
          <w:sz w:val="22"/>
          <w:szCs w:val="22"/>
          <w:u w:val="none"/>
          <w:lang w:val="en-ZA"/>
        </w:rPr>
        <w:t>aring appeals.  Although appeal</w:t>
      </w:r>
      <w:r w:rsidRPr="00F730AA">
        <w:rPr>
          <w:sz w:val="22"/>
          <w:szCs w:val="22"/>
          <w:u w:val="none"/>
          <w:lang w:val="en-ZA"/>
        </w:rPr>
        <w:t xml:space="preserve"> Courts have a discretion under Section 22 leave to adduce further evidence is ordinarily granted only where special grounds exists or where there </w:t>
      </w:r>
      <w:r w:rsidRPr="00F730AA">
        <w:rPr>
          <w:sz w:val="22"/>
          <w:szCs w:val="22"/>
          <w:u w:val="none"/>
          <w:lang w:val="en-ZA"/>
        </w:rPr>
        <w:lastRenderedPageBreak/>
        <w:t>will be no prejudice to the other side and further evidence is necessary in order to do justice between the parties.</w:t>
      </w:r>
      <w:r>
        <w:rPr>
          <w:sz w:val="22"/>
          <w:szCs w:val="22"/>
          <w:u w:val="none"/>
          <w:lang w:val="en-ZA"/>
        </w:rPr>
        <w:t>”</w:t>
      </w:r>
    </w:p>
    <w:p w14:paraId="7626EAB0" w14:textId="77777777" w:rsidR="002859D3" w:rsidRDefault="002859D3" w:rsidP="00DB2E83">
      <w:pPr>
        <w:spacing w:line="360" w:lineRule="auto"/>
        <w:jc w:val="both"/>
        <w:rPr>
          <w:u w:val="none"/>
          <w:lang w:val="en-ZA"/>
        </w:rPr>
      </w:pPr>
    </w:p>
    <w:p w14:paraId="7E02DDAD" w14:textId="54B9EABA" w:rsidR="005F7BDB" w:rsidRDefault="001E5892" w:rsidP="000F1269">
      <w:pPr>
        <w:spacing w:line="360" w:lineRule="auto"/>
        <w:ind w:left="720" w:hanging="720"/>
        <w:jc w:val="both"/>
        <w:rPr>
          <w:u w:val="none"/>
          <w:lang w:val="en-ZA"/>
        </w:rPr>
      </w:pPr>
      <w:r>
        <w:rPr>
          <w:u w:val="none"/>
          <w:lang w:val="en-ZA"/>
        </w:rPr>
        <w:t>[27]</w:t>
      </w:r>
      <w:r w:rsidR="006C3CEA">
        <w:rPr>
          <w:u w:val="none"/>
          <w:lang w:val="en-ZA"/>
        </w:rPr>
        <w:tab/>
      </w:r>
      <w:r w:rsidR="00F730AA">
        <w:rPr>
          <w:u w:val="none"/>
          <w:lang w:val="en-ZA"/>
        </w:rPr>
        <w:t xml:space="preserve">The further evidence which the Applicant sought to introduce is disputed.  Secondly there is </w:t>
      </w:r>
      <w:r w:rsidR="009E02B3">
        <w:rPr>
          <w:u w:val="none"/>
          <w:lang w:val="en-ZA"/>
        </w:rPr>
        <w:t>prejudice to Reckitt and it is not in the interest of justice to further prolong this matter i</w:t>
      </w:r>
      <w:r w:rsidR="005B64AB">
        <w:rPr>
          <w:u w:val="none"/>
          <w:lang w:val="en-ZA"/>
        </w:rPr>
        <w:t>t</w:t>
      </w:r>
      <w:r w:rsidR="009E02B3">
        <w:rPr>
          <w:u w:val="none"/>
          <w:lang w:val="en-ZA"/>
        </w:rPr>
        <w:t xml:space="preserve"> has done its full circle up to the Apex Court and the time has now arrived to</w:t>
      </w:r>
      <w:r w:rsidR="005B64AB">
        <w:rPr>
          <w:u w:val="none"/>
          <w:lang w:val="en-ZA"/>
        </w:rPr>
        <w:t xml:space="preserve"> put a stop to this</w:t>
      </w:r>
      <w:r w:rsidR="009E02B3">
        <w:rPr>
          <w:u w:val="none"/>
          <w:lang w:val="en-ZA"/>
        </w:rPr>
        <w:t>.</w:t>
      </w:r>
    </w:p>
    <w:p w14:paraId="0E480838" w14:textId="77777777" w:rsidR="009E02B3" w:rsidRDefault="009E02B3" w:rsidP="000F1269">
      <w:pPr>
        <w:spacing w:line="360" w:lineRule="auto"/>
        <w:ind w:left="720" w:hanging="720"/>
        <w:jc w:val="both"/>
        <w:rPr>
          <w:u w:val="none"/>
          <w:lang w:val="en-ZA"/>
        </w:rPr>
      </w:pPr>
    </w:p>
    <w:p w14:paraId="5D1AE7BD" w14:textId="57040F5E" w:rsidR="005F7BDB" w:rsidRDefault="001E5892" w:rsidP="009E02B3">
      <w:pPr>
        <w:spacing w:line="360" w:lineRule="auto"/>
        <w:ind w:left="720" w:hanging="720"/>
        <w:jc w:val="both"/>
        <w:rPr>
          <w:u w:val="none"/>
          <w:lang w:val="en-ZA"/>
        </w:rPr>
      </w:pPr>
      <w:r>
        <w:rPr>
          <w:u w:val="none"/>
          <w:lang w:val="en-ZA"/>
        </w:rPr>
        <w:t>[28]</w:t>
      </w:r>
      <w:r w:rsidR="009E02B3">
        <w:rPr>
          <w:u w:val="none"/>
          <w:lang w:val="en-ZA"/>
        </w:rPr>
        <w:tab/>
        <w:t>In the result I have come to the conclusion there are no r</w:t>
      </w:r>
      <w:r w:rsidR="005B64AB">
        <w:rPr>
          <w:u w:val="none"/>
          <w:lang w:val="en-ZA"/>
        </w:rPr>
        <w:t>easonable prospects of success of an appeal neither are</w:t>
      </w:r>
      <w:r w:rsidR="009E02B3">
        <w:rPr>
          <w:u w:val="none"/>
          <w:lang w:val="en-ZA"/>
        </w:rPr>
        <w:t xml:space="preserve"> the compelling reason why this judgement should go on appeal.  The application falls to be dismissed.</w:t>
      </w:r>
    </w:p>
    <w:p w14:paraId="205F8C81" w14:textId="4536A9BF" w:rsidR="001E5892" w:rsidRDefault="005F7BDB" w:rsidP="00E964B5">
      <w:pPr>
        <w:spacing w:line="360" w:lineRule="auto"/>
        <w:jc w:val="both"/>
        <w:rPr>
          <w:u w:val="none"/>
          <w:lang w:val="en-ZA"/>
        </w:rPr>
      </w:pPr>
      <w:r>
        <w:rPr>
          <w:u w:val="none"/>
          <w:lang w:val="en-ZA"/>
        </w:rPr>
        <w:t xml:space="preserve"> </w:t>
      </w:r>
    </w:p>
    <w:p w14:paraId="1A165424" w14:textId="523DF2E5" w:rsidR="00A30299" w:rsidRDefault="009E02B3" w:rsidP="009E02B3">
      <w:pPr>
        <w:spacing w:line="360" w:lineRule="auto"/>
        <w:ind w:firstLine="720"/>
        <w:jc w:val="both"/>
        <w:rPr>
          <w:lang w:val="en-ZA"/>
        </w:rPr>
      </w:pPr>
      <w:r w:rsidRPr="009E02B3">
        <w:rPr>
          <w:lang w:val="en-ZA"/>
        </w:rPr>
        <w:t>ORDER</w:t>
      </w:r>
    </w:p>
    <w:p w14:paraId="2D9C1E8C" w14:textId="7AB0D441" w:rsidR="009E02B3" w:rsidRDefault="009E02B3" w:rsidP="009E02B3">
      <w:pPr>
        <w:spacing w:line="360" w:lineRule="auto"/>
        <w:ind w:firstLine="720"/>
        <w:jc w:val="both"/>
        <w:rPr>
          <w:lang w:val="en-ZA"/>
        </w:rPr>
      </w:pPr>
    </w:p>
    <w:p w14:paraId="6CCBAC75" w14:textId="77777777" w:rsidR="00E9155D" w:rsidRPr="009E02B3" w:rsidRDefault="00E9155D" w:rsidP="009E02B3">
      <w:pPr>
        <w:spacing w:line="360" w:lineRule="auto"/>
        <w:ind w:firstLine="720"/>
        <w:jc w:val="both"/>
        <w:rPr>
          <w:lang w:val="en-ZA"/>
        </w:rPr>
      </w:pPr>
    </w:p>
    <w:p w14:paraId="7AC1F2F8" w14:textId="33CF11BE" w:rsidR="00F44220" w:rsidRDefault="00A30299" w:rsidP="00F375AB">
      <w:pPr>
        <w:pStyle w:val="ListParagraph"/>
        <w:numPr>
          <w:ilvl w:val="0"/>
          <w:numId w:val="15"/>
        </w:numPr>
        <w:spacing w:line="360" w:lineRule="auto"/>
        <w:jc w:val="both"/>
        <w:rPr>
          <w:u w:val="none"/>
          <w:lang w:val="en-ZA"/>
        </w:rPr>
      </w:pPr>
      <w:r>
        <w:rPr>
          <w:u w:val="none"/>
          <w:lang w:val="en-ZA"/>
        </w:rPr>
        <w:t>The</w:t>
      </w:r>
      <w:r w:rsidR="000A4415">
        <w:rPr>
          <w:u w:val="none"/>
          <w:lang w:val="en-ZA"/>
        </w:rPr>
        <w:t xml:space="preserve"> Applica</w:t>
      </w:r>
      <w:r w:rsidR="00F44220">
        <w:rPr>
          <w:u w:val="none"/>
          <w:lang w:val="en-ZA"/>
        </w:rPr>
        <w:t>t</w:t>
      </w:r>
      <w:r w:rsidR="000A4415">
        <w:rPr>
          <w:u w:val="none"/>
          <w:lang w:val="en-ZA"/>
        </w:rPr>
        <w:t>ion</w:t>
      </w:r>
      <w:r w:rsidR="009E02B3">
        <w:rPr>
          <w:u w:val="none"/>
          <w:lang w:val="en-ZA"/>
        </w:rPr>
        <w:t xml:space="preserve"> f</w:t>
      </w:r>
      <w:r w:rsidR="00F44220">
        <w:rPr>
          <w:u w:val="none"/>
          <w:lang w:val="en-ZA"/>
        </w:rPr>
        <w:t>o</w:t>
      </w:r>
      <w:r w:rsidR="009E02B3">
        <w:rPr>
          <w:u w:val="none"/>
          <w:lang w:val="en-ZA"/>
        </w:rPr>
        <w:t>r leave to appeal the judgement handed down on the 12</w:t>
      </w:r>
      <w:r w:rsidR="009E02B3" w:rsidRPr="009E02B3">
        <w:rPr>
          <w:u w:val="none"/>
          <w:vertAlign w:val="superscript"/>
          <w:lang w:val="en-ZA"/>
        </w:rPr>
        <w:t>th</w:t>
      </w:r>
      <w:r w:rsidR="009E02B3">
        <w:rPr>
          <w:u w:val="none"/>
          <w:lang w:val="en-ZA"/>
        </w:rPr>
        <w:t xml:space="preserve"> June 2023 </w:t>
      </w:r>
      <w:r w:rsidR="00F44220">
        <w:rPr>
          <w:u w:val="none"/>
          <w:lang w:val="en-ZA"/>
        </w:rPr>
        <w:t>is dismissed.</w:t>
      </w:r>
    </w:p>
    <w:p w14:paraId="42EBB08F" w14:textId="77777777" w:rsidR="00F44220" w:rsidRDefault="00F44220" w:rsidP="00F44220">
      <w:pPr>
        <w:pStyle w:val="ListParagraph"/>
        <w:spacing w:line="360" w:lineRule="auto"/>
        <w:ind w:left="1440"/>
        <w:jc w:val="both"/>
        <w:rPr>
          <w:u w:val="none"/>
          <w:lang w:val="en-ZA"/>
        </w:rPr>
      </w:pPr>
    </w:p>
    <w:p w14:paraId="6E1EA846" w14:textId="5CA4059B" w:rsidR="00937533" w:rsidRDefault="00F44220" w:rsidP="00F375AB">
      <w:pPr>
        <w:pStyle w:val="ListParagraph"/>
        <w:numPr>
          <w:ilvl w:val="0"/>
          <w:numId w:val="15"/>
        </w:numPr>
        <w:spacing w:line="360" w:lineRule="auto"/>
        <w:jc w:val="both"/>
        <w:rPr>
          <w:u w:val="none"/>
          <w:lang w:val="en-ZA"/>
        </w:rPr>
      </w:pPr>
      <w:r>
        <w:rPr>
          <w:u w:val="none"/>
          <w:lang w:val="en-ZA"/>
        </w:rPr>
        <w:t>The Applicant</w:t>
      </w:r>
      <w:r w:rsidR="000A4415">
        <w:rPr>
          <w:u w:val="none"/>
          <w:lang w:val="en-ZA"/>
        </w:rPr>
        <w:t xml:space="preserve"> i</w:t>
      </w:r>
      <w:r>
        <w:rPr>
          <w:u w:val="none"/>
          <w:lang w:val="en-ZA"/>
        </w:rPr>
        <w:t xml:space="preserve">s ordered to pay </w:t>
      </w:r>
      <w:r w:rsidR="009E02B3">
        <w:rPr>
          <w:u w:val="none"/>
          <w:lang w:val="en-ZA"/>
        </w:rPr>
        <w:t>the costs of this application</w:t>
      </w:r>
      <w:r w:rsidR="00937533">
        <w:rPr>
          <w:u w:val="none"/>
          <w:lang w:val="en-ZA"/>
        </w:rPr>
        <w:t>.</w:t>
      </w:r>
    </w:p>
    <w:p w14:paraId="6170B68B" w14:textId="77777777" w:rsidR="00E9155D" w:rsidRPr="00E9155D" w:rsidRDefault="00E9155D" w:rsidP="00E9155D">
      <w:pPr>
        <w:pStyle w:val="ListParagraph"/>
        <w:rPr>
          <w:u w:val="none"/>
          <w:lang w:val="en-ZA"/>
        </w:rPr>
      </w:pPr>
    </w:p>
    <w:p w14:paraId="1B77E3F4" w14:textId="77777777" w:rsidR="00E9155D" w:rsidRDefault="00E9155D" w:rsidP="00E9155D">
      <w:pPr>
        <w:pStyle w:val="ListParagraph"/>
        <w:spacing w:line="360" w:lineRule="auto"/>
        <w:ind w:left="1440"/>
        <w:jc w:val="both"/>
        <w:rPr>
          <w:u w:val="none"/>
          <w:lang w:val="en-ZA"/>
        </w:rPr>
      </w:pPr>
    </w:p>
    <w:p w14:paraId="292A69FC" w14:textId="77777777" w:rsidR="00937533" w:rsidRPr="00937533" w:rsidRDefault="00937533" w:rsidP="00937533">
      <w:pPr>
        <w:pStyle w:val="ListParagraph"/>
        <w:rPr>
          <w:u w:val="none"/>
          <w:lang w:val="en-ZA"/>
        </w:rPr>
      </w:pPr>
    </w:p>
    <w:p w14:paraId="6487B194" w14:textId="77777777" w:rsidR="00937533" w:rsidRDefault="00937533" w:rsidP="00937533">
      <w:pPr>
        <w:pStyle w:val="ListParagraph"/>
        <w:spacing w:line="360" w:lineRule="auto"/>
        <w:ind w:left="1440"/>
        <w:jc w:val="both"/>
        <w:rPr>
          <w:u w:val="none"/>
          <w:lang w:val="en-ZA"/>
        </w:rPr>
      </w:pPr>
    </w:p>
    <w:p w14:paraId="68DA6C27" w14:textId="3352631B" w:rsidR="00F375AB" w:rsidRDefault="00F375AB" w:rsidP="00DB2E83">
      <w:pPr>
        <w:tabs>
          <w:tab w:val="right" w:pos="0"/>
        </w:tabs>
        <w:spacing w:line="360" w:lineRule="auto"/>
        <w:jc w:val="both"/>
        <w:rPr>
          <w:u w:val="none"/>
          <w:lang w:val="en-ZA"/>
        </w:rPr>
      </w:pPr>
      <w:r>
        <w:rPr>
          <w:u w:val="none"/>
          <w:lang w:val="en-ZA"/>
        </w:rPr>
        <w:t>Dated at Johannesburg on this</w:t>
      </w:r>
      <w:r w:rsidR="00580864">
        <w:rPr>
          <w:u w:val="none"/>
          <w:lang w:val="en-ZA"/>
        </w:rPr>
        <w:t xml:space="preserve"> </w:t>
      </w:r>
      <w:r w:rsidR="007B4933">
        <w:rPr>
          <w:u w:val="none"/>
          <w:lang w:val="en-ZA"/>
        </w:rPr>
        <w:t xml:space="preserve"> </w:t>
      </w:r>
      <w:r w:rsidR="00580864">
        <w:rPr>
          <w:u w:val="none"/>
          <w:vertAlign w:val="superscript"/>
          <w:lang w:val="en-ZA"/>
        </w:rPr>
        <w:t xml:space="preserve"> </w:t>
      </w:r>
      <w:r w:rsidR="00E9155D">
        <w:rPr>
          <w:u w:val="none"/>
          <w:vertAlign w:val="superscript"/>
          <w:lang w:val="en-ZA"/>
        </w:rPr>
        <w:t xml:space="preserve">  </w:t>
      </w:r>
      <w:r w:rsidR="00580864">
        <w:rPr>
          <w:u w:val="none"/>
          <w:lang w:val="en-ZA"/>
        </w:rPr>
        <w:t>d</w:t>
      </w:r>
      <w:r w:rsidR="00FB1737">
        <w:rPr>
          <w:u w:val="none"/>
          <w:lang w:val="en-ZA"/>
        </w:rPr>
        <w:t xml:space="preserve">ay of </w:t>
      </w:r>
      <w:r w:rsidR="00E9155D">
        <w:rPr>
          <w:u w:val="none"/>
          <w:lang w:val="en-ZA"/>
        </w:rPr>
        <w:t>Octo</w:t>
      </w:r>
      <w:r w:rsidR="007B4933">
        <w:rPr>
          <w:u w:val="none"/>
          <w:lang w:val="en-ZA"/>
        </w:rPr>
        <w:t>ber</w:t>
      </w:r>
      <w:r w:rsidR="00580864">
        <w:rPr>
          <w:u w:val="none"/>
          <w:lang w:val="en-ZA"/>
        </w:rPr>
        <w:t xml:space="preserve"> </w:t>
      </w:r>
      <w:r w:rsidR="00937533">
        <w:rPr>
          <w:u w:val="none"/>
          <w:lang w:val="en-ZA"/>
        </w:rPr>
        <w:t>2023</w:t>
      </w:r>
      <w:r>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630B170A" w14:textId="4E61EC8E" w:rsidR="00B6007F" w:rsidRDefault="00B6007F" w:rsidP="00DB2E83">
      <w:pPr>
        <w:tabs>
          <w:tab w:val="right" w:pos="0"/>
        </w:tabs>
        <w:spacing w:line="360" w:lineRule="auto"/>
        <w:jc w:val="both"/>
        <w:rPr>
          <w:u w:val="none"/>
          <w:lang w:val="en-ZA"/>
        </w:rPr>
      </w:pPr>
    </w:p>
    <w:p w14:paraId="1DBCEA64" w14:textId="77777777" w:rsidR="00FD2553" w:rsidRDefault="00FD2553"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034BCBC2" w:rsidR="00C979F4" w:rsidRDefault="00D66014" w:rsidP="00D66014">
      <w:pPr>
        <w:tabs>
          <w:tab w:val="right" w:pos="0"/>
        </w:tabs>
        <w:jc w:val="center"/>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GAUTENG </w:t>
      </w:r>
      <w:r w:rsidR="00C979F4">
        <w:rPr>
          <w:b/>
          <w:u w:val="none"/>
          <w:lang w:val="en-ZA"/>
        </w:rPr>
        <w:t>DIVISION, JOHANNESBURG</w:t>
      </w:r>
    </w:p>
    <w:p w14:paraId="38F74994" w14:textId="15E540DA" w:rsidR="00C979F4" w:rsidRDefault="00C979F4" w:rsidP="00DB2E83">
      <w:pPr>
        <w:tabs>
          <w:tab w:val="right" w:pos="0"/>
        </w:tabs>
        <w:jc w:val="both"/>
        <w:rPr>
          <w:b/>
          <w:u w:val="none"/>
          <w:lang w:val="en-ZA"/>
        </w:rPr>
      </w:pPr>
    </w:p>
    <w:p w14:paraId="16F5AA83" w14:textId="699B29B8" w:rsidR="00FB1737" w:rsidRDefault="00FB1737" w:rsidP="00DB2E83">
      <w:pPr>
        <w:tabs>
          <w:tab w:val="right" w:pos="0"/>
        </w:tabs>
        <w:jc w:val="both"/>
        <w:rPr>
          <w:b/>
          <w:u w:val="none"/>
          <w:lang w:val="en-ZA"/>
        </w:rPr>
      </w:pPr>
    </w:p>
    <w:p w14:paraId="009C78A6" w14:textId="0DCD3500" w:rsidR="00FB1737" w:rsidRDefault="00FB1737" w:rsidP="00DB2E83">
      <w:pPr>
        <w:tabs>
          <w:tab w:val="right" w:pos="0"/>
        </w:tabs>
        <w:jc w:val="both"/>
        <w:rPr>
          <w:b/>
          <w:u w:val="none"/>
          <w:lang w:val="en-ZA"/>
        </w:rPr>
      </w:pPr>
    </w:p>
    <w:p w14:paraId="1476F96D" w14:textId="334B80F6" w:rsidR="00FB1737" w:rsidRDefault="00FB1737" w:rsidP="00DB2E83">
      <w:pPr>
        <w:tabs>
          <w:tab w:val="right" w:pos="0"/>
        </w:tabs>
        <w:jc w:val="both"/>
        <w:rPr>
          <w:b/>
          <w:u w:val="none"/>
          <w:lang w:val="en-ZA"/>
        </w:rPr>
      </w:pPr>
    </w:p>
    <w:p w14:paraId="729F1B98" w14:textId="5CF27D95" w:rsidR="00FB1737" w:rsidRDefault="00FB1737" w:rsidP="00DB2E83">
      <w:pPr>
        <w:tabs>
          <w:tab w:val="right" w:pos="0"/>
        </w:tabs>
        <w:jc w:val="both"/>
        <w:rPr>
          <w:b/>
          <w:u w:val="none"/>
          <w:lang w:val="en-ZA"/>
        </w:rPr>
      </w:pPr>
    </w:p>
    <w:p w14:paraId="5DC899D0" w14:textId="73C1B4D9" w:rsidR="00FB1737" w:rsidRDefault="00FB1737"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lastRenderedPageBreak/>
        <w:t>Appearances:</w:t>
      </w:r>
    </w:p>
    <w:p w14:paraId="5ED35BC6" w14:textId="77777777" w:rsidR="00C979F4" w:rsidRDefault="00C979F4" w:rsidP="00DB2E83">
      <w:pPr>
        <w:tabs>
          <w:tab w:val="right" w:pos="0"/>
        </w:tabs>
        <w:jc w:val="both"/>
        <w:rPr>
          <w:u w:val="none"/>
        </w:rPr>
      </w:pPr>
    </w:p>
    <w:p w14:paraId="6D74AA7F" w14:textId="2886B893" w:rsidR="00C979F4" w:rsidRDefault="002E6DC7" w:rsidP="00DB2E83">
      <w:pPr>
        <w:tabs>
          <w:tab w:val="right" w:pos="0"/>
        </w:tabs>
        <w:jc w:val="both"/>
        <w:rPr>
          <w:u w:val="none"/>
        </w:rPr>
      </w:pPr>
      <w:r>
        <w:rPr>
          <w:u w:val="none"/>
        </w:rPr>
        <w:t>DATE OF HEARING</w:t>
      </w:r>
      <w:r>
        <w:rPr>
          <w:u w:val="none"/>
        </w:rPr>
        <w:tab/>
        <w:t>:</w:t>
      </w:r>
      <w:r>
        <w:rPr>
          <w:u w:val="none"/>
        </w:rPr>
        <w:tab/>
      </w:r>
      <w:r w:rsidR="00C979F4">
        <w:rPr>
          <w:u w:val="none"/>
        </w:rPr>
        <w:t xml:space="preserve"> </w:t>
      </w:r>
      <w:r w:rsidR="005B64AB">
        <w:rPr>
          <w:u w:val="none"/>
        </w:rPr>
        <w:t>26 SEPTEMBER</w:t>
      </w:r>
      <w:r w:rsidR="00937533">
        <w:rPr>
          <w:u w:val="none"/>
        </w:rPr>
        <w:t xml:space="preserve"> 2023</w:t>
      </w:r>
    </w:p>
    <w:p w14:paraId="2FBDB5BC" w14:textId="4CDC2282" w:rsidR="00C979F4" w:rsidRDefault="00534990" w:rsidP="00DB2E83">
      <w:pPr>
        <w:tabs>
          <w:tab w:val="right" w:pos="0"/>
        </w:tabs>
        <w:jc w:val="both"/>
        <w:rPr>
          <w:u w:val="none"/>
        </w:rPr>
      </w:pPr>
      <w:r>
        <w:rPr>
          <w:u w:val="none"/>
        </w:rPr>
        <w:t>DATE OF JUDGMENT</w:t>
      </w:r>
      <w:r>
        <w:rPr>
          <w:u w:val="none"/>
        </w:rPr>
        <w:tab/>
        <w:t>:</w:t>
      </w:r>
      <w:r w:rsidR="008A5427">
        <w:rPr>
          <w:u w:val="none"/>
        </w:rPr>
        <w:tab/>
      </w:r>
      <w:r w:rsidR="00FC1E5C">
        <w:rPr>
          <w:u w:val="none"/>
        </w:rPr>
        <w:t xml:space="preserve"> </w:t>
      </w:r>
      <w:r w:rsidR="00EE25F0">
        <w:rPr>
          <w:u w:val="none"/>
        </w:rPr>
        <w:t xml:space="preserve">03 </w:t>
      </w:r>
      <w:r w:rsidR="005B64AB">
        <w:rPr>
          <w:u w:val="none"/>
        </w:rPr>
        <w:t xml:space="preserve">OCTOBER </w:t>
      </w:r>
      <w:r w:rsidR="00C979F4">
        <w:rPr>
          <w:u w:val="none"/>
        </w:rPr>
        <w:t>20</w:t>
      </w:r>
      <w:r w:rsidR="00937533">
        <w:rPr>
          <w:u w:val="none"/>
        </w:rPr>
        <w:t>23</w:t>
      </w:r>
    </w:p>
    <w:p w14:paraId="1BF1C0D8" w14:textId="77777777" w:rsidR="002E6DC7" w:rsidRDefault="002E6DC7" w:rsidP="00DB2E83">
      <w:pPr>
        <w:tabs>
          <w:tab w:val="right" w:pos="0"/>
        </w:tabs>
        <w:jc w:val="both"/>
        <w:rPr>
          <w:u w:val="none"/>
        </w:rPr>
      </w:pPr>
    </w:p>
    <w:p w14:paraId="093B384C" w14:textId="77777777" w:rsidR="005B64AB" w:rsidRDefault="00C979F4" w:rsidP="00DB2E83">
      <w:pPr>
        <w:tabs>
          <w:tab w:val="right" w:pos="0"/>
        </w:tabs>
        <w:jc w:val="both"/>
        <w:rPr>
          <w:u w:val="none"/>
        </w:rPr>
      </w:pPr>
      <w:r>
        <w:rPr>
          <w:u w:val="none"/>
        </w:rPr>
        <w:t>FOR APPLICANT</w:t>
      </w:r>
      <w:r>
        <w:rPr>
          <w:u w:val="none"/>
        </w:rPr>
        <w:tab/>
      </w:r>
      <w:r>
        <w:rPr>
          <w:u w:val="none"/>
        </w:rPr>
        <w:tab/>
        <w:t>:</w:t>
      </w:r>
      <w:r>
        <w:rPr>
          <w:u w:val="none"/>
        </w:rPr>
        <w:tab/>
        <w:t xml:space="preserve">ADV </w:t>
      </w:r>
      <w:r w:rsidR="005B64AB">
        <w:rPr>
          <w:u w:val="none"/>
        </w:rPr>
        <w:t>G.D. HARPUR SC</w:t>
      </w:r>
    </w:p>
    <w:p w14:paraId="087AAD39" w14:textId="3B8DCFE2" w:rsidR="00D1731B" w:rsidRDefault="005B64AB" w:rsidP="00DB2E83">
      <w:pPr>
        <w:tabs>
          <w:tab w:val="right" w:pos="0"/>
        </w:tabs>
        <w:jc w:val="both"/>
        <w:rPr>
          <w:u w:val="none"/>
        </w:rPr>
      </w:pPr>
      <w:r>
        <w:rPr>
          <w:u w:val="none"/>
        </w:rPr>
        <w:t>WITH</w:t>
      </w:r>
      <w:r>
        <w:rPr>
          <w:u w:val="none"/>
        </w:rPr>
        <w:tab/>
      </w:r>
      <w:r>
        <w:rPr>
          <w:u w:val="none"/>
        </w:rPr>
        <w:tab/>
      </w:r>
      <w:r>
        <w:rPr>
          <w:u w:val="none"/>
        </w:rPr>
        <w:tab/>
      </w:r>
      <w:r>
        <w:rPr>
          <w:u w:val="none"/>
        </w:rPr>
        <w:tab/>
      </w:r>
      <w:r>
        <w:rPr>
          <w:u w:val="none"/>
        </w:rPr>
        <w:tab/>
        <w:t>R KIRSTEN</w:t>
      </w:r>
    </w:p>
    <w:p w14:paraId="39CA9EF6" w14:textId="7C6D052A" w:rsidR="006B2EAE" w:rsidRDefault="00C979F4" w:rsidP="006B2EAE">
      <w:pPr>
        <w:tabs>
          <w:tab w:val="right" w:pos="0"/>
        </w:tabs>
        <w:jc w:val="both"/>
        <w:rPr>
          <w:u w:val="none"/>
        </w:rPr>
      </w:pPr>
      <w:r>
        <w:rPr>
          <w:u w:val="none"/>
        </w:rPr>
        <w:t>INSTRUCTED BY</w:t>
      </w:r>
      <w:r>
        <w:rPr>
          <w:u w:val="none"/>
        </w:rPr>
        <w:tab/>
      </w:r>
      <w:r>
        <w:rPr>
          <w:u w:val="none"/>
        </w:rPr>
        <w:tab/>
        <w:t>:</w:t>
      </w:r>
      <w:r>
        <w:rPr>
          <w:u w:val="none"/>
        </w:rPr>
        <w:tab/>
      </w:r>
      <w:r w:rsidR="005B64AB">
        <w:rPr>
          <w:u w:val="none"/>
        </w:rPr>
        <w:t>PATHER &amp; PATHER, DURBAN</w:t>
      </w:r>
    </w:p>
    <w:p w14:paraId="33F93A0B" w14:textId="77777777" w:rsidR="00937533" w:rsidRDefault="00937533" w:rsidP="006B2EAE">
      <w:pPr>
        <w:tabs>
          <w:tab w:val="right" w:pos="0"/>
        </w:tabs>
        <w:jc w:val="both"/>
        <w:rPr>
          <w:u w:val="none"/>
        </w:rPr>
      </w:pPr>
    </w:p>
    <w:p w14:paraId="2D411112" w14:textId="791A0FEC" w:rsidR="006B2EAE" w:rsidRDefault="006B2EAE" w:rsidP="006B2EAE">
      <w:pPr>
        <w:tabs>
          <w:tab w:val="right" w:pos="0"/>
        </w:tabs>
        <w:jc w:val="both"/>
        <w:rPr>
          <w:u w:val="none"/>
        </w:rPr>
      </w:pPr>
      <w:r>
        <w:rPr>
          <w:u w:val="none"/>
        </w:rPr>
        <w:t>FOR RESPONDENT</w:t>
      </w:r>
      <w:r>
        <w:rPr>
          <w:u w:val="none"/>
        </w:rPr>
        <w:tab/>
        <w:t>:</w:t>
      </w:r>
      <w:r>
        <w:rPr>
          <w:u w:val="none"/>
        </w:rPr>
        <w:tab/>
        <w:t xml:space="preserve">ADV </w:t>
      </w:r>
      <w:r w:rsidR="00E9155D">
        <w:rPr>
          <w:u w:val="none"/>
        </w:rPr>
        <w:t>HP PRETORIUS</w:t>
      </w:r>
    </w:p>
    <w:p w14:paraId="44598831" w14:textId="589404E2" w:rsidR="006B2EAE" w:rsidRDefault="006B2EAE" w:rsidP="006B2EAE">
      <w:pPr>
        <w:spacing w:line="360" w:lineRule="auto"/>
        <w:jc w:val="both"/>
        <w:rPr>
          <w:u w:val="none"/>
        </w:rPr>
      </w:pPr>
      <w:r>
        <w:rPr>
          <w:u w:val="none"/>
        </w:rPr>
        <w:t>INSTRUCTED BY</w:t>
      </w:r>
      <w:r>
        <w:rPr>
          <w:u w:val="none"/>
        </w:rPr>
        <w:tab/>
      </w:r>
      <w:r>
        <w:rPr>
          <w:u w:val="none"/>
        </w:rPr>
        <w:tab/>
        <w:t>:</w:t>
      </w:r>
      <w:r w:rsidR="00D66014">
        <w:rPr>
          <w:u w:val="none"/>
        </w:rPr>
        <w:tab/>
      </w:r>
      <w:r w:rsidR="00E9155D">
        <w:rPr>
          <w:u w:val="none"/>
        </w:rPr>
        <w:t>EDWARD NATHAN SONNENBERG INC.</w:t>
      </w:r>
    </w:p>
    <w:sectPr w:rsidR="006B2E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3E2D3" w14:textId="77777777" w:rsidR="00B31D7A" w:rsidRDefault="00B31D7A" w:rsidP="00ED13B4">
      <w:r>
        <w:separator/>
      </w:r>
    </w:p>
  </w:endnote>
  <w:endnote w:type="continuationSeparator" w:id="0">
    <w:p w14:paraId="12D9263A" w14:textId="77777777" w:rsidR="00B31D7A" w:rsidRDefault="00B31D7A"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F712D" w14:textId="77777777" w:rsidR="00B31D7A" w:rsidRDefault="00B31D7A" w:rsidP="00ED13B4">
      <w:r>
        <w:separator/>
      </w:r>
    </w:p>
  </w:footnote>
  <w:footnote w:type="continuationSeparator" w:id="0">
    <w:p w14:paraId="43AD3EA8" w14:textId="77777777" w:rsidR="00B31D7A" w:rsidRDefault="00B31D7A" w:rsidP="00E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56E2CF5"/>
    <w:multiLevelType w:val="hybridMultilevel"/>
    <w:tmpl w:val="A126AEA2"/>
    <w:lvl w:ilvl="0" w:tplc="C932235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9820802"/>
    <w:multiLevelType w:val="hybridMultilevel"/>
    <w:tmpl w:val="E58E0428"/>
    <w:lvl w:ilvl="0" w:tplc="E0CED21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F171E5F"/>
    <w:multiLevelType w:val="multilevel"/>
    <w:tmpl w:val="9394326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9"/>
  </w:num>
  <w:num w:numId="5">
    <w:abstractNumId w:val="3"/>
  </w:num>
  <w:num w:numId="6">
    <w:abstractNumId w:val="14"/>
  </w:num>
  <w:num w:numId="7">
    <w:abstractNumId w:val="12"/>
  </w:num>
  <w:num w:numId="8">
    <w:abstractNumId w:val="9"/>
  </w:num>
  <w:num w:numId="9">
    <w:abstractNumId w:val="1"/>
  </w:num>
  <w:num w:numId="10">
    <w:abstractNumId w:val="13"/>
  </w:num>
  <w:num w:numId="11">
    <w:abstractNumId w:val="7"/>
  </w:num>
  <w:num w:numId="12">
    <w:abstractNumId w:val="5"/>
  </w:num>
  <w:num w:numId="13">
    <w:abstractNumId w:val="2"/>
  </w:num>
  <w:num w:numId="14">
    <w:abstractNumId w:val="11"/>
  </w:num>
  <w:num w:numId="15">
    <w:abstractNumId w:val="17"/>
  </w:num>
  <w:num w:numId="16">
    <w:abstractNumId w:val="8"/>
  </w:num>
  <w:num w:numId="17">
    <w:abstractNumId w:val="10"/>
  </w:num>
  <w:num w:numId="18">
    <w:abstractNumId w:val="15"/>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065E3"/>
    <w:rsid w:val="00013282"/>
    <w:rsid w:val="000220E1"/>
    <w:rsid w:val="00022C32"/>
    <w:rsid w:val="00022EFE"/>
    <w:rsid w:val="00052AA9"/>
    <w:rsid w:val="00052E68"/>
    <w:rsid w:val="00056C3B"/>
    <w:rsid w:val="00070BB1"/>
    <w:rsid w:val="0007175E"/>
    <w:rsid w:val="000850F6"/>
    <w:rsid w:val="000A4415"/>
    <w:rsid w:val="000C4CFE"/>
    <w:rsid w:val="000D47FC"/>
    <w:rsid w:val="000E154B"/>
    <w:rsid w:val="000E2E08"/>
    <w:rsid w:val="000E7FAA"/>
    <w:rsid w:val="000F1269"/>
    <w:rsid w:val="000F1B54"/>
    <w:rsid w:val="000F5440"/>
    <w:rsid w:val="00103211"/>
    <w:rsid w:val="00103D83"/>
    <w:rsid w:val="00113719"/>
    <w:rsid w:val="00115735"/>
    <w:rsid w:val="00122DB0"/>
    <w:rsid w:val="00130C7D"/>
    <w:rsid w:val="0013141D"/>
    <w:rsid w:val="001435FA"/>
    <w:rsid w:val="00146477"/>
    <w:rsid w:val="001479D7"/>
    <w:rsid w:val="001559D5"/>
    <w:rsid w:val="00155E66"/>
    <w:rsid w:val="0015757E"/>
    <w:rsid w:val="00165F98"/>
    <w:rsid w:val="00167EA7"/>
    <w:rsid w:val="001967F6"/>
    <w:rsid w:val="00196B72"/>
    <w:rsid w:val="001B3114"/>
    <w:rsid w:val="001B50CC"/>
    <w:rsid w:val="001B68C3"/>
    <w:rsid w:val="001C3DF4"/>
    <w:rsid w:val="001D1DE6"/>
    <w:rsid w:val="001D559E"/>
    <w:rsid w:val="001E44F2"/>
    <w:rsid w:val="001E5892"/>
    <w:rsid w:val="002007B2"/>
    <w:rsid w:val="002013CB"/>
    <w:rsid w:val="0020179C"/>
    <w:rsid w:val="00221FA9"/>
    <w:rsid w:val="00225843"/>
    <w:rsid w:val="0023249E"/>
    <w:rsid w:val="002327BC"/>
    <w:rsid w:val="002405B3"/>
    <w:rsid w:val="0027182E"/>
    <w:rsid w:val="00271AB5"/>
    <w:rsid w:val="00272FE6"/>
    <w:rsid w:val="00276313"/>
    <w:rsid w:val="00277588"/>
    <w:rsid w:val="002809BF"/>
    <w:rsid w:val="002859D3"/>
    <w:rsid w:val="00286C15"/>
    <w:rsid w:val="00297406"/>
    <w:rsid w:val="002B2CB5"/>
    <w:rsid w:val="002B6C50"/>
    <w:rsid w:val="002C092D"/>
    <w:rsid w:val="002C11BA"/>
    <w:rsid w:val="002C5339"/>
    <w:rsid w:val="002D3985"/>
    <w:rsid w:val="002D67D6"/>
    <w:rsid w:val="002D7934"/>
    <w:rsid w:val="002E6DC7"/>
    <w:rsid w:val="002F264E"/>
    <w:rsid w:val="002F29D6"/>
    <w:rsid w:val="002F538F"/>
    <w:rsid w:val="0030455C"/>
    <w:rsid w:val="00311648"/>
    <w:rsid w:val="00312A9C"/>
    <w:rsid w:val="00340EB1"/>
    <w:rsid w:val="003501B5"/>
    <w:rsid w:val="00352193"/>
    <w:rsid w:val="003622D9"/>
    <w:rsid w:val="003674DD"/>
    <w:rsid w:val="00391179"/>
    <w:rsid w:val="003B60D1"/>
    <w:rsid w:val="003B6AB3"/>
    <w:rsid w:val="003C6F6C"/>
    <w:rsid w:val="00427E21"/>
    <w:rsid w:val="00432D7E"/>
    <w:rsid w:val="0044577D"/>
    <w:rsid w:val="00452E60"/>
    <w:rsid w:val="00481FD5"/>
    <w:rsid w:val="00495B46"/>
    <w:rsid w:val="00495C97"/>
    <w:rsid w:val="004B2C65"/>
    <w:rsid w:val="004B3EC3"/>
    <w:rsid w:val="004B6237"/>
    <w:rsid w:val="004C42B4"/>
    <w:rsid w:val="004D11AD"/>
    <w:rsid w:val="004D6F12"/>
    <w:rsid w:val="004E35BA"/>
    <w:rsid w:val="004E4070"/>
    <w:rsid w:val="004F61E6"/>
    <w:rsid w:val="00500F27"/>
    <w:rsid w:val="005033A1"/>
    <w:rsid w:val="00503EB0"/>
    <w:rsid w:val="00504426"/>
    <w:rsid w:val="0052556B"/>
    <w:rsid w:val="005329B5"/>
    <w:rsid w:val="005334F6"/>
    <w:rsid w:val="00534990"/>
    <w:rsid w:val="00535D73"/>
    <w:rsid w:val="00540FAA"/>
    <w:rsid w:val="00543E21"/>
    <w:rsid w:val="005526EF"/>
    <w:rsid w:val="0055373D"/>
    <w:rsid w:val="005706FF"/>
    <w:rsid w:val="0057169D"/>
    <w:rsid w:val="00572A6A"/>
    <w:rsid w:val="00572BF5"/>
    <w:rsid w:val="0057363D"/>
    <w:rsid w:val="0057661C"/>
    <w:rsid w:val="00580864"/>
    <w:rsid w:val="005814F9"/>
    <w:rsid w:val="0059379F"/>
    <w:rsid w:val="005A0F7C"/>
    <w:rsid w:val="005A45D7"/>
    <w:rsid w:val="005A7B34"/>
    <w:rsid w:val="005B1778"/>
    <w:rsid w:val="005B64AB"/>
    <w:rsid w:val="005C09F1"/>
    <w:rsid w:val="005C7339"/>
    <w:rsid w:val="005D4C79"/>
    <w:rsid w:val="005D7AC9"/>
    <w:rsid w:val="005E5F15"/>
    <w:rsid w:val="005F1472"/>
    <w:rsid w:val="005F5824"/>
    <w:rsid w:val="005F7BDB"/>
    <w:rsid w:val="005F7D61"/>
    <w:rsid w:val="006001D8"/>
    <w:rsid w:val="00615099"/>
    <w:rsid w:val="0061535A"/>
    <w:rsid w:val="0063028E"/>
    <w:rsid w:val="00640070"/>
    <w:rsid w:val="0065145F"/>
    <w:rsid w:val="0065508E"/>
    <w:rsid w:val="00655CDE"/>
    <w:rsid w:val="00674B87"/>
    <w:rsid w:val="00682A70"/>
    <w:rsid w:val="00697E1B"/>
    <w:rsid w:val="006A0116"/>
    <w:rsid w:val="006A22C2"/>
    <w:rsid w:val="006A43AD"/>
    <w:rsid w:val="006A4741"/>
    <w:rsid w:val="006B13C2"/>
    <w:rsid w:val="006B2EAE"/>
    <w:rsid w:val="006C3CEA"/>
    <w:rsid w:val="006D5C58"/>
    <w:rsid w:val="006E3D7E"/>
    <w:rsid w:val="006E5F97"/>
    <w:rsid w:val="006E6E5C"/>
    <w:rsid w:val="006F0361"/>
    <w:rsid w:val="006F1DB9"/>
    <w:rsid w:val="006F6D22"/>
    <w:rsid w:val="00710789"/>
    <w:rsid w:val="00711AD2"/>
    <w:rsid w:val="00712341"/>
    <w:rsid w:val="007147EB"/>
    <w:rsid w:val="00715C1A"/>
    <w:rsid w:val="00717C92"/>
    <w:rsid w:val="00720100"/>
    <w:rsid w:val="00722F14"/>
    <w:rsid w:val="00727609"/>
    <w:rsid w:val="007306D4"/>
    <w:rsid w:val="00735276"/>
    <w:rsid w:val="007510AC"/>
    <w:rsid w:val="0075218B"/>
    <w:rsid w:val="00756D6A"/>
    <w:rsid w:val="00764C93"/>
    <w:rsid w:val="00770704"/>
    <w:rsid w:val="0077263B"/>
    <w:rsid w:val="00773BBD"/>
    <w:rsid w:val="007755FC"/>
    <w:rsid w:val="007817DE"/>
    <w:rsid w:val="007826D6"/>
    <w:rsid w:val="007828C2"/>
    <w:rsid w:val="00791812"/>
    <w:rsid w:val="007A1A53"/>
    <w:rsid w:val="007A2B77"/>
    <w:rsid w:val="007B4933"/>
    <w:rsid w:val="007B5C10"/>
    <w:rsid w:val="007C24B6"/>
    <w:rsid w:val="007C4A9B"/>
    <w:rsid w:val="007C51FE"/>
    <w:rsid w:val="007C6DA7"/>
    <w:rsid w:val="007D3A9E"/>
    <w:rsid w:val="007D3E71"/>
    <w:rsid w:val="007E2162"/>
    <w:rsid w:val="007F1D1D"/>
    <w:rsid w:val="007F463D"/>
    <w:rsid w:val="007F46F6"/>
    <w:rsid w:val="008126CC"/>
    <w:rsid w:val="00814D89"/>
    <w:rsid w:val="008409AD"/>
    <w:rsid w:val="008475AA"/>
    <w:rsid w:val="00861306"/>
    <w:rsid w:val="00862293"/>
    <w:rsid w:val="00864193"/>
    <w:rsid w:val="00865539"/>
    <w:rsid w:val="0086747E"/>
    <w:rsid w:val="008735CA"/>
    <w:rsid w:val="008854BC"/>
    <w:rsid w:val="00886DF5"/>
    <w:rsid w:val="00896E6D"/>
    <w:rsid w:val="008A4425"/>
    <w:rsid w:val="008A5427"/>
    <w:rsid w:val="008B58E6"/>
    <w:rsid w:val="008C0367"/>
    <w:rsid w:val="008C2175"/>
    <w:rsid w:val="008C2365"/>
    <w:rsid w:val="008C6D79"/>
    <w:rsid w:val="008D03A6"/>
    <w:rsid w:val="008D4000"/>
    <w:rsid w:val="008E1A6D"/>
    <w:rsid w:val="008E27C7"/>
    <w:rsid w:val="008E7E0D"/>
    <w:rsid w:val="008F0FFB"/>
    <w:rsid w:val="008F1073"/>
    <w:rsid w:val="008F22FB"/>
    <w:rsid w:val="008F37B1"/>
    <w:rsid w:val="008F453A"/>
    <w:rsid w:val="009033C9"/>
    <w:rsid w:val="00904FC4"/>
    <w:rsid w:val="009054FB"/>
    <w:rsid w:val="00911E0B"/>
    <w:rsid w:val="00915C45"/>
    <w:rsid w:val="00925544"/>
    <w:rsid w:val="00937533"/>
    <w:rsid w:val="00945A1B"/>
    <w:rsid w:val="009528D8"/>
    <w:rsid w:val="00954AF3"/>
    <w:rsid w:val="0095771E"/>
    <w:rsid w:val="00970254"/>
    <w:rsid w:val="009703E2"/>
    <w:rsid w:val="00977E6D"/>
    <w:rsid w:val="00980DA1"/>
    <w:rsid w:val="00987F3C"/>
    <w:rsid w:val="00991E61"/>
    <w:rsid w:val="00994EC6"/>
    <w:rsid w:val="009B453A"/>
    <w:rsid w:val="009C434F"/>
    <w:rsid w:val="009C5724"/>
    <w:rsid w:val="009E02B3"/>
    <w:rsid w:val="009E1389"/>
    <w:rsid w:val="009E4FCA"/>
    <w:rsid w:val="009E5D6C"/>
    <w:rsid w:val="009F6300"/>
    <w:rsid w:val="00A0028D"/>
    <w:rsid w:val="00A11FCA"/>
    <w:rsid w:val="00A20F58"/>
    <w:rsid w:val="00A25B90"/>
    <w:rsid w:val="00A30299"/>
    <w:rsid w:val="00A307E4"/>
    <w:rsid w:val="00A340CB"/>
    <w:rsid w:val="00A665F0"/>
    <w:rsid w:val="00A6799C"/>
    <w:rsid w:val="00A765D6"/>
    <w:rsid w:val="00A812E2"/>
    <w:rsid w:val="00A83F48"/>
    <w:rsid w:val="00A97B9D"/>
    <w:rsid w:val="00AA120E"/>
    <w:rsid w:val="00AA7476"/>
    <w:rsid w:val="00AA7876"/>
    <w:rsid w:val="00AB74B5"/>
    <w:rsid w:val="00AC2568"/>
    <w:rsid w:val="00AE485B"/>
    <w:rsid w:val="00AE6EA0"/>
    <w:rsid w:val="00AF07A2"/>
    <w:rsid w:val="00AF5AB9"/>
    <w:rsid w:val="00B05448"/>
    <w:rsid w:val="00B1468D"/>
    <w:rsid w:val="00B26819"/>
    <w:rsid w:val="00B27116"/>
    <w:rsid w:val="00B3005E"/>
    <w:rsid w:val="00B31D7A"/>
    <w:rsid w:val="00B405F9"/>
    <w:rsid w:val="00B42C7E"/>
    <w:rsid w:val="00B513DF"/>
    <w:rsid w:val="00B524CC"/>
    <w:rsid w:val="00B563C3"/>
    <w:rsid w:val="00B6007F"/>
    <w:rsid w:val="00B72C05"/>
    <w:rsid w:val="00B73D5A"/>
    <w:rsid w:val="00B75421"/>
    <w:rsid w:val="00B77ED0"/>
    <w:rsid w:val="00B91D9D"/>
    <w:rsid w:val="00B9298B"/>
    <w:rsid w:val="00B93332"/>
    <w:rsid w:val="00BC3C07"/>
    <w:rsid w:val="00BF488F"/>
    <w:rsid w:val="00C0156E"/>
    <w:rsid w:val="00C0275B"/>
    <w:rsid w:val="00C07D3B"/>
    <w:rsid w:val="00C133E6"/>
    <w:rsid w:val="00C13BC9"/>
    <w:rsid w:val="00C1603C"/>
    <w:rsid w:val="00C21B48"/>
    <w:rsid w:val="00C37226"/>
    <w:rsid w:val="00C405B4"/>
    <w:rsid w:val="00C730FB"/>
    <w:rsid w:val="00C82614"/>
    <w:rsid w:val="00C96AA7"/>
    <w:rsid w:val="00C979F4"/>
    <w:rsid w:val="00CA0451"/>
    <w:rsid w:val="00CA60C8"/>
    <w:rsid w:val="00CB3868"/>
    <w:rsid w:val="00CB3E17"/>
    <w:rsid w:val="00CB6D04"/>
    <w:rsid w:val="00CB7719"/>
    <w:rsid w:val="00CC2513"/>
    <w:rsid w:val="00CC35B5"/>
    <w:rsid w:val="00CD78CC"/>
    <w:rsid w:val="00CE2B48"/>
    <w:rsid w:val="00CE7889"/>
    <w:rsid w:val="00CF3D2D"/>
    <w:rsid w:val="00D052CF"/>
    <w:rsid w:val="00D0699A"/>
    <w:rsid w:val="00D1731B"/>
    <w:rsid w:val="00D25E2C"/>
    <w:rsid w:val="00D46DD7"/>
    <w:rsid w:val="00D47FF2"/>
    <w:rsid w:val="00D5385C"/>
    <w:rsid w:val="00D604A7"/>
    <w:rsid w:val="00D62427"/>
    <w:rsid w:val="00D6299A"/>
    <w:rsid w:val="00D62D77"/>
    <w:rsid w:val="00D64A54"/>
    <w:rsid w:val="00D66014"/>
    <w:rsid w:val="00D742B0"/>
    <w:rsid w:val="00D84197"/>
    <w:rsid w:val="00D93BC0"/>
    <w:rsid w:val="00D95F9A"/>
    <w:rsid w:val="00DB2E83"/>
    <w:rsid w:val="00DB37FE"/>
    <w:rsid w:val="00DB4DCF"/>
    <w:rsid w:val="00DB7750"/>
    <w:rsid w:val="00DD6A31"/>
    <w:rsid w:val="00DE7997"/>
    <w:rsid w:val="00E10383"/>
    <w:rsid w:val="00E26A27"/>
    <w:rsid w:val="00E27F84"/>
    <w:rsid w:val="00E31106"/>
    <w:rsid w:val="00E42DD9"/>
    <w:rsid w:val="00E57B56"/>
    <w:rsid w:val="00E631B8"/>
    <w:rsid w:val="00E67BD0"/>
    <w:rsid w:val="00E7083F"/>
    <w:rsid w:val="00E74E79"/>
    <w:rsid w:val="00E80A3A"/>
    <w:rsid w:val="00E82F47"/>
    <w:rsid w:val="00E848A9"/>
    <w:rsid w:val="00E84E8E"/>
    <w:rsid w:val="00E8755F"/>
    <w:rsid w:val="00E9058E"/>
    <w:rsid w:val="00E9155D"/>
    <w:rsid w:val="00E9178F"/>
    <w:rsid w:val="00E95357"/>
    <w:rsid w:val="00E964B5"/>
    <w:rsid w:val="00EA02A0"/>
    <w:rsid w:val="00EA2287"/>
    <w:rsid w:val="00EA34A9"/>
    <w:rsid w:val="00EA61BA"/>
    <w:rsid w:val="00EB75F1"/>
    <w:rsid w:val="00EC0F4F"/>
    <w:rsid w:val="00EC1AB5"/>
    <w:rsid w:val="00EC5516"/>
    <w:rsid w:val="00EC581A"/>
    <w:rsid w:val="00ED13B4"/>
    <w:rsid w:val="00ED32C8"/>
    <w:rsid w:val="00ED397E"/>
    <w:rsid w:val="00ED60F2"/>
    <w:rsid w:val="00EE01DE"/>
    <w:rsid w:val="00EE25F0"/>
    <w:rsid w:val="00EF0160"/>
    <w:rsid w:val="00EF343A"/>
    <w:rsid w:val="00EF528B"/>
    <w:rsid w:val="00F01CD8"/>
    <w:rsid w:val="00F11431"/>
    <w:rsid w:val="00F1169C"/>
    <w:rsid w:val="00F11952"/>
    <w:rsid w:val="00F14F41"/>
    <w:rsid w:val="00F15496"/>
    <w:rsid w:val="00F21993"/>
    <w:rsid w:val="00F22F3D"/>
    <w:rsid w:val="00F3193C"/>
    <w:rsid w:val="00F3574B"/>
    <w:rsid w:val="00F375AB"/>
    <w:rsid w:val="00F44220"/>
    <w:rsid w:val="00F5526F"/>
    <w:rsid w:val="00F55E04"/>
    <w:rsid w:val="00F60B72"/>
    <w:rsid w:val="00F707D2"/>
    <w:rsid w:val="00F730AA"/>
    <w:rsid w:val="00F739D1"/>
    <w:rsid w:val="00F9407A"/>
    <w:rsid w:val="00FA1DA0"/>
    <w:rsid w:val="00FA3B0A"/>
    <w:rsid w:val="00FA4756"/>
    <w:rsid w:val="00FB0C8C"/>
    <w:rsid w:val="00FB1737"/>
    <w:rsid w:val="00FB1BD1"/>
    <w:rsid w:val="00FB246D"/>
    <w:rsid w:val="00FC188F"/>
    <w:rsid w:val="00FC1E5C"/>
    <w:rsid w:val="00FC25FF"/>
    <w:rsid w:val="00FC5929"/>
    <w:rsid w:val="00FC6328"/>
    <w:rsid w:val="00FD008D"/>
    <w:rsid w:val="00FD2553"/>
    <w:rsid w:val="00FE0936"/>
    <w:rsid w:val="00FE33E1"/>
    <w:rsid w:val="00FE642F"/>
    <w:rsid w:val="00FF14A0"/>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71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1A"/>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5DC1-1CCD-4A46-B19E-3ADE706D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2</cp:revision>
  <cp:lastPrinted>2023-10-02T10:56:00Z</cp:lastPrinted>
  <dcterms:created xsi:type="dcterms:W3CDTF">2023-10-09T11:34:00Z</dcterms:created>
  <dcterms:modified xsi:type="dcterms:W3CDTF">2023-10-09T11:34:00Z</dcterms:modified>
</cp:coreProperties>
</file>