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3B1BE0" w:rsidRDefault="006C43D7" w:rsidP="006C43D7">
      <w:pPr>
        <w:spacing w:after="120" w:line="360" w:lineRule="auto"/>
        <w:jc w:val="center"/>
        <w:rPr>
          <w:rFonts w:cs="Arial"/>
          <w:b/>
          <w:bCs/>
          <w:szCs w:val="22"/>
        </w:rPr>
      </w:pPr>
      <w:r w:rsidRPr="003B1BE0">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3B1BE0" w:rsidRDefault="006C43D7" w:rsidP="006C43D7">
      <w:pPr>
        <w:jc w:val="center"/>
        <w:rPr>
          <w:rFonts w:cs="Arial"/>
          <w:b/>
          <w:szCs w:val="22"/>
        </w:rPr>
      </w:pPr>
      <w:r w:rsidRPr="003B1BE0">
        <w:rPr>
          <w:rFonts w:cs="Arial"/>
          <w:b/>
          <w:szCs w:val="22"/>
        </w:rPr>
        <w:t xml:space="preserve">IN THE HIGH COURT OF SOUTH AFRICA, </w:t>
      </w:r>
    </w:p>
    <w:p w14:paraId="566C4D1B" w14:textId="77777777" w:rsidR="006C43D7" w:rsidRPr="003B1BE0" w:rsidRDefault="006C43D7" w:rsidP="006C43D7">
      <w:pPr>
        <w:jc w:val="center"/>
        <w:rPr>
          <w:rFonts w:cs="Arial"/>
          <w:b/>
          <w:szCs w:val="22"/>
        </w:rPr>
      </w:pPr>
      <w:r w:rsidRPr="003B1BE0">
        <w:rPr>
          <w:rFonts w:cs="Arial"/>
          <w:b/>
          <w:szCs w:val="22"/>
        </w:rPr>
        <w:t>GAUTENG DIVISION, JOHANNESBURG</w:t>
      </w:r>
    </w:p>
    <w:p w14:paraId="13D6E83E" w14:textId="77777777" w:rsidR="006C43D7" w:rsidRPr="003B1BE0" w:rsidRDefault="006C43D7" w:rsidP="006C43D7">
      <w:pPr>
        <w:jc w:val="both"/>
        <w:rPr>
          <w:rFonts w:cs="Arial"/>
          <w:b/>
          <w:szCs w:val="22"/>
        </w:rPr>
      </w:pPr>
    </w:p>
    <w:p w14:paraId="3698476C" w14:textId="218B20A1" w:rsidR="006C43D7" w:rsidRPr="003B1BE0" w:rsidRDefault="006C43D7" w:rsidP="006C43D7">
      <w:pPr>
        <w:spacing w:line="360" w:lineRule="auto"/>
        <w:jc w:val="right"/>
        <w:rPr>
          <w:rFonts w:cs="Arial"/>
          <w:b/>
          <w:szCs w:val="22"/>
        </w:rPr>
      </w:pPr>
      <w:r w:rsidRPr="003B1BE0">
        <w:rPr>
          <w:rFonts w:cs="Arial"/>
          <w:b/>
          <w:szCs w:val="22"/>
        </w:rPr>
        <w:t xml:space="preserve">CASE NO: </w:t>
      </w:r>
      <w:r w:rsidR="00A27A51" w:rsidRPr="003B1BE0">
        <w:rPr>
          <w:rFonts w:cs="Arial"/>
          <w:b/>
          <w:szCs w:val="22"/>
        </w:rPr>
        <w:t>20</w:t>
      </w:r>
      <w:r w:rsidR="00C93FBD" w:rsidRPr="003B1BE0">
        <w:rPr>
          <w:rFonts w:cs="Arial"/>
          <w:b/>
          <w:szCs w:val="22"/>
        </w:rPr>
        <w:t>2</w:t>
      </w:r>
      <w:r w:rsidR="00865006" w:rsidRPr="003B1BE0">
        <w:rPr>
          <w:rFonts w:cs="Arial"/>
          <w:b/>
          <w:szCs w:val="22"/>
        </w:rPr>
        <w:t>0</w:t>
      </w:r>
      <w:r w:rsidR="00A27A51" w:rsidRPr="003B1BE0">
        <w:rPr>
          <w:rFonts w:cs="Arial"/>
          <w:b/>
          <w:szCs w:val="22"/>
        </w:rPr>
        <w:t>/</w:t>
      </w:r>
      <w:r w:rsidR="00865006" w:rsidRPr="003B1BE0">
        <w:rPr>
          <w:rFonts w:cs="Arial"/>
          <w:b/>
          <w:szCs w:val="22"/>
        </w:rPr>
        <w:t>11949</w:t>
      </w:r>
    </w:p>
    <w:p w14:paraId="0AF8DD38" w14:textId="77777777" w:rsidR="006C43D7" w:rsidRPr="003B1BE0" w:rsidRDefault="006C43D7" w:rsidP="006C43D7">
      <w:pPr>
        <w:spacing w:line="360" w:lineRule="auto"/>
        <w:jc w:val="right"/>
        <w:rPr>
          <w:rFonts w:cs="Arial"/>
          <w:szCs w:val="22"/>
        </w:rPr>
      </w:pPr>
      <w:r w:rsidRPr="003B1BE0">
        <w:rPr>
          <w:rFonts w:cs="Arial"/>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2018F096" w:rsidR="00D645C6" w:rsidRDefault="003E3D72" w:rsidP="003E3D7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743B4026" w:rsidR="00D645C6" w:rsidRPr="001D3CC2" w:rsidRDefault="003E3D72" w:rsidP="003E3D72">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17505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2018F096" w:rsidR="00D645C6" w:rsidRDefault="003E3D72" w:rsidP="003E3D7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743B4026" w:rsidR="00D645C6" w:rsidRPr="001D3CC2" w:rsidRDefault="003E3D72" w:rsidP="003E3D72">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17505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3B1BE0" w:rsidRDefault="006C43D7" w:rsidP="006C43D7">
      <w:pPr>
        <w:spacing w:line="360" w:lineRule="auto"/>
        <w:jc w:val="both"/>
        <w:rPr>
          <w:rFonts w:cs="Arial"/>
          <w:szCs w:val="22"/>
        </w:rPr>
      </w:pPr>
    </w:p>
    <w:p w14:paraId="4E808D74" w14:textId="77777777" w:rsidR="006C43D7" w:rsidRPr="003B1BE0" w:rsidRDefault="006C43D7" w:rsidP="006C43D7">
      <w:pPr>
        <w:spacing w:line="360" w:lineRule="auto"/>
        <w:jc w:val="both"/>
        <w:rPr>
          <w:rFonts w:cs="Arial"/>
          <w:szCs w:val="22"/>
        </w:rPr>
      </w:pPr>
    </w:p>
    <w:p w14:paraId="34BF70B6" w14:textId="77777777" w:rsidR="006C43D7" w:rsidRPr="003B1BE0" w:rsidRDefault="006C43D7" w:rsidP="006C43D7">
      <w:pPr>
        <w:spacing w:line="360" w:lineRule="auto"/>
        <w:jc w:val="both"/>
        <w:rPr>
          <w:rFonts w:cs="Arial"/>
          <w:szCs w:val="22"/>
        </w:rPr>
      </w:pPr>
    </w:p>
    <w:p w14:paraId="2F53BA3A" w14:textId="77777777" w:rsidR="006C43D7" w:rsidRPr="003B1BE0" w:rsidRDefault="006C43D7" w:rsidP="006C43D7">
      <w:pPr>
        <w:spacing w:line="480" w:lineRule="auto"/>
        <w:jc w:val="both"/>
        <w:rPr>
          <w:rFonts w:cs="Arial"/>
          <w:szCs w:val="22"/>
        </w:rPr>
      </w:pPr>
    </w:p>
    <w:p w14:paraId="3A1C212E" w14:textId="77777777" w:rsidR="006C43D7" w:rsidRPr="003B1BE0" w:rsidRDefault="006C43D7" w:rsidP="006C43D7">
      <w:pPr>
        <w:spacing w:line="480" w:lineRule="auto"/>
        <w:jc w:val="both"/>
        <w:rPr>
          <w:rFonts w:cs="Arial"/>
          <w:szCs w:val="22"/>
        </w:rPr>
      </w:pPr>
    </w:p>
    <w:p w14:paraId="04919B1B" w14:textId="77777777" w:rsidR="001D3CC2" w:rsidRPr="003B1BE0" w:rsidRDefault="001D3CC2" w:rsidP="006C43D7">
      <w:pPr>
        <w:spacing w:line="480" w:lineRule="auto"/>
        <w:jc w:val="both"/>
        <w:rPr>
          <w:rFonts w:cs="Arial"/>
          <w:szCs w:val="22"/>
        </w:rPr>
      </w:pPr>
    </w:p>
    <w:p w14:paraId="65EE98C6" w14:textId="77777777" w:rsidR="00AA7A76" w:rsidRDefault="00AA7A76" w:rsidP="00AA7A76">
      <w:pPr>
        <w:spacing w:line="480" w:lineRule="auto"/>
        <w:jc w:val="both"/>
        <w:rPr>
          <w:rFonts w:cs="Arial"/>
          <w:szCs w:val="22"/>
        </w:rPr>
      </w:pPr>
      <w:r w:rsidRPr="003B1BE0">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450"/>
      </w:tblGrid>
      <w:tr w:rsidR="00DD6340" w14:paraId="12611FE5" w14:textId="77777777" w:rsidTr="00E84882">
        <w:tc>
          <w:tcPr>
            <w:tcW w:w="6091" w:type="dxa"/>
          </w:tcPr>
          <w:p w14:paraId="03A8334A" w14:textId="45698347" w:rsidR="00DD6340" w:rsidRDefault="00DD6340" w:rsidP="00E84882">
            <w:pPr>
              <w:rPr>
                <w:rFonts w:cs="Arial"/>
                <w:szCs w:val="22"/>
              </w:rPr>
            </w:pPr>
            <w:r w:rsidRPr="003B1BE0">
              <w:rPr>
                <w:rFonts w:cs="Arial"/>
                <w:b/>
                <w:bCs/>
                <w:szCs w:val="22"/>
                <w:lang w:eastAsia="en-ZA"/>
              </w:rPr>
              <w:t>MIDCO ENGINEERING CC</w:t>
            </w:r>
          </w:p>
        </w:tc>
        <w:tc>
          <w:tcPr>
            <w:tcW w:w="2450" w:type="dxa"/>
          </w:tcPr>
          <w:p w14:paraId="66C44392" w14:textId="051CC014" w:rsidR="00DD6340" w:rsidRDefault="00DD6340" w:rsidP="00E84882">
            <w:pPr>
              <w:rPr>
                <w:rFonts w:cs="Arial"/>
                <w:szCs w:val="22"/>
              </w:rPr>
            </w:pPr>
            <w:r w:rsidRPr="003B1BE0">
              <w:rPr>
                <w:rFonts w:cs="Arial"/>
                <w:szCs w:val="22"/>
                <w:lang w:eastAsia="en-ZA"/>
              </w:rPr>
              <w:t>Applicant</w:t>
            </w:r>
          </w:p>
        </w:tc>
      </w:tr>
      <w:tr w:rsidR="00DD6340" w14:paraId="393BF2EA" w14:textId="77777777" w:rsidTr="00E84882">
        <w:tc>
          <w:tcPr>
            <w:tcW w:w="6091" w:type="dxa"/>
          </w:tcPr>
          <w:p w14:paraId="4CF122DB" w14:textId="77777777" w:rsidR="00DD6340" w:rsidRDefault="00DD6340" w:rsidP="00E84882">
            <w:pPr>
              <w:autoSpaceDE w:val="0"/>
              <w:autoSpaceDN w:val="0"/>
              <w:adjustRightInd w:val="0"/>
              <w:rPr>
                <w:rFonts w:cs="Arial"/>
                <w:szCs w:val="22"/>
                <w:lang w:eastAsia="en-ZA"/>
              </w:rPr>
            </w:pPr>
          </w:p>
          <w:p w14:paraId="47A037B4" w14:textId="58F1BD1F" w:rsidR="00DD6340" w:rsidRPr="003B1BE0" w:rsidRDefault="00DD6340" w:rsidP="00E84882">
            <w:pPr>
              <w:autoSpaceDE w:val="0"/>
              <w:autoSpaceDN w:val="0"/>
              <w:adjustRightInd w:val="0"/>
              <w:rPr>
                <w:rFonts w:cs="Arial"/>
                <w:szCs w:val="22"/>
                <w:lang w:eastAsia="en-ZA"/>
              </w:rPr>
            </w:pPr>
            <w:r w:rsidRPr="003B1BE0">
              <w:rPr>
                <w:rFonts w:cs="Arial"/>
                <w:szCs w:val="22"/>
                <w:lang w:eastAsia="en-ZA"/>
              </w:rPr>
              <w:t>and</w:t>
            </w:r>
          </w:p>
          <w:p w14:paraId="33113E3A" w14:textId="77777777" w:rsidR="00DD6340" w:rsidRDefault="00DD6340" w:rsidP="00E84882">
            <w:pPr>
              <w:rPr>
                <w:rFonts w:cs="Arial"/>
                <w:szCs w:val="22"/>
              </w:rPr>
            </w:pPr>
          </w:p>
        </w:tc>
        <w:tc>
          <w:tcPr>
            <w:tcW w:w="2450" w:type="dxa"/>
          </w:tcPr>
          <w:p w14:paraId="378D0D17" w14:textId="77777777" w:rsidR="00DD6340" w:rsidRDefault="00DD6340" w:rsidP="00E84882">
            <w:pPr>
              <w:rPr>
                <w:rFonts w:cs="Arial"/>
                <w:szCs w:val="22"/>
              </w:rPr>
            </w:pPr>
          </w:p>
        </w:tc>
      </w:tr>
      <w:tr w:rsidR="00DD6340" w14:paraId="53E1F41A" w14:textId="77777777" w:rsidTr="00E84882">
        <w:tc>
          <w:tcPr>
            <w:tcW w:w="6091" w:type="dxa"/>
          </w:tcPr>
          <w:p w14:paraId="4BE2C064" w14:textId="628E2378" w:rsidR="00DD6340" w:rsidRDefault="00DD6340" w:rsidP="00E84882">
            <w:pPr>
              <w:rPr>
                <w:rFonts w:cs="Arial"/>
                <w:szCs w:val="22"/>
              </w:rPr>
            </w:pPr>
            <w:r w:rsidRPr="003B1BE0">
              <w:rPr>
                <w:rFonts w:cs="Arial"/>
                <w:b/>
                <w:bCs/>
                <w:szCs w:val="22"/>
                <w:lang w:eastAsia="en-ZA"/>
              </w:rPr>
              <w:t xml:space="preserve">RONDEBULT DOBSON (PTY) LTD </w:t>
            </w:r>
            <w:r w:rsidRPr="003B1BE0">
              <w:rPr>
                <w:rFonts w:cs="Arial"/>
                <w:b/>
                <w:bCs/>
                <w:szCs w:val="22"/>
                <w:lang w:eastAsia="en-ZA"/>
              </w:rPr>
              <w:tab/>
            </w:r>
            <w:r>
              <w:rPr>
                <w:rFonts w:cs="Arial"/>
                <w:b/>
                <w:bCs/>
                <w:szCs w:val="22"/>
                <w:lang w:eastAsia="en-ZA"/>
              </w:rPr>
              <w:t>(in liquidation)</w:t>
            </w:r>
          </w:p>
        </w:tc>
        <w:tc>
          <w:tcPr>
            <w:tcW w:w="2450" w:type="dxa"/>
          </w:tcPr>
          <w:p w14:paraId="54FB9DCF" w14:textId="1D757068" w:rsidR="00DD6340" w:rsidRDefault="00DD6340" w:rsidP="00E84882">
            <w:pPr>
              <w:rPr>
                <w:rFonts w:cs="Arial"/>
                <w:szCs w:val="22"/>
              </w:rPr>
            </w:pPr>
            <w:r w:rsidRPr="003B1BE0">
              <w:rPr>
                <w:rFonts w:cs="Arial"/>
                <w:szCs w:val="22"/>
                <w:lang w:eastAsia="en-ZA"/>
              </w:rPr>
              <w:t>First Respondent</w:t>
            </w:r>
          </w:p>
        </w:tc>
      </w:tr>
      <w:tr w:rsidR="00DD6340" w14:paraId="421B0471" w14:textId="77777777" w:rsidTr="00E84882">
        <w:tc>
          <w:tcPr>
            <w:tcW w:w="6091" w:type="dxa"/>
          </w:tcPr>
          <w:p w14:paraId="1E5E647C" w14:textId="58E41B1D" w:rsidR="00DD6340" w:rsidRDefault="00DD6340" w:rsidP="00E84882">
            <w:pPr>
              <w:rPr>
                <w:rFonts w:cs="Arial"/>
                <w:szCs w:val="22"/>
              </w:rPr>
            </w:pPr>
            <w:r w:rsidRPr="003B1BE0">
              <w:rPr>
                <w:rFonts w:cs="Arial"/>
                <w:b/>
                <w:bCs/>
                <w:szCs w:val="22"/>
                <w:lang w:eastAsia="en-ZA"/>
              </w:rPr>
              <w:t>AURUM METALS (PTY) LTD</w:t>
            </w:r>
          </w:p>
        </w:tc>
        <w:tc>
          <w:tcPr>
            <w:tcW w:w="2450" w:type="dxa"/>
          </w:tcPr>
          <w:p w14:paraId="2641B720" w14:textId="07467C85" w:rsidR="00DD6340" w:rsidRDefault="00DD6340" w:rsidP="00E84882">
            <w:pPr>
              <w:rPr>
                <w:rFonts w:cs="Arial"/>
                <w:szCs w:val="22"/>
              </w:rPr>
            </w:pPr>
            <w:r w:rsidRPr="003B1BE0">
              <w:rPr>
                <w:rFonts w:cs="Arial"/>
                <w:szCs w:val="22"/>
                <w:lang w:eastAsia="en-ZA"/>
              </w:rPr>
              <w:t>Second Respondent</w:t>
            </w:r>
          </w:p>
        </w:tc>
      </w:tr>
      <w:tr w:rsidR="00DD6340" w14:paraId="56A9AA17" w14:textId="77777777" w:rsidTr="00E84882">
        <w:tc>
          <w:tcPr>
            <w:tcW w:w="6091" w:type="dxa"/>
          </w:tcPr>
          <w:p w14:paraId="21863746" w14:textId="28C4F66A" w:rsidR="00DD6340" w:rsidRDefault="00DD6340" w:rsidP="00E84882">
            <w:pPr>
              <w:rPr>
                <w:rFonts w:cs="Arial"/>
                <w:szCs w:val="22"/>
              </w:rPr>
            </w:pPr>
            <w:r w:rsidRPr="003B1BE0">
              <w:rPr>
                <w:rFonts w:cs="Arial"/>
                <w:b/>
                <w:bCs/>
                <w:szCs w:val="22"/>
                <w:lang w:eastAsia="en-ZA"/>
              </w:rPr>
              <w:t>LE ROUX, JOHANNES JACOBUS</w:t>
            </w:r>
          </w:p>
        </w:tc>
        <w:tc>
          <w:tcPr>
            <w:tcW w:w="2450" w:type="dxa"/>
          </w:tcPr>
          <w:p w14:paraId="35033233" w14:textId="17733F96" w:rsidR="00DD6340" w:rsidRDefault="00DD6340" w:rsidP="00E84882">
            <w:pPr>
              <w:rPr>
                <w:rFonts w:cs="Arial"/>
                <w:szCs w:val="22"/>
              </w:rPr>
            </w:pPr>
            <w:r w:rsidRPr="003B1BE0">
              <w:rPr>
                <w:rFonts w:cs="Arial"/>
                <w:szCs w:val="22"/>
                <w:lang w:eastAsia="en-ZA"/>
              </w:rPr>
              <w:t>Third Respondent</w:t>
            </w:r>
          </w:p>
        </w:tc>
      </w:tr>
      <w:tr w:rsidR="00DD6340" w14:paraId="0E0A855F" w14:textId="77777777" w:rsidTr="00E84882">
        <w:tc>
          <w:tcPr>
            <w:tcW w:w="6091" w:type="dxa"/>
          </w:tcPr>
          <w:p w14:paraId="01E428A9" w14:textId="77777777" w:rsidR="00E84882" w:rsidRDefault="00E84882" w:rsidP="00E84882">
            <w:pPr>
              <w:jc w:val="both"/>
              <w:rPr>
                <w:rFonts w:cs="Arial"/>
                <w:i/>
                <w:iCs/>
                <w:szCs w:val="22"/>
              </w:rPr>
            </w:pPr>
          </w:p>
          <w:p w14:paraId="363E1729" w14:textId="77777777" w:rsidR="00E84882" w:rsidRDefault="00E84882" w:rsidP="00E84882">
            <w:pPr>
              <w:jc w:val="both"/>
              <w:rPr>
                <w:rFonts w:cs="Arial"/>
                <w:i/>
                <w:iCs/>
                <w:szCs w:val="22"/>
              </w:rPr>
            </w:pPr>
          </w:p>
          <w:p w14:paraId="0ACAFE1C" w14:textId="31C6E4A3" w:rsidR="00DD6340" w:rsidRPr="00DD6340" w:rsidRDefault="00DD6340" w:rsidP="00E84882">
            <w:pPr>
              <w:jc w:val="both"/>
              <w:rPr>
                <w:rFonts w:cs="Arial"/>
                <w:i/>
                <w:iCs/>
                <w:szCs w:val="22"/>
              </w:rPr>
            </w:pPr>
            <w:r w:rsidRPr="00DD6340">
              <w:rPr>
                <w:rFonts w:cs="Arial"/>
                <w:i/>
                <w:iCs/>
                <w:szCs w:val="22"/>
              </w:rPr>
              <w:t>in re</w:t>
            </w:r>
          </w:p>
          <w:p w14:paraId="22D3464B" w14:textId="77777777" w:rsidR="00DD6340" w:rsidRPr="003B1BE0" w:rsidRDefault="00DD6340" w:rsidP="00E84882">
            <w:pPr>
              <w:rPr>
                <w:rFonts w:cs="Arial"/>
                <w:b/>
                <w:bCs/>
                <w:szCs w:val="22"/>
                <w:lang w:eastAsia="en-ZA"/>
              </w:rPr>
            </w:pPr>
          </w:p>
        </w:tc>
        <w:tc>
          <w:tcPr>
            <w:tcW w:w="2450" w:type="dxa"/>
          </w:tcPr>
          <w:p w14:paraId="1E3C6565" w14:textId="77777777" w:rsidR="00DD6340" w:rsidRPr="003B1BE0" w:rsidRDefault="00DD6340" w:rsidP="00E84882">
            <w:pPr>
              <w:rPr>
                <w:rFonts w:cs="Arial"/>
                <w:szCs w:val="22"/>
                <w:lang w:eastAsia="en-ZA"/>
              </w:rPr>
            </w:pPr>
          </w:p>
        </w:tc>
      </w:tr>
      <w:tr w:rsidR="00DD6340" w14:paraId="28758067" w14:textId="77777777" w:rsidTr="00E84882">
        <w:tc>
          <w:tcPr>
            <w:tcW w:w="6091" w:type="dxa"/>
          </w:tcPr>
          <w:p w14:paraId="2D7444E2" w14:textId="59023DB3" w:rsidR="00DD6340" w:rsidRPr="00DD6340" w:rsidRDefault="00E84882" w:rsidP="00E84882">
            <w:pPr>
              <w:jc w:val="both"/>
              <w:rPr>
                <w:rFonts w:cs="Arial"/>
                <w:i/>
                <w:iCs/>
                <w:szCs w:val="22"/>
              </w:rPr>
            </w:pPr>
            <w:r w:rsidRPr="003B1BE0">
              <w:rPr>
                <w:rFonts w:cs="Arial"/>
                <w:b/>
                <w:bCs/>
                <w:szCs w:val="22"/>
                <w:lang w:eastAsia="en-ZA"/>
              </w:rPr>
              <w:t>MIDCO ENGINEERING CC</w:t>
            </w:r>
          </w:p>
        </w:tc>
        <w:tc>
          <w:tcPr>
            <w:tcW w:w="2450" w:type="dxa"/>
          </w:tcPr>
          <w:p w14:paraId="60834EDE" w14:textId="4DC0BE1A" w:rsidR="00DD6340" w:rsidRPr="003B1BE0" w:rsidRDefault="00E84882" w:rsidP="00E84882">
            <w:pPr>
              <w:rPr>
                <w:rFonts w:cs="Arial"/>
                <w:szCs w:val="22"/>
                <w:lang w:eastAsia="en-ZA"/>
              </w:rPr>
            </w:pPr>
            <w:r w:rsidRPr="003B1BE0">
              <w:rPr>
                <w:rFonts w:cs="Arial"/>
                <w:szCs w:val="22"/>
                <w:lang w:eastAsia="en-ZA"/>
              </w:rPr>
              <w:t>Plaintiff</w:t>
            </w:r>
          </w:p>
        </w:tc>
      </w:tr>
      <w:tr w:rsidR="00E84882" w14:paraId="7C9FC76F" w14:textId="77777777" w:rsidTr="00E84882">
        <w:tc>
          <w:tcPr>
            <w:tcW w:w="6091" w:type="dxa"/>
          </w:tcPr>
          <w:p w14:paraId="289BE29A" w14:textId="77777777" w:rsidR="00E84882" w:rsidRDefault="00E84882" w:rsidP="00E84882">
            <w:pPr>
              <w:jc w:val="both"/>
              <w:rPr>
                <w:rFonts w:cs="Arial"/>
                <w:szCs w:val="22"/>
                <w:lang w:eastAsia="en-ZA"/>
              </w:rPr>
            </w:pPr>
          </w:p>
          <w:p w14:paraId="60881401" w14:textId="6C354414" w:rsidR="00E84882" w:rsidRDefault="00E84882" w:rsidP="00E84882">
            <w:pPr>
              <w:jc w:val="both"/>
              <w:rPr>
                <w:rFonts w:cs="Arial"/>
                <w:szCs w:val="22"/>
                <w:lang w:eastAsia="en-ZA"/>
              </w:rPr>
            </w:pPr>
            <w:r>
              <w:rPr>
                <w:rFonts w:cs="Arial"/>
                <w:szCs w:val="22"/>
                <w:lang w:eastAsia="en-ZA"/>
              </w:rPr>
              <w:t>a</w:t>
            </w:r>
            <w:r w:rsidRPr="00E84882">
              <w:rPr>
                <w:rFonts w:cs="Arial"/>
                <w:szCs w:val="22"/>
                <w:lang w:eastAsia="en-ZA"/>
              </w:rPr>
              <w:t>nd</w:t>
            </w:r>
          </w:p>
          <w:p w14:paraId="7B9DF682" w14:textId="06E55FE1" w:rsidR="00E84882" w:rsidRPr="00E84882" w:rsidRDefault="00E84882" w:rsidP="00E84882">
            <w:pPr>
              <w:jc w:val="both"/>
              <w:rPr>
                <w:rFonts w:cs="Arial"/>
                <w:szCs w:val="22"/>
                <w:lang w:eastAsia="en-ZA"/>
              </w:rPr>
            </w:pPr>
          </w:p>
        </w:tc>
        <w:tc>
          <w:tcPr>
            <w:tcW w:w="2450" w:type="dxa"/>
          </w:tcPr>
          <w:p w14:paraId="7606C425" w14:textId="77777777" w:rsidR="00E84882" w:rsidRPr="003B1BE0" w:rsidRDefault="00E84882" w:rsidP="00E84882">
            <w:pPr>
              <w:rPr>
                <w:rFonts w:cs="Arial"/>
                <w:szCs w:val="22"/>
                <w:lang w:eastAsia="en-ZA"/>
              </w:rPr>
            </w:pPr>
          </w:p>
        </w:tc>
      </w:tr>
      <w:tr w:rsidR="00E84882" w14:paraId="65BD7828" w14:textId="77777777" w:rsidTr="00E84882">
        <w:tc>
          <w:tcPr>
            <w:tcW w:w="6091" w:type="dxa"/>
          </w:tcPr>
          <w:p w14:paraId="7230C6E5" w14:textId="40FC0A9F" w:rsidR="00E84882" w:rsidRPr="003B1BE0" w:rsidRDefault="00E84882" w:rsidP="00E84882">
            <w:pPr>
              <w:jc w:val="both"/>
              <w:rPr>
                <w:rFonts w:cs="Arial"/>
                <w:b/>
                <w:bCs/>
                <w:szCs w:val="22"/>
                <w:lang w:eastAsia="en-ZA"/>
              </w:rPr>
            </w:pPr>
            <w:r w:rsidRPr="003B1BE0">
              <w:rPr>
                <w:rFonts w:cs="Arial"/>
                <w:b/>
                <w:bCs/>
                <w:szCs w:val="22"/>
                <w:lang w:eastAsia="en-ZA"/>
              </w:rPr>
              <w:t>RONDEBULT DOBSON (PTY) LT</w:t>
            </w:r>
            <w:r>
              <w:rPr>
                <w:rFonts w:cs="Arial"/>
                <w:b/>
                <w:bCs/>
                <w:szCs w:val="22"/>
                <w:lang w:eastAsia="en-ZA"/>
              </w:rPr>
              <w:t>D (in liquidation)</w:t>
            </w:r>
          </w:p>
        </w:tc>
        <w:tc>
          <w:tcPr>
            <w:tcW w:w="2450" w:type="dxa"/>
          </w:tcPr>
          <w:p w14:paraId="544B3F05" w14:textId="18E8F20E" w:rsidR="00E84882" w:rsidRPr="003B1BE0" w:rsidRDefault="00E84882" w:rsidP="00E84882">
            <w:pPr>
              <w:rPr>
                <w:rFonts w:cs="Arial"/>
                <w:szCs w:val="22"/>
                <w:lang w:eastAsia="en-ZA"/>
              </w:rPr>
            </w:pPr>
            <w:r w:rsidRPr="003B1BE0">
              <w:rPr>
                <w:rFonts w:cs="Arial"/>
                <w:szCs w:val="22"/>
                <w:lang w:eastAsia="en-ZA"/>
              </w:rPr>
              <w:t>First Defendant</w:t>
            </w:r>
          </w:p>
        </w:tc>
      </w:tr>
      <w:tr w:rsidR="00E84882" w14:paraId="1F8C0E27" w14:textId="77777777" w:rsidTr="00E84882">
        <w:tc>
          <w:tcPr>
            <w:tcW w:w="6091" w:type="dxa"/>
          </w:tcPr>
          <w:p w14:paraId="34D91EB7" w14:textId="19E5E34A" w:rsidR="00E84882" w:rsidRPr="003B1BE0" w:rsidRDefault="00E84882" w:rsidP="00E84882">
            <w:pPr>
              <w:jc w:val="both"/>
              <w:rPr>
                <w:rFonts w:cs="Arial"/>
                <w:b/>
                <w:bCs/>
                <w:szCs w:val="22"/>
                <w:lang w:eastAsia="en-ZA"/>
              </w:rPr>
            </w:pPr>
            <w:r w:rsidRPr="003B1BE0">
              <w:rPr>
                <w:rFonts w:cs="Arial"/>
                <w:b/>
                <w:bCs/>
                <w:szCs w:val="22"/>
                <w:lang w:eastAsia="en-ZA"/>
              </w:rPr>
              <w:t>AURUM METALS (PTY) LTD</w:t>
            </w:r>
          </w:p>
        </w:tc>
        <w:tc>
          <w:tcPr>
            <w:tcW w:w="2450" w:type="dxa"/>
          </w:tcPr>
          <w:p w14:paraId="087C31B8" w14:textId="51011672" w:rsidR="00E84882" w:rsidRPr="003B1BE0" w:rsidRDefault="00E84882" w:rsidP="00E84882">
            <w:pPr>
              <w:rPr>
                <w:rFonts w:cs="Arial"/>
                <w:szCs w:val="22"/>
                <w:lang w:eastAsia="en-ZA"/>
              </w:rPr>
            </w:pPr>
            <w:r w:rsidRPr="003B1BE0">
              <w:rPr>
                <w:rFonts w:cs="Arial"/>
                <w:szCs w:val="22"/>
                <w:lang w:eastAsia="en-ZA"/>
              </w:rPr>
              <w:t>Second Defendant</w:t>
            </w:r>
          </w:p>
        </w:tc>
      </w:tr>
    </w:tbl>
    <w:p w14:paraId="59D199C4" w14:textId="77777777" w:rsidR="00DD6340" w:rsidRPr="003B1BE0" w:rsidRDefault="00DD6340" w:rsidP="00AA7A76">
      <w:pPr>
        <w:spacing w:line="480" w:lineRule="auto"/>
        <w:jc w:val="both"/>
        <w:rPr>
          <w:rFonts w:cs="Arial"/>
          <w:szCs w:val="22"/>
        </w:rPr>
      </w:pPr>
    </w:p>
    <w:p w14:paraId="66D9B42E" w14:textId="77777777" w:rsidR="00671B88" w:rsidRPr="003B1BE0" w:rsidRDefault="00671B88" w:rsidP="006C43D7">
      <w:pPr>
        <w:pBdr>
          <w:bottom w:val="single" w:sz="4" w:space="1" w:color="auto"/>
        </w:pBdr>
        <w:spacing w:line="360" w:lineRule="auto"/>
        <w:jc w:val="both"/>
        <w:rPr>
          <w:rFonts w:cs="Arial"/>
          <w:szCs w:val="22"/>
        </w:rPr>
      </w:pPr>
    </w:p>
    <w:p w14:paraId="58DE5549" w14:textId="77777777" w:rsidR="006C43D7" w:rsidRPr="003B1BE0" w:rsidRDefault="006C43D7" w:rsidP="006C43D7">
      <w:pPr>
        <w:spacing w:line="276" w:lineRule="auto"/>
        <w:jc w:val="both"/>
        <w:rPr>
          <w:rFonts w:cs="Arial"/>
          <w:szCs w:val="22"/>
        </w:rPr>
      </w:pPr>
    </w:p>
    <w:p w14:paraId="647AB70C" w14:textId="77777777" w:rsidR="006C43D7" w:rsidRPr="003B1BE0" w:rsidRDefault="006C43D7" w:rsidP="006C43D7">
      <w:pPr>
        <w:keepNext/>
        <w:spacing w:line="276" w:lineRule="auto"/>
        <w:jc w:val="center"/>
        <w:outlineLvl w:val="1"/>
        <w:rPr>
          <w:rFonts w:cs="Arial"/>
          <w:b/>
          <w:bCs/>
          <w:szCs w:val="22"/>
        </w:rPr>
      </w:pPr>
      <w:r w:rsidRPr="003B1BE0">
        <w:rPr>
          <w:rFonts w:cs="Arial"/>
          <w:b/>
          <w:bCs/>
          <w:szCs w:val="22"/>
        </w:rPr>
        <w:t>JUDGMENT</w:t>
      </w:r>
    </w:p>
    <w:p w14:paraId="52CD25EB" w14:textId="77777777" w:rsidR="006C43D7" w:rsidRPr="003B1BE0" w:rsidRDefault="006C43D7" w:rsidP="006C43D7">
      <w:pPr>
        <w:pBdr>
          <w:bottom w:val="single" w:sz="4" w:space="1" w:color="auto"/>
        </w:pBdr>
        <w:jc w:val="both"/>
        <w:rPr>
          <w:rFonts w:cs="Arial"/>
          <w:szCs w:val="22"/>
        </w:rPr>
      </w:pPr>
    </w:p>
    <w:p w14:paraId="0CA76DA1" w14:textId="77777777" w:rsidR="00DC621D" w:rsidRPr="003B1BE0" w:rsidRDefault="00DC621D" w:rsidP="00DC621D">
      <w:pPr>
        <w:spacing w:line="480" w:lineRule="auto"/>
        <w:jc w:val="both"/>
        <w:rPr>
          <w:rFonts w:cs="Arial"/>
          <w:b/>
          <w:szCs w:val="22"/>
        </w:rPr>
      </w:pPr>
    </w:p>
    <w:p w14:paraId="5BD82EFE" w14:textId="0F8FBF70" w:rsidR="00BE6AB8" w:rsidRPr="003B1BE0" w:rsidRDefault="00C676F3" w:rsidP="00BE6AB8">
      <w:pPr>
        <w:spacing w:after="480" w:line="480" w:lineRule="auto"/>
        <w:jc w:val="both"/>
        <w:rPr>
          <w:rFonts w:cs="Arial"/>
          <w:b/>
          <w:szCs w:val="22"/>
        </w:rPr>
      </w:pPr>
      <w:r w:rsidRPr="003B1BE0">
        <w:rPr>
          <w:rFonts w:cs="Arial"/>
          <w:b/>
          <w:szCs w:val="22"/>
        </w:rPr>
        <w:lastRenderedPageBreak/>
        <w:t>MOORCROFT</w:t>
      </w:r>
      <w:r w:rsidR="006C43D7" w:rsidRPr="003B1BE0">
        <w:rPr>
          <w:rFonts w:cs="Arial"/>
          <w:b/>
          <w:szCs w:val="22"/>
        </w:rPr>
        <w:t xml:space="preserve"> AJ:</w:t>
      </w:r>
    </w:p>
    <w:p w14:paraId="09239A78" w14:textId="202EF25D" w:rsidR="00C460A0" w:rsidRPr="003B1BE0" w:rsidRDefault="00C460A0" w:rsidP="00653BA4">
      <w:pPr>
        <w:keepNext/>
        <w:spacing w:after="480" w:line="480" w:lineRule="auto"/>
        <w:jc w:val="both"/>
        <w:rPr>
          <w:rFonts w:cs="Arial"/>
          <w:bCs/>
          <w:i/>
          <w:iCs/>
          <w:szCs w:val="22"/>
          <w:u w:val="single"/>
        </w:rPr>
      </w:pPr>
      <w:r w:rsidRPr="003B1BE0">
        <w:rPr>
          <w:rFonts w:cs="Arial"/>
          <w:bCs/>
          <w:i/>
          <w:iCs/>
          <w:szCs w:val="22"/>
          <w:u w:val="single"/>
        </w:rPr>
        <w:t>Summary</w:t>
      </w:r>
    </w:p>
    <w:p w14:paraId="36576B07" w14:textId="323F5859" w:rsidR="00DF2221" w:rsidRDefault="00DF2221" w:rsidP="00653BA4">
      <w:pPr>
        <w:keepNext/>
        <w:spacing w:after="480" w:line="480" w:lineRule="auto"/>
        <w:jc w:val="both"/>
        <w:rPr>
          <w:rFonts w:cs="Arial"/>
          <w:bCs/>
          <w:i/>
          <w:iCs/>
          <w:szCs w:val="22"/>
        </w:rPr>
      </w:pPr>
      <w:r>
        <w:rPr>
          <w:rFonts w:cs="Arial"/>
          <w:bCs/>
          <w:i/>
          <w:iCs/>
          <w:szCs w:val="22"/>
        </w:rPr>
        <w:t xml:space="preserve">Service – </w:t>
      </w:r>
      <w:r w:rsidR="00A42670">
        <w:rPr>
          <w:rFonts w:cs="Arial"/>
          <w:bCs/>
          <w:i/>
          <w:iCs/>
          <w:szCs w:val="22"/>
        </w:rPr>
        <w:t xml:space="preserve">rule 4 - </w:t>
      </w:r>
      <w:r>
        <w:rPr>
          <w:rFonts w:cs="Arial"/>
          <w:bCs/>
          <w:i/>
          <w:iCs/>
          <w:szCs w:val="22"/>
        </w:rPr>
        <w:t>no service on third respondent as required in terms of rule</w:t>
      </w:r>
      <w:r w:rsidR="00A42670">
        <w:rPr>
          <w:rFonts w:cs="Arial"/>
          <w:bCs/>
          <w:i/>
          <w:iCs/>
          <w:szCs w:val="22"/>
        </w:rPr>
        <w:t xml:space="preserve"> </w:t>
      </w:r>
      <w:r>
        <w:rPr>
          <w:rFonts w:cs="Arial"/>
          <w:bCs/>
          <w:i/>
          <w:iCs/>
          <w:szCs w:val="22"/>
        </w:rPr>
        <w:t>and no application for condonation in terms of rule 27</w:t>
      </w:r>
    </w:p>
    <w:p w14:paraId="6356A10F" w14:textId="46131525" w:rsidR="00DF2221" w:rsidRDefault="00DF2221" w:rsidP="00653BA4">
      <w:pPr>
        <w:keepNext/>
        <w:spacing w:after="480" w:line="480" w:lineRule="auto"/>
        <w:jc w:val="both"/>
        <w:rPr>
          <w:rFonts w:cs="Arial"/>
          <w:bCs/>
          <w:i/>
          <w:iCs/>
          <w:szCs w:val="22"/>
        </w:rPr>
      </w:pPr>
      <w:r>
        <w:rPr>
          <w:rFonts w:cs="Arial"/>
          <w:bCs/>
          <w:i/>
          <w:iCs/>
          <w:szCs w:val="22"/>
        </w:rPr>
        <w:t xml:space="preserve">Service – on liquidators – no </w:t>
      </w:r>
      <w:r w:rsidR="00A42670">
        <w:rPr>
          <w:rFonts w:cs="Arial"/>
          <w:bCs/>
          <w:i/>
          <w:iCs/>
          <w:szCs w:val="22"/>
        </w:rPr>
        <w:t>factual basis for service on liquidators in terms of rule 4A</w:t>
      </w:r>
    </w:p>
    <w:p w14:paraId="42C5B2D3" w14:textId="1F6665AD" w:rsidR="000B32C7" w:rsidRDefault="00CA3E24" w:rsidP="00653BA4">
      <w:pPr>
        <w:keepNext/>
        <w:spacing w:after="480" w:line="480" w:lineRule="auto"/>
        <w:jc w:val="both"/>
        <w:rPr>
          <w:rFonts w:cs="Arial"/>
          <w:bCs/>
          <w:i/>
          <w:iCs/>
          <w:szCs w:val="22"/>
        </w:rPr>
      </w:pPr>
      <w:r w:rsidRPr="003B1BE0">
        <w:rPr>
          <w:rFonts w:cs="Arial"/>
          <w:bCs/>
          <w:i/>
          <w:iCs/>
          <w:szCs w:val="22"/>
        </w:rPr>
        <w:t>Rule 10</w:t>
      </w:r>
      <w:r w:rsidR="00BA5CC4">
        <w:rPr>
          <w:rFonts w:cs="Arial"/>
          <w:bCs/>
          <w:i/>
          <w:iCs/>
          <w:szCs w:val="22"/>
        </w:rPr>
        <w:t xml:space="preserve"> – joinder of party – no case made out on the facts</w:t>
      </w:r>
    </w:p>
    <w:p w14:paraId="70D6A888" w14:textId="35F74069" w:rsidR="00BA5CC4" w:rsidRDefault="00BA5CC4" w:rsidP="00653BA4">
      <w:pPr>
        <w:keepNext/>
        <w:spacing w:after="480" w:line="480" w:lineRule="auto"/>
        <w:jc w:val="both"/>
        <w:rPr>
          <w:rFonts w:cs="Arial"/>
          <w:bCs/>
          <w:i/>
          <w:iCs/>
          <w:szCs w:val="22"/>
        </w:rPr>
      </w:pPr>
      <w:r>
        <w:rPr>
          <w:rFonts w:cs="Arial"/>
          <w:bCs/>
          <w:i/>
          <w:iCs/>
          <w:szCs w:val="22"/>
        </w:rPr>
        <w:t>Companies Act, 71 of 2008 – sections 22, 214, and 218(2)</w:t>
      </w:r>
    </w:p>
    <w:p w14:paraId="7050A620" w14:textId="6E2FB5FC" w:rsidR="00BA5CC4" w:rsidRDefault="00BA5CC4" w:rsidP="00653BA4">
      <w:pPr>
        <w:keepNext/>
        <w:spacing w:after="480" w:line="480" w:lineRule="auto"/>
        <w:jc w:val="both"/>
        <w:rPr>
          <w:rFonts w:cs="Arial"/>
          <w:bCs/>
          <w:i/>
          <w:iCs/>
          <w:szCs w:val="22"/>
        </w:rPr>
      </w:pPr>
      <w:r>
        <w:rPr>
          <w:rFonts w:cs="Arial"/>
          <w:bCs/>
          <w:i/>
          <w:iCs/>
          <w:szCs w:val="22"/>
        </w:rPr>
        <w:t>Companies Act, 61 of 1973 – section 424</w:t>
      </w:r>
    </w:p>
    <w:p w14:paraId="22C5B000" w14:textId="024740BC" w:rsidR="00BA5CC4" w:rsidRPr="003B1BE0" w:rsidRDefault="00BA5CC4" w:rsidP="00653BA4">
      <w:pPr>
        <w:keepNext/>
        <w:spacing w:after="480" w:line="480" w:lineRule="auto"/>
        <w:jc w:val="both"/>
        <w:rPr>
          <w:rFonts w:cs="Arial"/>
          <w:bCs/>
          <w:i/>
          <w:iCs/>
          <w:szCs w:val="22"/>
        </w:rPr>
      </w:pPr>
      <w:r>
        <w:rPr>
          <w:rFonts w:cs="Arial"/>
          <w:bCs/>
          <w:i/>
          <w:iCs/>
          <w:szCs w:val="22"/>
        </w:rPr>
        <w:t>Apportionment of Damages Act, 58 of 1971 – does not apply to contractual claims – director not a joint wrongdoer with defendants in a contractual claim</w:t>
      </w:r>
    </w:p>
    <w:p w14:paraId="4590904D" w14:textId="77777777" w:rsidR="00E84882" w:rsidRDefault="00E84882" w:rsidP="00653BA4">
      <w:pPr>
        <w:keepNext/>
        <w:spacing w:after="480" w:line="480" w:lineRule="auto"/>
        <w:jc w:val="both"/>
        <w:rPr>
          <w:rFonts w:cs="Arial"/>
          <w:bCs/>
          <w:szCs w:val="22"/>
          <w:u w:val="single"/>
        </w:rPr>
      </w:pPr>
    </w:p>
    <w:p w14:paraId="18AFD427" w14:textId="272B5CB7" w:rsidR="00BE6AB8" w:rsidRPr="003B1BE0" w:rsidRDefault="00BE6AB8" w:rsidP="00653BA4">
      <w:pPr>
        <w:keepNext/>
        <w:spacing w:after="480" w:line="480" w:lineRule="auto"/>
        <w:jc w:val="both"/>
        <w:rPr>
          <w:rFonts w:cs="Arial"/>
          <w:bCs/>
          <w:szCs w:val="22"/>
          <w:u w:val="single"/>
        </w:rPr>
      </w:pPr>
      <w:r w:rsidRPr="003B1BE0">
        <w:rPr>
          <w:rFonts w:cs="Arial"/>
          <w:bCs/>
          <w:szCs w:val="22"/>
          <w:u w:val="single"/>
        </w:rPr>
        <w:t>Order</w:t>
      </w:r>
    </w:p>
    <w:p w14:paraId="25A66E53" w14:textId="20C9AE95" w:rsidR="00DC6EF8" w:rsidRPr="003B1BE0" w:rsidRDefault="003E3D72" w:rsidP="003E3D72">
      <w:pPr>
        <w:tabs>
          <w:tab w:val="left" w:pos="567"/>
        </w:tabs>
        <w:spacing w:after="480" w:line="480" w:lineRule="auto"/>
        <w:jc w:val="both"/>
        <w:rPr>
          <w:rFonts w:cs="Arial"/>
          <w:bCs/>
          <w:szCs w:val="22"/>
        </w:rPr>
      </w:pPr>
      <w:r w:rsidRPr="003B1BE0">
        <w:rPr>
          <w:rFonts w:cs="Arial"/>
          <w:bCs/>
          <w:szCs w:val="22"/>
        </w:rPr>
        <w:t>[1]</w:t>
      </w:r>
      <w:r w:rsidRPr="003B1BE0">
        <w:rPr>
          <w:rFonts w:cs="Arial"/>
          <w:bCs/>
          <w:szCs w:val="22"/>
        </w:rPr>
        <w:tab/>
      </w:r>
      <w:r w:rsidR="003B4100" w:rsidRPr="003B1BE0">
        <w:rPr>
          <w:rFonts w:cs="Arial"/>
          <w:bCs/>
          <w:szCs w:val="22"/>
        </w:rPr>
        <w:t xml:space="preserve">In this </w:t>
      </w:r>
      <w:r w:rsidR="00B56906" w:rsidRPr="003B1BE0">
        <w:rPr>
          <w:rFonts w:cs="Arial"/>
          <w:bCs/>
          <w:szCs w:val="22"/>
        </w:rPr>
        <w:t xml:space="preserve">matter </w:t>
      </w:r>
      <w:r w:rsidR="00C460A0" w:rsidRPr="003B1BE0">
        <w:rPr>
          <w:rFonts w:cs="Arial"/>
          <w:bCs/>
          <w:szCs w:val="22"/>
        </w:rPr>
        <w:t>I ma</w:t>
      </w:r>
      <w:r w:rsidR="00DF5291" w:rsidRPr="003B1BE0">
        <w:rPr>
          <w:rFonts w:cs="Arial"/>
          <w:bCs/>
          <w:szCs w:val="22"/>
        </w:rPr>
        <w:t>k</w:t>
      </w:r>
      <w:r w:rsidR="00DC6EF8" w:rsidRPr="003B1BE0">
        <w:rPr>
          <w:rFonts w:cs="Arial"/>
          <w:bCs/>
          <w:szCs w:val="22"/>
        </w:rPr>
        <w:t>e</w:t>
      </w:r>
      <w:r w:rsidR="00C460A0" w:rsidRPr="003B1BE0">
        <w:rPr>
          <w:rFonts w:cs="Arial"/>
          <w:bCs/>
          <w:szCs w:val="22"/>
        </w:rPr>
        <w:t xml:space="preserve"> the following order:</w:t>
      </w:r>
    </w:p>
    <w:p w14:paraId="462131C5" w14:textId="66E9575E" w:rsidR="000B32C7" w:rsidRPr="003E3D72" w:rsidRDefault="003E3D72" w:rsidP="003E3D72">
      <w:pPr>
        <w:spacing w:before="120" w:after="120"/>
        <w:ind w:left="360" w:hanging="360"/>
        <w:rPr>
          <w:rFonts w:cs="Arial"/>
          <w:i/>
          <w:iCs/>
          <w:szCs w:val="22"/>
        </w:rPr>
      </w:pPr>
      <w:r w:rsidRPr="003B1BE0">
        <w:rPr>
          <w:rFonts w:cs="Arial"/>
          <w:i/>
          <w:iCs/>
          <w:szCs w:val="22"/>
        </w:rPr>
        <w:t>1.</w:t>
      </w:r>
      <w:r w:rsidRPr="003B1BE0">
        <w:rPr>
          <w:rFonts w:cs="Arial"/>
          <w:i/>
          <w:iCs/>
          <w:szCs w:val="22"/>
        </w:rPr>
        <w:tab/>
      </w:r>
      <w:r w:rsidR="00177531" w:rsidRPr="003E3D72">
        <w:rPr>
          <w:rFonts w:cs="Arial"/>
          <w:i/>
          <w:iCs/>
          <w:szCs w:val="22"/>
        </w:rPr>
        <w:t>The application is dismissed;</w:t>
      </w:r>
    </w:p>
    <w:p w14:paraId="35250C93" w14:textId="7FEF937E" w:rsidR="004B2E2C" w:rsidRPr="003E3D72" w:rsidRDefault="003E3D72" w:rsidP="003E3D72">
      <w:pPr>
        <w:spacing w:before="120" w:after="120"/>
        <w:ind w:left="360" w:hanging="360"/>
        <w:rPr>
          <w:rFonts w:cs="Arial"/>
          <w:i/>
          <w:iCs/>
          <w:szCs w:val="22"/>
        </w:rPr>
      </w:pPr>
      <w:r w:rsidRPr="003B1BE0">
        <w:rPr>
          <w:rFonts w:cs="Arial"/>
          <w:i/>
          <w:iCs/>
          <w:szCs w:val="22"/>
        </w:rPr>
        <w:t>2.</w:t>
      </w:r>
      <w:r w:rsidRPr="003B1BE0">
        <w:rPr>
          <w:rFonts w:cs="Arial"/>
          <w:i/>
          <w:iCs/>
          <w:szCs w:val="22"/>
        </w:rPr>
        <w:tab/>
      </w:r>
      <w:r w:rsidR="00177531" w:rsidRPr="003E3D72">
        <w:rPr>
          <w:rFonts w:cs="Arial"/>
          <w:i/>
          <w:iCs/>
          <w:szCs w:val="22"/>
        </w:rPr>
        <w:t>The applicant is ordered to pay the costs of the application.</w:t>
      </w:r>
    </w:p>
    <w:p w14:paraId="3B893A85" w14:textId="77777777" w:rsidR="00DF5291" w:rsidRPr="003B1BE0" w:rsidRDefault="00DF5291" w:rsidP="00466300">
      <w:pPr>
        <w:spacing w:before="120" w:after="120"/>
        <w:rPr>
          <w:rFonts w:cs="Arial"/>
          <w:i/>
          <w:iCs/>
          <w:szCs w:val="22"/>
        </w:rPr>
      </w:pPr>
    </w:p>
    <w:p w14:paraId="5493FAA1" w14:textId="77777777" w:rsidR="00B16F69" w:rsidRPr="003B1BE0" w:rsidRDefault="00B16F69" w:rsidP="00B16F69">
      <w:pPr>
        <w:spacing w:before="120" w:after="120"/>
        <w:rPr>
          <w:rFonts w:cs="Arial"/>
          <w:i/>
          <w:iCs/>
          <w:szCs w:val="22"/>
        </w:rPr>
      </w:pPr>
    </w:p>
    <w:p w14:paraId="08540072" w14:textId="12A8AA4F" w:rsidR="00C9310B" w:rsidRPr="003E3D72" w:rsidRDefault="003E3D72" w:rsidP="003E3D72">
      <w:pPr>
        <w:widowControl w:val="0"/>
        <w:tabs>
          <w:tab w:val="left" w:pos="567"/>
        </w:tabs>
        <w:spacing w:before="480" w:after="480" w:line="360" w:lineRule="auto"/>
        <w:jc w:val="both"/>
        <w:rPr>
          <w:rFonts w:cs="Arial"/>
          <w:bCs/>
          <w:szCs w:val="22"/>
          <w:u w:val="single"/>
        </w:rPr>
      </w:pPr>
      <w:r w:rsidRPr="003B1BE0">
        <w:rPr>
          <w:rFonts w:cs="Arial"/>
          <w:bCs/>
          <w:szCs w:val="22"/>
        </w:rPr>
        <w:t>[2]</w:t>
      </w:r>
      <w:r w:rsidRPr="003B1BE0">
        <w:rPr>
          <w:rFonts w:cs="Arial"/>
          <w:bCs/>
          <w:szCs w:val="22"/>
        </w:rPr>
        <w:tab/>
      </w:r>
      <w:r w:rsidR="00573FF9" w:rsidRPr="003E3D72">
        <w:rPr>
          <w:rFonts w:cs="Arial"/>
          <w:bCs/>
          <w:szCs w:val="22"/>
        </w:rPr>
        <w:t xml:space="preserve">The reasons for the order </w:t>
      </w:r>
      <w:r w:rsidR="00A63709" w:rsidRPr="003E3D72">
        <w:rPr>
          <w:rFonts w:cs="Arial"/>
          <w:bCs/>
          <w:szCs w:val="22"/>
        </w:rPr>
        <w:t>follow</w:t>
      </w:r>
      <w:r w:rsidR="00573FF9" w:rsidRPr="003E3D72">
        <w:rPr>
          <w:rFonts w:cs="Arial"/>
          <w:bCs/>
          <w:szCs w:val="22"/>
        </w:rPr>
        <w:t xml:space="preserve"> below.</w:t>
      </w:r>
    </w:p>
    <w:p w14:paraId="4D9C7018" w14:textId="77777777" w:rsidR="00856204" w:rsidRPr="003B1BE0" w:rsidRDefault="00856204" w:rsidP="00A3283B">
      <w:pPr>
        <w:widowControl w:val="0"/>
        <w:spacing w:before="480" w:after="480" w:line="360" w:lineRule="auto"/>
        <w:jc w:val="both"/>
        <w:rPr>
          <w:rFonts w:cs="Arial"/>
          <w:bCs/>
          <w:szCs w:val="22"/>
          <w:u w:val="single"/>
        </w:rPr>
      </w:pPr>
    </w:p>
    <w:p w14:paraId="50138F75" w14:textId="14DF22F5" w:rsidR="00EC38E3" w:rsidRPr="003B1BE0" w:rsidRDefault="00466300" w:rsidP="00E84882">
      <w:pPr>
        <w:keepNext/>
        <w:widowControl w:val="0"/>
        <w:spacing w:before="480" w:after="480" w:line="360" w:lineRule="auto"/>
        <w:jc w:val="both"/>
        <w:rPr>
          <w:rFonts w:cs="Arial"/>
          <w:bCs/>
          <w:szCs w:val="22"/>
          <w:u w:val="single"/>
        </w:rPr>
      </w:pPr>
      <w:r w:rsidRPr="003B1BE0">
        <w:rPr>
          <w:rFonts w:cs="Arial"/>
          <w:bCs/>
          <w:szCs w:val="22"/>
          <w:u w:val="single"/>
        </w:rPr>
        <w:t>Introduction</w:t>
      </w:r>
      <w:r w:rsidR="004A796C">
        <w:rPr>
          <w:rFonts w:cs="Arial"/>
          <w:bCs/>
          <w:szCs w:val="22"/>
          <w:u w:val="single"/>
        </w:rPr>
        <w:t>: Service</w:t>
      </w:r>
    </w:p>
    <w:p w14:paraId="730C7CD3" w14:textId="36F422BE" w:rsidR="005D73A7" w:rsidRPr="005D73A7" w:rsidRDefault="003E3D72" w:rsidP="003E3D72">
      <w:pPr>
        <w:keepNext/>
        <w:widowControl w:val="0"/>
        <w:tabs>
          <w:tab w:val="left" w:pos="567"/>
        </w:tabs>
        <w:autoSpaceDE w:val="0"/>
        <w:autoSpaceDN w:val="0"/>
        <w:adjustRightInd w:val="0"/>
        <w:spacing w:before="480" w:after="480" w:line="360" w:lineRule="auto"/>
        <w:jc w:val="both"/>
        <w:rPr>
          <w:rFonts w:cs="Arial"/>
          <w:bCs/>
          <w:szCs w:val="22"/>
        </w:rPr>
      </w:pPr>
      <w:r w:rsidRPr="005D73A7">
        <w:rPr>
          <w:rFonts w:cs="Arial"/>
          <w:bCs/>
          <w:szCs w:val="22"/>
        </w:rPr>
        <w:t>[3]</w:t>
      </w:r>
      <w:r w:rsidRPr="005D73A7">
        <w:rPr>
          <w:rFonts w:cs="Arial"/>
          <w:bCs/>
          <w:szCs w:val="22"/>
        </w:rPr>
        <w:tab/>
      </w:r>
      <w:r w:rsidR="005D73A7">
        <w:rPr>
          <w:rFonts w:cs="Arial"/>
          <w:szCs w:val="22"/>
          <w:lang w:val="en-GB" w:eastAsia="en-ZA"/>
        </w:rPr>
        <w:t>The first respondent is a company in liquidation represented by its liquidators</w:t>
      </w:r>
      <w:r w:rsidR="00E84882">
        <w:rPr>
          <w:rStyle w:val="FootnoteReference"/>
          <w:rFonts w:cs="Arial"/>
          <w:szCs w:val="22"/>
          <w:lang w:val="en-GB" w:eastAsia="en-ZA"/>
        </w:rPr>
        <w:footnoteReference w:id="1"/>
      </w:r>
      <w:r w:rsidR="005D73A7">
        <w:rPr>
          <w:rFonts w:cs="Arial"/>
          <w:szCs w:val="22"/>
          <w:lang w:val="en-GB" w:eastAsia="en-ZA"/>
        </w:rPr>
        <w:t xml:space="preserve"> and service </w:t>
      </w:r>
      <w:r w:rsidR="00177531">
        <w:rPr>
          <w:rFonts w:cs="Arial"/>
          <w:szCs w:val="22"/>
          <w:lang w:val="en-GB" w:eastAsia="en-ZA"/>
        </w:rPr>
        <w:t xml:space="preserve">of the application on the first respondent </w:t>
      </w:r>
      <w:r w:rsidR="005D73A7">
        <w:rPr>
          <w:rFonts w:cs="Arial"/>
          <w:szCs w:val="22"/>
          <w:lang w:val="en-GB" w:eastAsia="en-ZA"/>
        </w:rPr>
        <w:t xml:space="preserve">took place by email. </w:t>
      </w:r>
      <w:r w:rsidR="00EA5DA5">
        <w:rPr>
          <w:rFonts w:cs="Arial"/>
          <w:szCs w:val="22"/>
          <w:lang w:val="en-GB" w:eastAsia="en-ZA"/>
        </w:rPr>
        <w:t>I could not find any</w:t>
      </w:r>
      <w:r w:rsidR="008A0477">
        <w:rPr>
          <w:rFonts w:cs="Arial"/>
          <w:szCs w:val="22"/>
          <w:lang w:val="en-GB" w:eastAsia="en-ZA"/>
        </w:rPr>
        <w:t xml:space="preserve"> indication</w:t>
      </w:r>
      <w:r w:rsidR="00EA5DA5">
        <w:rPr>
          <w:rFonts w:cs="Arial"/>
          <w:szCs w:val="22"/>
          <w:lang w:val="en-GB" w:eastAsia="en-ZA"/>
        </w:rPr>
        <w:t xml:space="preserve"> on the electronic Caselines court file that this was an email address provided by the liquidators in terms of rule 4A. </w:t>
      </w:r>
    </w:p>
    <w:p w14:paraId="23E2A528" w14:textId="19ED12BA" w:rsidR="00EA5DA5" w:rsidRPr="00EA5DA5" w:rsidRDefault="003E3D72" w:rsidP="003E3D72">
      <w:pPr>
        <w:widowControl w:val="0"/>
        <w:tabs>
          <w:tab w:val="left" w:pos="567"/>
        </w:tabs>
        <w:autoSpaceDE w:val="0"/>
        <w:autoSpaceDN w:val="0"/>
        <w:adjustRightInd w:val="0"/>
        <w:spacing w:before="480" w:after="480" w:line="360" w:lineRule="auto"/>
        <w:jc w:val="both"/>
        <w:rPr>
          <w:rFonts w:cs="Arial"/>
          <w:bCs/>
          <w:szCs w:val="22"/>
        </w:rPr>
      </w:pPr>
      <w:r w:rsidRPr="00EA5DA5">
        <w:rPr>
          <w:rFonts w:cs="Arial"/>
          <w:bCs/>
          <w:szCs w:val="22"/>
        </w:rPr>
        <w:t>[4]</w:t>
      </w:r>
      <w:r w:rsidRPr="00EA5DA5">
        <w:rPr>
          <w:rFonts w:cs="Arial"/>
          <w:bCs/>
          <w:szCs w:val="22"/>
        </w:rPr>
        <w:tab/>
      </w:r>
      <w:r w:rsidR="005D73A7">
        <w:rPr>
          <w:rFonts w:cs="Arial"/>
          <w:bCs/>
          <w:szCs w:val="22"/>
        </w:rPr>
        <w:t xml:space="preserve">It is alleged in the compliance affidavit in the joinder application that all the parties are legally represented and that service took place on the legal representatives. There is however no indication on the Caselines record that the first defendant’s liquidators are </w:t>
      </w:r>
      <w:r w:rsidR="008A0477">
        <w:rPr>
          <w:rFonts w:cs="Arial"/>
          <w:bCs/>
          <w:szCs w:val="22"/>
        </w:rPr>
        <w:t xml:space="preserve">indeed </w:t>
      </w:r>
      <w:r w:rsidR="005D73A7">
        <w:rPr>
          <w:rFonts w:cs="Arial"/>
          <w:bCs/>
          <w:szCs w:val="22"/>
        </w:rPr>
        <w:t>legally represented</w:t>
      </w:r>
      <w:r w:rsidR="008A0477">
        <w:rPr>
          <w:rFonts w:cs="Arial"/>
          <w:bCs/>
          <w:szCs w:val="22"/>
        </w:rPr>
        <w:t>.</w:t>
      </w:r>
      <w:r w:rsidR="00EA5DA5" w:rsidRPr="00EA5DA5">
        <w:rPr>
          <w:rFonts w:cs="Arial"/>
          <w:szCs w:val="22"/>
          <w:lang w:val="en-GB" w:eastAsia="en-ZA"/>
        </w:rPr>
        <w:t xml:space="preserve"> </w:t>
      </w:r>
    </w:p>
    <w:p w14:paraId="47471F62" w14:textId="2BA2A6FD" w:rsidR="004A796C" w:rsidRDefault="003E3D72" w:rsidP="003E3D72">
      <w:pPr>
        <w:widowControl w:val="0"/>
        <w:tabs>
          <w:tab w:val="left" w:pos="567"/>
        </w:tabs>
        <w:autoSpaceDE w:val="0"/>
        <w:autoSpaceDN w:val="0"/>
        <w:adjustRightInd w:val="0"/>
        <w:spacing w:before="480" w:after="480" w:line="360" w:lineRule="auto"/>
        <w:jc w:val="both"/>
        <w:rPr>
          <w:rFonts w:cs="Arial"/>
          <w:bCs/>
          <w:szCs w:val="22"/>
        </w:rPr>
      </w:pPr>
      <w:r>
        <w:rPr>
          <w:rFonts w:cs="Arial"/>
          <w:bCs/>
          <w:szCs w:val="22"/>
        </w:rPr>
        <w:t>[5]</w:t>
      </w:r>
      <w:r>
        <w:rPr>
          <w:rFonts w:cs="Arial"/>
          <w:bCs/>
          <w:szCs w:val="22"/>
        </w:rPr>
        <w:tab/>
      </w:r>
      <w:r w:rsidR="004A796C">
        <w:rPr>
          <w:rFonts w:cs="Arial"/>
          <w:szCs w:val="22"/>
          <w:lang w:val="en-GB" w:eastAsia="en-ZA"/>
        </w:rPr>
        <w:t>The application was not served in terms of rule 4 on the third respondent. Service took place by email and the third respondent opposed the application.</w:t>
      </w:r>
    </w:p>
    <w:p w14:paraId="4A40F098" w14:textId="13D9F542" w:rsidR="00A42670" w:rsidRDefault="003E3D72" w:rsidP="003E3D72">
      <w:pPr>
        <w:widowControl w:val="0"/>
        <w:tabs>
          <w:tab w:val="left" w:pos="567"/>
        </w:tabs>
        <w:autoSpaceDE w:val="0"/>
        <w:autoSpaceDN w:val="0"/>
        <w:adjustRightInd w:val="0"/>
        <w:spacing w:before="480" w:after="480" w:line="360" w:lineRule="auto"/>
        <w:jc w:val="both"/>
        <w:rPr>
          <w:rFonts w:cs="Arial"/>
          <w:bCs/>
          <w:szCs w:val="22"/>
        </w:rPr>
      </w:pPr>
      <w:r>
        <w:rPr>
          <w:rFonts w:cs="Arial"/>
          <w:bCs/>
          <w:szCs w:val="22"/>
        </w:rPr>
        <w:t>[6]</w:t>
      </w:r>
      <w:r>
        <w:rPr>
          <w:rFonts w:cs="Arial"/>
          <w:bCs/>
          <w:szCs w:val="22"/>
        </w:rPr>
        <w:tab/>
      </w:r>
      <w:r w:rsidR="005D73A7">
        <w:rPr>
          <w:rFonts w:cs="Arial"/>
          <w:bCs/>
          <w:szCs w:val="22"/>
        </w:rPr>
        <w:t xml:space="preserve">No application was made for condonation </w:t>
      </w:r>
      <w:r w:rsidR="0011253D">
        <w:rPr>
          <w:rFonts w:cs="Arial"/>
          <w:bCs/>
          <w:szCs w:val="22"/>
        </w:rPr>
        <w:t xml:space="preserve">in terms of rule 27 </w:t>
      </w:r>
      <w:r w:rsidR="008A0477">
        <w:rPr>
          <w:rFonts w:cs="Arial"/>
          <w:bCs/>
          <w:szCs w:val="22"/>
        </w:rPr>
        <w:t xml:space="preserve">in respect of service </w:t>
      </w:r>
      <w:r w:rsidR="004A796C">
        <w:rPr>
          <w:rFonts w:cs="Arial"/>
          <w:bCs/>
          <w:szCs w:val="22"/>
        </w:rPr>
        <w:t>other than in terms of rule 4</w:t>
      </w:r>
      <w:r w:rsidR="008A0477">
        <w:rPr>
          <w:rFonts w:cs="Arial"/>
          <w:bCs/>
          <w:szCs w:val="22"/>
        </w:rPr>
        <w:t xml:space="preserve"> </w:t>
      </w:r>
      <w:r w:rsidR="0011253D">
        <w:rPr>
          <w:rFonts w:cs="Arial"/>
          <w:bCs/>
          <w:szCs w:val="22"/>
        </w:rPr>
        <w:t>and no such order is made. Good cause must be shown in an application for condonation and no such grounds can be derived from the founding affidavit.</w:t>
      </w:r>
      <w:r w:rsidR="00FF7226">
        <w:rPr>
          <w:rFonts w:cs="Arial"/>
          <w:bCs/>
          <w:szCs w:val="22"/>
        </w:rPr>
        <w:t xml:space="preserve"> </w:t>
      </w:r>
    </w:p>
    <w:p w14:paraId="315E2C3B" w14:textId="41C3E94D" w:rsidR="005D73A7" w:rsidRPr="005D73A7" w:rsidRDefault="003E3D72" w:rsidP="003E3D72">
      <w:pPr>
        <w:widowControl w:val="0"/>
        <w:tabs>
          <w:tab w:val="left" w:pos="567"/>
        </w:tabs>
        <w:autoSpaceDE w:val="0"/>
        <w:autoSpaceDN w:val="0"/>
        <w:adjustRightInd w:val="0"/>
        <w:spacing w:before="480" w:after="480" w:line="360" w:lineRule="auto"/>
        <w:jc w:val="both"/>
        <w:rPr>
          <w:rFonts w:cs="Arial"/>
          <w:bCs/>
          <w:szCs w:val="22"/>
        </w:rPr>
      </w:pPr>
      <w:r w:rsidRPr="005D73A7">
        <w:rPr>
          <w:rFonts w:cs="Arial"/>
          <w:bCs/>
          <w:szCs w:val="22"/>
        </w:rPr>
        <w:t>[7]</w:t>
      </w:r>
      <w:r w:rsidRPr="005D73A7">
        <w:rPr>
          <w:rFonts w:cs="Arial"/>
          <w:bCs/>
          <w:szCs w:val="22"/>
        </w:rPr>
        <w:tab/>
      </w:r>
      <w:r w:rsidR="00FF7226">
        <w:rPr>
          <w:rFonts w:cs="Arial"/>
          <w:bCs/>
          <w:szCs w:val="22"/>
        </w:rPr>
        <w:t xml:space="preserve">The application was therefore not properly served on the first </w:t>
      </w:r>
      <w:r w:rsidR="004A796C">
        <w:rPr>
          <w:rFonts w:cs="Arial"/>
          <w:bCs/>
          <w:szCs w:val="22"/>
        </w:rPr>
        <w:t xml:space="preserve">and third </w:t>
      </w:r>
      <w:r w:rsidR="00FF7226">
        <w:rPr>
          <w:rFonts w:cs="Arial"/>
          <w:bCs/>
          <w:szCs w:val="22"/>
        </w:rPr>
        <w:t>respondent</w:t>
      </w:r>
      <w:r w:rsidR="004A796C">
        <w:rPr>
          <w:rFonts w:cs="Arial"/>
          <w:bCs/>
          <w:szCs w:val="22"/>
        </w:rPr>
        <w:t>s</w:t>
      </w:r>
      <w:r w:rsidR="00FF7226">
        <w:rPr>
          <w:rFonts w:cs="Arial"/>
          <w:bCs/>
          <w:szCs w:val="22"/>
        </w:rPr>
        <w:t xml:space="preserve"> but this is of no moment because of the conclusion reached by me on the merits.</w:t>
      </w:r>
    </w:p>
    <w:p w14:paraId="22A52C79" w14:textId="77777777" w:rsidR="00177531" w:rsidRDefault="00177531" w:rsidP="00177531">
      <w:pPr>
        <w:widowControl w:val="0"/>
        <w:autoSpaceDE w:val="0"/>
        <w:autoSpaceDN w:val="0"/>
        <w:adjustRightInd w:val="0"/>
        <w:spacing w:before="480" w:after="480" w:line="360" w:lineRule="auto"/>
        <w:jc w:val="both"/>
        <w:rPr>
          <w:rFonts w:cs="Arial"/>
          <w:bCs/>
          <w:szCs w:val="22"/>
          <w:u w:val="single"/>
        </w:rPr>
      </w:pPr>
    </w:p>
    <w:p w14:paraId="2CE55F25" w14:textId="02B9880E" w:rsidR="00177531" w:rsidRPr="00177531" w:rsidRDefault="00177531" w:rsidP="00177531">
      <w:pPr>
        <w:widowControl w:val="0"/>
        <w:autoSpaceDE w:val="0"/>
        <w:autoSpaceDN w:val="0"/>
        <w:adjustRightInd w:val="0"/>
        <w:spacing w:before="480" w:after="480" w:line="360" w:lineRule="auto"/>
        <w:jc w:val="both"/>
        <w:rPr>
          <w:rFonts w:cs="Arial"/>
          <w:bCs/>
          <w:szCs w:val="22"/>
          <w:u w:val="single"/>
        </w:rPr>
      </w:pPr>
      <w:r w:rsidRPr="00177531">
        <w:rPr>
          <w:rFonts w:cs="Arial"/>
          <w:bCs/>
          <w:szCs w:val="22"/>
          <w:u w:val="single"/>
        </w:rPr>
        <w:t>Joinder</w:t>
      </w:r>
    </w:p>
    <w:p w14:paraId="29AC54CD" w14:textId="0D599C0A" w:rsidR="00590448" w:rsidRPr="003B1BE0" w:rsidRDefault="003E3D72" w:rsidP="003E3D72">
      <w:pPr>
        <w:widowControl w:val="0"/>
        <w:tabs>
          <w:tab w:val="left" w:pos="567"/>
        </w:tabs>
        <w:autoSpaceDE w:val="0"/>
        <w:autoSpaceDN w:val="0"/>
        <w:adjustRightInd w:val="0"/>
        <w:spacing w:before="480" w:after="480" w:line="360" w:lineRule="auto"/>
        <w:jc w:val="both"/>
        <w:rPr>
          <w:rFonts w:cs="Arial"/>
          <w:bCs/>
          <w:szCs w:val="22"/>
        </w:rPr>
      </w:pPr>
      <w:r w:rsidRPr="003B1BE0">
        <w:rPr>
          <w:rFonts w:cs="Arial"/>
          <w:bCs/>
          <w:szCs w:val="22"/>
        </w:rPr>
        <w:t>[8]</w:t>
      </w:r>
      <w:r w:rsidRPr="003B1BE0">
        <w:rPr>
          <w:rFonts w:cs="Arial"/>
          <w:bCs/>
          <w:szCs w:val="22"/>
        </w:rPr>
        <w:tab/>
      </w:r>
      <w:r w:rsidR="00942A7D" w:rsidRPr="003B1BE0">
        <w:rPr>
          <w:rFonts w:cs="Arial"/>
          <w:bCs/>
          <w:szCs w:val="22"/>
        </w:rPr>
        <w:t>Joinder of a party is intended to avoid a multiplicity of actions.</w:t>
      </w:r>
      <w:r w:rsidR="00942A7D" w:rsidRPr="003B1BE0">
        <w:rPr>
          <w:rStyle w:val="FootnoteReference"/>
          <w:rFonts w:cs="Arial"/>
          <w:bCs/>
          <w:szCs w:val="22"/>
        </w:rPr>
        <w:footnoteReference w:id="2"/>
      </w:r>
      <w:r w:rsidR="00014506" w:rsidRPr="003B1BE0">
        <w:rPr>
          <w:rFonts w:cs="Arial"/>
          <w:bCs/>
          <w:szCs w:val="22"/>
        </w:rPr>
        <w:t xml:space="preserve"> The party sought to </w:t>
      </w:r>
      <w:r w:rsidR="00014506" w:rsidRPr="003B1BE0">
        <w:rPr>
          <w:rFonts w:cs="Arial"/>
          <w:bCs/>
          <w:szCs w:val="22"/>
        </w:rPr>
        <w:lastRenderedPageBreak/>
        <w:t>be joined must have a direct and substantial interest</w:t>
      </w:r>
      <w:r w:rsidR="00A451FC" w:rsidRPr="003B1BE0">
        <w:rPr>
          <w:rFonts w:cs="Arial"/>
          <w:bCs/>
          <w:szCs w:val="22"/>
        </w:rPr>
        <w:t xml:space="preserve">, </w:t>
      </w:r>
      <w:r w:rsidR="005E5DC1" w:rsidRPr="003B1BE0">
        <w:rPr>
          <w:rFonts w:cs="Arial"/>
          <w:bCs/>
          <w:szCs w:val="22"/>
        </w:rPr>
        <w:t>i.e.</w:t>
      </w:r>
      <w:r w:rsidR="000F376A" w:rsidRPr="003B1BE0">
        <w:rPr>
          <w:rFonts w:cs="Arial"/>
          <w:bCs/>
          <w:szCs w:val="22"/>
        </w:rPr>
        <w:t xml:space="preserve"> </w:t>
      </w:r>
      <w:r w:rsidR="00A451FC" w:rsidRPr="003B1BE0">
        <w:rPr>
          <w:rFonts w:cs="Arial"/>
          <w:bCs/>
          <w:szCs w:val="22"/>
        </w:rPr>
        <w:t>a legal interest,</w:t>
      </w:r>
      <w:r w:rsidR="00A451FC" w:rsidRPr="003B1BE0">
        <w:rPr>
          <w:rStyle w:val="FootnoteReference"/>
          <w:rFonts w:cs="Arial"/>
          <w:bCs/>
          <w:szCs w:val="22"/>
        </w:rPr>
        <w:footnoteReference w:id="3"/>
      </w:r>
      <w:r w:rsidR="00014506" w:rsidRPr="003B1BE0">
        <w:rPr>
          <w:rFonts w:cs="Arial"/>
          <w:bCs/>
          <w:szCs w:val="22"/>
        </w:rPr>
        <w:t xml:space="preserve"> in</w:t>
      </w:r>
      <w:r w:rsidR="00500786" w:rsidRPr="003B1BE0">
        <w:rPr>
          <w:rFonts w:cs="Arial"/>
          <w:bCs/>
          <w:szCs w:val="22"/>
        </w:rPr>
        <w:t xml:space="preserve"> the</w:t>
      </w:r>
      <w:r w:rsidR="00014506" w:rsidRPr="003B1BE0">
        <w:rPr>
          <w:rFonts w:cs="Arial"/>
          <w:bCs/>
          <w:szCs w:val="22"/>
        </w:rPr>
        <w:t xml:space="preserve"> </w:t>
      </w:r>
      <w:r w:rsidR="00A451FC" w:rsidRPr="003B1BE0">
        <w:rPr>
          <w:rFonts w:cs="Arial"/>
          <w:bCs/>
          <w:szCs w:val="22"/>
        </w:rPr>
        <w:t>litigation</w:t>
      </w:r>
      <w:r w:rsidR="00A42670">
        <w:rPr>
          <w:rFonts w:cs="Arial"/>
          <w:bCs/>
          <w:szCs w:val="22"/>
        </w:rPr>
        <w:t xml:space="preserve"> to justify joinder of necessity. Such an interest is not</w:t>
      </w:r>
      <w:r w:rsidR="00A42670">
        <w:rPr>
          <w:rStyle w:val="FootnoteReference"/>
          <w:rFonts w:cs="Arial"/>
          <w:bCs/>
          <w:szCs w:val="22"/>
        </w:rPr>
        <w:footnoteReference w:id="4"/>
      </w:r>
      <w:r w:rsidR="00A42670">
        <w:rPr>
          <w:rFonts w:cs="Arial"/>
          <w:bCs/>
          <w:szCs w:val="22"/>
        </w:rPr>
        <w:t xml:space="preserve"> required for an application for joinder of convenience as relied upon by Midco</w:t>
      </w:r>
      <w:r w:rsidR="00FF79F2">
        <w:rPr>
          <w:rFonts w:cs="Arial"/>
          <w:bCs/>
          <w:szCs w:val="22"/>
        </w:rPr>
        <w:t xml:space="preserve"> – the test is whether </w:t>
      </w:r>
      <w:r w:rsidR="00FF79F2">
        <w:t>substantially the same question of law or fact is to be determined.</w:t>
      </w:r>
      <w:r w:rsidR="00FF79F2">
        <w:rPr>
          <w:rStyle w:val="FootnoteReference"/>
        </w:rPr>
        <w:footnoteReference w:id="5"/>
      </w:r>
    </w:p>
    <w:p w14:paraId="14FBF27C" w14:textId="32309890" w:rsidR="003B1BE0" w:rsidRPr="003B1BE0" w:rsidRDefault="003E3D72" w:rsidP="003E3D72">
      <w:pPr>
        <w:widowControl w:val="0"/>
        <w:tabs>
          <w:tab w:val="left" w:pos="567"/>
        </w:tabs>
        <w:spacing w:before="480" w:after="480" w:line="360" w:lineRule="auto"/>
        <w:jc w:val="both"/>
        <w:rPr>
          <w:rFonts w:cs="Arial"/>
          <w:bCs/>
          <w:szCs w:val="22"/>
        </w:rPr>
      </w:pPr>
      <w:r w:rsidRPr="003B1BE0">
        <w:rPr>
          <w:rFonts w:cs="Arial"/>
          <w:bCs/>
          <w:szCs w:val="22"/>
        </w:rPr>
        <w:t>[9]</w:t>
      </w:r>
      <w:r w:rsidRPr="003B1BE0">
        <w:rPr>
          <w:rFonts w:cs="Arial"/>
          <w:bCs/>
          <w:szCs w:val="22"/>
        </w:rPr>
        <w:tab/>
      </w:r>
      <w:r w:rsidR="00590448" w:rsidRPr="003B1BE0">
        <w:rPr>
          <w:rFonts w:cs="Arial"/>
          <w:bCs/>
          <w:szCs w:val="22"/>
          <w:lang w:val="en-GB"/>
        </w:rPr>
        <w:t>The applicant</w:t>
      </w:r>
      <w:r w:rsidR="008F6CD6" w:rsidRPr="003B1BE0">
        <w:rPr>
          <w:rFonts w:cs="Arial"/>
          <w:bCs/>
          <w:szCs w:val="22"/>
          <w:lang w:val="en-GB"/>
        </w:rPr>
        <w:t xml:space="preserve"> (“Midco”)</w:t>
      </w:r>
      <w:r w:rsidR="00590448" w:rsidRPr="003B1BE0">
        <w:rPr>
          <w:rFonts w:cs="Arial"/>
          <w:bCs/>
          <w:szCs w:val="22"/>
          <w:lang w:val="en-GB"/>
        </w:rPr>
        <w:t xml:space="preserve"> seeks an order that the third respondent </w:t>
      </w:r>
      <w:r w:rsidR="008F6CD6" w:rsidRPr="003B1BE0">
        <w:rPr>
          <w:rFonts w:cs="Arial"/>
          <w:bCs/>
          <w:szCs w:val="22"/>
          <w:lang w:val="en-GB"/>
        </w:rPr>
        <w:t xml:space="preserve">(“Le Roux”) </w:t>
      </w:r>
      <w:r w:rsidR="00590448" w:rsidRPr="003B1BE0">
        <w:rPr>
          <w:rFonts w:cs="Arial"/>
          <w:bCs/>
          <w:szCs w:val="22"/>
          <w:lang w:val="en-GB"/>
        </w:rPr>
        <w:t>be joined as the third defendant in the action between</w:t>
      </w:r>
      <w:r w:rsidR="008F6CD6" w:rsidRPr="003B1BE0">
        <w:rPr>
          <w:rFonts w:cs="Arial"/>
          <w:bCs/>
          <w:szCs w:val="22"/>
          <w:lang w:val="en-GB"/>
        </w:rPr>
        <w:t xml:space="preserve"> Midco </w:t>
      </w:r>
      <w:r w:rsidR="00590448" w:rsidRPr="003B1BE0">
        <w:rPr>
          <w:rFonts w:cs="Arial"/>
          <w:bCs/>
          <w:szCs w:val="22"/>
          <w:lang w:val="en-GB"/>
        </w:rPr>
        <w:t xml:space="preserve">as plaintiff and the first and second respondents </w:t>
      </w:r>
      <w:r w:rsidR="008F6CD6" w:rsidRPr="003B1BE0">
        <w:rPr>
          <w:rFonts w:cs="Arial"/>
          <w:bCs/>
          <w:szCs w:val="22"/>
          <w:lang w:val="en-GB"/>
        </w:rPr>
        <w:t xml:space="preserve">(“Rondebult” and “Aurum”) </w:t>
      </w:r>
      <w:r w:rsidR="00590448" w:rsidRPr="003B1BE0">
        <w:rPr>
          <w:rFonts w:cs="Arial"/>
          <w:bCs/>
          <w:szCs w:val="22"/>
          <w:lang w:val="en-GB"/>
        </w:rPr>
        <w:t xml:space="preserve">as first and </w:t>
      </w:r>
      <w:r w:rsidR="008F6CD6" w:rsidRPr="003B1BE0">
        <w:rPr>
          <w:rFonts w:cs="Arial"/>
          <w:bCs/>
          <w:szCs w:val="22"/>
          <w:lang w:val="en-GB"/>
        </w:rPr>
        <w:t>second</w:t>
      </w:r>
      <w:r w:rsidR="00590448" w:rsidRPr="003B1BE0">
        <w:rPr>
          <w:rFonts w:cs="Arial"/>
          <w:bCs/>
          <w:szCs w:val="22"/>
          <w:lang w:val="en-GB"/>
        </w:rPr>
        <w:t xml:space="preserve"> defendants.</w:t>
      </w:r>
      <w:r w:rsidR="00590448" w:rsidRPr="003B1BE0">
        <w:rPr>
          <w:rFonts w:cs="Arial"/>
          <w:color w:val="000000"/>
          <w:szCs w:val="22"/>
          <w:lang w:eastAsia="en-ZA"/>
        </w:rPr>
        <w:t xml:space="preserve"> </w:t>
      </w:r>
    </w:p>
    <w:p w14:paraId="0D0DCDB7" w14:textId="0A31C3C8" w:rsidR="00590448" w:rsidRPr="003B1BE0" w:rsidRDefault="003E3D72" w:rsidP="003E3D72">
      <w:pPr>
        <w:widowControl w:val="0"/>
        <w:tabs>
          <w:tab w:val="left" w:pos="567"/>
        </w:tabs>
        <w:spacing w:before="480" w:after="480" w:line="360" w:lineRule="auto"/>
        <w:jc w:val="both"/>
        <w:rPr>
          <w:rFonts w:cs="Arial"/>
          <w:bCs/>
          <w:szCs w:val="22"/>
        </w:rPr>
      </w:pPr>
      <w:r w:rsidRPr="003B1BE0">
        <w:rPr>
          <w:rFonts w:cs="Arial"/>
          <w:bCs/>
          <w:szCs w:val="22"/>
        </w:rPr>
        <w:t>[10]</w:t>
      </w:r>
      <w:r w:rsidRPr="003B1BE0">
        <w:rPr>
          <w:rFonts w:cs="Arial"/>
          <w:bCs/>
          <w:szCs w:val="22"/>
        </w:rPr>
        <w:tab/>
      </w:r>
      <w:r w:rsidR="008F6CD6" w:rsidRPr="003B1BE0">
        <w:rPr>
          <w:rFonts w:cs="Arial"/>
          <w:color w:val="000000"/>
          <w:szCs w:val="22"/>
          <w:lang w:eastAsia="en-ZA"/>
        </w:rPr>
        <w:t>Midco now states that</w:t>
      </w:r>
      <w:r w:rsidR="00FF7226">
        <w:rPr>
          <w:rFonts w:cs="Arial"/>
          <w:color w:val="000000"/>
          <w:szCs w:val="22"/>
          <w:lang w:eastAsia="en-ZA"/>
        </w:rPr>
        <w:t xml:space="preserve"> when the agreement that gave rise to the action was instituted</w:t>
      </w:r>
      <w:r w:rsidR="008F6CD6" w:rsidRPr="003B1BE0">
        <w:rPr>
          <w:rFonts w:cs="Arial"/>
          <w:color w:val="000000"/>
          <w:szCs w:val="22"/>
          <w:lang w:eastAsia="en-ZA"/>
        </w:rPr>
        <w:t xml:space="preserve"> -</w:t>
      </w:r>
    </w:p>
    <w:p w14:paraId="45A04E1D" w14:textId="69EED36C" w:rsidR="008F6CD6"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10.1</w:t>
      </w:r>
      <w:r w:rsidRPr="003B1BE0">
        <w:rPr>
          <w:rFonts w:cs="Arial"/>
          <w:szCs w:val="22"/>
          <w:lang w:eastAsia="en-ZA"/>
        </w:rPr>
        <w:tab/>
      </w:r>
      <w:r w:rsidR="008F6CD6" w:rsidRPr="003B1BE0">
        <w:rPr>
          <w:rFonts w:cs="Arial"/>
          <w:color w:val="000000"/>
          <w:szCs w:val="22"/>
          <w:lang w:eastAsia="en-ZA"/>
        </w:rPr>
        <w:t>Rondebult was represented by Le Roux</w:t>
      </w:r>
      <w:r w:rsidR="00590448" w:rsidRPr="003B1BE0">
        <w:rPr>
          <w:rFonts w:cs="Arial"/>
          <w:color w:val="000000"/>
          <w:szCs w:val="22"/>
          <w:lang w:eastAsia="en-ZA"/>
        </w:rPr>
        <w:t xml:space="preserve">, </w:t>
      </w:r>
      <w:r w:rsidR="00973E0B" w:rsidRPr="003B1BE0">
        <w:rPr>
          <w:rFonts w:cs="Arial"/>
          <w:color w:val="000000"/>
          <w:szCs w:val="22"/>
          <w:lang w:eastAsia="en-ZA"/>
        </w:rPr>
        <w:t xml:space="preserve">a director of Rondebult, </w:t>
      </w:r>
      <w:r w:rsidR="008F6CD6" w:rsidRPr="003B1BE0">
        <w:rPr>
          <w:rFonts w:cs="Arial"/>
          <w:color w:val="000000"/>
          <w:szCs w:val="22"/>
          <w:lang w:eastAsia="en-ZA"/>
        </w:rPr>
        <w:t xml:space="preserve">and they </w:t>
      </w:r>
      <w:r w:rsidR="00590448" w:rsidRPr="003B1BE0">
        <w:rPr>
          <w:rFonts w:cs="Arial"/>
          <w:color w:val="000000"/>
          <w:szCs w:val="22"/>
          <w:lang w:eastAsia="en-ZA"/>
        </w:rPr>
        <w:t xml:space="preserve">convinced </w:t>
      </w:r>
      <w:r w:rsidR="008F6CD6" w:rsidRPr="003B1BE0">
        <w:rPr>
          <w:rFonts w:cs="Arial"/>
          <w:color w:val="000000"/>
          <w:szCs w:val="22"/>
          <w:lang w:eastAsia="en-ZA"/>
        </w:rPr>
        <w:t>Midco</w:t>
      </w:r>
      <w:r w:rsidR="00590448" w:rsidRPr="003B1BE0">
        <w:rPr>
          <w:rFonts w:cs="Arial"/>
          <w:color w:val="000000"/>
          <w:szCs w:val="22"/>
          <w:lang w:eastAsia="en-ZA"/>
        </w:rPr>
        <w:t xml:space="preserve"> that </w:t>
      </w:r>
      <w:r w:rsidR="008F6CD6" w:rsidRPr="003B1BE0">
        <w:rPr>
          <w:rFonts w:cs="Arial"/>
          <w:color w:val="000000"/>
          <w:szCs w:val="22"/>
          <w:lang w:eastAsia="en-ZA"/>
        </w:rPr>
        <w:t xml:space="preserve">Rondebult </w:t>
      </w:r>
      <w:r w:rsidR="00590448" w:rsidRPr="003B1BE0">
        <w:rPr>
          <w:rFonts w:cs="Arial"/>
          <w:color w:val="000000"/>
          <w:szCs w:val="22"/>
          <w:lang w:eastAsia="en-ZA"/>
        </w:rPr>
        <w:t xml:space="preserve">was </w:t>
      </w:r>
      <w:r w:rsidR="008F6CD6" w:rsidRPr="003B1BE0">
        <w:rPr>
          <w:rFonts w:cs="Arial"/>
          <w:color w:val="000000"/>
          <w:szCs w:val="22"/>
          <w:lang w:eastAsia="en-ZA"/>
        </w:rPr>
        <w:t xml:space="preserve">Aurum’s </w:t>
      </w:r>
      <w:r w:rsidR="00590448" w:rsidRPr="003B1BE0">
        <w:rPr>
          <w:rFonts w:cs="Arial"/>
          <w:color w:val="000000"/>
          <w:szCs w:val="22"/>
          <w:lang w:eastAsia="en-ZA"/>
        </w:rPr>
        <w:t>agent</w:t>
      </w:r>
      <w:r w:rsidR="003B1BE0">
        <w:rPr>
          <w:rFonts w:cs="Arial"/>
          <w:color w:val="000000"/>
          <w:szCs w:val="22"/>
          <w:lang w:eastAsia="en-ZA"/>
        </w:rPr>
        <w:t>;</w:t>
      </w:r>
    </w:p>
    <w:p w14:paraId="615A23ED" w14:textId="56A097DD" w:rsidR="008F6CD6"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10.2</w:t>
      </w:r>
      <w:r w:rsidRPr="003B1BE0">
        <w:rPr>
          <w:rFonts w:cs="Arial"/>
          <w:szCs w:val="22"/>
          <w:lang w:eastAsia="en-ZA"/>
        </w:rPr>
        <w:tab/>
      </w:r>
      <w:r w:rsidR="008F6CD6" w:rsidRPr="003B1BE0">
        <w:rPr>
          <w:rFonts w:cs="Arial"/>
          <w:color w:val="000000"/>
          <w:szCs w:val="22"/>
          <w:lang w:eastAsia="en-ZA"/>
        </w:rPr>
        <w:t>Rondebult</w:t>
      </w:r>
      <w:r w:rsidR="00590448" w:rsidRPr="003B1BE0">
        <w:rPr>
          <w:rFonts w:cs="Arial"/>
          <w:color w:val="000000"/>
          <w:szCs w:val="22"/>
          <w:lang w:eastAsia="en-ZA"/>
        </w:rPr>
        <w:t xml:space="preserve"> induced </w:t>
      </w:r>
      <w:r w:rsidR="008F6CD6" w:rsidRPr="003B1BE0">
        <w:rPr>
          <w:rFonts w:cs="Arial"/>
          <w:color w:val="000000"/>
          <w:szCs w:val="22"/>
          <w:lang w:eastAsia="en-ZA"/>
        </w:rPr>
        <w:t>Midco</w:t>
      </w:r>
      <w:r w:rsidR="00590448" w:rsidRPr="003B1BE0">
        <w:rPr>
          <w:rFonts w:cs="Arial"/>
          <w:color w:val="000000"/>
          <w:szCs w:val="22"/>
          <w:lang w:eastAsia="en-ZA"/>
        </w:rPr>
        <w:t xml:space="preserve"> to conclude an agreement with</w:t>
      </w:r>
      <w:r w:rsidR="008F6CD6" w:rsidRPr="003B1BE0">
        <w:rPr>
          <w:rFonts w:cs="Arial"/>
          <w:color w:val="000000"/>
          <w:szCs w:val="22"/>
          <w:lang w:eastAsia="en-ZA"/>
        </w:rPr>
        <w:t xml:space="preserve"> Rondebult and Aurum in terms of which Rondebult would manufacture equipment</w:t>
      </w:r>
      <w:r w:rsidR="00565327" w:rsidRPr="003B1BE0">
        <w:rPr>
          <w:rFonts w:cs="Arial"/>
          <w:color w:val="000000"/>
          <w:szCs w:val="22"/>
          <w:lang w:eastAsia="en-ZA"/>
        </w:rPr>
        <w:t xml:space="preserve"> (namely eight tanks and two stands)</w:t>
      </w:r>
      <w:r w:rsidR="008F6CD6" w:rsidRPr="003B1BE0">
        <w:rPr>
          <w:rFonts w:cs="Arial"/>
          <w:color w:val="000000"/>
          <w:szCs w:val="22"/>
          <w:lang w:eastAsia="en-ZA"/>
        </w:rPr>
        <w:t xml:space="preserve"> for the benefit of both Rondebult and Aurum</w:t>
      </w:r>
      <w:r w:rsidR="003B1BE0">
        <w:rPr>
          <w:rFonts w:cs="Arial"/>
          <w:color w:val="000000"/>
          <w:szCs w:val="22"/>
          <w:lang w:eastAsia="en-ZA"/>
        </w:rPr>
        <w:t>;</w:t>
      </w:r>
    </w:p>
    <w:p w14:paraId="7ABFBA1E" w14:textId="0A39633B" w:rsidR="006B02DB"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10.3</w:t>
      </w:r>
      <w:r w:rsidRPr="003B1BE0">
        <w:rPr>
          <w:rFonts w:cs="Arial"/>
          <w:szCs w:val="22"/>
          <w:lang w:eastAsia="en-ZA"/>
        </w:rPr>
        <w:tab/>
      </w:r>
      <w:r w:rsidR="008F6CD6" w:rsidRPr="003B1BE0">
        <w:rPr>
          <w:rFonts w:cs="Arial"/>
          <w:color w:val="000000"/>
          <w:szCs w:val="22"/>
          <w:lang w:eastAsia="en-ZA"/>
        </w:rPr>
        <w:t>Midco</w:t>
      </w:r>
      <w:r w:rsidR="00590448" w:rsidRPr="003B1BE0">
        <w:rPr>
          <w:rFonts w:cs="Arial"/>
          <w:color w:val="000000"/>
          <w:szCs w:val="22"/>
          <w:lang w:eastAsia="en-ZA"/>
        </w:rPr>
        <w:t xml:space="preserve"> manufactured the equipment, and </w:t>
      </w:r>
      <w:r w:rsidR="006B02DB" w:rsidRPr="003B1BE0">
        <w:rPr>
          <w:rFonts w:cs="Arial"/>
          <w:color w:val="000000"/>
          <w:szCs w:val="22"/>
          <w:lang w:eastAsia="en-ZA"/>
        </w:rPr>
        <w:t>Rondebult</w:t>
      </w:r>
      <w:r w:rsidR="00590448" w:rsidRPr="003B1BE0">
        <w:rPr>
          <w:rFonts w:cs="Arial"/>
          <w:color w:val="000000"/>
          <w:szCs w:val="22"/>
          <w:lang w:eastAsia="en-ZA"/>
        </w:rPr>
        <w:t xml:space="preserve"> arranged</w:t>
      </w:r>
      <w:r w:rsidR="006B02DB" w:rsidRPr="003B1BE0">
        <w:rPr>
          <w:rFonts w:cs="Arial"/>
          <w:color w:val="000000"/>
          <w:szCs w:val="22"/>
          <w:lang w:eastAsia="en-ZA"/>
        </w:rPr>
        <w:t xml:space="preserve"> for delivery to Aurum’s premises</w:t>
      </w:r>
      <w:r w:rsidR="003B1BE0">
        <w:rPr>
          <w:rFonts w:cs="Arial"/>
          <w:color w:val="000000"/>
          <w:szCs w:val="22"/>
          <w:lang w:eastAsia="en-ZA"/>
        </w:rPr>
        <w:t>;</w:t>
      </w:r>
    </w:p>
    <w:p w14:paraId="7DABD17D" w14:textId="69194A04" w:rsidR="006B02DB"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10.4</w:t>
      </w:r>
      <w:r w:rsidRPr="003B1BE0">
        <w:rPr>
          <w:rFonts w:cs="Arial"/>
          <w:szCs w:val="22"/>
          <w:lang w:eastAsia="en-ZA"/>
        </w:rPr>
        <w:tab/>
      </w:r>
      <w:r w:rsidR="006B02DB" w:rsidRPr="003B1BE0">
        <w:rPr>
          <w:rFonts w:cs="Arial"/>
          <w:color w:val="000000"/>
          <w:szCs w:val="22"/>
          <w:lang w:eastAsia="en-ZA"/>
        </w:rPr>
        <w:t xml:space="preserve">Rondebult and Aurum </w:t>
      </w:r>
      <w:r w:rsidR="00590448" w:rsidRPr="003B1BE0">
        <w:rPr>
          <w:rFonts w:cs="Arial"/>
          <w:color w:val="000000"/>
          <w:szCs w:val="22"/>
          <w:lang w:eastAsia="en-ZA"/>
        </w:rPr>
        <w:t xml:space="preserve">failed to pay the </w:t>
      </w:r>
      <w:r w:rsidR="006B02DB" w:rsidRPr="003B1BE0">
        <w:rPr>
          <w:rFonts w:cs="Arial"/>
          <w:color w:val="000000"/>
          <w:szCs w:val="22"/>
          <w:lang w:eastAsia="en-ZA"/>
        </w:rPr>
        <w:t xml:space="preserve">debt and Midco </w:t>
      </w:r>
      <w:r w:rsidR="00590448" w:rsidRPr="003B1BE0">
        <w:rPr>
          <w:rFonts w:cs="Arial"/>
          <w:color w:val="000000"/>
          <w:szCs w:val="22"/>
          <w:lang w:eastAsia="en-ZA"/>
        </w:rPr>
        <w:t>applicant in full, and the</w:t>
      </w:r>
      <w:r w:rsidR="006B02DB" w:rsidRPr="003B1BE0">
        <w:rPr>
          <w:rFonts w:cs="Arial"/>
          <w:color w:val="000000"/>
          <w:szCs w:val="22"/>
          <w:lang w:eastAsia="en-ZA"/>
        </w:rPr>
        <w:t xml:space="preserve"> Midco sued for payment of the outstanding balance or return of the equipment</w:t>
      </w:r>
      <w:r w:rsidR="003B1BE0">
        <w:rPr>
          <w:rFonts w:cs="Arial"/>
          <w:color w:val="000000"/>
          <w:szCs w:val="22"/>
          <w:lang w:eastAsia="en-ZA"/>
        </w:rPr>
        <w:t>;</w:t>
      </w:r>
    </w:p>
    <w:p w14:paraId="44CEDE7D" w14:textId="229FD774" w:rsidR="006B02DB" w:rsidRPr="003B1BE0" w:rsidRDefault="003E3D72" w:rsidP="003E3D72">
      <w:pPr>
        <w:widowControl w:val="0"/>
        <w:tabs>
          <w:tab w:val="left" w:pos="567"/>
        </w:tabs>
        <w:autoSpaceDE w:val="0"/>
        <w:autoSpaceDN w:val="0"/>
        <w:adjustRightInd w:val="0"/>
        <w:spacing w:before="480" w:after="480" w:line="360" w:lineRule="auto"/>
        <w:jc w:val="both"/>
        <w:rPr>
          <w:rFonts w:cs="Arial"/>
          <w:color w:val="000000"/>
          <w:szCs w:val="22"/>
          <w:lang w:eastAsia="en-ZA"/>
        </w:rPr>
      </w:pPr>
      <w:r w:rsidRPr="003B1BE0">
        <w:rPr>
          <w:rFonts w:cs="Arial"/>
          <w:szCs w:val="22"/>
          <w:lang w:eastAsia="en-ZA"/>
        </w:rPr>
        <w:t>[11]</w:t>
      </w:r>
      <w:r w:rsidRPr="003B1BE0">
        <w:rPr>
          <w:rFonts w:cs="Arial"/>
          <w:szCs w:val="22"/>
          <w:lang w:eastAsia="en-ZA"/>
        </w:rPr>
        <w:tab/>
      </w:r>
      <w:r w:rsidR="006B02DB" w:rsidRPr="003B1BE0">
        <w:rPr>
          <w:rFonts w:cs="Arial"/>
          <w:color w:val="000000"/>
          <w:szCs w:val="22"/>
          <w:lang w:eastAsia="en-ZA"/>
        </w:rPr>
        <w:t xml:space="preserve">In its plea Rondebult raised the defence that a third party, </w:t>
      </w:r>
      <w:r w:rsidR="00590448" w:rsidRPr="003B1BE0">
        <w:rPr>
          <w:rFonts w:cs="Arial"/>
          <w:color w:val="000000"/>
          <w:szCs w:val="22"/>
          <w:lang w:eastAsia="en-ZA"/>
        </w:rPr>
        <w:t xml:space="preserve">African Dynamics (Pty) </w:t>
      </w:r>
      <w:r w:rsidR="00590448" w:rsidRPr="003B1BE0">
        <w:rPr>
          <w:rFonts w:cs="Arial"/>
          <w:color w:val="000000"/>
          <w:szCs w:val="22"/>
          <w:lang w:eastAsia="en-ZA"/>
        </w:rPr>
        <w:lastRenderedPageBreak/>
        <w:t>Ltd</w:t>
      </w:r>
      <w:r w:rsidR="006B02DB" w:rsidRPr="003B1BE0">
        <w:rPr>
          <w:rFonts w:cs="Arial"/>
          <w:color w:val="000000"/>
          <w:szCs w:val="22"/>
          <w:lang w:eastAsia="en-ZA"/>
        </w:rPr>
        <w:t xml:space="preserve"> (“Dynamics”) was involved in a joint venture with Aurum</w:t>
      </w:r>
      <w:r w:rsidR="003B1BE0">
        <w:rPr>
          <w:rFonts w:cs="Arial"/>
          <w:color w:val="000000"/>
          <w:szCs w:val="22"/>
          <w:lang w:eastAsia="en-ZA"/>
        </w:rPr>
        <w:t>;</w:t>
      </w:r>
    </w:p>
    <w:p w14:paraId="639AD788" w14:textId="281E0483" w:rsidR="00590448"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11.1</w:t>
      </w:r>
      <w:r w:rsidRPr="003B1BE0">
        <w:rPr>
          <w:rFonts w:cs="Arial"/>
          <w:szCs w:val="22"/>
          <w:lang w:eastAsia="en-ZA"/>
        </w:rPr>
        <w:tab/>
      </w:r>
      <w:r w:rsidR="00590448" w:rsidRPr="003B1BE0">
        <w:rPr>
          <w:rFonts w:cs="Arial"/>
          <w:color w:val="000000"/>
          <w:szCs w:val="22"/>
          <w:lang w:eastAsia="en-ZA"/>
        </w:rPr>
        <w:t>African Dynamics required the equipment for the joint venture</w:t>
      </w:r>
      <w:r w:rsidR="003B1BE0">
        <w:rPr>
          <w:rFonts w:cs="Arial"/>
          <w:color w:val="000000"/>
          <w:szCs w:val="22"/>
          <w:lang w:eastAsia="en-ZA"/>
        </w:rPr>
        <w:t>;</w:t>
      </w:r>
    </w:p>
    <w:p w14:paraId="372EF80A" w14:textId="79B4CCB4" w:rsidR="006B02DB"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11.2</w:t>
      </w:r>
      <w:r w:rsidRPr="003B1BE0">
        <w:rPr>
          <w:rFonts w:cs="Arial"/>
          <w:szCs w:val="22"/>
          <w:lang w:eastAsia="en-ZA"/>
        </w:rPr>
        <w:tab/>
      </w:r>
      <w:r w:rsidR="006B02DB" w:rsidRPr="003B1BE0">
        <w:rPr>
          <w:rFonts w:cs="Arial"/>
          <w:color w:val="000000"/>
          <w:szCs w:val="22"/>
          <w:lang w:eastAsia="en-ZA"/>
        </w:rPr>
        <w:t>Rondebult introduced Midco to African Dynamics and concluded an agreement between Midco and African Dynamics as an agent of the latter firm in terms of which the equipment was supplied</w:t>
      </w:r>
      <w:r w:rsidR="003B1BE0">
        <w:rPr>
          <w:rFonts w:cs="Arial"/>
          <w:color w:val="000000"/>
          <w:szCs w:val="22"/>
          <w:lang w:eastAsia="en-ZA"/>
        </w:rPr>
        <w:t>;</w:t>
      </w:r>
    </w:p>
    <w:p w14:paraId="1A7860B4" w14:textId="2A041560" w:rsidR="006B02DB"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11.3</w:t>
      </w:r>
      <w:r w:rsidRPr="003B1BE0">
        <w:rPr>
          <w:rFonts w:cs="Arial"/>
          <w:szCs w:val="22"/>
          <w:lang w:eastAsia="en-ZA"/>
        </w:rPr>
        <w:tab/>
      </w:r>
      <w:r w:rsidR="006B02DB" w:rsidRPr="003B1BE0">
        <w:rPr>
          <w:rFonts w:cs="Arial"/>
          <w:color w:val="000000"/>
          <w:szCs w:val="22"/>
          <w:lang w:eastAsia="en-ZA"/>
        </w:rPr>
        <w:t>Midco circumvented Rondebult and provided engineering services to Dynamics, Aurum, and the joint venture</w:t>
      </w:r>
      <w:r w:rsidR="003B1BE0">
        <w:rPr>
          <w:rFonts w:cs="Arial"/>
          <w:color w:val="000000"/>
          <w:szCs w:val="22"/>
          <w:lang w:eastAsia="en-ZA"/>
        </w:rPr>
        <w:t>;</w:t>
      </w:r>
    </w:p>
    <w:p w14:paraId="73A35F28" w14:textId="4A1530F5" w:rsidR="006B02DB"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11.4</w:t>
      </w:r>
      <w:r w:rsidRPr="003B1BE0">
        <w:rPr>
          <w:rFonts w:cs="Arial"/>
          <w:szCs w:val="22"/>
          <w:lang w:eastAsia="en-ZA"/>
        </w:rPr>
        <w:tab/>
      </w:r>
      <w:r w:rsidR="006B02DB" w:rsidRPr="003B1BE0">
        <w:rPr>
          <w:rFonts w:cs="Arial"/>
          <w:color w:val="000000"/>
          <w:szCs w:val="22"/>
          <w:lang w:eastAsia="en-ZA"/>
        </w:rPr>
        <w:t>As a result Rondebult suffered damages</w:t>
      </w:r>
      <w:r w:rsidR="003B1BE0">
        <w:rPr>
          <w:rFonts w:cs="Arial"/>
          <w:color w:val="000000"/>
          <w:szCs w:val="22"/>
          <w:lang w:eastAsia="en-ZA"/>
        </w:rPr>
        <w:t>;</w:t>
      </w:r>
    </w:p>
    <w:p w14:paraId="6967DAC8" w14:textId="7A23CA4F" w:rsidR="00565327"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11.5</w:t>
      </w:r>
      <w:r w:rsidRPr="003B1BE0">
        <w:rPr>
          <w:rFonts w:cs="Arial"/>
          <w:szCs w:val="22"/>
          <w:lang w:eastAsia="en-ZA"/>
        </w:rPr>
        <w:tab/>
      </w:r>
      <w:r w:rsidR="00590448" w:rsidRPr="003B1BE0">
        <w:rPr>
          <w:rFonts w:cs="Arial"/>
          <w:color w:val="000000"/>
          <w:szCs w:val="22"/>
          <w:lang w:eastAsia="en-ZA"/>
        </w:rPr>
        <w:t xml:space="preserve">The equipment delivered by </w:t>
      </w:r>
      <w:r w:rsidR="00565327" w:rsidRPr="003B1BE0">
        <w:rPr>
          <w:rFonts w:cs="Arial"/>
          <w:color w:val="000000"/>
          <w:szCs w:val="22"/>
          <w:lang w:eastAsia="en-ZA"/>
        </w:rPr>
        <w:t xml:space="preserve">Midco </w:t>
      </w:r>
      <w:r w:rsidR="00590448" w:rsidRPr="003B1BE0">
        <w:rPr>
          <w:rFonts w:cs="Arial"/>
          <w:color w:val="000000"/>
          <w:szCs w:val="22"/>
          <w:lang w:eastAsia="en-ZA"/>
        </w:rPr>
        <w:t>was defective and of poor quality</w:t>
      </w:r>
      <w:r w:rsidR="003B1BE0">
        <w:rPr>
          <w:rFonts w:cs="Arial"/>
          <w:color w:val="000000"/>
          <w:szCs w:val="22"/>
          <w:lang w:eastAsia="en-ZA"/>
        </w:rPr>
        <w:t>;</w:t>
      </w:r>
    </w:p>
    <w:p w14:paraId="7AED83AE" w14:textId="4D636B9A" w:rsidR="00565327" w:rsidRPr="003B1BE0" w:rsidRDefault="003E3D72" w:rsidP="003E3D72">
      <w:pPr>
        <w:widowControl w:val="0"/>
        <w:tabs>
          <w:tab w:val="left" w:pos="1418"/>
        </w:tabs>
        <w:autoSpaceDE w:val="0"/>
        <w:autoSpaceDN w:val="0"/>
        <w:adjustRightInd w:val="0"/>
        <w:spacing w:before="480" w:after="480" w:line="360" w:lineRule="auto"/>
        <w:ind w:left="1418" w:hanging="851"/>
        <w:jc w:val="both"/>
        <w:rPr>
          <w:rFonts w:cs="Arial"/>
          <w:color w:val="000000"/>
          <w:szCs w:val="22"/>
          <w:lang w:eastAsia="en-ZA"/>
        </w:rPr>
      </w:pPr>
      <w:r w:rsidRPr="003B1BE0">
        <w:rPr>
          <w:rFonts w:cs="Arial"/>
          <w:szCs w:val="22"/>
          <w:lang w:eastAsia="en-ZA"/>
        </w:rPr>
        <w:t>11.6</w:t>
      </w:r>
      <w:r w:rsidRPr="003B1BE0">
        <w:rPr>
          <w:rFonts w:cs="Arial"/>
          <w:szCs w:val="22"/>
          <w:lang w:eastAsia="en-ZA"/>
        </w:rPr>
        <w:tab/>
      </w:r>
      <w:r w:rsidR="00565327" w:rsidRPr="003B1BE0">
        <w:rPr>
          <w:rFonts w:cs="Arial"/>
          <w:color w:val="000000"/>
          <w:szCs w:val="22"/>
          <w:lang w:eastAsia="en-ZA"/>
        </w:rPr>
        <w:t>Rondebult counterclaimed for damages claiming that Midco interfered with the joint venture, delivered defective equipment, and damaged Rondebult’s reputation</w:t>
      </w:r>
      <w:r w:rsidR="003B1BE0">
        <w:rPr>
          <w:rFonts w:cs="Arial"/>
          <w:color w:val="000000"/>
          <w:szCs w:val="22"/>
          <w:lang w:eastAsia="en-ZA"/>
        </w:rPr>
        <w:t>;</w:t>
      </w:r>
    </w:p>
    <w:p w14:paraId="30EE22DE" w14:textId="2E855D92" w:rsidR="00590448" w:rsidRPr="003B1BE0" w:rsidRDefault="003E3D72" w:rsidP="003E3D72">
      <w:pPr>
        <w:widowControl w:val="0"/>
        <w:tabs>
          <w:tab w:val="left" w:pos="567"/>
        </w:tabs>
        <w:autoSpaceDE w:val="0"/>
        <w:autoSpaceDN w:val="0"/>
        <w:adjustRightInd w:val="0"/>
        <w:spacing w:before="480" w:after="480" w:line="360" w:lineRule="auto"/>
        <w:jc w:val="both"/>
        <w:rPr>
          <w:rFonts w:cs="Arial"/>
          <w:color w:val="000000"/>
          <w:szCs w:val="22"/>
          <w:lang w:eastAsia="en-ZA"/>
        </w:rPr>
      </w:pPr>
      <w:r w:rsidRPr="003B1BE0">
        <w:rPr>
          <w:rFonts w:cs="Arial"/>
          <w:szCs w:val="22"/>
          <w:lang w:eastAsia="en-ZA"/>
        </w:rPr>
        <w:t>[12]</w:t>
      </w:r>
      <w:r w:rsidRPr="003B1BE0">
        <w:rPr>
          <w:rFonts w:cs="Arial"/>
          <w:szCs w:val="22"/>
          <w:lang w:eastAsia="en-ZA"/>
        </w:rPr>
        <w:tab/>
      </w:r>
      <w:r w:rsidR="00565327" w:rsidRPr="003B1BE0">
        <w:rPr>
          <w:rFonts w:cs="Arial"/>
          <w:color w:val="000000"/>
          <w:szCs w:val="22"/>
          <w:lang w:eastAsia="en-ZA"/>
        </w:rPr>
        <w:t>Aurum</w:t>
      </w:r>
      <w:r w:rsidR="00590448" w:rsidRPr="003B1BE0">
        <w:rPr>
          <w:rFonts w:cs="Arial"/>
          <w:color w:val="000000"/>
          <w:szCs w:val="22"/>
          <w:lang w:eastAsia="en-ZA"/>
        </w:rPr>
        <w:t xml:space="preserve"> opposed the action </w:t>
      </w:r>
      <w:r w:rsidR="00565327" w:rsidRPr="003B1BE0">
        <w:rPr>
          <w:rFonts w:cs="Arial"/>
          <w:color w:val="000000"/>
          <w:szCs w:val="22"/>
          <w:lang w:eastAsia="en-ZA"/>
        </w:rPr>
        <w:t>on the basis</w:t>
      </w:r>
      <w:r w:rsidR="00590448" w:rsidRPr="003B1BE0">
        <w:rPr>
          <w:rFonts w:cs="Arial"/>
          <w:color w:val="000000"/>
          <w:szCs w:val="22"/>
          <w:lang w:eastAsia="en-ZA"/>
        </w:rPr>
        <w:t xml:space="preserve"> that it only ordered two tanks</w:t>
      </w:r>
      <w:r w:rsidR="00565327" w:rsidRPr="003B1BE0">
        <w:rPr>
          <w:rFonts w:cs="Arial"/>
          <w:color w:val="000000"/>
          <w:szCs w:val="22"/>
          <w:lang w:eastAsia="en-ZA"/>
        </w:rPr>
        <w:t xml:space="preserve"> and stands, and paid for what it ordered.</w:t>
      </w:r>
      <w:r w:rsidR="00FF6EFC">
        <w:rPr>
          <w:rFonts w:cs="Arial"/>
          <w:color w:val="000000"/>
          <w:szCs w:val="22"/>
          <w:lang w:eastAsia="en-ZA"/>
        </w:rPr>
        <w:t xml:space="preserve"> It denie</w:t>
      </w:r>
      <w:r w:rsidR="00BF4ABF">
        <w:rPr>
          <w:rFonts w:cs="Arial"/>
          <w:color w:val="000000"/>
          <w:szCs w:val="22"/>
          <w:lang w:eastAsia="en-ZA"/>
        </w:rPr>
        <w:t>d</w:t>
      </w:r>
      <w:r w:rsidR="00FF6EFC">
        <w:rPr>
          <w:rFonts w:cs="Arial"/>
          <w:color w:val="000000"/>
          <w:szCs w:val="22"/>
          <w:lang w:eastAsia="en-ZA"/>
        </w:rPr>
        <w:t xml:space="preserve"> that Rondebult was its agent</w:t>
      </w:r>
      <w:r w:rsidR="00785B8D">
        <w:rPr>
          <w:rFonts w:cs="Arial"/>
          <w:color w:val="000000"/>
          <w:szCs w:val="22"/>
          <w:lang w:eastAsia="en-ZA"/>
        </w:rPr>
        <w:t xml:space="preserve"> and pled that it contracted directly with Midco.</w:t>
      </w:r>
    </w:p>
    <w:p w14:paraId="3DA35476" w14:textId="0C302844" w:rsidR="00922F12" w:rsidRPr="00922F12" w:rsidRDefault="003E3D72" w:rsidP="003E3D72">
      <w:pPr>
        <w:widowControl w:val="0"/>
        <w:tabs>
          <w:tab w:val="left" w:pos="567"/>
        </w:tabs>
        <w:spacing w:before="480" w:after="480" w:line="360" w:lineRule="auto"/>
        <w:jc w:val="both"/>
        <w:rPr>
          <w:rFonts w:cs="Arial"/>
          <w:bCs/>
          <w:szCs w:val="22"/>
        </w:rPr>
      </w:pPr>
      <w:r w:rsidRPr="00922F12">
        <w:rPr>
          <w:rFonts w:cs="Arial"/>
          <w:bCs/>
          <w:szCs w:val="22"/>
        </w:rPr>
        <w:t>[13]</w:t>
      </w:r>
      <w:r w:rsidRPr="00922F12">
        <w:rPr>
          <w:rFonts w:cs="Arial"/>
          <w:bCs/>
          <w:szCs w:val="22"/>
        </w:rPr>
        <w:tab/>
      </w:r>
      <w:r w:rsidR="00973E0B" w:rsidRPr="000805FA">
        <w:rPr>
          <w:rFonts w:cs="Arial"/>
          <w:bCs/>
          <w:szCs w:val="22"/>
        </w:rPr>
        <w:t xml:space="preserve">Midco </w:t>
      </w:r>
      <w:r w:rsidR="00973E0B" w:rsidRPr="000805FA">
        <w:rPr>
          <w:rFonts w:cs="Arial"/>
          <w:bCs/>
          <w:szCs w:val="22"/>
          <w:lang w:val="en-GB"/>
        </w:rPr>
        <w:t xml:space="preserve">seeks to join Le Roux and </w:t>
      </w:r>
      <w:r w:rsidR="003B0E80" w:rsidRPr="000805FA">
        <w:rPr>
          <w:rFonts w:cs="Arial"/>
          <w:bCs/>
          <w:szCs w:val="22"/>
          <w:lang w:val="en-GB"/>
        </w:rPr>
        <w:t xml:space="preserve">then to </w:t>
      </w:r>
      <w:r w:rsidR="00973E0B" w:rsidRPr="000805FA">
        <w:rPr>
          <w:rFonts w:cs="Arial"/>
          <w:bCs/>
          <w:szCs w:val="22"/>
          <w:lang w:val="en-GB"/>
        </w:rPr>
        <w:t>amend the particulars of claim to hold Le Roux personally liable for Rondebult’s debts</w:t>
      </w:r>
      <w:r w:rsidR="00834BC5" w:rsidRPr="000805FA">
        <w:rPr>
          <w:rFonts w:cs="Arial"/>
          <w:bCs/>
          <w:szCs w:val="22"/>
          <w:lang w:val="en-GB"/>
        </w:rPr>
        <w:t xml:space="preserve"> </w:t>
      </w:r>
      <w:r w:rsidR="003B1BE0" w:rsidRPr="000805FA">
        <w:rPr>
          <w:rFonts w:cs="Arial"/>
          <w:bCs/>
          <w:szCs w:val="22"/>
          <w:lang w:val="en-GB"/>
        </w:rPr>
        <w:t xml:space="preserve">on grounds of reckless or fraudulent conduct. </w:t>
      </w:r>
      <w:r w:rsidR="003B1BE0" w:rsidRPr="000805FA">
        <w:rPr>
          <w:szCs w:val="22"/>
        </w:rPr>
        <w:t>Midco relies</w:t>
      </w:r>
      <w:r w:rsidR="009267A4">
        <w:rPr>
          <w:rStyle w:val="FootnoteReference"/>
          <w:rFonts w:cs="Arial"/>
          <w:szCs w:val="22"/>
        </w:rPr>
        <w:footnoteReference w:id="6"/>
      </w:r>
      <w:r w:rsidR="003B1BE0" w:rsidRPr="000805FA">
        <w:rPr>
          <w:szCs w:val="22"/>
        </w:rPr>
        <w:t xml:space="preserve"> on section 214 of the Companies Act, 71 of 2008 and section 424</w:t>
      </w:r>
      <w:r w:rsidR="009267A4">
        <w:rPr>
          <w:rStyle w:val="FootnoteReference"/>
          <w:rFonts w:cs="Arial"/>
          <w:szCs w:val="22"/>
        </w:rPr>
        <w:footnoteReference w:id="7"/>
      </w:r>
      <w:r w:rsidR="003B1BE0" w:rsidRPr="000805FA">
        <w:rPr>
          <w:szCs w:val="22"/>
        </w:rPr>
        <w:t xml:space="preserve"> of the Companies Act, 61 of 1973</w:t>
      </w:r>
      <w:r w:rsidR="009267A4">
        <w:rPr>
          <w:szCs w:val="22"/>
        </w:rPr>
        <w:t xml:space="preserve">. </w:t>
      </w:r>
    </w:p>
    <w:p w14:paraId="313A1359" w14:textId="344AC686" w:rsidR="003B1BE0" w:rsidRPr="000805FA" w:rsidRDefault="004A796C" w:rsidP="00922F12">
      <w:pPr>
        <w:widowControl w:val="0"/>
        <w:spacing w:before="480" w:after="480" w:line="360" w:lineRule="auto"/>
        <w:jc w:val="both"/>
        <w:rPr>
          <w:rFonts w:cs="Arial"/>
          <w:bCs/>
          <w:szCs w:val="22"/>
        </w:rPr>
      </w:pPr>
      <w:r>
        <w:rPr>
          <w:szCs w:val="22"/>
        </w:rPr>
        <w:lastRenderedPageBreak/>
        <w:t xml:space="preserve">The application does not expressly refer to section 218(2) nor is </w:t>
      </w:r>
      <w:r w:rsidR="00620A99">
        <w:rPr>
          <w:szCs w:val="22"/>
        </w:rPr>
        <w:t>such express reference</w:t>
      </w:r>
      <w:r>
        <w:rPr>
          <w:szCs w:val="22"/>
        </w:rPr>
        <w:t xml:space="preserve"> required, </w:t>
      </w:r>
      <w:r w:rsidR="009267A4">
        <w:rPr>
          <w:szCs w:val="22"/>
        </w:rPr>
        <w:t>but it must be made clear</w:t>
      </w:r>
      <w:r w:rsidR="005872CF">
        <w:rPr>
          <w:szCs w:val="22"/>
        </w:rPr>
        <w:t xml:space="preserve"> on the facts</w:t>
      </w:r>
      <w:r w:rsidR="009267A4">
        <w:rPr>
          <w:szCs w:val="22"/>
        </w:rPr>
        <w:t xml:space="preserve"> that the subsection is applicable.</w:t>
      </w:r>
      <w:r w:rsidR="009267A4" w:rsidRPr="009267A4">
        <w:rPr>
          <w:rStyle w:val="FootnoteReference"/>
          <w:rFonts w:cs="Arial"/>
          <w:bCs/>
          <w:szCs w:val="22"/>
        </w:rPr>
        <w:t xml:space="preserve"> </w:t>
      </w:r>
      <w:r w:rsidR="009267A4">
        <w:rPr>
          <w:rStyle w:val="FootnoteReference"/>
          <w:rFonts w:cs="Arial"/>
          <w:bCs/>
          <w:szCs w:val="22"/>
        </w:rPr>
        <w:footnoteReference w:id="8"/>
      </w:r>
    </w:p>
    <w:p w14:paraId="4C43EFF7" w14:textId="62525913" w:rsidR="00590448" w:rsidRPr="003B1BE0" w:rsidRDefault="003E3D72" w:rsidP="003E3D72">
      <w:pPr>
        <w:widowControl w:val="0"/>
        <w:tabs>
          <w:tab w:val="left" w:pos="567"/>
        </w:tabs>
        <w:spacing w:before="480" w:after="480" w:line="360" w:lineRule="auto"/>
        <w:jc w:val="both"/>
        <w:rPr>
          <w:rFonts w:cs="Arial"/>
          <w:bCs/>
          <w:szCs w:val="22"/>
        </w:rPr>
      </w:pPr>
      <w:r w:rsidRPr="003B1BE0">
        <w:rPr>
          <w:rFonts w:cs="Arial"/>
          <w:bCs/>
          <w:szCs w:val="22"/>
        </w:rPr>
        <w:t>[14]</w:t>
      </w:r>
      <w:r w:rsidRPr="003B1BE0">
        <w:rPr>
          <w:rFonts w:cs="Arial"/>
          <w:bCs/>
          <w:szCs w:val="22"/>
        </w:rPr>
        <w:tab/>
      </w:r>
      <w:r w:rsidR="00834BC5" w:rsidRPr="003B1BE0">
        <w:rPr>
          <w:rFonts w:cs="Arial"/>
          <w:bCs/>
          <w:szCs w:val="22"/>
          <w:lang w:val="en-GB"/>
        </w:rPr>
        <w:t xml:space="preserve">The intention to </w:t>
      </w:r>
      <w:r w:rsidR="0011253D">
        <w:rPr>
          <w:rFonts w:cs="Arial"/>
          <w:bCs/>
          <w:szCs w:val="22"/>
          <w:lang w:val="en-GB"/>
        </w:rPr>
        <w:t xml:space="preserve">join Le Roux and amend the particulars of claim </w:t>
      </w:r>
      <w:r w:rsidR="00834BC5" w:rsidRPr="003B1BE0">
        <w:rPr>
          <w:rFonts w:cs="Arial"/>
          <w:bCs/>
          <w:szCs w:val="22"/>
          <w:lang w:val="en-GB"/>
        </w:rPr>
        <w:t>is based on the following averments</w:t>
      </w:r>
      <w:r w:rsidR="009F5AEE" w:rsidRPr="003B1BE0">
        <w:rPr>
          <w:rFonts w:cs="Arial"/>
          <w:bCs/>
          <w:szCs w:val="22"/>
          <w:lang w:val="en-GB"/>
        </w:rPr>
        <w:t xml:space="preserve"> set out in heads of argument</w:t>
      </w:r>
      <w:r w:rsidR="00834BC5" w:rsidRPr="003B1BE0">
        <w:rPr>
          <w:rFonts w:cs="Arial"/>
          <w:bCs/>
          <w:szCs w:val="22"/>
          <w:lang w:val="en-GB"/>
        </w:rPr>
        <w:t>:</w:t>
      </w:r>
    </w:p>
    <w:p w14:paraId="0A363A1E" w14:textId="120B9B52" w:rsidR="00834BC5" w:rsidRPr="003E3D72" w:rsidRDefault="003E3D72" w:rsidP="003E3D72">
      <w:pPr>
        <w:tabs>
          <w:tab w:val="left" w:pos="1418"/>
        </w:tabs>
        <w:spacing w:line="360" w:lineRule="auto"/>
        <w:ind w:left="1418" w:hanging="851"/>
        <w:jc w:val="both"/>
        <w:rPr>
          <w:rFonts w:cs="Arial"/>
          <w:szCs w:val="22"/>
        </w:rPr>
      </w:pPr>
      <w:r w:rsidRPr="003B1BE0">
        <w:rPr>
          <w:rFonts w:cs="Arial"/>
          <w:szCs w:val="22"/>
        </w:rPr>
        <w:t>14.1</w:t>
      </w:r>
      <w:r w:rsidRPr="003B1BE0">
        <w:rPr>
          <w:rFonts w:cs="Arial"/>
          <w:szCs w:val="22"/>
        </w:rPr>
        <w:tab/>
      </w:r>
      <w:r w:rsidR="00834BC5" w:rsidRPr="003E3D72">
        <w:rPr>
          <w:rFonts w:cs="Arial"/>
          <w:szCs w:val="22"/>
        </w:rPr>
        <w:t>Le Roux</w:t>
      </w:r>
      <w:r w:rsidR="00142ED6" w:rsidRPr="003E3D72">
        <w:rPr>
          <w:rFonts w:cs="Arial"/>
          <w:szCs w:val="22"/>
        </w:rPr>
        <w:t xml:space="preserve"> introduced himself as the owner and only director of </w:t>
      </w:r>
      <w:r w:rsidR="00834BC5" w:rsidRPr="003E3D72">
        <w:rPr>
          <w:rFonts w:cs="Arial"/>
          <w:szCs w:val="22"/>
        </w:rPr>
        <w:t>Rondebult;</w:t>
      </w:r>
    </w:p>
    <w:p w14:paraId="73C54A4C" w14:textId="447D9CD2" w:rsidR="00834BC5" w:rsidRPr="003E3D72" w:rsidRDefault="003E3D72" w:rsidP="003E3D72">
      <w:pPr>
        <w:tabs>
          <w:tab w:val="left" w:pos="1418"/>
        </w:tabs>
        <w:spacing w:line="360" w:lineRule="auto"/>
        <w:ind w:left="1418" w:hanging="851"/>
        <w:jc w:val="both"/>
        <w:rPr>
          <w:rFonts w:cs="Arial"/>
          <w:szCs w:val="22"/>
        </w:rPr>
      </w:pPr>
      <w:r w:rsidRPr="003B1BE0">
        <w:rPr>
          <w:rFonts w:cs="Arial"/>
          <w:szCs w:val="22"/>
        </w:rPr>
        <w:t>14.2</w:t>
      </w:r>
      <w:r w:rsidRPr="003B1BE0">
        <w:rPr>
          <w:rFonts w:cs="Arial"/>
          <w:szCs w:val="22"/>
        </w:rPr>
        <w:tab/>
      </w:r>
      <w:r w:rsidR="00142ED6" w:rsidRPr="003E3D72">
        <w:rPr>
          <w:rFonts w:cs="Arial"/>
          <w:szCs w:val="22"/>
        </w:rPr>
        <w:t xml:space="preserve">He misrepresented his status and induced </w:t>
      </w:r>
      <w:r w:rsidR="00834BC5" w:rsidRPr="003E3D72">
        <w:rPr>
          <w:rFonts w:cs="Arial"/>
          <w:szCs w:val="22"/>
        </w:rPr>
        <w:t xml:space="preserve">Midco </w:t>
      </w:r>
      <w:r w:rsidR="00142ED6" w:rsidRPr="003E3D72">
        <w:rPr>
          <w:rFonts w:cs="Arial"/>
          <w:szCs w:val="22"/>
        </w:rPr>
        <w:t xml:space="preserve">plaintiff to enter into the </w:t>
      </w:r>
      <w:r w:rsidR="00834BC5" w:rsidRPr="003E3D72">
        <w:rPr>
          <w:rFonts w:cs="Arial"/>
          <w:szCs w:val="22"/>
        </w:rPr>
        <w:t>contract;</w:t>
      </w:r>
    </w:p>
    <w:p w14:paraId="2BF66C05" w14:textId="478DF7AD" w:rsidR="00142ED6" w:rsidRPr="003E3D72" w:rsidRDefault="003E3D72" w:rsidP="003E3D72">
      <w:pPr>
        <w:tabs>
          <w:tab w:val="left" w:pos="1418"/>
        </w:tabs>
        <w:spacing w:line="360" w:lineRule="auto"/>
        <w:ind w:left="1418" w:hanging="851"/>
        <w:jc w:val="both"/>
        <w:rPr>
          <w:rFonts w:cs="Arial"/>
          <w:szCs w:val="22"/>
        </w:rPr>
      </w:pPr>
      <w:r w:rsidRPr="003B1BE0">
        <w:rPr>
          <w:rFonts w:cs="Arial"/>
          <w:szCs w:val="22"/>
        </w:rPr>
        <w:t>14.3</w:t>
      </w:r>
      <w:r w:rsidRPr="003B1BE0">
        <w:rPr>
          <w:rFonts w:cs="Arial"/>
          <w:szCs w:val="22"/>
        </w:rPr>
        <w:tab/>
      </w:r>
      <w:r w:rsidR="00142ED6" w:rsidRPr="003E3D72">
        <w:rPr>
          <w:rFonts w:cs="Arial"/>
          <w:szCs w:val="22"/>
        </w:rPr>
        <w:t xml:space="preserve">He represented himself as </w:t>
      </w:r>
      <w:r w:rsidR="00834BC5" w:rsidRPr="003E3D72">
        <w:rPr>
          <w:rFonts w:cs="Arial"/>
          <w:szCs w:val="22"/>
        </w:rPr>
        <w:t>Aur</w:t>
      </w:r>
      <w:r w:rsidR="002D7E6C" w:rsidRPr="003E3D72">
        <w:rPr>
          <w:rFonts w:cs="Arial"/>
          <w:szCs w:val="22"/>
        </w:rPr>
        <w:t>u</w:t>
      </w:r>
      <w:r w:rsidR="00834BC5" w:rsidRPr="003E3D72">
        <w:rPr>
          <w:rFonts w:cs="Arial"/>
          <w:szCs w:val="22"/>
        </w:rPr>
        <w:t>m’s agent, a</w:t>
      </w:r>
      <w:r w:rsidR="0011253D" w:rsidRPr="003E3D72">
        <w:rPr>
          <w:rFonts w:cs="Arial"/>
          <w:szCs w:val="22"/>
        </w:rPr>
        <w:t>n</w:t>
      </w:r>
      <w:r w:rsidR="00834BC5" w:rsidRPr="003E3D72">
        <w:rPr>
          <w:rFonts w:cs="Arial"/>
          <w:szCs w:val="22"/>
        </w:rPr>
        <w:t xml:space="preserve"> allegation denied by Aurum;</w:t>
      </w:r>
    </w:p>
    <w:p w14:paraId="31795B93" w14:textId="75403A4F" w:rsidR="00597FDD" w:rsidRPr="003E3D72" w:rsidRDefault="003E3D72" w:rsidP="003E3D72">
      <w:pPr>
        <w:tabs>
          <w:tab w:val="left" w:pos="1418"/>
        </w:tabs>
        <w:spacing w:line="360" w:lineRule="auto"/>
        <w:ind w:left="1418" w:hanging="851"/>
        <w:jc w:val="both"/>
        <w:rPr>
          <w:rFonts w:cs="Arial"/>
          <w:szCs w:val="22"/>
        </w:rPr>
      </w:pPr>
      <w:r w:rsidRPr="003B1BE0">
        <w:rPr>
          <w:rFonts w:cs="Arial"/>
          <w:szCs w:val="22"/>
        </w:rPr>
        <w:t>14.4</w:t>
      </w:r>
      <w:r w:rsidRPr="003B1BE0">
        <w:rPr>
          <w:rFonts w:cs="Arial"/>
          <w:szCs w:val="22"/>
        </w:rPr>
        <w:tab/>
      </w:r>
      <w:r w:rsidR="00142ED6" w:rsidRPr="003E3D72">
        <w:rPr>
          <w:rFonts w:cs="Arial"/>
          <w:szCs w:val="22"/>
        </w:rPr>
        <w:t>As soon as legal action was instituted, he</w:t>
      </w:r>
      <w:r w:rsidR="00834BC5" w:rsidRPr="003E3D72">
        <w:rPr>
          <w:rFonts w:cs="Arial"/>
          <w:szCs w:val="22"/>
        </w:rPr>
        <w:t xml:space="preserve"> </w:t>
      </w:r>
      <w:r w:rsidR="00142ED6" w:rsidRPr="003E3D72">
        <w:rPr>
          <w:rFonts w:cs="Arial"/>
          <w:szCs w:val="22"/>
        </w:rPr>
        <w:t>alleged the existence of African Holdings (</w:t>
      </w:r>
      <w:r w:rsidR="00597FDD" w:rsidRPr="003E3D72">
        <w:rPr>
          <w:rFonts w:cs="Arial"/>
          <w:szCs w:val="22"/>
        </w:rPr>
        <w:t>Pty</w:t>
      </w:r>
      <w:r w:rsidR="00142ED6" w:rsidRPr="003E3D72">
        <w:rPr>
          <w:rFonts w:cs="Arial"/>
          <w:szCs w:val="22"/>
        </w:rPr>
        <w:t>) Ltd</w:t>
      </w:r>
      <w:r w:rsidR="0011253D" w:rsidRPr="003E3D72">
        <w:rPr>
          <w:rFonts w:cs="Arial"/>
          <w:szCs w:val="22"/>
        </w:rPr>
        <w:t xml:space="preserve"> (</w:t>
      </w:r>
      <w:r w:rsidR="00922F12" w:rsidRPr="003E3D72">
        <w:rPr>
          <w:rFonts w:cs="Arial"/>
          <w:szCs w:val="22"/>
        </w:rPr>
        <w:t xml:space="preserve">but, confusingly, </w:t>
      </w:r>
      <w:r w:rsidR="0011253D" w:rsidRPr="003E3D72">
        <w:rPr>
          <w:rFonts w:cs="Arial"/>
          <w:szCs w:val="22"/>
        </w:rPr>
        <w:t xml:space="preserve">not </w:t>
      </w:r>
      <w:r w:rsidR="009A38DE" w:rsidRPr="003E3D72">
        <w:rPr>
          <w:rFonts w:cs="Arial"/>
          <w:szCs w:val="22"/>
        </w:rPr>
        <w:t>Dynamics</w:t>
      </w:r>
      <w:r w:rsidR="00922F12" w:rsidRPr="003E3D72">
        <w:rPr>
          <w:rFonts w:cs="Arial"/>
          <w:szCs w:val="22"/>
        </w:rPr>
        <w:t xml:space="preserve"> as alleged elsewhere</w:t>
      </w:r>
      <w:r w:rsidR="009A38DE" w:rsidRPr="003E3D72">
        <w:rPr>
          <w:rFonts w:cs="Arial"/>
          <w:szCs w:val="22"/>
        </w:rPr>
        <w:t>)</w:t>
      </w:r>
      <w:r w:rsidR="00142ED6" w:rsidRPr="003E3D72">
        <w:rPr>
          <w:rFonts w:cs="Arial"/>
          <w:szCs w:val="22"/>
        </w:rPr>
        <w:t>, as a</w:t>
      </w:r>
      <w:r w:rsidR="00597FDD" w:rsidRPr="003E3D72">
        <w:rPr>
          <w:rFonts w:cs="Arial"/>
          <w:szCs w:val="22"/>
        </w:rPr>
        <w:t xml:space="preserve"> </w:t>
      </w:r>
      <w:r w:rsidR="00142ED6" w:rsidRPr="003E3D72">
        <w:rPr>
          <w:rFonts w:cs="Arial"/>
          <w:szCs w:val="22"/>
        </w:rPr>
        <w:t>party to the agreement</w:t>
      </w:r>
      <w:r w:rsidR="00597FDD" w:rsidRPr="003E3D72">
        <w:rPr>
          <w:rFonts w:cs="Arial"/>
          <w:szCs w:val="22"/>
        </w:rPr>
        <w:t xml:space="preserve"> for the first time and i</w:t>
      </w:r>
      <w:r w:rsidR="00142ED6" w:rsidRPr="003E3D72">
        <w:rPr>
          <w:rFonts w:cs="Arial"/>
          <w:szCs w:val="22"/>
        </w:rPr>
        <w:t>nstituted a baseless and flagrantly inflated counterclaim, which was</w:t>
      </w:r>
      <w:r w:rsidR="00597FDD" w:rsidRPr="003E3D72">
        <w:rPr>
          <w:rFonts w:cs="Arial"/>
          <w:szCs w:val="22"/>
        </w:rPr>
        <w:t xml:space="preserve"> not </w:t>
      </w:r>
      <w:r w:rsidR="00142ED6" w:rsidRPr="003E3D72">
        <w:rPr>
          <w:rFonts w:cs="Arial"/>
          <w:szCs w:val="22"/>
        </w:rPr>
        <w:t xml:space="preserve">premised on any prior demand to remedy </w:t>
      </w:r>
      <w:r w:rsidR="00597FDD" w:rsidRPr="003E3D72">
        <w:rPr>
          <w:rFonts w:cs="Arial"/>
          <w:szCs w:val="22"/>
        </w:rPr>
        <w:t>positive malperformance;</w:t>
      </w:r>
    </w:p>
    <w:p w14:paraId="13BF5465" w14:textId="424F57B3" w:rsidR="00142ED6" w:rsidRPr="003E3D72" w:rsidRDefault="003E3D72" w:rsidP="003E3D72">
      <w:pPr>
        <w:tabs>
          <w:tab w:val="left" w:pos="1418"/>
        </w:tabs>
        <w:spacing w:line="360" w:lineRule="auto"/>
        <w:ind w:left="1418" w:hanging="851"/>
        <w:jc w:val="both"/>
        <w:rPr>
          <w:rFonts w:cs="Arial"/>
          <w:szCs w:val="22"/>
        </w:rPr>
      </w:pPr>
      <w:r w:rsidRPr="003B1BE0">
        <w:rPr>
          <w:rFonts w:cs="Arial"/>
          <w:szCs w:val="22"/>
        </w:rPr>
        <w:t>14.5</w:t>
      </w:r>
      <w:r w:rsidRPr="003B1BE0">
        <w:rPr>
          <w:rFonts w:cs="Arial"/>
          <w:szCs w:val="22"/>
        </w:rPr>
        <w:tab/>
      </w:r>
      <w:r w:rsidR="00597FDD" w:rsidRPr="003E3D72">
        <w:rPr>
          <w:rFonts w:cs="Arial"/>
          <w:szCs w:val="22"/>
        </w:rPr>
        <w:t>He c</w:t>
      </w:r>
      <w:r w:rsidR="00142ED6" w:rsidRPr="003E3D72">
        <w:rPr>
          <w:rFonts w:cs="Arial"/>
          <w:szCs w:val="22"/>
        </w:rPr>
        <w:t xml:space="preserve">aused </w:t>
      </w:r>
      <w:r w:rsidR="00FF7226" w:rsidRPr="003E3D72">
        <w:rPr>
          <w:rFonts w:cs="Arial"/>
          <w:szCs w:val="22"/>
        </w:rPr>
        <w:t>Rondebult</w:t>
      </w:r>
      <w:r w:rsidR="00142ED6" w:rsidRPr="003E3D72">
        <w:rPr>
          <w:rFonts w:cs="Arial"/>
          <w:szCs w:val="22"/>
        </w:rPr>
        <w:t xml:space="preserve"> to be liquidated.</w:t>
      </w:r>
    </w:p>
    <w:p w14:paraId="5F243A6C" w14:textId="6BC6EB39" w:rsidR="0075418B" w:rsidRPr="003B1BE0" w:rsidRDefault="003E3D72" w:rsidP="003E3D72">
      <w:pPr>
        <w:widowControl w:val="0"/>
        <w:tabs>
          <w:tab w:val="left" w:pos="567"/>
        </w:tabs>
        <w:spacing w:before="480" w:after="480" w:line="360" w:lineRule="auto"/>
        <w:jc w:val="both"/>
        <w:rPr>
          <w:rFonts w:cs="Arial"/>
          <w:bCs/>
          <w:szCs w:val="22"/>
        </w:rPr>
      </w:pPr>
      <w:r w:rsidRPr="003B1BE0">
        <w:rPr>
          <w:rFonts w:cs="Arial"/>
          <w:bCs/>
          <w:szCs w:val="22"/>
        </w:rPr>
        <w:t>[15]</w:t>
      </w:r>
      <w:r w:rsidRPr="003B1BE0">
        <w:rPr>
          <w:rFonts w:cs="Arial"/>
          <w:bCs/>
          <w:szCs w:val="22"/>
        </w:rPr>
        <w:tab/>
      </w:r>
      <w:r w:rsidR="009F5AEE" w:rsidRPr="003B1BE0">
        <w:rPr>
          <w:rFonts w:cs="Arial"/>
          <w:bCs/>
          <w:szCs w:val="22"/>
        </w:rPr>
        <w:t xml:space="preserve">Turning to the founding affidavit one finds that the applicant’s case consists of bald allegations that are not substantiated by factual evidence of </w:t>
      </w:r>
      <w:r w:rsidR="003B1BE0">
        <w:rPr>
          <w:rFonts w:cs="Arial"/>
          <w:bCs/>
          <w:szCs w:val="22"/>
        </w:rPr>
        <w:t xml:space="preserve">reckless or </w:t>
      </w:r>
      <w:r w:rsidR="009F5AEE" w:rsidRPr="003B1BE0">
        <w:rPr>
          <w:rFonts w:cs="Arial"/>
          <w:bCs/>
          <w:szCs w:val="22"/>
        </w:rPr>
        <w:t xml:space="preserve">fraudulent conduct. The mere fact that Le Roux caused Rondebult to be liquidated is not </w:t>
      </w:r>
      <w:r w:rsidR="009F5AEE" w:rsidRPr="00922F12">
        <w:rPr>
          <w:rFonts w:cs="Arial"/>
          <w:bCs/>
          <w:i/>
          <w:iCs/>
          <w:szCs w:val="22"/>
        </w:rPr>
        <w:t>per se</w:t>
      </w:r>
      <w:r w:rsidR="009F5AEE" w:rsidRPr="003B1BE0">
        <w:rPr>
          <w:rFonts w:cs="Arial"/>
          <w:bCs/>
          <w:szCs w:val="22"/>
        </w:rPr>
        <w:t xml:space="preserve"> evidence of fraud</w:t>
      </w:r>
      <w:r w:rsidR="00316973">
        <w:rPr>
          <w:rFonts w:cs="Arial"/>
          <w:bCs/>
          <w:szCs w:val="22"/>
        </w:rPr>
        <w:t xml:space="preserve"> or reckless conduct</w:t>
      </w:r>
      <w:r w:rsidR="00D00531">
        <w:rPr>
          <w:rFonts w:cs="Arial"/>
          <w:bCs/>
          <w:szCs w:val="22"/>
        </w:rPr>
        <w:t>.</w:t>
      </w:r>
      <w:r w:rsidR="00922F12">
        <w:rPr>
          <w:rFonts w:cs="Arial"/>
          <w:bCs/>
          <w:szCs w:val="22"/>
        </w:rPr>
        <w:t xml:space="preserve"> </w:t>
      </w:r>
      <w:r w:rsidR="00E443F9">
        <w:rPr>
          <w:rFonts w:cs="Arial"/>
          <w:bCs/>
          <w:szCs w:val="22"/>
        </w:rPr>
        <w:t xml:space="preserve">To the contrary, </w:t>
      </w:r>
      <w:r w:rsidR="00922F12">
        <w:rPr>
          <w:rFonts w:cs="Arial"/>
          <w:bCs/>
          <w:szCs w:val="22"/>
        </w:rPr>
        <w:t xml:space="preserve"> would be reckless to continue trading in insolvent circumstances.</w:t>
      </w:r>
    </w:p>
    <w:p w14:paraId="5747F9CD" w14:textId="41621B87" w:rsidR="00A23641" w:rsidRDefault="003E3D72" w:rsidP="003E3D72">
      <w:pPr>
        <w:widowControl w:val="0"/>
        <w:tabs>
          <w:tab w:val="left" w:pos="567"/>
        </w:tabs>
        <w:spacing w:before="480" w:after="480" w:line="360" w:lineRule="auto"/>
        <w:jc w:val="both"/>
        <w:rPr>
          <w:rFonts w:cs="Arial"/>
          <w:bCs/>
          <w:szCs w:val="22"/>
        </w:rPr>
      </w:pPr>
      <w:r>
        <w:rPr>
          <w:rFonts w:cs="Arial"/>
          <w:bCs/>
          <w:szCs w:val="22"/>
        </w:rPr>
        <w:t>[16]</w:t>
      </w:r>
      <w:r>
        <w:rPr>
          <w:rFonts w:cs="Arial"/>
          <w:bCs/>
          <w:szCs w:val="22"/>
        </w:rPr>
        <w:tab/>
      </w:r>
      <w:r w:rsidR="00785B8D">
        <w:rPr>
          <w:rFonts w:cs="Arial"/>
          <w:bCs/>
          <w:szCs w:val="22"/>
        </w:rPr>
        <w:t>The counterclaim by Rondebult will of course now be dealt with by the liquidators and one does not know what its fate will be.</w:t>
      </w:r>
    </w:p>
    <w:p w14:paraId="3CF5B963" w14:textId="03E69EAE" w:rsidR="00E443F9" w:rsidRPr="00E443F9" w:rsidRDefault="003E3D72" w:rsidP="003E3D72">
      <w:pPr>
        <w:widowControl w:val="0"/>
        <w:tabs>
          <w:tab w:val="left" w:pos="567"/>
        </w:tabs>
        <w:spacing w:before="480" w:after="480" w:line="360" w:lineRule="auto"/>
        <w:jc w:val="both"/>
        <w:rPr>
          <w:rFonts w:cs="Arial"/>
          <w:bCs/>
          <w:szCs w:val="22"/>
        </w:rPr>
      </w:pPr>
      <w:r w:rsidRPr="00E443F9">
        <w:rPr>
          <w:rFonts w:cs="Arial"/>
          <w:bCs/>
          <w:szCs w:val="22"/>
        </w:rPr>
        <w:t>[17]</w:t>
      </w:r>
      <w:r w:rsidRPr="00E443F9">
        <w:rPr>
          <w:rFonts w:cs="Arial"/>
          <w:bCs/>
          <w:szCs w:val="22"/>
        </w:rPr>
        <w:tab/>
      </w:r>
      <w:r w:rsidR="00A23641">
        <w:rPr>
          <w:rFonts w:cs="Arial"/>
          <w:bCs/>
          <w:szCs w:val="22"/>
        </w:rPr>
        <w:t xml:space="preserve">Midco did not put up a replying affidavit. The </w:t>
      </w:r>
      <w:r w:rsidR="00A23641">
        <w:t>main</w:t>
      </w:r>
      <w:r w:rsidR="00A23641" w:rsidRPr="004D5B33">
        <w:t xml:space="preserve"> purpose of </w:t>
      </w:r>
      <w:r w:rsidR="00A23641">
        <w:t>a</w:t>
      </w:r>
      <w:r w:rsidR="00A23641" w:rsidRPr="004D5B33">
        <w:t xml:space="preserve"> replying affidavit is to put up evidence to refute the case made out by </w:t>
      </w:r>
      <w:r w:rsidR="001140EC">
        <w:t>a</w:t>
      </w:r>
      <w:r w:rsidR="00A23641" w:rsidRPr="004D5B33">
        <w:t xml:space="preserve"> respondent in </w:t>
      </w:r>
      <w:r w:rsidR="00A23641">
        <w:t>its</w:t>
      </w:r>
      <w:r w:rsidR="00A23641" w:rsidRPr="004D5B33">
        <w:t xml:space="preserve"> answering affidavit.</w:t>
      </w:r>
      <w:r w:rsidR="00A23641">
        <w:rPr>
          <w:rStyle w:val="FootnoteReference"/>
        </w:rPr>
        <w:footnoteReference w:id="9"/>
      </w:r>
      <w:r w:rsidR="001140EC">
        <w:t xml:space="preserve"> The averments made </w:t>
      </w:r>
      <w:r w:rsidR="008E3392">
        <w:t xml:space="preserve">by Le Roux are therefore uncontroverted and the Plascon-Evans </w:t>
      </w:r>
      <w:r w:rsidR="008E3392">
        <w:lastRenderedPageBreak/>
        <w:t>test</w:t>
      </w:r>
      <w:r w:rsidR="00D00531">
        <w:rPr>
          <w:rStyle w:val="FootnoteReference"/>
        </w:rPr>
        <w:footnoteReference w:id="10"/>
      </w:r>
      <w:r w:rsidR="008E3392">
        <w:t xml:space="preserve"> applies.</w:t>
      </w:r>
      <w:r w:rsidR="00A90719">
        <w:t xml:space="preserve"> </w:t>
      </w:r>
    </w:p>
    <w:p w14:paraId="7C74B6BA" w14:textId="3DC32EC9" w:rsidR="0075418B" w:rsidRPr="00E443F9" w:rsidRDefault="003E3D72" w:rsidP="003E3D72">
      <w:pPr>
        <w:widowControl w:val="0"/>
        <w:tabs>
          <w:tab w:val="left" w:pos="567"/>
        </w:tabs>
        <w:spacing w:before="480" w:after="480" w:line="360" w:lineRule="auto"/>
        <w:jc w:val="both"/>
        <w:rPr>
          <w:rFonts w:cs="Arial"/>
          <w:bCs/>
          <w:szCs w:val="22"/>
        </w:rPr>
      </w:pPr>
      <w:r w:rsidRPr="00E443F9">
        <w:rPr>
          <w:rFonts w:cs="Arial"/>
          <w:bCs/>
          <w:szCs w:val="22"/>
        </w:rPr>
        <w:t>[18]</w:t>
      </w:r>
      <w:r w:rsidRPr="00E443F9">
        <w:rPr>
          <w:rFonts w:cs="Arial"/>
          <w:bCs/>
          <w:szCs w:val="22"/>
        </w:rPr>
        <w:tab/>
      </w:r>
      <w:r w:rsidR="00A90719">
        <w:t>Rondebult’s liquidators did not put up an answering affidavit and no inference can be made from this failure. There is some doubt as to whether they know of the joinder application as they were not properly served, and the application in any event deals with events</w:t>
      </w:r>
      <w:r w:rsidR="004E7247">
        <w:t xml:space="preserve"> that took place</w:t>
      </w:r>
      <w:r w:rsidR="00A90719">
        <w:t xml:space="preserve"> before they became involved.</w:t>
      </w:r>
    </w:p>
    <w:p w14:paraId="00CFF2CC" w14:textId="0BFE81B8" w:rsidR="00E443F9" w:rsidRPr="003B1BE0" w:rsidRDefault="003E3D72" w:rsidP="003E3D72">
      <w:pPr>
        <w:widowControl w:val="0"/>
        <w:tabs>
          <w:tab w:val="left" w:pos="567"/>
        </w:tabs>
        <w:spacing w:before="480" w:after="480" w:line="360" w:lineRule="auto"/>
        <w:jc w:val="both"/>
        <w:rPr>
          <w:rFonts w:cs="Arial"/>
          <w:bCs/>
          <w:szCs w:val="22"/>
        </w:rPr>
      </w:pPr>
      <w:r w:rsidRPr="003B1BE0">
        <w:rPr>
          <w:rFonts w:cs="Arial"/>
          <w:bCs/>
          <w:szCs w:val="22"/>
        </w:rPr>
        <w:t>[19]</w:t>
      </w:r>
      <w:r w:rsidRPr="003B1BE0">
        <w:rPr>
          <w:rFonts w:cs="Arial"/>
          <w:bCs/>
          <w:szCs w:val="22"/>
        </w:rPr>
        <w:tab/>
      </w:r>
      <w:r w:rsidR="00145F25">
        <w:t>N</w:t>
      </w:r>
      <w:r w:rsidR="00E443F9">
        <w:t>o case is made out to join Le Roux on the basis of convenience on the evidence in the founding affidavit read with the answering affidavit  by Le Roux.</w:t>
      </w:r>
    </w:p>
    <w:p w14:paraId="13A3AF8D" w14:textId="77777777" w:rsidR="004E7247" w:rsidRDefault="004E7247" w:rsidP="0075418B">
      <w:pPr>
        <w:widowControl w:val="0"/>
        <w:spacing w:before="480" w:after="480" w:line="360" w:lineRule="auto"/>
        <w:jc w:val="both"/>
        <w:rPr>
          <w:rFonts w:cs="Arial"/>
          <w:bCs/>
          <w:szCs w:val="22"/>
          <w:u w:val="single"/>
        </w:rPr>
      </w:pPr>
    </w:p>
    <w:p w14:paraId="33F67F82" w14:textId="5B98E55B" w:rsidR="0075418B" w:rsidRPr="003B1BE0" w:rsidRDefault="0075418B" w:rsidP="0075418B">
      <w:pPr>
        <w:widowControl w:val="0"/>
        <w:spacing w:before="480" w:after="480" w:line="360" w:lineRule="auto"/>
        <w:jc w:val="both"/>
        <w:rPr>
          <w:rFonts w:cs="Arial"/>
          <w:bCs/>
          <w:szCs w:val="22"/>
          <w:u w:val="single"/>
        </w:rPr>
      </w:pPr>
      <w:r w:rsidRPr="003B1BE0">
        <w:rPr>
          <w:rFonts w:cs="Arial"/>
          <w:bCs/>
          <w:szCs w:val="22"/>
          <w:u w:val="single"/>
        </w:rPr>
        <w:t>Apportionment of Damages Act</w:t>
      </w:r>
    </w:p>
    <w:p w14:paraId="4A8B236D" w14:textId="5DFE9DF4" w:rsidR="0075418B" w:rsidRPr="003B1BE0" w:rsidRDefault="003E3D72" w:rsidP="003E3D72">
      <w:pPr>
        <w:widowControl w:val="0"/>
        <w:tabs>
          <w:tab w:val="left" w:pos="567"/>
        </w:tabs>
        <w:spacing w:before="480" w:after="480" w:line="360" w:lineRule="auto"/>
        <w:jc w:val="both"/>
        <w:rPr>
          <w:rFonts w:cs="Arial"/>
          <w:bCs/>
          <w:szCs w:val="22"/>
        </w:rPr>
      </w:pPr>
      <w:r w:rsidRPr="003B1BE0">
        <w:rPr>
          <w:rFonts w:cs="Arial"/>
          <w:bCs/>
          <w:szCs w:val="22"/>
        </w:rPr>
        <w:t>[20]</w:t>
      </w:r>
      <w:r w:rsidRPr="003B1BE0">
        <w:rPr>
          <w:rFonts w:cs="Arial"/>
          <w:bCs/>
          <w:szCs w:val="22"/>
        </w:rPr>
        <w:tab/>
      </w:r>
      <w:r w:rsidR="0075418B" w:rsidRPr="003B1BE0">
        <w:rPr>
          <w:rFonts w:cs="Arial"/>
          <w:bCs/>
          <w:szCs w:val="22"/>
        </w:rPr>
        <w:t>The Apportionment of Damages Act, 58 of 1971 does not apply to a claim for damages for a breach of contract.</w:t>
      </w:r>
      <w:r w:rsidR="0075418B" w:rsidRPr="003B1BE0">
        <w:rPr>
          <w:rStyle w:val="FootnoteReference"/>
          <w:rFonts w:cs="Arial"/>
          <w:bCs/>
          <w:szCs w:val="22"/>
        </w:rPr>
        <w:footnoteReference w:id="11"/>
      </w:r>
      <w:r w:rsidR="00EC7730" w:rsidRPr="003B1BE0">
        <w:rPr>
          <w:rFonts w:cs="Arial"/>
          <w:bCs/>
          <w:szCs w:val="22"/>
        </w:rPr>
        <w:t xml:space="preserve"> Midco’s claim against Rondebult and Aurum is a contractual claim. Its claim against Le Roux is based on provisions of the companies legislation.</w:t>
      </w:r>
      <w:r w:rsidR="004E7247">
        <w:rPr>
          <w:rFonts w:cs="Arial"/>
          <w:bCs/>
          <w:szCs w:val="22"/>
        </w:rPr>
        <w:t xml:space="preserve"> Section 218(2) of the Companies Act establishes a </w:t>
      </w:r>
      <w:r w:rsidR="004E7247" w:rsidRPr="00922F12">
        <w:rPr>
          <w:rFonts w:cs="Arial"/>
          <w:bCs/>
          <w:i/>
          <w:iCs/>
          <w:szCs w:val="22"/>
        </w:rPr>
        <w:t>sui generis</w:t>
      </w:r>
      <w:r w:rsidR="004E7247">
        <w:rPr>
          <w:rFonts w:cs="Arial"/>
          <w:bCs/>
          <w:szCs w:val="22"/>
        </w:rPr>
        <w:t xml:space="preserve"> liability.</w:t>
      </w:r>
      <w:r w:rsidR="009267A4">
        <w:rPr>
          <w:rStyle w:val="FootnoteReference"/>
          <w:rFonts w:cs="Arial"/>
          <w:bCs/>
          <w:szCs w:val="22"/>
        </w:rPr>
        <w:footnoteReference w:id="12"/>
      </w:r>
    </w:p>
    <w:p w14:paraId="0B381747" w14:textId="05883523" w:rsidR="00EC7730" w:rsidRPr="003B1BE0" w:rsidRDefault="003E3D72" w:rsidP="003E3D72">
      <w:pPr>
        <w:widowControl w:val="0"/>
        <w:tabs>
          <w:tab w:val="left" w:pos="567"/>
        </w:tabs>
        <w:spacing w:before="480" w:after="480" w:line="360" w:lineRule="auto"/>
        <w:jc w:val="both"/>
        <w:rPr>
          <w:rFonts w:cs="Arial"/>
          <w:bCs/>
          <w:szCs w:val="22"/>
        </w:rPr>
      </w:pPr>
      <w:r w:rsidRPr="003B1BE0">
        <w:rPr>
          <w:rFonts w:cs="Arial"/>
          <w:bCs/>
          <w:szCs w:val="22"/>
        </w:rPr>
        <w:t>[21]</w:t>
      </w:r>
      <w:r w:rsidRPr="003B1BE0">
        <w:rPr>
          <w:rFonts w:cs="Arial"/>
          <w:bCs/>
          <w:szCs w:val="22"/>
        </w:rPr>
        <w:tab/>
      </w:r>
      <w:r w:rsidR="00EC7730" w:rsidRPr="003B1BE0">
        <w:rPr>
          <w:rFonts w:cs="Arial"/>
          <w:bCs/>
          <w:szCs w:val="22"/>
        </w:rPr>
        <w:t xml:space="preserve">Le Roux is not a joint wrongdoer vis à vis Rondebult and Aurum and </w:t>
      </w:r>
      <w:r w:rsidR="00D00531">
        <w:rPr>
          <w:rFonts w:cs="Arial"/>
          <w:bCs/>
          <w:szCs w:val="22"/>
        </w:rPr>
        <w:t>Le Roux’s</w:t>
      </w:r>
      <w:r w:rsidR="00EC7730" w:rsidRPr="003B1BE0">
        <w:rPr>
          <w:rFonts w:cs="Arial"/>
          <w:bCs/>
          <w:szCs w:val="22"/>
        </w:rPr>
        <w:t xml:space="preserve"> reliance on the </w:t>
      </w:r>
      <w:r w:rsidR="004E7247">
        <w:rPr>
          <w:rFonts w:cs="Arial"/>
          <w:bCs/>
          <w:szCs w:val="22"/>
        </w:rPr>
        <w:t xml:space="preserve">Apportionment of Damages </w:t>
      </w:r>
      <w:r w:rsidR="005F4852" w:rsidRPr="003B1BE0">
        <w:rPr>
          <w:rFonts w:cs="Arial"/>
          <w:bCs/>
          <w:szCs w:val="22"/>
        </w:rPr>
        <w:t>Act must fail.</w:t>
      </w:r>
    </w:p>
    <w:p w14:paraId="670DF656" w14:textId="77777777" w:rsidR="00D00531" w:rsidRDefault="00D00531" w:rsidP="002F60E1">
      <w:pPr>
        <w:keepNext/>
        <w:widowControl w:val="0"/>
        <w:spacing w:before="480" w:after="480" w:line="360" w:lineRule="auto"/>
        <w:jc w:val="both"/>
        <w:rPr>
          <w:rFonts w:cs="Arial"/>
          <w:bCs/>
          <w:szCs w:val="22"/>
          <w:u w:val="single"/>
        </w:rPr>
      </w:pPr>
    </w:p>
    <w:p w14:paraId="2B632C8A" w14:textId="5707F34F" w:rsidR="004F4D7D" w:rsidRPr="003B1BE0" w:rsidRDefault="004F4D7D" w:rsidP="002F60E1">
      <w:pPr>
        <w:keepNext/>
        <w:widowControl w:val="0"/>
        <w:spacing w:before="480" w:after="480" w:line="360" w:lineRule="auto"/>
        <w:jc w:val="both"/>
        <w:rPr>
          <w:rFonts w:cs="Arial"/>
          <w:bCs/>
          <w:szCs w:val="22"/>
          <w:u w:val="single"/>
        </w:rPr>
      </w:pPr>
      <w:r w:rsidRPr="003B1BE0">
        <w:rPr>
          <w:rFonts w:cs="Arial"/>
          <w:bCs/>
          <w:szCs w:val="22"/>
          <w:u w:val="single"/>
        </w:rPr>
        <w:t>Conclusion</w:t>
      </w:r>
    </w:p>
    <w:p w14:paraId="2123C4F6" w14:textId="04532A3E" w:rsidR="00051A2B" w:rsidRPr="003B1BE0" w:rsidRDefault="003E3D72" w:rsidP="003E3D72">
      <w:pPr>
        <w:keepNext/>
        <w:widowControl w:val="0"/>
        <w:tabs>
          <w:tab w:val="left" w:pos="567"/>
        </w:tabs>
        <w:spacing w:before="480" w:after="480" w:line="360" w:lineRule="auto"/>
        <w:jc w:val="both"/>
        <w:rPr>
          <w:rFonts w:cs="Arial"/>
          <w:bCs/>
          <w:szCs w:val="22"/>
        </w:rPr>
      </w:pPr>
      <w:r w:rsidRPr="003B1BE0">
        <w:rPr>
          <w:rFonts w:cs="Arial"/>
          <w:bCs/>
          <w:szCs w:val="22"/>
        </w:rPr>
        <w:t>[2</w:t>
      </w:r>
      <w:bookmarkStart w:id="0" w:name="_GoBack"/>
      <w:bookmarkEnd w:id="0"/>
      <w:r w:rsidRPr="003B1BE0">
        <w:rPr>
          <w:rFonts w:cs="Arial"/>
          <w:bCs/>
          <w:szCs w:val="22"/>
        </w:rPr>
        <w:t>2]</w:t>
      </w:r>
      <w:r w:rsidRPr="003B1BE0">
        <w:rPr>
          <w:rFonts w:cs="Arial"/>
          <w:bCs/>
          <w:szCs w:val="22"/>
        </w:rPr>
        <w:tab/>
      </w:r>
      <w:r w:rsidR="00051A2B" w:rsidRPr="003B1BE0">
        <w:rPr>
          <w:rFonts w:cs="Arial"/>
          <w:bCs/>
          <w:szCs w:val="22"/>
        </w:rPr>
        <w:t>I therefore make the order as set out</w:t>
      </w:r>
      <w:r w:rsidR="00DD69AF" w:rsidRPr="003B1BE0">
        <w:rPr>
          <w:rFonts w:cs="Arial"/>
          <w:bCs/>
          <w:szCs w:val="22"/>
        </w:rPr>
        <w:t xml:space="preserve"> in paragraph 1</w:t>
      </w:r>
      <w:r w:rsidR="00051A2B" w:rsidRPr="003B1BE0">
        <w:rPr>
          <w:rFonts w:cs="Arial"/>
          <w:bCs/>
          <w:szCs w:val="22"/>
        </w:rPr>
        <w:t xml:space="preserve"> above.</w:t>
      </w:r>
    </w:p>
    <w:p w14:paraId="3E6BA7DA" w14:textId="43133B0D" w:rsidR="00AE287F" w:rsidRDefault="00AE287F" w:rsidP="00A3283B">
      <w:pPr>
        <w:tabs>
          <w:tab w:val="right" w:pos="0"/>
        </w:tabs>
        <w:spacing w:line="360" w:lineRule="auto"/>
        <w:contextualSpacing/>
        <w:jc w:val="both"/>
        <w:rPr>
          <w:rFonts w:cs="Arial"/>
          <w:b/>
          <w:szCs w:val="22"/>
        </w:rPr>
      </w:pPr>
    </w:p>
    <w:p w14:paraId="19B96E85" w14:textId="77777777" w:rsidR="00BF4ABF" w:rsidRDefault="00BF4ABF" w:rsidP="00A3283B">
      <w:pPr>
        <w:tabs>
          <w:tab w:val="right" w:pos="0"/>
        </w:tabs>
        <w:spacing w:line="360" w:lineRule="auto"/>
        <w:contextualSpacing/>
        <w:jc w:val="both"/>
        <w:rPr>
          <w:rFonts w:cs="Arial"/>
          <w:b/>
          <w:szCs w:val="22"/>
        </w:rPr>
      </w:pPr>
    </w:p>
    <w:p w14:paraId="79E9E1B6" w14:textId="77777777" w:rsidR="00BF4ABF" w:rsidRPr="003B1BE0" w:rsidRDefault="00BF4ABF" w:rsidP="00A3283B">
      <w:pPr>
        <w:tabs>
          <w:tab w:val="right" w:pos="0"/>
        </w:tabs>
        <w:spacing w:line="360" w:lineRule="auto"/>
        <w:contextualSpacing/>
        <w:jc w:val="both"/>
        <w:rPr>
          <w:rFonts w:cs="Arial"/>
          <w:b/>
          <w:szCs w:val="22"/>
        </w:rPr>
      </w:pPr>
    </w:p>
    <w:p w14:paraId="53CD27EE" w14:textId="672559CF" w:rsidR="00AE287F" w:rsidRPr="003B1BE0" w:rsidRDefault="00A649E6" w:rsidP="006C43D7">
      <w:pPr>
        <w:tabs>
          <w:tab w:val="right" w:pos="0"/>
        </w:tabs>
        <w:spacing w:line="360" w:lineRule="auto"/>
        <w:contextualSpacing/>
        <w:jc w:val="right"/>
        <w:rPr>
          <w:rFonts w:cs="Arial"/>
          <w:b/>
          <w:szCs w:val="22"/>
        </w:rPr>
      </w:pPr>
      <w:r w:rsidRPr="003B1BE0">
        <w:rPr>
          <w:rFonts w:cs="Arial"/>
          <w:b/>
          <w:szCs w:val="22"/>
        </w:rPr>
        <w:lastRenderedPageBreak/>
        <w:t>______________</w:t>
      </w:r>
    </w:p>
    <w:p w14:paraId="0CCB9BFE" w14:textId="7ABE564D" w:rsidR="006C43D7" w:rsidRPr="003B1BE0" w:rsidRDefault="00C676F3" w:rsidP="006C43D7">
      <w:pPr>
        <w:tabs>
          <w:tab w:val="right" w:pos="0"/>
        </w:tabs>
        <w:spacing w:line="360" w:lineRule="auto"/>
        <w:contextualSpacing/>
        <w:jc w:val="right"/>
        <w:rPr>
          <w:rFonts w:cs="Arial"/>
          <w:b/>
          <w:szCs w:val="22"/>
        </w:rPr>
      </w:pPr>
      <w:r w:rsidRPr="003B1BE0">
        <w:rPr>
          <w:rFonts w:cs="Arial"/>
          <w:b/>
          <w:szCs w:val="22"/>
        </w:rPr>
        <w:t>J MOORCROFT</w:t>
      </w:r>
    </w:p>
    <w:p w14:paraId="7A2C1059" w14:textId="77777777" w:rsidR="006C43D7" w:rsidRPr="003B1BE0" w:rsidRDefault="006C43D7" w:rsidP="006C43D7">
      <w:pPr>
        <w:tabs>
          <w:tab w:val="right" w:pos="0"/>
        </w:tabs>
        <w:spacing w:line="360" w:lineRule="auto"/>
        <w:contextualSpacing/>
        <w:jc w:val="right"/>
        <w:rPr>
          <w:rFonts w:cs="Arial"/>
          <w:b/>
          <w:szCs w:val="22"/>
        </w:rPr>
      </w:pPr>
      <w:r w:rsidRPr="003B1BE0">
        <w:rPr>
          <w:rFonts w:cs="Arial"/>
          <w:b/>
          <w:szCs w:val="22"/>
        </w:rPr>
        <w:t>ACTING JUDGE OF THE HIGH COURT OF SOUTH AFRICA</w:t>
      </w:r>
    </w:p>
    <w:p w14:paraId="077C2590" w14:textId="7452355B" w:rsidR="006C43D7" w:rsidRPr="003B1BE0" w:rsidRDefault="006C43D7" w:rsidP="006C43D7">
      <w:pPr>
        <w:tabs>
          <w:tab w:val="right" w:pos="0"/>
          <w:tab w:val="left" w:pos="4253"/>
        </w:tabs>
        <w:spacing w:line="360" w:lineRule="auto"/>
        <w:contextualSpacing/>
        <w:jc w:val="right"/>
        <w:rPr>
          <w:rFonts w:cs="Arial"/>
          <w:b/>
          <w:szCs w:val="22"/>
        </w:rPr>
      </w:pPr>
      <w:r w:rsidRPr="003B1BE0">
        <w:rPr>
          <w:rFonts w:cs="Arial"/>
          <w:b/>
          <w:szCs w:val="22"/>
        </w:rPr>
        <w:t>GAUTENG DIVISION</w:t>
      </w:r>
    </w:p>
    <w:p w14:paraId="40B9C946" w14:textId="77777777" w:rsidR="006C43D7" w:rsidRPr="003B1BE0" w:rsidRDefault="006C43D7" w:rsidP="006C43D7">
      <w:pPr>
        <w:tabs>
          <w:tab w:val="right" w:pos="0"/>
          <w:tab w:val="left" w:pos="4253"/>
        </w:tabs>
        <w:spacing w:line="360" w:lineRule="auto"/>
        <w:contextualSpacing/>
        <w:jc w:val="right"/>
        <w:rPr>
          <w:rFonts w:cs="Arial"/>
          <w:b/>
          <w:szCs w:val="22"/>
        </w:rPr>
      </w:pPr>
      <w:r w:rsidRPr="003B1BE0">
        <w:rPr>
          <w:rFonts w:cs="Arial"/>
          <w:b/>
          <w:szCs w:val="22"/>
        </w:rPr>
        <w:t>JOHANNESBURG</w:t>
      </w:r>
    </w:p>
    <w:p w14:paraId="326B529B" w14:textId="77777777" w:rsidR="006C43D7" w:rsidRPr="003B1BE0"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3B1BE0" w:rsidRDefault="006C43D7" w:rsidP="006C43D7">
      <w:pPr>
        <w:spacing w:after="200" w:line="480" w:lineRule="auto"/>
        <w:contextualSpacing/>
        <w:jc w:val="right"/>
        <w:rPr>
          <w:rFonts w:cs="Arial"/>
          <w:b/>
          <w:i/>
          <w:iCs/>
          <w:szCs w:val="22"/>
        </w:rPr>
      </w:pPr>
      <w:r w:rsidRPr="003B1BE0">
        <w:rPr>
          <w:rFonts w:cs="Arial"/>
          <w:b/>
          <w:i/>
          <w:iCs/>
          <w:szCs w:val="22"/>
        </w:rPr>
        <w:t>Electronically submitted</w:t>
      </w:r>
    </w:p>
    <w:p w14:paraId="4E3E9427" w14:textId="77777777" w:rsidR="006C43D7" w:rsidRPr="003B1BE0" w:rsidRDefault="006C43D7" w:rsidP="006C43D7">
      <w:pPr>
        <w:spacing w:after="200" w:line="360" w:lineRule="auto"/>
        <w:contextualSpacing/>
        <w:jc w:val="both"/>
        <w:rPr>
          <w:rFonts w:eastAsia="Arial Unicode MS" w:cs="Arial"/>
          <w:bCs/>
          <w:szCs w:val="22"/>
        </w:rPr>
      </w:pPr>
    </w:p>
    <w:p w14:paraId="51C686CA" w14:textId="78347D3E" w:rsidR="006C43D7" w:rsidRPr="003B1BE0" w:rsidRDefault="006C43D7" w:rsidP="006C43D7">
      <w:pPr>
        <w:spacing w:after="200" w:line="360" w:lineRule="auto"/>
        <w:contextualSpacing/>
        <w:jc w:val="both"/>
        <w:rPr>
          <w:rFonts w:eastAsia="Arial Unicode MS" w:cs="Arial"/>
          <w:bCs/>
          <w:szCs w:val="22"/>
        </w:rPr>
      </w:pPr>
      <w:r w:rsidRPr="003B1BE0">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3B1BE0">
        <w:rPr>
          <w:rFonts w:eastAsia="Arial Unicode MS" w:cs="Arial"/>
          <w:bCs/>
          <w:szCs w:val="22"/>
        </w:rPr>
        <w:t xml:space="preserve"> </w:t>
      </w:r>
      <w:r w:rsidR="00145F25">
        <w:rPr>
          <w:rFonts w:eastAsia="Arial Unicode MS" w:cs="Arial"/>
          <w:b/>
          <w:szCs w:val="22"/>
        </w:rPr>
        <w:t>9</w:t>
      </w:r>
      <w:r w:rsidR="00C93FBD" w:rsidRPr="003B1BE0">
        <w:rPr>
          <w:rFonts w:eastAsia="Arial Unicode MS" w:cs="Arial"/>
          <w:b/>
          <w:szCs w:val="22"/>
        </w:rPr>
        <w:t xml:space="preserve"> OCTOBER </w:t>
      </w:r>
      <w:r w:rsidR="00237FF9" w:rsidRPr="003B1BE0">
        <w:rPr>
          <w:rFonts w:eastAsia="Arial Unicode MS" w:cs="Arial"/>
          <w:b/>
          <w:bCs/>
          <w:szCs w:val="22"/>
        </w:rPr>
        <w:t>202</w:t>
      </w:r>
      <w:r w:rsidR="00051A2B" w:rsidRPr="003B1BE0">
        <w:rPr>
          <w:rFonts w:eastAsia="Arial Unicode MS" w:cs="Arial"/>
          <w:b/>
          <w:bCs/>
          <w:szCs w:val="22"/>
        </w:rPr>
        <w:t>3</w:t>
      </w:r>
      <w:r w:rsidR="00051A2B" w:rsidRPr="003B1BE0">
        <w:rPr>
          <w:rFonts w:eastAsia="Arial Unicode MS" w:cs="Arial"/>
          <w:bCs/>
          <w:szCs w:val="22"/>
        </w:rPr>
        <w:t>.</w:t>
      </w:r>
    </w:p>
    <w:p w14:paraId="482DDF6E" w14:textId="77777777" w:rsidR="006C43D7" w:rsidRPr="003B1BE0" w:rsidRDefault="006C43D7" w:rsidP="006C43D7">
      <w:pPr>
        <w:tabs>
          <w:tab w:val="right" w:pos="0"/>
          <w:tab w:val="left" w:pos="4253"/>
        </w:tabs>
        <w:spacing w:line="360" w:lineRule="auto"/>
        <w:contextualSpacing/>
        <w:jc w:val="center"/>
        <w:rPr>
          <w:rFonts w:cs="Arial"/>
          <w:b/>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878"/>
        <w:gridCol w:w="283"/>
        <w:gridCol w:w="2693"/>
      </w:tblGrid>
      <w:tr w:rsidR="009D35B5" w:rsidRPr="003B1BE0" w14:paraId="493AF0D7" w14:textId="77777777" w:rsidTr="0053293A">
        <w:tc>
          <w:tcPr>
            <w:tcW w:w="5529" w:type="dxa"/>
            <w:gridSpan w:val="2"/>
          </w:tcPr>
          <w:p w14:paraId="6A05541A" w14:textId="092AE0D8" w:rsidR="009D35B5" w:rsidRPr="003B1BE0" w:rsidRDefault="009D35B5" w:rsidP="002C2E80">
            <w:pPr>
              <w:tabs>
                <w:tab w:val="right" w:pos="0"/>
                <w:tab w:val="left" w:pos="4253"/>
              </w:tabs>
              <w:spacing w:line="360" w:lineRule="auto"/>
              <w:contextualSpacing/>
              <w:rPr>
                <w:rFonts w:cs="Arial"/>
                <w:szCs w:val="22"/>
              </w:rPr>
            </w:pPr>
            <w:r w:rsidRPr="003B1BE0">
              <w:rPr>
                <w:rFonts w:cs="Arial"/>
                <w:szCs w:val="22"/>
              </w:rPr>
              <w:t xml:space="preserve">COUNSEL FOR </w:t>
            </w:r>
            <w:r w:rsidR="0053293A" w:rsidRPr="003B1BE0">
              <w:rPr>
                <w:rFonts w:cs="Arial"/>
                <w:szCs w:val="22"/>
              </w:rPr>
              <w:t xml:space="preserve">THE </w:t>
            </w:r>
            <w:r w:rsidR="00466300" w:rsidRPr="003B1BE0">
              <w:rPr>
                <w:rFonts w:cs="Arial"/>
                <w:szCs w:val="22"/>
              </w:rPr>
              <w:t>APPLICANT</w:t>
            </w:r>
            <w:r w:rsidRPr="003B1BE0">
              <w:rPr>
                <w:rFonts w:cs="Arial"/>
                <w:szCs w:val="22"/>
              </w:rPr>
              <w:t>:</w:t>
            </w:r>
          </w:p>
        </w:tc>
        <w:tc>
          <w:tcPr>
            <w:tcW w:w="2976" w:type="dxa"/>
            <w:gridSpan w:val="2"/>
          </w:tcPr>
          <w:p w14:paraId="69785AA9" w14:textId="707A5C9F" w:rsidR="00DC6EF8" w:rsidRPr="003B1BE0" w:rsidRDefault="00E679DF" w:rsidP="00DF5291">
            <w:pPr>
              <w:tabs>
                <w:tab w:val="right" w:pos="0"/>
                <w:tab w:val="left" w:pos="567"/>
                <w:tab w:val="right" w:pos="2727"/>
                <w:tab w:val="left" w:pos="4253"/>
              </w:tabs>
              <w:spacing w:line="360" w:lineRule="auto"/>
              <w:contextualSpacing/>
              <w:jc w:val="right"/>
              <w:rPr>
                <w:rFonts w:cs="Arial"/>
                <w:szCs w:val="22"/>
              </w:rPr>
            </w:pPr>
            <w:r>
              <w:rPr>
                <w:rFonts w:cs="Arial"/>
                <w:szCs w:val="22"/>
              </w:rPr>
              <w:t>D M POOL</w:t>
            </w:r>
          </w:p>
        </w:tc>
      </w:tr>
      <w:tr w:rsidR="009D35B5" w:rsidRPr="003B1BE0" w14:paraId="183C176D" w14:textId="77777777" w:rsidTr="0053293A">
        <w:tc>
          <w:tcPr>
            <w:tcW w:w="3651" w:type="dxa"/>
          </w:tcPr>
          <w:p w14:paraId="75365413" w14:textId="481747BC" w:rsidR="009D35B5" w:rsidRPr="003B1BE0" w:rsidRDefault="009D35B5" w:rsidP="002C2E80">
            <w:pPr>
              <w:tabs>
                <w:tab w:val="right" w:pos="0"/>
                <w:tab w:val="left" w:pos="4253"/>
              </w:tabs>
              <w:spacing w:line="360" w:lineRule="auto"/>
              <w:contextualSpacing/>
              <w:rPr>
                <w:rFonts w:cs="Arial"/>
                <w:szCs w:val="22"/>
              </w:rPr>
            </w:pPr>
            <w:r w:rsidRPr="003B1BE0">
              <w:rPr>
                <w:rFonts w:cs="Arial"/>
                <w:szCs w:val="22"/>
              </w:rPr>
              <w:t>INSTRUCTED BY:</w:t>
            </w:r>
          </w:p>
        </w:tc>
        <w:tc>
          <w:tcPr>
            <w:tcW w:w="4854" w:type="dxa"/>
            <w:gridSpan w:val="3"/>
          </w:tcPr>
          <w:p w14:paraId="4044534A" w14:textId="4F2B15B3" w:rsidR="00762178" w:rsidRPr="003B1BE0" w:rsidRDefault="00145F25" w:rsidP="00762178">
            <w:pPr>
              <w:tabs>
                <w:tab w:val="right" w:pos="0"/>
                <w:tab w:val="left" w:pos="4253"/>
              </w:tabs>
              <w:spacing w:line="360" w:lineRule="auto"/>
              <w:contextualSpacing/>
              <w:jc w:val="right"/>
              <w:rPr>
                <w:rFonts w:cs="Arial"/>
                <w:szCs w:val="22"/>
              </w:rPr>
            </w:pPr>
            <w:r>
              <w:rPr>
                <w:rFonts w:cs="Arial"/>
                <w:szCs w:val="22"/>
              </w:rPr>
              <w:t>FRIEDRICH INC</w:t>
            </w:r>
          </w:p>
        </w:tc>
      </w:tr>
      <w:tr w:rsidR="009D35B5" w:rsidRPr="003B1BE0" w14:paraId="6E2BF966" w14:textId="77777777" w:rsidTr="0053293A">
        <w:tc>
          <w:tcPr>
            <w:tcW w:w="5812" w:type="dxa"/>
            <w:gridSpan w:val="3"/>
          </w:tcPr>
          <w:p w14:paraId="545B6665" w14:textId="145E2984" w:rsidR="009D35B5" w:rsidRPr="003B1BE0" w:rsidRDefault="009D35B5" w:rsidP="002C2E80">
            <w:pPr>
              <w:tabs>
                <w:tab w:val="right" w:pos="0"/>
                <w:tab w:val="left" w:pos="4253"/>
              </w:tabs>
              <w:spacing w:line="360" w:lineRule="auto"/>
              <w:contextualSpacing/>
              <w:rPr>
                <w:rFonts w:cs="Arial"/>
                <w:szCs w:val="22"/>
              </w:rPr>
            </w:pPr>
            <w:r w:rsidRPr="003B1BE0">
              <w:rPr>
                <w:rFonts w:cs="Arial"/>
                <w:szCs w:val="22"/>
              </w:rPr>
              <w:t xml:space="preserve">COUNSEL FOR </w:t>
            </w:r>
            <w:r w:rsidR="0053293A" w:rsidRPr="003B1BE0">
              <w:rPr>
                <w:rFonts w:cs="Arial"/>
                <w:szCs w:val="22"/>
              </w:rPr>
              <w:t xml:space="preserve">THE </w:t>
            </w:r>
            <w:r w:rsidR="00301C2F" w:rsidRPr="003B1BE0">
              <w:rPr>
                <w:rFonts w:cs="Arial"/>
                <w:szCs w:val="22"/>
              </w:rPr>
              <w:t>THIRD</w:t>
            </w:r>
            <w:r w:rsidR="0053293A" w:rsidRPr="003B1BE0">
              <w:rPr>
                <w:rFonts w:cs="Arial"/>
                <w:szCs w:val="22"/>
              </w:rPr>
              <w:t xml:space="preserve"> </w:t>
            </w:r>
            <w:r w:rsidR="00466300" w:rsidRPr="003B1BE0">
              <w:rPr>
                <w:rFonts w:cs="Arial"/>
                <w:szCs w:val="22"/>
              </w:rPr>
              <w:t>RESPONDENT</w:t>
            </w:r>
            <w:r w:rsidRPr="003B1BE0">
              <w:rPr>
                <w:rFonts w:cs="Arial"/>
                <w:szCs w:val="22"/>
              </w:rPr>
              <w:t>:</w:t>
            </w:r>
          </w:p>
        </w:tc>
        <w:tc>
          <w:tcPr>
            <w:tcW w:w="2693" w:type="dxa"/>
          </w:tcPr>
          <w:p w14:paraId="51741A90" w14:textId="2467F956" w:rsidR="009D35B5" w:rsidRPr="003B1BE0" w:rsidRDefault="00301C2F" w:rsidP="00424BA6">
            <w:pPr>
              <w:tabs>
                <w:tab w:val="right" w:pos="0"/>
                <w:tab w:val="left" w:pos="4253"/>
              </w:tabs>
              <w:spacing w:line="360" w:lineRule="auto"/>
              <w:contextualSpacing/>
              <w:jc w:val="right"/>
              <w:rPr>
                <w:rFonts w:cs="Arial"/>
                <w:szCs w:val="22"/>
              </w:rPr>
            </w:pPr>
            <w:r w:rsidRPr="003B1BE0">
              <w:rPr>
                <w:rFonts w:cs="Arial"/>
                <w:szCs w:val="22"/>
              </w:rPr>
              <w:t>B D STEVENS</w:t>
            </w:r>
          </w:p>
        </w:tc>
      </w:tr>
      <w:tr w:rsidR="009D35B5" w:rsidRPr="003B1BE0" w14:paraId="1EC4105A" w14:textId="77777777" w:rsidTr="0053293A">
        <w:tc>
          <w:tcPr>
            <w:tcW w:w="3651" w:type="dxa"/>
          </w:tcPr>
          <w:p w14:paraId="184EC2ED" w14:textId="1E42F28A" w:rsidR="009D35B5" w:rsidRPr="003B1BE0" w:rsidRDefault="009D35B5" w:rsidP="002C2E80">
            <w:pPr>
              <w:tabs>
                <w:tab w:val="right" w:pos="0"/>
                <w:tab w:val="left" w:pos="4253"/>
              </w:tabs>
              <w:spacing w:line="360" w:lineRule="auto"/>
              <w:contextualSpacing/>
              <w:rPr>
                <w:rFonts w:cs="Arial"/>
                <w:szCs w:val="22"/>
              </w:rPr>
            </w:pPr>
            <w:r w:rsidRPr="003B1BE0">
              <w:rPr>
                <w:rFonts w:cs="Arial"/>
                <w:szCs w:val="22"/>
              </w:rPr>
              <w:t>INSTRUCTED BY:</w:t>
            </w:r>
          </w:p>
        </w:tc>
        <w:tc>
          <w:tcPr>
            <w:tcW w:w="4854" w:type="dxa"/>
            <w:gridSpan w:val="3"/>
          </w:tcPr>
          <w:p w14:paraId="2098BE2A" w14:textId="67F27D00" w:rsidR="009D35B5" w:rsidRPr="003B1BE0" w:rsidRDefault="00785B8D" w:rsidP="00424BA6">
            <w:pPr>
              <w:tabs>
                <w:tab w:val="right" w:pos="0"/>
                <w:tab w:val="left" w:pos="4253"/>
              </w:tabs>
              <w:spacing w:line="360" w:lineRule="auto"/>
              <w:contextualSpacing/>
              <w:jc w:val="right"/>
              <w:rPr>
                <w:rFonts w:cs="Arial"/>
                <w:szCs w:val="22"/>
              </w:rPr>
            </w:pPr>
            <w:r>
              <w:rPr>
                <w:rFonts w:cs="Arial"/>
                <w:szCs w:val="22"/>
              </w:rPr>
              <w:t>VOGEL INC</w:t>
            </w:r>
          </w:p>
        </w:tc>
      </w:tr>
      <w:tr w:rsidR="009D35B5" w:rsidRPr="003B1BE0" w14:paraId="2A3FE2B1" w14:textId="77777777" w:rsidTr="0053293A">
        <w:tc>
          <w:tcPr>
            <w:tcW w:w="3651" w:type="dxa"/>
          </w:tcPr>
          <w:p w14:paraId="0767D0FE" w14:textId="5D8C7247" w:rsidR="009D35B5" w:rsidRPr="003B1BE0" w:rsidRDefault="009D35B5" w:rsidP="002C2E80">
            <w:pPr>
              <w:tabs>
                <w:tab w:val="right" w:pos="0"/>
                <w:tab w:val="left" w:pos="4253"/>
              </w:tabs>
              <w:spacing w:line="360" w:lineRule="auto"/>
              <w:contextualSpacing/>
              <w:rPr>
                <w:rFonts w:cs="Arial"/>
                <w:szCs w:val="22"/>
              </w:rPr>
            </w:pPr>
            <w:r w:rsidRPr="003B1BE0">
              <w:rPr>
                <w:rFonts w:cs="Arial"/>
                <w:szCs w:val="22"/>
              </w:rPr>
              <w:t xml:space="preserve">DATE OF </w:t>
            </w:r>
            <w:r w:rsidR="00C93FBD" w:rsidRPr="003B1BE0">
              <w:rPr>
                <w:rFonts w:cs="Arial"/>
                <w:szCs w:val="22"/>
              </w:rPr>
              <w:t>HEARING</w:t>
            </w:r>
            <w:r w:rsidRPr="003B1BE0">
              <w:rPr>
                <w:rFonts w:cs="Arial"/>
                <w:szCs w:val="22"/>
              </w:rPr>
              <w:t>:</w:t>
            </w:r>
          </w:p>
        </w:tc>
        <w:tc>
          <w:tcPr>
            <w:tcW w:w="4854" w:type="dxa"/>
            <w:gridSpan w:val="3"/>
          </w:tcPr>
          <w:p w14:paraId="34C95147" w14:textId="565B740D" w:rsidR="009D35B5" w:rsidRPr="003B1BE0" w:rsidRDefault="004F5D58" w:rsidP="009D35B5">
            <w:pPr>
              <w:tabs>
                <w:tab w:val="right" w:pos="0"/>
                <w:tab w:val="left" w:pos="4253"/>
              </w:tabs>
              <w:spacing w:line="360" w:lineRule="auto"/>
              <w:contextualSpacing/>
              <w:jc w:val="right"/>
              <w:rPr>
                <w:rFonts w:cs="Arial"/>
                <w:szCs w:val="22"/>
              </w:rPr>
            </w:pPr>
            <w:r w:rsidRPr="003B1BE0">
              <w:rPr>
                <w:rFonts w:cs="Arial"/>
                <w:szCs w:val="22"/>
              </w:rPr>
              <w:t xml:space="preserve">2 </w:t>
            </w:r>
            <w:r w:rsidR="00C93FBD" w:rsidRPr="003B1BE0">
              <w:rPr>
                <w:rFonts w:cs="Arial"/>
                <w:szCs w:val="22"/>
              </w:rPr>
              <w:t>OCTOBER 2023</w:t>
            </w:r>
          </w:p>
        </w:tc>
      </w:tr>
      <w:tr w:rsidR="009D35B5" w:rsidRPr="003B1BE0" w14:paraId="757AA656" w14:textId="77777777" w:rsidTr="0053293A">
        <w:tc>
          <w:tcPr>
            <w:tcW w:w="3651" w:type="dxa"/>
          </w:tcPr>
          <w:p w14:paraId="05387251" w14:textId="5A778948" w:rsidR="009D35B5" w:rsidRPr="003B1BE0" w:rsidRDefault="009D35B5" w:rsidP="002C2E80">
            <w:pPr>
              <w:tabs>
                <w:tab w:val="right" w:pos="0"/>
                <w:tab w:val="left" w:pos="4253"/>
              </w:tabs>
              <w:spacing w:line="360" w:lineRule="auto"/>
              <w:contextualSpacing/>
              <w:rPr>
                <w:rFonts w:cs="Arial"/>
                <w:szCs w:val="22"/>
              </w:rPr>
            </w:pPr>
            <w:r w:rsidRPr="003B1BE0">
              <w:rPr>
                <w:rFonts w:cs="Arial"/>
                <w:szCs w:val="22"/>
              </w:rPr>
              <w:t>DATE OF JUDGMENT:</w:t>
            </w:r>
          </w:p>
        </w:tc>
        <w:tc>
          <w:tcPr>
            <w:tcW w:w="4854" w:type="dxa"/>
            <w:gridSpan w:val="3"/>
          </w:tcPr>
          <w:p w14:paraId="61863A62" w14:textId="5B59100F" w:rsidR="009D35B5" w:rsidRPr="003B1BE0" w:rsidRDefault="00BF4ABF" w:rsidP="009D35B5">
            <w:pPr>
              <w:tabs>
                <w:tab w:val="right" w:pos="0"/>
                <w:tab w:val="left" w:pos="4253"/>
              </w:tabs>
              <w:spacing w:line="360" w:lineRule="auto"/>
              <w:contextualSpacing/>
              <w:jc w:val="right"/>
              <w:rPr>
                <w:rFonts w:cs="Arial"/>
                <w:szCs w:val="22"/>
              </w:rPr>
            </w:pPr>
            <w:r>
              <w:rPr>
                <w:rFonts w:cs="Arial"/>
                <w:szCs w:val="22"/>
              </w:rPr>
              <w:t>9</w:t>
            </w:r>
            <w:r w:rsidR="004F5D58" w:rsidRPr="003B1BE0">
              <w:rPr>
                <w:rFonts w:cs="Arial"/>
                <w:szCs w:val="22"/>
              </w:rPr>
              <w:t xml:space="preserve"> </w:t>
            </w:r>
            <w:r w:rsidR="00A97BBC" w:rsidRPr="003B1BE0">
              <w:rPr>
                <w:rFonts w:cs="Arial"/>
                <w:szCs w:val="22"/>
              </w:rPr>
              <w:t>OCTOBER</w:t>
            </w:r>
            <w:r w:rsidR="00051A2B" w:rsidRPr="003B1BE0">
              <w:rPr>
                <w:rFonts w:cs="Arial"/>
                <w:szCs w:val="22"/>
              </w:rPr>
              <w:t xml:space="preserve"> 2023</w:t>
            </w:r>
          </w:p>
        </w:tc>
      </w:tr>
    </w:tbl>
    <w:p w14:paraId="1BD8F4EB" w14:textId="5263C90B" w:rsidR="00A402F6" w:rsidRPr="003B1BE0" w:rsidRDefault="00A402F6" w:rsidP="00DC1DED">
      <w:pPr>
        <w:tabs>
          <w:tab w:val="right" w:pos="8647"/>
        </w:tabs>
        <w:spacing w:line="360" w:lineRule="auto"/>
        <w:contextualSpacing/>
        <w:jc w:val="both"/>
        <w:rPr>
          <w:rFonts w:cs="Arial"/>
          <w:szCs w:val="22"/>
        </w:rPr>
      </w:pPr>
    </w:p>
    <w:sectPr w:rsidR="00A402F6" w:rsidRPr="003B1BE0"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B851B" w14:textId="77777777" w:rsidR="00C14C85" w:rsidRDefault="00C14C85">
      <w:r>
        <w:separator/>
      </w:r>
    </w:p>
  </w:endnote>
  <w:endnote w:type="continuationSeparator" w:id="0">
    <w:p w14:paraId="37E89EB1" w14:textId="77777777" w:rsidR="00C14C85" w:rsidRDefault="00C1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VerdanaRegular">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0314" w14:textId="77777777" w:rsidR="00C14C85" w:rsidRDefault="00C14C85">
      <w:r>
        <w:separator/>
      </w:r>
    </w:p>
  </w:footnote>
  <w:footnote w:type="continuationSeparator" w:id="0">
    <w:p w14:paraId="2824A9FE" w14:textId="77777777" w:rsidR="00C14C85" w:rsidRDefault="00C14C85">
      <w:r>
        <w:continuationSeparator/>
      </w:r>
    </w:p>
  </w:footnote>
  <w:footnote w:id="1">
    <w:p w14:paraId="45AC1E52" w14:textId="31A3C9F0" w:rsidR="00E84882" w:rsidRDefault="00E84882">
      <w:pPr>
        <w:pStyle w:val="FootnoteText"/>
      </w:pPr>
      <w:r>
        <w:rPr>
          <w:rStyle w:val="FootnoteReference"/>
        </w:rPr>
        <w:footnoteRef/>
      </w:r>
      <w:r>
        <w:t xml:space="preserve"> </w:t>
      </w:r>
      <w:r>
        <w:tab/>
        <w:t>Provisional liquidators were appointed on 28 March 2022. The special resolution was registered on 9 November 2021.</w:t>
      </w:r>
    </w:p>
  </w:footnote>
  <w:footnote w:id="2">
    <w:p w14:paraId="650893DC" w14:textId="3EF8FBA5" w:rsidR="00942A7D" w:rsidRPr="00A33484" w:rsidRDefault="00942A7D" w:rsidP="00301C2F">
      <w:pPr>
        <w:pStyle w:val="FootnoteText"/>
      </w:pPr>
      <w:r>
        <w:rPr>
          <w:rStyle w:val="FootnoteReference"/>
        </w:rPr>
        <w:footnoteRef/>
      </w:r>
      <w:r>
        <w:t xml:space="preserve"> </w:t>
      </w:r>
      <w:r>
        <w:tab/>
      </w:r>
      <w:r w:rsidRPr="00F86128">
        <w:rPr>
          <w:rFonts w:cs="Arial"/>
          <w:i/>
          <w:iCs/>
          <w:color w:val="000000" w:themeColor="text1"/>
          <w:shd w:val="clear" w:color="auto" w:fill="FFFFFF"/>
        </w:rPr>
        <w:t>Gross v Commercial Union Assurance Co Ltd</w:t>
      </w:r>
      <w:r w:rsidRPr="00F86128">
        <w:rPr>
          <w:rFonts w:cs="Arial"/>
          <w:color w:val="000000" w:themeColor="text1"/>
          <w:shd w:val="clear" w:color="auto" w:fill="FFFFFF"/>
        </w:rPr>
        <w:t> </w:t>
      </w:r>
      <w:hyperlink r:id="rId1" w:anchor="y1974v1SApg630" w:history="1">
        <w:r w:rsidRPr="00F86128">
          <w:rPr>
            <w:rStyle w:val="Hyperlink"/>
            <w:rFonts w:cs="Arial"/>
            <w:color w:val="000000" w:themeColor="text1"/>
            <w:u w:val="none"/>
            <w:shd w:val="clear" w:color="auto" w:fill="FFFFFF"/>
          </w:rPr>
          <w:t>1974 (1) SA 630 (A)</w:t>
        </w:r>
      </w:hyperlink>
      <w:r w:rsidRPr="00F86128">
        <w:rPr>
          <w:rFonts w:cs="Arial"/>
          <w:color w:val="000000" w:themeColor="text1"/>
          <w:shd w:val="clear" w:color="auto" w:fill="FFFFFF"/>
        </w:rPr>
        <w:t xml:space="preserve"> 634E</w:t>
      </w:r>
      <w:r>
        <w:rPr>
          <w:rFonts w:cs="Arial"/>
          <w:color w:val="000000" w:themeColor="text1"/>
          <w:shd w:val="clear" w:color="auto" w:fill="FFFFFF"/>
        </w:rPr>
        <w:t>.</w:t>
      </w:r>
      <w:r w:rsidR="00A33484">
        <w:rPr>
          <w:rFonts w:cs="Arial"/>
          <w:color w:val="000000" w:themeColor="text1"/>
          <w:shd w:val="clear" w:color="auto" w:fill="FFFFFF"/>
        </w:rPr>
        <w:t xml:space="preserve"> See the discussion of rule 10 of the uniform rules by </w:t>
      </w:r>
      <w:r w:rsidR="00A33484">
        <w:t xml:space="preserve">van Loggerenberg </w:t>
      </w:r>
      <w:r w:rsidR="00A33484" w:rsidRPr="00571FEB">
        <w:rPr>
          <w:i/>
          <w:iCs/>
        </w:rPr>
        <w:t>Erasmus: Superior Court Practice</w:t>
      </w:r>
      <w:r w:rsidR="00A33484">
        <w:rPr>
          <w:i/>
          <w:iCs/>
        </w:rPr>
        <w:t xml:space="preserve"> </w:t>
      </w:r>
      <w:r w:rsidR="00A33484">
        <w:t>D1-123.</w:t>
      </w:r>
    </w:p>
  </w:footnote>
  <w:footnote w:id="3">
    <w:p w14:paraId="5C344F87" w14:textId="24DEBB32" w:rsidR="00A451FC" w:rsidRDefault="00A451FC" w:rsidP="00301C2F">
      <w:pPr>
        <w:pStyle w:val="FootnoteText"/>
      </w:pPr>
      <w:r>
        <w:rPr>
          <w:rStyle w:val="FootnoteReference"/>
        </w:rPr>
        <w:footnoteRef/>
      </w:r>
      <w:r>
        <w:t xml:space="preserve"> </w:t>
      </w:r>
      <w:r>
        <w:tab/>
      </w:r>
      <w:r w:rsidRPr="0024684E">
        <w:rPr>
          <w:i/>
          <w:iCs/>
        </w:rPr>
        <w:t xml:space="preserve">United Watch &amp; Diamond Co (Pty) Ltd and Others v Disa Hotels Ltd and Another </w:t>
      </w:r>
      <w:r w:rsidRPr="0024684E">
        <w:t>1972 (4) SA 409 (C)</w:t>
      </w:r>
      <w:r>
        <w:t xml:space="preserve"> 415E – 416A.</w:t>
      </w:r>
      <w:r w:rsidR="00472150">
        <w:t xml:space="preserve"> See also </w:t>
      </w:r>
      <w:r w:rsidR="00472150" w:rsidRPr="00CA5B71">
        <w:rPr>
          <w:i/>
          <w:iCs/>
        </w:rPr>
        <w:t>Judicial Service Commission v Cape Bar Council</w:t>
      </w:r>
      <w:r w:rsidR="00472150" w:rsidRPr="00CA5B71">
        <w:t xml:space="preserve"> 2013 (1) SA 170 (SCA) 176</w:t>
      </w:r>
      <w:r w:rsidR="00472150">
        <w:t xml:space="preserve"> </w:t>
      </w:r>
      <w:r w:rsidR="00472150" w:rsidRPr="00CA5B71">
        <w:t>I</w:t>
      </w:r>
      <w:r w:rsidR="00472150">
        <w:t xml:space="preserve"> </w:t>
      </w:r>
      <w:r w:rsidR="00472150" w:rsidRPr="00CA5B71">
        <w:t>–</w:t>
      </w:r>
      <w:r w:rsidR="00472150">
        <w:t xml:space="preserve"> </w:t>
      </w:r>
      <w:r w:rsidR="00472150" w:rsidRPr="00CA5B71">
        <w:t>177A</w:t>
      </w:r>
      <w:r w:rsidR="00472150">
        <w:t>.</w:t>
      </w:r>
    </w:p>
  </w:footnote>
  <w:footnote w:id="4">
    <w:p w14:paraId="1EC8379A" w14:textId="208C0FD3" w:rsidR="00A42670" w:rsidRPr="00110D83" w:rsidRDefault="00A42670">
      <w:pPr>
        <w:pStyle w:val="FootnoteText"/>
        <w:rPr>
          <w:i/>
          <w:iCs/>
        </w:rPr>
      </w:pPr>
      <w:r>
        <w:rPr>
          <w:rStyle w:val="FootnoteReference"/>
        </w:rPr>
        <w:footnoteRef/>
      </w:r>
      <w:r>
        <w:t xml:space="preserve"> </w:t>
      </w:r>
      <w:r>
        <w:tab/>
      </w:r>
      <w:r w:rsidR="00110D83">
        <w:t xml:space="preserve">Dendy &amp; Loots </w:t>
      </w:r>
      <w:r w:rsidR="00110D83">
        <w:rPr>
          <w:i/>
          <w:iCs/>
        </w:rPr>
        <w:t xml:space="preserve">Herbstein and Van Winsen: The Civil Practice of the Superior Courts of South Africa </w:t>
      </w:r>
      <w:r w:rsidR="00110D83" w:rsidRPr="00110D83">
        <w:t>6</w:t>
      </w:r>
      <w:r w:rsidR="00110D83" w:rsidRPr="00110D83">
        <w:rPr>
          <w:vertAlign w:val="superscript"/>
        </w:rPr>
        <w:t>th</w:t>
      </w:r>
      <w:r w:rsidR="00110D83" w:rsidRPr="00110D83">
        <w:t xml:space="preserve"> ed. 2022</w:t>
      </w:r>
      <w:r w:rsidR="00110D83">
        <w:t xml:space="preserve"> para 2.4.1.</w:t>
      </w:r>
    </w:p>
  </w:footnote>
  <w:footnote w:id="5">
    <w:p w14:paraId="7ADD7ECB" w14:textId="74C50A39" w:rsidR="00FF79F2" w:rsidRDefault="00FF79F2" w:rsidP="00620A99">
      <w:pPr>
        <w:pStyle w:val="FootnoteText"/>
      </w:pPr>
      <w:r>
        <w:rPr>
          <w:rStyle w:val="FootnoteReference"/>
        </w:rPr>
        <w:footnoteRef/>
      </w:r>
      <w:r>
        <w:t xml:space="preserve"> </w:t>
      </w:r>
      <w:r>
        <w:tab/>
        <w:t xml:space="preserve">Rule 10(1) and (3). See </w:t>
      </w:r>
      <w:r w:rsidRPr="00201209">
        <w:rPr>
          <w:i/>
          <w:iCs/>
        </w:rPr>
        <w:t>Ex parte Sudurhavid (Pty) Ltd: In re Namibia Marine Resources (Pty) Ltd v Ferina (Pty) Ltd</w:t>
      </w:r>
      <w:r w:rsidRPr="00201209">
        <w:t xml:space="preserve"> 1993 (2) SA 737 (Nm) 740C to 741F</w:t>
      </w:r>
      <w:r>
        <w:rPr>
          <w:rFonts w:ascii="VerdanaRegular" w:hAnsi="VerdanaRegular" w:cs="VerdanaRegular"/>
          <w:color w:val="000000"/>
          <w:sz w:val="16"/>
          <w:szCs w:val="16"/>
        </w:rPr>
        <w:t>.</w:t>
      </w:r>
    </w:p>
  </w:footnote>
  <w:footnote w:id="6">
    <w:p w14:paraId="06D83EA4" w14:textId="77777777" w:rsidR="009267A4" w:rsidRDefault="009267A4" w:rsidP="009267A4">
      <w:pPr>
        <w:pStyle w:val="FootnoteText"/>
      </w:pPr>
      <w:r>
        <w:rPr>
          <w:rStyle w:val="FootnoteReference"/>
        </w:rPr>
        <w:footnoteRef/>
      </w:r>
      <w:r>
        <w:t xml:space="preserve"> </w:t>
      </w:r>
      <w:r>
        <w:tab/>
      </w:r>
      <w:r w:rsidRPr="004C50D8">
        <w:rPr>
          <w:rFonts w:cs="Arial"/>
        </w:rPr>
        <w:t xml:space="preserve">See </w:t>
      </w:r>
      <w:r w:rsidRPr="004C50D8">
        <w:rPr>
          <w:rFonts w:cs="Arial"/>
          <w:i/>
          <w:iCs/>
        </w:rPr>
        <w:t>Grancy Property Limited and Another v Gihwala and Others;</w:t>
      </w:r>
      <w:r>
        <w:rPr>
          <w:rFonts w:cs="Arial"/>
          <w:i/>
          <w:iCs/>
        </w:rPr>
        <w:t xml:space="preserve"> </w:t>
      </w:r>
      <w:r w:rsidRPr="004C50D8">
        <w:rPr>
          <w:rFonts w:cs="Arial"/>
          <w:i/>
          <w:iCs/>
        </w:rPr>
        <w:t>In Re: Grancy Property Limited and Another v Gihwala and Others</w:t>
      </w:r>
      <w:r w:rsidRPr="004C50D8">
        <w:rPr>
          <w:rFonts w:cs="Arial"/>
        </w:rPr>
        <w:t xml:space="preserve"> [2014] ZAWCHC 97 para 104, Delport et al </w:t>
      </w:r>
      <w:r w:rsidRPr="004C50D8">
        <w:rPr>
          <w:rFonts w:cs="Arial"/>
          <w:i/>
          <w:iCs/>
        </w:rPr>
        <w:t>Henochsberg on the Companies Act 71 of 2008</w:t>
      </w:r>
      <w:r w:rsidRPr="004C50D8">
        <w:rPr>
          <w:rFonts w:cs="Arial"/>
        </w:rPr>
        <w:t xml:space="preserve"> 118(1), 303</w:t>
      </w:r>
      <w:r>
        <w:rPr>
          <w:rFonts w:cs="Arial"/>
        </w:rPr>
        <w:t xml:space="preserve">, </w:t>
      </w:r>
      <w:r w:rsidRPr="004C50D8">
        <w:rPr>
          <w:rFonts w:cs="Arial"/>
        </w:rPr>
        <w:t>309,</w:t>
      </w:r>
      <w:r>
        <w:rPr>
          <w:rFonts w:cs="Arial"/>
        </w:rPr>
        <w:t>641 to 645,</w:t>
      </w:r>
      <w:r w:rsidRPr="004C50D8">
        <w:rPr>
          <w:rFonts w:cs="Arial"/>
        </w:rPr>
        <w:t xml:space="preserve"> and sections 22 and 218(2) and (3) of the 2008 Act</w:t>
      </w:r>
      <w:r>
        <w:rPr>
          <w:rFonts w:cs="Arial"/>
        </w:rPr>
        <w:t>.</w:t>
      </w:r>
    </w:p>
  </w:footnote>
  <w:footnote w:id="7">
    <w:p w14:paraId="32478400" w14:textId="77777777" w:rsidR="009267A4" w:rsidRDefault="009267A4" w:rsidP="009267A4">
      <w:pPr>
        <w:pStyle w:val="FootnoteText"/>
      </w:pPr>
      <w:r>
        <w:rPr>
          <w:rStyle w:val="FootnoteReference"/>
        </w:rPr>
        <w:footnoteRef/>
      </w:r>
      <w:r>
        <w:t xml:space="preserve"> </w:t>
      </w:r>
      <w:r>
        <w:tab/>
      </w:r>
      <w:r w:rsidRPr="00CD5715">
        <w:rPr>
          <w:rFonts w:cs="Arial"/>
        </w:rPr>
        <w:t xml:space="preserve">Chapter 14 of the 1973 Act still applies to the winding up of companies by virtue of item 9 of schedule 5 to the 2008 Act. See Delport et al </w:t>
      </w:r>
      <w:r w:rsidRPr="00CD5715">
        <w:rPr>
          <w:rFonts w:cs="Arial"/>
          <w:i/>
          <w:iCs/>
        </w:rPr>
        <w:t>Henochsberg on the Companies Act 71 of 2008</w:t>
      </w:r>
      <w:r w:rsidRPr="00CD5715">
        <w:rPr>
          <w:rFonts w:cs="Arial"/>
        </w:rPr>
        <w:t xml:space="preserve"> Sch-17, and in respect of the 1973 Act Meskin et al</w:t>
      </w:r>
      <w:r w:rsidRPr="00CD5715">
        <w:rPr>
          <w:rFonts w:cs="Arial"/>
          <w:i/>
          <w:iCs/>
        </w:rPr>
        <w:t xml:space="preserve"> Henochsberg on the Companies Act</w:t>
      </w:r>
      <w:r w:rsidRPr="00CD5715">
        <w:rPr>
          <w:rFonts w:cs="Arial"/>
        </w:rPr>
        <w:t xml:space="preserve"> 915. See also </w:t>
      </w:r>
      <w:r w:rsidRPr="00CD5715">
        <w:rPr>
          <w:i/>
          <w:iCs/>
        </w:rPr>
        <w:t>Philotex (Pty) Ltd and Others v Snyman and Others</w:t>
      </w:r>
      <w:r>
        <w:rPr>
          <w:i/>
          <w:iCs/>
        </w:rPr>
        <w:t>;</w:t>
      </w:r>
      <w:r w:rsidRPr="00CD5715">
        <w:rPr>
          <w:i/>
          <w:iCs/>
        </w:rPr>
        <w:t xml:space="preserve"> Braitex (Pty) Ltd and Others v Snyman and Others</w:t>
      </w:r>
      <w:r w:rsidRPr="00CD5715">
        <w:t xml:space="preserve"> 1998 (2) SA 138 (SCA)</w:t>
      </w:r>
      <w:r>
        <w:t>.</w:t>
      </w:r>
      <w:r>
        <w:rPr>
          <w:rFonts w:cs="Arial"/>
        </w:rPr>
        <w:t xml:space="preserve"> </w:t>
      </w:r>
    </w:p>
  </w:footnote>
  <w:footnote w:id="8">
    <w:p w14:paraId="0E90E41A" w14:textId="499EAAE0" w:rsidR="009267A4" w:rsidRPr="009267A4" w:rsidRDefault="009267A4" w:rsidP="009267A4">
      <w:pPr>
        <w:pStyle w:val="FootnoteText"/>
      </w:pPr>
      <w:r>
        <w:rPr>
          <w:rStyle w:val="FootnoteReference"/>
        </w:rPr>
        <w:footnoteRef/>
      </w:r>
      <w:r>
        <w:t xml:space="preserve"> </w:t>
      </w:r>
      <w:r>
        <w:tab/>
      </w:r>
      <w:r w:rsidRPr="00CD5715">
        <w:rPr>
          <w:rFonts w:cs="Arial"/>
        </w:rPr>
        <w:t xml:space="preserve">Delport et al </w:t>
      </w:r>
      <w:r w:rsidRPr="00CD5715">
        <w:rPr>
          <w:rFonts w:cs="Arial"/>
          <w:i/>
          <w:iCs/>
        </w:rPr>
        <w:t>Henochsberg on the Companies Act 71 of 2008</w:t>
      </w:r>
      <w:r>
        <w:rPr>
          <w:rFonts w:cs="Arial"/>
          <w:i/>
          <w:iCs/>
        </w:rPr>
        <w:t xml:space="preserve"> </w:t>
      </w:r>
      <w:r>
        <w:rPr>
          <w:rFonts w:cs="Arial"/>
        </w:rPr>
        <w:t xml:space="preserve">642. See also </w:t>
      </w:r>
      <w:r w:rsidRPr="009267A4">
        <w:rPr>
          <w:rFonts w:cs="Arial"/>
          <w:i/>
          <w:iCs/>
        </w:rPr>
        <w:t>Blue Farm Fashion Limited v Rapitrade 6 (Pty) Ltd and Others</w:t>
      </w:r>
      <w:r>
        <w:rPr>
          <w:rFonts w:cs="Arial"/>
        </w:rPr>
        <w:t xml:space="preserve"> [2016] ZAWCHC 35</w:t>
      </w:r>
      <w:r w:rsidR="005872CF">
        <w:rPr>
          <w:rFonts w:cs="Arial"/>
        </w:rPr>
        <w:t xml:space="preserve"> para 21 (</w:t>
      </w:r>
      <w:r w:rsidR="005872CF" w:rsidRPr="005872CF">
        <w:rPr>
          <w:rFonts w:cs="Arial"/>
          <w:i/>
          <w:iCs/>
        </w:rPr>
        <w:t>obiter</w:t>
      </w:r>
      <w:r w:rsidR="005872CF">
        <w:rPr>
          <w:rFonts w:cs="Arial"/>
        </w:rPr>
        <w:t xml:space="preserve">), </w:t>
      </w:r>
      <w:r w:rsidR="005872CF" w:rsidRPr="005872CF">
        <w:rPr>
          <w:rFonts w:cs="Arial"/>
          <w:i/>
          <w:iCs/>
        </w:rPr>
        <w:t>F</w:t>
      </w:r>
      <w:r w:rsidR="005872CF">
        <w:rPr>
          <w:rFonts w:cs="Arial"/>
          <w:i/>
          <w:iCs/>
        </w:rPr>
        <w:t xml:space="preserve">undstrust (Pty) Ltd (in liquidation) v Van Deventer </w:t>
      </w:r>
      <w:r w:rsidR="005872CF" w:rsidRPr="005872CF">
        <w:rPr>
          <w:rFonts w:cs="Arial"/>
        </w:rPr>
        <w:t>1997 (1) SA710 (A),</w:t>
      </w:r>
      <w:r w:rsidR="005872CF" w:rsidRPr="005872CF">
        <w:rPr>
          <w:rFonts w:cs="Arial"/>
          <w:i/>
          <w:iCs/>
        </w:rPr>
        <w:t xml:space="preserve"> </w:t>
      </w:r>
      <w:r w:rsidR="005872CF">
        <w:rPr>
          <w:rFonts w:cs="Arial"/>
        </w:rPr>
        <w:t xml:space="preserve">and </w:t>
      </w:r>
      <w:r w:rsidR="005872CF" w:rsidRPr="005872CF">
        <w:rPr>
          <w:rFonts w:cs="Arial"/>
          <w:i/>
          <w:iCs/>
        </w:rPr>
        <w:t>Bato</w:t>
      </w:r>
      <w:r w:rsidR="005872CF">
        <w:rPr>
          <w:rFonts w:cs="Arial"/>
          <w:i/>
          <w:iCs/>
        </w:rPr>
        <w:t xml:space="preserve"> Star Fishing (Pty) Ltd v Minister of Environmental Affairs and Others</w:t>
      </w:r>
      <w:r w:rsidR="005872CF" w:rsidRPr="005872CF">
        <w:rPr>
          <w:rFonts w:cs="Arial"/>
          <w:i/>
          <w:iCs/>
        </w:rPr>
        <w:t xml:space="preserve"> </w:t>
      </w:r>
      <w:r w:rsidR="005872CF">
        <w:rPr>
          <w:rFonts w:cs="Arial"/>
        </w:rPr>
        <w:t>2004 (4) SA 490 (CC)</w:t>
      </w:r>
    </w:p>
  </w:footnote>
  <w:footnote w:id="9">
    <w:p w14:paraId="552EC1CE" w14:textId="5E846AF0" w:rsidR="00A23641" w:rsidRDefault="00A23641">
      <w:pPr>
        <w:pStyle w:val="FootnoteText"/>
      </w:pPr>
      <w:r>
        <w:rPr>
          <w:rStyle w:val="FootnoteReference"/>
        </w:rPr>
        <w:footnoteRef/>
      </w:r>
      <w:r>
        <w:t xml:space="preserve"> </w:t>
      </w:r>
      <w:r>
        <w:tab/>
      </w:r>
      <w:r w:rsidRPr="004D5B33">
        <w:t xml:space="preserve">See Rule 6(5)(e) of the </w:t>
      </w:r>
      <w:r>
        <w:t>u</w:t>
      </w:r>
      <w:r w:rsidRPr="004D5B33">
        <w:t xml:space="preserve">niform </w:t>
      </w:r>
      <w:r>
        <w:t>r</w:t>
      </w:r>
      <w:r w:rsidRPr="004D5B33">
        <w:t xml:space="preserve">ules </w:t>
      </w:r>
      <w:r>
        <w:t xml:space="preserve">and </w:t>
      </w:r>
      <w:r w:rsidRPr="00A23641">
        <w:rPr>
          <w:i/>
          <w:iCs/>
        </w:rPr>
        <w:t>Standard Bank of SA Ltd v Sewpersadh and Another</w:t>
      </w:r>
      <w:r w:rsidRPr="00A23641">
        <w:rPr>
          <w:i/>
          <w:iCs/>
        </w:rPr>
        <w:br/>
      </w:r>
      <w:r w:rsidRPr="004D5B33">
        <w:t>2005 (4) SA 148 (C)</w:t>
      </w:r>
      <w:r>
        <w:t xml:space="preserve"> para 21.</w:t>
      </w:r>
    </w:p>
  </w:footnote>
  <w:footnote w:id="10">
    <w:p w14:paraId="11747C09" w14:textId="314672BD" w:rsidR="00D00531" w:rsidRDefault="00D00531">
      <w:pPr>
        <w:pStyle w:val="FootnoteText"/>
      </w:pPr>
      <w:r>
        <w:rPr>
          <w:rStyle w:val="FootnoteReference"/>
        </w:rPr>
        <w:footnoteRef/>
      </w:r>
      <w:r>
        <w:t xml:space="preserve"> </w:t>
      </w:r>
      <w:r>
        <w:tab/>
      </w:r>
      <w:r w:rsidRPr="00AE5ED9">
        <w:rPr>
          <w:i/>
          <w:iCs/>
        </w:rPr>
        <w:t>Plascon-Evans Paints Ltd v Van Riebeeck Paints (Pty) Ltd</w:t>
      </w:r>
      <w:r>
        <w:t xml:space="preserve"> </w:t>
      </w:r>
      <w:r w:rsidRPr="00AE5ED9">
        <w:t>1984 (3) SA 623 (A)</w:t>
      </w:r>
      <w:r>
        <w:t xml:space="preserve"> 634C to 635C.</w:t>
      </w:r>
    </w:p>
  </w:footnote>
  <w:footnote w:id="11">
    <w:p w14:paraId="6D577E02" w14:textId="0CEF8D6D" w:rsidR="0075418B" w:rsidRDefault="0075418B">
      <w:pPr>
        <w:pStyle w:val="FootnoteText"/>
      </w:pPr>
      <w:r>
        <w:rPr>
          <w:rStyle w:val="FootnoteReference"/>
        </w:rPr>
        <w:footnoteRef/>
      </w:r>
      <w:r>
        <w:t xml:space="preserve"> </w:t>
      </w:r>
      <w:r>
        <w:tab/>
      </w:r>
      <w:r w:rsidRPr="004D218E">
        <w:rPr>
          <w:i/>
          <w:iCs/>
        </w:rPr>
        <w:t>OK Bazaars (1929) Ltd and Others v Stern and Ekermans</w:t>
      </w:r>
      <w:r>
        <w:t xml:space="preserve"> </w:t>
      </w:r>
      <w:r w:rsidRPr="004D218E">
        <w:t>1976 (2) SA 521 (C)</w:t>
      </w:r>
      <w:r>
        <w:t>.</w:t>
      </w:r>
    </w:p>
  </w:footnote>
  <w:footnote w:id="12">
    <w:p w14:paraId="5E29F767" w14:textId="2C3F58C7" w:rsidR="009267A4" w:rsidRPr="009267A4" w:rsidRDefault="009267A4">
      <w:pPr>
        <w:pStyle w:val="FootnoteText"/>
      </w:pPr>
      <w:r>
        <w:rPr>
          <w:rStyle w:val="FootnoteReference"/>
        </w:rPr>
        <w:footnoteRef/>
      </w:r>
      <w:r>
        <w:t xml:space="preserve"> </w:t>
      </w:r>
      <w:r>
        <w:tab/>
      </w:r>
      <w:r w:rsidRPr="00CD5715">
        <w:rPr>
          <w:rFonts w:cs="Arial"/>
        </w:rPr>
        <w:t xml:space="preserve">Delport et al </w:t>
      </w:r>
      <w:r w:rsidRPr="00CD5715">
        <w:rPr>
          <w:rFonts w:cs="Arial"/>
          <w:i/>
          <w:iCs/>
        </w:rPr>
        <w:t>Henochsberg on the Companies Act 71 of 2008</w:t>
      </w:r>
      <w:r>
        <w:rPr>
          <w:rFonts w:cs="Arial"/>
          <w:i/>
          <w:iCs/>
        </w:rPr>
        <w:t xml:space="preserve"> </w:t>
      </w:r>
      <w:r>
        <w:rPr>
          <w:rFonts w:cs="Arial"/>
        </w:rPr>
        <w:t>641.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63F14D2B"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3E3D72">
      <w:rPr>
        <w:rFonts w:cs="Arial"/>
        <w:noProof/>
        <w:sz w:val="20"/>
        <w:szCs w:val="20"/>
        <w:lang w:val="en-GB"/>
      </w:rPr>
      <w:t>8</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1"/>
  </w:num>
  <w:num w:numId="4">
    <w:abstractNumId w:val="5"/>
  </w:num>
  <w:num w:numId="5">
    <w:abstractNumId w:val="10"/>
  </w:num>
  <w:num w:numId="6">
    <w:abstractNumId w:val="8"/>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1138"/>
    <w:rsid w:val="00006113"/>
    <w:rsid w:val="0001111B"/>
    <w:rsid w:val="0001140A"/>
    <w:rsid w:val="00011522"/>
    <w:rsid w:val="00013B7F"/>
    <w:rsid w:val="00014506"/>
    <w:rsid w:val="00015D74"/>
    <w:rsid w:val="00024A29"/>
    <w:rsid w:val="000262B3"/>
    <w:rsid w:val="00030A89"/>
    <w:rsid w:val="000325E2"/>
    <w:rsid w:val="00047F26"/>
    <w:rsid w:val="00050086"/>
    <w:rsid w:val="000504F1"/>
    <w:rsid w:val="00051A2B"/>
    <w:rsid w:val="00063F7B"/>
    <w:rsid w:val="000737E1"/>
    <w:rsid w:val="00073E30"/>
    <w:rsid w:val="00076E19"/>
    <w:rsid w:val="000805FA"/>
    <w:rsid w:val="00081716"/>
    <w:rsid w:val="000833BB"/>
    <w:rsid w:val="00087AE6"/>
    <w:rsid w:val="00092591"/>
    <w:rsid w:val="0009488C"/>
    <w:rsid w:val="00097968"/>
    <w:rsid w:val="000A1522"/>
    <w:rsid w:val="000A39BA"/>
    <w:rsid w:val="000A6AD8"/>
    <w:rsid w:val="000A7534"/>
    <w:rsid w:val="000B21DA"/>
    <w:rsid w:val="000B32C7"/>
    <w:rsid w:val="000C3DDE"/>
    <w:rsid w:val="000D5760"/>
    <w:rsid w:val="000D7D6A"/>
    <w:rsid w:val="000E1EC8"/>
    <w:rsid w:val="000E5343"/>
    <w:rsid w:val="000F376A"/>
    <w:rsid w:val="000F59F8"/>
    <w:rsid w:val="000F7039"/>
    <w:rsid w:val="001025B5"/>
    <w:rsid w:val="00104142"/>
    <w:rsid w:val="00110D83"/>
    <w:rsid w:val="0011253D"/>
    <w:rsid w:val="001140EC"/>
    <w:rsid w:val="001142D1"/>
    <w:rsid w:val="00120C79"/>
    <w:rsid w:val="00120FB1"/>
    <w:rsid w:val="00123433"/>
    <w:rsid w:val="00130253"/>
    <w:rsid w:val="00133E81"/>
    <w:rsid w:val="00140CED"/>
    <w:rsid w:val="00141199"/>
    <w:rsid w:val="00142ED6"/>
    <w:rsid w:val="00145F25"/>
    <w:rsid w:val="00147FF5"/>
    <w:rsid w:val="00152899"/>
    <w:rsid w:val="00154961"/>
    <w:rsid w:val="00155A21"/>
    <w:rsid w:val="001671C1"/>
    <w:rsid w:val="00171182"/>
    <w:rsid w:val="0017124B"/>
    <w:rsid w:val="00171D7F"/>
    <w:rsid w:val="00172DDF"/>
    <w:rsid w:val="00175051"/>
    <w:rsid w:val="00177531"/>
    <w:rsid w:val="00185ACF"/>
    <w:rsid w:val="00190579"/>
    <w:rsid w:val="001916C4"/>
    <w:rsid w:val="00192F78"/>
    <w:rsid w:val="00196E14"/>
    <w:rsid w:val="001A5145"/>
    <w:rsid w:val="001A522A"/>
    <w:rsid w:val="001A67C6"/>
    <w:rsid w:val="001A7904"/>
    <w:rsid w:val="001B1D39"/>
    <w:rsid w:val="001B4217"/>
    <w:rsid w:val="001B498E"/>
    <w:rsid w:val="001B5D3E"/>
    <w:rsid w:val="001B606B"/>
    <w:rsid w:val="001B729C"/>
    <w:rsid w:val="001C0755"/>
    <w:rsid w:val="001C285B"/>
    <w:rsid w:val="001C7D7D"/>
    <w:rsid w:val="001D35F8"/>
    <w:rsid w:val="001D3CC2"/>
    <w:rsid w:val="001E2EED"/>
    <w:rsid w:val="001E518E"/>
    <w:rsid w:val="001F0A29"/>
    <w:rsid w:val="001F3DBD"/>
    <w:rsid w:val="001F648A"/>
    <w:rsid w:val="00201620"/>
    <w:rsid w:val="00205392"/>
    <w:rsid w:val="002104BF"/>
    <w:rsid w:val="00215824"/>
    <w:rsid w:val="0021660F"/>
    <w:rsid w:val="00216BC8"/>
    <w:rsid w:val="002208C5"/>
    <w:rsid w:val="0022218D"/>
    <w:rsid w:val="00222343"/>
    <w:rsid w:val="00226926"/>
    <w:rsid w:val="00232528"/>
    <w:rsid w:val="00234C42"/>
    <w:rsid w:val="00235D20"/>
    <w:rsid w:val="00237FF9"/>
    <w:rsid w:val="002409CA"/>
    <w:rsid w:val="00241FCE"/>
    <w:rsid w:val="00250164"/>
    <w:rsid w:val="00253F38"/>
    <w:rsid w:val="002625C5"/>
    <w:rsid w:val="00262819"/>
    <w:rsid w:val="00285040"/>
    <w:rsid w:val="00285062"/>
    <w:rsid w:val="00285F28"/>
    <w:rsid w:val="00290C5C"/>
    <w:rsid w:val="0029369B"/>
    <w:rsid w:val="002976B8"/>
    <w:rsid w:val="002A030C"/>
    <w:rsid w:val="002A4B7B"/>
    <w:rsid w:val="002C15AC"/>
    <w:rsid w:val="002C2E80"/>
    <w:rsid w:val="002C4687"/>
    <w:rsid w:val="002D2842"/>
    <w:rsid w:val="002D300B"/>
    <w:rsid w:val="002D47B3"/>
    <w:rsid w:val="002D7E6C"/>
    <w:rsid w:val="002E1B51"/>
    <w:rsid w:val="002E5B57"/>
    <w:rsid w:val="002E6CD7"/>
    <w:rsid w:val="002E7F8D"/>
    <w:rsid w:val="002F1C4D"/>
    <w:rsid w:val="002F4115"/>
    <w:rsid w:val="002F60E1"/>
    <w:rsid w:val="002F72D3"/>
    <w:rsid w:val="00301C2F"/>
    <w:rsid w:val="00302290"/>
    <w:rsid w:val="00302C31"/>
    <w:rsid w:val="00303919"/>
    <w:rsid w:val="003047C2"/>
    <w:rsid w:val="0030653F"/>
    <w:rsid w:val="0030744F"/>
    <w:rsid w:val="003102C8"/>
    <w:rsid w:val="0031117B"/>
    <w:rsid w:val="00312EBC"/>
    <w:rsid w:val="00313056"/>
    <w:rsid w:val="00316973"/>
    <w:rsid w:val="00323204"/>
    <w:rsid w:val="00337135"/>
    <w:rsid w:val="0034147B"/>
    <w:rsid w:val="00342E02"/>
    <w:rsid w:val="00345CED"/>
    <w:rsid w:val="003463D6"/>
    <w:rsid w:val="00346D31"/>
    <w:rsid w:val="00346DE6"/>
    <w:rsid w:val="003543C5"/>
    <w:rsid w:val="00354EF2"/>
    <w:rsid w:val="00357081"/>
    <w:rsid w:val="00357D35"/>
    <w:rsid w:val="00363FCD"/>
    <w:rsid w:val="00364C43"/>
    <w:rsid w:val="00364E6A"/>
    <w:rsid w:val="003676CF"/>
    <w:rsid w:val="00367720"/>
    <w:rsid w:val="00367778"/>
    <w:rsid w:val="0037029D"/>
    <w:rsid w:val="00373181"/>
    <w:rsid w:val="00381213"/>
    <w:rsid w:val="003832F7"/>
    <w:rsid w:val="003840EC"/>
    <w:rsid w:val="00390891"/>
    <w:rsid w:val="00390C3F"/>
    <w:rsid w:val="00393127"/>
    <w:rsid w:val="003A13D9"/>
    <w:rsid w:val="003A7864"/>
    <w:rsid w:val="003B0E80"/>
    <w:rsid w:val="003B1BE0"/>
    <w:rsid w:val="003B4100"/>
    <w:rsid w:val="003B57A4"/>
    <w:rsid w:val="003C1A16"/>
    <w:rsid w:val="003C1E91"/>
    <w:rsid w:val="003D12B2"/>
    <w:rsid w:val="003D19C3"/>
    <w:rsid w:val="003D36F9"/>
    <w:rsid w:val="003D77F1"/>
    <w:rsid w:val="003E3D72"/>
    <w:rsid w:val="003E562A"/>
    <w:rsid w:val="003E7A60"/>
    <w:rsid w:val="003F1F49"/>
    <w:rsid w:val="003F7448"/>
    <w:rsid w:val="00407F28"/>
    <w:rsid w:val="0041100A"/>
    <w:rsid w:val="004131C5"/>
    <w:rsid w:val="004234F4"/>
    <w:rsid w:val="0042423E"/>
    <w:rsid w:val="00424BA6"/>
    <w:rsid w:val="004339E6"/>
    <w:rsid w:val="0043683A"/>
    <w:rsid w:val="00437EB1"/>
    <w:rsid w:val="00441422"/>
    <w:rsid w:val="00444ED6"/>
    <w:rsid w:val="00445DCB"/>
    <w:rsid w:val="0045044C"/>
    <w:rsid w:val="00460495"/>
    <w:rsid w:val="00460EEA"/>
    <w:rsid w:val="004630B6"/>
    <w:rsid w:val="00463106"/>
    <w:rsid w:val="00466300"/>
    <w:rsid w:val="00472150"/>
    <w:rsid w:val="00474607"/>
    <w:rsid w:val="00474910"/>
    <w:rsid w:val="004749AF"/>
    <w:rsid w:val="00475410"/>
    <w:rsid w:val="00484116"/>
    <w:rsid w:val="0048424E"/>
    <w:rsid w:val="00486F42"/>
    <w:rsid w:val="00487D14"/>
    <w:rsid w:val="004A2C7E"/>
    <w:rsid w:val="004A6625"/>
    <w:rsid w:val="004A69D6"/>
    <w:rsid w:val="004A796C"/>
    <w:rsid w:val="004A7DFE"/>
    <w:rsid w:val="004B21D9"/>
    <w:rsid w:val="004B2E2C"/>
    <w:rsid w:val="004C0CE3"/>
    <w:rsid w:val="004C368B"/>
    <w:rsid w:val="004D0599"/>
    <w:rsid w:val="004D1A31"/>
    <w:rsid w:val="004D262A"/>
    <w:rsid w:val="004D2C6F"/>
    <w:rsid w:val="004D2E01"/>
    <w:rsid w:val="004E2E61"/>
    <w:rsid w:val="004E3305"/>
    <w:rsid w:val="004E568C"/>
    <w:rsid w:val="004E5AD8"/>
    <w:rsid w:val="004E7247"/>
    <w:rsid w:val="004F0806"/>
    <w:rsid w:val="004F12D8"/>
    <w:rsid w:val="004F22A6"/>
    <w:rsid w:val="004F4A37"/>
    <w:rsid w:val="004F4D7D"/>
    <w:rsid w:val="004F5D58"/>
    <w:rsid w:val="004F7551"/>
    <w:rsid w:val="00500786"/>
    <w:rsid w:val="00504B53"/>
    <w:rsid w:val="00505202"/>
    <w:rsid w:val="0051015D"/>
    <w:rsid w:val="0051292D"/>
    <w:rsid w:val="00513307"/>
    <w:rsid w:val="0051442D"/>
    <w:rsid w:val="0051622D"/>
    <w:rsid w:val="00517067"/>
    <w:rsid w:val="005219EB"/>
    <w:rsid w:val="005262C2"/>
    <w:rsid w:val="0052705A"/>
    <w:rsid w:val="0053293A"/>
    <w:rsid w:val="00537A72"/>
    <w:rsid w:val="005405F8"/>
    <w:rsid w:val="00546878"/>
    <w:rsid w:val="005509BE"/>
    <w:rsid w:val="00560E18"/>
    <w:rsid w:val="00565327"/>
    <w:rsid w:val="00571E81"/>
    <w:rsid w:val="00571FEB"/>
    <w:rsid w:val="00573FF9"/>
    <w:rsid w:val="00576B16"/>
    <w:rsid w:val="005872CF"/>
    <w:rsid w:val="00590448"/>
    <w:rsid w:val="00597FDD"/>
    <w:rsid w:val="005A313A"/>
    <w:rsid w:val="005A680F"/>
    <w:rsid w:val="005B07CB"/>
    <w:rsid w:val="005B0E76"/>
    <w:rsid w:val="005B2FF9"/>
    <w:rsid w:val="005B696E"/>
    <w:rsid w:val="005B6D81"/>
    <w:rsid w:val="005B7DD3"/>
    <w:rsid w:val="005C50F5"/>
    <w:rsid w:val="005C7FC2"/>
    <w:rsid w:val="005D2408"/>
    <w:rsid w:val="005D2BE9"/>
    <w:rsid w:val="005D522E"/>
    <w:rsid w:val="005D6122"/>
    <w:rsid w:val="005D6E80"/>
    <w:rsid w:val="005D73A7"/>
    <w:rsid w:val="005E23E3"/>
    <w:rsid w:val="005E2F7B"/>
    <w:rsid w:val="005E3C94"/>
    <w:rsid w:val="005E5C01"/>
    <w:rsid w:val="005E5DC1"/>
    <w:rsid w:val="005E7118"/>
    <w:rsid w:val="005F1CDA"/>
    <w:rsid w:val="005F37A4"/>
    <w:rsid w:val="005F4852"/>
    <w:rsid w:val="005F6338"/>
    <w:rsid w:val="005F6A25"/>
    <w:rsid w:val="00602403"/>
    <w:rsid w:val="006041A4"/>
    <w:rsid w:val="006105B8"/>
    <w:rsid w:val="006109EC"/>
    <w:rsid w:val="00611D8A"/>
    <w:rsid w:val="00611F96"/>
    <w:rsid w:val="0061430D"/>
    <w:rsid w:val="006150CE"/>
    <w:rsid w:val="006165F4"/>
    <w:rsid w:val="00620A99"/>
    <w:rsid w:val="006245EC"/>
    <w:rsid w:val="006309D5"/>
    <w:rsid w:val="00642664"/>
    <w:rsid w:val="00644BBE"/>
    <w:rsid w:val="006479F9"/>
    <w:rsid w:val="00647DDD"/>
    <w:rsid w:val="00653BA4"/>
    <w:rsid w:val="00654409"/>
    <w:rsid w:val="00656062"/>
    <w:rsid w:val="00657EDA"/>
    <w:rsid w:val="006609A2"/>
    <w:rsid w:val="00660C84"/>
    <w:rsid w:val="00661812"/>
    <w:rsid w:val="0066194B"/>
    <w:rsid w:val="00661FC4"/>
    <w:rsid w:val="00666D4D"/>
    <w:rsid w:val="00667055"/>
    <w:rsid w:val="00667EDC"/>
    <w:rsid w:val="00671B88"/>
    <w:rsid w:val="00672205"/>
    <w:rsid w:val="006748BB"/>
    <w:rsid w:val="00683854"/>
    <w:rsid w:val="006858DA"/>
    <w:rsid w:val="006902F1"/>
    <w:rsid w:val="006918E9"/>
    <w:rsid w:val="006951CE"/>
    <w:rsid w:val="00695B2C"/>
    <w:rsid w:val="006A3B6B"/>
    <w:rsid w:val="006A438B"/>
    <w:rsid w:val="006A4F20"/>
    <w:rsid w:val="006B02DB"/>
    <w:rsid w:val="006B1E87"/>
    <w:rsid w:val="006B514A"/>
    <w:rsid w:val="006C31B7"/>
    <w:rsid w:val="006C4213"/>
    <w:rsid w:val="006C43D7"/>
    <w:rsid w:val="006C53ED"/>
    <w:rsid w:val="006C5694"/>
    <w:rsid w:val="006C59A9"/>
    <w:rsid w:val="006D29AA"/>
    <w:rsid w:val="006D3C5C"/>
    <w:rsid w:val="006D4128"/>
    <w:rsid w:val="006D5E57"/>
    <w:rsid w:val="006E2083"/>
    <w:rsid w:val="006E3064"/>
    <w:rsid w:val="006E68E6"/>
    <w:rsid w:val="006F042A"/>
    <w:rsid w:val="006F0D9B"/>
    <w:rsid w:val="006F2187"/>
    <w:rsid w:val="006F25E5"/>
    <w:rsid w:val="006F2FCE"/>
    <w:rsid w:val="006F415C"/>
    <w:rsid w:val="007112CA"/>
    <w:rsid w:val="007202BD"/>
    <w:rsid w:val="007205BF"/>
    <w:rsid w:val="007237D1"/>
    <w:rsid w:val="007241D4"/>
    <w:rsid w:val="00724D82"/>
    <w:rsid w:val="00726155"/>
    <w:rsid w:val="00730BF2"/>
    <w:rsid w:val="00732A6F"/>
    <w:rsid w:val="0074214D"/>
    <w:rsid w:val="00742764"/>
    <w:rsid w:val="00751452"/>
    <w:rsid w:val="0075156A"/>
    <w:rsid w:val="00751F90"/>
    <w:rsid w:val="0075418B"/>
    <w:rsid w:val="007575E7"/>
    <w:rsid w:val="007619C5"/>
    <w:rsid w:val="00761C35"/>
    <w:rsid w:val="00762178"/>
    <w:rsid w:val="00766026"/>
    <w:rsid w:val="00772025"/>
    <w:rsid w:val="00780A2B"/>
    <w:rsid w:val="00781AA0"/>
    <w:rsid w:val="00781CF7"/>
    <w:rsid w:val="00782DE8"/>
    <w:rsid w:val="00785B8D"/>
    <w:rsid w:val="00792E10"/>
    <w:rsid w:val="007A1D60"/>
    <w:rsid w:val="007B165A"/>
    <w:rsid w:val="007B2DAD"/>
    <w:rsid w:val="007B7246"/>
    <w:rsid w:val="007B78C2"/>
    <w:rsid w:val="007C1424"/>
    <w:rsid w:val="007C23FF"/>
    <w:rsid w:val="007C5008"/>
    <w:rsid w:val="007D1E79"/>
    <w:rsid w:val="007D27CF"/>
    <w:rsid w:val="007D4DAF"/>
    <w:rsid w:val="007D6F16"/>
    <w:rsid w:val="007D7194"/>
    <w:rsid w:val="007E1175"/>
    <w:rsid w:val="007E468A"/>
    <w:rsid w:val="007E58FC"/>
    <w:rsid w:val="007E6B92"/>
    <w:rsid w:val="007F1517"/>
    <w:rsid w:val="007F207F"/>
    <w:rsid w:val="007F5B91"/>
    <w:rsid w:val="00803CEC"/>
    <w:rsid w:val="008076A4"/>
    <w:rsid w:val="00810CA3"/>
    <w:rsid w:val="00822050"/>
    <w:rsid w:val="00830952"/>
    <w:rsid w:val="00830F84"/>
    <w:rsid w:val="00834BC5"/>
    <w:rsid w:val="00837BEE"/>
    <w:rsid w:val="008443A9"/>
    <w:rsid w:val="008469B3"/>
    <w:rsid w:val="00856204"/>
    <w:rsid w:val="00860576"/>
    <w:rsid w:val="00865006"/>
    <w:rsid w:val="008674AA"/>
    <w:rsid w:val="008675CC"/>
    <w:rsid w:val="0087609B"/>
    <w:rsid w:val="0088094C"/>
    <w:rsid w:val="00881004"/>
    <w:rsid w:val="00882C40"/>
    <w:rsid w:val="00884B89"/>
    <w:rsid w:val="00892908"/>
    <w:rsid w:val="008942FC"/>
    <w:rsid w:val="0089562F"/>
    <w:rsid w:val="008A0477"/>
    <w:rsid w:val="008A082A"/>
    <w:rsid w:val="008A4DF4"/>
    <w:rsid w:val="008B1DA9"/>
    <w:rsid w:val="008B6162"/>
    <w:rsid w:val="008C3EBC"/>
    <w:rsid w:val="008C57F6"/>
    <w:rsid w:val="008D33A3"/>
    <w:rsid w:val="008D4715"/>
    <w:rsid w:val="008D499C"/>
    <w:rsid w:val="008D6F1D"/>
    <w:rsid w:val="008E3392"/>
    <w:rsid w:val="008F11CF"/>
    <w:rsid w:val="008F189C"/>
    <w:rsid w:val="008F1FE1"/>
    <w:rsid w:val="008F32FF"/>
    <w:rsid w:val="008F4486"/>
    <w:rsid w:val="008F4FC6"/>
    <w:rsid w:val="008F6011"/>
    <w:rsid w:val="008F6CD6"/>
    <w:rsid w:val="00900DC1"/>
    <w:rsid w:val="00902179"/>
    <w:rsid w:val="00903877"/>
    <w:rsid w:val="0091544C"/>
    <w:rsid w:val="00921D03"/>
    <w:rsid w:val="00922F12"/>
    <w:rsid w:val="00925CD2"/>
    <w:rsid w:val="009267A4"/>
    <w:rsid w:val="00933065"/>
    <w:rsid w:val="00933569"/>
    <w:rsid w:val="009365B1"/>
    <w:rsid w:val="0093799C"/>
    <w:rsid w:val="009422A1"/>
    <w:rsid w:val="00942A7D"/>
    <w:rsid w:val="009444C5"/>
    <w:rsid w:val="00944804"/>
    <w:rsid w:val="0094634F"/>
    <w:rsid w:val="009473D8"/>
    <w:rsid w:val="009560A3"/>
    <w:rsid w:val="00960ADF"/>
    <w:rsid w:val="00963A0C"/>
    <w:rsid w:val="00965EAF"/>
    <w:rsid w:val="009719EA"/>
    <w:rsid w:val="00973E0B"/>
    <w:rsid w:val="00974A92"/>
    <w:rsid w:val="00975270"/>
    <w:rsid w:val="00975BA1"/>
    <w:rsid w:val="009835E3"/>
    <w:rsid w:val="009837A6"/>
    <w:rsid w:val="009869F2"/>
    <w:rsid w:val="00987CDB"/>
    <w:rsid w:val="009A2726"/>
    <w:rsid w:val="009A30E0"/>
    <w:rsid w:val="009A3619"/>
    <w:rsid w:val="009A38DE"/>
    <w:rsid w:val="009A66D0"/>
    <w:rsid w:val="009B08AF"/>
    <w:rsid w:val="009B3DFC"/>
    <w:rsid w:val="009B793E"/>
    <w:rsid w:val="009C1EA6"/>
    <w:rsid w:val="009C37B9"/>
    <w:rsid w:val="009C38E7"/>
    <w:rsid w:val="009D32BD"/>
    <w:rsid w:val="009D35B5"/>
    <w:rsid w:val="009D4486"/>
    <w:rsid w:val="009D4AC1"/>
    <w:rsid w:val="009E1697"/>
    <w:rsid w:val="009F211E"/>
    <w:rsid w:val="009F2572"/>
    <w:rsid w:val="009F294E"/>
    <w:rsid w:val="009F30F1"/>
    <w:rsid w:val="009F37C7"/>
    <w:rsid w:val="009F50AB"/>
    <w:rsid w:val="009F5AEE"/>
    <w:rsid w:val="00A005F6"/>
    <w:rsid w:val="00A0424F"/>
    <w:rsid w:val="00A04762"/>
    <w:rsid w:val="00A103FF"/>
    <w:rsid w:val="00A16C6E"/>
    <w:rsid w:val="00A17DB2"/>
    <w:rsid w:val="00A22A14"/>
    <w:rsid w:val="00A23641"/>
    <w:rsid w:val="00A253D0"/>
    <w:rsid w:val="00A26214"/>
    <w:rsid w:val="00A27A51"/>
    <w:rsid w:val="00A3283B"/>
    <w:rsid w:val="00A332DE"/>
    <w:rsid w:val="00A33484"/>
    <w:rsid w:val="00A37BA4"/>
    <w:rsid w:val="00A402F6"/>
    <w:rsid w:val="00A42670"/>
    <w:rsid w:val="00A43739"/>
    <w:rsid w:val="00A451FC"/>
    <w:rsid w:val="00A47815"/>
    <w:rsid w:val="00A47A18"/>
    <w:rsid w:val="00A52ED5"/>
    <w:rsid w:val="00A539CB"/>
    <w:rsid w:val="00A54302"/>
    <w:rsid w:val="00A63709"/>
    <w:rsid w:val="00A649E6"/>
    <w:rsid w:val="00A660AF"/>
    <w:rsid w:val="00A70A95"/>
    <w:rsid w:val="00A70BDA"/>
    <w:rsid w:val="00A740B6"/>
    <w:rsid w:val="00A7621E"/>
    <w:rsid w:val="00A817D5"/>
    <w:rsid w:val="00A90719"/>
    <w:rsid w:val="00A93351"/>
    <w:rsid w:val="00A95538"/>
    <w:rsid w:val="00A97BBC"/>
    <w:rsid w:val="00AA0013"/>
    <w:rsid w:val="00AA26FF"/>
    <w:rsid w:val="00AA6E8C"/>
    <w:rsid w:val="00AA6F19"/>
    <w:rsid w:val="00AA75E6"/>
    <w:rsid w:val="00AA79A8"/>
    <w:rsid w:val="00AA7A76"/>
    <w:rsid w:val="00AB0286"/>
    <w:rsid w:val="00AB4C6D"/>
    <w:rsid w:val="00AB55F7"/>
    <w:rsid w:val="00AC163D"/>
    <w:rsid w:val="00AC2995"/>
    <w:rsid w:val="00AC4165"/>
    <w:rsid w:val="00AC556A"/>
    <w:rsid w:val="00AC76EA"/>
    <w:rsid w:val="00AD1CE0"/>
    <w:rsid w:val="00AD2631"/>
    <w:rsid w:val="00AE1220"/>
    <w:rsid w:val="00AE287F"/>
    <w:rsid w:val="00AE45B9"/>
    <w:rsid w:val="00AE63BD"/>
    <w:rsid w:val="00AF0B2B"/>
    <w:rsid w:val="00AF2914"/>
    <w:rsid w:val="00AF363F"/>
    <w:rsid w:val="00AF3E4F"/>
    <w:rsid w:val="00B05CC4"/>
    <w:rsid w:val="00B071FF"/>
    <w:rsid w:val="00B11505"/>
    <w:rsid w:val="00B11DC2"/>
    <w:rsid w:val="00B15142"/>
    <w:rsid w:val="00B16F69"/>
    <w:rsid w:val="00B1789D"/>
    <w:rsid w:val="00B273DC"/>
    <w:rsid w:val="00B279DF"/>
    <w:rsid w:val="00B30BB3"/>
    <w:rsid w:val="00B42807"/>
    <w:rsid w:val="00B428A6"/>
    <w:rsid w:val="00B43340"/>
    <w:rsid w:val="00B4461C"/>
    <w:rsid w:val="00B45476"/>
    <w:rsid w:val="00B47630"/>
    <w:rsid w:val="00B53913"/>
    <w:rsid w:val="00B554D4"/>
    <w:rsid w:val="00B55F3A"/>
    <w:rsid w:val="00B56906"/>
    <w:rsid w:val="00B6388A"/>
    <w:rsid w:val="00B71CB5"/>
    <w:rsid w:val="00B72922"/>
    <w:rsid w:val="00B72A13"/>
    <w:rsid w:val="00B72ADA"/>
    <w:rsid w:val="00B84042"/>
    <w:rsid w:val="00B84DD5"/>
    <w:rsid w:val="00B9487E"/>
    <w:rsid w:val="00B95910"/>
    <w:rsid w:val="00BA29E7"/>
    <w:rsid w:val="00BA3A4C"/>
    <w:rsid w:val="00BA5CC4"/>
    <w:rsid w:val="00BB0F20"/>
    <w:rsid w:val="00BB7F08"/>
    <w:rsid w:val="00BC35CD"/>
    <w:rsid w:val="00BC415B"/>
    <w:rsid w:val="00BC7BBE"/>
    <w:rsid w:val="00BD2CDE"/>
    <w:rsid w:val="00BD41CF"/>
    <w:rsid w:val="00BD6B8F"/>
    <w:rsid w:val="00BE0164"/>
    <w:rsid w:val="00BE12BD"/>
    <w:rsid w:val="00BE2ED7"/>
    <w:rsid w:val="00BE6AB8"/>
    <w:rsid w:val="00BF040B"/>
    <w:rsid w:val="00BF086D"/>
    <w:rsid w:val="00BF2167"/>
    <w:rsid w:val="00BF43BC"/>
    <w:rsid w:val="00BF4ABF"/>
    <w:rsid w:val="00BF4DDA"/>
    <w:rsid w:val="00BF55C7"/>
    <w:rsid w:val="00BF7ED8"/>
    <w:rsid w:val="00C04139"/>
    <w:rsid w:val="00C044B1"/>
    <w:rsid w:val="00C0572E"/>
    <w:rsid w:val="00C14C85"/>
    <w:rsid w:val="00C21B3D"/>
    <w:rsid w:val="00C24267"/>
    <w:rsid w:val="00C2788D"/>
    <w:rsid w:val="00C322E9"/>
    <w:rsid w:val="00C33398"/>
    <w:rsid w:val="00C361F6"/>
    <w:rsid w:val="00C3669A"/>
    <w:rsid w:val="00C423E3"/>
    <w:rsid w:val="00C44BAC"/>
    <w:rsid w:val="00C45626"/>
    <w:rsid w:val="00C458AF"/>
    <w:rsid w:val="00C45AC9"/>
    <w:rsid w:val="00C460A0"/>
    <w:rsid w:val="00C4720D"/>
    <w:rsid w:val="00C50068"/>
    <w:rsid w:val="00C549F4"/>
    <w:rsid w:val="00C54B12"/>
    <w:rsid w:val="00C610F2"/>
    <w:rsid w:val="00C676F3"/>
    <w:rsid w:val="00C71AB8"/>
    <w:rsid w:val="00C7535D"/>
    <w:rsid w:val="00C75909"/>
    <w:rsid w:val="00C767D5"/>
    <w:rsid w:val="00C77EFD"/>
    <w:rsid w:val="00C81A10"/>
    <w:rsid w:val="00C82028"/>
    <w:rsid w:val="00C82423"/>
    <w:rsid w:val="00C829DF"/>
    <w:rsid w:val="00C84021"/>
    <w:rsid w:val="00C875AE"/>
    <w:rsid w:val="00C9310B"/>
    <w:rsid w:val="00C93FBD"/>
    <w:rsid w:val="00CA3E24"/>
    <w:rsid w:val="00CA696D"/>
    <w:rsid w:val="00CA6B5A"/>
    <w:rsid w:val="00CB1536"/>
    <w:rsid w:val="00CB3907"/>
    <w:rsid w:val="00CB6167"/>
    <w:rsid w:val="00CC0C54"/>
    <w:rsid w:val="00CC1016"/>
    <w:rsid w:val="00CD1721"/>
    <w:rsid w:val="00CD4DDC"/>
    <w:rsid w:val="00CD5715"/>
    <w:rsid w:val="00CD6B80"/>
    <w:rsid w:val="00CE6301"/>
    <w:rsid w:val="00CE74A8"/>
    <w:rsid w:val="00CF2008"/>
    <w:rsid w:val="00CF3649"/>
    <w:rsid w:val="00CF4188"/>
    <w:rsid w:val="00CF4E9E"/>
    <w:rsid w:val="00CF7848"/>
    <w:rsid w:val="00D00531"/>
    <w:rsid w:val="00D058FC"/>
    <w:rsid w:val="00D06213"/>
    <w:rsid w:val="00D06732"/>
    <w:rsid w:val="00D10010"/>
    <w:rsid w:val="00D12BB7"/>
    <w:rsid w:val="00D1420E"/>
    <w:rsid w:val="00D21601"/>
    <w:rsid w:val="00D31882"/>
    <w:rsid w:val="00D31BAB"/>
    <w:rsid w:val="00D31D27"/>
    <w:rsid w:val="00D34AFB"/>
    <w:rsid w:val="00D35A03"/>
    <w:rsid w:val="00D3663C"/>
    <w:rsid w:val="00D37377"/>
    <w:rsid w:val="00D41830"/>
    <w:rsid w:val="00D45B8C"/>
    <w:rsid w:val="00D56058"/>
    <w:rsid w:val="00D567E0"/>
    <w:rsid w:val="00D56A09"/>
    <w:rsid w:val="00D61F2D"/>
    <w:rsid w:val="00D630DE"/>
    <w:rsid w:val="00D630E3"/>
    <w:rsid w:val="00D645C6"/>
    <w:rsid w:val="00D65905"/>
    <w:rsid w:val="00D7327A"/>
    <w:rsid w:val="00D74EC8"/>
    <w:rsid w:val="00D81AC9"/>
    <w:rsid w:val="00D858CC"/>
    <w:rsid w:val="00D9086C"/>
    <w:rsid w:val="00D9304D"/>
    <w:rsid w:val="00D94745"/>
    <w:rsid w:val="00D95DFF"/>
    <w:rsid w:val="00D963D5"/>
    <w:rsid w:val="00D96AF5"/>
    <w:rsid w:val="00DA41B2"/>
    <w:rsid w:val="00DA5D06"/>
    <w:rsid w:val="00DA690D"/>
    <w:rsid w:val="00DA7B20"/>
    <w:rsid w:val="00DB5727"/>
    <w:rsid w:val="00DC1DED"/>
    <w:rsid w:val="00DC52BC"/>
    <w:rsid w:val="00DC621D"/>
    <w:rsid w:val="00DC6A98"/>
    <w:rsid w:val="00DC6EF8"/>
    <w:rsid w:val="00DC7245"/>
    <w:rsid w:val="00DC730A"/>
    <w:rsid w:val="00DD12FC"/>
    <w:rsid w:val="00DD4A81"/>
    <w:rsid w:val="00DD6340"/>
    <w:rsid w:val="00DD69AF"/>
    <w:rsid w:val="00DE130A"/>
    <w:rsid w:val="00DE1F21"/>
    <w:rsid w:val="00DE38B2"/>
    <w:rsid w:val="00DF2221"/>
    <w:rsid w:val="00DF2C9A"/>
    <w:rsid w:val="00DF5291"/>
    <w:rsid w:val="00DF6AC1"/>
    <w:rsid w:val="00E05572"/>
    <w:rsid w:val="00E16292"/>
    <w:rsid w:val="00E166FD"/>
    <w:rsid w:val="00E25706"/>
    <w:rsid w:val="00E25BDD"/>
    <w:rsid w:val="00E264BB"/>
    <w:rsid w:val="00E276DF"/>
    <w:rsid w:val="00E30596"/>
    <w:rsid w:val="00E33434"/>
    <w:rsid w:val="00E41EA6"/>
    <w:rsid w:val="00E43C23"/>
    <w:rsid w:val="00E443F9"/>
    <w:rsid w:val="00E45E6A"/>
    <w:rsid w:val="00E50A42"/>
    <w:rsid w:val="00E5197A"/>
    <w:rsid w:val="00E54FA5"/>
    <w:rsid w:val="00E56D64"/>
    <w:rsid w:val="00E61081"/>
    <w:rsid w:val="00E65B9D"/>
    <w:rsid w:val="00E6777A"/>
    <w:rsid w:val="00E679DF"/>
    <w:rsid w:val="00E7122F"/>
    <w:rsid w:val="00E71CE6"/>
    <w:rsid w:val="00E71E16"/>
    <w:rsid w:val="00E76641"/>
    <w:rsid w:val="00E84882"/>
    <w:rsid w:val="00E851E8"/>
    <w:rsid w:val="00E86208"/>
    <w:rsid w:val="00E86DF2"/>
    <w:rsid w:val="00E879EC"/>
    <w:rsid w:val="00E934B6"/>
    <w:rsid w:val="00E95703"/>
    <w:rsid w:val="00EA0297"/>
    <w:rsid w:val="00EA2C29"/>
    <w:rsid w:val="00EA3F05"/>
    <w:rsid w:val="00EA5DA5"/>
    <w:rsid w:val="00EA5E85"/>
    <w:rsid w:val="00EB0B07"/>
    <w:rsid w:val="00EB144E"/>
    <w:rsid w:val="00EB1B82"/>
    <w:rsid w:val="00EB635D"/>
    <w:rsid w:val="00EB6AA6"/>
    <w:rsid w:val="00EC2653"/>
    <w:rsid w:val="00EC38E3"/>
    <w:rsid w:val="00EC70BC"/>
    <w:rsid w:val="00EC7730"/>
    <w:rsid w:val="00ED018E"/>
    <w:rsid w:val="00ED07AD"/>
    <w:rsid w:val="00ED3B36"/>
    <w:rsid w:val="00EE55F9"/>
    <w:rsid w:val="00EE62A5"/>
    <w:rsid w:val="00EE63DE"/>
    <w:rsid w:val="00F03754"/>
    <w:rsid w:val="00F11454"/>
    <w:rsid w:val="00F14302"/>
    <w:rsid w:val="00F221FC"/>
    <w:rsid w:val="00F24025"/>
    <w:rsid w:val="00F35CAE"/>
    <w:rsid w:val="00F36EE7"/>
    <w:rsid w:val="00F4468A"/>
    <w:rsid w:val="00F45F1C"/>
    <w:rsid w:val="00F57AFC"/>
    <w:rsid w:val="00F627E4"/>
    <w:rsid w:val="00F65DBD"/>
    <w:rsid w:val="00F669B9"/>
    <w:rsid w:val="00F725AC"/>
    <w:rsid w:val="00F773E6"/>
    <w:rsid w:val="00F80CEE"/>
    <w:rsid w:val="00F81F36"/>
    <w:rsid w:val="00F8493C"/>
    <w:rsid w:val="00F84D9D"/>
    <w:rsid w:val="00F85468"/>
    <w:rsid w:val="00F86A45"/>
    <w:rsid w:val="00F86BC7"/>
    <w:rsid w:val="00F9202F"/>
    <w:rsid w:val="00F92AA4"/>
    <w:rsid w:val="00FA569E"/>
    <w:rsid w:val="00FA6B1E"/>
    <w:rsid w:val="00FB4165"/>
    <w:rsid w:val="00FB59A0"/>
    <w:rsid w:val="00FC42BD"/>
    <w:rsid w:val="00FD0D76"/>
    <w:rsid w:val="00FD2E9B"/>
    <w:rsid w:val="00FE065B"/>
    <w:rsid w:val="00FE17D2"/>
    <w:rsid w:val="00FF6D2A"/>
    <w:rsid w:val="00FF6EFC"/>
    <w:rsid w:val="00FF711E"/>
    <w:rsid w:val="00FF7226"/>
    <w:rsid w:val="00FF79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footnotes">
    <w:name w:val="footnotes"/>
    <w:basedOn w:val="Normal"/>
    <w:rsid w:val="00345CED"/>
    <w:pPr>
      <w:tabs>
        <w:tab w:val="right" w:pos="397"/>
        <w:tab w:val="left" w:pos="567"/>
      </w:tabs>
      <w:adjustRightInd w:val="0"/>
      <w:ind w:left="567" w:hanging="567"/>
      <w:jc w:val="both"/>
      <w:textAlignment w:val="baseline"/>
    </w:pPr>
    <w:rPr>
      <w:rFonts w:ascii="Verdana" w:hAnsi="Verdana"/>
      <w:sz w:val="16"/>
      <w:szCs w:val="20"/>
      <w:lang w:val="en-US" w:eastAsia="en-ZA"/>
    </w:rPr>
  </w:style>
  <w:style w:type="character" w:customStyle="1" w:styleId="apple-converted-space">
    <w:name w:val="apple-converted-space"/>
    <w:basedOn w:val="DefaultParagraphFont"/>
    <w:rsid w:val="00CD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3887362">
      <w:bodyDiv w:val="1"/>
      <w:marLeft w:val="0"/>
      <w:marRight w:val="0"/>
      <w:marTop w:val="0"/>
      <w:marBottom w:val="0"/>
      <w:divBdr>
        <w:top w:val="none" w:sz="0" w:space="0" w:color="auto"/>
        <w:left w:val="none" w:sz="0" w:space="0" w:color="auto"/>
        <w:bottom w:val="none" w:sz="0" w:space="0" w:color="auto"/>
        <w:right w:val="none" w:sz="0" w:space="0" w:color="auto"/>
      </w:divBdr>
      <w:divsChild>
        <w:div w:id="850796764">
          <w:marLeft w:val="0"/>
          <w:marRight w:val="0"/>
          <w:marTop w:val="120"/>
          <w:marBottom w:val="0"/>
          <w:divBdr>
            <w:top w:val="none" w:sz="0" w:space="0" w:color="auto"/>
            <w:left w:val="none" w:sz="0" w:space="0" w:color="auto"/>
            <w:bottom w:val="none" w:sz="0" w:space="0" w:color="auto"/>
            <w:right w:val="none" w:sz="0" w:space="0" w:color="auto"/>
          </w:divBdr>
        </w:div>
      </w:divsChild>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822624161">
      <w:bodyDiv w:val="1"/>
      <w:marLeft w:val="0"/>
      <w:marRight w:val="0"/>
      <w:marTop w:val="0"/>
      <w:marBottom w:val="0"/>
      <w:divBdr>
        <w:top w:val="none" w:sz="0" w:space="0" w:color="auto"/>
        <w:left w:val="none" w:sz="0" w:space="0" w:color="auto"/>
        <w:bottom w:val="none" w:sz="0" w:space="0" w:color="auto"/>
        <w:right w:val="none" w:sz="0" w:space="0" w:color="auto"/>
      </w:divBdr>
      <w:divsChild>
        <w:div w:id="1073314101">
          <w:marLeft w:val="0"/>
          <w:marRight w:val="0"/>
          <w:marTop w:val="120"/>
          <w:marBottom w:val="0"/>
          <w:divBdr>
            <w:top w:val="none" w:sz="0" w:space="0" w:color="auto"/>
            <w:left w:val="none" w:sz="0" w:space="0" w:color="auto"/>
            <w:bottom w:val="none" w:sz="0" w:space="0" w:color="auto"/>
            <w:right w:val="none" w:sz="0" w:space="0" w:color="auto"/>
          </w:divBdr>
        </w:div>
        <w:div w:id="148712595">
          <w:marLeft w:val="0"/>
          <w:marRight w:val="0"/>
          <w:marTop w:val="120"/>
          <w:marBottom w:val="0"/>
          <w:divBdr>
            <w:top w:val="none" w:sz="0" w:space="0" w:color="auto"/>
            <w:left w:val="none" w:sz="0" w:space="0" w:color="auto"/>
            <w:bottom w:val="none" w:sz="0" w:space="0" w:color="auto"/>
            <w:right w:val="none" w:sz="0" w:space="0" w:color="auto"/>
          </w:divBdr>
        </w:div>
        <w:div w:id="708187907">
          <w:marLeft w:val="0"/>
          <w:marRight w:val="0"/>
          <w:marTop w:val="60"/>
          <w:marBottom w:val="0"/>
          <w:divBdr>
            <w:top w:val="none" w:sz="0" w:space="0" w:color="auto"/>
            <w:left w:val="none" w:sz="0" w:space="0" w:color="auto"/>
            <w:bottom w:val="none" w:sz="0" w:space="0" w:color="auto"/>
            <w:right w:val="none" w:sz="0" w:space="0" w:color="auto"/>
          </w:divBdr>
        </w:div>
        <w:div w:id="1729719204">
          <w:marLeft w:val="0"/>
          <w:marRight w:val="0"/>
          <w:marTop w:val="60"/>
          <w:marBottom w:val="0"/>
          <w:divBdr>
            <w:top w:val="none" w:sz="0" w:space="0" w:color="auto"/>
            <w:left w:val="none" w:sz="0" w:space="0" w:color="auto"/>
            <w:bottom w:val="none" w:sz="0" w:space="0" w:color="auto"/>
            <w:right w:val="none" w:sz="0" w:space="0" w:color="auto"/>
          </w:divBdr>
        </w:div>
        <w:div w:id="518784028">
          <w:marLeft w:val="0"/>
          <w:marRight w:val="0"/>
          <w:marTop w:val="60"/>
          <w:marBottom w:val="0"/>
          <w:divBdr>
            <w:top w:val="none" w:sz="0" w:space="0" w:color="auto"/>
            <w:left w:val="none" w:sz="0" w:space="0" w:color="auto"/>
            <w:bottom w:val="none" w:sz="0" w:space="0" w:color="auto"/>
            <w:right w:val="none" w:sz="0" w:space="0" w:color="auto"/>
          </w:divBdr>
        </w:div>
      </w:divsChild>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0874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1974v1SApg6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BC35-CA32-4FB5-9AE6-DAD04391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4</TotalTime>
  <Pages>8</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2023-10-08T10:17:00Z</cp:lastPrinted>
  <dcterms:created xsi:type="dcterms:W3CDTF">2023-10-09T13:43:00Z</dcterms:created>
  <dcterms:modified xsi:type="dcterms:W3CDTF">2023-10-09T13:44:00Z</dcterms:modified>
</cp:coreProperties>
</file>