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D0" w:rsidRPr="003F5FB2" w:rsidRDefault="00675AD0" w:rsidP="00675AD0">
      <w:pPr>
        <w:tabs>
          <w:tab w:val="left" w:pos="3000"/>
        </w:tabs>
        <w:jc w:val="center"/>
        <w:rPr>
          <w:rFonts w:ascii="Arial" w:hAnsi="Arial" w:cs="Arial"/>
          <w:b/>
          <w:lang w:val="en-ZA"/>
        </w:rPr>
      </w:pPr>
      <w:bookmarkStart w:id="0" w:name="_GoBack"/>
      <w:bookmarkEnd w:id="0"/>
      <w:r w:rsidRPr="003F5FB2">
        <w:rPr>
          <w:rFonts w:ascii="Arial" w:hAnsi="Arial" w:cs="Arial"/>
          <w:b/>
          <w:lang w:val="en-ZA"/>
        </w:rPr>
        <w:t>REPUBLIC OF SOUTH AFRICA</w:t>
      </w:r>
    </w:p>
    <w:p w:rsidR="00675AD0" w:rsidRPr="003F5FB2" w:rsidRDefault="00675AD0" w:rsidP="00675AD0">
      <w:pPr>
        <w:tabs>
          <w:tab w:val="left" w:pos="3000"/>
        </w:tabs>
        <w:jc w:val="center"/>
        <w:rPr>
          <w:b/>
          <w:lang w:val="en-ZA"/>
        </w:rPr>
      </w:pPr>
    </w:p>
    <w:p w:rsidR="00675AD0" w:rsidRPr="003F5FB2" w:rsidRDefault="00675AD0" w:rsidP="00675AD0">
      <w:pPr>
        <w:tabs>
          <w:tab w:val="left" w:pos="3000"/>
        </w:tabs>
        <w:jc w:val="center"/>
        <w:rPr>
          <w:b/>
          <w:lang w:val="en-ZA"/>
        </w:rPr>
      </w:pPr>
      <w:r w:rsidRPr="00F127D3">
        <w:rPr>
          <w:rFonts w:ascii="Arial" w:hAnsi="Arial" w:cs="Arial"/>
          <w:noProof/>
          <w:lang w:val="en-US" w:eastAsia="en-US"/>
        </w:rPr>
        <w:drawing>
          <wp:inline distT="0" distB="0" distL="0" distR="0">
            <wp:extent cx="1384300" cy="1276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276350"/>
                    </a:xfrm>
                    <a:prstGeom prst="rect">
                      <a:avLst/>
                    </a:prstGeom>
                    <a:noFill/>
                    <a:ln>
                      <a:noFill/>
                    </a:ln>
                  </pic:spPr>
                </pic:pic>
              </a:graphicData>
            </a:graphic>
          </wp:inline>
        </w:drawing>
      </w:r>
      <w:r w:rsidRPr="003F5FB2">
        <w:rPr>
          <w:b/>
          <w:lang w:val="en-ZA"/>
        </w:rPr>
        <w:t xml:space="preserve"> </w:t>
      </w:r>
    </w:p>
    <w:p w:rsidR="00675AD0" w:rsidRPr="003F5FB2" w:rsidRDefault="00675AD0" w:rsidP="00675AD0">
      <w:pPr>
        <w:tabs>
          <w:tab w:val="left" w:pos="3000"/>
        </w:tabs>
        <w:rPr>
          <w:rFonts w:ascii="Arial" w:hAnsi="Arial" w:cs="Arial"/>
          <w:b/>
          <w:lang w:val="en-ZA"/>
        </w:rPr>
      </w:pPr>
    </w:p>
    <w:p w:rsidR="00675AD0" w:rsidRPr="003F5FB2" w:rsidRDefault="00675AD0" w:rsidP="00675AD0">
      <w:pPr>
        <w:tabs>
          <w:tab w:val="left" w:pos="3000"/>
        </w:tabs>
        <w:jc w:val="center"/>
        <w:rPr>
          <w:rFonts w:ascii="Arial" w:hAnsi="Arial" w:cs="Arial"/>
          <w:b/>
          <w:lang w:val="en-ZA"/>
        </w:rPr>
      </w:pPr>
      <w:r w:rsidRPr="003F5FB2">
        <w:rPr>
          <w:rFonts w:ascii="Arial" w:hAnsi="Arial" w:cs="Arial"/>
          <w:b/>
          <w:lang w:val="en-ZA"/>
        </w:rPr>
        <w:t>IN THE HIGH COURT OF SOUTH AFRICA</w:t>
      </w:r>
    </w:p>
    <w:p w:rsidR="00675AD0" w:rsidRPr="003F5FB2" w:rsidRDefault="00675AD0" w:rsidP="00675AD0">
      <w:pPr>
        <w:tabs>
          <w:tab w:val="left" w:pos="3000"/>
        </w:tabs>
        <w:jc w:val="center"/>
        <w:rPr>
          <w:rFonts w:ascii="Arial" w:hAnsi="Arial" w:cs="Arial"/>
          <w:b/>
          <w:lang w:val="en-ZA"/>
        </w:rPr>
      </w:pPr>
      <w:r w:rsidRPr="003F5FB2">
        <w:rPr>
          <w:rFonts w:ascii="Arial" w:hAnsi="Arial" w:cs="Arial"/>
          <w:b/>
          <w:lang w:val="en-ZA"/>
        </w:rPr>
        <w:t>GAUTENG LOCAL DIVISION, JOHANNESBURG</w:t>
      </w:r>
    </w:p>
    <w:p w:rsidR="00675AD0" w:rsidRPr="00B509EE" w:rsidRDefault="00675AD0" w:rsidP="00675AD0">
      <w:pPr>
        <w:tabs>
          <w:tab w:val="left" w:pos="3000"/>
        </w:tabs>
        <w:jc w:val="center"/>
        <w:rPr>
          <w:b/>
          <w:sz w:val="28"/>
          <w:szCs w:val="28"/>
          <w:lang w:val="en-ZA"/>
        </w:rPr>
      </w:pPr>
    </w:p>
    <w:p w:rsidR="00675AD0" w:rsidRPr="00B509EE" w:rsidRDefault="00675AD0" w:rsidP="00675AD0">
      <w:pPr>
        <w:tabs>
          <w:tab w:val="left" w:pos="3000"/>
        </w:tabs>
        <w:jc w:val="both"/>
        <w:rPr>
          <w:sz w:val="28"/>
          <w:szCs w:val="28"/>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675AD0" w:rsidRPr="00B509EE" w:rsidTr="009147A5">
        <w:trPr>
          <w:trHeight w:val="2118"/>
        </w:trPr>
        <w:tc>
          <w:tcPr>
            <w:tcW w:w="5148" w:type="dxa"/>
          </w:tcPr>
          <w:p w:rsidR="00675AD0" w:rsidRPr="00B509EE" w:rsidRDefault="00675AD0" w:rsidP="009147A5">
            <w:pPr>
              <w:jc w:val="both"/>
              <w:rPr>
                <w:sz w:val="18"/>
                <w:szCs w:val="18"/>
              </w:rPr>
            </w:pPr>
          </w:p>
          <w:p w:rsidR="00675AD0" w:rsidRPr="00107671" w:rsidRDefault="00675AD0" w:rsidP="009147A5">
            <w:pPr>
              <w:spacing w:line="360" w:lineRule="auto"/>
              <w:jc w:val="both"/>
              <w:rPr>
                <w:rFonts w:ascii="Arial" w:hAnsi="Arial" w:cs="Arial"/>
                <w:sz w:val="18"/>
                <w:szCs w:val="18"/>
              </w:rPr>
            </w:pPr>
            <w:r w:rsidRPr="00107671">
              <w:rPr>
                <w:rFonts w:ascii="Arial" w:hAnsi="Arial" w:cs="Arial"/>
                <w:sz w:val="18"/>
                <w:szCs w:val="18"/>
              </w:rPr>
              <w:t>(1)    REPORTABLE:  NO</w:t>
            </w:r>
          </w:p>
          <w:p w:rsidR="00675AD0" w:rsidRPr="00107671" w:rsidRDefault="00675AD0" w:rsidP="009147A5">
            <w:pPr>
              <w:spacing w:line="360" w:lineRule="auto"/>
              <w:jc w:val="both"/>
              <w:rPr>
                <w:rFonts w:ascii="Arial" w:hAnsi="Arial" w:cs="Arial"/>
                <w:sz w:val="18"/>
                <w:szCs w:val="18"/>
                <w:u w:val="single"/>
              </w:rPr>
            </w:pPr>
            <w:r w:rsidRPr="00107671">
              <w:rPr>
                <w:rFonts w:ascii="Arial" w:hAnsi="Arial" w:cs="Arial"/>
                <w:sz w:val="18"/>
                <w:szCs w:val="18"/>
              </w:rPr>
              <w:t>(2)    OF INTEREST TO OTHER JUDGES:  NO</w:t>
            </w:r>
          </w:p>
          <w:p w:rsidR="00675AD0" w:rsidRDefault="00675AD0" w:rsidP="009147A5">
            <w:pPr>
              <w:spacing w:line="360" w:lineRule="auto"/>
              <w:jc w:val="both"/>
              <w:rPr>
                <w:rFonts w:ascii="Arial" w:hAnsi="Arial" w:cs="Arial"/>
                <w:sz w:val="18"/>
                <w:szCs w:val="18"/>
              </w:rPr>
            </w:pPr>
            <w:r w:rsidRPr="00107671">
              <w:rPr>
                <w:rFonts w:ascii="Arial" w:hAnsi="Arial" w:cs="Arial"/>
                <w:sz w:val="18"/>
                <w:szCs w:val="18"/>
              </w:rPr>
              <w:t>(3)    REVISED</w:t>
            </w:r>
          </w:p>
          <w:p w:rsidR="00BC538A" w:rsidRDefault="00BC538A" w:rsidP="009147A5">
            <w:pPr>
              <w:spacing w:line="360" w:lineRule="auto"/>
              <w:jc w:val="both"/>
              <w:rPr>
                <w:rFonts w:ascii="Arial" w:hAnsi="Arial" w:cs="Arial"/>
                <w:sz w:val="18"/>
                <w:szCs w:val="18"/>
              </w:rPr>
            </w:pPr>
          </w:p>
          <w:p w:rsidR="00BC538A" w:rsidRPr="00107671" w:rsidRDefault="00BC538A" w:rsidP="009147A5">
            <w:pPr>
              <w:spacing w:line="360" w:lineRule="auto"/>
              <w:jc w:val="both"/>
              <w:rPr>
                <w:rFonts w:ascii="Arial" w:hAnsi="Arial" w:cs="Arial"/>
                <w:sz w:val="18"/>
                <w:szCs w:val="18"/>
              </w:rPr>
            </w:pPr>
          </w:p>
          <w:p w:rsidR="00675AD0" w:rsidRDefault="003B714D" w:rsidP="009147A5">
            <w:pPr>
              <w:tabs>
                <w:tab w:val="left" w:pos="3160"/>
              </w:tabs>
              <w:jc w:val="both"/>
              <w:rPr>
                <w:rFonts w:ascii="Arial" w:hAnsi="Arial" w:cs="Arial"/>
                <w:sz w:val="18"/>
                <w:szCs w:val="18"/>
              </w:rPr>
            </w:pPr>
            <w:r>
              <w:rPr>
                <w:rFonts w:ascii="Arial" w:hAnsi="Arial" w:cs="Arial"/>
                <w:color w:val="000000" w:themeColor="text1"/>
                <w:sz w:val="18"/>
                <w:szCs w:val="18"/>
              </w:rPr>
              <w:t>10</w:t>
            </w:r>
            <w:r w:rsidR="00675AD0" w:rsidRPr="009F3397">
              <w:rPr>
                <w:rFonts w:ascii="Arial" w:hAnsi="Arial" w:cs="Arial"/>
                <w:color w:val="000000" w:themeColor="text1"/>
                <w:sz w:val="18"/>
                <w:szCs w:val="18"/>
              </w:rPr>
              <w:t xml:space="preserve"> </w:t>
            </w:r>
            <w:r w:rsidR="00675AD0">
              <w:rPr>
                <w:rFonts w:ascii="Arial" w:hAnsi="Arial" w:cs="Arial"/>
                <w:color w:val="000000"/>
                <w:sz w:val="18"/>
                <w:szCs w:val="18"/>
              </w:rPr>
              <w:t>October</w:t>
            </w:r>
            <w:r w:rsidR="00675AD0" w:rsidRPr="00F127D3">
              <w:rPr>
                <w:rFonts w:ascii="Arial" w:hAnsi="Arial" w:cs="Arial"/>
                <w:color w:val="000000"/>
                <w:sz w:val="18"/>
                <w:szCs w:val="18"/>
              </w:rPr>
              <w:t xml:space="preserve"> 2023</w:t>
            </w:r>
            <w:r w:rsidR="00675AD0">
              <w:rPr>
                <w:rFonts w:ascii="Arial" w:hAnsi="Arial" w:cs="Arial"/>
                <w:sz w:val="18"/>
                <w:szCs w:val="18"/>
              </w:rPr>
              <w:tab/>
            </w:r>
          </w:p>
          <w:p w:rsidR="00675AD0" w:rsidRPr="00B509EE" w:rsidRDefault="00675AD0" w:rsidP="009147A5">
            <w:pPr>
              <w:tabs>
                <w:tab w:val="left" w:pos="3160"/>
              </w:tabs>
              <w:jc w:val="both"/>
              <w:rPr>
                <w:rFonts w:ascii="Arial" w:hAnsi="Arial" w:cs="Arial"/>
                <w:sz w:val="18"/>
                <w:szCs w:val="18"/>
              </w:rPr>
            </w:pPr>
            <w:r w:rsidRPr="00B509EE">
              <w:rPr>
                <w:rFonts w:ascii="Arial" w:hAnsi="Arial" w:cs="Arial"/>
                <w:sz w:val="18"/>
                <w:szCs w:val="18"/>
              </w:rPr>
              <w:t>______</w:t>
            </w:r>
            <w:r>
              <w:rPr>
                <w:rFonts w:ascii="Arial" w:hAnsi="Arial" w:cs="Arial"/>
                <w:sz w:val="18"/>
                <w:szCs w:val="18"/>
              </w:rPr>
              <w:t>______</w:t>
            </w:r>
            <w:r w:rsidRPr="00B509EE">
              <w:rPr>
                <w:rFonts w:ascii="Arial" w:hAnsi="Arial" w:cs="Arial"/>
                <w:sz w:val="18"/>
                <w:szCs w:val="18"/>
              </w:rPr>
              <w:t xml:space="preserve">       </w:t>
            </w:r>
            <w:r>
              <w:rPr>
                <w:rFonts w:ascii="Arial" w:hAnsi="Arial" w:cs="Arial"/>
                <w:sz w:val="18"/>
                <w:szCs w:val="18"/>
              </w:rPr>
              <w:t xml:space="preserve">                     </w:t>
            </w:r>
            <w:r w:rsidRPr="00B509EE">
              <w:rPr>
                <w:rFonts w:ascii="Arial" w:hAnsi="Arial" w:cs="Arial"/>
                <w:sz w:val="18"/>
                <w:szCs w:val="18"/>
              </w:rPr>
              <w:t xml:space="preserve"> __________</w:t>
            </w:r>
            <w:r>
              <w:rPr>
                <w:rFonts w:ascii="Arial" w:hAnsi="Arial" w:cs="Arial"/>
                <w:sz w:val="18"/>
                <w:szCs w:val="18"/>
              </w:rPr>
              <w:t>____________</w:t>
            </w:r>
          </w:p>
          <w:p w:rsidR="00675AD0" w:rsidRPr="00B509EE" w:rsidRDefault="00675AD0" w:rsidP="009147A5">
            <w:pPr>
              <w:jc w:val="both"/>
              <w:rPr>
                <w:rFonts w:ascii="Arial" w:hAnsi="Arial" w:cs="Arial"/>
                <w:sz w:val="18"/>
                <w:szCs w:val="18"/>
              </w:rPr>
            </w:pPr>
            <w:r>
              <w:rPr>
                <w:rFonts w:ascii="Arial" w:hAnsi="Arial" w:cs="Arial"/>
                <w:sz w:val="18"/>
                <w:szCs w:val="18"/>
              </w:rPr>
              <w:t xml:space="preserve">       </w:t>
            </w:r>
            <w:r w:rsidRPr="00B509EE">
              <w:rPr>
                <w:rFonts w:ascii="Arial" w:hAnsi="Arial" w:cs="Arial"/>
                <w:sz w:val="18"/>
                <w:szCs w:val="18"/>
              </w:rPr>
              <w:t xml:space="preserve">DATE                                               </w:t>
            </w:r>
            <w:r>
              <w:rPr>
                <w:rFonts w:ascii="Arial" w:hAnsi="Arial" w:cs="Arial"/>
                <w:sz w:val="18"/>
                <w:szCs w:val="18"/>
              </w:rPr>
              <w:t xml:space="preserve"> S</w:t>
            </w:r>
            <w:r w:rsidRPr="00B509EE">
              <w:rPr>
                <w:rFonts w:ascii="Arial" w:hAnsi="Arial" w:cs="Arial"/>
                <w:sz w:val="18"/>
                <w:szCs w:val="18"/>
              </w:rPr>
              <w:t>IGNATURE</w:t>
            </w:r>
          </w:p>
          <w:p w:rsidR="00675AD0" w:rsidRPr="00B509EE" w:rsidRDefault="00675AD0" w:rsidP="009147A5">
            <w:pPr>
              <w:jc w:val="both"/>
              <w:rPr>
                <w:sz w:val="18"/>
                <w:szCs w:val="18"/>
              </w:rPr>
            </w:pPr>
          </w:p>
        </w:tc>
      </w:tr>
    </w:tbl>
    <w:p w:rsidR="00675AD0" w:rsidRDefault="00675AD0" w:rsidP="00675AD0">
      <w:pPr>
        <w:tabs>
          <w:tab w:val="left" w:pos="3000"/>
          <w:tab w:val="left" w:pos="6480"/>
          <w:tab w:val="right" w:pos="10080"/>
        </w:tabs>
        <w:jc w:val="both"/>
        <w:rPr>
          <w:rFonts w:ascii="Bell MT" w:hAnsi="Bell MT"/>
          <w:sz w:val="26"/>
          <w:szCs w:val="26"/>
          <w:lang w:val="en-ZA"/>
        </w:rPr>
      </w:pPr>
      <w:r w:rsidRPr="00C411BB">
        <w:rPr>
          <w:rFonts w:ascii="Bell MT" w:hAnsi="Bell MT"/>
          <w:sz w:val="26"/>
          <w:szCs w:val="26"/>
          <w:lang w:val="en-ZA"/>
        </w:rPr>
        <w:tab/>
      </w:r>
      <w:r w:rsidRPr="00C411BB">
        <w:rPr>
          <w:rFonts w:ascii="Bell MT" w:hAnsi="Bell MT"/>
          <w:sz w:val="26"/>
          <w:szCs w:val="26"/>
          <w:lang w:val="en-ZA"/>
        </w:rPr>
        <w:tab/>
      </w:r>
      <w:r w:rsidRPr="00C411BB">
        <w:rPr>
          <w:rFonts w:ascii="Bell MT" w:hAnsi="Bell MT"/>
          <w:sz w:val="26"/>
          <w:szCs w:val="26"/>
          <w:lang w:val="en-ZA"/>
        </w:rPr>
        <w:tab/>
      </w:r>
    </w:p>
    <w:p w:rsidR="00675AD0" w:rsidRPr="00FB1135" w:rsidRDefault="00675AD0" w:rsidP="00675AD0">
      <w:pPr>
        <w:tabs>
          <w:tab w:val="left" w:pos="900"/>
        </w:tabs>
        <w:spacing w:line="360" w:lineRule="auto"/>
        <w:ind w:left="900" w:hanging="900"/>
        <w:jc w:val="both"/>
        <w:rPr>
          <w:rFonts w:ascii="Arial" w:hAnsi="Arial" w:cs="Arial"/>
          <w:b/>
        </w:rPr>
      </w:pPr>
      <w:r w:rsidRPr="00FB1135">
        <w:rPr>
          <w:rFonts w:ascii="Arial" w:hAnsi="Arial" w:cs="Arial"/>
        </w:rPr>
        <w:tab/>
      </w:r>
      <w:r w:rsidRPr="00FB113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 xml:space="preserve">CASE </w:t>
      </w:r>
      <w:r w:rsidRPr="00FB1135">
        <w:rPr>
          <w:rFonts w:ascii="Arial" w:hAnsi="Arial" w:cs="Arial"/>
          <w:b/>
        </w:rPr>
        <w:t xml:space="preserve">NUMBER: </w:t>
      </w:r>
      <w:r>
        <w:rPr>
          <w:rFonts w:ascii="Arial" w:hAnsi="Arial" w:cs="Arial"/>
          <w:b/>
        </w:rPr>
        <w:t>2483/2020</w:t>
      </w:r>
      <w:r w:rsidRPr="00FB1135">
        <w:rPr>
          <w:rFonts w:ascii="Arial" w:hAnsi="Arial" w:cs="Arial"/>
          <w:b/>
        </w:rPr>
        <w:t xml:space="preserve">     </w:t>
      </w:r>
    </w:p>
    <w:p w:rsidR="00675AD0" w:rsidRPr="00FB1135" w:rsidRDefault="00675AD0" w:rsidP="00675AD0">
      <w:pPr>
        <w:tabs>
          <w:tab w:val="left" w:pos="900"/>
        </w:tabs>
        <w:spacing w:line="360" w:lineRule="auto"/>
        <w:ind w:left="900" w:hanging="900"/>
        <w:jc w:val="both"/>
        <w:rPr>
          <w:rFonts w:ascii="Arial" w:hAnsi="Arial" w:cs="Arial"/>
          <w:b/>
        </w:rPr>
      </w:pPr>
      <w:r w:rsidRPr="00FB1135">
        <w:rPr>
          <w:rFonts w:ascii="Arial" w:hAnsi="Arial" w:cs="Arial"/>
          <w:b/>
        </w:rPr>
        <w:t xml:space="preserve">                </w:t>
      </w:r>
    </w:p>
    <w:p w:rsidR="00675AD0" w:rsidRPr="00FB1135" w:rsidRDefault="00675AD0" w:rsidP="00675AD0">
      <w:pPr>
        <w:tabs>
          <w:tab w:val="left" w:pos="900"/>
        </w:tabs>
        <w:spacing w:line="360" w:lineRule="auto"/>
        <w:ind w:left="900" w:hanging="900"/>
        <w:jc w:val="both"/>
        <w:rPr>
          <w:rFonts w:ascii="Arial" w:hAnsi="Arial" w:cs="Arial"/>
        </w:rPr>
      </w:pPr>
      <w:r w:rsidRPr="00FB1135">
        <w:rPr>
          <w:rFonts w:ascii="Arial" w:hAnsi="Arial" w:cs="Arial"/>
        </w:rPr>
        <w:t>In the matter between:</w:t>
      </w:r>
    </w:p>
    <w:p w:rsidR="00675AD0" w:rsidRPr="00FB1135" w:rsidRDefault="00675AD0" w:rsidP="00675AD0">
      <w:pPr>
        <w:tabs>
          <w:tab w:val="left" w:pos="900"/>
        </w:tabs>
        <w:spacing w:line="360" w:lineRule="auto"/>
        <w:ind w:left="900" w:hanging="900"/>
        <w:jc w:val="both"/>
        <w:rPr>
          <w:rFonts w:ascii="Arial" w:hAnsi="Arial" w:cs="Arial"/>
        </w:rPr>
      </w:pPr>
    </w:p>
    <w:p w:rsidR="00675AD0" w:rsidRDefault="00675AD0" w:rsidP="00675AD0">
      <w:pPr>
        <w:spacing w:after="160" w:line="360" w:lineRule="auto"/>
        <w:jc w:val="both"/>
        <w:rPr>
          <w:rFonts w:ascii="Arial" w:eastAsiaTheme="minorEastAsia" w:hAnsi="Arial" w:cs="Arial"/>
          <w:lang w:val="en-ZA" w:eastAsia="en-US"/>
        </w:rPr>
      </w:pPr>
      <w:r w:rsidRPr="00675AD0">
        <w:rPr>
          <w:rFonts w:ascii="Arial" w:eastAsiaTheme="minorEastAsia" w:hAnsi="Arial" w:cs="Arial"/>
          <w:b/>
          <w:lang w:val="en-ZA" w:eastAsia="en-US"/>
        </w:rPr>
        <w:t xml:space="preserve">KHANYISILE KWEYAMA                                                          </w:t>
      </w:r>
      <w:r>
        <w:rPr>
          <w:rFonts w:ascii="Arial" w:eastAsiaTheme="minorEastAsia" w:hAnsi="Arial" w:cs="Arial"/>
          <w:lang w:val="en-ZA" w:eastAsia="en-US"/>
        </w:rPr>
        <w:tab/>
      </w:r>
      <w:r>
        <w:rPr>
          <w:rFonts w:ascii="Arial" w:eastAsiaTheme="minorEastAsia" w:hAnsi="Arial" w:cs="Arial"/>
          <w:lang w:val="en-ZA" w:eastAsia="en-US"/>
        </w:rPr>
        <w:tab/>
      </w:r>
      <w:r>
        <w:rPr>
          <w:rFonts w:ascii="Arial" w:eastAsiaTheme="minorEastAsia" w:hAnsi="Arial" w:cs="Arial"/>
          <w:lang w:val="en-ZA" w:eastAsia="en-US"/>
        </w:rPr>
        <w:tab/>
        <w:t>First Applicant</w:t>
      </w:r>
    </w:p>
    <w:p w:rsidR="00675AD0" w:rsidRDefault="00675AD0" w:rsidP="00675AD0">
      <w:pPr>
        <w:spacing w:after="160" w:line="360" w:lineRule="auto"/>
        <w:jc w:val="both"/>
        <w:rPr>
          <w:rFonts w:ascii="Arial" w:eastAsiaTheme="minorEastAsia" w:hAnsi="Arial" w:cs="Arial"/>
          <w:lang w:val="en-ZA" w:eastAsia="en-US"/>
        </w:rPr>
      </w:pPr>
    </w:p>
    <w:p w:rsidR="00675AD0" w:rsidRDefault="00675AD0" w:rsidP="00675AD0">
      <w:pPr>
        <w:spacing w:after="160" w:line="360" w:lineRule="auto"/>
        <w:jc w:val="both"/>
        <w:rPr>
          <w:rFonts w:ascii="Arial" w:eastAsiaTheme="minorEastAsia" w:hAnsi="Arial" w:cs="Arial"/>
          <w:lang w:val="en-ZA" w:eastAsia="en-US"/>
        </w:rPr>
      </w:pPr>
      <w:r w:rsidRPr="00675AD0">
        <w:rPr>
          <w:rFonts w:ascii="Arial" w:eastAsiaTheme="minorEastAsia" w:hAnsi="Arial" w:cs="Arial"/>
          <w:b/>
          <w:lang w:val="en-ZA" w:eastAsia="en-US"/>
        </w:rPr>
        <w:t xml:space="preserve">MATHATHA TSEDU                                                            </w:t>
      </w:r>
      <w:r>
        <w:rPr>
          <w:rFonts w:ascii="Arial" w:eastAsiaTheme="minorEastAsia" w:hAnsi="Arial" w:cs="Arial"/>
          <w:lang w:val="en-ZA" w:eastAsia="en-US"/>
        </w:rPr>
        <w:tab/>
      </w:r>
      <w:r>
        <w:rPr>
          <w:rFonts w:ascii="Arial" w:eastAsiaTheme="minorEastAsia" w:hAnsi="Arial" w:cs="Arial"/>
          <w:lang w:val="en-ZA" w:eastAsia="en-US"/>
        </w:rPr>
        <w:tab/>
      </w:r>
      <w:r>
        <w:rPr>
          <w:rFonts w:ascii="Arial" w:eastAsiaTheme="minorEastAsia" w:hAnsi="Arial" w:cs="Arial"/>
          <w:lang w:val="en-ZA" w:eastAsia="en-US"/>
        </w:rPr>
        <w:tab/>
        <w:t xml:space="preserve">     Second Applicant</w:t>
      </w:r>
    </w:p>
    <w:p w:rsidR="00675AD0" w:rsidRDefault="00675AD0" w:rsidP="00675AD0">
      <w:pPr>
        <w:spacing w:after="160" w:line="360" w:lineRule="auto"/>
        <w:jc w:val="both"/>
        <w:rPr>
          <w:rFonts w:ascii="Arial" w:eastAsiaTheme="minorEastAsia" w:hAnsi="Arial" w:cs="Arial"/>
          <w:lang w:val="en-ZA" w:eastAsia="en-US"/>
        </w:rPr>
      </w:pPr>
    </w:p>
    <w:p w:rsidR="00675AD0" w:rsidRDefault="00675AD0" w:rsidP="00675AD0">
      <w:pPr>
        <w:spacing w:after="160" w:line="360" w:lineRule="auto"/>
        <w:jc w:val="both"/>
        <w:rPr>
          <w:rFonts w:ascii="Arial" w:eastAsiaTheme="minorEastAsia" w:hAnsi="Arial" w:cs="Arial"/>
          <w:lang w:val="en-ZA" w:eastAsia="en-US"/>
        </w:rPr>
      </w:pPr>
      <w:r w:rsidRPr="00675AD0">
        <w:rPr>
          <w:rFonts w:ascii="Arial" w:eastAsiaTheme="minorEastAsia" w:hAnsi="Arial" w:cs="Arial"/>
          <w:b/>
          <w:lang w:val="en-ZA" w:eastAsia="en-US"/>
        </w:rPr>
        <w:t>FEBE POTGIETER-GQUBULE</w:t>
      </w:r>
      <w:r>
        <w:rPr>
          <w:rFonts w:ascii="Arial" w:eastAsiaTheme="minorEastAsia" w:hAnsi="Arial" w:cs="Arial"/>
          <w:lang w:val="en-ZA" w:eastAsia="en-US"/>
        </w:rPr>
        <w:t xml:space="preserve">                                               </w:t>
      </w:r>
      <w:r>
        <w:rPr>
          <w:rFonts w:ascii="Arial" w:eastAsiaTheme="minorEastAsia" w:hAnsi="Arial" w:cs="Arial"/>
          <w:lang w:val="en-ZA" w:eastAsia="en-US"/>
        </w:rPr>
        <w:tab/>
      </w:r>
      <w:r>
        <w:rPr>
          <w:rFonts w:ascii="Arial" w:eastAsiaTheme="minorEastAsia" w:hAnsi="Arial" w:cs="Arial"/>
          <w:lang w:val="en-ZA" w:eastAsia="en-US"/>
        </w:rPr>
        <w:tab/>
        <w:t xml:space="preserve">         Third Applicant</w:t>
      </w:r>
    </w:p>
    <w:p w:rsidR="00675AD0" w:rsidRDefault="00675AD0" w:rsidP="00675AD0">
      <w:pPr>
        <w:spacing w:after="160" w:line="360" w:lineRule="auto"/>
        <w:jc w:val="both"/>
        <w:rPr>
          <w:rFonts w:ascii="Arial" w:eastAsiaTheme="minorEastAsia" w:hAnsi="Arial" w:cs="Arial"/>
          <w:lang w:val="en-ZA" w:eastAsia="en-US"/>
        </w:rPr>
      </w:pPr>
      <w:r>
        <w:rPr>
          <w:rFonts w:ascii="Arial" w:eastAsiaTheme="minorEastAsia" w:hAnsi="Arial" w:cs="Arial"/>
          <w:lang w:val="en-ZA" w:eastAsia="en-US"/>
        </w:rPr>
        <w:t xml:space="preserve"> </w:t>
      </w:r>
    </w:p>
    <w:p w:rsidR="00675AD0" w:rsidRDefault="00675AD0" w:rsidP="00675AD0">
      <w:pPr>
        <w:spacing w:after="160" w:line="360" w:lineRule="auto"/>
        <w:jc w:val="both"/>
        <w:rPr>
          <w:rFonts w:ascii="Arial" w:eastAsiaTheme="minorEastAsia" w:hAnsi="Arial" w:cs="Arial"/>
          <w:lang w:val="en-ZA" w:eastAsia="en-US"/>
        </w:rPr>
      </w:pPr>
      <w:r w:rsidRPr="00675AD0">
        <w:rPr>
          <w:rFonts w:ascii="Arial" w:eastAsiaTheme="minorEastAsia" w:hAnsi="Arial" w:cs="Arial"/>
          <w:b/>
          <w:lang w:val="en-ZA" w:eastAsia="en-US"/>
        </w:rPr>
        <w:t xml:space="preserve">JOHN MATISOHN                                                                 </w:t>
      </w:r>
      <w:r>
        <w:rPr>
          <w:rFonts w:ascii="Arial" w:eastAsiaTheme="minorEastAsia" w:hAnsi="Arial" w:cs="Arial"/>
          <w:lang w:val="en-ZA" w:eastAsia="en-US"/>
        </w:rPr>
        <w:tab/>
      </w:r>
      <w:r>
        <w:rPr>
          <w:rFonts w:ascii="Arial" w:eastAsiaTheme="minorEastAsia" w:hAnsi="Arial" w:cs="Arial"/>
          <w:lang w:val="en-ZA" w:eastAsia="en-US"/>
        </w:rPr>
        <w:tab/>
      </w:r>
      <w:r>
        <w:rPr>
          <w:rFonts w:ascii="Arial" w:eastAsiaTheme="minorEastAsia" w:hAnsi="Arial" w:cs="Arial"/>
          <w:lang w:val="en-ZA" w:eastAsia="en-US"/>
        </w:rPr>
        <w:tab/>
        <w:t xml:space="preserve">       Fourth Applicant</w:t>
      </w:r>
    </w:p>
    <w:p w:rsidR="00675AD0" w:rsidRDefault="00675AD0" w:rsidP="00675AD0">
      <w:pPr>
        <w:spacing w:after="160" w:line="360" w:lineRule="auto"/>
        <w:jc w:val="both"/>
        <w:rPr>
          <w:rFonts w:ascii="Arial" w:eastAsiaTheme="minorEastAsia" w:hAnsi="Arial" w:cs="Arial"/>
          <w:lang w:val="en-ZA" w:eastAsia="en-US"/>
        </w:rPr>
      </w:pPr>
    </w:p>
    <w:p w:rsidR="00675AD0" w:rsidRDefault="00675AD0" w:rsidP="00675AD0">
      <w:pPr>
        <w:spacing w:after="160" w:line="360" w:lineRule="auto"/>
        <w:jc w:val="both"/>
        <w:rPr>
          <w:rFonts w:ascii="Arial" w:eastAsiaTheme="minorEastAsia" w:hAnsi="Arial" w:cs="Arial"/>
          <w:lang w:val="en-ZA" w:eastAsia="en-US"/>
        </w:rPr>
      </w:pPr>
      <w:r>
        <w:rPr>
          <w:rFonts w:ascii="Arial" w:eastAsiaTheme="minorEastAsia" w:hAnsi="Arial" w:cs="Arial"/>
          <w:lang w:val="en-ZA" w:eastAsia="en-US"/>
        </w:rPr>
        <w:t>and</w:t>
      </w:r>
    </w:p>
    <w:p w:rsidR="00675AD0" w:rsidRDefault="00675AD0" w:rsidP="00675AD0">
      <w:pPr>
        <w:spacing w:after="160" w:line="360" w:lineRule="auto"/>
        <w:jc w:val="both"/>
        <w:rPr>
          <w:rFonts w:ascii="Arial" w:eastAsiaTheme="minorEastAsia" w:hAnsi="Arial" w:cs="Arial"/>
          <w:lang w:val="en-ZA" w:eastAsia="en-US"/>
        </w:rPr>
      </w:pPr>
    </w:p>
    <w:p w:rsidR="00675AD0" w:rsidRDefault="00675AD0" w:rsidP="00675AD0">
      <w:pPr>
        <w:spacing w:after="160" w:line="360" w:lineRule="auto"/>
        <w:jc w:val="both"/>
        <w:rPr>
          <w:rFonts w:ascii="Arial" w:eastAsiaTheme="minorEastAsia" w:hAnsi="Arial" w:cs="Arial"/>
          <w:lang w:val="en-ZA" w:eastAsia="en-US"/>
        </w:rPr>
      </w:pPr>
      <w:r w:rsidRPr="00675AD0">
        <w:rPr>
          <w:rFonts w:ascii="Arial" w:eastAsiaTheme="minorEastAsia" w:hAnsi="Arial" w:cs="Arial"/>
          <w:b/>
          <w:lang w:val="en-ZA" w:eastAsia="en-US"/>
        </w:rPr>
        <w:t>SPECIAL INVESTIGATING UNIT</w:t>
      </w:r>
      <w:r>
        <w:rPr>
          <w:rFonts w:ascii="Arial" w:eastAsiaTheme="minorEastAsia" w:hAnsi="Arial" w:cs="Arial"/>
          <w:lang w:val="en-ZA" w:eastAsia="en-US"/>
        </w:rPr>
        <w:t xml:space="preserve">                                          </w:t>
      </w:r>
      <w:r>
        <w:rPr>
          <w:rFonts w:ascii="Arial" w:eastAsiaTheme="minorEastAsia" w:hAnsi="Arial" w:cs="Arial"/>
          <w:lang w:val="en-ZA" w:eastAsia="en-US"/>
        </w:rPr>
        <w:tab/>
      </w:r>
      <w:r>
        <w:rPr>
          <w:rFonts w:ascii="Arial" w:eastAsiaTheme="minorEastAsia" w:hAnsi="Arial" w:cs="Arial"/>
          <w:lang w:val="en-ZA" w:eastAsia="en-US"/>
        </w:rPr>
        <w:tab/>
      </w:r>
      <w:r>
        <w:rPr>
          <w:rFonts w:ascii="Arial" w:eastAsiaTheme="minorEastAsia" w:hAnsi="Arial" w:cs="Arial"/>
          <w:lang w:val="en-ZA" w:eastAsia="en-US"/>
        </w:rPr>
        <w:tab/>
        <w:t xml:space="preserve">      First Respondent</w:t>
      </w:r>
    </w:p>
    <w:p w:rsidR="00675AD0" w:rsidRDefault="00675AD0" w:rsidP="00675AD0">
      <w:pPr>
        <w:spacing w:after="160" w:line="360" w:lineRule="auto"/>
        <w:jc w:val="both"/>
        <w:rPr>
          <w:rFonts w:ascii="Arial" w:eastAsiaTheme="minorEastAsia" w:hAnsi="Arial" w:cs="Arial"/>
          <w:lang w:val="en-ZA" w:eastAsia="en-US"/>
        </w:rPr>
      </w:pPr>
    </w:p>
    <w:p w:rsidR="00675AD0" w:rsidRDefault="00675AD0" w:rsidP="00675AD0">
      <w:pPr>
        <w:spacing w:after="160" w:line="360" w:lineRule="auto"/>
        <w:jc w:val="both"/>
        <w:rPr>
          <w:rFonts w:ascii="Arial" w:eastAsiaTheme="minorEastAsia" w:hAnsi="Arial" w:cs="Arial"/>
          <w:lang w:val="en-ZA" w:eastAsia="en-US"/>
        </w:rPr>
      </w:pPr>
      <w:r w:rsidRPr="00675AD0">
        <w:rPr>
          <w:rFonts w:ascii="Arial" w:eastAsiaTheme="minorEastAsia" w:hAnsi="Arial" w:cs="Arial"/>
          <w:b/>
          <w:lang w:val="en-ZA" w:eastAsia="en-US"/>
        </w:rPr>
        <w:t>SOUTH AFRICAN BROADCASTING CORPORATION</w:t>
      </w:r>
      <w:r>
        <w:rPr>
          <w:rFonts w:ascii="Arial" w:eastAsiaTheme="minorEastAsia" w:hAnsi="Arial" w:cs="Arial"/>
          <w:lang w:val="en-ZA" w:eastAsia="en-US"/>
        </w:rPr>
        <w:t xml:space="preserve">   </w:t>
      </w:r>
      <w:r>
        <w:rPr>
          <w:rFonts w:ascii="Arial" w:eastAsiaTheme="minorEastAsia" w:hAnsi="Arial" w:cs="Arial"/>
          <w:lang w:val="en-ZA" w:eastAsia="en-US"/>
        </w:rPr>
        <w:tab/>
      </w:r>
      <w:r>
        <w:rPr>
          <w:rFonts w:ascii="Arial" w:eastAsiaTheme="minorEastAsia" w:hAnsi="Arial" w:cs="Arial"/>
          <w:lang w:val="en-ZA" w:eastAsia="en-US"/>
        </w:rPr>
        <w:tab/>
      </w:r>
      <w:r>
        <w:rPr>
          <w:rFonts w:ascii="Arial" w:eastAsiaTheme="minorEastAsia" w:hAnsi="Arial" w:cs="Arial"/>
          <w:lang w:val="en-ZA" w:eastAsia="en-US"/>
        </w:rPr>
        <w:tab/>
        <w:t xml:space="preserve"> Second Respondent</w:t>
      </w:r>
    </w:p>
    <w:p w:rsidR="00675AD0" w:rsidRDefault="00675AD0" w:rsidP="00675AD0">
      <w:pPr>
        <w:spacing w:after="160" w:line="360" w:lineRule="auto"/>
        <w:jc w:val="both"/>
        <w:rPr>
          <w:rFonts w:ascii="Arial" w:eastAsiaTheme="minorEastAsia" w:hAnsi="Arial" w:cs="Arial"/>
          <w:lang w:val="en-ZA" w:eastAsia="en-US"/>
        </w:rPr>
      </w:pPr>
    </w:p>
    <w:p w:rsidR="00675AD0" w:rsidRDefault="00675AD0" w:rsidP="00675AD0">
      <w:pPr>
        <w:spacing w:after="160" w:line="360" w:lineRule="auto"/>
        <w:jc w:val="both"/>
        <w:rPr>
          <w:rFonts w:ascii="Arial" w:eastAsiaTheme="minorEastAsia" w:hAnsi="Arial" w:cs="Arial"/>
          <w:lang w:val="en-ZA" w:eastAsia="en-US"/>
        </w:rPr>
      </w:pPr>
      <w:r w:rsidRPr="00675AD0">
        <w:rPr>
          <w:rFonts w:ascii="Arial" w:eastAsiaTheme="minorEastAsia" w:hAnsi="Arial" w:cs="Arial"/>
          <w:b/>
          <w:lang w:val="en-ZA" w:eastAsia="en-US"/>
        </w:rPr>
        <w:t>MJAYELI SECURITY (PTY) LTD</w:t>
      </w:r>
      <w:r>
        <w:rPr>
          <w:rFonts w:ascii="Arial" w:eastAsiaTheme="minorEastAsia" w:hAnsi="Arial" w:cs="Arial"/>
          <w:lang w:val="en-ZA" w:eastAsia="en-US"/>
        </w:rPr>
        <w:t xml:space="preserve">                                         </w:t>
      </w:r>
      <w:r>
        <w:rPr>
          <w:rFonts w:ascii="Arial" w:eastAsiaTheme="minorEastAsia" w:hAnsi="Arial" w:cs="Arial"/>
          <w:lang w:val="en-ZA" w:eastAsia="en-US"/>
        </w:rPr>
        <w:tab/>
      </w:r>
      <w:r>
        <w:rPr>
          <w:rFonts w:ascii="Arial" w:eastAsiaTheme="minorEastAsia" w:hAnsi="Arial" w:cs="Arial"/>
          <w:lang w:val="en-ZA" w:eastAsia="en-US"/>
        </w:rPr>
        <w:tab/>
      </w:r>
      <w:r>
        <w:rPr>
          <w:rFonts w:ascii="Arial" w:eastAsiaTheme="minorEastAsia" w:hAnsi="Arial" w:cs="Arial"/>
          <w:lang w:val="en-ZA" w:eastAsia="en-US"/>
        </w:rPr>
        <w:tab/>
        <w:t xml:space="preserve">     Third Respondent</w:t>
      </w:r>
    </w:p>
    <w:p w:rsidR="00675AD0" w:rsidRDefault="00675AD0" w:rsidP="00675AD0">
      <w:pPr>
        <w:spacing w:after="160" w:line="360" w:lineRule="auto"/>
        <w:jc w:val="both"/>
        <w:rPr>
          <w:rFonts w:ascii="Arial" w:eastAsiaTheme="minorEastAsia" w:hAnsi="Arial" w:cs="Arial"/>
          <w:lang w:val="en-ZA" w:eastAsia="en-US"/>
        </w:rPr>
      </w:pPr>
    </w:p>
    <w:p w:rsidR="00675AD0" w:rsidRDefault="00675AD0" w:rsidP="00675AD0">
      <w:pPr>
        <w:spacing w:after="160" w:line="360" w:lineRule="auto"/>
        <w:jc w:val="both"/>
        <w:rPr>
          <w:rFonts w:ascii="Arial" w:eastAsiaTheme="minorEastAsia" w:hAnsi="Arial" w:cs="Arial"/>
          <w:lang w:val="en-ZA" w:eastAsia="en-US"/>
        </w:rPr>
      </w:pPr>
      <w:r w:rsidRPr="00675AD0">
        <w:rPr>
          <w:rFonts w:ascii="Arial" w:eastAsiaTheme="minorEastAsia" w:hAnsi="Arial" w:cs="Arial"/>
          <w:b/>
          <w:lang w:val="en-ZA" w:eastAsia="en-US"/>
        </w:rPr>
        <w:t>MAFOKO SECURITY PATROLS (PTY) LTD</w:t>
      </w:r>
      <w:r>
        <w:rPr>
          <w:rFonts w:ascii="Arial" w:eastAsiaTheme="minorEastAsia" w:hAnsi="Arial" w:cs="Arial"/>
          <w:lang w:val="en-ZA" w:eastAsia="en-US"/>
        </w:rPr>
        <w:t xml:space="preserve">                     </w:t>
      </w:r>
      <w:r>
        <w:rPr>
          <w:rFonts w:ascii="Arial" w:eastAsiaTheme="minorEastAsia" w:hAnsi="Arial" w:cs="Arial"/>
          <w:lang w:val="en-ZA" w:eastAsia="en-US"/>
        </w:rPr>
        <w:tab/>
      </w:r>
      <w:r>
        <w:rPr>
          <w:rFonts w:ascii="Arial" w:eastAsiaTheme="minorEastAsia" w:hAnsi="Arial" w:cs="Arial"/>
          <w:lang w:val="en-ZA" w:eastAsia="en-US"/>
        </w:rPr>
        <w:tab/>
      </w:r>
      <w:r>
        <w:rPr>
          <w:rFonts w:ascii="Arial" w:eastAsiaTheme="minorEastAsia" w:hAnsi="Arial" w:cs="Arial"/>
          <w:lang w:val="en-ZA" w:eastAsia="en-US"/>
        </w:rPr>
        <w:tab/>
        <w:t xml:space="preserve">   Fourth Respondent</w:t>
      </w:r>
    </w:p>
    <w:p w:rsidR="00675AD0" w:rsidRDefault="00675AD0" w:rsidP="00675AD0">
      <w:pPr>
        <w:spacing w:after="160" w:line="360" w:lineRule="auto"/>
        <w:jc w:val="both"/>
        <w:rPr>
          <w:rFonts w:ascii="Arial" w:eastAsiaTheme="minorEastAsia" w:hAnsi="Arial" w:cs="Arial"/>
          <w:lang w:val="en-ZA" w:eastAsia="en-US"/>
        </w:rPr>
      </w:pPr>
    </w:p>
    <w:p w:rsidR="00675AD0" w:rsidRDefault="00675AD0" w:rsidP="00675AD0">
      <w:pPr>
        <w:spacing w:after="160" w:line="360" w:lineRule="auto"/>
        <w:jc w:val="both"/>
        <w:rPr>
          <w:rFonts w:ascii="Arial" w:eastAsiaTheme="minorEastAsia" w:hAnsi="Arial" w:cs="Arial"/>
          <w:lang w:val="en-ZA" w:eastAsia="en-US"/>
        </w:rPr>
      </w:pPr>
      <w:r w:rsidRPr="00675AD0">
        <w:rPr>
          <w:rFonts w:ascii="Arial" w:eastAsiaTheme="minorEastAsia" w:hAnsi="Arial" w:cs="Arial"/>
          <w:b/>
          <w:lang w:val="en-ZA" w:eastAsia="en-US"/>
        </w:rPr>
        <w:t>MAFOKO SECURITY SUPPLIES (PTY) LTD</w:t>
      </w:r>
      <w:r>
        <w:rPr>
          <w:rFonts w:ascii="Arial" w:eastAsiaTheme="minorEastAsia" w:hAnsi="Arial" w:cs="Arial"/>
          <w:lang w:val="en-ZA" w:eastAsia="en-US"/>
        </w:rPr>
        <w:t xml:space="preserve">                       </w:t>
      </w:r>
      <w:r>
        <w:rPr>
          <w:rFonts w:ascii="Arial" w:eastAsiaTheme="minorEastAsia" w:hAnsi="Arial" w:cs="Arial"/>
          <w:lang w:val="en-ZA" w:eastAsia="en-US"/>
        </w:rPr>
        <w:tab/>
      </w:r>
      <w:r>
        <w:rPr>
          <w:rFonts w:ascii="Arial" w:eastAsiaTheme="minorEastAsia" w:hAnsi="Arial" w:cs="Arial"/>
          <w:lang w:val="en-ZA" w:eastAsia="en-US"/>
        </w:rPr>
        <w:tab/>
      </w:r>
      <w:r>
        <w:rPr>
          <w:rFonts w:ascii="Arial" w:eastAsiaTheme="minorEastAsia" w:hAnsi="Arial" w:cs="Arial"/>
          <w:lang w:val="en-ZA" w:eastAsia="en-US"/>
        </w:rPr>
        <w:tab/>
        <w:t xml:space="preserve">      Fifth Respondent</w:t>
      </w:r>
    </w:p>
    <w:p w:rsidR="00675AD0" w:rsidRDefault="00675AD0" w:rsidP="00675AD0">
      <w:pPr>
        <w:spacing w:after="160" w:line="360" w:lineRule="auto"/>
        <w:jc w:val="both"/>
        <w:rPr>
          <w:rFonts w:ascii="Arial" w:eastAsiaTheme="minorEastAsia" w:hAnsi="Arial" w:cs="Arial"/>
          <w:lang w:val="en-ZA" w:eastAsia="en-US"/>
        </w:rPr>
      </w:pPr>
    </w:p>
    <w:p w:rsidR="00675AD0" w:rsidRDefault="00675AD0" w:rsidP="00675AD0">
      <w:pPr>
        <w:spacing w:after="160" w:line="360" w:lineRule="auto"/>
        <w:jc w:val="both"/>
        <w:rPr>
          <w:rFonts w:ascii="Arial" w:eastAsiaTheme="minorEastAsia" w:hAnsi="Arial" w:cs="Arial"/>
          <w:lang w:val="en-ZA" w:eastAsia="en-US"/>
        </w:rPr>
      </w:pPr>
      <w:r w:rsidRPr="00675AD0">
        <w:rPr>
          <w:rFonts w:ascii="Arial" w:eastAsiaTheme="minorEastAsia" w:hAnsi="Arial" w:cs="Arial"/>
          <w:b/>
          <w:lang w:val="en-ZA" w:eastAsia="en-US"/>
        </w:rPr>
        <w:t>MAFOKO SECURITY SERVICES</w:t>
      </w:r>
      <w:r>
        <w:rPr>
          <w:rFonts w:ascii="Arial" w:eastAsiaTheme="minorEastAsia" w:hAnsi="Arial" w:cs="Arial"/>
          <w:lang w:val="en-ZA" w:eastAsia="en-US"/>
        </w:rPr>
        <w:t xml:space="preserve">                                        </w:t>
      </w:r>
      <w:r>
        <w:rPr>
          <w:rFonts w:ascii="Arial" w:eastAsiaTheme="minorEastAsia" w:hAnsi="Arial" w:cs="Arial"/>
          <w:lang w:val="en-ZA" w:eastAsia="en-US"/>
        </w:rPr>
        <w:tab/>
      </w:r>
      <w:r>
        <w:rPr>
          <w:rFonts w:ascii="Arial" w:eastAsiaTheme="minorEastAsia" w:hAnsi="Arial" w:cs="Arial"/>
          <w:lang w:val="en-ZA" w:eastAsia="en-US"/>
        </w:rPr>
        <w:tab/>
      </w:r>
      <w:r>
        <w:rPr>
          <w:rFonts w:ascii="Arial" w:eastAsiaTheme="minorEastAsia" w:hAnsi="Arial" w:cs="Arial"/>
          <w:lang w:val="en-ZA" w:eastAsia="en-US"/>
        </w:rPr>
        <w:tab/>
        <w:t xml:space="preserve">     Sixth Respondent</w:t>
      </w:r>
    </w:p>
    <w:p w:rsidR="00675AD0" w:rsidRDefault="00675AD0" w:rsidP="00675AD0">
      <w:pPr>
        <w:spacing w:after="160" w:line="360" w:lineRule="auto"/>
        <w:jc w:val="both"/>
        <w:rPr>
          <w:rFonts w:ascii="Arial" w:eastAsiaTheme="minorEastAsia" w:hAnsi="Arial" w:cs="Arial"/>
          <w:lang w:val="en-ZA" w:eastAsia="en-US"/>
        </w:rPr>
      </w:pPr>
    </w:p>
    <w:p w:rsidR="00675AD0" w:rsidRPr="00675AD0" w:rsidRDefault="00675AD0" w:rsidP="00675AD0">
      <w:pPr>
        <w:spacing w:after="160" w:line="360" w:lineRule="auto"/>
        <w:jc w:val="both"/>
        <w:rPr>
          <w:rFonts w:ascii="Arial" w:eastAsiaTheme="minorEastAsia" w:hAnsi="Arial" w:cs="Arial"/>
          <w:lang w:val="en-ZA" w:eastAsia="en-US"/>
        </w:rPr>
      </w:pPr>
      <w:r w:rsidRPr="00675AD0">
        <w:rPr>
          <w:rFonts w:ascii="Arial" w:eastAsiaTheme="minorEastAsia" w:hAnsi="Arial" w:cs="Arial"/>
          <w:b/>
          <w:lang w:val="en-ZA" w:eastAsia="en-US"/>
        </w:rPr>
        <w:t>PRESIDENT OF SOUTH AFRICA</w:t>
      </w:r>
      <w:r>
        <w:rPr>
          <w:rFonts w:ascii="Arial" w:eastAsiaTheme="minorEastAsia" w:hAnsi="Arial" w:cs="Arial"/>
          <w:lang w:val="en-ZA" w:eastAsia="en-US"/>
        </w:rPr>
        <w:t xml:space="preserve">                                 </w:t>
      </w:r>
      <w:r>
        <w:rPr>
          <w:rFonts w:ascii="Arial" w:eastAsiaTheme="minorEastAsia" w:hAnsi="Arial" w:cs="Arial"/>
          <w:lang w:val="en-ZA" w:eastAsia="en-US"/>
        </w:rPr>
        <w:tab/>
      </w:r>
      <w:r>
        <w:rPr>
          <w:rFonts w:ascii="Arial" w:eastAsiaTheme="minorEastAsia" w:hAnsi="Arial" w:cs="Arial"/>
          <w:lang w:val="en-ZA" w:eastAsia="en-US"/>
        </w:rPr>
        <w:tab/>
        <w:t xml:space="preserve">           Seventh Respondent</w:t>
      </w:r>
    </w:p>
    <w:p w:rsidR="00675AD0" w:rsidRPr="00DB41B2" w:rsidRDefault="00675AD0" w:rsidP="00675AD0">
      <w:pPr>
        <w:tabs>
          <w:tab w:val="left" w:pos="3000"/>
        </w:tabs>
        <w:jc w:val="both"/>
        <w:rPr>
          <w:rFonts w:ascii="Arial" w:hAnsi="Arial" w:cs="Arial"/>
          <w:sz w:val="28"/>
          <w:szCs w:val="28"/>
        </w:rPr>
      </w:pPr>
      <w:r>
        <w:rPr>
          <w:rFonts w:ascii="Arial" w:hAnsi="Arial" w:cs="Arial"/>
          <w:sz w:val="28"/>
          <w:szCs w:val="28"/>
        </w:rPr>
        <w:t>______________</w:t>
      </w:r>
      <w:r w:rsidRPr="00DB41B2">
        <w:rPr>
          <w:rFonts w:ascii="Arial" w:hAnsi="Arial" w:cs="Arial"/>
          <w:sz w:val="28"/>
          <w:szCs w:val="28"/>
        </w:rPr>
        <w:t>______________________________</w:t>
      </w:r>
      <w:r>
        <w:rPr>
          <w:rFonts w:ascii="Arial" w:hAnsi="Arial" w:cs="Arial"/>
          <w:sz w:val="28"/>
          <w:szCs w:val="28"/>
        </w:rPr>
        <w:t>_____________________</w:t>
      </w:r>
    </w:p>
    <w:p w:rsidR="00675AD0" w:rsidRPr="00DB41B2" w:rsidRDefault="00675AD0" w:rsidP="00675AD0">
      <w:pPr>
        <w:tabs>
          <w:tab w:val="left" w:pos="3000"/>
        </w:tabs>
        <w:jc w:val="both"/>
        <w:rPr>
          <w:rFonts w:ascii="Arial" w:hAnsi="Arial" w:cs="Arial"/>
          <w:sz w:val="28"/>
          <w:szCs w:val="28"/>
        </w:rPr>
      </w:pPr>
    </w:p>
    <w:p w:rsidR="00675AD0" w:rsidRPr="00DB41B2" w:rsidRDefault="00675AD0" w:rsidP="00675AD0">
      <w:pPr>
        <w:tabs>
          <w:tab w:val="left" w:pos="3000"/>
        </w:tabs>
        <w:jc w:val="center"/>
        <w:rPr>
          <w:rFonts w:ascii="Arial" w:hAnsi="Arial" w:cs="Arial"/>
          <w:b/>
          <w:sz w:val="28"/>
          <w:szCs w:val="28"/>
        </w:rPr>
      </w:pPr>
      <w:r>
        <w:rPr>
          <w:rFonts w:ascii="Arial" w:hAnsi="Arial" w:cs="Arial"/>
          <w:b/>
          <w:sz w:val="28"/>
          <w:szCs w:val="28"/>
        </w:rPr>
        <w:t>JUDGMENT</w:t>
      </w:r>
    </w:p>
    <w:p w:rsidR="00675AD0" w:rsidRPr="00DB41B2" w:rsidRDefault="00675AD0" w:rsidP="00675AD0">
      <w:pPr>
        <w:tabs>
          <w:tab w:val="left" w:pos="3000"/>
        </w:tabs>
        <w:jc w:val="both"/>
        <w:rPr>
          <w:rFonts w:ascii="Arial" w:hAnsi="Arial" w:cs="Arial"/>
          <w:sz w:val="28"/>
          <w:szCs w:val="28"/>
        </w:rPr>
      </w:pPr>
      <w:r>
        <w:rPr>
          <w:rFonts w:ascii="Arial" w:hAnsi="Arial" w:cs="Arial"/>
          <w:sz w:val="28"/>
          <w:szCs w:val="28"/>
        </w:rPr>
        <w:t>_____________________</w:t>
      </w:r>
      <w:r w:rsidRPr="00DB41B2">
        <w:rPr>
          <w:rFonts w:ascii="Arial" w:hAnsi="Arial" w:cs="Arial"/>
          <w:sz w:val="28"/>
          <w:szCs w:val="28"/>
        </w:rPr>
        <w:t>____________</w:t>
      </w:r>
      <w:r>
        <w:rPr>
          <w:rFonts w:ascii="Arial" w:hAnsi="Arial" w:cs="Arial"/>
          <w:sz w:val="28"/>
          <w:szCs w:val="28"/>
        </w:rPr>
        <w:t>________________________________</w:t>
      </w:r>
    </w:p>
    <w:p w:rsidR="00675AD0" w:rsidRDefault="00675AD0" w:rsidP="00675AD0">
      <w:pPr>
        <w:tabs>
          <w:tab w:val="left" w:pos="3000"/>
        </w:tabs>
        <w:spacing w:line="480" w:lineRule="auto"/>
        <w:jc w:val="both"/>
        <w:rPr>
          <w:rFonts w:ascii="Arial" w:hAnsi="Arial" w:cs="Arial"/>
          <w:b/>
        </w:rPr>
      </w:pPr>
    </w:p>
    <w:p w:rsidR="00675AD0" w:rsidRDefault="00675AD0" w:rsidP="00675AD0">
      <w:pPr>
        <w:tabs>
          <w:tab w:val="left" w:pos="3000"/>
        </w:tabs>
        <w:spacing w:line="480" w:lineRule="auto"/>
        <w:jc w:val="both"/>
        <w:rPr>
          <w:rFonts w:ascii="Arial" w:hAnsi="Arial" w:cs="Arial"/>
          <w:b/>
        </w:rPr>
      </w:pPr>
      <w:r w:rsidRPr="00AE6B9A">
        <w:rPr>
          <w:rFonts w:ascii="Arial" w:hAnsi="Arial" w:cs="Arial"/>
          <w:b/>
        </w:rPr>
        <w:t>DOSIO J:</w:t>
      </w:r>
    </w:p>
    <w:p w:rsidR="00675AD0" w:rsidRDefault="00675AD0" w:rsidP="00675AD0">
      <w:pPr>
        <w:tabs>
          <w:tab w:val="left" w:pos="900"/>
        </w:tabs>
        <w:spacing w:line="360" w:lineRule="auto"/>
        <w:ind w:left="900" w:hanging="900"/>
        <w:jc w:val="both"/>
        <w:rPr>
          <w:rFonts w:ascii="Arial" w:hAnsi="Arial" w:cs="Arial"/>
          <w:b/>
          <w:i/>
        </w:rPr>
      </w:pPr>
      <w:r w:rsidRPr="00C463C0">
        <w:rPr>
          <w:rFonts w:ascii="Arial" w:hAnsi="Arial" w:cs="Arial"/>
          <w:b/>
          <w:i/>
        </w:rPr>
        <w:t>Introduction</w:t>
      </w:r>
    </w:p>
    <w:p w:rsidR="00675AD0" w:rsidRPr="00C463C0" w:rsidRDefault="00675AD0" w:rsidP="00675AD0">
      <w:pPr>
        <w:tabs>
          <w:tab w:val="left" w:pos="900"/>
        </w:tabs>
        <w:spacing w:line="360" w:lineRule="auto"/>
        <w:ind w:left="900" w:hanging="900"/>
        <w:jc w:val="both"/>
        <w:rPr>
          <w:rFonts w:ascii="Arial" w:hAnsi="Arial" w:cs="Arial"/>
          <w:b/>
          <w:i/>
        </w:rPr>
      </w:pPr>
    </w:p>
    <w:p w:rsidR="00675AD0" w:rsidRPr="00675AD0" w:rsidRDefault="00675AD0" w:rsidP="00675AD0">
      <w:pPr>
        <w:tabs>
          <w:tab w:val="left" w:pos="0"/>
          <w:tab w:val="left" w:pos="993"/>
        </w:tabs>
        <w:spacing w:line="360" w:lineRule="auto"/>
        <w:jc w:val="both"/>
        <w:rPr>
          <w:rFonts w:ascii="Arial" w:hAnsi="Arial" w:cs="Arial"/>
          <w:u w:val="single"/>
        </w:rPr>
      </w:pPr>
      <w:r w:rsidRPr="00533C2D">
        <w:rPr>
          <w:rFonts w:ascii="Arial" w:hAnsi="Arial" w:cs="Arial"/>
        </w:rPr>
        <w:t>[1]</w:t>
      </w:r>
      <w:r>
        <w:rPr>
          <w:rFonts w:ascii="Arial" w:hAnsi="Arial" w:cs="Arial"/>
        </w:rPr>
        <w:tab/>
      </w:r>
      <w:r w:rsidRPr="00675AD0">
        <w:rPr>
          <w:rFonts w:ascii="Arial" w:hAnsi="Arial" w:cs="Arial"/>
          <w:lang w:val="en-ZA"/>
        </w:rPr>
        <w:t>This is a review application wherein the applicants seek an order reviewing and setting aside the remedial actions contained in paragraph 7 of the Special Investigation Unit (‘SIU’) final report. This report was in respect of the investigation into the procurement of goods and services on behalf of the SABC from Mafoko Security Patrols (Pty) Ltd (‘Mafoko’).</w:t>
      </w:r>
    </w:p>
    <w:p w:rsidR="00675AD0" w:rsidRDefault="00675AD0" w:rsidP="00675AD0">
      <w:pPr>
        <w:tabs>
          <w:tab w:val="left" w:pos="900"/>
        </w:tabs>
        <w:spacing w:line="360" w:lineRule="auto"/>
        <w:ind w:left="900" w:hanging="900"/>
        <w:jc w:val="both"/>
        <w:rPr>
          <w:rFonts w:ascii="Arial" w:hAnsi="Arial" w:cs="Arial"/>
        </w:rPr>
      </w:pPr>
    </w:p>
    <w:p w:rsidR="00675AD0" w:rsidRPr="00675AD0" w:rsidRDefault="00675AD0" w:rsidP="00675AD0">
      <w:pPr>
        <w:tabs>
          <w:tab w:val="left" w:pos="0"/>
          <w:tab w:val="left" w:pos="993"/>
        </w:tabs>
        <w:spacing w:line="360" w:lineRule="auto"/>
        <w:jc w:val="both"/>
        <w:rPr>
          <w:rFonts w:ascii="Arial" w:hAnsi="Arial" w:cs="Arial"/>
          <w:u w:val="single"/>
        </w:rPr>
      </w:pPr>
      <w:r>
        <w:rPr>
          <w:rFonts w:ascii="Arial" w:hAnsi="Arial" w:cs="Arial"/>
        </w:rPr>
        <w:t>[2]</w:t>
      </w:r>
      <w:r>
        <w:rPr>
          <w:rFonts w:ascii="Arial" w:hAnsi="Arial" w:cs="Arial"/>
        </w:rPr>
        <w:tab/>
      </w:r>
      <w:r w:rsidRPr="00675AD0">
        <w:rPr>
          <w:rFonts w:ascii="Arial" w:hAnsi="Arial" w:cs="Arial"/>
          <w:lang w:val="en-ZA"/>
        </w:rPr>
        <w:t xml:space="preserve">The applicants, (‘the interim board members’), contended that the SIU went beyond the scope of the President’s proclamation and enquired whether the interim board members of the South African Broadcasting Corporation (‘SABC’), rendered themselves delinquent directors in terms of s162 of the Companies Act 71 of 2008 (‘the Companies Act’). The interim board members contended that the SIU acted irrationally, procedurally unfairly and exceeded its powers </w:t>
      </w:r>
      <w:r w:rsidRPr="00675AD0">
        <w:rPr>
          <w:rFonts w:ascii="Arial" w:hAnsi="Arial" w:cs="Arial"/>
          <w:lang w:val="en-ZA"/>
        </w:rPr>
        <w:lastRenderedPageBreak/>
        <w:t>in reaching the findings it made and unlawfully imposed the remedial action set out in paragraph 7.</w:t>
      </w:r>
    </w:p>
    <w:p w:rsidR="00675AD0" w:rsidRDefault="00675AD0" w:rsidP="00675AD0">
      <w:pPr>
        <w:tabs>
          <w:tab w:val="left" w:pos="0"/>
          <w:tab w:val="left" w:pos="993"/>
        </w:tabs>
        <w:spacing w:line="360" w:lineRule="auto"/>
        <w:jc w:val="both"/>
        <w:rPr>
          <w:rFonts w:ascii="Arial" w:hAnsi="Arial" w:cs="Arial"/>
        </w:rPr>
      </w:pPr>
    </w:p>
    <w:p w:rsidR="00675AD0" w:rsidRPr="00675AD0" w:rsidRDefault="00675AD0" w:rsidP="00675AD0">
      <w:pPr>
        <w:tabs>
          <w:tab w:val="left" w:pos="993"/>
        </w:tabs>
        <w:spacing w:line="360" w:lineRule="auto"/>
        <w:jc w:val="both"/>
        <w:rPr>
          <w:rFonts w:ascii="Arial" w:hAnsi="Arial" w:cs="Arial"/>
          <w:u w:val="single"/>
        </w:rPr>
      </w:pPr>
      <w:r>
        <w:rPr>
          <w:rFonts w:ascii="Arial" w:hAnsi="Arial" w:cs="Arial"/>
        </w:rPr>
        <w:t>[3]</w:t>
      </w:r>
      <w:r>
        <w:rPr>
          <w:rFonts w:ascii="Arial" w:hAnsi="Arial" w:cs="Arial"/>
        </w:rPr>
        <w:tab/>
      </w:r>
      <w:r w:rsidRPr="00675AD0">
        <w:rPr>
          <w:rFonts w:ascii="Arial" w:hAnsi="Arial" w:cs="Arial"/>
          <w:lang w:val="en-ZA"/>
        </w:rPr>
        <w:t>The interim board members do not seek relief against the second to seventh respondents who have been merely cited as they may have an interest in the outcome of the relief the interim board members seek.</w:t>
      </w:r>
    </w:p>
    <w:p w:rsidR="00675AD0" w:rsidRDefault="00675AD0" w:rsidP="007B30DB">
      <w:pPr>
        <w:tabs>
          <w:tab w:val="left" w:pos="900"/>
        </w:tabs>
        <w:spacing w:line="360" w:lineRule="auto"/>
        <w:jc w:val="both"/>
        <w:rPr>
          <w:rFonts w:ascii="Arial" w:hAnsi="Arial" w:cs="Arial"/>
        </w:rPr>
      </w:pPr>
    </w:p>
    <w:p w:rsidR="00675AD0" w:rsidRDefault="00675AD0" w:rsidP="00675AD0">
      <w:pPr>
        <w:tabs>
          <w:tab w:val="left" w:pos="993"/>
        </w:tabs>
        <w:spacing w:line="360" w:lineRule="auto"/>
        <w:ind w:left="993" w:hanging="993"/>
        <w:jc w:val="both"/>
        <w:rPr>
          <w:rFonts w:ascii="Arial" w:hAnsi="Arial" w:cs="Arial"/>
          <w:lang w:val="en-ZA"/>
        </w:rPr>
      </w:pPr>
      <w:r>
        <w:rPr>
          <w:rFonts w:ascii="Arial" w:hAnsi="Arial" w:cs="Arial"/>
        </w:rPr>
        <w:t>[4]</w:t>
      </w:r>
      <w:r>
        <w:rPr>
          <w:rFonts w:ascii="Arial" w:hAnsi="Arial" w:cs="Arial"/>
        </w:rPr>
        <w:tab/>
      </w:r>
      <w:r w:rsidRPr="00675AD0">
        <w:rPr>
          <w:rFonts w:ascii="Arial" w:hAnsi="Arial" w:cs="Arial"/>
          <w:lang w:val="en-ZA"/>
        </w:rPr>
        <w:t>The application is opposed by the SIU.</w:t>
      </w:r>
    </w:p>
    <w:p w:rsidR="00675AD0" w:rsidRDefault="00675AD0" w:rsidP="00675AD0">
      <w:pPr>
        <w:tabs>
          <w:tab w:val="left" w:pos="993"/>
        </w:tabs>
        <w:spacing w:line="360" w:lineRule="auto"/>
        <w:ind w:left="993" w:hanging="993"/>
        <w:jc w:val="both"/>
        <w:rPr>
          <w:rFonts w:ascii="Arial" w:hAnsi="Arial" w:cs="Arial"/>
          <w:lang w:val="en-ZA"/>
        </w:rPr>
      </w:pPr>
    </w:p>
    <w:p w:rsidR="00EB4402" w:rsidRPr="009F3397" w:rsidRDefault="009F3397" w:rsidP="009F3397">
      <w:pPr>
        <w:pStyle w:val="JudgmentNumbered"/>
        <w:numPr>
          <w:ilvl w:val="0"/>
          <w:numId w:val="0"/>
        </w:numPr>
        <w:rPr>
          <w:b/>
          <w:i/>
          <w:lang w:val="en-ZA"/>
        </w:rPr>
      </w:pPr>
      <w:r>
        <w:rPr>
          <w:b/>
          <w:i/>
          <w:lang w:val="en-ZA"/>
        </w:rPr>
        <w:t>Background</w:t>
      </w:r>
    </w:p>
    <w:p w:rsidR="00675AD0" w:rsidRPr="00675AD0" w:rsidRDefault="00675AD0" w:rsidP="00675AD0">
      <w:pPr>
        <w:tabs>
          <w:tab w:val="left" w:pos="993"/>
        </w:tabs>
        <w:spacing w:line="360" w:lineRule="auto"/>
        <w:jc w:val="both"/>
        <w:rPr>
          <w:rFonts w:ascii="Arial" w:hAnsi="Arial" w:cs="Arial"/>
          <w:lang w:val="en-ZA"/>
        </w:rPr>
      </w:pPr>
      <w:r>
        <w:rPr>
          <w:rFonts w:ascii="Arial" w:hAnsi="Arial" w:cs="Arial"/>
        </w:rPr>
        <w:t>[5]</w:t>
      </w:r>
      <w:r>
        <w:rPr>
          <w:rFonts w:ascii="Arial" w:hAnsi="Arial" w:cs="Arial"/>
        </w:rPr>
        <w:tab/>
      </w:r>
      <w:r w:rsidRPr="00675AD0">
        <w:rPr>
          <w:rFonts w:ascii="Arial" w:hAnsi="Arial" w:cs="Arial"/>
          <w:lang w:val="en-ZA"/>
        </w:rPr>
        <w:t xml:space="preserve">In 2016, the National Assembly of the Republic of South Africa </w:t>
      </w:r>
      <w:r>
        <w:rPr>
          <w:rFonts w:ascii="Arial" w:hAnsi="Arial" w:cs="Arial"/>
          <w:lang w:val="en-ZA"/>
        </w:rPr>
        <w:t xml:space="preserve">recommended that an </w:t>
      </w:r>
      <w:r w:rsidRPr="00675AD0">
        <w:rPr>
          <w:rFonts w:ascii="Arial" w:hAnsi="Arial" w:cs="Arial"/>
          <w:lang w:val="en-ZA"/>
        </w:rPr>
        <w:t>interim board of directors for the SABC be appointed to, amongst others, stabilise the governance of the SABC and to commence a process intended to return the SABC to proper and normal governance.</w:t>
      </w:r>
    </w:p>
    <w:p w:rsidR="00675AD0" w:rsidRDefault="00675AD0" w:rsidP="00675AD0">
      <w:pPr>
        <w:tabs>
          <w:tab w:val="left" w:pos="993"/>
        </w:tabs>
        <w:spacing w:line="360" w:lineRule="auto"/>
        <w:ind w:left="993" w:hanging="993"/>
        <w:jc w:val="both"/>
        <w:rPr>
          <w:rFonts w:ascii="Arial" w:hAnsi="Arial" w:cs="Arial"/>
        </w:rPr>
      </w:pPr>
    </w:p>
    <w:p w:rsidR="00675AD0" w:rsidRPr="00675AD0" w:rsidRDefault="00675AD0" w:rsidP="00675AD0">
      <w:pPr>
        <w:tabs>
          <w:tab w:val="left" w:pos="0"/>
          <w:tab w:val="left" w:pos="993"/>
        </w:tabs>
        <w:spacing w:line="360" w:lineRule="auto"/>
        <w:jc w:val="both"/>
        <w:rPr>
          <w:rFonts w:ascii="Arial" w:hAnsi="Arial" w:cs="Arial"/>
          <w:lang w:val="en-ZA"/>
        </w:rPr>
      </w:pPr>
      <w:r w:rsidRPr="007F308A">
        <w:rPr>
          <w:rFonts w:ascii="Arial" w:hAnsi="Arial" w:cs="Arial"/>
        </w:rPr>
        <w:t>[</w:t>
      </w:r>
      <w:r>
        <w:rPr>
          <w:rFonts w:ascii="Arial" w:hAnsi="Arial" w:cs="Arial"/>
        </w:rPr>
        <w:t>6</w:t>
      </w:r>
      <w:r w:rsidRPr="007F308A">
        <w:rPr>
          <w:rFonts w:ascii="Arial" w:hAnsi="Arial" w:cs="Arial"/>
        </w:rPr>
        <w:t>]</w:t>
      </w:r>
      <w:r w:rsidRPr="007F308A">
        <w:rPr>
          <w:rFonts w:ascii="Arial" w:hAnsi="Arial" w:cs="Arial"/>
        </w:rPr>
        <w:tab/>
      </w:r>
      <w:r w:rsidRPr="00675AD0">
        <w:rPr>
          <w:rFonts w:ascii="Arial" w:hAnsi="Arial" w:cs="Arial"/>
          <w:lang w:val="en-ZA"/>
        </w:rPr>
        <w:t xml:space="preserve">Pursuant to the aforesaid recommendation and in April 2017, the President of the Republic of South Africa appointed the interim board members as directors of the SABC. </w:t>
      </w:r>
    </w:p>
    <w:p w:rsidR="00675AD0" w:rsidRDefault="00675AD0" w:rsidP="00675AD0">
      <w:pPr>
        <w:tabs>
          <w:tab w:val="left" w:pos="993"/>
        </w:tabs>
        <w:spacing w:line="360" w:lineRule="auto"/>
        <w:ind w:left="993" w:hanging="993"/>
        <w:jc w:val="both"/>
        <w:rPr>
          <w:rFonts w:ascii="Arial" w:hAnsi="Arial" w:cs="Arial"/>
        </w:rPr>
      </w:pPr>
    </w:p>
    <w:p w:rsidR="00675AD0" w:rsidRPr="007B30DB" w:rsidRDefault="00675AD0" w:rsidP="007B30DB">
      <w:pPr>
        <w:tabs>
          <w:tab w:val="left" w:pos="993"/>
        </w:tabs>
        <w:spacing w:line="360" w:lineRule="auto"/>
        <w:jc w:val="both"/>
        <w:rPr>
          <w:rFonts w:ascii="Arial" w:hAnsi="Arial" w:cs="Arial"/>
          <w:lang w:val="en-ZA"/>
        </w:rPr>
      </w:pPr>
      <w:r>
        <w:rPr>
          <w:rFonts w:ascii="Arial" w:hAnsi="Arial" w:cs="Arial"/>
        </w:rPr>
        <w:t>[7</w:t>
      </w:r>
      <w:r w:rsidR="007B30DB">
        <w:rPr>
          <w:rFonts w:ascii="Arial" w:hAnsi="Arial" w:cs="Arial"/>
        </w:rPr>
        <w:t>]</w:t>
      </w:r>
      <w:r w:rsidR="007B30DB">
        <w:rPr>
          <w:rFonts w:ascii="Arial" w:hAnsi="Arial" w:cs="Arial"/>
        </w:rPr>
        <w:tab/>
      </w:r>
      <w:r w:rsidR="007B30DB" w:rsidRPr="007B30DB">
        <w:rPr>
          <w:rFonts w:ascii="Arial" w:hAnsi="Arial" w:cs="Arial"/>
          <w:lang w:val="en-ZA"/>
        </w:rPr>
        <w:t>When the interim board members were appointed, the SABC was already in the middle of a tender process for the appointment of a service provider to provide physical security at its Auckland Park premises and for its television outside broadcasts. In this regard, a bid evaluation committee (‘BEC’) had already been constituted to evaluate the bids.</w:t>
      </w:r>
    </w:p>
    <w:p w:rsidR="00675AD0" w:rsidRPr="00C463C0" w:rsidRDefault="00675AD0" w:rsidP="00675AD0">
      <w:pPr>
        <w:tabs>
          <w:tab w:val="left" w:pos="900"/>
        </w:tabs>
        <w:spacing w:line="360" w:lineRule="auto"/>
        <w:ind w:left="900" w:hanging="900"/>
        <w:jc w:val="both"/>
        <w:rPr>
          <w:rFonts w:ascii="Arial" w:hAnsi="Arial" w:cs="Arial"/>
          <w:b/>
          <w:i/>
        </w:rPr>
      </w:pPr>
    </w:p>
    <w:p w:rsidR="00675AD0" w:rsidRPr="007B30DB" w:rsidRDefault="00675AD0" w:rsidP="00675AD0">
      <w:pPr>
        <w:tabs>
          <w:tab w:val="left" w:pos="993"/>
        </w:tabs>
        <w:spacing w:line="360" w:lineRule="auto"/>
        <w:jc w:val="both"/>
        <w:rPr>
          <w:rFonts w:ascii="Arial" w:hAnsi="Arial" w:cs="Arial"/>
          <w:lang w:val="en-ZA"/>
        </w:rPr>
      </w:pPr>
      <w:r w:rsidRPr="007F308A">
        <w:rPr>
          <w:rFonts w:ascii="Arial" w:hAnsi="Arial" w:cs="Arial"/>
        </w:rPr>
        <w:t>[</w:t>
      </w:r>
      <w:r>
        <w:rPr>
          <w:rFonts w:ascii="Arial" w:hAnsi="Arial" w:cs="Arial"/>
        </w:rPr>
        <w:t>8</w:t>
      </w:r>
      <w:r w:rsidRPr="007F308A">
        <w:rPr>
          <w:rFonts w:ascii="Arial" w:hAnsi="Arial" w:cs="Arial"/>
        </w:rPr>
        <w:t>]</w:t>
      </w:r>
      <w:r w:rsidRPr="007F308A">
        <w:rPr>
          <w:rFonts w:ascii="Arial" w:hAnsi="Arial" w:cs="Arial"/>
        </w:rPr>
        <w:tab/>
      </w:r>
      <w:r w:rsidR="007B30DB" w:rsidRPr="007B30DB">
        <w:rPr>
          <w:rFonts w:ascii="Arial" w:hAnsi="Arial" w:cs="Arial"/>
          <w:lang w:val="en-ZA"/>
        </w:rPr>
        <w:t xml:space="preserve">In the running for the appointment of a service provider, to provide physical security at the SABC's Auckland Park premises, were the following security companies </w:t>
      </w:r>
      <w:r w:rsidR="007B30DB" w:rsidRPr="007B30DB">
        <w:rPr>
          <w:rFonts w:ascii="Arial" w:hAnsi="Arial" w:cs="Arial"/>
          <w:i/>
          <w:lang w:val="en-ZA"/>
        </w:rPr>
        <w:t>inter alia</w:t>
      </w:r>
      <w:r w:rsidR="007B30DB" w:rsidRPr="007B30DB">
        <w:rPr>
          <w:rFonts w:ascii="Arial" w:hAnsi="Arial" w:cs="Arial"/>
          <w:lang w:val="en-ZA"/>
        </w:rPr>
        <w:t xml:space="preserve"> Mafoko and Mjayeli Security (Pty) Ltd (‘Mjayeli’). </w:t>
      </w:r>
    </w:p>
    <w:p w:rsidR="00675AD0" w:rsidRDefault="00675AD0" w:rsidP="00675AD0">
      <w:pPr>
        <w:tabs>
          <w:tab w:val="left" w:pos="900"/>
        </w:tabs>
        <w:spacing w:line="360" w:lineRule="auto"/>
        <w:ind w:left="900" w:hanging="900"/>
        <w:jc w:val="both"/>
        <w:rPr>
          <w:rFonts w:ascii="Arial" w:hAnsi="Arial" w:cs="Arial"/>
        </w:rPr>
      </w:pPr>
    </w:p>
    <w:p w:rsidR="007B30DB" w:rsidRPr="007B30DB" w:rsidRDefault="00675AD0" w:rsidP="007B30DB">
      <w:pPr>
        <w:tabs>
          <w:tab w:val="left" w:pos="993"/>
        </w:tabs>
        <w:spacing w:line="360" w:lineRule="auto"/>
        <w:jc w:val="both"/>
        <w:rPr>
          <w:rFonts w:ascii="Arial" w:hAnsi="Arial" w:cs="Arial"/>
          <w:lang w:val="en-ZA"/>
        </w:rPr>
      </w:pPr>
      <w:r>
        <w:rPr>
          <w:rFonts w:ascii="Arial" w:hAnsi="Arial" w:cs="Arial"/>
        </w:rPr>
        <w:t>[9]</w:t>
      </w:r>
      <w:r>
        <w:rPr>
          <w:rFonts w:ascii="Arial" w:hAnsi="Arial" w:cs="Arial"/>
        </w:rPr>
        <w:tab/>
      </w:r>
      <w:r w:rsidR="007B30DB" w:rsidRPr="007B30DB">
        <w:rPr>
          <w:rFonts w:ascii="Arial" w:hAnsi="Arial" w:cs="Arial"/>
          <w:lang w:val="en-ZA"/>
        </w:rPr>
        <w:t xml:space="preserve">In the run up to the adjudication of the tender for the provision of security services, the first applicant (‘Ms Kweyama’) received a whistle blower report that there were irregularities associated with the tender which implicated one of the parties who had submitted a bid and who had been shortlisted for evaluation and adjudication. Ms Kweyama conferred with her fellow interim board members and they resolved that she report the matter to the SIU. </w:t>
      </w:r>
    </w:p>
    <w:p w:rsidR="00675AD0" w:rsidRDefault="00675AD0" w:rsidP="00675AD0">
      <w:pPr>
        <w:tabs>
          <w:tab w:val="left" w:pos="993"/>
        </w:tabs>
        <w:spacing w:line="360" w:lineRule="auto"/>
        <w:jc w:val="both"/>
        <w:rPr>
          <w:rFonts w:ascii="Arial" w:hAnsi="Arial" w:cs="Arial"/>
        </w:rPr>
      </w:pPr>
    </w:p>
    <w:p w:rsidR="00675AD0" w:rsidRDefault="00675AD0" w:rsidP="00675AD0">
      <w:pPr>
        <w:tabs>
          <w:tab w:val="left" w:pos="900"/>
        </w:tabs>
        <w:spacing w:line="360" w:lineRule="auto"/>
        <w:ind w:left="900" w:hanging="900"/>
        <w:jc w:val="both"/>
        <w:rPr>
          <w:rFonts w:ascii="Arial" w:hAnsi="Arial" w:cs="Arial"/>
        </w:rPr>
      </w:pPr>
    </w:p>
    <w:p w:rsidR="007B30DB" w:rsidRDefault="00675AD0" w:rsidP="007B30DB">
      <w:pPr>
        <w:tabs>
          <w:tab w:val="left" w:pos="993"/>
        </w:tabs>
        <w:spacing w:line="360" w:lineRule="auto"/>
        <w:jc w:val="both"/>
        <w:rPr>
          <w:rFonts w:ascii="Arial" w:hAnsi="Arial" w:cs="Arial"/>
          <w:lang w:val="en-ZA"/>
        </w:rPr>
      </w:pPr>
      <w:r>
        <w:rPr>
          <w:rFonts w:ascii="Arial" w:hAnsi="Arial" w:cs="Arial"/>
        </w:rPr>
        <w:lastRenderedPageBreak/>
        <w:t>[10]</w:t>
      </w:r>
      <w:r>
        <w:rPr>
          <w:rFonts w:ascii="Arial" w:hAnsi="Arial" w:cs="Arial"/>
        </w:rPr>
        <w:tab/>
      </w:r>
      <w:r w:rsidR="007B30DB" w:rsidRPr="007B30DB">
        <w:rPr>
          <w:rFonts w:ascii="Arial" w:hAnsi="Arial" w:cs="Arial"/>
          <w:lang w:val="en-ZA"/>
        </w:rPr>
        <w:t>The SIU made findings against the interim board members with regard to events that happened on 30 June 2017 at the SABC interim board meeting, when the applicants awarded the tender to Mafoko. The SIU made a finding that:</w:t>
      </w:r>
    </w:p>
    <w:p w:rsidR="007B30DB" w:rsidRPr="007B30DB" w:rsidRDefault="007B30DB" w:rsidP="007B30DB">
      <w:pPr>
        <w:tabs>
          <w:tab w:val="left" w:pos="993"/>
        </w:tabs>
        <w:spacing w:line="360" w:lineRule="auto"/>
        <w:jc w:val="both"/>
        <w:rPr>
          <w:rFonts w:ascii="Arial" w:hAnsi="Arial" w:cs="Arial"/>
          <w:lang w:val="en-ZA"/>
        </w:rPr>
      </w:pPr>
    </w:p>
    <w:p w:rsidR="00675AD0" w:rsidRPr="007B30DB" w:rsidRDefault="007B30DB" w:rsidP="00675AD0">
      <w:pPr>
        <w:tabs>
          <w:tab w:val="left" w:pos="993"/>
        </w:tabs>
        <w:spacing w:line="360" w:lineRule="auto"/>
        <w:jc w:val="both"/>
        <w:rPr>
          <w:rFonts w:ascii="Arial" w:hAnsi="Arial" w:cs="Arial"/>
          <w:lang w:val="en-ZA"/>
        </w:rPr>
      </w:pPr>
      <w:r w:rsidRPr="007B30DB">
        <w:rPr>
          <w:rFonts w:ascii="Arial" w:hAnsi="Arial" w:cs="Arial"/>
          <w:lang w:val="en-ZA"/>
        </w:rPr>
        <w:t>‘</w:t>
      </w:r>
      <w:r w:rsidRPr="007B30DB">
        <w:rPr>
          <w:rFonts w:ascii="Arial" w:hAnsi="Arial" w:cs="Arial"/>
          <w:sz w:val="22"/>
          <w:lang w:val="en-ZA"/>
        </w:rPr>
        <w:t>the investigation has revealed that the interim Board had irregularly awarded the security contract to the bidder that scored the second highest points, justifying their decision by using BBBEE level status, as a factor that has already been evaluated as an objective criteria and which cannot be used as valid basis thereof. This action by the Board has been found to be wrongful and irregular. Even though they may have doubts about awarding the contract to the highest bidder, they were supposed to consider launching an investigation or cancel the tender or remitting it for reconsideration and they have failed to discharge their fiduciary duties in that respect and failed to act in the best interests of the SABC.’</w:t>
      </w:r>
      <w:r w:rsidRPr="007B30DB">
        <w:rPr>
          <w:rFonts w:ascii="Arial" w:hAnsi="Arial" w:cs="Arial"/>
          <w:sz w:val="22"/>
          <w:vertAlign w:val="superscript"/>
          <w:lang w:val="en-ZA"/>
        </w:rPr>
        <w:footnoteReference w:id="1"/>
      </w:r>
    </w:p>
    <w:p w:rsidR="00675AD0" w:rsidRDefault="00675AD0" w:rsidP="00675AD0">
      <w:pPr>
        <w:tabs>
          <w:tab w:val="left" w:pos="900"/>
        </w:tabs>
        <w:spacing w:line="360" w:lineRule="auto"/>
        <w:ind w:left="900" w:hanging="900"/>
        <w:jc w:val="both"/>
        <w:rPr>
          <w:rFonts w:ascii="Arial" w:hAnsi="Arial" w:cs="Arial"/>
        </w:rPr>
      </w:pPr>
    </w:p>
    <w:p w:rsidR="007B30DB" w:rsidRDefault="00675AD0" w:rsidP="009F3397">
      <w:pPr>
        <w:tabs>
          <w:tab w:val="left" w:pos="0"/>
          <w:tab w:val="left" w:pos="993"/>
        </w:tabs>
        <w:spacing w:line="360" w:lineRule="auto"/>
        <w:jc w:val="both"/>
        <w:rPr>
          <w:rFonts w:ascii="Arial" w:hAnsi="Arial" w:cs="Arial"/>
          <w:lang w:val="en-ZA"/>
        </w:rPr>
      </w:pPr>
      <w:r>
        <w:rPr>
          <w:rFonts w:ascii="Arial" w:hAnsi="Arial" w:cs="Arial"/>
        </w:rPr>
        <w:t>[11]</w:t>
      </w:r>
      <w:r w:rsidRPr="007001F9">
        <w:rPr>
          <w:rFonts w:ascii="Arial" w:hAnsi="Arial" w:cs="Arial"/>
        </w:rPr>
        <w:tab/>
      </w:r>
      <w:r w:rsidR="007B30DB" w:rsidRPr="007B30DB">
        <w:rPr>
          <w:rFonts w:ascii="Arial" w:hAnsi="Arial" w:cs="Arial"/>
          <w:lang w:val="en-ZA"/>
        </w:rPr>
        <w:t>On 13 June 2019, the SIU released the report titled ‘</w:t>
      </w:r>
      <w:r w:rsidR="007B30DB" w:rsidRPr="007B30DB">
        <w:rPr>
          <w:rFonts w:ascii="Arial" w:hAnsi="Arial" w:cs="Arial"/>
          <w:i/>
          <w:lang w:val="en-ZA"/>
        </w:rPr>
        <w:t>The investigation conducted in respect of the procurement of, or contracting for goods, works or services by or on behalf of the SABC from Mafoko Security Patrols’</w:t>
      </w:r>
      <w:r w:rsidR="007B30DB" w:rsidRPr="007B30DB">
        <w:rPr>
          <w:rFonts w:ascii="Arial" w:hAnsi="Arial" w:cs="Arial"/>
          <w:lang w:val="en-ZA"/>
        </w:rPr>
        <w:t xml:space="preserve"> (‘the report’).</w:t>
      </w:r>
    </w:p>
    <w:p w:rsidR="009F3397" w:rsidRPr="009F3397" w:rsidRDefault="009F3397" w:rsidP="009F3397">
      <w:pPr>
        <w:tabs>
          <w:tab w:val="left" w:pos="0"/>
          <w:tab w:val="left" w:pos="993"/>
        </w:tabs>
        <w:spacing w:line="360" w:lineRule="auto"/>
        <w:jc w:val="both"/>
        <w:rPr>
          <w:rFonts w:ascii="Arial" w:hAnsi="Arial" w:cs="Arial"/>
          <w:lang w:val="en-ZA"/>
        </w:rPr>
      </w:pPr>
    </w:p>
    <w:p w:rsidR="009F3397" w:rsidRPr="009F3397" w:rsidRDefault="007B30DB" w:rsidP="009F3397">
      <w:pPr>
        <w:pStyle w:val="JudgmentNumbered"/>
        <w:numPr>
          <w:ilvl w:val="0"/>
          <w:numId w:val="0"/>
        </w:numPr>
        <w:rPr>
          <w:b/>
          <w:i/>
          <w:lang w:val="en-ZA"/>
        </w:rPr>
      </w:pPr>
      <w:r w:rsidRPr="00AE7558">
        <w:rPr>
          <w:b/>
          <w:i/>
          <w:lang w:val="en-ZA"/>
        </w:rPr>
        <w:t xml:space="preserve">Contentions of the </w:t>
      </w:r>
      <w:r>
        <w:rPr>
          <w:b/>
          <w:i/>
          <w:lang w:val="en-ZA"/>
        </w:rPr>
        <w:t>interim board members</w:t>
      </w:r>
      <w:r w:rsidRPr="00AE7558">
        <w:rPr>
          <w:b/>
          <w:i/>
          <w:lang w:val="en-ZA"/>
        </w:rPr>
        <w:t xml:space="preserve"> </w:t>
      </w:r>
    </w:p>
    <w:p w:rsidR="00675AD0" w:rsidRDefault="00675AD0" w:rsidP="007B30DB">
      <w:pPr>
        <w:tabs>
          <w:tab w:val="left" w:pos="0"/>
          <w:tab w:val="left" w:pos="993"/>
        </w:tabs>
        <w:spacing w:line="360" w:lineRule="auto"/>
        <w:jc w:val="both"/>
        <w:rPr>
          <w:rFonts w:ascii="Arial" w:hAnsi="Arial" w:cs="Arial"/>
          <w:lang w:val="en-ZA"/>
        </w:rPr>
      </w:pPr>
      <w:r w:rsidRPr="007001F9">
        <w:rPr>
          <w:rFonts w:ascii="Arial" w:hAnsi="Arial" w:cs="Arial"/>
        </w:rPr>
        <w:t>[</w:t>
      </w:r>
      <w:r>
        <w:rPr>
          <w:rFonts w:ascii="Arial" w:hAnsi="Arial" w:cs="Arial"/>
        </w:rPr>
        <w:t>12</w:t>
      </w:r>
      <w:r w:rsidRPr="007001F9">
        <w:rPr>
          <w:rFonts w:ascii="Arial" w:hAnsi="Arial" w:cs="Arial"/>
        </w:rPr>
        <w:t>]</w:t>
      </w:r>
      <w:r w:rsidRPr="007001F9">
        <w:rPr>
          <w:rFonts w:ascii="Arial" w:hAnsi="Arial" w:cs="Arial"/>
        </w:rPr>
        <w:tab/>
      </w:r>
      <w:r w:rsidR="007B30DB" w:rsidRPr="007B30DB">
        <w:rPr>
          <w:rFonts w:ascii="Arial" w:hAnsi="Arial" w:cs="Arial"/>
          <w:lang w:val="en-ZA"/>
        </w:rPr>
        <w:t>The interim board members contended that the remedial actions contained in paragraph 7 of the report are reviewable.</w:t>
      </w:r>
    </w:p>
    <w:p w:rsidR="007B30DB" w:rsidRPr="007001F9" w:rsidRDefault="007B30DB" w:rsidP="007B30DB">
      <w:pPr>
        <w:tabs>
          <w:tab w:val="left" w:pos="0"/>
          <w:tab w:val="left" w:pos="993"/>
        </w:tabs>
        <w:spacing w:line="360" w:lineRule="auto"/>
        <w:jc w:val="both"/>
        <w:rPr>
          <w:rFonts w:ascii="Arial" w:hAnsi="Arial" w:cs="Arial"/>
        </w:rPr>
      </w:pPr>
    </w:p>
    <w:p w:rsidR="00675AD0" w:rsidRDefault="00675AD0" w:rsidP="007B30DB">
      <w:pPr>
        <w:tabs>
          <w:tab w:val="left" w:pos="0"/>
          <w:tab w:val="left" w:pos="993"/>
        </w:tabs>
        <w:spacing w:line="360" w:lineRule="auto"/>
        <w:jc w:val="both"/>
        <w:rPr>
          <w:rFonts w:ascii="Arial" w:hAnsi="Arial" w:cs="Arial"/>
          <w:lang w:val="en-ZA"/>
        </w:rPr>
      </w:pPr>
      <w:r w:rsidRPr="007001F9">
        <w:rPr>
          <w:rFonts w:ascii="Arial" w:hAnsi="Arial" w:cs="Arial"/>
        </w:rPr>
        <w:t>[</w:t>
      </w:r>
      <w:r>
        <w:rPr>
          <w:rFonts w:ascii="Arial" w:hAnsi="Arial" w:cs="Arial"/>
        </w:rPr>
        <w:t>13</w:t>
      </w:r>
      <w:r w:rsidRPr="007001F9">
        <w:rPr>
          <w:rFonts w:ascii="Arial" w:hAnsi="Arial" w:cs="Arial"/>
        </w:rPr>
        <w:t>]</w:t>
      </w:r>
      <w:r w:rsidRPr="007001F9">
        <w:rPr>
          <w:rFonts w:ascii="Arial" w:hAnsi="Arial" w:cs="Arial"/>
        </w:rPr>
        <w:tab/>
      </w:r>
      <w:r w:rsidR="007B30DB" w:rsidRPr="007B30DB">
        <w:rPr>
          <w:rFonts w:ascii="Arial" w:hAnsi="Arial" w:cs="Arial"/>
          <w:lang w:val="en-ZA"/>
        </w:rPr>
        <w:t>In terms of paragraph 7 of the report, the SIU recommended that the interim board members be rendered delinquent directors in terms of s162 of the Companies Act. In addition, the SIU made a referral to the National Prosecuting Authority in terms of s86(2) of the Public Finance Management Act 1 of 1999, (‘PFMA’) for criminal action against the interim board members due to the alleged misconduct committed by them.</w:t>
      </w:r>
    </w:p>
    <w:p w:rsidR="007B30DB" w:rsidRDefault="007B30DB" w:rsidP="007B30DB">
      <w:pPr>
        <w:tabs>
          <w:tab w:val="left" w:pos="0"/>
          <w:tab w:val="left" w:pos="993"/>
        </w:tabs>
        <w:spacing w:line="360" w:lineRule="auto"/>
        <w:jc w:val="both"/>
        <w:rPr>
          <w:rFonts w:ascii="Arial" w:hAnsi="Arial" w:cs="Arial"/>
        </w:rPr>
      </w:pPr>
    </w:p>
    <w:p w:rsidR="00675AD0" w:rsidRDefault="00675AD0" w:rsidP="007B30DB">
      <w:pPr>
        <w:tabs>
          <w:tab w:val="left" w:pos="0"/>
          <w:tab w:val="left" w:pos="993"/>
        </w:tabs>
        <w:spacing w:line="360" w:lineRule="auto"/>
        <w:jc w:val="both"/>
        <w:rPr>
          <w:rFonts w:ascii="Arial" w:hAnsi="Arial" w:cs="Arial"/>
        </w:rPr>
      </w:pPr>
      <w:r>
        <w:rPr>
          <w:rFonts w:ascii="Arial" w:hAnsi="Arial" w:cs="Arial"/>
        </w:rPr>
        <w:t>[14]</w:t>
      </w:r>
      <w:r>
        <w:rPr>
          <w:rFonts w:ascii="Arial" w:hAnsi="Arial" w:cs="Arial"/>
        </w:rPr>
        <w:tab/>
      </w:r>
      <w:r w:rsidR="007B30DB" w:rsidRPr="007B30DB">
        <w:rPr>
          <w:rFonts w:ascii="Arial" w:hAnsi="Arial" w:cs="Arial"/>
          <w:lang w:val="en-ZA"/>
        </w:rPr>
        <w:t xml:space="preserve">In light of the report, the interim board members contended that the remedial action as contained in the report is reviewable in accordance with s6(2)(b) to 6(2)(i) of the Promotion of Administrative Justice Act 3 of 2000 (‘PAJA’), as well as the principle of legality and the rule of law, on the grounds that the requirements of substantive and procedural rationality and fairness have not been complied with.  </w:t>
      </w:r>
    </w:p>
    <w:p w:rsidR="00675AD0" w:rsidRDefault="00675AD0" w:rsidP="00675AD0">
      <w:pPr>
        <w:tabs>
          <w:tab w:val="left" w:pos="900"/>
        </w:tabs>
        <w:spacing w:line="360" w:lineRule="auto"/>
        <w:ind w:left="900" w:hanging="900"/>
        <w:jc w:val="both"/>
        <w:rPr>
          <w:rFonts w:ascii="Arial" w:hAnsi="Arial" w:cs="Arial"/>
        </w:rPr>
      </w:pPr>
    </w:p>
    <w:p w:rsidR="007B30DB" w:rsidRDefault="00675AD0" w:rsidP="007B30DB">
      <w:pPr>
        <w:tabs>
          <w:tab w:val="left" w:pos="993"/>
        </w:tabs>
        <w:spacing w:line="360" w:lineRule="auto"/>
        <w:jc w:val="both"/>
        <w:rPr>
          <w:rFonts w:ascii="Arial" w:hAnsi="Arial" w:cs="Arial"/>
          <w:lang w:val="en-ZA"/>
        </w:rPr>
      </w:pPr>
      <w:r>
        <w:rPr>
          <w:rFonts w:ascii="Arial" w:hAnsi="Arial" w:cs="Arial"/>
        </w:rPr>
        <w:t>[15]</w:t>
      </w:r>
      <w:r>
        <w:rPr>
          <w:rFonts w:ascii="Arial" w:hAnsi="Arial" w:cs="Arial"/>
        </w:rPr>
        <w:tab/>
      </w:r>
      <w:r w:rsidR="007B30DB" w:rsidRPr="007B30DB">
        <w:rPr>
          <w:rFonts w:ascii="Arial" w:hAnsi="Arial" w:cs="Arial"/>
          <w:lang w:val="en-ZA"/>
        </w:rPr>
        <w:t xml:space="preserve">The </w:t>
      </w:r>
      <w:r w:rsidR="008C69ED">
        <w:rPr>
          <w:rFonts w:ascii="Arial" w:hAnsi="Arial" w:cs="Arial"/>
          <w:lang w:val="en-ZA"/>
        </w:rPr>
        <w:t>interim board members</w:t>
      </w:r>
      <w:r w:rsidR="007B30DB" w:rsidRPr="007B30DB">
        <w:rPr>
          <w:rFonts w:ascii="Arial" w:hAnsi="Arial" w:cs="Arial"/>
          <w:lang w:val="en-ZA"/>
        </w:rPr>
        <w:t xml:space="preserve"> base their review on the following grounds:</w:t>
      </w:r>
    </w:p>
    <w:p w:rsidR="007B30DB" w:rsidRPr="007B30DB" w:rsidRDefault="007B30DB" w:rsidP="007B30DB">
      <w:pPr>
        <w:tabs>
          <w:tab w:val="left" w:pos="993"/>
        </w:tabs>
        <w:spacing w:line="360" w:lineRule="auto"/>
        <w:jc w:val="both"/>
        <w:rPr>
          <w:rFonts w:ascii="Arial" w:hAnsi="Arial" w:cs="Arial"/>
          <w:lang w:val="en-ZA"/>
        </w:rPr>
      </w:pPr>
    </w:p>
    <w:p w:rsidR="007B30DB" w:rsidRPr="007B30DB" w:rsidRDefault="007B30DB" w:rsidP="007B30DB">
      <w:pPr>
        <w:tabs>
          <w:tab w:val="left" w:pos="993"/>
        </w:tabs>
        <w:spacing w:line="360" w:lineRule="auto"/>
        <w:jc w:val="both"/>
        <w:rPr>
          <w:rFonts w:ascii="Arial" w:hAnsi="Arial" w:cs="Arial"/>
          <w:lang w:val="en-ZA"/>
        </w:rPr>
      </w:pPr>
      <w:r w:rsidRPr="007B30DB">
        <w:rPr>
          <w:rFonts w:ascii="Arial" w:hAnsi="Arial" w:cs="Arial"/>
          <w:lang w:val="en-ZA"/>
        </w:rPr>
        <w:lastRenderedPageBreak/>
        <w:t xml:space="preserve">(a)     </w:t>
      </w:r>
      <w:r>
        <w:rPr>
          <w:rFonts w:ascii="Arial" w:hAnsi="Arial" w:cs="Arial"/>
          <w:lang w:val="en-ZA"/>
        </w:rPr>
        <w:tab/>
      </w:r>
      <w:r w:rsidRPr="007B30DB">
        <w:rPr>
          <w:rFonts w:ascii="Arial" w:hAnsi="Arial" w:cs="Arial"/>
          <w:lang w:val="en-ZA"/>
        </w:rPr>
        <w:t xml:space="preserve">That the SIU acted </w:t>
      </w:r>
      <w:r w:rsidRPr="007B30DB">
        <w:rPr>
          <w:rFonts w:ascii="Arial" w:hAnsi="Arial" w:cs="Arial"/>
          <w:i/>
          <w:lang w:val="en-ZA"/>
        </w:rPr>
        <w:t>ultra vires</w:t>
      </w:r>
      <w:r w:rsidRPr="007B30DB">
        <w:rPr>
          <w:rFonts w:ascii="Arial" w:hAnsi="Arial" w:cs="Arial"/>
          <w:lang w:val="en-ZA"/>
        </w:rPr>
        <w:t xml:space="preserve"> by investigating the fiduciary duties of the  </w:t>
      </w:r>
    </w:p>
    <w:p w:rsidR="007B30DB" w:rsidRDefault="007B30DB" w:rsidP="007B30DB">
      <w:pPr>
        <w:tabs>
          <w:tab w:val="left" w:pos="993"/>
        </w:tabs>
        <w:spacing w:line="360" w:lineRule="auto"/>
        <w:jc w:val="both"/>
        <w:rPr>
          <w:rFonts w:ascii="Arial" w:hAnsi="Arial" w:cs="Arial"/>
          <w:lang w:val="en-ZA"/>
        </w:rPr>
      </w:pPr>
      <w:r w:rsidRPr="007B30DB">
        <w:rPr>
          <w:rFonts w:ascii="Arial" w:hAnsi="Arial" w:cs="Arial"/>
          <w:lang w:val="en-ZA"/>
        </w:rPr>
        <w:t>interim board members and that even if the SIU had the requisite authority, it failed to take into account relevant considerations;</w:t>
      </w:r>
    </w:p>
    <w:p w:rsidR="007B30DB" w:rsidRPr="007B30DB" w:rsidRDefault="007B30DB" w:rsidP="007B30DB">
      <w:pPr>
        <w:tabs>
          <w:tab w:val="left" w:pos="993"/>
        </w:tabs>
        <w:spacing w:line="360" w:lineRule="auto"/>
        <w:jc w:val="both"/>
        <w:rPr>
          <w:rFonts w:ascii="Arial" w:hAnsi="Arial" w:cs="Arial"/>
          <w:lang w:val="en-ZA"/>
        </w:rPr>
      </w:pPr>
    </w:p>
    <w:p w:rsidR="007B30DB" w:rsidRPr="007B30DB" w:rsidRDefault="007B30DB" w:rsidP="007B30DB">
      <w:pPr>
        <w:tabs>
          <w:tab w:val="left" w:pos="993"/>
        </w:tabs>
        <w:spacing w:line="360" w:lineRule="auto"/>
        <w:jc w:val="both"/>
        <w:rPr>
          <w:rFonts w:ascii="Arial" w:hAnsi="Arial" w:cs="Arial"/>
          <w:lang w:val="en-ZA"/>
        </w:rPr>
      </w:pPr>
      <w:r w:rsidRPr="007B30DB">
        <w:rPr>
          <w:rFonts w:ascii="Arial" w:hAnsi="Arial" w:cs="Arial"/>
          <w:lang w:val="en-ZA"/>
        </w:rPr>
        <w:t xml:space="preserve">(b)     </w:t>
      </w:r>
      <w:r>
        <w:rPr>
          <w:rFonts w:ascii="Arial" w:hAnsi="Arial" w:cs="Arial"/>
          <w:lang w:val="en-ZA"/>
        </w:rPr>
        <w:tab/>
      </w:r>
      <w:r w:rsidRPr="007B30DB">
        <w:rPr>
          <w:rFonts w:ascii="Arial" w:hAnsi="Arial" w:cs="Arial"/>
          <w:lang w:val="en-ZA"/>
        </w:rPr>
        <w:t>The report is irrational;</w:t>
      </w:r>
    </w:p>
    <w:p w:rsidR="007B30DB" w:rsidRPr="007B30DB" w:rsidRDefault="007B30DB" w:rsidP="007B30DB">
      <w:pPr>
        <w:tabs>
          <w:tab w:val="left" w:pos="993"/>
        </w:tabs>
        <w:spacing w:line="360" w:lineRule="auto"/>
        <w:jc w:val="both"/>
        <w:rPr>
          <w:rFonts w:ascii="Arial" w:hAnsi="Arial" w:cs="Arial"/>
          <w:lang w:val="en-ZA"/>
        </w:rPr>
      </w:pPr>
      <w:r w:rsidRPr="007B30DB">
        <w:rPr>
          <w:rFonts w:ascii="Arial" w:hAnsi="Arial" w:cs="Arial"/>
          <w:lang w:val="en-ZA"/>
        </w:rPr>
        <w:t xml:space="preserve">(c)      </w:t>
      </w:r>
      <w:r>
        <w:rPr>
          <w:rFonts w:ascii="Arial" w:hAnsi="Arial" w:cs="Arial"/>
          <w:lang w:val="en-ZA"/>
        </w:rPr>
        <w:tab/>
      </w:r>
      <w:r w:rsidRPr="007B30DB">
        <w:rPr>
          <w:rFonts w:ascii="Arial" w:hAnsi="Arial" w:cs="Arial"/>
          <w:lang w:val="en-ZA"/>
        </w:rPr>
        <w:t>The procedural flaws in the investigation render the report reviewable;</w:t>
      </w:r>
    </w:p>
    <w:p w:rsidR="007B30DB" w:rsidRPr="007B30DB" w:rsidRDefault="007B30DB" w:rsidP="009F3397">
      <w:pPr>
        <w:tabs>
          <w:tab w:val="left" w:pos="993"/>
        </w:tabs>
        <w:spacing w:line="360" w:lineRule="auto"/>
        <w:ind w:left="990" w:hanging="990"/>
        <w:jc w:val="both"/>
        <w:rPr>
          <w:rFonts w:ascii="Arial" w:hAnsi="Arial" w:cs="Arial"/>
          <w:lang w:val="en-ZA"/>
        </w:rPr>
      </w:pPr>
      <w:r w:rsidRPr="007B30DB">
        <w:rPr>
          <w:rFonts w:ascii="Arial" w:hAnsi="Arial" w:cs="Arial"/>
          <w:lang w:val="en-ZA"/>
        </w:rPr>
        <w:t xml:space="preserve">(d)     </w:t>
      </w:r>
      <w:r>
        <w:rPr>
          <w:rFonts w:ascii="Arial" w:hAnsi="Arial" w:cs="Arial"/>
          <w:lang w:val="en-ZA"/>
        </w:rPr>
        <w:tab/>
      </w:r>
      <w:r w:rsidRPr="007B30DB">
        <w:rPr>
          <w:rFonts w:ascii="Arial" w:hAnsi="Arial" w:cs="Arial"/>
          <w:lang w:val="en-ZA"/>
        </w:rPr>
        <w:t xml:space="preserve">There was no </w:t>
      </w:r>
      <w:r w:rsidRPr="007B30DB">
        <w:rPr>
          <w:rFonts w:ascii="Arial" w:hAnsi="Arial" w:cs="Arial"/>
          <w:i/>
          <w:lang w:val="en-ZA"/>
        </w:rPr>
        <w:t>audi alterem partem</w:t>
      </w:r>
      <w:r w:rsidRPr="007B30DB">
        <w:rPr>
          <w:rFonts w:ascii="Arial" w:hAnsi="Arial" w:cs="Arial"/>
          <w:lang w:val="en-ZA"/>
        </w:rPr>
        <w:t xml:space="preserve"> before adverse findings were made against the interim board members;</w:t>
      </w:r>
    </w:p>
    <w:p w:rsidR="00675AD0" w:rsidRDefault="007B30DB" w:rsidP="007B30DB">
      <w:pPr>
        <w:tabs>
          <w:tab w:val="left" w:pos="993"/>
        </w:tabs>
        <w:spacing w:line="360" w:lineRule="auto"/>
        <w:jc w:val="both"/>
        <w:rPr>
          <w:rFonts w:ascii="Arial" w:hAnsi="Arial" w:cs="Arial"/>
          <w:lang w:val="en-ZA"/>
        </w:rPr>
      </w:pPr>
      <w:r w:rsidRPr="007B30DB">
        <w:rPr>
          <w:rFonts w:ascii="Arial" w:hAnsi="Arial" w:cs="Arial"/>
          <w:lang w:val="en-ZA"/>
        </w:rPr>
        <w:t xml:space="preserve">(e)       </w:t>
      </w:r>
      <w:r w:rsidR="009F3397">
        <w:rPr>
          <w:rFonts w:ascii="Arial" w:hAnsi="Arial" w:cs="Arial"/>
          <w:lang w:val="en-ZA"/>
        </w:rPr>
        <w:tab/>
      </w:r>
      <w:r w:rsidRPr="007B30DB">
        <w:rPr>
          <w:rFonts w:ascii="Arial" w:hAnsi="Arial" w:cs="Arial"/>
          <w:lang w:val="en-ZA"/>
        </w:rPr>
        <w:t>The SIU’s investigation is unconstitutional and contravenes the principle of legality.</w:t>
      </w:r>
    </w:p>
    <w:p w:rsidR="007B30DB" w:rsidRDefault="007B30DB" w:rsidP="007B30DB">
      <w:pPr>
        <w:tabs>
          <w:tab w:val="left" w:pos="993"/>
        </w:tabs>
        <w:spacing w:line="360" w:lineRule="auto"/>
        <w:jc w:val="both"/>
        <w:rPr>
          <w:rFonts w:ascii="Arial" w:hAnsi="Arial" w:cs="Arial"/>
          <w:lang w:val="en-ZA"/>
        </w:rPr>
      </w:pPr>
    </w:p>
    <w:p w:rsidR="007B30DB" w:rsidRPr="007B30DB" w:rsidRDefault="007B30DB" w:rsidP="007B30DB">
      <w:pPr>
        <w:pStyle w:val="JudgmentNumbered"/>
        <w:numPr>
          <w:ilvl w:val="0"/>
          <w:numId w:val="0"/>
        </w:numPr>
        <w:rPr>
          <w:b/>
          <w:i/>
          <w:lang w:val="en-ZA"/>
        </w:rPr>
      </w:pPr>
      <w:r w:rsidRPr="00002994">
        <w:rPr>
          <w:b/>
          <w:i/>
          <w:lang w:val="en-ZA"/>
        </w:rPr>
        <w:t>Contentions of the SIU</w:t>
      </w:r>
    </w:p>
    <w:p w:rsidR="00675AD0" w:rsidRDefault="00675AD0" w:rsidP="007B30DB">
      <w:pPr>
        <w:tabs>
          <w:tab w:val="left" w:pos="0"/>
          <w:tab w:val="left" w:pos="993"/>
        </w:tabs>
        <w:spacing w:line="360" w:lineRule="auto"/>
        <w:jc w:val="both"/>
        <w:rPr>
          <w:rFonts w:ascii="Arial" w:hAnsi="Arial" w:cs="Arial"/>
        </w:rPr>
      </w:pPr>
      <w:r>
        <w:rPr>
          <w:rFonts w:ascii="Arial" w:hAnsi="Arial" w:cs="Arial"/>
        </w:rPr>
        <w:t>[16]</w:t>
      </w:r>
      <w:r>
        <w:rPr>
          <w:rFonts w:ascii="Arial" w:hAnsi="Arial" w:cs="Arial"/>
        </w:rPr>
        <w:tab/>
      </w:r>
      <w:r w:rsidR="007B30DB" w:rsidRPr="007B30DB">
        <w:rPr>
          <w:rFonts w:ascii="Arial" w:hAnsi="Arial" w:cs="Arial"/>
          <w:lang w:val="en-ZA"/>
        </w:rPr>
        <w:t>The SIU contended that this application must be dismissed with costs because neither PAJA nor the principle of legality apply.</w:t>
      </w:r>
    </w:p>
    <w:p w:rsidR="00675AD0" w:rsidRDefault="00675AD0" w:rsidP="00675AD0">
      <w:pPr>
        <w:tabs>
          <w:tab w:val="left" w:pos="900"/>
        </w:tabs>
        <w:spacing w:line="360" w:lineRule="auto"/>
        <w:ind w:left="900" w:hanging="900"/>
        <w:jc w:val="both"/>
        <w:rPr>
          <w:rFonts w:ascii="Arial" w:hAnsi="Arial" w:cs="Arial"/>
        </w:rPr>
      </w:pPr>
    </w:p>
    <w:p w:rsidR="00675AD0" w:rsidRDefault="00675AD0" w:rsidP="007B30DB">
      <w:pPr>
        <w:tabs>
          <w:tab w:val="left" w:pos="0"/>
          <w:tab w:val="left" w:pos="993"/>
        </w:tabs>
        <w:spacing w:line="360" w:lineRule="auto"/>
        <w:jc w:val="both"/>
        <w:rPr>
          <w:rFonts w:ascii="Arial" w:hAnsi="Arial" w:cs="Arial"/>
          <w:lang w:val="en-ZA"/>
        </w:rPr>
      </w:pPr>
      <w:r>
        <w:rPr>
          <w:rFonts w:ascii="Arial" w:hAnsi="Arial" w:cs="Arial"/>
        </w:rPr>
        <w:t>[17]</w:t>
      </w:r>
      <w:r>
        <w:rPr>
          <w:rFonts w:ascii="Arial" w:hAnsi="Arial" w:cs="Arial"/>
        </w:rPr>
        <w:tab/>
      </w:r>
      <w:r w:rsidR="007B30DB" w:rsidRPr="007B30DB">
        <w:rPr>
          <w:rFonts w:ascii="Arial" w:hAnsi="Arial" w:cs="Arial"/>
          <w:lang w:val="en-ZA"/>
        </w:rPr>
        <w:t>The SIU contended that the findings of the SIU and the intention to launch an application in terms of s162 of the Companies Act is merely an intention to refer and recommend to the SABC to launch the application.</w:t>
      </w:r>
    </w:p>
    <w:p w:rsidR="007B30DB" w:rsidRDefault="007B30DB" w:rsidP="007B30DB">
      <w:pPr>
        <w:tabs>
          <w:tab w:val="left" w:pos="0"/>
          <w:tab w:val="left" w:pos="993"/>
        </w:tabs>
        <w:spacing w:line="360" w:lineRule="auto"/>
        <w:jc w:val="both"/>
        <w:rPr>
          <w:rFonts w:ascii="Arial" w:hAnsi="Arial" w:cs="Arial"/>
        </w:rPr>
      </w:pPr>
    </w:p>
    <w:p w:rsidR="007B30DB" w:rsidRDefault="00675AD0" w:rsidP="007B30DB">
      <w:pPr>
        <w:tabs>
          <w:tab w:val="left" w:pos="0"/>
          <w:tab w:val="left" w:pos="993"/>
        </w:tabs>
        <w:spacing w:line="360" w:lineRule="auto"/>
        <w:jc w:val="both"/>
        <w:rPr>
          <w:rFonts w:ascii="Arial" w:hAnsi="Arial" w:cs="Arial"/>
          <w:lang w:val="en-ZA"/>
        </w:rPr>
      </w:pPr>
      <w:r>
        <w:rPr>
          <w:rFonts w:ascii="Arial" w:hAnsi="Arial" w:cs="Arial"/>
        </w:rPr>
        <w:t>[18]</w:t>
      </w:r>
      <w:r>
        <w:rPr>
          <w:rFonts w:ascii="Arial" w:hAnsi="Arial" w:cs="Arial"/>
        </w:rPr>
        <w:tab/>
      </w:r>
      <w:r w:rsidR="007B30DB" w:rsidRPr="007B30DB">
        <w:rPr>
          <w:rFonts w:ascii="Arial" w:hAnsi="Arial" w:cs="Arial"/>
          <w:lang w:val="en-ZA"/>
        </w:rPr>
        <w:t xml:space="preserve">It was further contended </w:t>
      </w:r>
      <w:r w:rsidR="009F3397">
        <w:rPr>
          <w:rFonts w:ascii="Arial" w:hAnsi="Arial" w:cs="Arial"/>
          <w:lang w:val="en-ZA"/>
        </w:rPr>
        <w:t xml:space="preserve">that </w:t>
      </w:r>
      <w:r w:rsidR="007B30DB" w:rsidRPr="007B30DB">
        <w:rPr>
          <w:rFonts w:ascii="Arial" w:hAnsi="Arial" w:cs="Arial"/>
          <w:lang w:val="en-ZA"/>
        </w:rPr>
        <w:t>a mere expression of an intention to recommend the bringing of an application is not a reviewable administrative decision under PAJA or under the principle of legality.</w:t>
      </w:r>
    </w:p>
    <w:p w:rsidR="007B30DB" w:rsidRPr="007B30DB" w:rsidRDefault="007B30DB" w:rsidP="007B30DB">
      <w:pPr>
        <w:tabs>
          <w:tab w:val="left" w:pos="0"/>
          <w:tab w:val="left" w:pos="993"/>
        </w:tabs>
        <w:spacing w:line="360" w:lineRule="auto"/>
        <w:jc w:val="both"/>
        <w:rPr>
          <w:rFonts w:ascii="Arial" w:hAnsi="Arial" w:cs="Arial"/>
          <w:lang w:val="en-ZA"/>
        </w:rPr>
      </w:pPr>
    </w:p>
    <w:p w:rsidR="007B30DB" w:rsidRPr="007B30DB" w:rsidRDefault="007B30DB" w:rsidP="007B30DB">
      <w:pPr>
        <w:tabs>
          <w:tab w:val="left" w:pos="0"/>
          <w:tab w:val="left" w:pos="993"/>
        </w:tabs>
        <w:spacing w:line="360" w:lineRule="auto"/>
        <w:jc w:val="both"/>
        <w:rPr>
          <w:rFonts w:ascii="Arial" w:hAnsi="Arial" w:cs="Arial"/>
          <w:b/>
          <w:i/>
          <w:lang w:val="en-ZA"/>
        </w:rPr>
      </w:pPr>
      <w:r w:rsidRPr="007B30DB">
        <w:rPr>
          <w:rFonts w:ascii="Arial" w:hAnsi="Arial" w:cs="Arial"/>
          <w:b/>
          <w:i/>
          <w:lang w:val="en-ZA"/>
        </w:rPr>
        <w:t>Whether the matter in casu is reviewable in terms of PAJA</w:t>
      </w:r>
    </w:p>
    <w:p w:rsidR="00675AD0" w:rsidRDefault="00675AD0" w:rsidP="007B30DB">
      <w:pPr>
        <w:tabs>
          <w:tab w:val="left" w:pos="0"/>
          <w:tab w:val="left" w:pos="993"/>
        </w:tabs>
        <w:spacing w:line="360" w:lineRule="auto"/>
        <w:jc w:val="both"/>
        <w:rPr>
          <w:rFonts w:ascii="Arial" w:hAnsi="Arial" w:cs="Arial"/>
        </w:rPr>
      </w:pPr>
    </w:p>
    <w:p w:rsidR="00675AD0" w:rsidRDefault="00675AD0" w:rsidP="00675AD0">
      <w:pPr>
        <w:tabs>
          <w:tab w:val="left" w:pos="993"/>
        </w:tabs>
        <w:spacing w:line="360" w:lineRule="auto"/>
        <w:jc w:val="both"/>
        <w:rPr>
          <w:rFonts w:ascii="Arial" w:hAnsi="Arial" w:cs="Arial"/>
        </w:rPr>
      </w:pPr>
      <w:r>
        <w:rPr>
          <w:rFonts w:ascii="Arial" w:hAnsi="Arial" w:cs="Arial"/>
        </w:rPr>
        <w:t>[19]</w:t>
      </w:r>
      <w:r>
        <w:rPr>
          <w:rFonts w:ascii="Arial" w:hAnsi="Arial" w:cs="Arial"/>
        </w:rPr>
        <w:tab/>
      </w:r>
      <w:r w:rsidR="007B30DB" w:rsidRPr="007B30DB">
        <w:rPr>
          <w:rFonts w:ascii="Arial" w:hAnsi="Arial" w:cs="Arial"/>
          <w:lang w:val="en-ZA"/>
        </w:rPr>
        <w:t>T</w:t>
      </w:r>
      <w:r w:rsidR="007B30DB" w:rsidRPr="007B30DB">
        <w:rPr>
          <w:rFonts w:ascii="Arial" w:hAnsi="Arial" w:cs="Arial"/>
        </w:rPr>
        <w:t>he SIU forms part of  an organ of state in terms of  PAJA</w:t>
      </w:r>
      <w:r w:rsidR="007B30DB">
        <w:rPr>
          <w:rFonts w:ascii="Arial" w:hAnsi="Arial" w:cs="Arial"/>
        </w:rPr>
        <w:t>.</w:t>
      </w:r>
      <w:r w:rsidR="007B30DB" w:rsidRPr="007B30DB">
        <w:rPr>
          <w:rFonts w:ascii="Arial" w:hAnsi="Arial" w:cs="Arial"/>
          <w:vertAlign w:val="superscript"/>
        </w:rPr>
        <w:footnoteReference w:id="2"/>
      </w:r>
      <w:r w:rsidR="007B30DB" w:rsidRPr="007B30DB">
        <w:rPr>
          <w:rFonts w:ascii="Arial" w:hAnsi="Arial" w:cs="Arial"/>
        </w:rPr>
        <w:t xml:space="preserve"> Accordingly, this Court has to determine whether the report is reviewable in terms of PAJA.</w:t>
      </w:r>
    </w:p>
    <w:p w:rsidR="00675AD0" w:rsidRDefault="00675AD0" w:rsidP="00675AD0">
      <w:pPr>
        <w:tabs>
          <w:tab w:val="left" w:pos="900"/>
        </w:tabs>
        <w:spacing w:line="360" w:lineRule="auto"/>
        <w:ind w:left="900" w:hanging="900"/>
        <w:jc w:val="both"/>
        <w:rPr>
          <w:rFonts w:ascii="Arial" w:hAnsi="Arial" w:cs="Arial"/>
        </w:rPr>
      </w:pPr>
    </w:p>
    <w:p w:rsidR="00675AD0" w:rsidRDefault="00675AD0" w:rsidP="00675AD0">
      <w:pPr>
        <w:tabs>
          <w:tab w:val="left" w:pos="993"/>
        </w:tabs>
        <w:spacing w:line="360" w:lineRule="auto"/>
        <w:jc w:val="both"/>
        <w:rPr>
          <w:rFonts w:ascii="Arial" w:hAnsi="Arial" w:cs="Arial"/>
        </w:rPr>
      </w:pPr>
      <w:r>
        <w:rPr>
          <w:rFonts w:ascii="Arial" w:hAnsi="Arial" w:cs="Arial"/>
        </w:rPr>
        <w:t>[20]</w:t>
      </w:r>
      <w:r>
        <w:rPr>
          <w:rFonts w:ascii="Arial" w:hAnsi="Arial" w:cs="Arial"/>
        </w:rPr>
        <w:tab/>
      </w:r>
      <w:r w:rsidR="007B30DB" w:rsidRPr="007B30DB">
        <w:rPr>
          <w:rFonts w:ascii="Arial" w:hAnsi="Arial" w:cs="Arial"/>
        </w:rPr>
        <w:t>For the conduct to be reviewable under PAJA, the conduct has to fall within the definition of administrative action. Furthermore, whether the conduct is administrative action, it has to be decided on the facts of each individual case.</w:t>
      </w:r>
      <w:r w:rsidR="007B30DB" w:rsidRPr="007B30DB">
        <w:rPr>
          <w:rFonts w:ascii="Arial" w:hAnsi="Arial" w:cs="Arial"/>
          <w:vertAlign w:val="superscript"/>
        </w:rPr>
        <w:footnoteReference w:id="3"/>
      </w:r>
    </w:p>
    <w:p w:rsidR="00675AD0" w:rsidRDefault="00675AD0" w:rsidP="00675AD0">
      <w:pPr>
        <w:tabs>
          <w:tab w:val="left" w:pos="900"/>
        </w:tabs>
        <w:spacing w:line="360" w:lineRule="auto"/>
        <w:ind w:left="900" w:hanging="900"/>
        <w:jc w:val="both"/>
        <w:rPr>
          <w:rFonts w:ascii="Arial" w:hAnsi="Arial" w:cs="Arial"/>
        </w:rPr>
      </w:pPr>
    </w:p>
    <w:p w:rsidR="007B30DB" w:rsidRDefault="00675AD0" w:rsidP="007B30DB">
      <w:pPr>
        <w:tabs>
          <w:tab w:val="left" w:pos="0"/>
          <w:tab w:val="left" w:pos="993"/>
        </w:tabs>
        <w:spacing w:line="360" w:lineRule="auto"/>
        <w:jc w:val="both"/>
        <w:rPr>
          <w:rFonts w:ascii="Arial" w:hAnsi="Arial" w:cs="Arial"/>
          <w:lang w:val="en-ZA"/>
        </w:rPr>
      </w:pPr>
      <w:r>
        <w:rPr>
          <w:rFonts w:ascii="Arial" w:hAnsi="Arial" w:cs="Arial"/>
        </w:rPr>
        <w:t>[21]</w:t>
      </w:r>
      <w:r>
        <w:rPr>
          <w:rFonts w:ascii="Arial" w:hAnsi="Arial" w:cs="Arial"/>
        </w:rPr>
        <w:tab/>
      </w:r>
      <w:r w:rsidR="007B30DB" w:rsidRPr="007B30DB">
        <w:rPr>
          <w:rFonts w:ascii="Arial" w:hAnsi="Arial" w:cs="Arial"/>
          <w:lang w:val="en-ZA"/>
        </w:rPr>
        <w:t>Administrative action is defined in s1 of PAJA as follows:</w:t>
      </w:r>
    </w:p>
    <w:p w:rsidR="00694F6B" w:rsidRPr="007B30DB" w:rsidRDefault="00694F6B" w:rsidP="007B30DB">
      <w:pPr>
        <w:tabs>
          <w:tab w:val="left" w:pos="0"/>
          <w:tab w:val="left" w:pos="993"/>
        </w:tabs>
        <w:spacing w:line="360" w:lineRule="auto"/>
        <w:jc w:val="both"/>
        <w:rPr>
          <w:rFonts w:ascii="Arial" w:hAnsi="Arial" w:cs="Arial"/>
          <w:lang w:val="en-ZA"/>
        </w:rPr>
      </w:pPr>
    </w:p>
    <w:p w:rsidR="007B30DB" w:rsidRPr="00694F6B" w:rsidRDefault="007B30DB" w:rsidP="007B30DB">
      <w:pPr>
        <w:tabs>
          <w:tab w:val="left" w:pos="0"/>
          <w:tab w:val="left" w:pos="993"/>
        </w:tabs>
        <w:spacing w:line="360" w:lineRule="auto"/>
        <w:jc w:val="both"/>
        <w:rPr>
          <w:rFonts w:ascii="Arial" w:hAnsi="Arial" w:cs="Arial"/>
          <w:sz w:val="22"/>
          <w:lang w:val="en-ZA"/>
        </w:rPr>
      </w:pPr>
      <w:r w:rsidRPr="00694F6B">
        <w:rPr>
          <w:rFonts w:ascii="Arial" w:hAnsi="Arial" w:cs="Arial"/>
          <w:sz w:val="22"/>
          <w:lang w:val="en-ZA"/>
        </w:rPr>
        <w:lastRenderedPageBreak/>
        <w:t>‘administrative action’ means any decision taken, or any failure to take a decision, by-</w:t>
      </w:r>
    </w:p>
    <w:p w:rsidR="007B30DB" w:rsidRPr="00694F6B" w:rsidRDefault="007B30DB" w:rsidP="007B30DB">
      <w:pPr>
        <w:tabs>
          <w:tab w:val="left" w:pos="0"/>
          <w:tab w:val="left" w:pos="993"/>
        </w:tabs>
        <w:spacing w:line="360" w:lineRule="auto"/>
        <w:jc w:val="both"/>
        <w:rPr>
          <w:rFonts w:ascii="Arial" w:hAnsi="Arial" w:cs="Arial"/>
          <w:sz w:val="22"/>
          <w:lang w:val="en-ZA"/>
        </w:rPr>
      </w:pPr>
      <w:r w:rsidRPr="00694F6B">
        <w:rPr>
          <w:rFonts w:ascii="Arial" w:hAnsi="Arial" w:cs="Arial"/>
          <w:sz w:val="22"/>
          <w:lang w:val="en-ZA"/>
        </w:rPr>
        <w:t xml:space="preserve">(a)        </w:t>
      </w:r>
      <w:r w:rsidR="00694F6B" w:rsidRPr="00694F6B">
        <w:rPr>
          <w:rFonts w:ascii="Arial" w:hAnsi="Arial" w:cs="Arial"/>
          <w:sz w:val="22"/>
          <w:lang w:val="en-ZA"/>
        </w:rPr>
        <w:tab/>
      </w:r>
      <w:r w:rsidRPr="00694F6B">
        <w:rPr>
          <w:rFonts w:ascii="Arial" w:hAnsi="Arial" w:cs="Arial"/>
          <w:sz w:val="22"/>
          <w:lang w:val="en-ZA"/>
        </w:rPr>
        <w:t>an organ of state, when-</w:t>
      </w:r>
    </w:p>
    <w:p w:rsidR="007B30DB" w:rsidRPr="00694F6B" w:rsidRDefault="007B30DB" w:rsidP="007B30DB">
      <w:pPr>
        <w:tabs>
          <w:tab w:val="left" w:pos="0"/>
          <w:tab w:val="left" w:pos="993"/>
        </w:tabs>
        <w:spacing w:line="360" w:lineRule="auto"/>
        <w:jc w:val="both"/>
        <w:rPr>
          <w:rFonts w:ascii="Arial" w:hAnsi="Arial" w:cs="Arial"/>
          <w:sz w:val="22"/>
          <w:lang w:val="en-ZA"/>
        </w:rPr>
      </w:pPr>
      <w:r w:rsidRPr="00694F6B">
        <w:rPr>
          <w:rFonts w:ascii="Arial" w:hAnsi="Arial" w:cs="Arial"/>
          <w:sz w:val="22"/>
          <w:lang w:val="en-ZA"/>
        </w:rPr>
        <w:t xml:space="preserve">(i)      </w:t>
      </w:r>
      <w:r w:rsidR="00694F6B" w:rsidRPr="00694F6B">
        <w:rPr>
          <w:rFonts w:ascii="Arial" w:hAnsi="Arial" w:cs="Arial"/>
          <w:sz w:val="22"/>
          <w:lang w:val="en-ZA"/>
        </w:rPr>
        <w:t xml:space="preserve">   </w:t>
      </w:r>
      <w:r w:rsidR="00694F6B" w:rsidRPr="00694F6B">
        <w:rPr>
          <w:rFonts w:ascii="Arial" w:hAnsi="Arial" w:cs="Arial"/>
          <w:sz w:val="22"/>
          <w:lang w:val="en-ZA"/>
        </w:rPr>
        <w:tab/>
      </w:r>
      <w:r w:rsidRPr="00694F6B">
        <w:rPr>
          <w:rFonts w:ascii="Arial" w:hAnsi="Arial" w:cs="Arial"/>
          <w:sz w:val="22"/>
          <w:lang w:val="en-ZA"/>
        </w:rPr>
        <w:t>exercising a power in terms of the Constitution or a provincial constitution; or</w:t>
      </w:r>
    </w:p>
    <w:p w:rsidR="007B30DB" w:rsidRPr="00694F6B" w:rsidRDefault="007B30DB" w:rsidP="007B30DB">
      <w:pPr>
        <w:tabs>
          <w:tab w:val="left" w:pos="0"/>
          <w:tab w:val="left" w:pos="993"/>
        </w:tabs>
        <w:spacing w:line="360" w:lineRule="auto"/>
        <w:jc w:val="both"/>
        <w:rPr>
          <w:rFonts w:ascii="Arial" w:hAnsi="Arial" w:cs="Arial"/>
          <w:sz w:val="22"/>
          <w:lang w:val="en-ZA"/>
        </w:rPr>
      </w:pPr>
      <w:r w:rsidRPr="00694F6B">
        <w:rPr>
          <w:rFonts w:ascii="Arial" w:hAnsi="Arial" w:cs="Arial"/>
          <w:sz w:val="22"/>
          <w:lang w:val="en-ZA"/>
        </w:rPr>
        <w:t xml:space="preserve">(ii)        </w:t>
      </w:r>
      <w:r w:rsidR="00694F6B" w:rsidRPr="00694F6B">
        <w:rPr>
          <w:rFonts w:ascii="Arial" w:hAnsi="Arial" w:cs="Arial"/>
          <w:sz w:val="22"/>
          <w:lang w:val="en-ZA"/>
        </w:rPr>
        <w:tab/>
      </w:r>
      <w:r w:rsidRPr="00694F6B">
        <w:rPr>
          <w:rFonts w:ascii="Arial" w:hAnsi="Arial" w:cs="Arial"/>
          <w:sz w:val="22"/>
          <w:lang w:val="en-ZA"/>
        </w:rPr>
        <w:t>exercising a public power or performing a public function in terms of any legislation; or</w:t>
      </w:r>
    </w:p>
    <w:p w:rsidR="00675AD0" w:rsidRPr="00C405A9" w:rsidRDefault="007B30DB" w:rsidP="00C405A9">
      <w:pPr>
        <w:tabs>
          <w:tab w:val="left" w:pos="0"/>
          <w:tab w:val="left" w:pos="993"/>
        </w:tabs>
        <w:spacing w:line="360" w:lineRule="auto"/>
        <w:ind w:left="990" w:hanging="990"/>
        <w:jc w:val="both"/>
        <w:rPr>
          <w:rFonts w:ascii="Arial" w:hAnsi="Arial" w:cs="Arial"/>
          <w:sz w:val="22"/>
          <w:lang w:val="en-ZA"/>
        </w:rPr>
      </w:pPr>
      <w:r w:rsidRPr="00694F6B">
        <w:rPr>
          <w:rFonts w:ascii="Arial" w:hAnsi="Arial" w:cs="Arial"/>
          <w:sz w:val="22"/>
          <w:lang w:val="en-ZA"/>
        </w:rPr>
        <w:t xml:space="preserve">(b) </w:t>
      </w:r>
      <w:r w:rsidR="00C405A9">
        <w:rPr>
          <w:rFonts w:ascii="Arial" w:hAnsi="Arial" w:cs="Arial"/>
          <w:sz w:val="22"/>
          <w:lang w:val="en-ZA"/>
        </w:rPr>
        <w:tab/>
      </w:r>
      <w:r w:rsidR="00C405A9">
        <w:rPr>
          <w:rFonts w:ascii="Arial" w:hAnsi="Arial" w:cs="Arial"/>
          <w:sz w:val="22"/>
          <w:lang w:val="en-ZA"/>
        </w:rPr>
        <w:tab/>
        <w:t xml:space="preserve">… </w:t>
      </w:r>
      <w:r w:rsidRPr="00694F6B">
        <w:rPr>
          <w:rFonts w:ascii="Arial" w:hAnsi="Arial" w:cs="Arial"/>
          <w:sz w:val="22"/>
        </w:rPr>
        <w:t xml:space="preserve">which adversely affects the rights of any person and </w:t>
      </w:r>
      <w:r w:rsidRPr="00694F6B">
        <w:rPr>
          <w:rFonts w:ascii="Arial" w:hAnsi="Arial" w:cs="Arial"/>
          <w:sz w:val="22"/>
          <w:u w:val="single"/>
        </w:rPr>
        <w:t>which has a direct, external legal effect</w:t>
      </w:r>
      <w:r w:rsidRPr="00694F6B">
        <w:rPr>
          <w:rFonts w:ascii="Arial" w:hAnsi="Arial" w:cs="Arial"/>
          <w:sz w:val="22"/>
        </w:rPr>
        <w:t>, …</w:t>
      </w:r>
      <w:r w:rsidRPr="00694F6B">
        <w:rPr>
          <w:rFonts w:ascii="Arial" w:hAnsi="Arial" w:cs="Arial"/>
          <w:sz w:val="22"/>
          <w:lang w:val="en-ZA"/>
        </w:rPr>
        <w:t>’</w:t>
      </w:r>
      <w:r w:rsidR="00694F6B">
        <w:rPr>
          <w:rFonts w:ascii="Arial" w:hAnsi="Arial" w:cs="Arial"/>
          <w:sz w:val="22"/>
          <w:lang w:val="en-ZA"/>
        </w:rPr>
        <w:t xml:space="preserve"> </w:t>
      </w:r>
      <w:r w:rsidR="00F8655A">
        <w:rPr>
          <w:rFonts w:ascii="Arial" w:hAnsi="Arial" w:cs="Arial"/>
          <w:lang w:val="en-ZA"/>
        </w:rPr>
        <w:t>[my emphasis]</w:t>
      </w:r>
    </w:p>
    <w:p w:rsidR="00675AD0" w:rsidRDefault="00675AD0" w:rsidP="00675AD0">
      <w:pPr>
        <w:tabs>
          <w:tab w:val="left" w:pos="900"/>
        </w:tabs>
        <w:spacing w:line="360" w:lineRule="auto"/>
        <w:ind w:left="900" w:hanging="900"/>
        <w:jc w:val="both"/>
        <w:rPr>
          <w:rFonts w:ascii="Arial" w:hAnsi="Arial" w:cs="Arial"/>
        </w:rPr>
      </w:pPr>
    </w:p>
    <w:p w:rsidR="00694F6B" w:rsidRDefault="00675AD0" w:rsidP="00694F6B">
      <w:pPr>
        <w:tabs>
          <w:tab w:val="left" w:pos="0"/>
          <w:tab w:val="left" w:pos="993"/>
        </w:tabs>
        <w:spacing w:line="360" w:lineRule="auto"/>
        <w:jc w:val="both"/>
        <w:rPr>
          <w:rFonts w:ascii="Arial" w:hAnsi="Arial" w:cs="Arial"/>
          <w:lang w:val="en-ZA"/>
        </w:rPr>
      </w:pPr>
      <w:r>
        <w:rPr>
          <w:rFonts w:ascii="Arial" w:hAnsi="Arial" w:cs="Arial"/>
        </w:rPr>
        <w:t>[22]</w:t>
      </w:r>
      <w:r>
        <w:rPr>
          <w:rFonts w:ascii="Arial" w:hAnsi="Arial" w:cs="Arial"/>
        </w:rPr>
        <w:tab/>
      </w:r>
      <w:r w:rsidR="00694F6B" w:rsidRPr="00694F6B">
        <w:rPr>
          <w:rFonts w:ascii="Arial" w:hAnsi="Arial" w:cs="Arial"/>
          <w:lang w:val="en-ZA"/>
        </w:rPr>
        <w:t>Section 1 of PAJA defines a decision as:</w:t>
      </w:r>
    </w:p>
    <w:p w:rsidR="00694F6B" w:rsidRPr="00694F6B" w:rsidRDefault="00694F6B" w:rsidP="00694F6B">
      <w:pPr>
        <w:tabs>
          <w:tab w:val="left" w:pos="0"/>
          <w:tab w:val="left" w:pos="993"/>
        </w:tabs>
        <w:spacing w:line="360" w:lineRule="auto"/>
        <w:jc w:val="both"/>
        <w:rPr>
          <w:rFonts w:ascii="Arial" w:hAnsi="Arial" w:cs="Arial"/>
          <w:lang w:val="en-ZA"/>
        </w:rPr>
      </w:pPr>
    </w:p>
    <w:p w:rsidR="00694F6B" w:rsidRPr="00694F6B" w:rsidRDefault="00694F6B" w:rsidP="00694F6B">
      <w:pPr>
        <w:tabs>
          <w:tab w:val="left" w:pos="0"/>
          <w:tab w:val="left" w:pos="993"/>
        </w:tabs>
        <w:spacing w:line="360" w:lineRule="auto"/>
        <w:jc w:val="both"/>
        <w:rPr>
          <w:rFonts w:ascii="Arial" w:hAnsi="Arial" w:cs="Arial"/>
          <w:sz w:val="22"/>
        </w:rPr>
      </w:pPr>
      <w:r w:rsidRPr="00694F6B">
        <w:rPr>
          <w:rFonts w:ascii="Arial" w:hAnsi="Arial" w:cs="Arial"/>
          <w:sz w:val="22"/>
        </w:rPr>
        <w:t>‘any decision of an administrative nature made, proposed to be made, or required to be made, as the case may be, under an empowering provision, including a decision relating to-</w:t>
      </w:r>
    </w:p>
    <w:p w:rsidR="00694F6B" w:rsidRPr="00694F6B" w:rsidRDefault="00694F6B" w:rsidP="00694F6B">
      <w:pPr>
        <w:tabs>
          <w:tab w:val="left" w:pos="0"/>
          <w:tab w:val="left" w:pos="993"/>
        </w:tabs>
        <w:spacing w:line="360" w:lineRule="auto"/>
        <w:jc w:val="both"/>
        <w:rPr>
          <w:rFonts w:ascii="Arial" w:hAnsi="Arial" w:cs="Arial"/>
          <w:sz w:val="22"/>
        </w:rPr>
      </w:pPr>
      <w:r w:rsidRPr="00694F6B">
        <w:rPr>
          <w:rFonts w:ascii="Arial" w:hAnsi="Arial" w:cs="Arial"/>
          <w:sz w:val="22"/>
        </w:rPr>
        <w:t xml:space="preserve">(a) </w:t>
      </w:r>
      <w:r>
        <w:rPr>
          <w:rFonts w:ascii="Arial" w:hAnsi="Arial" w:cs="Arial"/>
          <w:sz w:val="22"/>
        </w:rPr>
        <w:tab/>
      </w:r>
      <w:r w:rsidRPr="00694F6B">
        <w:rPr>
          <w:rFonts w:ascii="Arial" w:hAnsi="Arial" w:cs="Arial"/>
          <w:sz w:val="22"/>
        </w:rPr>
        <w:t xml:space="preserve">making, suspending, revoting or refusing to make an order, award or determination; </w:t>
      </w:r>
    </w:p>
    <w:p w:rsidR="00694F6B" w:rsidRPr="00694F6B" w:rsidRDefault="00694F6B" w:rsidP="00EC2AF4">
      <w:pPr>
        <w:tabs>
          <w:tab w:val="left" w:pos="0"/>
          <w:tab w:val="left" w:pos="993"/>
        </w:tabs>
        <w:spacing w:line="360" w:lineRule="auto"/>
        <w:ind w:left="990" w:hanging="990"/>
        <w:jc w:val="both"/>
        <w:rPr>
          <w:rFonts w:ascii="Arial" w:hAnsi="Arial" w:cs="Arial"/>
          <w:sz w:val="22"/>
        </w:rPr>
      </w:pPr>
      <w:r w:rsidRPr="00694F6B">
        <w:rPr>
          <w:rFonts w:ascii="Arial" w:hAnsi="Arial" w:cs="Arial"/>
          <w:sz w:val="22"/>
        </w:rPr>
        <w:t xml:space="preserve">(b) </w:t>
      </w:r>
      <w:r>
        <w:rPr>
          <w:rFonts w:ascii="Arial" w:hAnsi="Arial" w:cs="Arial"/>
          <w:sz w:val="22"/>
        </w:rPr>
        <w:tab/>
      </w:r>
      <w:r w:rsidRPr="00694F6B">
        <w:rPr>
          <w:rFonts w:ascii="Arial" w:hAnsi="Arial" w:cs="Arial"/>
          <w:sz w:val="22"/>
        </w:rPr>
        <w:t xml:space="preserve">giving, suspending, revoting or refusing to give a certificate, direction, approval, consent or permission; </w:t>
      </w:r>
    </w:p>
    <w:p w:rsidR="00694F6B" w:rsidRPr="00694F6B" w:rsidRDefault="00694F6B" w:rsidP="00694F6B">
      <w:pPr>
        <w:tabs>
          <w:tab w:val="left" w:pos="0"/>
          <w:tab w:val="left" w:pos="993"/>
        </w:tabs>
        <w:spacing w:line="360" w:lineRule="auto"/>
        <w:jc w:val="both"/>
        <w:rPr>
          <w:rFonts w:ascii="Arial" w:hAnsi="Arial" w:cs="Arial"/>
          <w:sz w:val="22"/>
        </w:rPr>
      </w:pPr>
      <w:r w:rsidRPr="00694F6B">
        <w:rPr>
          <w:rFonts w:ascii="Arial" w:hAnsi="Arial" w:cs="Arial"/>
          <w:sz w:val="22"/>
        </w:rPr>
        <w:t xml:space="preserve">(c) </w:t>
      </w:r>
      <w:r>
        <w:rPr>
          <w:rFonts w:ascii="Arial" w:hAnsi="Arial" w:cs="Arial"/>
          <w:sz w:val="22"/>
        </w:rPr>
        <w:tab/>
      </w:r>
      <w:r w:rsidRPr="00694F6B">
        <w:rPr>
          <w:rFonts w:ascii="Arial" w:hAnsi="Arial" w:cs="Arial"/>
          <w:sz w:val="22"/>
        </w:rPr>
        <w:t xml:space="preserve">issuing, suspending, revoking or refusing to issue a licence, authority or other instrument; </w:t>
      </w:r>
    </w:p>
    <w:p w:rsidR="00694F6B" w:rsidRPr="00694F6B" w:rsidRDefault="00694F6B" w:rsidP="00694F6B">
      <w:pPr>
        <w:tabs>
          <w:tab w:val="left" w:pos="0"/>
          <w:tab w:val="left" w:pos="993"/>
        </w:tabs>
        <w:spacing w:line="360" w:lineRule="auto"/>
        <w:jc w:val="both"/>
        <w:rPr>
          <w:rFonts w:ascii="Arial" w:hAnsi="Arial" w:cs="Arial"/>
          <w:sz w:val="22"/>
        </w:rPr>
      </w:pPr>
      <w:r w:rsidRPr="00694F6B">
        <w:rPr>
          <w:rFonts w:ascii="Arial" w:hAnsi="Arial" w:cs="Arial"/>
          <w:sz w:val="22"/>
        </w:rPr>
        <w:t xml:space="preserve">(d) </w:t>
      </w:r>
      <w:r>
        <w:rPr>
          <w:rFonts w:ascii="Arial" w:hAnsi="Arial" w:cs="Arial"/>
          <w:sz w:val="22"/>
        </w:rPr>
        <w:tab/>
      </w:r>
      <w:r w:rsidRPr="00694F6B">
        <w:rPr>
          <w:rFonts w:ascii="Arial" w:hAnsi="Arial" w:cs="Arial"/>
          <w:sz w:val="22"/>
        </w:rPr>
        <w:t xml:space="preserve">imposing a condition or restriction; </w:t>
      </w:r>
    </w:p>
    <w:p w:rsidR="00694F6B" w:rsidRPr="00694F6B" w:rsidRDefault="00694F6B" w:rsidP="00694F6B">
      <w:pPr>
        <w:tabs>
          <w:tab w:val="left" w:pos="0"/>
          <w:tab w:val="left" w:pos="993"/>
        </w:tabs>
        <w:spacing w:line="360" w:lineRule="auto"/>
        <w:jc w:val="both"/>
        <w:rPr>
          <w:rFonts w:ascii="Arial" w:hAnsi="Arial" w:cs="Arial"/>
          <w:sz w:val="22"/>
        </w:rPr>
      </w:pPr>
      <w:r w:rsidRPr="00694F6B">
        <w:rPr>
          <w:rFonts w:ascii="Arial" w:hAnsi="Arial" w:cs="Arial"/>
          <w:sz w:val="22"/>
        </w:rPr>
        <w:t xml:space="preserve">(e) </w:t>
      </w:r>
      <w:r>
        <w:rPr>
          <w:rFonts w:ascii="Arial" w:hAnsi="Arial" w:cs="Arial"/>
          <w:sz w:val="22"/>
        </w:rPr>
        <w:tab/>
      </w:r>
      <w:r w:rsidRPr="00694F6B">
        <w:rPr>
          <w:rFonts w:ascii="Arial" w:hAnsi="Arial" w:cs="Arial"/>
          <w:sz w:val="22"/>
        </w:rPr>
        <w:t xml:space="preserve">making a declaration, demand or requirement; </w:t>
      </w:r>
    </w:p>
    <w:p w:rsidR="00694F6B" w:rsidRPr="00694F6B" w:rsidRDefault="00694F6B" w:rsidP="00694F6B">
      <w:pPr>
        <w:tabs>
          <w:tab w:val="left" w:pos="0"/>
        </w:tabs>
        <w:spacing w:line="360" w:lineRule="auto"/>
        <w:jc w:val="both"/>
        <w:rPr>
          <w:rFonts w:ascii="Arial" w:hAnsi="Arial" w:cs="Arial"/>
          <w:sz w:val="22"/>
        </w:rPr>
      </w:pPr>
      <w:r w:rsidRPr="00694F6B">
        <w:rPr>
          <w:rFonts w:ascii="Arial" w:hAnsi="Arial" w:cs="Arial"/>
          <w:sz w:val="22"/>
        </w:rPr>
        <w:t xml:space="preserve">(f) </w:t>
      </w:r>
      <w:r>
        <w:rPr>
          <w:rFonts w:ascii="Arial" w:hAnsi="Arial" w:cs="Arial"/>
          <w:sz w:val="22"/>
        </w:rPr>
        <w:t xml:space="preserve">            </w:t>
      </w:r>
      <w:r w:rsidRPr="00694F6B">
        <w:rPr>
          <w:rFonts w:ascii="Arial" w:hAnsi="Arial" w:cs="Arial"/>
          <w:sz w:val="22"/>
        </w:rPr>
        <w:t xml:space="preserve">retaining, or refusing to deliver up, an article; or </w:t>
      </w:r>
    </w:p>
    <w:p w:rsidR="00675AD0" w:rsidRPr="00F8655A" w:rsidRDefault="00694F6B" w:rsidP="00F8655A">
      <w:pPr>
        <w:tabs>
          <w:tab w:val="left" w:pos="0"/>
          <w:tab w:val="left" w:pos="993"/>
        </w:tabs>
        <w:spacing w:line="360" w:lineRule="auto"/>
        <w:ind w:left="990" w:hanging="990"/>
        <w:jc w:val="both"/>
        <w:rPr>
          <w:rFonts w:ascii="Arial" w:hAnsi="Arial" w:cs="Arial"/>
          <w:sz w:val="22"/>
          <w:lang w:val="en-ZA"/>
        </w:rPr>
      </w:pPr>
      <w:r w:rsidRPr="00694F6B">
        <w:rPr>
          <w:rFonts w:ascii="Arial" w:hAnsi="Arial" w:cs="Arial"/>
          <w:sz w:val="22"/>
        </w:rPr>
        <w:t xml:space="preserve">(g) </w:t>
      </w:r>
      <w:r>
        <w:rPr>
          <w:rFonts w:ascii="Arial" w:hAnsi="Arial" w:cs="Arial"/>
          <w:sz w:val="22"/>
        </w:rPr>
        <w:tab/>
      </w:r>
      <w:r w:rsidRPr="00694F6B">
        <w:rPr>
          <w:rFonts w:ascii="Arial" w:hAnsi="Arial" w:cs="Arial"/>
          <w:sz w:val="22"/>
        </w:rPr>
        <w:t>doing or refusing to do any other act or thing of an administrative nature, and a reference to a failure to take a decision must be construed accordingly.’</w:t>
      </w:r>
    </w:p>
    <w:p w:rsidR="00675AD0" w:rsidRDefault="00675AD0" w:rsidP="00675AD0">
      <w:pPr>
        <w:tabs>
          <w:tab w:val="left" w:pos="900"/>
        </w:tabs>
        <w:spacing w:line="360" w:lineRule="auto"/>
        <w:ind w:left="900" w:hanging="900"/>
        <w:jc w:val="both"/>
        <w:rPr>
          <w:rFonts w:ascii="Arial" w:hAnsi="Arial" w:cs="Arial"/>
        </w:rPr>
      </w:pPr>
    </w:p>
    <w:p w:rsidR="00675AD0" w:rsidRDefault="00675AD0" w:rsidP="00694F6B">
      <w:pPr>
        <w:tabs>
          <w:tab w:val="left" w:pos="993"/>
        </w:tabs>
        <w:spacing w:line="360" w:lineRule="auto"/>
        <w:jc w:val="both"/>
        <w:rPr>
          <w:rFonts w:ascii="Arial" w:hAnsi="Arial" w:cs="Arial"/>
        </w:rPr>
      </w:pPr>
      <w:r>
        <w:rPr>
          <w:rFonts w:ascii="Arial" w:hAnsi="Arial" w:cs="Arial"/>
        </w:rPr>
        <w:t>[23]</w:t>
      </w:r>
      <w:r>
        <w:rPr>
          <w:rFonts w:ascii="Arial" w:hAnsi="Arial" w:cs="Arial"/>
        </w:rPr>
        <w:tab/>
      </w:r>
      <w:r w:rsidR="00694F6B" w:rsidRPr="00694F6B">
        <w:rPr>
          <w:rFonts w:ascii="Arial" w:hAnsi="Arial" w:cs="Arial"/>
        </w:rPr>
        <w:t>In terms of s6 of the PAJA, any person may institute proceedings in a Court for the judicial review of an administrative action.</w:t>
      </w:r>
    </w:p>
    <w:p w:rsidR="00675AD0" w:rsidRDefault="00675AD0" w:rsidP="00675AD0">
      <w:pPr>
        <w:tabs>
          <w:tab w:val="left" w:pos="900"/>
        </w:tabs>
        <w:spacing w:line="360" w:lineRule="auto"/>
        <w:ind w:left="900" w:hanging="900"/>
        <w:jc w:val="both"/>
        <w:rPr>
          <w:rFonts w:ascii="Arial" w:hAnsi="Arial" w:cs="Arial"/>
        </w:rPr>
      </w:pPr>
    </w:p>
    <w:p w:rsidR="00694F6B" w:rsidRDefault="00675AD0" w:rsidP="00694F6B">
      <w:pPr>
        <w:tabs>
          <w:tab w:val="left" w:pos="0"/>
          <w:tab w:val="left" w:pos="993"/>
        </w:tabs>
        <w:spacing w:line="360" w:lineRule="auto"/>
        <w:jc w:val="both"/>
        <w:rPr>
          <w:rFonts w:ascii="Arial" w:hAnsi="Arial" w:cs="Arial"/>
          <w:lang w:val="en-ZA"/>
        </w:rPr>
      </w:pPr>
      <w:r>
        <w:rPr>
          <w:rFonts w:ascii="Arial" w:hAnsi="Arial" w:cs="Arial"/>
        </w:rPr>
        <w:t>[24]</w:t>
      </w:r>
      <w:r>
        <w:rPr>
          <w:rFonts w:ascii="Arial" w:hAnsi="Arial" w:cs="Arial"/>
        </w:rPr>
        <w:tab/>
      </w:r>
      <w:r w:rsidR="00694F6B" w:rsidRPr="00694F6B">
        <w:rPr>
          <w:rFonts w:ascii="Arial" w:hAnsi="Arial" w:cs="Arial"/>
          <w:lang w:val="en-ZA"/>
        </w:rPr>
        <w:t xml:space="preserve">In the matter of </w:t>
      </w:r>
      <w:r w:rsidR="00694F6B" w:rsidRPr="00694F6B">
        <w:rPr>
          <w:rFonts w:ascii="Arial" w:hAnsi="Arial" w:cs="Arial"/>
          <w:i/>
          <w:lang w:val="en-ZA"/>
        </w:rPr>
        <w:t>Grey’s Marine Hout Bay (Pty) Ltd and Others v Minister of Public Works and Others</w:t>
      </w:r>
      <w:r w:rsidR="00694F6B">
        <w:rPr>
          <w:rFonts w:ascii="Arial" w:hAnsi="Arial" w:cs="Arial"/>
          <w:i/>
          <w:lang w:val="en-ZA"/>
        </w:rPr>
        <w:t>,</w:t>
      </w:r>
      <w:r w:rsidR="00694F6B" w:rsidRPr="00694F6B">
        <w:rPr>
          <w:rFonts w:ascii="Arial" w:hAnsi="Arial" w:cs="Arial"/>
          <w:vertAlign w:val="superscript"/>
          <w:lang w:val="en-ZA"/>
        </w:rPr>
        <w:footnoteReference w:id="4"/>
      </w:r>
      <w:r w:rsidR="00694F6B" w:rsidRPr="00694F6B">
        <w:rPr>
          <w:rFonts w:ascii="Arial" w:hAnsi="Arial" w:cs="Arial"/>
          <w:lang w:val="en-ZA"/>
        </w:rPr>
        <w:t xml:space="preserve"> the Supreme Court of Appeal stated that:</w:t>
      </w:r>
    </w:p>
    <w:p w:rsidR="00694F6B" w:rsidRPr="00694F6B" w:rsidRDefault="00694F6B" w:rsidP="00694F6B">
      <w:pPr>
        <w:tabs>
          <w:tab w:val="left" w:pos="0"/>
          <w:tab w:val="left" w:pos="993"/>
        </w:tabs>
        <w:spacing w:line="360" w:lineRule="auto"/>
        <w:jc w:val="both"/>
        <w:rPr>
          <w:rFonts w:ascii="Arial" w:hAnsi="Arial" w:cs="Arial"/>
          <w:lang w:val="en-ZA"/>
        </w:rPr>
      </w:pPr>
    </w:p>
    <w:p w:rsidR="00694F6B" w:rsidRDefault="00694F6B" w:rsidP="00694F6B">
      <w:pPr>
        <w:tabs>
          <w:tab w:val="left" w:pos="0"/>
          <w:tab w:val="left" w:pos="993"/>
        </w:tabs>
        <w:spacing w:line="360" w:lineRule="auto"/>
        <w:jc w:val="both"/>
        <w:rPr>
          <w:rFonts w:ascii="Arial" w:hAnsi="Arial" w:cs="Arial"/>
          <w:sz w:val="22"/>
          <w:lang w:val="en-ZA"/>
        </w:rPr>
      </w:pPr>
      <w:r w:rsidRPr="00694F6B">
        <w:rPr>
          <w:rFonts w:ascii="Arial" w:hAnsi="Arial" w:cs="Arial"/>
          <w:sz w:val="22"/>
          <w:lang w:val="en-ZA"/>
        </w:rPr>
        <w:t>‘At the core of the definition of administrative action is the idea of action (</w:t>
      </w:r>
      <w:r w:rsidRPr="00694F6B">
        <w:rPr>
          <w:rFonts w:ascii="Arial" w:hAnsi="Arial" w:cs="Arial"/>
          <w:sz w:val="22"/>
          <w:u w:val="single"/>
          <w:lang w:val="en-ZA"/>
        </w:rPr>
        <w:t>a decision) of an administrative nature taken by a public body or functionary</w:t>
      </w:r>
      <w:r w:rsidRPr="00694F6B">
        <w:rPr>
          <w:rFonts w:ascii="Arial" w:hAnsi="Arial" w:cs="Arial"/>
          <w:sz w:val="22"/>
          <w:lang w:val="en-ZA"/>
        </w:rPr>
        <w:t>.’</w:t>
      </w:r>
    </w:p>
    <w:p w:rsidR="00694F6B" w:rsidRPr="00694F6B" w:rsidRDefault="00694F6B" w:rsidP="00694F6B">
      <w:pPr>
        <w:tabs>
          <w:tab w:val="left" w:pos="0"/>
          <w:tab w:val="left" w:pos="993"/>
        </w:tabs>
        <w:spacing w:line="360" w:lineRule="auto"/>
        <w:jc w:val="both"/>
        <w:rPr>
          <w:rFonts w:ascii="Arial" w:hAnsi="Arial" w:cs="Arial"/>
          <w:sz w:val="22"/>
          <w:lang w:val="en-ZA"/>
        </w:rPr>
      </w:pPr>
    </w:p>
    <w:p w:rsidR="00675AD0" w:rsidRPr="00694F6B" w:rsidRDefault="00694F6B" w:rsidP="00675AD0">
      <w:pPr>
        <w:tabs>
          <w:tab w:val="left" w:pos="0"/>
          <w:tab w:val="left" w:pos="993"/>
        </w:tabs>
        <w:spacing w:line="360" w:lineRule="auto"/>
        <w:jc w:val="both"/>
        <w:rPr>
          <w:rFonts w:ascii="Arial" w:hAnsi="Arial" w:cs="Arial"/>
          <w:lang w:val="en-ZA"/>
        </w:rPr>
      </w:pPr>
      <w:r w:rsidRPr="00694F6B">
        <w:rPr>
          <w:rFonts w:ascii="Arial" w:hAnsi="Arial" w:cs="Arial"/>
          <w:lang w:val="en-ZA"/>
        </w:rPr>
        <w:t xml:space="preserve">The same above-mentioned principle was applied in the matter of </w:t>
      </w:r>
      <w:r w:rsidR="00A21756">
        <w:rPr>
          <w:rFonts w:ascii="Arial" w:hAnsi="Arial" w:cs="Arial"/>
          <w:i/>
          <w:lang w:val="en-ZA"/>
        </w:rPr>
        <w:t>Gamevest (Pty) Ltd v R</w:t>
      </w:r>
      <w:r w:rsidRPr="00694F6B">
        <w:rPr>
          <w:rFonts w:ascii="Arial" w:hAnsi="Arial" w:cs="Arial"/>
          <w:i/>
          <w:lang w:val="en-ZA"/>
        </w:rPr>
        <w:t>egional Land Claims Commissioner Northern Province and Mpumalanga and Others</w:t>
      </w:r>
      <w:r>
        <w:rPr>
          <w:rFonts w:ascii="Arial" w:hAnsi="Arial" w:cs="Arial"/>
          <w:i/>
          <w:lang w:val="en-ZA"/>
        </w:rPr>
        <w:t>,</w:t>
      </w:r>
      <w:r w:rsidRPr="00694F6B">
        <w:rPr>
          <w:rFonts w:ascii="Arial" w:hAnsi="Arial" w:cs="Arial"/>
          <w:i/>
          <w:vertAlign w:val="superscript"/>
          <w:lang w:val="en-ZA"/>
        </w:rPr>
        <w:footnoteReference w:id="5"/>
      </w:r>
      <w:r w:rsidRPr="00694F6B">
        <w:rPr>
          <w:rFonts w:ascii="Arial" w:hAnsi="Arial" w:cs="Arial"/>
          <w:i/>
          <w:lang w:val="en-ZA"/>
        </w:rPr>
        <w:t xml:space="preserve"> </w:t>
      </w:r>
      <w:r w:rsidRPr="00694F6B">
        <w:rPr>
          <w:rFonts w:ascii="Arial" w:hAnsi="Arial" w:cs="Arial"/>
          <w:lang w:val="en-ZA"/>
        </w:rPr>
        <w:t xml:space="preserve">as well as in this division in the matter of </w:t>
      </w:r>
      <w:r w:rsidRPr="00694F6B">
        <w:rPr>
          <w:rFonts w:ascii="Arial" w:hAnsi="Arial" w:cs="Arial"/>
          <w:i/>
          <w:lang w:val="en-ZA"/>
        </w:rPr>
        <w:t>Companies and Intellectual Property Commission v Moola</w:t>
      </w:r>
      <w:r w:rsidRPr="00694F6B">
        <w:rPr>
          <w:rFonts w:ascii="Arial" w:hAnsi="Arial" w:cs="Arial"/>
          <w:vertAlign w:val="superscript"/>
          <w:lang w:val="en-ZA"/>
        </w:rPr>
        <w:footnoteReference w:id="6"/>
      </w:r>
      <w:r w:rsidRPr="00694F6B">
        <w:rPr>
          <w:rFonts w:ascii="Arial" w:hAnsi="Arial" w:cs="Arial"/>
          <w:lang w:val="en-ZA"/>
        </w:rPr>
        <w:t xml:space="preserve"> (‘</w:t>
      </w:r>
      <w:r w:rsidRPr="00694F6B">
        <w:rPr>
          <w:rFonts w:ascii="Arial" w:hAnsi="Arial" w:cs="Arial"/>
          <w:i/>
          <w:lang w:val="en-ZA"/>
        </w:rPr>
        <w:t>Moola</w:t>
      </w:r>
      <w:r w:rsidRPr="00694F6B">
        <w:rPr>
          <w:rFonts w:ascii="Arial" w:hAnsi="Arial" w:cs="Arial"/>
          <w:lang w:val="en-ZA"/>
        </w:rPr>
        <w:t>’).</w:t>
      </w:r>
    </w:p>
    <w:p w:rsidR="00675AD0" w:rsidRDefault="00675AD0" w:rsidP="00675AD0">
      <w:pPr>
        <w:tabs>
          <w:tab w:val="left" w:pos="900"/>
        </w:tabs>
        <w:spacing w:line="360" w:lineRule="auto"/>
        <w:ind w:left="900" w:hanging="900"/>
        <w:jc w:val="both"/>
        <w:rPr>
          <w:rFonts w:ascii="Arial" w:hAnsi="Arial" w:cs="Arial"/>
        </w:rPr>
      </w:pPr>
    </w:p>
    <w:p w:rsidR="00675AD0" w:rsidRDefault="00675AD0" w:rsidP="00694F6B">
      <w:pPr>
        <w:tabs>
          <w:tab w:val="left" w:pos="0"/>
          <w:tab w:val="left" w:pos="993"/>
        </w:tabs>
        <w:spacing w:line="360" w:lineRule="auto"/>
        <w:jc w:val="both"/>
        <w:rPr>
          <w:rFonts w:ascii="Arial" w:hAnsi="Arial" w:cs="Arial"/>
        </w:rPr>
      </w:pPr>
      <w:r w:rsidRPr="00D53821">
        <w:rPr>
          <w:rFonts w:ascii="Arial" w:hAnsi="Arial" w:cs="Arial"/>
        </w:rPr>
        <w:lastRenderedPageBreak/>
        <w:t>[</w:t>
      </w:r>
      <w:r>
        <w:rPr>
          <w:rFonts w:ascii="Arial" w:hAnsi="Arial" w:cs="Arial"/>
        </w:rPr>
        <w:t>25</w:t>
      </w:r>
      <w:r w:rsidRPr="00D53821">
        <w:rPr>
          <w:rFonts w:ascii="Arial" w:hAnsi="Arial" w:cs="Arial"/>
        </w:rPr>
        <w:t>]</w:t>
      </w:r>
      <w:r w:rsidRPr="00D53821">
        <w:rPr>
          <w:rFonts w:ascii="Arial" w:hAnsi="Arial" w:cs="Arial"/>
        </w:rPr>
        <w:tab/>
      </w:r>
      <w:r w:rsidR="00694F6B" w:rsidRPr="00694F6B">
        <w:rPr>
          <w:rFonts w:ascii="Arial" w:hAnsi="Arial" w:cs="Arial"/>
          <w:lang w:val="en-ZA"/>
        </w:rPr>
        <w:t>The contents in paragraph 7 of the report is not a decision as contemplated by PAJA, in that it is a report informing the President that the SIU intends making certain recommendations. There is no decision because the intention has not yet been implemented.</w:t>
      </w:r>
    </w:p>
    <w:p w:rsidR="00675AD0" w:rsidRDefault="00675AD0" w:rsidP="00675AD0">
      <w:pPr>
        <w:tabs>
          <w:tab w:val="left" w:pos="900"/>
        </w:tabs>
        <w:spacing w:line="360" w:lineRule="auto"/>
        <w:ind w:left="900" w:hanging="900"/>
        <w:jc w:val="both"/>
        <w:rPr>
          <w:rFonts w:ascii="Arial" w:hAnsi="Arial" w:cs="Arial"/>
        </w:rPr>
      </w:pPr>
    </w:p>
    <w:p w:rsidR="00694F6B" w:rsidRDefault="00675AD0" w:rsidP="00694F6B">
      <w:pPr>
        <w:tabs>
          <w:tab w:val="left" w:pos="0"/>
          <w:tab w:val="left" w:pos="993"/>
        </w:tabs>
        <w:spacing w:line="360" w:lineRule="auto"/>
        <w:jc w:val="both"/>
        <w:rPr>
          <w:rFonts w:ascii="Arial" w:hAnsi="Arial" w:cs="Arial"/>
          <w:color w:val="000000"/>
        </w:rPr>
      </w:pPr>
      <w:r>
        <w:rPr>
          <w:rFonts w:ascii="Arial" w:hAnsi="Arial" w:cs="Arial"/>
          <w:color w:val="000000"/>
        </w:rPr>
        <w:t>[26]</w:t>
      </w:r>
      <w:r>
        <w:rPr>
          <w:rFonts w:ascii="Arial" w:hAnsi="Arial" w:cs="Arial"/>
          <w:color w:val="000000"/>
        </w:rPr>
        <w:tab/>
      </w:r>
      <w:r w:rsidR="00694F6B" w:rsidRPr="00694F6B">
        <w:rPr>
          <w:rFonts w:ascii="Arial" w:hAnsi="Arial" w:cs="Arial"/>
          <w:color w:val="000000"/>
        </w:rPr>
        <w:t xml:space="preserve">In </w:t>
      </w:r>
      <w:r w:rsidR="00694F6B" w:rsidRPr="00694F6B">
        <w:rPr>
          <w:rFonts w:ascii="Arial" w:hAnsi="Arial" w:cs="Arial"/>
          <w:i/>
          <w:color w:val="000000"/>
          <w:lang w:val="en-ZA"/>
        </w:rPr>
        <w:t>Masuku v Special Investigations Unit</w:t>
      </w:r>
      <w:r w:rsidR="00694F6B" w:rsidRPr="00694F6B">
        <w:rPr>
          <w:rFonts w:ascii="Arial" w:hAnsi="Arial" w:cs="Arial"/>
          <w:color w:val="000000"/>
          <w:vertAlign w:val="superscript"/>
        </w:rPr>
        <w:footnoteReference w:id="7"/>
      </w:r>
      <w:r w:rsidR="00694F6B">
        <w:rPr>
          <w:rFonts w:ascii="Arial" w:hAnsi="Arial" w:cs="Arial"/>
          <w:i/>
          <w:color w:val="000000"/>
          <w:lang w:val="en-ZA"/>
        </w:rPr>
        <w:t xml:space="preserve"> </w:t>
      </w:r>
      <w:r w:rsidR="00694F6B" w:rsidRPr="00694F6B">
        <w:rPr>
          <w:rFonts w:ascii="Arial" w:hAnsi="Arial" w:cs="Arial"/>
          <w:color w:val="000000"/>
        </w:rPr>
        <w:t>(‘</w:t>
      </w:r>
      <w:r w:rsidR="00694F6B" w:rsidRPr="00694F6B">
        <w:rPr>
          <w:rFonts w:ascii="Arial" w:hAnsi="Arial" w:cs="Arial"/>
          <w:i/>
          <w:color w:val="000000"/>
        </w:rPr>
        <w:t>Masuku</w:t>
      </w:r>
      <w:r w:rsidR="00694F6B" w:rsidRPr="00694F6B">
        <w:rPr>
          <w:rFonts w:ascii="Arial" w:hAnsi="Arial" w:cs="Arial"/>
          <w:color w:val="000000"/>
        </w:rPr>
        <w:t>’), the Court stated that:</w:t>
      </w:r>
    </w:p>
    <w:p w:rsidR="00694F6B" w:rsidRPr="00694F6B" w:rsidRDefault="00694F6B" w:rsidP="00694F6B">
      <w:pPr>
        <w:tabs>
          <w:tab w:val="left" w:pos="0"/>
          <w:tab w:val="left" w:pos="993"/>
        </w:tabs>
        <w:spacing w:line="360" w:lineRule="auto"/>
        <w:jc w:val="both"/>
        <w:rPr>
          <w:rFonts w:ascii="Arial" w:hAnsi="Arial" w:cs="Arial"/>
          <w:color w:val="000000"/>
        </w:rPr>
      </w:pPr>
    </w:p>
    <w:p w:rsidR="00675AD0" w:rsidRPr="00694F6B" w:rsidRDefault="00694F6B" w:rsidP="00675AD0">
      <w:pPr>
        <w:tabs>
          <w:tab w:val="left" w:pos="0"/>
          <w:tab w:val="left" w:pos="993"/>
        </w:tabs>
        <w:spacing w:line="360" w:lineRule="auto"/>
        <w:jc w:val="both"/>
        <w:rPr>
          <w:rFonts w:ascii="Arial" w:hAnsi="Arial" w:cs="Arial"/>
          <w:color w:val="000000"/>
          <w:lang w:val="en-ZA"/>
        </w:rPr>
      </w:pPr>
      <w:r w:rsidRPr="00694F6B">
        <w:rPr>
          <w:rFonts w:ascii="Arial" w:hAnsi="Arial" w:cs="Arial"/>
          <w:color w:val="000000"/>
          <w:sz w:val="22"/>
        </w:rPr>
        <w:t xml:space="preserve">‘if the term ‘recommendation’ is understood as a term of art to identify the expression of public power; eg, </w:t>
      </w:r>
      <w:r w:rsidRPr="00694F6B">
        <w:rPr>
          <w:rFonts w:ascii="Arial" w:hAnsi="Arial" w:cs="Arial"/>
          <w:color w:val="000000"/>
          <w:sz w:val="22"/>
          <w:u w:val="single"/>
        </w:rPr>
        <w:t>as exercised by the Public Protector, plainly the SIU lacks such a power.</w:t>
      </w:r>
      <w:r w:rsidRPr="00694F6B">
        <w:rPr>
          <w:rFonts w:ascii="Arial" w:hAnsi="Arial" w:cs="Arial"/>
          <w:color w:val="000000"/>
          <w:sz w:val="22"/>
        </w:rPr>
        <w:t xml:space="preserve"> However, it is inescapable that an investigator must form an </w:t>
      </w:r>
      <w:r w:rsidRPr="00694F6B">
        <w:rPr>
          <w:rFonts w:ascii="Arial" w:hAnsi="Arial" w:cs="Arial"/>
          <w:i/>
          <w:iCs/>
          <w:color w:val="000000"/>
          <w:sz w:val="22"/>
        </w:rPr>
        <w:t>opinion</w:t>
      </w:r>
      <w:r w:rsidRPr="00694F6B">
        <w:rPr>
          <w:rFonts w:ascii="Arial" w:hAnsi="Arial" w:cs="Arial"/>
          <w:color w:val="000000"/>
          <w:sz w:val="22"/>
        </w:rPr>
        <w:t xml:space="preserve"> about the material gathered. The very act of enquiring, interviewing and searching is driven by a perception of a perceived pattern of conduct, however tentatively held, which is tested by the investigation. </w:t>
      </w:r>
      <w:r w:rsidRPr="00694F6B">
        <w:rPr>
          <w:rFonts w:ascii="Arial" w:hAnsi="Arial" w:cs="Arial"/>
          <w:color w:val="000000"/>
          <w:sz w:val="22"/>
          <w:u w:val="single"/>
        </w:rPr>
        <w:t>When furnishing a report, an express obligation on the SIU, it is obvious that the material must be ordered and rendered coherent to substantiate an opinion on what has been discovered or not discovered. In my view, the recommendations of the SIU must be understood in this sense: a legitimate comment on whether any official had been culpable of improper activity</w:t>
      </w:r>
      <w:r w:rsidRPr="00A21756">
        <w:rPr>
          <w:rFonts w:ascii="Arial" w:hAnsi="Arial" w:cs="Arial"/>
          <w:color w:val="000000"/>
          <w:sz w:val="22"/>
          <w:szCs w:val="22"/>
        </w:rPr>
        <w:t>.’</w:t>
      </w:r>
      <w:r w:rsidRPr="00A21756">
        <w:rPr>
          <w:rFonts w:ascii="Arial" w:hAnsi="Arial" w:cs="Arial"/>
          <w:color w:val="000000"/>
          <w:sz w:val="22"/>
          <w:szCs w:val="22"/>
          <w:vertAlign w:val="superscript"/>
        </w:rPr>
        <w:footnoteReference w:id="8"/>
      </w:r>
      <w:r w:rsidRPr="00A21756">
        <w:rPr>
          <w:rFonts w:ascii="Arial" w:hAnsi="Arial" w:cs="Arial"/>
          <w:color w:val="000000"/>
          <w:sz w:val="22"/>
        </w:rPr>
        <w:t xml:space="preserve"> </w:t>
      </w:r>
      <w:r w:rsidRPr="00694F6B">
        <w:rPr>
          <w:rFonts w:ascii="Arial" w:hAnsi="Arial" w:cs="Arial"/>
          <w:color w:val="000000"/>
        </w:rPr>
        <w:t>[my emphasis]</w:t>
      </w:r>
    </w:p>
    <w:p w:rsidR="00675AD0" w:rsidRDefault="00675AD0" w:rsidP="00675AD0">
      <w:pPr>
        <w:tabs>
          <w:tab w:val="left" w:pos="900"/>
        </w:tabs>
        <w:spacing w:line="360" w:lineRule="auto"/>
        <w:ind w:left="900" w:hanging="900"/>
        <w:jc w:val="both"/>
        <w:rPr>
          <w:rFonts w:ascii="Arial" w:hAnsi="Arial" w:cs="Arial"/>
          <w:color w:val="000000"/>
        </w:rPr>
      </w:pPr>
    </w:p>
    <w:p w:rsidR="00694F6B" w:rsidRDefault="00675AD0" w:rsidP="00694F6B">
      <w:pPr>
        <w:tabs>
          <w:tab w:val="left" w:pos="0"/>
          <w:tab w:val="left" w:pos="993"/>
        </w:tabs>
        <w:spacing w:line="360" w:lineRule="auto"/>
        <w:ind w:hanging="49"/>
        <w:jc w:val="both"/>
        <w:rPr>
          <w:rFonts w:ascii="Arial" w:hAnsi="Arial" w:cs="Arial"/>
          <w:color w:val="000000"/>
          <w:lang w:val="en-ZA"/>
        </w:rPr>
      </w:pPr>
      <w:r>
        <w:rPr>
          <w:rFonts w:ascii="Arial" w:hAnsi="Arial" w:cs="Arial"/>
          <w:color w:val="000000"/>
        </w:rPr>
        <w:t xml:space="preserve"> [27]</w:t>
      </w:r>
      <w:r>
        <w:rPr>
          <w:rFonts w:ascii="Arial" w:hAnsi="Arial" w:cs="Arial"/>
          <w:color w:val="000000"/>
        </w:rPr>
        <w:tab/>
      </w:r>
      <w:r w:rsidR="00694F6B" w:rsidRPr="00694F6B">
        <w:rPr>
          <w:rFonts w:ascii="Arial" w:hAnsi="Arial" w:cs="Arial"/>
          <w:color w:val="000000"/>
          <w:lang w:val="en-ZA"/>
        </w:rPr>
        <w:t xml:space="preserve">In </w:t>
      </w:r>
      <w:bookmarkStart w:id="1" w:name="_Hlk144578096"/>
      <w:r w:rsidR="00694F6B" w:rsidRPr="00694F6B">
        <w:rPr>
          <w:rFonts w:ascii="Arial" w:hAnsi="Arial" w:cs="Arial"/>
          <w:i/>
          <w:color w:val="000000"/>
          <w:lang w:val="en-ZA"/>
        </w:rPr>
        <w:t>Mphaphuli Consulting (Pty) Limited v Special Investigating Unit</w:t>
      </w:r>
      <w:r w:rsidR="00694F6B" w:rsidRPr="00694F6B">
        <w:rPr>
          <w:rFonts w:ascii="Arial" w:hAnsi="Arial" w:cs="Arial"/>
          <w:i/>
          <w:color w:val="000000"/>
          <w:vertAlign w:val="superscript"/>
          <w:lang w:val="en-ZA"/>
        </w:rPr>
        <w:footnoteReference w:id="9"/>
      </w:r>
      <w:r w:rsidR="00694F6B" w:rsidRPr="00694F6B">
        <w:rPr>
          <w:rFonts w:ascii="Arial" w:hAnsi="Arial" w:cs="Arial"/>
          <w:i/>
          <w:color w:val="000000"/>
          <w:lang w:val="en-ZA"/>
        </w:rPr>
        <w:t xml:space="preserve"> </w:t>
      </w:r>
      <w:r w:rsidR="00694F6B" w:rsidRPr="00694F6B">
        <w:rPr>
          <w:rFonts w:ascii="Arial" w:hAnsi="Arial" w:cs="Arial"/>
          <w:color w:val="000000"/>
          <w:lang w:val="en-ZA"/>
        </w:rPr>
        <w:t>(</w:t>
      </w:r>
      <w:bookmarkStart w:id="2" w:name="_Hlk144581571"/>
      <w:r w:rsidR="00694F6B" w:rsidRPr="00694F6B">
        <w:rPr>
          <w:rFonts w:ascii="Arial" w:hAnsi="Arial" w:cs="Arial"/>
          <w:i/>
          <w:color w:val="000000"/>
          <w:lang w:val="en-ZA"/>
        </w:rPr>
        <w:t>‘Mphaphuli’</w:t>
      </w:r>
      <w:r w:rsidR="00694F6B" w:rsidRPr="00694F6B">
        <w:rPr>
          <w:rFonts w:ascii="Arial" w:hAnsi="Arial" w:cs="Arial"/>
          <w:color w:val="000000"/>
          <w:lang w:val="en-ZA"/>
        </w:rPr>
        <w:t xml:space="preserve">) </w:t>
      </w:r>
      <w:bookmarkEnd w:id="1"/>
      <w:bookmarkEnd w:id="2"/>
      <w:r w:rsidR="00694F6B" w:rsidRPr="00694F6B">
        <w:rPr>
          <w:rFonts w:ascii="Arial" w:hAnsi="Arial" w:cs="Arial"/>
          <w:color w:val="000000"/>
          <w:lang w:val="en-ZA"/>
        </w:rPr>
        <w:t>the court stated that:</w:t>
      </w:r>
    </w:p>
    <w:p w:rsidR="00705F4E" w:rsidRPr="00694F6B" w:rsidRDefault="00705F4E" w:rsidP="00694F6B">
      <w:pPr>
        <w:tabs>
          <w:tab w:val="left" w:pos="0"/>
          <w:tab w:val="left" w:pos="993"/>
        </w:tabs>
        <w:spacing w:line="360" w:lineRule="auto"/>
        <w:ind w:hanging="49"/>
        <w:jc w:val="both"/>
        <w:rPr>
          <w:rFonts w:ascii="Arial" w:hAnsi="Arial" w:cs="Arial"/>
          <w:color w:val="000000"/>
          <w:lang w:val="en-ZA"/>
        </w:rPr>
      </w:pPr>
    </w:p>
    <w:p w:rsidR="00694F6B" w:rsidRPr="00694F6B" w:rsidRDefault="00694F6B" w:rsidP="00694F6B">
      <w:pPr>
        <w:tabs>
          <w:tab w:val="left" w:pos="0"/>
          <w:tab w:val="left" w:pos="993"/>
        </w:tabs>
        <w:spacing w:line="360" w:lineRule="auto"/>
        <w:ind w:hanging="49"/>
        <w:jc w:val="both"/>
        <w:rPr>
          <w:rFonts w:ascii="Arial" w:hAnsi="Arial" w:cs="Arial"/>
          <w:color w:val="000000"/>
          <w:lang w:val="en-ZA"/>
        </w:rPr>
      </w:pPr>
      <w:r w:rsidRPr="00705F4E">
        <w:rPr>
          <w:rFonts w:ascii="Arial" w:hAnsi="Arial" w:cs="Arial"/>
          <w:color w:val="000000"/>
          <w:sz w:val="22"/>
          <w:lang w:val="en-ZA"/>
        </w:rPr>
        <w:t>‘</w:t>
      </w:r>
      <w:r w:rsidRPr="00705F4E">
        <w:rPr>
          <w:rFonts w:ascii="Arial" w:hAnsi="Arial" w:cs="Arial"/>
          <w:color w:val="000000"/>
          <w:sz w:val="22"/>
          <w:u w:val="single"/>
        </w:rPr>
        <w:t>the SIU is similar to a commission of inquiry</w:t>
      </w:r>
      <w:r w:rsidRPr="00705F4E">
        <w:rPr>
          <w:rFonts w:ascii="Arial" w:hAnsi="Arial" w:cs="Arial"/>
          <w:color w:val="000000"/>
          <w:sz w:val="22"/>
        </w:rPr>
        <w:t xml:space="preserve">. A commission of inquiry, as was observed in </w:t>
      </w:r>
      <w:r w:rsidRPr="00705F4E">
        <w:rPr>
          <w:rFonts w:ascii="Arial" w:hAnsi="Arial" w:cs="Arial"/>
          <w:i/>
          <w:color w:val="000000"/>
          <w:sz w:val="22"/>
        </w:rPr>
        <w:t>President of the Republic of South Africa and Others v South African Rugby Football Union and Others</w:t>
      </w:r>
      <w:r w:rsidRPr="00705F4E">
        <w:rPr>
          <w:rFonts w:ascii="Arial" w:hAnsi="Arial" w:cs="Arial"/>
          <w:color w:val="000000"/>
          <w:sz w:val="22"/>
          <w:vertAlign w:val="superscript"/>
        </w:rPr>
        <w:footnoteReference w:id="10"/>
      </w:r>
      <w:r w:rsidRPr="00705F4E">
        <w:rPr>
          <w:rFonts w:ascii="Arial" w:hAnsi="Arial" w:cs="Arial"/>
          <w:color w:val="000000"/>
          <w:sz w:val="22"/>
        </w:rPr>
        <w:t xml:space="preserve"> </w:t>
      </w:r>
      <w:r w:rsidRPr="00705F4E">
        <w:rPr>
          <w:rFonts w:ascii="Arial" w:hAnsi="Arial" w:cs="Arial"/>
          <w:color w:val="000000"/>
          <w:sz w:val="22"/>
          <w:u w:val="single"/>
        </w:rPr>
        <w:t>is primarily an investigative body whose responsibility is to report to the President</w:t>
      </w:r>
      <w:r w:rsidRPr="00705F4E">
        <w:rPr>
          <w:rFonts w:ascii="Arial" w:hAnsi="Arial" w:cs="Arial"/>
          <w:color w:val="000000"/>
          <w:sz w:val="22"/>
        </w:rPr>
        <w:t>.’</w:t>
      </w:r>
      <w:r w:rsidRPr="00A21756">
        <w:rPr>
          <w:rFonts w:ascii="Arial" w:hAnsi="Arial" w:cs="Arial"/>
          <w:color w:val="000000"/>
          <w:sz w:val="22"/>
          <w:vertAlign w:val="superscript"/>
        </w:rPr>
        <w:footnoteReference w:id="11"/>
      </w:r>
      <w:r w:rsidRPr="00694F6B">
        <w:rPr>
          <w:rFonts w:ascii="Arial" w:hAnsi="Arial" w:cs="Arial"/>
          <w:color w:val="000000"/>
        </w:rPr>
        <w:t xml:space="preserve"> [my emphasis]</w:t>
      </w:r>
    </w:p>
    <w:p w:rsidR="00675AD0" w:rsidRDefault="00675AD0" w:rsidP="00694F6B">
      <w:pPr>
        <w:tabs>
          <w:tab w:val="left" w:pos="0"/>
          <w:tab w:val="left" w:pos="993"/>
        </w:tabs>
        <w:spacing w:line="360" w:lineRule="auto"/>
        <w:ind w:hanging="49"/>
        <w:jc w:val="both"/>
        <w:rPr>
          <w:rFonts w:ascii="Arial" w:hAnsi="Arial" w:cs="Arial"/>
          <w:color w:val="000000"/>
        </w:rPr>
      </w:pPr>
    </w:p>
    <w:p w:rsidR="00675AD0" w:rsidRPr="00705F4E" w:rsidRDefault="00675AD0" w:rsidP="00705F4E">
      <w:pPr>
        <w:tabs>
          <w:tab w:val="left" w:pos="0"/>
          <w:tab w:val="left" w:pos="993"/>
        </w:tabs>
        <w:spacing w:line="360" w:lineRule="auto"/>
        <w:ind w:hanging="49"/>
        <w:jc w:val="both"/>
        <w:rPr>
          <w:rFonts w:ascii="Arial" w:hAnsi="Arial" w:cs="Arial"/>
          <w:color w:val="000000"/>
        </w:rPr>
      </w:pPr>
      <w:r>
        <w:rPr>
          <w:rFonts w:ascii="Arial" w:hAnsi="Arial" w:cs="Arial"/>
          <w:color w:val="000000"/>
        </w:rPr>
        <w:t xml:space="preserve"> [28]</w:t>
      </w:r>
      <w:r>
        <w:rPr>
          <w:rFonts w:ascii="Arial" w:hAnsi="Arial" w:cs="Arial"/>
          <w:color w:val="000000"/>
        </w:rPr>
        <w:tab/>
      </w:r>
      <w:r w:rsidR="00705F4E" w:rsidRPr="00705F4E">
        <w:rPr>
          <w:rFonts w:ascii="Arial" w:hAnsi="Arial" w:cs="Arial"/>
          <w:color w:val="000000"/>
        </w:rPr>
        <w:t xml:space="preserve">It was further stated in </w:t>
      </w:r>
      <w:r w:rsidR="00705F4E" w:rsidRPr="00705F4E">
        <w:rPr>
          <w:rFonts w:ascii="Arial" w:hAnsi="Arial" w:cs="Arial"/>
          <w:i/>
          <w:color w:val="000000"/>
        </w:rPr>
        <w:t>Mphaphuli</w:t>
      </w:r>
      <w:r w:rsidR="00705F4E" w:rsidRPr="00705F4E">
        <w:rPr>
          <w:rFonts w:ascii="Arial" w:hAnsi="Arial" w:cs="Arial"/>
          <w:i/>
          <w:color w:val="000000"/>
          <w:vertAlign w:val="superscript"/>
        </w:rPr>
        <w:footnoteReference w:id="12"/>
      </w:r>
      <w:r w:rsidR="00705F4E" w:rsidRPr="00705F4E">
        <w:rPr>
          <w:rFonts w:ascii="Arial" w:hAnsi="Arial" w:cs="Arial"/>
          <w:i/>
          <w:color w:val="000000"/>
        </w:rPr>
        <w:t xml:space="preserve"> </w:t>
      </w:r>
      <w:r w:rsidR="00EB4402">
        <w:rPr>
          <w:rFonts w:ascii="Arial" w:hAnsi="Arial" w:cs="Arial"/>
          <w:color w:val="000000"/>
        </w:rPr>
        <w:t xml:space="preserve">that the </w:t>
      </w:r>
      <w:r w:rsidR="00705F4E" w:rsidRPr="00705F4E">
        <w:rPr>
          <w:rFonts w:ascii="Arial" w:hAnsi="Arial" w:cs="Arial"/>
          <w:color w:val="000000"/>
        </w:rPr>
        <w:t>purpose of the SIU Act is to investigate corrupt practices and maladministration and if it believes it has found a crime it must refer it to the prosecuting authority or may institute a claim in the special Tribunal or in a Court if it believes there is a civil claim.</w:t>
      </w:r>
      <w:r w:rsidR="00705F4E" w:rsidRPr="00705F4E">
        <w:rPr>
          <w:rFonts w:ascii="Arial" w:hAnsi="Arial" w:cs="Arial"/>
          <w:color w:val="000000"/>
          <w:vertAlign w:val="superscript"/>
        </w:rPr>
        <w:footnoteReference w:id="13"/>
      </w:r>
    </w:p>
    <w:p w:rsidR="00675AD0" w:rsidRPr="008B0610" w:rsidRDefault="00675AD0" w:rsidP="00675AD0">
      <w:pPr>
        <w:tabs>
          <w:tab w:val="left" w:pos="900"/>
        </w:tabs>
        <w:spacing w:line="360" w:lineRule="auto"/>
        <w:ind w:left="900" w:hanging="900"/>
        <w:jc w:val="both"/>
        <w:rPr>
          <w:rFonts w:ascii="Arial" w:hAnsi="Arial" w:cs="Arial"/>
          <w:b/>
          <w:i/>
        </w:rPr>
      </w:pPr>
    </w:p>
    <w:p w:rsidR="00705F4E" w:rsidRPr="00705F4E" w:rsidRDefault="00675AD0" w:rsidP="00705F4E">
      <w:pPr>
        <w:tabs>
          <w:tab w:val="left" w:pos="0"/>
          <w:tab w:val="left" w:pos="993"/>
        </w:tabs>
        <w:spacing w:line="360" w:lineRule="auto"/>
        <w:jc w:val="both"/>
        <w:rPr>
          <w:rFonts w:ascii="Arial" w:hAnsi="Arial" w:cs="Arial"/>
          <w:color w:val="000000"/>
          <w:lang w:val="en-ZA"/>
        </w:rPr>
      </w:pPr>
      <w:r w:rsidRPr="004800C8">
        <w:rPr>
          <w:rFonts w:ascii="Arial" w:hAnsi="Arial" w:cs="Arial"/>
          <w:color w:val="000000"/>
        </w:rPr>
        <w:t>[</w:t>
      </w:r>
      <w:r>
        <w:rPr>
          <w:rFonts w:ascii="Arial" w:hAnsi="Arial" w:cs="Arial"/>
          <w:color w:val="000000"/>
        </w:rPr>
        <w:t>29</w:t>
      </w:r>
      <w:r w:rsidRPr="004800C8">
        <w:rPr>
          <w:rFonts w:ascii="Arial" w:hAnsi="Arial" w:cs="Arial"/>
          <w:color w:val="000000"/>
        </w:rPr>
        <w:t>]</w:t>
      </w:r>
      <w:r w:rsidRPr="004800C8">
        <w:rPr>
          <w:rFonts w:ascii="Arial" w:hAnsi="Arial" w:cs="Arial"/>
          <w:color w:val="000000"/>
        </w:rPr>
        <w:tab/>
      </w:r>
      <w:r w:rsidR="00705F4E" w:rsidRPr="00705F4E">
        <w:rPr>
          <w:rFonts w:ascii="Arial" w:hAnsi="Arial" w:cs="Arial"/>
          <w:color w:val="000000"/>
          <w:lang w:val="en-ZA"/>
        </w:rPr>
        <w:t xml:space="preserve">In the matter of </w:t>
      </w:r>
      <w:r w:rsidR="00705F4E">
        <w:rPr>
          <w:rFonts w:ascii="Arial" w:hAnsi="Arial" w:cs="Arial"/>
          <w:i/>
          <w:color w:val="000000"/>
          <w:lang w:val="en-ZA"/>
        </w:rPr>
        <w:t>Masuku</w:t>
      </w:r>
      <w:r w:rsidR="00705F4E" w:rsidRPr="00705F4E">
        <w:rPr>
          <w:rFonts w:ascii="Arial" w:hAnsi="Arial" w:cs="Arial"/>
          <w:color w:val="000000"/>
          <w:vertAlign w:val="superscript"/>
          <w:lang w:val="en-ZA"/>
        </w:rPr>
        <w:footnoteReference w:id="14"/>
      </w:r>
      <w:r w:rsidR="00A21756">
        <w:rPr>
          <w:rFonts w:ascii="Arial" w:hAnsi="Arial" w:cs="Arial"/>
          <w:color w:val="000000"/>
          <w:lang w:val="en-ZA"/>
        </w:rPr>
        <w:t xml:space="preserve"> it was stated that:</w:t>
      </w:r>
    </w:p>
    <w:p w:rsidR="00705F4E" w:rsidRPr="00705F4E" w:rsidRDefault="00705F4E" w:rsidP="00705F4E">
      <w:pPr>
        <w:tabs>
          <w:tab w:val="left" w:pos="0"/>
          <w:tab w:val="left" w:pos="993"/>
        </w:tabs>
        <w:spacing w:line="360" w:lineRule="auto"/>
        <w:jc w:val="both"/>
        <w:rPr>
          <w:rFonts w:ascii="Arial" w:hAnsi="Arial" w:cs="Arial"/>
          <w:color w:val="000000"/>
          <w:lang w:val="en-ZA"/>
        </w:rPr>
      </w:pPr>
      <w:r w:rsidRPr="00705F4E">
        <w:rPr>
          <w:rFonts w:ascii="Arial" w:hAnsi="Arial" w:cs="Arial"/>
          <w:color w:val="000000"/>
          <w:sz w:val="22"/>
          <w:lang w:val="en-ZA"/>
        </w:rPr>
        <w:lastRenderedPageBreak/>
        <w:t xml:space="preserve">‘the function of the SIU is to investigate matters, </w:t>
      </w:r>
      <w:r w:rsidRPr="00705F4E">
        <w:rPr>
          <w:rFonts w:ascii="Arial" w:hAnsi="Arial" w:cs="Arial"/>
          <w:color w:val="000000"/>
          <w:sz w:val="22"/>
          <w:u w:val="single"/>
          <w:lang w:val="en-ZA"/>
        </w:rPr>
        <w:t>not to make a determination about matters.</w:t>
      </w:r>
      <w:r w:rsidRPr="00705F4E">
        <w:rPr>
          <w:rFonts w:ascii="Arial" w:hAnsi="Arial" w:cs="Arial"/>
          <w:color w:val="000000"/>
          <w:sz w:val="22"/>
          <w:lang w:val="en-ZA"/>
        </w:rPr>
        <w:t xml:space="preserve"> This is a significant point of distinction.’</w:t>
      </w:r>
      <w:r w:rsidRPr="00705F4E">
        <w:rPr>
          <w:rFonts w:ascii="Arial" w:hAnsi="Arial" w:cs="Arial"/>
          <w:color w:val="000000"/>
          <w:sz w:val="22"/>
          <w:vertAlign w:val="superscript"/>
          <w:lang w:val="en-ZA"/>
        </w:rPr>
        <w:footnoteReference w:id="15"/>
      </w:r>
      <w:r w:rsidRPr="00705F4E">
        <w:rPr>
          <w:rFonts w:ascii="Arial" w:hAnsi="Arial" w:cs="Arial"/>
          <w:color w:val="000000"/>
          <w:sz w:val="22"/>
          <w:lang w:val="en-ZA"/>
        </w:rPr>
        <w:t xml:space="preserve"> </w:t>
      </w:r>
      <w:r w:rsidRPr="00705F4E">
        <w:rPr>
          <w:rFonts w:ascii="Arial" w:hAnsi="Arial" w:cs="Arial"/>
          <w:color w:val="000000"/>
          <w:lang w:val="en-ZA"/>
        </w:rPr>
        <w:t>[my emphasis]</w:t>
      </w:r>
    </w:p>
    <w:p w:rsidR="00675AD0" w:rsidRPr="004800C8" w:rsidRDefault="00675AD0" w:rsidP="00705F4E">
      <w:pPr>
        <w:tabs>
          <w:tab w:val="left" w:pos="0"/>
          <w:tab w:val="left" w:pos="993"/>
        </w:tabs>
        <w:spacing w:line="360" w:lineRule="auto"/>
        <w:jc w:val="both"/>
        <w:rPr>
          <w:rFonts w:ascii="Arial" w:hAnsi="Arial" w:cs="Arial"/>
          <w:color w:val="000000"/>
        </w:rPr>
      </w:pPr>
    </w:p>
    <w:p w:rsidR="00675AD0" w:rsidRPr="004800C8" w:rsidRDefault="00675AD0" w:rsidP="00675AD0">
      <w:pPr>
        <w:tabs>
          <w:tab w:val="left" w:pos="993"/>
        </w:tabs>
        <w:spacing w:line="360" w:lineRule="auto"/>
        <w:jc w:val="both"/>
        <w:rPr>
          <w:rFonts w:ascii="Arial" w:hAnsi="Arial" w:cs="Arial"/>
          <w:color w:val="000000"/>
        </w:rPr>
      </w:pPr>
      <w:r w:rsidRPr="004800C8">
        <w:rPr>
          <w:rFonts w:ascii="Arial" w:hAnsi="Arial" w:cs="Arial"/>
          <w:color w:val="000000"/>
        </w:rPr>
        <w:t>[</w:t>
      </w:r>
      <w:r>
        <w:rPr>
          <w:rFonts w:ascii="Arial" w:hAnsi="Arial" w:cs="Arial"/>
          <w:color w:val="000000"/>
        </w:rPr>
        <w:t>30</w:t>
      </w:r>
      <w:r w:rsidRPr="004800C8">
        <w:rPr>
          <w:rFonts w:ascii="Arial" w:hAnsi="Arial" w:cs="Arial"/>
          <w:color w:val="000000"/>
        </w:rPr>
        <w:t>]</w:t>
      </w:r>
      <w:r w:rsidRPr="004800C8">
        <w:rPr>
          <w:rFonts w:ascii="Arial" w:hAnsi="Arial" w:cs="Arial"/>
          <w:color w:val="000000"/>
        </w:rPr>
        <w:tab/>
      </w:r>
      <w:r w:rsidR="00705F4E" w:rsidRPr="00705F4E">
        <w:rPr>
          <w:rFonts w:ascii="Arial" w:hAnsi="Arial" w:cs="Arial"/>
          <w:color w:val="000000"/>
        </w:rPr>
        <w:t>This implies that the SIU’s opinion about any issue is not determinative or final.</w:t>
      </w:r>
      <w:r w:rsidR="00705F4E" w:rsidRPr="00705F4E">
        <w:rPr>
          <w:rFonts w:ascii="Arial" w:hAnsi="Arial" w:cs="Arial"/>
          <w:color w:val="000000"/>
          <w:vertAlign w:val="superscript"/>
        </w:rPr>
        <w:footnoteReference w:id="16"/>
      </w:r>
      <w:r w:rsidR="00705F4E" w:rsidRPr="00705F4E">
        <w:rPr>
          <w:rFonts w:ascii="Arial" w:hAnsi="Arial" w:cs="Arial"/>
          <w:color w:val="000000"/>
        </w:rPr>
        <w:t xml:space="preserve"> In fact, all that the SIU has done is to make its own finding that the interim board members breached their fiduciary duties.</w:t>
      </w:r>
    </w:p>
    <w:p w:rsidR="00675AD0" w:rsidRPr="004800C8" w:rsidRDefault="00675AD0" w:rsidP="00675AD0">
      <w:pPr>
        <w:tabs>
          <w:tab w:val="left" w:pos="900"/>
        </w:tabs>
        <w:spacing w:line="360" w:lineRule="auto"/>
        <w:jc w:val="both"/>
        <w:rPr>
          <w:rFonts w:ascii="Arial" w:hAnsi="Arial" w:cs="Arial"/>
          <w:color w:val="000000"/>
        </w:rPr>
      </w:pPr>
    </w:p>
    <w:p w:rsidR="00675AD0" w:rsidRPr="004800C8" w:rsidRDefault="00675AD0" w:rsidP="00675AD0">
      <w:pPr>
        <w:tabs>
          <w:tab w:val="left" w:pos="993"/>
        </w:tabs>
        <w:spacing w:line="360" w:lineRule="auto"/>
        <w:jc w:val="both"/>
        <w:rPr>
          <w:rFonts w:ascii="Arial" w:hAnsi="Arial" w:cs="Arial"/>
          <w:color w:val="000000"/>
        </w:rPr>
      </w:pPr>
      <w:r>
        <w:rPr>
          <w:rFonts w:ascii="Arial" w:hAnsi="Arial" w:cs="Arial"/>
          <w:color w:val="000000"/>
        </w:rPr>
        <w:t>[31]</w:t>
      </w:r>
      <w:r w:rsidRPr="004800C8">
        <w:rPr>
          <w:rFonts w:ascii="Arial" w:hAnsi="Arial" w:cs="Arial"/>
          <w:color w:val="000000"/>
        </w:rPr>
        <w:tab/>
      </w:r>
      <w:r w:rsidR="00705F4E" w:rsidRPr="00705F4E">
        <w:rPr>
          <w:rFonts w:ascii="Arial" w:hAnsi="Arial" w:cs="Arial"/>
          <w:color w:val="000000"/>
        </w:rPr>
        <w:t xml:space="preserve">In the matter of </w:t>
      </w:r>
      <w:r w:rsidR="00705F4E" w:rsidRPr="00705F4E">
        <w:rPr>
          <w:rFonts w:ascii="Arial" w:hAnsi="Arial" w:cs="Arial"/>
          <w:i/>
          <w:color w:val="000000"/>
        </w:rPr>
        <w:t>Bhugwan v JSE Ltd,</w:t>
      </w:r>
      <w:r w:rsidR="00705F4E" w:rsidRPr="00705F4E">
        <w:rPr>
          <w:rFonts w:ascii="Arial" w:hAnsi="Arial" w:cs="Arial"/>
          <w:color w:val="000000"/>
          <w:vertAlign w:val="superscript"/>
        </w:rPr>
        <w:footnoteReference w:id="17"/>
      </w:r>
      <w:r w:rsidR="00705F4E" w:rsidRPr="00705F4E">
        <w:rPr>
          <w:rFonts w:ascii="Arial" w:hAnsi="Arial" w:cs="Arial"/>
          <w:color w:val="000000"/>
        </w:rPr>
        <w:t xml:space="preserve"> the Court held that there must have been an exercise of the statutory or public power based on the conclusion so reached. In the matter </w:t>
      </w:r>
      <w:r w:rsidR="00705F4E" w:rsidRPr="00705F4E">
        <w:rPr>
          <w:rFonts w:ascii="Arial" w:hAnsi="Arial" w:cs="Arial"/>
          <w:i/>
          <w:color w:val="000000"/>
        </w:rPr>
        <w:t>in casu</w:t>
      </w:r>
      <w:r w:rsidR="00A21756">
        <w:rPr>
          <w:rFonts w:ascii="Arial" w:hAnsi="Arial" w:cs="Arial"/>
          <w:color w:val="000000"/>
        </w:rPr>
        <w:t xml:space="preserve"> </w:t>
      </w:r>
      <w:r w:rsidR="00705F4E" w:rsidRPr="00705F4E">
        <w:rPr>
          <w:rFonts w:ascii="Arial" w:hAnsi="Arial" w:cs="Arial"/>
          <w:color w:val="000000"/>
        </w:rPr>
        <w:t>there is no compliance with this critical requirement. The SIU has not yet exercised its power to actually make recommendations to the Chairperson of the SABC board. It has merely expressed its intention to do so, upon the outcome of the review application brought by Mjayeli in the review with case number 47916/2017.</w:t>
      </w:r>
    </w:p>
    <w:p w:rsidR="00675AD0" w:rsidRPr="004800C8" w:rsidRDefault="00675AD0" w:rsidP="00675AD0">
      <w:pPr>
        <w:tabs>
          <w:tab w:val="left" w:pos="900"/>
        </w:tabs>
        <w:spacing w:line="360" w:lineRule="auto"/>
        <w:jc w:val="both"/>
        <w:rPr>
          <w:rFonts w:ascii="Arial" w:hAnsi="Arial" w:cs="Arial"/>
          <w:color w:val="000000"/>
        </w:rPr>
      </w:pPr>
    </w:p>
    <w:p w:rsidR="00705F4E" w:rsidRDefault="00675AD0" w:rsidP="00705F4E">
      <w:pPr>
        <w:tabs>
          <w:tab w:val="left" w:pos="993"/>
        </w:tabs>
        <w:spacing w:line="360" w:lineRule="auto"/>
        <w:jc w:val="both"/>
        <w:rPr>
          <w:rFonts w:ascii="Arial" w:hAnsi="Arial" w:cs="Arial"/>
          <w:color w:val="000000"/>
        </w:rPr>
      </w:pPr>
      <w:r w:rsidRPr="004800C8">
        <w:rPr>
          <w:rFonts w:ascii="Arial" w:hAnsi="Arial" w:cs="Arial"/>
          <w:color w:val="000000"/>
        </w:rPr>
        <w:t>[</w:t>
      </w:r>
      <w:r>
        <w:rPr>
          <w:rFonts w:ascii="Arial" w:hAnsi="Arial" w:cs="Arial"/>
          <w:color w:val="000000"/>
        </w:rPr>
        <w:t>32</w:t>
      </w:r>
      <w:r w:rsidRPr="004800C8">
        <w:rPr>
          <w:rFonts w:ascii="Arial" w:hAnsi="Arial" w:cs="Arial"/>
          <w:color w:val="000000"/>
        </w:rPr>
        <w:t>]</w:t>
      </w:r>
      <w:r w:rsidRPr="004800C8">
        <w:rPr>
          <w:rFonts w:ascii="Arial" w:hAnsi="Arial" w:cs="Arial"/>
          <w:color w:val="000000"/>
        </w:rPr>
        <w:tab/>
      </w:r>
      <w:r w:rsidR="00705F4E" w:rsidRPr="00705F4E">
        <w:rPr>
          <w:rFonts w:ascii="Arial" w:hAnsi="Arial" w:cs="Arial"/>
          <w:color w:val="000000"/>
        </w:rPr>
        <w:t xml:space="preserve">In </w:t>
      </w:r>
      <w:r w:rsidR="00705F4E" w:rsidRPr="00705F4E">
        <w:rPr>
          <w:rFonts w:ascii="Arial" w:hAnsi="Arial" w:cs="Arial"/>
          <w:i/>
          <w:color w:val="000000"/>
        </w:rPr>
        <w:t>Weinert Municipality of the City of Cape Town</w:t>
      </w:r>
      <w:r w:rsidR="00705F4E">
        <w:rPr>
          <w:rFonts w:ascii="Arial" w:hAnsi="Arial" w:cs="Arial"/>
          <w:i/>
          <w:color w:val="000000"/>
        </w:rPr>
        <w:t>,</w:t>
      </w:r>
      <w:r w:rsidR="00705F4E" w:rsidRPr="00705F4E">
        <w:rPr>
          <w:rFonts w:ascii="Arial" w:hAnsi="Arial" w:cs="Arial"/>
          <w:color w:val="000000"/>
          <w:vertAlign w:val="superscript"/>
        </w:rPr>
        <w:footnoteReference w:id="18"/>
      </w:r>
      <w:r w:rsidR="00705F4E" w:rsidRPr="00705F4E">
        <w:rPr>
          <w:rFonts w:ascii="Arial" w:hAnsi="Arial" w:cs="Arial"/>
          <w:color w:val="000000"/>
        </w:rPr>
        <w:t xml:space="preserve"> the Court stated that:</w:t>
      </w:r>
    </w:p>
    <w:p w:rsidR="00705F4E" w:rsidRPr="00705F4E" w:rsidRDefault="00705F4E" w:rsidP="00705F4E">
      <w:pPr>
        <w:tabs>
          <w:tab w:val="left" w:pos="993"/>
        </w:tabs>
        <w:spacing w:line="360" w:lineRule="auto"/>
        <w:jc w:val="both"/>
        <w:rPr>
          <w:rFonts w:ascii="Arial" w:hAnsi="Arial" w:cs="Arial"/>
          <w:color w:val="000000"/>
        </w:rPr>
      </w:pPr>
    </w:p>
    <w:p w:rsidR="00705F4E" w:rsidRPr="00705F4E" w:rsidRDefault="00705F4E" w:rsidP="00705F4E">
      <w:pPr>
        <w:tabs>
          <w:tab w:val="left" w:pos="993"/>
        </w:tabs>
        <w:spacing w:line="360" w:lineRule="auto"/>
        <w:jc w:val="both"/>
        <w:rPr>
          <w:rFonts w:ascii="Arial" w:hAnsi="Arial" w:cs="Arial"/>
          <w:color w:val="000000"/>
        </w:rPr>
      </w:pPr>
      <w:r w:rsidRPr="00705F4E">
        <w:rPr>
          <w:rFonts w:ascii="Arial" w:hAnsi="Arial" w:cs="Arial"/>
          <w:color w:val="000000"/>
          <w:sz w:val="22"/>
        </w:rPr>
        <w:t xml:space="preserve">‘as a general rule, </w:t>
      </w:r>
      <w:r w:rsidRPr="00705F4E">
        <w:rPr>
          <w:rFonts w:ascii="Arial" w:hAnsi="Arial" w:cs="Arial"/>
          <w:color w:val="000000"/>
          <w:sz w:val="22"/>
          <w:u w:val="single"/>
        </w:rPr>
        <w:t>a challenge to the validity of an exercise of public power that is not final in effect is premature. An application to review the action will not be ripe, and cannot succeed on that account</w:t>
      </w:r>
      <w:r w:rsidRPr="00705F4E">
        <w:rPr>
          <w:rFonts w:ascii="Arial" w:hAnsi="Arial" w:cs="Arial"/>
          <w:color w:val="000000"/>
          <w:sz w:val="22"/>
        </w:rPr>
        <w:t xml:space="preserve">. Hoexter explains the concept thus: </w:t>
      </w:r>
      <w:r w:rsidRPr="00705F4E">
        <w:rPr>
          <w:rFonts w:ascii="Arial" w:hAnsi="Arial" w:cs="Arial"/>
          <w:color w:val="000000"/>
          <w:sz w:val="22"/>
          <w:u w:val="single"/>
        </w:rPr>
        <w:t>'The idea behind the requirement of ripeness is that a complainant should not go to court before the offending action or decision is final, or at least ripe for adjudication.</w:t>
      </w:r>
      <w:r w:rsidRPr="00705F4E">
        <w:rPr>
          <w:rFonts w:ascii="Arial" w:hAnsi="Arial" w:cs="Arial"/>
          <w:color w:val="000000"/>
          <w:sz w:val="22"/>
        </w:rPr>
        <w:t xml:space="preserve"> It is the opposite of the doctrine of mootness, which prevents a court from deciding an issue when it is too late. </w:t>
      </w:r>
      <w:r w:rsidRPr="00705F4E">
        <w:rPr>
          <w:rFonts w:ascii="Arial" w:hAnsi="Arial" w:cs="Arial"/>
          <w:color w:val="000000"/>
          <w:sz w:val="22"/>
          <w:u w:val="single"/>
        </w:rPr>
        <w:t>The doctrine of ripeness holds that there is no point in wasting the courts' time with half-formed decisions whose shape may yet change, or indeed decisions that have not yet been made</w:t>
      </w:r>
      <w:r w:rsidRPr="00705F4E">
        <w:rPr>
          <w:rFonts w:ascii="Arial" w:hAnsi="Arial" w:cs="Arial"/>
          <w:color w:val="000000"/>
          <w:sz w:val="22"/>
        </w:rPr>
        <w:t>.’</w:t>
      </w:r>
      <w:r w:rsidRPr="00705F4E">
        <w:rPr>
          <w:rFonts w:ascii="Arial" w:hAnsi="Arial" w:cs="Arial"/>
          <w:color w:val="000000"/>
          <w:sz w:val="22"/>
          <w:vertAlign w:val="superscript"/>
        </w:rPr>
        <w:footnoteReference w:id="19"/>
      </w:r>
      <w:r w:rsidRPr="00705F4E">
        <w:rPr>
          <w:rFonts w:ascii="Arial" w:hAnsi="Arial" w:cs="Arial"/>
          <w:color w:val="000000"/>
        </w:rPr>
        <w:t xml:space="preserve"> [my emphasis]</w:t>
      </w:r>
    </w:p>
    <w:p w:rsidR="00675AD0" w:rsidRDefault="00675AD0" w:rsidP="00675AD0">
      <w:pPr>
        <w:tabs>
          <w:tab w:val="left" w:pos="900"/>
        </w:tabs>
        <w:spacing w:line="360" w:lineRule="auto"/>
        <w:jc w:val="both"/>
        <w:rPr>
          <w:rFonts w:ascii="Arial" w:hAnsi="Arial" w:cs="Arial"/>
          <w:color w:val="000000"/>
        </w:rPr>
      </w:pPr>
    </w:p>
    <w:p w:rsidR="00675AD0" w:rsidRPr="008E2EA2" w:rsidRDefault="00675AD0" w:rsidP="00675AD0">
      <w:pPr>
        <w:tabs>
          <w:tab w:val="left" w:pos="993"/>
        </w:tabs>
        <w:spacing w:line="360" w:lineRule="auto"/>
        <w:jc w:val="both"/>
        <w:rPr>
          <w:rFonts w:ascii="Arial" w:hAnsi="Arial" w:cs="Arial"/>
          <w:color w:val="000000"/>
        </w:rPr>
      </w:pPr>
      <w:r>
        <w:rPr>
          <w:rFonts w:ascii="Arial" w:hAnsi="Arial" w:cs="Arial"/>
          <w:color w:val="000000"/>
        </w:rPr>
        <w:t>[33]</w:t>
      </w:r>
      <w:r>
        <w:rPr>
          <w:rFonts w:ascii="Arial" w:hAnsi="Arial" w:cs="Arial"/>
          <w:color w:val="000000"/>
        </w:rPr>
        <w:tab/>
      </w:r>
      <w:r w:rsidR="00705F4E" w:rsidRPr="00705F4E">
        <w:rPr>
          <w:rFonts w:ascii="Arial" w:hAnsi="Arial" w:cs="Arial"/>
          <w:color w:val="000000"/>
        </w:rPr>
        <w:t>The proposal to be made to the SABC board is a decision yet to be made and the SABC as yet in not required to do anything. Thus, the matter is academic or premature.</w:t>
      </w:r>
    </w:p>
    <w:p w:rsidR="00675AD0" w:rsidRDefault="00675AD0" w:rsidP="00675AD0">
      <w:pPr>
        <w:tabs>
          <w:tab w:val="left" w:pos="900"/>
        </w:tabs>
        <w:spacing w:line="360" w:lineRule="auto"/>
        <w:jc w:val="both"/>
        <w:rPr>
          <w:rFonts w:ascii="Arial" w:hAnsi="Arial" w:cs="Arial"/>
          <w:color w:val="000000"/>
        </w:rPr>
      </w:pPr>
    </w:p>
    <w:p w:rsidR="00705F4E" w:rsidRDefault="00675AD0" w:rsidP="00705F4E">
      <w:pPr>
        <w:tabs>
          <w:tab w:val="left" w:pos="993"/>
        </w:tabs>
        <w:spacing w:line="360" w:lineRule="auto"/>
        <w:jc w:val="both"/>
        <w:rPr>
          <w:rFonts w:ascii="Arial" w:hAnsi="Arial" w:cs="Arial"/>
          <w:color w:val="000000"/>
        </w:rPr>
      </w:pPr>
      <w:r>
        <w:rPr>
          <w:rFonts w:ascii="Arial" w:hAnsi="Arial" w:cs="Arial"/>
          <w:color w:val="000000"/>
        </w:rPr>
        <w:t>[34]</w:t>
      </w:r>
      <w:r>
        <w:rPr>
          <w:rFonts w:ascii="Arial" w:hAnsi="Arial" w:cs="Arial"/>
          <w:color w:val="000000"/>
        </w:rPr>
        <w:tab/>
      </w:r>
      <w:r w:rsidR="00705F4E" w:rsidRPr="00705F4E">
        <w:rPr>
          <w:rFonts w:ascii="Arial" w:hAnsi="Arial" w:cs="Arial"/>
          <w:color w:val="000000"/>
        </w:rPr>
        <w:t xml:space="preserve">In the matter of </w:t>
      </w:r>
      <w:r w:rsidR="00705F4E" w:rsidRPr="00705F4E">
        <w:rPr>
          <w:rFonts w:ascii="Arial" w:hAnsi="Arial" w:cs="Arial"/>
          <w:i/>
          <w:color w:val="000000"/>
        </w:rPr>
        <w:t>Moola</w:t>
      </w:r>
      <w:r w:rsidR="00705F4E" w:rsidRPr="00705F4E">
        <w:rPr>
          <w:rFonts w:ascii="Arial" w:hAnsi="Arial" w:cs="Arial"/>
          <w:color w:val="000000"/>
          <w:vertAlign w:val="superscript"/>
        </w:rPr>
        <w:footnoteReference w:id="20"/>
      </w:r>
      <w:r w:rsidR="00705F4E" w:rsidRPr="00705F4E">
        <w:rPr>
          <w:rFonts w:ascii="Arial" w:hAnsi="Arial" w:cs="Arial"/>
          <w:color w:val="000000"/>
        </w:rPr>
        <w:t xml:space="preserve"> the Court stated that:</w:t>
      </w:r>
    </w:p>
    <w:p w:rsidR="00705F4E" w:rsidRPr="00705F4E" w:rsidRDefault="00705F4E" w:rsidP="00705F4E">
      <w:pPr>
        <w:tabs>
          <w:tab w:val="left" w:pos="993"/>
        </w:tabs>
        <w:spacing w:line="360" w:lineRule="auto"/>
        <w:jc w:val="both"/>
        <w:rPr>
          <w:rFonts w:ascii="Arial" w:hAnsi="Arial" w:cs="Arial"/>
          <w:color w:val="000000"/>
        </w:rPr>
      </w:pPr>
    </w:p>
    <w:p w:rsidR="00705F4E" w:rsidRPr="00705F4E" w:rsidRDefault="00705F4E" w:rsidP="00705F4E">
      <w:pPr>
        <w:tabs>
          <w:tab w:val="left" w:pos="993"/>
        </w:tabs>
        <w:spacing w:line="360" w:lineRule="auto"/>
        <w:jc w:val="both"/>
        <w:rPr>
          <w:rFonts w:ascii="Arial" w:hAnsi="Arial" w:cs="Arial"/>
          <w:color w:val="000000"/>
          <w:sz w:val="22"/>
          <w:lang w:val="en-ZA"/>
        </w:rPr>
      </w:pPr>
      <w:r w:rsidRPr="00705F4E">
        <w:rPr>
          <w:rFonts w:ascii="Arial" w:hAnsi="Arial" w:cs="Arial"/>
          <w:color w:val="000000"/>
          <w:sz w:val="22"/>
        </w:rPr>
        <w:t>‘it would be a foreign notion if a potential accused in a potential criminal trial were entitled to exact that the very recommendation to the NPA that s/he be prosecuted, first passes PAJA review muster.’</w:t>
      </w:r>
      <w:r w:rsidRPr="00705F4E">
        <w:rPr>
          <w:rFonts w:ascii="Arial" w:hAnsi="Arial" w:cs="Arial"/>
          <w:color w:val="000000"/>
          <w:sz w:val="22"/>
          <w:vertAlign w:val="superscript"/>
        </w:rPr>
        <w:footnoteReference w:id="21"/>
      </w:r>
    </w:p>
    <w:p w:rsidR="00675AD0" w:rsidRDefault="00675AD0" w:rsidP="00705F4E">
      <w:pPr>
        <w:tabs>
          <w:tab w:val="left" w:pos="993"/>
        </w:tabs>
        <w:spacing w:line="360" w:lineRule="auto"/>
        <w:jc w:val="both"/>
        <w:rPr>
          <w:rFonts w:ascii="Arial" w:hAnsi="Arial" w:cs="Arial"/>
          <w:color w:val="000000"/>
        </w:rPr>
      </w:pPr>
    </w:p>
    <w:p w:rsidR="00675AD0" w:rsidRPr="00705F4E" w:rsidRDefault="00675AD0" w:rsidP="00675AD0">
      <w:pPr>
        <w:tabs>
          <w:tab w:val="left" w:pos="993"/>
        </w:tabs>
        <w:spacing w:line="360" w:lineRule="auto"/>
        <w:jc w:val="both"/>
        <w:rPr>
          <w:rFonts w:ascii="Arial" w:hAnsi="Arial" w:cs="Arial"/>
          <w:color w:val="000000"/>
          <w:lang w:val="en-ZA"/>
        </w:rPr>
      </w:pPr>
      <w:r>
        <w:rPr>
          <w:rFonts w:ascii="Arial" w:hAnsi="Arial" w:cs="Arial"/>
          <w:color w:val="000000"/>
        </w:rPr>
        <w:t>[35]</w:t>
      </w:r>
      <w:r>
        <w:rPr>
          <w:rFonts w:ascii="Arial" w:hAnsi="Arial" w:cs="Arial"/>
          <w:color w:val="000000"/>
        </w:rPr>
        <w:tab/>
      </w:r>
      <w:r w:rsidR="00705F4E" w:rsidRPr="00705F4E">
        <w:rPr>
          <w:rFonts w:ascii="Arial" w:hAnsi="Arial" w:cs="Arial"/>
          <w:color w:val="000000"/>
          <w:lang w:val="en-ZA"/>
        </w:rPr>
        <w:t xml:space="preserve">In the matter of </w:t>
      </w:r>
      <w:r w:rsidR="00705F4E" w:rsidRPr="00705F4E">
        <w:rPr>
          <w:rFonts w:ascii="Arial" w:hAnsi="Arial" w:cs="Arial"/>
          <w:i/>
          <w:color w:val="000000"/>
          <w:lang w:val="en-ZA"/>
        </w:rPr>
        <w:t>Viking Pony Africa Pumps (Pty) Ltd t/a Tricom Africa v Hidro-Tech Systems (Pty) Ltd</w:t>
      </w:r>
      <w:r w:rsidR="00705F4E" w:rsidRPr="00705F4E">
        <w:rPr>
          <w:rFonts w:ascii="Arial" w:hAnsi="Arial" w:cs="Arial"/>
          <w:i/>
          <w:color w:val="000000"/>
          <w:vertAlign w:val="superscript"/>
          <w:lang w:val="en-ZA"/>
        </w:rPr>
        <w:footnoteReference w:id="22"/>
      </w:r>
      <w:r w:rsidR="00705F4E" w:rsidRPr="00705F4E">
        <w:rPr>
          <w:rFonts w:ascii="Arial" w:hAnsi="Arial" w:cs="Arial"/>
          <w:i/>
          <w:color w:val="000000"/>
          <w:lang w:val="en-ZA"/>
        </w:rPr>
        <w:t xml:space="preserve"> </w:t>
      </w:r>
      <w:r w:rsidR="00705F4E" w:rsidRPr="00705F4E">
        <w:rPr>
          <w:rFonts w:ascii="Arial" w:hAnsi="Arial" w:cs="Arial"/>
          <w:color w:val="000000"/>
          <w:lang w:val="en-ZA"/>
        </w:rPr>
        <w:t>(‘</w:t>
      </w:r>
      <w:r w:rsidR="00705F4E" w:rsidRPr="00705F4E">
        <w:rPr>
          <w:rFonts w:ascii="Arial" w:hAnsi="Arial" w:cs="Arial"/>
          <w:i/>
          <w:color w:val="000000"/>
          <w:lang w:val="en-ZA"/>
        </w:rPr>
        <w:t>Viking’</w:t>
      </w:r>
      <w:r w:rsidR="00705F4E" w:rsidRPr="00705F4E">
        <w:rPr>
          <w:rFonts w:ascii="Arial" w:hAnsi="Arial" w:cs="Arial"/>
          <w:color w:val="000000"/>
          <w:lang w:val="en-ZA"/>
        </w:rPr>
        <w:t>), the Constitutional Court stated that whether or not administrative action, which would make PAJA applicable, has been taken, cannot be determined in the abstract.</w:t>
      </w:r>
      <w:r w:rsidR="00705F4E" w:rsidRPr="00705F4E">
        <w:rPr>
          <w:rFonts w:ascii="Arial" w:hAnsi="Arial" w:cs="Arial"/>
          <w:color w:val="000000"/>
          <w:vertAlign w:val="superscript"/>
          <w:lang w:val="en-ZA"/>
        </w:rPr>
        <w:footnoteReference w:id="23"/>
      </w:r>
    </w:p>
    <w:p w:rsidR="00675AD0" w:rsidRDefault="00675AD0" w:rsidP="00675AD0">
      <w:pPr>
        <w:tabs>
          <w:tab w:val="left" w:pos="900"/>
        </w:tabs>
        <w:spacing w:line="360" w:lineRule="auto"/>
        <w:jc w:val="both"/>
        <w:rPr>
          <w:rFonts w:ascii="Arial" w:hAnsi="Arial" w:cs="Arial"/>
          <w:color w:val="000000"/>
        </w:rPr>
      </w:pPr>
    </w:p>
    <w:p w:rsidR="00705F4E" w:rsidRDefault="00675AD0" w:rsidP="00705F4E">
      <w:pPr>
        <w:tabs>
          <w:tab w:val="left" w:pos="993"/>
        </w:tabs>
        <w:spacing w:line="360" w:lineRule="auto"/>
        <w:jc w:val="both"/>
        <w:rPr>
          <w:rFonts w:ascii="Arial" w:hAnsi="Arial" w:cs="Arial"/>
          <w:color w:val="000000"/>
          <w:lang w:val="en-ZA"/>
        </w:rPr>
      </w:pPr>
      <w:r>
        <w:rPr>
          <w:rFonts w:ascii="Arial" w:hAnsi="Arial" w:cs="Arial"/>
          <w:color w:val="000000"/>
        </w:rPr>
        <w:t>[36]</w:t>
      </w:r>
      <w:r>
        <w:rPr>
          <w:rFonts w:ascii="Arial" w:hAnsi="Arial" w:cs="Arial"/>
          <w:color w:val="000000"/>
        </w:rPr>
        <w:tab/>
      </w:r>
      <w:r w:rsidR="00705F4E" w:rsidRPr="00705F4E">
        <w:rPr>
          <w:rFonts w:ascii="Arial" w:hAnsi="Arial" w:cs="Arial"/>
          <w:color w:val="000000"/>
          <w:lang w:val="en-ZA"/>
        </w:rPr>
        <w:t xml:space="preserve">In the matter of </w:t>
      </w:r>
      <w:r w:rsidR="00705F4E" w:rsidRPr="00705F4E">
        <w:rPr>
          <w:rFonts w:ascii="Arial" w:hAnsi="Arial" w:cs="Arial"/>
          <w:i/>
          <w:color w:val="000000"/>
          <w:lang w:val="en-ZA"/>
        </w:rPr>
        <w:t>Chairman of the State Tender Board v Digital Voice Processing (Pty) Ltd, Chairman of the State Tender Bo</w:t>
      </w:r>
      <w:r w:rsidR="00705F4E">
        <w:rPr>
          <w:rFonts w:ascii="Arial" w:hAnsi="Arial" w:cs="Arial"/>
          <w:i/>
          <w:color w:val="000000"/>
          <w:lang w:val="en-ZA"/>
        </w:rPr>
        <w:t>ard v Sneller Digital (Pty) Ltd</w:t>
      </w:r>
      <w:r w:rsidR="00705F4E" w:rsidRPr="00705F4E">
        <w:rPr>
          <w:rFonts w:ascii="Arial" w:hAnsi="Arial" w:cs="Arial"/>
          <w:i/>
          <w:color w:val="000000"/>
          <w:vertAlign w:val="superscript"/>
          <w:lang w:val="en-ZA"/>
        </w:rPr>
        <w:footnoteReference w:id="24"/>
      </w:r>
      <w:r w:rsidR="00705F4E" w:rsidRPr="00705F4E">
        <w:rPr>
          <w:rFonts w:ascii="Arial" w:hAnsi="Arial" w:cs="Arial"/>
          <w:color w:val="000000"/>
          <w:lang w:val="en-ZA"/>
        </w:rPr>
        <w:t>, the Supreme Court of Appeal stated that:</w:t>
      </w:r>
    </w:p>
    <w:p w:rsidR="00705F4E" w:rsidRPr="00705F4E" w:rsidRDefault="00705F4E" w:rsidP="00705F4E">
      <w:pPr>
        <w:tabs>
          <w:tab w:val="left" w:pos="993"/>
        </w:tabs>
        <w:spacing w:line="360" w:lineRule="auto"/>
        <w:jc w:val="both"/>
        <w:rPr>
          <w:rFonts w:ascii="Arial" w:hAnsi="Arial" w:cs="Arial"/>
          <w:color w:val="000000"/>
          <w:lang w:val="en-ZA"/>
        </w:rPr>
      </w:pPr>
    </w:p>
    <w:p w:rsidR="00705F4E" w:rsidRPr="00705F4E" w:rsidRDefault="00705F4E" w:rsidP="00705F4E">
      <w:pPr>
        <w:tabs>
          <w:tab w:val="left" w:pos="993"/>
        </w:tabs>
        <w:spacing w:line="360" w:lineRule="auto"/>
        <w:jc w:val="both"/>
        <w:rPr>
          <w:rFonts w:ascii="Arial" w:hAnsi="Arial" w:cs="Arial"/>
          <w:color w:val="000000"/>
          <w:lang w:val="en-ZA"/>
        </w:rPr>
      </w:pPr>
      <w:r w:rsidRPr="00705F4E">
        <w:rPr>
          <w:rFonts w:ascii="Arial" w:hAnsi="Arial" w:cs="Arial"/>
          <w:color w:val="000000"/>
          <w:sz w:val="22"/>
          <w:lang w:val="en-ZA"/>
        </w:rPr>
        <w:t xml:space="preserve">‘now that the review of administrative action is dealt with in terms of the PAJA, the position is clear. </w:t>
      </w:r>
      <w:r w:rsidRPr="00705F4E">
        <w:rPr>
          <w:rFonts w:ascii="Arial" w:hAnsi="Arial" w:cs="Arial"/>
          <w:color w:val="000000"/>
          <w:sz w:val="22"/>
          <w:u w:val="single"/>
          <w:lang w:val="en-ZA"/>
        </w:rPr>
        <w:t xml:space="preserve">An administrative action is defined in section 1 to be, </w:t>
      </w:r>
      <w:r w:rsidRPr="00705F4E">
        <w:rPr>
          <w:rFonts w:ascii="Arial" w:hAnsi="Arial" w:cs="Arial"/>
          <w:i/>
          <w:color w:val="000000"/>
          <w:sz w:val="22"/>
          <w:u w:val="single"/>
          <w:lang w:val="en-ZA"/>
        </w:rPr>
        <w:t>inter alia</w:t>
      </w:r>
      <w:r w:rsidRPr="00705F4E">
        <w:rPr>
          <w:rFonts w:ascii="Arial" w:hAnsi="Arial" w:cs="Arial"/>
          <w:color w:val="000000"/>
          <w:sz w:val="22"/>
          <w:u w:val="single"/>
          <w:lang w:val="en-ZA"/>
        </w:rPr>
        <w:t>, a "decision" which has a "direct, external legal effect</w:t>
      </w:r>
      <w:r w:rsidRPr="00705F4E">
        <w:rPr>
          <w:rFonts w:ascii="Arial" w:hAnsi="Arial" w:cs="Arial"/>
          <w:color w:val="000000"/>
          <w:sz w:val="22"/>
          <w:lang w:val="en-ZA"/>
        </w:rPr>
        <w:t>". In commenting on this aspect of the definition of administrative action, Hoexter says: "The PAJA does not refer to ripeness as such. However, s 1 of the Act appears to underscore the requirement of ripeness by confining the ambit of administrative action – the gateway to the Act – as a 'decision', and moreover one with 'direct' effect. Both of these terms suggest finality.’</w:t>
      </w:r>
      <w:r w:rsidRPr="00EB4402">
        <w:rPr>
          <w:rFonts w:ascii="Arial" w:hAnsi="Arial" w:cs="Arial"/>
          <w:color w:val="000000"/>
          <w:sz w:val="22"/>
          <w:szCs w:val="22"/>
          <w:vertAlign w:val="superscript"/>
          <w:lang w:val="en-ZA"/>
        </w:rPr>
        <w:footnoteReference w:id="25"/>
      </w:r>
      <w:r w:rsidRPr="00705F4E">
        <w:rPr>
          <w:rFonts w:ascii="Arial" w:hAnsi="Arial" w:cs="Arial"/>
          <w:color w:val="000000"/>
          <w:lang w:val="en-ZA"/>
        </w:rPr>
        <w:t xml:space="preserve"> [my emphasis]</w:t>
      </w:r>
    </w:p>
    <w:p w:rsidR="00675AD0" w:rsidRDefault="00675AD0" w:rsidP="00675AD0">
      <w:pPr>
        <w:tabs>
          <w:tab w:val="left" w:pos="900"/>
        </w:tabs>
        <w:spacing w:line="360" w:lineRule="auto"/>
        <w:jc w:val="both"/>
        <w:rPr>
          <w:rFonts w:ascii="Arial" w:hAnsi="Arial" w:cs="Arial"/>
          <w:color w:val="000000"/>
        </w:rPr>
      </w:pPr>
    </w:p>
    <w:p w:rsidR="003B714D" w:rsidRDefault="00675AD0" w:rsidP="00705F4E">
      <w:pPr>
        <w:tabs>
          <w:tab w:val="left" w:pos="993"/>
        </w:tabs>
        <w:spacing w:line="360" w:lineRule="auto"/>
        <w:jc w:val="both"/>
        <w:rPr>
          <w:rFonts w:ascii="Arial" w:hAnsi="Arial" w:cs="Arial"/>
          <w:color w:val="000000"/>
        </w:rPr>
      </w:pPr>
      <w:r>
        <w:rPr>
          <w:rFonts w:ascii="Arial" w:hAnsi="Arial" w:cs="Arial"/>
          <w:color w:val="000000"/>
        </w:rPr>
        <w:t>[37]</w:t>
      </w:r>
      <w:r>
        <w:rPr>
          <w:rFonts w:ascii="Arial" w:hAnsi="Arial" w:cs="Arial"/>
          <w:color w:val="000000"/>
        </w:rPr>
        <w:tab/>
      </w:r>
      <w:r w:rsidR="00705F4E" w:rsidRPr="00705F4E">
        <w:rPr>
          <w:rFonts w:ascii="Arial" w:hAnsi="Arial" w:cs="Arial"/>
          <w:color w:val="000000"/>
        </w:rPr>
        <w:t xml:space="preserve">The SIU’s findings have not adversely affected the rights of the interim board members as yet. The Constitutional Court in the matter of </w:t>
      </w:r>
      <w:r w:rsidR="00705F4E">
        <w:rPr>
          <w:rFonts w:ascii="Arial" w:hAnsi="Arial" w:cs="Arial"/>
          <w:i/>
          <w:iCs/>
          <w:color w:val="000000"/>
        </w:rPr>
        <w:t>Viking</w:t>
      </w:r>
      <w:r w:rsidR="00705F4E" w:rsidRPr="00705F4E">
        <w:rPr>
          <w:rFonts w:ascii="Arial" w:hAnsi="Arial" w:cs="Arial"/>
          <w:i/>
          <w:iCs/>
          <w:color w:val="000000"/>
          <w:vertAlign w:val="superscript"/>
        </w:rPr>
        <w:footnoteReference w:id="26"/>
      </w:r>
      <w:r w:rsidR="00705F4E" w:rsidRPr="00705F4E">
        <w:rPr>
          <w:rFonts w:ascii="Arial" w:hAnsi="Arial" w:cs="Arial"/>
          <w:i/>
          <w:iCs/>
          <w:color w:val="000000"/>
        </w:rPr>
        <w:t xml:space="preserve"> </w:t>
      </w:r>
      <w:r w:rsidR="00705F4E" w:rsidRPr="00705F4E">
        <w:rPr>
          <w:rFonts w:ascii="Arial" w:hAnsi="Arial" w:cs="Arial"/>
          <w:color w:val="000000"/>
        </w:rPr>
        <w:t>stated that</w:t>
      </w:r>
      <w:r w:rsidR="003B714D">
        <w:rPr>
          <w:rFonts w:ascii="Arial" w:hAnsi="Arial" w:cs="Arial"/>
          <w:color w:val="000000"/>
        </w:rPr>
        <w:t>:</w:t>
      </w:r>
    </w:p>
    <w:p w:rsidR="003B714D" w:rsidRDefault="003B714D" w:rsidP="00705F4E">
      <w:pPr>
        <w:tabs>
          <w:tab w:val="left" w:pos="993"/>
        </w:tabs>
        <w:spacing w:line="360" w:lineRule="auto"/>
        <w:jc w:val="both"/>
        <w:rPr>
          <w:rFonts w:ascii="Arial" w:hAnsi="Arial" w:cs="Arial"/>
          <w:color w:val="000000"/>
        </w:rPr>
      </w:pPr>
    </w:p>
    <w:p w:rsidR="00675AD0" w:rsidRPr="00FF6BC8" w:rsidRDefault="00705F4E" w:rsidP="00705F4E">
      <w:pPr>
        <w:tabs>
          <w:tab w:val="left" w:pos="993"/>
        </w:tabs>
        <w:spacing w:line="360" w:lineRule="auto"/>
        <w:jc w:val="both"/>
        <w:rPr>
          <w:rFonts w:ascii="Arial" w:hAnsi="Arial" w:cs="Arial"/>
          <w:color w:val="000000"/>
        </w:rPr>
      </w:pPr>
      <w:r w:rsidRPr="00705F4E">
        <w:rPr>
          <w:rFonts w:ascii="Arial" w:hAnsi="Arial" w:cs="Arial"/>
          <w:color w:val="000000"/>
        </w:rPr>
        <w:t>‘</w:t>
      </w:r>
      <w:r w:rsidRPr="003B714D">
        <w:rPr>
          <w:rFonts w:ascii="Arial" w:hAnsi="Arial" w:cs="Arial"/>
          <w:color w:val="000000"/>
          <w:sz w:val="22"/>
          <w:szCs w:val="22"/>
        </w:rPr>
        <w:t xml:space="preserve">it is unlikely that a decision to investigate and the process of investigation, which excludes a determination of culpability could itself adversely affect the rights of any person, </w:t>
      </w:r>
      <w:r w:rsidRPr="003B714D">
        <w:rPr>
          <w:rFonts w:ascii="Arial" w:hAnsi="Arial" w:cs="Arial"/>
          <w:color w:val="000000"/>
          <w:sz w:val="22"/>
          <w:szCs w:val="22"/>
          <w:u w:val="single"/>
        </w:rPr>
        <w:t>in a manner that has a direct and external legal effect</w:t>
      </w:r>
      <w:r w:rsidRPr="00705F4E">
        <w:rPr>
          <w:rFonts w:ascii="Arial" w:hAnsi="Arial" w:cs="Arial"/>
          <w:color w:val="000000"/>
          <w:u w:val="single"/>
        </w:rPr>
        <w:t>.’</w:t>
      </w:r>
      <w:r w:rsidRPr="00705F4E">
        <w:rPr>
          <w:rFonts w:ascii="Arial" w:hAnsi="Arial" w:cs="Arial"/>
          <w:color w:val="000000"/>
          <w:vertAlign w:val="superscript"/>
        </w:rPr>
        <w:footnoteReference w:id="27"/>
      </w:r>
      <w:r w:rsidRPr="00705F4E">
        <w:rPr>
          <w:rFonts w:ascii="Arial" w:hAnsi="Arial" w:cs="Arial"/>
          <w:color w:val="000000"/>
        </w:rPr>
        <w:t xml:space="preserve"> [my emphasis]</w:t>
      </w:r>
    </w:p>
    <w:p w:rsidR="00675AD0" w:rsidRDefault="00675AD0" w:rsidP="00675AD0">
      <w:pPr>
        <w:tabs>
          <w:tab w:val="left" w:pos="900"/>
        </w:tabs>
        <w:spacing w:line="360" w:lineRule="auto"/>
        <w:jc w:val="both"/>
        <w:rPr>
          <w:rFonts w:ascii="Arial" w:hAnsi="Arial" w:cs="Arial"/>
          <w:color w:val="000000"/>
        </w:rPr>
      </w:pPr>
    </w:p>
    <w:p w:rsidR="00705F4E" w:rsidRDefault="00675AD0" w:rsidP="00705F4E">
      <w:pPr>
        <w:tabs>
          <w:tab w:val="left" w:pos="993"/>
        </w:tabs>
        <w:spacing w:line="360" w:lineRule="auto"/>
        <w:jc w:val="both"/>
        <w:rPr>
          <w:rFonts w:ascii="Arial" w:hAnsi="Arial" w:cs="Arial"/>
          <w:color w:val="000000"/>
        </w:rPr>
      </w:pPr>
      <w:r>
        <w:rPr>
          <w:rFonts w:ascii="Arial" w:hAnsi="Arial" w:cs="Arial"/>
          <w:color w:val="000000"/>
        </w:rPr>
        <w:t>[38]</w:t>
      </w:r>
      <w:r>
        <w:rPr>
          <w:rFonts w:ascii="Arial" w:hAnsi="Arial" w:cs="Arial"/>
          <w:color w:val="000000"/>
        </w:rPr>
        <w:tab/>
      </w:r>
      <w:r w:rsidR="00705F4E" w:rsidRPr="00705F4E">
        <w:rPr>
          <w:rFonts w:ascii="Arial" w:hAnsi="Arial" w:cs="Arial"/>
          <w:color w:val="000000"/>
        </w:rPr>
        <w:t xml:space="preserve">In the matter of </w:t>
      </w:r>
      <w:r w:rsidR="00705F4E" w:rsidRPr="00705F4E">
        <w:rPr>
          <w:rFonts w:ascii="Arial" w:hAnsi="Arial" w:cs="Arial"/>
          <w:i/>
          <w:color w:val="000000"/>
        </w:rPr>
        <w:t>Moola</w:t>
      </w:r>
      <w:r w:rsidR="00705F4E" w:rsidRPr="00705F4E">
        <w:rPr>
          <w:rFonts w:ascii="Arial" w:hAnsi="Arial" w:cs="Arial"/>
          <w:i/>
          <w:color w:val="000000"/>
          <w:vertAlign w:val="superscript"/>
        </w:rPr>
        <w:footnoteReference w:id="28"/>
      </w:r>
      <w:r w:rsidR="00705F4E" w:rsidRPr="00705F4E">
        <w:rPr>
          <w:rFonts w:ascii="Arial" w:hAnsi="Arial" w:cs="Arial"/>
          <w:i/>
          <w:color w:val="000000"/>
        </w:rPr>
        <w:t xml:space="preserve"> </w:t>
      </w:r>
      <w:r w:rsidR="00705F4E" w:rsidRPr="00705F4E">
        <w:rPr>
          <w:rFonts w:ascii="Arial" w:hAnsi="Arial" w:cs="Arial"/>
          <w:color w:val="000000"/>
        </w:rPr>
        <w:t>the court stated that:</w:t>
      </w:r>
    </w:p>
    <w:p w:rsidR="00705F4E" w:rsidRPr="00705F4E" w:rsidRDefault="00705F4E" w:rsidP="00705F4E">
      <w:pPr>
        <w:tabs>
          <w:tab w:val="left" w:pos="993"/>
        </w:tabs>
        <w:spacing w:line="360" w:lineRule="auto"/>
        <w:jc w:val="both"/>
        <w:rPr>
          <w:rFonts w:ascii="Arial" w:hAnsi="Arial" w:cs="Arial"/>
          <w:color w:val="000000"/>
        </w:rPr>
      </w:pPr>
    </w:p>
    <w:p w:rsidR="00705F4E" w:rsidRPr="00705F4E" w:rsidRDefault="00705F4E" w:rsidP="00705F4E">
      <w:pPr>
        <w:tabs>
          <w:tab w:val="left" w:pos="993"/>
        </w:tabs>
        <w:spacing w:line="360" w:lineRule="auto"/>
        <w:jc w:val="both"/>
        <w:rPr>
          <w:rFonts w:ascii="Arial" w:hAnsi="Arial" w:cs="Arial"/>
          <w:color w:val="000000"/>
          <w:lang w:val="en-ZA"/>
        </w:rPr>
      </w:pPr>
      <w:r w:rsidRPr="00705F4E">
        <w:rPr>
          <w:rFonts w:ascii="Arial" w:hAnsi="Arial" w:cs="Arial"/>
          <w:color w:val="000000"/>
          <w:sz w:val="22"/>
        </w:rPr>
        <w:t xml:space="preserve">‘a recommendation that a matter be referred to a court for determination would ordinarily imply that </w:t>
      </w:r>
      <w:r w:rsidRPr="00705F4E">
        <w:rPr>
          <w:rFonts w:ascii="Arial" w:hAnsi="Arial" w:cs="Arial"/>
          <w:color w:val="000000"/>
          <w:sz w:val="22"/>
          <w:u w:val="single"/>
        </w:rPr>
        <w:t>no direct external legal effect could yet have resulted, nor could rights have been adversely affected</w:t>
      </w:r>
      <w:r w:rsidRPr="00705F4E">
        <w:rPr>
          <w:rFonts w:ascii="Arial" w:hAnsi="Arial" w:cs="Arial"/>
          <w:color w:val="000000"/>
          <w:sz w:val="22"/>
        </w:rPr>
        <w:t>.</w:t>
      </w:r>
      <w:r w:rsidRPr="00705F4E">
        <w:rPr>
          <w:rFonts w:ascii="Arial" w:hAnsi="Arial" w:cs="Arial"/>
          <w:color w:val="000000"/>
          <w:sz w:val="20"/>
        </w:rPr>
        <w:t>’</w:t>
      </w:r>
      <w:r w:rsidRPr="00705F4E">
        <w:rPr>
          <w:rFonts w:ascii="Arial" w:hAnsi="Arial" w:cs="Arial"/>
          <w:color w:val="000000"/>
          <w:sz w:val="22"/>
          <w:vertAlign w:val="superscript"/>
        </w:rPr>
        <w:footnoteReference w:id="29"/>
      </w:r>
      <w:r w:rsidRPr="00705F4E">
        <w:rPr>
          <w:rFonts w:ascii="Arial" w:hAnsi="Arial" w:cs="Arial"/>
          <w:color w:val="000000"/>
          <w:sz w:val="22"/>
        </w:rPr>
        <w:t xml:space="preserve"> </w:t>
      </w:r>
      <w:r w:rsidRPr="00705F4E">
        <w:rPr>
          <w:rFonts w:ascii="Arial" w:hAnsi="Arial" w:cs="Arial"/>
          <w:color w:val="000000"/>
        </w:rPr>
        <w:t>[my emphasis]</w:t>
      </w:r>
    </w:p>
    <w:p w:rsidR="00675AD0" w:rsidRDefault="00675AD0" w:rsidP="00705F4E">
      <w:pPr>
        <w:tabs>
          <w:tab w:val="left" w:pos="993"/>
        </w:tabs>
        <w:spacing w:line="360" w:lineRule="auto"/>
        <w:jc w:val="both"/>
        <w:rPr>
          <w:rFonts w:ascii="Arial" w:hAnsi="Arial" w:cs="Arial"/>
          <w:color w:val="000000"/>
        </w:rPr>
      </w:pPr>
    </w:p>
    <w:p w:rsidR="00675AD0" w:rsidRPr="003F4280" w:rsidRDefault="00675AD0" w:rsidP="00675AD0">
      <w:pPr>
        <w:tabs>
          <w:tab w:val="left" w:pos="993"/>
        </w:tabs>
        <w:spacing w:line="360" w:lineRule="auto"/>
        <w:jc w:val="both"/>
        <w:rPr>
          <w:rFonts w:ascii="Arial" w:hAnsi="Arial" w:cs="Arial"/>
          <w:color w:val="000000"/>
        </w:rPr>
      </w:pPr>
      <w:r>
        <w:rPr>
          <w:rFonts w:ascii="Arial" w:hAnsi="Arial" w:cs="Arial"/>
          <w:color w:val="000000"/>
        </w:rPr>
        <w:t>[39]</w:t>
      </w:r>
      <w:r>
        <w:rPr>
          <w:rFonts w:ascii="Arial" w:hAnsi="Arial" w:cs="Arial"/>
          <w:color w:val="000000"/>
        </w:rPr>
        <w:tab/>
      </w:r>
      <w:r w:rsidR="00F12756" w:rsidRPr="003B714D">
        <w:rPr>
          <w:rFonts w:ascii="Arial" w:hAnsi="Arial" w:cs="Arial"/>
          <w:color w:val="000000" w:themeColor="text1"/>
        </w:rPr>
        <w:t xml:space="preserve">The SIU’s recommendation to consider applying to court for a delinquency order does not have a </w:t>
      </w:r>
      <w:bookmarkStart w:id="4" w:name="_Hlk144591719"/>
      <w:r w:rsidR="00F12756" w:rsidRPr="003B714D">
        <w:rPr>
          <w:rFonts w:ascii="Arial" w:hAnsi="Arial" w:cs="Arial"/>
          <w:color w:val="000000" w:themeColor="text1"/>
        </w:rPr>
        <w:t xml:space="preserve">direct, external, nor does it adversely affect the rights of the </w:t>
      </w:r>
      <w:r w:rsidR="003B714D">
        <w:rPr>
          <w:rFonts w:ascii="Arial" w:hAnsi="Arial" w:cs="Arial"/>
          <w:color w:val="000000" w:themeColor="text1"/>
        </w:rPr>
        <w:t>interim board members</w:t>
      </w:r>
      <w:bookmarkEnd w:id="4"/>
      <w:r w:rsidR="00F12756" w:rsidRPr="003B714D">
        <w:rPr>
          <w:rFonts w:ascii="Arial" w:hAnsi="Arial" w:cs="Arial"/>
          <w:color w:val="000000" w:themeColor="text1"/>
        </w:rPr>
        <w:t xml:space="preserve">. </w:t>
      </w:r>
      <w:r w:rsidR="00F12756" w:rsidRPr="00F12756">
        <w:rPr>
          <w:rFonts w:ascii="Arial" w:hAnsi="Arial" w:cs="Arial"/>
          <w:color w:val="000000"/>
        </w:rPr>
        <w:t>Likewise, even if the recommendations are adopted, that would not have a direct, external or adverse effect on the rights of the interim board members, because no binding decision has followed</w:t>
      </w:r>
      <w:r w:rsidR="003B714D">
        <w:rPr>
          <w:rFonts w:ascii="Arial" w:hAnsi="Arial" w:cs="Arial"/>
          <w:color w:val="000000"/>
        </w:rPr>
        <w:t xml:space="preserve"> as yet</w:t>
      </w:r>
      <w:r w:rsidR="00F12756" w:rsidRPr="00F12756">
        <w:rPr>
          <w:rFonts w:ascii="Arial" w:hAnsi="Arial" w:cs="Arial"/>
          <w:color w:val="000000"/>
        </w:rPr>
        <w:t>.</w:t>
      </w:r>
      <w:r w:rsidR="00F12756" w:rsidRPr="00F12756">
        <w:rPr>
          <w:rFonts w:ascii="Arial" w:hAnsi="Arial" w:cs="Arial"/>
          <w:color w:val="000000"/>
          <w:vertAlign w:val="superscript"/>
        </w:rPr>
        <w:footnoteReference w:id="30"/>
      </w:r>
    </w:p>
    <w:p w:rsidR="00675AD0" w:rsidRDefault="00675AD0" w:rsidP="00675AD0">
      <w:pPr>
        <w:tabs>
          <w:tab w:val="left" w:pos="900"/>
        </w:tabs>
        <w:spacing w:line="360" w:lineRule="auto"/>
        <w:jc w:val="both"/>
        <w:rPr>
          <w:rFonts w:ascii="Arial" w:hAnsi="Arial" w:cs="Arial"/>
          <w:color w:val="000000"/>
        </w:rPr>
      </w:pPr>
    </w:p>
    <w:p w:rsidR="00F12756" w:rsidRDefault="00675AD0" w:rsidP="00F12756">
      <w:pPr>
        <w:tabs>
          <w:tab w:val="left" w:pos="993"/>
        </w:tabs>
        <w:spacing w:line="360" w:lineRule="auto"/>
        <w:jc w:val="both"/>
        <w:rPr>
          <w:rFonts w:ascii="Arial" w:hAnsi="Arial" w:cs="Arial"/>
          <w:color w:val="000000"/>
        </w:rPr>
      </w:pPr>
      <w:r>
        <w:rPr>
          <w:rFonts w:ascii="Arial" w:hAnsi="Arial" w:cs="Arial"/>
          <w:color w:val="000000"/>
        </w:rPr>
        <w:t>[40]</w:t>
      </w:r>
      <w:r>
        <w:rPr>
          <w:rFonts w:ascii="Arial" w:hAnsi="Arial" w:cs="Arial"/>
          <w:color w:val="000000"/>
        </w:rPr>
        <w:tab/>
      </w:r>
      <w:r w:rsidR="00F12756" w:rsidRPr="00F12756">
        <w:rPr>
          <w:rFonts w:ascii="Arial" w:hAnsi="Arial" w:cs="Arial"/>
          <w:color w:val="000000"/>
        </w:rPr>
        <w:t xml:space="preserve">The findings of the SIU are inchoate and not susceptible to review under PAJA. As a result, the SIU’s report does not comply with the requirements of administrative action in terms of PAJA as there is no decision yet, merely a recommendation. It is also premature and definitely not final in effect. </w:t>
      </w:r>
    </w:p>
    <w:p w:rsidR="00F12756" w:rsidRPr="00F12756" w:rsidRDefault="00F12756" w:rsidP="00F12756">
      <w:pPr>
        <w:tabs>
          <w:tab w:val="left" w:pos="993"/>
        </w:tabs>
        <w:spacing w:line="360" w:lineRule="auto"/>
        <w:jc w:val="both"/>
        <w:rPr>
          <w:rFonts w:ascii="Arial" w:hAnsi="Arial" w:cs="Arial"/>
          <w:b/>
          <w:i/>
          <w:color w:val="000000"/>
          <w:lang w:val="en-ZA"/>
        </w:rPr>
      </w:pPr>
    </w:p>
    <w:p w:rsidR="00675AD0" w:rsidRPr="00F12756" w:rsidRDefault="00F12756" w:rsidP="00675AD0">
      <w:pPr>
        <w:tabs>
          <w:tab w:val="left" w:pos="993"/>
        </w:tabs>
        <w:spacing w:line="360" w:lineRule="auto"/>
        <w:jc w:val="both"/>
        <w:rPr>
          <w:rFonts w:ascii="Arial" w:hAnsi="Arial" w:cs="Arial"/>
          <w:b/>
          <w:i/>
          <w:color w:val="000000"/>
          <w:lang w:val="en-ZA"/>
        </w:rPr>
      </w:pPr>
      <w:r w:rsidRPr="00F12756">
        <w:rPr>
          <w:rFonts w:ascii="Arial" w:hAnsi="Arial" w:cs="Arial"/>
          <w:b/>
          <w:i/>
          <w:color w:val="000000"/>
          <w:lang w:val="en-ZA"/>
        </w:rPr>
        <w:t>Whether the matter is reviewable under the principle of legality</w:t>
      </w:r>
    </w:p>
    <w:p w:rsidR="00675AD0" w:rsidRDefault="00675AD0" w:rsidP="00675AD0">
      <w:pPr>
        <w:tabs>
          <w:tab w:val="left" w:pos="900"/>
        </w:tabs>
        <w:spacing w:line="360" w:lineRule="auto"/>
        <w:jc w:val="both"/>
        <w:rPr>
          <w:rFonts w:ascii="Arial" w:hAnsi="Arial" w:cs="Arial"/>
          <w:color w:val="000000"/>
        </w:rPr>
      </w:pPr>
    </w:p>
    <w:p w:rsidR="00675AD0" w:rsidRDefault="00675AD0" w:rsidP="00F12756">
      <w:pPr>
        <w:tabs>
          <w:tab w:val="left" w:pos="993"/>
        </w:tabs>
        <w:spacing w:line="360" w:lineRule="auto"/>
        <w:ind w:left="993" w:hanging="993"/>
        <w:jc w:val="both"/>
        <w:rPr>
          <w:rFonts w:ascii="Arial" w:hAnsi="Arial" w:cs="Arial"/>
        </w:rPr>
      </w:pPr>
      <w:r>
        <w:rPr>
          <w:rFonts w:ascii="Arial" w:hAnsi="Arial" w:cs="Arial"/>
        </w:rPr>
        <w:t>[41]</w:t>
      </w:r>
      <w:r>
        <w:rPr>
          <w:rFonts w:ascii="Arial" w:hAnsi="Arial" w:cs="Arial"/>
        </w:rPr>
        <w:tab/>
      </w:r>
      <w:r w:rsidR="00F12756" w:rsidRPr="00F12756">
        <w:rPr>
          <w:rFonts w:ascii="Arial" w:hAnsi="Arial" w:cs="Arial"/>
        </w:rPr>
        <w:t>The principle of legality is a fundamental principle of Constitutional law.</w:t>
      </w:r>
      <w:r w:rsidR="00F12756" w:rsidRPr="00F12756">
        <w:rPr>
          <w:rFonts w:ascii="Arial" w:hAnsi="Arial" w:cs="Arial"/>
          <w:vertAlign w:val="superscript"/>
        </w:rPr>
        <w:footnoteReference w:id="31"/>
      </w:r>
    </w:p>
    <w:p w:rsidR="00F12756" w:rsidRDefault="00F12756" w:rsidP="00F12756">
      <w:pPr>
        <w:tabs>
          <w:tab w:val="left" w:pos="993"/>
        </w:tabs>
        <w:spacing w:line="360" w:lineRule="auto"/>
        <w:ind w:left="993" w:hanging="993"/>
        <w:jc w:val="both"/>
        <w:rPr>
          <w:rFonts w:ascii="Arial" w:hAnsi="Arial" w:cs="Arial"/>
        </w:rPr>
      </w:pPr>
    </w:p>
    <w:p w:rsidR="00675AD0" w:rsidRDefault="00675AD0" w:rsidP="00675AD0">
      <w:pPr>
        <w:tabs>
          <w:tab w:val="left" w:pos="0"/>
          <w:tab w:val="left" w:pos="993"/>
        </w:tabs>
        <w:spacing w:line="360" w:lineRule="auto"/>
        <w:jc w:val="both"/>
        <w:rPr>
          <w:rFonts w:ascii="Arial" w:hAnsi="Arial" w:cs="Arial"/>
        </w:rPr>
      </w:pPr>
      <w:r w:rsidRPr="00E14EFC">
        <w:rPr>
          <w:rFonts w:ascii="Arial" w:hAnsi="Arial" w:cs="Arial"/>
        </w:rPr>
        <w:t>[</w:t>
      </w:r>
      <w:r>
        <w:rPr>
          <w:rFonts w:ascii="Arial" w:hAnsi="Arial" w:cs="Arial"/>
        </w:rPr>
        <w:t>42</w:t>
      </w:r>
      <w:r w:rsidRPr="00E14EFC">
        <w:rPr>
          <w:rFonts w:ascii="Arial" w:hAnsi="Arial" w:cs="Arial"/>
        </w:rPr>
        <w:t>]</w:t>
      </w:r>
      <w:r w:rsidRPr="00E14EFC">
        <w:rPr>
          <w:rFonts w:ascii="Arial" w:hAnsi="Arial" w:cs="Arial"/>
        </w:rPr>
        <w:tab/>
      </w:r>
      <w:r w:rsidR="00F12756" w:rsidRPr="00F12756">
        <w:rPr>
          <w:rFonts w:ascii="Arial" w:hAnsi="Arial" w:cs="Arial"/>
          <w:lang w:val="en-ZA"/>
        </w:rPr>
        <w:t>It stems from the doctrine of the rule of law, which states that the use of all public power, whether legislative, executive, or administrative, is only legitimate when it is lawful.</w:t>
      </w:r>
      <w:r w:rsidR="00F12756" w:rsidRPr="00F12756">
        <w:rPr>
          <w:rFonts w:ascii="Arial" w:hAnsi="Arial" w:cs="Arial"/>
          <w:vertAlign w:val="superscript"/>
          <w:lang w:val="en-ZA"/>
        </w:rPr>
        <w:footnoteReference w:id="32"/>
      </w:r>
    </w:p>
    <w:p w:rsidR="00675AD0" w:rsidRPr="00826223" w:rsidRDefault="00675AD0" w:rsidP="00F12756">
      <w:pPr>
        <w:tabs>
          <w:tab w:val="left" w:pos="900"/>
        </w:tabs>
        <w:spacing w:line="360" w:lineRule="auto"/>
        <w:jc w:val="both"/>
        <w:rPr>
          <w:rFonts w:ascii="Arial" w:hAnsi="Arial" w:cs="Arial"/>
          <w:b/>
          <w:i/>
        </w:rPr>
      </w:pPr>
    </w:p>
    <w:p w:rsidR="00F12756" w:rsidRDefault="00675AD0" w:rsidP="00F12756">
      <w:pPr>
        <w:tabs>
          <w:tab w:val="left" w:pos="0"/>
          <w:tab w:val="left" w:pos="993"/>
        </w:tabs>
        <w:spacing w:line="360" w:lineRule="auto"/>
        <w:jc w:val="both"/>
        <w:rPr>
          <w:rFonts w:ascii="Arial" w:hAnsi="Arial" w:cs="Arial"/>
          <w:lang w:val="en-ZA"/>
        </w:rPr>
      </w:pPr>
      <w:r>
        <w:rPr>
          <w:rFonts w:ascii="Arial" w:hAnsi="Arial" w:cs="Arial"/>
        </w:rPr>
        <w:t>[43]</w:t>
      </w:r>
      <w:r>
        <w:rPr>
          <w:rFonts w:ascii="Arial" w:hAnsi="Arial" w:cs="Arial"/>
        </w:rPr>
        <w:tab/>
      </w:r>
      <w:r w:rsidR="00F12756" w:rsidRPr="00F12756">
        <w:rPr>
          <w:rFonts w:ascii="Arial" w:hAnsi="Arial" w:cs="Arial"/>
          <w:lang w:val="en-ZA"/>
        </w:rPr>
        <w:t xml:space="preserve">In </w:t>
      </w:r>
      <w:r w:rsidR="00F12756" w:rsidRPr="00F12756">
        <w:rPr>
          <w:rFonts w:ascii="Arial" w:hAnsi="Arial" w:cs="Arial"/>
          <w:i/>
          <w:lang w:val="en-ZA"/>
        </w:rPr>
        <w:t>Pharmaceutical Manufacturers Associati</w:t>
      </w:r>
      <w:r w:rsidR="00EB4402">
        <w:rPr>
          <w:rFonts w:ascii="Arial" w:hAnsi="Arial" w:cs="Arial"/>
          <w:i/>
          <w:lang w:val="en-ZA"/>
        </w:rPr>
        <w:t xml:space="preserve">on of South Africa and Another: </w:t>
      </w:r>
      <w:r w:rsidR="00F12756" w:rsidRPr="00F12756">
        <w:rPr>
          <w:rFonts w:ascii="Arial" w:hAnsi="Arial" w:cs="Arial"/>
          <w:i/>
          <w:lang w:val="en-ZA"/>
        </w:rPr>
        <w:t>In re Ex Parte President of the Republic of South Africa</w:t>
      </w:r>
      <w:r w:rsidR="00F12756">
        <w:rPr>
          <w:rFonts w:ascii="Arial" w:hAnsi="Arial" w:cs="Arial"/>
          <w:lang w:val="en-ZA"/>
        </w:rPr>
        <w:t>,</w:t>
      </w:r>
      <w:r w:rsidR="00F12756" w:rsidRPr="00F12756">
        <w:rPr>
          <w:rFonts w:ascii="Arial" w:hAnsi="Arial" w:cs="Arial"/>
          <w:vertAlign w:val="superscript"/>
          <w:lang w:val="en-ZA"/>
        </w:rPr>
        <w:footnoteReference w:id="33"/>
      </w:r>
      <w:r w:rsidR="00F12756" w:rsidRPr="00F12756">
        <w:rPr>
          <w:rFonts w:ascii="Arial" w:hAnsi="Arial" w:cs="Arial"/>
          <w:lang w:val="en-ZA"/>
        </w:rPr>
        <w:t xml:space="preserve"> the Constitutional Court stated that:</w:t>
      </w:r>
    </w:p>
    <w:p w:rsidR="00F12756" w:rsidRPr="00F12756" w:rsidRDefault="00F12756" w:rsidP="00F12756">
      <w:pPr>
        <w:tabs>
          <w:tab w:val="left" w:pos="0"/>
          <w:tab w:val="left" w:pos="993"/>
        </w:tabs>
        <w:spacing w:line="360" w:lineRule="auto"/>
        <w:jc w:val="both"/>
        <w:rPr>
          <w:rFonts w:ascii="Arial" w:hAnsi="Arial" w:cs="Arial"/>
          <w:lang w:val="en-ZA"/>
        </w:rPr>
      </w:pPr>
    </w:p>
    <w:p w:rsidR="00F12756" w:rsidRPr="00F12756" w:rsidRDefault="00F12756" w:rsidP="00F12756">
      <w:pPr>
        <w:tabs>
          <w:tab w:val="left" w:pos="0"/>
          <w:tab w:val="left" w:pos="993"/>
        </w:tabs>
        <w:spacing w:line="360" w:lineRule="auto"/>
        <w:jc w:val="both"/>
        <w:rPr>
          <w:rFonts w:ascii="Arial" w:hAnsi="Arial" w:cs="Arial"/>
          <w:sz w:val="22"/>
          <w:lang w:val="en-ZA"/>
        </w:rPr>
      </w:pPr>
      <w:r w:rsidRPr="00F12756">
        <w:rPr>
          <w:rFonts w:ascii="Arial" w:hAnsi="Arial" w:cs="Arial"/>
          <w:sz w:val="22"/>
          <w:lang w:val="en-ZA"/>
        </w:rPr>
        <w:t>‘it is a requirement of the rule of law that the exercise of public power by the executive and other functionaries should not be arbitrary. Decisions must be rationally related to the purpose for which the power was given, otherwise they are in effect arbitrary and inconsistent with this requirement. It follows that in order to pass constitutional scrutiny the exercise of public power by the executive and other functionaries must, at least, comply with this requirement. If it does not, it falls short of the standards demanded by our Constitution for such action.’</w:t>
      </w:r>
      <w:r w:rsidRPr="00F12756">
        <w:rPr>
          <w:rFonts w:ascii="Arial" w:hAnsi="Arial" w:cs="Arial"/>
          <w:sz w:val="22"/>
          <w:vertAlign w:val="superscript"/>
          <w:lang w:val="en-ZA"/>
        </w:rPr>
        <w:footnoteReference w:id="34"/>
      </w:r>
    </w:p>
    <w:p w:rsidR="00675AD0" w:rsidRDefault="00675AD0" w:rsidP="00675AD0">
      <w:pPr>
        <w:tabs>
          <w:tab w:val="left" w:pos="0"/>
          <w:tab w:val="left" w:pos="993"/>
        </w:tabs>
        <w:spacing w:line="360" w:lineRule="auto"/>
        <w:jc w:val="both"/>
        <w:rPr>
          <w:rFonts w:ascii="Arial" w:hAnsi="Arial" w:cs="Arial"/>
        </w:rPr>
      </w:pPr>
    </w:p>
    <w:p w:rsidR="00675AD0" w:rsidRDefault="00675AD0" w:rsidP="00675AD0">
      <w:pPr>
        <w:tabs>
          <w:tab w:val="left" w:pos="900"/>
        </w:tabs>
        <w:spacing w:line="360" w:lineRule="auto"/>
        <w:ind w:left="900" w:hanging="900"/>
        <w:jc w:val="both"/>
        <w:rPr>
          <w:rFonts w:ascii="Arial" w:hAnsi="Arial" w:cs="Arial"/>
        </w:rPr>
      </w:pPr>
    </w:p>
    <w:p w:rsidR="00F12756" w:rsidRPr="00F12756" w:rsidRDefault="00675AD0" w:rsidP="00F12756">
      <w:pPr>
        <w:tabs>
          <w:tab w:val="left" w:pos="0"/>
          <w:tab w:val="left" w:pos="993"/>
        </w:tabs>
        <w:spacing w:line="360" w:lineRule="auto"/>
        <w:jc w:val="both"/>
        <w:rPr>
          <w:rFonts w:ascii="Arial" w:hAnsi="Arial" w:cs="Arial"/>
          <w:lang w:val="en-ZA"/>
        </w:rPr>
      </w:pPr>
      <w:r>
        <w:rPr>
          <w:rFonts w:ascii="Arial" w:hAnsi="Arial" w:cs="Arial"/>
        </w:rPr>
        <w:lastRenderedPageBreak/>
        <w:t>[44]</w:t>
      </w:r>
      <w:r>
        <w:rPr>
          <w:rFonts w:ascii="Arial" w:hAnsi="Arial" w:cs="Arial"/>
        </w:rPr>
        <w:tab/>
      </w:r>
      <w:r w:rsidR="00F12756" w:rsidRPr="00F12756">
        <w:rPr>
          <w:rFonts w:ascii="Arial" w:hAnsi="Arial" w:cs="Arial"/>
          <w:lang w:val="en-ZA"/>
        </w:rPr>
        <w:t>The principle of legality requires that every exercise of public power be rational.</w:t>
      </w:r>
      <w:r w:rsidR="00F12756" w:rsidRPr="00F12756">
        <w:rPr>
          <w:rFonts w:ascii="Arial" w:hAnsi="Arial" w:cs="Arial"/>
          <w:vertAlign w:val="superscript"/>
          <w:lang w:val="en-ZA"/>
        </w:rPr>
        <w:footnoteReference w:id="35"/>
      </w:r>
      <w:r w:rsidR="00F12756" w:rsidRPr="00F12756">
        <w:rPr>
          <w:rFonts w:ascii="Arial" w:hAnsi="Arial" w:cs="Arial"/>
          <w:lang w:val="en-ZA"/>
        </w:rPr>
        <w:t xml:space="preserve"> It also underpins common law principles of </w:t>
      </w:r>
      <w:r w:rsidR="00F12756" w:rsidRPr="00F12756">
        <w:rPr>
          <w:rFonts w:ascii="Arial" w:hAnsi="Arial" w:cs="Arial"/>
          <w:i/>
          <w:lang w:val="en-ZA"/>
        </w:rPr>
        <w:t>ultra vires</w:t>
      </w:r>
      <w:r w:rsidR="00F12756" w:rsidRPr="00F12756">
        <w:rPr>
          <w:rFonts w:ascii="Arial" w:hAnsi="Arial" w:cs="Arial"/>
          <w:lang w:val="en-ZA"/>
        </w:rPr>
        <w:t>.</w:t>
      </w:r>
      <w:r w:rsidR="00F12756" w:rsidRPr="00F12756">
        <w:rPr>
          <w:rFonts w:ascii="Arial" w:hAnsi="Arial" w:cs="Arial"/>
          <w:vertAlign w:val="superscript"/>
          <w:lang w:val="en-ZA"/>
        </w:rPr>
        <w:footnoteReference w:id="36"/>
      </w:r>
      <w:r w:rsidR="00F12756" w:rsidRPr="00F12756">
        <w:rPr>
          <w:rFonts w:ascii="Arial" w:hAnsi="Arial" w:cs="Arial"/>
          <w:lang w:val="en-ZA"/>
        </w:rPr>
        <w:t xml:space="preserve"> </w:t>
      </w:r>
    </w:p>
    <w:p w:rsidR="00675AD0" w:rsidRDefault="00675AD0" w:rsidP="00F12756">
      <w:pPr>
        <w:tabs>
          <w:tab w:val="left" w:pos="993"/>
        </w:tabs>
        <w:spacing w:line="360" w:lineRule="auto"/>
        <w:ind w:left="993" w:hanging="993"/>
        <w:jc w:val="both"/>
        <w:rPr>
          <w:rFonts w:ascii="Arial" w:hAnsi="Arial" w:cs="Arial"/>
        </w:rPr>
      </w:pPr>
    </w:p>
    <w:p w:rsidR="00675AD0" w:rsidRPr="001D3101" w:rsidRDefault="00675AD0" w:rsidP="00675AD0">
      <w:pPr>
        <w:tabs>
          <w:tab w:val="left" w:pos="0"/>
          <w:tab w:val="left" w:pos="993"/>
        </w:tabs>
        <w:spacing w:line="360" w:lineRule="auto"/>
        <w:jc w:val="both"/>
        <w:rPr>
          <w:rFonts w:ascii="Arial" w:hAnsi="Arial" w:cs="Arial"/>
        </w:rPr>
      </w:pPr>
      <w:r>
        <w:rPr>
          <w:rFonts w:ascii="Arial" w:hAnsi="Arial" w:cs="Arial"/>
        </w:rPr>
        <w:t>[45]</w:t>
      </w:r>
      <w:r>
        <w:rPr>
          <w:rFonts w:ascii="Arial" w:hAnsi="Arial" w:cs="Arial"/>
        </w:rPr>
        <w:tab/>
      </w:r>
      <w:r w:rsidR="00F12756" w:rsidRPr="00F12756">
        <w:rPr>
          <w:rFonts w:ascii="Arial" w:hAnsi="Arial" w:cs="Arial"/>
          <w:lang w:val="en-ZA"/>
        </w:rPr>
        <w:t xml:space="preserve">The interim board members contended that </w:t>
      </w:r>
      <w:r w:rsidR="00F12756" w:rsidRPr="00F12756">
        <w:rPr>
          <w:rFonts w:ascii="Arial" w:hAnsi="Arial" w:cs="Arial"/>
        </w:rPr>
        <w:t xml:space="preserve">if the SIU report is not reviewable under PAJA, then it is reviewable based on the principle of legality and the rule of law on the grounds that the requirements of substantive and procedural rationality and fairness have not been complied with. </w:t>
      </w:r>
    </w:p>
    <w:p w:rsidR="00675AD0" w:rsidRDefault="00675AD0" w:rsidP="00675AD0">
      <w:pPr>
        <w:tabs>
          <w:tab w:val="left" w:pos="900"/>
        </w:tabs>
        <w:spacing w:line="360" w:lineRule="auto"/>
        <w:ind w:left="900" w:hanging="900"/>
        <w:jc w:val="both"/>
        <w:rPr>
          <w:rFonts w:ascii="Arial" w:hAnsi="Arial" w:cs="Arial"/>
        </w:rPr>
      </w:pPr>
    </w:p>
    <w:p w:rsidR="00675AD0" w:rsidRDefault="00675AD0" w:rsidP="00675AD0">
      <w:pPr>
        <w:tabs>
          <w:tab w:val="left" w:pos="0"/>
          <w:tab w:val="left" w:pos="993"/>
        </w:tabs>
        <w:spacing w:line="360" w:lineRule="auto"/>
        <w:jc w:val="both"/>
        <w:rPr>
          <w:rFonts w:ascii="Arial" w:hAnsi="Arial" w:cs="Arial"/>
        </w:rPr>
      </w:pPr>
      <w:r>
        <w:rPr>
          <w:rFonts w:ascii="Arial" w:hAnsi="Arial" w:cs="Arial"/>
        </w:rPr>
        <w:t>[46]</w:t>
      </w:r>
      <w:r>
        <w:rPr>
          <w:rFonts w:ascii="Arial" w:hAnsi="Arial" w:cs="Arial"/>
        </w:rPr>
        <w:tab/>
      </w:r>
      <w:r w:rsidR="00F12756" w:rsidRPr="00F12756">
        <w:rPr>
          <w:rFonts w:ascii="Arial" w:hAnsi="Arial" w:cs="Arial"/>
        </w:rPr>
        <w:t xml:space="preserve">The SIU contended that they investigated the matter and disputed that they acted </w:t>
      </w:r>
      <w:r w:rsidR="00F12756" w:rsidRPr="00F12756">
        <w:rPr>
          <w:rFonts w:ascii="Arial" w:hAnsi="Arial" w:cs="Arial"/>
          <w:i/>
        </w:rPr>
        <w:t>ultra vires</w:t>
      </w:r>
      <w:r w:rsidR="00F12756" w:rsidRPr="00F12756">
        <w:rPr>
          <w:rFonts w:ascii="Arial" w:hAnsi="Arial" w:cs="Arial"/>
        </w:rPr>
        <w:t xml:space="preserve"> or that their process in investigating the maladministration was irrational or unfair.</w:t>
      </w:r>
    </w:p>
    <w:p w:rsidR="00675AD0" w:rsidRDefault="00675AD0" w:rsidP="00675AD0">
      <w:pPr>
        <w:tabs>
          <w:tab w:val="left" w:pos="900"/>
        </w:tabs>
        <w:spacing w:line="360" w:lineRule="auto"/>
        <w:jc w:val="both"/>
        <w:rPr>
          <w:rFonts w:ascii="Arial" w:hAnsi="Arial" w:cs="Arial"/>
        </w:rPr>
      </w:pPr>
    </w:p>
    <w:p w:rsidR="00F12756" w:rsidRPr="00F12756" w:rsidRDefault="00675AD0" w:rsidP="00F12756">
      <w:pPr>
        <w:tabs>
          <w:tab w:val="left" w:pos="0"/>
          <w:tab w:val="left" w:pos="993"/>
        </w:tabs>
        <w:spacing w:line="360" w:lineRule="auto"/>
        <w:jc w:val="both"/>
        <w:rPr>
          <w:rFonts w:ascii="Arial" w:hAnsi="Arial" w:cs="Arial"/>
        </w:rPr>
      </w:pPr>
      <w:r>
        <w:rPr>
          <w:rFonts w:ascii="Arial" w:hAnsi="Arial" w:cs="Arial"/>
        </w:rPr>
        <w:t>[47]</w:t>
      </w:r>
      <w:r>
        <w:rPr>
          <w:rFonts w:ascii="Arial" w:hAnsi="Arial" w:cs="Arial"/>
        </w:rPr>
        <w:tab/>
      </w:r>
      <w:r w:rsidR="00F12756" w:rsidRPr="00F12756">
        <w:rPr>
          <w:rFonts w:ascii="Arial" w:hAnsi="Arial" w:cs="Arial"/>
        </w:rPr>
        <w:t>The corollary of investigating serious maladministration or improper conduct of board members is that if it is found that there was indeed maladministration or unlawful conduct and improper conduct, the investigator must specify exactly what did the interim board member do.</w:t>
      </w:r>
    </w:p>
    <w:p w:rsidR="00F12756" w:rsidRDefault="00F12756" w:rsidP="00675AD0">
      <w:pPr>
        <w:tabs>
          <w:tab w:val="left" w:pos="0"/>
          <w:tab w:val="left" w:pos="993"/>
        </w:tabs>
        <w:spacing w:line="360" w:lineRule="auto"/>
        <w:jc w:val="both"/>
        <w:rPr>
          <w:rFonts w:ascii="Arial" w:hAnsi="Arial" w:cs="Arial"/>
          <w:b/>
          <w:i/>
          <w:lang w:val="en-ZA"/>
        </w:rPr>
      </w:pPr>
    </w:p>
    <w:p w:rsidR="00675AD0" w:rsidRPr="00F12756" w:rsidRDefault="00F12756" w:rsidP="00675AD0">
      <w:pPr>
        <w:tabs>
          <w:tab w:val="left" w:pos="0"/>
          <w:tab w:val="left" w:pos="993"/>
        </w:tabs>
        <w:spacing w:line="360" w:lineRule="auto"/>
        <w:jc w:val="both"/>
        <w:rPr>
          <w:rFonts w:ascii="Arial" w:hAnsi="Arial" w:cs="Arial"/>
          <w:b/>
          <w:i/>
          <w:lang w:val="en-ZA"/>
        </w:rPr>
      </w:pPr>
      <w:r w:rsidRPr="00F12756">
        <w:rPr>
          <w:rFonts w:ascii="Arial" w:hAnsi="Arial" w:cs="Arial"/>
          <w:b/>
          <w:i/>
          <w:lang w:val="en-ZA"/>
        </w:rPr>
        <w:t xml:space="preserve">Whether the SIU acted irrationally </w:t>
      </w:r>
    </w:p>
    <w:p w:rsidR="00675AD0" w:rsidRDefault="00675AD0" w:rsidP="00675AD0">
      <w:pPr>
        <w:tabs>
          <w:tab w:val="left" w:pos="900"/>
        </w:tabs>
        <w:spacing w:line="360" w:lineRule="auto"/>
        <w:ind w:left="900" w:hanging="900"/>
        <w:jc w:val="both"/>
        <w:rPr>
          <w:rFonts w:ascii="Arial" w:hAnsi="Arial" w:cs="Arial"/>
        </w:rPr>
      </w:pPr>
    </w:p>
    <w:p w:rsidR="00F12756" w:rsidRDefault="00675AD0" w:rsidP="00F12756">
      <w:pPr>
        <w:tabs>
          <w:tab w:val="left" w:pos="0"/>
          <w:tab w:val="left" w:pos="993"/>
        </w:tabs>
        <w:spacing w:line="360" w:lineRule="auto"/>
        <w:jc w:val="both"/>
        <w:rPr>
          <w:rFonts w:ascii="Arial" w:hAnsi="Arial" w:cs="Arial"/>
          <w:lang w:val="en-ZA"/>
        </w:rPr>
      </w:pPr>
      <w:r>
        <w:rPr>
          <w:rFonts w:ascii="Arial" w:hAnsi="Arial" w:cs="Arial"/>
        </w:rPr>
        <w:t>[48]</w:t>
      </w:r>
      <w:r>
        <w:rPr>
          <w:rFonts w:ascii="Arial" w:hAnsi="Arial" w:cs="Arial"/>
        </w:rPr>
        <w:tab/>
      </w:r>
      <w:r w:rsidR="00F12756" w:rsidRPr="00F12756">
        <w:rPr>
          <w:rFonts w:ascii="Arial" w:hAnsi="Arial" w:cs="Arial"/>
          <w:lang w:val="en-ZA"/>
        </w:rPr>
        <w:t xml:space="preserve">In the matter of </w:t>
      </w:r>
      <w:r w:rsidR="00F12756" w:rsidRPr="00F12756">
        <w:rPr>
          <w:rFonts w:ascii="Arial" w:hAnsi="Arial" w:cs="Arial"/>
          <w:i/>
          <w:lang w:val="en-ZA"/>
        </w:rPr>
        <w:t>Albutt v Centre for the Study of Violence and Reconciliation</w:t>
      </w:r>
      <w:r w:rsidR="00F12756">
        <w:rPr>
          <w:rFonts w:ascii="Arial" w:hAnsi="Arial" w:cs="Arial"/>
          <w:i/>
          <w:lang w:val="en-ZA"/>
        </w:rPr>
        <w:t>,</w:t>
      </w:r>
      <w:r w:rsidR="00F12756" w:rsidRPr="00F12756">
        <w:rPr>
          <w:rFonts w:ascii="Arial" w:hAnsi="Arial" w:cs="Arial"/>
          <w:i/>
          <w:vertAlign w:val="superscript"/>
          <w:lang w:val="en-ZA"/>
        </w:rPr>
        <w:footnoteReference w:id="37"/>
      </w:r>
      <w:r w:rsidR="00F12756" w:rsidRPr="00F12756">
        <w:rPr>
          <w:rFonts w:ascii="Arial" w:hAnsi="Arial" w:cs="Arial"/>
          <w:lang w:val="en-ZA"/>
        </w:rPr>
        <w:t xml:space="preserve"> the Constitutional Court stated the following:</w:t>
      </w:r>
    </w:p>
    <w:p w:rsidR="00F12756" w:rsidRPr="00F12756" w:rsidRDefault="00F12756" w:rsidP="00F12756">
      <w:pPr>
        <w:tabs>
          <w:tab w:val="left" w:pos="0"/>
          <w:tab w:val="left" w:pos="993"/>
        </w:tabs>
        <w:spacing w:line="360" w:lineRule="auto"/>
        <w:jc w:val="both"/>
        <w:rPr>
          <w:rFonts w:ascii="Arial" w:hAnsi="Arial" w:cs="Arial"/>
        </w:rPr>
      </w:pPr>
    </w:p>
    <w:p w:rsidR="00F12756" w:rsidRPr="00F12756" w:rsidRDefault="00F12756" w:rsidP="00F12756">
      <w:pPr>
        <w:tabs>
          <w:tab w:val="left" w:pos="0"/>
          <w:tab w:val="left" w:pos="993"/>
        </w:tabs>
        <w:spacing w:line="360" w:lineRule="auto"/>
        <w:jc w:val="both"/>
        <w:rPr>
          <w:rFonts w:ascii="Arial" w:hAnsi="Arial" w:cs="Arial"/>
          <w:lang w:val="en-ZA"/>
        </w:rPr>
      </w:pPr>
      <w:r w:rsidRPr="00F12756">
        <w:rPr>
          <w:rFonts w:ascii="Arial" w:hAnsi="Arial" w:cs="Arial"/>
          <w:sz w:val="22"/>
          <w:lang w:val="en-ZA"/>
        </w:rPr>
        <w:t xml:space="preserve">‘The Executive has a wide discretion in selecting the means to achieve its constitutionally permissible objectives. Courts may not interfere with the means selected simply because they do not like them, or because there are other more appropriate means that could have been selected. But, </w:t>
      </w:r>
      <w:r w:rsidRPr="00F12756">
        <w:rPr>
          <w:rFonts w:ascii="Arial" w:hAnsi="Arial" w:cs="Arial"/>
          <w:sz w:val="22"/>
          <w:u w:val="single"/>
          <w:lang w:val="en-ZA"/>
        </w:rPr>
        <w:t>where the decision is challenged on the grounds of rationality, courts are obliged to examine the means selected to determine whether they are rationally related to the objective sought to be achieved. What must be stressed is that the purpose of the enquiry is to determine not whether there are other means that could have been used, but whether the means selected are rationally related to the objective sought to be achieved. And if, objectively speaking, they are not, they fall short of the standard demanded by the Constitution</w:t>
      </w:r>
      <w:r w:rsidRPr="00F12756">
        <w:rPr>
          <w:rFonts w:ascii="Arial" w:hAnsi="Arial" w:cs="Arial"/>
          <w:sz w:val="22"/>
          <w:lang w:val="en-ZA"/>
        </w:rPr>
        <w:t>.’</w:t>
      </w:r>
      <w:r w:rsidRPr="00F12756">
        <w:rPr>
          <w:rFonts w:ascii="Arial" w:hAnsi="Arial" w:cs="Arial"/>
          <w:sz w:val="22"/>
          <w:vertAlign w:val="superscript"/>
          <w:lang w:val="en-ZA"/>
        </w:rPr>
        <w:footnoteReference w:id="38"/>
      </w:r>
      <w:r w:rsidRPr="00F12756">
        <w:rPr>
          <w:rFonts w:ascii="Arial" w:hAnsi="Arial" w:cs="Arial"/>
          <w:lang w:val="en-ZA"/>
        </w:rPr>
        <w:t xml:space="preserve"> [my emphasis]</w:t>
      </w:r>
    </w:p>
    <w:p w:rsidR="00675AD0" w:rsidRDefault="00675AD0" w:rsidP="00F12756">
      <w:pPr>
        <w:tabs>
          <w:tab w:val="left" w:pos="900"/>
        </w:tabs>
        <w:spacing w:line="360" w:lineRule="auto"/>
        <w:jc w:val="both"/>
        <w:rPr>
          <w:rFonts w:ascii="Arial" w:hAnsi="Arial" w:cs="Arial"/>
        </w:rPr>
      </w:pPr>
    </w:p>
    <w:p w:rsidR="00F12756" w:rsidRDefault="00675AD0" w:rsidP="00F12756">
      <w:pPr>
        <w:tabs>
          <w:tab w:val="left" w:pos="0"/>
          <w:tab w:val="left" w:pos="993"/>
        </w:tabs>
        <w:spacing w:line="360" w:lineRule="auto"/>
        <w:jc w:val="both"/>
        <w:rPr>
          <w:rFonts w:ascii="Arial" w:hAnsi="Arial" w:cs="Arial"/>
          <w:lang w:val="en-ZA"/>
        </w:rPr>
      </w:pPr>
      <w:r w:rsidRPr="00033B6C">
        <w:rPr>
          <w:rFonts w:ascii="Arial" w:hAnsi="Arial" w:cs="Arial"/>
        </w:rPr>
        <w:t>[</w:t>
      </w:r>
      <w:r>
        <w:rPr>
          <w:rFonts w:ascii="Arial" w:hAnsi="Arial" w:cs="Arial"/>
        </w:rPr>
        <w:t>49</w:t>
      </w:r>
      <w:r w:rsidRPr="00033B6C">
        <w:rPr>
          <w:rFonts w:ascii="Arial" w:hAnsi="Arial" w:cs="Arial"/>
        </w:rPr>
        <w:t>]</w:t>
      </w:r>
      <w:r w:rsidRPr="00033B6C">
        <w:rPr>
          <w:rFonts w:ascii="Arial" w:hAnsi="Arial" w:cs="Arial"/>
        </w:rPr>
        <w:tab/>
      </w:r>
      <w:r w:rsidR="00F12756" w:rsidRPr="00F12756">
        <w:rPr>
          <w:rFonts w:ascii="Arial" w:hAnsi="Arial" w:cs="Arial"/>
          <w:lang w:val="en-ZA"/>
        </w:rPr>
        <w:t xml:space="preserve">In </w:t>
      </w:r>
      <w:bookmarkStart w:id="6" w:name="_Hlk144675010"/>
      <w:r w:rsidR="00F12756" w:rsidRPr="00F12756">
        <w:rPr>
          <w:rFonts w:ascii="Arial" w:hAnsi="Arial" w:cs="Arial"/>
          <w:lang w:val="en-ZA"/>
        </w:rPr>
        <w:t xml:space="preserve">the matter of </w:t>
      </w:r>
      <w:r w:rsidR="00F12756" w:rsidRPr="00F12756">
        <w:rPr>
          <w:rFonts w:ascii="Arial" w:hAnsi="Arial" w:cs="Arial"/>
          <w:i/>
          <w:lang w:val="en-ZA"/>
        </w:rPr>
        <w:t>SA Predator Breeders Association v Minister of Environmental Affairs and Tourism</w:t>
      </w:r>
      <w:bookmarkEnd w:id="6"/>
      <w:r w:rsidR="00F12756" w:rsidRPr="00F12756">
        <w:rPr>
          <w:rFonts w:ascii="Arial" w:hAnsi="Arial" w:cs="Arial"/>
          <w:lang w:val="en-ZA"/>
        </w:rPr>
        <w:t>,</w:t>
      </w:r>
      <w:r w:rsidR="00F12756" w:rsidRPr="00F12756">
        <w:rPr>
          <w:rFonts w:ascii="Arial" w:hAnsi="Arial" w:cs="Arial"/>
          <w:vertAlign w:val="superscript"/>
          <w:lang w:val="en-ZA"/>
        </w:rPr>
        <w:footnoteReference w:id="39"/>
      </w:r>
      <w:r w:rsidR="00F12756" w:rsidRPr="00F12756">
        <w:rPr>
          <w:rFonts w:ascii="Arial" w:hAnsi="Arial" w:cs="Arial"/>
          <w:lang w:val="en-ZA"/>
        </w:rPr>
        <w:t xml:space="preserve"> the Supreme of Appeal stated that:</w:t>
      </w:r>
    </w:p>
    <w:p w:rsidR="00F12756" w:rsidRPr="00F12756" w:rsidRDefault="00F12756" w:rsidP="00F12756">
      <w:pPr>
        <w:tabs>
          <w:tab w:val="left" w:pos="0"/>
          <w:tab w:val="left" w:pos="993"/>
        </w:tabs>
        <w:spacing w:line="360" w:lineRule="auto"/>
        <w:jc w:val="both"/>
        <w:rPr>
          <w:rFonts w:ascii="Arial" w:hAnsi="Arial" w:cs="Arial"/>
          <w:lang w:val="en-ZA"/>
        </w:rPr>
      </w:pPr>
    </w:p>
    <w:p w:rsidR="00675AD0" w:rsidRPr="00F12756" w:rsidRDefault="00F12756" w:rsidP="00675AD0">
      <w:pPr>
        <w:tabs>
          <w:tab w:val="left" w:pos="0"/>
          <w:tab w:val="left" w:pos="993"/>
        </w:tabs>
        <w:spacing w:line="360" w:lineRule="auto"/>
        <w:jc w:val="both"/>
        <w:rPr>
          <w:rFonts w:ascii="Arial" w:hAnsi="Arial" w:cs="Arial"/>
          <w:lang w:val="en-ZA"/>
        </w:rPr>
      </w:pPr>
      <w:r w:rsidRPr="00F12756">
        <w:rPr>
          <w:rFonts w:ascii="Arial" w:hAnsi="Arial" w:cs="Arial"/>
          <w:sz w:val="22"/>
          <w:lang w:val="en-ZA"/>
        </w:rPr>
        <w:t>‘rationality, as a necessary element of lawful conduct by a functionary, serves two purposes: to avoid capricious or arbitrary action by ensuring that there is a rational relationship between the scheme which is adopted and the achievement of a legitimate government purpose or that a decision is rationally related to the purpose for which the power was given, and to ensure the action of the functionary bears a rational connection to the facts and information available to him and on which he purports to base such action. As noted in the Pharmaceutical case (</w:t>
      </w:r>
      <w:r w:rsidRPr="00F12756">
        <w:rPr>
          <w:rFonts w:ascii="Arial" w:hAnsi="Arial" w:cs="Arial"/>
          <w:i/>
          <w:sz w:val="22"/>
          <w:lang w:val="en-ZA"/>
        </w:rPr>
        <w:t>supra</w:t>
      </w:r>
      <w:r w:rsidRPr="00F12756">
        <w:rPr>
          <w:rFonts w:ascii="Arial" w:hAnsi="Arial" w:cs="Arial"/>
          <w:sz w:val="22"/>
          <w:lang w:val="en-ZA"/>
        </w:rPr>
        <w:t>) at paragraph 90 “</w:t>
      </w:r>
      <w:r w:rsidRPr="00F12756">
        <w:rPr>
          <w:rFonts w:ascii="Arial" w:hAnsi="Arial" w:cs="Arial"/>
          <w:sz w:val="22"/>
          <w:u w:val="single"/>
          <w:lang w:val="en-ZA"/>
        </w:rPr>
        <w:t>a decision that is objectively irrational is likely to be made only rarely but, if this does occur a court has the power to intervene and set aside the irrational decision</w:t>
      </w:r>
      <w:r w:rsidRPr="00F12756">
        <w:rPr>
          <w:rFonts w:ascii="Arial" w:hAnsi="Arial" w:cs="Arial"/>
          <w:sz w:val="22"/>
          <w:lang w:val="en-ZA"/>
        </w:rPr>
        <w:t>’’.’</w:t>
      </w:r>
      <w:r w:rsidRPr="00F12756">
        <w:rPr>
          <w:rFonts w:ascii="Arial" w:hAnsi="Arial" w:cs="Arial"/>
          <w:vertAlign w:val="superscript"/>
          <w:lang w:val="en-ZA"/>
        </w:rPr>
        <w:footnoteReference w:id="40"/>
      </w:r>
      <w:r w:rsidRPr="00F12756">
        <w:rPr>
          <w:rFonts w:ascii="Arial" w:hAnsi="Arial" w:cs="Arial"/>
          <w:lang w:val="en-ZA"/>
        </w:rPr>
        <w:t xml:space="preserve"> [my emphasis]</w:t>
      </w:r>
    </w:p>
    <w:p w:rsidR="00675AD0" w:rsidRPr="00033B6C" w:rsidRDefault="00675AD0" w:rsidP="00675AD0">
      <w:pPr>
        <w:tabs>
          <w:tab w:val="left" w:pos="900"/>
        </w:tabs>
        <w:spacing w:line="360" w:lineRule="auto"/>
        <w:ind w:left="900" w:hanging="900"/>
        <w:jc w:val="both"/>
        <w:rPr>
          <w:rFonts w:ascii="Arial" w:hAnsi="Arial" w:cs="Arial"/>
        </w:rPr>
      </w:pPr>
    </w:p>
    <w:p w:rsidR="00F12756" w:rsidRDefault="00675AD0" w:rsidP="00F12756">
      <w:pPr>
        <w:tabs>
          <w:tab w:val="left" w:pos="993"/>
        </w:tabs>
        <w:spacing w:line="360" w:lineRule="auto"/>
        <w:ind w:left="993" w:hanging="993"/>
        <w:jc w:val="both"/>
        <w:rPr>
          <w:rFonts w:ascii="Arial" w:hAnsi="Arial" w:cs="Arial"/>
          <w:lang w:val="en-ZA"/>
        </w:rPr>
      </w:pPr>
      <w:r>
        <w:rPr>
          <w:rFonts w:ascii="Arial" w:hAnsi="Arial" w:cs="Arial"/>
        </w:rPr>
        <w:t>[50]</w:t>
      </w:r>
      <w:r>
        <w:rPr>
          <w:rFonts w:ascii="Arial" w:hAnsi="Arial" w:cs="Arial"/>
        </w:rPr>
        <w:tab/>
      </w:r>
      <w:r w:rsidR="00F12756" w:rsidRPr="00F12756">
        <w:rPr>
          <w:rFonts w:ascii="Arial" w:hAnsi="Arial" w:cs="Arial"/>
          <w:lang w:val="en-ZA"/>
        </w:rPr>
        <w:t>The Constitutional Court clarified this difference by stating that:</w:t>
      </w:r>
    </w:p>
    <w:p w:rsidR="00F12756" w:rsidRPr="00F12756" w:rsidRDefault="00F12756" w:rsidP="00F12756">
      <w:pPr>
        <w:tabs>
          <w:tab w:val="left" w:pos="993"/>
        </w:tabs>
        <w:spacing w:line="360" w:lineRule="auto"/>
        <w:ind w:left="993" w:hanging="993"/>
        <w:jc w:val="both"/>
        <w:rPr>
          <w:rFonts w:ascii="Arial" w:hAnsi="Arial" w:cs="Arial"/>
          <w:lang w:val="en-ZA"/>
        </w:rPr>
      </w:pPr>
    </w:p>
    <w:p w:rsidR="00F12756" w:rsidRPr="00F12756" w:rsidRDefault="00F12756" w:rsidP="00F12756">
      <w:pPr>
        <w:tabs>
          <w:tab w:val="left" w:pos="0"/>
        </w:tabs>
        <w:spacing w:line="360" w:lineRule="auto"/>
        <w:jc w:val="both"/>
        <w:rPr>
          <w:rFonts w:ascii="Arial" w:hAnsi="Arial" w:cs="Arial"/>
          <w:sz w:val="22"/>
          <w:lang w:val="en-ZA"/>
        </w:rPr>
      </w:pPr>
      <w:r w:rsidRPr="00F12756">
        <w:rPr>
          <w:rFonts w:ascii="Arial" w:hAnsi="Arial" w:cs="Arial"/>
          <w:sz w:val="22"/>
          <w:lang w:val="en-ZA"/>
        </w:rPr>
        <w:t>‘procedural fairness has to do with affording a party likely to be disadvantaged by the outcome the opportunity to be properly represented and fairly heard before an adverse decision is rendered.  Not so with procedural irrationality.  The latter is about testing whether, or ensuring that there is a rational connection between the exercise of power in relation to both process and the decision itself and the purpose sought to be achieved through the exercise of that power.’</w:t>
      </w:r>
      <w:r w:rsidRPr="00F12756">
        <w:rPr>
          <w:rFonts w:ascii="Arial" w:hAnsi="Arial" w:cs="Arial"/>
          <w:sz w:val="22"/>
          <w:vertAlign w:val="superscript"/>
          <w:lang w:val="en-ZA"/>
        </w:rPr>
        <w:footnoteReference w:id="41"/>
      </w:r>
    </w:p>
    <w:p w:rsidR="00675AD0" w:rsidRDefault="00675AD0" w:rsidP="00F12756">
      <w:pPr>
        <w:tabs>
          <w:tab w:val="left" w:pos="993"/>
        </w:tabs>
        <w:spacing w:line="360" w:lineRule="auto"/>
        <w:ind w:left="993" w:hanging="993"/>
        <w:jc w:val="both"/>
        <w:rPr>
          <w:rFonts w:ascii="Arial" w:hAnsi="Arial" w:cs="Arial"/>
        </w:rPr>
      </w:pPr>
    </w:p>
    <w:p w:rsidR="00675AD0" w:rsidRDefault="00675AD0" w:rsidP="00675AD0">
      <w:pPr>
        <w:tabs>
          <w:tab w:val="left" w:pos="993"/>
        </w:tabs>
        <w:spacing w:line="360" w:lineRule="auto"/>
        <w:jc w:val="both"/>
        <w:rPr>
          <w:rFonts w:ascii="Arial" w:hAnsi="Arial" w:cs="Arial"/>
          <w:color w:val="000000"/>
          <w:lang w:val="en-ZA"/>
        </w:rPr>
      </w:pPr>
      <w:r>
        <w:rPr>
          <w:rFonts w:ascii="Arial" w:hAnsi="Arial" w:cs="Arial"/>
          <w:color w:val="000000"/>
        </w:rPr>
        <w:t>[51]</w:t>
      </w:r>
      <w:r>
        <w:rPr>
          <w:rFonts w:ascii="Arial" w:hAnsi="Arial" w:cs="Arial"/>
          <w:color w:val="000000"/>
        </w:rPr>
        <w:tab/>
      </w:r>
      <w:r w:rsidR="00F12756" w:rsidRPr="00F12756">
        <w:rPr>
          <w:rFonts w:ascii="Arial" w:hAnsi="Arial" w:cs="Arial"/>
          <w:color w:val="000000"/>
          <w:lang w:val="en-ZA"/>
        </w:rPr>
        <w:t xml:space="preserve">The SIU was asked to investigate serious issues of maladministration at the SABC. From this premise, it is clear that there is a rational basis why the SIU expressed its intention to go after the interim board members as it is the SIU’s mandate to curb maladministration. The </w:t>
      </w:r>
      <w:r w:rsidR="007E2B3A">
        <w:rPr>
          <w:rFonts w:ascii="Arial" w:hAnsi="Arial" w:cs="Arial"/>
          <w:color w:val="000000"/>
          <w:lang w:val="en-ZA"/>
        </w:rPr>
        <w:t xml:space="preserve">procedural </w:t>
      </w:r>
      <w:r w:rsidR="00F12756" w:rsidRPr="00F12756">
        <w:rPr>
          <w:rFonts w:ascii="Arial" w:hAnsi="Arial" w:cs="Arial"/>
          <w:color w:val="000000"/>
          <w:lang w:val="en-ZA"/>
        </w:rPr>
        <w:t>means adopted by the SIU to obtain the objective sought is rational.</w:t>
      </w:r>
    </w:p>
    <w:p w:rsidR="00F12756" w:rsidRDefault="00F12756" w:rsidP="00675AD0">
      <w:pPr>
        <w:tabs>
          <w:tab w:val="left" w:pos="993"/>
        </w:tabs>
        <w:spacing w:line="360" w:lineRule="auto"/>
        <w:jc w:val="both"/>
        <w:rPr>
          <w:rFonts w:ascii="Arial" w:hAnsi="Arial" w:cs="Arial"/>
          <w:color w:val="000000"/>
          <w:lang w:val="en-ZA"/>
        </w:rPr>
      </w:pPr>
    </w:p>
    <w:p w:rsidR="00F12756" w:rsidRPr="007A14D3" w:rsidRDefault="00F12756" w:rsidP="00675AD0">
      <w:pPr>
        <w:tabs>
          <w:tab w:val="left" w:pos="993"/>
        </w:tabs>
        <w:spacing w:line="360" w:lineRule="auto"/>
        <w:jc w:val="both"/>
        <w:rPr>
          <w:rFonts w:ascii="Arial" w:hAnsi="Arial" w:cs="Arial"/>
          <w:color w:val="000000"/>
          <w:lang w:val="en-ZA"/>
        </w:rPr>
      </w:pPr>
      <w:r w:rsidRPr="00F12756">
        <w:rPr>
          <w:rFonts w:ascii="Arial" w:hAnsi="Arial" w:cs="Arial"/>
          <w:b/>
          <w:i/>
          <w:color w:val="000000"/>
          <w:lang w:val="en-ZA"/>
        </w:rPr>
        <w:t>Whether the SIU acted ultra vires in investigating the fiduciary duties of the applicants</w:t>
      </w:r>
    </w:p>
    <w:p w:rsidR="00675AD0" w:rsidRDefault="00675AD0" w:rsidP="00675AD0">
      <w:pPr>
        <w:spacing w:line="360" w:lineRule="auto"/>
        <w:rPr>
          <w:rFonts w:ascii="Arial" w:hAnsi="Arial" w:cs="Arial"/>
          <w:color w:val="000000"/>
        </w:rPr>
      </w:pPr>
    </w:p>
    <w:p w:rsidR="00675AD0" w:rsidRPr="00D55D82" w:rsidRDefault="00675AD0" w:rsidP="00675AD0">
      <w:pPr>
        <w:tabs>
          <w:tab w:val="left" w:pos="993"/>
        </w:tabs>
        <w:spacing w:line="360" w:lineRule="auto"/>
        <w:jc w:val="both"/>
        <w:rPr>
          <w:rFonts w:ascii="Arial" w:hAnsi="Arial" w:cs="Arial"/>
        </w:rPr>
      </w:pPr>
      <w:r>
        <w:rPr>
          <w:rFonts w:ascii="Arial" w:hAnsi="Arial" w:cs="Arial"/>
          <w:color w:val="000000"/>
        </w:rPr>
        <w:t>[52]</w:t>
      </w:r>
      <w:r>
        <w:rPr>
          <w:rFonts w:ascii="Arial" w:hAnsi="Arial" w:cs="Arial"/>
          <w:color w:val="000000"/>
        </w:rPr>
        <w:tab/>
      </w:r>
      <w:r w:rsidR="00F12756" w:rsidRPr="00F12756">
        <w:rPr>
          <w:rFonts w:ascii="Arial" w:hAnsi="Arial" w:cs="Arial"/>
          <w:color w:val="000000"/>
          <w:lang w:val="en-ZA"/>
        </w:rPr>
        <w:t>It is common cause that on 30 June 2017 the interim board members made a decision to award the security contract to Mafoko who was the second highest scoring bidder.</w:t>
      </w:r>
    </w:p>
    <w:p w:rsidR="00675AD0" w:rsidRPr="00826223" w:rsidRDefault="00675AD0" w:rsidP="00F12756">
      <w:pPr>
        <w:tabs>
          <w:tab w:val="left" w:pos="900"/>
        </w:tabs>
        <w:spacing w:line="360" w:lineRule="auto"/>
        <w:jc w:val="both"/>
        <w:rPr>
          <w:rFonts w:ascii="Arial" w:hAnsi="Arial" w:cs="Arial"/>
          <w:b/>
          <w:i/>
        </w:rPr>
      </w:pPr>
    </w:p>
    <w:p w:rsidR="00675AD0" w:rsidRPr="00B902E0" w:rsidRDefault="00675AD0" w:rsidP="00675AD0">
      <w:pPr>
        <w:tabs>
          <w:tab w:val="left" w:pos="0"/>
          <w:tab w:val="left" w:pos="993"/>
        </w:tabs>
        <w:spacing w:line="360" w:lineRule="auto"/>
        <w:jc w:val="both"/>
        <w:rPr>
          <w:rFonts w:ascii="Arial" w:hAnsi="Arial" w:cs="Arial"/>
        </w:rPr>
      </w:pPr>
      <w:r w:rsidRPr="004D7C38">
        <w:rPr>
          <w:rFonts w:ascii="Arial" w:hAnsi="Arial" w:cs="Arial"/>
        </w:rPr>
        <w:t>[</w:t>
      </w:r>
      <w:r>
        <w:rPr>
          <w:rFonts w:ascii="Arial" w:hAnsi="Arial" w:cs="Arial"/>
        </w:rPr>
        <w:t>53</w:t>
      </w:r>
      <w:r w:rsidRPr="004D7C38">
        <w:rPr>
          <w:rFonts w:ascii="Arial" w:hAnsi="Arial" w:cs="Arial"/>
        </w:rPr>
        <w:t>]</w:t>
      </w:r>
      <w:r w:rsidRPr="004D7C38">
        <w:rPr>
          <w:rFonts w:ascii="Arial" w:hAnsi="Arial" w:cs="Arial"/>
        </w:rPr>
        <w:tab/>
      </w:r>
      <w:r w:rsidR="00F12756" w:rsidRPr="00F12756">
        <w:rPr>
          <w:rFonts w:ascii="Arial" w:hAnsi="Arial" w:cs="Arial"/>
          <w:lang w:val="en-ZA"/>
        </w:rPr>
        <w:t xml:space="preserve">The interim board members argued that the SIU was only empowered to investigate the ‘procurement of, or contracting for goods, works or services by or on behalf of the SABC from Mafoko in a manner that was inconsistent with fair, competitive, transparent, equitable or cost-effective process’. </w:t>
      </w:r>
      <w:r w:rsidR="00DF6997">
        <w:rPr>
          <w:rFonts w:ascii="Arial" w:hAnsi="Arial" w:cs="Arial"/>
          <w:lang w:val="en-ZA"/>
        </w:rPr>
        <w:t>It was contended that t</w:t>
      </w:r>
      <w:r w:rsidR="00F12756" w:rsidRPr="00F12756">
        <w:rPr>
          <w:rFonts w:ascii="Arial" w:hAnsi="Arial" w:cs="Arial"/>
          <w:lang w:val="en-ZA"/>
        </w:rPr>
        <w:t xml:space="preserve">hese were the express powers of the SIU and its authorised investigation did not include questions of governance skill, which would exceed the </w:t>
      </w:r>
      <w:r w:rsidR="00F12756" w:rsidRPr="00F12756">
        <w:rPr>
          <w:rFonts w:ascii="Arial" w:hAnsi="Arial" w:cs="Arial"/>
          <w:lang w:val="en-ZA"/>
        </w:rPr>
        <w:lastRenderedPageBreak/>
        <w:t>SIU’s mandate. In addition, the SIU was not empowered to enquire whether the interim board members rendered themselves as delinquent directors or to impose remedial action.</w:t>
      </w:r>
    </w:p>
    <w:p w:rsidR="00675AD0" w:rsidRDefault="00675AD0" w:rsidP="00675AD0">
      <w:pPr>
        <w:tabs>
          <w:tab w:val="left" w:pos="900"/>
        </w:tabs>
        <w:spacing w:line="360" w:lineRule="auto"/>
        <w:ind w:left="900" w:hanging="900"/>
        <w:jc w:val="both"/>
        <w:rPr>
          <w:rFonts w:ascii="Arial" w:hAnsi="Arial" w:cs="Arial"/>
        </w:rPr>
      </w:pPr>
    </w:p>
    <w:p w:rsidR="00675AD0" w:rsidRDefault="00675AD0" w:rsidP="00F12756">
      <w:pPr>
        <w:tabs>
          <w:tab w:val="left" w:pos="0"/>
          <w:tab w:val="left" w:pos="993"/>
        </w:tabs>
        <w:spacing w:line="360" w:lineRule="auto"/>
        <w:jc w:val="both"/>
        <w:rPr>
          <w:rFonts w:ascii="Arial" w:hAnsi="Arial" w:cs="Arial"/>
          <w:lang w:val="en-ZA"/>
        </w:rPr>
      </w:pPr>
      <w:r>
        <w:rPr>
          <w:rFonts w:ascii="Arial" w:hAnsi="Arial" w:cs="Arial"/>
        </w:rPr>
        <w:t>[54]</w:t>
      </w:r>
      <w:r>
        <w:rPr>
          <w:rFonts w:ascii="Arial" w:hAnsi="Arial" w:cs="Arial"/>
        </w:rPr>
        <w:tab/>
      </w:r>
      <w:r w:rsidR="00F12756" w:rsidRPr="00F12756">
        <w:rPr>
          <w:rFonts w:ascii="Arial" w:hAnsi="Arial" w:cs="Arial"/>
          <w:lang w:val="en-ZA"/>
        </w:rPr>
        <w:t>The SIU is established as an independent statutory body in terms of the Special Investigating Units and Special Tribunals Act No, 74 of 1996 (‘the Special Tribunals Act).</w:t>
      </w:r>
    </w:p>
    <w:p w:rsidR="00F12756" w:rsidRDefault="00F12756" w:rsidP="00F12756">
      <w:pPr>
        <w:tabs>
          <w:tab w:val="left" w:pos="0"/>
          <w:tab w:val="left" w:pos="993"/>
        </w:tabs>
        <w:spacing w:line="360" w:lineRule="auto"/>
        <w:jc w:val="both"/>
        <w:rPr>
          <w:rFonts w:ascii="Arial" w:hAnsi="Arial" w:cs="Arial"/>
        </w:rPr>
      </w:pPr>
    </w:p>
    <w:p w:rsidR="00675AD0" w:rsidRPr="00F12756" w:rsidRDefault="00675AD0" w:rsidP="00675AD0">
      <w:pPr>
        <w:tabs>
          <w:tab w:val="left" w:pos="993"/>
        </w:tabs>
        <w:spacing w:line="360" w:lineRule="auto"/>
        <w:jc w:val="both"/>
        <w:rPr>
          <w:rFonts w:ascii="Arial" w:hAnsi="Arial" w:cs="Arial"/>
          <w:lang w:val="en-ZA"/>
        </w:rPr>
      </w:pPr>
      <w:r>
        <w:rPr>
          <w:rFonts w:ascii="Arial" w:hAnsi="Arial" w:cs="Arial"/>
        </w:rPr>
        <w:t>[55]</w:t>
      </w:r>
      <w:r>
        <w:rPr>
          <w:rFonts w:ascii="Arial" w:hAnsi="Arial" w:cs="Arial"/>
        </w:rPr>
        <w:tab/>
      </w:r>
      <w:r w:rsidR="00F12756" w:rsidRPr="00F12756">
        <w:rPr>
          <w:rFonts w:ascii="Arial" w:hAnsi="Arial" w:cs="Arial"/>
          <w:lang w:val="en-ZA"/>
        </w:rPr>
        <w:t xml:space="preserve">The SIU is empowered to </w:t>
      </w:r>
      <w:r w:rsidR="00F12756" w:rsidRPr="00F12756">
        <w:rPr>
          <w:rFonts w:ascii="Arial" w:hAnsi="Arial" w:cs="Arial"/>
        </w:rPr>
        <w:t>investigate serious malpractices or maladministration in connection with the administration of State institutions, State assets and public money as well as any conduct which may seriously harm the interests of the public</w:t>
      </w:r>
      <w:r w:rsidR="00F12756" w:rsidRPr="00F12756">
        <w:rPr>
          <w:rFonts w:ascii="Arial" w:hAnsi="Arial" w:cs="Arial"/>
          <w:lang w:val="en-ZA"/>
        </w:rPr>
        <w:t>.</w:t>
      </w:r>
    </w:p>
    <w:p w:rsidR="00675AD0" w:rsidRDefault="00675AD0" w:rsidP="00675AD0">
      <w:pPr>
        <w:tabs>
          <w:tab w:val="left" w:pos="900"/>
        </w:tabs>
        <w:spacing w:line="360" w:lineRule="auto"/>
        <w:jc w:val="both"/>
        <w:rPr>
          <w:rFonts w:ascii="Arial" w:hAnsi="Arial" w:cs="Arial"/>
        </w:rPr>
      </w:pPr>
    </w:p>
    <w:p w:rsidR="00EC2AF4" w:rsidRDefault="00675AD0" w:rsidP="00EC2AF4">
      <w:pPr>
        <w:tabs>
          <w:tab w:val="left" w:pos="0"/>
          <w:tab w:val="left" w:pos="993"/>
        </w:tabs>
        <w:spacing w:line="360" w:lineRule="auto"/>
        <w:ind w:hanging="49"/>
        <w:jc w:val="both"/>
        <w:rPr>
          <w:rFonts w:ascii="Arial" w:hAnsi="Arial" w:cs="Arial"/>
          <w:lang w:val="en-ZA"/>
        </w:rPr>
      </w:pPr>
      <w:r>
        <w:rPr>
          <w:rFonts w:ascii="Arial" w:hAnsi="Arial" w:cs="Arial"/>
        </w:rPr>
        <w:t>[56]</w:t>
      </w:r>
      <w:r>
        <w:rPr>
          <w:rFonts w:ascii="Arial" w:hAnsi="Arial" w:cs="Arial"/>
        </w:rPr>
        <w:tab/>
      </w:r>
      <w:r w:rsidR="00EC2AF4" w:rsidRPr="00EC2AF4">
        <w:rPr>
          <w:rFonts w:ascii="Arial" w:hAnsi="Arial" w:cs="Arial"/>
          <w:lang w:val="en-ZA"/>
        </w:rPr>
        <w:t>Section 4 of the Special Tribunals Act provides the functions of the SIU as follows:</w:t>
      </w:r>
    </w:p>
    <w:p w:rsidR="00EC2AF4" w:rsidRPr="00EC2AF4" w:rsidRDefault="00EC2AF4" w:rsidP="00EC2AF4">
      <w:pPr>
        <w:tabs>
          <w:tab w:val="left" w:pos="0"/>
          <w:tab w:val="left" w:pos="993"/>
        </w:tabs>
        <w:spacing w:line="360" w:lineRule="auto"/>
        <w:ind w:hanging="49"/>
        <w:jc w:val="both"/>
        <w:rPr>
          <w:rFonts w:ascii="Arial" w:hAnsi="Arial" w:cs="Arial"/>
          <w:lang w:val="en-ZA"/>
        </w:rPr>
      </w:pPr>
    </w:p>
    <w:p w:rsidR="00EC2AF4" w:rsidRDefault="00EC2AF4" w:rsidP="00EC2AF4">
      <w:pPr>
        <w:tabs>
          <w:tab w:val="left" w:pos="0"/>
          <w:tab w:val="left" w:pos="993"/>
        </w:tabs>
        <w:spacing w:line="360" w:lineRule="auto"/>
        <w:ind w:hanging="49"/>
        <w:jc w:val="both"/>
        <w:rPr>
          <w:rFonts w:ascii="Arial" w:hAnsi="Arial" w:cs="Arial"/>
          <w:sz w:val="22"/>
        </w:rPr>
      </w:pPr>
      <w:r w:rsidRPr="00EC2AF4">
        <w:rPr>
          <w:rFonts w:ascii="Arial" w:hAnsi="Arial" w:cs="Arial"/>
          <w:sz w:val="22"/>
        </w:rPr>
        <w:t xml:space="preserve">‘The functions of a Special Investigating Unit are, within the framework of its terms of reference as set out in the proclamation referred to in section 2(1)- · </w:t>
      </w:r>
    </w:p>
    <w:p w:rsidR="00EC2AF4" w:rsidRPr="00EC2AF4" w:rsidRDefault="00EC2AF4" w:rsidP="00EC2AF4">
      <w:pPr>
        <w:pStyle w:val="ListParagraph"/>
        <w:numPr>
          <w:ilvl w:val="0"/>
          <w:numId w:val="15"/>
        </w:numPr>
        <w:tabs>
          <w:tab w:val="left" w:pos="0"/>
          <w:tab w:val="left" w:pos="993"/>
        </w:tabs>
        <w:spacing w:line="360" w:lineRule="auto"/>
        <w:ind w:hanging="1080"/>
        <w:jc w:val="both"/>
        <w:rPr>
          <w:rFonts w:ascii="Arial" w:hAnsi="Arial" w:cs="Arial"/>
          <w:sz w:val="22"/>
        </w:rPr>
      </w:pPr>
      <w:r w:rsidRPr="00EC2AF4">
        <w:rPr>
          <w:rFonts w:ascii="Arial" w:hAnsi="Arial" w:cs="Arial"/>
          <w:sz w:val="22"/>
        </w:rPr>
        <w:t>to investigate all allegations regarding the matter concerned;</w:t>
      </w:r>
    </w:p>
    <w:p w:rsidR="00EC2AF4" w:rsidRPr="00EC2AF4" w:rsidRDefault="00EC2AF4" w:rsidP="00EC2AF4">
      <w:pPr>
        <w:pStyle w:val="ListParagraph"/>
        <w:numPr>
          <w:ilvl w:val="0"/>
          <w:numId w:val="15"/>
        </w:numPr>
        <w:tabs>
          <w:tab w:val="left" w:pos="0"/>
          <w:tab w:val="left" w:pos="993"/>
        </w:tabs>
        <w:spacing w:line="360" w:lineRule="auto"/>
        <w:ind w:hanging="1080"/>
        <w:jc w:val="both"/>
        <w:rPr>
          <w:rFonts w:ascii="Arial" w:hAnsi="Arial" w:cs="Arial"/>
          <w:sz w:val="22"/>
        </w:rPr>
      </w:pPr>
      <w:r w:rsidRPr="00EC2AF4">
        <w:rPr>
          <w:rFonts w:ascii="Arial" w:hAnsi="Arial" w:cs="Arial"/>
          <w:sz w:val="22"/>
        </w:rPr>
        <w:t>to collect evidence regarding acts or omissions which are relevant to its investigation and, if applicable, to institute proceedings in a Special Tribunal against the parties concerned;</w:t>
      </w:r>
    </w:p>
    <w:p w:rsidR="00EC2AF4" w:rsidRPr="00EC2AF4" w:rsidRDefault="00EC2AF4" w:rsidP="00EC2AF4">
      <w:pPr>
        <w:pStyle w:val="ListParagraph"/>
        <w:numPr>
          <w:ilvl w:val="0"/>
          <w:numId w:val="15"/>
        </w:numPr>
        <w:tabs>
          <w:tab w:val="left" w:pos="0"/>
          <w:tab w:val="left" w:pos="993"/>
        </w:tabs>
        <w:spacing w:line="360" w:lineRule="auto"/>
        <w:ind w:hanging="1080"/>
        <w:jc w:val="both"/>
        <w:rPr>
          <w:rFonts w:ascii="Arial" w:hAnsi="Arial" w:cs="Arial"/>
          <w:sz w:val="22"/>
        </w:rPr>
      </w:pPr>
      <w:r w:rsidRPr="00EC2AF4">
        <w:rPr>
          <w:rFonts w:ascii="Arial" w:hAnsi="Arial" w:cs="Arial"/>
          <w:sz w:val="22"/>
        </w:rPr>
        <w:t xml:space="preserve">to present evidence in proceedings brought before a Special Tribunal; </w:t>
      </w:r>
    </w:p>
    <w:p w:rsidR="00EC2AF4" w:rsidRPr="00EC2AF4" w:rsidRDefault="00EC2AF4" w:rsidP="00EC2AF4">
      <w:pPr>
        <w:pStyle w:val="ListParagraph"/>
        <w:numPr>
          <w:ilvl w:val="0"/>
          <w:numId w:val="15"/>
        </w:numPr>
        <w:tabs>
          <w:tab w:val="left" w:pos="0"/>
          <w:tab w:val="left" w:pos="993"/>
        </w:tabs>
        <w:spacing w:line="360" w:lineRule="auto"/>
        <w:ind w:hanging="1080"/>
        <w:jc w:val="both"/>
        <w:rPr>
          <w:rFonts w:ascii="Arial" w:hAnsi="Arial" w:cs="Arial"/>
          <w:sz w:val="22"/>
        </w:rPr>
      </w:pPr>
      <w:r w:rsidRPr="00EC2AF4">
        <w:rPr>
          <w:rFonts w:ascii="Arial" w:hAnsi="Arial" w:cs="Arial"/>
          <w:sz w:val="22"/>
        </w:rPr>
        <w:t xml:space="preserve">to refer evidence regarding or which points to the commission of an offence to the relevant prosecuting authority; </w:t>
      </w:r>
    </w:p>
    <w:p w:rsidR="00EC2AF4" w:rsidRPr="00EC2AF4" w:rsidRDefault="00EC2AF4" w:rsidP="00EC2AF4">
      <w:pPr>
        <w:pStyle w:val="ListParagraph"/>
        <w:numPr>
          <w:ilvl w:val="0"/>
          <w:numId w:val="15"/>
        </w:numPr>
        <w:tabs>
          <w:tab w:val="left" w:pos="0"/>
          <w:tab w:val="left" w:pos="993"/>
        </w:tabs>
        <w:spacing w:line="360" w:lineRule="auto"/>
        <w:ind w:hanging="1080"/>
        <w:jc w:val="both"/>
        <w:rPr>
          <w:rFonts w:ascii="Arial" w:hAnsi="Arial" w:cs="Arial"/>
          <w:sz w:val="22"/>
        </w:rPr>
      </w:pPr>
      <w:r w:rsidRPr="00EC2AF4">
        <w:rPr>
          <w:rFonts w:ascii="Arial" w:hAnsi="Arial" w:cs="Arial"/>
          <w:sz w:val="22"/>
        </w:rPr>
        <w:t xml:space="preserve">to perform such functions which are not in conflict with the provisions of this Act, as the President may from time to time request; </w:t>
      </w:r>
    </w:p>
    <w:p w:rsidR="00EC2AF4" w:rsidRDefault="00EC2AF4" w:rsidP="00EC2AF4">
      <w:pPr>
        <w:tabs>
          <w:tab w:val="left" w:pos="0"/>
          <w:tab w:val="left" w:pos="993"/>
        </w:tabs>
        <w:spacing w:line="360" w:lineRule="auto"/>
        <w:ind w:left="991" w:hanging="1040"/>
        <w:jc w:val="both"/>
        <w:rPr>
          <w:rFonts w:ascii="Arial" w:hAnsi="Arial" w:cs="Arial"/>
          <w:sz w:val="22"/>
        </w:rPr>
      </w:pPr>
      <w:r w:rsidRPr="00EC2AF4">
        <w:rPr>
          <w:rFonts w:ascii="Arial" w:hAnsi="Arial" w:cs="Arial"/>
          <w:sz w:val="22"/>
        </w:rPr>
        <w:t xml:space="preserve">(f) </w:t>
      </w:r>
      <w:r>
        <w:rPr>
          <w:rFonts w:ascii="Arial" w:hAnsi="Arial" w:cs="Arial"/>
          <w:sz w:val="22"/>
        </w:rPr>
        <w:tab/>
      </w:r>
      <w:r w:rsidRPr="00EC2AF4">
        <w:rPr>
          <w:rFonts w:ascii="Arial" w:hAnsi="Arial" w:cs="Arial"/>
          <w:sz w:val="22"/>
        </w:rPr>
        <w:t>from time to time as directed by the President to report on the progress made in the investigation and matters brought before the Special Tribunal concerned;</w:t>
      </w:r>
    </w:p>
    <w:p w:rsidR="00EC2AF4" w:rsidRPr="00EC2AF4" w:rsidRDefault="00EC2AF4" w:rsidP="00EC2AF4">
      <w:pPr>
        <w:tabs>
          <w:tab w:val="left" w:pos="0"/>
          <w:tab w:val="left" w:pos="993"/>
        </w:tabs>
        <w:spacing w:line="360" w:lineRule="auto"/>
        <w:ind w:hanging="49"/>
        <w:jc w:val="both"/>
        <w:rPr>
          <w:rFonts w:ascii="Arial" w:hAnsi="Arial" w:cs="Arial"/>
          <w:sz w:val="22"/>
        </w:rPr>
      </w:pPr>
      <w:r w:rsidRPr="00EC2AF4">
        <w:rPr>
          <w:rFonts w:ascii="Arial" w:hAnsi="Arial" w:cs="Arial"/>
          <w:sz w:val="22"/>
        </w:rPr>
        <w:t xml:space="preserve">(g) </w:t>
      </w:r>
      <w:r>
        <w:rPr>
          <w:rFonts w:ascii="Arial" w:hAnsi="Arial" w:cs="Arial"/>
          <w:sz w:val="22"/>
        </w:rPr>
        <w:tab/>
      </w:r>
      <w:r w:rsidRPr="00EC2AF4">
        <w:rPr>
          <w:rFonts w:ascii="Arial" w:hAnsi="Arial" w:cs="Arial"/>
          <w:sz w:val="22"/>
        </w:rPr>
        <w:t>upon the conclusion of the investigation, to submit a final report to the President; and</w:t>
      </w:r>
    </w:p>
    <w:p w:rsidR="00675AD0" w:rsidRPr="007A14D3" w:rsidRDefault="00EC2AF4" w:rsidP="007A14D3">
      <w:pPr>
        <w:tabs>
          <w:tab w:val="left" w:pos="0"/>
          <w:tab w:val="left" w:pos="993"/>
        </w:tabs>
        <w:spacing w:line="360" w:lineRule="auto"/>
        <w:ind w:left="991" w:hanging="1040"/>
        <w:jc w:val="both"/>
        <w:rPr>
          <w:rFonts w:ascii="Arial" w:hAnsi="Arial" w:cs="Arial"/>
          <w:sz w:val="22"/>
        </w:rPr>
      </w:pPr>
      <w:r w:rsidRPr="00EC2AF4">
        <w:rPr>
          <w:rFonts w:ascii="Arial" w:hAnsi="Arial" w:cs="Arial"/>
          <w:sz w:val="22"/>
        </w:rPr>
        <w:t xml:space="preserve">(h) </w:t>
      </w:r>
      <w:r>
        <w:rPr>
          <w:rFonts w:ascii="Arial" w:hAnsi="Arial" w:cs="Arial"/>
          <w:sz w:val="22"/>
        </w:rPr>
        <w:tab/>
      </w:r>
      <w:r w:rsidRPr="00EC2AF4">
        <w:rPr>
          <w:rFonts w:ascii="Arial" w:hAnsi="Arial" w:cs="Arial"/>
          <w:sz w:val="22"/>
        </w:rPr>
        <w:t>to at least twice a year submit a report to Parliament on the investigations by and the activities, composition and expenditure of such Unit.’</w:t>
      </w:r>
    </w:p>
    <w:p w:rsidR="00675AD0" w:rsidRDefault="00675AD0" w:rsidP="00675AD0">
      <w:pPr>
        <w:tabs>
          <w:tab w:val="left" w:pos="900"/>
        </w:tabs>
        <w:spacing w:line="360" w:lineRule="auto"/>
        <w:ind w:left="900" w:hanging="900"/>
        <w:jc w:val="both"/>
        <w:rPr>
          <w:rFonts w:ascii="Arial" w:hAnsi="Arial" w:cs="Arial"/>
        </w:rPr>
      </w:pPr>
    </w:p>
    <w:p w:rsidR="00EC2AF4" w:rsidRDefault="00675AD0" w:rsidP="00EC2AF4">
      <w:pPr>
        <w:tabs>
          <w:tab w:val="left" w:pos="993"/>
        </w:tabs>
        <w:spacing w:line="360" w:lineRule="auto"/>
        <w:jc w:val="both"/>
        <w:rPr>
          <w:rFonts w:ascii="Arial" w:hAnsi="Arial" w:cs="Arial"/>
        </w:rPr>
      </w:pPr>
      <w:r>
        <w:rPr>
          <w:rFonts w:ascii="Arial" w:hAnsi="Arial" w:cs="Arial"/>
        </w:rPr>
        <w:t>[57]</w:t>
      </w:r>
      <w:r>
        <w:rPr>
          <w:rFonts w:ascii="Arial" w:hAnsi="Arial" w:cs="Arial"/>
        </w:rPr>
        <w:tab/>
      </w:r>
      <w:r w:rsidR="00EC2AF4" w:rsidRPr="00EC2AF4">
        <w:rPr>
          <w:rFonts w:ascii="Arial" w:hAnsi="Arial" w:cs="Arial"/>
        </w:rPr>
        <w:t>The Special Tribunal Act authorises the head of the SIU to institute legal proceedings on its own or on behalf of a State Institution. If during the investigation, any matter comes to the attention of the SIU which justifies the institution of civil proceedings by a State institution, against any person, he/she may bring such matter to the attention of the State Attorney or the State Institution concerned.</w:t>
      </w:r>
      <w:r w:rsidR="00EC2AF4" w:rsidRPr="00EC2AF4">
        <w:rPr>
          <w:rFonts w:ascii="Arial" w:hAnsi="Arial" w:cs="Arial"/>
          <w:vertAlign w:val="superscript"/>
        </w:rPr>
        <w:footnoteReference w:id="42"/>
      </w:r>
      <w:r w:rsidR="00EC2AF4" w:rsidRPr="00EC2AF4">
        <w:rPr>
          <w:rFonts w:ascii="Arial" w:hAnsi="Arial" w:cs="Arial"/>
        </w:rPr>
        <w:t xml:space="preserve">    </w:t>
      </w:r>
    </w:p>
    <w:p w:rsidR="007A14D3" w:rsidRDefault="007A14D3" w:rsidP="00EC2AF4">
      <w:pPr>
        <w:tabs>
          <w:tab w:val="left" w:pos="993"/>
        </w:tabs>
        <w:spacing w:line="360" w:lineRule="auto"/>
        <w:jc w:val="both"/>
        <w:rPr>
          <w:rFonts w:ascii="Arial" w:hAnsi="Arial" w:cs="Arial"/>
        </w:rPr>
      </w:pPr>
    </w:p>
    <w:p w:rsidR="00675AD0" w:rsidRDefault="00675AD0" w:rsidP="00EC2AF4">
      <w:pPr>
        <w:tabs>
          <w:tab w:val="left" w:pos="0"/>
          <w:tab w:val="left" w:pos="993"/>
        </w:tabs>
        <w:spacing w:line="360" w:lineRule="auto"/>
        <w:jc w:val="both"/>
        <w:rPr>
          <w:rFonts w:ascii="Arial" w:hAnsi="Arial" w:cs="Arial"/>
        </w:rPr>
      </w:pPr>
      <w:r>
        <w:rPr>
          <w:rFonts w:ascii="Arial" w:hAnsi="Arial" w:cs="Arial"/>
        </w:rPr>
        <w:lastRenderedPageBreak/>
        <w:t>[58]</w:t>
      </w:r>
      <w:r>
        <w:rPr>
          <w:rFonts w:ascii="Arial" w:hAnsi="Arial" w:cs="Arial"/>
        </w:rPr>
        <w:tab/>
      </w:r>
      <w:r w:rsidR="00EC2AF4" w:rsidRPr="00EC2AF4">
        <w:rPr>
          <w:rFonts w:ascii="Arial" w:hAnsi="Arial" w:cs="Arial"/>
        </w:rPr>
        <w:t>The SIU must always perform its functions in a manner that complies with the Constitution by acting with impartiality and without prejudice.</w:t>
      </w:r>
    </w:p>
    <w:p w:rsidR="00EC2AF4" w:rsidRDefault="00EC2AF4" w:rsidP="00EC2AF4">
      <w:pPr>
        <w:tabs>
          <w:tab w:val="left" w:pos="0"/>
          <w:tab w:val="left" w:pos="993"/>
        </w:tabs>
        <w:spacing w:line="360" w:lineRule="auto"/>
        <w:jc w:val="both"/>
        <w:rPr>
          <w:rFonts w:ascii="Arial" w:hAnsi="Arial" w:cs="Arial"/>
        </w:rPr>
      </w:pPr>
    </w:p>
    <w:p w:rsidR="00675AD0" w:rsidRDefault="00675AD0" w:rsidP="00675AD0">
      <w:pPr>
        <w:tabs>
          <w:tab w:val="left" w:pos="0"/>
          <w:tab w:val="left" w:pos="993"/>
        </w:tabs>
        <w:spacing w:line="360" w:lineRule="auto"/>
        <w:ind w:hanging="49"/>
        <w:jc w:val="both"/>
        <w:rPr>
          <w:rFonts w:ascii="Arial" w:hAnsi="Arial" w:cs="Arial"/>
        </w:rPr>
      </w:pPr>
      <w:r>
        <w:rPr>
          <w:rFonts w:ascii="Arial" w:hAnsi="Arial" w:cs="Arial"/>
        </w:rPr>
        <w:t xml:space="preserve"> [59]</w:t>
      </w:r>
      <w:r>
        <w:rPr>
          <w:rFonts w:ascii="Arial" w:hAnsi="Arial" w:cs="Arial"/>
        </w:rPr>
        <w:tab/>
      </w:r>
      <w:r w:rsidR="00EC2AF4" w:rsidRPr="00EC2AF4">
        <w:rPr>
          <w:rFonts w:ascii="Arial" w:hAnsi="Arial" w:cs="Arial"/>
        </w:rPr>
        <w:t xml:space="preserve">In the matter </w:t>
      </w:r>
      <w:r w:rsidR="00EC2AF4" w:rsidRPr="00EC2AF4">
        <w:rPr>
          <w:rFonts w:ascii="Arial" w:hAnsi="Arial" w:cs="Arial"/>
          <w:i/>
        </w:rPr>
        <w:t>in casu</w:t>
      </w:r>
      <w:r w:rsidR="00EC2AF4" w:rsidRPr="00EC2AF4">
        <w:rPr>
          <w:rFonts w:ascii="Arial" w:hAnsi="Arial" w:cs="Arial"/>
        </w:rPr>
        <w:t>, the SIU was given specific powers under Proclamation R.29 of 2017 to investigate, amongst others serious maladministration in connection with the affairs of the SABC; improper or unlawful conduct by board members, officials or employees of the SABC; unlawful, irregular or unapproved acquisitive act, transaction, measure or practice having a bearing upon state property; unlawful or improper conduct by any person.</w:t>
      </w:r>
    </w:p>
    <w:p w:rsidR="00675AD0" w:rsidRDefault="00675AD0" w:rsidP="00675AD0">
      <w:pPr>
        <w:tabs>
          <w:tab w:val="left" w:pos="900"/>
        </w:tabs>
        <w:spacing w:line="360" w:lineRule="auto"/>
        <w:ind w:left="900" w:hanging="900"/>
        <w:jc w:val="both"/>
        <w:rPr>
          <w:rFonts w:ascii="Arial" w:hAnsi="Arial" w:cs="Arial"/>
        </w:rPr>
      </w:pPr>
    </w:p>
    <w:p w:rsidR="00675AD0" w:rsidRDefault="00675AD0" w:rsidP="00675AD0">
      <w:pPr>
        <w:tabs>
          <w:tab w:val="left" w:pos="0"/>
          <w:tab w:val="left" w:pos="993"/>
        </w:tabs>
        <w:spacing w:line="360" w:lineRule="auto"/>
        <w:jc w:val="both"/>
        <w:rPr>
          <w:rFonts w:ascii="Arial" w:hAnsi="Arial" w:cs="Arial"/>
        </w:rPr>
      </w:pPr>
      <w:r>
        <w:rPr>
          <w:rFonts w:ascii="Arial" w:hAnsi="Arial" w:cs="Arial"/>
        </w:rPr>
        <w:t>[60]</w:t>
      </w:r>
      <w:r>
        <w:rPr>
          <w:rFonts w:ascii="Arial" w:hAnsi="Arial" w:cs="Arial"/>
        </w:rPr>
        <w:tab/>
      </w:r>
      <w:r w:rsidR="00EC2AF4" w:rsidRPr="00EC2AF4">
        <w:rPr>
          <w:rFonts w:ascii="Arial" w:hAnsi="Arial" w:cs="Arial"/>
          <w:lang w:val="en-ZA"/>
        </w:rPr>
        <w:t>On 6 July 2018, the President issued proclamation R19 of 2018 (‘proclamation’), in terms of which the SIU was appointed to investigate, amongst others, the procurement of goods, works or services by or on behalf of the SABC from Mafoko. In terms of paragraph 2 of the schedule to the proclamation, the SIU was requested to investigate the maladministration in the affairs of the SABC or any losses or prejudice suffered by the SABC or the State as a result of such maladministration. It is clear that the schedule gave the SIU wide powers.</w:t>
      </w:r>
    </w:p>
    <w:p w:rsidR="00675AD0" w:rsidRDefault="00675AD0" w:rsidP="00675AD0">
      <w:pPr>
        <w:tabs>
          <w:tab w:val="left" w:pos="900"/>
        </w:tabs>
        <w:spacing w:line="360" w:lineRule="auto"/>
        <w:ind w:left="900" w:hanging="900"/>
        <w:jc w:val="both"/>
        <w:rPr>
          <w:rFonts w:ascii="Arial" w:hAnsi="Arial" w:cs="Arial"/>
        </w:rPr>
      </w:pPr>
    </w:p>
    <w:p w:rsidR="00675AD0" w:rsidRDefault="00675AD0" w:rsidP="00675AD0">
      <w:pPr>
        <w:tabs>
          <w:tab w:val="left" w:pos="0"/>
          <w:tab w:val="left" w:pos="993"/>
        </w:tabs>
        <w:spacing w:line="360" w:lineRule="auto"/>
        <w:jc w:val="both"/>
        <w:rPr>
          <w:rFonts w:ascii="Arial" w:hAnsi="Arial" w:cs="Arial"/>
        </w:rPr>
      </w:pPr>
      <w:r>
        <w:rPr>
          <w:rFonts w:ascii="Arial" w:hAnsi="Arial" w:cs="Arial"/>
        </w:rPr>
        <w:t>[61]</w:t>
      </w:r>
      <w:r>
        <w:rPr>
          <w:rFonts w:ascii="Arial" w:hAnsi="Arial" w:cs="Arial"/>
        </w:rPr>
        <w:tab/>
      </w:r>
      <w:r w:rsidR="00EC2AF4" w:rsidRPr="00EC2AF4">
        <w:rPr>
          <w:rFonts w:ascii="Arial" w:hAnsi="Arial" w:cs="Arial"/>
          <w:lang w:val="en-ZA"/>
        </w:rPr>
        <w:t>Sections 50 and 57 of the PFMA placed fiduciary duties on the interim board members in their capacity as office bearers of the SABC to act with fidelity, honesty, integrity and in the best interests of the SABC in managing its affairs.</w:t>
      </w:r>
    </w:p>
    <w:p w:rsidR="00675AD0" w:rsidRDefault="00675AD0" w:rsidP="00675AD0">
      <w:pPr>
        <w:tabs>
          <w:tab w:val="left" w:pos="900"/>
        </w:tabs>
        <w:spacing w:line="360" w:lineRule="auto"/>
        <w:ind w:left="900" w:hanging="900"/>
        <w:jc w:val="both"/>
        <w:rPr>
          <w:rFonts w:ascii="Arial" w:hAnsi="Arial" w:cs="Arial"/>
        </w:rPr>
      </w:pPr>
    </w:p>
    <w:p w:rsidR="00675AD0" w:rsidRDefault="00675AD0" w:rsidP="00675AD0">
      <w:pPr>
        <w:tabs>
          <w:tab w:val="left" w:pos="993"/>
        </w:tabs>
        <w:spacing w:line="360" w:lineRule="auto"/>
        <w:jc w:val="both"/>
        <w:rPr>
          <w:rFonts w:ascii="Arial" w:hAnsi="Arial" w:cs="Arial"/>
          <w:lang w:val="en-ZA"/>
        </w:rPr>
      </w:pPr>
      <w:r>
        <w:rPr>
          <w:rFonts w:ascii="Arial" w:hAnsi="Arial" w:cs="Arial"/>
        </w:rPr>
        <w:t>[62]</w:t>
      </w:r>
      <w:r>
        <w:rPr>
          <w:rFonts w:ascii="Arial" w:hAnsi="Arial" w:cs="Arial"/>
        </w:rPr>
        <w:tab/>
      </w:r>
      <w:r w:rsidR="00EC2AF4" w:rsidRPr="00EC2AF4">
        <w:rPr>
          <w:rFonts w:ascii="Arial" w:hAnsi="Arial" w:cs="Arial"/>
          <w:lang w:val="en-ZA"/>
        </w:rPr>
        <w:t xml:space="preserve">Reading the provisions of s4 of the Special Tribunals Act, the PFMA and in conjunction with the proclamations, this Court finds that the SIU had the power to investigate the fiduciary duties of SABC and as a result the actions of the SIU were not </w:t>
      </w:r>
      <w:r w:rsidR="00EC2AF4" w:rsidRPr="00EC2AF4">
        <w:rPr>
          <w:rFonts w:ascii="Arial" w:hAnsi="Arial" w:cs="Arial"/>
          <w:i/>
          <w:lang w:val="en-ZA"/>
        </w:rPr>
        <w:t>ultra vires</w:t>
      </w:r>
      <w:r w:rsidR="00EC2AF4" w:rsidRPr="00EC2AF4">
        <w:rPr>
          <w:rFonts w:ascii="Arial" w:hAnsi="Arial" w:cs="Arial"/>
          <w:lang w:val="en-ZA"/>
        </w:rPr>
        <w:t>.</w:t>
      </w:r>
    </w:p>
    <w:p w:rsidR="00EC2AF4" w:rsidRDefault="00EC2AF4" w:rsidP="00675AD0">
      <w:pPr>
        <w:tabs>
          <w:tab w:val="left" w:pos="993"/>
        </w:tabs>
        <w:spacing w:line="360" w:lineRule="auto"/>
        <w:jc w:val="both"/>
        <w:rPr>
          <w:rFonts w:ascii="Arial" w:hAnsi="Arial" w:cs="Arial"/>
          <w:lang w:val="en-ZA"/>
        </w:rPr>
      </w:pPr>
    </w:p>
    <w:p w:rsidR="00EC2AF4" w:rsidRPr="00EC2AF4" w:rsidRDefault="00EC2AF4" w:rsidP="00EC2AF4">
      <w:pPr>
        <w:pStyle w:val="JudgmentNumbered"/>
        <w:numPr>
          <w:ilvl w:val="0"/>
          <w:numId w:val="0"/>
        </w:numPr>
        <w:rPr>
          <w:b/>
          <w:i/>
          <w:lang w:val="en-ZA"/>
        </w:rPr>
      </w:pPr>
      <w:r>
        <w:rPr>
          <w:b/>
          <w:i/>
          <w:lang w:val="en-ZA"/>
        </w:rPr>
        <w:t>Procedural fairness, the r</w:t>
      </w:r>
      <w:r w:rsidRPr="00E230D9">
        <w:rPr>
          <w:b/>
          <w:i/>
          <w:lang w:val="en-ZA"/>
        </w:rPr>
        <w:t>ight to be informed of remedial action</w:t>
      </w:r>
      <w:r>
        <w:rPr>
          <w:b/>
          <w:i/>
          <w:lang w:val="en-ZA"/>
        </w:rPr>
        <w:t xml:space="preserve"> and the audi alteram partem rule</w:t>
      </w:r>
    </w:p>
    <w:p w:rsidR="00675AD0" w:rsidRDefault="00675AD0" w:rsidP="00EC2AF4">
      <w:pPr>
        <w:tabs>
          <w:tab w:val="left" w:pos="0"/>
          <w:tab w:val="left" w:pos="993"/>
        </w:tabs>
        <w:spacing w:line="360" w:lineRule="auto"/>
        <w:jc w:val="both"/>
        <w:rPr>
          <w:rFonts w:ascii="Arial" w:hAnsi="Arial" w:cs="Arial"/>
          <w:lang w:val="en-ZA"/>
        </w:rPr>
      </w:pPr>
      <w:r w:rsidRPr="009D2BBD">
        <w:rPr>
          <w:rFonts w:ascii="Arial" w:hAnsi="Arial" w:cs="Arial"/>
        </w:rPr>
        <w:t>[</w:t>
      </w:r>
      <w:r>
        <w:rPr>
          <w:rFonts w:ascii="Arial" w:hAnsi="Arial" w:cs="Arial"/>
        </w:rPr>
        <w:t>63</w:t>
      </w:r>
      <w:r w:rsidRPr="009D2BBD">
        <w:rPr>
          <w:rFonts w:ascii="Arial" w:hAnsi="Arial" w:cs="Arial"/>
        </w:rPr>
        <w:t>]</w:t>
      </w:r>
      <w:r w:rsidRPr="009D2BBD">
        <w:rPr>
          <w:rFonts w:ascii="Arial" w:hAnsi="Arial" w:cs="Arial"/>
        </w:rPr>
        <w:tab/>
      </w:r>
      <w:r w:rsidR="00EC2AF4" w:rsidRPr="00EC2AF4">
        <w:rPr>
          <w:rFonts w:ascii="Arial" w:hAnsi="Arial" w:cs="Arial"/>
          <w:lang w:val="en-ZA"/>
        </w:rPr>
        <w:t xml:space="preserve">The interim board members contended that although the </w:t>
      </w:r>
      <w:r w:rsidR="00C42DEA">
        <w:rPr>
          <w:rFonts w:ascii="Arial" w:hAnsi="Arial" w:cs="Arial"/>
          <w:i/>
          <w:lang w:val="en-ZA"/>
        </w:rPr>
        <w:t>audi altera</w:t>
      </w:r>
      <w:r w:rsidR="00EC2AF4" w:rsidRPr="00EC2AF4">
        <w:rPr>
          <w:rFonts w:ascii="Arial" w:hAnsi="Arial" w:cs="Arial"/>
          <w:i/>
          <w:lang w:val="en-ZA"/>
        </w:rPr>
        <w:t>m partem</w:t>
      </w:r>
      <w:r w:rsidR="00EC2AF4" w:rsidRPr="00EC2AF4">
        <w:rPr>
          <w:rFonts w:ascii="Arial" w:hAnsi="Arial" w:cs="Arial"/>
          <w:lang w:val="en-ZA"/>
        </w:rPr>
        <w:t xml:space="preserve"> rule applies in respect to the SIU writing to the interim board members to make submissions on evidence, they were entitled to be informed of the remedial action. The interim board members contended that in respect to the remedial action they were denied the right to be heard in </w:t>
      </w:r>
      <w:r w:rsidR="00C42DEA" w:rsidRPr="00926B73">
        <w:rPr>
          <w:rFonts w:ascii="Arial" w:hAnsi="Arial" w:cs="Arial"/>
          <w:lang w:val="en-ZA"/>
        </w:rPr>
        <w:t>terms of the</w:t>
      </w:r>
      <w:r w:rsidR="00C42DEA">
        <w:rPr>
          <w:rFonts w:ascii="Arial" w:hAnsi="Arial" w:cs="Arial"/>
          <w:i/>
          <w:lang w:val="en-ZA"/>
        </w:rPr>
        <w:t xml:space="preserve"> audi altera</w:t>
      </w:r>
      <w:r w:rsidR="00EC2AF4" w:rsidRPr="00EC2AF4">
        <w:rPr>
          <w:rFonts w:ascii="Arial" w:hAnsi="Arial" w:cs="Arial"/>
          <w:i/>
          <w:lang w:val="en-ZA"/>
        </w:rPr>
        <w:t xml:space="preserve">m partem rule. </w:t>
      </w:r>
      <w:r w:rsidR="00EC2AF4" w:rsidRPr="00926B73">
        <w:rPr>
          <w:rFonts w:ascii="Arial" w:hAnsi="Arial" w:cs="Arial"/>
          <w:lang w:val="en-ZA"/>
        </w:rPr>
        <w:t>Reference was made to the cases of</w:t>
      </w:r>
      <w:r w:rsidR="00EC2AF4" w:rsidRPr="00EC2AF4">
        <w:rPr>
          <w:rFonts w:ascii="Arial" w:hAnsi="Arial" w:cs="Arial"/>
          <w:i/>
          <w:lang w:val="en-ZA"/>
        </w:rPr>
        <w:t xml:space="preserve"> Adminstrator of Transvaal and Others v Traub and Others</w:t>
      </w:r>
      <w:r w:rsidR="00EC2AF4" w:rsidRPr="00EC2AF4">
        <w:rPr>
          <w:rFonts w:ascii="Arial" w:hAnsi="Arial" w:cs="Arial"/>
          <w:vertAlign w:val="superscript"/>
          <w:lang w:val="en-ZA"/>
        </w:rPr>
        <w:footnoteReference w:id="43"/>
      </w:r>
      <w:r w:rsidR="00EC2AF4" w:rsidRPr="00EC2AF4">
        <w:rPr>
          <w:rFonts w:ascii="Arial" w:hAnsi="Arial" w:cs="Arial"/>
          <w:lang w:val="en-ZA"/>
        </w:rPr>
        <w:t xml:space="preserve"> (‘</w:t>
      </w:r>
      <w:r w:rsidR="00EC2AF4" w:rsidRPr="00EC2AF4">
        <w:rPr>
          <w:rFonts w:ascii="Arial" w:hAnsi="Arial" w:cs="Arial"/>
          <w:i/>
          <w:lang w:val="en-ZA"/>
        </w:rPr>
        <w:t>Administrator of Transvaal’</w:t>
      </w:r>
      <w:r w:rsidR="00EC2AF4" w:rsidRPr="00EC2AF4">
        <w:rPr>
          <w:rFonts w:ascii="Arial" w:hAnsi="Arial" w:cs="Arial"/>
          <w:lang w:val="en-ZA"/>
        </w:rPr>
        <w:t xml:space="preserve">) and </w:t>
      </w:r>
      <w:r w:rsidR="00EC2AF4" w:rsidRPr="00EC2AF4">
        <w:rPr>
          <w:rFonts w:ascii="Arial" w:hAnsi="Arial" w:cs="Arial"/>
          <w:i/>
          <w:lang w:val="en-ZA"/>
        </w:rPr>
        <w:t>Gordhan and Others v Public Protector and Others</w:t>
      </w:r>
      <w:r w:rsidR="00EC2AF4" w:rsidRPr="00EC2AF4">
        <w:rPr>
          <w:rFonts w:ascii="Arial" w:hAnsi="Arial" w:cs="Arial"/>
          <w:vertAlign w:val="superscript"/>
          <w:lang w:val="en-ZA"/>
        </w:rPr>
        <w:footnoteReference w:id="44"/>
      </w:r>
      <w:r w:rsidR="00EC2AF4" w:rsidRPr="00EC2AF4">
        <w:rPr>
          <w:rFonts w:ascii="Arial" w:hAnsi="Arial" w:cs="Arial"/>
          <w:lang w:val="en-ZA"/>
        </w:rPr>
        <w:t xml:space="preserve"> (‘</w:t>
      </w:r>
      <w:r w:rsidR="00EC2AF4" w:rsidRPr="00EC2AF4">
        <w:rPr>
          <w:rFonts w:ascii="Arial" w:hAnsi="Arial" w:cs="Arial"/>
          <w:i/>
          <w:lang w:val="en-ZA"/>
        </w:rPr>
        <w:t>Gordon</w:t>
      </w:r>
      <w:r w:rsidR="00926B73">
        <w:rPr>
          <w:rFonts w:ascii="Arial" w:hAnsi="Arial" w:cs="Arial"/>
          <w:lang w:val="en-ZA"/>
        </w:rPr>
        <w:t>’).</w:t>
      </w:r>
    </w:p>
    <w:p w:rsidR="00EC2AF4" w:rsidRPr="009D2BBD" w:rsidRDefault="00EC2AF4" w:rsidP="00EC2AF4">
      <w:pPr>
        <w:tabs>
          <w:tab w:val="left" w:pos="0"/>
          <w:tab w:val="left" w:pos="993"/>
        </w:tabs>
        <w:spacing w:line="360" w:lineRule="auto"/>
        <w:jc w:val="both"/>
        <w:rPr>
          <w:rFonts w:ascii="Arial" w:hAnsi="Arial" w:cs="Arial"/>
        </w:rPr>
      </w:pPr>
    </w:p>
    <w:p w:rsidR="00675AD0" w:rsidRDefault="00675AD0" w:rsidP="00675AD0">
      <w:pPr>
        <w:tabs>
          <w:tab w:val="left" w:pos="993"/>
        </w:tabs>
        <w:spacing w:line="360" w:lineRule="auto"/>
        <w:jc w:val="both"/>
        <w:rPr>
          <w:rFonts w:ascii="Arial" w:hAnsi="Arial" w:cs="Arial"/>
        </w:rPr>
      </w:pPr>
      <w:r w:rsidRPr="009D2BBD">
        <w:rPr>
          <w:rFonts w:ascii="Arial" w:hAnsi="Arial" w:cs="Arial"/>
        </w:rPr>
        <w:t>[</w:t>
      </w:r>
      <w:r>
        <w:rPr>
          <w:rFonts w:ascii="Arial" w:hAnsi="Arial" w:cs="Arial"/>
        </w:rPr>
        <w:t>64</w:t>
      </w:r>
      <w:r w:rsidRPr="009D2BBD">
        <w:rPr>
          <w:rFonts w:ascii="Arial" w:hAnsi="Arial" w:cs="Arial"/>
        </w:rPr>
        <w:t>]</w:t>
      </w:r>
      <w:r w:rsidRPr="009D2BBD">
        <w:rPr>
          <w:rFonts w:ascii="Arial" w:hAnsi="Arial" w:cs="Arial"/>
        </w:rPr>
        <w:tab/>
      </w:r>
      <w:r w:rsidR="00EC2AF4" w:rsidRPr="00EC2AF4">
        <w:rPr>
          <w:rFonts w:ascii="Arial" w:hAnsi="Arial" w:cs="Arial"/>
          <w:lang w:val="en-ZA"/>
        </w:rPr>
        <w:t>The SIU on the other hand contended that it had conducted interviews with the interim board members and it had exchanged letters during the process of the investigation and that these letters were considered.</w:t>
      </w:r>
    </w:p>
    <w:p w:rsidR="00675AD0" w:rsidRDefault="00675AD0" w:rsidP="00675AD0">
      <w:pPr>
        <w:tabs>
          <w:tab w:val="left" w:pos="900"/>
        </w:tabs>
        <w:spacing w:line="360" w:lineRule="auto"/>
        <w:ind w:left="900" w:hanging="900"/>
        <w:jc w:val="both"/>
        <w:rPr>
          <w:rFonts w:ascii="Arial" w:hAnsi="Arial" w:cs="Arial"/>
        </w:rPr>
      </w:pPr>
    </w:p>
    <w:p w:rsidR="00EC2AF4" w:rsidRDefault="00675AD0" w:rsidP="00EC2AF4">
      <w:pPr>
        <w:tabs>
          <w:tab w:val="left" w:pos="0"/>
          <w:tab w:val="left" w:pos="993"/>
        </w:tabs>
        <w:spacing w:line="360" w:lineRule="auto"/>
        <w:jc w:val="both"/>
        <w:rPr>
          <w:rFonts w:ascii="Arial" w:hAnsi="Arial" w:cs="Arial"/>
          <w:lang w:val="en-ZA"/>
        </w:rPr>
      </w:pPr>
      <w:r w:rsidRPr="006B605E">
        <w:rPr>
          <w:rFonts w:ascii="Arial" w:hAnsi="Arial" w:cs="Arial"/>
        </w:rPr>
        <w:t>[</w:t>
      </w:r>
      <w:r>
        <w:rPr>
          <w:rFonts w:ascii="Arial" w:hAnsi="Arial" w:cs="Arial"/>
        </w:rPr>
        <w:t>65</w:t>
      </w:r>
      <w:r w:rsidRPr="006B605E">
        <w:rPr>
          <w:rFonts w:ascii="Arial" w:hAnsi="Arial" w:cs="Arial"/>
        </w:rPr>
        <w:t>]</w:t>
      </w:r>
      <w:r w:rsidRPr="006B605E">
        <w:rPr>
          <w:rFonts w:ascii="Arial" w:hAnsi="Arial" w:cs="Arial"/>
        </w:rPr>
        <w:tab/>
      </w:r>
      <w:r w:rsidR="00EC2AF4" w:rsidRPr="00EC2AF4">
        <w:rPr>
          <w:rFonts w:ascii="Arial" w:hAnsi="Arial" w:cs="Arial"/>
          <w:lang w:val="en-ZA"/>
        </w:rPr>
        <w:t xml:space="preserve">In the matter of </w:t>
      </w:r>
      <w:r w:rsidR="00EC2AF4" w:rsidRPr="00EC2AF4">
        <w:rPr>
          <w:rFonts w:ascii="Arial" w:hAnsi="Arial" w:cs="Arial"/>
          <w:i/>
          <w:lang w:val="en-ZA"/>
        </w:rPr>
        <w:t>Administrator of Transvaal</w:t>
      </w:r>
      <w:r w:rsidR="00EC2AF4" w:rsidRPr="00EC2AF4">
        <w:rPr>
          <w:rFonts w:ascii="Arial" w:hAnsi="Arial" w:cs="Arial"/>
          <w:lang w:val="en-ZA"/>
        </w:rPr>
        <w:t>,</w:t>
      </w:r>
      <w:r w:rsidR="00EC2AF4" w:rsidRPr="00EC2AF4">
        <w:rPr>
          <w:rFonts w:ascii="Arial" w:hAnsi="Arial" w:cs="Arial"/>
          <w:vertAlign w:val="superscript"/>
          <w:lang w:val="en-ZA"/>
        </w:rPr>
        <w:footnoteReference w:id="45"/>
      </w:r>
      <w:r w:rsidR="00EC2AF4" w:rsidRPr="00EC2AF4">
        <w:rPr>
          <w:rFonts w:ascii="Arial" w:hAnsi="Arial" w:cs="Arial"/>
          <w:lang w:val="en-ZA"/>
        </w:rPr>
        <w:t xml:space="preserve"> the Director of Hospital Services rejected the applications of certain doctors in respect to promotions to become Senior House Officers (‘SHO’) at the hospital. This was because the doctors had signed a critical letter. The court found that the </w:t>
      </w:r>
      <w:r w:rsidR="00EC2AF4" w:rsidRPr="00EC2AF4">
        <w:rPr>
          <w:rFonts w:ascii="Arial" w:hAnsi="Arial" w:cs="Arial"/>
          <w:i/>
          <w:lang w:val="en-ZA"/>
        </w:rPr>
        <w:t>audi alteram partem</w:t>
      </w:r>
      <w:r w:rsidR="00EC2AF4" w:rsidRPr="00EC2AF4">
        <w:rPr>
          <w:rFonts w:ascii="Arial" w:hAnsi="Arial" w:cs="Arial"/>
          <w:lang w:val="en-ZA"/>
        </w:rPr>
        <w:t xml:space="preserve"> principle of natural justice, requiring a fair hearing, was not followed. The court extended the traditional scope of </w:t>
      </w:r>
      <w:r w:rsidR="00EC2AF4" w:rsidRPr="00EC2AF4">
        <w:rPr>
          <w:rFonts w:ascii="Arial" w:hAnsi="Arial" w:cs="Arial"/>
          <w:i/>
          <w:lang w:val="en-ZA"/>
        </w:rPr>
        <w:t>audi alteram partem</w:t>
      </w:r>
      <w:r w:rsidR="00EC2AF4" w:rsidRPr="00EC2AF4">
        <w:rPr>
          <w:rFonts w:ascii="Arial" w:hAnsi="Arial" w:cs="Arial"/>
          <w:lang w:val="en-ZA"/>
        </w:rPr>
        <w:t xml:space="preserve"> beyond just decisions affecting existing rights. It endorsed the ‘legitimate expectation’ doctrine from English law. It found the doctors had a legitimate expectation of being appointed as SHO’s based on decades of practice of approving recommended applications. This gave rise to an expectation of a hearing before rejecting appointments on suitability grounds. The Appellate Division (as it then was), held that by not providing a hearing, the Director failed to act fairly as required by the </w:t>
      </w:r>
      <w:r w:rsidR="00C42DEA">
        <w:rPr>
          <w:rFonts w:ascii="Arial" w:hAnsi="Arial" w:cs="Arial"/>
          <w:i/>
          <w:lang w:val="en-ZA"/>
        </w:rPr>
        <w:t>audi altera</w:t>
      </w:r>
      <w:r w:rsidR="00EC2AF4" w:rsidRPr="00EC2AF4">
        <w:rPr>
          <w:rFonts w:ascii="Arial" w:hAnsi="Arial" w:cs="Arial"/>
          <w:i/>
          <w:lang w:val="en-ZA"/>
        </w:rPr>
        <w:t>m partem</w:t>
      </w:r>
      <w:r w:rsidR="00EC2AF4" w:rsidRPr="00EC2AF4">
        <w:rPr>
          <w:rFonts w:ascii="Arial" w:hAnsi="Arial" w:cs="Arial"/>
          <w:lang w:val="en-ZA"/>
        </w:rPr>
        <w:t xml:space="preserve"> rule, thereby making the decision invalid. The court dismissed the argument that the doctors were in fact given a fair hearing and held that:</w:t>
      </w:r>
    </w:p>
    <w:p w:rsidR="00EC2AF4" w:rsidRPr="00EC2AF4" w:rsidRDefault="00EC2AF4" w:rsidP="00EC2AF4">
      <w:pPr>
        <w:tabs>
          <w:tab w:val="left" w:pos="0"/>
          <w:tab w:val="left" w:pos="993"/>
        </w:tabs>
        <w:spacing w:line="360" w:lineRule="auto"/>
        <w:jc w:val="both"/>
        <w:rPr>
          <w:rFonts w:ascii="Arial" w:hAnsi="Arial" w:cs="Arial"/>
          <w:lang w:val="en-ZA"/>
        </w:rPr>
      </w:pPr>
      <w:r w:rsidRPr="00EC2AF4">
        <w:rPr>
          <w:rFonts w:ascii="Arial" w:hAnsi="Arial" w:cs="Arial"/>
          <w:lang w:val="en-ZA"/>
        </w:rPr>
        <w:t xml:space="preserve"> </w:t>
      </w:r>
    </w:p>
    <w:p w:rsidR="00675AD0" w:rsidRPr="00EC2AF4" w:rsidRDefault="00EC2AF4" w:rsidP="00675AD0">
      <w:pPr>
        <w:tabs>
          <w:tab w:val="left" w:pos="0"/>
          <w:tab w:val="left" w:pos="993"/>
        </w:tabs>
        <w:spacing w:line="360" w:lineRule="auto"/>
        <w:jc w:val="both"/>
        <w:rPr>
          <w:rFonts w:ascii="Arial" w:hAnsi="Arial" w:cs="Arial"/>
          <w:sz w:val="22"/>
          <w:lang w:val="en-ZA"/>
        </w:rPr>
      </w:pPr>
      <w:r w:rsidRPr="00EC2AF4">
        <w:rPr>
          <w:rFonts w:ascii="Arial" w:hAnsi="Arial" w:cs="Arial"/>
          <w:sz w:val="22"/>
          <w:lang w:val="en-ZA"/>
        </w:rPr>
        <w:t>‘A frequently recurring theme in these English cases concerning legitimate expectation is the duty on the part of the decision­maker to 'act fairly'. As has been pointed out, this is simply another, and preferable, way of saying that the decision­maker must observe the principles of natural justice.’</w:t>
      </w:r>
      <w:r w:rsidRPr="00EC2AF4">
        <w:rPr>
          <w:rFonts w:ascii="Arial" w:hAnsi="Arial" w:cs="Arial"/>
          <w:sz w:val="22"/>
          <w:vertAlign w:val="superscript"/>
          <w:lang w:val="en-ZA"/>
        </w:rPr>
        <w:footnoteReference w:id="46"/>
      </w:r>
    </w:p>
    <w:p w:rsidR="00675AD0" w:rsidRDefault="00675AD0" w:rsidP="00675AD0">
      <w:pPr>
        <w:tabs>
          <w:tab w:val="left" w:pos="900"/>
        </w:tabs>
        <w:spacing w:line="360" w:lineRule="auto"/>
        <w:ind w:left="900" w:hanging="900"/>
        <w:jc w:val="both"/>
        <w:rPr>
          <w:rFonts w:ascii="Arial" w:hAnsi="Arial" w:cs="Arial"/>
        </w:rPr>
      </w:pPr>
    </w:p>
    <w:p w:rsidR="00EC2AF4" w:rsidRDefault="00675AD0" w:rsidP="00796C87">
      <w:pPr>
        <w:tabs>
          <w:tab w:val="left" w:pos="0"/>
          <w:tab w:val="left" w:pos="993"/>
        </w:tabs>
        <w:spacing w:line="360" w:lineRule="auto"/>
        <w:jc w:val="both"/>
        <w:rPr>
          <w:rFonts w:ascii="Arial" w:hAnsi="Arial" w:cs="Arial"/>
          <w:lang w:val="en-ZA"/>
        </w:rPr>
      </w:pPr>
      <w:r>
        <w:rPr>
          <w:rFonts w:ascii="Arial" w:hAnsi="Arial" w:cs="Arial"/>
        </w:rPr>
        <w:t>[66]</w:t>
      </w:r>
      <w:r>
        <w:rPr>
          <w:rFonts w:ascii="Arial" w:hAnsi="Arial" w:cs="Arial"/>
        </w:rPr>
        <w:tab/>
      </w:r>
      <w:r w:rsidR="00EC2AF4" w:rsidRPr="00EC2AF4">
        <w:rPr>
          <w:rFonts w:ascii="Arial" w:hAnsi="Arial" w:cs="Arial"/>
          <w:lang w:val="en-ZA"/>
        </w:rPr>
        <w:t xml:space="preserve">In the matter of </w:t>
      </w:r>
      <w:r w:rsidR="00EC2AF4" w:rsidRPr="00EC2AF4">
        <w:rPr>
          <w:rFonts w:ascii="Arial" w:hAnsi="Arial" w:cs="Arial"/>
          <w:i/>
          <w:lang w:val="en-ZA"/>
        </w:rPr>
        <w:t>Minister of Water and Sanitation v The Public Protector of the Republic of South Africa</w:t>
      </w:r>
      <w:r w:rsidR="00EC2AF4">
        <w:rPr>
          <w:rFonts w:ascii="Arial" w:hAnsi="Arial" w:cs="Arial"/>
          <w:lang w:val="en-ZA"/>
        </w:rPr>
        <w:t>,</w:t>
      </w:r>
      <w:r w:rsidR="00EC2AF4" w:rsidRPr="00EC2AF4">
        <w:rPr>
          <w:rFonts w:ascii="Arial" w:hAnsi="Arial" w:cs="Arial"/>
          <w:vertAlign w:val="superscript"/>
          <w:lang w:val="en-ZA"/>
        </w:rPr>
        <w:footnoteReference w:id="47"/>
      </w:r>
      <w:r w:rsidR="00EC2AF4" w:rsidRPr="00EC2AF4">
        <w:rPr>
          <w:rFonts w:ascii="Arial" w:hAnsi="Arial" w:cs="Arial"/>
          <w:lang w:val="en-ZA"/>
        </w:rPr>
        <w:t xml:space="preserve"> </w:t>
      </w:r>
      <w:r w:rsidR="00061A7B">
        <w:rPr>
          <w:rFonts w:ascii="Arial" w:hAnsi="Arial" w:cs="Arial"/>
          <w:lang w:val="en-ZA"/>
        </w:rPr>
        <w:t>the Court held that:</w:t>
      </w:r>
    </w:p>
    <w:p w:rsidR="00796C87" w:rsidRPr="00EC2AF4" w:rsidRDefault="00796C87" w:rsidP="00796C87">
      <w:pPr>
        <w:tabs>
          <w:tab w:val="left" w:pos="0"/>
          <w:tab w:val="left" w:pos="993"/>
        </w:tabs>
        <w:spacing w:line="360" w:lineRule="auto"/>
        <w:jc w:val="both"/>
        <w:rPr>
          <w:rFonts w:ascii="Arial" w:hAnsi="Arial" w:cs="Arial"/>
          <w:lang w:val="en-ZA"/>
        </w:rPr>
      </w:pPr>
    </w:p>
    <w:p w:rsidR="00EC2AF4" w:rsidRPr="00EC2AF4" w:rsidRDefault="00EC2AF4" w:rsidP="00EC2AF4">
      <w:pPr>
        <w:tabs>
          <w:tab w:val="left" w:pos="0"/>
        </w:tabs>
        <w:spacing w:line="360" w:lineRule="auto"/>
        <w:jc w:val="both"/>
        <w:rPr>
          <w:rFonts w:ascii="Arial" w:hAnsi="Arial" w:cs="Arial"/>
          <w:sz w:val="22"/>
          <w:lang w:val="en-ZA"/>
        </w:rPr>
      </w:pPr>
      <w:r w:rsidRPr="00EC2AF4">
        <w:rPr>
          <w:rFonts w:ascii="Arial" w:hAnsi="Arial" w:cs="Arial"/>
          <w:sz w:val="22"/>
          <w:lang w:val="en-ZA"/>
        </w:rPr>
        <w:t>‘A basic rule of fairness is that a person who will be adversely affected by an act or a decision of the administration or authority shall be granted a hearing before he suffers detriment.’</w:t>
      </w:r>
    </w:p>
    <w:p w:rsidR="00675AD0" w:rsidRDefault="00675AD0" w:rsidP="00EC2AF4">
      <w:pPr>
        <w:tabs>
          <w:tab w:val="left" w:pos="900"/>
        </w:tabs>
        <w:spacing w:line="360" w:lineRule="auto"/>
        <w:ind w:left="900" w:hanging="900"/>
        <w:jc w:val="both"/>
        <w:rPr>
          <w:rFonts w:ascii="Arial" w:hAnsi="Arial" w:cs="Arial"/>
          <w:sz w:val="22"/>
          <w:szCs w:val="22"/>
        </w:rPr>
      </w:pPr>
    </w:p>
    <w:p w:rsidR="00675AD0" w:rsidRPr="00DC579F" w:rsidRDefault="00675AD0" w:rsidP="00675AD0">
      <w:pPr>
        <w:tabs>
          <w:tab w:val="left" w:pos="993"/>
        </w:tabs>
        <w:spacing w:line="360" w:lineRule="auto"/>
        <w:jc w:val="both"/>
        <w:rPr>
          <w:rFonts w:ascii="Arial" w:hAnsi="Arial" w:cs="Arial"/>
        </w:rPr>
      </w:pPr>
      <w:r>
        <w:rPr>
          <w:rFonts w:ascii="Arial" w:hAnsi="Arial" w:cs="Arial"/>
        </w:rPr>
        <w:t>[67]</w:t>
      </w:r>
      <w:r>
        <w:rPr>
          <w:rFonts w:ascii="Arial" w:hAnsi="Arial" w:cs="Arial"/>
        </w:rPr>
        <w:tab/>
      </w:r>
      <w:r w:rsidR="00061A7B" w:rsidRPr="00061A7B">
        <w:rPr>
          <w:rFonts w:ascii="Arial" w:hAnsi="Arial" w:cs="Arial"/>
          <w:lang w:val="en-ZA"/>
        </w:rPr>
        <w:t>This principle is derived from tenets of natural justice which is ‘inspired by the notion that people should be afforded a chance to participate in the decision that will affect them and more importantly an opportunity to influence the result of the decision.’</w:t>
      </w:r>
      <w:r w:rsidR="00061A7B" w:rsidRPr="00061A7B">
        <w:rPr>
          <w:rFonts w:ascii="Arial" w:hAnsi="Arial" w:cs="Arial"/>
          <w:vertAlign w:val="superscript"/>
          <w:lang w:val="en-ZA"/>
        </w:rPr>
        <w:footnoteReference w:id="48"/>
      </w:r>
    </w:p>
    <w:p w:rsidR="00675AD0" w:rsidRDefault="00675AD0" w:rsidP="00675AD0">
      <w:pPr>
        <w:tabs>
          <w:tab w:val="left" w:pos="900"/>
        </w:tabs>
        <w:spacing w:line="360" w:lineRule="auto"/>
        <w:ind w:left="900" w:hanging="900"/>
        <w:jc w:val="both"/>
      </w:pPr>
    </w:p>
    <w:p w:rsidR="00061A7B" w:rsidRDefault="00675AD0" w:rsidP="00061A7B">
      <w:pPr>
        <w:tabs>
          <w:tab w:val="left" w:pos="0"/>
          <w:tab w:val="left" w:pos="993"/>
        </w:tabs>
        <w:spacing w:line="360" w:lineRule="auto"/>
        <w:jc w:val="both"/>
        <w:rPr>
          <w:rFonts w:ascii="Arial" w:hAnsi="Arial" w:cs="Arial"/>
          <w:lang w:val="en-ZA"/>
        </w:rPr>
      </w:pPr>
      <w:r w:rsidRPr="00DB5770">
        <w:rPr>
          <w:rFonts w:ascii="Arial" w:hAnsi="Arial" w:cs="Arial"/>
        </w:rPr>
        <w:t>[</w:t>
      </w:r>
      <w:r>
        <w:rPr>
          <w:rFonts w:ascii="Arial" w:hAnsi="Arial" w:cs="Arial"/>
        </w:rPr>
        <w:t>68</w:t>
      </w:r>
      <w:r w:rsidRPr="00DB5770">
        <w:rPr>
          <w:rFonts w:ascii="Arial" w:hAnsi="Arial" w:cs="Arial"/>
        </w:rPr>
        <w:t>]</w:t>
      </w:r>
      <w:r>
        <w:tab/>
      </w:r>
      <w:r w:rsidR="00061A7B" w:rsidRPr="00061A7B">
        <w:rPr>
          <w:rFonts w:ascii="Arial" w:hAnsi="Arial" w:cs="Arial"/>
          <w:lang w:val="en-ZA"/>
        </w:rPr>
        <w:t>The interim board members were informed by the SIU that they:</w:t>
      </w:r>
    </w:p>
    <w:p w:rsidR="00061A7B" w:rsidRPr="00061A7B" w:rsidRDefault="00061A7B" w:rsidP="00061A7B">
      <w:pPr>
        <w:tabs>
          <w:tab w:val="left" w:pos="0"/>
          <w:tab w:val="left" w:pos="993"/>
        </w:tabs>
        <w:spacing w:line="360" w:lineRule="auto"/>
        <w:jc w:val="both"/>
        <w:rPr>
          <w:rFonts w:ascii="Arial" w:hAnsi="Arial" w:cs="Arial"/>
          <w:lang w:val="en-ZA"/>
        </w:rPr>
      </w:pPr>
    </w:p>
    <w:p w:rsidR="00061A7B" w:rsidRPr="00061A7B" w:rsidRDefault="00061A7B" w:rsidP="00061A7B">
      <w:pPr>
        <w:tabs>
          <w:tab w:val="left" w:pos="0"/>
          <w:tab w:val="left" w:pos="993"/>
        </w:tabs>
        <w:spacing w:line="360" w:lineRule="auto"/>
        <w:jc w:val="both"/>
        <w:rPr>
          <w:rFonts w:ascii="Arial" w:hAnsi="Arial" w:cs="Arial"/>
          <w:lang w:val="en-ZA"/>
        </w:rPr>
      </w:pPr>
      <w:r w:rsidRPr="00061A7B">
        <w:rPr>
          <w:rFonts w:ascii="Arial" w:hAnsi="Arial" w:cs="Arial"/>
          <w:lang w:val="en-ZA"/>
        </w:rPr>
        <w:t xml:space="preserve">(a)      </w:t>
      </w:r>
      <w:r>
        <w:rPr>
          <w:rFonts w:ascii="Arial" w:hAnsi="Arial" w:cs="Arial"/>
          <w:lang w:val="en-ZA"/>
        </w:rPr>
        <w:tab/>
      </w:r>
      <w:r w:rsidRPr="00061A7B">
        <w:rPr>
          <w:rFonts w:ascii="Arial" w:hAnsi="Arial" w:cs="Arial"/>
          <w:lang w:val="en-ZA"/>
        </w:rPr>
        <w:t xml:space="preserve">failed to comply with section 2(1)(f) of the PPPFA by not appointing the  </w:t>
      </w:r>
    </w:p>
    <w:p w:rsidR="00061A7B" w:rsidRPr="00061A7B" w:rsidRDefault="00061A7B" w:rsidP="00061A7B">
      <w:pPr>
        <w:tabs>
          <w:tab w:val="left" w:pos="0"/>
          <w:tab w:val="left" w:pos="993"/>
        </w:tabs>
        <w:spacing w:line="360" w:lineRule="auto"/>
        <w:jc w:val="both"/>
        <w:rPr>
          <w:rFonts w:ascii="Arial" w:hAnsi="Arial" w:cs="Arial"/>
          <w:lang w:val="en-ZA"/>
        </w:rPr>
      </w:pPr>
      <w:r w:rsidRPr="00061A7B">
        <w:rPr>
          <w:rFonts w:ascii="Arial" w:hAnsi="Arial" w:cs="Arial"/>
          <w:lang w:val="en-ZA"/>
        </w:rPr>
        <w:t xml:space="preserve">          </w:t>
      </w:r>
      <w:r>
        <w:rPr>
          <w:rFonts w:ascii="Arial" w:hAnsi="Arial" w:cs="Arial"/>
          <w:lang w:val="en-ZA"/>
        </w:rPr>
        <w:tab/>
      </w:r>
      <w:r w:rsidRPr="00061A7B">
        <w:rPr>
          <w:rFonts w:ascii="Arial" w:hAnsi="Arial" w:cs="Arial"/>
          <w:lang w:val="en-ZA"/>
        </w:rPr>
        <w:t>highest scoring bidder;</w:t>
      </w:r>
    </w:p>
    <w:p w:rsidR="00061A7B" w:rsidRPr="00061A7B" w:rsidRDefault="00061A7B" w:rsidP="00061A7B">
      <w:pPr>
        <w:tabs>
          <w:tab w:val="left" w:pos="0"/>
          <w:tab w:val="left" w:pos="993"/>
        </w:tabs>
        <w:spacing w:line="360" w:lineRule="auto"/>
        <w:jc w:val="both"/>
        <w:rPr>
          <w:rFonts w:ascii="Arial" w:hAnsi="Arial" w:cs="Arial"/>
          <w:lang w:val="en-ZA"/>
        </w:rPr>
      </w:pPr>
      <w:r w:rsidRPr="00061A7B">
        <w:rPr>
          <w:rFonts w:ascii="Arial" w:hAnsi="Arial" w:cs="Arial"/>
          <w:lang w:val="en-ZA"/>
        </w:rPr>
        <w:t xml:space="preserve">(b) </w:t>
      </w:r>
      <w:r w:rsidRPr="00061A7B">
        <w:rPr>
          <w:rFonts w:ascii="Arial" w:hAnsi="Arial" w:cs="Arial"/>
          <w:lang w:val="en-ZA"/>
        </w:rPr>
        <w:tab/>
        <w:t>failed to consider the opinion by National Treasury;</w:t>
      </w:r>
    </w:p>
    <w:p w:rsidR="00061A7B" w:rsidRPr="00061A7B" w:rsidRDefault="00061A7B" w:rsidP="00061A7B">
      <w:pPr>
        <w:tabs>
          <w:tab w:val="left" w:pos="0"/>
          <w:tab w:val="left" w:pos="993"/>
        </w:tabs>
        <w:spacing w:line="360" w:lineRule="auto"/>
        <w:ind w:left="990" w:hanging="990"/>
        <w:jc w:val="both"/>
        <w:rPr>
          <w:rFonts w:ascii="Arial" w:hAnsi="Arial" w:cs="Arial"/>
          <w:lang w:val="en-ZA"/>
        </w:rPr>
      </w:pPr>
      <w:r w:rsidRPr="00061A7B">
        <w:rPr>
          <w:rFonts w:ascii="Arial" w:hAnsi="Arial" w:cs="Arial"/>
          <w:lang w:val="en-ZA"/>
        </w:rPr>
        <w:t xml:space="preserve">(c)     </w:t>
      </w:r>
      <w:r>
        <w:rPr>
          <w:rFonts w:ascii="Arial" w:hAnsi="Arial" w:cs="Arial"/>
          <w:lang w:val="en-ZA"/>
        </w:rPr>
        <w:tab/>
      </w:r>
      <w:r w:rsidRPr="00061A7B">
        <w:rPr>
          <w:rFonts w:ascii="Arial" w:hAnsi="Arial" w:cs="Arial"/>
          <w:lang w:val="en-ZA"/>
        </w:rPr>
        <w:t>failed to record objective reasons for not approving the award of the tender to the highest scoring bidder; and</w:t>
      </w:r>
    </w:p>
    <w:p w:rsidR="00675AD0" w:rsidRPr="00061A7B" w:rsidRDefault="00061A7B" w:rsidP="00675AD0">
      <w:pPr>
        <w:tabs>
          <w:tab w:val="left" w:pos="0"/>
          <w:tab w:val="left" w:pos="993"/>
        </w:tabs>
        <w:spacing w:line="360" w:lineRule="auto"/>
        <w:jc w:val="both"/>
        <w:rPr>
          <w:rFonts w:ascii="Arial" w:hAnsi="Arial" w:cs="Arial"/>
          <w:lang w:val="en-ZA"/>
        </w:rPr>
      </w:pPr>
      <w:r w:rsidRPr="00061A7B">
        <w:rPr>
          <w:rFonts w:ascii="Arial" w:hAnsi="Arial" w:cs="Arial"/>
          <w:lang w:val="en-ZA"/>
        </w:rPr>
        <w:t xml:space="preserve">(d)     </w:t>
      </w:r>
      <w:r>
        <w:rPr>
          <w:rFonts w:ascii="Arial" w:hAnsi="Arial" w:cs="Arial"/>
          <w:lang w:val="en-ZA"/>
        </w:rPr>
        <w:tab/>
      </w:r>
      <w:r w:rsidRPr="00061A7B">
        <w:rPr>
          <w:rFonts w:ascii="Arial" w:hAnsi="Arial" w:cs="Arial"/>
          <w:lang w:val="en-ZA"/>
        </w:rPr>
        <w:t>committed acts of financial misconduct in terms of section 81 of the PFMA.</w:t>
      </w:r>
    </w:p>
    <w:p w:rsidR="00675AD0" w:rsidRDefault="00675AD0" w:rsidP="00675AD0">
      <w:pPr>
        <w:tabs>
          <w:tab w:val="left" w:pos="900"/>
        </w:tabs>
        <w:spacing w:line="360" w:lineRule="auto"/>
        <w:ind w:left="900" w:hanging="900"/>
        <w:jc w:val="both"/>
        <w:rPr>
          <w:rFonts w:ascii="Arial" w:hAnsi="Arial" w:cs="Arial"/>
        </w:rPr>
      </w:pPr>
    </w:p>
    <w:p w:rsidR="00061A7B" w:rsidRDefault="00675AD0" w:rsidP="00061A7B">
      <w:pPr>
        <w:tabs>
          <w:tab w:val="left" w:pos="0"/>
          <w:tab w:val="left" w:pos="993"/>
        </w:tabs>
        <w:spacing w:line="360" w:lineRule="auto"/>
        <w:jc w:val="both"/>
        <w:rPr>
          <w:rFonts w:ascii="Arial" w:hAnsi="Arial" w:cs="Arial"/>
          <w:lang w:val="en-ZA"/>
        </w:rPr>
      </w:pPr>
      <w:r>
        <w:rPr>
          <w:rFonts w:ascii="Arial" w:hAnsi="Arial" w:cs="Arial"/>
        </w:rPr>
        <w:t>[69]</w:t>
      </w:r>
      <w:r>
        <w:rPr>
          <w:rFonts w:ascii="Arial" w:hAnsi="Arial" w:cs="Arial"/>
        </w:rPr>
        <w:tab/>
      </w:r>
      <w:r w:rsidR="00061A7B" w:rsidRPr="00061A7B">
        <w:rPr>
          <w:rFonts w:ascii="Arial" w:hAnsi="Arial" w:cs="Arial"/>
          <w:lang w:val="en-ZA"/>
        </w:rPr>
        <w:t>In the letter dated 14 September 2018, the SIU expressly stated that:</w:t>
      </w:r>
    </w:p>
    <w:p w:rsidR="00061A7B" w:rsidRPr="00061A7B" w:rsidRDefault="00061A7B" w:rsidP="00061A7B">
      <w:pPr>
        <w:tabs>
          <w:tab w:val="left" w:pos="0"/>
          <w:tab w:val="left" w:pos="993"/>
        </w:tabs>
        <w:spacing w:line="360" w:lineRule="auto"/>
        <w:jc w:val="both"/>
        <w:rPr>
          <w:rFonts w:ascii="Arial" w:hAnsi="Arial" w:cs="Arial"/>
          <w:lang w:val="en-ZA"/>
        </w:rPr>
      </w:pPr>
    </w:p>
    <w:p w:rsidR="00061A7B" w:rsidRPr="00061A7B" w:rsidRDefault="00061A7B" w:rsidP="00061A7B">
      <w:pPr>
        <w:tabs>
          <w:tab w:val="left" w:pos="0"/>
          <w:tab w:val="left" w:pos="993"/>
        </w:tabs>
        <w:spacing w:line="360" w:lineRule="auto"/>
        <w:jc w:val="both"/>
        <w:rPr>
          <w:rFonts w:ascii="Arial" w:hAnsi="Arial" w:cs="Arial"/>
          <w:sz w:val="22"/>
          <w:lang w:val="en-ZA"/>
        </w:rPr>
      </w:pPr>
      <w:r w:rsidRPr="00061A7B">
        <w:rPr>
          <w:rFonts w:ascii="Arial" w:hAnsi="Arial" w:cs="Arial"/>
          <w:sz w:val="22"/>
          <w:lang w:val="en-ZA"/>
        </w:rPr>
        <w:t xml:space="preserve">‘9.4 </w:t>
      </w:r>
      <w:r w:rsidRPr="00061A7B">
        <w:rPr>
          <w:rFonts w:ascii="Arial" w:hAnsi="Arial" w:cs="Arial"/>
          <w:sz w:val="22"/>
          <w:u w:val="single"/>
          <w:lang w:val="en-ZA"/>
        </w:rPr>
        <w:t>The SIU is considering bringing an application under section 162 of the Companies Act of 2008, to declare the former interim Board of the SABC delinquent or to have them placed under an order of probation for failing to act</w:t>
      </w:r>
      <w:r w:rsidRPr="00061A7B">
        <w:rPr>
          <w:rFonts w:ascii="Arial" w:hAnsi="Arial" w:cs="Arial"/>
          <w:sz w:val="22"/>
          <w:lang w:val="en-ZA"/>
        </w:rPr>
        <w:t xml:space="preserve"> in the best interest of the SABC.</w:t>
      </w:r>
    </w:p>
    <w:p w:rsidR="00061A7B" w:rsidRPr="00061A7B" w:rsidRDefault="00061A7B" w:rsidP="00061A7B">
      <w:pPr>
        <w:tabs>
          <w:tab w:val="left" w:pos="0"/>
          <w:tab w:val="left" w:pos="993"/>
        </w:tabs>
        <w:spacing w:line="360" w:lineRule="auto"/>
        <w:jc w:val="both"/>
        <w:rPr>
          <w:rFonts w:ascii="Arial" w:hAnsi="Arial" w:cs="Arial"/>
          <w:sz w:val="22"/>
          <w:lang w:val="en-ZA"/>
        </w:rPr>
      </w:pPr>
      <w:r w:rsidRPr="00061A7B">
        <w:rPr>
          <w:rFonts w:ascii="Arial" w:hAnsi="Arial" w:cs="Arial"/>
          <w:sz w:val="22"/>
          <w:lang w:val="en-ZA"/>
        </w:rPr>
        <w:t xml:space="preserve">9.5 </w:t>
      </w:r>
      <w:r w:rsidRPr="00061A7B">
        <w:rPr>
          <w:rFonts w:ascii="Arial" w:hAnsi="Arial" w:cs="Arial"/>
          <w:sz w:val="22"/>
          <w:u w:val="single"/>
          <w:lang w:val="en-ZA"/>
        </w:rPr>
        <w:t>The SIU is considering a referral to NPA in terms of section 83(3) of the PFMA, for criminal action against the former accounting authority/Interim Board due to financial misconduct committed by its members</w:t>
      </w:r>
      <w:r w:rsidRPr="00061A7B">
        <w:rPr>
          <w:rFonts w:ascii="Arial" w:hAnsi="Arial" w:cs="Arial"/>
          <w:sz w:val="22"/>
          <w:lang w:val="en-ZA"/>
        </w:rPr>
        <w:t>.</w:t>
      </w:r>
    </w:p>
    <w:p w:rsidR="00675AD0" w:rsidRPr="00061A7B" w:rsidRDefault="00061A7B" w:rsidP="00675AD0">
      <w:pPr>
        <w:tabs>
          <w:tab w:val="left" w:pos="0"/>
          <w:tab w:val="left" w:pos="993"/>
        </w:tabs>
        <w:spacing w:line="360" w:lineRule="auto"/>
        <w:jc w:val="both"/>
        <w:rPr>
          <w:rFonts w:ascii="Arial" w:hAnsi="Arial" w:cs="Arial"/>
          <w:lang w:val="en-ZA"/>
        </w:rPr>
      </w:pPr>
      <w:r w:rsidRPr="00061A7B">
        <w:rPr>
          <w:rFonts w:ascii="Arial" w:hAnsi="Arial" w:cs="Arial"/>
          <w:sz w:val="22"/>
          <w:lang w:val="en-ZA"/>
        </w:rPr>
        <w:t xml:space="preserve">9.6 </w:t>
      </w:r>
      <w:r w:rsidRPr="00061A7B">
        <w:rPr>
          <w:rFonts w:ascii="Arial" w:hAnsi="Arial" w:cs="Arial"/>
          <w:sz w:val="22"/>
          <w:u w:val="single"/>
          <w:lang w:val="en-ZA"/>
        </w:rPr>
        <w:t>Before proceeding as such, the directors will be afforded a right to reply to the allegations which will be brought against them</w:t>
      </w:r>
      <w:r w:rsidRPr="00061A7B">
        <w:rPr>
          <w:rFonts w:ascii="Arial" w:hAnsi="Arial" w:cs="Arial"/>
          <w:sz w:val="22"/>
          <w:lang w:val="en-ZA"/>
        </w:rPr>
        <w:t xml:space="preserve">.’ </w:t>
      </w:r>
      <w:r w:rsidRPr="00061A7B">
        <w:rPr>
          <w:rFonts w:ascii="Arial" w:hAnsi="Arial" w:cs="Arial"/>
          <w:lang w:val="en-ZA"/>
        </w:rPr>
        <w:t>[my emphasis]</w:t>
      </w:r>
    </w:p>
    <w:p w:rsidR="00675AD0" w:rsidRDefault="00675AD0" w:rsidP="00675AD0">
      <w:pPr>
        <w:tabs>
          <w:tab w:val="left" w:pos="900"/>
        </w:tabs>
        <w:spacing w:line="360" w:lineRule="auto"/>
        <w:ind w:left="900" w:hanging="900"/>
        <w:jc w:val="both"/>
      </w:pPr>
    </w:p>
    <w:p w:rsidR="00675AD0" w:rsidRPr="00061A7B" w:rsidRDefault="00675AD0" w:rsidP="00796C87">
      <w:pPr>
        <w:tabs>
          <w:tab w:val="left" w:pos="993"/>
        </w:tabs>
        <w:spacing w:line="360" w:lineRule="auto"/>
        <w:jc w:val="both"/>
        <w:rPr>
          <w:rFonts w:ascii="Arial" w:hAnsi="Arial" w:cs="Arial"/>
        </w:rPr>
      </w:pPr>
      <w:r w:rsidRPr="000F5B17">
        <w:rPr>
          <w:rFonts w:ascii="Arial" w:hAnsi="Arial" w:cs="Arial"/>
        </w:rPr>
        <w:t>[</w:t>
      </w:r>
      <w:r>
        <w:rPr>
          <w:rFonts w:ascii="Arial" w:hAnsi="Arial" w:cs="Arial"/>
        </w:rPr>
        <w:t>70</w:t>
      </w:r>
      <w:r w:rsidRPr="000F5B17">
        <w:rPr>
          <w:rFonts w:ascii="Arial" w:hAnsi="Arial" w:cs="Arial"/>
        </w:rPr>
        <w:t>]</w:t>
      </w:r>
      <w:r>
        <w:tab/>
      </w:r>
      <w:r w:rsidR="00061A7B" w:rsidRPr="00061A7B">
        <w:rPr>
          <w:rFonts w:ascii="Arial" w:hAnsi="Arial" w:cs="Arial"/>
          <w:lang w:val="en-ZA"/>
        </w:rPr>
        <w:t>On the information supplied by the SIU, the interim board members must have realised that this was an opportunity to address the SIU on any intended remedial action. The interim board member’s contention that they were not given an opportunity to address the SIU on possible or intended remedial action is misplaced. They were given every opportunity to persuade and influence the SIU’s finding that they did not commit acts of financial misconduct.</w:t>
      </w:r>
    </w:p>
    <w:p w:rsidR="00675AD0" w:rsidRPr="00826223" w:rsidRDefault="00675AD0" w:rsidP="00675AD0">
      <w:pPr>
        <w:tabs>
          <w:tab w:val="left" w:pos="900"/>
        </w:tabs>
        <w:ind w:left="900" w:hanging="900"/>
        <w:jc w:val="both"/>
        <w:rPr>
          <w:rFonts w:ascii="Arial" w:hAnsi="Arial" w:cs="Arial"/>
          <w:b/>
          <w:i/>
        </w:rPr>
      </w:pPr>
    </w:p>
    <w:p w:rsidR="00675AD0" w:rsidRPr="00061A7B" w:rsidRDefault="00675AD0" w:rsidP="00675AD0">
      <w:pPr>
        <w:tabs>
          <w:tab w:val="left" w:pos="0"/>
          <w:tab w:val="left" w:pos="993"/>
        </w:tabs>
        <w:spacing w:line="360" w:lineRule="auto"/>
        <w:jc w:val="both"/>
        <w:rPr>
          <w:rFonts w:ascii="Arial" w:hAnsi="Arial" w:cs="Arial"/>
          <w:lang w:val="en-ZA"/>
        </w:rPr>
      </w:pPr>
      <w:r w:rsidRPr="00826223">
        <w:rPr>
          <w:rFonts w:ascii="Arial" w:hAnsi="Arial" w:cs="Arial"/>
        </w:rPr>
        <w:t>[</w:t>
      </w:r>
      <w:r>
        <w:rPr>
          <w:rFonts w:ascii="Arial" w:hAnsi="Arial" w:cs="Arial"/>
        </w:rPr>
        <w:t>71</w:t>
      </w:r>
      <w:r w:rsidRPr="00826223">
        <w:rPr>
          <w:rFonts w:ascii="Arial" w:hAnsi="Arial" w:cs="Arial"/>
        </w:rPr>
        <w:t>]</w:t>
      </w:r>
      <w:r w:rsidRPr="00826223">
        <w:rPr>
          <w:rFonts w:ascii="Arial" w:hAnsi="Arial" w:cs="Arial"/>
        </w:rPr>
        <w:tab/>
      </w:r>
      <w:r w:rsidR="00061A7B" w:rsidRPr="00061A7B">
        <w:rPr>
          <w:rFonts w:ascii="Arial" w:hAnsi="Arial" w:cs="Arial"/>
          <w:lang w:val="en-ZA"/>
        </w:rPr>
        <w:t>The interim board members, with the exception of John Mattisonn and Febbe Potgieter-Gqubule, gave oral and written evidence which was induced through interviews and letters. John Mattisonn and Febbe Potgieter-Gqubule responded in writing to the letters sent by the SIU.</w:t>
      </w:r>
      <w:r w:rsidR="00061A7B" w:rsidRPr="00061A7B">
        <w:rPr>
          <w:rFonts w:ascii="Arial" w:hAnsi="Arial" w:cs="Arial"/>
          <w:vertAlign w:val="superscript"/>
          <w:lang w:val="en-ZA"/>
        </w:rPr>
        <w:footnoteReference w:id="49"/>
      </w:r>
      <w:r w:rsidR="00061A7B" w:rsidRPr="00061A7B">
        <w:rPr>
          <w:rFonts w:ascii="Arial" w:hAnsi="Arial" w:cs="Arial"/>
          <w:lang w:val="en-ZA"/>
        </w:rPr>
        <w:t xml:space="preserve"> </w:t>
      </w:r>
    </w:p>
    <w:p w:rsidR="00675AD0" w:rsidRDefault="00675AD0" w:rsidP="00675AD0">
      <w:pPr>
        <w:tabs>
          <w:tab w:val="left" w:pos="900"/>
        </w:tabs>
        <w:spacing w:line="360" w:lineRule="auto"/>
        <w:ind w:left="900" w:hanging="900"/>
        <w:jc w:val="both"/>
        <w:rPr>
          <w:rFonts w:ascii="Arial" w:hAnsi="Arial" w:cs="Arial"/>
        </w:rPr>
      </w:pPr>
    </w:p>
    <w:p w:rsidR="00675AD0" w:rsidRDefault="00675AD0" w:rsidP="00796C87">
      <w:pPr>
        <w:tabs>
          <w:tab w:val="left" w:pos="0"/>
          <w:tab w:val="left" w:pos="993"/>
        </w:tabs>
        <w:spacing w:line="360" w:lineRule="auto"/>
        <w:jc w:val="both"/>
        <w:rPr>
          <w:rFonts w:ascii="Arial" w:hAnsi="Arial" w:cs="Arial"/>
        </w:rPr>
      </w:pPr>
      <w:r>
        <w:rPr>
          <w:rFonts w:ascii="Arial" w:hAnsi="Arial" w:cs="Arial"/>
        </w:rPr>
        <w:t>[72]</w:t>
      </w:r>
      <w:r>
        <w:rPr>
          <w:rFonts w:ascii="Arial" w:hAnsi="Arial" w:cs="Arial"/>
        </w:rPr>
        <w:tab/>
      </w:r>
      <w:r w:rsidR="009147A5" w:rsidRPr="009147A5">
        <w:rPr>
          <w:rFonts w:ascii="Arial" w:hAnsi="Arial" w:cs="Arial"/>
          <w:lang w:val="en-ZA"/>
        </w:rPr>
        <w:t xml:space="preserve">In the matter of </w:t>
      </w:r>
      <w:r w:rsidR="00796C87">
        <w:rPr>
          <w:rFonts w:ascii="Arial" w:hAnsi="Arial" w:cs="Arial"/>
          <w:i/>
          <w:lang w:val="en-ZA"/>
        </w:rPr>
        <w:t>Bam-Mugwanya v Minister o</w:t>
      </w:r>
      <w:r w:rsidR="009147A5" w:rsidRPr="009147A5">
        <w:rPr>
          <w:rFonts w:ascii="Arial" w:hAnsi="Arial" w:cs="Arial"/>
          <w:i/>
          <w:lang w:val="en-ZA"/>
        </w:rPr>
        <w:t xml:space="preserve">f Finance And Provincial Expenditure, Eastern Cape, </w:t>
      </w:r>
      <w:r w:rsidR="00796C87">
        <w:rPr>
          <w:rFonts w:ascii="Arial" w:hAnsi="Arial" w:cs="Arial"/>
          <w:i/>
          <w:lang w:val="en-ZA"/>
        </w:rPr>
        <w:t>a</w:t>
      </w:r>
      <w:r w:rsidR="009147A5" w:rsidRPr="009147A5">
        <w:rPr>
          <w:rFonts w:ascii="Arial" w:hAnsi="Arial" w:cs="Arial"/>
          <w:i/>
          <w:lang w:val="en-ZA"/>
        </w:rPr>
        <w:t>nd Others</w:t>
      </w:r>
      <w:r w:rsidR="009147A5">
        <w:rPr>
          <w:rFonts w:ascii="Arial" w:hAnsi="Arial" w:cs="Arial"/>
          <w:lang w:val="en-ZA"/>
        </w:rPr>
        <w:t>,</w:t>
      </w:r>
      <w:r w:rsidR="009147A5" w:rsidRPr="009147A5">
        <w:rPr>
          <w:rFonts w:ascii="Arial" w:hAnsi="Arial" w:cs="Arial"/>
          <w:vertAlign w:val="superscript"/>
          <w:lang w:val="en-ZA"/>
        </w:rPr>
        <w:footnoteReference w:id="50"/>
      </w:r>
      <w:r w:rsidR="009147A5" w:rsidRPr="009147A5">
        <w:rPr>
          <w:rFonts w:ascii="Arial" w:hAnsi="Arial" w:cs="Arial"/>
          <w:lang w:val="en-ZA"/>
        </w:rPr>
        <w:t xml:space="preserve"> the Court held that it was not necessary for a functionary to receive oral representations, where the person affected having had more than sufficient opportunity to place relevant evidence before the functionary by way of written representations.</w:t>
      </w:r>
    </w:p>
    <w:p w:rsidR="00675AD0" w:rsidRPr="00740128" w:rsidRDefault="00675AD0" w:rsidP="00675AD0">
      <w:pPr>
        <w:tabs>
          <w:tab w:val="left" w:pos="900"/>
        </w:tabs>
        <w:spacing w:line="360" w:lineRule="auto"/>
        <w:ind w:left="900" w:hanging="900"/>
        <w:jc w:val="both"/>
        <w:rPr>
          <w:rFonts w:ascii="Arial" w:hAnsi="Arial" w:cs="Arial"/>
        </w:rPr>
      </w:pPr>
    </w:p>
    <w:p w:rsidR="009147A5" w:rsidRPr="009147A5" w:rsidRDefault="00675AD0" w:rsidP="009147A5">
      <w:pPr>
        <w:tabs>
          <w:tab w:val="left" w:pos="0"/>
          <w:tab w:val="left" w:pos="993"/>
        </w:tabs>
        <w:spacing w:line="360" w:lineRule="auto"/>
        <w:ind w:hanging="49"/>
        <w:jc w:val="both"/>
        <w:rPr>
          <w:rFonts w:ascii="Arial" w:hAnsi="Arial" w:cs="Arial"/>
          <w:lang w:val="en-ZA"/>
        </w:rPr>
      </w:pPr>
      <w:r>
        <w:rPr>
          <w:rFonts w:ascii="Arial" w:hAnsi="Arial" w:cs="Arial"/>
        </w:rPr>
        <w:lastRenderedPageBreak/>
        <w:t>[73]</w:t>
      </w:r>
      <w:r>
        <w:rPr>
          <w:rFonts w:ascii="Arial" w:hAnsi="Arial" w:cs="Arial"/>
        </w:rPr>
        <w:tab/>
      </w:r>
      <w:r w:rsidR="009147A5" w:rsidRPr="009147A5">
        <w:rPr>
          <w:rFonts w:ascii="Arial" w:hAnsi="Arial" w:cs="Arial"/>
          <w:lang w:val="en-ZA"/>
        </w:rPr>
        <w:t xml:space="preserve">All four of the interim board members, cited in this review, replied in writing to the letter of the SIU dated 14 September 2017. In the matter of </w:t>
      </w:r>
      <w:r w:rsidR="009147A5" w:rsidRPr="009147A5">
        <w:rPr>
          <w:rFonts w:ascii="Arial" w:hAnsi="Arial" w:cs="Arial"/>
          <w:i/>
          <w:lang w:val="en-ZA"/>
        </w:rPr>
        <w:t>Administrator of Transvaal</w:t>
      </w:r>
      <w:r w:rsidR="009147A5" w:rsidRPr="009147A5">
        <w:rPr>
          <w:rFonts w:ascii="Arial" w:hAnsi="Arial" w:cs="Arial"/>
          <w:vertAlign w:val="superscript"/>
          <w:lang w:val="en-ZA"/>
        </w:rPr>
        <w:footnoteReference w:id="51"/>
      </w:r>
      <w:r w:rsidR="009147A5" w:rsidRPr="009147A5">
        <w:rPr>
          <w:rFonts w:ascii="Arial" w:hAnsi="Arial" w:cs="Arial"/>
          <w:lang w:val="en-ZA"/>
        </w:rPr>
        <w:t xml:space="preserve"> the court made it clear that before an adverse decision is taken, an affected person will be given a fair hearing. This Court finds that the interim board members were given more than enough opportunity to address any issue which could implicate them. As a result, they cannot rely on the matter of </w:t>
      </w:r>
      <w:r w:rsidR="009147A5" w:rsidRPr="009147A5">
        <w:rPr>
          <w:rFonts w:ascii="Arial" w:hAnsi="Arial" w:cs="Arial"/>
          <w:i/>
          <w:lang w:val="en-ZA"/>
        </w:rPr>
        <w:t>Administrator of Transvaal</w:t>
      </w:r>
      <w:r w:rsidR="009147A5" w:rsidRPr="009147A5">
        <w:rPr>
          <w:rFonts w:ascii="Arial" w:hAnsi="Arial" w:cs="Arial"/>
          <w:vertAlign w:val="superscript"/>
          <w:lang w:val="en-ZA"/>
        </w:rPr>
        <w:footnoteReference w:id="52"/>
      </w:r>
      <w:r w:rsidR="009147A5" w:rsidRPr="009147A5">
        <w:rPr>
          <w:rFonts w:ascii="Arial" w:hAnsi="Arial" w:cs="Arial"/>
          <w:lang w:val="en-ZA"/>
        </w:rPr>
        <w:t xml:space="preserve"> to help them as they did have the benefit of </w:t>
      </w:r>
      <w:r w:rsidR="009147A5" w:rsidRPr="009147A5">
        <w:rPr>
          <w:rFonts w:ascii="Arial" w:hAnsi="Arial" w:cs="Arial"/>
          <w:i/>
          <w:lang w:val="en-ZA"/>
        </w:rPr>
        <w:t>audi alteram partem</w:t>
      </w:r>
      <w:r w:rsidR="009147A5" w:rsidRPr="009147A5">
        <w:rPr>
          <w:rFonts w:ascii="Arial" w:hAnsi="Arial" w:cs="Arial"/>
          <w:lang w:val="en-ZA"/>
        </w:rPr>
        <w:t>.</w:t>
      </w:r>
    </w:p>
    <w:p w:rsidR="00675AD0" w:rsidRDefault="00675AD0" w:rsidP="009147A5">
      <w:pPr>
        <w:tabs>
          <w:tab w:val="left" w:pos="0"/>
          <w:tab w:val="left" w:pos="993"/>
        </w:tabs>
        <w:spacing w:line="360" w:lineRule="auto"/>
        <w:ind w:hanging="49"/>
        <w:jc w:val="both"/>
        <w:rPr>
          <w:rFonts w:ascii="Arial" w:hAnsi="Arial" w:cs="Arial"/>
        </w:rPr>
      </w:pPr>
    </w:p>
    <w:p w:rsidR="00675AD0" w:rsidRDefault="00675AD0" w:rsidP="009147A5">
      <w:pPr>
        <w:tabs>
          <w:tab w:val="left" w:pos="0"/>
          <w:tab w:val="left" w:pos="993"/>
        </w:tabs>
        <w:spacing w:line="360" w:lineRule="auto"/>
        <w:jc w:val="both"/>
        <w:rPr>
          <w:rFonts w:ascii="Arial" w:hAnsi="Arial" w:cs="Arial"/>
          <w:lang w:val="en-ZA"/>
        </w:rPr>
      </w:pPr>
      <w:r>
        <w:rPr>
          <w:rFonts w:ascii="Arial" w:hAnsi="Arial" w:cs="Arial"/>
        </w:rPr>
        <w:t>[74]</w:t>
      </w:r>
      <w:r>
        <w:rPr>
          <w:rFonts w:ascii="Arial" w:hAnsi="Arial" w:cs="Arial"/>
        </w:rPr>
        <w:tab/>
      </w:r>
      <w:r w:rsidR="009147A5" w:rsidRPr="009147A5">
        <w:rPr>
          <w:rFonts w:ascii="Arial" w:hAnsi="Arial" w:cs="Arial"/>
          <w:lang w:val="en-ZA"/>
        </w:rPr>
        <w:t>After considering all the evidence, including the written submissions</w:t>
      </w:r>
      <w:r w:rsidR="00225D78">
        <w:rPr>
          <w:rFonts w:ascii="Arial" w:hAnsi="Arial" w:cs="Arial"/>
          <w:lang w:val="en-ZA"/>
        </w:rPr>
        <w:t xml:space="preserve"> of the interim members</w:t>
      </w:r>
      <w:r w:rsidR="009147A5" w:rsidRPr="009147A5">
        <w:rPr>
          <w:rFonts w:ascii="Arial" w:hAnsi="Arial" w:cs="Arial"/>
          <w:lang w:val="en-ZA"/>
        </w:rPr>
        <w:t>, the SIU considered recommending that the SABC launch an application in terms of s162 of the Companies Act.</w:t>
      </w:r>
    </w:p>
    <w:p w:rsidR="009147A5" w:rsidRDefault="009147A5" w:rsidP="009147A5">
      <w:pPr>
        <w:tabs>
          <w:tab w:val="left" w:pos="0"/>
          <w:tab w:val="left" w:pos="993"/>
        </w:tabs>
        <w:spacing w:line="360" w:lineRule="auto"/>
        <w:jc w:val="both"/>
        <w:rPr>
          <w:rFonts w:ascii="Arial" w:hAnsi="Arial" w:cs="Arial"/>
        </w:rPr>
      </w:pPr>
    </w:p>
    <w:p w:rsidR="00675AD0" w:rsidRDefault="00675AD0" w:rsidP="00675AD0">
      <w:pPr>
        <w:tabs>
          <w:tab w:val="left" w:pos="142"/>
          <w:tab w:val="left" w:pos="993"/>
        </w:tabs>
        <w:spacing w:line="360" w:lineRule="auto"/>
        <w:jc w:val="both"/>
        <w:rPr>
          <w:rFonts w:ascii="Arial" w:hAnsi="Arial" w:cs="Arial"/>
        </w:rPr>
      </w:pPr>
      <w:r w:rsidRPr="00934060">
        <w:rPr>
          <w:rFonts w:ascii="Arial" w:hAnsi="Arial" w:cs="Arial"/>
        </w:rPr>
        <w:t>[</w:t>
      </w:r>
      <w:r>
        <w:rPr>
          <w:rFonts w:ascii="Arial" w:hAnsi="Arial" w:cs="Arial"/>
        </w:rPr>
        <w:t>75</w:t>
      </w:r>
      <w:r w:rsidRPr="00934060">
        <w:rPr>
          <w:rFonts w:ascii="Arial" w:hAnsi="Arial" w:cs="Arial"/>
        </w:rPr>
        <w:t>]</w:t>
      </w:r>
      <w:r w:rsidRPr="00934060">
        <w:rPr>
          <w:rFonts w:ascii="Arial" w:hAnsi="Arial" w:cs="Arial"/>
        </w:rPr>
        <w:tab/>
      </w:r>
      <w:r w:rsidR="009147A5" w:rsidRPr="009147A5">
        <w:rPr>
          <w:rFonts w:ascii="Arial" w:hAnsi="Arial" w:cs="Arial"/>
          <w:lang w:val="en-ZA"/>
        </w:rPr>
        <w:t xml:space="preserve">The interim board members relied on the case of </w:t>
      </w:r>
      <w:r w:rsidR="009147A5" w:rsidRPr="009147A5">
        <w:rPr>
          <w:rFonts w:ascii="Arial" w:hAnsi="Arial" w:cs="Arial"/>
          <w:i/>
          <w:lang w:val="en-ZA"/>
        </w:rPr>
        <w:t>Gordhan</w:t>
      </w:r>
      <w:r w:rsidR="009147A5" w:rsidRPr="009147A5">
        <w:rPr>
          <w:rFonts w:ascii="Arial" w:hAnsi="Arial" w:cs="Arial"/>
          <w:vertAlign w:val="superscript"/>
          <w:lang w:val="en-ZA"/>
        </w:rPr>
        <w:footnoteReference w:id="53"/>
      </w:r>
      <w:r w:rsidR="009147A5" w:rsidRPr="009147A5">
        <w:rPr>
          <w:rFonts w:ascii="Arial" w:hAnsi="Arial" w:cs="Arial"/>
          <w:lang w:val="en-ZA"/>
        </w:rPr>
        <w:t xml:space="preserve"> to demonstrate that the principle of procedural rationality requires that the interim board members should have been informed of the intended remedial action because the remedial action affected their rights.</w:t>
      </w:r>
    </w:p>
    <w:p w:rsidR="00675AD0" w:rsidRDefault="00675AD0" w:rsidP="00675AD0">
      <w:pPr>
        <w:tabs>
          <w:tab w:val="left" w:pos="900"/>
        </w:tabs>
        <w:spacing w:line="360" w:lineRule="auto"/>
        <w:ind w:left="900" w:hanging="900"/>
        <w:jc w:val="both"/>
        <w:rPr>
          <w:rFonts w:ascii="Arial" w:hAnsi="Arial" w:cs="Arial"/>
        </w:rPr>
      </w:pPr>
    </w:p>
    <w:p w:rsidR="00675AD0" w:rsidRDefault="00675AD0" w:rsidP="009147A5">
      <w:pPr>
        <w:tabs>
          <w:tab w:val="left" w:pos="0"/>
          <w:tab w:val="left" w:pos="993"/>
        </w:tabs>
        <w:spacing w:line="360" w:lineRule="auto"/>
        <w:jc w:val="both"/>
        <w:rPr>
          <w:rFonts w:ascii="Arial" w:hAnsi="Arial" w:cs="Arial"/>
          <w:lang w:val="en-ZA"/>
        </w:rPr>
      </w:pPr>
      <w:r w:rsidRPr="001241B2">
        <w:rPr>
          <w:rFonts w:ascii="Arial" w:hAnsi="Arial" w:cs="Arial"/>
        </w:rPr>
        <w:t>[</w:t>
      </w:r>
      <w:r>
        <w:rPr>
          <w:rFonts w:ascii="Arial" w:hAnsi="Arial" w:cs="Arial"/>
        </w:rPr>
        <w:t>76</w:t>
      </w:r>
      <w:r w:rsidRPr="001241B2">
        <w:rPr>
          <w:rFonts w:ascii="Arial" w:hAnsi="Arial" w:cs="Arial"/>
        </w:rPr>
        <w:t>]</w:t>
      </w:r>
      <w:r w:rsidRPr="001241B2">
        <w:rPr>
          <w:rFonts w:ascii="Arial" w:hAnsi="Arial" w:cs="Arial"/>
        </w:rPr>
        <w:tab/>
      </w:r>
      <w:r w:rsidR="009147A5" w:rsidRPr="009147A5">
        <w:rPr>
          <w:rFonts w:ascii="Arial" w:hAnsi="Arial" w:cs="Arial"/>
          <w:lang w:val="en-ZA"/>
        </w:rPr>
        <w:t xml:space="preserve">In the matter of </w:t>
      </w:r>
      <w:r w:rsidR="00796C87" w:rsidRPr="009147A5">
        <w:rPr>
          <w:rFonts w:ascii="Arial" w:hAnsi="Arial" w:cs="Arial"/>
          <w:i/>
          <w:lang w:val="en-ZA"/>
        </w:rPr>
        <w:t>Gordhan</w:t>
      </w:r>
      <w:r w:rsidR="009147A5">
        <w:rPr>
          <w:rFonts w:ascii="Arial" w:hAnsi="Arial" w:cs="Arial"/>
          <w:lang w:val="en-ZA"/>
        </w:rPr>
        <w:t>,</w:t>
      </w:r>
      <w:r w:rsidR="009147A5" w:rsidRPr="009147A5">
        <w:rPr>
          <w:rFonts w:ascii="Arial" w:hAnsi="Arial" w:cs="Arial"/>
          <w:vertAlign w:val="superscript"/>
          <w:lang w:val="en-ZA"/>
        </w:rPr>
        <w:footnoteReference w:id="54"/>
      </w:r>
      <w:r w:rsidR="009147A5" w:rsidRPr="009147A5">
        <w:rPr>
          <w:rFonts w:ascii="Arial" w:hAnsi="Arial" w:cs="Arial"/>
          <w:lang w:val="en-ZA"/>
        </w:rPr>
        <w:t xml:space="preserve"> the Court was dealing with the Public Protector Act which prescribes procedures for remedial action. The Special Tribunal Act is different in that it does not prescribe remedial action, accordingly, the reliance on the matter of </w:t>
      </w:r>
      <w:r w:rsidR="00796C87" w:rsidRPr="009147A5">
        <w:rPr>
          <w:rFonts w:ascii="Arial" w:hAnsi="Arial" w:cs="Arial"/>
          <w:i/>
          <w:lang w:val="en-ZA"/>
        </w:rPr>
        <w:t>Gordhan</w:t>
      </w:r>
      <w:r w:rsidR="009147A5" w:rsidRPr="009147A5">
        <w:rPr>
          <w:rFonts w:ascii="Arial" w:hAnsi="Arial" w:cs="Arial"/>
          <w:vertAlign w:val="superscript"/>
          <w:lang w:val="en-ZA"/>
        </w:rPr>
        <w:footnoteReference w:id="55"/>
      </w:r>
      <w:r w:rsidR="009147A5" w:rsidRPr="009147A5">
        <w:rPr>
          <w:rFonts w:ascii="Arial" w:hAnsi="Arial" w:cs="Arial"/>
          <w:lang w:val="en-ZA"/>
        </w:rPr>
        <w:t xml:space="preserve"> by the interim board members is misplaced.</w:t>
      </w:r>
    </w:p>
    <w:p w:rsidR="009147A5" w:rsidRDefault="009147A5" w:rsidP="009147A5">
      <w:pPr>
        <w:tabs>
          <w:tab w:val="left" w:pos="0"/>
          <w:tab w:val="left" w:pos="993"/>
        </w:tabs>
        <w:spacing w:line="360" w:lineRule="auto"/>
        <w:jc w:val="both"/>
        <w:rPr>
          <w:rFonts w:ascii="Arial" w:hAnsi="Arial" w:cs="Arial"/>
        </w:rPr>
      </w:pPr>
    </w:p>
    <w:p w:rsidR="00675AD0" w:rsidRDefault="00675AD0" w:rsidP="009147A5">
      <w:pPr>
        <w:tabs>
          <w:tab w:val="left" w:pos="0"/>
          <w:tab w:val="left" w:pos="993"/>
        </w:tabs>
        <w:spacing w:line="360" w:lineRule="auto"/>
        <w:ind w:hanging="49"/>
        <w:jc w:val="both"/>
        <w:rPr>
          <w:rFonts w:ascii="Arial" w:hAnsi="Arial" w:cs="Arial"/>
          <w:lang w:val="en-ZA"/>
        </w:rPr>
      </w:pPr>
      <w:r>
        <w:rPr>
          <w:rFonts w:ascii="Arial" w:hAnsi="Arial" w:cs="Arial"/>
        </w:rPr>
        <w:t xml:space="preserve"> [77]</w:t>
      </w:r>
      <w:r>
        <w:rPr>
          <w:rFonts w:ascii="Arial" w:hAnsi="Arial" w:cs="Arial"/>
        </w:rPr>
        <w:tab/>
      </w:r>
      <w:r w:rsidR="009147A5" w:rsidRPr="009147A5">
        <w:rPr>
          <w:rFonts w:ascii="Arial" w:hAnsi="Arial" w:cs="Arial"/>
          <w:lang w:val="en-ZA"/>
        </w:rPr>
        <w:t>A proper reading of the Special Tribunal Act shows that the legislator specifically excluded the giving of notice for remedial action. The Special Tribunal Act is clear that the SIU is authorised to launch civil proceedings during the course of the investigation. Had the legislator intended that the affected person be given an opportunity to first make representations with regard to the remedial action, there would have been a clear provision prescribing that the SIU must first notify the affected person of the intended remedial action. That provision does not exist because the SIU Act does not contain the words ‘remedial action’.</w:t>
      </w:r>
    </w:p>
    <w:p w:rsidR="009147A5" w:rsidRDefault="009147A5" w:rsidP="009147A5">
      <w:pPr>
        <w:tabs>
          <w:tab w:val="left" w:pos="0"/>
          <w:tab w:val="left" w:pos="993"/>
        </w:tabs>
        <w:spacing w:line="360" w:lineRule="auto"/>
        <w:ind w:hanging="49"/>
        <w:jc w:val="both"/>
        <w:rPr>
          <w:rFonts w:ascii="Arial" w:hAnsi="Arial" w:cs="Arial"/>
        </w:rPr>
      </w:pPr>
    </w:p>
    <w:p w:rsidR="00675AD0" w:rsidRPr="009147A5" w:rsidRDefault="00675AD0" w:rsidP="00796C87">
      <w:pPr>
        <w:tabs>
          <w:tab w:val="left" w:pos="0"/>
          <w:tab w:val="left" w:pos="993"/>
        </w:tabs>
        <w:spacing w:line="360" w:lineRule="auto"/>
        <w:jc w:val="both"/>
        <w:rPr>
          <w:rFonts w:ascii="Arial" w:hAnsi="Arial" w:cs="Arial"/>
          <w:lang w:val="en-ZA"/>
        </w:rPr>
      </w:pPr>
      <w:r>
        <w:rPr>
          <w:rFonts w:ascii="Arial" w:hAnsi="Arial" w:cs="Arial"/>
        </w:rPr>
        <w:t>[78]</w:t>
      </w:r>
      <w:r>
        <w:rPr>
          <w:rFonts w:ascii="Arial" w:hAnsi="Arial" w:cs="Arial"/>
        </w:rPr>
        <w:tab/>
      </w:r>
      <w:r w:rsidR="009147A5" w:rsidRPr="009147A5">
        <w:rPr>
          <w:rFonts w:ascii="Arial" w:hAnsi="Arial" w:cs="Arial"/>
          <w:lang w:val="en-ZA"/>
        </w:rPr>
        <w:t xml:space="preserve">The rules of natural justice do not apply to the recommendations of the SIU, styled ‘remedial actions to follow on completion of the SIU investigation’ at paragraph 7 of the SIU report. It is clear from the text of these recommendations that the SIU does not itself make findings that the applicants are delinquent directors. The SIU only made a </w:t>
      </w:r>
      <w:r w:rsidR="009147A5" w:rsidRPr="009147A5">
        <w:rPr>
          <w:rFonts w:ascii="Arial" w:hAnsi="Arial" w:cs="Arial"/>
          <w:i/>
          <w:lang w:val="en-ZA"/>
        </w:rPr>
        <w:t>prima facie</w:t>
      </w:r>
      <w:r w:rsidR="009147A5" w:rsidRPr="009147A5">
        <w:rPr>
          <w:rFonts w:ascii="Arial" w:hAnsi="Arial" w:cs="Arial"/>
          <w:lang w:val="en-ZA"/>
        </w:rPr>
        <w:t xml:space="preserve"> case which should be </w:t>
      </w:r>
      <w:r w:rsidR="009147A5" w:rsidRPr="009147A5">
        <w:rPr>
          <w:rFonts w:ascii="Arial" w:hAnsi="Arial" w:cs="Arial"/>
          <w:lang w:val="en-ZA"/>
        </w:rPr>
        <w:lastRenderedPageBreak/>
        <w:t>considered by the courts and only expressed its intention to recommend to the SABC that the SABC must consider bringing an application in terms of s162 of the Companies Act. Such a decision does not affect the rights of the applicants and consequently the rules of natural justice have no application.</w:t>
      </w:r>
    </w:p>
    <w:p w:rsidR="00675AD0" w:rsidRDefault="00675AD0" w:rsidP="00675AD0">
      <w:pPr>
        <w:tabs>
          <w:tab w:val="left" w:pos="900"/>
        </w:tabs>
        <w:spacing w:line="360" w:lineRule="auto"/>
        <w:ind w:left="900" w:hanging="900"/>
        <w:jc w:val="both"/>
        <w:rPr>
          <w:rFonts w:ascii="Arial" w:hAnsi="Arial" w:cs="Arial"/>
        </w:rPr>
      </w:pPr>
    </w:p>
    <w:p w:rsidR="00675AD0" w:rsidRDefault="00675AD0" w:rsidP="009147A5">
      <w:pPr>
        <w:tabs>
          <w:tab w:val="left" w:pos="0"/>
          <w:tab w:val="left" w:pos="993"/>
        </w:tabs>
        <w:spacing w:line="360" w:lineRule="auto"/>
        <w:jc w:val="both"/>
        <w:rPr>
          <w:rFonts w:ascii="Arial" w:hAnsi="Arial" w:cs="Arial"/>
          <w:lang w:val="en-ZA"/>
        </w:rPr>
      </w:pPr>
      <w:r>
        <w:rPr>
          <w:rFonts w:ascii="Arial" w:hAnsi="Arial" w:cs="Arial"/>
        </w:rPr>
        <w:t>[79]</w:t>
      </w:r>
      <w:r>
        <w:rPr>
          <w:rFonts w:ascii="Arial" w:hAnsi="Arial" w:cs="Arial"/>
        </w:rPr>
        <w:tab/>
      </w:r>
      <w:r w:rsidR="009147A5" w:rsidRPr="009147A5">
        <w:rPr>
          <w:rFonts w:ascii="Arial" w:hAnsi="Arial" w:cs="Arial"/>
          <w:lang w:val="en-ZA"/>
        </w:rPr>
        <w:t>This Court finds that the SIU complied with its duties in terms of the Special Tribunals Act and the actions of the SIU are no</w:t>
      </w:r>
      <w:r w:rsidR="00225D78">
        <w:rPr>
          <w:rFonts w:ascii="Arial" w:hAnsi="Arial" w:cs="Arial"/>
          <w:lang w:val="en-ZA"/>
        </w:rPr>
        <w:t>t</w:t>
      </w:r>
      <w:r w:rsidR="009147A5" w:rsidRPr="009147A5">
        <w:rPr>
          <w:rFonts w:ascii="Arial" w:hAnsi="Arial" w:cs="Arial"/>
          <w:lang w:val="en-ZA"/>
        </w:rPr>
        <w:t xml:space="preserve"> unconstitutional, unlawful or unfair. Accordingly, the review is dismissed.</w:t>
      </w:r>
    </w:p>
    <w:p w:rsidR="009147A5" w:rsidRDefault="009147A5" w:rsidP="009147A5">
      <w:pPr>
        <w:tabs>
          <w:tab w:val="left" w:pos="0"/>
          <w:tab w:val="left" w:pos="993"/>
        </w:tabs>
        <w:spacing w:line="360" w:lineRule="auto"/>
        <w:jc w:val="both"/>
        <w:rPr>
          <w:rFonts w:ascii="Arial" w:hAnsi="Arial" w:cs="Arial"/>
        </w:rPr>
      </w:pPr>
    </w:p>
    <w:p w:rsidR="009147A5" w:rsidRPr="00111352" w:rsidRDefault="009147A5" w:rsidP="00111352">
      <w:pPr>
        <w:pStyle w:val="JudgmentNumbered"/>
        <w:numPr>
          <w:ilvl w:val="0"/>
          <w:numId w:val="0"/>
        </w:numPr>
        <w:ind w:left="567" w:hanging="567"/>
        <w:rPr>
          <w:b/>
          <w:i/>
          <w:lang w:val="en-ZA"/>
        </w:rPr>
      </w:pPr>
      <w:r w:rsidRPr="00D62486">
        <w:rPr>
          <w:b/>
          <w:i/>
          <w:lang w:val="en-ZA"/>
        </w:rPr>
        <w:t>Costs</w:t>
      </w:r>
    </w:p>
    <w:p w:rsidR="00675AD0" w:rsidRDefault="00675AD0" w:rsidP="00675AD0">
      <w:pPr>
        <w:tabs>
          <w:tab w:val="left" w:pos="0"/>
          <w:tab w:val="left" w:pos="993"/>
        </w:tabs>
        <w:spacing w:line="360" w:lineRule="auto"/>
        <w:jc w:val="both"/>
        <w:rPr>
          <w:rFonts w:ascii="Arial" w:hAnsi="Arial" w:cs="Arial"/>
        </w:rPr>
      </w:pPr>
      <w:r>
        <w:rPr>
          <w:rFonts w:ascii="Arial" w:hAnsi="Arial" w:cs="Arial"/>
        </w:rPr>
        <w:t>[80]</w:t>
      </w:r>
      <w:r>
        <w:rPr>
          <w:rFonts w:ascii="Arial" w:hAnsi="Arial" w:cs="Arial"/>
        </w:rPr>
        <w:tab/>
      </w:r>
      <w:r w:rsidR="009147A5" w:rsidRPr="009147A5">
        <w:rPr>
          <w:rFonts w:ascii="Arial" w:hAnsi="Arial" w:cs="Arial"/>
          <w:lang w:val="en-ZA"/>
        </w:rPr>
        <w:t>The interim board members have brought this review application to vindicate their Constitutional rights to fair administrative action and to access justice. Although they brought it in their own capacity the issue of costs is in the discretion of this Court.</w:t>
      </w:r>
    </w:p>
    <w:p w:rsidR="00675AD0" w:rsidRDefault="00675AD0" w:rsidP="00675AD0">
      <w:pPr>
        <w:tabs>
          <w:tab w:val="left" w:pos="900"/>
        </w:tabs>
        <w:spacing w:line="360" w:lineRule="auto"/>
        <w:ind w:left="900" w:hanging="900"/>
        <w:jc w:val="both"/>
        <w:rPr>
          <w:rFonts w:ascii="Arial" w:hAnsi="Arial" w:cs="Arial"/>
        </w:rPr>
      </w:pPr>
    </w:p>
    <w:p w:rsidR="00675AD0" w:rsidRDefault="00675AD0" w:rsidP="009147A5">
      <w:pPr>
        <w:tabs>
          <w:tab w:val="left" w:pos="0"/>
          <w:tab w:val="left" w:pos="993"/>
        </w:tabs>
        <w:spacing w:line="360" w:lineRule="auto"/>
        <w:jc w:val="both"/>
        <w:rPr>
          <w:rFonts w:ascii="Arial" w:hAnsi="Arial" w:cs="Arial"/>
          <w:lang w:val="en-ZA"/>
        </w:rPr>
      </w:pPr>
      <w:r>
        <w:rPr>
          <w:rFonts w:ascii="Arial" w:hAnsi="Arial" w:cs="Arial"/>
        </w:rPr>
        <w:t>[81]</w:t>
      </w:r>
      <w:r>
        <w:rPr>
          <w:rFonts w:ascii="Arial" w:hAnsi="Arial" w:cs="Arial"/>
        </w:rPr>
        <w:tab/>
      </w:r>
      <w:r w:rsidR="009147A5" w:rsidRPr="009147A5">
        <w:rPr>
          <w:rFonts w:ascii="Arial" w:hAnsi="Arial" w:cs="Arial"/>
          <w:lang w:val="en-ZA"/>
        </w:rPr>
        <w:t xml:space="preserve">The interim members were not malicious in launching this review. Taking into consideration the matter of </w:t>
      </w:r>
      <w:r w:rsidR="009147A5" w:rsidRPr="009147A5">
        <w:rPr>
          <w:rFonts w:ascii="Arial" w:hAnsi="Arial" w:cs="Arial"/>
          <w:i/>
          <w:lang w:val="en-ZA"/>
        </w:rPr>
        <w:t>Biowatch Trust v Registr</w:t>
      </w:r>
      <w:r w:rsidR="009147A5">
        <w:rPr>
          <w:rFonts w:ascii="Arial" w:hAnsi="Arial" w:cs="Arial"/>
          <w:i/>
          <w:lang w:val="en-ZA"/>
        </w:rPr>
        <w:t>ar Genetic Resources and Others,</w:t>
      </w:r>
      <w:r w:rsidR="009147A5" w:rsidRPr="009147A5">
        <w:rPr>
          <w:rFonts w:ascii="Arial" w:hAnsi="Arial" w:cs="Arial"/>
          <w:vertAlign w:val="superscript"/>
          <w:lang w:val="en-ZA"/>
        </w:rPr>
        <w:footnoteReference w:id="56"/>
      </w:r>
      <w:r w:rsidR="00796C87">
        <w:rPr>
          <w:rFonts w:ascii="Arial" w:hAnsi="Arial" w:cs="Arial"/>
          <w:lang w:val="en-ZA"/>
        </w:rPr>
        <w:t xml:space="preserve"> </w:t>
      </w:r>
      <w:r w:rsidR="009147A5" w:rsidRPr="009147A5">
        <w:rPr>
          <w:rFonts w:ascii="Arial" w:hAnsi="Arial" w:cs="Arial"/>
          <w:lang w:val="en-ZA"/>
        </w:rPr>
        <w:t>this Court will not make a cost order against the interim board members.</w:t>
      </w:r>
    </w:p>
    <w:p w:rsidR="009147A5" w:rsidRDefault="009147A5" w:rsidP="009147A5">
      <w:pPr>
        <w:tabs>
          <w:tab w:val="left" w:pos="0"/>
          <w:tab w:val="left" w:pos="993"/>
        </w:tabs>
        <w:spacing w:line="360" w:lineRule="auto"/>
        <w:jc w:val="both"/>
        <w:rPr>
          <w:rFonts w:ascii="Arial" w:hAnsi="Arial" w:cs="Arial"/>
          <w:lang w:val="en-ZA"/>
        </w:rPr>
      </w:pPr>
    </w:p>
    <w:p w:rsidR="00675AD0" w:rsidRPr="009147A5" w:rsidRDefault="009147A5" w:rsidP="009147A5">
      <w:pPr>
        <w:pStyle w:val="JudgmentNumbered"/>
        <w:numPr>
          <w:ilvl w:val="0"/>
          <w:numId w:val="0"/>
        </w:numPr>
        <w:rPr>
          <w:b/>
          <w:i/>
          <w:lang w:val="en-ZA"/>
        </w:rPr>
      </w:pPr>
      <w:r w:rsidRPr="00EC6A72">
        <w:rPr>
          <w:b/>
          <w:i/>
          <w:lang w:val="en-ZA"/>
        </w:rPr>
        <w:t>Order</w:t>
      </w:r>
    </w:p>
    <w:p w:rsidR="00675AD0" w:rsidRDefault="00675AD0" w:rsidP="00675AD0">
      <w:pPr>
        <w:tabs>
          <w:tab w:val="left" w:pos="0"/>
          <w:tab w:val="left" w:pos="993"/>
        </w:tabs>
        <w:spacing w:line="360" w:lineRule="auto"/>
        <w:jc w:val="both"/>
        <w:rPr>
          <w:rFonts w:ascii="Arial" w:hAnsi="Arial" w:cs="Arial"/>
          <w:lang w:val="en-ZA"/>
        </w:rPr>
      </w:pPr>
      <w:r>
        <w:rPr>
          <w:rFonts w:ascii="Arial" w:hAnsi="Arial" w:cs="Arial"/>
        </w:rPr>
        <w:t>[82]</w:t>
      </w:r>
      <w:r>
        <w:rPr>
          <w:rFonts w:ascii="Arial" w:hAnsi="Arial" w:cs="Arial"/>
        </w:rPr>
        <w:tab/>
      </w:r>
      <w:r w:rsidR="009147A5" w:rsidRPr="009147A5">
        <w:rPr>
          <w:rFonts w:ascii="Arial" w:hAnsi="Arial" w:cs="Arial"/>
          <w:lang w:val="en-ZA"/>
        </w:rPr>
        <w:t>The application is dismissed.</w:t>
      </w:r>
    </w:p>
    <w:p w:rsidR="00675AD0" w:rsidRPr="00111352" w:rsidRDefault="00111352" w:rsidP="00111352">
      <w:pPr>
        <w:tabs>
          <w:tab w:val="left" w:pos="0"/>
          <w:tab w:val="left" w:pos="993"/>
        </w:tabs>
        <w:spacing w:line="360" w:lineRule="auto"/>
        <w:jc w:val="both"/>
        <w:rPr>
          <w:rFonts w:ascii="Arial" w:hAnsi="Arial" w:cs="Arial"/>
          <w:lang w:val="en-ZA"/>
        </w:rPr>
      </w:pPr>
      <w:r>
        <w:rPr>
          <w:rFonts w:ascii="Arial" w:hAnsi="Arial" w:cs="Arial"/>
          <w:lang w:val="en-ZA"/>
        </w:rPr>
        <w:t>No order as to costs.</w:t>
      </w:r>
    </w:p>
    <w:p w:rsidR="00675AD0" w:rsidRDefault="00675AD0" w:rsidP="00675AD0">
      <w:pPr>
        <w:tabs>
          <w:tab w:val="left" w:pos="900"/>
        </w:tabs>
        <w:spacing w:line="360" w:lineRule="auto"/>
        <w:ind w:left="720"/>
        <w:jc w:val="both"/>
        <w:rPr>
          <w:rFonts w:ascii="Arial" w:hAnsi="Arial" w:cs="Arial"/>
        </w:rPr>
      </w:pPr>
    </w:p>
    <w:p w:rsidR="00675AD0" w:rsidRPr="00BD109D" w:rsidRDefault="00BC538A" w:rsidP="00675AD0">
      <w:pPr>
        <w:tabs>
          <w:tab w:val="left" w:pos="3000"/>
        </w:tabs>
        <w:jc w:val="right"/>
        <w:rPr>
          <w:rFonts w:ascii="Arial" w:hAnsi="Arial" w:cs="Arial"/>
          <w:b/>
          <w:u w:val="single"/>
        </w:rPr>
      </w:pPr>
      <w:r>
        <w:rPr>
          <w:rFonts w:ascii="Arial" w:hAnsi="Arial" w:cs="Arial"/>
          <w:b/>
        </w:rPr>
        <w:t>____________</w:t>
      </w:r>
    </w:p>
    <w:p w:rsidR="00675AD0" w:rsidRPr="00AE6B9A" w:rsidRDefault="00675AD0" w:rsidP="00675AD0">
      <w:pPr>
        <w:tabs>
          <w:tab w:val="left" w:pos="3000"/>
        </w:tabs>
        <w:jc w:val="right"/>
        <w:rPr>
          <w:rFonts w:ascii="Arial" w:hAnsi="Arial" w:cs="Arial"/>
          <w:b/>
        </w:rPr>
      </w:pPr>
      <w:r>
        <w:rPr>
          <w:rFonts w:ascii="Arial" w:hAnsi="Arial" w:cs="Arial"/>
          <w:b/>
        </w:rPr>
        <w:t>D</w:t>
      </w:r>
      <w:r w:rsidRPr="00AE6B9A">
        <w:rPr>
          <w:rFonts w:ascii="Arial" w:hAnsi="Arial" w:cs="Arial"/>
          <w:b/>
        </w:rPr>
        <w:t xml:space="preserve"> DOSIO </w:t>
      </w:r>
    </w:p>
    <w:p w:rsidR="00675AD0" w:rsidRDefault="00675AD0" w:rsidP="00675AD0">
      <w:pPr>
        <w:tabs>
          <w:tab w:val="left" w:pos="3000"/>
        </w:tabs>
        <w:jc w:val="right"/>
        <w:rPr>
          <w:rFonts w:ascii="Arial" w:hAnsi="Arial" w:cs="Arial"/>
          <w:b/>
        </w:rPr>
      </w:pPr>
      <w:r w:rsidRPr="00AE6B9A">
        <w:rPr>
          <w:rFonts w:ascii="Arial" w:hAnsi="Arial" w:cs="Arial"/>
          <w:b/>
        </w:rPr>
        <w:t>JUDGE OF THE HIGH COURT</w:t>
      </w:r>
    </w:p>
    <w:p w:rsidR="00111352" w:rsidRPr="00AE6B9A" w:rsidRDefault="00111352" w:rsidP="00675AD0">
      <w:pPr>
        <w:tabs>
          <w:tab w:val="left" w:pos="3000"/>
        </w:tabs>
        <w:jc w:val="right"/>
        <w:rPr>
          <w:rFonts w:ascii="Arial" w:hAnsi="Arial" w:cs="Arial"/>
          <w:b/>
        </w:rPr>
      </w:pPr>
      <w:r>
        <w:rPr>
          <w:rFonts w:ascii="Arial" w:hAnsi="Arial" w:cs="Arial"/>
          <w:b/>
        </w:rPr>
        <w:t>JOHANNESBURG</w:t>
      </w:r>
    </w:p>
    <w:p w:rsidR="00675AD0" w:rsidRDefault="00675AD0" w:rsidP="00675AD0">
      <w:pPr>
        <w:tabs>
          <w:tab w:val="left" w:pos="3000"/>
        </w:tabs>
        <w:rPr>
          <w:rFonts w:ascii="Arial" w:hAnsi="Arial" w:cs="Arial"/>
          <w:b/>
        </w:rPr>
      </w:pPr>
    </w:p>
    <w:p w:rsidR="00675AD0" w:rsidRPr="00AB55C7" w:rsidRDefault="00675AD0" w:rsidP="00675AD0">
      <w:pPr>
        <w:tabs>
          <w:tab w:val="left" w:pos="3000"/>
        </w:tabs>
        <w:rPr>
          <w:rFonts w:ascii="Arial" w:hAnsi="Arial" w:cs="Arial"/>
          <w:i/>
        </w:rPr>
      </w:pPr>
      <w:r w:rsidRPr="00AB55C7">
        <w:rPr>
          <w:rFonts w:ascii="Arial" w:hAnsi="Arial" w:cs="Arial"/>
          <w:i/>
        </w:rPr>
        <w:t>This judgment was handed down electronically by circulation to the parties’ representatives via e-</w:t>
      </w:r>
      <w:r w:rsidR="00B55350">
        <w:rPr>
          <w:rFonts w:ascii="Arial" w:hAnsi="Arial" w:cs="Arial"/>
          <w:i/>
        </w:rPr>
        <w:t>mail, by being uploaded to Casel</w:t>
      </w:r>
      <w:r w:rsidRPr="00AB55C7">
        <w:rPr>
          <w:rFonts w:ascii="Arial" w:hAnsi="Arial" w:cs="Arial"/>
          <w:i/>
        </w:rPr>
        <w:t xml:space="preserve">ines and by release to SAFLII. The date and time </w:t>
      </w:r>
      <w:r>
        <w:rPr>
          <w:rFonts w:ascii="Arial" w:hAnsi="Arial" w:cs="Arial"/>
          <w:i/>
        </w:rPr>
        <w:t xml:space="preserve">for hand- down is deemed </w:t>
      </w:r>
      <w:r w:rsidRPr="00AB55C7">
        <w:rPr>
          <w:rFonts w:ascii="Arial" w:hAnsi="Arial" w:cs="Arial"/>
          <w:i/>
        </w:rPr>
        <w:t xml:space="preserve">to be </w:t>
      </w:r>
      <w:r>
        <w:rPr>
          <w:rFonts w:ascii="Arial" w:hAnsi="Arial" w:cs="Arial"/>
          <w:i/>
        </w:rPr>
        <w:t xml:space="preserve">10h00 on </w:t>
      </w:r>
      <w:r w:rsidR="00111352">
        <w:rPr>
          <w:rFonts w:ascii="Arial" w:hAnsi="Arial" w:cs="Arial"/>
          <w:i/>
        </w:rPr>
        <w:t>10</w:t>
      </w:r>
      <w:r>
        <w:rPr>
          <w:rFonts w:ascii="Arial" w:hAnsi="Arial" w:cs="Arial"/>
          <w:i/>
        </w:rPr>
        <w:t xml:space="preserve"> October 2023</w:t>
      </w:r>
    </w:p>
    <w:p w:rsidR="00675AD0" w:rsidRPr="00AB55C7" w:rsidRDefault="00675AD0" w:rsidP="00675AD0">
      <w:pPr>
        <w:tabs>
          <w:tab w:val="left" w:pos="3000"/>
        </w:tabs>
        <w:jc w:val="both"/>
        <w:rPr>
          <w:rFonts w:ascii="Arial" w:hAnsi="Arial" w:cs="Arial"/>
          <w:b/>
          <w:i/>
        </w:rPr>
      </w:pPr>
    </w:p>
    <w:p w:rsidR="00675AD0" w:rsidRDefault="00675AD0" w:rsidP="00675AD0">
      <w:pPr>
        <w:tabs>
          <w:tab w:val="left" w:pos="3960"/>
        </w:tabs>
        <w:spacing w:line="276" w:lineRule="auto"/>
        <w:jc w:val="both"/>
        <w:rPr>
          <w:rFonts w:ascii="Arial" w:hAnsi="Arial" w:cs="Arial"/>
          <w:b/>
        </w:rPr>
      </w:pPr>
    </w:p>
    <w:p w:rsidR="00675AD0" w:rsidRDefault="00675AD0" w:rsidP="00675AD0">
      <w:pPr>
        <w:tabs>
          <w:tab w:val="left" w:pos="3960"/>
        </w:tabs>
        <w:spacing w:line="276" w:lineRule="auto"/>
        <w:jc w:val="both"/>
        <w:rPr>
          <w:rFonts w:ascii="Arial" w:hAnsi="Arial" w:cs="Arial"/>
          <w:b/>
        </w:rPr>
      </w:pPr>
    </w:p>
    <w:p w:rsidR="00675AD0" w:rsidRDefault="00675AD0" w:rsidP="00675AD0">
      <w:pPr>
        <w:tabs>
          <w:tab w:val="left" w:pos="3960"/>
        </w:tabs>
        <w:spacing w:line="276" w:lineRule="auto"/>
        <w:jc w:val="both"/>
        <w:rPr>
          <w:rFonts w:ascii="Arial" w:hAnsi="Arial" w:cs="Arial"/>
          <w:b/>
        </w:rPr>
      </w:pPr>
    </w:p>
    <w:p w:rsidR="00796C87" w:rsidRDefault="00796C87" w:rsidP="00796C87">
      <w:pPr>
        <w:pStyle w:val="JudgmentNumbered"/>
        <w:numPr>
          <w:ilvl w:val="0"/>
          <w:numId w:val="0"/>
        </w:numPr>
        <w:rPr>
          <w:rFonts w:eastAsia="Times New Roman"/>
          <w:b/>
          <w:szCs w:val="24"/>
          <w:lang w:eastAsia="en-GB"/>
        </w:rPr>
      </w:pPr>
    </w:p>
    <w:p w:rsidR="00111352" w:rsidRDefault="00111352" w:rsidP="00796C87">
      <w:pPr>
        <w:pStyle w:val="JudgmentNumbered"/>
        <w:numPr>
          <w:ilvl w:val="0"/>
          <w:numId w:val="0"/>
        </w:numPr>
        <w:rPr>
          <w:i/>
          <w:lang w:val="en-ZA"/>
        </w:rPr>
      </w:pPr>
      <w:r w:rsidRPr="00EC6A72">
        <w:rPr>
          <w:b/>
          <w:i/>
          <w:lang w:val="en-ZA"/>
        </w:rPr>
        <w:lastRenderedPageBreak/>
        <w:t>Appearances</w:t>
      </w:r>
      <w:r w:rsidRPr="00EC6A72">
        <w:rPr>
          <w:i/>
          <w:lang w:val="en-ZA"/>
        </w:rPr>
        <w:t>:</w:t>
      </w:r>
    </w:p>
    <w:p w:rsidR="00111352" w:rsidRDefault="00111352" w:rsidP="00111352">
      <w:pPr>
        <w:pStyle w:val="JudgmentNumbered"/>
        <w:numPr>
          <w:ilvl w:val="0"/>
          <w:numId w:val="0"/>
        </w:numPr>
        <w:ind w:left="567" w:hanging="567"/>
        <w:rPr>
          <w:lang w:val="en-ZA"/>
        </w:rPr>
      </w:pPr>
      <w:r w:rsidRPr="00EC6A72">
        <w:rPr>
          <w:lang w:val="en-ZA"/>
        </w:rPr>
        <w:t>On behalf of the applicant</w:t>
      </w:r>
      <w:r>
        <w:rPr>
          <w:lang w:val="en-ZA"/>
        </w:rPr>
        <w:t>s</w:t>
      </w:r>
      <w:r w:rsidRPr="00EC6A72">
        <w:rPr>
          <w:lang w:val="en-ZA"/>
        </w:rPr>
        <w:t>:</w:t>
      </w:r>
      <w:r w:rsidRPr="00EC6A72">
        <w:rPr>
          <w:lang w:val="en-ZA"/>
        </w:rPr>
        <w:tab/>
      </w:r>
      <w:r>
        <w:rPr>
          <w:lang w:val="en-ZA"/>
        </w:rPr>
        <w:tab/>
      </w:r>
      <w:r>
        <w:rPr>
          <w:lang w:val="en-ZA"/>
        </w:rPr>
        <w:tab/>
      </w:r>
      <w:r w:rsidRPr="00EC6A72">
        <w:rPr>
          <w:lang w:val="en-ZA"/>
        </w:rPr>
        <w:t>Adv. M.M. Le Roux</w:t>
      </w:r>
    </w:p>
    <w:p w:rsidR="00111352" w:rsidRDefault="00111352" w:rsidP="00111352">
      <w:pPr>
        <w:pStyle w:val="JudgmentNumbered"/>
        <w:numPr>
          <w:ilvl w:val="0"/>
          <w:numId w:val="0"/>
        </w:numPr>
        <w:ind w:left="567" w:hanging="567"/>
        <w:rPr>
          <w:lang w:val="en-ZA"/>
        </w:rPr>
      </w:pPr>
      <w:r>
        <w:rPr>
          <w:lang w:val="en-ZA"/>
        </w:rPr>
        <w:t>Instructed by:</w:t>
      </w:r>
      <w:r>
        <w:rPr>
          <w:lang w:val="en-ZA"/>
        </w:rPr>
        <w:tab/>
      </w:r>
      <w:r>
        <w:rPr>
          <w:lang w:val="en-ZA"/>
        </w:rPr>
        <w:tab/>
      </w:r>
      <w:r>
        <w:rPr>
          <w:lang w:val="en-ZA"/>
        </w:rPr>
        <w:tab/>
      </w:r>
      <w:r>
        <w:rPr>
          <w:lang w:val="en-ZA"/>
        </w:rPr>
        <w:tab/>
      </w:r>
      <w:r>
        <w:rPr>
          <w:lang w:val="en-ZA"/>
        </w:rPr>
        <w:tab/>
      </w:r>
      <w:r w:rsidRPr="00EC6A72">
        <w:rPr>
          <w:lang w:val="en-ZA"/>
        </w:rPr>
        <w:t>Malatji &amp; Co Attorneys</w:t>
      </w:r>
    </w:p>
    <w:p w:rsidR="00111352" w:rsidRPr="00EC6A72" w:rsidRDefault="00111352" w:rsidP="00111352">
      <w:pPr>
        <w:pStyle w:val="JudgmentNumbered"/>
        <w:numPr>
          <w:ilvl w:val="0"/>
          <w:numId w:val="0"/>
        </w:numPr>
        <w:ind w:left="567" w:hanging="567"/>
        <w:rPr>
          <w:lang w:val="en-ZA"/>
        </w:rPr>
      </w:pPr>
      <w:r>
        <w:rPr>
          <w:lang w:val="en-ZA"/>
        </w:rPr>
        <w:t>On behalf of the first respondent:</w:t>
      </w:r>
      <w:r>
        <w:rPr>
          <w:lang w:val="en-ZA"/>
        </w:rPr>
        <w:tab/>
      </w:r>
      <w:r>
        <w:rPr>
          <w:lang w:val="en-ZA"/>
        </w:rPr>
        <w:tab/>
      </w:r>
      <w:r>
        <w:rPr>
          <w:lang w:val="en-ZA"/>
        </w:rPr>
        <w:tab/>
      </w:r>
      <w:r w:rsidRPr="00EC6A72">
        <w:rPr>
          <w:lang w:val="en-ZA"/>
        </w:rPr>
        <w:t>Adv. T Moretlwe</w:t>
      </w:r>
    </w:p>
    <w:p w:rsidR="00111352" w:rsidRDefault="00111352" w:rsidP="00111352">
      <w:pPr>
        <w:pStyle w:val="JudgmentNumbered"/>
        <w:numPr>
          <w:ilvl w:val="0"/>
          <w:numId w:val="0"/>
        </w:numPr>
        <w:rPr>
          <w:lang w:val="en-ZA"/>
        </w:rPr>
      </w:pPr>
      <w:r w:rsidRPr="00EC6A72">
        <w:rPr>
          <w:lang w:val="en-ZA"/>
        </w:rPr>
        <w:tab/>
      </w:r>
      <w:r w:rsidRPr="00EC6A72">
        <w:rPr>
          <w:lang w:val="en-ZA"/>
        </w:rPr>
        <w:tab/>
      </w:r>
      <w:r w:rsidRPr="00EC6A72">
        <w:rPr>
          <w:lang w:val="en-ZA"/>
        </w:rPr>
        <w:tab/>
      </w:r>
      <w:r w:rsidRPr="00EC6A72">
        <w:rPr>
          <w:lang w:val="en-ZA"/>
        </w:rPr>
        <w:tab/>
      </w:r>
      <w:r>
        <w:rPr>
          <w:lang w:val="en-ZA"/>
        </w:rPr>
        <w:tab/>
      </w:r>
      <w:r>
        <w:rPr>
          <w:lang w:val="en-ZA"/>
        </w:rPr>
        <w:tab/>
      </w:r>
      <w:r>
        <w:rPr>
          <w:lang w:val="en-ZA"/>
        </w:rPr>
        <w:tab/>
      </w:r>
      <w:r w:rsidRPr="00EC6A72">
        <w:rPr>
          <w:lang w:val="en-ZA"/>
        </w:rPr>
        <w:t>Adv. Z. Matondo</w:t>
      </w:r>
    </w:p>
    <w:p w:rsidR="00111352" w:rsidRPr="00EC6A72" w:rsidRDefault="00111352" w:rsidP="00111352">
      <w:pPr>
        <w:pStyle w:val="JudgmentNumbered"/>
        <w:numPr>
          <w:ilvl w:val="0"/>
          <w:numId w:val="0"/>
        </w:numPr>
        <w:rPr>
          <w:lang w:val="en-ZA"/>
        </w:rPr>
      </w:pPr>
      <w:r w:rsidRPr="00EC6A72">
        <w:rPr>
          <w:lang w:val="en-ZA"/>
        </w:rPr>
        <w:t>Instructed by:                                                       WERKSMANS ATTORNEYS</w:t>
      </w:r>
    </w:p>
    <w:p w:rsidR="002112FF" w:rsidRDefault="002112FF"/>
    <w:sectPr w:rsidR="002112FF" w:rsidSect="009147A5">
      <w:headerReference w:type="even" r:id="rId8"/>
      <w:headerReference w:type="default" r:id="rId9"/>
      <w:pgSz w:w="11906" w:h="16838"/>
      <w:pgMar w:top="1008" w:right="864" w:bottom="1008" w:left="86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D29" w:rsidRDefault="00F54D29" w:rsidP="00675AD0">
      <w:r>
        <w:separator/>
      </w:r>
    </w:p>
  </w:endnote>
  <w:endnote w:type="continuationSeparator" w:id="0">
    <w:p w:rsidR="00F54D29" w:rsidRDefault="00F54D29" w:rsidP="0067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D29" w:rsidRDefault="00F54D29" w:rsidP="00675AD0">
      <w:r>
        <w:separator/>
      </w:r>
    </w:p>
  </w:footnote>
  <w:footnote w:type="continuationSeparator" w:id="0">
    <w:p w:rsidR="00F54D29" w:rsidRDefault="00F54D29" w:rsidP="00675AD0">
      <w:r>
        <w:continuationSeparator/>
      </w:r>
    </w:p>
  </w:footnote>
  <w:footnote w:id="1">
    <w:p w:rsidR="009147A5" w:rsidRPr="007B30DB" w:rsidRDefault="009147A5" w:rsidP="007B30DB">
      <w:pPr>
        <w:pStyle w:val="FootnoteText"/>
        <w:spacing w:line="276" w:lineRule="auto"/>
        <w:jc w:val="both"/>
        <w:rPr>
          <w:sz w:val="18"/>
          <w:szCs w:val="18"/>
          <w:lang w:val="en-ZA"/>
        </w:rPr>
      </w:pPr>
      <w:r w:rsidRPr="007B30DB">
        <w:rPr>
          <w:rStyle w:val="FootnoteReference"/>
          <w:sz w:val="18"/>
          <w:szCs w:val="18"/>
        </w:rPr>
        <w:footnoteRef/>
      </w:r>
      <w:r w:rsidRPr="007B30DB">
        <w:rPr>
          <w:sz w:val="18"/>
          <w:szCs w:val="18"/>
        </w:rPr>
        <w:t xml:space="preserve"> </w:t>
      </w:r>
      <w:r w:rsidRPr="007B30DB">
        <w:rPr>
          <w:rFonts w:ascii="Arial" w:hAnsi="Arial" w:cs="Arial"/>
          <w:sz w:val="18"/>
          <w:szCs w:val="18"/>
        </w:rPr>
        <w:t>SIU Report, para 71.</w:t>
      </w:r>
    </w:p>
  </w:footnote>
  <w:footnote w:id="2">
    <w:p w:rsidR="009147A5" w:rsidRPr="00834B43" w:rsidRDefault="009147A5" w:rsidP="007B30DB">
      <w:pPr>
        <w:pStyle w:val="FootnoteText"/>
        <w:spacing w:line="276" w:lineRule="auto"/>
        <w:jc w:val="both"/>
        <w:rPr>
          <w:rFonts w:ascii="Arial" w:hAnsi="Arial" w:cs="Arial"/>
          <w:lang w:val="en-ZA"/>
        </w:rPr>
      </w:pPr>
      <w:r w:rsidRPr="007B30DB">
        <w:rPr>
          <w:rStyle w:val="FootnoteReference"/>
          <w:rFonts w:ascii="Arial" w:hAnsi="Arial" w:cs="Arial"/>
          <w:sz w:val="18"/>
        </w:rPr>
        <w:footnoteRef/>
      </w:r>
      <w:r w:rsidRPr="007B30DB">
        <w:rPr>
          <w:rFonts w:ascii="Arial" w:hAnsi="Arial" w:cs="Arial"/>
          <w:sz w:val="18"/>
        </w:rPr>
        <w:t xml:space="preserve"> </w:t>
      </w:r>
      <w:r w:rsidRPr="007B30DB">
        <w:rPr>
          <w:rFonts w:ascii="Arial" w:hAnsi="Arial" w:cs="Arial"/>
          <w:i/>
          <w:iCs/>
          <w:sz w:val="18"/>
          <w:lang w:val="en-ZA"/>
        </w:rPr>
        <w:t>Mphaphuli Consulting (Pty) Limited v Special Investigating Unit</w:t>
      </w:r>
      <w:r w:rsidRPr="007B30DB">
        <w:rPr>
          <w:rFonts w:ascii="Arial" w:hAnsi="Arial" w:cs="Arial"/>
          <w:sz w:val="18"/>
          <w:lang w:val="en-ZA"/>
        </w:rPr>
        <w:t xml:space="preserve"> [2022] JOL 52444 (LP) at para 27.</w:t>
      </w:r>
    </w:p>
  </w:footnote>
  <w:footnote w:id="3">
    <w:p w:rsidR="009147A5" w:rsidRPr="00F12756" w:rsidRDefault="009147A5" w:rsidP="00694F6B">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iCs/>
          <w:sz w:val="18"/>
          <w:lang w:val="en-ZA"/>
        </w:rPr>
        <w:t>Prudential Authority of the South African Reserve Bank v Msiza</w:t>
      </w:r>
      <w:r w:rsidRPr="00F12756">
        <w:rPr>
          <w:rFonts w:ascii="Arial" w:hAnsi="Arial" w:cs="Arial"/>
          <w:sz w:val="18"/>
          <w:lang w:val="en-ZA"/>
        </w:rPr>
        <w:t xml:space="preserve"> [2023] ZAGPPHC 313 at para 24.</w:t>
      </w:r>
    </w:p>
  </w:footnote>
  <w:footnote w:id="4">
    <w:p w:rsidR="009147A5" w:rsidRPr="00297FB8" w:rsidRDefault="009147A5" w:rsidP="00694F6B">
      <w:pPr>
        <w:pStyle w:val="FootnoteText"/>
        <w:spacing w:line="276" w:lineRule="auto"/>
        <w:jc w:val="both"/>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sz w:val="18"/>
        </w:rPr>
        <w:t>Grey’s Marine Hout Bay (Pty) Ltd and Others v Minister of Public Works and Others</w:t>
      </w:r>
      <w:r w:rsidRPr="00F12756">
        <w:rPr>
          <w:rFonts w:ascii="Arial" w:hAnsi="Arial" w:cs="Arial"/>
          <w:sz w:val="18"/>
        </w:rPr>
        <w:t xml:space="preserve"> 2005 (6) SA 313 SCA.</w:t>
      </w:r>
    </w:p>
  </w:footnote>
  <w:footnote w:id="5">
    <w:p w:rsidR="009147A5" w:rsidRPr="00F12756" w:rsidRDefault="009147A5" w:rsidP="00705F4E">
      <w:pPr>
        <w:pStyle w:val="FootnoteText"/>
        <w:spacing w:line="276" w:lineRule="auto"/>
        <w:jc w:val="both"/>
        <w:rPr>
          <w:rFonts w:ascii="Arial" w:hAnsi="Arial" w:cs="Arial"/>
          <w:sz w:val="18"/>
          <w:lang w:val="en-ZA"/>
        </w:rPr>
      </w:pPr>
      <w:r w:rsidRPr="00F12756">
        <w:rPr>
          <w:rStyle w:val="FootnoteReference"/>
          <w:rFonts w:ascii="Arial" w:hAnsi="Arial" w:cs="Arial"/>
          <w:i/>
          <w:sz w:val="18"/>
        </w:rPr>
        <w:footnoteRef/>
      </w:r>
      <w:r w:rsidR="00A21756">
        <w:rPr>
          <w:rFonts w:ascii="Arial" w:hAnsi="Arial" w:cs="Arial"/>
          <w:i/>
          <w:sz w:val="18"/>
        </w:rPr>
        <w:t xml:space="preserve"> Gamevest (Pty) Ltd v R</w:t>
      </w:r>
      <w:r w:rsidRPr="00F12756">
        <w:rPr>
          <w:rFonts w:ascii="Arial" w:hAnsi="Arial" w:cs="Arial"/>
          <w:i/>
          <w:sz w:val="18"/>
        </w:rPr>
        <w:t>egional Land Claims Commissioner Northern Province and Mpumalanga and Others</w:t>
      </w:r>
      <w:r w:rsidRPr="00F12756">
        <w:rPr>
          <w:rFonts w:ascii="Arial" w:hAnsi="Arial" w:cs="Arial"/>
          <w:sz w:val="18"/>
        </w:rPr>
        <w:t xml:space="preserve"> 2003 (1) SA 373 (SCA).</w:t>
      </w:r>
    </w:p>
  </w:footnote>
  <w:footnote w:id="6">
    <w:p w:rsidR="009147A5" w:rsidRPr="00F12756" w:rsidRDefault="009147A5" w:rsidP="00705F4E">
      <w:pPr>
        <w:pStyle w:val="FootnoteText"/>
        <w:spacing w:line="276" w:lineRule="auto"/>
        <w:jc w:val="both"/>
        <w:rPr>
          <w:rFonts w:ascii="Arial" w:hAnsi="Arial" w:cs="Arial"/>
          <w:sz w:val="18"/>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sz w:val="18"/>
        </w:rPr>
        <w:t>Companies and Intellectual Property Commission v Moola</w:t>
      </w:r>
      <w:r w:rsidRPr="00F12756">
        <w:rPr>
          <w:rFonts w:ascii="Arial" w:hAnsi="Arial" w:cs="Arial"/>
          <w:sz w:val="18"/>
        </w:rPr>
        <w:t xml:space="preserve"> [2017] ZAGPJHC 102.</w:t>
      </w:r>
    </w:p>
  </w:footnote>
  <w:footnote w:id="7">
    <w:p w:rsidR="009147A5" w:rsidRPr="00F12756" w:rsidRDefault="009147A5" w:rsidP="00705F4E">
      <w:pPr>
        <w:pStyle w:val="FootnoteText"/>
        <w:spacing w:line="276" w:lineRule="auto"/>
        <w:jc w:val="both"/>
        <w:rPr>
          <w:rFonts w:ascii="Arial" w:hAnsi="Arial" w:cs="Arial"/>
          <w:sz w:val="18"/>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sz w:val="18"/>
        </w:rPr>
        <w:t>Masuku v Special Investigations Unit</w:t>
      </w:r>
      <w:r w:rsidRPr="00F12756">
        <w:rPr>
          <w:rFonts w:ascii="Arial" w:hAnsi="Arial" w:cs="Arial"/>
          <w:sz w:val="18"/>
        </w:rPr>
        <w:t xml:space="preserve"> [2021] ZAGPPHC 273.</w:t>
      </w:r>
    </w:p>
  </w:footnote>
  <w:footnote w:id="8">
    <w:p w:rsidR="009147A5" w:rsidRPr="00F12756" w:rsidRDefault="009147A5" w:rsidP="00705F4E">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Ibid p</w:t>
      </w:r>
      <w:r w:rsidRPr="00F12756">
        <w:rPr>
          <w:rFonts w:ascii="Arial" w:hAnsi="Arial" w:cs="Arial"/>
          <w:sz w:val="18"/>
          <w:lang w:val="en-ZA"/>
        </w:rPr>
        <w:t>ara 62.</w:t>
      </w:r>
    </w:p>
  </w:footnote>
  <w:footnote w:id="9">
    <w:p w:rsidR="009147A5" w:rsidRPr="00F12756" w:rsidRDefault="009147A5" w:rsidP="00705F4E">
      <w:pPr>
        <w:pStyle w:val="FootnoteText"/>
        <w:spacing w:line="276" w:lineRule="auto"/>
        <w:jc w:val="both"/>
        <w:rPr>
          <w:rFonts w:ascii="Arial" w:hAnsi="Arial" w:cs="Arial"/>
          <w:sz w:val="18"/>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sz w:val="18"/>
        </w:rPr>
        <w:t>Mphaphuli Consulting (Pty) Limited v Special Investigating Unit</w:t>
      </w:r>
      <w:r w:rsidRPr="00F12756">
        <w:rPr>
          <w:rFonts w:ascii="Arial" w:hAnsi="Arial" w:cs="Arial"/>
          <w:sz w:val="18"/>
        </w:rPr>
        <w:t xml:space="preserve"> [2022] JOL 52444 (LP).</w:t>
      </w:r>
    </w:p>
  </w:footnote>
  <w:footnote w:id="10">
    <w:p w:rsidR="009147A5" w:rsidRPr="00F12756" w:rsidRDefault="009147A5" w:rsidP="00705F4E">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sz w:val="18"/>
        </w:rPr>
        <w:t>President of the Republic of South Africa and Others v South African Rugby Football Union and Others</w:t>
      </w:r>
      <w:r w:rsidRPr="00F12756">
        <w:rPr>
          <w:rFonts w:ascii="Arial" w:hAnsi="Arial" w:cs="Arial"/>
          <w:sz w:val="18"/>
        </w:rPr>
        <w:t xml:space="preserve"> (CCT16/98) [1999] ZACC 11; 2000 (1) SA 1; 1999 (10) BCLR 1059 (10 September 1999).</w:t>
      </w:r>
    </w:p>
  </w:footnote>
  <w:footnote w:id="11">
    <w:p w:rsidR="009147A5" w:rsidRPr="00297FB8" w:rsidRDefault="009147A5" w:rsidP="00705F4E">
      <w:pPr>
        <w:pStyle w:val="FootnoteText"/>
        <w:spacing w:line="276" w:lineRule="auto"/>
        <w:jc w:val="both"/>
        <w:rPr>
          <w:rFonts w:ascii="Arial" w:hAnsi="Arial" w:cs="Arial"/>
          <w:lang w:val="en-ZA"/>
        </w:rPr>
      </w:pPr>
      <w:r w:rsidRPr="00F12756">
        <w:rPr>
          <w:rStyle w:val="FootnoteReference"/>
          <w:rFonts w:ascii="Arial" w:hAnsi="Arial" w:cs="Arial"/>
          <w:sz w:val="18"/>
        </w:rPr>
        <w:footnoteRef/>
      </w:r>
      <w:r w:rsidRPr="00F12756">
        <w:rPr>
          <w:rFonts w:ascii="Arial" w:hAnsi="Arial" w:cs="Arial"/>
          <w:sz w:val="18"/>
        </w:rPr>
        <w:t xml:space="preserve"> </w:t>
      </w:r>
      <w:bookmarkStart w:id="3" w:name="_Hlk144578650"/>
      <w:r w:rsidRPr="00F12756">
        <w:rPr>
          <w:rFonts w:ascii="Arial" w:hAnsi="Arial" w:cs="Arial"/>
          <w:i/>
          <w:sz w:val="18"/>
          <w:lang w:val="en-ZA"/>
        </w:rPr>
        <w:t>Mphaphuli Consulting (Pty) Limited v Special Investigating Unit</w:t>
      </w:r>
      <w:r w:rsidRPr="00F12756">
        <w:rPr>
          <w:rFonts w:ascii="Arial" w:hAnsi="Arial" w:cs="Arial"/>
          <w:sz w:val="18"/>
          <w:lang w:val="en-ZA"/>
        </w:rPr>
        <w:t xml:space="preserve"> [2022] JOL 52444 (LP) at para 25</w:t>
      </w:r>
      <w:bookmarkEnd w:id="3"/>
      <w:r w:rsidRPr="00F12756">
        <w:rPr>
          <w:rFonts w:ascii="Arial" w:hAnsi="Arial" w:cs="Arial"/>
          <w:sz w:val="18"/>
          <w:lang w:val="en-ZA"/>
        </w:rPr>
        <w:t>.</w:t>
      </w:r>
    </w:p>
  </w:footnote>
  <w:footnote w:id="12">
    <w:p w:rsidR="009147A5" w:rsidRPr="00F12756" w:rsidRDefault="009147A5" w:rsidP="00705F4E">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sz w:val="18"/>
          <w:lang w:val="en-ZA"/>
        </w:rPr>
        <w:t>Mphaphuli</w:t>
      </w:r>
      <w:r w:rsidRPr="00F12756">
        <w:rPr>
          <w:rFonts w:ascii="Arial" w:hAnsi="Arial" w:cs="Arial"/>
          <w:sz w:val="18"/>
          <w:lang w:val="en-ZA"/>
        </w:rPr>
        <w:t xml:space="preserve"> (note 6 above).</w:t>
      </w:r>
    </w:p>
  </w:footnote>
  <w:footnote w:id="13">
    <w:p w:rsidR="009147A5" w:rsidRPr="00F12756" w:rsidRDefault="009147A5" w:rsidP="00705F4E">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iCs/>
          <w:sz w:val="18"/>
          <w:lang w:val="en-ZA"/>
        </w:rPr>
        <w:t xml:space="preserve">Masuku </w:t>
      </w:r>
      <w:r w:rsidRPr="00F12756">
        <w:rPr>
          <w:rFonts w:ascii="Arial" w:hAnsi="Arial" w:cs="Arial"/>
          <w:iCs/>
          <w:sz w:val="18"/>
          <w:lang w:val="en-ZA"/>
        </w:rPr>
        <w:t>(note 4 above)</w:t>
      </w:r>
      <w:r w:rsidRPr="00F12756">
        <w:rPr>
          <w:rFonts w:ascii="Arial" w:hAnsi="Arial" w:cs="Arial"/>
          <w:sz w:val="18"/>
          <w:lang w:val="en-ZA"/>
        </w:rPr>
        <w:t xml:space="preserve"> para 17.</w:t>
      </w:r>
    </w:p>
  </w:footnote>
  <w:footnote w:id="14">
    <w:p w:rsidR="009147A5" w:rsidRPr="00F12756" w:rsidRDefault="009147A5" w:rsidP="00705F4E">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Ibid.</w:t>
      </w:r>
    </w:p>
  </w:footnote>
  <w:footnote w:id="15">
    <w:p w:rsidR="009147A5" w:rsidRPr="00F12756" w:rsidRDefault="009147A5" w:rsidP="00705F4E">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Ibid para 16.</w:t>
      </w:r>
    </w:p>
  </w:footnote>
  <w:footnote w:id="16">
    <w:p w:rsidR="009147A5" w:rsidRPr="00F12756" w:rsidRDefault="009147A5" w:rsidP="00705F4E">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sz w:val="18"/>
          <w:lang w:val="en-ZA"/>
        </w:rPr>
        <w:t>Ibid at para 17.</w:t>
      </w:r>
    </w:p>
  </w:footnote>
  <w:footnote w:id="17">
    <w:p w:rsidR="009147A5" w:rsidRPr="00F12756" w:rsidRDefault="009147A5" w:rsidP="00705F4E">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sz w:val="18"/>
        </w:rPr>
        <w:t>Bhugwan v JSE Ltd</w:t>
      </w:r>
      <w:r w:rsidRPr="00F12756">
        <w:rPr>
          <w:rFonts w:ascii="Arial" w:hAnsi="Arial" w:cs="Arial"/>
          <w:sz w:val="18"/>
        </w:rPr>
        <w:t xml:space="preserve"> 2010 (3) SA 335 (GSJ).</w:t>
      </w:r>
    </w:p>
  </w:footnote>
  <w:footnote w:id="18">
    <w:p w:rsidR="009147A5" w:rsidRPr="00F12756" w:rsidRDefault="009147A5" w:rsidP="00705F4E">
      <w:pPr>
        <w:pStyle w:val="FootnoteText"/>
        <w:spacing w:line="276" w:lineRule="auto"/>
        <w:jc w:val="both"/>
        <w:rPr>
          <w:rFonts w:ascii="Arial" w:hAnsi="Arial" w:cs="Arial"/>
          <w:sz w:val="18"/>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sz w:val="18"/>
        </w:rPr>
        <w:t>Weinert Municipality of the City of Cape Town</w:t>
      </w:r>
      <w:r w:rsidRPr="00F12756">
        <w:rPr>
          <w:rFonts w:ascii="Arial" w:hAnsi="Arial" w:cs="Arial"/>
          <w:sz w:val="18"/>
        </w:rPr>
        <w:t xml:space="preserve"> [2022] ZAWCHC 252; [2023] 1 All SA 536 (WCC).</w:t>
      </w:r>
    </w:p>
  </w:footnote>
  <w:footnote w:id="19">
    <w:p w:rsidR="009147A5" w:rsidRPr="00297FB8" w:rsidRDefault="009147A5" w:rsidP="00705F4E">
      <w:pPr>
        <w:pStyle w:val="FootnoteText"/>
        <w:spacing w:line="276" w:lineRule="auto"/>
        <w:jc w:val="both"/>
        <w:rPr>
          <w:rFonts w:ascii="Arial" w:hAnsi="Arial" w:cs="Arial"/>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sz w:val="18"/>
          <w:lang w:val="en-ZA"/>
        </w:rPr>
        <w:t>Ibid para 23.</w:t>
      </w:r>
    </w:p>
  </w:footnote>
  <w:footnote w:id="20">
    <w:p w:rsidR="009147A5" w:rsidRPr="00F12756" w:rsidRDefault="009147A5" w:rsidP="00F12756">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sz w:val="18"/>
          <w:lang w:val="en-ZA"/>
        </w:rPr>
        <w:t>Moola</w:t>
      </w:r>
      <w:r w:rsidRPr="00F12756">
        <w:rPr>
          <w:rFonts w:ascii="Arial" w:hAnsi="Arial" w:cs="Arial"/>
          <w:sz w:val="18"/>
          <w:lang w:val="en-ZA"/>
        </w:rPr>
        <w:t xml:space="preserve"> (note 6 above).</w:t>
      </w:r>
    </w:p>
  </w:footnote>
  <w:footnote w:id="21">
    <w:p w:rsidR="009147A5" w:rsidRPr="00F12756" w:rsidRDefault="009147A5" w:rsidP="00F12756">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Ibid </w:t>
      </w:r>
      <w:r w:rsidRPr="00F12756">
        <w:rPr>
          <w:rFonts w:ascii="Arial" w:hAnsi="Arial" w:cs="Arial"/>
          <w:sz w:val="18"/>
          <w:lang w:val="en-ZA"/>
        </w:rPr>
        <w:t>para 45.</w:t>
      </w:r>
    </w:p>
  </w:footnote>
  <w:footnote w:id="22">
    <w:p w:rsidR="009147A5" w:rsidRPr="00F12756" w:rsidRDefault="009147A5" w:rsidP="00F12756">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sz w:val="18"/>
        </w:rPr>
        <w:t>Viking Pony Africa Pumps (Pty) Ltd t/a Tricom Africa v Hidro-Tech Systems (Pty) Ltd</w:t>
      </w:r>
      <w:r w:rsidRPr="00F12756">
        <w:rPr>
          <w:rFonts w:ascii="Arial" w:hAnsi="Arial" w:cs="Arial"/>
          <w:sz w:val="18"/>
        </w:rPr>
        <w:t xml:space="preserve"> [2010] ZACC 21; 2011 (1) SA 327 (CC) ; 2011 (2) BCLR 207 (CC).</w:t>
      </w:r>
    </w:p>
  </w:footnote>
  <w:footnote w:id="23">
    <w:p w:rsidR="009147A5" w:rsidRPr="00F12756" w:rsidRDefault="009147A5" w:rsidP="00F12756">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Cs/>
          <w:sz w:val="18"/>
        </w:rPr>
        <w:t xml:space="preserve">Ibid </w:t>
      </w:r>
      <w:r w:rsidRPr="00F12756">
        <w:rPr>
          <w:rFonts w:ascii="Arial" w:hAnsi="Arial" w:cs="Arial"/>
          <w:sz w:val="18"/>
        </w:rPr>
        <w:t>para 37.</w:t>
      </w:r>
    </w:p>
  </w:footnote>
  <w:footnote w:id="24">
    <w:p w:rsidR="009147A5" w:rsidRPr="00F12756" w:rsidRDefault="009147A5" w:rsidP="00F12756">
      <w:pPr>
        <w:pStyle w:val="FootnoteText"/>
        <w:spacing w:line="276" w:lineRule="auto"/>
        <w:jc w:val="both"/>
        <w:rPr>
          <w:rFonts w:ascii="Arial" w:hAnsi="Arial" w:cs="Arial"/>
          <w:sz w:val="18"/>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sz w:val="18"/>
        </w:rPr>
        <w:t>Chairman of the State Tender Board v Digital Voice Processing (Pty) Ltd, Chairman of the State Tender Board v Sneller Digital (Pty) Ltd</w:t>
      </w:r>
      <w:r w:rsidRPr="00F12756">
        <w:rPr>
          <w:rFonts w:ascii="Arial" w:hAnsi="Arial" w:cs="Arial"/>
          <w:sz w:val="18"/>
        </w:rPr>
        <w:t xml:space="preserve"> [2011] ZASCA 202; 2012 (2) SA 16 (SCA); [2012] 2 All SA 111.</w:t>
      </w:r>
    </w:p>
  </w:footnote>
  <w:footnote w:id="25">
    <w:p w:rsidR="009147A5" w:rsidRPr="00F12756" w:rsidRDefault="009147A5" w:rsidP="00F12756">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Ibid para 21.</w:t>
      </w:r>
    </w:p>
  </w:footnote>
  <w:footnote w:id="26">
    <w:p w:rsidR="009147A5" w:rsidRPr="00657C90" w:rsidRDefault="009147A5" w:rsidP="00F12756">
      <w:pPr>
        <w:pStyle w:val="FootnoteText"/>
        <w:spacing w:line="276" w:lineRule="auto"/>
        <w:jc w:val="both"/>
        <w:rPr>
          <w:rFonts w:ascii="Arial" w:hAnsi="Arial" w:cs="Arial"/>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sz w:val="18"/>
          <w:lang w:val="en-ZA"/>
        </w:rPr>
        <w:t>Viking</w:t>
      </w:r>
      <w:r w:rsidRPr="00F12756">
        <w:rPr>
          <w:rFonts w:ascii="Arial" w:hAnsi="Arial" w:cs="Arial"/>
          <w:sz w:val="18"/>
          <w:lang w:val="en-ZA"/>
        </w:rPr>
        <w:t xml:space="preserve"> (note 20 above).</w:t>
      </w:r>
    </w:p>
  </w:footnote>
  <w:footnote w:id="27">
    <w:p w:rsidR="009147A5" w:rsidRPr="00F12756" w:rsidRDefault="009147A5" w:rsidP="00F12756">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iCs/>
          <w:sz w:val="18"/>
        </w:rPr>
        <w:t>Viking Pony Africa Pumps (Pty) Ltd t/a Tricom Africa v Hidro-Tech Systems (Pty) Ltd</w:t>
      </w:r>
      <w:r w:rsidRPr="00F12756">
        <w:rPr>
          <w:rFonts w:ascii="Arial" w:hAnsi="Arial" w:cs="Arial"/>
          <w:sz w:val="18"/>
        </w:rPr>
        <w:t xml:space="preserve"> [2010</w:t>
      </w:r>
      <w:r w:rsidR="00EB4402">
        <w:rPr>
          <w:rFonts w:ascii="Arial" w:hAnsi="Arial" w:cs="Arial"/>
          <w:sz w:val="18"/>
        </w:rPr>
        <w:t>] ZACC 21; 2011 (1) SA 327 (CC)</w:t>
      </w:r>
      <w:r w:rsidRPr="00F12756">
        <w:rPr>
          <w:rFonts w:ascii="Arial" w:hAnsi="Arial" w:cs="Arial"/>
          <w:sz w:val="18"/>
        </w:rPr>
        <w:t>; 2011 (2) BCLR 207 (CC) at para 38.</w:t>
      </w:r>
    </w:p>
  </w:footnote>
  <w:footnote w:id="28">
    <w:p w:rsidR="009147A5" w:rsidRPr="00F12756" w:rsidRDefault="009147A5" w:rsidP="00F12756">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sz w:val="18"/>
          <w:lang w:val="en-ZA"/>
        </w:rPr>
        <w:t>Moola (note 6 above).</w:t>
      </w:r>
    </w:p>
  </w:footnote>
  <w:footnote w:id="29">
    <w:p w:rsidR="009147A5" w:rsidRPr="00F12756" w:rsidRDefault="009147A5" w:rsidP="00F12756">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Ibid </w:t>
      </w:r>
      <w:r w:rsidRPr="00F12756">
        <w:rPr>
          <w:rFonts w:ascii="Arial" w:hAnsi="Arial" w:cs="Arial"/>
          <w:sz w:val="18"/>
          <w:lang w:val="en-ZA"/>
        </w:rPr>
        <w:t>para 40.</w:t>
      </w:r>
    </w:p>
  </w:footnote>
  <w:footnote w:id="30">
    <w:p w:rsidR="009147A5" w:rsidRPr="00F12756" w:rsidRDefault="009147A5" w:rsidP="00F12756">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sz w:val="18"/>
          <w:lang w:val="en-ZA"/>
        </w:rPr>
        <w:t>Ibid at para 42.</w:t>
      </w:r>
    </w:p>
  </w:footnote>
  <w:footnote w:id="31">
    <w:p w:rsidR="009147A5" w:rsidRPr="00F12756" w:rsidRDefault="009147A5" w:rsidP="00F12756">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iCs/>
          <w:sz w:val="18"/>
        </w:rPr>
        <w:t>Fedsure Life Assurance Ltd v Greater Johannesburg Transitional Metropolitan Council</w:t>
      </w:r>
      <w:r w:rsidRPr="00F12756">
        <w:rPr>
          <w:rFonts w:ascii="Arial" w:hAnsi="Arial" w:cs="Arial"/>
          <w:sz w:val="18"/>
        </w:rPr>
        <w:t xml:space="preserve"> [1998] ZACC 17; 1999 (1) SA 374; 1998 (12) BCLR 1458 para 56.</w:t>
      </w:r>
    </w:p>
  </w:footnote>
  <w:footnote w:id="32">
    <w:p w:rsidR="009147A5" w:rsidRPr="00F12756" w:rsidRDefault="009147A5" w:rsidP="00F12756">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iCs/>
          <w:sz w:val="18"/>
        </w:rPr>
        <w:t>Democratic Alliance v Ethekwini Municipality</w:t>
      </w:r>
      <w:r w:rsidRPr="00F12756">
        <w:rPr>
          <w:rFonts w:ascii="Arial" w:hAnsi="Arial" w:cs="Arial"/>
          <w:sz w:val="18"/>
        </w:rPr>
        <w:t xml:space="preserve"> [2011] ZASCA 221; 2012 (2) SA 151 (SCA); [2012] 1 All SA 412 (SCA) para 21.</w:t>
      </w:r>
    </w:p>
  </w:footnote>
  <w:footnote w:id="33">
    <w:p w:rsidR="009147A5" w:rsidRPr="00533CDC" w:rsidRDefault="009147A5" w:rsidP="00F12756">
      <w:pPr>
        <w:pStyle w:val="FootnoteText"/>
        <w:spacing w:line="276" w:lineRule="auto"/>
        <w:jc w:val="both"/>
        <w:rPr>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sz w:val="18"/>
        </w:rPr>
        <w:t>Pharmaceutical Manufacturers Association of South Africa and Another: In re Ex Parte President of the Republic of South Africa</w:t>
      </w:r>
      <w:r w:rsidRPr="00F12756">
        <w:rPr>
          <w:rFonts w:ascii="Arial" w:hAnsi="Arial" w:cs="Arial"/>
          <w:sz w:val="18"/>
        </w:rPr>
        <w:t xml:space="preserve"> [2000] ZACC 1; 2000 (2) SA 674; 2000 (3) BCLR 241.</w:t>
      </w:r>
    </w:p>
  </w:footnote>
  <w:footnote w:id="34">
    <w:p w:rsidR="009147A5" w:rsidRPr="00F12756" w:rsidRDefault="009147A5" w:rsidP="00F12756">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Ibid para 85.</w:t>
      </w:r>
    </w:p>
  </w:footnote>
  <w:footnote w:id="35">
    <w:p w:rsidR="009147A5" w:rsidRPr="00F12756" w:rsidRDefault="009147A5" w:rsidP="00F12756">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iCs/>
          <w:sz w:val="18"/>
        </w:rPr>
        <w:t>Minister of Defence and Military Veterans v Motau</w:t>
      </w:r>
      <w:r w:rsidRPr="00F12756">
        <w:rPr>
          <w:rFonts w:ascii="Arial" w:hAnsi="Arial" w:cs="Arial"/>
          <w:sz w:val="18"/>
        </w:rPr>
        <w:t xml:space="preserve"> [2014] ZACC 18; 2014 (8) BCLR 930 (CC); 2014 (5) SA 69 (CC) at para 69.</w:t>
      </w:r>
    </w:p>
  </w:footnote>
  <w:footnote w:id="36">
    <w:p w:rsidR="009147A5" w:rsidRPr="00F12756" w:rsidRDefault="009147A5" w:rsidP="00F12756">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iCs/>
          <w:sz w:val="18"/>
        </w:rPr>
        <w:t>Fedsure Life Assurance Ltd v Greater Johannesburg Transitional Metropolitan Council [</w:t>
      </w:r>
      <w:r w:rsidRPr="00F12756">
        <w:rPr>
          <w:rFonts w:ascii="Arial" w:hAnsi="Arial" w:cs="Arial"/>
          <w:sz w:val="18"/>
        </w:rPr>
        <w:t>1998] ZACC 17; 1999 (1) SA 374; 1998 (12) BCLR 1458 para 59.</w:t>
      </w:r>
    </w:p>
  </w:footnote>
  <w:footnote w:id="37">
    <w:p w:rsidR="009147A5" w:rsidRPr="00533CDC" w:rsidRDefault="009147A5" w:rsidP="00F12756">
      <w:pPr>
        <w:pStyle w:val="FootnoteText"/>
        <w:spacing w:line="276" w:lineRule="auto"/>
        <w:jc w:val="both"/>
        <w:rPr>
          <w:rFonts w:ascii="Arial" w:hAnsi="Arial" w:cs="Arial"/>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sz w:val="18"/>
        </w:rPr>
        <w:t>Albutt v Centre for the Study of Violence and Reconciliation</w:t>
      </w:r>
      <w:r w:rsidRPr="00F12756">
        <w:rPr>
          <w:rFonts w:ascii="Arial" w:hAnsi="Arial" w:cs="Arial"/>
          <w:sz w:val="18"/>
        </w:rPr>
        <w:t xml:space="preserve"> [2010] ZACC 4; 2010 (3) SA 293 (CC); 2010 (5) BCLR 391 (CC).</w:t>
      </w:r>
    </w:p>
  </w:footnote>
  <w:footnote w:id="38">
    <w:p w:rsidR="009147A5" w:rsidRPr="00F12756" w:rsidRDefault="009147A5" w:rsidP="00F12756">
      <w:pPr>
        <w:pStyle w:val="FootnoteText"/>
        <w:spacing w:line="276" w:lineRule="auto"/>
        <w:jc w:val="both"/>
        <w:rPr>
          <w:rFonts w:ascii="Arial" w:hAnsi="Arial" w:cs="Arial"/>
          <w:sz w:val="18"/>
        </w:rPr>
      </w:pPr>
      <w:r w:rsidRPr="00F12756">
        <w:rPr>
          <w:rStyle w:val="FootnoteReference"/>
          <w:rFonts w:ascii="Arial" w:hAnsi="Arial" w:cs="Arial"/>
          <w:sz w:val="18"/>
        </w:rPr>
        <w:footnoteRef/>
      </w:r>
      <w:r w:rsidRPr="00F12756">
        <w:rPr>
          <w:rFonts w:ascii="Arial" w:hAnsi="Arial" w:cs="Arial"/>
          <w:sz w:val="18"/>
        </w:rPr>
        <w:t xml:space="preserve"> </w:t>
      </w:r>
      <w:bookmarkStart w:id="5" w:name="_Hlk144673121"/>
      <w:r w:rsidRPr="00F12756">
        <w:rPr>
          <w:rFonts w:ascii="Arial" w:hAnsi="Arial" w:cs="Arial"/>
          <w:sz w:val="18"/>
        </w:rPr>
        <w:t xml:space="preserve">Ibid </w:t>
      </w:r>
      <w:bookmarkEnd w:id="5"/>
      <w:r w:rsidRPr="00F12756">
        <w:rPr>
          <w:rFonts w:ascii="Arial" w:hAnsi="Arial" w:cs="Arial"/>
          <w:sz w:val="18"/>
        </w:rPr>
        <w:t>para 51.</w:t>
      </w:r>
    </w:p>
  </w:footnote>
  <w:footnote w:id="39">
    <w:p w:rsidR="009147A5" w:rsidRPr="00F12756" w:rsidRDefault="009147A5" w:rsidP="00F12756">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sz w:val="18"/>
        </w:rPr>
        <w:t>SA Predator Breeders Association v Minister of Environmental Affairs and Tourism</w:t>
      </w:r>
      <w:r w:rsidRPr="00F12756">
        <w:rPr>
          <w:rFonts w:ascii="Arial" w:hAnsi="Arial" w:cs="Arial"/>
          <w:sz w:val="18"/>
        </w:rPr>
        <w:t xml:space="preserve"> [2011] 2 All SA 529 (SCA)</w:t>
      </w:r>
    </w:p>
  </w:footnote>
  <w:footnote w:id="40">
    <w:p w:rsidR="009147A5" w:rsidRPr="00F12756" w:rsidRDefault="009147A5" w:rsidP="00F12756">
      <w:pPr>
        <w:pStyle w:val="FootnoteText"/>
        <w:spacing w:line="276" w:lineRule="auto"/>
        <w:jc w:val="both"/>
        <w:rPr>
          <w:rFonts w:ascii="Arial" w:hAnsi="Arial" w:cs="Arial"/>
          <w:sz w:val="18"/>
          <w:lang w:val="en-ZA"/>
        </w:rPr>
      </w:pPr>
      <w:r w:rsidRPr="00F12756">
        <w:rPr>
          <w:rStyle w:val="FootnoteReference"/>
          <w:rFonts w:ascii="Arial" w:hAnsi="Arial" w:cs="Arial"/>
          <w:sz w:val="18"/>
        </w:rPr>
        <w:footnoteRef/>
      </w:r>
      <w:r w:rsidRPr="00F12756">
        <w:rPr>
          <w:rFonts w:ascii="Arial" w:hAnsi="Arial" w:cs="Arial"/>
          <w:sz w:val="18"/>
        </w:rPr>
        <w:t xml:space="preserve"> Ibid para 28.</w:t>
      </w:r>
    </w:p>
  </w:footnote>
  <w:footnote w:id="41">
    <w:p w:rsidR="009147A5" w:rsidRPr="00834B43" w:rsidRDefault="009147A5" w:rsidP="00F12756">
      <w:pPr>
        <w:pStyle w:val="FootnoteText"/>
        <w:spacing w:line="276" w:lineRule="auto"/>
        <w:jc w:val="both"/>
        <w:rPr>
          <w:rFonts w:ascii="Arial" w:hAnsi="Arial" w:cs="Arial"/>
          <w:lang w:val="en-ZA"/>
        </w:rPr>
      </w:pPr>
      <w:r w:rsidRPr="00F12756">
        <w:rPr>
          <w:rStyle w:val="FootnoteReference"/>
          <w:rFonts w:ascii="Arial" w:hAnsi="Arial" w:cs="Arial"/>
          <w:sz w:val="18"/>
        </w:rPr>
        <w:footnoteRef/>
      </w:r>
      <w:r w:rsidRPr="00F12756">
        <w:rPr>
          <w:rFonts w:ascii="Arial" w:hAnsi="Arial" w:cs="Arial"/>
          <w:sz w:val="18"/>
        </w:rPr>
        <w:t xml:space="preserve"> </w:t>
      </w:r>
      <w:r w:rsidRPr="00F12756">
        <w:rPr>
          <w:rFonts w:ascii="Arial" w:hAnsi="Arial" w:cs="Arial"/>
          <w:i/>
          <w:iCs/>
          <w:sz w:val="18"/>
        </w:rPr>
        <w:t>Law Society of South Africa v President of the Republic of South Africa</w:t>
      </w:r>
      <w:r w:rsidRPr="00F12756">
        <w:rPr>
          <w:rFonts w:ascii="Arial" w:hAnsi="Arial" w:cs="Arial"/>
          <w:sz w:val="18"/>
        </w:rPr>
        <w:t xml:space="preserve"> [2018] ZACC 51; 2019 (3) BCLR 329 (CC); 2019 (3) SA 30 (CC) at para 64.</w:t>
      </w:r>
    </w:p>
  </w:footnote>
  <w:footnote w:id="42">
    <w:p w:rsidR="009147A5" w:rsidRPr="00EC2AF4" w:rsidRDefault="009147A5" w:rsidP="00EC2AF4">
      <w:pPr>
        <w:pStyle w:val="FootnoteText"/>
        <w:spacing w:line="276" w:lineRule="auto"/>
        <w:jc w:val="both"/>
        <w:rPr>
          <w:rFonts w:ascii="Arial" w:hAnsi="Arial" w:cs="Arial"/>
          <w:lang w:val="en-ZA"/>
        </w:rPr>
      </w:pPr>
      <w:r w:rsidRPr="00EC2AF4">
        <w:rPr>
          <w:rStyle w:val="FootnoteReference"/>
          <w:rFonts w:ascii="Arial" w:hAnsi="Arial" w:cs="Arial"/>
          <w:sz w:val="18"/>
        </w:rPr>
        <w:footnoteRef/>
      </w:r>
      <w:r w:rsidRPr="00EC2AF4">
        <w:rPr>
          <w:rFonts w:ascii="Arial" w:hAnsi="Arial" w:cs="Arial"/>
          <w:sz w:val="18"/>
        </w:rPr>
        <w:t xml:space="preserve"> Section 5(5) and (7) of the Special Tribunal Act.</w:t>
      </w:r>
    </w:p>
  </w:footnote>
  <w:footnote w:id="43">
    <w:p w:rsidR="009147A5" w:rsidRPr="00F139BD" w:rsidRDefault="009147A5" w:rsidP="00F139BD">
      <w:pPr>
        <w:pStyle w:val="FootnoteText"/>
        <w:spacing w:line="276" w:lineRule="auto"/>
        <w:jc w:val="both"/>
        <w:rPr>
          <w:rFonts w:ascii="Arial" w:hAnsi="Arial" w:cs="Arial"/>
          <w:sz w:val="18"/>
          <w:lang w:val="en-ZA"/>
        </w:rPr>
      </w:pPr>
      <w:r w:rsidRPr="00F139BD">
        <w:rPr>
          <w:rStyle w:val="FootnoteReference"/>
          <w:rFonts w:ascii="Arial" w:hAnsi="Arial" w:cs="Arial"/>
          <w:sz w:val="18"/>
        </w:rPr>
        <w:footnoteRef/>
      </w:r>
      <w:r w:rsidRPr="00F139BD">
        <w:rPr>
          <w:rFonts w:ascii="Arial" w:hAnsi="Arial" w:cs="Arial"/>
          <w:sz w:val="18"/>
        </w:rPr>
        <w:t xml:space="preserve"> </w:t>
      </w:r>
      <w:r w:rsidRPr="00F139BD">
        <w:rPr>
          <w:rFonts w:ascii="Arial" w:hAnsi="Arial" w:cs="Arial"/>
          <w:i/>
          <w:sz w:val="18"/>
        </w:rPr>
        <w:t>Adminstrator of Transvaal and Others v Traub and Others</w:t>
      </w:r>
      <w:r w:rsidRPr="00F139BD">
        <w:rPr>
          <w:rFonts w:ascii="Arial" w:hAnsi="Arial" w:cs="Arial"/>
          <w:sz w:val="18"/>
        </w:rPr>
        <w:t xml:space="preserve"> (4/88) [1989] ZASCA 90; [1989] 4 All SA 924 (AD) (24 August 1989).</w:t>
      </w:r>
    </w:p>
  </w:footnote>
  <w:footnote w:id="44">
    <w:p w:rsidR="009147A5" w:rsidRPr="00F139BD" w:rsidRDefault="009147A5" w:rsidP="00F139BD">
      <w:pPr>
        <w:pStyle w:val="FootnoteText"/>
        <w:spacing w:line="276" w:lineRule="auto"/>
        <w:jc w:val="both"/>
        <w:rPr>
          <w:rFonts w:ascii="Arial" w:hAnsi="Arial" w:cs="Arial"/>
          <w:sz w:val="18"/>
          <w:lang w:val="en-ZA"/>
        </w:rPr>
      </w:pPr>
      <w:r w:rsidRPr="00F139BD">
        <w:rPr>
          <w:rStyle w:val="FootnoteReference"/>
          <w:rFonts w:ascii="Arial" w:hAnsi="Arial" w:cs="Arial"/>
          <w:sz w:val="18"/>
        </w:rPr>
        <w:footnoteRef/>
      </w:r>
      <w:r w:rsidRPr="00F139BD">
        <w:rPr>
          <w:rFonts w:ascii="Arial" w:hAnsi="Arial" w:cs="Arial"/>
          <w:sz w:val="18"/>
        </w:rPr>
        <w:t xml:space="preserve"> </w:t>
      </w:r>
      <w:r w:rsidRPr="00F139BD">
        <w:rPr>
          <w:rFonts w:ascii="Arial" w:hAnsi="Arial" w:cs="Arial"/>
          <w:i/>
          <w:sz w:val="18"/>
        </w:rPr>
        <w:t>Gordhan and Others v Public Protector and Others</w:t>
      </w:r>
      <w:r w:rsidRPr="00F139BD">
        <w:rPr>
          <w:rFonts w:ascii="Arial" w:hAnsi="Arial" w:cs="Arial"/>
          <w:sz w:val="18"/>
        </w:rPr>
        <w:t xml:space="preserve"> (36099/2098) [2020] ZAGPPHC 777 (17 December 2020).</w:t>
      </w:r>
    </w:p>
  </w:footnote>
  <w:footnote w:id="45">
    <w:p w:rsidR="009147A5" w:rsidRPr="00F139BD" w:rsidRDefault="009147A5" w:rsidP="00F139BD">
      <w:pPr>
        <w:pStyle w:val="FootnoteText"/>
        <w:spacing w:line="276" w:lineRule="auto"/>
        <w:jc w:val="both"/>
        <w:rPr>
          <w:rFonts w:ascii="Arial" w:hAnsi="Arial" w:cs="Arial"/>
          <w:sz w:val="18"/>
          <w:lang w:val="en-ZA"/>
        </w:rPr>
      </w:pPr>
      <w:r w:rsidRPr="00F139BD">
        <w:rPr>
          <w:rStyle w:val="FootnoteReference"/>
          <w:rFonts w:ascii="Arial" w:hAnsi="Arial" w:cs="Arial"/>
          <w:sz w:val="18"/>
        </w:rPr>
        <w:footnoteRef/>
      </w:r>
      <w:r w:rsidRPr="00F139BD">
        <w:rPr>
          <w:rFonts w:ascii="Arial" w:hAnsi="Arial" w:cs="Arial"/>
          <w:sz w:val="18"/>
        </w:rPr>
        <w:t xml:space="preserve"> </w:t>
      </w:r>
      <w:r w:rsidRPr="00F139BD">
        <w:rPr>
          <w:rFonts w:ascii="Arial" w:hAnsi="Arial" w:cs="Arial"/>
          <w:i/>
          <w:sz w:val="18"/>
          <w:lang w:val="en-ZA"/>
        </w:rPr>
        <w:t>Administrator of Transvaal</w:t>
      </w:r>
      <w:r w:rsidRPr="00F139BD">
        <w:rPr>
          <w:rFonts w:ascii="Arial" w:hAnsi="Arial" w:cs="Arial"/>
          <w:sz w:val="18"/>
          <w:lang w:val="en-ZA"/>
        </w:rPr>
        <w:t xml:space="preserve"> (note 40 above).</w:t>
      </w:r>
    </w:p>
  </w:footnote>
  <w:footnote w:id="46">
    <w:p w:rsidR="009147A5" w:rsidRPr="00F139BD" w:rsidRDefault="009147A5" w:rsidP="00F139BD">
      <w:pPr>
        <w:pStyle w:val="FootnoteText"/>
        <w:spacing w:line="276" w:lineRule="auto"/>
        <w:jc w:val="both"/>
        <w:rPr>
          <w:rFonts w:ascii="Arial" w:hAnsi="Arial" w:cs="Arial"/>
          <w:sz w:val="18"/>
          <w:lang w:val="en-ZA"/>
        </w:rPr>
      </w:pPr>
      <w:r w:rsidRPr="00F139BD">
        <w:rPr>
          <w:rStyle w:val="FootnoteReference"/>
          <w:rFonts w:ascii="Arial" w:hAnsi="Arial" w:cs="Arial"/>
          <w:sz w:val="18"/>
        </w:rPr>
        <w:footnoteRef/>
      </w:r>
      <w:r w:rsidRPr="00F139BD">
        <w:rPr>
          <w:rFonts w:ascii="Arial" w:hAnsi="Arial" w:cs="Arial"/>
          <w:sz w:val="18"/>
        </w:rPr>
        <w:t xml:space="preserve"> </w:t>
      </w:r>
      <w:r w:rsidRPr="00F139BD">
        <w:rPr>
          <w:rFonts w:ascii="Arial" w:hAnsi="Arial" w:cs="Arial"/>
          <w:sz w:val="18"/>
          <w:lang w:val="en-ZA"/>
        </w:rPr>
        <w:t>Ibid page 940.</w:t>
      </w:r>
    </w:p>
  </w:footnote>
  <w:footnote w:id="47">
    <w:p w:rsidR="009147A5" w:rsidRPr="007F2751" w:rsidRDefault="009147A5" w:rsidP="00F139BD">
      <w:pPr>
        <w:pStyle w:val="FootnoteText"/>
        <w:spacing w:line="276" w:lineRule="auto"/>
        <w:jc w:val="both"/>
        <w:rPr>
          <w:rFonts w:ascii="Arial" w:hAnsi="Arial" w:cs="Arial"/>
        </w:rPr>
      </w:pPr>
      <w:r w:rsidRPr="00F139BD">
        <w:rPr>
          <w:rStyle w:val="FootnoteReference"/>
          <w:rFonts w:ascii="Arial" w:hAnsi="Arial" w:cs="Arial"/>
          <w:sz w:val="18"/>
        </w:rPr>
        <w:footnoteRef/>
      </w:r>
      <w:r w:rsidRPr="00F139BD">
        <w:rPr>
          <w:rFonts w:ascii="Arial" w:hAnsi="Arial" w:cs="Arial"/>
          <w:sz w:val="18"/>
        </w:rPr>
        <w:t xml:space="preserve"> </w:t>
      </w:r>
      <w:r w:rsidRPr="00F139BD">
        <w:rPr>
          <w:rFonts w:ascii="Arial" w:hAnsi="Arial" w:cs="Arial"/>
          <w:i/>
          <w:sz w:val="18"/>
        </w:rPr>
        <w:t>Minister of Water and Sanitation v The Public Protector of the Republic of South Africa</w:t>
      </w:r>
      <w:r w:rsidRPr="00F139BD">
        <w:rPr>
          <w:rFonts w:ascii="Arial" w:hAnsi="Arial" w:cs="Arial"/>
          <w:sz w:val="18"/>
        </w:rPr>
        <w:t xml:space="preserve"> [2019] ZAGPPHC 193.</w:t>
      </w:r>
    </w:p>
  </w:footnote>
  <w:footnote w:id="48">
    <w:p w:rsidR="009147A5" w:rsidRPr="00061A7B" w:rsidRDefault="009147A5" w:rsidP="00061A7B">
      <w:pPr>
        <w:pStyle w:val="FootnoteText"/>
        <w:spacing w:line="276" w:lineRule="auto"/>
        <w:jc w:val="both"/>
        <w:rPr>
          <w:rFonts w:ascii="Arial" w:hAnsi="Arial" w:cs="Arial"/>
          <w:lang w:val="en-ZA"/>
        </w:rPr>
      </w:pPr>
      <w:r w:rsidRPr="00061A7B">
        <w:rPr>
          <w:rStyle w:val="FootnoteReference"/>
          <w:rFonts w:ascii="Arial" w:hAnsi="Arial" w:cs="Arial"/>
          <w:sz w:val="18"/>
        </w:rPr>
        <w:footnoteRef/>
      </w:r>
      <w:r w:rsidRPr="00061A7B">
        <w:rPr>
          <w:rFonts w:ascii="Arial" w:hAnsi="Arial" w:cs="Arial"/>
          <w:sz w:val="18"/>
        </w:rPr>
        <w:t xml:space="preserve"> </w:t>
      </w:r>
      <w:r w:rsidRPr="00061A7B">
        <w:rPr>
          <w:rFonts w:ascii="Arial" w:hAnsi="Arial" w:cs="Arial"/>
          <w:i/>
          <w:sz w:val="18"/>
        </w:rPr>
        <w:t>Masetlha v President of the Republic of South Afric</w:t>
      </w:r>
      <w:r w:rsidRPr="00061A7B">
        <w:rPr>
          <w:rFonts w:ascii="Arial" w:hAnsi="Arial" w:cs="Arial"/>
          <w:sz w:val="18"/>
        </w:rPr>
        <w:t>a [2007] ZACC 20; 2008 (1) SA 566 (CC); 2008 (1) BCLR 1 at para 75.</w:t>
      </w:r>
    </w:p>
  </w:footnote>
  <w:footnote w:id="49">
    <w:p w:rsidR="009147A5" w:rsidRPr="009147A5" w:rsidRDefault="009147A5" w:rsidP="009147A5">
      <w:pPr>
        <w:pStyle w:val="FootnoteText"/>
        <w:spacing w:line="276" w:lineRule="auto"/>
        <w:jc w:val="both"/>
        <w:rPr>
          <w:rFonts w:ascii="Arial" w:hAnsi="Arial" w:cs="Arial"/>
          <w:sz w:val="18"/>
          <w:lang w:val="en-ZA"/>
        </w:rPr>
      </w:pPr>
      <w:r w:rsidRPr="009147A5">
        <w:rPr>
          <w:rStyle w:val="FootnoteReference"/>
          <w:rFonts w:ascii="Arial" w:hAnsi="Arial" w:cs="Arial"/>
          <w:sz w:val="18"/>
        </w:rPr>
        <w:footnoteRef/>
      </w:r>
      <w:r w:rsidRPr="009147A5">
        <w:rPr>
          <w:rFonts w:ascii="Arial" w:hAnsi="Arial" w:cs="Arial"/>
          <w:sz w:val="18"/>
        </w:rPr>
        <w:t xml:space="preserve"> CaseLines (Mr John Mattisonn 001-84 to 001-95) and (Ms Febbe Potgieter-Gqubule 001-96 to 001-107).</w:t>
      </w:r>
    </w:p>
  </w:footnote>
  <w:footnote w:id="50">
    <w:p w:rsidR="009147A5" w:rsidRPr="009147A5" w:rsidRDefault="009147A5" w:rsidP="009147A5">
      <w:pPr>
        <w:pStyle w:val="FootnoteText"/>
        <w:spacing w:line="276" w:lineRule="auto"/>
        <w:jc w:val="both"/>
        <w:rPr>
          <w:rFonts w:ascii="Arial" w:hAnsi="Arial" w:cs="Arial"/>
          <w:sz w:val="18"/>
        </w:rPr>
      </w:pPr>
      <w:r w:rsidRPr="009147A5">
        <w:rPr>
          <w:rStyle w:val="FootnoteReference"/>
          <w:rFonts w:ascii="Arial" w:hAnsi="Arial" w:cs="Arial"/>
          <w:sz w:val="18"/>
        </w:rPr>
        <w:footnoteRef/>
      </w:r>
      <w:r w:rsidRPr="009147A5">
        <w:rPr>
          <w:rFonts w:ascii="Arial" w:hAnsi="Arial" w:cs="Arial"/>
          <w:sz w:val="18"/>
        </w:rPr>
        <w:t xml:space="preserve"> </w:t>
      </w:r>
      <w:r w:rsidR="00796C87">
        <w:rPr>
          <w:rFonts w:ascii="Arial" w:hAnsi="Arial" w:cs="Arial"/>
          <w:i/>
          <w:sz w:val="18"/>
        </w:rPr>
        <w:t>Bam-Mugwanya v Minister o</w:t>
      </w:r>
      <w:r w:rsidRPr="009147A5">
        <w:rPr>
          <w:rFonts w:ascii="Arial" w:hAnsi="Arial" w:cs="Arial"/>
          <w:i/>
          <w:sz w:val="18"/>
        </w:rPr>
        <w:t>f Finance And Provinc</w:t>
      </w:r>
      <w:r w:rsidR="00796C87">
        <w:rPr>
          <w:rFonts w:ascii="Arial" w:hAnsi="Arial" w:cs="Arial"/>
          <w:i/>
          <w:sz w:val="18"/>
        </w:rPr>
        <w:t>ial Expenditure, Eastern Cape, a</w:t>
      </w:r>
      <w:r w:rsidRPr="009147A5">
        <w:rPr>
          <w:rFonts w:ascii="Arial" w:hAnsi="Arial" w:cs="Arial"/>
          <w:i/>
          <w:sz w:val="18"/>
        </w:rPr>
        <w:t>nd Others</w:t>
      </w:r>
      <w:r w:rsidR="00796C87">
        <w:rPr>
          <w:rFonts w:ascii="Arial" w:hAnsi="Arial" w:cs="Arial"/>
          <w:sz w:val="18"/>
        </w:rPr>
        <w:t xml:space="preserve"> </w:t>
      </w:r>
      <w:r w:rsidRPr="009147A5">
        <w:rPr>
          <w:rFonts w:ascii="Arial" w:hAnsi="Arial" w:cs="Arial"/>
          <w:sz w:val="18"/>
        </w:rPr>
        <w:t>2001 (4) SA 120 (C).</w:t>
      </w:r>
    </w:p>
  </w:footnote>
  <w:footnote w:id="51">
    <w:p w:rsidR="009147A5" w:rsidRPr="009147A5" w:rsidRDefault="009147A5" w:rsidP="009147A5">
      <w:pPr>
        <w:pStyle w:val="FootnoteText"/>
        <w:spacing w:line="276" w:lineRule="auto"/>
        <w:jc w:val="both"/>
        <w:rPr>
          <w:rFonts w:ascii="Arial" w:hAnsi="Arial" w:cs="Arial"/>
          <w:sz w:val="18"/>
          <w:lang w:val="en-ZA"/>
        </w:rPr>
      </w:pPr>
      <w:r w:rsidRPr="009147A5">
        <w:rPr>
          <w:rStyle w:val="FootnoteReference"/>
          <w:rFonts w:ascii="Arial" w:hAnsi="Arial" w:cs="Arial"/>
          <w:sz w:val="18"/>
        </w:rPr>
        <w:footnoteRef/>
      </w:r>
      <w:r w:rsidRPr="009147A5">
        <w:rPr>
          <w:rFonts w:ascii="Arial" w:hAnsi="Arial" w:cs="Arial"/>
          <w:sz w:val="18"/>
        </w:rPr>
        <w:t xml:space="preserve"> </w:t>
      </w:r>
      <w:r w:rsidRPr="009147A5">
        <w:rPr>
          <w:rFonts w:ascii="Arial" w:hAnsi="Arial" w:cs="Arial"/>
          <w:i/>
          <w:sz w:val="18"/>
          <w:lang w:val="en-ZA"/>
        </w:rPr>
        <w:t>Administrator of Transvaal</w:t>
      </w:r>
      <w:r w:rsidRPr="009147A5">
        <w:rPr>
          <w:rFonts w:ascii="Arial" w:hAnsi="Arial" w:cs="Arial"/>
          <w:sz w:val="18"/>
          <w:lang w:val="en-ZA"/>
        </w:rPr>
        <w:t xml:space="preserve"> (note 40 above).</w:t>
      </w:r>
    </w:p>
  </w:footnote>
  <w:footnote w:id="52">
    <w:p w:rsidR="009147A5" w:rsidRPr="009147A5" w:rsidRDefault="009147A5" w:rsidP="009147A5">
      <w:pPr>
        <w:pStyle w:val="FootnoteText"/>
        <w:spacing w:line="276" w:lineRule="auto"/>
        <w:jc w:val="both"/>
        <w:rPr>
          <w:rFonts w:ascii="Arial" w:hAnsi="Arial" w:cs="Arial"/>
          <w:sz w:val="18"/>
          <w:lang w:val="en-ZA"/>
        </w:rPr>
      </w:pPr>
      <w:r w:rsidRPr="009147A5">
        <w:rPr>
          <w:rStyle w:val="FootnoteReference"/>
          <w:rFonts w:ascii="Arial" w:hAnsi="Arial" w:cs="Arial"/>
          <w:sz w:val="18"/>
        </w:rPr>
        <w:footnoteRef/>
      </w:r>
      <w:r w:rsidRPr="009147A5">
        <w:rPr>
          <w:rFonts w:ascii="Arial" w:hAnsi="Arial" w:cs="Arial"/>
          <w:sz w:val="18"/>
        </w:rPr>
        <w:t xml:space="preserve"> </w:t>
      </w:r>
      <w:r w:rsidRPr="009147A5">
        <w:rPr>
          <w:rFonts w:ascii="Arial" w:hAnsi="Arial" w:cs="Arial"/>
          <w:sz w:val="18"/>
          <w:lang w:val="en-ZA"/>
        </w:rPr>
        <w:t xml:space="preserve">Ibid. </w:t>
      </w:r>
    </w:p>
  </w:footnote>
  <w:footnote w:id="53">
    <w:p w:rsidR="009147A5" w:rsidRPr="009147A5" w:rsidRDefault="009147A5" w:rsidP="009147A5">
      <w:pPr>
        <w:pStyle w:val="FootnoteText"/>
        <w:spacing w:line="276" w:lineRule="auto"/>
        <w:jc w:val="both"/>
        <w:rPr>
          <w:rFonts w:ascii="Arial" w:hAnsi="Arial" w:cs="Arial"/>
          <w:sz w:val="18"/>
          <w:lang w:val="en-ZA"/>
        </w:rPr>
      </w:pPr>
      <w:r w:rsidRPr="009147A5">
        <w:rPr>
          <w:rStyle w:val="FootnoteReference"/>
          <w:rFonts w:ascii="Arial" w:hAnsi="Arial" w:cs="Arial"/>
          <w:sz w:val="18"/>
        </w:rPr>
        <w:footnoteRef/>
      </w:r>
      <w:r w:rsidRPr="009147A5">
        <w:rPr>
          <w:rFonts w:ascii="Arial" w:hAnsi="Arial" w:cs="Arial"/>
          <w:sz w:val="18"/>
        </w:rPr>
        <w:t xml:space="preserve"> </w:t>
      </w:r>
      <w:r w:rsidRPr="009147A5">
        <w:rPr>
          <w:rFonts w:ascii="Arial" w:hAnsi="Arial" w:cs="Arial"/>
          <w:i/>
          <w:sz w:val="18"/>
          <w:lang w:val="en-ZA"/>
        </w:rPr>
        <w:t>Gordhan</w:t>
      </w:r>
      <w:r w:rsidRPr="009147A5">
        <w:rPr>
          <w:rFonts w:ascii="Arial" w:hAnsi="Arial" w:cs="Arial"/>
          <w:sz w:val="18"/>
          <w:lang w:val="en-ZA"/>
        </w:rPr>
        <w:t xml:space="preserve"> (note 41 above).</w:t>
      </w:r>
    </w:p>
  </w:footnote>
  <w:footnote w:id="54">
    <w:p w:rsidR="009147A5" w:rsidRPr="009147A5" w:rsidRDefault="009147A5" w:rsidP="009147A5">
      <w:pPr>
        <w:pStyle w:val="FootnoteText"/>
        <w:spacing w:line="276" w:lineRule="auto"/>
        <w:jc w:val="both"/>
        <w:rPr>
          <w:rFonts w:ascii="Arial" w:hAnsi="Arial" w:cs="Arial"/>
          <w:sz w:val="18"/>
          <w:lang w:val="en-ZA"/>
        </w:rPr>
      </w:pPr>
      <w:r w:rsidRPr="009147A5">
        <w:rPr>
          <w:rStyle w:val="FootnoteReference"/>
          <w:rFonts w:ascii="Arial" w:hAnsi="Arial" w:cs="Arial"/>
          <w:sz w:val="18"/>
        </w:rPr>
        <w:footnoteRef/>
      </w:r>
      <w:r w:rsidRPr="009147A5">
        <w:rPr>
          <w:rFonts w:ascii="Arial" w:hAnsi="Arial" w:cs="Arial"/>
          <w:sz w:val="18"/>
        </w:rPr>
        <w:t xml:space="preserve"> Ibid.</w:t>
      </w:r>
    </w:p>
  </w:footnote>
  <w:footnote w:id="55">
    <w:p w:rsidR="009147A5" w:rsidRPr="00E57389" w:rsidRDefault="009147A5" w:rsidP="009147A5">
      <w:pPr>
        <w:pStyle w:val="FootnoteText"/>
        <w:spacing w:line="276" w:lineRule="auto"/>
        <w:jc w:val="both"/>
        <w:rPr>
          <w:rFonts w:ascii="Arial" w:hAnsi="Arial" w:cs="Arial"/>
          <w:lang w:val="en-ZA"/>
        </w:rPr>
      </w:pPr>
      <w:r w:rsidRPr="009147A5">
        <w:rPr>
          <w:rStyle w:val="FootnoteReference"/>
          <w:rFonts w:ascii="Arial" w:hAnsi="Arial" w:cs="Arial"/>
          <w:sz w:val="18"/>
        </w:rPr>
        <w:footnoteRef/>
      </w:r>
      <w:r w:rsidRPr="009147A5">
        <w:rPr>
          <w:rFonts w:ascii="Arial" w:hAnsi="Arial" w:cs="Arial"/>
          <w:sz w:val="18"/>
        </w:rPr>
        <w:t xml:space="preserve"> </w:t>
      </w:r>
      <w:r w:rsidRPr="009147A5">
        <w:rPr>
          <w:rFonts w:ascii="Arial" w:hAnsi="Arial" w:cs="Arial"/>
          <w:sz w:val="18"/>
          <w:lang w:val="en-ZA"/>
        </w:rPr>
        <w:t xml:space="preserve">Ibid. </w:t>
      </w:r>
    </w:p>
  </w:footnote>
  <w:footnote w:id="56">
    <w:p w:rsidR="009147A5" w:rsidRPr="009147A5" w:rsidRDefault="009147A5" w:rsidP="009147A5">
      <w:pPr>
        <w:pStyle w:val="FootnoteText"/>
        <w:spacing w:line="360" w:lineRule="auto"/>
        <w:jc w:val="both"/>
        <w:rPr>
          <w:rFonts w:ascii="Arial" w:hAnsi="Arial" w:cs="Arial"/>
          <w:lang w:val="en-ZA"/>
        </w:rPr>
      </w:pPr>
      <w:r w:rsidRPr="009147A5">
        <w:rPr>
          <w:rStyle w:val="FootnoteReference"/>
          <w:rFonts w:ascii="Arial" w:hAnsi="Arial" w:cs="Arial"/>
          <w:sz w:val="18"/>
        </w:rPr>
        <w:footnoteRef/>
      </w:r>
      <w:r w:rsidRPr="009147A5">
        <w:rPr>
          <w:rFonts w:ascii="Arial" w:hAnsi="Arial" w:cs="Arial"/>
          <w:sz w:val="18"/>
        </w:rPr>
        <w:t xml:space="preserve"> Biowatch Trust v Registrar Genetic Resources and Others [2009] ZACC 14; 2009 (6) SA 232 (CC); 2009 (10) BCLR 1014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A5" w:rsidRDefault="009147A5" w:rsidP="009147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47A5" w:rsidRDefault="00914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A5" w:rsidRDefault="009147A5" w:rsidP="009147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4C2">
      <w:rPr>
        <w:rStyle w:val="PageNumber"/>
        <w:noProof/>
      </w:rPr>
      <w:t>19</w:t>
    </w:r>
    <w:r>
      <w:rPr>
        <w:rStyle w:val="PageNumber"/>
      </w:rPr>
      <w:fldChar w:fldCharType="end"/>
    </w:r>
  </w:p>
  <w:p w:rsidR="009147A5" w:rsidRPr="00A43C17" w:rsidRDefault="009147A5" w:rsidP="009147A5">
    <w:pPr>
      <w:pStyle w:val="Header"/>
      <w:rPr>
        <w:rFonts w:ascii="Bookman Old Style" w:hAnsi="Bookman Old Style"/>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240B"/>
    <w:multiLevelType w:val="hybridMultilevel"/>
    <w:tmpl w:val="73481858"/>
    <w:lvl w:ilvl="0" w:tplc="F25E8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5268D1"/>
    <w:multiLevelType w:val="hybridMultilevel"/>
    <w:tmpl w:val="4E6857B6"/>
    <w:lvl w:ilvl="0" w:tplc="4DFE87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4A4CD1"/>
    <w:multiLevelType w:val="hybridMultilevel"/>
    <w:tmpl w:val="E7D67A8C"/>
    <w:lvl w:ilvl="0" w:tplc="CDEA3A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BE49A5"/>
    <w:multiLevelType w:val="hybridMultilevel"/>
    <w:tmpl w:val="81946F9C"/>
    <w:lvl w:ilvl="0" w:tplc="42448D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5D60BB"/>
    <w:multiLevelType w:val="multilevel"/>
    <w:tmpl w:val="4E300376"/>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CBF1010"/>
    <w:multiLevelType w:val="hybridMultilevel"/>
    <w:tmpl w:val="000E86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45473B"/>
    <w:multiLevelType w:val="multilevel"/>
    <w:tmpl w:val="9C3298AA"/>
    <w:lvl w:ilvl="0">
      <w:start w:val="1"/>
      <w:numFmt w:val="decimal"/>
      <w:pStyle w:val="JudgmentNumbered"/>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tabs>
          <w:tab w:val="num" w:pos="1701"/>
        </w:tabs>
        <w:ind w:left="1701" w:hanging="567"/>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2EC32EAB"/>
    <w:multiLevelType w:val="multilevel"/>
    <w:tmpl w:val="6E169A54"/>
    <w:lvl w:ilvl="0">
      <w:start w:val="1"/>
      <w:numFmt w:val="decimal"/>
      <w:pStyle w:val="1"/>
      <w:lvlText w:val="%1"/>
      <w:lvlJc w:val="left"/>
      <w:pPr>
        <w:tabs>
          <w:tab w:val="num" w:pos="1135"/>
        </w:tabs>
        <w:ind w:left="1135" w:hanging="567"/>
      </w:pPr>
      <w:rPr>
        <w:rFonts w:ascii="Arial" w:hAnsi="Arial" w:cs="Arial" w:hint="default"/>
        <w:b w:val="0"/>
        <w:i w:val="0"/>
      </w:rPr>
    </w:lvl>
    <w:lvl w:ilvl="1">
      <w:start w:val="1"/>
      <w:numFmt w:val="decimal"/>
      <w:pStyle w:val="2"/>
      <w:lvlText w:val="%1.%2"/>
      <w:lvlJc w:val="left"/>
      <w:pPr>
        <w:tabs>
          <w:tab w:val="num" w:pos="680"/>
        </w:tabs>
        <w:ind w:left="680" w:hanging="680"/>
      </w:pPr>
      <w:rPr>
        <w:rFonts w:ascii="Arial" w:hAnsi="Arial" w:cs="Arial" w:hint="default"/>
        <w:i w:val="0"/>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E494608"/>
    <w:multiLevelType w:val="hybridMultilevel"/>
    <w:tmpl w:val="0F34B03C"/>
    <w:lvl w:ilvl="0" w:tplc="14C414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5551DFD"/>
    <w:multiLevelType w:val="hybridMultilevel"/>
    <w:tmpl w:val="18E09BCE"/>
    <w:lvl w:ilvl="0" w:tplc="3118C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9D377C4"/>
    <w:multiLevelType w:val="hybridMultilevel"/>
    <w:tmpl w:val="DA9ABF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EA845F1"/>
    <w:multiLevelType w:val="hybridMultilevel"/>
    <w:tmpl w:val="7B56FA68"/>
    <w:lvl w:ilvl="0" w:tplc="B98E2F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61B1D23"/>
    <w:multiLevelType w:val="hybridMultilevel"/>
    <w:tmpl w:val="3D7C1292"/>
    <w:lvl w:ilvl="0" w:tplc="1F9AD4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7B0243"/>
    <w:multiLevelType w:val="hybridMultilevel"/>
    <w:tmpl w:val="02747994"/>
    <w:lvl w:ilvl="0" w:tplc="F2FAFD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1E94258"/>
    <w:multiLevelType w:val="hybridMultilevel"/>
    <w:tmpl w:val="05F4B5B2"/>
    <w:lvl w:ilvl="0" w:tplc="764A6D9A">
      <w:start w:val="1"/>
      <w:numFmt w:val="decimal"/>
      <w:lvlText w:val="%1."/>
      <w:lvlJc w:val="left"/>
      <w:pPr>
        <w:ind w:left="1260" w:hanging="9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4"/>
  </w:num>
  <w:num w:numId="3">
    <w:abstractNumId w:val="3"/>
  </w:num>
  <w:num w:numId="4">
    <w:abstractNumId w:val="2"/>
  </w:num>
  <w:num w:numId="5">
    <w:abstractNumId w:val="11"/>
  </w:num>
  <w:num w:numId="6">
    <w:abstractNumId w:val="0"/>
  </w:num>
  <w:num w:numId="7">
    <w:abstractNumId w:val="5"/>
  </w:num>
  <w:num w:numId="8">
    <w:abstractNumId w:val="4"/>
  </w:num>
  <w:num w:numId="9">
    <w:abstractNumId w:val="9"/>
  </w:num>
  <w:num w:numId="10">
    <w:abstractNumId w:val="13"/>
  </w:num>
  <w:num w:numId="11">
    <w:abstractNumId w:val="7"/>
  </w:num>
  <w:num w:numId="12">
    <w:abstractNumId w:val="12"/>
  </w:num>
  <w:num w:numId="13">
    <w:abstractNumId w:val="1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D0"/>
    <w:rsid w:val="000324C2"/>
    <w:rsid w:val="00061A7B"/>
    <w:rsid w:val="000E28AD"/>
    <w:rsid w:val="000F3815"/>
    <w:rsid w:val="00111352"/>
    <w:rsid w:val="001276D1"/>
    <w:rsid w:val="00135299"/>
    <w:rsid w:val="002112FF"/>
    <w:rsid w:val="002157EA"/>
    <w:rsid w:val="00225D78"/>
    <w:rsid w:val="002D29CD"/>
    <w:rsid w:val="003B714D"/>
    <w:rsid w:val="00502328"/>
    <w:rsid w:val="005924D4"/>
    <w:rsid w:val="00675AD0"/>
    <w:rsid w:val="00694F6B"/>
    <w:rsid w:val="006F128E"/>
    <w:rsid w:val="00705F4E"/>
    <w:rsid w:val="00796C87"/>
    <w:rsid w:val="007A14D3"/>
    <w:rsid w:val="007B30DB"/>
    <w:rsid w:val="007E2B3A"/>
    <w:rsid w:val="007E36D0"/>
    <w:rsid w:val="008C69ED"/>
    <w:rsid w:val="009147A5"/>
    <w:rsid w:val="00926B73"/>
    <w:rsid w:val="009A48A2"/>
    <w:rsid w:val="009F3397"/>
    <w:rsid w:val="00A21756"/>
    <w:rsid w:val="00B55350"/>
    <w:rsid w:val="00BC538A"/>
    <w:rsid w:val="00C13119"/>
    <w:rsid w:val="00C165F6"/>
    <w:rsid w:val="00C31C5B"/>
    <w:rsid w:val="00C405A9"/>
    <w:rsid w:val="00C42DEA"/>
    <w:rsid w:val="00DF6997"/>
    <w:rsid w:val="00EB4402"/>
    <w:rsid w:val="00EC2AF4"/>
    <w:rsid w:val="00EF0B3A"/>
    <w:rsid w:val="00F12756"/>
    <w:rsid w:val="00F139BD"/>
    <w:rsid w:val="00F54D29"/>
    <w:rsid w:val="00F865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662C3-5385-479C-B81C-CF6B8ABC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AD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AD0"/>
    <w:pPr>
      <w:tabs>
        <w:tab w:val="center" w:pos="4153"/>
        <w:tab w:val="right" w:pos="8306"/>
      </w:tabs>
    </w:pPr>
  </w:style>
  <w:style w:type="character" w:customStyle="1" w:styleId="HeaderChar">
    <w:name w:val="Header Char"/>
    <w:basedOn w:val="DefaultParagraphFont"/>
    <w:link w:val="Header"/>
    <w:rsid w:val="00675AD0"/>
    <w:rPr>
      <w:rFonts w:ascii="Times New Roman" w:eastAsia="Times New Roman" w:hAnsi="Times New Roman" w:cs="Times New Roman"/>
      <w:sz w:val="24"/>
      <w:szCs w:val="24"/>
      <w:lang w:val="en-GB" w:eastAsia="en-GB"/>
    </w:rPr>
  </w:style>
  <w:style w:type="paragraph" w:styleId="Footer">
    <w:name w:val="footer"/>
    <w:basedOn w:val="Normal"/>
    <w:link w:val="FooterChar"/>
    <w:rsid w:val="00675AD0"/>
    <w:pPr>
      <w:tabs>
        <w:tab w:val="center" w:pos="4153"/>
        <w:tab w:val="right" w:pos="8306"/>
      </w:tabs>
    </w:pPr>
  </w:style>
  <w:style w:type="character" w:customStyle="1" w:styleId="FooterChar">
    <w:name w:val="Footer Char"/>
    <w:basedOn w:val="DefaultParagraphFont"/>
    <w:link w:val="Footer"/>
    <w:rsid w:val="00675AD0"/>
    <w:rPr>
      <w:rFonts w:ascii="Times New Roman" w:eastAsia="Times New Roman" w:hAnsi="Times New Roman" w:cs="Times New Roman"/>
      <w:sz w:val="24"/>
      <w:szCs w:val="24"/>
      <w:lang w:val="en-GB" w:eastAsia="en-GB"/>
    </w:rPr>
  </w:style>
  <w:style w:type="character" w:styleId="PageNumber">
    <w:name w:val="page number"/>
    <w:basedOn w:val="DefaultParagraphFont"/>
    <w:rsid w:val="00675AD0"/>
  </w:style>
  <w:style w:type="table" w:styleId="TableGrid">
    <w:name w:val="Table Grid"/>
    <w:basedOn w:val="TableNormal"/>
    <w:rsid w:val="00675AD0"/>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675AD0"/>
    <w:rPr>
      <w:sz w:val="20"/>
      <w:szCs w:val="20"/>
    </w:rPr>
  </w:style>
  <w:style w:type="character" w:customStyle="1" w:styleId="EndnoteTextChar">
    <w:name w:val="Endnote Text Char"/>
    <w:basedOn w:val="DefaultParagraphFont"/>
    <w:link w:val="EndnoteText"/>
    <w:rsid w:val="00675AD0"/>
    <w:rPr>
      <w:rFonts w:ascii="Times New Roman" w:eastAsia="Times New Roman" w:hAnsi="Times New Roman" w:cs="Times New Roman"/>
      <w:sz w:val="20"/>
      <w:szCs w:val="20"/>
      <w:lang w:val="en-GB" w:eastAsia="en-GB"/>
    </w:rPr>
  </w:style>
  <w:style w:type="character" w:styleId="EndnoteReference">
    <w:name w:val="endnote reference"/>
    <w:rsid w:val="00675AD0"/>
    <w:rPr>
      <w:vertAlign w:val="superscript"/>
    </w:rPr>
  </w:style>
  <w:style w:type="paragraph" w:styleId="BalloonText">
    <w:name w:val="Balloon Text"/>
    <w:basedOn w:val="Normal"/>
    <w:link w:val="BalloonTextChar"/>
    <w:rsid w:val="00675AD0"/>
    <w:rPr>
      <w:rFonts w:ascii="Tahoma" w:hAnsi="Tahoma" w:cs="Tahoma"/>
      <w:sz w:val="16"/>
      <w:szCs w:val="16"/>
    </w:rPr>
  </w:style>
  <w:style w:type="character" w:customStyle="1" w:styleId="BalloonTextChar">
    <w:name w:val="Balloon Text Char"/>
    <w:basedOn w:val="DefaultParagraphFont"/>
    <w:link w:val="BalloonText"/>
    <w:rsid w:val="00675AD0"/>
    <w:rPr>
      <w:rFonts w:ascii="Tahoma" w:eastAsia="Times New Roman" w:hAnsi="Tahoma" w:cs="Tahoma"/>
      <w:sz w:val="16"/>
      <w:szCs w:val="16"/>
      <w:lang w:val="en-GB" w:eastAsia="en-GB"/>
    </w:rPr>
  </w:style>
  <w:style w:type="paragraph" w:styleId="FootnoteText">
    <w:name w:val="footnote text"/>
    <w:basedOn w:val="Normal"/>
    <w:link w:val="FootnoteTextChar"/>
    <w:uiPriority w:val="99"/>
    <w:rsid w:val="00675AD0"/>
    <w:rPr>
      <w:sz w:val="20"/>
      <w:szCs w:val="20"/>
    </w:rPr>
  </w:style>
  <w:style w:type="character" w:customStyle="1" w:styleId="FootnoteTextChar">
    <w:name w:val="Footnote Text Char"/>
    <w:basedOn w:val="DefaultParagraphFont"/>
    <w:link w:val="FootnoteText"/>
    <w:rsid w:val="00675AD0"/>
    <w:rPr>
      <w:rFonts w:ascii="Times New Roman" w:eastAsia="Times New Roman" w:hAnsi="Times New Roman" w:cs="Times New Roman"/>
      <w:sz w:val="20"/>
      <w:szCs w:val="20"/>
      <w:lang w:val="en-GB" w:eastAsia="en-GB"/>
    </w:rPr>
  </w:style>
  <w:style w:type="character" w:styleId="FootnoteReference">
    <w:name w:val="footnote reference"/>
    <w:uiPriority w:val="99"/>
    <w:rsid w:val="00675AD0"/>
    <w:rPr>
      <w:vertAlign w:val="superscript"/>
    </w:rPr>
  </w:style>
  <w:style w:type="character" w:styleId="CommentReference">
    <w:name w:val="annotation reference"/>
    <w:rsid w:val="00675AD0"/>
    <w:rPr>
      <w:sz w:val="16"/>
      <w:szCs w:val="16"/>
    </w:rPr>
  </w:style>
  <w:style w:type="paragraph" w:styleId="CommentText">
    <w:name w:val="annotation text"/>
    <w:basedOn w:val="Normal"/>
    <w:link w:val="CommentTextChar"/>
    <w:rsid w:val="00675AD0"/>
    <w:rPr>
      <w:sz w:val="20"/>
      <w:szCs w:val="20"/>
    </w:rPr>
  </w:style>
  <w:style w:type="character" w:customStyle="1" w:styleId="CommentTextChar">
    <w:name w:val="Comment Text Char"/>
    <w:basedOn w:val="DefaultParagraphFont"/>
    <w:link w:val="CommentText"/>
    <w:rsid w:val="00675AD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675AD0"/>
    <w:rPr>
      <w:b/>
      <w:bCs/>
    </w:rPr>
  </w:style>
  <w:style w:type="character" w:customStyle="1" w:styleId="CommentSubjectChar">
    <w:name w:val="Comment Subject Char"/>
    <w:basedOn w:val="CommentTextChar"/>
    <w:link w:val="CommentSubject"/>
    <w:rsid w:val="00675AD0"/>
    <w:rPr>
      <w:rFonts w:ascii="Times New Roman" w:eastAsia="Times New Roman" w:hAnsi="Times New Roman" w:cs="Times New Roman"/>
      <w:b/>
      <w:bCs/>
      <w:sz w:val="20"/>
      <w:szCs w:val="20"/>
      <w:lang w:val="en-GB" w:eastAsia="en-GB"/>
    </w:rPr>
  </w:style>
  <w:style w:type="character" w:styleId="Hyperlink">
    <w:name w:val="Hyperlink"/>
    <w:rsid w:val="00675AD0"/>
    <w:rPr>
      <w:color w:val="0563C1"/>
      <w:u w:val="single"/>
    </w:rPr>
  </w:style>
  <w:style w:type="paragraph" w:customStyle="1" w:styleId="1">
    <w:name w:val="1"/>
    <w:basedOn w:val="Normal"/>
    <w:link w:val="1Char"/>
    <w:qFormat/>
    <w:rsid w:val="00675AD0"/>
    <w:pPr>
      <w:numPr>
        <w:numId w:val="11"/>
      </w:numPr>
      <w:spacing w:before="480" w:line="480" w:lineRule="auto"/>
      <w:ind w:left="567"/>
      <w:jc w:val="both"/>
    </w:pPr>
    <w:rPr>
      <w:rFonts w:ascii="Arial" w:hAnsi="Arial" w:cs="Arial"/>
      <w:iCs/>
      <w:lang w:eastAsia="en-ZA"/>
    </w:rPr>
  </w:style>
  <w:style w:type="paragraph" w:customStyle="1" w:styleId="2">
    <w:name w:val="2"/>
    <w:basedOn w:val="1"/>
    <w:qFormat/>
    <w:rsid w:val="00675AD0"/>
    <w:pPr>
      <w:numPr>
        <w:ilvl w:val="1"/>
      </w:numPr>
      <w:tabs>
        <w:tab w:val="clear" w:pos="680"/>
      </w:tabs>
      <w:spacing w:before="240"/>
      <w:ind w:left="1440" w:hanging="360"/>
    </w:pPr>
  </w:style>
  <w:style w:type="paragraph" w:customStyle="1" w:styleId="3">
    <w:name w:val="3"/>
    <w:basedOn w:val="2"/>
    <w:qFormat/>
    <w:rsid w:val="00675AD0"/>
    <w:pPr>
      <w:numPr>
        <w:ilvl w:val="2"/>
      </w:numPr>
      <w:tabs>
        <w:tab w:val="clear" w:pos="2155"/>
      </w:tabs>
      <w:ind w:left="2160" w:hanging="180"/>
    </w:pPr>
  </w:style>
  <w:style w:type="paragraph" w:customStyle="1" w:styleId="4">
    <w:name w:val="4"/>
    <w:basedOn w:val="Normal"/>
    <w:qFormat/>
    <w:rsid w:val="00675AD0"/>
    <w:pPr>
      <w:numPr>
        <w:ilvl w:val="3"/>
        <w:numId w:val="11"/>
      </w:numPr>
      <w:spacing w:before="240" w:line="480" w:lineRule="auto"/>
    </w:pPr>
    <w:rPr>
      <w:iCs/>
      <w:color w:val="000000"/>
      <w:lang w:val="en-ZA" w:eastAsia="en-US"/>
    </w:rPr>
  </w:style>
  <w:style w:type="paragraph" w:customStyle="1" w:styleId="5">
    <w:name w:val="5"/>
    <w:basedOn w:val="4"/>
    <w:qFormat/>
    <w:rsid w:val="00675AD0"/>
    <w:pPr>
      <w:numPr>
        <w:ilvl w:val="4"/>
      </w:numPr>
    </w:pPr>
  </w:style>
  <w:style w:type="character" w:customStyle="1" w:styleId="1Char">
    <w:name w:val="1 Char"/>
    <w:link w:val="1"/>
    <w:rsid w:val="00675AD0"/>
    <w:rPr>
      <w:rFonts w:ascii="Arial" w:eastAsia="Times New Roman" w:hAnsi="Arial" w:cs="Arial"/>
      <w:iCs/>
      <w:sz w:val="24"/>
      <w:szCs w:val="24"/>
      <w:lang w:val="en-GB" w:eastAsia="en-ZA"/>
    </w:rPr>
  </w:style>
  <w:style w:type="character" w:customStyle="1" w:styleId="JudgmentNumberedChar">
    <w:name w:val="Judgment Numbered Char"/>
    <w:link w:val="JudgmentNumbered"/>
    <w:locked/>
    <w:rsid w:val="00675AD0"/>
    <w:rPr>
      <w:rFonts w:ascii="Arial" w:hAnsi="Arial" w:cs="Arial"/>
      <w:sz w:val="24"/>
      <w:lang w:val="en-GB"/>
    </w:rPr>
  </w:style>
  <w:style w:type="paragraph" w:customStyle="1" w:styleId="JudgmentNumbered">
    <w:name w:val="Judgment Numbered"/>
    <w:basedOn w:val="Normal"/>
    <w:link w:val="JudgmentNumberedChar"/>
    <w:qFormat/>
    <w:rsid w:val="00675AD0"/>
    <w:pPr>
      <w:numPr>
        <w:numId w:val="14"/>
      </w:numPr>
      <w:spacing w:after="240" w:line="360" w:lineRule="auto"/>
      <w:jc w:val="both"/>
    </w:pPr>
    <w:rPr>
      <w:rFonts w:ascii="Arial" w:eastAsiaTheme="minorHAnsi" w:hAnsi="Arial" w:cs="Arial"/>
      <w:szCs w:val="22"/>
      <w:lang w:eastAsia="en-US"/>
    </w:rPr>
  </w:style>
  <w:style w:type="paragraph" w:styleId="ListParagraph">
    <w:name w:val="List Paragraph"/>
    <w:basedOn w:val="Normal"/>
    <w:uiPriority w:val="34"/>
    <w:qFormat/>
    <w:rsid w:val="00EC2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5301</Words>
  <Characters>30221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Ushialind Reddy</dc:creator>
  <cp:keywords/>
  <dc:description/>
  <cp:lastModifiedBy>Mokone</cp:lastModifiedBy>
  <cp:revision>2</cp:revision>
  <dcterms:created xsi:type="dcterms:W3CDTF">2023-10-10T09:24:00Z</dcterms:created>
  <dcterms:modified xsi:type="dcterms:W3CDTF">2023-10-10T09:24:00Z</dcterms:modified>
</cp:coreProperties>
</file>