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2281" w14:textId="1F38EDCF" w:rsidR="00473B3D" w:rsidRDefault="00473B3D" w:rsidP="00DB7FE9">
      <w:pPr>
        <w:pStyle w:val="Parties"/>
        <w:rPr>
          <w:lang w:val="en-GB"/>
        </w:rPr>
      </w:pPr>
      <w:bookmarkStart w:id="0" w:name="_GoBack"/>
      <w:bookmarkEnd w:id="0"/>
    </w:p>
    <w:p w14:paraId="6E7E10A5" w14:textId="77777777" w:rsidR="00F53AA4" w:rsidRPr="00F53AA4" w:rsidRDefault="00F53AA4" w:rsidP="00F53AA4">
      <w:pPr>
        <w:spacing w:line="276" w:lineRule="auto"/>
        <w:jc w:val="center"/>
        <w:rPr>
          <w:rFonts w:cs="Arial"/>
          <w:b/>
          <w:sz w:val="24"/>
          <w:szCs w:val="24"/>
        </w:rPr>
      </w:pPr>
      <w:r w:rsidRPr="00F53AA4">
        <w:rPr>
          <w:rFonts w:cs="Arial"/>
          <w:b/>
          <w:sz w:val="24"/>
          <w:szCs w:val="24"/>
        </w:rPr>
        <w:t>REPUBLIC OF SOUTH AFRICA</w:t>
      </w:r>
    </w:p>
    <w:p w14:paraId="755186D8" w14:textId="77777777" w:rsidR="00F53AA4" w:rsidRPr="00F53AA4" w:rsidRDefault="00F53AA4" w:rsidP="00F53AA4">
      <w:pPr>
        <w:spacing w:line="276" w:lineRule="auto"/>
        <w:jc w:val="center"/>
        <w:rPr>
          <w:rFonts w:cs="Arial"/>
          <w:b/>
          <w:sz w:val="24"/>
          <w:szCs w:val="24"/>
        </w:rPr>
      </w:pPr>
      <w:r w:rsidRPr="00F53AA4">
        <w:rPr>
          <w:rFonts w:cs="Arial"/>
          <w:b/>
          <w:noProof/>
          <w:sz w:val="24"/>
          <w:szCs w:val="24"/>
          <w:lang w:val="en-US"/>
        </w:rPr>
        <w:drawing>
          <wp:inline distT="0" distB="0" distL="0" distR="0" wp14:anchorId="4A5C572A" wp14:editId="5388AFE9">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53AF04E1" w14:textId="77777777" w:rsidR="00F53AA4" w:rsidRPr="00F53AA4" w:rsidRDefault="00F53AA4" w:rsidP="00F53AA4">
      <w:pPr>
        <w:spacing w:line="276" w:lineRule="auto"/>
        <w:jc w:val="center"/>
        <w:rPr>
          <w:rFonts w:cs="Arial"/>
          <w:b/>
          <w:sz w:val="24"/>
          <w:szCs w:val="24"/>
        </w:rPr>
      </w:pPr>
      <w:r w:rsidRPr="00F53AA4">
        <w:rPr>
          <w:rFonts w:cs="Arial"/>
          <w:b/>
          <w:sz w:val="24"/>
          <w:szCs w:val="24"/>
        </w:rPr>
        <w:t>IN THE HIGH COURT OF SOUTH AFRICA</w:t>
      </w:r>
    </w:p>
    <w:p w14:paraId="318806BB" w14:textId="3A03BA62" w:rsidR="00F53AA4" w:rsidRPr="00F53AA4" w:rsidRDefault="00F53AA4" w:rsidP="00F53AA4">
      <w:pPr>
        <w:pStyle w:val="Parties"/>
        <w:jc w:val="center"/>
        <w:rPr>
          <w:sz w:val="24"/>
          <w:szCs w:val="24"/>
          <w:lang w:val="en-GB"/>
        </w:rPr>
      </w:pPr>
      <w:r w:rsidRPr="00F53AA4">
        <w:rPr>
          <w:rFonts w:cs="Arial"/>
          <w:b/>
          <w:sz w:val="24"/>
          <w:szCs w:val="24"/>
        </w:rPr>
        <w:t>GAUTENG LOCAL DIVISION, JOHANNESBURG</w:t>
      </w:r>
    </w:p>
    <w:p w14:paraId="51F9B1E3" w14:textId="77777777" w:rsidR="00F53AA4" w:rsidRPr="00F53AA4" w:rsidRDefault="00F53AA4" w:rsidP="00DB7FE9">
      <w:pPr>
        <w:pStyle w:val="Parties"/>
        <w:rPr>
          <w:sz w:val="24"/>
          <w:szCs w:val="24"/>
          <w:lang w:val="en-GB"/>
        </w:rPr>
      </w:pPr>
    </w:p>
    <w:p w14:paraId="4E657A3F" w14:textId="77777777" w:rsidR="00F53AA4" w:rsidRDefault="00F53AA4" w:rsidP="00F53AA4">
      <w:pPr>
        <w:pStyle w:val="Parties"/>
        <w:jc w:val="right"/>
        <w:rPr>
          <w:b/>
          <w:bCs/>
          <w:sz w:val="24"/>
          <w:szCs w:val="24"/>
          <w:lang w:val="en-GB"/>
        </w:rPr>
      </w:pPr>
    </w:p>
    <w:p w14:paraId="68EC63D7" w14:textId="4A35A521" w:rsidR="00F53AA4" w:rsidRPr="00F53AA4" w:rsidRDefault="00F53AA4" w:rsidP="00F53AA4">
      <w:pPr>
        <w:pStyle w:val="Parties"/>
        <w:jc w:val="right"/>
        <w:rPr>
          <w:b/>
          <w:bCs/>
          <w:sz w:val="24"/>
          <w:szCs w:val="24"/>
          <w:lang w:val="en-GB"/>
        </w:rPr>
      </w:pPr>
      <w:r w:rsidRPr="00F53AA4">
        <w:rPr>
          <w:b/>
          <w:bCs/>
          <w:sz w:val="24"/>
          <w:szCs w:val="24"/>
          <w:lang w:val="en-GB"/>
        </w:rPr>
        <w:t xml:space="preserve">CASE NO: </w:t>
      </w:r>
      <w:r w:rsidRPr="00F53AA4">
        <w:rPr>
          <w:b/>
          <w:bCs/>
          <w:sz w:val="24"/>
          <w:szCs w:val="24"/>
          <w:u w:val="single"/>
          <w:lang w:val="en-GB"/>
        </w:rPr>
        <w:t>2022/062550</w:t>
      </w:r>
    </w:p>
    <w:p w14:paraId="4FBF30CE" w14:textId="77777777" w:rsidR="00F53AA4" w:rsidRPr="00F53AA4" w:rsidRDefault="00F53AA4" w:rsidP="00F53AA4">
      <w:pPr>
        <w:pStyle w:val="Parties"/>
        <w:jc w:val="right"/>
        <w:rPr>
          <w:sz w:val="24"/>
          <w:szCs w:val="24"/>
          <w:lang w:val="en-GB"/>
        </w:rPr>
      </w:pPr>
    </w:p>
    <w:p w14:paraId="378F15AF" w14:textId="77777777" w:rsidR="00F53AA4" w:rsidRPr="00F53AA4" w:rsidRDefault="00F53AA4" w:rsidP="00DB7FE9">
      <w:pPr>
        <w:pStyle w:val="Parties"/>
        <w:rPr>
          <w:sz w:val="24"/>
          <w:szCs w:val="24"/>
          <w:lang w:val="en-GB"/>
        </w:rPr>
      </w:pPr>
    </w:p>
    <w:p w14:paraId="6607D006" w14:textId="54C46E5D" w:rsidR="00BC0C7C" w:rsidRPr="00F53AA4" w:rsidRDefault="00BC0C7C" w:rsidP="00DB7FE9">
      <w:pPr>
        <w:pStyle w:val="Parties"/>
        <w:rPr>
          <w:sz w:val="24"/>
          <w:szCs w:val="24"/>
          <w:lang w:val="en-GB"/>
        </w:rPr>
      </w:pPr>
    </w:p>
    <w:p w14:paraId="4EB04656" w14:textId="10A47C0E" w:rsidR="00934F07" w:rsidRPr="00F53AA4" w:rsidRDefault="00F53AA4" w:rsidP="00DB7FE9">
      <w:pPr>
        <w:pStyle w:val="Parties"/>
        <w:rPr>
          <w:sz w:val="24"/>
          <w:szCs w:val="24"/>
          <w:lang w:val="en-GB"/>
        </w:rPr>
      </w:pPr>
      <w:r>
        <w:rPr>
          <w:noProof/>
          <w:lang w:val="en-US"/>
        </w:rPr>
        <mc:AlternateContent>
          <mc:Choice Requires="wps">
            <w:drawing>
              <wp:anchor distT="0" distB="0" distL="114300" distR="114300" simplePos="0" relativeHeight="251659264" behindDoc="0" locked="0" layoutInCell="1" allowOverlap="1" wp14:anchorId="1819C688" wp14:editId="2FE20BBA">
                <wp:simplePos x="0" y="0"/>
                <wp:positionH relativeFrom="margin">
                  <wp:posOffset>-142240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5958BCF2" w14:textId="77777777" w:rsidR="00F53AA4" w:rsidRPr="004120A8" w:rsidRDefault="00F53AA4" w:rsidP="00F53AA4">
                            <w:pPr>
                              <w:jc w:val="center"/>
                              <w:rPr>
                                <w:rFonts w:ascii="Century Gothic" w:hAnsi="Century Gothic"/>
                                <w:b/>
                                <w:sz w:val="2"/>
                                <w:szCs w:val="18"/>
                              </w:rPr>
                            </w:pPr>
                          </w:p>
                          <w:p w14:paraId="3C55663C"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333FD454"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32C16DC3"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YES/NO</w:t>
                            </w:r>
                          </w:p>
                          <w:p w14:paraId="419CA41D" w14:textId="77777777" w:rsidR="00F53AA4" w:rsidRPr="004120A8" w:rsidRDefault="00F53AA4" w:rsidP="00F53AA4">
                            <w:pPr>
                              <w:rPr>
                                <w:rFonts w:ascii="Century Gothic" w:hAnsi="Century Gothic"/>
                                <w:b/>
                                <w:sz w:val="18"/>
                                <w:szCs w:val="18"/>
                              </w:rPr>
                            </w:pPr>
                          </w:p>
                          <w:p w14:paraId="3150B0F2" w14:textId="77777777" w:rsidR="00F53AA4" w:rsidRPr="00D261E0" w:rsidRDefault="00F53AA4" w:rsidP="00F53AA4">
                            <w:pPr>
                              <w:rPr>
                                <w:rFonts w:ascii="Century Gothic" w:hAnsi="Century Gothic"/>
                                <w:b/>
                                <w:sz w:val="18"/>
                                <w:szCs w:val="18"/>
                                <w:u w:val="single"/>
                              </w:rPr>
                            </w:pPr>
                            <w:r w:rsidRPr="004120A8">
                              <w:rPr>
                                <w:rFonts w:ascii="Century Gothic" w:hAnsi="Century Gothic"/>
                                <w:b/>
                                <w:sz w:val="18"/>
                                <w:szCs w:val="18"/>
                              </w:rPr>
                              <w:t xml:space="preserve"> …………..…………............</w:t>
                            </w:r>
                            <w:r>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7FA10788" w14:textId="77777777" w:rsidR="00F53AA4" w:rsidRPr="004120A8" w:rsidRDefault="00F53AA4" w:rsidP="00F53AA4">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 G LA GRANGE</w:t>
                            </w:r>
                            <w:r>
                              <w:rPr>
                                <w:rFonts w:ascii="Century Gothic" w:hAnsi="Century Gothic"/>
                                <w:b/>
                                <w:sz w:val="18"/>
                                <w:szCs w:val="18"/>
                              </w:rPr>
                              <w:tab/>
                            </w:r>
                            <w:r>
                              <w:rPr>
                                <w:rFonts w:ascii="Century Gothic" w:hAnsi="Century Gothic"/>
                                <w:b/>
                                <w:sz w:val="18"/>
                                <w:szCs w:val="18"/>
                              </w:rPr>
                              <w:tab/>
                              <w:t xml:space="preserve">          09 OCTOBER</w:t>
                            </w:r>
                            <w:r w:rsidRPr="00CA53DB">
                              <w:rPr>
                                <w:rFonts w:ascii="Century Gothic" w:hAnsi="Century Gothic"/>
                                <w:b/>
                                <w:sz w:val="18"/>
                                <w:szCs w:val="18"/>
                              </w:rPr>
                              <w:t xml:space="preserve"> 2023</w:t>
                            </w:r>
                          </w:p>
                          <w:p w14:paraId="5FAAE184" w14:textId="77777777" w:rsidR="00F53AA4" w:rsidRPr="004120A8" w:rsidRDefault="00F53AA4" w:rsidP="00F53AA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819C688" id="_x0000_t202" coordsize="21600,21600" o:spt="202" path="m,l,21600r21600,l21600,xe">
                <v:stroke joinstyle="miter"/>
                <v:path gradientshapeok="t" o:connecttype="rect"/>
              </v:shapetype>
              <v:shape id="Text Box 1" o:spid="_x0000_s1026" type="#_x0000_t202" style="position:absolute;left:0;text-align:left;margin-left:-11.2pt;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Ol1Pmri&#10;AAAACwEAAA8AAABkcnMvZG93bnJldi54bWxMj8tOwzAQRfdI/IM1SOxamzxKm8apeAgJVUgVTT/A&#10;jYc4EI+j2G3D32NWsBzN0b3nlpvJ9uyMo+8cSbibC2BIjdMdtRIO9ctsCcwHRVr1jlDCN3rYVNdX&#10;pSq0u9A7nvehZTGEfKEkmBCGgnPfGLTKz92AFH8fbrQqxHNsuR7VJYbbnidCLLhVHcUGowZ8Mth8&#10;7U9WwvNnujtQZ7Qd0tdtXb9N+Y4/Snl7Mz2sgQWcwh8Mv/pRHarodHQn0p71EmZJkkVUQi6yOCoS&#10;2Wq1AHaUcC/SHHhV8v8bqh8AAAD//wMAUEsBAi0AFAAGAAgAAAAhALaDOJL+AAAA4QEAABMAAAAA&#10;AAAAAAAAAAAAAAAAAFtDb250ZW50X1R5cGVzXS54bWxQSwECLQAUAAYACAAAACEAOP0h/9YAAACU&#10;AQAACwAAAAAAAAAAAAAAAAAvAQAAX3JlbHMvLnJlbHNQSwECLQAUAAYACAAAACEANVRYhgcCAAAV&#10;BAAADgAAAAAAAAAAAAAAAAAuAgAAZHJzL2Uyb0RvYy54bWxQSwECLQAUAAYACAAAACEA6XU+auIA&#10;AAALAQAADwAAAAAAAAAAAAAAAABhBAAAZHJzL2Rvd25yZXYueG1sUEsFBgAAAAAEAAQA8wAAAHAF&#10;AAAAAA==&#10;">
                <v:path arrowok="t"/>
                <v:textbox>
                  <w:txbxContent>
                    <w:p w14:paraId="5958BCF2" w14:textId="77777777" w:rsidR="00F53AA4" w:rsidRPr="004120A8" w:rsidRDefault="00F53AA4" w:rsidP="00F53AA4">
                      <w:pPr>
                        <w:jc w:val="center"/>
                        <w:rPr>
                          <w:rFonts w:ascii="Century Gothic" w:hAnsi="Century Gothic"/>
                          <w:b/>
                          <w:sz w:val="2"/>
                          <w:szCs w:val="18"/>
                        </w:rPr>
                      </w:pPr>
                    </w:p>
                    <w:p w14:paraId="3C55663C"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333FD454"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32C16DC3" w14:textId="77777777" w:rsidR="00F53AA4" w:rsidRPr="004120A8" w:rsidRDefault="00F53AA4" w:rsidP="00121968">
                      <w:pPr>
                        <w:numPr>
                          <w:ilvl w:val="0"/>
                          <w:numId w:val="5"/>
                        </w:numPr>
                        <w:suppressAutoHyphens w:val="0"/>
                        <w:spacing w:line="240" w:lineRule="auto"/>
                        <w:jc w:val="left"/>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YES/NO</w:t>
                      </w:r>
                    </w:p>
                    <w:p w14:paraId="419CA41D" w14:textId="77777777" w:rsidR="00F53AA4" w:rsidRPr="004120A8" w:rsidRDefault="00F53AA4" w:rsidP="00F53AA4">
                      <w:pPr>
                        <w:rPr>
                          <w:rFonts w:ascii="Century Gothic" w:hAnsi="Century Gothic"/>
                          <w:b/>
                          <w:sz w:val="18"/>
                          <w:szCs w:val="18"/>
                        </w:rPr>
                      </w:pPr>
                    </w:p>
                    <w:p w14:paraId="3150B0F2" w14:textId="77777777" w:rsidR="00F53AA4" w:rsidRPr="00D261E0" w:rsidRDefault="00F53AA4" w:rsidP="00F53AA4">
                      <w:pPr>
                        <w:rPr>
                          <w:rFonts w:ascii="Century Gothic" w:hAnsi="Century Gothic"/>
                          <w:b/>
                          <w:sz w:val="18"/>
                          <w:szCs w:val="18"/>
                          <w:u w:val="single"/>
                        </w:rPr>
                      </w:pPr>
                      <w:r w:rsidRPr="004120A8">
                        <w:rPr>
                          <w:rFonts w:ascii="Century Gothic" w:hAnsi="Century Gothic"/>
                          <w:b/>
                          <w:sz w:val="18"/>
                          <w:szCs w:val="18"/>
                        </w:rPr>
                        <w:t xml:space="preserve"> …………..…………............</w:t>
                      </w:r>
                      <w:r>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7FA10788" w14:textId="77777777" w:rsidR="00F53AA4" w:rsidRPr="004120A8" w:rsidRDefault="00F53AA4" w:rsidP="00F53AA4">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 G LA GRANGE</w:t>
                      </w:r>
                      <w:r>
                        <w:rPr>
                          <w:rFonts w:ascii="Century Gothic" w:hAnsi="Century Gothic"/>
                          <w:b/>
                          <w:sz w:val="18"/>
                          <w:szCs w:val="18"/>
                        </w:rPr>
                        <w:tab/>
                      </w:r>
                      <w:r>
                        <w:rPr>
                          <w:rFonts w:ascii="Century Gothic" w:hAnsi="Century Gothic"/>
                          <w:b/>
                          <w:sz w:val="18"/>
                          <w:szCs w:val="18"/>
                        </w:rPr>
                        <w:tab/>
                        <w:t xml:space="preserve">          09 OCTOBER</w:t>
                      </w:r>
                      <w:r w:rsidRPr="00CA53DB">
                        <w:rPr>
                          <w:rFonts w:ascii="Century Gothic" w:hAnsi="Century Gothic"/>
                          <w:b/>
                          <w:sz w:val="18"/>
                          <w:szCs w:val="18"/>
                        </w:rPr>
                        <w:t xml:space="preserve"> 2023</w:t>
                      </w:r>
                    </w:p>
                    <w:p w14:paraId="5FAAE184" w14:textId="77777777" w:rsidR="00F53AA4" w:rsidRPr="004120A8" w:rsidRDefault="00F53AA4" w:rsidP="00F53AA4">
                      <w:pPr>
                        <w:rPr>
                          <w:rFonts w:ascii="Century Gothic" w:hAnsi="Century Gothic"/>
                          <w:b/>
                          <w:sz w:val="2"/>
                          <w:szCs w:val="18"/>
                        </w:rPr>
                      </w:pPr>
                    </w:p>
                  </w:txbxContent>
                </v:textbox>
                <w10:wrap type="topAndBottom" anchorx="margin" anchory="page"/>
              </v:shape>
            </w:pict>
          </mc:Fallback>
        </mc:AlternateContent>
      </w:r>
    </w:p>
    <w:p w14:paraId="69C38ADD" w14:textId="3DFD1B8D" w:rsidR="00934F07" w:rsidRPr="00F53AA4" w:rsidRDefault="00934F07" w:rsidP="00DB7FE9">
      <w:pPr>
        <w:pStyle w:val="Parties"/>
        <w:rPr>
          <w:sz w:val="24"/>
          <w:szCs w:val="24"/>
          <w:lang w:val="en-GB"/>
        </w:rPr>
      </w:pPr>
      <w:r w:rsidRPr="00F53AA4">
        <w:rPr>
          <w:sz w:val="24"/>
          <w:szCs w:val="24"/>
          <w:lang w:val="en-GB"/>
        </w:rPr>
        <w:t>In the matter between:</w:t>
      </w:r>
    </w:p>
    <w:p w14:paraId="2E80C2ED" w14:textId="77777777" w:rsidR="00934F07" w:rsidRPr="00F53AA4" w:rsidRDefault="00934F07" w:rsidP="00DB7FE9">
      <w:pPr>
        <w:pStyle w:val="Parties"/>
        <w:rPr>
          <w:sz w:val="24"/>
          <w:szCs w:val="24"/>
          <w:lang w:val="en-GB"/>
        </w:rPr>
      </w:pPr>
    </w:p>
    <w:p w14:paraId="78E8CF1C" w14:textId="77777777" w:rsidR="00934F07" w:rsidRPr="00121968" w:rsidRDefault="00934F07" w:rsidP="00121968">
      <w:pPr>
        <w:pStyle w:val="Parties"/>
        <w:spacing w:line="360" w:lineRule="auto"/>
        <w:rPr>
          <w:rFonts w:cs="Arial"/>
          <w:sz w:val="24"/>
          <w:szCs w:val="24"/>
          <w:lang w:val="en-GB"/>
        </w:rPr>
      </w:pPr>
    </w:p>
    <w:p w14:paraId="5B4227AE" w14:textId="77777777"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PETERSEN, IZAK SMOLLY N.O. in his capacity </w:t>
      </w:r>
    </w:p>
    <w:p w14:paraId="59C5923C" w14:textId="04E9726C"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as trustee for the DIPULA PROPERTY </w:t>
      </w:r>
      <w:r w:rsidR="00997F6B" w:rsidRPr="00121968">
        <w:rPr>
          <w:rFonts w:cs="Arial"/>
          <w:b/>
          <w:bCs/>
          <w:sz w:val="24"/>
          <w:szCs w:val="24"/>
          <w:lang w:val="en-GB"/>
        </w:rPr>
        <w:tab/>
        <w:t xml:space="preserve">First Plaintiff / </w:t>
      </w:r>
    </w:p>
    <w:p w14:paraId="3A8FB1CC" w14:textId="44CC9EFA"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INVESTMENT TRUST (IT NO. 7743/2006)</w:t>
      </w:r>
      <w:r w:rsidRPr="00121968">
        <w:rPr>
          <w:rFonts w:cs="Arial"/>
          <w:b/>
          <w:bCs/>
          <w:sz w:val="24"/>
          <w:szCs w:val="24"/>
          <w:lang w:val="en-GB"/>
        </w:rPr>
        <w:tab/>
        <w:t xml:space="preserve">First </w:t>
      </w:r>
      <w:r w:rsidR="00997F6B" w:rsidRPr="00121968">
        <w:rPr>
          <w:rFonts w:cs="Arial"/>
          <w:b/>
          <w:bCs/>
          <w:sz w:val="24"/>
          <w:szCs w:val="24"/>
          <w:lang w:val="en-GB"/>
        </w:rPr>
        <w:t>Applicant</w:t>
      </w:r>
    </w:p>
    <w:p w14:paraId="592C3A10" w14:textId="77777777" w:rsidR="00934F07" w:rsidRPr="00121968" w:rsidRDefault="00934F07" w:rsidP="00121968">
      <w:pPr>
        <w:pStyle w:val="Parties"/>
        <w:spacing w:line="360" w:lineRule="auto"/>
        <w:rPr>
          <w:rFonts w:cs="Arial"/>
          <w:b/>
          <w:bCs/>
          <w:sz w:val="24"/>
          <w:szCs w:val="24"/>
          <w:lang w:val="en-GB"/>
        </w:rPr>
      </w:pPr>
    </w:p>
    <w:p w14:paraId="71EFF68D" w14:textId="77777777"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ASMAL, RIDWAAN N.O. in his capacity </w:t>
      </w:r>
    </w:p>
    <w:p w14:paraId="2BE0136B" w14:textId="79CA0B5A"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as trustee for the DIPULA PROPERTY </w:t>
      </w:r>
      <w:r w:rsidR="00997F6B" w:rsidRPr="00121968">
        <w:rPr>
          <w:rFonts w:cs="Arial"/>
          <w:b/>
          <w:bCs/>
          <w:sz w:val="24"/>
          <w:szCs w:val="24"/>
          <w:lang w:val="en-GB"/>
        </w:rPr>
        <w:tab/>
        <w:t xml:space="preserve">Second Plaintiff / </w:t>
      </w:r>
    </w:p>
    <w:p w14:paraId="24C5F7A2" w14:textId="3F6F7E37"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INVESTMENT TRUST (IT NO. 7743/2006)</w:t>
      </w:r>
      <w:r w:rsidRPr="00121968">
        <w:rPr>
          <w:rFonts w:cs="Arial"/>
          <w:b/>
          <w:bCs/>
          <w:sz w:val="24"/>
          <w:szCs w:val="24"/>
          <w:lang w:val="en-GB"/>
        </w:rPr>
        <w:tab/>
        <w:t xml:space="preserve">Second </w:t>
      </w:r>
      <w:r w:rsidR="00997F6B" w:rsidRPr="00121968">
        <w:rPr>
          <w:rFonts w:cs="Arial"/>
          <w:b/>
          <w:bCs/>
          <w:sz w:val="24"/>
          <w:szCs w:val="24"/>
          <w:lang w:val="en-GB"/>
        </w:rPr>
        <w:t>Applicant</w:t>
      </w:r>
    </w:p>
    <w:p w14:paraId="46E941ED" w14:textId="77777777" w:rsidR="00934F07" w:rsidRPr="00121968" w:rsidRDefault="00934F07" w:rsidP="00121968">
      <w:pPr>
        <w:pStyle w:val="Parties"/>
        <w:spacing w:line="360" w:lineRule="auto"/>
        <w:rPr>
          <w:rFonts w:cs="Arial"/>
          <w:b/>
          <w:bCs/>
          <w:sz w:val="24"/>
          <w:szCs w:val="24"/>
          <w:lang w:val="en-GB"/>
        </w:rPr>
      </w:pPr>
    </w:p>
    <w:p w14:paraId="7D95F15A" w14:textId="77777777"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AZIZOLLAHOFF, BRIAN HILTON N.O. in his capacity </w:t>
      </w:r>
    </w:p>
    <w:p w14:paraId="0044DE11" w14:textId="38896A0F"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as trustee for the DIPULA PROPERTY </w:t>
      </w:r>
      <w:r w:rsidR="00997F6B" w:rsidRPr="00121968">
        <w:rPr>
          <w:rFonts w:cs="Arial"/>
          <w:b/>
          <w:bCs/>
          <w:sz w:val="24"/>
          <w:szCs w:val="24"/>
          <w:lang w:val="en-GB"/>
        </w:rPr>
        <w:tab/>
        <w:t xml:space="preserve">Third Plaintiff / </w:t>
      </w:r>
    </w:p>
    <w:p w14:paraId="0BE52D06" w14:textId="1A1F8363"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INVESTMENT TRUST (IT NO. 7743/2006)</w:t>
      </w:r>
      <w:r w:rsidRPr="00121968">
        <w:rPr>
          <w:rFonts w:cs="Arial"/>
          <w:b/>
          <w:bCs/>
          <w:sz w:val="24"/>
          <w:szCs w:val="24"/>
          <w:lang w:val="en-GB"/>
        </w:rPr>
        <w:tab/>
        <w:t xml:space="preserve">Third </w:t>
      </w:r>
      <w:r w:rsidR="00997F6B" w:rsidRPr="00121968">
        <w:rPr>
          <w:rFonts w:cs="Arial"/>
          <w:b/>
          <w:bCs/>
          <w:sz w:val="24"/>
          <w:szCs w:val="24"/>
          <w:lang w:val="en-GB"/>
        </w:rPr>
        <w:t>Applicant</w:t>
      </w:r>
    </w:p>
    <w:p w14:paraId="720DB194" w14:textId="77777777" w:rsidR="00934F07" w:rsidRPr="00121968" w:rsidRDefault="00934F07" w:rsidP="00121968">
      <w:pPr>
        <w:pStyle w:val="Parties"/>
        <w:spacing w:line="360" w:lineRule="auto"/>
        <w:rPr>
          <w:rFonts w:cs="Arial"/>
          <w:b/>
          <w:bCs/>
          <w:sz w:val="24"/>
          <w:szCs w:val="24"/>
          <w:lang w:val="en-GB"/>
        </w:rPr>
      </w:pPr>
    </w:p>
    <w:p w14:paraId="655B1B78" w14:textId="77777777"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JUNKOON, JUJDEESHIN N.O. in his capacity </w:t>
      </w:r>
    </w:p>
    <w:p w14:paraId="06ADB942" w14:textId="210F9A74"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 xml:space="preserve">as trustee for the DIPULA PROPERTY </w:t>
      </w:r>
      <w:r w:rsidR="00997F6B" w:rsidRPr="00121968">
        <w:rPr>
          <w:rFonts w:cs="Arial"/>
          <w:b/>
          <w:bCs/>
          <w:sz w:val="24"/>
          <w:szCs w:val="24"/>
          <w:lang w:val="en-GB"/>
        </w:rPr>
        <w:tab/>
        <w:t xml:space="preserve">Fourth Plaintiff / </w:t>
      </w:r>
    </w:p>
    <w:p w14:paraId="628DE1E2" w14:textId="1E809A7A"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INVESTMENT TRUST (IT NO. 7743/2006)</w:t>
      </w:r>
      <w:r w:rsidRPr="00121968">
        <w:rPr>
          <w:rFonts w:cs="Arial"/>
          <w:b/>
          <w:bCs/>
          <w:sz w:val="24"/>
          <w:szCs w:val="24"/>
          <w:lang w:val="en-GB"/>
        </w:rPr>
        <w:tab/>
        <w:t xml:space="preserve">Fourth </w:t>
      </w:r>
      <w:r w:rsidR="00997F6B" w:rsidRPr="00121968">
        <w:rPr>
          <w:rFonts w:cs="Arial"/>
          <w:b/>
          <w:bCs/>
          <w:sz w:val="24"/>
          <w:szCs w:val="24"/>
          <w:lang w:val="en-GB"/>
        </w:rPr>
        <w:t>Applicant</w:t>
      </w:r>
    </w:p>
    <w:p w14:paraId="7BE92B54" w14:textId="77777777" w:rsidR="00934F07" w:rsidRPr="00121968" w:rsidRDefault="00934F07" w:rsidP="00121968">
      <w:pPr>
        <w:pStyle w:val="Parties"/>
        <w:spacing w:line="360" w:lineRule="auto"/>
        <w:rPr>
          <w:rFonts w:cs="Arial"/>
          <w:b/>
          <w:bCs/>
          <w:sz w:val="24"/>
          <w:szCs w:val="24"/>
          <w:lang w:val="en-GB"/>
        </w:rPr>
      </w:pPr>
    </w:p>
    <w:p w14:paraId="32FA3D98" w14:textId="7736785D"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and</w:t>
      </w:r>
    </w:p>
    <w:p w14:paraId="5F8E78E4" w14:textId="5ED716CA"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lastRenderedPageBreak/>
        <w:t xml:space="preserve">4F FASHION (PTY) LIMITED </w:t>
      </w:r>
      <w:r w:rsidR="00997F6B" w:rsidRPr="00121968">
        <w:rPr>
          <w:rFonts w:cs="Arial"/>
          <w:b/>
          <w:bCs/>
          <w:sz w:val="24"/>
          <w:szCs w:val="24"/>
          <w:lang w:val="en-GB"/>
        </w:rPr>
        <w:tab/>
        <w:t xml:space="preserve">First Defendant / </w:t>
      </w:r>
    </w:p>
    <w:p w14:paraId="45779C7E" w14:textId="79A74DFE" w:rsidR="00934F07"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t/a 4F FASHION (ID No. 2014/229066/07)</w:t>
      </w:r>
      <w:r w:rsidRPr="00121968">
        <w:rPr>
          <w:rFonts w:cs="Arial"/>
          <w:b/>
          <w:bCs/>
          <w:sz w:val="24"/>
          <w:szCs w:val="24"/>
          <w:lang w:val="en-GB"/>
        </w:rPr>
        <w:tab/>
        <w:t xml:space="preserve">First </w:t>
      </w:r>
      <w:r w:rsidR="00997F6B" w:rsidRPr="00121968">
        <w:rPr>
          <w:rFonts w:cs="Arial"/>
          <w:b/>
          <w:bCs/>
          <w:sz w:val="24"/>
          <w:szCs w:val="24"/>
          <w:lang w:val="en-GB"/>
        </w:rPr>
        <w:t>Respondent</w:t>
      </w:r>
    </w:p>
    <w:p w14:paraId="5056AAED" w14:textId="77777777" w:rsidR="00934F07" w:rsidRPr="00121968" w:rsidRDefault="00934F07" w:rsidP="00121968">
      <w:pPr>
        <w:pStyle w:val="Parties"/>
        <w:spacing w:line="360" w:lineRule="auto"/>
        <w:rPr>
          <w:rFonts w:cs="Arial"/>
          <w:b/>
          <w:bCs/>
          <w:sz w:val="24"/>
          <w:szCs w:val="24"/>
          <w:lang w:val="en-GB"/>
        </w:rPr>
      </w:pPr>
    </w:p>
    <w:p w14:paraId="65D85B4A" w14:textId="77777777" w:rsidR="00997F6B" w:rsidRPr="00121968" w:rsidRDefault="00934F07" w:rsidP="00121968">
      <w:pPr>
        <w:pStyle w:val="Parties"/>
        <w:spacing w:line="360" w:lineRule="auto"/>
        <w:rPr>
          <w:rFonts w:cs="Arial"/>
          <w:b/>
          <w:bCs/>
          <w:sz w:val="24"/>
          <w:szCs w:val="24"/>
          <w:lang w:val="en-GB"/>
        </w:rPr>
      </w:pPr>
      <w:r w:rsidRPr="00121968">
        <w:rPr>
          <w:rFonts w:cs="Arial"/>
          <w:b/>
          <w:bCs/>
          <w:sz w:val="24"/>
          <w:szCs w:val="24"/>
          <w:lang w:val="en-GB"/>
        </w:rPr>
        <w:t>MOHMEDNAIM MOHMED ISRAR KALFATI</w:t>
      </w:r>
      <w:r w:rsidRPr="00121968">
        <w:rPr>
          <w:rFonts w:cs="Arial"/>
          <w:b/>
          <w:bCs/>
          <w:sz w:val="24"/>
          <w:szCs w:val="24"/>
          <w:lang w:val="en-GB"/>
        </w:rPr>
        <w:tab/>
        <w:t>Second Defendant</w:t>
      </w:r>
      <w:r w:rsidR="00997F6B" w:rsidRPr="00121968">
        <w:rPr>
          <w:rFonts w:cs="Arial"/>
          <w:b/>
          <w:bCs/>
          <w:sz w:val="24"/>
          <w:szCs w:val="24"/>
          <w:lang w:val="en-GB"/>
        </w:rPr>
        <w:t xml:space="preserve"> / </w:t>
      </w:r>
    </w:p>
    <w:p w14:paraId="0F6BA85F" w14:textId="3833232A" w:rsidR="00934F07" w:rsidRPr="00121968" w:rsidRDefault="00997F6B" w:rsidP="00121968">
      <w:pPr>
        <w:pStyle w:val="Parties"/>
        <w:spacing w:line="360" w:lineRule="auto"/>
        <w:rPr>
          <w:rFonts w:cs="Arial"/>
          <w:b/>
          <w:bCs/>
          <w:sz w:val="24"/>
          <w:szCs w:val="24"/>
          <w:lang w:val="en-GB"/>
        </w:rPr>
      </w:pPr>
      <w:r w:rsidRPr="00121968">
        <w:rPr>
          <w:rFonts w:cs="Arial"/>
          <w:b/>
          <w:bCs/>
          <w:sz w:val="24"/>
          <w:szCs w:val="24"/>
          <w:lang w:val="en-GB"/>
        </w:rPr>
        <w:tab/>
        <w:t>Second Respondent</w:t>
      </w:r>
    </w:p>
    <w:p w14:paraId="760C646F" w14:textId="77777777" w:rsidR="00473B3D" w:rsidRPr="00121968" w:rsidRDefault="00473B3D" w:rsidP="00121968">
      <w:pPr>
        <w:pStyle w:val="Parties"/>
        <w:spacing w:line="360" w:lineRule="auto"/>
        <w:rPr>
          <w:rFonts w:cs="Arial"/>
          <w:sz w:val="24"/>
          <w:szCs w:val="24"/>
          <w:lang w:val="en-GB"/>
        </w:rPr>
      </w:pPr>
    </w:p>
    <w:p w14:paraId="5475F1A8" w14:textId="79E3E57C" w:rsidR="00DB7FE9" w:rsidRPr="00121968" w:rsidRDefault="00934F07" w:rsidP="00121968">
      <w:pPr>
        <w:pStyle w:val="TramLines"/>
        <w:spacing w:line="360" w:lineRule="auto"/>
        <w:jc w:val="center"/>
        <w:rPr>
          <w:rFonts w:cs="Arial"/>
          <w:sz w:val="24"/>
          <w:szCs w:val="24"/>
          <w:lang w:val="en-GB"/>
        </w:rPr>
      </w:pPr>
      <w:r w:rsidRPr="00121968">
        <w:rPr>
          <w:rFonts w:cs="Arial"/>
          <w:sz w:val="24"/>
          <w:szCs w:val="24"/>
          <w:lang w:val="en-GB"/>
        </w:rPr>
        <w:t>JUDGMENT</w:t>
      </w:r>
    </w:p>
    <w:p w14:paraId="4BC49345" w14:textId="07E25845" w:rsidR="00A935AF" w:rsidRPr="00121968" w:rsidRDefault="00717029" w:rsidP="00121968">
      <w:pPr>
        <w:spacing w:line="360" w:lineRule="auto"/>
        <w:rPr>
          <w:rFonts w:cs="Arial"/>
          <w:b/>
          <w:bCs/>
          <w:sz w:val="24"/>
          <w:szCs w:val="24"/>
          <w:u w:val="single"/>
          <w:lang w:val="en-GB"/>
        </w:rPr>
      </w:pPr>
      <w:r w:rsidRPr="00121968">
        <w:rPr>
          <w:rFonts w:cs="Arial"/>
          <w:b/>
          <w:bCs/>
          <w:sz w:val="24"/>
          <w:szCs w:val="24"/>
          <w:u w:val="single"/>
          <w:lang w:val="en-GB"/>
        </w:rPr>
        <w:t>LA GRANGE AJ</w:t>
      </w:r>
    </w:p>
    <w:p w14:paraId="4B0BBDA9" w14:textId="371BE1FA" w:rsidR="00CE6314" w:rsidRPr="00121968" w:rsidRDefault="00717029" w:rsidP="00121968">
      <w:pPr>
        <w:pStyle w:val="WLGLevel1"/>
        <w:numPr>
          <w:ilvl w:val="0"/>
          <w:numId w:val="0"/>
        </w:numPr>
        <w:spacing w:line="360" w:lineRule="auto"/>
        <w:ind w:left="567" w:hanging="567"/>
        <w:rPr>
          <w:rFonts w:cs="Arial"/>
          <w:sz w:val="24"/>
          <w:szCs w:val="24"/>
        </w:rPr>
      </w:pPr>
      <w:r w:rsidRPr="00121968">
        <w:rPr>
          <w:rFonts w:cs="Arial"/>
          <w:sz w:val="24"/>
          <w:szCs w:val="24"/>
        </w:rPr>
        <w:t>[1]</w:t>
      </w:r>
      <w:r w:rsidRPr="00121968">
        <w:rPr>
          <w:rFonts w:cs="Arial"/>
          <w:sz w:val="24"/>
          <w:szCs w:val="24"/>
        </w:rPr>
        <w:tab/>
      </w:r>
      <w:r w:rsidR="00934F07" w:rsidRPr="00121968">
        <w:rPr>
          <w:rFonts w:cs="Arial"/>
          <w:sz w:val="24"/>
          <w:szCs w:val="24"/>
        </w:rPr>
        <w:t xml:space="preserve">This is an application for summary judgment arising from </w:t>
      </w:r>
      <w:r w:rsidR="00A84757" w:rsidRPr="00121968">
        <w:rPr>
          <w:rFonts w:cs="Arial"/>
          <w:sz w:val="24"/>
          <w:szCs w:val="24"/>
        </w:rPr>
        <w:t xml:space="preserve">an action </w:t>
      </w:r>
      <w:r w:rsidR="00934F07" w:rsidRPr="00121968">
        <w:rPr>
          <w:rFonts w:cs="Arial"/>
          <w:sz w:val="24"/>
          <w:szCs w:val="24"/>
        </w:rPr>
        <w:t xml:space="preserve">instituted by the </w:t>
      </w:r>
      <w:r w:rsidR="00997F6B" w:rsidRPr="00121968">
        <w:rPr>
          <w:rFonts w:cs="Arial"/>
          <w:sz w:val="24"/>
          <w:szCs w:val="24"/>
        </w:rPr>
        <w:t xml:space="preserve">applicants </w:t>
      </w:r>
      <w:r w:rsidR="006A2E09" w:rsidRPr="00121968">
        <w:rPr>
          <w:rFonts w:cs="Arial"/>
          <w:sz w:val="24"/>
          <w:szCs w:val="24"/>
        </w:rPr>
        <w:t xml:space="preserve">as trustees of the Dipula Property Investment Trust </w:t>
      </w:r>
      <w:r w:rsidR="00934F07" w:rsidRPr="00121968">
        <w:rPr>
          <w:rFonts w:cs="Arial"/>
          <w:sz w:val="24"/>
          <w:szCs w:val="24"/>
        </w:rPr>
        <w:t xml:space="preserve">against the </w:t>
      </w:r>
      <w:r w:rsidR="00997F6B" w:rsidRPr="00121968">
        <w:rPr>
          <w:rFonts w:cs="Arial"/>
          <w:sz w:val="24"/>
          <w:szCs w:val="24"/>
        </w:rPr>
        <w:t>respondent</w:t>
      </w:r>
      <w:r w:rsidR="001C6525" w:rsidRPr="00121968">
        <w:rPr>
          <w:rFonts w:cs="Arial"/>
          <w:sz w:val="24"/>
          <w:szCs w:val="24"/>
        </w:rPr>
        <w:t>s</w:t>
      </w:r>
      <w:r w:rsidR="00997F6B" w:rsidRPr="00121968">
        <w:rPr>
          <w:rFonts w:cs="Arial"/>
          <w:sz w:val="24"/>
          <w:szCs w:val="24"/>
        </w:rPr>
        <w:t xml:space="preserve"> </w:t>
      </w:r>
      <w:r w:rsidR="00C74FAC" w:rsidRPr="00121968">
        <w:rPr>
          <w:rFonts w:cs="Arial"/>
          <w:sz w:val="24"/>
          <w:szCs w:val="24"/>
        </w:rPr>
        <w:t xml:space="preserve">for payment </w:t>
      </w:r>
      <w:r w:rsidR="00997F6B" w:rsidRPr="00121968">
        <w:rPr>
          <w:rFonts w:cs="Arial"/>
          <w:sz w:val="24"/>
          <w:szCs w:val="24"/>
        </w:rPr>
        <w:t xml:space="preserve">of </w:t>
      </w:r>
      <w:r w:rsidR="00C74FAC" w:rsidRPr="00121968">
        <w:rPr>
          <w:rFonts w:cs="Arial"/>
          <w:sz w:val="24"/>
          <w:szCs w:val="24"/>
        </w:rPr>
        <w:t xml:space="preserve">outstanding rental </w:t>
      </w:r>
      <w:r w:rsidR="00997F6B" w:rsidRPr="00121968">
        <w:rPr>
          <w:rFonts w:cs="Arial"/>
          <w:sz w:val="24"/>
          <w:szCs w:val="24"/>
        </w:rPr>
        <w:t>and damages</w:t>
      </w:r>
      <w:r w:rsidR="006A2E09" w:rsidRPr="00121968">
        <w:rPr>
          <w:rFonts w:cs="Arial"/>
          <w:sz w:val="24"/>
          <w:szCs w:val="24"/>
        </w:rPr>
        <w:t xml:space="preserve"> pursuant to the first respondent’s breach of a lease agreement.  Only the claim for outstanding payments during the currency of the lease agreement are pursued in the summary judgment application</w:t>
      </w:r>
      <w:r w:rsidR="00DC442D" w:rsidRPr="00121968">
        <w:rPr>
          <w:rFonts w:cs="Arial"/>
          <w:sz w:val="24"/>
          <w:szCs w:val="24"/>
        </w:rPr>
        <w:t xml:space="preserve"> (claim 1 in the action)</w:t>
      </w:r>
      <w:r w:rsidR="006A2E09" w:rsidRPr="00121968">
        <w:rPr>
          <w:rFonts w:cs="Arial"/>
          <w:sz w:val="24"/>
          <w:szCs w:val="24"/>
        </w:rPr>
        <w:t xml:space="preserve">; the applicants concede that the claim for damages arising from the breach </w:t>
      </w:r>
      <w:r w:rsidR="00DC442D" w:rsidRPr="00121968">
        <w:rPr>
          <w:rFonts w:cs="Arial"/>
          <w:sz w:val="24"/>
          <w:szCs w:val="24"/>
        </w:rPr>
        <w:t xml:space="preserve">(claim 2) is </w:t>
      </w:r>
      <w:r w:rsidR="006A2E09" w:rsidRPr="00121968">
        <w:rPr>
          <w:rFonts w:cs="Arial"/>
          <w:sz w:val="24"/>
          <w:szCs w:val="24"/>
        </w:rPr>
        <w:t xml:space="preserve">not liquidated and that leave to defend in relation to that claim ought to be granted.  </w:t>
      </w:r>
      <w:r w:rsidR="00CE6314" w:rsidRPr="00121968">
        <w:rPr>
          <w:rFonts w:cs="Arial"/>
          <w:sz w:val="24"/>
          <w:szCs w:val="24"/>
        </w:rPr>
        <w:t xml:space="preserve">As far as the prayer for ejectment in claim 1 is concerned, counsel for the </w:t>
      </w:r>
      <w:r w:rsidR="00023E2F" w:rsidRPr="00121968">
        <w:rPr>
          <w:rFonts w:cs="Arial"/>
          <w:sz w:val="24"/>
          <w:szCs w:val="24"/>
        </w:rPr>
        <w:t xml:space="preserve">applicants </w:t>
      </w:r>
      <w:r w:rsidR="00CE6314" w:rsidRPr="00121968">
        <w:rPr>
          <w:rFonts w:cs="Arial"/>
          <w:sz w:val="24"/>
          <w:szCs w:val="24"/>
        </w:rPr>
        <w:t xml:space="preserve">advised orally in court that the </w:t>
      </w:r>
      <w:r w:rsidR="00023E2F" w:rsidRPr="00121968">
        <w:rPr>
          <w:rFonts w:cs="Arial"/>
          <w:sz w:val="24"/>
          <w:szCs w:val="24"/>
        </w:rPr>
        <w:t xml:space="preserve">applicants </w:t>
      </w:r>
      <w:r w:rsidR="00CE6314" w:rsidRPr="00121968">
        <w:rPr>
          <w:rFonts w:cs="Arial"/>
          <w:sz w:val="24"/>
          <w:szCs w:val="24"/>
        </w:rPr>
        <w:t xml:space="preserve">no longer </w:t>
      </w:r>
      <w:r w:rsidR="00023E2F" w:rsidRPr="00121968">
        <w:rPr>
          <w:rFonts w:cs="Arial"/>
          <w:sz w:val="24"/>
          <w:szCs w:val="24"/>
        </w:rPr>
        <w:t xml:space="preserve">pursue </w:t>
      </w:r>
      <w:r w:rsidR="00CE6314" w:rsidRPr="00121968">
        <w:rPr>
          <w:rFonts w:cs="Arial"/>
          <w:sz w:val="24"/>
          <w:szCs w:val="24"/>
        </w:rPr>
        <w:t>this relief.</w:t>
      </w:r>
    </w:p>
    <w:p w14:paraId="6B4903C5" w14:textId="2F9BD51C" w:rsidR="006A2E09" w:rsidRPr="00121968" w:rsidRDefault="00717029" w:rsidP="00121968">
      <w:pPr>
        <w:pStyle w:val="WLGLevel1"/>
        <w:numPr>
          <w:ilvl w:val="0"/>
          <w:numId w:val="0"/>
        </w:numPr>
        <w:spacing w:line="360" w:lineRule="auto"/>
        <w:ind w:left="567" w:hanging="567"/>
        <w:rPr>
          <w:rFonts w:cs="Arial"/>
          <w:sz w:val="24"/>
          <w:szCs w:val="24"/>
        </w:rPr>
      </w:pPr>
      <w:r w:rsidRPr="00121968">
        <w:rPr>
          <w:rFonts w:cs="Arial"/>
          <w:sz w:val="24"/>
          <w:szCs w:val="24"/>
        </w:rPr>
        <w:t>[2]</w:t>
      </w:r>
      <w:r w:rsidRPr="00121968">
        <w:rPr>
          <w:rFonts w:cs="Arial"/>
          <w:sz w:val="24"/>
          <w:szCs w:val="24"/>
        </w:rPr>
        <w:tab/>
      </w:r>
      <w:r w:rsidR="00023E2F" w:rsidRPr="00121968">
        <w:rPr>
          <w:rFonts w:cs="Arial"/>
          <w:sz w:val="24"/>
          <w:szCs w:val="24"/>
        </w:rPr>
        <w:t>The affidavit opposing summary judgment was filed late and condonation therefore is sought by the respondents.  The applicants’ counsel indicated that the applicants do not oppose the application.  Accordingly</w:t>
      </w:r>
      <w:r w:rsidR="009D325A" w:rsidRPr="00121968">
        <w:rPr>
          <w:rFonts w:cs="Arial"/>
          <w:sz w:val="24"/>
          <w:szCs w:val="24"/>
        </w:rPr>
        <w:t>,</w:t>
      </w:r>
      <w:r w:rsidR="00023E2F" w:rsidRPr="00121968">
        <w:rPr>
          <w:rFonts w:cs="Arial"/>
          <w:sz w:val="24"/>
          <w:szCs w:val="24"/>
        </w:rPr>
        <w:t xml:space="preserve"> condonation for the late filing of the affidavit opposing summary judgment was granted and the application proceeded </w:t>
      </w:r>
      <w:r w:rsidR="00830655" w:rsidRPr="00121968">
        <w:rPr>
          <w:rFonts w:cs="Arial"/>
          <w:sz w:val="24"/>
          <w:szCs w:val="24"/>
        </w:rPr>
        <w:t xml:space="preserve">on </w:t>
      </w:r>
      <w:r w:rsidR="00023E2F" w:rsidRPr="00121968">
        <w:rPr>
          <w:rFonts w:cs="Arial"/>
          <w:sz w:val="24"/>
          <w:szCs w:val="24"/>
        </w:rPr>
        <w:t xml:space="preserve">an opposed </w:t>
      </w:r>
      <w:r w:rsidR="00830655" w:rsidRPr="00121968">
        <w:rPr>
          <w:rFonts w:cs="Arial"/>
          <w:sz w:val="24"/>
          <w:szCs w:val="24"/>
        </w:rPr>
        <w:t>basis</w:t>
      </w:r>
      <w:r w:rsidR="00023E2F" w:rsidRPr="00121968">
        <w:rPr>
          <w:rFonts w:cs="Arial"/>
          <w:sz w:val="24"/>
          <w:szCs w:val="24"/>
        </w:rPr>
        <w:t xml:space="preserve">.  </w:t>
      </w:r>
      <w:r w:rsidR="000D6C78" w:rsidRPr="00121968">
        <w:rPr>
          <w:rFonts w:cs="Arial"/>
          <w:sz w:val="24"/>
          <w:szCs w:val="24"/>
        </w:rPr>
        <w:t>For ease of reference</w:t>
      </w:r>
      <w:r w:rsidR="009D325A" w:rsidRPr="00121968">
        <w:rPr>
          <w:rFonts w:cs="Arial"/>
          <w:sz w:val="24"/>
          <w:szCs w:val="24"/>
        </w:rPr>
        <w:t>,</w:t>
      </w:r>
      <w:r w:rsidR="000D6C78" w:rsidRPr="00121968">
        <w:rPr>
          <w:rFonts w:cs="Arial"/>
          <w:sz w:val="24"/>
          <w:szCs w:val="24"/>
        </w:rPr>
        <w:t xml:space="preserve"> I will refer to the parties as in the main action and will refer to the Dipula Property Investment Trust as “the Trust”.</w:t>
      </w:r>
    </w:p>
    <w:p w14:paraId="2896F990" w14:textId="65352F94" w:rsidR="00A33655"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[3]</w:t>
      </w:r>
      <w:r w:rsidRPr="00121968">
        <w:rPr>
          <w:rFonts w:cs="Arial"/>
          <w:sz w:val="24"/>
          <w:szCs w:val="24"/>
        </w:rPr>
        <w:tab/>
      </w:r>
      <w:r w:rsidR="002F38C4" w:rsidRPr="00121968">
        <w:rPr>
          <w:rFonts w:cs="Arial"/>
          <w:sz w:val="24"/>
          <w:szCs w:val="24"/>
        </w:rPr>
        <w:t>The claim for summary judgment in respect of claim 1 is pursued on the basis that it is a liquidated amount of money</w:t>
      </w:r>
      <w:r w:rsidR="00AE20C0" w:rsidRPr="00121968">
        <w:rPr>
          <w:rFonts w:cs="Arial"/>
          <w:sz w:val="24"/>
          <w:szCs w:val="24"/>
        </w:rPr>
        <w:t>, being susceptible to prompt ascertainment</w:t>
      </w:r>
      <w:r w:rsidR="002F38C4" w:rsidRPr="00121968">
        <w:rPr>
          <w:rFonts w:cs="Arial"/>
          <w:sz w:val="24"/>
          <w:szCs w:val="24"/>
        </w:rPr>
        <w:t xml:space="preserve">.  </w:t>
      </w:r>
      <w:r w:rsidR="00AE20C0" w:rsidRPr="00121968">
        <w:rPr>
          <w:rFonts w:cs="Arial"/>
          <w:sz w:val="24"/>
          <w:szCs w:val="24"/>
        </w:rPr>
        <w:t xml:space="preserve">The defendants have seemingly not disputed that the claim is for a liquidated amount of money.  </w:t>
      </w:r>
      <w:r w:rsidR="001C6525" w:rsidRPr="00121968">
        <w:rPr>
          <w:rFonts w:cs="Arial"/>
          <w:sz w:val="24"/>
          <w:szCs w:val="24"/>
        </w:rPr>
        <w:t xml:space="preserve">The lease </w:t>
      </w:r>
      <w:r w:rsidR="006A2E09" w:rsidRPr="00121968">
        <w:rPr>
          <w:rFonts w:cs="Arial"/>
          <w:sz w:val="24"/>
          <w:szCs w:val="24"/>
        </w:rPr>
        <w:t xml:space="preserve">agreement in issue </w:t>
      </w:r>
      <w:r w:rsidR="001C6525" w:rsidRPr="00121968">
        <w:rPr>
          <w:rFonts w:cs="Arial"/>
          <w:sz w:val="24"/>
          <w:szCs w:val="24"/>
        </w:rPr>
        <w:t xml:space="preserve">was concluded </w:t>
      </w:r>
      <w:r w:rsidR="00C74FAC" w:rsidRPr="00121968">
        <w:rPr>
          <w:rFonts w:cs="Arial"/>
          <w:sz w:val="24"/>
          <w:szCs w:val="24"/>
        </w:rPr>
        <w:t xml:space="preserve">between the Trust </w:t>
      </w:r>
      <w:r w:rsidR="001C6525" w:rsidRPr="00121968">
        <w:rPr>
          <w:rFonts w:cs="Arial"/>
          <w:sz w:val="24"/>
          <w:szCs w:val="24"/>
        </w:rPr>
        <w:t xml:space="preserve">as lessor </w:t>
      </w:r>
      <w:r w:rsidR="001C6525" w:rsidRPr="00121968">
        <w:rPr>
          <w:rFonts w:cs="Arial"/>
          <w:sz w:val="24"/>
          <w:szCs w:val="24"/>
        </w:rPr>
        <w:lastRenderedPageBreak/>
        <w:t xml:space="preserve">and </w:t>
      </w:r>
      <w:r w:rsidR="00C74FAC" w:rsidRPr="00121968">
        <w:rPr>
          <w:rFonts w:cs="Arial"/>
          <w:sz w:val="24"/>
          <w:szCs w:val="24"/>
        </w:rPr>
        <w:t xml:space="preserve">the first </w:t>
      </w:r>
      <w:r w:rsidR="000D6C78" w:rsidRPr="00121968">
        <w:rPr>
          <w:rFonts w:cs="Arial"/>
          <w:sz w:val="24"/>
          <w:szCs w:val="24"/>
        </w:rPr>
        <w:t xml:space="preserve">defendant </w:t>
      </w:r>
      <w:r w:rsidR="001C6525" w:rsidRPr="00121968">
        <w:rPr>
          <w:rFonts w:cs="Arial"/>
          <w:sz w:val="24"/>
          <w:szCs w:val="24"/>
        </w:rPr>
        <w:t>as lessee</w:t>
      </w:r>
      <w:r w:rsidR="00AE20C0" w:rsidRPr="00121968">
        <w:rPr>
          <w:rFonts w:cs="Arial"/>
          <w:sz w:val="24"/>
          <w:szCs w:val="24"/>
        </w:rPr>
        <w:t xml:space="preserve"> and stipulated the rental and other amounts payable sought to be recovered under claim 1 by the Trust</w:t>
      </w:r>
      <w:r w:rsidR="00C74FAC" w:rsidRPr="00121968">
        <w:rPr>
          <w:rFonts w:cs="Arial"/>
          <w:sz w:val="24"/>
          <w:szCs w:val="24"/>
        </w:rPr>
        <w:t xml:space="preserve">.  The second </w:t>
      </w:r>
      <w:r w:rsidR="000D6C78" w:rsidRPr="00121968">
        <w:rPr>
          <w:rFonts w:cs="Arial"/>
          <w:sz w:val="24"/>
          <w:szCs w:val="24"/>
        </w:rPr>
        <w:t xml:space="preserve">defendant </w:t>
      </w:r>
      <w:r w:rsidR="00997F6B" w:rsidRPr="00121968">
        <w:rPr>
          <w:rFonts w:cs="Arial"/>
          <w:sz w:val="24"/>
          <w:szCs w:val="24"/>
        </w:rPr>
        <w:t xml:space="preserve">furnished the Trust with security in respect of </w:t>
      </w:r>
      <w:r w:rsidR="00F026EC" w:rsidRPr="00121968">
        <w:rPr>
          <w:rFonts w:cs="Arial"/>
          <w:sz w:val="24"/>
          <w:szCs w:val="24"/>
        </w:rPr>
        <w:t xml:space="preserve">the first </w:t>
      </w:r>
      <w:r w:rsidR="000D6C78" w:rsidRPr="00121968">
        <w:rPr>
          <w:rFonts w:cs="Arial"/>
          <w:sz w:val="24"/>
          <w:szCs w:val="24"/>
        </w:rPr>
        <w:t xml:space="preserve">defendant’s </w:t>
      </w:r>
      <w:r w:rsidR="00997F6B" w:rsidRPr="00121968">
        <w:rPr>
          <w:rFonts w:cs="Arial"/>
          <w:sz w:val="24"/>
          <w:szCs w:val="24"/>
        </w:rPr>
        <w:t xml:space="preserve">indebtedness </w:t>
      </w:r>
      <w:r w:rsidR="00796FAB" w:rsidRPr="00121968">
        <w:rPr>
          <w:rFonts w:cs="Arial"/>
          <w:sz w:val="24"/>
          <w:szCs w:val="24"/>
        </w:rPr>
        <w:t xml:space="preserve">under </w:t>
      </w:r>
      <w:r w:rsidR="00997F6B" w:rsidRPr="00121968">
        <w:rPr>
          <w:rFonts w:cs="Arial"/>
          <w:sz w:val="24"/>
          <w:szCs w:val="24"/>
        </w:rPr>
        <w:t>the lease</w:t>
      </w:r>
      <w:r w:rsidR="000D6C78" w:rsidRPr="00121968">
        <w:rPr>
          <w:rFonts w:cs="Arial"/>
          <w:sz w:val="24"/>
          <w:szCs w:val="24"/>
        </w:rPr>
        <w:t xml:space="preserve"> </w:t>
      </w:r>
      <w:r w:rsidR="00796FAB" w:rsidRPr="00121968">
        <w:rPr>
          <w:rFonts w:cs="Arial"/>
          <w:sz w:val="24"/>
          <w:szCs w:val="24"/>
        </w:rPr>
        <w:t>in the form of a suretyship</w:t>
      </w:r>
      <w:r w:rsidR="000D6C78" w:rsidRPr="00121968">
        <w:rPr>
          <w:rFonts w:cs="Arial"/>
          <w:sz w:val="24"/>
          <w:szCs w:val="24"/>
        </w:rPr>
        <w:t xml:space="preserve">, in consequence thereof, </w:t>
      </w:r>
      <w:r w:rsidR="00997F6B" w:rsidRPr="00121968">
        <w:rPr>
          <w:rFonts w:cs="Arial"/>
          <w:sz w:val="24"/>
          <w:szCs w:val="24"/>
        </w:rPr>
        <w:t xml:space="preserve">the </w:t>
      </w:r>
      <w:r w:rsidR="000D6C78" w:rsidRPr="00121968">
        <w:rPr>
          <w:rFonts w:cs="Arial"/>
          <w:sz w:val="24"/>
          <w:szCs w:val="24"/>
        </w:rPr>
        <w:t xml:space="preserve">plaintiffs </w:t>
      </w:r>
      <w:r w:rsidR="00997F6B" w:rsidRPr="00121968">
        <w:rPr>
          <w:rFonts w:cs="Arial"/>
          <w:sz w:val="24"/>
          <w:szCs w:val="24"/>
        </w:rPr>
        <w:t xml:space="preserve">seek relief against the </w:t>
      </w:r>
      <w:r w:rsidR="000D6C78" w:rsidRPr="00121968">
        <w:rPr>
          <w:rFonts w:cs="Arial"/>
          <w:sz w:val="24"/>
          <w:szCs w:val="24"/>
        </w:rPr>
        <w:t xml:space="preserve">defendants </w:t>
      </w:r>
      <w:r w:rsidR="00997F6B" w:rsidRPr="00121968">
        <w:rPr>
          <w:rFonts w:cs="Arial"/>
          <w:sz w:val="24"/>
          <w:szCs w:val="24"/>
        </w:rPr>
        <w:t>jointly and severally</w:t>
      </w:r>
      <w:r w:rsidR="000D6C78" w:rsidRPr="00121968">
        <w:rPr>
          <w:rFonts w:cs="Arial"/>
          <w:sz w:val="24"/>
          <w:szCs w:val="24"/>
        </w:rPr>
        <w:t xml:space="preserve"> for the amount of the outstanding payments</w:t>
      </w:r>
      <w:r w:rsidR="00997F6B" w:rsidRPr="00121968">
        <w:rPr>
          <w:rFonts w:cs="Arial"/>
          <w:sz w:val="24"/>
          <w:szCs w:val="24"/>
        </w:rPr>
        <w:t xml:space="preserve">.  </w:t>
      </w:r>
    </w:p>
    <w:p w14:paraId="05D6EC77" w14:textId="7D003C84" w:rsidR="00830655"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[4]</w:t>
      </w:r>
      <w:r w:rsidRPr="00121968">
        <w:rPr>
          <w:rFonts w:cs="Arial"/>
          <w:sz w:val="24"/>
          <w:szCs w:val="24"/>
        </w:rPr>
        <w:tab/>
      </w:r>
      <w:r w:rsidR="001C6525" w:rsidRPr="00121968">
        <w:rPr>
          <w:rFonts w:cs="Arial"/>
          <w:sz w:val="24"/>
          <w:szCs w:val="24"/>
        </w:rPr>
        <w:t>The lease comprises a written document the terms whereof</w:t>
      </w:r>
      <w:r w:rsidR="000D6C78" w:rsidRPr="00121968">
        <w:rPr>
          <w:rFonts w:cs="Arial"/>
          <w:sz w:val="24"/>
          <w:szCs w:val="24"/>
        </w:rPr>
        <w:t xml:space="preserve"> were not in issue – at least not </w:t>
      </w:r>
      <w:r w:rsidR="00830655" w:rsidRPr="00121968">
        <w:rPr>
          <w:rFonts w:cs="Arial"/>
          <w:sz w:val="24"/>
          <w:szCs w:val="24"/>
        </w:rPr>
        <w:t xml:space="preserve">the terms as </w:t>
      </w:r>
      <w:r w:rsidR="000D6C78" w:rsidRPr="00121968">
        <w:rPr>
          <w:rFonts w:cs="Arial"/>
          <w:sz w:val="24"/>
          <w:szCs w:val="24"/>
        </w:rPr>
        <w:t>at the time of the conclusion of the lease</w:t>
      </w:r>
      <w:r w:rsidR="001C6525" w:rsidRPr="00121968">
        <w:rPr>
          <w:rFonts w:cs="Arial"/>
          <w:sz w:val="24"/>
          <w:szCs w:val="24"/>
        </w:rPr>
        <w:t xml:space="preserve">.  </w:t>
      </w:r>
      <w:r w:rsidR="000D6C78" w:rsidRPr="00121968">
        <w:rPr>
          <w:rFonts w:cs="Arial"/>
          <w:sz w:val="24"/>
          <w:szCs w:val="24"/>
        </w:rPr>
        <w:t xml:space="preserve">In this regard, whilst the defendants contend in their plea that they did not witness the signature of the written lease on behalf of the Trust, there is no dispute that on 3 May 2021 the second defendant signed the written lease on behalf of the first defendant (whereof it was a director and on whose behalf it was authorised to conclude the lease). </w:t>
      </w:r>
      <w:r w:rsidR="00830655" w:rsidRPr="00121968">
        <w:rPr>
          <w:rFonts w:cs="Arial"/>
          <w:sz w:val="24"/>
          <w:szCs w:val="24"/>
        </w:rPr>
        <w:t>There is also no dispute that the second defendant issued the Trust with security in the form of a written suretyship.</w:t>
      </w:r>
    </w:p>
    <w:p w14:paraId="5695FE07" w14:textId="62DBACE1" w:rsidR="006717BE"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[5]</w:t>
      </w:r>
      <w:r w:rsidRPr="00121968">
        <w:rPr>
          <w:rFonts w:cs="Arial"/>
          <w:sz w:val="24"/>
          <w:szCs w:val="24"/>
        </w:rPr>
        <w:tab/>
      </w:r>
      <w:r w:rsidR="00D834AF" w:rsidRPr="00121968">
        <w:rPr>
          <w:rFonts w:cs="Arial"/>
          <w:sz w:val="24"/>
          <w:szCs w:val="24"/>
        </w:rPr>
        <w:t xml:space="preserve">The lease related </w:t>
      </w:r>
      <w:r w:rsidR="00CB0B7D" w:rsidRPr="00121968">
        <w:rPr>
          <w:rFonts w:cs="Arial"/>
          <w:sz w:val="24"/>
          <w:szCs w:val="24"/>
        </w:rPr>
        <w:t xml:space="preserve">to </w:t>
      </w:r>
      <w:r w:rsidR="006768B0" w:rsidRPr="00121968">
        <w:rPr>
          <w:rFonts w:cs="Arial"/>
          <w:sz w:val="24"/>
          <w:szCs w:val="24"/>
        </w:rPr>
        <w:t xml:space="preserve">certain </w:t>
      </w:r>
      <w:r w:rsidR="000D6C78" w:rsidRPr="00121968">
        <w:rPr>
          <w:rFonts w:cs="Arial"/>
          <w:sz w:val="24"/>
          <w:szCs w:val="24"/>
        </w:rPr>
        <w:t>commercial premises known as Shop No. 01, Ground Floor, Express Centre Kempton Park, 23 Pretoria Road, Kempton Park, Gauteng</w:t>
      </w:r>
      <w:r w:rsidR="006768B0" w:rsidRPr="00121968">
        <w:rPr>
          <w:rFonts w:cs="Arial"/>
          <w:sz w:val="24"/>
          <w:szCs w:val="24"/>
        </w:rPr>
        <w:t xml:space="preserve"> and </w:t>
      </w:r>
      <w:r w:rsidR="00DC442D" w:rsidRPr="00121968">
        <w:rPr>
          <w:rFonts w:cs="Arial"/>
          <w:sz w:val="24"/>
          <w:szCs w:val="24"/>
        </w:rPr>
        <w:t xml:space="preserve">was for a </w:t>
      </w:r>
      <w:r w:rsidR="00C71A01" w:rsidRPr="00121968">
        <w:rPr>
          <w:rFonts w:cs="Arial"/>
          <w:sz w:val="24"/>
          <w:szCs w:val="24"/>
        </w:rPr>
        <w:t xml:space="preserve">duration of </w:t>
      </w:r>
      <w:r w:rsidR="006717BE" w:rsidRPr="00121968">
        <w:rPr>
          <w:rFonts w:cs="Arial"/>
          <w:sz w:val="24"/>
          <w:szCs w:val="24"/>
        </w:rPr>
        <w:t>five year</w:t>
      </w:r>
      <w:r w:rsidR="00C71A01" w:rsidRPr="00121968">
        <w:rPr>
          <w:rFonts w:cs="Arial"/>
          <w:sz w:val="24"/>
          <w:szCs w:val="24"/>
        </w:rPr>
        <w:t>s,</w:t>
      </w:r>
      <w:r w:rsidR="006717BE" w:rsidRPr="00121968">
        <w:rPr>
          <w:rFonts w:cs="Arial"/>
          <w:sz w:val="24"/>
          <w:szCs w:val="24"/>
        </w:rPr>
        <w:t xml:space="preserve"> commenc</w:t>
      </w:r>
      <w:r w:rsidR="00C71A01" w:rsidRPr="00121968">
        <w:rPr>
          <w:rFonts w:cs="Arial"/>
          <w:sz w:val="24"/>
          <w:szCs w:val="24"/>
        </w:rPr>
        <w:t xml:space="preserve">ing </w:t>
      </w:r>
      <w:r w:rsidR="006717BE" w:rsidRPr="00121968">
        <w:rPr>
          <w:rFonts w:cs="Arial"/>
          <w:sz w:val="24"/>
          <w:szCs w:val="24"/>
        </w:rPr>
        <w:t>on 1 April 2021 and terminat</w:t>
      </w:r>
      <w:r w:rsidR="00C71A01" w:rsidRPr="00121968">
        <w:rPr>
          <w:rFonts w:cs="Arial"/>
          <w:sz w:val="24"/>
          <w:szCs w:val="24"/>
        </w:rPr>
        <w:t xml:space="preserve">ing </w:t>
      </w:r>
      <w:r w:rsidR="006717BE" w:rsidRPr="00121968">
        <w:rPr>
          <w:rFonts w:cs="Arial"/>
          <w:sz w:val="24"/>
          <w:szCs w:val="24"/>
        </w:rPr>
        <w:t>on 31 March 2026.</w:t>
      </w:r>
      <w:r w:rsidR="00DC442D" w:rsidRPr="00121968">
        <w:rPr>
          <w:rFonts w:cs="Arial"/>
          <w:sz w:val="24"/>
          <w:szCs w:val="24"/>
        </w:rPr>
        <w:t xml:space="preserve">  Whilst the provisions of the lease in relation to the payment of </w:t>
      </w:r>
      <w:r w:rsidR="006768B0" w:rsidRPr="00121968">
        <w:rPr>
          <w:rFonts w:cs="Arial"/>
          <w:sz w:val="24"/>
          <w:szCs w:val="24"/>
        </w:rPr>
        <w:t xml:space="preserve">a </w:t>
      </w:r>
      <w:r w:rsidR="00DC442D" w:rsidRPr="00121968">
        <w:rPr>
          <w:rFonts w:cs="Arial"/>
          <w:sz w:val="24"/>
          <w:szCs w:val="24"/>
        </w:rPr>
        <w:t xml:space="preserve">monthly rental, </w:t>
      </w:r>
      <w:r w:rsidR="006768B0" w:rsidRPr="00121968">
        <w:rPr>
          <w:rFonts w:cs="Arial"/>
          <w:sz w:val="24"/>
          <w:szCs w:val="24"/>
        </w:rPr>
        <w:t xml:space="preserve">a monthly contribution towards rates and taxes and the payment of various other associated charges as recorded in the lease were seemingly uncontentious at the time of the conclusion of the lease, the defendants </w:t>
      </w:r>
      <w:r w:rsidR="00AE20C0" w:rsidRPr="00121968">
        <w:rPr>
          <w:rFonts w:cs="Arial"/>
          <w:sz w:val="24"/>
          <w:szCs w:val="24"/>
        </w:rPr>
        <w:t xml:space="preserve">plead </w:t>
      </w:r>
      <w:r w:rsidR="00DC442D" w:rsidRPr="00121968">
        <w:rPr>
          <w:rFonts w:cs="Arial"/>
          <w:sz w:val="24"/>
          <w:szCs w:val="24"/>
        </w:rPr>
        <w:t xml:space="preserve">that </w:t>
      </w:r>
      <w:r w:rsidR="006768B0" w:rsidRPr="00121968">
        <w:rPr>
          <w:rFonts w:cs="Arial"/>
          <w:sz w:val="24"/>
          <w:szCs w:val="24"/>
        </w:rPr>
        <w:t xml:space="preserve">these terms were by </w:t>
      </w:r>
      <w:r w:rsidR="00830655" w:rsidRPr="00121968">
        <w:rPr>
          <w:rFonts w:cs="Arial"/>
          <w:sz w:val="24"/>
          <w:szCs w:val="24"/>
        </w:rPr>
        <w:t xml:space="preserve">oral </w:t>
      </w:r>
      <w:r w:rsidR="006768B0" w:rsidRPr="00121968">
        <w:rPr>
          <w:rFonts w:cs="Arial"/>
          <w:sz w:val="24"/>
          <w:szCs w:val="24"/>
        </w:rPr>
        <w:t xml:space="preserve">agreement </w:t>
      </w:r>
      <w:r w:rsidR="00DC442D" w:rsidRPr="00121968">
        <w:rPr>
          <w:rFonts w:cs="Arial"/>
          <w:sz w:val="24"/>
          <w:szCs w:val="24"/>
        </w:rPr>
        <w:t xml:space="preserve">altered subsequent to the conclusion thereof.  I deal with this in greater detail below. </w:t>
      </w:r>
    </w:p>
    <w:p w14:paraId="4EED2AE0" w14:textId="354CB329" w:rsidR="00452234"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[6]</w:t>
      </w:r>
      <w:r w:rsidRPr="00121968">
        <w:rPr>
          <w:rFonts w:cs="Arial"/>
          <w:sz w:val="24"/>
          <w:szCs w:val="24"/>
        </w:rPr>
        <w:tab/>
      </w:r>
      <w:r w:rsidR="006768B0" w:rsidRPr="00121968">
        <w:rPr>
          <w:rFonts w:cs="Arial"/>
          <w:sz w:val="24"/>
          <w:szCs w:val="24"/>
        </w:rPr>
        <w:t xml:space="preserve">There is no dispute that </w:t>
      </w:r>
      <w:r w:rsidR="006605C7" w:rsidRPr="00121968">
        <w:rPr>
          <w:rFonts w:cs="Arial"/>
          <w:sz w:val="24"/>
          <w:szCs w:val="24"/>
        </w:rPr>
        <w:t xml:space="preserve">the first defendant took occupation of the premises in terms of the lease and, initially at least, paid the </w:t>
      </w:r>
      <w:r w:rsidR="007331E1" w:rsidRPr="00121968">
        <w:rPr>
          <w:rFonts w:cs="Arial"/>
          <w:sz w:val="24"/>
          <w:szCs w:val="24"/>
        </w:rPr>
        <w:t xml:space="preserve">amounts </w:t>
      </w:r>
      <w:r w:rsidR="006605C7" w:rsidRPr="00121968">
        <w:rPr>
          <w:rFonts w:cs="Arial"/>
          <w:sz w:val="24"/>
          <w:szCs w:val="24"/>
        </w:rPr>
        <w:t>due to the Trust</w:t>
      </w:r>
      <w:r w:rsidR="006717BE" w:rsidRPr="00121968">
        <w:rPr>
          <w:rFonts w:cs="Arial"/>
          <w:sz w:val="24"/>
          <w:szCs w:val="24"/>
        </w:rPr>
        <w:t xml:space="preserve"> in </w:t>
      </w:r>
      <w:r w:rsidR="007331E1" w:rsidRPr="00121968">
        <w:rPr>
          <w:rFonts w:cs="Arial"/>
          <w:sz w:val="24"/>
          <w:szCs w:val="24"/>
        </w:rPr>
        <w:t xml:space="preserve">terms of </w:t>
      </w:r>
      <w:r w:rsidR="006717BE" w:rsidRPr="00121968">
        <w:rPr>
          <w:rFonts w:cs="Arial"/>
          <w:sz w:val="24"/>
          <w:szCs w:val="24"/>
        </w:rPr>
        <w:t>the lease</w:t>
      </w:r>
      <w:r w:rsidR="006605C7" w:rsidRPr="00121968">
        <w:rPr>
          <w:rFonts w:cs="Arial"/>
          <w:sz w:val="24"/>
          <w:szCs w:val="24"/>
        </w:rPr>
        <w:t xml:space="preserve">.  </w:t>
      </w:r>
      <w:r w:rsidR="00452234" w:rsidRPr="00121968">
        <w:rPr>
          <w:rFonts w:cs="Arial"/>
          <w:sz w:val="24"/>
          <w:szCs w:val="24"/>
        </w:rPr>
        <w:t xml:space="preserve">Notably the defendants also do not place in dispute the </w:t>
      </w:r>
      <w:r w:rsidR="00AE20C0" w:rsidRPr="00121968">
        <w:rPr>
          <w:rFonts w:cs="Arial"/>
          <w:sz w:val="24"/>
          <w:szCs w:val="24"/>
        </w:rPr>
        <w:t xml:space="preserve">correctness of the </w:t>
      </w:r>
      <w:r w:rsidR="00452234" w:rsidRPr="00121968">
        <w:rPr>
          <w:rFonts w:cs="Arial"/>
          <w:sz w:val="24"/>
          <w:szCs w:val="24"/>
        </w:rPr>
        <w:t>calculation of the outstanding payments</w:t>
      </w:r>
      <w:r w:rsidR="00AE20C0" w:rsidRPr="00121968">
        <w:rPr>
          <w:rFonts w:cs="Arial"/>
          <w:sz w:val="24"/>
          <w:szCs w:val="24"/>
        </w:rPr>
        <w:t>, in the aggregate amount of R184 808.68,</w:t>
      </w:r>
      <w:r w:rsidR="00452234" w:rsidRPr="00121968">
        <w:rPr>
          <w:rFonts w:cs="Arial"/>
          <w:sz w:val="24"/>
          <w:szCs w:val="24"/>
        </w:rPr>
        <w:t xml:space="preserve"> </w:t>
      </w:r>
      <w:r w:rsidR="00AE20C0" w:rsidRPr="00121968">
        <w:rPr>
          <w:rFonts w:cs="Arial"/>
          <w:sz w:val="24"/>
          <w:szCs w:val="24"/>
        </w:rPr>
        <w:t xml:space="preserve">insofar as the calculation purports to be in accordance with the written terms of </w:t>
      </w:r>
      <w:r w:rsidR="00452234" w:rsidRPr="00121968">
        <w:rPr>
          <w:rFonts w:cs="Arial"/>
          <w:sz w:val="24"/>
          <w:szCs w:val="24"/>
        </w:rPr>
        <w:t>the lease.  The defendants plead as follows in relation thereto:</w:t>
      </w:r>
      <w:r w:rsidR="00452234" w:rsidRPr="00121968">
        <w:rPr>
          <w:rStyle w:val="FootnoteReference"/>
          <w:rFonts w:cs="Arial"/>
          <w:sz w:val="24"/>
          <w:szCs w:val="24"/>
        </w:rPr>
        <w:footnoteReference w:id="1"/>
      </w:r>
    </w:p>
    <w:p w14:paraId="292C223A" w14:textId="5934E049" w:rsidR="00452234" w:rsidRPr="00121968" w:rsidRDefault="00452234" w:rsidP="00121968">
      <w:pPr>
        <w:pStyle w:val="WLGQuoteLevel1"/>
        <w:rPr>
          <w:rFonts w:cs="Arial"/>
          <w:sz w:val="24"/>
          <w:szCs w:val="24"/>
        </w:rPr>
      </w:pPr>
      <w:r w:rsidRPr="00121968">
        <w:rPr>
          <w:rFonts w:cs="Arial"/>
          <w:sz w:val="24"/>
          <w:szCs w:val="24"/>
        </w:rPr>
        <w:t>“The amount of R184 808.68</w:t>
      </w:r>
      <w:r w:rsidR="006F7740" w:rsidRPr="00121968">
        <w:rPr>
          <w:rFonts w:cs="Arial"/>
          <w:sz w:val="24"/>
          <w:szCs w:val="24"/>
        </w:rPr>
        <w:t xml:space="preserve"> is noted however the Defendants request the Plaintiffs to be specific as to which month/s does this debt emanate from and how it was computed as this alleged amount was never claimed by the Plaintiffs.”</w:t>
      </w:r>
    </w:p>
    <w:p w14:paraId="2E1AA30B" w14:textId="77777777" w:rsidR="006F7740" w:rsidRPr="00121968" w:rsidRDefault="006F7740" w:rsidP="00121968">
      <w:pPr>
        <w:pStyle w:val="WLGQuoteLevel1"/>
        <w:rPr>
          <w:rFonts w:cs="Arial"/>
          <w:sz w:val="24"/>
          <w:szCs w:val="24"/>
        </w:rPr>
      </w:pPr>
    </w:p>
    <w:p w14:paraId="4F07FC9B" w14:textId="4975BA89" w:rsidR="007331E1"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[7]</w:t>
      </w:r>
      <w:r w:rsidRPr="00121968">
        <w:rPr>
          <w:rFonts w:cs="Arial"/>
          <w:sz w:val="24"/>
          <w:szCs w:val="24"/>
        </w:rPr>
        <w:tab/>
      </w:r>
      <w:r w:rsidR="00830655" w:rsidRPr="00121968">
        <w:rPr>
          <w:rFonts w:cs="Arial"/>
          <w:sz w:val="24"/>
          <w:szCs w:val="24"/>
        </w:rPr>
        <w:t xml:space="preserve">The </w:t>
      </w:r>
      <w:r w:rsidR="006F7740" w:rsidRPr="00121968">
        <w:rPr>
          <w:rFonts w:cs="Arial"/>
          <w:sz w:val="24"/>
          <w:szCs w:val="24"/>
        </w:rPr>
        <w:t xml:space="preserve">clarity </w:t>
      </w:r>
      <w:r w:rsidR="00830655" w:rsidRPr="00121968">
        <w:rPr>
          <w:rFonts w:cs="Arial"/>
          <w:sz w:val="24"/>
          <w:szCs w:val="24"/>
        </w:rPr>
        <w:t xml:space="preserve">sought </w:t>
      </w:r>
      <w:r w:rsidR="00AE20C0" w:rsidRPr="00121968">
        <w:rPr>
          <w:rFonts w:cs="Arial"/>
          <w:sz w:val="24"/>
          <w:szCs w:val="24"/>
        </w:rPr>
        <w:t xml:space="preserve">in relation to </w:t>
      </w:r>
      <w:r w:rsidR="006F7740" w:rsidRPr="00121968">
        <w:rPr>
          <w:rFonts w:cs="Arial"/>
          <w:sz w:val="24"/>
          <w:szCs w:val="24"/>
        </w:rPr>
        <w:t>its precise calculation</w:t>
      </w:r>
      <w:r w:rsidR="00830655" w:rsidRPr="00121968">
        <w:rPr>
          <w:rFonts w:cs="Arial"/>
          <w:sz w:val="24"/>
          <w:szCs w:val="24"/>
        </w:rPr>
        <w:t xml:space="preserve"> of the outstanding amount </w:t>
      </w:r>
      <w:r w:rsidR="00AE20C0" w:rsidRPr="00121968">
        <w:rPr>
          <w:rFonts w:cs="Arial"/>
          <w:sz w:val="24"/>
          <w:szCs w:val="24"/>
        </w:rPr>
        <w:t>was furnished in “DP4” to the summons</w:t>
      </w:r>
      <w:r w:rsidR="00830655" w:rsidRPr="00121968">
        <w:rPr>
          <w:rFonts w:cs="Arial"/>
          <w:sz w:val="24"/>
          <w:szCs w:val="24"/>
        </w:rPr>
        <w:t xml:space="preserve">; other than seeking clarity, the defendants do not appear to challenge the calculation of the outstanding amount with reference to the written terms of the lease.  The </w:t>
      </w:r>
      <w:r w:rsidR="00AE20C0" w:rsidRPr="00121968">
        <w:rPr>
          <w:rFonts w:cs="Arial"/>
          <w:sz w:val="24"/>
          <w:szCs w:val="24"/>
        </w:rPr>
        <w:t>defendants</w:t>
      </w:r>
      <w:r w:rsidR="00830655" w:rsidRPr="00121968">
        <w:rPr>
          <w:rFonts w:cs="Arial"/>
          <w:sz w:val="24"/>
          <w:szCs w:val="24"/>
        </w:rPr>
        <w:t xml:space="preserve"> </w:t>
      </w:r>
      <w:r w:rsidR="006F7740" w:rsidRPr="00121968">
        <w:rPr>
          <w:rFonts w:cs="Arial"/>
          <w:sz w:val="24"/>
          <w:szCs w:val="24"/>
        </w:rPr>
        <w:t>do</w:t>
      </w:r>
      <w:r w:rsidR="00830655" w:rsidRPr="00121968">
        <w:rPr>
          <w:rFonts w:cs="Arial"/>
          <w:sz w:val="24"/>
          <w:szCs w:val="24"/>
        </w:rPr>
        <w:t xml:space="preserve">, however, </w:t>
      </w:r>
      <w:r w:rsidR="00AE20C0" w:rsidRPr="00121968">
        <w:rPr>
          <w:rFonts w:cs="Arial"/>
          <w:sz w:val="24"/>
          <w:szCs w:val="24"/>
        </w:rPr>
        <w:t xml:space="preserve">specifically </w:t>
      </w:r>
      <w:r w:rsidR="006768B0" w:rsidRPr="00121968">
        <w:rPr>
          <w:rFonts w:cs="Arial"/>
          <w:sz w:val="24"/>
          <w:szCs w:val="24"/>
        </w:rPr>
        <w:t>contend</w:t>
      </w:r>
      <w:r w:rsidR="006F7740" w:rsidRPr="00121968">
        <w:rPr>
          <w:rFonts w:cs="Arial"/>
          <w:sz w:val="24"/>
          <w:szCs w:val="24"/>
        </w:rPr>
        <w:t xml:space="preserve"> </w:t>
      </w:r>
      <w:r w:rsidR="007240B4" w:rsidRPr="00121968">
        <w:rPr>
          <w:rFonts w:cs="Arial"/>
          <w:sz w:val="24"/>
          <w:szCs w:val="24"/>
        </w:rPr>
        <w:t xml:space="preserve">(a) </w:t>
      </w:r>
      <w:r w:rsidR="006768B0" w:rsidRPr="00121968">
        <w:rPr>
          <w:rFonts w:cs="Arial"/>
          <w:sz w:val="24"/>
          <w:szCs w:val="24"/>
        </w:rPr>
        <w:t xml:space="preserve">that the payment terms </w:t>
      </w:r>
      <w:r w:rsidR="007240B4" w:rsidRPr="00121968">
        <w:rPr>
          <w:rFonts w:cs="Arial"/>
          <w:sz w:val="24"/>
          <w:szCs w:val="24"/>
        </w:rPr>
        <w:t xml:space="preserve">under the lease </w:t>
      </w:r>
      <w:r w:rsidR="006768B0" w:rsidRPr="00121968">
        <w:rPr>
          <w:rFonts w:cs="Arial"/>
          <w:sz w:val="24"/>
          <w:szCs w:val="24"/>
        </w:rPr>
        <w:t xml:space="preserve">were altered and </w:t>
      </w:r>
      <w:r w:rsidR="007240B4" w:rsidRPr="00121968">
        <w:rPr>
          <w:rFonts w:cs="Arial"/>
          <w:sz w:val="24"/>
          <w:szCs w:val="24"/>
        </w:rPr>
        <w:t xml:space="preserve">(b) </w:t>
      </w:r>
      <w:r w:rsidR="006768B0" w:rsidRPr="00121968">
        <w:rPr>
          <w:rFonts w:cs="Arial"/>
          <w:sz w:val="24"/>
          <w:szCs w:val="24"/>
        </w:rPr>
        <w:t xml:space="preserve">that it was agreed that the lease would be terminated </w:t>
      </w:r>
      <w:r w:rsidR="00BA2090" w:rsidRPr="00121968">
        <w:rPr>
          <w:rFonts w:cs="Arial"/>
          <w:sz w:val="24"/>
          <w:szCs w:val="24"/>
        </w:rPr>
        <w:t>prior to the termination of the five</w:t>
      </w:r>
      <w:r w:rsidRPr="00121968">
        <w:rPr>
          <w:rFonts w:cs="Arial"/>
          <w:sz w:val="24"/>
          <w:szCs w:val="24"/>
        </w:rPr>
        <w:t>-</w:t>
      </w:r>
      <w:r w:rsidR="00BA2090" w:rsidRPr="00121968">
        <w:rPr>
          <w:rFonts w:cs="Arial"/>
          <w:sz w:val="24"/>
          <w:szCs w:val="24"/>
        </w:rPr>
        <w:t>year term</w:t>
      </w:r>
      <w:r w:rsidR="00802C4B" w:rsidRPr="00121968">
        <w:rPr>
          <w:rFonts w:cs="Arial"/>
          <w:sz w:val="24"/>
          <w:szCs w:val="24"/>
        </w:rPr>
        <w:t>.  In relation to the former, the defendants plead that the second defendant “</w:t>
      </w:r>
      <w:r w:rsidR="00802C4B" w:rsidRPr="00121968">
        <w:rPr>
          <w:rFonts w:cs="Arial"/>
          <w:i/>
          <w:iCs/>
          <w:sz w:val="24"/>
          <w:szCs w:val="24"/>
        </w:rPr>
        <w:t>on various occasion</w:t>
      </w:r>
      <w:r w:rsidR="00830655" w:rsidRPr="00121968">
        <w:rPr>
          <w:rFonts w:cs="Arial"/>
          <w:i/>
          <w:iCs/>
          <w:sz w:val="24"/>
          <w:szCs w:val="24"/>
        </w:rPr>
        <w:t>[s]</w:t>
      </w:r>
      <w:r w:rsidR="00802C4B" w:rsidRPr="00121968">
        <w:rPr>
          <w:rFonts w:cs="Arial"/>
          <w:i/>
          <w:iCs/>
          <w:sz w:val="24"/>
          <w:szCs w:val="24"/>
        </w:rPr>
        <w:t xml:space="preserve"> told [the Trust] of his intention to have the rental money reduced and subsequently [the Trust] accepted </w:t>
      </w:r>
      <w:r w:rsidR="00BA2090" w:rsidRPr="00121968">
        <w:rPr>
          <w:rFonts w:cs="Arial"/>
          <w:i/>
          <w:iCs/>
          <w:sz w:val="24"/>
          <w:szCs w:val="24"/>
        </w:rPr>
        <w:t xml:space="preserve">payments </w:t>
      </w:r>
      <w:r w:rsidR="00802C4B" w:rsidRPr="00121968">
        <w:rPr>
          <w:rFonts w:cs="Arial"/>
          <w:i/>
          <w:iCs/>
          <w:sz w:val="24"/>
          <w:szCs w:val="24"/>
        </w:rPr>
        <w:t>different</w:t>
      </w:r>
      <w:r w:rsidR="00BA2090" w:rsidRPr="00121968">
        <w:rPr>
          <w:rFonts w:cs="Arial"/>
          <w:i/>
          <w:iCs/>
          <w:sz w:val="24"/>
          <w:szCs w:val="24"/>
        </w:rPr>
        <w:t xml:space="preserve"> from </w:t>
      </w:r>
      <w:r w:rsidR="00802C4B" w:rsidRPr="00121968">
        <w:rPr>
          <w:rFonts w:cs="Arial"/>
          <w:i/>
          <w:iCs/>
          <w:sz w:val="24"/>
          <w:szCs w:val="24"/>
        </w:rPr>
        <w:t>the initially</w:t>
      </w:r>
      <w:r w:rsidR="00BA2090" w:rsidRPr="00121968">
        <w:rPr>
          <w:rFonts w:cs="Arial"/>
          <w:i/>
          <w:iCs/>
          <w:sz w:val="24"/>
          <w:szCs w:val="24"/>
        </w:rPr>
        <w:t xml:space="preserve"> </w:t>
      </w:r>
      <w:r w:rsidR="00802C4B" w:rsidRPr="00121968">
        <w:rPr>
          <w:rFonts w:cs="Arial"/>
          <w:i/>
          <w:iCs/>
          <w:sz w:val="24"/>
          <w:szCs w:val="24"/>
        </w:rPr>
        <w:t xml:space="preserve">agreed </w:t>
      </w:r>
      <w:r w:rsidR="00BA2090" w:rsidRPr="00121968">
        <w:rPr>
          <w:rFonts w:cs="Arial"/>
          <w:i/>
          <w:iCs/>
          <w:sz w:val="24"/>
          <w:szCs w:val="24"/>
        </w:rPr>
        <w:t xml:space="preserve">amount </w:t>
      </w:r>
      <w:r w:rsidR="00802C4B" w:rsidRPr="00121968">
        <w:rPr>
          <w:rFonts w:cs="Arial"/>
          <w:i/>
          <w:iCs/>
          <w:sz w:val="24"/>
          <w:szCs w:val="24"/>
        </w:rPr>
        <w:t>of R</w:t>
      </w:r>
      <w:r w:rsidR="00BA2090" w:rsidRPr="00121968">
        <w:rPr>
          <w:rFonts w:cs="Arial"/>
          <w:i/>
          <w:iCs/>
          <w:sz w:val="24"/>
          <w:szCs w:val="24"/>
        </w:rPr>
        <w:t xml:space="preserve">26 250.00 </w:t>
      </w:r>
      <w:r w:rsidR="00830655" w:rsidRPr="00121968">
        <w:rPr>
          <w:rFonts w:cs="Arial"/>
          <w:i/>
          <w:iCs/>
          <w:sz w:val="24"/>
          <w:szCs w:val="24"/>
        </w:rPr>
        <w:t xml:space="preserve">[and] </w:t>
      </w:r>
      <w:r w:rsidR="00802C4B" w:rsidRPr="00121968">
        <w:rPr>
          <w:rFonts w:cs="Arial"/>
          <w:i/>
          <w:iCs/>
          <w:sz w:val="24"/>
          <w:szCs w:val="24"/>
        </w:rPr>
        <w:t xml:space="preserve">this </w:t>
      </w:r>
      <w:r w:rsidR="00BA2090" w:rsidRPr="00121968">
        <w:rPr>
          <w:rFonts w:cs="Arial"/>
          <w:i/>
          <w:iCs/>
          <w:sz w:val="24"/>
          <w:szCs w:val="24"/>
        </w:rPr>
        <w:t>drastically changed</w:t>
      </w:r>
      <w:r w:rsidR="00802C4B" w:rsidRPr="00121968">
        <w:rPr>
          <w:rFonts w:cs="Arial"/>
          <w:i/>
          <w:iCs/>
          <w:sz w:val="24"/>
          <w:szCs w:val="24"/>
        </w:rPr>
        <w:t xml:space="preserve"> the terms of</w:t>
      </w:r>
      <w:r w:rsidR="00BA2090" w:rsidRPr="00121968">
        <w:rPr>
          <w:rFonts w:cs="Arial"/>
          <w:i/>
          <w:iCs/>
          <w:sz w:val="24"/>
          <w:szCs w:val="24"/>
        </w:rPr>
        <w:t xml:space="preserve"> </w:t>
      </w:r>
      <w:r w:rsidR="00802C4B" w:rsidRPr="00121968">
        <w:rPr>
          <w:rFonts w:cs="Arial"/>
          <w:i/>
          <w:iCs/>
          <w:sz w:val="24"/>
          <w:szCs w:val="24"/>
        </w:rPr>
        <w:t>monthly payments as contained: in the lease agreement</w:t>
      </w:r>
      <w:r w:rsidR="00BA2090" w:rsidRPr="00121968">
        <w:rPr>
          <w:rFonts w:cs="Arial"/>
          <w:sz w:val="24"/>
          <w:szCs w:val="24"/>
        </w:rPr>
        <w:t>”</w:t>
      </w:r>
      <w:r w:rsidR="00802C4B" w:rsidRPr="00121968">
        <w:rPr>
          <w:rFonts w:cs="Arial"/>
          <w:sz w:val="24"/>
          <w:szCs w:val="24"/>
        </w:rPr>
        <w:t xml:space="preserve">. </w:t>
      </w:r>
      <w:r w:rsidR="00BA2090" w:rsidRPr="00121968">
        <w:rPr>
          <w:rFonts w:cs="Arial"/>
          <w:sz w:val="24"/>
          <w:szCs w:val="24"/>
        </w:rPr>
        <w:t xml:space="preserve"> In relation to the </w:t>
      </w:r>
      <w:r w:rsidR="00830655" w:rsidRPr="00121968">
        <w:rPr>
          <w:rFonts w:cs="Arial"/>
          <w:sz w:val="24"/>
          <w:szCs w:val="24"/>
        </w:rPr>
        <w:t>agreed early termination</w:t>
      </w:r>
      <w:r w:rsidR="00BA2090" w:rsidRPr="00121968">
        <w:rPr>
          <w:rFonts w:cs="Arial"/>
          <w:sz w:val="24"/>
          <w:szCs w:val="24"/>
        </w:rPr>
        <w:t xml:space="preserve">, the </w:t>
      </w:r>
      <w:r w:rsidR="007331E1" w:rsidRPr="00121968">
        <w:rPr>
          <w:rFonts w:cs="Arial"/>
          <w:sz w:val="24"/>
          <w:szCs w:val="24"/>
        </w:rPr>
        <w:t xml:space="preserve">defendants </w:t>
      </w:r>
      <w:r w:rsidR="006768B0" w:rsidRPr="00121968">
        <w:rPr>
          <w:rFonts w:cs="Arial"/>
          <w:sz w:val="24"/>
          <w:szCs w:val="24"/>
        </w:rPr>
        <w:t xml:space="preserve">contend </w:t>
      </w:r>
      <w:r w:rsidR="007331E1" w:rsidRPr="00121968">
        <w:rPr>
          <w:rFonts w:cs="Arial"/>
          <w:sz w:val="24"/>
          <w:szCs w:val="24"/>
        </w:rPr>
        <w:t>that the first defendant “</w:t>
      </w:r>
      <w:r w:rsidR="007331E1" w:rsidRPr="00121968">
        <w:rPr>
          <w:rFonts w:cs="Arial"/>
          <w:i/>
          <w:iCs/>
          <w:sz w:val="24"/>
          <w:szCs w:val="24"/>
        </w:rPr>
        <w:t xml:space="preserve">had no choice but to </w:t>
      </w:r>
      <w:r w:rsidR="007331E1" w:rsidRPr="00121968">
        <w:rPr>
          <w:rFonts w:cs="Arial"/>
          <w:i/>
          <w:iCs/>
          <w:sz w:val="24"/>
          <w:szCs w:val="24"/>
          <w:u w:val="single"/>
        </w:rPr>
        <w:t>leave the premises</w:t>
      </w:r>
      <w:r w:rsidR="007331E1" w:rsidRPr="00121968">
        <w:rPr>
          <w:rFonts w:cs="Arial"/>
          <w:i/>
          <w:iCs/>
          <w:sz w:val="24"/>
          <w:szCs w:val="24"/>
        </w:rPr>
        <w:t xml:space="preserve"> due to economic hardship</w:t>
      </w:r>
      <w:r w:rsidR="007331E1" w:rsidRPr="00121968">
        <w:rPr>
          <w:rFonts w:cs="Arial"/>
          <w:sz w:val="24"/>
          <w:szCs w:val="24"/>
        </w:rPr>
        <w:t>” and that the Trust “</w:t>
      </w:r>
      <w:r w:rsidR="007331E1" w:rsidRPr="00121968">
        <w:rPr>
          <w:rFonts w:cs="Arial"/>
          <w:i/>
          <w:iCs/>
          <w:sz w:val="24"/>
          <w:szCs w:val="24"/>
        </w:rPr>
        <w:t xml:space="preserve">had knowledge of this issue prior to the defendants </w:t>
      </w:r>
      <w:r w:rsidR="007331E1" w:rsidRPr="00121968">
        <w:rPr>
          <w:rFonts w:cs="Arial"/>
          <w:i/>
          <w:iCs/>
          <w:sz w:val="24"/>
          <w:szCs w:val="24"/>
          <w:u w:val="single"/>
        </w:rPr>
        <w:t>leaving the leased premises</w:t>
      </w:r>
      <w:r w:rsidR="007331E1" w:rsidRPr="00121968">
        <w:rPr>
          <w:rFonts w:cs="Arial"/>
          <w:i/>
          <w:iCs/>
          <w:sz w:val="24"/>
          <w:szCs w:val="24"/>
        </w:rPr>
        <w:t xml:space="preserve"> as same was communicated</w:t>
      </w:r>
      <w:r w:rsidR="007331E1" w:rsidRPr="00121968">
        <w:rPr>
          <w:rFonts w:cs="Arial"/>
          <w:sz w:val="24"/>
          <w:szCs w:val="24"/>
        </w:rPr>
        <w:t>” to the Trust.</w:t>
      </w:r>
      <w:r w:rsidR="00C71A01" w:rsidRPr="00121968">
        <w:rPr>
          <w:rStyle w:val="FootnoteReference"/>
          <w:rFonts w:cs="Arial"/>
          <w:sz w:val="24"/>
          <w:szCs w:val="24"/>
        </w:rPr>
        <w:footnoteReference w:id="2"/>
      </w:r>
      <w:r w:rsidR="00596CB1" w:rsidRPr="00121968">
        <w:rPr>
          <w:rFonts w:cs="Arial"/>
          <w:sz w:val="24"/>
          <w:szCs w:val="24"/>
        </w:rPr>
        <w:t xml:space="preserve">  The defendants proceed to plead that “</w:t>
      </w:r>
      <w:r w:rsidR="00596CB1" w:rsidRPr="00121968">
        <w:rPr>
          <w:rFonts w:cs="Arial"/>
          <w:i/>
          <w:iCs/>
          <w:sz w:val="24"/>
          <w:szCs w:val="24"/>
        </w:rPr>
        <w:t>the parties had some form of agreement that the Defendants can vacate the premises, and a replacement be found to occupy the premises</w:t>
      </w:r>
      <w:r w:rsidR="00596CB1" w:rsidRPr="00121968">
        <w:rPr>
          <w:rFonts w:cs="Arial"/>
          <w:sz w:val="24"/>
          <w:szCs w:val="24"/>
        </w:rPr>
        <w:t>”.</w:t>
      </w:r>
      <w:r w:rsidR="00596CB1" w:rsidRPr="00121968">
        <w:rPr>
          <w:rStyle w:val="FootnoteReference"/>
          <w:rFonts w:cs="Arial"/>
          <w:sz w:val="24"/>
          <w:szCs w:val="24"/>
        </w:rPr>
        <w:footnoteReference w:id="3"/>
      </w:r>
      <w:r w:rsidR="007240B4" w:rsidRPr="00121968">
        <w:rPr>
          <w:rFonts w:cs="Arial"/>
          <w:sz w:val="24"/>
          <w:szCs w:val="24"/>
        </w:rPr>
        <w:t xml:space="preserve">  The allegation of an agreed termination is</w:t>
      </w:r>
      <w:r w:rsidR="00E76DE4" w:rsidRPr="00121968">
        <w:rPr>
          <w:rFonts w:cs="Arial"/>
          <w:sz w:val="24"/>
          <w:szCs w:val="24"/>
        </w:rPr>
        <w:t xml:space="preserve"> </w:t>
      </w:r>
      <w:r w:rsidR="007240B4" w:rsidRPr="00121968">
        <w:rPr>
          <w:rFonts w:cs="Arial"/>
          <w:sz w:val="24"/>
          <w:szCs w:val="24"/>
        </w:rPr>
        <w:t>of no moment for purposes of the claim for payments during the currency of the lease</w:t>
      </w:r>
      <w:r w:rsidR="00E76DE4" w:rsidRPr="00121968">
        <w:rPr>
          <w:rFonts w:cs="Arial"/>
          <w:sz w:val="24"/>
          <w:szCs w:val="24"/>
        </w:rPr>
        <w:t xml:space="preserve">; the </w:t>
      </w:r>
      <w:r w:rsidR="007240B4" w:rsidRPr="00121968">
        <w:rPr>
          <w:rFonts w:cs="Arial"/>
          <w:sz w:val="24"/>
          <w:szCs w:val="24"/>
        </w:rPr>
        <w:t>defendants do not suggest that the lease was terminated prior to September 2022</w:t>
      </w:r>
      <w:r w:rsidR="00E76DE4" w:rsidRPr="00121968">
        <w:rPr>
          <w:rFonts w:cs="Arial"/>
          <w:sz w:val="24"/>
          <w:szCs w:val="24"/>
        </w:rPr>
        <w:t xml:space="preserve"> when the premises were vacated</w:t>
      </w:r>
      <w:r w:rsidR="007240B4" w:rsidRPr="00121968">
        <w:rPr>
          <w:rFonts w:cs="Arial"/>
          <w:sz w:val="24"/>
          <w:szCs w:val="24"/>
        </w:rPr>
        <w:t xml:space="preserve">.  </w:t>
      </w:r>
      <w:r w:rsidR="00E76DE4" w:rsidRPr="00121968">
        <w:rPr>
          <w:rFonts w:cs="Arial"/>
          <w:sz w:val="24"/>
          <w:szCs w:val="24"/>
        </w:rPr>
        <w:t>The defendants’ allegations regarding the vacation of the premises do, however, confirm that the first defendant had beneficial occupation of the premises in respect of the period for which the Trust seeks payment from the defendants.</w:t>
      </w:r>
    </w:p>
    <w:p w14:paraId="63CAC154" w14:textId="52954625" w:rsidR="006717BE"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[8]</w:t>
      </w:r>
      <w:r w:rsidRPr="00121968">
        <w:rPr>
          <w:rFonts w:cs="Arial"/>
          <w:sz w:val="24"/>
          <w:szCs w:val="24"/>
        </w:rPr>
        <w:tab/>
      </w:r>
      <w:r w:rsidR="00BA2090" w:rsidRPr="00121968">
        <w:rPr>
          <w:rFonts w:cs="Arial"/>
          <w:sz w:val="24"/>
          <w:szCs w:val="24"/>
        </w:rPr>
        <w:t xml:space="preserve">In addition to the </w:t>
      </w:r>
      <w:r w:rsidR="00E76DE4" w:rsidRPr="00121968">
        <w:rPr>
          <w:rFonts w:cs="Arial"/>
          <w:sz w:val="24"/>
          <w:szCs w:val="24"/>
        </w:rPr>
        <w:t xml:space="preserve">pleaded </w:t>
      </w:r>
      <w:r w:rsidR="00BA2090" w:rsidRPr="00121968">
        <w:rPr>
          <w:rFonts w:cs="Arial"/>
          <w:sz w:val="24"/>
          <w:szCs w:val="24"/>
        </w:rPr>
        <w:t xml:space="preserve">defence of an altered lease, the defendants also raised the following defences </w:t>
      </w:r>
      <w:r w:rsidR="00E07391" w:rsidRPr="00121968">
        <w:rPr>
          <w:rFonts w:cs="Arial"/>
          <w:sz w:val="24"/>
          <w:szCs w:val="24"/>
        </w:rPr>
        <w:t xml:space="preserve">to the claim for payment </w:t>
      </w:r>
      <w:r w:rsidR="00BA2090" w:rsidRPr="00121968">
        <w:rPr>
          <w:rFonts w:cs="Arial"/>
          <w:sz w:val="24"/>
          <w:szCs w:val="24"/>
        </w:rPr>
        <w:t>in their plea:</w:t>
      </w:r>
    </w:p>
    <w:p w14:paraId="1A77F487" w14:textId="1EB84DCB" w:rsidR="00BA2090" w:rsidRPr="00121968" w:rsidRDefault="009D325A" w:rsidP="00121968">
      <w:pPr>
        <w:pStyle w:val="WLGLevel2"/>
        <w:numPr>
          <w:ilvl w:val="0"/>
          <w:numId w:val="0"/>
        </w:numPr>
        <w:spacing w:line="360" w:lineRule="auto"/>
        <w:ind w:left="1134" w:hanging="567"/>
        <w:rPr>
          <w:rFonts w:cs="Arial"/>
          <w:sz w:val="24"/>
          <w:szCs w:val="24"/>
        </w:rPr>
      </w:pPr>
      <w:r w:rsidRPr="00121968">
        <w:rPr>
          <w:rFonts w:cs="Arial"/>
          <w:sz w:val="24"/>
          <w:szCs w:val="24"/>
        </w:rPr>
        <w:t>8.1</w:t>
      </w:r>
      <w:r w:rsidRPr="00121968">
        <w:rPr>
          <w:rFonts w:cs="Arial"/>
          <w:sz w:val="24"/>
          <w:szCs w:val="24"/>
        </w:rPr>
        <w:tab/>
      </w:r>
      <w:r w:rsidR="00BE3309" w:rsidRPr="00121968">
        <w:rPr>
          <w:rFonts w:cs="Arial"/>
          <w:sz w:val="24"/>
          <w:szCs w:val="24"/>
        </w:rPr>
        <w:t>The defendants contended that the lease was governed by the Consumer Protection Act</w:t>
      </w:r>
      <w:r w:rsidR="005B6031" w:rsidRPr="00121968">
        <w:rPr>
          <w:rFonts w:cs="Arial"/>
          <w:sz w:val="24"/>
          <w:szCs w:val="24"/>
        </w:rPr>
        <w:t>, 68 of 2008</w:t>
      </w:r>
      <w:r w:rsidR="00BE3309" w:rsidRPr="00121968">
        <w:rPr>
          <w:rFonts w:cs="Arial"/>
          <w:sz w:val="24"/>
          <w:szCs w:val="24"/>
        </w:rPr>
        <w:t xml:space="preserve"> and that the plaintiffs failed to comply with the requirements thereof.  The plea did not identify in what respects the provisions of the </w:t>
      </w:r>
      <w:r w:rsidR="009467BC" w:rsidRPr="00121968">
        <w:rPr>
          <w:rFonts w:cs="Arial"/>
          <w:sz w:val="24"/>
          <w:szCs w:val="24"/>
        </w:rPr>
        <w:t>A</w:t>
      </w:r>
      <w:r w:rsidR="00BE3309" w:rsidRPr="00121968">
        <w:rPr>
          <w:rFonts w:cs="Arial"/>
          <w:sz w:val="24"/>
          <w:szCs w:val="24"/>
        </w:rPr>
        <w:t>ct were not adhered to.</w:t>
      </w:r>
    </w:p>
    <w:p w14:paraId="2502A465" w14:textId="35C44AB5" w:rsidR="00BE3309" w:rsidRPr="00121968" w:rsidRDefault="009D325A" w:rsidP="00121968">
      <w:pPr>
        <w:pStyle w:val="WLGLevel2"/>
        <w:numPr>
          <w:ilvl w:val="0"/>
          <w:numId w:val="0"/>
        </w:numPr>
        <w:spacing w:line="360" w:lineRule="auto"/>
        <w:ind w:left="1134" w:hanging="567"/>
        <w:rPr>
          <w:rFonts w:cs="Arial"/>
          <w:sz w:val="24"/>
          <w:szCs w:val="24"/>
        </w:rPr>
      </w:pPr>
      <w:r w:rsidRPr="00121968">
        <w:rPr>
          <w:rFonts w:cs="Arial"/>
          <w:sz w:val="24"/>
          <w:szCs w:val="24"/>
        </w:rPr>
        <w:t>8.2</w:t>
      </w:r>
      <w:r w:rsidRPr="00121968">
        <w:rPr>
          <w:rFonts w:cs="Arial"/>
          <w:sz w:val="24"/>
          <w:szCs w:val="24"/>
        </w:rPr>
        <w:tab/>
      </w:r>
      <w:r w:rsidR="00BE3309" w:rsidRPr="00121968">
        <w:rPr>
          <w:rFonts w:cs="Arial"/>
          <w:sz w:val="24"/>
          <w:szCs w:val="24"/>
        </w:rPr>
        <w:t>The defendants contended that the plaintiffs failed to annex a certificate of indebtedness signed by a director, company secretary, credit manager or internal accountant of the Trust or the Trust’s quantity surveyor or agent (as envisaged by clause 33.5</w:t>
      </w:r>
      <w:r w:rsidR="009409B5" w:rsidRPr="00121968">
        <w:rPr>
          <w:rFonts w:cs="Arial"/>
          <w:sz w:val="24"/>
          <w:szCs w:val="24"/>
        </w:rPr>
        <w:t xml:space="preserve"> of the lease</w:t>
      </w:r>
      <w:r w:rsidR="00BE3309" w:rsidRPr="00121968">
        <w:rPr>
          <w:rFonts w:cs="Arial"/>
          <w:sz w:val="24"/>
          <w:szCs w:val="24"/>
        </w:rPr>
        <w:t>).</w:t>
      </w:r>
    </w:p>
    <w:p w14:paraId="2B488B6B" w14:textId="2A1F4AF0" w:rsidR="00B91124" w:rsidRPr="00121968" w:rsidRDefault="009D325A" w:rsidP="00121968">
      <w:pPr>
        <w:pStyle w:val="WLGLevel2"/>
        <w:numPr>
          <w:ilvl w:val="0"/>
          <w:numId w:val="0"/>
        </w:numPr>
        <w:spacing w:line="360" w:lineRule="auto"/>
        <w:ind w:left="1134" w:hanging="567"/>
        <w:rPr>
          <w:rFonts w:cs="Arial"/>
          <w:sz w:val="24"/>
          <w:szCs w:val="24"/>
        </w:rPr>
      </w:pPr>
      <w:r w:rsidRPr="00121968">
        <w:rPr>
          <w:rFonts w:cs="Arial"/>
          <w:sz w:val="24"/>
          <w:szCs w:val="24"/>
        </w:rPr>
        <w:t>8.3</w:t>
      </w:r>
      <w:r w:rsidRPr="00121968">
        <w:rPr>
          <w:rFonts w:cs="Arial"/>
          <w:sz w:val="24"/>
          <w:szCs w:val="24"/>
        </w:rPr>
        <w:tab/>
      </w:r>
      <w:r w:rsidR="00B91124" w:rsidRPr="00121968">
        <w:rPr>
          <w:rFonts w:cs="Arial"/>
          <w:sz w:val="24"/>
          <w:szCs w:val="24"/>
        </w:rPr>
        <w:t>The defendants also contend that the suretyship does not comply with the formalities required of such an instrument.  The formalities are not identified in the plea.  The defendants do, however, plead that “</w:t>
      </w:r>
      <w:r w:rsidR="00B91124" w:rsidRPr="00121968">
        <w:rPr>
          <w:rFonts w:cs="Arial"/>
          <w:i/>
          <w:iCs/>
          <w:sz w:val="24"/>
          <w:szCs w:val="24"/>
        </w:rPr>
        <w:t>the deed of surety amounts to a credit guarantee</w:t>
      </w:r>
      <w:r w:rsidR="00B91124" w:rsidRPr="00121968">
        <w:rPr>
          <w:rFonts w:cs="Arial"/>
          <w:sz w:val="24"/>
          <w:szCs w:val="24"/>
        </w:rPr>
        <w:t>” and that “</w:t>
      </w:r>
      <w:r w:rsidR="00B91124" w:rsidRPr="00121968">
        <w:rPr>
          <w:rFonts w:cs="Arial"/>
          <w:i/>
          <w:iCs/>
          <w:sz w:val="24"/>
          <w:szCs w:val="24"/>
        </w:rPr>
        <w:t>therefore [it] is a credit agreement under the National Credit Act, 34 of 2005</w:t>
      </w:r>
      <w:r w:rsidR="00B91124" w:rsidRPr="00121968">
        <w:rPr>
          <w:rFonts w:cs="Arial"/>
          <w:sz w:val="24"/>
          <w:szCs w:val="24"/>
        </w:rPr>
        <w:t xml:space="preserve">” and that the formalities laid down in that </w:t>
      </w:r>
      <w:r w:rsidR="009467BC" w:rsidRPr="00121968">
        <w:rPr>
          <w:rFonts w:cs="Arial"/>
          <w:sz w:val="24"/>
          <w:szCs w:val="24"/>
        </w:rPr>
        <w:t>A</w:t>
      </w:r>
      <w:r w:rsidR="00B91124" w:rsidRPr="00121968">
        <w:rPr>
          <w:rFonts w:cs="Arial"/>
          <w:sz w:val="24"/>
          <w:szCs w:val="24"/>
        </w:rPr>
        <w:t>ct must have been complied with.  (The defendants also suggest that the terms of the lease</w:t>
      </w:r>
      <w:r w:rsidR="009467BC" w:rsidRPr="00121968">
        <w:rPr>
          <w:rFonts w:cs="Arial"/>
          <w:sz w:val="24"/>
          <w:szCs w:val="24"/>
        </w:rPr>
        <w:t>, in addition to the suretyship,</w:t>
      </w:r>
      <w:r w:rsidR="00B91124" w:rsidRPr="00121968">
        <w:rPr>
          <w:rFonts w:cs="Arial"/>
          <w:sz w:val="24"/>
          <w:szCs w:val="24"/>
        </w:rPr>
        <w:t xml:space="preserve"> were governed by the National Credit Act</w:t>
      </w:r>
      <w:r w:rsidR="009F4175" w:rsidRPr="00121968">
        <w:rPr>
          <w:rFonts w:cs="Arial"/>
          <w:sz w:val="24"/>
          <w:szCs w:val="24"/>
        </w:rPr>
        <w:t>, 34 of 2005</w:t>
      </w:r>
      <w:r w:rsidR="00B91124" w:rsidRPr="00121968">
        <w:rPr>
          <w:rFonts w:cs="Arial"/>
          <w:sz w:val="24"/>
          <w:szCs w:val="24"/>
        </w:rPr>
        <w:t>.)</w:t>
      </w:r>
    </w:p>
    <w:p w14:paraId="5E5F3C15" w14:textId="3D0D79F6" w:rsidR="009737FE"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[9]</w:t>
      </w:r>
      <w:r w:rsidRPr="00121968">
        <w:rPr>
          <w:rFonts w:cs="Arial"/>
          <w:sz w:val="24"/>
          <w:szCs w:val="24"/>
        </w:rPr>
        <w:tab/>
      </w:r>
      <w:r w:rsidR="00026A0F" w:rsidRPr="00121968">
        <w:rPr>
          <w:rFonts w:cs="Arial"/>
          <w:sz w:val="24"/>
          <w:szCs w:val="24"/>
        </w:rPr>
        <w:t xml:space="preserve">In its summary judgment application, </w:t>
      </w:r>
      <w:r w:rsidR="00CE6314" w:rsidRPr="00121968">
        <w:rPr>
          <w:rFonts w:cs="Arial"/>
          <w:sz w:val="24"/>
          <w:szCs w:val="24"/>
        </w:rPr>
        <w:t xml:space="preserve">the property manager of </w:t>
      </w:r>
      <w:r w:rsidR="00026A0F" w:rsidRPr="00121968">
        <w:rPr>
          <w:rFonts w:cs="Arial"/>
          <w:sz w:val="24"/>
          <w:szCs w:val="24"/>
        </w:rPr>
        <w:t xml:space="preserve">the Trust </w:t>
      </w:r>
      <w:r w:rsidR="00CE6314" w:rsidRPr="00121968">
        <w:rPr>
          <w:rFonts w:cs="Arial"/>
          <w:sz w:val="24"/>
          <w:szCs w:val="24"/>
        </w:rPr>
        <w:t xml:space="preserve">confirmed that the amount of R184 808.68 (comprising outstanding </w:t>
      </w:r>
      <w:r w:rsidR="00530AE6" w:rsidRPr="00121968">
        <w:rPr>
          <w:rFonts w:cs="Arial"/>
          <w:sz w:val="24"/>
          <w:szCs w:val="24"/>
        </w:rPr>
        <w:t xml:space="preserve">rental and other </w:t>
      </w:r>
      <w:r w:rsidR="00CE6314" w:rsidRPr="00121968">
        <w:rPr>
          <w:rFonts w:cs="Arial"/>
          <w:sz w:val="24"/>
          <w:szCs w:val="24"/>
        </w:rPr>
        <w:t>payments in terms of the lease</w:t>
      </w:r>
      <w:r w:rsidR="00530AE6" w:rsidRPr="00121968">
        <w:rPr>
          <w:rFonts w:cs="Arial"/>
          <w:sz w:val="24"/>
          <w:szCs w:val="24"/>
        </w:rPr>
        <w:t>, made up of the amounts contained in “DP4” to the summons</w:t>
      </w:r>
      <w:r w:rsidR="00CE6314" w:rsidRPr="00121968">
        <w:rPr>
          <w:rFonts w:cs="Arial"/>
          <w:sz w:val="24"/>
          <w:szCs w:val="24"/>
        </w:rPr>
        <w:t>)</w:t>
      </w:r>
      <w:r w:rsidR="00530AE6" w:rsidRPr="00121968">
        <w:rPr>
          <w:rFonts w:cs="Arial"/>
          <w:sz w:val="24"/>
          <w:szCs w:val="24"/>
        </w:rPr>
        <w:t xml:space="preserve"> remained outstanding and due and payable until the date of cancellation of the lease (which was September 2022).</w:t>
      </w:r>
      <w:r w:rsidR="00530AE6" w:rsidRPr="00121968">
        <w:rPr>
          <w:rStyle w:val="FootnoteReference"/>
          <w:rFonts w:cs="Arial"/>
          <w:sz w:val="24"/>
          <w:szCs w:val="24"/>
        </w:rPr>
        <w:footnoteReference w:id="4"/>
      </w:r>
      <w:r w:rsidR="00530AE6" w:rsidRPr="00121968">
        <w:rPr>
          <w:rFonts w:cs="Arial"/>
          <w:sz w:val="24"/>
          <w:szCs w:val="24"/>
        </w:rPr>
        <w:t xml:space="preserve">  </w:t>
      </w:r>
      <w:r w:rsidR="0074203C" w:rsidRPr="00121968">
        <w:rPr>
          <w:rFonts w:cs="Arial"/>
          <w:sz w:val="24"/>
          <w:szCs w:val="24"/>
        </w:rPr>
        <w:t xml:space="preserve">In support thereof, the property manager annexed a certificate of indebtedness in terms of clause 33.5 </w:t>
      </w:r>
      <w:r w:rsidR="009737FE" w:rsidRPr="00121968">
        <w:rPr>
          <w:rFonts w:cs="Arial"/>
          <w:sz w:val="24"/>
          <w:szCs w:val="24"/>
        </w:rPr>
        <w:t xml:space="preserve">to the summary judgment application confirming that, as at the date of issue of the summons (which coincides with the date of cancellation of the lease), the first defendant was indebted to the Trust in the amount of R184 808.68.  </w:t>
      </w:r>
      <w:r w:rsidR="00530AE6" w:rsidRPr="00121968">
        <w:rPr>
          <w:rFonts w:cs="Arial"/>
          <w:sz w:val="24"/>
          <w:szCs w:val="24"/>
        </w:rPr>
        <w:t xml:space="preserve">The deponent to the summary judgment application also pointed out why the </w:t>
      </w:r>
      <w:r w:rsidR="00CE6314" w:rsidRPr="00121968">
        <w:rPr>
          <w:rFonts w:cs="Arial"/>
          <w:sz w:val="24"/>
          <w:szCs w:val="24"/>
        </w:rPr>
        <w:t xml:space="preserve">defences </w:t>
      </w:r>
      <w:r w:rsidR="00530AE6" w:rsidRPr="00121968">
        <w:rPr>
          <w:rFonts w:cs="Arial"/>
          <w:sz w:val="24"/>
          <w:szCs w:val="24"/>
        </w:rPr>
        <w:t xml:space="preserve">raised in the plea were </w:t>
      </w:r>
      <w:r w:rsidR="00CE6314" w:rsidRPr="00121968">
        <w:rPr>
          <w:rFonts w:cs="Arial"/>
          <w:sz w:val="24"/>
          <w:szCs w:val="24"/>
        </w:rPr>
        <w:t xml:space="preserve">neither valid nor </w:t>
      </w:r>
      <w:r w:rsidR="00CE6314" w:rsidRPr="00121968">
        <w:rPr>
          <w:rFonts w:cs="Arial"/>
          <w:i/>
          <w:iCs/>
          <w:sz w:val="24"/>
          <w:szCs w:val="24"/>
        </w:rPr>
        <w:t>bona fide</w:t>
      </w:r>
      <w:r w:rsidR="009737FE" w:rsidRPr="00121968">
        <w:rPr>
          <w:rFonts w:cs="Arial"/>
          <w:sz w:val="24"/>
          <w:szCs w:val="24"/>
        </w:rPr>
        <w:t>.</w:t>
      </w:r>
      <w:r w:rsidR="00530AE6" w:rsidRPr="00121968">
        <w:rPr>
          <w:rFonts w:cs="Arial"/>
          <w:sz w:val="24"/>
          <w:szCs w:val="24"/>
        </w:rPr>
        <w:t xml:space="preserve"> </w:t>
      </w:r>
    </w:p>
    <w:p w14:paraId="0E0ECFDB" w14:textId="6A26EC6F" w:rsidR="00F83580"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[10]</w:t>
      </w:r>
      <w:r w:rsidRPr="00121968">
        <w:rPr>
          <w:rFonts w:cs="Arial"/>
          <w:sz w:val="24"/>
          <w:szCs w:val="24"/>
        </w:rPr>
        <w:tab/>
      </w:r>
      <w:r w:rsidR="00530AE6" w:rsidRPr="00121968">
        <w:rPr>
          <w:rFonts w:cs="Arial"/>
          <w:sz w:val="24"/>
          <w:szCs w:val="24"/>
        </w:rPr>
        <w:t xml:space="preserve">In </w:t>
      </w:r>
      <w:r w:rsidR="0074203C" w:rsidRPr="00121968">
        <w:rPr>
          <w:rFonts w:cs="Arial"/>
          <w:sz w:val="24"/>
          <w:szCs w:val="24"/>
        </w:rPr>
        <w:t xml:space="preserve">his </w:t>
      </w:r>
      <w:r w:rsidR="00530AE6" w:rsidRPr="00121968">
        <w:rPr>
          <w:rFonts w:cs="Arial"/>
          <w:sz w:val="24"/>
          <w:szCs w:val="24"/>
        </w:rPr>
        <w:t xml:space="preserve">affidavit opposing summary judgment, the second defendant </w:t>
      </w:r>
      <w:r w:rsidR="0074203C" w:rsidRPr="00121968">
        <w:rPr>
          <w:rFonts w:cs="Arial"/>
          <w:sz w:val="24"/>
          <w:szCs w:val="24"/>
        </w:rPr>
        <w:t>(answering both on his own behalf and on behalf of the first defendant) answers some of the allegations</w:t>
      </w:r>
      <w:r w:rsidR="009737FE" w:rsidRPr="00121968">
        <w:rPr>
          <w:rFonts w:cs="Arial"/>
          <w:sz w:val="24"/>
          <w:szCs w:val="24"/>
        </w:rPr>
        <w:t xml:space="preserve"> contained in the summary judgment application</w:t>
      </w:r>
      <w:r w:rsidR="0074203C" w:rsidRPr="00121968">
        <w:rPr>
          <w:rFonts w:cs="Arial"/>
          <w:sz w:val="24"/>
          <w:szCs w:val="24"/>
        </w:rPr>
        <w:t>.</w:t>
      </w:r>
      <w:r w:rsidR="007240B4" w:rsidRPr="00121968">
        <w:rPr>
          <w:rFonts w:cs="Arial"/>
          <w:sz w:val="24"/>
          <w:szCs w:val="24"/>
        </w:rPr>
        <w:t xml:space="preserve">  </w:t>
      </w:r>
      <w:r w:rsidR="0074203C" w:rsidRPr="00121968">
        <w:rPr>
          <w:rFonts w:cs="Arial"/>
          <w:sz w:val="24"/>
          <w:szCs w:val="24"/>
        </w:rPr>
        <w:t xml:space="preserve">As </w:t>
      </w:r>
      <w:r w:rsidR="006F7740" w:rsidRPr="00121968">
        <w:rPr>
          <w:rFonts w:cs="Arial"/>
          <w:sz w:val="24"/>
          <w:szCs w:val="24"/>
        </w:rPr>
        <w:t>indicated above</w:t>
      </w:r>
      <w:r w:rsidR="00CE6314" w:rsidRPr="00121968">
        <w:rPr>
          <w:rFonts w:cs="Arial"/>
          <w:sz w:val="24"/>
          <w:szCs w:val="24"/>
        </w:rPr>
        <w:t xml:space="preserve">, </w:t>
      </w:r>
      <w:r w:rsidR="0074203C" w:rsidRPr="00121968">
        <w:rPr>
          <w:rFonts w:cs="Arial"/>
          <w:sz w:val="24"/>
          <w:szCs w:val="24"/>
        </w:rPr>
        <w:t xml:space="preserve">the defendants </w:t>
      </w:r>
      <w:r w:rsidR="00554989" w:rsidRPr="00121968">
        <w:rPr>
          <w:rFonts w:cs="Arial"/>
          <w:sz w:val="24"/>
          <w:szCs w:val="24"/>
        </w:rPr>
        <w:t xml:space="preserve">did </w:t>
      </w:r>
      <w:r w:rsidR="0074203C" w:rsidRPr="00121968">
        <w:rPr>
          <w:rFonts w:cs="Arial"/>
          <w:sz w:val="24"/>
          <w:szCs w:val="24"/>
        </w:rPr>
        <w:t>not place</w:t>
      </w:r>
      <w:r w:rsidR="00554989" w:rsidRPr="00121968">
        <w:rPr>
          <w:rFonts w:cs="Arial"/>
          <w:sz w:val="24"/>
          <w:szCs w:val="24"/>
        </w:rPr>
        <w:t xml:space="preserve"> </w:t>
      </w:r>
      <w:r w:rsidR="0074203C" w:rsidRPr="00121968">
        <w:rPr>
          <w:rFonts w:cs="Arial"/>
          <w:sz w:val="24"/>
          <w:szCs w:val="24"/>
        </w:rPr>
        <w:t xml:space="preserve">in dispute the correctness of the </w:t>
      </w:r>
      <w:r w:rsidR="006F7740" w:rsidRPr="00121968">
        <w:rPr>
          <w:rFonts w:cs="Arial"/>
          <w:sz w:val="24"/>
          <w:szCs w:val="24"/>
        </w:rPr>
        <w:t xml:space="preserve">amounts claimed as falling due in terms of the written </w:t>
      </w:r>
      <w:r w:rsidR="0074203C" w:rsidRPr="00121968">
        <w:rPr>
          <w:rFonts w:cs="Arial"/>
          <w:sz w:val="24"/>
          <w:szCs w:val="24"/>
        </w:rPr>
        <w:t>lease</w:t>
      </w:r>
      <w:r w:rsidR="006F7740" w:rsidRPr="00121968">
        <w:rPr>
          <w:rFonts w:cs="Arial"/>
          <w:sz w:val="24"/>
          <w:szCs w:val="24"/>
        </w:rPr>
        <w:t>; the defendants merely sought clarification in relation thereto</w:t>
      </w:r>
      <w:r w:rsidR="00554989" w:rsidRPr="00121968">
        <w:rPr>
          <w:rFonts w:cs="Arial"/>
          <w:sz w:val="24"/>
          <w:szCs w:val="24"/>
        </w:rPr>
        <w:t xml:space="preserve">.  </w:t>
      </w:r>
      <w:r w:rsidR="006F7740" w:rsidRPr="00121968">
        <w:rPr>
          <w:rFonts w:cs="Arial"/>
          <w:sz w:val="24"/>
          <w:szCs w:val="24"/>
        </w:rPr>
        <w:t xml:space="preserve">The calculation of the outstanding amount of R184 808.68 is clearly set out in annexure “DP4”, was confirmed by the deponent in the affidavit filed in support of the application for summary judgment and accords with the amount reflected in the certificate of indebtedness annexed to the </w:t>
      </w:r>
      <w:r w:rsidR="00F83580" w:rsidRPr="00121968">
        <w:rPr>
          <w:rFonts w:cs="Arial"/>
          <w:sz w:val="24"/>
          <w:szCs w:val="24"/>
        </w:rPr>
        <w:t xml:space="preserve">summary judgment application.  </w:t>
      </w:r>
      <w:r w:rsidR="00554989" w:rsidRPr="00121968">
        <w:rPr>
          <w:rFonts w:cs="Arial"/>
          <w:sz w:val="24"/>
          <w:szCs w:val="24"/>
        </w:rPr>
        <w:t xml:space="preserve">Aside from </w:t>
      </w:r>
      <w:r w:rsidR="00F83580" w:rsidRPr="00121968">
        <w:rPr>
          <w:rFonts w:cs="Arial"/>
          <w:sz w:val="24"/>
          <w:szCs w:val="24"/>
        </w:rPr>
        <w:t xml:space="preserve">answering </w:t>
      </w:r>
      <w:r w:rsidR="00554989" w:rsidRPr="00121968">
        <w:rPr>
          <w:rFonts w:cs="Arial"/>
          <w:sz w:val="24"/>
          <w:szCs w:val="24"/>
        </w:rPr>
        <w:t xml:space="preserve">the allegation </w:t>
      </w:r>
      <w:r w:rsidR="00F83580" w:rsidRPr="00121968">
        <w:rPr>
          <w:rFonts w:cs="Arial"/>
          <w:sz w:val="24"/>
          <w:szCs w:val="24"/>
        </w:rPr>
        <w:t xml:space="preserve">in the plea </w:t>
      </w:r>
      <w:r w:rsidR="00554989" w:rsidRPr="00121968">
        <w:rPr>
          <w:rFonts w:cs="Arial"/>
          <w:sz w:val="24"/>
          <w:szCs w:val="24"/>
        </w:rPr>
        <w:t xml:space="preserve">that a certificate of indebtedness as envisaged in clause 33.5 was not annexed to the summons, </w:t>
      </w:r>
      <w:r w:rsidR="00F83580" w:rsidRPr="00121968">
        <w:rPr>
          <w:rFonts w:cs="Arial"/>
          <w:sz w:val="24"/>
          <w:szCs w:val="24"/>
        </w:rPr>
        <w:t>the certificate of indebtedness invokes the provisions of clause 33.5 to the effect that it</w:t>
      </w:r>
    </w:p>
    <w:p w14:paraId="19057FA3" w14:textId="3D6A6AD3" w:rsidR="00F83580" w:rsidRPr="00121968" w:rsidRDefault="00F83580" w:rsidP="00121968">
      <w:pPr>
        <w:pStyle w:val="WLGQuoteLevel1"/>
        <w:rPr>
          <w:rFonts w:cs="Arial"/>
          <w:sz w:val="24"/>
          <w:szCs w:val="24"/>
        </w:rPr>
      </w:pPr>
      <w:r w:rsidRPr="00121968">
        <w:rPr>
          <w:rFonts w:cs="Arial"/>
          <w:sz w:val="24"/>
          <w:szCs w:val="24"/>
        </w:rPr>
        <w:t>“… shall be apparent proof of the amount of any indebtedness owing by the [first defendant] to the [Trust] at any time and also of the fact that the due date of payment of the whole or, as the case may be, any portion of that amount has arrived”.</w:t>
      </w:r>
    </w:p>
    <w:p w14:paraId="71E3D115" w14:textId="77777777" w:rsidR="00F83580" w:rsidRPr="00121968" w:rsidRDefault="00F83580" w:rsidP="00121968">
      <w:pPr>
        <w:pStyle w:val="WLGQuoteLevel1"/>
        <w:rPr>
          <w:rFonts w:cs="Arial"/>
          <w:sz w:val="24"/>
          <w:szCs w:val="24"/>
        </w:rPr>
      </w:pPr>
    </w:p>
    <w:p w14:paraId="5653D5FC" w14:textId="408B8E16" w:rsidR="0047327B"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[11]</w:t>
      </w:r>
      <w:r w:rsidRPr="00121968">
        <w:rPr>
          <w:rFonts w:cs="Arial"/>
          <w:sz w:val="24"/>
          <w:szCs w:val="24"/>
        </w:rPr>
        <w:tab/>
      </w:r>
      <w:r w:rsidR="00F83580" w:rsidRPr="00121968">
        <w:rPr>
          <w:rFonts w:cs="Arial"/>
          <w:sz w:val="24"/>
          <w:szCs w:val="24"/>
        </w:rPr>
        <w:t xml:space="preserve">In the face </w:t>
      </w:r>
      <w:r w:rsidR="0047327B" w:rsidRPr="00121968">
        <w:rPr>
          <w:rFonts w:cs="Arial"/>
          <w:sz w:val="24"/>
          <w:szCs w:val="24"/>
        </w:rPr>
        <w:t>here</w:t>
      </w:r>
      <w:r w:rsidR="00F83580" w:rsidRPr="00121968">
        <w:rPr>
          <w:rFonts w:cs="Arial"/>
          <w:sz w:val="24"/>
          <w:szCs w:val="24"/>
        </w:rPr>
        <w:t xml:space="preserve">of, </w:t>
      </w:r>
      <w:r w:rsidR="00554989" w:rsidRPr="00121968">
        <w:rPr>
          <w:rFonts w:cs="Arial"/>
          <w:sz w:val="24"/>
          <w:szCs w:val="24"/>
        </w:rPr>
        <w:t xml:space="preserve">the </w:t>
      </w:r>
      <w:r w:rsidR="0074203C" w:rsidRPr="00121968">
        <w:rPr>
          <w:rFonts w:cs="Arial"/>
          <w:sz w:val="24"/>
          <w:szCs w:val="24"/>
        </w:rPr>
        <w:t xml:space="preserve">defendants </w:t>
      </w:r>
      <w:r w:rsidR="00554989" w:rsidRPr="00121968">
        <w:rPr>
          <w:rFonts w:cs="Arial"/>
          <w:sz w:val="24"/>
          <w:szCs w:val="24"/>
        </w:rPr>
        <w:t xml:space="preserve">do not </w:t>
      </w:r>
      <w:r w:rsidR="0074203C" w:rsidRPr="00121968">
        <w:rPr>
          <w:rFonts w:cs="Arial"/>
          <w:sz w:val="24"/>
          <w:szCs w:val="24"/>
        </w:rPr>
        <w:t xml:space="preserve">contend </w:t>
      </w:r>
      <w:r w:rsidR="00554989" w:rsidRPr="00121968">
        <w:rPr>
          <w:rFonts w:cs="Arial"/>
          <w:sz w:val="24"/>
          <w:szCs w:val="24"/>
        </w:rPr>
        <w:t>for a different calculation of the amounts due</w:t>
      </w:r>
      <w:r w:rsidR="00F83580" w:rsidRPr="00121968">
        <w:rPr>
          <w:rFonts w:cs="Arial"/>
          <w:sz w:val="24"/>
          <w:szCs w:val="24"/>
        </w:rPr>
        <w:t xml:space="preserve"> under the lease and have not challenged the correctness or validity of the certificate of indebtedness</w:t>
      </w:r>
      <w:r w:rsidR="00023E2F" w:rsidRPr="00121968">
        <w:rPr>
          <w:rFonts w:cs="Arial"/>
          <w:sz w:val="24"/>
          <w:szCs w:val="24"/>
        </w:rPr>
        <w:t xml:space="preserve"> in their affidavit opposing summary judgment</w:t>
      </w:r>
      <w:r w:rsidR="00554989" w:rsidRPr="00121968">
        <w:rPr>
          <w:rFonts w:cs="Arial"/>
          <w:sz w:val="24"/>
          <w:szCs w:val="24"/>
        </w:rPr>
        <w:t xml:space="preserve">.  </w:t>
      </w:r>
      <w:r w:rsidR="0047327B" w:rsidRPr="00121968">
        <w:rPr>
          <w:rFonts w:cs="Arial"/>
          <w:sz w:val="24"/>
          <w:szCs w:val="24"/>
        </w:rPr>
        <w:t>Nothing was placed before me to challenge the Trust’s calculation and claim for the outstanding payment of R184 808.68</w:t>
      </w:r>
      <w:r w:rsidR="009467BC" w:rsidRPr="00121968">
        <w:rPr>
          <w:rFonts w:cs="Arial"/>
          <w:sz w:val="24"/>
          <w:szCs w:val="24"/>
        </w:rPr>
        <w:t>, other than the alleged defences with reference to the Consumer Protection Act, the National Credit Act and the allegations in the plea that the terms of the lease were altered by oral agreement</w:t>
      </w:r>
      <w:r w:rsidR="0047327B" w:rsidRPr="00121968">
        <w:rPr>
          <w:rFonts w:cs="Arial"/>
          <w:sz w:val="24"/>
          <w:szCs w:val="24"/>
        </w:rPr>
        <w:t>.</w:t>
      </w:r>
    </w:p>
    <w:p w14:paraId="28865C36" w14:textId="7826A068" w:rsidR="0074203C"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[12]</w:t>
      </w:r>
      <w:r w:rsidRPr="00121968">
        <w:rPr>
          <w:rFonts w:cs="Arial"/>
          <w:sz w:val="24"/>
          <w:szCs w:val="24"/>
        </w:rPr>
        <w:tab/>
      </w:r>
      <w:r w:rsidR="00261003" w:rsidRPr="00121968">
        <w:rPr>
          <w:rFonts w:cs="Arial"/>
          <w:sz w:val="24"/>
          <w:szCs w:val="24"/>
        </w:rPr>
        <w:t>On this latter score, w</w:t>
      </w:r>
      <w:r w:rsidR="00F83580" w:rsidRPr="00121968">
        <w:rPr>
          <w:rFonts w:cs="Arial"/>
          <w:sz w:val="24"/>
          <w:szCs w:val="24"/>
        </w:rPr>
        <w:t xml:space="preserve">hilst in their plea </w:t>
      </w:r>
      <w:r w:rsidR="00554989" w:rsidRPr="00121968">
        <w:rPr>
          <w:rFonts w:cs="Arial"/>
          <w:sz w:val="24"/>
          <w:szCs w:val="24"/>
        </w:rPr>
        <w:t xml:space="preserve">the defendants allege </w:t>
      </w:r>
      <w:r w:rsidR="00F83580" w:rsidRPr="00121968">
        <w:rPr>
          <w:rFonts w:cs="Arial"/>
          <w:sz w:val="24"/>
          <w:szCs w:val="24"/>
        </w:rPr>
        <w:t xml:space="preserve">an agreement </w:t>
      </w:r>
      <w:r w:rsidR="0074203C" w:rsidRPr="00121968">
        <w:rPr>
          <w:rFonts w:cs="Arial"/>
          <w:sz w:val="24"/>
          <w:szCs w:val="24"/>
        </w:rPr>
        <w:t xml:space="preserve">that the amounts </w:t>
      </w:r>
      <w:r w:rsidR="00554989" w:rsidRPr="00121968">
        <w:rPr>
          <w:rFonts w:cs="Arial"/>
          <w:sz w:val="24"/>
          <w:szCs w:val="24"/>
        </w:rPr>
        <w:t xml:space="preserve">due under the lease </w:t>
      </w:r>
      <w:r w:rsidR="0074203C" w:rsidRPr="00121968">
        <w:rPr>
          <w:rFonts w:cs="Arial"/>
          <w:sz w:val="24"/>
          <w:szCs w:val="24"/>
        </w:rPr>
        <w:t>were to be reduced</w:t>
      </w:r>
      <w:r w:rsidR="00F83580" w:rsidRPr="00121968">
        <w:rPr>
          <w:rFonts w:cs="Arial"/>
          <w:sz w:val="24"/>
          <w:szCs w:val="24"/>
        </w:rPr>
        <w:t xml:space="preserve">, nothing </w:t>
      </w:r>
      <w:r w:rsidR="00261003" w:rsidRPr="00121968">
        <w:rPr>
          <w:rFonts w:cs="Arial"/>
          <w:sz w:val="24"/>
          <w:szCs w:val="24"/>
        </w:rPr>
        <w:t xml:space="preserve">was </w:t>
      </w:r>
      <w:r w:rsidR="00F83580" w:rsidRPr="00121968">
        <w:rPr>
          <w:rFonts w:cs="Arial"/>
          <w:sz w:val="24"/>
          <w:szCs w:val="24"/>
        </w:rPr>
        <w:t xml:space="preserve">said about </w:t>
      </w:r>
      <w:r w:rsidR="0047327B" w:rsidRPr="00121968">
        <w:rPr>
          <w:rFonts w:cs="Arial"/>
          <w:sz w:val="24"/>
          <w:szCs w:val="24"/>
        </w:rPr>
        <w:t xml:space="preserve">the </w:t>
      </w:r>
      <w:r w:rsidR="00F83580" w:rsidRPr="00121968">
        <w:rPr>
          <w:rFonts w:cs="Arial"/>
          <w:sz w:val="24"/>
          <w:szCs w:val="24"/>
        </w:rPr>
        <w:t xml:space="preserve">defence in the </w:t>
      </w:r>
      <w:r w:rsidR="00023E2F" w:rsidRPr="00121968">
        <w:rPr>
          <w:rFonts w:cs="Arial"/>
          <w:sz w:val="24"/>
          <w:szCs w:val="24"/>
        </w:rPr>
        <w:t>affidavit</w:t>
      </w:r>
      <w:r w:rsidR="00F83580" w:rsidRPr="00121968">
        <w:rPr>
          <w:rFonts w:cs="Arial"/>
          <w:sz w:val="24"/>
          <w:szCs w:val="24"/>
        </w:rPr>
        <w:t xml:space="preserve"> opposing summary judgment</w:t>
      </w:r>
      <w:r w:rsidR="0074203C" w:rsidRPr="00121968">
        <w:rPr>
          <w:rFonts w:cs="Arial"/>
          <w:sz w:val="24"/>
          <w:szCs w:val="24"/>
        </w:rPr>
        <w:t xml:space="preserve">.  </w:t>
      </w:r>
      <w:r w:rsidR="00023E2F" w:rsidRPr="00121968">
        <w:rPr>
          <w:rFonts w:cs="Arial"/>
          <w:sz w:val="24"/>
          <w:szCs w:val="24"/>
        </w:rPr>
        <w:t xml:space="preserve">There </w:t>
      </w:r>
      <w:r w:rsidR="00261003" w:rsidRPr="00121968">
        <w:rPr>
          <w:rFonts w:cs="Arial"/>
          <w:sz w:val="24"/>
          <w:szCs w:val="24"/>
        </w:rPr>
        <w:t xml:space="preserve">was </w:t>
      </w:r>
      <w:r w:rsidR="00023E2F" w:rsidRPr="00121968">
        <w:rPr>
          <w:rFonts w:cs="Arial"/>
          <w:sz w:val="24"/>
          <w:szCs w:val="24"/>
        </w:rPr>
        <w:t xml:space="preserve">no indication </w:t>
      </w:r>
      <w:r w:rsidR="00261003" w:rsidRPr="00121968">
        <w:rPr>
          <w:rFonts w:cs="Arial"/>
          <w:sz w:val="24"/>
          <w:szCs w:val="24"/>
        </w:rPr>
        <w:t xml:space="preserve">as to </w:t>
      </w:r>
      <w:r w:rsidR="00023E2F" w:rsidRPr="00121968">
        <w:rPr>
          <w:rFonts w:cs="Arial"/>
          <w:sz w:val="24"/>
          <w:szCs w:val="24"/>
        </w:rPr>
        <w:t xml:space="preserve">what the outstanding amount due to the Trust ought to be, </w:t>
      </w:r>
      <w:r w:rsidR="0047327B" w:rsidRPr="00121968">
        <w:rPr>
          <w:rFonts w:cs="Arial"/>
          <w:sz w:val="24"/>
          <w:szCs w:val="24"/>
        </w:rPr>
        <w:t>other than the amount of R184 808.68 claimed by the Trust</w:t>
      </w:r>
      <w:r w:rsidR="00023E2F" w:rsidRPr="00121968">
        <w:rPr>
          <w:rFonts w:cs="Arial"/>
          <w:sz w:val="24"/>
          <w:szCs w:val="24"/>
        </w:rPr>
        <w:t>.</w:t>
      </w:r>
      <w:r w:rsidR="00C340FE" w:rsidRPr="00121968">
        <w:rPr>
          <w:rFonts w:cs="Arial"/>
          <w:sz w:val="24"/>
          <w:szCs w:val="24"/>
        </w:rPr>
        <w:t xml:space="preserve">  </w:t>
      </w:r>
      <w:r w:rsidR="0047327B" w:rsidRPr="00121968">
        <w:rPr>
          <w:rFonts w:cs="Arial"/>
          <w:sz w:val="24"/>
          <w:szCs w:val="24"/>
        </w:rPr>
        <w:t>N</w:t>
      </w:r>
      <w:r w:rsidR="00C340FE" w:rsidRPr="00121968">
        <w:rPr>
          <w:rFonts w:cs="Arial"/>
          <w:sz w:val="24"/>
          <w:szCs w:val="24"/>
        </w:rPr>
        <w:t>o</w:t>
      </w:r>
      <w:r w:rsidR="00261003" w:rsidRPr="00121968">
        <w:rPr>
          <w:rFonts w:cs="Arial"/>
          <w:sz w:val="24"/>
          <w:szCs w:val="24"/>
        </w:rPr>
        <w:t>t</w:t>
      </w:r>
      <w:r w:rsidR="00C340FE" w:rsidRPr="00121968">
        <w:rPr>
          <w:rFonts w:cs="Arial"/>
          <w:sz w:val="24"/>
          <w:szCs w:val="24"/>
        </w:rPr>
        <w:t xml:space="preserve"> </w:t>
      </w:r>
      <w:r w:rsidR="00261003" w:rsidRPr="00121968">
        <w:rPr>
          <w:rFonts w:cs="Arial"/>
          <w:sz w:val="24"/>
          <w:szCs w:val="24"/>
        </w:rPr>
        <w:t xml:space="preserve">only was no </w:t>
      </w:r>
      <w:r w:rsidR="00C340FE" w:rsidRPr="00121968">
        <w:rPr>
          <w:rFonts w:cs="Arial"/>
          <w:sz w:val="24"/>
          <w:szCs w:val="24"/>
        </w:rPr>
        <w:t xml:space="preserve">evidence presented before me to challenge the correctness of </w:t>
      </w:r>
      <w:r w:rsidR="0047327B" w:rsidRPr="00121968">
        <w:rPr>
          <w:rFonts w:cs="Arial"/>
          <w:sz w:val="24"/>
          <w:szCs w:val="24"/>
        </w:rPr>
        <w:t>this amount</w:t>
      </w:r>
      <w:r w:rsidR="00261003" w:rsidRPr="00121968">
        <w:rPr>
          <w:rFonts w:cs="Arial"/>
          <w:sz w:val="24"/>
          <w:szCs w:val="24"/>
        </w:rPr>
        <w:t xml:space="preserve">, but the </w:t>
      </w:r>
      <w:r w:rsidR="0037180A" w:rsidRPr="00121968">
        <w:rPr>
          <w:rFonts w:cs="Arial"/>
          <w:sz w:val="24"/>
          <w:szCs w:val="24"/>
        </w:rPr>
        <w:t>defendants also did not challenge the validity or correctness of the certificate of indebtedness annexed to the summary judgment application</w:t>
      </w:r>
      <w:r w:rsidR="00261003" w:rsidRPr="00121968">
        <w:rPr>
          <w:rFonts w:cs="Arial"/>
          <w:sz w:val="24"/>
          <w:szCs w:val="24"/>
        </w:rPr>
        <w:t>,</w:t>
      </w:r>
      <w:r w:rsidR="0037180A" w:rsidRPr="00121968">
        <w:rPr>
          <w:rFonts w:cs="Arial"/>
          <w:sz w:val="24"/>
          <w:szCs w:val="24"/>
        </w:rPr>
        <w:t xml:space="preserve"> and seemingly abandoned the special plea </w:t>
      </w:r>
      <w:r w:rsidR="00261003" w:rsidRPr="00121968">
        <w:rPr>
          <w:rFonts w:cs="Arial"/>
          <w:sz w:val="24"/>
          <w:szCs w:val="24"/>
        </w:rPr>
        <w:t xml:space="preserve">regarding </w:t>
      </w:r>
      <w:r w:rsidR="0037180A" w:rsidRPr="00121968">
        <w:rPr>
          <w:rFonts w:cs="Arial"/>
          <w:sz w:val="24"/>
          <w:szCs w:val="24"/>
        </w:rPr>
        <w:t>the certificate of indebtedness.</w:t>
      </w:r>
    </w:p>
    <w:p w14:paraId="4365F827" w14:textId="790D5988" w:rsidR="0047327B"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[13]</w:t>
      </w:r>
      <w:r w:rsidRPr="00121968">
        <w:rPr>
          <w:rFonts w:cs="Arial"/>
          <w:sz w:val="24"/>
          <w:szCs w:val="24"/>
        </w:rPr>
        <w:tab/>
      </w:r>
      <w:r w:rsidR="0047327B" w:rsidRPr="00121968">
        <w:rPr>
          <w:rFonts w:cs="Arial"/>
          <w:sz w:val="24"/>
          <w:szCs w:val="24"/>
        </w:rPr>
        <w:t xml:space="preserve">The lack of any allegations in the opposing affidavit disputing the calculation of the amount of R184 808.68 aside, the defence in the plea to the effect that the payment terms of the lease had been altered, is met with the </w:t>
      </w:r>
      <w:r w:rsidR="00C00459" w:rsidRPr="00121968">
        <w:rPr>
          <w:rFonts w:cs="Arial"/>
          <w:sz w:val="24"/>
          <w:szCs w:val="24"/>
        </w:rPr>
        <w:t xml:space="preserve">following hurdle in </w:t>
      </w:r>
      <w:r w:rsidR="0047327B" w:rsidRPr="00121968">
        <w:rPr>
          <w:rFonts w:cs="Arial"/>
          <w:sz w:val="24"/>
          <w:szCs w:val="24"/>
        </w:rPr>
        <w:t>clause 39.1</w:t>
      </w:r>
      <w:r w:rsidR="00C00459" w:rsidRPr="00121968">
        <w:rPr>
          <w:rFonts w:cs="Arial"/>
          <w:sz w:val="24"/>
          <w:szCs w:val="24"/>
        </w:rPr>
        <w:t xml:space="preserve"> of the lease</w:t>
      </w:r>
      <w:r w:rsidR="0047327B" w:rsidRPr="00121968">
        <w:rPr>
          <w:rFonts w:cs="Arial"/>
          <w:sz w:val="24"/>
          <w:szCs w:val="24"/>
        </w:rPr>
        <w:t>:</w:t>
      </w:r>
    </w:p>
    <w:p w14:paraId="257EFC9D" w14:textId="525B9003" w:rsidR="0047327B" w:rsidRPr="00121968" w:rsidRDefault="0047327B" w:rsidP="00121968">
      <w:pPr>
        <w:pStyle w:val="WLGQuoteLevel1"/>
        <w:rPr>
          <w:rFonts w:cs="Arial"/>
          <w:sz w:val="24"/>
          <w:szCs w:val="24"/>
        </w:rPr>
      </w:pPr>
      <w:r w:rsidRPr="00121968">
        <w:rPr>
          <w:rFonts w:cs="Arial"/>
          <w:sz w:val="24"/>
          <w:szCs w:val="24"/>
        </w:rPr>
        <w:t>“</w:t>
      </w:r>
      <w:r w:rsidR="00C00459" w:rsidRPr="00121968">
        <w:rPr>
          <w:rFonts w:cs="Arial"/>
          <w:sz w:val="24"/>
          <w:szCs w:val="24"/>
        </w:rPr>
        <w:t>This lease incorporates the entire agreement between the [Trust] and the [first defendant] and no alteration, consensual cancellation or variation hereof shall be of any force or effect unless it is in writing and signed by both the [Trust] and the [first defendant] who hereby acknowledge that no representations or warranties have been made by either the [Trust] or the [first defendant], nor are there understandings or terms of lease, other than those set out herein.”</w:t>
      </w:r>
    </w:p>
    <w:p w14:paraId="1CF6D753" w14:textId="77777777" w:rsidR="00C00459" w:rsidRPr="00121968" w:rsidRDefault="00C00459" w:rsidP="00121968">
      <w:pPr>
        <w:pStyle w:val="WLGQuoteLevel1"/>
        <w:rPr>
          <w:rFonts w:cs="Arial"/>
          <w:sz w:val="24"/>
          <w:szCs w:val="24"/>
        </w:rPr>
      </w:pPr>
    </w:p>
    <w:p w14:paraId="1224F69D" w14:textId="37400F10" w:rsidR="00C00459"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[14]</w:t>
      </w:r>
      <w:r w:rsidRPr="00121968">
        <w:rPr>
          <w:rFonts w:cs="Arial"/>
          <w:sz w:val="24"/>
          <w:szCs w:val="24"/>
        </w:rPr>
        <w:tab/>
      </w:r>
      <w:r w:rsidR="00261003" w:rsidRPr="00121968">
        <w:rPr>
          <w:rFonts w:cs="Arial"/>
          <w:sz w:val="24"/>
          <w:szCs w:val="24"/>
        </w:rPr>
        <w:t xml:space="preserve">There was no allegation and no evidence to the effect that the terms of the lease were altered in writing and signed on behalf of both the Trust and the first defendant.  </w:t>
      </w:r>
      <w:r w:rsidR="00C00459" w:rsidRPr="00121968">
        <w:rPr>
          <w:rFonts w:cs="Arial"/>
          <w:sz w:val="24"/>
          <w:szCs w:val="24"/>
        </w:rPr>
        <w:t xml:space="preserve">The notion put forward by the defendants in their plea to the effect that the Trust accepted reduced payments of rental, despite being met with opposition in the application for summary judgment (and not disputed in the affidavit opposing summary judgment), </w:t>
      </w:r>
      <w:r w:rsidR="00261003" w:rsidRPr="00121968">
        <w:rPr>
          <w:rFonts w:cs="Arial"/>
          <w:sz w:val="24"/>
          <w:szCs w:val="24"/>
        </w:rPr>
        <w:t xml:space="preserve">does not suffice for purposes of establishing a variation to the lease.  Moreover, that allegation </w:t>
      </w:r>
      <w:r w:rsidR="00C00459" w:rsidRPr="00121968">
        <w:rPr>
          <w:rFonts w:cs="Arial"/>
          <w:sz w:val="24"/>
          <w:szCs w:val="24"/>
        </w:rPr>
        <w:t>is also met with the following contractual hurdle in clause 39.2 of the lease:</w:t>
      </w:r>
    </w:p>
    <w:p w14:paraId="6ACC6112" w14:textId="331E0921" w:rsidR="00C00459" w:rsidRPr="00121968" w:rsidRDefault="00C00459" w:rsidP="00121968">
      <w:pPr>
        <w:pStyle w:val="WLGQuoteLevel1"/>
        <w:rPr>
          <w:rFonts w:cs="Arial"/>
          <w:sz w:val="24"/>
          <w:szCs w:val="24"/>
        </w:rPr>
      </w:pPr>
      <w:r w:rsidRPr="00121968">
        <w:rPr>
          <w:rFonts w:cs="Arial"/>
          <w:sz w:val="24"/>
          <w:szCs w:val="24"/>
        </w:rPr>
        <w:t>“No relaxation or indulgence which the [Trust] may show to the [first defendant] shall in any way prejudice the [Trust’s] rights hereunder and, in particular, no acceptance by the [Trust] of rent after due date (whether on one or more occasions) nor any other act or omission by the [Trust] Including, without limitation, the rendering of accounts after due date, shall preclude or stop it from exercising any rights enjoyed by it hereunder by reason of any subsequent payment not being made strictly on due date. Unless otherwise stated by the [first defendant] in writing, the receipt by the [Trust] or its agents of any rent or other payment shall in no way whatsoever prejudice or operate as a waiver, rescission or abandonment of any cancellation or right of cancellation effected or acquired prior to such receipt. The [Trust] shall be entitled in its sole discretion to appropriate any amounts received from the [first defendant] towards the payment of any cause, debt or amount whatsoever owed by the [first defendant] to the [Trust].”</w:t>
      </w:r>
    </w:p>
    <w:p w14:paraId="1847C5FD" w14:textId="77777777" w:rsidR="00C00459" w:rsidRPr="00121968" w:rsidRDefault="00C00459" w:rsidP="00121968">
      <w:pPr>
        <w:pStyle w:val="WLGQuoteLevel1"/>
        <w:rPr>
          <w:rFonts w:cs="Arial"/>
          <w:sz w:val="24"/>
          <w:szCs w:val="24"/>
        </w:rPr>
      </w:pPr>
    </w:p>
    <w:p w14:paraId="3207646A" w14:textId="63FDABCB" w:rsidR="0074203C"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[15]</w:t>
      </w:r>
      <w:r w:rsidRPr="00121968">
        <w:rPr>
          <w:rFonts w:cs="Arial"/>
          <w:sz w:val="24"/>
          <w:szCs w:val="24"/>
        </w:rPr>
        <w:tab/>
      </w:r>
      <w:r w:rsidR="00D261D6" w:rsidRPr="00121968">
        <w:rPr>
          <w:rFonts w:cs="Arial"/>
          <w:sz w:val="24"/>
          <w:szCs w:val="24"/>
        </w:rPr>
        <w:t xml:space="preserve">In short, there was no evidence before me and no plausible case made out to suggest that the terms of the lease were altered; accordingly, payment thereunder falls due in accordance with the written provisions of the lease.  That leaves only the defences pertaining to the Consumer Protection Act and the National Credit Act and the points </w:t>
      </w:r>
      <w:r w:rsidR="00D261D6" w:rsidRPr="00121968">
        <w:rPr>
          <w:rFonts w:cs="Arial"/>
          <w:i/>
          <w:iCs/>
          <w:sz w:val="24"/>
          <w:szCs w:val="24"/>
        </w:rPr>
        <w:t>in limine</w:t>
      </w:r>
      <w:r w:rsidR="00D261D6" w:rsidRPr="00121968">
        <w:rPr>
          <w:rFonts w:cs="Arial"/>
          <w:sz w:val="24"/>
          <w:szCs w:val="24"/>
        </w:rPr>
        <w:t xml:space="preserve"> raised in the opposing affidavit.  </w:t>
      </w:r>
      <w:r w:rsidR="00234703" w:rsidRPr="00121968">
        <w:rPr>
          <w:rFonts w:cs="Arial"/>
          <w:sz w:val="24"/>
          <w:szCs w:val="24"/>
        </w:rPr>
        <w:t>Each of these are considered below.</w:t>
      </w:r>
    </w:p>
    <w:p w14:paraId="52FF3193" w14:textId="5F639A89" w:rsidR="00A33655"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[16]</w:t>
      </w:r>
      <w:r w:rsidRPr="00121968">
        <w:rPr>
          <w:rFonts w:cs="Arial"/>
          <w:sz w:val="24"/>
          <w:szCs w:val="24"/>
        </w:rPr>
        <w:tab/>
      </w:r>
      <w:r w:rsidR="00234703" w:rsidRPr="00121968">
        <w:rPr>
          <w:rFonts w:cs="Arial"/>
          <w:sz w:val="24"/>
          <w:szCs w:val="24"/>
        </w:rPr>
        <w:t xml:space="preserve">The points raised </w:t>
      </w:r>
      <w:r w:rsidR="00234703" w:rsidRPr="00121968">
        <w:rPr>
          <w:rFonts w:cs="Arial"/>
          <w:i/>
          <w:iCs/>
          <w:sz w:val="24"/>
          <w:szCs w:val="24"/>
        </w:rPr>
        <w:t>in limine</w:t>
      </w:r>
      <w:r w:rsidR="00234703" w:rsidRPr="00121968">
        <w:rPr>
          <w:rFonts w:cs="Arial"/>
          <w:sz w:val="24"/>
          <w:szCs w:val="24"/>
        </w:rPr>
        <w:t xml:space="preserve"> relate to the fact that the deponent was not a trustee of the Trust and that he does not allege in his opposing affidavit that he was authorised to depose to the affidavit on behalf of the Trust and no resolution by the Trust is annexed to illustrate that he has authority.</w:t>
      </w:r>
      <w:r w:rsidR="00F63ED3" w:rsidRPr="00121968">
        <w:rPr>
          <w:rFonts w:cs="Arial"/>
          <w:sz w:val="24"/>
          <w:szCs w:val="24"/>
        </w:rPr>
        <w:t xml:space="preserve">  In this matter, the summary judgment application was brought by the plaintiffs’ attorney of record.  The authority of the plaintiffs’ attorney was not challenged in terms of Rule 7 of the High Court Rules.  There is no need for a deponent presenting evidence in support of an application, instituted by an authorised attorney of record, to have authority to do so in addition to the authority of the plaintiffs’ attorney.  (See in this regard </w:t>
      </w:r>
      <w:r w:rsidR="00F63ED3" w:rsidRPr="00121968">
        <w:rPr>
          <w:rFonts w:cs="Arial"/>
          <w:i/>
          <w:iCs/>
          <w:sz w:val="24"/>
          <w:szCs w:val="24"/>
        </w:rPr>
        <w:t>Eskom v Soweto City Council</w:t>
      </w:r>
      <w:r w:rsidR="00F63ED3" w:rsidRPr="00121968">
        <w:rPr>
          <w:rFonts w:cs="Arial"/>
          <w:sz w:val="24"/>
          <w:szCs w:val="24"/>
        </w:rPr>
        <w:t xml:space="preserve"> 1992 (2) SA 703 (W) at 705F to 706C, as confirmed in </w:t>
      </w:r>
      <w:r w:rsidR="00F63ED3" w:rsidRPr="00121968">
        <w:rPr>
          <w:rFonts w:cs="Arial"/>
          <w:i/>
          <w:iCs/>
          <w:sz w:val="24"/>
          <w:szCs w:val="24"/>
        </w:rPr>
        <w:t>Ganes and another v Telecom Namibia Ltd</w:t>
      </w:r>
      <w:r w:rsidR="00F63ED3" w:rsidRPr="00121968">
        <w:rPr>
          <w:rFonts w:cs="Arial"/>
          <w:sz w:val="24"/>
          <w:szCs w:val="24"/>
        </w:rPr>
        <w:t xml:space="preserve"> 2004 (3) SA 615 (SCA) at para [19].)  It follows that there is no merit in the points in </w:t>
      </w:r>
      <w:r w:rsidR="00F63ED3" w:rsidRPr="00121968">
        <w:rPr>
          <w:rFonts w:cs="Arial"/>
          <w:i/>
          <w:iCs/>
          <w:sz w:val="24"/>
          <w:szCs w:val="24"/>
        </w:rPr>
        <w:t xml:space="preserve">limine </w:t>
      </w:r>
      <w:r w:rsidR="00F63ED3" w:rsidRPr="00121968">
        <w:rPr>
          <w:rFonts w:cs="Arial"/>
          <w:sz w:val="24"/>
          <w:szCs w:val="24"/>
        </w:rPr>
        <w:t xml:space="preserve">raised by the </w:t>
      </w:r>
      <w:r w:rsidR="00FD3B4D" w:rsidRPr="00121968">
        <w:rPr>
          <w:rFonts w:cs="Arial"/>
          <w:sz w:val="24"/>
          <w:szCs w:val="24"/>
        </w:rPr>
        <w:t>defendants.</w:t>
      </w:r>
    </w:p>
    <w:p w14:paraId="4B4440D6" w14:textId="590A7B80" w:rsidR="00F63ED3"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[17]</w:t>
      </w:r>
      <w:r w:rsidRPr="00121968">
        <w:rPr>
          <w:rFonts w:cs="Arial"/>
          <w:sz w:val="24"/>
          <w:szCs w:val="24"/>
        </w:rPr>
        <w:tab/>
      </w:r>
      <w:r w:rsidR="00FD3B4D" w:rsidRPr="00121968">
        <w:rPr>
          <w:rFonts w:cs="Arial"/>
          <w:sz w:val="24"/>
          <w:szCs w:val="24"/>
        </w:rPr>
        <w:t xml:space="preserve">Whilst it is plain from the </w:t>
      </w:r>
      <w:r w:rsidR="00362E57" w:rsidRPr="00121968">
        <w:rPr>
          <w:rFonts w:cs="Arial"/>
          <w:sz w:val="24"/>
          <w:szCs w:val="24"/>
        </w:rPr>
        <w:t xml:space="preserve">face of the </w:t>
      </w:r>
      <w:r w:rsidR="00FD3B4D" w:rsidRPr="00121968">
        <w:rPr>
          <w:rFonts w:cs="Arial"/>
          <w:sz w:val="24"/>
          <w:szCs w:val="24"/>
        </w:rPr>
        <w:t xml:space="preserve">lease (annexed to the summons marked “DP3”) that </w:t>
      </w:r>
      <w:r w:rsidR="00362E57" w:rsidRPr="00121968">
        <w:rPr>
          <w:rFonts w:cs="Arial"/>
          <w:sz w:val="24"/>
          <w:szCs w:val="24"/>
        </w:rPr>
        <w:t xml:space="preserve">it was not signed by all four the trustees (the defendants alleging that it was </w:t>
      </w:r>
      <w:r w:rsidR="00FD3B4D" w:rsidRPr="00121968">
        <w:rPr>
          <w:rFonts w:cs="Arial"/>
          <w:sz w:val="24"/>
          <w:szCs w:val="24"/>
        </w:rPr>
        <w:t xml:space="preserve">only </w:t>
      </w:r>
      <w:r w:rsidR="00362E57" w:rsidRPr="00121968">
        <w:rPr>
          <w:rFonts w:cs="Arial"/>
          <w:sz w:val="24"/>
          <w:szCs w:val="24"/>
        </w:rPr>
        <w:t xml:space="preserve">signed by </w:t>
      </w:r>
      <w:r w:rsidR="00FD3B4D" w:rsidRPr="00121968">
        <w:rPr>
          <w:rFonts w:cs="Arial"/>
          <w:sz w:val="24"/>
          <w:szCs w:val="24"/>
        </w:rPr>
        <w:t>the second plaintiff</w:t>
      </w:r>
      <w:r w:rsidR="00362E57" w:rsidRPr="00121968">
        <w:rPr>
          <w:rFonts w:cs="Arial"/>
          <w:sz w:val="24"/>
          <w:szCs w:val="24"/>
        </w:rPr>
        <w:t>)</w:t>
      </w:r>
      <w:r w:rsidR="00FD3B4D" w:rsidRPr="00121968">
        <w:rPr>
          <w:rFonts w:cs="Arial"/>
          <w:sz w:val="24"/>
          <w:szCs w:val="24"/>
        </w:rPr>
        <w:t xml:space="preserve">, </w:t>
      </w:r>
      <w:r w:rsidR="00362E57" w:rsidRPr="00121968">
        <w:rPr>
          <w:rFonts w:cs="Arial"/>
          <w:sz w:val="24"/>
          <w:szCs w:val="24"/>
        </w:rPr>
        <w:t xml:space="preserve">the </w:t>
      </w:r>
      <w:r w:rsidR="00FD3B4D" w:rsidRPr="00121968">
        <w:rPr>
          <w:rFonts w:cs="Arial"/>
          <w:sz w:val="24"/>
          <w:szCs w:val="24"/>
        </w:rPr>
        <w:t xml:space="preserve">authority </w:t>
      </w:r>
      <w:r w:rsidR="00362E57" w:rsidRPr="00121968">
        <w:rPr>
          <w:rFonts w:cs="Arial"/>
          <w:sz w:val="24"/>
          <w:szCs w:val="24"/>
        </w:rPr>
        <w:t xml:space="preserve">of the signatory of the lease </w:t>
      </w:r>
      <w:r w:rsidR="00FD3B4D" w:rsidRPr="00121968">
        <w:rPr>
          <w:rFonts w:cs="Arial"/>
          <w:sz w:val="24"/>
          <w:szCs w:val="24"/>
        </w:rPr>
        <w:t xml:space="preserve">to represent the Trust was not challenged in the plea.  </w:t>
      </w:r>
      <w:r w:rsidR="00362E57" w:rsidRPr="00121968">
        <w:rPr>
          <w:rFonts w:cs="Arial"/>
          <w:sz w:val="24"/>
          <w:szCs w:val="24"/>
        </w:rPr>
        <w:t>(The only allegation was that the signature on behalf of the Trust of the lease was not witnessed.)</w:t>
      </w:r>
      <w:r w:rsidR="00362E57" w:rsidRPr="00121968">
        <w:rPr>
          <w:rStyle w:val="FootnoteReference"/>
          <w:rFonts w:cs="Arial"/>
          <w:sz w:val="24"/>
          <w:szCs w:val="24"/>
        </w:rPr>
        <w:footnoteReference w:id="5"/>
      </w:r>
      <w:r w:rsidR="00362E57" w:rsidRPr="00121968">
        <w:rPr>
          <w:rFonts w:cs="Arial"/>
          <w:sz w:val="24"/>
          <w:szCs w:val="24"/>
        </w:rPr>
        <w:t xml:space="preserve">  </w:t>
      </w:r>
      <w:r w:rsidR="00FD3B4D" w:rsidRPr="00121968">
        <w:rPr>
          <w:rFonts w:cs="Arial"/>
          <w:sz w:val="24"/>
          <w:szCs w:val="24"/>
        </w:rPr>
        <w:t>Moreover, as already indicated, there can be no question that the Trust intended to enter into an agreement with the first defendant on the terms set out in “DP3”</w:t>
      </w:r>
      <w:r w:rsidR="00362E57" w:rsidRPr="00121968">
        <w:rPr>
          <w:rFonts w:cs="Arial"/>
          <w:sz w:val="24"/>
          <w:szCs w:val="24"/>
        </w:rPr>
        <w:t xml:space="preserve">, nor </w:t>
      </w:r>
      <w:r w:rsidR="00FD2C2A" w:rsidRPr="00121968">
        <w:rPr>
          <w:rFonts w:cs="Arial"/>
          <w:sz w:val="24"/>
          <w:szCs w:val="24"/>
        </w:rPr>
        <w:t xml:space="preserve">have </w:t>
      </w:r>
      <w:r w:rsidR="00362E57" w:rsidRPr="00121968">
        <w:rPr>
          <w:rFonts w:cs="Arial"/>
          <w:sz w:val="24"/>
          <w:szCs w:val="24"/>
        </w:rPr>
        <w:t>the defendants suggested otherwise</w:t>
      </w:r>
      <w:r w:rsidR="00FD3B4D" w:rsidRPr="00121968">
        <w:rPr>
          <w:rFonts w:cs="Arial"/>
          <w:sz w:val="24"/>
          <w:szCs w:val="24"/>
        </w:rPr>
        <w:t xml:space="preserve">.  </w:t>
      </w:r>
      <w:r w:rsidR="00362E57" w:rsidRPr="00121968">
        <w:rPr>
          <w:rFonts w:cs="Arial"/>
          <w:sz w:val="24"/>
          <w:szCs w:val="24"/>
        </w:rPr>
        <w:t xml:space="preserve">The </w:t>
      </w:r>
      <w:r w:rsidR="00FD3B4D" w:rsidRPr="00121968">
        <w:rPr>
          <w:rFonts w:cs="Arial"/>
          <w:sz w:val="24"/>
          <w:szCs w:val="24"/>
        </w:rPr>
        <w:t>Trust performed in terms of the lease</w:t>
      </w:r>
      <w:r w:rsidR="00FD2C2A" w:rsidRPr="00121968">
        <w:rPr>
          <w:rFonts w:cs="Arial"/>
          <w:sz w:val="24"/>
          <w:szCs w:val="24"/>
        </w:rPr>
        <w:t>,</w:t>
      </w:r>
      <w:r w:rsidR="00362E57" w:rsidRPr="00121968">
        <w:rPr>
          <w:rFonts w:cs="Arial"/>
          <w:sz w:val="24"/>
          <w:szCs w:val="24"/>
        </w:rPr>
        <w:t xml:space="preserve"> gave </w:t>
      </w:r>
      <w:r w:rsidR="00FD3B4D" w:rsidRPr="00121968">
        <w:rPr>
          <w:rFonts w:cs="Arial"/>
          <w:sz w:val="24"/>
          <w:szCs w:val="24"/>
        </w:rPr>
        <w:t>occupation of the premises to the first defendant in accordance with the lease</w:t>
      </w:r>
      <w:r w:rsidR="00FD2C2A" w:rsidRPr="00121968">
        <w:rPr>
          <w:rFonts w:cs="Arial"/>
          <w:sz w:val="24"/>
          <w:szCs w:val="24"/>
        </w:rPr>
        <w:t>, received payment in terms of the lease</w:t>
      </w:r>
      <w:r w:rsidR="00FD3B4D" w:rsidRPr="00121968">
        <w:rPr>
          <w:rFonts w:cs="Arial"/>
          <w:sz w:val="24"/>
          <w:szCs w:val="24"/>
        </w:rPr>
        <w:t xml:space="preserve"> and </w:t>
      </w:r>
      <w:r w:rsidR="00362E57" w:rsidRPr="00121968">
        <w:rPr>
          <w:rFonts w:cs="Arial"/>
          <w:sz w:val="24"/>
          <w:szCs w:val="24"/>
        </w:rPr>
        <w:t xml:space="preserve">sought </w:t>
      </w:r>
      <w:r w:rsidR="00FD3B4D" w:rsidRPr="00121968">
        <w:rPr>
          <w:rFonts w:cs="Arial"/>
          <w:sz w:val="24"/>
          <w:szCs w:val="24"/>
        </w:rPr>
        <w:t xml:space="preserve">payment </w:t>
      </w:r>
      <w:r w:rsidR="00FD2C2A" w:rsidRPr="00121968">
        <w:rPr>
          <w:rFonts w:cs="Arial"/>
          <w:sz w:val="24"/>
          <w:szCs w:val="24"/>
        </w:rPr>
        <w:t xml:space="preserve">of outstanding amounts due in terms </w:t>
      </w:r>
      <w:r w:rsidR="00FD3B4D" w:rsidRPr="00121968">
        <w:rPr>
          <w:rFonts w:cs="Arial"/>
          <w:sz w:val="24"/>
          <w:szCs w:val="24"/>
        </w:rPr>
        <w:t>of the lease</w:t>
      </w:r>
      <w:r w:rsidR="00FD2C2A" w:rsidRPr="00121968">
        <w:rPr>
          <w:rFonts w:cs="Arial"/>
          <w:sz w:val="24"/>
          <w:szCs w:val="24"/>
        </w:rPr>
        <w:t xml:space="preserve"> from the first defendant and instituted proceedings in terms of</w:t>
      </w:r>
      <w:r w:rsidR="00A32DAB" w:rsidRPr="00121968">
        <w:rPr>
          <w:rFonts w:cs="Arial"/>
          <w:sz w:val="24"/>
          <w:szCs w:val="24"/>
        </w:rPr>
        <w:t xml:space="preserve"> </w:t>
      </w:r>
      <w:r w:rsidR="00FD2C2A" w:rsidRPr="00121968">
        <w:rPr>
          <w:rFonts w:cs="Arial"/>
          <w:sz w:val="24"/>
          <w:szCs w:val="24"/>
        </w:rPr>
        <w:t>the lease</w:t>
      </w:r>
      <w:r w:rsidR="00FD3B4D" w:rsidRPr="00121968">
        <w:rPr>
          <w:rFonts w:cs="Arial"/>
          <w:sz w:val="24"/>
          <w:szCs w:val="24"/>
        </w:rPr>
        <w:t xml:space="preserve">.  </w:t>
      </w:r>
      <w:r w:rsidR="00362E57" w:rsidRPr="00121968">
        <w:rPr>
          <w:rFonts w:cs="Arial"/>
          <w:sz w:val="24"/>
          <w:szCs w:val="24"/>
        </w:rPr>
        <w:t xml:space="preserve">There can be no question that the Trust considered its commercial relationship with the first defendant </w:t>
      </w:r>
      <w:r w:rsidR="005B6031" w:rsidRPr="00121968">
        <w:rPr>
          <w:rFonts w:cs="Arial"/>
          <w:sz w:val="24"/>
          <w:szCs w:val="24"/>
        </w:rPr>
        <w:t xml:space="preserve">to be </w:t>
      </w:r>
      <w:r w:rsidR="00362E57" w:rsidRPr="00121968">
        <w:rPr>
          <w:rFonts w:cs="Arial"/>
          <w:sz w:val="24"/>
          <w:szCs w:val="24"/>
        </w:rPr>
        <w:t xml:space="preserve">regulated by the </w:t>
      </w:r>
      <w:r w:rsidR="005B6031" w:rsidRPr="00121968">
        <w:rPr>
          <w:rFonts w:cs="Arial"/>
          <w:sz w:val="24"/>
          <w:szCs w:val="24"/>
        </w:rPr>
        <w:t xml:space="preserve">terms of the </w:t>
      </w:r>
      <w:r w:rsidR="00362E57" w:rsidRPr="00121968">
        <w:rPr>
          <w:rFonts w:cs="Arial"/>
          <w:sz w:val="24"/>
          <w:szCs w:val="24"/>
        </w:rPr>
        <w:t xml:space="preserve">lease.  As such, the failure by the three remining trustees to sign the lease neither invalidates the lease nor suggests that the second plaintiff was not authorised to enter into the lease on behalf of the Trust.  There is no merit in </w:t>
      </w:r>
      <w:r w:rsidR="00A32DAB" w:rsidRPr="00121968">
        <w:rPr>
          <w:rFonts w:cs="Arial"/>
          <w:sz w:val="24"/>
          <w:szCs w:val="24"/>
        </w:rPr>
        <w:t xml:space="preserve">the </w:t>
      </w:r>
      <w:r w:rsidR="00362E57" w:rsidRPr="00121968">
        <w:rPr>
          <w:rFonts w:cs="Arial"/>
          <w:sz w:val="24"/>
          <w:szCs w:val="24"/>
        </w:rPr>
        <w:t>defence</w:t>
      </w:r>
      <w:r w:rsidR="00A32DAB" w:rsidRPr="00121968">
        <w:rPr>
          <w:rFonts w:cs="Arial"/>
          <w:sz w:val="24"/>
          <w:szCs w:val="24"/>
        </w:rPr>
        <w:t xml:space="preserve"> raised by the defendants</w:t>
      </w:r>
      <w:r w:rsidR="005B6031" w:rsidRPr="00121968">
        <w:rPr>
          <w:rFonts w:cs="Arial"/>
          <w:sz w:val="24"/>
          <w:szCs w:val="24"/>
        </w:rPr>
        <w:t xml:space="preserve"> and no evidence in support of the contention was contained in the opposing affidavit</w:t>
      </w:r>
      <w:r w:rsidR="00362E57" w:rsidRPr="00121968">
        <w:rPr>
          <w:rFonts w:cs="Arial"/>
          <w:sz w:val="24"/>
          <w:szCs w:val="24"/>
        </w:rPr>
        <w:t>.</w:t>
      </w:r>
    </w:p>
    <w:p w14:paraId="2D4AF6B3" w14:textId="140C2144" w:rsidR="00A33655"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[18]</w:t>
      </w:r>
      <w:r w:rsidRPr="00121968">
        <w:rPr>
          <w:rFonts w:cs="Arial"/>
          <w:sz w:val="24"/>
          <w:szCs w:val="24"/>
        </w:rPr>
        <w:tab/>
      </w:r>
      <w:r w:rsidR="00A32DAB" w:rsidRPr="00121968">
        <w:rPr>
          <w:rFonts w:cs="Arial"/>
          <w:sz w:val="24"/>
          <w:szCs w:val="24"/>
        </w:rPr>
        <w:t xml:space="preserve">The allegation by the defendants that the lease </w:t>
      </w:r>
      <w:r w:rsidR="005B6031" w:rsidRPr="00121968">
        <w:rPr>
          <w:rFonts w:cs="Arial"/>
          <w:sz w:val="24"/>
          <w:szCs w:val="24"/>
        </w:rPr>
        <w:t xml:space="preserve">was </w:t>
      </w:r>
      <w:r w:rsidR="00A32DAB" w:rsidRPr="00121968">
        <w:rPr>
          <w:rFonts w:cs="Arial"/>
          <w:sz w:val="24"/>
          <w:szCs w:val="24"/>
        </w:rPr>
        <w:t xml:space="preserve">regulated by the provisions of the </w:t>
      </w:r>
      <w:r w:rsidR="00362E57" w:rsidRPr="00121968">
        <w:rPr>
          <w:rFonts w:cs="Arial"/>
          <w:sz w:val="24"/>
          <w:szCs w:val="24"/>
        </w:rPr>
        <w:t xml:space="preserve">National Credit Act </w:t>
      </w:r>
      <w:r w:rsidR="005B6031" w:rsidRPr="00121968">
        <w:rPr>
          <w:rFonts w:cs="Arial"/>
          <w:sz w:val="24"/>
          <w:szCs w:val="24"/>
        </w:rPr>
        <w:t xml:space="preserve">are </w:t>
      </w:r>
      <w:r w:rsidR="00A32DAB" w:rsidRPr="00121968">
        <w:rPr>
          <w:rFonts w:cs="Arial"/>
          <w:sz w:val="24"/>
          <w:szCs w:val="24"/>
        </w:rPr>
        <w:t>without merit.  The Act specifically excludes</w:t>
      </w:r>
      <w:r w:rsidR="009F4175" w:rsidRPr="00121968">
        <w:rPr>
          <w:rFonts w:cs="Arial"/>
          <w:sz w:val="24"/>
          <w:szCs w:val="24"/>
        </w:rPr>
        <w:t xml:space="preserve"> in section 8(2)(b) thereof its operation in relation to lease agreements in respect of immovable property</w:t>
      </w:r>
      <w:r w:rsidR="00164189" w:rsidRPr="00121968">
        <w:rPr>
          <w:rFonts w:cs="Arial"/>
          <w:sz w:val="24"/>
          <w:szCs w:val="24"/>
        </w:rPr>
        <w:t>.  It provides as follows</w:t>
      </w:r>
    </w:p>
    <w:p w14:paraId="03BED3B4" w14:textId="77777777" w:rsidR="009F4175" w:rsidRPr="00121968" w:rsidRDefault="009F4175" w:rsidP="00121968">
      <w:pPr>
        <w:pStyle w:val="WLGQuoteLevel1"/>
        <w:rPr>
          <w:rFonts w:cs="Arial"/>
          <w:sz w:val="24"/>
          <w:szCs w:val="24"/>
          <w:lang w:eastAsia="en-GB"/>
        </w:rPr>
      </w:pPr>
      <w:r w:rsidRPr="00121968">
        <w:rPr>
          <w:rFonts w:cs="Arial"/>
          <w:sz w:val="24"/>
          <w:szCs w:val="24"/>
        </w:rPr>
        <w:t>“An agreement, irrespective of its form, is not a credit agreement if it is—</w:t>
      </w:r>
    </w:p>
    <w:p w14:paraId="4ACC4927" w14:textId="77777777" w:rsidR="009F4175" w:rsidRPr="00121968" w:rsidRDefault="009F4175" w:rsidP="00121968">
      <w:pPr>
        <w:pStyle w:val="WLGQuoteLevel1"/>
        <w:numPr>
          <w:ilvl w:val="0"/>
          <w:numId w:val="3"/>
        </w:numPr>
        <w:rPr>
          <w:rFonts w:cs="Arial"/>
          <w:sz w:val="24"/>
          <w:szCs w:val="24"/>
        </w:rPr>
      </w:pPr>
      <w:r w:rsidRPr="00121968">
        <w:rPr>
          <w:rFonts w:cs="Arial"/>
          <w:sz w:val="24"/>
          <w:szCs w:val="24"/>
        </w:rPr>
        <w:t>a policy of insurance or credit extended by an insurer solely to maintain the payment of premiums on a policy of insurance;</w:t>
      </w:r>
    </w:p>
    <w:p w14:paraId="1A1F2FD1" w14:textId="77777777" w:rsidR="009F4175" w:rsidRPr="00121968" w:rsidRDefault="009F4175" w:rsidP="00121968">
      <w:pPr>
        <w:pStyle w:val="WLGQuoteLevel1"/>
        <w:numPr>
          <w:ilvl w:val="0"/>
          <w:numId w:val="3"/>
        </w:numPr>
        <w:rPr>
          <w:rFonts w:cs="Arial"/>
          <w:sz w:val="24"/>
          <w:szCs w:val="24"/>
        </w:rPr>
      </w:pPr>
      <w:r w:rsidRPr="00121968">
        <w:rPr>
          <w:rFonts w:cs="Arial"/>
          <w:sz w:val="24"/>
          <w:szCs w:val="24"/>
          <w:u w:val="single"/>
        </w:rPr>
        <w:t>a lease of immovable property</w:t>
      </w:r>
      <w:r w:rsidRPr="00121968">
        <w:rPr>
          <w:rFonts w:cs="Arial"/>
          <w:sz w:val="24"/>
          <w:szCs w:val="24"/>
        </w:rPr>
        <w:t>; or</w:t>
      </w:r>
    </w:p>
    <w:p w14:paraId="0ED373D7" w14:textId="41E6C417" w:rsidR="009F4175" w:rsidRPr="00121968" w:rsidRDefault="009F4175" w:rsidP="00121968">
      <w:pPr>
        <w:pStyle w:val="WLGQuoteLevel1"/>
        <w:numPr>
          <w:ilvl w:val="0"/>
          <w:numId w:val="3"/>
        </w:numPr>
        <w:rPr>
          <w:rFonts w:cs="Arial"/>
          <w:sz w:val="24"/>
          <w:szCs w:val="24"/>
        </w:rPr>
      </w:pPr>
      <w:r w:rsidRPr="00121968">
        <w:rPr>
          <w:rFonts w:cs="Arial"/>
          <w:sz w:val="24"/>
          <w:szCs w:val="24"/>
        </w:rPr>
        <w:t>a transaction between a stokvel and a member of that stokvel in accordance with the rules of that stokvel.</w:t>
      </w:r>
      <w:r w:rsidR="0045782A" w:rsidRPr="00121968">
        <w:rPr>
          <w:rFonts w:cs="Arial"/>
          <w:sz w:val="24"/>
          <w:szCs w:val="24"/>
        </w:rPr>
        <w:t>”</w:t>
      </w:r>
    </w:p>
    <w:p w14:paraId="3223873F" w14:textId="77777777" w:rsidR="0045782A" w:rsidRPr="00121968" w:rsidRDefault="0045782A" w:rsidP="00121968">
      <w:pPr>
        <w:pStyle w:val="WLGQuoteLevel1"/>
        <w:rPr>
          <w:rFonts w:cs="Arial"/>
          <w:sz w:val="24"/>
          <w:szCs w:val="24"/>
        </w:rPr>
      </w:pPr>
    </w:p>
    <w:p w14:paraId="4E257A8E" w14:textId="1ED95B76" w:rsidR="00661892"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[19]</w:t>
      </w:r>
      <w:r w:rsidRPr="00121968">
        <w:rPr>
          <w:rFonts w:cs="Arial"/>
          <w:sz w:val="24"/>
          <w:szCs w:val="24"/>
        </w:rPr>
        <w:tab/>
      </w:r>
      <w:r w:rsidR="0045782A" w:rsidRPr="00121968">
        <w:rPr>
          <w:rFonts w:cs="Arial"/>
          <w:sz w:val="24"/>
          <w:szCs w:val="24"/>
        </w:rPr>
        <w:t>As such, there is no merit in the allegation that the lease was a credit agreement as contemplated in the National Credit Act.  By virtue of the Act having no application to the lease, it also has no application to the security issued by the second defendant for the due performance by the first defendant in terms of the lease.</w:t>
      </w:r>
      <w:r w:rsidR="00725180" w:rsidRPr="00121968">
        <w:rPr>
          <w:rFonts w:cs="Arial"/>
          <w:sz w:val="24"/>
          <w:szCs w:val="24"/>
        </w:rPr>
        <w:t xml:space="preserve">  In this regard section 8(5) of the National Credit Act provides that</w:t>
      </w:r>
    </w:p>
    <w:p w14:paraId="180783E8" w14:textId="587B1603" w:rsidR="00661892" w:rsidRPr="00121968" w:rsidRDefault="00725180" w:rsidP="00121968">
      <w:pPr>
        <w:pStyle w:val="WLGQuoteLevel1"/>
        <w:rPr>
          <w:rFonts w:cs="Arial"/>
          <w:sz w:val="24"/>
          <w:szCs w:val="24"/>
        </w:rPr>
      </w:pPr>
      <w:r w:rsidRPr="00121968">
        <w:rPr>
          <w:rFonts w:cs="Arial"/>
          <w:sz w:val="24"/>
          <w:szCs w:val="24"/>
        </w:rPr>
        <w:t>“An agreement, irrespective of its form but not including an agreement contemplated in</w:t>
      </w:r>
      <w:r w:rsidRPr="00121968">
        <w:rPr>
          <w:rStyle w:val="apple-converted-space"/>
          <w:rFonts w:cs="Arial"/>
          <w:sz w:val="24"/>
          <w:szCs w:val="24"/>
        </w:rPr>
        <w:t xml:space="preserve"> </w:t>
      </w:r>
      <w:hyperlink r:id="rId9" w:anchor="g7o" w:history="1">
        <w:r w:rsidRPr="00121968">
          <w:rPr>
            <w:rFonts w:cs="Arial"/>
            <w:sz w:val="24"/>
            <w:szCs w:val="24"/>
          </w:rPr>
          <w:t>subsection</w:t>
        </w:r>
        <w:r w:rsidRPr="00121968">
          <w:rPr>
            <w:rStyle w:val="Hyperlink"/>
            <w:rFonts w:cs="Arial"/>
            <w:color w:val="auto"/>
            <w:sz w:val="24"/>
            <w:szCs w:val="24"/>
            <w:u w:val="none"/>
          </w:rPr>
          <w:t xml:space="preserve"> (2)</w:t>
        </w:r>
      </w:hyperlink>
      <w:r w:rsidRPr="00121968">
        <w:rPr>
          <w:rFonts w:cs="Arial"/>
          <w:sz w:val="24"/>
          <w:szCs w:val="24"/>
        </w:rPr>
        <w:t xml:space="preserve">, constitutes a credit guarantee if, in terms of that agreement, a person undertakes or promises to satisfy upon demand any obligation of another consumer </w:t>
      </w:r>
      <w:r w:rsidRPr="00121968">
        <w:rPr>
          <w:rFonts w:cs="Arial"/>
          <w:sz w:val="24"/>
          <w:szCs w:val="24"/>
          <w:u w:val="single"/>
        </w:rPr>
        <w:t>in terms of a credit facility or a credit transaction to which this Act applies</w:t>
      </w:r>
      <w:r w:rsidRPr="00121968">
        <w:rPr>
          <w:rFonts w:cs="Arial"/>
          <w:sz w:val="24"/>
          <w:szCs w:val="24"/>
        </w:rPr>
        <w:t>.” [emphasis added]</w:t>
      </w:r>
    </w:p>
    <w:p w14:paraId="2D8237DB" w14:textId="77777777" w:rsidR="00725180" w:rsidRPr="00121968" w:rsidRDefault="00725180" w:rsidP="00121968">
      <w:pPr>
        <w:pStyle w:val="WLGQuoteLevel1"/>
        <w:rPr>
          <w:rFonts w:cs="Arial"/>
          <w:sz w:val="24"/>
          <w:szCs w:val="24"/>
        </w:rPr>
      </w:pPr>
    </w:p>
    <w:p w14:paraId="24475E45" w14:textId="11865068" w:rsidR="00725180"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[20]</w:t>
      </w:r>
      <w:r w:rsidRPr="00121968">
        <w:rPr>
          <w:rFonts w:cs="Arial"/>
          <w:sz w:val="24"/>
          <w:szCs w:val="24"/>
        </w:rPr>
        <w:tab/>
      </w:r>
      <w:r w:rsidR="00164189" w:rsidRPr="00121968">
        <w:rPr>
          <w:rFonts w:cs="Arial"/>
          <w:sz w:val="24"/>
          <w:szCs w:val="24"/>
        </w:rPr>
        <w:t xml:space="preserve">By implication, to the extent that the Act does not apply to a credit transaction, it also does not apply to the promise to satisfy any obligation of a consumer in relation to a credit transaction.  To place this issue beyond doubt, </w:t>
      </w:r>
      <w:r w:rsidR="00725180" w:rsidRPr="00121968">
        <w:rPr>
          <w:rFonts w:cs="Arial"/>
          <w:sz w:val="24"/>
          <w:szCs w:val="24"/>
        </w:rPr>
        <w:t xml:space="preserve">section </w:t>
      </w:r>
      <w:r w:rsidR="00164189" w:rsidRPr="00121968">
        <w:rPr>
          <w:rFonts w:cs="Arial"/>
          <w:sz w:val="24"/>
          <w:szCs w:val="24"/>
        </w:rPr>
        <w:t>4</w:t>
      </w:r>
      <w:r w:rsidR="00725180" w:rsidRPr="00121968">
        <w:rPr>
          <w:rFonts w:cs="Arial"/>
          <w:sz w:val="24"/>
          <w:szCs w:val="24"/>
        </w:rPr>
        <w:t>(2)(</w:t>
      </w:r>
      <w:r w:rsidR="00164189" w:rsidRPr="00121968">
        <w:rPr>
          <w:rFonts w:cs="Arial"/>
          <w:sz w:val="24"/>
          <w:szCs w:val="24"/>
        </w:rPr>
        <w:t>c</w:t>
      </w:r>
      <w:r w:rsidR="00725180" w:rsidRPr="00121968">
        <w:rPr>
          <w:rFonts w:cs="Arial"/>
          <w:sz w:val="24"/>
          <w:szCs w:val="24"/>
        </w:rPr>
        <w:t xml:space="preserve">) of the Act provides that </w:t>
      </w:r>
    </w:p>
    <w:p w14:paraId="2FD1BFF2" w14:textId="1DB74A84" w:rsidR="009441F0" w:rsidRPr="00121968" w:rsidRDefault="009E0B38" w:rsidP="00121968">
      <w:pPr>
        <w:pStyle w:val="WLGQuoteLevel1"/>
        <w:rPr>
          <w:rFonts w:cs="Arial"/>
          <w:sz w:val="24"/>
          <w:szCs w:val="24"/>
        </w:rPr>
      </w:pPr>
      <w:r w:rsidRPr="00121968">
        <w:rPr>
          <w:rFonts w:cs="Arial"/>
          <w:sz w:val="24"/>
          <w:szCs w:val="24"/>
        </w:rPr>
        <w:t>“this Act applies to a credit guarantee only to the extent that this Act applies to a credit facility or credit transaction in respect of which the credit guarantee is granted</w:t>
      </w:r>
      <w:r w:rsidR="00725180" w:rsidRPr="00121968">
        <w:rPr>
          <w:rFonts w:cs="Arial"/>
          <w:sz w:val="24"/>
          <w:szCs w:val="24"/>
        </w:rPr>
        <w:t>”.</w:t>
      </w:r>
    </w:p>
    <w:p w14:paraId="12A35BC7" w14:textId="77777777" w:rsidR="00725180" w:rsidRPr="00121968" w:rsidRDefault="00725180" w:rsidP="00121968">
      <w:pPr>
        <w:pStyle w:val="WLGQuoteLevel1"/>
        <w:rPr>
          <w:rFonts w:cs="Arial"/>
          <w:sz w:val="24"/>
          <w:szCs w:val="24"/>
        </w:rPr>
      </w:pPr>
    </w:p>
    <w:p w14:paraId="181DAE60" w14:textId="6C629FE7" w:rsidR="00B90961" w:rsidRPr="00121968" w:rsidRDefault="009D325A" w:rsidP="00121968">
      <w:pPr>
        <w:pStyle w:val="WLGLevel1"/>
        <w:numPr>
          <w:ilvl w:val="0"/>
          <w:numId w:val="0"/>
        </w:numPr>
        <w:spacing w:line="360" w:lineRule="auto"/>
        <w:ind w:left="567" w:hanging="567"/>
        <w:rPr>
          <w:rFonts w:cs="Arial"/>
          <w:sz w:val="24"/>
          <w:szCs w:val="24"/>
          <w:lang w:val="en-GB"/>
        </w:rPr>
      </w:pPr>
      <w:r w:rsidRPr="00121968">
        <w:rPr>
          <w:rFonts w:cs="Arial"/>
          <w:sz w:val="24"/>
          <w:szCs w:val="24"/>
          <w:lang w:val="en-GB"/>
        </w:rPr>
        <w:t>[21]</w:t>
      </w:r>
      <w:r w:rsidRPr="00121968">
        <w:rPr>
          <w:rFonts w:cs="Arial"/>
          <w:sz w:val="24"/>
          <w:szCs w:val="24"/>
          <w:lang w:val="en-GB"/>
        </w:rPr>
        <w:tab/>
      </w:r>
      <w:r w:rsidR="00164189" w:rsidRPr="00121968">
        <w:rPr>
          <w:rFonts w:cs="Arial"/>
          <w:sz w:val="24"/>
          <w:szCs w:val="24"/>
          <w:lang w:val="en-GB"/>
        </w:rPr>
        <w:t xml:space="preserve">It follows that neither </w:t>
      </w:r>
      <w:r w:rsidR="00725180" w:rsidRPr="00121968">
        <w:rPr>
          <w:rFonts w:cs="Arial"/>
          <w:sz w:val="24"/>
          <w:szCs w:val="24"/>
          <w:lang w:val="en-GB"/>
        </w:rPr>
        <w:t xml:space="preserve">the lease </w:t>
      </w:r>
      <w:r w:rsidR="00164189" w:rsidRPr="00121968">
        <w:rPr>
          <w:rFonts w:cs="Arial"/>
          <w:sz w:val="24"/>
          <w:szCs w:val="24"/>
          <w:lang w:val="en-GB"/>
        </w:rPr>
        <w:t xml:space="preserve">concluded between the Trust and the first defendant, nor the suretyship concluded between the second defendant and the Trust </w:t>
      </w:r>
      <w:r w:rsidR="005B6031" w:rsidRPr="00121968">
        <w:rPr>
          <w:rFonts w:cs="Arial"/>
          <w:sz w:val="24"/>
          <w:szCs w:val="24"/>
          <w:lang w:val="en-GB"/>
        </w:rPr>
        <w:t xml:space="preserve">was </w:t>
      </w:r>
      <w:r w:rsidR="00725180" w:rsidRPr="00121968">
        <w:rPr>
          <w:rFonts w:cs="Arial"/>
          <w:sz w:val="24"/>
          <w:szCs w:val="24"/>
          <w:lang w:val="en-GB"/>
        </w:rPr>
        <w:t>governed by the National Credit Act.  The allegations regarding the application of the National Credit Act are accordingly without merit and the validity and enforceability of both the lease and the suretyship are unaffected thereby.</w:t>
      </w:r>
    </w:p>
    <w:p w14:paraId="7AFFADA2" w14:textId="25ED9E7A" w:rsidR="00391465"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lang w:val="en-GB"/>
        </w:rPr>
        <w:t>[22]</w:t>
      </w:r>
      <w:r w:rsidRPr="00121968">
        <w:rPr>
          <w:rFonts w:cs="Arial"/>
          <w:sz w:val="24"/>
          <w:szCs w:val="24"/>
          <w:lang w:val="en-GB"/>
        </w:rPr>
        <w:tab/>
      </w:r>
      <w:r w:rsidR="00635944" w:rsidRPr="00121968">
        <w:rPr>
          <w:rFonts w:cs="Arial"/>
          <w:sz w:val="24"/>
          <w:szCs w:val="24"/>
          <w:lang w:val="en-GB"/>
        </w:rPr>
        <w:t>As far as the alleged application of the Consumer Protection Act</w:t>
      </w:r>
      <w:r w:rsidR="005B6031" w:rsidRPr="00121968">
        <w:rPr>
          <w:rFonts w:cs="Arial"/>
          <w:sz w:val="24"/>
          <w:szCs w:val="24"/>
          <w:lang w:val="en-GB"/>
        </w:rPr>
        <w:t xml:space="preserve"> </w:t>
      </w:r>
      <w:r w:rsidR="00635944" w:rsidRPr="00121968">
        <w:rPr>
          <w:rFonts w:cs="Arial"/>
          <w:sz w:val="24"/>
          <w:szCs w:val="24"/>
          <w:lang w:val="en-GB"/>
        </w:rPr>
        <w:t xml:space="preserve">is concerned, </w:t>
      </w:r>
      <w:r w:rsidR="00030BE0" w:rsidRPr="00121968">
        <w:rPr>
          <w:rFonts w:cs="Arial"/>
          <w:sz w:val="24"/>
          <w:szCs w:val="24"/>
          <w:lang w:val="en-GB"/>
        </w:rPr>
        <w:t xml:space="preserve">the requisite facts to bring the defendants within the reach of its provisions were not alleged in the opposing affidavit.  </w:t>
      </w:r>
      <w:r w:rsidR="00391465" w:rsidRPr="00121968">
        <w:rPr>
          <w:rFonts w:cs="Arial"/>
          <w:sz w:val="24"/>
          <w:szCs w:val="24"/>
          <w:lang w:val="en-GB"/>
        </w:rPr>
        <w:t xml:space="preserve">Section 5(1)(a) of the Consumer Protection Act extends its reach to every </w:t>
      </w:r>
      <w:r w:rsidR="00391465" w:rsidRPr="00121968">
        <w:rPr>
          <w:rFonts w:cs="Arial"/>
          <w:sz w:val="24"/>
          <w:szCs w:val="24"/>
        </w:rPr>
        <w:t>transaction occurring within the Republic, unless the transaction is exempted by</w:t>
      </w:r>
      <w:r w:rsidR="00391465" w:rsidRPr="00121968">
        <w:rPr>
          <w:rStyle w:val="apple-converted-space"/>
          <w:rFonts w:cs="Arial"/>
          <w:sz w:val="24"/>
          <w:szCs w:val="24"/>
        </w:rPr>
        <w:t xml:space="preserve"> </w:t>
      </w:r>
      <w:hyperlink r:id="rId10" w:anchor="g6t" w:history="1">
        <w:r w:rsidR="00391465" w:rsidRPr="00121968">
          <w:rPr>
            <w:rStyle w:val="Hyperlink"/>
            <w:rFonts w:cs="Arial"/>
            <w:color w:val="auto"/>
            <w:sz w:val="24"/>
            <w:szCs w:val="24"/>
            <w:u w:val="none"/>
          </w:rPr>
          <w:t>section 5(2)</w:t>
        </w:r>
      </w:hyperlink>
      <w:r w:rsidR="00391465" w:rsidRPr="00121968">
        <w:rPr>
          <w:rFonts w:cs="Arial"/>
          <w:sz w:val="24"/>
          <w:szCs w:val="24"/>
        </w:rPr>
        <w:t>, or in terms of</w:t>
      </w:r>
      <w:r w:rsidR="00391465" w:rsidRPr="00121968">
        <w:rPr>
          <w:rStyle w:val="apple-converted-space"/>
          <w:rFonts w:cs="Arial"/>
          <w:sz w:val="24"/>
          <w:szCs w:val="24"/>
        </w:rPr>
        <w:t xml:space="preserve"> </w:t>
      </w:r>
      <w:hyperlink r:id="rId11" w:anchor="g71" w:history="1">
        <w:r w:rsidR="00391465" w:rsidRPr="00121968">
          <w:rPr>
            <w:rStyle w:val="Hyperlink"/>
            <w:rFonts w:cs="Arial"/>
            <w:color w:val="auto"/>
            <w:sz w:val="24"/>
            <w:szCs w:val="24"/>
            <w:u w:val="none"/>
          </w:rPr>
          <w:t>sections 5(3)</w:t>
        </w:r>
      </w:hyperlink>
      <w:r w:rsidR="00391465" w:rsidRPr="00121968">
        <w:rPr>
          <w:rStyle w:val="apple-converted-space"/>
          <w:rFonts w:cs="Arial"/>
          <w:sz w:val="24"/>
          <w:szCs w:val="24"/>
        </w:rPr>
        <w:t xml:space="preserve"> </w:t>
      </w:r>
      <w:r w:rsidR="00391465" w:rsidRPr="00121968">
        <w:rPr>
          <w:rFonts w:cs="Arial"/>
          <w:sz w:val="24"/>
          <w:szCs w:val="24"/>
        </w:rPr>
        <w:t>and</w:t>
      </w:r>
      <w:r w:rsidR="00391465" w:rsidRPr="00121968">
        <w:rPr>
          <w:rStyle w:val="apple-converted-space"/>
          <w:rFonts w:cs="Arial"/>
          <w:sz w:val="24"/>
          <w:szCs w:val="24"/>
        </w:rPr>
        <w:t xml:space="preserve"> 5</w:t>
      </w:r>
      <w:hyperlink r:id="rId12" w:anchor="g74" w:history="1">
        <w:r w:rsidR="00391465" w:rsidRPr="00121968">
          <w:rPr>
            <w:rStyle w:val="Hyperlink"/>
            <w:rFonts w:cs="Arial"/>
            <w:color w:val="auto"/>
            <w:sz w:val="24"/>
            <w:szCs w:val="24"/>
            <w:u w:val="none"/>
          </w:rPr>
          <w:t>(4)</w:t>
        </w:r>
      </w:hyperlink>
      <w:r w:rsidR="00391465" w:rsidRPr="00121968">
        <w:rPr>
          <w:rFonts w:cs="Arial"/>
          <w:sz w:val="24"/>
          <w:szCs w:val="24"/>
        </w:rPr>
        <w:t xml:space="preserve">.  Section 5(2)(b) provides that the </w:t>
      </w:r>
      <w:r w:rsidR="00FB44D2" w:rsidRPr="00121968">
        <w:rPr>
          <w:rFonts w:cs="Arial"/>
          <w:sz w:val="24"/>
          <w:szCs w:val="24"/>
        </w:rPr>
        <w:t>A</w:t>
      </w:r>
      <w:r w:rsidR="00391465" w:rsidRPr="00121968">
        <w:rPr>
          <w:rFonts w:cs="Arial"/>
          <w:sz w:val="24"/>
          <w:szCs w:val="24"/>
        </w:rPr>
        <w:t>ct does not apply to any transaction in terms of which the consumer is a juristic person whose asset value or annual turnover, at the time of the transaction, equals or exceeds the threshold value determined by the Minister and published by notice in the Government Gazette in terms of section 6 of the act.  The threshold value, as at the date of the conclusion of the lease, was R2 million</w:t>
      </w:r>
      <w:r w:rsidR="007F40E6" w:rsidRPr="00121968">
        <w:rPr>
          <w:rFonts w:cs="Arial"/>
          <w:sz w:val="24"/>
          <w:szCs w:val="24"/>
        </w:rPr>
        <w:t xml:space="preserve">.  It follows that the first defendant ought to have presented at least prima facie evidence in its affidavit opposing summary judgment </w:t>
      </w:r>
      <w:r w:rsidR="00FB44D2" w:rsidRPr="00121968">
        <w:rPr>
          <w:rFonts w:cs="Arial"/>
          <w:sz w:val="24"/>
          <w:szCs w:val="24"/>
        </w:rPr>
        <w:t xml:space="preserve">to indicate that </w:t>
      </w:r>
      <w:r w:rsidR="007F40E6" w:rsidRPr="00121968">
        <w:rPr>
          <w:rFonts w:cs="Arial"/>
          <w:sz w:val="24"/>
          <w:szCs w:val="24"/>
        </w:rPr>
        <w:t xml:space="preserve">its turnover </w:t>
      </w:r>
      <w:r w:rsidR="00FB44D2" w:rsidRPr="00121968">
        <w:rPr>
          <w:rFonts w:cs="Arial"/>
          <w:sz w:val="24"/>
          <w:szCs w:val="24"/>
        </w:rPr>
        <w:t xml:space="preserve">and </w:t>
      </w:r>
      <w:r w:rsidR="007F40E6" w:rsidRPr="00121968">
        <w:rPr>
          <w:rFonts w:cs="Arial"/>
          <w:sz w:val="24"/>
          <w:szCs w:val="24"/>
        </w:rPr>
        <w:t>asset value</w:t>
      </w:r>
      <w:r w:rsidR="00FB44D2" w:rsidRPr="00121968">
        <w:rPr>
          <w:rFonts w:cs="Arial"/>
          <w:sz w:val="24"/>
          <w:szCs w:val="24"/>
        </w:rPr>
        <w:t xml:space="preserve"> did not exceed R2 million</w:t>
      </w:r>
      <w:r w:rsidR="007F40E6" w:rsidRPr="00121968">
        <w:rPr>
          <w:rFonts w:cs="Arial"/>
          <w:sz w:val="24"/>
          <w:szCs w:val="24"/>
        </w:rPr>
        <w:t xml:space="preserve">; it failed to do so.  </w:t>
      </w:r>
    </w:p>
    <w:p w14:paraId="5B9B20D4" w14:textId="5D379E32" w:rsidR="008A64E3"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lang w:val="en-GB"/>
        </w:rPr>
        <w:t>[23]</w:t>
      </w:r>
      <w:r w:rsidRPr="00121968">
        <w:rPr>
          <w:rFonts w:cs="Arial"/>
          <w:sz w:val="24"/>
          <w:szCs w:val="24"/>
          <w:lang w:val="en-GB"/>
        </w:rPr>
        <w:tab/>
      </w:r>
      <w:r w:rsidR="007F40E6" w:rsidRPr="00121968">
        <w:rPr>
          <w:rFonts w:cs="Arial"/>
          <w:sz w:val="24"/>
          <w:szCs w:val="24"/>
          <w:lang w:val="en-GB"/>
        </w:rPr>
        <w:t xml:space="preserve">The aforesaid aside, the defendants do not indicate in what respects they contend that the </w:t>
      </w:r>
      <w:r w:rsidR="002F38C4" w:rsidRPr="00121968">
        <w:rPr>
          <w:rFonts w:cs="Arial"/>
          <w:sz w:val="24"/>
          <w:szCs w:val="24"/>
          <w:lang w:val="en-GB"/>
        </w:rPr>
        <w:t xml:space="preserve">lease </w:t>
      </w:r>
      <w:r w:rsidR="007F40E6" w:rsidRPr="00121968">
        <w:rPr>
          <w:rFonts w:cs="Arial"/>
          <w:sz w:val="24"/>
          <w:szCs w:val="24"/>
          <w:lang w:val="en-GB"/>
        </w:rPr>
        <w:t>failed to comply with the Consumer Protection Act – neither in the plea nor in its affi</w:t>
      </w:r>
      <w:r w:rsidR="002F38C4" w:rsidRPr="00121968">
        <w:rPr>
          <w:rFonts w:cs="Arial"/>
          <w:sz w:val="24"/>
          <w:szCs w:val="24"/>
          <w:lang w:val="en-GB"/>
        </w:rPr>
        <w:t>davit</w:t>
      </w:r>
      <w:r w:rsidR="00FB44D2" w:rsidRPr="00121968">
        <w:rPr>
          <w:rFonts w:cs="Arial"/>
          <w:sz w:val="24"/>
          <w:szCs w:val="24"/>
          <w:lang w:val="en-GB"/>
        </w:rPr>
        <w:t xml:space="preserve"> opposing summary judgment</w:t>
      </w:r>
      <w:r w:rsidR="002F38C4" w:rsidRPr="00121968">
        <w:rPr>
          <w:rFonts w:cs="Arial"/>
          <w:sz w:val="24"/>
          <w:szCs w:val="24"/>
          <w:lang w:val="en-GB"/>
        </w:rPr>
        <w:t>.  The high-water mark of the allegations made by the defendants in their opposing affidavit is that “</w:t>
      </w:r>
      <w:r w:rsidR="002F38C4" w:rsidRPr="00121968">
        <w:rPr>
          <w:rFonts w:cs="Arial"/>
          <w:i/>
          <w:iCs/>
          <w:sz w:val="24"/>
          <w:szCs w:val="24"/>
          <w:lang w:val="en-GB"/>
        </w:rPr>
        <w:t>the plaintiffs are entitled to early termination of the lease agreement in terms of the NCA and the CPA</w:t>
      </w:r>
      <w:r w:rsidR="002F38C4" w:rsidRPr="00121968">
        <w:rPr>
          <w:rFonts w:cs="Arial"/>
          <w:sz w:val="24"/>
          <w:szCs w:val="24"/>
          <w:lang w:val="en-GB"/>
        </w:rPr>
        <w:t>”.  The allegation does not disclose a defence to the claim for outstanding payments due in terms of the lease from its commencement until its termination in September 2022.</w:t>
      </w:r>
      <w:r w:rsidR="008A64E3" w:rsidRPr="00121968">
        <w:rPr>
          <w:rFonts w:cs="Arial"/>
          <w:sz w:val="24"/>
          <w:szCs w:val="24"/>
          <w:lang w:val="en-GB"/>
        </w:rPr>
        <w:t xml:space="preserve">  </w:t>
      </w:r>
      <w:r w:rsidR="00265373" w:rsidRPr="00121968">
        <w:rPr>
          <w:rFonts w:cs="Arial"/>
          <w:sz w:val="24"/>
          <w:szCs w:val="24"/>
          <w:lang w:val="en-GB"/>
        </w:rPr>
        <w:t>In the defendants’ heads of argument it was suggested that the Trust had “</w:t>
      </w:r>
      <w:r w:rsidR="00265373" w:rsidRPr="00121968">
        <w:rPr>
          <w:rFonts w:cs="Arial"/>
          <w:i/>
          <w:iCs/>
          <w:sz w:val="24"/>
          <w:szCs w:val="24"/>
          <w:lang w:val="en-GB"/>
        </w:rPr>
        <w:t>failed to terminate the lease agreement by providing the defendants a notice in terms of the Consumer Protection Act</w:t>
      </w:r>
      <w:r w:rsidR="00265373" w:rsidRPr="00121968">
        <w:rPr>
          <w:rFonts w:cs="Arial"/>
          <w:sz w:val="24"/>
          <w:szCs w:val="24"/>
          <w:lang w:val="en-GB"/>
        </w:rPr>
        <w:t xml:space="preserve">”.  </w:t>
      </w:r>
      <w:r w:rsidR="008A64E3" w:rsidRPr="00121968">
        <w:rPr>
          <w:rFonts w:cs="Arial"/>
          <w:sz w:val="24"/>
          <w:szCs w:val="24"/>
          <w:lang w:val="en-GB"/>
        </w:rPr>
        <w:t xml:space="preserve">When probed on </w:t>
      </w:r>
      <w:r w:rsidR="003426D0" w:rsidRPr="00121968">
        <w:rPr>
          <w:rFonts w:cs="Arial"/>
          <w:sz w:val="24"/>
          <w:szCs w:val="24"/>
          <w:lang w:val="en-GB"/>
        </w:rPr>
        <w:t>this issue at the hearing of the application</w:t>
      </w:r>
      <w:r w:rsidR="008A64E3" w:rsidRPr="00121968">
        <w:rPr>
          <w:rFonts w:cs="Arial"/>
          <w:sz w:val="24"/>
          <w:szCs w:val="24"/>
          <w:lang w:val="en-GB"/>
        </w:rPr>
        <w:t xml:space="preserve">, the defendants’ representative </w:t>
      </w:r>
      <w:r w:rsidR="00265373" w:rsidRPr="00121968">
        <w:rPr>
          <w:rFonts w:cs="Arial"/>
          <w:sz w:val="24"/>
          <w:szCs w:val="24"/>
          <w:lang w:val="en-GB"/>
        </w:rPr>
        <w:t xml:space="preserve">did no more than </w:t>
      </w:r>
      <w:r w:rsidR="008A64E3" w:rsidRPr="00121968">
        <w:rPr>
          <w:rFonts w:cs="Arial"/>
          <w:sz w:val="24"/>
          <w:szCs w:val="24"/>
          <w:lang w:val="en-GB"/>
        </w:rPr>
        <w:t>point</w:t>
      </w:r>
      <w:r w:rsidR="00265373" w:rsidRPr="00121968">
        <w:rPr>
          <w:rFonts w:cs="Arial"/>
          <w:sz w:val="24"/>
          <w:szCs w:val="24"/>
          <w:lang w:val="en-GB"/>
        </w:rPr>
        <w:t xml:space="preserve"> </w:t>
      </w:r>
      <w:r w:rsidR="008A64E3" w:rsidRPr="00121968">
        <w:rPr>
          <w:rFonts w:cs="Arial"/>
          <w:sz w:val="24"/>
          <w:szCs w:val="24"/>
          <w:lang w:val="en-GB"/>
        </w:rPr>
        <w:t>to section 14</w:t>
      </w:r>
      <w:r w:rsidR="00265373" w:rsidRPr="00121968">
        <w:rPr>
          <w:rFonts w:cs="Arial"/>
          <w:sz w:val="24"/>
          <w:szCs w:val="24"/>
          <w:lang w:val="en-GB"/>
        </w:rPr>
        <w:t xml:space="preserve"> of the </w:t>
      </w:r>
      <w:r w:rsidR="00FB44D2" w:rsidRPr="00121968">
        <w:rPr>
          <w:rFonts w:cs="Arial"/>
          <w:sz w:val="24"/>
          <w:szCs w:val="24"/>
          <w:lang w:val="en-GB"/>
        </w:rPr>
        <w:t>A</w:t>
      </w:r>
      <w:r w:rsidR="00265373" w:rsidRPr="00121968">
        <w:rPr>
          <w:rFonts w:cs="Arial"/>
          <w:sz w:val="24"/>
          <w:szCs w:val="24"/>
          <w:lang w:val="en-GB"/>
        </w:rPr>
        <w:t>ct</w:t>
      </w:r>
      <w:r w:rsidR="008A64E3" w:rsidRPr="00121968">
        <w:rPr>
          <w:rFonts w:cs="Arial"/>
          <w:sz w:val="24"/>
          <w:szCs w:val="24"/>
          <w:lang w:val="en-GB"/>
        </w:rPr>
        <w:t xml:space="preserve">.  That section deals with the expiry and renewal of fixed term contracts.  Not only had the lease neither expired nor been renewed, but section 14(1) expressly records that it </w:t>
      </w:r>
      <w:r w:rsidR="008A64E3" w:rsidRPr="00121968">
        <w:rPr>
          <w:rFonts w:cs="Arial"/>
          <w:sz w:val="24"/>
          <w:szCs w:val="24"/>
        </w:rPr>
        <w:t>does not apply to transactions between juristic persons regardless of their annual turnover or asset value.</w:t>
      </w:r>
      <w:r w:rsidR="003426D0" w:rsidRPr="00121968">
        <w:rPr>
          <w:rFonts w:cs="Arial"/>
          <w:sz w:val="24"/>
          <w:szCs w:val="24"/>
        </w:rPr>
        <w:t xml:space="preserve">  In any event, the claim for payments under the lease (pursued in terms of claim 1) are unaffected by the date or validity of the cancellation of the lease.</w:t>
      </w:r>
    </w:p>
    <w:p w14:paraId="47205D41" w14:textId="09F39F71" w:rsidR="008A64E3"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[24]</w:t>
      </w:r>
      <w:r w:rsidRPr="00121968">
        <w:rPr>
          <w:rFonts w:cs="Arial"/>
          <w:sz w:val="24"/>
          <w:szCs w:val="24"/>
        </w:rPr>
        <w:tab/>
      </w:r>
      <w:r w:rsidR="00265373" w:rsidRPr="00121968">
        <w:rPr>
          <w:rFonts w:cs="Arial"/>
          <w:sz w:val="24"/>
          <w:szCs w:val="24"/>
        </w:rPr>
        <w:t xml:space="preserve">In their heads of argument and at </w:t>
      </w:r>
      <w:r w:rsidR="008A64E3" w:rsidRPr="00121968">
        <w:rPr>
          <w:rFonts w:cs="Arial"/>
          <w:sz w:val="24"/>
          <w:szCs w:val="24"/>
        </w:rPr>
        <w:t>the hearing of the application, the defendants’</w:t>
      </w:r>
      <w:r w:rsidR="00265373" w:rsidRPr="00121968">
        <w:rPr>
          <w:rFonts w:cs="Arial"/>
          <w:sz w:val="24"/>
          <w:szCs w:val="24"/>
        </w:rPr>
        <w:t xml:space="preserve"> representative raised the application of clause 40 of the lease, suggesting in argument that the referral of the payment dispute to the High Court (and the hearing of the summary judgment) was premature.  Whilst clause 40.1 read with 40.2 provides that any one of the Trust or the first defendant shall be entitled to refer a dispute to arbitration, clause 40.10.2 records that:</w:t>
      </w:r>
    </w:p>
    <w:p w14:paraId="6915937A" w14:textId="593001C6" w:rsidR="00265373" w:rsidRPr="00121968" w:rsidRDefault="00265373" w:rsidP="00121968">
      <w:pPr>
        <w:pStyle w:val="WLGQuoteLevel1"/>
        <w:rPr>
          <w:rFonts w:cs="Arial"/>
          <w:sz w:val="24"/>
          <w:szCs w:val="24"/>
        </w:rPr>
      </w:pPr>
      <w:r w:rsidRPr="00121968">
        <w:rPr>
          <w:rFonts w:cs="Arial"/>
          <w:sz w:val="24"/>
          <w:szCs w:val="24"/>
        </w:rPr>
        <w:t xml:space="preserve">“Nothing which </w:t>
      </w:r>
      <w:r w:rsidR="00FB44D2" w:rsidRPr="00121968">
        <w:rPr>
          <w:rFonts w:cs="Arial"/>
          <w:sz w:val="24"/>
          <w:szCs w:val="24"/>
        </w:rPr>
        <w:t>i</w:t>
      </w:r>
      <w:r w:rsidRPr="00121968">
        <w:rPr>
          <w:rFonts w:cs="Arial"/>
          <w:sz w:val="24"/>
          <w:szCs w:val="24"/>
        </w:rPr>
        <w:t xml:space="preserve">s contained </w:t>
      </w:r>
      <w:r w:rsidR="00FB44D2" w:rsidRPr="00121968">
        <w:rPr>
          <w:rFonts w:cs="Arial"/>
          <w:sz w:val="24"/>
          <w:szCs w:val="24"/>
        </w:rPr>
        <w:t>i</w:t>
      </w:r>
      <w:r w:rsidRPr="00121968">
        <w:rPr>
          <w:rFonts w:cs="Arial"/>
          <w:sz w:val="24"/>
          <w:szCs w:val="24"/>
        </w:rPr>
        <w:t xml:space="preserve">n this clause 40 shall preclude…  anyone of the parties from seeking interim and/or urgent and/or the following relief hereunder, a rent interdict, rent interdict summons, </w:t>
      </w:r>
      <w:r w:rsidRPr="00121968">
        <w:rPr>
          <w:rFonts w:cs="Arial"/>
          <w:sz w:val="24"/>
          <w:szCs w:val="24"/>
          <w:u w:val="single"/>
        </w:rPr>
        <w:t>a summons in respect of a claim for rental and other imposts</w:t>
      </w:r>
      <w:r w:rsidRPr="00121968">
        <w:rPr>
          <w:rFonts w:cs="Arial"/>
          <w:sz w:val="24"/>
          <w:szCs w:val="24"/>
        </w:rPr>
        <w:t xml:space="preserve">, an application to attach any Items falling under the landlords' hypothec, an interim interdict interdicting the removal of any items from the premises or the property of which the Premises form part, </w:t>
      </w:r>
      <w:r w:rsidRPr="00121968">
        <w:rPr>
          <w:rFonts w:cs="Arial"/>
          <w:sz w:val="24"/>
          <w:szCs w:val="24"/>
          <w:u w:val="single"/>
        </w:rPr>
        <w:t>a cancellation of this agreement and/or an eviction</w:t>
      </w:r>
      <w:r w:rsidRPr="00121968">
        <w:rPr>
          <w:rFonts w:cs="Arial"/>
          <w:sz w:val="24"/>
          <w:szCs w:val="24"/>
        </w:rPr>
        <w:t xml:space="preserve"> from a Court of competent Jurisdiction, and insofar as the High Court is approached in respect of any such relief, the parties hereby consent to, insofar as it is legally permissible, the jurisdiction of the South Gauteng High Court.” [emphasis added]</w:t>
      </w:r>
    </w:p>
    <w:p w14:paraId="33E6A783" w14:textId="77777777" w:rsidR="00265373" w:rsidRPr="00121968" w:rsidRDefault="00265373" w:rsidP="00121968">
      <w:pPr>
        <w:pStyle w:val="WLGQuoteLevel1"/>
        <w:rPr>
          <w:rFonts w:cs="Arial"/>
          <w:sz w:val="24"/>
          <w:szCs w:val="24"/>
        </w:rPr>
      </w:pPr>
    </w:p>
    <w:p w14:paraId="0A2AB333" w14:textId="24AA25AF" w:rsidR="00265373"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rPr>
        <w:t>[25]</w:t>
      </w:r>
      <w:r w:rsidRPr="00121968">
        <w:rPr>
          <w:rFonts w:cs="Arial"/>
          <w:sz w:val="24"/>
          <w:szCs w:val="24"/>
        </w:rPr>
        <w:tab/>
      </w:r>
      <w:r w:rsidR="00265373" w:rsidRPr="00121968">
        <w:rPr>
          <w:rFonts w:cs="Arial"/>
          <w:sz w:val="24"/>
          <w:szCs w:val="24"/>
        </w:rPr>
        <w:t xml:space="preserve">As such, the plaintiffs were entitled to pursue their claim for payment under the lease in this Court. Moreover, this Court’s jurisdiction was not challenged on the pleadings and clause 40 is not a </w:t>
      </w:r>
      <w:r w:rsidR="00FB44D2" w:rsidRPr="00121968">
        <w:rPr>
          <w:rFonts w:cs="Arial"/>
          <w:sz w:val="24"/>
          <w:szCs w:val="24"/>
        </w:rPr>
        <w:t xml:space="preserve">prerequisite or a </w:t>
      </w:r>
      <w:r w:rsidR="00265373" w:rsidRPr="00121968">
        <w:rPr>
          <w:rFonts w:cs="Arial"/>
          <w:sz w:val="24"/>
          <w:szCs w:val="24"/>
        </w:rPr>
        <w:t>bar to this court hearing the matter.</w:t>
      </w:r>
    </w:p>
    <w:p w14:paraId="1EF4D556" w14:textId="74A52FCA" w:rsidR="00F3113B" w:rsidRPr="00121968" w:rsidRDefault="009D325A" w:rsidP="00121968">
      <w:pPr>
        <w:pStyle w:val="WLGLevel1"/>
        <w:numPr>
          <w:ilvl w:val="0"/>
          <w:numId w:val="0"/>
        </w:numPr>
        <w:spacing w:line="360" w:lineRule="auto"/>
        <w:ind w:left="567" w:hanging="567"/>
        <w:rPr>
          <w:rFonts w:cs="Arial"/>
          <w:sz w:val="24"/>
          <w:szCs w:val="24"/>
        </w:rPr>
      </w:pPr>
      <w:r w:rsidRPr="00121968">
        <w:rPr>
          <w:rFonts w:cs="Arial"/>
          <w:sz w:val="24"/>
          <w:szCs w:val="24"/>
          <w:lang w:val="en-GB"/>
        </w:rPr>
        <w:t>[26]</w:t>
      </w:r>
      <w:r w:rsidRPr="00121968">
        <w:rPr>
          <w:rFonts w:cs="Arial"/>
          <w:sz w:val="24"/>
          <w:szCs w:val="24"/>
          <w:lang w:val="en-GB"/>
        </w:rPr>
        <w:tab/>
      </w:r>
      <w:r w:rsidR="00DC3085" w:rsidRPr="00121968">
        <w:rPr>
          <w:rFonts w:cs="Arial"/>
          <w:sz w:val="24"/>
          <w:szCs w:val="24"/>
          <w:lang w:val="en-GB"/>
        </w:rPr>
        <w:t xml:space="preserve">For these reasons I conclude that the defendants have failed to </w:t>
      </w:r>
      <w:r w:rsidR="00DC3085" w:rsidRPr="00121968">
        <w:rPr>
          <w:rFonts w:cs="Arial"/>
          <w:sz w:val="24"/>
          <w:szCs w:val="24"/>
        </w:rPr>
        <w:t xml:space="preserve">disclose any </w:t>
      </w:r>
      <w:r w:rsidR="00DC3085" w:rsidRPr="00121968">
        <w:rPr>
          <w:rFonts w:cs="Arial"/>
          <w:i/>
          <w:iCs/>
          <w:sz w:val="24"/>
          <w:szCs w:val="24"/>
        </w:rPr>
        <w:t>bona fide</w:t>
      </w:r>
      <w:r w:rsidR="00DC3085" w:rsidRPr="00121968">
        <w:rPr>
          <w:rStyle w:val="apple-converted-space"/>
          <w:rFonts w:cs="Arial"/>
          <w:sz w:val="24"/>
          <w:szCs w:val="24"/>
        </w:rPr>
        <w:t xml:space="preserve"> </w:t>
      </w:r>
      <w:r w:rsidR="00DC3085" w:rsidRPr="00121968">
        <w:rPr>
          <w:rFonts w:cs="Arial"/>
          <w:sz w:val="24"/>
          <w:szCs w:val="24"/>
        </w:rPr>
        <w:t xml:space="preserve">defence to the plaintiffs’ action </w:t>
      </w:r>
      <w:r w:rsidR="008476B9" w:rsidRPr="00121968">
        <w:rPr>
          <w:rFonts w:cs="Arial"/>
          <w:sz w:val="24"/>
          <w:szCs w:val="24"/>
        </w:rPr>
        <w:t xml:space="preserve">for payment under claim 1 </w:t>
      </w:r>
      <w:r w:rsidR="00DC3085" w:rsidRPr="00121968">
        <w:rPr>
          <w:rFonts w:cs="Arial"/>
          <w:sz w:val="24"/>
          <w:szCs w:val="24"/>
        </w:rPr>
        <w:t>and I am satisfied that I should enter summary judgment in favour of the plaintiffs</w:t>
      </w:r>
      <w:r w:rsidR="008476B9" w:rsidRPr="00121968">
        <w:rPr>
          <w:rFonts w:cs="Arial"/>
          <w:sz w:val="24"/>
          <w:szCs w:val="24"/>
        </w:rPr>
        <w:t xml:space="preserve"> in relation thereto.  As far as claim 2 is concerned, I grant the defendants leave to defend.</w:t>
      </w:r>
    </w:p>
    <w:p w14:paraId="31A905CE" w14:textId="1AE9BCB7" w:rsidR="00F3113B" w:rsidRPr="00121968" w:rsidRDefault="009D325A" w:rsidP="00121968">
      <w:pPr>
        <w:pStyle w:val="WLGLevel1"/>
        <w:numPr>
          <w:ilvl w:val="0"/>
          <w:numId w:val="0"/>
        </w:numPr>
        <w:spacing w:line="360" w:lineRule="auto"/>
        <w:ind w:left="567" w:hanging="567"/>
        <w:rPr>
          <w:rFonts w:cs="Arial"/>
          <w:sz w:val="24"/>
          <w:szCs w:val="24"/>
          <w:lang w:val="en-GB"/>
        </w:rPr>
      </w:pPr>
      <w:r w:rsidRPr="00121968">
        <w:rPr>
          <w:rFonts w:cs="Arial"/>
          <w:sz w:val="24"/>
          <w:szCs w:val="24"/>
          <w:lang w:val="en-GB"/>
        </w:rPr>
        <w:t>[27]</w:t>
      </w:r>
      <w:r w:rsidRPr="00121968">
        <w:rPr>
          <w:rFonts w:cs="Arial"/>
          <w:sz w:val="24"/>
          <w:szCs w:val="24"/>
          <w:lang w:val="en-GB"/>
        </w:rPr>
        <w:tab/>
      </w:r>
      <w:r w:rsidR="009A6DAD" w:rsidRPr="00121968">
        <w:rPr>
          <w:rFonts w:cs="Arial"/>
          <w:sz w:val="24"/>
          <w:szCs w:val="24"/>
          <w:lang w:val="en-GB"/>
        </w:rPr>
        <w:t xml:space="preserve">Accordingly I </w:t>
      </w:r>
      <w:r w:rsidR="008476B9" w:rsidRPr="00121968">
        <w:rPr>
          <w:rFonts w:cs="Arial"/>
          <w:sz w:val="24"/>
          <w:szCs w:val="24"/>
          <w:lang w:val="en-GB"/>
        </w:rPr>
        <w:t>grant the following order:</w:t>
      </w:r>
    </w:p>
    <w:p w14:paraId="2773A29B" w14:textId="1A6F2F4E" w:rsidR="008476B9" w:rsidRPr="00121968" w:rsidRDefault="008476B9" w:rsidP="00121968">
      <w:pPr>
        <w:pStyle w:val="WLGLevel1"/>
        <w:numPr>
          <w:ilvl w:val="0"/>
          <w:numId w:val="4"/>
        </w:numPr>
        <w:spacing w:line="360" w:lineRule="auto"/>
        <w:ind w:left="1134"/>
        <w:rPr>
          <w:rFonts w:cs="Arial"/>
          <w:sz w:val="24"/>
          <w:szCs w:val="24"/>
          <w:lang w:val="en-GB"/>
        </w:rPr>
      </w:pPr>
      <w:r w:rsidRPr="00121968">
        <w:rPr>
          <w:rFonts w:cs="Arial"/>
          <w:sz w:val="24"/>
          <w:szCs w:val="24"/>
          <w:lang w:val="en-GB"/>
        </w:rPr>
        <w:t>In respect of claim 1 the defendants are ordered jointly and severally to pay the plaintiffs, the one paying the other to be absolved:</w:t>
      </w:r>
    </w:p>
    <w:p w14:paraId="2FB4E81B" w14:textId="5093AE62" w:rsidR="009A6DAD" w:rsidRPr="00121968" w:rsidRDefault="008476B9" w:rsidP="00121968">
      <w:pPr>
        <w:pStyle w:val="WLGLevel2"/>
        <w:numPr>
          <w:ilvl w:val="1"/>
          <w:numId w:val="4"/>
        </w:numPr>
        <w:tabs>
          <w:tab w:val="clear" w:pos="1361"/>
        </w:tabs>
        <w:spacing w:line="360" w:lineRule="auto"/>
        <w:ind w:left="1843" w:hanging="709"/>
        <w:rPr>
          <w:rFonts w:cs="Arial"/>
          <w:sz w:val="24"/>
          <w:szCs w:val="24"/>
          <w:lang w:val="en-GB"/>
        </w:rPr>
      </w:pPr>
      <w:r w:rsidRPr="00121968">
        <w:rPr>
          <w:rFonts w:cs="Arial"/>
          <w:sz w:val="24"/>
          <w:szCs w:val="24"/>
          <w:lang w:val="en-GB"/>
        </w:rPr>
        <w:t xml:space="preserve">The </w:t>
      </w:r>
      <w:r w:rsidR="009A6DAD" w:rsidRPr="00121968">
        <w:rPr>
          <w:rFonts w:cs="Arial"/>
          <w:sz w:val="24"/>
          <w:szCs w:val="24"/>
          <w:lang w:val="en-GB"/>
        </w:rPr>
        <w:t>sum of R184 808.68;</w:t>
      </w:r>
    </w:p>
    <w:p w14:paraId="12A1D4AD" w14:textId="3A8BB91F" w:rsidR="009A6DAD" w:rsidRPr="00121968" w:rsidRDefault="009A6DAD" w:rsidP="00121968">
      <w:pPr>
        <w:pStyle w:val="WLGLevel2"/>
        <w:numPr>
          <w:ilvl w:val="1"/>
          <w:numId w:val="4"/>
        </w:numPr>
        <w:tabs>
          <w:tab w:val="clear" w:pos="1361"/>
        </w:tabs>
        <w:spacing w:line="360" w:lineRule="auto"/>
        <w:ind w:left="1843" w:hanging="709"/>
        <w:rPr>
          <w:rFonts w:cs="Arial"/>
          <w:sz w:val="24"/>
          <w:szCs w:val="24"/>
          <w:lang w:val="en-GB"/>
        </w:rPr>
      </w:pPr>
      <w:r w:rsidRPr="00121968">
        <w:rPr>
          <w:rFonts w:cs="Arial"/>
          <w:sz w:val="24"/>
          <w:szCs w:val="24"/>
          <w:lang w:val="en-GB"/>
        </w:rPr>
        <w:t xml:space="preserve">Interest on the aforesaid sum from the date of service of the summons until date of payment at the </w:t>
      </w:r>
      <w:r w:rsidR="00BE4791" w:rsidRPr="00121968">
        <w:rPr>
          <w:rFonts w:cs="Arial"/>
          <w:sz w:val="24"/>
          <w:szCs w:val="24"/>
          <w:lang w:val="en-GB"/>
        </w:rPr>
        <w:t xml:space="preserve">prevailing prime </w:t>
      </w:r>
      <w:r w:rsidRPr="00121968">
        <w:rPr>
          <w:rFonts w:cs="Arial"/>
          <w:sz w:val="24"/>
          <w:szCs w:val="24"/>
          <w:lang w:val="en-GB"/>
        </w:rPr>
        <w:t xml:space="preserve">rate </w:t>
      </w:r>
      <w:r w:rsidR="00BE4791" w:rsidRPr="00121968">
        <w:rPr>
          <w:rFonts w:cs="Arial"/>
          <w:sz w:val="24"/>
          <w:szCs w:val="24"/>
          <w:lang w:val="en-GB"/>
        </w:rPr>
        <w:t xml:space="preserve">plus </w:t>
      </w:r>
      <w:r w:rsidRPr="00121968">
        <w:rPr>
          <w:rFonts w:cs="Arial"/>
          <w:sz w:val="24"/>
          <w:szCs w:val="24"/>
          <w:lang w:val="en-GB"/>
        </w:rPr>
        <w:t xml:space="preserve">2% per annum, </w:t>
      </w:r>
      <w:r w:rsidR="00BE4791" w:rsidRPr="00121968">
        <w:rPr>
          <w:rFonts w:cs="Arial"/>
          <w:sz w:val="24"/>
          <w:szCs w:val="24"/>
          <w:lang w:val="en-GB"/>
        </w:rPr>
        <w:t>compounded monthly in arrears</w:t>
      </w:r>
      <w:r w:rsidR="008476B9" w:rsidRPr="00121968">
        <w:rPr>
          <w:rFonts w:cs="Arial"/>
          <w:sz w:val="24"/>
          <w:szCs w:val="24"/>
          <w:lang w:val="en-GB"/>
        </w:rPr>
        <w:t>; and</w:t>
      </w:r>
    </w:p>
    <w:p w14:paraId="2214A3EF" w14:textId="36439474" w:rsidR="00BE4791" w:rsidRPr="00121968" w:rsidRDefault="008476B9" w:rsidP="00121968">
      <w:pPr>
        <w:pStyle w:val="WLGLevel2"/>
        <w:numPr>
          <w:ilvl w:val="1"/>
          <w:numId w:val="4"/>
        </w:numPr>
        <w:tabs>
          <w:tab w:val="clear" w:pos="1361"/>
        </w:tabs>
        <w:spacing w:line="360" w:lineRule="auto"/>
        <w:ind w:left="1843" w:hanging="709"/>
        <w:rPr>
          <w:rFonts w:cs="Arial"/>
          <w:sz w:val="24"/>
          <w:szCs w:val="24"/>
          <w:lang w:val="en-GB"/>
        </w:rPr>
      </w:pPr>
      <w:r w:rsidRPr="00121968">
        <w:rPr>
          <w:rFonts w:cs="Arial"/>
          <w:sz w:val="24"/>
          <w:szCs w:val="24"/>
          <w:lang w:val="en-GB"/>
        </w:rPr>
        <w:t>The c</w:t>
      </w:r>
      <w:r w:rsidR="00BE4791" w:rsidRPr="00121968">
        <w:rPr>
          <w:rFonts w:cs="Arial"/>
          <w:sz w:val="24"/>
          <w:szCs w:val="24"/>
          <w:lang w:val="en-GB"/>
        </w:rPr>
        <w:t xml:space="preserve">osts of the opposed summary judgment </w:t>
      </w:r>
      <w:r w:rsidRPr="00121968">
        <w:rPr>
          <w:rFonts w:cs="Arial"/>
          <w:sz w:val="24"/>
          <w:szCs w:val="24"/>
          <w:lang w:val="en-GB"/>
        </w:rPr>
        <w:t>application and the identifiable costs that of suit that relate solely to claim 1.</w:t>
      </w:r>
    </w:p>
    <w:p w14:paraId="2206B972" w14:textId="0E1ACE36" w:rsidR="00121968" w:rsidRPr="00121968" w:rsidRDefault="008476B9" w:rsidP="00121968">
      <w:pPr>
        <w:pStyle w:val="WLGLevel1"/>
        <w:numPr>
          <w:ilvl w:val="0"/>
          <w:numId w:val="4"/>
        </w:numPr>
        <w:spacing w:line="360" w:lineRule="auto"/>
        <w:ind w:left="1134"/>
        <w:rPr>
          <w:rFonts w:cs="Arial"/>
          <w:sz w:val="24"/>
          <w:szCs w:val="24"/>
          <w:lang w:val="en-GB"/>
        </w:rPr>
      </w:pPr>
      <w:r w:rsidRPr="00121968">
        <w:rPr>
          <w:rFonts w:cs="Arial"/>
          <w:sz w:val="24"/>
          <w:szCs w:val="24"/>
          <w:lang w:val="en-GB"/>
        </w:rPr>
        <w:t>In respect of claim 2 the defendants are granted leave to defend the action</w:t>
      </w:r>
      <w:r w:rsidR="00121968" w:rsidRPr="00121968">
        <w:rPr>
          <w:rFonts w:cs="Arial"/>
          <w:sz w:val="24"/>
          <w:szCs w:val="24"/>
          <w:lang w:val="en-GB"/>
        </w:rPr>
        <w:t>.</w:t>
      </w:r>
    </w:p>
    <w:p w14:paraId="1DDFB375" w14:textId="77777777" w:rsidR="009D325A" w:rsidRPr="00121968" w:rsidRDefault="009D325A" w:rsidP="00121968">
      <w:pPr>
        <w:keepNext/>
        <w:tabs>
          <w:tab w:val="left" w:pos="5670"/>
        </w:tabs>
        <w:spacing w:line="360" w:lineRule="auto"/>
        <w:rPr>
          <w:rFonts w:cs="Arial"/>
          <w:sz w:val="24"/>
          <w:szCs w:val="24"/>
          <w:lang w:val="en-GB"/>
        </w:rPr>
      </w:pPr>
    </w:p>
    <w:p w14:paraId="1C9A7343" w14:textId="77777777" w:rsidR="009D325A" w:rsidRPr="00121968" w:rsidRDefault="009D325A" w:rsidP="00121968">
      <w:pPr>
        <w:keepNext/>
        <w:tabs>
          <w:tab w:val="left" w:pos="5670"/>
        </w:tabs>
        <w:spacing w:line="360" w:lineRule="auto"/>
        <w:rPr>
          <w:rFonts w:cs="Arial"/>
          <w:sz w:val="24"/>
          <w:szCs w:val="24"/>
          <w:lang w:val="en-GB"/>
        </w:rPr>
      </w:pPr>
    </w:p>
    <w:p w14:paraId="2EDD8CC3" w14:textId="29F44F7F" w:rsidR="00770AFA" w:rsidRPr="00121968" w:rsidRDefault="000F203B" w:rsidP="00121968">
      <w:pPr>
        <w:keepNext/>
        <w:tabs>
          <w:tab w:val="left" w:pos="5670"/>
        </w:tabs>
        <w:spacing w:line="360" w:lineRule="auto"/>
        <w:rPr>
          <w:rFonts w:cs="Arial"/>
          <w:sz w:val="24"/>
          <w:szCs w:val="24"/>
          <w:lang w:val="en-GB"/>
        </w:rPr>
      </w:pPr>
      <w:r w:rsidRPr="00121968">
        <w:rPr>
          <w:rFonts w:cs="Arial"/>
          <w:sz w:val="24"/>
          <w:szCs w:val="24"/>
          <w:lang w:val="en-GB"/>
        </w:rPr>
        <w:tab/>
      </w:r>
    </w:p>
    <w:p w14:paraId="1E417EC3" w14:textId="1D701387" w:rsidR="000F203B" w:rsidRPr="00121968" w:rsidRDefault="000F203B" w:rsidP="00121968">
      <w:pPr>
        <w:keepNext/>
        <w:tabs>
          <w:tab w:val="left" w:pos="5670"/>
        </w:tabs>
        <w:spacing w:line="360" w:lineRule="auto"/>
        <w:jc w:val="right"/>
        <w:rPr>
          <w:rFonts w:cs="Arial"/>
          <w:sz w:val="24"/>
          <w:szCs w:val="24"/>
          <w:lang w:val="en-GB"/>
        </w:rPr>
      </w:pPr>
      <w:r w:rsidRPr="00121968">
        <w:rPr>
          <w:rFonts w:cs="Arial"/>
          <w:sz w:val="24"/>
          <w:szCs w:val="24"/>
          <w:lang w:val="en-GB"/>
        </w:rPr>
        <w:tab/>
        <w:t>__________________________</w:t>
      </w:r>
    </w:p>
    <w:p w14:paraId="6298E361" w14:textId="3211CCC8" w:rsidR="000F203B" w:rsidRPr="00121968" w:rsidRDefault="000F203B" w:rsidP="00121968">
      <w:pPr>
        <w:keepNext/>
        <w:tabs>
          <w:tab w:val="left" w:pos="5670"/>
        </w:tabs>
        <w:spacing w:line="360" w:lineRule="auto"/>
        <w:jc w:val="right"/>
        <w:rPr>
          <w:rFonts w:cs="Arial"/>
          <w:b/>
          <w:bCs/>
          <w:sz w:val="24"/>
          <w:szCs w:val="24"/>
          <w:lang w:val="en-GB"/>
        </w:rPr>
      </w:pPr>
      <w:r w:rsidRPr="00121968">
        <w:rPr>
          <w:rFonts w:cs="Arial"/>
          <w:sz w:val="24"/>
          <w:szCs w:val="24"/>
          <w:lang w:val="en-GB"/>
        </w:rPr>
        <w:tab/>
      </w:r>
      <w:r w:rsidRPr="00121968">
        <w:rPr>
          <w:rFonts w:cs="Arial"/>
          <w:b/>
          <w:bCs/>
          <w:sz w:val="24"/>
          <w:szCs w:val="24"/>
          <w:lang w:val="en-GB"/>
        </w:rPr>
        <w:t>W G LA GRANGE</w:t>
      </w:r>
    </w:p>
    <w:p w14:paraId="7043236C" w14:textId="061045E2" w:rsidR="00121968" w:rsidRPr="00121968" w:rsidRDefault="000F203B" w:rsidP="00121968">
      <w:pPr>
        <w:spacing w:line="360" w:lineRule="auto"/>
        <w:ind w:right="-42" w:firstLine="720"/>
        <w:jc w:val="right"/>
        <w:rPr>
          <w:rFonts w:eastAsiaTheme="minorHAnsi" w:cs="Arial"/>
          <w:sz w:val="24"/>
          <w:szCs w:val="24"/>
        </w:rPr>
      </w:pPr>
      <w:r w:rsidRPr="00121968">
        <w:rPr>
          <w:rFonts w:cs="Arial"/>
          <w:b/>
          <w:bCs/>
          <w:sz w:val="24"/>
          <w:szCs w:val="24"/>
          <w:lang w:val="en-GB"/>
        </w:rPr>
        <w:tab/>
      </w:r>
      <w:r w:rsidR="00121968" w:rsidRPr="00121968">
        <w:rPr>
          <w:rFonts w:eastAsiaTheme="minorHAnsi" w:cs="Arial"/>
          <w:sz w:val="24"/>
          <w:szCs w:val="24"/>
        </w:rPr>
        <w:t>Acting Judge of the High Court</w:t>
      </w:r>
    </w:p>
    <w:p w14:paraId="5AB2D32E" w14:textId="77777777" w:rsidR="00121968" w:rsidRPr="00121968" w:rsidRDefault="00121968" w:rsidP="00121968">
      <w:pPr>
        <w:spacing w:line="360" w:lineRule="auto"/>
        <w:ind w:right="-42" w:firstLine="720"/>
        <w:jc w:val="right"/>
        <w:rPr>
          <w:rFonts w:eastAsiaTheme="minorHAnsi" w:cs="Arial"/>
          <w:sz w:val="24"/>
          <w:szCs w:val="24"/>
        </w:rPr>
      </w:pPr>
      <w:r w:rsidRPr="00121968">
        <w:rPr>
          <w:rFonts w:eastAsiaTheme="minorHAnsi" w:cs="Arial"/>
          <w:sz w:val="24"/>
          <w:szCs w:val="24"/>
        </w:rPr>
        <w:tab/>
      </w:r>
      <w:r w:rsidRPr="00121968">
        <w:rPr>
          <w:rFonts w:eastAsiaTheme="minorHAnsi" w:cs="Arial"/>
          <w:sz w:val="24"/>
          <w:szCs w:val="24"/>
        </w:rPr>
        <w:tab/>
      </w:r>
      <w:r w:rsidRPr="00121968">
        <w:rPr>
          <w:rFonts w:eastAsiaTheme="minorHAnsi" w:cs="Arial"/>
          <w:sz w:val="24"/>
          <w:szCs w:val="24"/>
        </w:rPr>
        <w:tab/>
      </w:r>
      <w:r w:rsidRPr="00121968">
        <w:rPr>
          <w:rFonts w:eastAsiaTheme="minorHAnsi" w:cs="Arial"/>
          <w:sz w:val="24"/>
          <w:szCs w:val="24"/>
        </w:rPr>
        <w:tab/>
      </w:r>
      <w:r w:rsidRPr="00121968">
        <w:rPr>
          <w:rFonts w:eastAsiaTheme="minorHAnsi" w:cs="Arial"/>
          <w:sz w:val="24"/>
          <w:szCs w:val="24"/>
        </w:rPr>
        <w:tab/>
      </w:r>
      <w:r w:rsidRPr="00121968">
        <w:rPr>
          <w:rFonts w:eastAsiaTheme="minorHAnsi" w:cs="Arial"/>
          <w:sz w:val="24"/>
          <w:szCs w:val="24"/>
        </w:rPr>
        <w:tab/>
        <w:t>Gauteng Division, Johannesburg.</w:t>
      </w:r>
    </w:p>
    <w:p w14:paraId="64E67927" w14:textId="195C69C0" w:rsidR="000F203B" w:rsidRDefault="000F203B" w:rsidP="00121968">
      <w:pPr>
        <w:keepNext/>
        <w:tabs>
          <w:tab w:val="left" w:pos="5670"/>
        </w:tabs>
        <w:spacing w:line="240" w:lineRule="auto"/>
        <w:rPr>
          <w:lang w:val="en-GB"/>
        </w:rPr>
      </w:pPr>
    </w:p>
    <w:p w14:paraId="6D45A019" w14:textId="77777777" w:rsidR="00121968" w:rsidRDefault="00121968" w:rsidP="00121968">
      <w:pPr>
        <w:spacing w:line="276" w:lineRule="auto"/>
        <w:ind w:right="-42"/>
        <w:rPr>
          <w:rFonts w:eastAsiaTheme="minorHAnsi" w:cs="Arial"/>
          <w:bCs/>
          <w:szCs w:val="24"/>
        </w:rPr>
      </w:pPr>
    </w:p>
    <w:p w14:paraId="231BBFE4" w14:textId="77777777" w:rsidR="00121968" w:rsidRPr="00121968" w:rsidRDefault="00121968" w:rsidP="00121968">
      <w:pPr>
        <w:spacing w:line="360" w:lineRule="auto"/>
        <w:ind w:right="-42"/>
        <w:rPr>
          <w:rFonts w:eastAsiaTheme="minorHAnsi" w:cs="Arial"/>
          <w:bCs/>
          <w:sz w:val="24"/>
          <w:szCs w:val="24"/>
        </w:rPr>
      </w:pPr>
      <w:r w:rsidRPr="00121968">
        <w:rPr>
          <w:rFonts w:eastAsiaTheme="minorHAnsi" w:cs="Arial"/>
          <w:bCs/>
          <w:sz w:val="24"/>
          <w:szCs w:val="24"/>
        </w:rPr>
        <w:t>The judgment was handed down electronically by circulation to the parties and or parties representatives by email and by being uploaded to Caselines. The date for the hand down is deemed to be the 09 October 2023.</w:t>
      </w:r>
    </w:p>
    <w:p w14:paraId="1896D3BC" w14:textId="77777777" w:rsidR="00121968" w:rsidRDefault="00121968" w:rsidP="00B8486B">
      <w:pPr>
        <w:tabs>
          <w:tab w:val="left" w:pos="5670"/>
        </w:tabs>
        <w:rPr>
          <w:lang w:val="en-GB"/>
        </w:rPr>
      </w:pPr>
    </w:p>
    <w:p w14:paraId="3CE4A3CB" w14:textId="77777777" w:rsidR="00121968" w:rsidRDefault="00121968" w:rsidP="00B8486B">
      <w:pPr>
        <w:tabs>
          <w:tab w:val="left" w:pos="5670"/>
        </w:tabs>
        <w:rPr>
          <w:lang w:val="en-GB"/>
        </w:rPr>
      </w:pPr>
    </w:p>
    <w:p w14:paraId="1D9B67B0" w14:textId="77777777" w:rsidR="00121968" w:rsidRDefault="00121968" w:rsidP="00B8486B">
      <w:pPr>
        <w:tabs>
          <w:tab w:val="left" w:pos="5670"/>
        </w:tabs>
        <w:rPr>
          <w:lang w:val="en-GB"/>
        </w:rPr>
      </w:pPr>
    </w:p>
    <w:p w14:paraId="177D4233" w14:textId="77777777" w:rsidR="00121968" w:rsidRDefault="00121968" w:rsidP="00B8486B">
      <w:pPr>
        <w:tabs>
          <w:tab w:val="left" w:pos="5670"/>
        </w:tabs>
        <w:rPr>
          <w:lang w:val="en-GB"/>
        </w:rPr>
      </w:pPr>
    </w:p>
    <w:p w14:paraId="4D6A9273" w14:textId="51807CEA" w:rsidR="00121968" w:rsidRDefault="00121968" w:rsidP="00B8486B">
      <w:pPr>
        <w:tabs>
          <w:tab w:val="left" w:pos="5670"/>
        </w:tabs>
        <w:rPr>
          <w:lang w:val="en-GB"/>
        </w:rPr>
      </w:pPr>
    </w:p>
    <w:p w14:paraId="6A77534A" w14:textId="77777777" w:rsidR="001B68C9" w:rsidRDefault="001B68C9" w:rsidP="00121968">
      <w:pPr>
        <w:spacing w:line="276" w:lineRule="auto"/>
        <w:ind w:right="-42"/>
        <w:jc w:val="left"/>
        <w:rPr>
          <w:lang w:val="en-GB"/>
        </w:rPr>
      </w:pPr>
    </w:p>
    <w:p w14:paraId="290EB32E" w14:textId="77777777" w:rsidR="001B68C9" w:rsidRDefault="001B68C9" w:rsidP="00121968">
      <w:pPr>
        <w:spacing w:line="276" w:lineRule="auto"/>
        <w:ind w:right="-42"/>
        <w:jc w:val="left"/>
        <w:rPr>
          <w:lang w:val="en-GB"/>
        </w:rPr>
      </w:pPr>
    </w:p>
    <w:p w14:paraId="2E6E7A99" w14:textId="77777777" w:rsidR="001B68C9" w:rsidRDefault="001B68C9" w:rsidP="00121968">
      <w:pPr>
        <w:spacing w:line="276" w:lineRule="auto"/>
        <w:ind w:right="-42"/>
        <w:jc w:val="left"/>
        <w:rPr>
          <w:lang w:val="en-GB"/>
        </w:rPr>
      </w:pPr>
    </w:p>
    <w:p w14:paraId="510605F1" w14:textId="4F634582" w:rsidR="00121968" w:rsidRPr="00121968" w:rsidRDefault="00121968" w:rsidP="00121968">
      <w:pPr>
        <w:spacing w:line="276" w:lineRule="auto"/>
        <w:ind w:right="-42"/>
        <w:jc w:val="left"/>
        <w:rPr>
          <w:rFonts w:eastAsiaTheme="minorHAnsi" w:cs="Arial"/>
          <w:sz w:val="24"/>
          <w:szCs w:val="24"/>
        </w:rPr>
      </w:pPr>
      <w:r w:rsidRPr="00121968">
        <w:rPr>
          <w:rFonts w:eastAsiaTheme="minorHAnsi" w:cs="Arial"/>
          <w:b/>
          <w:sz w:val="24"/>
          <w:szCs w:val="24"/>
        </w:rPr>
        <w:t>Heard</w:t>
      </w:r>
      <w:r w:rsidRPr="00121968">
        <w:rPr>
          <w:rFonts w:eastAsiaTheme="minorHAnsi" w:cs="Arial"/>
          <w:sz w:val="24"/>
          <w:szCs w:val="24"/>
        </w:rPr>
        <w:t>:</w:t>
      </w:r>
      <w:r w:rsidRPr="00121968">
        <w:rPr>
          <w:rFonts w:eastAsiaTheme="minorHAnsi" w:cs="Arial"/>
          <w:sz w:val="24"/>
          <w:szCs w:val="24"/>
        </w:rPr>
        <w:tab/>
      </w:r>
      <w:r w:rsidRPr="00121968">
        <w:rPr>
          <w:rFonts w:eastAsiaTheme="minorHAnsi" w:cs="Arial"/>
          <w:sz w:val="24"/>
          <w:szCs w:val="24"/>
        </w:rPr>
        <w:tab/>
      </w:r>
      <w:r w:rsidRPr="00121968">
        <w:rPr>
          <w:rFonts w:eastAsiaTheme="minorHAnsi" w:cs="Arial"/>
          <w:sz w:val="24"/>
          <w:szCs w:val="24"/>
        </w:rPr>
        <w:tab/>
        <w:t xml:space="preserve">04 October 2023 </w:t>
      </w:r>
    </w:p>
    <w:p w14:paraId="275DB56E" w14:textId="67244973" w:rsidR="00121968" w:rsidRPr="00121968" w:rsidRDefault="00121968" w:rsidP="00121968">
      <w:pPr>
        <w:tabs>
          <w:tab w:val="left" w:pos="5670"/>
        </w:tabs>
        <w:rPr>
          <w:b/>
          <w:bCs/>
          <w:sz w:val="24"/>
          <w:szCs w:val="24"/>
          <w:u w:val="single"/>
          <w:lang w:val="en-GB"/>
        </w:rPr>
      </w:pPr>
      <w:r w:rsidRPr="00121968">
        <w:rPr>
          <w:rFonts w:eastAsiaTheme="minorHAnsi" w:cs="Arial"/>
          <w:b/>
          <w:sz w:val="24"/>
          <w:szCs w:val="24"/>
        </w:rPr>
        <w:t>Judgment</w:t>
      </w:r>
      <w:r w:rsidRPr="00121968">
        <w:rPr>
          <w:rFonts w:eastAsiaTheme="minorHAnsi" w:cs="Arial"/>
          <w:sz w:val="24"/>
          <w:szCs w:val="24"/>
        </w:rPr>
        <w:t>:</w:t>
      </w:r>
      <w:r>
        <w:rPr>
          <w:rFonts w:eastAsiaTheme="minorHAnsi" w:cs="Arial"/>
          <w:sz w:val="24"/>
          <w:szCs w:val="24"/>
        </w:rPr>
        <w:t xml:space="preserve">                09 October 2023</w:t>
      </w:r>
    </w:p>
    <w:p w14:paraId="7B63A1AD" w14:textId="7E0063E0" w:rsidR="000F203B" w:rsidRPr="00121968" w:rsidRDefault="00121968" w:rsidP="00121968">
      <w:pPr>
        <w:tabs>
          <w:tab w:val="left" w:pos="5670"/>
        </w:tabs>
        <w:spacing w:line="360" w:lineRule="auto"/>
        <w:rPr>
          <w:b/>
          <w:bCs/>
          <w:sz w:val="24"/>
          <w:szCs w:val="24"/>
          <w:u w:val="single"/>
          <w:lang w:val="en-GB"/>
        </w:rPr>
      </w:pPr>
      <w:r w:rsidRPr="00121968">
        <w:rPr>
          <w:b/>
          <w:bCs/>
          <w:sz w:val="24"/>
          <w:szCs w:val="24"/>
          <w:u w:val="single"/>
          <w:lang w:val="en-GB"/>
        </w:rPr>
        <w:t>Appearances:</w:t>
      </w:r>
    </w:p>
    <w:p w14:paraId="286B13DC" w14:textId="1ACA9A85" w:rsidR="000F203B" w:rsidRPr="00121968" w:rsidRDefault="00121968" w:rsidP="00121968">
      <w:pPr>
        <w:tabs>
          <w:tab w:val="left" w:pos="5670"/>
        </w:tabs>
        <w:spacing w:line="360" w:lineRule="auto"/>
        <w:rPr>
          <w:b/>
          <w:bCs/>
          <w:sz w:val="24"/>
          <w:szCs w:val="24"/>
          <w:lang w:val="en-GB"/>
        </w:rPr>
      </w:pPr>
      <w:r w:rsidRPr="00121968">
        <w:rPr>
          <w:b/>
          <w:bCs/>
          <w:sz w:val="24"/>
          <w:szCs w:val="24"/>
          <w:lang w:val="en-GB"/>
        </w:rPr>
        <w:t>For the Plaintiff</w:t>
      </w:r>
      <w:r w:rsidR="000F203B" w:rsidRPr="00121968">
        <w:rPr>
          <w:b/>
          <w:bCs/>
          <w:sz w:val="24"/>
          <w:szCs w:val="24"/>
          <w:lang w:val="en-GB"/>
        </w:rPr>
        <w:t>:</w:t>
      </w:r>
      <w:r w:rsidRPr="00121968">
        <w:rPr>
          <w:b/>
          <w:bCs/>
          <w:sz w:val="24"/>
          <w:szCs w:val="24"/>
          <w:lang w:val="en-GB"/>
        </w:rPr>
        <w:t xml:space="preserve">          </w:t>
      </w:r>
      <w:r w:rsidR="000F203B" w:rsidRPr="00121968">
        <w:rPr>
          <w:sz w:val="24"/>
          <w:szCs w:val="24"/>
          <w:lang w:val="en-GB"/>
        </w:rPr>
        <w:t>Adv J G Dobie</w:t>
      </w:r>
    </w:p>
    <w:p w14:paraId="23D384A2" w14:textId="48366A85" w:rsidR="000F203B" w:rsidRPr="00121968" w:rsidRDefault="00121968" w:rsidP="00121968">
      <w:pPr>
        <w:tabs>
          <w:tab w:val="left" w:pos="5670"/>
        </w:tabs>
        <w:spacing w:line="360" w:lineRule="auto"/>
        <w:rPr>
          <w:sz w:val="24"/>
          <w:szCs w:val="24"/>
          <w:lang w:val="en-GB"/>
        </w:rPr>
      </w:pPr>
      <w:r w:rsidRPr="00121968">
        <w:rPr>
          <w:b/>
          <w:bCs/>
          <w:sz w:val="24"/>
          <w:szCs w:val="24"/>
          <w:lang w:val="en-GB"/>
        </w:rPr>
        <w:t>Instructed by</w:t>
      </w:r>
      <w:r w:rsidR="000F203B" w:rsidRPr="00121968">
        <w:rPr>
          <w:b/>
          <w:bCs/>
          <w:sz w:val="24"/>
          <w:szCs w:val="24"/>
          <w:lang w:val="en-GB"/>
        </w:rPr>
        <w:t>:</w:t>
      </w:r>
      <w:r w:rsidRPr="00121968">
        <w:rPr>
          <w:b/>
          <w:bCs/>
          <w:sz w:val="24"/>
          <w:szCs w:val="24"/>
          <w:lang w:val="en-GB"/>
        </w:rPr>
        <w:t xml:space="preserve">              </w:t>
      </w:r>
      <w:r w:rsidR="000F203B" w:rsidRPr="00121968">
        <w:rPr>
          <w:sz w:val="24"/>
          <w:szCs w:val="24"/>
          <w:lang w:val="en-GB"/>
        </w:rPr>
        <w:t>Rooseboom Attorneys</w:t>
      </w:r>
    </w:p>
    <w:p w14:paraId="75DDBF62" w14:textId="21D91D7A" w:rsidR="000F203B" w:rsidRPr="00121968" w:rsidRDefault="00121968" w:rsidP="00121968">
      <w:pPr>
        <w:tabs>
          <w:tab w:val="left" w:pos="5670"/>
        </w:tabs>
        <w:spacing w:line="360" w:lineRule="auto"/>
        <w:rPr>
          <w:b/>
          <w:bCs/>
          <w:sz w:val="24"/>
          <w:szCs w:val="24"/>
          <w:lang w:val="en-GB"/>
        </w:rPr>
      </w:pPr>
      <w:r w:rsidRPr="00121968">
        <w:rPr>
          <w:b/>
          <w:bCs/>
          <w:sz w:val="24"/>
          <w:szCs w:val="24"/>
          <w:lang w:val="en-GB"/>
        </w:rPr>
        <w:t>For the Defendant</w:t>
      </w:r>
      <w:r w:rsidR="000F203B" w:rsidRPr="00121968">
        <w:rPr>
          <w:b/>
          <w:bCs/>
          <w:sz w:val="24"/>
          <w:szCs w:val="24"/>
          <w:lang w:val="en-GB"/>
        </w:rPr>
        <w:t>:</w:t>
      </w:r>
      <w:r w:rsidRPr="00121968">
        <w:rPr>
          <w:b/>
          <w:bCs/>
          <w:sz w:val="24"/>
          <w:szCs w:val="24"/>
          <w:lang w:val="en-GB"/>
        </w:rPr>
        <w:t xml:space="preserve">      </w:t>
      </w:r>
      <w:r w:rsidR="000F203B" w:rsidRPr="00121968">
        <w:rPr>
          <w:sz w:val="24"/>
          <w:szCs w:val="24"/>
          <w:lang w:val="en-GB"/>
        </w:rPr>
        <w:t>Mr V O M Seloane</w:t>
      </w:r>
    </w:p>
    <w:p w14:paraId="1DA3BC97" w14:textId="7D83AF7A" w:rsidR="000F203B" w:rsidRPr="00121968" w:rsidRDefault="00121968" w:rsidP="00121968">
      <w:pPr>
        <w:tabs>
          <w:tab w:val="left" w:pos="5670"/>
        </w:tabs>
        <w:spacing w:line="360" w:lineRule="auto"/>
        <w:rPr>
          <w:b/>
          <w:bCs/>
          <w:sz w:val="24"/>
          <w:szCs w:val="24"/>
          <w:lang w:val="en-GB"/>
        </w:rPr>
      </w:pPr>
      <w:r w:rsidRPr="00121968">
        <w:rPr>
          <w:b/>
          <w:bCs/>
          <w:sz w:val="24"/>
          <w:szCs w:val="24"/>
          <w:lang w:val="en-GB"/>
        </w:rPr>
        <w:t>Instructed by</w:t>
      </w:r>
      <w:r w:rsidR="000F203B" w:rsidRPr="00121968">
        <w:rPr>
          <w:b/>
          <w:bCs/>
          <w:sz w:val="24"/>
          <w:szCs w:val="24"/>
          <w:lang w:val="en-GB"/>
        </w:rPr>
        <w:t>:</w:t>
      </w:r>
      <w:r w:rsidRPr="00121968">
        <w:rPr>
          <w:b/>
          <w:bCs/>
          <w:sz w:val="24"/>
          <w:szCs w:val="24"/>
          <w:lang w:val="en-GB"/>
        </w:rPr>
        <w:t xml:space="preserve">              </w:t>
      </w:r>
      <w:r w:rsidR="000F203B" w:rsidRPr="00121968">
        <w:rPr>
          <w:sz w:val="24"/>
          <w:szCs w:val="24"/>
          <w:lang w:val="en-GB"/>
        </w:rPr>
        <w:t>Seloane Vincent Attorneys</w:t>
      </w:r>
    </w:p>
    <w:p w14:paraId="1972EA82" w14:textId="77777777" w:rsidR="000F203B" w:rsidRPr="00106DAF" w:rsidRDefault="000F203B" w:rsidP="00B8486B">
      <w:pPr>
        <w:tabs>
          <w:tab w:val="left" w:pos="5670"/>
        </w:tabs>
        <w:rPr>
          <w:lang w:val="en-GB"/>
        </w:rPr>
      </w:pPr>
    </w:p>
    <w:sectPr w:rsidR="000F203B" w:rsidRPr="00106DAF" w:rsidSect="003D1119">
      <w:headerReference w:type="even" r:id="rId13"/>
      <w:headerReference w:type="default" r:id="rId14"/>
      <w:pgSz w:w="11906" w:h="16838" w:code="9"/>
      <w:pgMar w:top="851" w:right="1304" w:bottom="851"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B554" w14:textId="77777777" w:rsidR="00204B76" w:rsidRDefault="00204B76">
      <w:r>
        <w:separator/>
      </w:r>
    </w:p>
  </w:endnote>
  <w:endnote w:type="continuationSeparator" w:id="0">
    <w:p w14:paraId="5C861A4D" w14:textId="77777777" w:rsidR="00204B76" w:rsidRDefault="0020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8010" w14:textId="77777777" w:rsidR="00204B76" w:rsidRDefault="00204B76">
      <w:r>
        <w:separator/>
      </w:r>
    </w:p>
  </w:footnote>
  <w:footnote w:type="continuationSeparator" w:id="0">
    <w:p w14:paraId="2306B7AA" w14:textId="77777777" w:rsidR="00204B76" w:rsidRDefault="00204B76">
      <w:r>
        <w:continuationSeparator/>
      </w:r>
    </w:p>
  </w:footnote>
  <w:footnote w:id="1">
    <w:p w14:paraId="4C145DA4" w14:textId="0D8D72D2" w:rsidR="00452234" w:rsidRPr="00452234" w:rsidRDefault="00452234">
      <w:pPr>
        <w:pStyle w:val="FootnoteText"/>
        <w:rPr>
          <w:lang w:val="en-US"/>
        </w:rPr>
      </w:pPr>
      <w:r>
        <w:rPr>
          <w:rStyle w:val="FootnoteReference"/>
        </w:rPr>
        <w:footnoteRef/>
      </w:r>
      <w:r>
        <w:t xml:space="preserve"> </w:t>
      </w:r>
      <w:r>
        <w:rPr>
          <w:lang w:val="en-US"/>
        </w:rPr>
        <w:t>Paragraph 7 of the plea.</w:t>
      </w:r>
    </w:p>
  </w:footnote>
  <w:footnote w:id="2">
    <w:p w14:paraId="6360E589" w14:textId="789E0D56" w:rsidR="00C71A01" w:rsidRPr="00C71A01" w:rsidRDefault="00C71A01">
      <w:pPr>
        <w:pStyle w:val="FootnoteText"/>
        <w:rPr>
          <w:lang w:val="en-US"/>
        </w:rPr>
      </w:pPr>
      <w:r>
        <w:rPr>
          <w:rStyle w:val="FootnoteReference"/>
        </w:rPr>
        <w:footnoteRef/>
      </w:r>
      <w:r>
        <w:t xml:space="preserve"> </w:t>
      </w:r>
      <w:r>
        <w:rPr>
          <w:lang w:val="en-US"/>
        </w:rPr>
        <w:t>Paragraph 6.4 of the plea.</w:t>
      </w:r>
    </w:p>
  </w:footnote>
  <w:footnote w:id="3">
    <w:p w14:paraId="6B3CDA83" w14:textId="7A5A4A4D" w:rsidR="00596CB1" w:rsidRPr="00596CB1" w:rsidRDefault="00596CB1">
      <w:pPr>
        <w:pStyle w:val="FootnoteText"/>
        <w:rPr>
          <w:lang w:val="en-US"/>
        </w:rPr>
      </w:pPr>
      <w:r>
        <w:rPr>
          <w:rStyle w:val="FootnoteReference"/>
        </w:rPr>
        <w:footnoteRef/>
      </w:r>
      <w:r>
        <w:t xml:space="preserve"> </w:t>
      </w:r>
      <w:r>
        <w:rPr>
          <w:lang w:val="en-US"/>
        </w:rPr>
        <w:t>Paragraph 7 of the plea.</w:t>
      </w:r>
    </w:p>
  </w:footnote>
  <w:footnote w:id="4">
    <w:p w14:paraId="42A39F8B" w14:textId="7D1CB81E" w:rsidR="00530AE6" w:rsidRPr="00530AE6" w:rsidRDefault="00530AE6">
      <w:pPr>
        <w:pStyle w:val="FootnoteText"/>
        <w:rPr>
          <w:lang w:val="en-US"/>
        </w:rPr>
      </w:pPr>
      <w:r>
        <w:rPr>
          <w:rStyle w:val="FootnoteReference"/>
        </w:rPr>
        <w:footnoteRef/>
      </w:r>
      <w:r>
        <w:t xml:space="preserve"> </w:t>
      </w:r>
      <w:r>
        <w:rPr>
          <w:lang w:val="en-US"/>
        </w:rPr>
        <w:t>Paragraphs 3, 4.3 and 4.4 of the affidavit in support of summary judgment, read with paragraphs 7, 9 and 11 of the plaintiffs’ particulars of claim.</w:t>
      </w:r>
    </w:p>
  </w:footnote>
  <w:footnote w:id="5">
    <w:p w14:paraId="0DA8B476" w14:textId="0382A537" w:rsidR="00362E57" w:rsidRPr="00362E57" w:rsidRDefault="00362E57">
      <w:pPr>
        <w:pStyle w:val="FootnoteText"/>
        <w:rPr>
          <w:lang w:val="en-US"/>
        </w:rPr>
      </w:pPr>
      <w:r>
        <w:rPr>
          <w:rStyle w:val="FootnoteReference"/>
        </w:rPr>
        <w:footnoteRef/>
      </w:r>
      <w:r>
        <w:t xml:space="preserve"> </w:t>
      </w:r>
      <w:r>
        <w:rPr>
          <w:lang w:val="en-US"/>
        </w:rPr>
        <w:t>Paragraph 4 of the plea.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5DF8" w14:textId="77777777" w:rsidR="00AE26A1" w:rsidRDefault="00AE2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7A405" w14:textId="77777777" w:rsidR="00AE26A1" w:rsidRDefault="00AE26A1">
    <w:pPr>
      <w:pStyle w:val="Header"/>
      <w:ind w:right="360"/>
    </w:pPr>
  </w:p>
  <w:p w14:paraId="7D9C451B" w14:textId="77777777" w:rsidR="00AE26A1" w:rsidRDefault="00AE26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3DCC" w14:textId="4687365C" w:rsidR="00AE26A1" w:rsidRDefault="00AE26A1" w:rsidP="00182F33">
    <w:pPr>
      <w:pStyle w:val="Header"/>
      <w:tabs>
        <w:tab w:val="left" w:pos="1460"/>
        <w:tab w:val="right" w:pos="8278"/>
      </w:tabs>
      <w:jc w:val="left"/>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577DA">
      <w:rPr>
        <w:rStyle w:val="PageNumber"/>
        <w:noProof/>
      </w:rPr>
      <w:t>2</w:t>
    </w:r>
    <w:r>
      <w:rPr>
        <w:rStyle w:val="PageNumber"/>
      </w:rPr>
      <w:fldChar w:fldCharType="end"/>
    </w:r>
  </w:p>
  <w:p w14:paraId="0465B59F" w14:textId="77777777" w:rsidR="00AE26A1" w:rsidRDefault="00AE26A1">
    <w:pPr>
      <w:pStyle w:val="Header"/>
      <w:rPr>
        <w:rStyle w:val="PageNumber"/>
      </w:rPr>
    </w:pPr>
  </w:p>
  <w:p w14:paraId="4CF547A3" w14:textId="77777777" w:rsidR="00AE26A1" w:rsidRDefault="00AE26A1">
    <w:pPr>
      <w:pStyle w:val="Header"/>
      <w:rPr>
        <w:rStyle w:val="PageNumber"/>
      </w:rPr>
    </w:pPr>
  </w:p>
  <w:p w14:paraId="78CA1EDD" w14:textId="77777777" w:rsidR="00AE26A1" w:rsidRDefault="00AE26A1">
    <w:pPr>
      <w:pStyle w:val="Header"/>
      <w:rPr>
        <w:rStyle w:val="PageNumber"/>
      </w:rPr>
    </w:pPr>
  </w:p>
  <w:p w14:paraId="7D0EFEA4" w14:textId="77777777" w:rsidR="00AE26A1" w:rsidRDefault="00AE26A1">
    <w:pPr>
      <w:pStyle w:val="Header"/>
      <w:rPr>
        <w:rStyle w:val="PageNumber"/>
      </w:rPr>
    </w:pPr>
  </w:p>
  <w:p w14:paraId="434BCB3F" w14:textId="77777777" w:rsidR="00AE26A1" w:rsidRDefault="00AE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64A61304"/>
    <w:multiLevelType w:val="multilevel"/>
    <w:tmpl w:val="F286B7AE"/>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nsid w:val="662272A2"/>
    <w:multiLevelType w:val="multilevel"/>
    <w:tmpl w:val="02D4D004"/>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3">
    <w:nsid w:val="72684E25"/>
    <w:multiLevelType w:val="hybridMultilevel"/>
    <w:tmpl w:val="8DFA2384"/>
    <w:lvl w:ilvl="0" w:tplc="BEBE27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E6"/>
    <w:rsid w:val="00001842"/>
    <w:rsid w:val="00002EEA"/>
    <w:rsid w:val="00011201"/>
    <w:rsid w:val="00014FB0"/>
    <w:rsid w:val="000201AF"/>
    <w:rsid w:val="00022181"/>
    <w:rsid w:val="00023E2F"/>
    <w:rsid w:val="00026A0F"/>
    <w:rsid w:val="00030333"/>
    <w:rsid w:val="00030BE0"/>
    <w:rsid w:val="00031C63"/>
    <w:rsid w:val="00032979"/>
    <w:rsid w:val="0003302F"/>
    <w:rsid w:val="000360B9"/>
    <w:rsid w:val="00054DB7"/>
    <w:rsid w:val="00063300"/>
    <w:rsid w:val="00071B36"/>
    <w:rsid w:val="000810FE"/>
    <w:rsid w:val="000819D6"/>
    <w:rsid w:val="00091106"/>
    <w:rsid w:val="0009437F"/>
    <w:rsid w:val="00096C6A"/>
    <w:rsid w:val="000971A3"/>
    <w:rsid w:val="000A0477"/>
    <w:rsid w:val="000A08B6"/>
    <w:rsid w:val="000A26A6"/>
    <w:rsid w:val="000A62F9"/>
    <w:rsid w:val="000A6F5E"/>
    <w:rsid w:val="000B4DF7"/>
    <w:rsid w:val="000B7426"/>
    <w:rsid w:val="000C04B1"/>
    <w:rsid w:val="000C4B54"/>
    <w:rsid w:val="000D0A61"/>
    <w:rsid w:val="000D20DC"/>
    <w:rsid w:val="000D6C78"/>
    <w:rsid w:val="000E1759"/>
    <w:rsid w:val="000E4286"/>
    <w:rsid w:val="000E5200"/>
    <w:rsid w:val="000F203B"/>
    <w:rsid w:val="000F2C6A"/>
    <w:rsid w:val="000F58BB"/>
    <w:rsid w:val="000F5E3B"/>
    <w:rsid w:val="000F7EB2"/>
    <w:rsid w:val="00104C94"/>
    <w:rsid w:val="00106DAF"/>
    <w:rsid w:val="00113E0F"/>
    <w:rsid w:val="00121968"/>
    <w:rsid w:val="00122399"/>
    <w:rsid w:val="00122BF5"/>
    <w:rsid w:val="001332F9"/>
    <w:rsid w:val="00134BBE"/>
    <w:rsid w:val="00135133"/>
    <w:rsid w:val="00137876"/>
    <w:rsid w:val="00140E95"/>
    <w:rsid w:val="00143C80"/>
    <w:rsid w:val="00146DDB"/>
    <w:rsid w:val="00153CA4"/>
    <w:rsid w:val="00162B02"/>
    <w:rsid w:val="00163CC1"/>
    <w:rsid w:val="00164189"/>
    <w:rsid w:val="00167424"/>
    <w:rsid w:val="00167AA9"/>
    <w:rsid w:val="0017074F"/>
    <w:rsid w:val="00172F34"/>
    <w:rsid w:val="0017573C"/>
    <w:rsid w:val="00177AA1"/>
    <w:rsid w:val="00180774"/>
    <w:rsid w:val="00182F33"/>
    <w:rsid w:val="0018340D"/>
    <w:rsid w:val="00186DD9"/>
    <w:rsid w:val="00190069"/>
    <w:rsid w:val="001904A6"/>
    <w:rsid w:val="001A1DA8"/>
    <w:rsid w:val="001B23B9"/>
    <w:rsid w:val="001B3B14"/>
    <w:rsid w:val="001B5DE0"/>
    <w:rsid w:val="001B68C9"/>
    <w:rsid w:val="001B70B9"/>
    <w:rsid w:val="001C2661"/>
    <w:rsid w:val="001C6525"/>
    <w:rsid w:val="001E0364"/>
    <w:rsid w:val="001E5790"/>
    <w:rsid w:val="001E6A2A"/>
    <w:rsid w:val="001E6D14"/>
    <w:rsid w:val="001E729D"/>
    <w:rsid w:val="001F09C3"/>
    <w:rsid w:val="001F09E6"/>
    <w:rsid w:val="001F1293"/>
    <w:rsid w:val="002008CA"/>
    <w:rsid w:val="00201933"/>
    <w:rsid w:val="00203644"/>
    <w:rsid w:val="00204B76"/>
    <w:rsid w:val="00206982"/>
    <w:rsid w:val="0021464A"/>
    <w:rsid w:val="00216D71"/>
    <w:rsid w:val="00224162"/>
    <w:rsid w:val="00225347"/>
    <w:rsid w:val="0022574B"/>
    <w:rsid w:val="0022693A"/>
    <w:rsid w:val="00234703"/>
    <w:rsid w:val="00236D77"/>
    <w:rsid w:val="00237582"/>
    <w:rsid w:val="002376ED"/>
    <w:rsid w:val="002426BE"/>
    <w:rsid w:val="00242D0D"/>
    <w:rsid w:val="002509A2"/>
    <w:rsid w:val="00250AAB"/>
    <w:rsid w:val="00251C56"/>
    <w:rsid w:val="00252252"/>
    <w:rsid w:val="00253707"/>
    <w:rsid w:val="00256740"/>
    <w:rsid w:val="00261003"/>
    <w:rsid w:val="00262D26"/>
    <w:rsid w:val="00265373"/>
    <w:rsid w:val="002743D0"/>
    <w:rsid w:val="00282E44"/>
    <w:rsid w:val="00282F9A"/>
    <w:rsid w:val="0028554B"/>
    <w:rsid w:val="0028557C"/>
    <w:rsid w:val="002948A6"/>
    <w:rsid w:val="002A19B6"/>
    <w:rsid w:val="002A3770"/>
    <w:rsid w:val="002A4619"/>
    <w:rsid w:val="002A65A9"/>
    <w:rsid w:val="002B4530"/>
    <w:rsid w:val="002B536B"/>
    <w:rsid w:val="002B7B6B"/>
    <w:rsid w:val="002C1353"/>
    <w:rsid w:val="002C690F"/>
    <w:rsid w:val="002D05E5"/>
    <w:rsid w:val="002D64AD"/>
    <w:rsid w:val="002D6582"/>
    <w:rsid w:val="002D67EF"/>
    <w:rsid w:val="002D6C8C"/>
    <w:rsid w:val="002E392D"/>
    <w:rsid w:val="002E4224"/>
    <w:rsid w:val="002E58FE"/>
    <w:rsid w:val="002F0311"/>
    <w:rsid w:val="002F0545"/>
    <w:rsid w:val="002F1A7D"/>
    <w:rsid w:val="002F3506"/>
    <w:rsid w:val="002F38C4"/>
    <w:rsid w:val="002F4570"/>
    <w:rsid w:val="002F54E4"/>
    <w:rsid w:val="00300D87"/>
    <w:rsid w:val="00302648"/>
    <w:rsid w:val="00302FB9"/>
    <w:rsid w:val="00304A5B"/>
    <w:rsid w:val="00311EC6"/>
    <w:rsid w:val="003121F9"/>
    <w:rsid w:val="003130F4"/>
    <w:rsid w:val="003426D0"/>
    <w:rsid w:val="00345FE6"/>
    <w:rsid w:val="00347D77"/>
    <w:rsid w:val="00354FC3"/>
    <w:rsid w:val="00362E57"/>
    <w:rsid w:val="0036625B"/>
    <w:rsid w:val="0037180A"/>
    <w:rsid w:val="00372DED"/>
    <w:rsid w:val="00377864"/>
    <w:rsid w:val="00380680"/>
    <w:rsid w:val="00383E77"/>
    <w:rsid w:val="00391465"/>
    <w:rsid w:val="0039390F"/>
    <w:rsid w:val="00393F3D"/>
    <w:rsid w:val="00394F46"/>
    <w:rsid w:val="00396039"/>
    <w:rsid w:val="003962A4"/>
    <w:rsid w:val="003A5BE1"/>
    <w:rsid w:val="003B07A8"/>
    <w:rsid w:val="003B1EA0"/>
    <w:rsid w:val="003B5F80"/>
    <w:rsid w:val="003C6A2D"/>
    <w:rsid w:val="003D1119"/>
    <w:rsid w:val="003D219B"/>
    <w:rsid w:val="003E34CF"/>
    <w:rsid w:val="003E60A6"/>
    <w:rsid w:val="003F05AF"/>
    <w:rsid w:val="003F1FD1"/>
    <w:rsid w:val="003F1FF5"/>
    <w:rsid w:val="003F2566"/>
    <w:rsid w:val="003F6414"/>
    <w:rsid w:val="00402666"/>
    <w:rsid w:val="00407CE2"/>
    <w:rsid w:val="00412A95"/>
    <w:rsid w:val="00413B70"/>
    <w:rsid w:val="004163C0"/>
    <w:rsid w:val="00420269"/>
    <w:rsid w:val="004267CE"/>
    <w:rsid w:val="00433116"/>
    <w:rsid w:val="00433B13"/>
    <w:rsid w:val="004344EB"/>
    <w:rsid w:val="00436545"/>
    <w:rsid w:val="00452234"/>
    <w:rsid w:val="00456248"/>
    <w:rsid w:val="0045782A"/>
    <w:rsid w:val="00461995"/>
    <w:rsid w:val="00463AF6"/>
    <w:rsid w:val="004700DB"/>
    <w:rsid w:val="004704C8"/>
    <w:rsid w:val="00472111"/>
    <w:rsid w:val="0047327B"/>
    <w:rsid w:val="00473B3D"/>
    <w:rsid w:val="00473BA7"/>
    <w:rsid w:val="00476E6C"/>
    <w:rsid w:val="0048554C"/>
    <w:rsid w:val="00485725"/>
    <w:rsid w:val="00485C95"/>
    <w:rsid w:val="00487196"/>
    <w:rsid w:val="00491F1E"/>
    <w:rsid w:val="00496AA4"/>
    <w:rsid w:val="004975F5"/>
    <w:rsid w:val="004A0241"/>
    <w:rsid w:val="004A5D64"/>
    <w:rsid w:val="004B5BEB"/>
    <w:rsid w:val="004C5C7A"/>
    <w:rsid w:val="004C5DA6"/>
    <w:rsid w:val="004C7B1A"/>
    <w:rsid w:val="004D7371"/>
    <w:rsid w:val="004E21C8"/>
    <w:rsid w:val="004F018B"/>
    <w:rsid w:val="004F2990"/>
    <w:rsid w:val="004F50E5"/>
    <w:rsid w:val="005015A8"/>
    <w:rsid w:val="00503014"/>
    <w:rsid w:val="00507329"/>
    <w:rsid w:val="00511878"/>
    <w:rsid w:val="0051505B"/>
    <w:rsid w:val="00530AE6"/>
    <w:rsid w:val="00533B25"/>
    <w:rsid w:val="00534741"/>
    <w:rsid w:val="00536437"/>
    <w:rsid w:val="005523C2"/>
    <w:rsid w:val="00553AB6"/>
    <w:rsid w:val="00554989"/>
    <w:rsid w:val="005624CC"/>
    <w:rsid w:val="0056329E"/>
    <w:rsid w:val="0056502B"/>
    <w:rsid w:val="00572FE1"/>
    <w:rsid w:val="00575167"/>
    <w:rsid w:val="00580668"/>
    <w:rsid w:val="00596CB1"/>
    <w:rsid w:val="005A1238"/>
    <w:rsid w:val="005A2820"/>
    <w:rsid w:val="005A456F"/>
    <w:rsid w:val="005A674A"/>
    <w:rsid w:val="005B1333"/>
    <w:rsid w:val="005B4D72"/>
    <w:rsid w:val="005B50A5"/>
    <w:rsid w:val="005B6031"/>
    <w:rsid w:val="005C5197"/>
    <w:rsid w:val="005D14BB"/>
    <w:rsid w:val="005D4035"/>
    <w:rsid w:val="005F3DAD"/>
    <w:rsid w:val="005F59B4"/>
    <w:rsid w:val="005F5D85"/>
    <w:rsid w:val="006034F2"/>
    <w:rsid w:val="006078B9"/>
    <w:rsid w:val="00610090"/>
    <w:rsid w:val="0061355A"/>
    <w:rsid w:val="00614EFA"/>
    <w:rsid w:val="00621739"/>
    <w:rsid w:val="00625F9E"/>
    <w:rsid w:val="006345C2"/>
    <w:rsid w:val="00635944"/>
    <w:rsid w:val="00641638"/>
    <w:rsid w:val="00644668"/>
    <w:rsid w:val="00646671"/>
    <w:rsid w:val="00651542"/>
    <w:rsid w:val="00654D8B"/>
    <w:rsid w:val="00656199"/>
    <w:rsid w:val="00657621"/>
    <w:rsid w:val="00657E46"/>
    <w:rsid w:val="006605C7"/>
    <w:rsid w:val="00661892"/>
    <w:rsid w:val="00665E48"/>
    <w:rsid w:val="006676FA"/>
    <w:rsid w:val="006717BE"/>
    <w:rsid w:val="00671B9B"/>
    <w:rsid w:val="00674588"/>
    <w:rsid w:val="006760BE"/>
    <w:rsid w:val="006768B0"/>
    <w:rsid w:val="00680150"/>
    <w:rsid w:val="00683627"/>
    <w:rsid w:val="00685929"/>
    <w:rsid w:val="00686380"/>
    <w:rsid w:val="00690885"/>
    <w:rsid w:val="006967FB"/>
    <w:rsid w:val="006978FF"/>
    <w:rsid w:val="00697B7E"/>
    <w:rsid w:val="006A2E09"/>
    <w:rsid w:val="006A4931"/>
    <w:rsid w:val="006A6B11"/>
    <w:rsid w:val="006B2021"/>
    <w:rsid w:val="006B7015"/>
    <w:rsid w:val="006C05E3"/>
    <w:rsid w:val="006C09E9"/>
    <w:rsid w:val="006C1914"/>
    <w:rsid w:val="006C303D"/>
    <w:rsid w:val="006C7ACD"/>
    <w:rsid w:val="006D24AA"/>
    <w:rsid w:val="006D3B06"/>
    <w:rsid w:val="006D6907"/>
    <w:rsid w:val="006E33B7"/>
    <w:rsid w:val="006E3C5D"/>
    <w:rsid w:val="006E626F"/>
    <w:rsid w:val="006E6BB1"/>
    <w:rsid w:val="006E7647"/>
    <w:rsid w:val="006F0817"/>
    <w:rsid w:val="006F32E3"/>
    <w:rsid w:val="006F7207"/>
    <w:rsid w:val="006F7740"/>
    <w:rsid w:val="007041F4"/>
    <w:rsid w:val="0070553C"/>
    <w:rsid w:val="007151B7"/>
    <w:rsid w:val="00717029"/>
    <w:rsid w:val="00720B12"/>
    <w:rsid w:val="00720E19"/>
    <w:rsid w:val="00723C28"/>
    <w:rsid w:val="007240B4"/>
    <w:rsid w:val="00724FC6"/>
    <w:rsid w:val="00725180"/>
    <w:rsid w:val="0072706F"/>
    <w:rsid w:val="007331E1"/>
    <w:rsid w:val="00740802"/>
    <w:rsid w:val="0074203C"/>
    <w:rsid w:val="007427F6"/>
    <w:rsid w:val="007506E6"/>
    <w:rsid w:val="00751D1D"/>
    <w:rsid w:val="00753029"/>
    <w:rsid w:val="007577DA"/>
    <w:rsid w:val="00770AFA"/>
    <w:rsid w:val="00771391"/>
    <w:rsid w:val="0077469D"/>
    <w:rsid w:val="00776453"/>
    <w:rsid w:val="007917C7"/>
    <w:rsid w:val="00795806"/>
    <w:rsid w:val="00796FAB"/>
    <w:rsid w:val="007A03E5"/>
    <w:rsid w:val="007A17B4"/>
    <w:rsid w:val="007A4EB8"/>
    <w:rsid w:val="007A55E3"/>
    <w:rsid w:val="007B22C1"/>
    <w:rsid w:val="007B2EA3"/>
    <w:rsid w:val="007B3FEF"/>
    <w:rsid w:val="007B6241"/>
    <w:rsid w:val="007C446C"/>
    <w:rsid w:val="007C52F6"/>
    <w:rsid w:val="007C5924"/>
    <w:rsid w:val="007C602D"/>
    <w:rsid w:val="007C64A9"/>
    <w:rsid w:val="007D274C"/>
    <w:rsid w:val="007D7064"/>
    <w:rsid w:val="007E0569"/>
    <w:rsid w:val="007E139D"/>
    <w:rsid w:val="007E23D9"/>
    <w:rsid w:val="007F3442"/>
    <w:rsid w:val="007F40E6"/>
    <w:rsid w:val="00802C4B"/>
    <w:rsid w:val="0080556C"/>
    <w:rsid w:val="00807D57"/>
    <w:rsid w:val="00816714"/>
    <w:rsid w:val="0082048E"/>
    <w:rsid w:val="008208B7"/>
    <w:rsid w:val="00822B9E"/>
    <w:rsid w:val="00823851"/>
    <w:rsid w:val="00830655"/>
    <w:rsid w:val="00834CC9"/>
    <w:rsid w:val="00836839"/>
    <w:rsid w:val="008370F6"/>
    <w:rsid w:val="00845835"/>
    <w:rsid w:val="008476B9"/>
    <w:rsid w:val="0085319B"/>
    <w:rsid w:val="00856F54"/>
    <w:rsid w:val="008733E9"/>
    <w:rsid w:val="00897AA6"/>
    <w:rsid w:val="008A4ACE"/>
    <w:rsid w:val="008A64E3"/>
    <w:rsid w:val="008C55D1"/>
    <w:rsid w:val="008C68BA"/>
    <w:rsid w:val="008C71A5"/>
    <w:rsid w:val="008D2B4B"/>
    <w:rsid w:val="008E6E30"/>
    <w:rsid w:val="008E71C7"/>
    <w:rsid w:val="008F4BC6"/>
    <w:rsid w:val="00904726"/>
    <w:rsid w:val="00906545"/>
    <w:rsid w:val="00915E28"/>
    <w:rsid w:val="009216F4"/>
    <w:rsid w:val="009254C4"/>
    <w:rsid w:val="00933535"/>
    <w:rsid w:val="00934F07"/>
    <w:rsid w:val="00935EC5"/>
    <w:rsid w:val="009409B5"/>
    <w:rsid w:val="009414D4"/>
    <w:rsid w:val="00942067"/>
    <w:rsid w:val="009441F0"/>
    <w:rsid w:val="00945009"/>
    <w:rsid w:val="00945FF2"/>
    <w:rsid w:val="009467BC"/>
    <w:rsid w:val="00950A53"/>
    <w:rsid w:val="009545B6"/>
    <w:rsid w:val="009601B7"/>
    <w:rsid w:val="00965442"/>
    <w:rsid w:val="00967354"/>
    <w:rsid w:val="00970FED"/>
    <w:rsid w:val="00972D80"/>
    <w:rsid w:val="009733A5"/>
    <w:rsid w:val="009737FE"/>
    <w:rsid w:val="00975508"/>
    <w:rsid w:val="009761D0"/>
    <w:rsid w:val="0098202C"/>
    <w:rsid w:val="0098291B"/>
    <w:rsid w:val="00993FA1"/>
    <w:rsid w:val="009943E8"/>
    <w:rsid w:val="00996966"/>
    <w:rsid w:val="0099756D"/>
    <w:rsid w:val="00997F6B"/>
    <w:rsid w:val="009A03E2"/>
    <w:rsid w:val="009A0B0E"/>
    <w:rsid w:val="009A6DAD"/>
    <w:rsid w:val="009C59A0"/>
    <w:rsid w:val="009C6ACB"/>
    <w:rsid w:val="009D008E"/>
    <w:rsid w:val="009D325A"/>
    <w:rsid w:val="009D6FEB"/>
    <w:rsid w:val="009E0B38"/>
    <w:rsid w:val="009E425F"/>
    <w:rsid w:val="009E5817"/>
    <w:rsid w:val="009E7AE1"/>
    <w:rsid w:val="009F1945"/>
    <w:rsid w:val="009F1B58"/>
    <w:rsid w:val="009F4175"/>
    <w:rsid w:val="009F68A6"/>
    <w:rsid w:val="009F6DB6"/>
    <w:rsid w:val="009F7BA5"/>
    <w:rsid w:val="00A0225D"/>
    <w:rsid w:val="00A03513"/>
    <w:rsid w:val="00A05372"/>
    <w:rsid w:val="00A05BF6"/>
    <w:rsid w:val="00A06D28"/>
    <w:rsid w:val="00A1758F"/>
    <w:rsid w:val="00A17E7E"/>
    <w:rsid w:val="00A3074B"/>
    <w:rsid w:val="00A31041"/>
    <w:rsid w:val="00A32DAB"/>
    <w:rsid w:val="00A33655"/>
    <w:rsid w:val="00A40DA9"/>
    <w:rsid w:val="00A41C1F"/>
    <w:rsid w:val="00A45389"/>
    <w:rsid w:val="00A557EB"/>
    <w:rsid w:val="00A76EBE"/>
    <w:rsid w:val="00A77506"/>
    <w:rsid w:val="00A81A37"/>
    <w:rsid w:val="00A82E01"/>
    <w:rsid w:val="00A82FEB"/>
    <w:rsid w:val="00A84757"/>
    <w:rsid w:val="00A935AF"/>
    <w:rsid w:val="00A96759"/>
    <w:rsid w:val="00A97D05"/>
    <w:rsid w:val="00AA104A"/>
    <w:rsid w:val="00AA2627"/>
    <w:rsid w:val="00AA309C"/>
    <w:rsid w:val="00AA3602"/>
    <w:rsid w:val="00AA3E90"/>
    <w:rsid w:val="00AB1269"/>
    <w:rsid w:val="00AB5864"/>
    <w:rsid w:val="00AC0A0F"/>
    <w:rsid w:val="00AC26EE"/>
    <w:rsid w:val="00AC603A"/>
    <w:rsid w:val="00AD0ABB"/>
    <w:rsid w:val="00AD41E9"/>
    <w:rsid w:val="00AE0453"/>
    <w:rsid w:val="00AE13C8"/>
    <w:rsid w:val="00AE20C0"/>
    <w:rsid w:val="00AE26A1"/>
    <w:rsid w:val="00AE56D8"/>
    <w:rsid w:val="00AF1DB6"/>
    <w:rsid w:val="00AF1FDB"/>
    <w:rsid w:val="00AF3B31"/>
    <w:rsid w:val="00AF6A37"/>
    <w:rsid w:val="00AF7A66"/>
    <w:rsid w:val="00B03B16"/>
    <w:rsid w:val="00B04596"/>
    <w:rsid w:val="00B04A8D"/>
    <w:rsid w:val="00B12691"/>
    <w:rsid w:val="00B145AE"/>
    <w:rsid w:val="00B230D5"/>
    <w:rsid w:val="00B2714D"/>
    <w:rsid w:val="00B31B85"/>
    <w:rsid w:val="00B32F1C"/>
    <w:rsid w:val="00B342F4"/>
    <w:rsid w:val="00B346C7"/>
    <w:rsid w:val="00B4185E"/>
    <w:rsid w:val="00B435E0"/>
    <w:rsid w:val="00B43FC2"/>
    <w:rsid w:val="00B4539E"/>
    <w:rsid w:val="00B461CF"/>
    <w:rsid w:val="00B475EC"/>
    <w:rsid w:val="00B47B8F"/>
    <w:rsid w:val="00B50358"/>
    <w:rsid w:val="00B512B4"/>
    <w:rsid w:val="00B51CB5"/>
    <w:rsid w:val="00B51D89"/>
    <w:rsid w:val="00B563AF"/>
    <w:rsid w:val="00B616DC"/>
    <w:rsid w:val="00B618C5"/>
    <w:rsid w:val="00B62048"/>
    <w:rsid w:val="00B70659"/>
    <w:rsid w:val="00B71120"/>
    <w:rsid w:val="00B71FCF"/>
    <w:rsid w:val="00B75D16"/>
    <w:rsid w:val="00B8486B"/>
    <w:rsid w:val="00B866A5"/>
    <w:rsid w:val="00B90961"/>
    <w:rsid w:val="00B91124"/>
    <w:rsid w:val="00B921E4"/>
    <w:rsid w:val="00B94797"/>
    <w:rsid w:val="00B956D1"/>
    <w:rsid w:val="00B9781F"/>
    <w:rsid w:val="00BA1C44"/>
    <w:rsid w:val="00BA2090"/>
    <w:rsid w:val="00BA6AD1"/>
    <w:rsid w:val="00BA6C51"/>
    <w:rsid w:val="00BB31BF"/>
    <w:rsid w:val="00BB61FC"/>
    <w:rsid w:val="00BC0C7C"/>
    <w:rsid w:val="00BD4B13"/>
    <w:rsid w:val="00BD5E1B"/>
    <w:rsid w:val="00BE3309"/>
    <w:rsid w:val="00BE4791"/>
    <w:rsid w:val="00BE6A19"/>
    <w:rsid w:val="00BE7F02"/>
    <w:rsid w:val="00BF1F7F"/>
    <w:rsid w:val="00BF411E"/>
    <w:rsid w:val="00BF491F"/>
    <w:rsid w:val="00C00459"/>
    <w:rsid w:val="00C023A3"/>
    <w:rsid w:val="00C05B77"/>
    <w:rsid w:val="00C121EF"/>
    <w:rsid w:val="00C1562D"/>
    <w:rsid w:val="00C200B1"/>
    <w:rsid w:val="00C2199F"/>
    <w:rsid w:val="00C2416E"/>
    <w:rsid w:val="00C24C51"/>
    <w:rsid w:val="00C26731"/>
    <w:rsid w:val="00C27C7A"/>
    <w:rsid w:val="00C314C0"/>
    <w:rsid w:val="00C33795"/>
    <w:rsid w:val="00C340FE"/>
    <w:rsid w:val="00C362B7"/>
    <w:rsid w:val="00C40360"/>
    <w:rsid w:val="00C45F39"/>
    <w:rsid w:val="00C47A0D"/>
    <w:rsid w:val="00C5038F"/>
    <w:rsid w:val="00C503D3"/>
    <w:rsid w:val="00C50F35"/>
    <w:rsid w:val="00C511BA"/>
    <w:rsid w:val="00C53839"/>
    <w:rsid w:val="00C56A38"/>
    <w:rsid w:val="00C63F0A"/>
    <w:rsid w:val="00C64C37"/>
    <w:rsid w:val="00C6620B"/>
    <w:rsid w:val="00C71A01"/>
    <w:rsid w:val="00C72BDF"/>
    <w:rsid w:val="00C72F3D"/>
    <w:rsid w:val="00C74FAC"/>
    <w:rsid w:val="00C8068B"/>
    <w:rsid w:val="00C81349"/>
    <w:rsid w:val="00C840D1"/>
    <w:rsid w:val="00C9185B"/>
    <w:rsid w:val="00C91FD4"/>
    <w:rsid w:val="00C92253"/>
    <w:rsid w:val="00C949A0"/>
    <w:rsid w:val="00C9504A"/>
    <w:rsid w:val="00C95679"/>
    <w:rsid w:val="00CA0128"/>
    <w:rsid w:val="00CA0A59"/>
    <w:rsid w:val="00CA50CB"/>
    <w:rsid w:val="00CB030F"/>
    <w:rsid w:val="00CB0B7D"/>
    <w:rsid w:val="00CC01B7"/>
    <w:rsid w:val="00CC1138"/>
    <w:rsid w:val="00CC1F66"/>
    <w:rsid w:val="00CC24D2"/>
    <w:rsid w:val="00CC3308"/>
    <w:rsid w:val="00CC4703"/>
    <w:rsid w:val="00CC55EF"/>
    <w:rsid w:val="00CC65B4"/>
    <w:rsid w:val="00CD2E0C"/>
    <w:rsid w:val="00CD343A"/>
    <w:rsid w:val="00CD35B1"/>
    <w:rsid w:val="00CD39D4"/>
    <w:rsid w:val="00CD3CA8"/>
    <w:rsid w:val="00CD511A"/>
    <w:rsid w:val="00CD70DD"/>
    <w:rsid w:val="00CE26C9"/>
    <w:rsid w:val="00CE3D56"/>
    <w:rsid w:val="00CE5614"/>
    <w:rsid w:val="00CE6314"/>
    <w:rsid w:val="00CE6336"/>
    <w:rsid w:val="00CF0D0D"/>
    <w:rsid w:val="00D0062A"/>
    <w:rsid w:val="00D03525"/>
    <w:rsid w:val="00D038BB"/>
    <w:rsid w:val="00D044B8"/>
    <w:rsid w:val="00D10BCF"/>
    <w:rsid w:val="00D1103A"/>
    <w:rsid w:val="00D149E6"/>
    <w:rsid w:val="00D159D2"/>
    <w:rsid w:val="00D17BB1"/>
    <w:rsid w:val="00D23535"/>
    <w:rsid w:val="00D25D82"/>
    <w:rsid w:val="00D261D6"/>
    <w:rsid w:val="00D34F5E"/>
    <w:rsid w:val="00D37746"/>
    <w:rsid w:val="00D43B31"/>
    <w:rsid w:val="00D544B5"/>
    <w:rsid w:val="00D551E5"/>
    <w:rsid w:val="00D5590F"/>
    <w:rsid w:val="00D55F9F"/>
    <w:rsid w:val="00D64AC6"/>
    <w:rsid w:val="00D67DE0"/>
    <w:rsid w:val="00D74302"/>
    <w:rsid w:val="00D75E69"/>
    <w:rsid w:val="00D77F60"/>
    <w:rsid w:val="00D80079"/>
    <w:rsid w:val="00D834AF"/>
    <w:rsid w:val="00D84706"/>
    <w:rsid w:val="00D90426"/>
    <w:rsid w:val="00D90F1F"/>
    <w:rsid w:val="00D92CFD"/>
    <w:rsid w:val="00D9301F"/>
    <w:rsid w:val="00D944EC"/>
    <w:rsid w:val="00DA34B5"/>
    <w:rsid w:val="00DA6FB8"/>
    <w:rsid w:val="00DA6FB9"/>
    <w:rsid w:val="00DB7FE9"/>
    <w:rsid w:val="00DC0B2F"/>
    <w:rsid w:val="00DC3085"/>
    <w:rsid w:val="00DC3D54"/>
    <w:rsid w:val="00DC442D"/>
    <w:rsid w:val="00DC5B09"/>
    <w:rsid w:val="00DC6AC8"/>
    <w:rsid w:val="00DD243A"/>
    <w:rsid w:val="00DD4DFF"/>
    <w:rsid w:val="00DD6578"/>
    <w:rsid w:val="00DE1FD7"/>
    <w:rsid w:val="00DE2C2A"/>
    <w:rsid w:val="00DE2FA0"/>
    <w:rsid w:val="00DE68AA"/>
    <w:rsid w:val="00DE785B"/>
    <w:rsid w:val="00DF374C"/>
    <w:rsid w:val="00DF3C26"/>
    <w:rsid w:val="00E00D0A"/>
    <w:rsid w:val="00E07391"/>
    <w:rsid w:val="00E07749"/>
    <w:rsid w:val="00E12FF2"/>
    <w:rsid w:val="00E16A87"/>
    <w:rsid w:val="00E171F1"/>
    <w:rsid w:val="00E21BCB"/>
    <w:rsid w:val="00E242B7"/>
    <w:rsid w:val="00E25BA7"/>
    <w:rsid w:val="00E459F6"/>
    <w:rsid w:val="00E53070"/>
    <w:rsid w:val="00E542BF"/>
    <w:rsid w:val="00E60643"/>
    <w:rsid w:val="00E66ECC"/>
    <w:rsid w:val="00E67ED5"/>
    <w:rsid w:val="00E74B1D"/>
    <w:rsid w:val="00E75A28"/>
    <w:rsid w:val="00E76DE4"/>
    <w:rsid w:val="00E777A5"/>
    <w:rsid w:val="00E84354"/>
    <w:rsid w:val="00E85BC9"/>
    <w:rsid w:val="00E86187"/>
    <w:rsid w:val="00E90C22"/>
    <w:rsid w:val="00E95AF8"/>
    <w:rsid w:val="00E97687"/>
    <w:rsid w:val="00E97944"/>
    <w:rsid w:val="00EA3F62"/>
    <w:rsid w:val="00EA59F7"/>
    <w:rsid w:val="00EE47E8"/>
    <w:rsid w:val="00EE49F7"/>
    <w:rsid w:val="00EE55F1"/>
    <w:rsid w:val="00EF0891"/>
    <w:rsid w:val="00EF131E"/>
    <w:rsid w:val="00EF3801"/>
    <w:rsid w:val="00F026EC"/>
    <w:rsid w:val="00F0465B"/>
    <w:rsid w:val="00F0537F"/>
    <w:rsid w:val="00F065DD"/>
    <w:rsid w:val="00F110C4"/>
    <w:rsid w:val="00F1332D"/>
    <w:rsid w:val="00F253FE"/>
    <w:rsid w:val="00F3064A"/>
    <w:rsid w:val="00F3113B"/>
    <w:rsid w:val="00F325AC"/>
    <w:rsid w:val="00F3466C"/>
    <w:rsid w:val="00F34D94"/>
    <w:rsid w:val="00F411BD"/>
    <w:rsid w:val="00F41D40"/>
    <w:rsid w:val="00F4204E"/>
    <w:rsid w:val="00F51B57"/>
    <w:rsid w:val="00F53AA4"/>
    <w:rsid w:val="00F63ED3"/>
    <w:rsid w:val="00F64283"/>
    <w:rsid w:val="00F64825"/>
    <w:rsid w:val="00F707E3"/>
    <w:rsid w:val="00F722A9"/>
    <w:rsid w:val="00F72E8F"/>
    <w:rsid w:val="00F75C1A"/>
    <w:rsid w:val="00F75EF6"/>
    <w:rsid w:val="00F7613B"/>
    <w:rsid w:val="00F76DF2"/>
    <w:rsid w:val="00F77A81"/>
    <w:rsid w:val="00F83580"/>
    <w:rsid w:val="00F85D18"/>
    <w:rsid w:val="00F86522"/>
    <w:rsid w:val="00F868EE"/>
    <w:rsid w:val="00F91D50"/>
    <w:rsid w:val="00F94FF4"/>
    <w:rsid w:val="00FA29FD"/>
    <w:rsid w:val="00FB44D2"/>
    <w:rsid w:val="00FC34E8"/>
    <w:rsid w:val="00FC409B"/>
    <w:rsid w:val="00FD2C2A"/>
    <w:rsid w:val="00FD3B4D"/>
    <w:rsid w:val="00FD5C49"/>
    <w:rsid w:val="00FE028C"/>
    <w:rsid w:val="00FE20EE"/>
    <w:rsid w:val="00FE46E6"/>
    <w:rsid w:val="00FE71A4"/>
    <w:rsid w:val="00FF6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9ADAB"/>
  <w15:chartTrackingRefBased/>
  <w15:docId w15:val="{D3F8B224-9D96-6140-9438-6947A17C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B0"/>
    <w:pPr>
      <w:suppressAutoHyphens/>
      <w:spacing w:line="480" w:lineRule="auto"/>
      <w:jc w:val="both"/>
    </w:pPr>
    <w:rPr>
      <w:rFonts w:ascii="Arial" w:hAnsi="Arial"/>
      <w:sz w:val="22"/>
      <w:lang w:eastAsia="en-US"/>
    </w:rPr>
  </w:style>
  <w:style w:type="paragraph" w:styleId="Heading1">
    <w:name w:val="heading 1"/>
    <w:basedOn w:val="Normal"/>
    <w:autoRedefine/>
    <w:qFormat/>
    <w:rsid w:val="007C53CA"/>
    <w:pPr>
      <w:numPr>
        <w:numId w:val="1"/>
      </w:numPr>
      <w:tabs>
        <w:tab w:val="clear" w:pos="567"/>
      </w:tabs>
      <w:spacing w:before="400"/>
      <w:outlineLvl w:val="0"/>
    </w:pPr>
  </w:style>
  <w:style w:type="paragraph" w:styleId="Heading2">
    <w:name w:val="heading 2"/>
    <w:basedOn w:val="Normal"/>
    <w:qFormat/>
    <w:rsid w:val="007C53CA"/>
    <w:pPr>
      <w:numPr>
        <w:ilvl w:val="1"/>
        <w:numId w:val="1"/>
      </w:numPr>
      <w:spacing w:before="240" w:after="60"/>
      <w:outlineLvl w:val="1"/>
    </w:pPr>
  </w:style>
  <w:style w:type="paragraph" w:styleId="Heading3">
    <w:name w:val="heading 3"/>
    <w:basedOn w:val="Normal"/>
    <w:qFormat/>
    <w:rsid w:val="007C53CA"/>
    <w:pPr>
      <w:numPr>
        <w:ilvl w:val="2"/>
        <w:numId w:val="1"/>
      </w:numPr>
      <w:spacing w:before="240" w:after="60"/>
      <w:outlineLvl w:val="2"/>
    </w:pPr>
  </w:style>
  <w:style w:type="paragraph" w:styleId="Heading4">
    <w:name w:val="heading 4"/>
    <w:basedOn w:val="Normal"/>
    <w:qFormat/>
    <w:rsid w:val="007C53CA"/>
    <w:pPr>
      <w:numPr>
        <w:ilvl w:val="3"/>
        <w:numId w:val="1"/>
      </w:numPr>
      <w:spacing w:before="240" w:after="60"/>
      <w:outlineLvl w:val="3"/>
    </w:pPr>
  </w:style>
  <w:style w:type="paragraph" w:styleId="Heading5">
    <w:name w:val="heading 5"/>
    <w:basedOn w:val="Normal"/>
    <w:qFormat/>
    <w:rsid w:val="007C53CA"/>
    <w:pPr>
      <w:numPr>
        <w:ilvl w:val="4"/>
        <w:numId w:val="1"/>
      </w:numPr>
      <w:spacing w:before="240" w:after="60"/>
      <w:outlineLvl w:val="4"/>
    </w:pPr>
  </w:style>
  <w:style w:type="paragraph" w:styleId="Heading6">
    <w:name w:val="heading 6"/>
    <w:basedOn w:val="Normal"/>
    <w:qFormat/>
    <w:rsid w:val="007C53CA"/>
    <w:pPr>
      <w:numPr>
        <w:ilvl w:val="5"/>
        <w:numId w:val="1"/>
      </w:numPr>
      <w:spacing w:before="240" w:after="60"/>
      <w:outlineLvl w:val="5"/>
    </w:pPr>
  </w:style>
  <w:style w:type="paragraph" w:styleId="Heading7">
    <w:name w:val="heading 7"/>
    <w:basedOn w:val="Normal"/>
    <w:qFormat/>
    <w:rsid w:val="007C53CA"/>
    <w:pPr>
      <w:numPr>
        <w:ilvl w:val="6"/>
        <w:numId w:val="1"/>
      </w:numPr>
      <w:spacing w:before="240" w:after="60"/>
      <w:outlineLvl w:val="6"/>
    </w:pPr>
  </w:style>
  <w:style w:type="paragraph" w:styleId="Heading8">
    <w:name w:val="heading 8"/>
    <w:basedOn w:val="Normal"/>
    <w:qFormat/>
    <w:rsid w:val="007C53CA"/>
    <w:pPr>
      <w:numPr>
        <w:ilvl w:val="7"/>
        <w:numId w:val="1"/>
      </w:numPr>
      <w:spacing w:before="240" w:after="60"/>
      <w:outlineLvl w:val="7"/>
    </w:pPr>
  </w:style>
  <w:style w:type="paragraph" w:styleId="Heading9">
    <w:name w:val="heading 9"/>
    <w:basedOn w:val="Normal"/>
    <w:qFormat/>
    <w:rsid w:val="007C53CA"/>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53CA"/>
    <w:pPr>
      <w:spacing w:after="320"/>
      <w:ind w:left="567"/>
    </w:pPr>
  </w:style>
  <w:style w:type="paragraph" w:styleId="BodyTextIndent2">
    <w:name w:val="Body Text Indent 2"/>
    <w:basedOn w:val="Normal"/>
    <w:rsid w:val="007C53CA"/>
    <w:pPr>
      <w:spacing w:after="320"/>
      <w:ind w:left="1361"/>
    </w:pPr>
  </w:style>
  <w:style w:type="paragraph" w:styleId="BodyTextIndent3">
    <w:name w:val="Body Text Indent 3"/>
    <w:basedOn w:val="Normal"/>
    <w:rsid w:val="007C53CA"/>
    <w:pPr>
      <w:spacing w:after="320"/>
      <w:ind w:left="2381"/>
    </w:pPr>
  </w:style>
  <w:style w:type="paragraph" w:customStyle="1" w:styleId="BodyTextIndent4">
    <w:name w:val="Body Text Indent 4"/>
    <w:basedOn w:val="Normal"/>
    <w:rsid w:val="007C53CA"/>
    <w:pPr>
      <w:spacing w:after="320"/>
      <w:ind w:left="3572"/>
    </w:pPr>
  </w:style>
  <w:style w:type="paragraph" w:customStyle="1" w:styleId="BodyTextIndent5">
    <w:name w:val="Body Text Indent 5"/>
    <w:basedOn w:val="Normal"/>
    <w:rsid w:val="007C53CA"/>
    <w:pPr>
      <w:spacing w:after="320"/>
      <w:ind w:left="4933"/>
    </w:pPr>
  </w:style>
  <w:style w:type="paragraph" w:styleId="Footer">
    <w:name w:val="footer"/>
    <w:basedOn w:val="Normal"/>
    <w:rsid w:val="007C53CA"/>
    <w:pPr>
      <w:tabs>
        <w:tab w:val="center" w:pos="4383"/>
        <w:tab w:val="right" w:pos="8766"/>
      </w:tabs>
      <w:spacing w:line="240" w:lineRule="auto"/>
    </w:pPr>
    <w:rPr>
      <w:sz w:val="16"/>
    </w:rPr>
  </w:style>
  <w:style w:type="paragraph" w:styleId="Header">
    <w:name w:val="header"/>
    <w:basedOn w:val="Normal"/>
    <w:rsid w:val="007C53CA"/>
    <w:pPr>
      <w:spacing w:line="240" w:lineRule="auto"/>
      <w:jc w:val="right"/>
    </w:pPr>
  </w:style>
  <w:style w:type="paragraph" w:customStyle="1" w:styleId="WLGLevel1">
    <w:name w:val="WLGLevel1"/>
    <w:basedOn w:val="Normal"/>
    <w:qFormat/>
    <w:rsid w:val="007C53CA"/>
    <w:pPr>
      <w:numPr>
        <w:numId w:val="2"/>
      </w:numPr>
      <w:spacing w:before="320" w:after="320"/>
      <w:outlineLvl w:val="0"/>
    </w:pPr>
  </w:style>
  <w:style w:type="paragraph" w:customStyle="1" w:styleId="WLGLevel2">
    <w:name w:val="WLGLevel2"/>
    <w:basedOn w:val="Normal"/>
    <w:qFormat/>
    <w:rsid w:val="007C53CA"/>
    <w:pPr>
      <w:numPr>
        <w:ilvl w:val="1"/>
        <w:numId w:val="2"/>
      </w:numPr>
      <w:spacing w:after="320"/>
      <w:outlineLvl w:val="1"/>
    </w:pPr>
  </w:style>
  <w:style w:type="paragraph" w:customStyle="1" w:styleId="WLGLevel3">
    <w:name w:val="WLGLevel3"/>
    <w:basedOn w:val="Normal"/>
    <w:rsid w:val="007C53CA"/>
    <w:pPr>
      <w:numPr>
        <w:ilvl w:val="2"/>
        <w:numId w:val="2"/>
      </w:numPr>
      <w:spacing w:after="320"/>
      <w:outlineLvl w:val="2"/>
    </w:pPr>
  </w:style>
  <w:style w:type="paragraph" w:customStyle="1" w:styleId="WLGLevel4">
    <w:name w:val="WLGLevel4"/>
    <w:basedOn w:val="Normal"/>
    <w:rsid w:val="007C53CA"/>
    <w:pPr>
      <w:numPr>
        <w:ilvl w:val="3"/>
        <w:numId w:val="2"/>
      </w:numPr>
      <w:spacing w:after="320"/>
      <w:outlineLvl w:val="3"/>
    </w:pPr>
  </w:style>
  <w:style w:type="paragraph" w:customStyle="1" w:styleId="WLGLevel5">
    <w:name w:val="WLGLevel5"/>
    <w:basedOn w:val="Normal"/>
    <w:rsid w:val="007C53CA"/>
    <w:pPr>
      <w:numPr>
        <w:ilvl w:val="4"/>
        <w:numId w:val="2"/>
      </w:numPr>
      <w:spacing w:after="320"/>
      <w:outlineLvl w:val="4"/>
    </w:pPr>
  </w:style>
  <w:style w:type="character" w:styleId="PageNumber">
    <w:name w:val="page number"/>
    <w:rsid w:val="007C53CA"/>
    <w:rPr>
      <w:rFonts w:ascii="Arial" w:hAnsi="Arial"/>
      <w:sz w:val="24"/>
    </w:rPr>
  </w:style>
  <w:style w:type="paragraph" w:customStyle="1" w:styleId="Tabs-Cntr">
    <w:name w:val="Tabs-Cntr"/>
    <w:aliases w:val="FRght"/>
    <w:basedOn w:val="Normal"/>
    <w:next w:val="Normal"/>
    <w:rsid w:val="007C53CA"/>
    <w:pPr>
      <w:tabs>
        <w:tab w:val="center" w:pos="4536"/>
        <w:tab w:val="right" w:pos="9072"/>
      </w:tabs>
    </w:pPr>
  </w:style>
  <w:style w:type="paragraph" w:styleId="TOC1">
    <w:name w:val="toc 1"/>
    <w:basedOn w:val="Normal"/>
    <w:autoRedefine/>
    <w:semiHidden/>
    <w:rsid w:val="007C53CA"/>
    <w:pPr>
      <w:tabs>
        <w:tab w:val="left" w:pos="567"/>
        <w:tab w:val="right" w:leader="dot" w:pos="8756"/>
      </w:tabs>
      <w:spacing w:before="120" w:after="120" w:line="240" w:lineRule="auto"/>
      <w:jc w:val="left"/>
    </w:pPr>
    <w:rPr>
      <w:noProof/>
    </w:rPr>
  </w:style>
  <w:style w:type="paragraph" w:styleId="TOC2">
    <w:name w:val="toc 2"/>
    <w:basedOn w:val="Normal"/>
    <w:autoRedefine/>
    <w:semiHidden/>
    <w:rsid w:val="007C53CA"/>
    <w:pPr>
      <w:spacing w:before="120" w:after="120" w:line="240" w:lineRule="auto"/>
      <w:ind w:left="510" w:right="1134" w:hanging="510"/>
      <w:jc w:val="left"/>
    </w:pPr>
  </w:style>
  <w:style w:type="paragraph" w:styleId="TOC3">
    <w:name w:val="toc 3"/>
    <w:basedOn w:val="Normal"/>
    <w:autoRedefine/>
    <w:semiHidden/>
    <w:rsid w:val="007C53CA"/>
    <w:pPr>
      <w:spacing w:before="120" w:after="120" w:line="240" w:lineRule="auto"/>
      <w:ind w:left="510" w:right="1134" w:hanging="510"/>
      <w:jc w:val="left"/>
    </w:pPr>
  </w:style>
  <w:style w:type="paragraph" w:styleId="TOC4">
    <w:name w:val="toc 4"/>
    <w:basedOn w:val="Normal"/>
    <w:autoRedefine/>
    <w:semiHidden/>
    <w:rsid w:val="007C53CA"/>
    <w:pPr>
      <w:spacing w:before="120" w:after="120" w:line="240" w:lineRule="auto"/>
      <w:ind w:left="510" w:right="1134" w:hanging="510"/>
      <w:jc w:val="left"/>
    </w:pPr>
  </w:style>
  <w:style w:type="paragraph" w:styleId="TOC5">
    <w:name w:val="toc 5"/>
    <w:basedOn w:val="Normal"/>
    <w:autoRedefine/>
    <w:semiHidden/>
    <w:rsid w:val="007C53CA"/>
    <w:pPr>
      <w:spacing w:before="120" w:after="120" w:line="240" w:lineRule="auto"/>
      <w:ind w:left="510" w:right="1134" w:hanging="510"/>
      <w:jc w:val="left"/>
    </w:pPr>
  </w:style>
  <w:style w:type="paragraph" w:styleId="TOC6">
    <w:name w:val="toc 6"/>
    <w:basedOn w:val="Normal"/>
    <w:autoRedefine/>
    <w:semiHidden/>
    <w:rsid w:val="007C53CA"/>
    <w:pPr>
      <w:spacing w:before="120" w:after="120" w:line="240" w:lineRule="auto"/>
      <w:ind w:left="510" w:right="1134" w:hanging="510"/>
      <w:jc w:val="left"/>
    </w:pPr>
  </w:style>
  <w:style w:type="paragraph" w:styleId="TOC7">
    <w:name w:val="toc 7"/>
    <w:basedOn w:val="Normal"/>
    <w:autoRedefine/>
    <w:semiHidden/>
    <w:rsid w:val="007C53CA"/>
    <w:pPr>
      <w:spacing w:before="120" w:after="120" w:line="240" w:lineRule="auto"/>
      <w:ind w:left="510" w:right="1134" w:hanging="510"/>
      <w:jc w:val="left"/>
    </w:pPr>
  </w:style>
  <w:style w:type="paragraph" w:styleId="TOC8">
    <w:name w:val="toc 8"/>
    <w:basedOn w:val="Normal"/>
    <w:autoRedefine/>
    <w:semiHidden/>
    <w:rsid w:val="007C53CA"/>
    <w:pPr>
      <w:spacing w:before="120" w:after="120" w:line="240" w:lineRule="auto"/>
      <w:ind w:left="510" w:right="1134" w:hanging="510"/>
      <w:jc w:val="left"/>
    </w:pPr>
  </w:style>
  <w:style w:type="paragraph" w:styleId="TOC9">
    <w:name w:val="toc 9"/>
    <w:basedOn w:val="Normal"/>
    <w:autoRedefine/>
    <w:semiHidden/>
    <w:rsid w:val="007C53CA"/>
    <w:pPr>
      <w:spacing w:before="120" w:after="120" w:line="240" w:lineRule="auto"/>
      <w:ind w:left="510" w:right="1134" w:hanging="510"/>
      <w:jc w:val="left"/>
    </w:pPr>
  </w:style>
  <w:style w:type="paragraph" w:customStyle="1" w:styleId="TramLines">
    <w:name w:val="TramLines"/>
    <w:basedOn w:val="Normal"/>
    <w:rsid w:val="007C53CA"/>
    <w:pPr>
      <w:pBdr>
        <w:top w:val="single" w:sz="8" w:space="12" w:color="auto"/>
        <w:bottom w:val="single" w:sz="8" w:space="12" w:color="auto"/>
      </w:pBdr>
      <w:spacing w:after="320" w:line="240" w:lineRule="auto"/>
    </w:pPr>
    <w:rPr>
      <w:b/>
    </w:rPr>
  </w:style>
  <w:style w:type="character" w:styleId="Hyperlink">
    <w:name w:val="Hyperlink"/>
    <w:rsid w:val="007C53CA"/>
    <w:rPr>
      <w:color w:val="0000FF"/>
      <w:u w:val="single"/>
    </w:rPr>
  </w:style>
  <w:style w:type="paragraph" w:customStyle="1" w:styleId="Parties">
    <w:name w:val="Parties"/>
    <w:basedOn w:val="Normal"/>
    <w:rsid w:val="007C53CA"/>
    <w:pPr>
      <w:tabs>
        <w:tab w:val="right" w:pos="9072"/>
      </w:tabs>
      <w:spacing w:line="240" w:lineRule="auto"/>
    </w:pPr>
  </w:style>
  <w:style w:type="paragraph" w:customStyle="1" w:styleId="MediumGrid1-Accent21">
    <w:name w:val="Medium Grid 1 - Accent 21"/>
    <w:basedOn w:val="Normal"/>
    <w:uiPriority w:val="34"/>
    <w:qFormat/>
    <w:rsid w:val="009F613F"/>
    <w:pPr>
      <w:suppressAutoHyphens w:val="0"/>
      <w:spacing w:line="240" w:lineRule="auto"/>
      <w:ind w:left="720"/>
      <w:jc w:val="left"/>
    </w:pPr>
    <w:rPr>
      <w:rFonts w:ascii="Times New Roman" w:hAnsi="Times New Roman"/>
      <w:szCs w:val="24"/>
    </w:rPr>
  </w:style>
  <w:style w:type="character" w:styleId="CommentReference">
    <w:name w:val="annotation reference"/>
    <w:rsid w:val="009F613F"/>
    <w:rPr>
      <w:sz w:val="16"/>
      <w:szCs w:val="16"/>
    </w:rPr>
  </w:style>
  <w:style w:type="paragraph" w:styleId="CommentText">
    <w:name w:val="annotation text"/>
    <w:basedOn w:val="Normal"/>
    <w:link w:val="CommentTextChar"/>
    <w:rsid w:val="009F613F"/>
    <w:pPr>
      <w:suppressAutoHyphens w:val="0"/>
      <w:spacing w:line="240" w:lineRule="auto"/>
      <w:jc w:val="left"/>
    </w:pPr>
    <w:rPr>
      <w:rFonts w:ascii="Times New Roman" w:hAnsi="Times New Roman"/>
      <w:sz w:val="20"/>
      <w:lang w:val="x-none"/>
    </w:rPr>
  </w:style>
  <w:style w:type="character" w:customStyle="1" w:styleId="CommentTextChar">
    <w:name w:val="Comment Text Char"/>
    <w:link w:val="CommentText"/>
    <w:rsid w:val="009F613F"/>
    <w:rPr>
      <w:lang w:eastAsia="en-US"/>
    </w:rPr>
  </w:style>
  <w:style w:type="paragraph" w:styleId="BalloonText">
    <w:name w:val="Balloon Text"/>
    <w:basedOn w:val="Normal"/>
    <w:link w:val="BalloonTextChar"/>
    <w:rsid w:val="009F613F"/>
    <w:pPr>
      <w:spacing w:line="240" w:lineRule="auto"/>
    </w:pPr>
    <w:rPr>
      <w:rFonts w:ascii="Tahoma" w:hAnsi="Tahoma"/>
      <w:sz w:val="16"/>
      <w:szCs w:val="16"/>
      <w:lang w:val="x-none"/>
    </w:rPr>
  </w:style>
  <w:style w:type="character" w:customStyle="1" w:styleId="BalloonTextChar">
    <w:name w:val="Balloon Text Char"/>
    <w:link w:val="BalloonText"/>
    <w:rsid w:val="009F613F"/>
    <w:rPr>
      <w:rFonts w:ascii="Tahoma" w:hAnsi="Tahoma" w:cs="Tahoma"/>
      <w:sz w:val="16"/>
      <w:szCs w:val="16"/>
      <w:lang w:eastAsia="en-US"/>
    </w:rPr>
  </w:style>
  <w:style w:type="paragraph" w:styleId="BodyText">
    <w:name w:val="Body Text"/>
    <w:basedOn w:val="Normal"/>
    <w:link w:val="BodyTextChar"/>
    <w:rsid w:val="004471CC"/>
    <w:pPr>
      <w:spacing w:after="120"/>
    </w:pPr>
    <w:rPr>
      <w:lang w:val="x-none"/>
    </w:rPr>
  </w:style>
  <w:style w:type="character" w:customStyle="1" w:styleId="BodyTextChar">
    <w:name w:val="Body Text Char"/>
    <w:link w:val="BodyText"/>
    <w:rsid w:val="004471CC"/>
    <w:rPr>
      <w:rFonts w:ascii="Arial" w:hAnsi="Arial"/>
      <w:sz w:val="24"/>
      <w:lang w:eastAsia="en-US"/>
    </w:rPr>
  </w:style>
  <w:style w:type="character" w:styleId="Emphasis">
    <w:name w:val="Emphasis"/>
    <w:uiPriority w:val="20"/>
    <w:qFormat/>
    <w:rsid w:val="00DF375C"/>
    <w:rPr>
      <w:i/>
      <w:iCs/>
    </w:rPr>
  </w:style>
  <w:style w:type="character" w:customStyle="1" w:styleId="starpage1">
    <w:name w:val="starpage1"/>
    <w:rsid w:val="0079521C"/>
    <w:rPr>
      <w:b/>
      <w:bCs/>
      <w:i/>
      <w:iCs/>
      <w:color w:val="663366"/>
    </w:rPr>
  </w:style>
  <w:style w:type="paragraph" w:customStyle="1" w:styleId="ColourfulShadingAccent11">
    <w:name w:val="Colourful Shading – Accent 11"/>
    <w:hidden/>
    <w:uiPriority w:val="99"/>
    <w:semiHidden/>
    <w:rsid w:val="00496AA4"/>
    <w:rPr>
      <w:rFonts w:ascii="Arial" w:hAnsi="Arial"/>
      <w:sz w:val="24"/>
      <w:lang w:eastAsia="en-US"/>
    </w:rPr>
  </w:style>
  <w:style w:type="paragraph" w:styleId="FootnoteText">
    <w:name w:val="footnote text"/>
    <w:basedOn w:val="Normal"/>
    <w:link w:val="FootnoteTextChar"/>
    <w:rsid w:val="00FC34E8"/>
    <w:rPr>
      <w:sz w:val="20"/>
    </w:rPr>
  </w:style>
  <w:style w:type="character" w:customStyle="1" w:styleId="FootnoteTextChar">
    <w:name w:val="Footnote Text Char"/>
    <w:link w:val="FootnoteText"/>
    <w:rsid w:val="00FC34E8"/>
    <w:rPr>
      <w:rFonts w:ascii="Arial" w:hAnsi="Arial"/>
      <w:lang w:eastAsia="en-US"/>
    </w:rPr>
  </w:style>
  <w:style w:type="character" w:styleId="FootnoteReference">
    <w:name w:val="footnote reference"/>
    <w:rsid w:val="00FC34E8"/>
    <w:rPr>
      <w:vertAlign w:val="superscript"/>
    </w:rPr>
  </w:style>
  <w:style w:type="character" w:customStyle="1" w:styleId="mc">
    <w:name w:val="mc"/>
    <w:rsid w:val="00724FC6"/>
  </w:style>
  <w:style w:type="paragraph" w:customStyle="1" w:styleId="ColourfulListAccent11">
    <w:name w:val="Colourful List – Accent 11"/>
    <w:basedOn w:val="Normal"/>
    <w:uiPriority w:val="34"/>
    <w:qFormat/>
    <w:rsid w:val="00236D77"/>
    <w:pPr>
      <w:ind w:left="720"/>
    </w:pPr>
  </w:style>
  <w:style w:type="character" w:customStyle="1" w:styleId="CharacterStyle1">
    <w:name w:val="Character Style 1"/>
    <w:rsid w:val="00FD5C49"/>
    <w:rPr>
      <w:rFonts w:ascii="Verdana" w:hAnsi="Verdana" w:cs="Verdana"/>
      <w:sz w:val="15"/>
      <w:szCs w:val="15"/>
    </w:rPr>
  </w:style>
  <w:style w:type="character" w:customStyle="1" w:styleId="CharacterStyle2">
    <w:name w:val="Character Style 2"/>
    <w:rsid w:val="00377864"/>
    <w:rPr>
      <w:rFonts w:ascii="Times New Roman" w:hAnsi="Times New Roman" w:cs="Times New Roman"/>
      <w:sz w:val="20"/>
      <w:szCs w:val="20"/>
    </w:rPr>
  </w:style>
  <w:style w:type="character" w:customStyle="1" w:styleId="CharacterStyle3">
    <w:name w:val="Character Style 3"/>
    <w:rsid w:val="00182F33"/>
    <w:rPr>
      <w:rFonts w:ascii="Verdana" w:hAnsi="Verdana" w:cs="Verdana"/>
      <w:i/>
      <w:sz w:val="15"/>
      <w:szCs w:val="15"/>
    </w:rPr>
  </w:style>
  <w:style w:type="paragraph" w:customStyle="1" w:styleId="Style11">
    <w:name w:val="Style 11"/>
    <w:basedOn w:val="Normal"/>
    <w:rsid w:val="00311EC6"/>
    <w:pPr>
      <w:widowControl w:val="0"/>
      <w:suppressAutoHyphens w:val="0"/>
      <w:spacing w:before="252" w:line="324" w:lineRule="exact"/>
      <w:ind w:left="1584" w:right="72" w:hanging="504"/>
    </w:pPr>
    <w:rPr>
      <w:rFonts w:ascii="Verdana" w:hAnsi="Verdana" w:cs="Verdana"/>
      <w:sz w:val="15"/>
      <w:szCs w:val="15"/>
      <w:lang w:val="en-US"/>
    </w:rPr>
  </w:style>
  <w:style w:type="character" w:customStyle="1" w:styleId="apple-converted-space">
    <w:name w:val="apple-converted-space"/>
    <w:rsid w:val="00E459F6"/>
  </w:style>
  <w:style w:type="paragraph" w:customStyle="1" w:styleId="WLGHEADING1">
    <w:name w:val="WLG HEADING 1"/>
    <w:basedOn w:val="Normal"/>
    <w:qFormat/>
    <w:rsid w:val="00B145AE"/>
    <w:pPr>
      <w:keepNext/>
    </w:pPr>
    <w:rPr>
      <w:b/>
      <w:bCs/>
      <w:lang w:val="en-GB"/>
    </w:rPr>
  </w:style>
  <w:style w:type="paragraph" w:customStyle="1" w:styleId="WLGHeading2">
    <w:name w:val="WLG Heading 2"/>
    <w:basedOn w:val="Normal"/>
    <w:qFormat/>
    <w:rsid w:val="00B145AE"/>
    <w:pPr>
      <w:keepNext/>
    </w:pPr>
    <w:rPr>
      <w:b/>
      <w:bCs/>
      <w:lang w:val="en-GB"/>
    </w:rPr>
  </w:style>
  <w:style w:type="paragraph" w:customStyle="1" w:styleId="WLGHeading3">
    <w:name w:val="WLG Heading 3"/>
    <w:basedOn w:val="Normal"/>
    <w:qFormat/>
    <w:rsid w:val="00B145AE"/>
    <w:pPr>
      <w:keepNext/>
    </w:pPr>
    <w:rPr>
      <w:i/>
      <w:iCs/>
      <w:u w:val="single"/>
      <w:lang w:val="en-GB"/>
    </w:rPr>
  </w:style>
  <w:style w:type="paragraph" w:customStyle="1" w:styleId="WLGQuoteLevel1">
    <w:name w:val="WLG Quote Level 1"/>
    <w:basedOn w:val="Normal"/>
    <w:qFormat/>
    <w:rsid w:val="00B145AE"/>
    <w:pPr>
      <w:spacing w:line="360" w:lineRule="auto"/>
      <w:ind w:left="851"/>
    </w:pPr>
    <w:rPr>
      <w:i/>
      <w:iCs/>
      <w:lang w:val="en-GB"/>
    </w:rPr>
  </w:style>
  <w:style w:type="paragraph" w:customStyle="1" w:styleId="WLGQuoteLevel2">
    <w:name w:val="WLG Quote Level 2"/>
    <w:basedOn w:val="Normal"/>
    <w:qFormat/>
    <w:rsid w:val="00B145AE"/>
    <w:pPr>
      <w:spacing w:line="360" w:lineRule="auto"/>
      <w:ind w:left="1701"/>
    </w:pPr>
    <w:rPr>
      <w:i/>
      <w:iCs/>
      <w:lang w:val="en-GB"/>
    </w:rPr>
  </w:style>
  <w:style w:type="paragraph" w:customStyle="1" w:styleId="WLGIndent2">
    <w:name w:val="WLG Indent2"/>
    <w:basedOn w:val="WLGLevel2"/>
    <w:qFormat/>
    <w:rsid w:val="005015A8"/>
    <w:pPr>
      <w:numPr>
        <w:ilvl w:val="0"/>
        <w:numId w:val="0"/>
      </w:numPr>
      <w:ind w:left="1361"/>
    </w:pPr>
    <w:rPr>
      <w:lang w:val="en-GB"/>
    </w:rPr>
  </w:style>
  <w:style w:type="paragraph" w:customStyle="1" w:styleId="lg-para3">
    <w:name w:val="lg-para3"/>
    <w:basedOn w:val="Normal"/>
    <w:rsid w:val="009F4175"/>
    <w:pPr>
      <w:suppressAutoHyphens w:val="0"/>
      <w:spacing w:before="100" w:beforeAutospacing="1" w:after="100" w:afterAutospacing="1" w:line="240" w:lineRule="auto"/>
      <w:jc w:val="left"/>
    </w:pPr>
    <w:rPr>
      <w:rFonts w:ascii="Times New Roman" w:hAnsi="Times New Roman"/>
      <w:sz w:val="24"/>
      <w:szCs w:val="24"/>
      <w:lang w:eastAsia="en-GB"/>
    </w:rPr>
  </w:style>
  <w:style w:type="paragraph" w:customStyle="1" w:styleId="lg-a-1">
    <w:name w:val="lg-a-1"/>
    <w:basedOn w:val="Normal"/>
    <w:rsid w:val="009F4175"/>
    <w:pPr>
      <w:suppressAutoHyphens w:val="0"/>
      <w:spacing w:before="100" w:beforeAutospacing="1" w:after="100" w:afterAutospacing="1" w:line="240" w:lineRule="auto"/>
      <w:jc w:val="left"/>
    </w:pPr>
    <w:rPr>
      <w:rFonts w:ascii="Times New Roman" w:hAnsi="Times New Roman"/>
      <w:sz w:val="24"/>
      <w:szCs w:val="24"/>
      <w:lang w:eastAsia="en-GB"/>
    </w:rPr>
  </w:style>
  <w:style w:type="paragraph" w:styleId="ListParagraph">
    <w:name w:val="List Paragraph"/>
    <w:aliases w:val="ML List paragraph"/>
    <w:basedOn w:val="Normal"/>
    <w:link w:val="ListParagraphChar"/>
    <w:uiPriority w:val="34"/>
    <w:qFormat/>
    <w:rsid w:val="00F53AA4"/>
    <w:pPr>
      <w:suppressAutoHyphens w:val="0"/>
      <w:spacing w:after="5" w:line="264" w:lineRule="auto"/>
      <w:ind w:left="720"/>
      <w:contextualSpacing/>
    </w:pPr>
    <w:rPr>
      <w:rFonts w:ascii="Calibri" w:eastAsia="Calibri" w:hAnsi="Calibri" w:cs="Calibri"/>
      <w:color w:val="000000"/>
      <w:sz w:val="24"/>
      <w:szCs w:val="22"/>
      <w:lang w:eastAsia="en-ZA"/>
    </w:rPr>
  </w:style>
  <w:style w:type="character" w:customStyle="1" w:styleId="ListParagraphChar">
    <w:name w:val="List Paragraph Char"/>
    <w:aliases w:val="ML List paragraph Char"/>
    <w:basedOn w:val="DefaultParagraphFont"/>
    <w:link w:val="ListParagraph"/>
    <w:uiPriority w:val="34"/>
    <w:locked/>
    <w:rsid w:val="00F53AA4"/>
    <w:rPr>
      <w:rFonts w:ascii="Calibri" w:eastAsia="Calibri" w:hAnsi="Calibri" w:cs="Calibri"/>
      <w:color w:val="000000"/>
      <w:sz w:val="24"/>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693">
      <w:bodyDiv w:val="1"/>
      <w:marLeft w:val="360"/>
      <w:marRight w:val="360"/>
      <w:marTop w:val="0"/>
      <w:marBottom w:val="0"/>
      <w:divBdr>
        <w:top w:val="none" w:sz="0" w:space="0" w:color="auto"/>
        <w:left w:val="none" w:sz="0" w:space="0" w:color="auto"/>
        <w:bottom w:val="none" w:sz="0" w:space="0" w:color="auto"/>
        <w:right w:val="none" w:sz="0" w:space="0" w:color="auto"/>
      </w:divBdr>
      <w:divsChild>
        <w:div w:id="1232542358">
          <w:marLeft w:val="0"/>
          <w:marRight w:val="0"/>
          <w:marTop w:val="0"/>
          <w:marBottom w:val="0"/>
          <w:divBdr>
            <w:top w:val="none" w:sz="0" w:space="0" w:color="auto"/>
            <w:left w:val="none" w:sz="0" w:space="0" w:color="auto"/>
            <w:bottom w:val="none" w:sz="0" w:space="0" w:color="auto"/>
            <w:right w:val="none" w:sz="0" w:space="0" w:color="auto"/>
          </w:divBdr>
        </w:div>
        <w:div w:id="1787234688">
          <w:marLeft w:val="0"/>
          <w:marRight w:val="0"/>
          <w:marTop w:val="0"/>
          <w:marBottom w:val="0"/>
          <w:divBdr>
            <w:top w:val="none" w:sz="0" w:space="0" w:color="auto"/>
            <w:left w:val="none" w:sz="0" w:space="0" w:color="auto"/>
            <w:bottom w:val="none" w:sz="0" w:space="0" w:color="auto"/>
            <w:right w:val="none" w:sz="0" w:space="0" w:color="auto"/>
          </w:divBdr>
        </w:div>
      </w:divsChild>
    </w:div>
    <w:div w:id="139227469">
      <w:bodyDiv w:val="1"/>
      <w:marLeft w:val="0"/>
      <w:marRight w:val="0"/>
      <w:marTop w:val="0"/>
      <w:marBottom w:val="0"/>
      <w:divBdr>
        <w:top w:val="none" w:sz="0" w:space="0" w:color="auto"/>
        <w:left w:val="none" w:sz="0" w:space="0" w:color="auto"/>
        <w:bottom w:val="none" w:sz="0" w:space="0" w:color="auto"/>
        <w:right w:val="none" w:sz="0" w:space="0" w:color="auto"/>
      </w:divBdr>
    </w:div>
    <w:div w:id="558709632">
      <w:bodyDiv w:val="1"/>
      <w:marLeft w:val="0"/>
      <w:marRight w:val="0"/>
      <w:marTop w:val="0"/>
      <w:marBottom w:val="0"/>
      <w:divBdr>
        <w:top w:val="none" w:sz="0" w:space="0" w:color="auto"/>
        <w:left w:val="none" w:sz="0" w:space="0" w:color="auto"/>
        <w:bottom w:val="none" w:sz="0" w:space="0" w:color="auto"/>
        <w:right w:val="none" w:sz="0" w:space="0" w:color="auto"/>
      </w:divBdr>
    </w:div>
    <w:div w:id="592976581">
      <w:bodyDiv w:val="1"/>
      <w:marLeft w:val="0"/>
      <w:marRight w:val="0"/>
      <w:marTop w:val="0"/>
      <w:marBottom w:val="0"/>
      <w:divBdr>
        <w:top w:val="none" w:sz="0" w:space="0" w:color="auto"/>
        <w:left w:val="none" w:sz="0" w:space="0" w:color="auto"/>
        <w:bottom w:val="none" w:sz="0" w:space="0" w:color="auto"/>
        <w:right w:val="none" w:sz="0" w:space="0" w:color="auto"/>
      </w:divBdr>
    </w:div>
    <w:div w:id="698315804">
      <w:bodyDiv w:val="1"/>
      <w:marLeft w:val="360"/>
      <w:marRight w:val="360"/>
      <w:marTop w:val="0"/>
      <w:marBottom w:val="0"/>
      <w:divBdr>
        <w:top w:val="none" w:sz="0" w:space="0" w:color="auto"/>
        <w:left w:val="none" w:sz="0" w:space="0" w:color="auto"/>
        <w:bottom w:val="none" w:sz="0" w:space="0" w:color="auto"/>
        <w:right w:val="none" w:sz="0" w:space="0" w:color="auto"/>
      </w:divBdr>
      <w:divsChild>
        <w:div w:id="932663690">
          <w:marLeft w:val="0"/>
          <w:marRight w:val="0"/>
          <w:marTop w:val="0"/>
          <w:marBottom w:val="0"/>
          <w:divBdr>
            <w:top w:val="none" w:sz="0" w:space="0" w:color="auto"/>
            <w:left w:val="none" w:sz="0" w:space="0" w:color="auto"/>
            <w:bottom w:val="none" w:sz="0" w:space="0" w:color="auto"/>
            <w:right w:val="none" w:sz="0" w:space="0" w:color="auto"/>
          </w:divBdr>
          <w:divsChild>
            <w:div w:id="1191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39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3071421">
          <w:marLeft w:val="0"/>
          <w:marRight w:val="0"/>
          <w:marTop w:val="0"/>
          <w:marBottom w:val="0"/>
          <w:divBdr>
            <w:top w:val="none" w:sz="0" w:space="0" w:color="auto"/>
            <w:left w:val="none" w:sz="0" w:space="0" w:color="auto"/>
            <w:bottom w:val="none" w:sz="0" w:space="0" w:color="auto"/>
            <w:right w:val="none" w:sz="0" w:space="0" w:color="auto"/>
          </w:divBdr>
          <w:divsChild>
            <w:div w:id="228005891">
              <w:marLeft w:val="3600"/>
              <w:marRight w:val="0"/>
              <w:marTop w:val="0"/>
              <w:marBottom w:val="0"/>
              <w:divBdr>
                <w:top w:val="none" w:sz="0" w:space="0" w:color="auto"/>
                <w:left w:val="none" w:sz="0" w:space="0" w:color="auto"/>
                <w:bottom w:val="none" w:sz="0" w:space="0" w:color="auto"/>
                <w:right w:val="none" w:sz="0" w:space="0" w:color="auto"/>
              </w:divBdr>
              <w:divsChild>
                <w:div w:id="6475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5774">
      <w:bodyDiv w:val="1"/>
      <w:marLeft w:val="375"/>
      <w:marRight w:val="375"/>
      <w:marTop w:val="75"/>
      <w:marBottom w:val="75"/>
      <w:divBdr>
        <w:top w:val="none" w:sz="0" w:space="0" w:color="auto"/>
        <w:left w:val="none" w:sz="0" w:space="0" w:color="auto"/>
        <w:bottom w:val="none" w:sz="0" w:space="0" w:color="auto"/>
        <w:right w:val="none" w:sz="0" w:space="0" w:color="auto"/>
      </w:divBdr>
      <w:divsChild>
        <w:div w:id="1320113854">
          <w:marLeft w:val="0"/>
          <w:marRight w:val="0"/>
          <w:marTop w:val="0"/>
          <w:marBottom w:val="0"/>
          <w:divBdr>
            <w:top w:val="none" w:sz="0" w:space="0" w:color="auto"/>
            <w:left w:val="none" w:sz="0" w:space="0" w:color="auto"/>
            <w:bottom w:val="none" w:sz="0" w:space="0" w:color="auto"/>
            <w:right w:val="none" w:sz="0" w:space="0" w:color="auto"/>
          </w:divBdr>
          <w:divsChild>
            <w:div w:id="1364087529">
              <w:marLeft w:val="3600"/>
              <w:marRight w:val="0"/>
              <w:marTop w:val="0"/>
              <w:marBottom w:val="0"/>
              <w:divBdr>
                <w:top w:val="none" w:sz="0" w:space="0" w:color="auto"/>
                <w:left w:val="none" w:sz="0" w:space="0" w:color="auto"/>
                <w:bottom w:val="none" w:sz="0" w:space="0" w:color="auto"/>
                <w:right w:val="none" w:sz="0" w:space="0" w:color="auto"/>
              </w:divBdr>
              <w:divsChild>
                <w:div w:id="10860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968">
      <w:bodyDiv w:val="1"/>
      <w:marLeft w:val="0"/>
      <w:marRight w:val="0"/>
      <w:marTop w:val="0"/>
      <w:marBottom w:val="0"/>
      <w:divBdr>
        <w:top w:val="none" w:sz="0" w:space="0" w:color="auto"/>
        <w:left w:val="none" w:sz="0" w:space="0" w:color="auto"/>
        <w:bottom w:val="none" w:sz="0" w:space="0" w:color="auto"/>
        <w:right w:val="none" w:sz="0" w:space="0" w:color="auto"/>
      </w:divBdr>
    </w:div>
    <w:div w:id="16899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Library/IframeContent.aspx?dpath=zb/jilc/kilc/egqg/yu0ib/zu0ib/4u0ib&amp;ismultiview=False&amp;ca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gqg/yu0ib/zu0ib/4u0ib&amp;ismultiview=False&amp;ca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lexisnexis.co.za/Library/IframeContent.aspx?dpath=zb/jilc/kilc/egqg/yu0ib/zu0ib/4u0ib&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xh5na&amp;ismultiview=False&amp;ca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238C-0A7C-4149-B369-5A55C7CB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Mokone</cp:lastModifiedBy>
  <cp:revision>2</cp:revision>
  <cp:lastPrinted>2013-09-16T15:42:00Z</cp:lastPrinted>
  <dcterms:created xsi:type="dcterms:W3CDTF">2023-10-11T08:45:00Z</dcterms:created>
  <dcterms:modified xsi:type="dcterms:W3CDTF">2023-10-11T08:45:00Z</dcterms:modified>
</cp:coreProperties>
</file>