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06D2D" w14:textId="77777777" w:rsidR="000649E5" w:rsidRPr="00DB2A06" w:rsidRDefault="000649E5" w:rsidP="000649E5">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F611006" w14:textId="77777777" w:rsidR="000649E5" w:rsidRDefault="000649E5"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044D920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2EE894DA"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2BA33568"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340AA8B7" wp14:editId="17F74A93">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F4491D3"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749B2A95"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7FBD9BA6"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14:paraId="28092385" w14:textId="77777777" w:rsidR="007B7F59" w:rsidRPr="007B7F59" w:rsidRDefault="007B7F59" w:rsidP="007B7F59">
      <w:pPr>
        <w:spacing w:after="0" w:line="240" w:lineRule="auto"/>
        <w:ind w:left="0"/>
        <w:rPr>
          <w:rFonts w:eastAsia="Times New Roman" w:cs="Arial"/>
          <w:szCs w:val="24"/>
          <w:lang w:val="en-ZA"/>
        </w:rPr>
      </w:pPr>
    </w:p>
    <w:p w14:paraId="01A474AB" w14:textId="77777777" w:rsidR="007B7F59" w:rsidRPr="007B7F59" w:rsidRDefault="007B7F59" w:rsidP="007B7F59">
      <w:pPr>
        <w:spacing w:after="0" w:line="240" w:lineRule="auto"/>
        <w:ind w:left="0"/>
        <w:rPr>
          <w:rFonts w:eastAsia="Times New Roman" w:cs="Arial"/>
          <w:szCs w:val="24"/>
          <w:lang w:val="en-ZA"/>
        </w:rPr>
      </w:pPr>
    </w:p>
    <w:p w14:paraId="1D1C8550"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1E34A3" w:rsidRPr="001E34A3">
        <w:rPr>
          <w:rFonts w:eastAsia="Times New Roman" w:cs="Arial"/>
          <w:bCs/>
          <w:szCs w:val="24"/>
          <w:lang w:val="en-ZA"/>
        </w:rPr>
        <w:t>11676/2018</w:t>
      </w:r>
    </w:p>
    <w:p w14:paraId="6A330296"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04F4B7EE" wp14:editId="3B40E6B9">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EC2888E" w14:textId="5778A07E" w:rsidR="007B7F59" w:rsidRPr="001E34A3" w:rsidRDefault="00D14EBA" w:rsidP="00D14EBA">
                            <w:pPr>
                              <w:tabs>
                                <w:tab w:val="left" w:pos="900"/>
                              </w:tabs>
                              <w:spacing w:after="0" w:line="240" w:lineRule="auto"/>
                              <w:ind w:left="900" w:hanging="720"/>
                              <w:jc w:val="left"/>
                              <w:rPr>
                                <w:rFonts w:cs="Arial"/>
                                <w:sz w:val="18"/>
                                <w:szCs w:val="20"/>
                              </w:rPr>
                            </w:pPr>
                            <w:r w:rsidRPr="001E34A3">
                              <w:rPr>
                                <w:rFonts w:cs="Arial"/>
                                <w:sz w:val="18"/>
                                <w:szCs w:val="20"/>
                              </w:rPr>
                              <w:t>(1)</w:t>
                            </w:r>
                            <w:r w:rsidRPr="001E34A3">
                              <w:rPr>
                                <w:rFonts w:cs="Arial"/>
                                <w:sz w:val="18"/>
                                <w:szCs w:val="20"/>
                              </w:rPr>
                              <w:tab/>
                            </w:r>
                            <w:r w:rsidR="007B7F59" w:rsidRPr="003B746C">
                              <w:rPr>
                                <w:rFonts w:cs="Arial"/>
                                <w:sz w:val="18"/>
                                <w:szCs w:val="20"/>
                              </w:rPr>
                              <w:t xml:space="preserve">REPORTABLE: </w:t>
                            </w:r>
                            <w:r w:rsidR="007B7F59" w:rsidRPr="001E34A3">
                              <w:rPr>
                                <w:rFonts w:cs="Arial"/>
                                <w:sz w:val="18"/>
                                <w:szCs w:val="20"/>
                              </w:rPr>
                              <w:t>YES / NO</w:t>
                            </w:r>
                          </w:p>
                          <w:p w14:paraId="57FD6635" w14:textId="3FC08344" w:rsidR="007B7F59" w:rsidRPr="001E34A3" w:rsidRDefault="00D14EBA" w:rsidP="00D14EBA">
                            <w:pPr>
                              <w:tabs>
                                <w:tab w:val="left" w:pos="900"/>
                              </w:tabs>
                              <w:spacing w:after="0" w:line="240" w:lineRule="auto"/>
                              <w:ind w:left="900" w:hanging="720"/>
                              <w:jc w:val="left"/>
                              <w:rPr>
                                <w:rFonts w:cs="Arial"/>
                                <w:sz w:val="18"/>
                                <w:szCs w:val="20"/>
                              </w:rPr>
                            </w:pPr>
                            <w:r w:rsidRPr="001E34A3">
                              <w:rPr>
                                <w:rFonts w:cs="Arial"/>
                                <w:sz w:val="18"/>
                                <w:szCs w:val="20"/>
                              </w:rPr>
                              <w:t>(2)</w:t>
                            </w:r>
                            <w:r w:rsidRPr="001E34A3">
                              <w:rPr>
                                <w:rFonts w:cs="Arial"/>
                                <w:sz w:val="18"/>
                                <w:szCs w:val="20"/>
                              </w:rPr>
                              <w:tab/>
                            </w:r>
                            <w:r w:rsidR="007B7F59" w:rsidRPr="001E34A3">
                              <w:rPr>
                                <w:rFonts w:cs="Arial"/>
                                <w:sz w:val="18"/>
                                <w:szCs w:val="20"/>
                              </w:rPr>
                              <w:t>OF INTEREST TO OTHER JUDGES: YES/NO</w:t>
                            </w:r>
                          </w:p>
                          <w:p w14:paraId="2F46E90E" w14:textId="0591A701" w:rsidR="007B7F59" w:rsidRPr="001E34A3" w:rsidRDefault="00D14EBA" w:rsidP="00D14EBA">
                            <w:pPr>
                              <w:tabs>
                                <w:tab w:val="left" w:pos="900"/>
                              </w:tabs>
                              <w:spacing w:after="0" w:line="240" w:lineRule="auto"/>
                              <w:ind w:left="900" w:hanging="720"/>
                              <w:jc w:val="left"/>
                              <w:rPr>
                                <w:rFonts w:cs="Arial"/>
                                <w:sz w:val="18"/>
                                <w:szCs w:val="20"/>
                              </w:rPr>
                            </w:pPr>
                            <w:r w:rsidRPr="001E34A3">
                              <w:rPr>
                                <w:rFonts w:cs="Arial"/>
                                <w:sz w:val="18"/>
                                <w:szCs w:val="20"/>
                              </w:rPr>
                              <w:t>(3)</w:t>
                            </w:r>
                            <w:r w:rsidRPr="001E34A3">
                              <w:rPr>
                                <w:rFonts w:cs="Arial"/>
                                <w:sz w:val="18"/>
                                <w:szCs w:val="20"/>
                              </w:rPr>
                              <w:tab/>
                            </w:r>
                            <w:r w:rsidR="007B7F59" w:rsidRPr="001E34A3">
                              <w:rPr>
                                <w:rFonts w:cs="Arial"/>
                                <w:sz w:val="18"/>
                                <w:szCs w:val="20"/>
                              </w:rPr>
                              <w:t>REVISED: YES/NO</w:t>
                            </w:r>
                          </w:p>
                          <w:p w14:paraId="4E6783D8"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7439D36D"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4B7E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0EC2888E" w14:textId="5778A07E" w:rsidR="007B7F59" w:rsidRPr="001E34A3" w:rsidRDefault="00D14EBA" w:rsidP="00D14EBA">
                      <w:pPr>
                        <w:tabs>
                          <w:tab w:val="left" w:pos="900"/>
                        </w:tabs>
                        <w:spacing w:after="0" w:line="240" w:lineRule="auto"/>
                        <w:ind w:left="900" w:hanging="720"/>
                        <w:jc w:val="left"/>
                        <w:rPr>
                          <w:rFonts w:cs="Arial"/>
                          <w:sz w:val="18"/>
                          <w:szCs w:val="20"/>
                        </w:rPr>
                      </w:pPr>
                      <w:r w:rsidRPr="001E34A3">
                        <w:rPr>
                          <w:rFonts w:cs="Arial"/>
                          <w:sz w:val="18"/>
                          <w:szCs w:val="20"/>
                        </w:rPr>
                        <w:t>(1)</w:t>
                      </w:r>
                      <w:r w:rsidRPr="001E34A3">
                        <w:rPr>
                          <w:rFonts w:cs="Arial"/>
                          <w:sz w:val="18"/>
                          <w:szCs w:val="20"/>
                        </w:rPr>
                        <w:tab/>
                      </w:r>
                      <w:r w:rsidR="007B7F59" w:rsidRPr="003B746C">
                        <w:rPr>
                          <w:rFonts w:cs="Arial"/>
                          <w:sz w:val="18"/>
                          <w:szCs w:val="20"/>
                        </w:rPr>
                        <w:t xml:space="preserve">REPORTABLE: </w:t>
                      </w:r>
                      <w:r w:rsidR="007B7F59" w:rsidRPr="001E34A3">
                        <w:rPr>
                          <w:rFonts w:cs="Arial"/>
                          <w:sz w:val="18"/>
                          <w:szCs w:val="20"/>
                        </w:rPr>
                        <w:t>YES / NO</w:t>
                      </w:r>
                    </w:p>
                    <w:p w14:paraId="57FD6635" w14:textId="3FC08344" w:rsidR="007B7F59" w:rsidRPr="001E34A3" w:rsidRDefault="00D14EBA" w:rsidP="00D14EBA">
                      <w:pPr>
                        <w:tabs>
                          <w:tab w:val="left" w:pos="900"/>
                        </w:tabs>
                        <w:spacing w:after="0" w:line="240" w:lineRule="auto"/>
                        <w:ind w:left="900" w:hanging="720"/>
                        <w:jc w:val="left"/>
                        <w:rPr>
                          <w:rFonts w:cs="Arial"/>
                          <w:sz w:val="18"/>
                          <w:szCs w:val="20"/>
                        </w:rPr>
                      </w:pPr>
                      <w:r w:rsidRPr="001E34A3">
                        <w:rPr>
                          <w:rFonts w:cs="Arial"/>
                          <w:sz w:val="18"/>
                          <w:szCs w:val="20"/>
                        </w:rPr>
                        <w:t>(2)</w:t>
                      </w:r>
                      <w:r w:rsidRPr="001E34A3">
                        <w:rPr>
                          <w:rFonts w:cs="Arial"/>
                          <w:sz w:val="18"/>
                          <w:szCs w:val="20"/>
                        </w:rPr>
                        <w:tab/>
                      </w:r>
                      <w:r w:rsidR="007B7F59" w:rsidRPr="001E34A3">
                        <w:rPr>
                          <w:rFonts w:cs="Arial"/>
                          <w:sz w:val="18"/>
                          <w:szCs w:val="20"/>
                        </w:rPr>
                        <w:t>OF INTEREST TO OTHER JUDGES: YES/NO</w:t>
                      </w:r>
                    </w:p>
                    <w:p w14:paraId="2F46E90E" w14:textId="0591A701" w:rsidR="007B7F59" w:rsidRPr="001E34A3" w:rsidRDefault="00D14EBA" w:rsidP="00D14EBA">
                      <w:pPr>
                        <w:tabs>
                          <w:tab w:val="left" w:pos="900"/>
                        </w:tabs>
                        <w:spacing w:after="0" w:line="240" w:lineRule="auto"/>
                        <w:ind w:left="900" w:hanging="720"/>
                        <w:jc w:val="left"/>
                        <w:rPr>
                          <w:rFonts w:cs="Arial"/>
                          <w:sz w:val="18"/>
                          <w:szCs w:val="20"/>
                        </w:rPr>
                      </w:pPr>
                      <w:r w:rsidRPr="001E34A3">
                        <w:rPr>
                          <w:rFonts w:cs="Arial"/>
                          <w:sz w:val="18"/>
                          <w:szCs w:val="20"/>
                        </w:rPr>
                        <w:t>(3)</w:t>
                      </w:r>
                      <w:r w:rsidRPr="001E34A3">
                        <w:rPr>
                          <w:rFonts w:cs="Arial"/>
                          <w:sz w:val="18"/>
                          <w:szCs w:val="20"/>
                        </w:rPr>
                        <w:tab/>
                      </w:r>
                      <w:r w:rsidR="007B7F59" w:rsidRPr="001E34A3">
                        <w:rPr>
                          <w:rFonts w:cs="Arial"/>
                          <w:sz w:val="18"/>
                          <w:szCs w:val="20"/>
                        </w:rPr>
                        <w:t>REVISED: YES/NO</w:t>
                      </w:r>
                    </w:p>
                    <w:p w14:paraId="4E6783D8"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7439D36D"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41F7267F"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418CAACE"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4C81846A"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1FC1BFB6"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66E45D7D"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61E38356"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0326EE7"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9D58D00"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708F2738"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EE0709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34C9518" w14:textId="40CA1847" w:rsidR="007B7F59" w:rsidRPr="007B7F59" w:rsidRDefault="00C15F72" w:rsidP="007B7F59">
      <w:pPr>
        <w:tabs>
          <w:tab w:val="right" w:pos="9029"/>
        </w:tabs>
        <w:spacing w:after="0" w:line="240" w:lineRule="auto"/>
        <w:ind w:left="0"/>
        <w:contextualSpacing/>
        <w:rPr>
          <w:rFonts w:eastAsia="Times New Roman" w:cs="Arial"/>
          <w:szCs w:val="24"/>
          <w:lang w:val="en-ZA"/>
        </w:rPr>
      </w:pPr>
      <w:r>
        <w:rPr>
          <w:b/>
          <w:bCs/>
        </w:rPr>
        <w:t>S, S F</w:t>
      </w:r>
      <w:r w:rsidR="007B7F59" w:rsidRPr="007B7F59">
        <w:rPr>
          <w:rFonts w:eastAsia="Times New Roman" w:cs="Arial"/>
          <w:b/>
          <w:szCs w:val="24"/>
          <w:lang w:val="en-ZA"/>
        </w:rPr>
        <w:tab/>
      </w:r>
      <w:r w:rsidR="007B7F59" w:rsidRPr="007B7F59">
        <w:rPr>
          <w:rFonts w:eastAsia="Times New Roman" w:cs="Arial"/>
          <w:szCs w:val="24"/>
          <w:lang w:val="en-ZA"/>
        </w:rPr>
        <w:t>Applicant</w:t>
      </w:r>
    </w:p>
    <w:p w14:paraId="6C0088B1"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6B88D95F"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7C080114"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5A1E47F0"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56BA9CC6" w14:textId="7C656CC9" w:rsidR="007B7F59" w:rsidRPr="007B7F59" w:rsidRDefault="00C15F72" w:rsidP="007B7F59">
      <w:pPr>
        <w:tabs>
          <w:tab w:val="right" w:pos="9029"/>
        </w:tabs>
        <w:spacing w:after="0" w:line="240" w:lineRule="auto"/>
        <w:ind w:left="0"/>
        <w:contextualSpacing/>
        <w:rPr>
          <w:rFonts w:eastAsia="Times New Roman" w:cs="Arial"/>
          <w:szCs w:val="24"/>
          <w:lang w:val="en-ZA"/>
        </w:rPr>
      </w:pPr>
      <w:r>
        <w:rPr>
          <w:b/>
          <w:bCs/>
        </w:rPr>
        <w:t>S</w:t>
      </w:r>
      <w:r w:rsidR="001E34A3">
        <w:rPr>
          <w:b/>
          <w:bCs/>
        </w:rPr>
        <w:t xml:space="preserve">, </w:t>
      </w:r>
      <w:r>
        <w:rPr>
          <w:b/>
          <w:bCs/>
        </w:rPr>
        <w:t>A J</w:t>
      </w:r>
      <w:r w:rsidR="001E34A3" w:rsidRPr="00610EC0">
        <w:rPr>
          <w:b/>
          <w:bCs/>
        </w:rPr>
        <w:t xml:space="preserve">                                  </w:t>
      </w:r>
      <w:r w:rsidR="00E049D0">
        <w:rPr>
          <w:b/>
          <w:bCs/>
        </w:rPr>
        <w:t>11</w:t>
      </w:r>
      <w:r w:rsidR="001E34A3" w:rsidRPr="00610EC0">
        <w:rPr>
          <w:b/>
          <w:bCs/>
        </w:rPr>
        <w:t xml:space="preserve">                               </w:t>
      </w:r>
      <w:r w:rsidR="007B7F59" w:rsidRPr="007B7F59">
        <w:rPr>
          <w:rFonts w:cs="Arial"/>
          <w:b/>
          <w:szCs w:val="24"/>
          <w:lang w:val="en-ZA"/>
        </w:rPr>
        <w:tab/>
      </w:r>
      <w:r w:rsidR="007B7F59" w:rsidRPr="007B7F59">
        <w:rPr>
          <w:rFonts w:eastAsia="Times New Roman" w:cs="Arial"/>
          <w:szCs w:val="24"/>
          <w:lang w:val="en-ZA"/>
        </w:rPr>
        <w:t>First Respondent</w:t>
      </w:r>
    </w:p>
    <w:p w14:paraId="501D48E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E835C48" w14:textId="77777777" w:rsidR="007B7F59" w:rsidRPr="007B7F59" w:rsidRDefault="007B7F59" w:rsidP="007B7F59">
      <w:pPr>
        <w:tabs>
          <w:tab w:val="right" w:pos="9029"/>
        </w:tabs>
        <w:spacing w:after="0" w:line="240" w:lineRule="auto"/>
        <w:ind w:left="0"/>
        <w:contextualSpacing/>
        <w:rPr>
          <w:rFonts w:cs="Arial"/>
          <w:b/>
          <w:szCs w:val="24"/>
        </w:rPr>
      </w:pPr>
    </w:p>
    <w:p w14:paraId="6077E1C3"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721CEB1A" w14:textId="77777777" w:rsidR="007B7F59" w:rsidRPr="007B7F59" w:rsidRDefault="007B7F59" w:rsidP="007B7F59">
      <w:pPr>
        <w:spacing w:after="0" w:line="240" w:lineRule="auto"/>
        <w:ind w:left="1440" w:hanging="1440"/>
        <w:jc w:val="left"/>
        <w:rPr>
          <w:rFonts w:cs="Arial"/>
          <w:b/>
          <w:szCs w:val="24"/>
        </w:rPr>
      </w:pPr>
    </w:p>
    <w:p w14:paraId="5A74288C"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3544767A" w14:textId="77777777" w:rsidR="007B7F59" w:rsidRPr="00765CDC" w:rsidRDefault="001E34A3" w:rsidP="001E34A3">
      <w:pPr>
        <w:pStyle w:val="BodyText"/>
        <w:kinsoku w:val="0"/>
        <w:overflowPunct w:val="0"/>
        <w:spacing w:line="360" w:lineRule="auto"/>
      </w:pPr>
      <w:r w:rsidRPr="00765CDC">
        <w:t>Nkutha-Nkontwana J:</w:t>
      </w:r>
    </w:p>
    <w:p w14:paraId="1E81E437" w14:textId="77777777" w:rsidR="007B7F59" w:rsidRPr="00765CDC" w:rsidRDefault="007B7F59" w:rsidP="007B7F59">
      <w:pPr>
        <w:spacing w:after="0" w:line="240" w:lineRule="auto"/>
        <w:ind w:left="0"/>
        <w:jc w:val="left"/>
        <w:rPr>
          <w:rFonts w:cs="Arial"/>
          <w:szCs w:val="24"/>
        </w:rPr>
      </w:pPr>
    </w:p>
    <w:p w14:paraId="781CC6CD" w14:textId="77777777" w:rsidR="00794DCB" w:rsidRPr="00765CDC" w:rsidRDefault="002C231F" w:rsidP="007B7F59">
      <w:pPr>
        <w:pStyle w:val="JudgmentHeading"/>
      </w:pPr>
      <w:r w:rsidRPr="00765CDC">
        <w:t>Background</w:t>
      </w:r>
    </w:p>
    <w:p w14:paraId="0303A8DA" w14:textId="48A88F63" w:rsidR="002C231F" w:rsidRPr="00765CDC" w:rsidRDefault="00D14EBA" w:rsidP="00D14EBA">
      <w:pPr>
        <w:pStyle w:val="JudgmentNumbered"/>
        <w:numPr>
          <w:ilvl w:val="0"/>
          <w:numId w:val="0"/>
        </w:numPr>
        <w:ind w:left="567" w:hanging="567"/>
        <w:rPr>
          <w:rFonts w:eastAsia="Times New Roman"/>
        </w:rPr>
      </w:pPr>
      <w:r w:rsidRPr="00765CDC">
        <w:rPr>
          <w:rFonts w:eastAsia="Times New Roman"/>
        </w:rPr>
        <w:lastRenderedPageBreak/>
        <w:t>[1</w:t>
      </w:r>
      <w:bookmarkStart w:id="0" w:name="_GoBack"/>
      <w:bookmarkEnd w:id="0"/>
      <w:r w:rsidRPr="00765CDC">
        <w:rPr>
          <w:rFonts w:eastAsia="Times New Roman"/>
        </w:rPr>
        <w:t>]</w:t>
      </w:r>
      <w:r w:rsidRPr="00765CDC">
        <w:rPr>
          <w:rFonts w:eastAsia="Times New Roman"/>
        </w:rPr>
        <w:tab/>
      </w:r>
      <w:r w:rsidR="002C231F" w:rsidRPr="00765CDC">
        <w:rPr>
          <w:rFonts w:eastAsia="Times New Roman"/>
          <w:bCs/>
        </w:rPr>
        <w:t>In this matter the A</w:t>
      </w:r>
      <w:r w:rsidR="002C231F" w:rsidRPr="00765CDC">
        <w:t>pplicant has approached the court by way of urgency, seeking an order in the following:</w:t>
      </w:r>
    </w:p>
    <w:p w14:paraId="3E7168C5" w14:textId="77777777" w:rsidR="002C231F" w:rsidRPr="005661FE" w:rsidRDefault="00EE072F" w:rsidP="002C231F">
      <w:pPr>
        <w:spacing w:after="360"/>
        <w:ind w:left="2007" w:hanging="567"/>
        <w:rPr>
          <w:rFonts w:eastAsia="Times New Roman" w:cs="Arial"/>
          <w:sz w:val="22"/>
        </w:rPr>
      </w:pPr>
      <w:r w:rsidRPr="00765CDC">
        <w:rPr>
          <w:rFonts w:eastAsia="Times New Roman" w:cs="Arial"/>
          <w:sz w:val="22"/>
        </w:rPr>
        <w:t>“</w:t>
      </w:r>
      <w:r w:rsidR="002C231F" w:rsidRPr="00E04B9C">
        <w:rPr>
          <w:rFonts w:eastAsia="Times New Roman" w:cs="Arial"/>
          <w:sz w:val="22"/>
        </w:rPr>
        <w:t>1.</w:t>
      </w:r>
      <w:r w:rsidR="002C231F" w:rsidRPr="00E04B9C">
        <w:rPr>
          <w:rFonts w:eastAsia="Times New Roman" w:cs="Arial"/>
          <w:sz w:val="22"/>
        </w:rPr>
        <w:tab/>
      </w:r>
      <w:r w:rsidR="002C231F" w:rsidRPr="00EF1CA3">
        <w:rPr>
          <w:rFonts w:eastAsia="Times New Roman" w:cs="Arial"/>
          <w:sz w:val="22"/>
        </w:rPr>
        <w:t xml:space="preserve">Enrolling this application as an urgent application and that the Rules relating to the forms, notices and time periods be dispensed with to the extent necessary in terms of Rule 6(12) of the Rules of the above Honourable Court; </w:t>
      </w:r>
    </w:p>
    <w:p w14:paraId="1FCD228A" w14:textId="4C82A9B9" w:rsidR="002C231F" w:rsidRPr="00CA3AF9" w:rsidRDefault="00C15F72" w:rsidP="002C231F">
      <w:pPr>
        <w:spacing w:after="360"/>
        <w:ind w:left="2007" w:hanging="567"/>
        <w:rPr>
          <w:rFonts w:eastAsia="Times New Roman" w:cs="Arial"/>
          <w:sz w:val="22"/>
        </w:rPr>
      </w:pPr>
      <w:r>
        <w:rPr>
          <w:rFonts w:eastAsia="Times New Roman" w:cs="Arial"/>
          <w:sz w:val="22"/>
        </w:rPr>
        <w:t xml:space="preserve">2. </w:t>
      </w:r>
      <w:r>
        <w:rPr>
          <w:rFonts w:eastAsia="Times New Roman" w:cs="Arial"/>
          <w:sz w:val="22"/>
        </w:rPr>
        <w:tab/>
        <w:t>The Respondent, A J S</w:t>
      </w:r>
      <w:r w:rsidR="002C231F" w:rsidRPr="00CA3AF9">
        <w:rPr>
          <w:rFonts w:eastAsia="Times New Roman" w:cs="Arial"/>
          <w:sz w:val="22"/>
        </w:rPr>
        <w:t xml:space="preserve">, is held in contempt of the Court orders granted on 29 June 2018 by Mokose AJ and on 15 October 2021 by Windell J, under case number 11676/2018; </w:t>
      </w:r>
    </w:p>
    <w:p w14:paraId="1BB2D1DD" w14:textId="77777777" w:rsidR="002C231F" w:rsidRPr="00CA3AF9" w:rsidRDefault="002C231F" w:rsidP="002C231F">
      <w:pPr>
        <w:spacing w:after="360"/>
        <w:ind w:left="2007" w:hanging="567"/>
        <w:rPr>
          <w:rFonts w:eastAsia="Times New Roman" w:cs="Arial"/>
          <w:sz w:val="22"/>
        </w:rPr>
      </w:pPr>
      <w:r w:rsidRPr="00CA3AF9">
        <w:rPr>
          <w:rFonts w:eastAsia="Times New Roman" w:cs="Arial"/>
          <w:sz w:val="22"/>
        </w:rPr>
        <w:t xml:space="preserve">3. </w:t>
      </w:r>
      <w:r w:rsidRPr="00CA3AF9">
        <w:rPr>
          <w:rFonts w:eastAsia="Times New Roman" w:cs="Arial"/>
          <w:sz w:val="22"/>
        </w:rPr>
        <w:tab/>
        <w:t xml:space="preserve">The Respondent is to pay the Applicant the arrear maintenance and related expenses totalling the sum of R264 639.00, within 48 (forty-eight) hours of the granting of this order; </w:t>
      </w:r>
    </w:p>
    <w:p w14:paraId="3629DAEF" w14:textId="77777777" w:rsidR="002C231F" w:rsidRPr="00CA3AF9" w:rsidRDefault="002C231F" w:rsidP="002C231F">
      <w:pPr>
        <w:spacing w:after="360"/>
        <w:ind w:left="2007" w:hanging="567"/>
        <w:rPr>
          <w:rFonts w:eastAsia="Times New Roman" w:cs="Arial"/>
          <w:sz w:val="22"/>
        </w:rPr>
      </w:pPr>
      <w:r w:rsidRPr="00CA3AF9">
        <w:rPr>
          <w:rFonts w:eastAsia="Times New Roman" w:cs="Arial"/>
          <w:sz w:val="22"/>
        </w:rPr>
        <w:t>4.</w:t>
      </w:r>
      <w:r w:rsidRPr="00CA3AF9">
        <w:rPr>
          <w:rFonts w:eastAsia="Times New Roman" w:cs="Arial"/>
          <w:sz w:val="22"/>
        </w:rPr>
        <w:tab/>
        <w:t xml:space="preserve">A warrant of arrest be authorised and issued for the arrest of the Respondent by the Sheriff of the Court operating within the jurisdiction of the place where the Respondent resides and/or is found, and committed to prison for a period of 6 (six) months, alternatively, that the committal be suspended provided that the Respondent complies with prayer 3 above; </w:t>
      </w:r>
    </w:p>
    <w:p w14:paraId="7EC0DFE2" w14:textId="77777777" w:rsidR="002C231F" w:rsidRPr="00CA3AF9" w:rsidRDefault="002C231F" w:rsidP="002C231F">
      <w:pPr>
        <w:spacing w:after="360"/>
        <w:ind w:left="2007" w:hanging="567"/>
        <w:rPr>
          <w:rFonts w:eastAsia="Times New Roman" w:cs="Arial"/>
          <w:sz w:val="22"/>
        </w:rPr>
      </w:pPr>
      <w:r w:rsidRPr="00CA3AF9">
        <w:rPr>
          <w:rFonts w:eastAsia="Times New Roman" w:cs="Arial"/>
          <w:sz w:val="22"/>
        </w:rPr>
        <w:t xml:space="preserve">5. </w:t>
      </w:r>
      <w:r w:rsidRPr="00CA3AF9">
        <w:rPr>
          <w:rFonts w:eastAsia="Times New Roman" w:cs="Arial"/>
          <w:sz w:val="22"/>
        </w:rPr>
        <w:tab/>
        <w:t xml:space="preserve">Costs on the attorney client scale; </w:t>
      </w:r>
    </w:p>
    <w:p w14:paraId="4859D1DE" w14:textId="77777777" w:rsidR="007B7F59" w:rsidRPr="00765CDC" w:rsidRDefault="002C231F" w:rsidP="002C231F">
      <w:pPr>
        <w:spacing w:after="360"/>
        <w:ind w:left="2007" w:hanging="567"/>
        <w:rPr>
          <w:rFonts w:eastAsia="Times New Roman" w:cs="Arial"/>
          <w:sz w:val="22"/>
        </w:rPr>
      </w:pPr>
      <w:r w:rsidRPr="00765CDC">
        <w:rPr>
          <w:rFonts w:eastAsia="Times New Roman" w:cs="Arial"/>
          <w:sz w:val="22"/>
        </w:rPr>
        <w:t xml:space="preserve">6. </w:t>
      </w:r>
      <w:r w:rsidRPr="00765CDC">
        <w:rPr>
          <w:rFonts w:eastAsia="Times New Roman" w:cs="Arial"/>
          <w:sz w:val="22"/>
        </w:rPr>
        <w:tab/>
        <w:t>Further and/or alternative relief.</w:t>
      </w:r>
      <w:r w:rsidR="00EE072F" w:rsidRPr="00765CDC">
        <w:rPr>
          <w:rFonts w:eastAsia="Times New Roman" w:cs="Arial"/>
          <w:sz w:val="22"/>
        </w:rPr>
        <w:t>”</w:t>
      </w:r>
      <w:r w:rsidRPr="00CA3AF9">
        <w:rPr>
          <w:rStyle w:val="FootnoteReference"/>
          <w:rFonts w:ascii="Arial" w:eastAsia="Times New Roman" w:hAnsi="Arial" w:cs="Arial"/>
          <w:sz w:val="22"/>
        </w:rPr>
        <w:footnoteReference w:id="1"/>
      </w:r>
    </w:p>
    <w:p w14:paraId="38D519B9" w14:textId="2FD2E504" w:rsidR="002C0B58" w:rsidRPr="00765CDC" w:rsidRDefault="00D14EBA" w:rsidP="00D14EBA">
      <w:pPr>
        <w:pStyle w:val="JudgmentNumbered"/>
        <w:numPr>
          <w:ilvl w:val="0"/>
          <w:numId w:val="0"/>
        </w:numPr>
        <w:ind w:left="567" w:hanging="567"/>
      </w:pPr>
      <w:r w:rsidRPr="00765CDC">
        <w:t>[2]</w:t>
      </w:r>
      <w:r w:rsidRPr="00765CDC">
        <w:tab/>
      </w:r>
      <w:r w:rsidR="002C0B58" w:rsidRPr="00E04B9C">
        <w:t>It is common cause that the parties are involved in an acrimonious divorce and are married in community of property. On 29 June 2018, Mokose AJ made the following Rule 43 of the Uniform Rules:</w:t>
      </w:r>
    </w:p>
    <w:p w14:paraId="6248B382" w14:textId="77777777" w:rsidR="002C0B58" w:rsidRPr="00CA3AF9" w:rsidRDefault="00DC5A32" w:rsidP="002C0B58">
      <w:pPr>
        <w:spacing w:after="360"/>
        <w:ind w:left="2160" w:hanging="720"/>
        <w:rPr>
          <w:rFonts w:eastAsia="Times New Roman" w:cs="Arial"/>
          <w:sz w:val="22"/>
        </w:rPr>
      </w:pPr>
      <w:r w:rsidRPr="005661FE">
        <w:rPr>
          <w:rFonts w:eastAsia="Times New Roman" w:cs="Arial"/>
          <w:sz w:val="22"/>
        </w:rPr>
        <w:t>“</w:t>
      </w:r>
      <w:r w:rsidR="002C0B58" w:rsidRPr="005661FE">
        <w:rPr>
          <w:rFonts w:eastAsia="Times New Roman" w:cs="Arial"/>
          <w:sz w:val="22"/>
        </w:rPr>
        <w:t>1.</w:t>
      </w:r>
      <w:r w:rsidR="002C0B58" w:rsidRPr="005661FE">
        <w:rPr>
          <w:rFonts w:eastAsia="Times New Roman" w:cs="Arial"/>
          <w:sz w:val="22"/>
        </w:rPr>
        <w:tab/>
        <w:t>The Respondent is ordered to pay maintenance in respect of the Applicant and the two children as follows:</w:t>
      </w:r>
    </w:p>
    <w:p w14:paraId="1A1B723F" w14:textId="77777777" w:rsidR="002C0B58" w:rsidRPr="00CA3AF9" w:rsidRDefault="002C0B58" w:rsidP="002C0B58">
      <w:pPr>
        <w:spacing w:after="360"/>
        <w:ind w:left="2880" w:hanging="720"/>
        <w:rPr>
          <w:rFonts w:eastAsia="Times New Roman" w:cs="Arial"/>
          <w:sz w:val="22"/>
        </w:rPr>
      </w:pPr>
      <w:r w:rsidRPr="00CA3AF9">
        <w:rPr>
          <w:rFonts w:eastAsia="Times New Roman" w:cs="Arial"/>
          <w:sz w:val="22"/>
        </w:rPr>
        <w:t>1.1</w:t>
      </w:r>
      <w:r w:rsidRPr="00CA3AF9">
        <w:rPr>
          <w:rFonts w:eastAsia="Times New Roman" w:cs="Arial"/>
          <w:sz w:val="22"/>
        </w:rPr>
        <w:tab/>
        <w:t xml:space="preserve">In the sum of R30 000.00 (thirty thousand rand) per month, payable to the Applicant into a bank account nominated by her </w:t>
      </w:r>
      <w:r w:rsidRPr="00CA3AF9">
        <w:rPr>
          <w:rFonts w:eastAsia="Times New Roman" w:cs="Arial"/>
          <w:sz w:val="22"/>
        </w:rPr>
        <w:lastRenderedPageBreak/>
        <w:t xml:space="preserve">from time to time by email, on or before the first day of every month, commencing in the month following the date of the Court Order. </w:t>
      </w:r>
    </w:p>
    <w:p w14:paraId="29FAA392" w14:textId="77777777" w:rsidR="002C0B58" w:rsidRPr="00CA3AF9" w:rsidRDefault="002C0B58" w:rsidP="002C0B58">
      <w:pPr>
        <w:spacing w:after="360"/>
        <w:ind w:left="2880" w:hanging="720"/>
        <w:rPr>
          <w:rFonts w:eastAsia="Times New Roman" w:cs="Arial"/>
          <w:sz w:val="22"/>
        </w:rPr>
      </w:pPr>
      <w:r w:rsidRPr="00CA3AF9">
        <w:rPr>
          <w:rFonts w:eastAsia="Times New Roman" w:cs="Arial"/>
          <w:sz w:val="22"/>
        </w:rPr>
        <w:t xml:space="preserve">1.2 </w:t>
      </w:r>
      <w:r w:rsidRPr="00CA3AF9">
        <w:rPr>
          <w:rFonts w:eastAsia="Times New Roman" w:cs="Arial"/>
          <w:sz w:val="22"/>
        </w:rPr>
        <w:tab/>
        <w:t xml:space="preserve">The Applicant and the children may continue to take groceries, including meat, fish, pasta, milk and tinned foods, as reasonably required, from the family business supermarket, Rio D'Ouro Fisheries and Butchery, every month. </w:t>
      </w:r>
    </w:p>
    <w:p w14:paraId="0F61D2DC" w14:textId="77777777" w:rsidR="002C0B58" w:rsidRPr="00CA3AF9" w:rsidRDefault="002C0B58" w:rsidP="002C0B58">
      <w:pPr>
        <w:spacing w:after="360"/>
        <w:ind w:left="2880" w:hanging="720"/>
        <w:rPr>
          <w:rFonts w:eastAsia="Times New Roman" w:cs="Arial"/>
          <w:sz w:val="22"/>
        </w:rPr>
      </w:pPr>
      <w:r w:rsidRPr="00CA3AF9">
        <w:rPr>
          <w:rFonts w:eastAsia="Times New Roman" w:cs="Arial"/>
          <w:sz w:val="22"/>
        </w:rPr>
        <w:t xml:space="preserve">1.3 </w:t>
      </w:r>
      <w:r w:rsidRPr="00CA3AF9">
        <w:rPr>
          <w:rFonts w:eastAsia="Times New Roman" w:cs="Arial"/>
          <w:sz w:val="22"/>
        </w:rPr>
        <w:tab/>
        <w:t xml:space="preserve">Payment to the relevant supplier and/or creditor, of the following direct expenses per month: </w:t>
      </w:r>
    </w:p>
    <w:p w14:paraId="36E30BF4" w14:textId="77777777" w:rsidR="002C0B58" w:rsidRPr="00CA3AF9" w:rsidRDefault="002C0B58" w:rsidP="002C0B58">
      <w:pPr>
        <w:spacing w:after="360"/>
        <w:ind w:left="3600" w:hanging="720"/>
        <w:rPr>
          <w:rFonts w:eastAsia="Times New Roman" w:cs="Arial"/>
          <w:sz w:val="22"/>
        </w:rPr>
      </w:pPr>
      <w:r w:rsidRPr="00CA3AF9">
        <w:rPr>
          <w:rFonts w:eastAsia="Times New Roman" w:cs="Arial"/>
          <w:sz w:val="22"/>
        </w:rPr>
        <w:t xml:space="preserve">1.3.4 </w:t>
      </w:r>
      <w:r w:rsidRPr="00CA3AF9">
        <w:rPr>
          <w:rFonts w:eastAsia="Times New Roman" w:cs="Arial"/>
          <w:sz w:val="22"/>
        </w:rPr>
        <w:tab/>
        <w:t xml:space="preserve">Necessary and reasonable swimming pool and home maintenance for the matrimonial home; </w:t>
      </w:r>
    </w:p>
    <w:p w14:paraId="3F4E54CD" w14:textId="77777777" w:rsidR="002C0B58" w:rsidRPr="00CA3AF9" w:rsidRDefault="002C0B58" w:rsidP="002C0B58">
      <w:pPr>
        <w:spacing w:after="360"/>
        <w:ind w:left="3600" w:hanging="720"/>
        <w:rPr>
          <w:rFonts w:eastAsia="Times New Roman" w:cs="Arial"/>
          <w:sz w:val="22"/>
        </w:rPr>
      </w:pPr>
      <w:r w:rsidRPr="00CA3AF9">
        <w:rPr>
          <w:rFonts w:eastAsia="Times New Roman" w:cs="Arial"/>
          <w:sz w:val="22"/>
        </w:rPr>
        <w:t xml:space="preserve">1.3.5 DSTV on the current membership level for the matrimonial home; </w:t>
      </w:r>
    </w:p>
    <w:p w14:paraId="3B18090D" w14:textId="77777777" w:rsidR="002C0B58" w:rsidRPr="00CA3AF9" w:rsidRDefault="002C0B58" w:rsidP="002C0B58">
      <w:pPr>
        <w:spacing w:after="360"/>
        <w:ind w:left="2694" w:hanging="567"/>
        <w:rPr>
          <w:rFonts w:eastAsia="Times New Roman" w:cs="Arial"/>
          <w:sz w:val="22"/>
        </w:rPr>
      </w:pPr>
      <w:r w:rsidRPr="00CA3AF9">
        <w:rPr>
          <w:rFonts w:eastAsia="Times New Roman" w:cs="Arial"/>
          <w:sz w:val="22"/>
        </w:rPr>
        <w:t xml:space="preserve">1.4 </w:t>
      </w:r>
      <w:r w:rsidRPr="00CA3AF9">
        <w:rPr>
          <w:rFonts w:eastAsia="Times New Roman" w:cs="Arial"/>
          <w:sz w:val="22"/>
        </w:rPr>
        <w:tab/>
        <w:t>Payment to the relevant supplier and/or creditor, of the following direct expenses per month, up to the amount specified per expense:</w:t>
      </w:r>
    </w:p>
    <w:p w14:paraId="242003A1" w14:textId="77777777" w:rsidR="002C0B58" w:rsidRPr="00CA3AF9" w:rsidRDefault="002C0B58" w:rsidP="002C0B58">
      <w:pPr>
        <w:spacing w:after="360"/>
        <w:ind w:left="3402" w:hanging="567"/>
        <w:rPr>
          <w:rFonts w:eastAsia="Times New Roman" w:cs="Arial"/>
          <w:sz w:val="22"/>
        </w:rPr>
      </w:pPr>
      <w:r w:rsidRPr="00CA3AF9">
        <w:rPr>
          <w:rFonts w:eastAsia="Times New Roman" w:cs="Arial"/>
          <w:sz w:val="22"/>
        </w:rPr>
        <w:t>1.4.1</w:t>
      </w:r>
      <w:r w:rsidRPr="00CA3AF9">
        <w:rPr>
          <w:rFonts w:eastAsia="Times New Roman" w:cs="Arial"/>
          <w:sz w:val="22"/>
        </w:rPr>
        <w:tab/>
        <w:t xml:space="preserve"> </w:t>
      </w:r>
      <w:r w:rsidRPr="00CA3AF9">
        <w:rPr>
          <w:rFonts w:eastAsia="Times New Roman" w:cs="Arial"/>
          <w:sz w:val="22"/>
        </w:rPr>
        <w:tab/>
        <w:t>Gardener; and</w:t>
      </w:r>
    </w:p>
    <w:p w14:paraId="7B37EB09" w14:textId="77777777" w:rsidR="002C0B58" w:rsidRPr="00CA3AF9" w:rsidRDefault="002C0B58" w:rsidP="002C0B58">
      <w:pPr>
        <w:spacing w:after="360"/>
        <w:ind w:left="3595" w:hanging="760"/>
        <w:rPr>
          <w:rFonts w:eastAsia="Times New Roman" w:cs="Arial"/>
          <w:sz w:val="22"/>
        </w:rPr>
      </w:pPr>
      <w:r w:rsidRPr="00CA3AF9">
        <w:rPr>
          <w:rFonts w:eastAsia="Times New Roman" w:cs="Arial"/>
          <w:sz w:val="22"/>
        </w:rPr>
        <w:t xml:space="preserve">1.4.2 </w:t>
      </w:r>
      <w:r w:rsidRPr="00CA3AF9">
        <w:rPr>
          <w:rFonts w:eastAsia="Times New Roman" w:cs="Arial"/>
          <w:sz w:val="22"/>
        </w:rPr>
        <w:tab/>
      </w:r>
      <w:r w:rsidRPr="00CA3AF9">
        <w:rPr>
          <w:rFonts w:eastAsia="Times New Roman" w:cs="Arial"/>
          <w:sz w:val="22"/>
        </w:rPr>
        <w:tab/>
        <w:t xml:space="preserve">Cellphone accounts for the Applicant, Celina and Alicia, up to an amount of R2 100,00 (two thousand one hundred rand). </w:t>
      </w:r>
    </w:p>
    <w:p w14:paraId="2B40B746" w14:textId="77777777" w:rsidR="002C0B58" w:rsidRPr="00765CDC" w:rsidRDefault="002C0B58" w:rsidP="002C0B58">
      <w:pPr>
        <w:spacing w:after="360"/>
        <w:ind w:left="2694" w:hanging="567"/>
        <w:rPr>
          <w:rFonts w:eastAsia="Times New Roman" w:cs="Arial"/>
          <w:sz w:val="22"/>
        </w:rPr>
      </w:pPr>
      <w:r w:rsidRPr="00CA3AF9">
        <w:rPr>
          <w:rFonts w:eastAsia="Times New Roman" w:cs="Arial"/>
          <w:sz w:val="22"/>
        </w:rPr>
        <w:t xml:space="preserve">1.5 </w:t>
      </w:r>
      <w:r w:rsidRPr="00CA3AF9">
        <w:rPr>
          <w:rFonts w:eastAsia="Times New Roman" w:cs="Arial"/>
          <w:sz w:val="22"/>
        </w:rPr>
        <w:tab/>
        <w:t xml:space="preserve">By retaining the Applicant and the two children as registered dependants on his current medical aid scheme, at his costs, and, but for the costs associated with and/or arising from the Applicant's cancer treatment, by payment of all necessary and reasonable excess medical expenses not covered by medical aid </w:t>
      </w:r>
      <w:r w:rsidRPr="00765CDC">
        <w:rPr>
          <w:rFonts w:eastAsia="Times New Roman" w:cs="Arial"/>
          <w:sz w:val="22"/>
        </w:rPr>
        <w:t>for the family.”</w:t>
      </w:r>
      <w:r w:rsidRPr="00CA3AF9">
        <w:rPr>
          <w:rStyle w:val="FootnoteReference"/>
          <w:rFonts w:ascii="Arial" w:eastAsia="Times New Roman" w:hAnsi="Arial" w:cs="Arial"/>
          <w:sz w:val="22"/>
        </w:rPr>
        <w:footnoteReference w:id="2"/>
      </w:r>
      <w:r w:rsidRPr="00765CDC">
        <w:rPr>
          <w:rFonts w:eastAsia="Times New Roman" w:cs="Arial"/>
          <w:sz w:val="22"/>
        </w:rPr>
        <w:t xml:space="preserve"> </w:t>
      </w:r>
    </w:p>
    <w:p w14:paraId="6CC3CDC5" w14:textId="77777777" w:rsidR="007B7F59" w:rsidRPr="00E04B9C" w:rsidRDefault="007B7F59" w:rsidP="002C0B58">
      <w:pPr>
        <w:pStyle w:val="JudgmentNumbered"/>
        <w:numPr>
          <w:ilvl w:val="0"/>
          <w:numId w:val="0"/>
        </w:numPr>
        <w:ind w:left="567"/>
      </w:pPr>
    </w:p>
    <w:p w14:paraId="2EB9FA80" w14:textId="68E18C5E" w:rsidR="002C0B58" w:rsidRPr="00765CDC" w:rsidRDefault="00D14EBA" w:rsidP="00D14EBA">
      <w:pPr>
        <w:pStyle w:val="JudgmentNumbered"/>
        <w:numPr>
          <w:ilvl w:val="0"/>
          <w:numId w:val="0"/>
        </w:numPr>
        <w:ind w:left="567" w:hanging="567"/>
      </w:pPr>
      <w:r w:rsidRPr="00765CDC">
        <w:t>[3]</w:t>
      </w:r>
      <w:r w:rsidRPr="00765CDC">
        <w:tab/>
      </w:r>
      <w:r w:rsidR="002C0B58" w:rsidRPr="00E04B9C">
        <w:t>Paragraph 1.2 of the Order granted by Mokose AJ was subsequently substituted by the order by Windell J, dated 15 Oct</w:t>
      </w:r>
      <w:r w:rsidR="002C0B58" w:rsidRPr="00765CDC">
        <w:t xml:space="preserve">ober 2021 as follows: </w:t>
      </w:r>
    </w:p>
    <w:p w14:paraId="2FCBC4C3" w14:textId="77777777" w:rsidR="002C0B58" w:rsidRPr="00765CDC" w:rsidRDefault="00B37721" w:rsidP="002C0B58">
      <w:pPr>
        <w:spacing w:after="360"/>
        <w:ind w:left="1440"/>
        <w:rPr>
          <w:rFonts w:eastAsia="Times New Roman" w:cs="Arial"/>
          <w:sz w:val="22"/>
        </w:rPr>
      </w:pPr>
      <w:r w:rsidRPr="00765CDC">
        <w:rPr>
          <w:rFonts w:eastAsia="Times New Roman" w:cs="Arial"/>
          <w:sz w:val="22"/>
        </w:rPr>
        <w:t>“</w:t>
      </w:r>
      <w:r w:rsidR="002C0B58" w:rsidRPr="00765CDC">
        <w:rPr>
          <w:rFonts w:eastAsia="Times New Roman" w:cs="Arial"/>
          <w:sz w:val="22"/>
        </w:rPr>
        <w:t>The Respondent is ordered to pay the Applicant the sum of R7 000.00 per month for groceries, which is</w:t>
      </w:r>
      <w:r w:rsidR="002C0B58" w:rsidRPr="005661FE">
        <w:rPr>
          <w:rFonts w:eastAsia="Times New Roman" w:cs="Arial"/>
          <w:sz w:val="22"/>
        </w:rPr>
        <w:t xml:space="preserve"> in addition to the cash amount referred to in paragraph 1.1, such payment to be made on the 15'" day of each and every month commencing from November 2021.</w:t>
      </w:r>
      <w:r w:rsidRPr="00765CDC">
        <w:rPr>
          <w:rFonts w:eastAsia="Times New Roman" w:cs="Arial"/>
          <w:sz w:val="22"/>
        </w:rPr>
        <w:t>”</w:t>
      </w:r>
      <w:r w:rsidR="002C0B58" w:rsidRPr="00CA3AF9">
        <w:rPr>
          <w:rStyle w:val="FootnoteReference"/>
          <w:rFonts w:ascii="Arial" w:eastAsia="Times New Roman" w:hAnsi="Arial" w:cs="Arial"/>
          <w:sz w:val="22"/>
        </w:rPr>
        <w:footnoteReference w:id="3"/>
      </w:r>
      <w:r w:rsidR="002C0B58" w:rsidRPr="00765CDC">
        <w:rPr>
          <w:rFonts w:eastAsia="Times New Roman" w:cs="Arial"/>
          <w:sz w:val="22"/>
        </w:rPr>
        <w:t xml:space="preserve"> </w:t>
      </w:r>
    </w:p>
    <w:p w14:paraId="37483286" w14:textId="7EBE62CF" w:rsidR="002C0B58" w:rsidRPr="00E04B9C" w:rsidRDefault="00D14EBA" w:rsidP="00D14EBA">
      <w:pPr>
        <w:pStyle w:val="JudgmentNumbered"/>
        <w:numPr>
          <w:ilvl w:val="0"/>
          <w:numId w:val="0"/>
        </w:numPr>
        <w:ind w:left="567" w:hanging="567"/>
      </w:pPr>
      <w:r w:rsidRPr="00E04B9C">
        <w:t>[4]</w:t>
      </w:r>
      <w:r w:rsidRPr="00E04B9C">
        <w:tab/>
      </w:r>
      <w:r w:rsidR="002C0B58" w:rsidRPr="00E04B9C">
        <w:t>The A</w:t>
      </w:r>
      <w:r w:rsidR="002C0B58" w:rsidRPr="00EF1CA3">
        <w:t>pplicant contends that the Respondent is in contempt of the O</w:t>
      </w:r>
      <w:r w:rsidR="002C0B58" w:rsidRPr="00CC2E81">
        <w:t>rder</w:t>
      </w:r>
      <w:r w:rsidR="002C0B58" w:rsidRPr="008A752D">
        <w:t xml:space="preserve"> granted</w:t>
      </w:r>
      <w:r w:rsidR="002C0B58" w:rsidRPr="00DB0D4D">
        <w:t xml:space="preserve"> by Makose AJ, as amended</w:t>
      </w:r>
      <w:r w:rsidR="002C0B58" w:rsidRPr="00765CDC">
        <w:t xml:space="preserve"> by the Order granted by Windell J (Rule 43 Order). This is the second contempt application against the Respondent. The first contempt application served before Tshombe AJ on 20 June 2023. The Respondent was accused of contemptuous refusal to make payment of the utility charges in respect of the former matrimonial home in which the Applicant resides. He was found to be in contempt and ordered to make payment of the arrear amounts owed to the City of Ekurhuleni Metropolitan Municipality with a punitive costs order.</w:t>
      </w:r>
      <w:r w:rsidR="002C0B58" w:rsidRPr="00CA3AF9">
        <w:rPr>
          <w:rStyle w:val="FootnoteReference"/>
          <w:rFonts w:ascii="Arial" w:eastAsia="Times New Roman" w:hAnsi="Arial"/>
        </w:rPr>
        <w:footnoteReference w:id="4"/>
      </w:r>
      <w:r w:rsidR="002C0B58" w:rsidRPr="00765CDC">
        <w:t xml:space="preserve"> It would seem that the applicant has sub</w:t>
      </w:r>
      <w:r w:rsidR="002C0B58" w:rsidRPr="00D2419C">
        <w:t>sequently purged the</w:t>
      </w:r>
      <w:r w:rsidR="002C0B58" w:rsidRPr="00E04B9C">
        <w:t xml:space="preserve"> above contempt. </w:t>
      </w:r>
    </w:p>
    <w:p w14:paraId="67C715AB" w14:textId="5F3E93F1" w:rsidR="002C0B58" w:rsidRPr="00765CDC" w:rsidRDefault="00D14EBA" w:rsidP="00D14EBA">
      <w:pPr>
        <w:pStyle w:val="JudgmentNumbered"/>
        <w:numPr>
          <w:ilvl w:val="0"/>
          <w:numId w:val="0"/>
        </w:numPr>
        <w:ind w:left="567" w:hanging="567"/>
      </w:pPr>
      <w:r w:rsidRPr="00765CDC">
        <w:t>[5]</w:t>
      </w:r>
      <w:r w:rsidRPr="00765CDC">
        <w:tab/>
      </w:r>
      <w:r w:rsidR="002C0B58" w:rsidRPr="00765CDC">
        <w:t>The Applicant contends that the arrear amounts the respondent is obliged to pay in terms of a Rule 43 Order equal to R264 639.00 for the period between December 2022 to September 2023 which comprises:</w:t>
      </w:r>
    </w:p>
    <w:p w14:paraId="5B973CE7" w14:textId="439FA9B6" w:rsidR="00751651" w:rsidRPr="00D14EBA" w:rsidRDefault="00D14EBA" w:rsidP="00D14EBA">
      <w:pPr>
        <w:spacing w:after="360"/>
        <w:ind w:hanging="567"/>
        <w:rPr>
          <w:rFonts w:eastAsia="Times New Roman" w:cs="Arial"/>
          <w:vanish/>
        </w:rPr>
      </w:pPr>
      <w:r w:rsidRPr="005661FE">
        <w:rPr>
          <w:rFonts w:eastAsia="Times New Roman" w:cs="Times New Roman"/>
          <w:vanish/>
        </w:rPr>
        <w:t>[1]</w:t>
      </w:r>
      <w:r w:rsidRPr="005661FE">
        <w:rPr>
          <w:rFonts w:eastAsia="Times New Roman" w:cs="Times New Roman"/>
          <w:vanish/>
        </w:rPr>
        <w:tab/>
      </w:r>
    </w:p>
    <w:p w14:paraId="54084674" w14:textId="7C56EA91" w:rsidR="00751651" w:rsidRPr="00D14EBA" w:rsidRDefault="00D14EBA" w:rsidP="00D14EBA">
      <w:pPr>
        <w:spacing w:after="360"/>
        <w:ind w:hanging="567"/>
        <w:rPr>
          <w:rFonts w:eastAsia="Times New Roman" w:cs="Arial"/>
          <w:vanish/>
        </w:rPr>
      </w:pPr>
      <w:r w:rsidRPr="005661FE">
        <w:rPr>
          <w:rFonts w:eastAsia="Times New Roman" w:cs="Times New Roman"/>
          <w:vanish/>
        </w:rPr>
        <w:t>[2]</w:t>
      </w:r>
      <w:r w:rsidRPr="005661FE">
        <w:rPr>
          <w:rFonts w:eastAsia="Times New Roman" w:cs="Times New Roman"/>
          <w:vanish/>
        </w:rPr>
        <w:tab/>
      </w:r>
    </w:p>
    <w:p w14:paraId="5C83B67E" w14:textId="13FF73A5" w:rsidR="00751651" w:rsidRPr="00D14EBA" w:rsidRDefault="00D14EBA" w:rsidP="00D14EBA">
      <w:pPr>
        <w:spacing w:after="360"/>
        <w:ind w:hanging="567"/>
        <w:rPr>
          <w:rFonts w:eastAsia="Times New Roman" w:cs="Arial"/>
          <w:vanish/>
        </w:rPr>
      </w:pPr>
      <w:r w:rsidRPr="005661FE">
        <w:rPr>
          <w:rFonts w:eastAsia="Times New Roman" w:cs="Times New Roman"/>
          <w:vanish/>
        </w:rPr>
        <w:t>[3]</w:t>
      </w:r>
      <w:r w:rsidRPr="005661FE">
        <w:rPr>
          <w:rFonts w:eastAsia="Times New Roman" w:cs="Times New Roman"/>
          <w:vanish/>
        </w:rPr>
        <w:tab/>
      </w:r>
    </w:p>
    <w:p w14:paraId="43FCDE42" w14:textId="439C38F1" w:rsidR="00751651" w:rsidRPr="00D14EBA" w:rsidRDefault="00D14EBA" w:rsidP="00D14EBA">
      <w:pPr>
        <w:spacing w:after="360"/>
        <w:ind w:hanging="567"/>
        <w:rPr>
          <w:rFonts w:eastAsia="Times New Roman" w:cs="Arial"/>
          <w:vanish/>
        </w:rPr>
      </w:pPr>
      <w:r w:rsidRPr="005661FE">
        <w:rPr>
          <w:rFonts w:eastAsia="Times New Roman" w:cs="Times New Roman"/>
          <w:vanish/>
        </w:rPr>
        <w:t>[4]</w:t>
      </w:r>
      <w:r w:rsidRPr="005661FE">
        <w:rPr>
          <w:rFonts w:eastAsia="Times New Roman" w:cs="Times New Roman"/>
          <w:vanish/>
        </w:rPr>
        <w:tab/>
      </w:r>
    </w:p>
    <w:p w14:paraId="56E765B0" w14:textId="5D272F1C" w:rsidR="00751651" w:rsidRPr="00D14EBA" w:rsidRDefault="00D14EBA" w:rsidP="00D14EBA">
      <w:pPr>
        <w:spacing w:after="360"/>
        <w:ind w:hanging="567"/>
        <w:rPr>
          <w:rFonts w:eastAsia="Times New Roman" w:cs="Arial"/>
          <w:vanish/>
        </w:rPr>
      </w:pPr>
      <w:r w:rsidRPr="00CA3AF9">
        <w:rPr>
          <w:rFonts w:eastAsia="Times New Roman" w:cs="Times New Roman"/>
          <w:vanish/>
        </w:rPr>
        <w:t>[5]</w:t>
      </w:r>
      <w:r w:rsidRPr="00CA3AF9">
        <w:rPr>
          <w:rFonts w:eastAsia="Times New Roman" w:cs="Times New Roman"/>
          <w:vanish/>
        </w:rPr>
        <w:tab/>
      </w:r>
    </w:p>
    <w:p w14:paraId="0634F75E" w14:textId="3A08AA69" w:rsidR="00C12801" w:rsidRPr="00CA3AF9" w:rsidRDefault="00D14EBA" w:rsidP="00D14EBA">
      <w:pPr>
        <w:spacing w:after="360"/>
        <w:ind w:left="1418" w:hanging="851"/>
        <w:rPr>
          <w:rFonts w:eastAsia="Times New Roman" w:cs="Arial"/>
        </w:rPr>
      </w:pPr>
      <w:r w:rsidRPr="00CA3AF9">
        <w:rPr>
          <w:rFonts w:eastAsia="Times New Roman" w:cs="Times New Roman"/>
        </w:rPr>
        <w:t>[5.1]</w:t>
      </w:r>
      <w:r w:rsidRPr="00CA3AF9">
        <w:rPr>
          <w:rFonts w:eastAsia="Times New Roman" w:cs="Times New Roman"/>
        </w:rPr>
        <w:tab/>
      </w:r>
      <w:r w:rsidR="00C12801" w:rsidRPr="00CA3AF9">
        <w:rPr>
          <w:rFonts w:eastAsia="Times New Roman" w:cs="Arial"/>
        </w:rPr>
        <w:t>R110 997.00 in respect of the cash maintenance and grocery allowance;</w:t>
      </w:r>
    </w:p>
    <w:p w14:paraId="3902903D" w14:textId="19DC7888" w:rsidR="00C12801" w:rsidRPr="00CA3AF9" w:rsidRDefault="00D14EBA" w:rsidP="00D14EBA">
      <w:pPr>
        <w:spacing w:after="360"/>
        <w:ind w:left="1418" w:hanging="851"/>
        <w:rPr>
          <w:rFonts w:eastAsia="Times New Roman" w:cs="Arial"/>
        </w:rPr>
      </w:pPr>
      <w:r w:rsidRPr="00CA3AF9">
        <w:rPr>
          <w:rFonts w:eastAsia="Times New Roman" w:cs="Times New Roman"/>
        </w:rPr>
        <w:t>[5.2]</w:t>
      </w:r>
      <w:r w:rsidRPr="00CA3AF9">
        <w:rPr>
          <w:rFonts w:eastAsia="Times New Roman" w:cs="Times New Roman"/>
        </w:rPr>
        <w:tab/>
      </w:r>
      <w:r w:rsidR="00C12801" w:rsidRPr="00CA3AF9">
        <w:rPr>
          <w:rFonts w:eastAsia="Times New Roman" w:cs="Arial"/>
        </w:rPr>
        <w:t>R25 891.00 in respect of swimming pool and home maintenance expenses;</w:t>
      </w:r>
    </w:p>
    <w:p w14:paraId="32644BC1" w14:textId="11D45563" w:rsidR="00C12801" w:rsidRPr="00CA3AF9" w:rsidRDefault="00D14EBA" w:rsidP="00D14EBA">
      <w:pPr>
        <w:spacing w:after="360"/>
        <w:ind w:left="1418" w:hanging="851"/>
        <w:rPr>
          <w:rFonts w:eastAsia="Times New Roman" w:cs="Arial"/>
        </w:rPr>
      </w:pPr>
      <w:r w:rsidRPr="00CA3AF9">
        <w:rPr>
          <w:rFonts w:eastAsia="Times New Roman" w:cs="Times New Roman"/>
        </w:rPr>
        <w:t>[5.3]</w:t>
      </w:r>
      <w:r w:rsidRPr="00CA3AF9">
        <w:rPr>
          <w:rFonts w:eastAsia="Times New Roman" w:cs="Times New Roman"/>
        </w:rPr>
        <w:tab/>
      </w:r>
      <w:r w:rsidR="00C12801" w:rsidRPr="00CA3AF9">
        <w:rPr>
          <w:rFonts w:eastAsia="Times New Roman" w:cs="Arial"/>
        </w:rPr>
        <w:t xml:space="preserve">R20 700.00 in respect of the gardener's wages; </w:t>
      </w:r>
    </w:p>
    <w:p w14:paraId="4CBAEB8D" w14:textId="2917D1B2" w:rsidR="00C12801" w:rsidRPr="00CA3AF9" w:rsidRDefault="00D14EBA" w:rsidP="00D14EBA">
      <w:pPr>
        <w:spacing w:after="360"/>
        <w:ind w:left="1418" w:hanging="851"/>
        <w:rPr>
          <w:rFonts w:eastAsia="Times New Roman" w:cs="Arial"/>
        </w:rPr>
      </w:pPr>
      <w:r w:rsidRPr="00CA3AF9">
        <w:rPr>
          <w:rFonts w:eastAsia="Times New Roman" w:cs="Times New Roman"/>
        </w:rPr>
        <w:t>[5.4]</w:t>
      </w:r>
      <w:r w:rsidRPr="00CA3AF9">
        <w:rPr>
          <w:rFonts w:eastAsia="Times New Roman" w:cs="Times New Roman"/>
        </w:rPr>
        <w:tab/>
      </w:r>
      <w:r w:rsidR="00C12801" w:rsidRPr="00CA3AF9">
        <w:rPr>
          <w:rFonts w:eastAsia="Times New Roman" w:cs="Arial"/>
        </w:rPr>
        <w:t xml:space="preserve">R11 140.00 in respect of cell phone accounts; </w:t>
      </w:r>
    </w:p>
    <w:p w14:paraId="39EB6228" w14:textId="01F18213" w:rsidR="00C12801" w:rsidRPr="00CA3AF9" w:rsidRDefault="00D14EBA" w:rsidP="00D14EBA">
      <w:pPr>
        <w:spacing w:after="360"/>
        <w:ind w:left="1418" w:hanging="851"/>
        <w:rPr>
          <w:rFonts w:eastAsia="Times New Roman" w:cs="Arial"/>
        </w:rPr>
      </w:pPr>
      <w:r w:rsidRPr="00CA3AF9">
        <w:rPr>
          <w:rFonts w:eastAsia="Times New Roman" w:cs="Times New Roman"/>
        </w:rPr>
        <w:lastRenderedPageBreak/>
        <w:t>[5.5]</w:t>
      </w:r>
      <w:r w:rsidRPr="00CA3AF9">
        <w:rPr>
          <w:rFonts w:eastAsia="Times New Roman" w:cs="Times New Roman"/>
        </w:rPr>
        <w:tab/>
      </w:r>
      <w:r w:rsidR="00C12801" w:rsidRPr="00CA3AF9">
        <w:rPr>
          <w:rFonts w:eastAsia="Times New Roman" w:cs="Arial"/>
        </w:rPr>
        <w:t xml:space="preserve">R47 143.00 in respect of medical expenses for the children (When the Rule 43 Order was granted, Celina, who was a university student and Alicia who was school going); </w:t>
      </w:r>
    </w:p>
    <w:p w14:paraId="16215B85" w14:textId="1183A22E" w:rsidR="002C0B58" w:rsidRPr="00CA3AF9" w:rsidRDefault="00D14EBA" w:rsidP="00D14EBA">
      <w:pPr>
        <w:spacing w:after="360"/>
        <w:ind w:left="1418" w:hanging="851"/>
        <w:rPr>
          <w:rFonts w:eastAsia="Times New Roman" w:cs="Arial"/>
        </w:rPr>
      </w:pPr>
      <w:r w:rsidRPr="00CA3AF9">
        <w:rPr>
          <w:rFonts w:eastAsia="Times New Roman" w:cs="Times New Roman"/>
        </w:rPr>
        <w:t>[5.6]</w:t>
      </w:r>
      <w:r w:rsidRPr="00CA3AF9">
        <w:rPr>
          <w:rFonts w:eastAsia="Times New Roman" w:cs="Times New Roman"/>
        </w:rPr>
        <w:tab/>
      </w:r>
      <w:r w:rsidR="00C12801" w:rsidRPr="00CA3AF9">
        <w:rPr>
          <w:rFonts w:eastAsia="Times New Roman" w:cs="Arial"/>
        </w:rPr>
        <w:t xml:space="preserve">R48 768.00 in respect of the applicant’s medical costs.  </w:t>
      </w:r>
    </w:p>
    <w:p w14:paraId="18C0BFA1" w14:textId="77CD13F5" w:rsidR="002C0B58" w:rsidRPr="00CA3AF9" w:rsidRDefault="00D14EBA" w:rsidP="00D14EBA">
      <w:pPr>
        <w:spacing w:after="360"/>
        <w:ind w:hanging="567"/>
        <w:rPr>
          <w:rFonts w:eastAsia="Times New Roman" w:cs="Arial"/>
        </w:rPr>
      </w:pPr>
      <w:r w:rsidRPr="00CA3AF9">
        <w:rPr>
          <w:rFonts w:eastAsia="Times New Roman" w:cs="Times New Roman"/>
        </w:rPr>
        <w:t>[6]</w:t>
      </w:r>
      <w:r w:rsidRPr="00CA3AF9">
        <w:rPr>
          <w:rFonts w:eastAsia="Times New Roman" w:cs="Times New Roman"/>
        </w:rPr>
        <w:tab/>
      </w:r>
      <w:r w:rsidR="00071299" w:rsidRPr="00CA3AF9">
        <w:rPr>
          <w:rFonts w:eastAsia="Times New Roman" w:cs="Arial"/>
        </w:rPr>
        <w:t xml:space="preserve">It is common cause that Celina is now an independent adult and married but still lives with the applicant in the matrimonial residence. While Alicia is a student at Stellenbosch university. The Respondent is blatantly refusing to pay for Alicia’s university fees because they are not part of the Rule 43 Order, so he contends. As such, the applicant contends that she has to use whatever maintenance and loans from family members to pay for Alicia's rental of R8300,00 and allowance of R6000,00, and often cannot do so. Alicia's university fees are outstanding by sum of R60 951,20 and if not paid, she will not graduate this year. </w:t>
      </w:r>
    </w:p>
    <w:p w14:paraId="358453D0" w14:textId="18EDD9E6" w:rsidR="00071299" w:rsidRPr="00765CDC" w:rsidRDefault="00D14EBA" w:rsidP="00D14EBA">
      <w:pPr>
        <w:pStyle w:val="JudgmentNumbered"/>
        <w:numPr>
          <w:ilvl w:val="0"/>
          <w:numId w:val="0"/>
        </w:numPr>
        <w:ind w:left="567" w:hanging="567"/>
      </w:pPr>
      <w:r w:rsidRPr="00765CDC">
        <w:t>[7]</w:t>
      </w:r>
      <w:r w:rsidRPr="00765CDC">
        <w:tab/>
      </w:r>
      <w:r w:rsidR="00071299" w:rsidRPr="00765CDC">
        <w:t xml:space="preserve">The Applicant is totally dependent on the Respondent for maintenance. Her ABSA bank account statement of 7 September 2023 shows a balance of R106.74.  She also has health issues which include auto-immune diseases, namely Rheumatoid arthritis and Hashimoto disease; </w:t>
      </w:r>
      <w:r w:rsidR="008A752D">
        <w:t xml:space="preserve">she </w:t>
      </w:r>
      <w:r w:rsidR="00071299" w:rsidRPr="008A752D">
        <w:t>recently had a full knee replacement on 16 February 2023, being the second knee replacement operation in 10 months; and compressed spine fractures due to osteoporosis and osteopenia of the bones which cause her co</w:t>
      </w:r>
      <w:r w:rsidR="00071299" w:rsidRPr="00765CDC">
        <w:t xml:space="preserve">nstant chronic pain. At the time that the Rule 43 Order was granted she suffered aggressive HER2 positive breast cancer for which she had chemotherapy and radiation treatments as well as undergoing a double mastectomy in 2018. Yet, the Respondent is refusing to pay her medical expenses per the Rule 43 Order. </w:t>
      </w:r>
    </w:p>
    <w:p w14:paraId="3090219D" w14:textId="4E1F1177" w:rsidR="00071299" w:rsidRPr="00765CDC" w:rsidRDefault="00D14EBA" w:rsidP="00D14EBA">
      <w:pPr>
        <w:pStyle w:val="JudgmentNumbered"/>
        <w:numPr>
          <w:ilvl w:val="0"/>
          <w:numId w:val="0"/>
        </w:numPr>
        <w:ind w:left="567" w:hanging="567"/>
      </w:pPr>
      <w:r w:rsidRPr="00765CDC">
        <w:t>[8]</w:t>
      </w:r>
      <w:r w:rsidRPr="00765CDC">
        <w:tab/>
      </w:r>
      <w:r w:rsidR="00071299" w:rsidRPr="00765CDC">
        <w:t>The Applicant has demonstrated that she does not have the means to litigate and as such tried to obviate same by sending e-mails with schedules of the arrears that were due and payable per the Rule 43 Order to the Respondent through his attorney of record, Mr Vardakos, but to no avail. Mr Vardakos has been on record since October 2020 and conceded having received the communication from the Applicant but either did not attend to it because he was traveling abroad or was busy with other matters, so he submitted.</w:t>
      </w:r>
    </w:p>
    <w:p w14:paraId="24664FB7" w14:textId="77777777" w:rsidR="00071299" w:rsidRPr="00765CDC" w:rsidRDefault="00071299" w:rsidP="00071299">
      <w:pPr>
        <w:pStyle w:val="JudgmentNumbered"/>
        <w:numPr>
          <w:ilvl w:val="0"/>
          <w:numId w:val="0"/>
        </w:numPr>
        <w:rPr>
          <w:i/>
        </w:rPr>
      </w:pPr>
      <w:r w:rsidRPr="00765CDC">
        <w:rPr>
          <w:i/>
        </w:rPr>
        <w:lastRenderedPageBreak/>
        <w:t>Urgency</w:t>
      </w:r>
    </w:p>
    <w:p w14:paraId="040CE47E" w14:textId="5B2FA6CE" w:rsidR="00071299" w:rsidRPr="00765CDC" w:rsidRDefault="00D14EBA" w:rsidP="00D14EBA">
      <w:pPr>
        <w:pStyle w:val="JudgmentNumbered"/>
        <w:numPr>
          <w:ilvl w:val="0"/>
          <w:numId w:val="0"/>
        </w:numPr>
        <w:spacing w:after="360"/>
        <w:ind w:left="567" w:hanging="567"/>
        <w:rPr>
          <w:rFonts w:eastAsia="Times New Roman"/>
        </w:rPr>
      </w:pPr>
      <w:r w:rsidRPr="00765CDC">
        <w:rPr>
          <w:rFonts w:eastAsia="Times New Roman"/>
        </w:rPr>
        <w:t>[9]</w:t>
      </w:r>
      <w:r w:rsidRPr="00765CDC">
        <w:rPr>
          <w:rFonts w:eastAsia="Times New Roman"/>
        </w:rPr>
        <w:tab/>
      </w:r>
      <w:r w:rsidR="00071299" w:rsidRPr="00765CDC">
        <w:rPr>
          <w:rFonts w:eastAsia="Times New Roman"/>
        </w:rPr>
        <w:t>The Respondent is obstinately castigating the Applicant for bringing this application o</w:t>
      </w:r>
      <w:r w:rsidR="00071299" w:rsidRPr="002252CA">
        <w:rPr>
          <w:rFonts w:eastAsia="Times New Roman"/>
        </w:rPr>
        <w:t>n</w:t>
      </w:r>
      <w:r w:rsidR="002252CA">
        <w:rPr>
          <w:rFonts w:eastAsia="Times New Roman"/>
        </w:rPr>
        <w:t xml:space="preserve"> an</w:t>
      </w:r>
      <w:r w:rsidR="00071299" w:rsidRPr="002252CA">
        <w:rPr>
          <w:rFonts w:eastAsia="Times New Roman"/>
        </w:rPr>
        <w:t xml:space="preserve"> urgent basis. The basis for taking issue with urgency of the matter is that the Applicant ought to have availed herself to alterative remedies in a form</w:t>
      </w:r>
      <w:r w:rsidR="00071299" w:rsidRPr="00765CDC">
        <w:rPr>
          <w:rFonts w:eastAsia="Times New Roman"/>
        </w:rPr>
        <w:t xml:space="preserve"> of round table discussion, alternatively, by issuing a writ of execution. </w:t>
      </w:r>
    </w:p>
    <w:p w14:paraId="7DA67469" w14:textId="66C97F90" w:rsidR="00071299" w:rsidRPr="00765CDC" w:rsidRDefault="00D14EBA" w:rsidP="00D14EBA">
      <w:pPr>
        <w:pStyle w:val="JudgmentNumbered"/>
        <w:numPr>
          <w:ilvl w:val="0"/>
          <w:numId w:val="0"/>
        </w:numPr>
        <w:spacing w:after="360"/>
        <w:ind w:left="567" w:hanging="567"/>
        <w:rPr>
          <w:rFonts w:eastAsia="Times New Roman"/>
        </w:rPr>
      </w:pPr>
      <w:r w:rsidRPr="00765CDC">
        <w:rPr>
          <w:rFonts w:eastAsia="Times New Roman"/>
        </w:rPr>
        <w:t>[10]</w:t>
      </w:r>
      <w:r w:rsidRPr="00765CDC">
        <w:rPr>
          <w:rFonts w:eastAsia="Times New Roman"/>
        </w:rPr>
        <w:tab/>
      </w:r>
      <w:r w:rsidR="00071299" w:rsidRPr="00765CDC">
        <w:rPr>
          <w:rFonts w:eastAsia="Times New Roman"/>
        </w:rPr>
        <w:t xml:space="preserve">Clearly, the Respondent’s contention is founded in oblivion as it is negated by the history of the litigation between the parties and concession that their relationship is obviously defined by rancour. While it is conceded that, a failure to pay maintenance entitles an applicant to issue a warrant of execution immediately, as mentioned elsewhere in this judgment, the Applicant’s writ of execution in relation to the arears up until 22 January 2022 has been met with serious opposition by the Respondent. </w:t>
      </w:r>
    </w:p>
    <w:p w14:paraId="75CCDAA6" w14:textId="2468E297" w:rsidR="00071299" w:rsidRPr="00765CDC" w:rsidRDefault="00D14EBA" w:rsidP="00D14EBA">
      <w:pPr>
        <w:pStyle w:val="JudgmentNumbered"/>
        <w:numPr>
          <w:ilvl w:val="0"/>
          <w:numId w:val="0"/>
        </w:numPr>
        <w:spacing w:after="360"/>
        <w:ind w:left="567" w:hanging="567"/>
        <w:rPr>
          <w:rFonts w:eastAsia="Times New Roman"/>
        </w:rPr>
      </w:pPr>
      <w:r w:rsidRPr="00765CDC">
        <w:rPr>
          <w:rFonts w:eastAsia="Times New Roman"/>
        </w:rPr>
        <w:t>[11]</w:t>
      </w:r>
      <w:r w:rsidRPr="00765CDC">
        <w:rPr>
          <w:rFonts w:eastAsia="Times New Roman"/>
        </w:rPr>
        <w:tab/>
      </w:r>
      <w:r w:rsidR="00071299" w:rsidRPr="00765CDC">
        <w:rPr>
          <w:rFonts w:eastAsia="Times New Roman"/>
        </w:rPr>
        <w:t>Likewise, t</w:t>
      </w:r>
      <w:r w:rsidR="002252CA">
        <w:rPr>
          <w:rFonts w:eastAsia="Times New Roman"/>
        </w:rPr>
        <w:t>o</w:t>
      </w:r>
      <w:r w:rsidR="00071299" w:rsidRPr="002252CA">
        <w:rPr>
          <w:rFonts w:eastAsia="Times New Roman"/>
        </w:rPr>
        <w:t xml:space="preserve"> impugn that the Applicant failed to avail herself to a round table discussion to </w:t>
      </w:r>
      <w:r w:rsidR="00071299" w:rsidRPr="00765CDC">
        <w:rPr>
          <w:rFonts w:eastAsia="Times New Roman"/>
        </w:rPr>
        <w:t xml:space="preserve">deliberate on the contents of the schedules and invoices detailing the computation of the amount in arrears is untenable. Mr Vardakos conceded that the Respondent has never looked at these schedules even after receiving </w:t>
      </w:r>
      <w:r w:rsidR="002252CA">
        <w:rPr>
          <w:rFonts w:eastAsia="Times New Roman"/>
        </w:rPr>
        <w:t xml:space="preserve">the </w:t>
      </w:r>
      <w:r w:rsidR="00071299" w:rsidRPr="002252CA">
        <w:rPr>
          <w:rFonts w:eastAsia="Times New Roman"/>
        </w:rPr>
        <w:t>Applicant’s founding papers in this application. The reason that was given from the bar</w:t>
      </w:r>
      <w:r w:rsidR="00071299" w:rsidRPr="00765CDC">
        <w:rPr>
          <w:rFonts w:eastAsia="Times New Roman"/>
        </w:rPr>
        <w:t xml:space="preserve"> by Mr Vardakos for the Respondent’s remiss conduct is that he is a director and his position occupies him seven days in a week. </w:t>
      </w:r>
    </w:p>
    <w:p w14:paraId="4EED11E8" w14:textId="160A4E41" w:rsidR="00071299" w:rsidRPr="00765CDC" w:rsidRDefault="00D14EBA" w:rsidP="00D14EBA">
      <w:pPr>
        <w:pStyle w:val="JudgmentNumbered"/>
        <w:numPr>
          <w:ilvl w:val="0"/>
          <w:numId w:val="0"/>
        </w:numPr>
        <w:spacing w:after="360"/>
        <w:ind w:left="567" w:hanging="567"/>
        <w:rPr>
          <w:rFonts w:eastAsia="Times New Roman"/>
        </w:rPr>
      </w:pPr>
      <w:r w:rsidRPr="00765CDC">
        <w:rPr>
          <w:rFonts w:eastAsia="Times New Roman"/>
        </w:rPr>
        <w:t>[12]</w:t>
      </w:r>
      <w:r w:rsidRPr="00765CDC">
        <w:rPr>
          <w:rFonts w:eastAsia="Times New Roman"/>
        </w:rPr>
        <w:tab/>
      </w:r>
      <w:r w:rsidR="00071299" w:rsidRPr="00765CDC">
        <w:rPr>
          <w:rFonts w:eastAsia="Times New Roman"/>
        </w:rPr>
        <w:t xml:space="preserve">Clearly, the Respondent is not a man of straw but hardworking business man with many assets including some which are abroad, as contended by the Applicant. Yet, he is </w:t>
      </w:r>
      <w:r w:rsidR="002252CA">
        <w:rPr>
          <w:rFonts w:eastAsia="Times New Roman"/>
        </w:rPr>
        <w:t xml:space="preserve">a </w:t>
      </w:r>
      <w:r w:rsidR="00071299" w:rsidRPr="002252CA">
        <w:rPr>
          <w:rFonts w:eastAsia="Times New Roman"/>
        </w:rPr>
        <w:t>repeated contemnor who</w:t>
      </w:r>
      <w:r w:rsidR="002252CA">
        <w:rPr>
          <w:rFonts w:eastAsia="Times New Roman"/>
        </w:rPr>
        <w:t xml:space="preserve"> has</w:t>
      </w:r>
      <w:r w:rsidR="00071299" w:rsidRPr="002252CA">
        <w:rPr>
          <w:rFonts w:eastAsia="Times New Roman"/>
        </w:rPr>
        <w:t xml:space="preserve"> deliberately frustrat</w:t>
      </w:r>
      <w:r w:rsidR="002252CA">
        <w:rPr>
          <w:rFonts w:eastAsia="Times New Roman"/>
        </w:rPr>
        <w:t>ed</w:t>
      </w:r>
      <w:r w:rsidR="00071299" w:rsidRPr="002252CA">
        <w:rPr>
          <w:rFonts w:eastAsia="Times New Roman"/>
        </w:rPr>
        <w:t xml:space="preserve"> the ordinary enforcement of</w:t>
      </w:r>
      <w:r w:rsidR="00071299" w:rsidRPr="00765CDC">
        <w:rPr>
          <w:rFonts w:eastAsia="Times New Roman"/>
        </w:rPr>
        <w:t xml:space="preserve"> the Rule 43 Order. As a result, there is an accumulation of significant arrears which include monies payable for medical care. </w:t>
      </w:r>
    </w:p>
    <w:p w14:paraId="77D4D801" w14:textId="3F5409D7" w:rsidR="00071299" w:rsidRPr="00765CDC" w:rsidRDefault="00D14EBA" w:rsidP="00D14EBA">
      <w:pPr>
        <w:pStyle w:val="JudgmentNumbered"/>
        <w:numPr>
          <w:ilvl w:val="0"/>
          <w:numId w:val="0"/>
        </w:numPr>
        <w:spacing w:after="360"/>
        <w:ind w:left="567" w:hanging="567"/>
        <w:rPr>
          <w:rFonts w:eastAsia="Times New Roman"/>
        </w:rPr>
      </w:pPr>
      <w:r w:rsidRPr="00765CDC">
        <w:rPr>
          <w:rFonts w:eastAsia="Times New Roman"/>
        </w:rPr>
        <w:t>[13]</w:t>
      </w:r>
      <w:r w:rsidRPr="00765CDC">
        <w:rPr>
          <w:rFonts w:eastAsia="Times New Roman"/>
        </w:rPr>
        <w:tab/>
      </w:r>
      <w:r w:rsidR="00071299" w:rsidRPr="00765CDC">
        <w:rPr>
          <w:rFonts w:eastAsia="Times New Roman"/>
        </w:rPr>
        <w:t xml:space="preserve">The Respondent’s contention that </w:t>
      </w:r>
      <w:r w:rsidR="002252CA">
        <w:rPr>
          <w:rFonts w:eastAsia="Times New Roman"/>
        </w:rPr>
        <w:t xml:space="preserve">the </w:t>
      </w:r>
      <w:r w:rsidR="00071299" w:rsidRPr="002252CA">
        <w:rPr>
          <w:rFonts w:eastAsia="Times New Roman"/>
        </w:rPr>
        <w:t xml:space="preserve">Applicant should continue depleting her </w:t>
      </w:r>
      <w:r w:rsidR="00071299" w:rsidRPr="00765CDC">
        <w:rPr>
          <w:rFonts w:eastAsia="Times New Roman"/>
        </w:rPr>
        <w:t xml:space="preserve">assets and/or live on borrowed funds pending the final determination of the Rule 43(6) application is flawed. He seems to forget that they are still married and as such he cannot divest himself from the duty to maintain the Applicant. Most </w:t>
      </w:r>
      <w:r w:rsidR="00071299" w:rsidRPr="00765CDC">
        <w:rPr>
          <w:rFonts w:eastAsia="Times New Roman"/>
        </w:rPr>
        <w:lastRenderedPageBreak/>
        <w:t xml:space="preserve">importantly, the Rule 43 Order is binding and must </w:t>
      </w:r>
      <w:r w:rsidR="002252CA">
        <w:rPr>
          <w:rFonts w:eastAsia="Times New Roman"/>
        </w:rPr>
        <w:t xml:space="preserve">be </w:t>
      </w:r>
      <w:r w:rsidR="00071299" w:rsidRPr="002252CA">
        <w:rPr>
          <w:rFonts w:eastAsia="Times New Roman"/>
        </w:rPr>
        <w:t xml:space="preserve">honoured until it is varied or discharged. </w:t>
      </w:r>
    </w:p>
    <w:p w14:paraId="3B6F9FB1" w14:textId="666B5977" w:rsidR="00071299" w:rsidRPr="002252CA" w:rsidRDefault="00D14EBA" w:rsidP="00D14EBA">
      <w:pPr>
        <w:pStyle w:val="JudgmentNumbered"/>
        <w:numPr>
          <w:ilvl w:val="0"/>
          <w:numId w:val="0"/>
        </w:numPr>
        <w:spacing w:after="360"/>
        <w:ind w:left="567" w:hanging="567"/>
        <w:rPr>
          <w:rFonts w:eastAsia="Times New Roman"/>
        </w:rPr>
      </w:pPr>
      <w:r w:rsidRPr="002252CA">
        <w:rPr>
          <w:rFonts w:eastAsia="Times New Roman"/>
        </w:rPr>
        <w:t>[14]</w:t>
      </w:r>
      <w:r w:rsidRPr="002252CA">
        <w:rPr>
          <w:rFonts w:eastAsia="Times New Roman"/>
        </w:rPr>
        <w:tab/>
      </w:r>
      <w:r w:rsidR="00071299" w:rsidRPr="00765CDC">
        <w:rPr>
          <w:rFonts w:eastAsia="Times New Roman"/>
        </w:rPr>
        <w:t xml:space="preserve">Accordingly, I am satisfied that the matter is urgent and I have </w:t>
      </w:r>
      <w:r w:rsidR="002252CA">
        <w:rPr>
          <w:rFonts w:eastAsia="Times New Roman"/>
        </w:rPr>
        <w:t xml:space="preserve">to </w:t>
      </w:r>
      <w:r w:rsidR="00071299" w:rsidRPr="002252CA">
        <w:rPr>
          <w:rFonts w:eastAsia="Times New Roman"/>
        </w:rPr>
        <w:t>deal with</w:t>
      </w:r>
      <w:r w:rsidR="002252CA">
        <w:rPr>
          <w:rFonts w:eastAsia="Times New Roman"/>
        </w:rPr>
        <w:t xml:space="preserve"> it</w:t>
      </w:r>
      <w:r w:rsidR="00071299" w:rsidRPr="002252CA">
        <w:rPr>
          <w:rFonts w:eastAsia="Times New Roman"/>
        </w:rPr>
        <w:t xml:space="preserve"> as such.</w:t>
      </w:r>
    </w:p>
    <w:p w14:paraId="444E108F" w14:textId="77777777" w:rsidR="00071299" w:rsidRPr="00765CDC" w:rsidRDefault="00071299" w:rsidP="00071299">
      <w:pPr>
        <w:pStyle w:val="JudgmentNumbered"/>
        <w:numPr>
          <w:ilvl w:val="0"/>
          <w:numId w:val="0"/>
        </w:numPr>
        <w:rPr>
          <w:i/>
        </w:rPr>
      </w:pPr>
      <w:r w:rsidRPr="00765CDC">
        <w:rPr>
          <w:i/>
        </w:rPr>
        <w:t>Contempt</w:t>
      </w:r>
    </w:p>
    <w:p w14:paraId="01DE0DD4" w14:textId="4DB651C2" w:rsidR="00071299" w:rsidRPr="00765CDC" w:rsidRDefault="00D14EBA" w:rsidP="00D14EBA">
      <w:pPr>
        <w:pStyle w:val="JudgmentNumbered"/>
        <w:numPr>
          <w:ilvl w:val="0"/>
          <w:numId w:val="0"/>
        </w:numPr>
        <w:ind w:left="567" w:hanging="567"/>
      </w:pPr>
      <w:r w:rsidRPr="00765CDC">
        <w:t>[15]</w:t>
      </w:r>
      <w:r w:rsidRPr="00765CDC">
        <w:tab/>
      </w:r>
      <w:r w:rsidR="00071299" w:rsidRPr="00765CDC">
        <w:t>Tritely, in contempt proceedings, the Applicant bears the onus to prove, beyond reasonable doubt, the rudiments of contempt which are: i) existence of an order; ii) service or notice of the order; iii) non-compliance with the order; and iv) wilfulness and mala fides.</w:t>
      </w:r>
      <w:r w:rsidR="00071299" w:rsidRPr="00CA3AF9">
        <w:rPr>
          <w:rStyle w:val="FootnoteReference"/>
          <w:rFonts w:ascii="Arial" w:eastAsia="Times New Roman" w:hAnsi="Arial"/>
        </w:rPr>
        <w:footnoteReference w:id="5"/>
      </w:r>
      <w:r w:rsidR="00071299" w:rsidRPr="00765CDC">
        <w:t xml:space="preserve"> However, the Respondent bears an evidential burden in relation to wilfulness and </w:t>
      </w:r>
      <w:r w:rsidR="00071299" w:rsidRPr="00765CDC">
        <w:rPr>
          <w:i/>
          <w:iCs/>
        </w:rPr>
        <w:t>mala fides</w:t>
      </w:r>
      <w:r w:rsidR="00071299" w:rsidRPr="00D2419C">
        <w:t>.</w:t>
      </w:r>
      <w:r w:rsidR="00071299" w:rsidRPr="00CA3AF9">
        <w:rPr>
          <w:rStyle w:val="FootnoteReference"/>
          <w:rFonts w:ascii="Arial" w:eastAsia="Times New Roman" w:hAnsi="Arial"/>
        </w:rPr>
        <w:footnoteReference w:id="6"/>
      </w:r>
      <w:r w:rsidR="00071299" w:rsidRPr="00765CDC">
        <w:t xml:space="preserve"> </w:t>
      </w:r>
    </w:p>
    <w:p w14:paraId="3EC52341" w14:textId="7B462996" w:rsidR="00071299" w:rsidRPr="00765CDC" w:rsidRDefault="00D14EBA" w:rsidP="00D14EBA">
      <w:pPr>
        <w:pStyle w:val="JudgmentNumbered"/>
        <w:numPr>
          <w:ilvl w:val="0"/>
          <w:numId w:val="0"/>
        </w:numPr>
        <w:ind w:left="567" w:hanging="567"/>
      </w:pPr>
      <w:r w:rsidRPr="00765CDC">
        <w:t>[16]</w:t>
      </w:r>
      <w:r w:rsidRPr="00765CDC">
        <w:tab/>
      </w:r>
      <w:r w:rsidR="00071299" w:rsidRPr="00E04B9C">
        <w:t xml:space="preserve">In the present instance, </w:t>
      </w:r>
      <w:r w:rsidR="00071299" w:rsidRPr="00EF1CA3">
        <w:t xml:space="preserve">the Respondent concedes the existence of the order and in fact he is seeking to vary it in terms of the Rule 43(6). </w:t>
      </w:r>
      <w:r w:rsidR="00071299" w:rsidRPr="00765CDC">
        <w:t xml:space="preserve">The main issue for determination is, therefore, whether his conduct is wilful and mala fide. </w:t>
      </w:r>
    </w:p>
    <w:p w14:paraId="2BE65905" w14:textId="54D49ADE" w:rsidR="00071299" w:rsidRPr="00765CDC" w:rsidRDefault="00D14EBA" w:rsidP="00D14EBA">
      <w:pPr>
        <w:pStyle w:val="JudgmentNumbered"/>
        <w:numPr>
          <w:ilvl w:val="0"/>
          <w:numId w:val="0"/>
        </w:numPr>
        <w:ind w:left="567" w:hanging="567"/>
      </w:pPr>
      <w:r w:rsidRPr="00765CDC">
        <w:t>[17]</w:t>
      </w:r>
      <w:r w:rsidRPr="00765CDC">
        <w:tab/>
      </w:r>
      <w:r w:rsidR="00071299" w:rsidRPr="00765CDC">
        <w:t xml:space="preserve">As mentioned above, the Respondent is a frequent contemnor. The committal in terms of the first contempt order was suspended on the condition that he purges the contempt, which he did. Even so, the Respondent persists with his blatant disdain for the Rule 43 Order. </w:t>
      </w:r>
    </w:p>
    <w:p w14:paraId="3EF1EE95" w14:textId="26B3A52E" w:rsidR="00071299" w:rsidRPr="00DB0D4D" w:rsidRDefault="00D14EBA" w:rsidP="00D14EBA">
      <w:pPr>
        <w:pStyle w:val="JudgmentNumbered"/>
        <w:numPr>
          <w:ilvl w:val="0"/>
          <w:numId w:val="0"/>
        </w:numPr>
        <w:ind w:left="567" w:hanging="567"/>
      </w:pPr>
      <w:r w:rsidRPr="00DB0D4D">
        <w:t>[18]</w:t>
      </w:r>
      <w:r w:rsidRPr="00DB0D4D">
        <w:tab/>
      </w:r>
      <w:r w:rsidR="00071299" w:rsidRPr="00765CDC">
        <w:t>The Respondent has made bald averments in respect of his ability to honour the Rule 43 Order. Despite his allegation that he is employed by his businesses, he has failed to open</w:t>
      </w:r>
      <w:r w:rsidR="005A5CE9">
        <w:t xml:space="preserve"> up</w:t>
      </w:r>
      <w:r w:rsidR="00071299" w:rsidRPr="005A5CE9">
        <w:t xml:space="preserve"> to this Court about the details of his employment, proof of his </w:t>
      </w:r>
      <w:r w:rsidR="00071299" w:rsidRPr="00765CDC">
        <w:t xml:space="preserve">earning, tax deduction, etc. He also expects this court to accept his mere say so that he previously used loans from his companies to meet his obligations per the Rule 43 Order as he failed to provide proof in a form of loan agreements or loan account or bank statements. Curiously, even the amount of R20 000 </w:t>
      </w:r>
      <w:r w:rsidR="005A5CE9">
        <w:t xml:space="preserve">which </w:t>
      </w:r>
      <w:r w:rsidR="00071299" w:rsidRPr="005A5CE9">
        <w:t>he continues to pay is cash deposited into the A</w:t>
      </w:r>
      <w:r w:rsidR="00071299" w:rsidRPr="00DB0D4D">
        <w:t xml:space="preserve">pplicants Absa bank account. </w:t>
      </w:r>
    </w:p>
    <w:p w14:paraId="625A94D5" w14:textId="7D1B986E" w:rsidR="00071299" w:rsidRPr="00765CDC" w:rsidRDefault="00D14EBA" w:rsidP="00D14EBA">
      <w:pPr>
        <w:pStyle w:val="JudgmentNumbered"/>
        <w:numPr>
          <w:ilvl w:val="0"/>
          <w:numId w:val="0"/>
        </w:numPr>
        <w:ind w:left="567" w:hanging="567"/>
      </w:pPr>
      <w:r w:rsidRPr="00765CDC">
        <w:lastRenderedPageBreak/>
        <w:t>[19]</w:t>
      </w:r>
      <w:r w:rsidRPr="00765CDC">
        <w:tab/>
      </w:r>
      <w:r w:rsidR="00071299" w:rsidRPr="00765CDC">
        <w:t xml:space="preserve">Since it is the Respondent that seeks to excuse his contempt, he ought to have provided this court with comprehensive information of his financial position but dismally failed.  </w:t>
      </w:r>
    </w:p>
    <w:p w14:paraId="480C8CE4" w14:textId="5E54FA85" w:rsidR="00071299" w:rsidRPr="00765CDC" w:rsidRDefault="00D14EBA" w:rsidP="00D14EBA">
      <w:pPr>
        <w:pStyle w:val="JudgmentNumbered"/>
        <w:numPr>
          <w:ilvl w:val="0"/>
          <w:numId w:val="0"/>
        </w:numPr>
        <w:ind w:left="567" w:hanging="567"/>
      </w:pPr>
      <w:r w:rsidRPr="00765CDC">
        <w:t>[20]</w:t>
      </w:r>
      <w:r w:rsidRPr="00765CDC">
        <w:tab/>
      </w:r>
      <w:r w:rsidR="00071299" w:rsidRPr="00765CDC">
        <w:t xml:space="preserve">The applicant contends that the snail pace in which the Respondent prosecuting the Rule 43(6) and lull in attending to his opposition of the Applicant’s writ of execution is a stratagem to outlitigate her as she cannot afford to litigate at each and every turn. I agree. The applicant seems to hold a fallacious view that he can litigate at his leisure, be in court as and when he has money or at the convenience of his attorney. </w:t>
      </w:r>
    </w:p>
    <w:p w14:paraId="2485D4AE" w14:textId="1B426CCF" w:rsidR="00071299" w:rsidRPr="00765CDC" w:rsidRDefault="00D14EBA" w:rsidP="00D14EBA">
      <w:pPr>
        <w:pStyle w:val="JudgmentNumbered"/>
        <w:numPr>
          <w:ilvl w:val="0"/>
          <w:numId w:val="0"/>
        </w:numPr>
        <w:ind w:left="567" w:hanging="567"/>
      </w:pPr>
      <w:r w:rsidRPr="00765CDC">
        <w:t>[21]</w:t>
      </w:r>
      <w:r w:rsidRPr="00765CDC">
        <w:tab/>
      </w:r>
      <w:r w:rsidR="00071299" w:rsidRPr="00765CDC">
        <w:t xml:space="preserve">It </w:t>
      </w:r>
      <w:r w:rsidR="00034B76">
        <w:t xml:space="preserve">is </w:t>
      </w:r>
      <w:r w:rsidR="00071299" w:rsidRPr="00034B76">
        <w:t>well accepted that all court orders, whether correctly or incorrectly granted, have to be obeyed unless they are properly set aside.</w:t>
      </w:r>
      <w:bookmarkStart w:id="1" w:name="_ftnref61"/>
      <w:r w:rsidR="00071299" w:rsidRPr="00CA3AF9">
        <w:rPr>
          <w:rStyle w:val="FootnoteReference"/>
          <w:rFonts w:ascii="Arial" w:eastAsia="Times New Roman" w:hAnsi="Arial"/>
        </w:rPr>
        <w:footnoteReference w:id="7"/>
      </w:r>
      <w:bookmarkEnd w:id="1"/>
      <w:r w:rsidR="00071299" w:rsidRPr="00765CDC">
        <w:t xml:space="preserve"> It is a </w:t>
      </w:r>
      <w:r w:rsidR="00071299" w:rsidRPr="00D2419C">
        <w:t>constitutional imperative for effectiveness and legitimacy of the judicial system.</w:t>
      </w:r>
      <w:r w:rsidR="00071299" w:rsidRPr="00CA3AF9">
        <w:rPr>
          <w:rStyle w:val="FootnoteReference"/>
          <w:rFonts w:ascii="Arial" w:eastAsia="Times New Roman" w:hAnsi="Arial"/>
        </w:rPr>
        <w:footnoteReference w:id="8"/>
      </w:r>
      <w:r w:rsidR="00071299" w:rsidRPr="00765CDC">
        <w:t xml:space="preserve"> In </w:t>
      </w:r>
      <w:r w:rsidR="00071299" w:rsidRPr="00765CDC">
        <w:rPr>
          <w:i/>
          <w:iCs/>
        </w:rPr>
        <w:t>Bannatyne v Bannatyne</w:t>
      </w:r>
      <w:r w:rsidR="00E06F3D">
        <w:rPr>
          <w:rFonts w:ascii="Verdana" w:hAnsi="Verdana" w:cstheme="minorBidi"/>
          <w:b/>
          <w:bCs/>
          <w:color w:val="000000"/>
          <w:sz w:val="20"/>
          <w:szCs w:val="20"/>
        </w:rPr>
        <w:t xml:space="preserve"> </w:t>
      </w:r>
      <w:r w:rsidR="00E06F3D" w:rsidRPr="00E06F3D">
        <w:rPr>
          <w:bCs/>
          <w:i/>
          <w:iCs/>
        </w:rPr>
        <w:t xml:space="preserve">(Commission </w:t>
      </w:r>
      <w:r w:rsidR="00E06F3D">
        <w:rPr>
          <w:bCs/>
          <w:i/>
          <w:iCs/>
        </w:rPr>
        <w:t>f</w:t>
      </w:r>
      <w:r w:rsidR="00E06F3D" w:rsidRPr="00E06F3D">
        <w:rPr>
          <w:bCs/>
          <w:i/>
          <w:iCs/>
        </w:rPr>
        <w:t xml:space="preserve">or Gender Equality, </w:t>
      </w:r>
      <w:r w:rsidR="00E06F3D">
        <w:rPr>
          <w:bCs/>
          <w:i/>
          <w:iCs/>
        </w:rPr>
        <w:t>a</w:t>
      </w:r>
      <w:r w:rsidR="00E06F3D" w:rsidRPr="00E06F3D">
        <w:rPr>
          <w:bCs/>
          <w:i/>
          <w:iCs/>
        </w:rPr>
        <w:t>s </w:t>
      </w:r>
      <w:r w:rsidR="00E06F3D" w:rsidRPr="00E06F3D">
        <w:rPr>
          <w:i/>
          <w:iCs/>
        </w:rPr>
        <w:t>Amicus Curiae</w:t>
      </w:r>
      <w:r w:rsidR="00D07679" w:rsidRPr="00CA3AF9">
        <w:rPr>
          <w:bCs/>
          <w:i/>
          <w:iCs/>
        </w:rPr>
        <w:t>)</w:t>
      </w:r>
      <w:r w:rsidR="00071299" w:rsidRPr="00CA3AF9">
        <w:rPr>
          <w:rStyle w:val="FootnoteReference"/>
          <w:rFonts w:ascii="Arial" w:eastAsia="Times New Roman" w:hAnsi="Arial"/>
        </w:rPr>
        <w:footnoteReference w:id="9"/>
      </w:r>
      <w:r w:rsidR="00071299" w:rsidRPr="00765CDC">
        <w:t xml:space="preserve">, the Constitution Court considered </w:t>
      </w:r>
      <w:r w:rsidR="00071299" w:rsidRPr="00D2419C">
        <w:t xml:space="preserve">the importance </w:t>
      </w:r>
      <w:r w:rsidR="00071299" w:rsidRPr="00E04B9C">
        <w:t>of maintenance obligations and the duty of courts to ensure that there is compliance</w:t>
      </w:r>
      <w:r w:rsidR="00071299" w:rsidRPr="00EF1CA3">
        <w:t xml:space="preserve"> and made the following observations:</w:t>
      </w:r>
    </w:p>
    <w:p w14:paraId="3D3CE67C" w14:textId="77777777" w:rsidR="007B7F59" w:rsidRPr="00765CDC" w:rsidRDefault="00FA008A" w:rsidP="00071299">
      <w:pPr>
        <w:pStyle w:val="JudgmentNumbered"/>
        <w:numPr>
          <w:ilvl w:val="0"/>
          <w:numId w:val="0"/>
        </w:numPr>
        <w:ind w:left="1440"/>
        <w:rPr>
          <w:sz w:val="22"/>
        </w:rPr>
      </w:pPr>
      <w:r w:rsidRPr="00765CDC">
        <w:rPr>
          <w:sz w:val="22"/>
        </w:rPr>
        <w:t>“</w:t>
      </w:r>
      <w:r w:rsidR="00071299" w:rsidRPr="00765CDC">
        <w:rPr>
          <w:sz w:val="22"/>
        </w:rPr>
        <w:t xml:space="preserve">Systemic failures to enforce maintenance orders have a negative impact on the rule of law.  The courts are there to ensure that the rights of all are protected.  The judiciary must endeavour to secure for vulnerable children and disempowered women their small but life-sustaining legal entitlements.  </w:t>
      </w:r>
      <w:r w:rsidR="00071299" w:rsidRPr="00765CDC">
        <w:rPr>
          <w:sz w:val="22"/>
          <w:u w:val="single"/>
        </w:rPr>
        <w:t>If court orders are habitually evaded and defied with relative impunity, the justice system is discredited and the constitutional promise of human dignity and equality is seriously compromised for those most dependent on the law</w:t>
      </w:r>
      <w:r w:rsidR="00071299" w:rsidRPr="00765CDC">
        <w:rPr>
          <w:sz w:val="22"/>
        </w:rPr>
        <w:t>.</w:t>
      </w:r>
      <w:r w:rsidRPr="00765CDC">
        <w:rPr>
          <w:sz w:val="22"/>
        </w:rPr>
        <w:t>”</w:t>
      </w:r>
      <w:r w:rsidR="00071299" w:rsidRPr="00765CDC">
        <w:rPr>
          <w:sz w:val="22"/>
        </w:rPr>
        <w:t xml:space="preserve"> (Own emphasis) </w:t>
      </w:r>
    </w:p>
    <w:p w14:paraId="646303A1" w14:textId="77777777" w:rsidR="00071299" w:rsidRPr="00765CDC" w:rsidRDefault="00071299" w:rsidP="00071299">
      <w:pPr>
        <w:pStyle w:val="JudgmentNumbered"/>
        <w:numPr>
          <w:ilvl w:val="0"/>
          <w:numId w:val="0"/>
        </w:numPr>
        <w:ind w:left="567" w:hanging="567"/>
        <w:rPr>
          <w:i/>
        </w:rPr>
      </w:pPr>
      <w:r w:rsidRPr="00765CDC">
        <w:rPr>
          <w:i/>
        </w:rPr>
        <w:t>Conclusion</w:t>
      </w:r>
    </w:p>
    <w:p w14:paraId="458F167F" w14:textId="3F79DDB5" w:rsidR="007B7F59" w:rsidRPr="00765CDC" w:rsidRDefault="00D14EBA" w:rsidP="00D14EBA">
      <w:pPr>
        <w:pStyle w:val="JudgmentNumbered"/>
        <w:numPr>
          <w:ilvl w:val="0"/>
          <w:numId w:val="0"/>
        </w:numPr>
        <w:ind w:left="567" w:hanging="567"/>
      </w:pPr>
      <w:r w:rsidRPr="00765CDC">
        <w:t>[22]</w:t>
      </w:r>
      <w:r w:rsidRPr="00765CDC">
        <w:tab/>
      </w:r>
      <w:r w:rsidR="00D4223D" w:rsidRPr="00765CDC">
        <w:t xml:space="preserve">In all the circumstances, the Respondent has failed to discharge the evidentiary burden in showing that his default was not wilful and </w:t>
      </w:r>
      <w:r w:rsidR="00D4223D" w:rsidRPr="00765CDC">
        <w:rPr>
          <w:i/>
          <w:iCs/>
        </w:rPr>
        <w:t>mala fide</w:t>
      </w:r>
      <w:r w:rsidR="00D4223D" w:rsidRPr="00765CDC">
        <w:t>. Moreover, the wilfulness and </w:t>
      </w:r>
      <w:r w:rsidR="00D4223D" w:rsidRPr="00765CDC">
        <w:rPr>
          <w:i/>
          <w:iCs/>
        </w:rPr>
        <w:t>male fides</w:t>
      </w:r>
      <w:r w:rsidR="00D4223D" w:rsidRPr="00765CDC">
        <w:t xml:space="preserve"> have been shown to be beyond reasonable doubt. </w:t>
      </w:r>
      <w:r w:rsidR="00D4223D" w:rsidRPr="00765CDC">
        <w:lastRenderedPageBreak/>
        <w:t xml:space="preserve">Since the Respondent is </w:t>
      </w:r>
      <w:r w:rsidR="005C3382">
        <w:t xml:space="preserve">a </w:t>
      </w:r>
      <w:r w:rsidR="00D4223D" w:rsidRPr="005C3382">
        <w:t xml:space="preserve">repeated contemnor, there is no reason why he should not be committed to </w:t>
      </w:r>
      <w:r w:rsidR="00D4223D" w:rsidRPr="00765CDC">
        <w:t xml:space="preserve">imprisonment. </w:t>
      </w:r>
    </w:p>
    <w:p w14:paraId="1D5EEC44" w14:textId="77777777" w:rsidR="00A83A79" w:rsidRPr="00765CDC" w:rsidRDefault="00A83A79" w:rsidP="00A83A79">
      <w:pPr>
        <w:pStyle w:val="JudgmentHeading"/>
      </w:pPr>
      <w:r w:rsidRPr="00765CDC">
        <w:t>Order</w:t>
      </w:r>
    </w:p>
    <w:p w14:paraId="5D9AB648" w14:textId="08B2692F" w:rsidR="00B1601C" w:rsidRPr="00765CDC" w:rsidRDefault="00D14EBA" w:rsidP="00D14EBA">
      <w:pPr>
        <w:pStyle w:val="JudgmentNumbered"/>
        <w:numPr>
          <w:ilvl w:val="0"/>
          <w:numId w:val="0"/>
        </w:numPr>
        <w:ind w:left="567" w:hanging="567"/>
      </w:pPr>
      <w:r w:rsidRPr="00765CDC">
        <w:t>[23]</w:t>
      </w:r>
      <w:r w:rsidRPr="00765CDC">
        <w:tab/>
      </w:r>
      <w:r w:rsidR="00B1601C" w:rsidRPr="00765CDC">
        <w:t>I accordingly make the following order:</w:t>
      </w:r>
    </w:p>
    <w:p w14:paraId="134FD03C" w14:textId="77777777" w:rsidR="00B1601C" w:rsidRPr="00CA3AF9" w:rsidRDefault="00B1601C" w:rsidP="00B1601C">
      <w:pPr>
        <w:spacing w:after="360"/>
        <w:ind w:left="1437" w:hanging="870"/>
        <w:rPr>
          <w:rFonts w:eastAsia="Times New Roman" w:cs="Arial"/>
        </w:rPr>
      </w:pPr>
      <w:r w:rsidRPr="005661FE">
        <w:rPr>
          <w:rFonts w:eastAsia="Times New Roman" w:cs="Arial"/>
        </w:rPr>
        <w:t xml:space="preserve">1. </w:t>
      </w:r>
      <w:r w:rsidRPr="005661FE">
        <w:rPr>
          <w:rFonts w:eastAsia="Times New Roman" w:cs="Arial"/>
        </w:rPr>
        <w:tab/>
        <w:t xml:space="preserve">The application is heard as a matter of urgency and that the Rules relating to time periods be dispensed with in terms of Rule 6(12) of the Rules of the above Honourable Court; </w:t>
      </w:r>
    </w:p>
    <w:p w14:paraId="77F44CBC" w14:textId="54B66BE6" w:rsidR="00B1601C" w:rsidRPr="00CA3AF9" w:rsidRDefault="00C15F72" w:rsidP="00B1601C">
      <w:pPr>
        <w:spacing w:after="360"/>
        <w:ind w:left="1437" w:hanging="870"/>
        <w:rPr>
          <w:rFonts w:eastAsia="Times New Roman" w:cs="Arial"/>
        </w:rPr>
      </w:pPr>
      <w:r>
        <w:rPr>
          <w:rFonts w:eastAsia="Times New Roman" w:cs="Arial"/>
        </w:rPr>
        <w:t xml:space="preserve">2. </w:t>
      </w:r>
      <w:r>
        <w:rPr>
          <w:rFonts w:eastAsia="Times New Roman" w:cs="Arial"/>
        </w:rPr>
        <w:tab/>
        <w:t>The Respondent, A J S</w:t>
      </w:r>
      <w:r w:rsidR="00B1601C" w:rsidRPr="00CA3AF9">
        <w:rPr>
          <w:rFonts w:eastAsia="Times New Roman" w:cs="Arial"/>
        </w:rPr>
        <w:t xml:space="preserve"> is declared in contempt of the Court orders granted on 29 June 2018 by Mokose AJ and on 15 October 2021 by Windell J, under case number 11676 / 2018; </w:t>
      </w:r>
    </w:p>
    <w:p w14:paraId="7230B850" w14:textId="77777777" w:rsidR="00B1601C" w:rsidRPr="00CA3AF9" w:rsidRDefault="00B1601C" w:rsidP="00B1601C">
      <w:pPr>
        <w:spacing w:after="360"/>
        <w:ind w:left="1437" w:hanging="870"/>
        <w:rPr>
          <w:rFonts w:eastAsia="Times New Roman" w:cs="Arial"/>
        </w:rPr>
      </w:pPr>
      <w:r w:rsidRPr="00CA3AF9">
        <w:rPr>
          <w:rFonts w:eastAsia="Times New Roman" w:cs="Arial"/>
        </w:rPr>
        <w:t>3.</w:t>
      </w:r>
      <w:r w:rsidRPr="00CA3AF9">
        <w:rPr>
          <w:rFonts w:eastAsia="Times New Roman" w:cs="Arial"/>
        </w:rPr>
        <w:tab/>
        <w:t>The Respondent is hereby committed to imprisonment for a period of 6 months which shall be suspended for a period of one (1) year on the following conditions:</w:t>
      </w:r>
    </w:p>
    <w:p w14:paraId="521BC42E" w14:textId="7ACAFE96" w:rsidR="00B1601C" w:rsidRPr="005C3382" w:rsidRDefault="00B1601C" w:rsidP="00B1601C">
      <w:pPr>
        <w:spacing w:after="360"/>
        <w:ind w:left="2877" w:hanging="720"/>
        <w:rPr>
          <w:rFonts w:eastAsia="Times New Roman" w:cs="Arial"/>
        </w:rPr>
      </w:pPr>
      <w:r w:rsidRPr="00CA3AF9">
        <w:rPr>
          <w:rFonts w:eastAsia="Times New Roman" w:cs="Arial"/>
        </w:rPr>
        <w:t>3.1</w:t>
      </w:r>
      <w:r w:rsidRPr="00CA3AF9">
        <w:rPr>
          <w:rFonts w:eastAsia="Times New Roman" w:cs="Arial"/>
        </w:rPr>
        <w:tab/>
        <w:t xml:space="preserve">The respondent pays to the Applicant arrear maintenance and related expenses totalling the sum of R274 639.00 within </w:t>
      </w:r>
      <w:r w:rsidR="002A394E">
        <w:rPr>
          <w:rFonts w:eastAsia="Times New Roman" w:cs="Arial"/>
        </w:rPr>
        <w:t>three (3</w:t>
      </w:r>
      <w:r w:rsidRPr="005C3382">
        <w:rPr>
          <w:rFonts w:eastAsia="Times New Roman" w:cs="Arial"/>
        </w:rPr>
        <w:t>) days from date of this order.</w:t>
      </w:r>
    </w:p>
    <w:p w14:paraId="0E4200F1" w14:textId="77777777" w:rsidR="00B1601C" w:rsidRPr="00CA3AF9" w:rsidRDefault="00B1601C" w:rsidP="00B1601C">
      <w:pPr>
        <w:spacing w:after="360"/>
        <w:ind w:left="2877" w:hanging="720"/>
        <w:rPr>
          <w:rFonts w:eastAsia="Times New Roman" w:cs="Arial"/>
        </w:rPr>
      </w:pPr>
      <w:r w:rsidRPr="005661FE">
        <w:rPr>
          <w:rFonts w:eastAsia="Times New Roman" w:cs="Arial"/>
        </w:rPr>
        <w:t>3.2</w:t>
      </w:r>
      <w:r w:rsidRPr="005661FE">
        <w:rPr>
          <w:rFonts w:eastAsia="Times New Roman" w:cs="Arial"/>
        </w:rPr>
        <w:tab/>
        <w:t>The respondent complies with his obligations set out in the Court O</w:t>
      </w:r>
      <w:r w:rsidRPr="00CA3AF9">
        <w:rPr>
          <w:rFonts w:eastAsia="Times New Roman" w:cs="Arial"/>
        </w:rPr>
        <w:t xml:space="preserve">rders </w:t>
      </w:r>
      <w:bookmarkStart w:id="2" w:name="_Hlk147763382"/>
      <w:r w:rsidRPr="00CA3AF9">
        <w:rPr>
          <w:rFonts w:eastAsia="Times New Roman" w:cs="Arial"/>
        </w:rPr>
        <w:t xml:space="preserve">granted </w:t>
      </w:r>
      <w:bookmarkEnd w:id="2"/>
      <w:r w:rsidRPr="00CA3AF9">
        <w:rPr>
          <w:rFonts w:eastAsia="Times New Roman" w:cs="Arial"/>
        </w:rPr>
        <w:t>by Mokose AJ and on 15 October 2021 by Windell J, under case number 11676 / 2018.</w:t>
      </w:r>
    </w:p>
    <w:p w14:paraId="152AC411" w14:textId="77777777" w:rsidR="00B1601C" w:rsidRPr="00765CDC" w:rsidRDefault="00B1601C" w:rsidP="002026E2">
      <w:pPr>
        <w:pStyle w:val="Normal1"/>
        <w:tabs>
          <w:tab w:val="left" w:pos="1418"/>
        </w:tabs>
        <w:spacing w:line="360" w:lineRule="auto"/>
        <w:ind w:left="1418" w:hanging="720"/>
      </w:pPr>
      <w:r w:rsidRPr="00CA3AF9">
        <w:t xml:space="preserve">4. </w:t>
      </w:r>
      <w:r w:rsidRPr="00CA3AF9">
        <w:tab/>
        <w:t xml:space="preserve">The Respondent is ordered to pay the costs of this application on the attorney and client scale. </w:t>
      </w:r>
    </w:p>
    <w:p w14:paraId="24B08197" w14:textId="77777777" w:rsidR="00A83A79" w:rsidRDefault="00A83A79" w:rsidP="00B1601C">
      <w:pPr>
        <w:pStyle w:val="JudgmentNumbered"/>
        <w:numPr>
          <w:ilvl w:val="0"/>
          <w:numId w:val="0"/>
        </w:numPr>
        <w:ind w:left="567"/>
      </w:pPr>
    </w:p>
    <w:p w14:paraId="2268474A"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158395A9" w14:textId="77777777" w:rsidR="002B448C" w:rsidRDefault="00162638" w:rsidP="00EB01DA">
      <w:pPr>
        <w:pStyle w:val="JudgmentNumbered"/>
        <w:numPr>
          <w:ilvl w:val="0"/>
          <w:numId w:val="0"/>
        </w:numPr>
        <w:spacing w:after="0"/>
        <w:ind w:left="567" w:hanging="567"/>
        <w:jc w:val="right"/>
        <w:rPr>
          <w:b/>
        </w:rPr>
      </w:pPr>
      <w:r w:rsidRPr="00162638">
        <w:rPr>
          <w:b/>
        </w:rPr>
        <w:t>P Nkutha-Nkontwana J</w:t>
      </w:r>
    </w:p>
    <w:p w14:paraId="74113B93"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542765AC" w14:textId="77777777" w:rsidR="00162638" w:rsidRDefault="002B448C" w:rsidP="00162638">
      <w:pPr>
        <w:pStyle w:val="JudgmentNumbered"/>
        <w:numPr>
          <w:ilvl w:val="0"/>
          <w:numId w:val="0"/>
        </w:numPr>
        <w:spacing w:after="0"/>
        <w:ind w:left="567" w:hanging="567"/>
        <w:jc w:val="right"/>
        <w:rPr>
          <w:b/>
        </w:rPr>
      </w:pPr>
      <w:r>
        <w:rPr>
          <w:b/>
        </w:rPr>
        <w:t>JOHANNESBUR</w:t>
      </w:r>
      <w:r w:rsidR="00E04B9C">
        <w:rPr>
          <w:b/>
        </w:rPr>
        <w:t>G</w:t>
      </w:r>
    </w:p>
    <w:p w14:paraId="06744749" w14:textId="77777777" w:rsidR="00C02F11" w:rsidRDefault="00C02F11" w:rsidP="00C02F11">
      <w:pPr>
        <w:pStyle w:val="Normal1"/>
        <w:jc w:val="left"/>
      </w:pPr>
    </w:p>
    <w:p w14:paraId="35DF8028" w14:textId="77777777" w:rsidR="00C02F11" w:rsidRPr="00FE236F" w:rsidRDefault="00C02F11" w:rsidP="00CA3AF9">
      <w:pPr>
        <w:pStyle w:val="JudgmentHeading"/>
      </w:pPr>
    </w:p>
    <w:p w14:paraId="500306BA" w14:textId="7660B319" w:rsidR="00FE236F" w:rsidRPr="00FE236F" w:rsidRDefault="00FE236F" w:rsidP="005137F8">
      <w:pPr>
        <w:spacing w:before="240" w:after="120"/>
        <w:ind w:left="0"/>
        <w:jc w:val="left"/>
        <w:rPr>
          <w:rFonts w:eastAsia="Times New Roman" w:cs="Arial"/>
          <w:szCs w:val="24"/>
          <w:lang w:val="en-ZA" w:eastAsia="en-ZA"/>
        </w:rPr>
      </w:pPr>
      <w:r w:rsidRPr="00FE236F">
        <w:rPr>
          <w:rFonts w:eastAsia="Times New Roman" w:cs="Arial"/>
          <w:szCs w:val="24"/>
          <w:lang w:val="en-ZA" w:eastAsia="en-ZA"/>
        </w:rPr>
        <w:t>Heard: 05 October 2023</w:t>
      </w:r>
    </w:p>
    <w:p w14:paraId="0DD1DC4C" w14:textId="5C008282" w:rsidR="00FE236F" w:rsidRPr="00FE236F" w:rsidRDefault="00FE236F" w:rsidP="00FE236F">
      <w:pPr>
        <w:pStyle w:val="JudgmentNumbered"/>
        <w:numPr>
          <w:ilvl w:val="0"/>
          <w:numId w:val="0"/>
        </w:numPr>
        <w:ind w:left="567" w:hanging="567"/>
        <w:rPr>
          <w:lang w:val="en-ZA" w:eastAsia="en-ZA"/>
        </w:rPr>
      </w:pPr>
      <w:r>
        <w:rPr>
          <w:lang w:val="en-ZA" w:eastAsia="en-ZA"/>
        </w:rPr>
        <w:t>Judgment handed down: 11 October 2023</w:t>
      </w:r>
    </w:p>
    <w:p w14:paraId="5A4440B1" w14:textId="0C6D1674" w:rsidR="005137F8" w:rsidRPr="005137F8" w:rsidRDefault="005137F8" w:rsidP="005137F8">
      <w:pPr>
        <w:spacing w:before="240" w:after="120"/>
        <w:ind w:left="0"/>
        <w:jc w:val="left"/>
        <w:rPr>
          <w:rFonts w:eastAsia="Times New Roman" w:cs="Arial"/>
          <w:szCs w:val="24"/>
          <w:u w:val="single"/>
          <w:lang w:val="en-ZA" w:eastAsia="en-ZA"/>
        </w:rPr>
      </w:pPr>
      <w:r w:rsidRPr="005137F8">
        <w:rPr>
          <w:rFonts w:eastAsia="Times New Roman" w:cs="Arial"/>
          <w:szCs w:val="24"/>
          <w:u w:val="single"/>
          <w:lang w:val="en-ZA" w:eastAsia="en-ZA"/>
        </w:rPr>
        <w:t>Appearances:</w:t>
      </w:r>
    </w:p>
    <w:p w14:paraId="0772AF0E" w14:textId="09BC2BD1" w:rsidR="005137F8" w:rsidRPr="002E20D3" w:rsidRDefault="005137F8" w:rsidP="002E20D3">
      <w:pPr>
        <w:tabs>
          <w:tab w:val="left" w:pos="3686"/>
        </w:tabs>
        <w:spacing w:before="240" w:after="120"/>
        <w:ind w:left="3686" w:hanging="3686"/>
        <w:jc w:val="left"/>
        <w:rPr>
          <w:rFonts w:eastAsia="Times New Roman" w:cs="Arial"/>
          <w:szCs w:val="24"/>
          <w:lang w:val="en-ZA" w:eastAsia="en-ZA"/>
        </w:rPr>
      </w:pPr>
      <w:r w:rsidRPr="005137F8">
        <w:rPr>
          <w:rFonts w:eastAsia="Times New Roman" w:cs="Arial"/>
          <w:szCs w:val="24"/>
          <w:lang w:val="en-ZA" w:eastAsia="en-ZA"/>
        </w:rPr>
        <w:t>For the applicant:</w:t>
      </w:r>
      <w:r w:rsidR="002E20D3">
        <w:rPr>
          <w:rFonts w:eastAsia="Times New Roman" w:cs="Arial"/>
          <w:szCs w:val="24"/>
          <w:lang w:val="en-ZA" w:eastAsia="en-ZA"/>
        </w:rPr>
        <w:t xml:space="preserve"> Adv P Ternet </w:t>
      </w:r>
      <w:r w:rsidRPr="005137F8">
        <w:rPr>
          <w:rFonts w:eastAsia="Times New Roman" w:cs="Arial"/>
          <w:szCs w:val="24"/>
          <w:lang w:val="en-ZA" w:eastAsia="en-ZA"/>
        </w:rPr>
        <w:tab/>
      </w:r>
      <w:r w:rsidRPr="005137F8">
        <w:rPr>
          <w:rFonts w:eastAsia="Times New Roman" w:cs="Arial"/>
          <w:bCs/>
          <w:szCs w:val="24"/>
          <w:lang w:val="en-US" w:eastAsia="en-ZA"/>
        </w:rPr>
        <w:t xml:space="preserve"> </w:t>
      </w:r>
    </w:p>
    <w:p w14:paraId="55B25D03" w14:textId="7EE28260" w:rsidR="005137F8" w:rsidRPr="005137F8" w:rsidRDefault="002E20D3" w:rsidP="005137F8">
      <w:pPr>
        <w:tabs>
          <w:tab w:val="left" w:pos="3686"/>
        </w:tabs>
        <w:spacing w:before="240" w:after="120"/>
        <w:ind w:left="3686" w:hanging="3686"/>
        <w:jc w:val="left"/>
        <w:rPr>
          <w:rFonts w:eastAsia="Times New Roman" w:cs="Arial"/>
          <w:szCs w:val="24"/>
          <w:lang w:val="en-ZA" w:eastAsia="en-ZA"/>
        </w:rPr>
      </w:pPr>
      <w:r>
        <w:rPr>
          <w:rFonts w:eastAsia="Times New Roman" w:cs="Arial"/>
          <w:szCs w:val="24"/>
          <w:lang w:val="en-ZA" w:eastAsia="en-ZA"/>
        </w:rPr>
        <w:t>Instructed by: Kim Meikle Attorneys</w:t>
      </w:r>
      <w:r w:rsidR="005137F8" w:rsidRPr="005137F8">
        <w:rPr>
          <w:rFonts w:eastAsia="Times New Roman" w:cs="Arial"/>
          <w:szCs w:val="24"/>
          <w:lang w:val="en-ZA" w:eastAsia="en-ZA"/>
        </w:rPr>
        <w:t xml:space="preserve"> </w:t>
      </w:r>
    </w:p>
    <w:p w14:paraId="36A72D62" w14:textId="4BFB49AF" w:rsidR="005137F8" w:rsidRPr="005137F8" w:rsidRDefault="005137F8" w:rsidP="005137F8">
      <w:pPr>
        <w:tabs>
          <w:tab w:val="left" w:pos="3686"/>
        </w:tabs>
        <w:spacing w:before="240" w:after="120"/>
        <w:ind w:left="3686" w:hanging="3686"/>
        <w:jc w:val="left"/>
        <w:rPr>
          <w:rFonts w:eastAsia="Times New Roman" w:cs="Arial"/>
          <w:szCs w:val="24"/>
          <w:lang w:val="en-ZA" w:eastAsia="en-ZA"/>
        </w:rPr>
      </w:pPr>
      <w:r w:rsidRPr="005137F8">
        <w:rPr>
          <w:rFonts w:eastAsia="Times New Roman" w:cs="Arial"/>
          <w:szCs w:val="24"/>
          <w:lang w:val="en-ZA" w:eastAsia="en-ZA"/>
        </w:rPr>
        <w:t>For the first respondent:</w:t>
      </w:r>
      <w:r w:rsidR="002E20D3">
        <w:rPr>
          <w:rFonts w:eastAsia="Times New Roman" w:cs="Arial"/>
          <w:szCs w:val="24"/>
          <w:lang w:val="en-ZA" w:eastAsia="en-ZA"/>
        </w:rPr>
        <w:t xml:space="preserve"> Mr Vardakos</w:t>
      </w:r>
      <w:r w:rsidRPr="005137F8">
        <w:rPr>
          <w:rFonts w:eastAsia="Times New Roman" w:cs="Arial"/>
          <w:szCs w:val="24"/>
          <w:lang w:val="en-ZA" w:eastAsia="en-ZA"/>
        </w:rPr>
        <w:tab/>
        <w:t xml:space="preserve"> </w:t>
      </w:r>
    </w:p>
    <w:p w14:paraId="4684D4A7" w14:textId="7598FD76" w:rsidR="000C7BF0" w:rsidRPr="00CA3AF9" w:rsidRDefault="005137F8" w:rsidP="00CA3AF9">
      <w:pPr>
        <w:pStyle w:val="Normal1"/>
        <w:rPr>
          <w:b/>
        </w:rPr>
        <w:sectPr w:rsidR="000C7BF0" w:rsidRPr="00CA3AF9" w:rsidSect="00EB01DA">
          <w:footerReference w:type="default" r:id="rId9"/>
          <w:type w:val="continuous"/>
          <w:pgSz w:w="11906" w:h="16838"/>
          <w:pgMar w:top="1440" w:right="1440" w:bottom="1440" w:left="1440" w:header="708" w:footer="708" w:gutter="0"/>
          <w:cols w:space="708"/>
          <w:docGrid w:linePitch="360"/>
        </w:sectPr>
      </w:pPr>
      <w:r w:rsidRPr="005137F8">
        <w:rPr>
          <w:lang w:val="en-ZA" w:eastAsia="en-ZA"/>
        </w:rPr>
        <w:t>Instructed by:</w:t>
      </w:r>
      <w:r w:rsidR="002E20D3">
        <w:rPr>
          <w:lang w:val="en-ZA" w:eastAsia="en-ZA"/>
        </w:rPr>
        <w:t xml:space="preserve"> Vardakos Attorneys</w:t>
      </w:r>
    </w:p>
    <w:p w14:paraId="70DEF284" w14:textId="77777777" w:rsidR="002B448C" w:rsidRPr="003673B7" w:rsidRDefault="002B448C" w:rsidP="00CC55EB">
      <w:pPr>
        <w:spacing w:after="0" w:line="240" w:lineRule="auto"/>
        <w:ind w:left="0"/>
        <w:rPr>
          <w:rFonts w:cs="Arial"/>
          <w:b/>
          <w:szCs w:val="24"/>
        </w:rPr>
      </w:pPr>
    </w:p>
    <w:sectPr w:rsidR="002B448C" w:rsidRPr="003673B7" w:rsidSect="00E469E1">
      <w:footerReference w:type="default" r:id="rId10"/>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6DB00" w14:textId="77777777" w:rsidR="008D2FEF" w:rsidRDefault="008D2FEF" w:rsidP="00E469E1">
      <w:pPr>
        <w:spacing w:after="0" w:line="240" w:lineRule="auto"/>
      </w:pPr>
      <w:r>
        <w:separator/>
      </w:r>
    </w:p>
  </w:endnote>
  <w:endnote w:type="continuationSeparator" w:id="0">
    <w:p w14:paraId="3C1D26BB" w14:textId="77777777" w:rsidR="008D2FEF" w:rsidRDefault="008D2FEF"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17268"/>
      <w:docPartObj>
        <w:docPartGallery w:val="Page Numbers (Bottom of Page)"/>
        <w:docPartUnique/>
      </w:docPartObj>
    </w:sdtPr>
    <w:sdtEndPr>
      <w:rPr>
        <w:noProof/>
      </w:rPr>
    </w:sdtEndPr>
    <w:sdtContent>
      <w:p w14:paraId="607A59BE" w14:textId="6A40CE5B" w:rsidR="00E469E1" w:rsidRDefault="00E469E1" w:rsidP="00E469E1">
        <w:pPr>
          <w:pStyle w:val="Footer"/>
          <w:jc w:val="right"/>
        </w:pPr>
        <w:r>
          <w:fldChar w:fldCharType="begin"/>
        </w:r>
        <w:r>
          <w:instrText xml:space="preserve"> PAGE   \* MERGEFORMAT </w:instrText>
        </w:r>
        <w:r>
          <w:fldChar w:fldCharType="separate"/>
        </w:r>
        <w:r w:rsidR="00D14EBA">
          <w:rPr>
            <w:noProof/>
          </w:rPr>
          <w:t>2</w:t>
        </w:r>
        <w:r>
          <w:rPr>
            <w:noProof/>
          </w:rPr>
          <w:fldChar w:fldCharType="end"/>
        </w:r>
      </w:p>
    </w:sdtContent>
  </w:sdt>
  <w:p w14:paraId="50D1BD24" w14:textId="77777777" w:rsidR="00E469E1" w:rsidRDefault="00E46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785FFB57" w14:textId="71FF3EF6" w:rsidR="00E469E1" w:rsidRDefault="00E469E1" w:rsidP="00E469E1">
        <w:pPr>
          <w:pStyle w:val="Footer"/>
          <w:jc w:val="right"/>
        </w:pPr>
        <w:r>
          <w:fldChar w:fldCharType="begin"/>
        </w:r>
        <w:r>
          <w:instrText xml:space="preserve"> PAGE   \* MERGEFORMAT </w:instrText>
        </w:r>
        <w:r>
          <w:fldChar w:fldCharType="separate"/>
        </w:r>
        <w:r w:rsidR="00C15F72">
          <w:rPr>
            <w:noProof/>
          </w:rPr>
          <w:t>11</w:t>
        </w:r>
        <w:r>
          <w:rPr>
            <w:noProof/>
          </w:rPr>
          <w:fldChar w:fldCharType="end"/>
        </w:r>
      </w:p>
    </w:sdtContent>
  </w:sdt>
  <w:p w14:paraId="153A2481" w14:textId="77777777" w:rsidR="00E469E1" w:rsidRDefault="00E4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DDE3" w14:textId="77777777" w:rsidR="008D2FEF" w:rsidRDefault="008D2FEF" w:rsidP="00E469E1">
      <w:pPr>
        <w:spacing w:after="0" w:line="240" w:lineRule="auto"/>
      </w:pPr>
      <w:r>
        <w:separator/>
      </w:r>
    </w:p>
  </w:footnote>
  <w:footnote w:type="continuationSeparator" w:id="0">
    <w:p w14:paraId="1A238EE5" w14:textId="77777777" w:rsidR="008D2FEF" w:rsidRDefault="008D2FEF" w:rsidP="00E469E1">
      <w:pPr>
        <w:spacing w:after="0" w:line="240" w:lineRule="auto"/>
      </w:pPr>
      <w:r>
        <w:continuationSeparator/>
      </w:r>
    </w:p>
  </w:footnote>
  <w:footnote w:id="1">
    <w:p w14:paraId="458628D8" w14:textId="77777777" w:rsidR="002C231F" w:rsidRPr="00CA3AF9" w:rsidRDefault="002C231F" w:rsidP="002C231F">
      <w:pPr>
        <w:pStyle w:val="FootnoteText"/>
        <w:ind w:left="142" w:hanging="142"/>
        <w:jc w:val="both"/>
        <w:rPr>
          <w:sz w:val="18"/>
        </w:rPr>
      </w:pPr>
      <w:r w:rsidRPr="00CA3AF9">
        <w:rPr>
          <w:rStyle w:val="FootnoteReference"/>
          <w:rFonts w:ascii="Arial" w:hAnsi="Arial" w:cs="Arial"/>
          <w:sz w:val="18"/>
        </w:rPr>
        <w:footnoteRef/>
      </w:r>
      <w:r w:rsidRPr="00CA3AF9">
        <w:rPr>
          <w:rFonts w:ascii="Arial" w:hAnsi="Arial" w:cs="Arial"/>
          <w:sz w:val="18"/>
        </w:rPr>
        <w:t xml:space="preserve"> See Notice of Motion, second urgent application pp 010-1 and 010-2.</w:t>
      </w:r>
    </w:p>
  </w:footnote>
  <w:footnote w:id="2">
    <w:p w14:paraId="46D9BB70" w14:textId="77777777" w:rsidR="002C0B58" w:rsidRPr="00CA3AF9" w:rsidRDefault="002C0B58" w:rsidP="002C0B58">
      <w:pPr>
        <w:pStyle w:val="FootnoteText"/>
        <w:ind w:left="142" w:hanging="142"/>
        <w:jc w:val="both"/>
        <w:rPr>
          <w:sz w:val="18"/>
        </w:rPr>
      </w:pPr>
      <w:r w:rsidRPr="00CA3AF9">
        <w:rPr>
          <w:rStyle w:val="FootnoteReference"/>
          <w:rFonts w:ascii="Arial" w:hAnsi="Arial" w:cs="Arial"/>
          <w:sz w:val="18"/>
        </w:rPr>
        <w:footnoteRef/>
      </w:r>
      <w:r w:rsidRPr="00CA3AF9">
        <w:rPr>
          <w:rFonts w:ascii="Arial" w:hAnsi="Arial" w:cs="Arial"/>
          <w:sz w:val="18"/>
        </w:rPr>
        <w:t xml:space="preserve"> See: </w:t>
      </w:r>
      <w:r w:rsidRPr="00CA3AF9">
        <w:rPr>
          <w:rFonts w:ascii="Arial" w:hAnsi="Arial" w:cs="Arial"/>
          <w:sz w:val="18"/>
          <w:lang w:val="en-ZA"/>
        </w:rPr>
        <w:t>annexure "SEQ2"</w:t>
      </w:r>
      <w:r w:rsidR="00BC3E0D" w:rsidRPr="00CA3AF9">
        <w:rPr>
          <w:rFonts w:ascii="Arial" w:hAnsi="Arial" w:cs="Arial"/>
          <w:sz w:val="18"/>
          <w:lang w:val="en-ZA"/>
        </w:rPr>
        <w:t>.</w:t>
      </w:r>
    </w:p>
  </w:footnote>
  <w:footnote w:id="3">
    <w:p w14:paraId="29F890C7" w14:textId="77777777" w:rsidR="002C0B58" w:rsidRPr="00CA3AF9" w:rsidRDefault="002C0B58" w:rsidP="002C0B58">
      <w:pPr>
        <w:pStyle w:val="FootnoteText"/>
        <w:ind w:left="142" w:hanging="142"/>
        <w:jc w:val="both"/>
        <w:rPr>
          <w:sz w:val="18"/>
        </w:rPr>
      </w:pPr>
      <w:r w:rsidRPr="00CA3AF9">
        <w:rPr>
          <w:rStyle w:val="FootnoteReference"/>
          <w:rFonts w:ascii="Arial" w:hAnsi="Arial" w:cs="Arial"/>
          <w:sz w:val="18"/>
        </w:rPr>
        <w:footnoteRef/>
      </w:r>
      <w:r w:rsidRPr="00CA3AF9">
        <w:rPr>
          <w:rFonts w:ascii="Arial" w:hAnsi="Arial" w:cs="Arial"/>
          <w:sz w:val="18"/>
        </w:rPr>
        <w:t xml:space="preserve"> See annexure "SEQ3".</w:t>
      </w:r>
    </w:p>
  </w:footnote>
  <w:footnote w:id="4">
    <w:p w14:paraId="3FD6FB02" w14:textId="77777777" w:rsidR="002C0B58" w:rsidRDefault="002C0B58" w:rsidP="002C0B58">
      <w:pPr>
        <w:pStyle w:val="FootnoteText"/>
        <w:ind w:left="142" w:hanging="142"/>
        <w:jc w:val="both"/>
      </w:pPr>
      <w:r w:rsidRPr="00CA3AF9">
        <w:rPr>
          <w:rStyle w:val="FootnoteReference"/>
          <w:rFonts w:ascii="Arial" w:hAnsi="Arial" w:cs="Arial"/>
          <w:sz w:val="18"/>
        </w:rPr>
        <w:footnoteRef/>
      </w:r>
      <w:r w:rsidRPr="00CA3AF9">
        <w:rPr>
          <w:rFonts w:ascii="Arial" w:hAnsi="Arial" w:cs="Arial"/>
          <w:sz w:val="18"/>
        </w:rPr>
        <w:t xml:space="preserve"> Se: </w:t>
      </w:r>
      <w:r w:rsidRPr="00CA3AF9">
        <w:rPr>
          <w:rFonts w:ascii="Arial" w:hAnsi="Arial" w:cs="Arial"/>
          <w:sz w:val="18"/>
          <w:lang w:val="en-ZA"/>
        </w:rPr>
        <w:t>annexture "SEQ1".</w:t>
      </w:r>
    </w:p>
  </w:footnote>
  <w:footnote w:id="5">
    <w:p w14:paraId="356857F7" w14:textId="77777777" w:rsidR="00071299" w:rsidRPr="00CA3AF9" w:rsidRDefault="00071299" w:rsidP="00071299">
      <w:pPr>
        <w:pStyle w:val="FootnoteText"/>
        <w:ind w:left="142" w:hanging="142"/>
        <w:jc w:val="both"/>
        <w:rPr>
          <w:sz w:val="18"/>
        </w:rPr>
      </w:pPr>
      <w:r w:rsidRPr="00CA3AF9">
        <w:rPr>
          <w:rStyle w:val="FootnoteReference"/>
          <w:rFonts w:ascii="Arial" w:hAnsi="Arial" w:cs="Arial"/>
          <w:sz w:val="18"/>
        </w:rPr>
        <w:footnoteRef/>
      </w:r>
      <w:r w:rsidRPr="00CA3AF9">
        <w:rPr>
          <w:rFonts w:ascii="Arial" w:hAnsi="Arial" w:cs="Arial"/>
          <w:sz w:val="18"/>
        </w:rPr>
        <w:t xml:space="preserve"> </w:t>
      </w:r>
      <w:r w:rsidRPr="00CA3AF9">
        <w:rPr>
          <w:rFonts w:ascii="Arial" w:hAnsi="Arial" w:cs="Arial"/>
          <w:i/>
          <w:iCs/>
          <w:sz w:val="18"/>
        </w:rPr>
        <w:t>Fakie NO v CCII Systems (Pty) Ltd</w:t>
      </w:r>
      <w:r w:rsidRPr="00CA3AF9">
        <w:rPr>
          <w:rFonts w:ascii="Arial" w:hAnsi="Arial" w:cs="Arial"/>
          <w:sz w:val="18"/>
        </w:rPr>
        <w:t xml:space="preserve"> 2006 (4) SA 326 (SCA) at </w:t>
      </w:r>
      <w:r w:rsidR="005661FE">
        <w:rPr>
          <w:rFonts w:ascii="Arial" w:hAnsi="Arial" w:cs="Arial"/>
          <w:sz w:val="18"/>
        </w:rPr>
        <w:t>22</w:t>
      </w:r>
      <w:r w:rsidRPr="00CA3AF9">
        <w:rPr>
          <w:rFonts w:ascii="Arial" w:hAnsi="Arial" w:cs="Arial"/>
          <w:sz w:val="18"/>
        </w:rPr>
        <w:t xml:space="preserve">; </w:t>
      </w:r>
      <w:r w:rsidRPr="00CA3AF9">
        <w:rPr>
          <w:rFonts w:ascii="Arial" w:hAnsi="Arial" w:cs="Arial"/>
          <w:i/>
          <w:iCs/>
          <w:sz w:val="18"/>
        </w:rPr>
        <w:t>Pheko</w:t>
      </w:r>
      <w:r w:rsidR="001C64D6">
        <w:rPr>
          <w:rFonts w:ascii="Arial" w:hAnsi="Arial" w:cs="Arial"/>
          <w:i/>
          <w:iCs/>
          <w:sz w:val="18"/>
        </w:rPr>
        <w:t xml:space="preserve"> and Others</w:t>
      </w:r>
      <w:r w:rsidRPr="00CA3AF9">
        <w:rPr>
          <w:rFonts w:ascii="Arial" w:hAnsi="Arial" w:cs="Arial"/>
          <w:i/>
          <w:iCs/>
          <w:sz w:val="18"/>
        </w:rPr>
        <w:t xml:space="preserve"> v Ekurhuleni</w:t>
      </w:r>
      <w:r w:rsidR="001C64D6">
        <w:rPr>
          <w:rFonts w:ascii="Arial" w:hAnsi="Arial" w:cs="Arial"/>
          <w:sz w:val="18"/>
        </w:rPr>
        <w:t xml:space="preserve"> </w:t>
      </w:r>
      <w:r w:rsidR="001C64D6" w:rsidRPr="00CA3AF9">
        <w:rPr>
          <w:rFonts w:ascii="Arial" w:hAnsi="Arial" w:cs="Arial"/>
          <w:i/>
          <w:sz w:val="18"/>
        </w:rPr>
        <w:t>City</w:t>
      </w:r>
      <w:r w:rsidRPr="00CA3AF9">
        <w:rPr>
          <w:rFonts w:ascii="Arial" w:hAnsi="Arial" w:cs="Arial"/>
          <w:i/>
          <w:sz w:val="18"/>
        </w:rPr>
        <w:t xml:space="preserve"> </w:t>
      </w:r>
      <w:r w:rsidR="001C64D6" w:rsidRPr="001C64D6">
        <w:rPr>
          <w:rFonts w:ascii="Arial" w:hAnsi="Arial" w:cs="Arial"/>
          <w:sz w:val="18"/>
        </w:rPr>
        <w:t>2015 (5) SA 600 (CC)</w:t>
      </w:r>
      <w:r w:rsidRPr="00CA3AF9">
        <w:rPr>
          <w:rFonts w:ascii="Arial" w:hAnsi="Arial" w:cs="Arial"/>
          <w:sz w:val="18"/>
        </w:rPr>
        <w:t>.</w:t>
      </w:r>
      <w:r w:rsidRPr="00CA3AF9">
        <w:rPr>
          <w:rFonts w:ascii="Arial" w:hAnsi="Arial" w:cs="Arial"/>
          <w:i/>
          <w:iCs/>
          <w:sz w:val="18"/>
          <w:lang w:val="en-ZA"/>
        </w:rPr>
        <w:t xml:space="preserve"> </w:t>
      </w:r>
    </w:p>
  </w:footnote>
  <w:footnote w:id="6">
    <w:p w14:paraId="7F036935" w14:textId="77777777" w:rsidR="00071299" w:rsidRDefault="00071299" w:rsidP="00071299">
      <w:pPr>
        <w:pStyle w:val="FootnoteText"/>
        <w:ind w:left="142" w:hanging="142"/>
        <w:jc w:val="both"/>
      </w:pPr>
      <w:r w:rsidRPr="00CA3AF9">
        <w:rPr>
          <w:rStyle w:val="FootnoteReference"/>
          <w:rFonts w:ascii="Arial" w:hAnsi="Arial" w:cs="Arial"/>
          <w:sz w:val="18"/>
        </w:rPr>
        <w:footnoteRef/>
      </w:r>
      <w:r w:rsidRPr="00CA3AF9">
        <w:rPr>
          <w:rFonts w:ascii="Arial" w:hAnsi="Arial" w:cs="Arial"/>
          <w:sz w:val="18"/>
        </w:rPr>
        <w:t xml:space="preserve"> </w:t>
      </w:r>
      <w:r w:rsidRPr="00CA3AF9">
        <w:rPr>
          <w:rFonts w:ascii="Arial" w:hAnsi="Arial" w:cs="Arial"/>
          <w:i/>
          <w:iCs/>
          <w:sz w:val="18"/>
          <w:lang w:val="en-ZA"/>
        </w:rPr>
        <w:t>Matjhabeng Local Municipality v Eskom Holdings Limited and Others</w:t>
      </w:r>
      <w:r w:rsidR="007F2E64">
        <w:rPr>
          <w:rFonts w:ascii="Arial" w:hAnsi="Arial" w:cs="Arial"/>
          <w:i/>
          <w:iCs/>
          <w:sz w:val="18"/>
          <w:lang w:val="en-ZA"/>
        </w:rPr>
        <w:t xml:space="preserve"> </w:t>
      </w:r>
      <w:r w:rsidR="007F2E64" w:rsidRPr="00CA3AF9">
        <w:rPr>
          <w:rFonts w:ascii="Arial" w:hAnsi="Arial" w:cs="Arial"/>
          <w:iCs/>
          <w:sz w:val="18"/>
          <w:lang w:val="en-ZA"/>
        </w:rPr>
        <w:t>2018 (1) SA 1 (CC)</w:t>
      </w:r>
      <w:r w:rsidRPr="00CA3AF9">
        <w:rPr>
          <w:rFonts w:ascii="Arial" w:hAnsi="Arial" w:cs="Arial"/>
          <w:sz w:val="18"/>
        </w:rPr>
        <w:t>.</w:t>
      </w:r>
    </w:p>
  </w:footnote>
  <w:footnote w:id="7">
    <w:p w14:paraId="40E80539" w14:textId="77777777" w:rsidR="00071299" w:rsidRPr="00CA3AF9" w:rsidRDefault="00071299" w:rsidP="00071299">
      <w:pPr>
        <w:pStyle w:val="FootnoteText"/>
        <w:ind w:left="142" w:hanging="142"/>
        <w:jc w:val="both"/>
        <w:rPr>
          <w:sz w:val="18"/>
        </w:rPr>
      </w:pPr>
      <w:r w:rsidRPr="00CA3AF9">
        <w:rPr>
          <w:rStyle w:val="FootnoteReference"/>
          <w:rFonts w:ascii="Arial" w:hAnsi="Arial" w:cs="Arial"/>
          <w:sz w:val="18"/>
        </w:rPr>
        <w:footnoteRef/>
      </w:r>
      <w:r w:rsidRPr="00CA3AF9">
        <w:rPr>
          <w:rFonts w:ascii="Arial" w:hAnsi="Arial" w:cs="Arial"/>
          <w:sz w:val="18"/>
        </w:rPr>
        <w:t xml:space="preserve"> </w:t>
      </w:r>
      <w:r w:rsidRPr="00CA3AF9">
        <w:rPr>
          <w:rFonts w:ascii="Arial" w:hAnsi="Arial" w:cs="Arial"/>
          <w:i/>
          <w:iCs/>
          <w:sz w:val="18"/>
        </w:rPr>
        <w:t>Secretary</w:t>
      </w:r>
      <w:r w:rsidR="00D07679">
        <w:rPr>
          <w:rFonts w:ascii="Arial" w:hAnsi="Arial" w:cs="Arial"/>
          <w:i/>
          <w:iCs/>
          <w:sz w:val="18"/>
        </w:rPr>
        <w:t xml:space="preserve">, </w:t>
      </w:r>
      <w:r w:rsidRPr="00CA3AF9">
        <w:rPr>
          <w:rFonts w:ascii="Arial" w:hAnsi="Arial" w:cs="Arial"/>
          <w:i/>
          <w:iCs/>
          <w:sz w:val="18"/>
        </w:rPr>
        <w:t>Judicial Commission of Inquiry into Allegations of State Capture</w:t>
      </w:r>
      <w:r w:rsidR="00D07679">
        <w:rPr>
          <w:rFonts w:ascii="Arial" w:hAnsi="Arial" w:cs="Arial"/>
          <w:i/>
          <w:iCs/>
          <w:sz w:val="18"/>
        </w:rPr>
        <w:t xml:space="preserve"> </w:t>
      </w:r>
      <w:r w:rsidRPr="00CA3AF9">
        <w:rPr>
          <w:rFonts w:ascii="Arial" w:hAnsi="Arial" w:cs="Arial"/>
          <w:i/>
          <w:iCs/>
          <w:sz w:val="18"/>
        </w:rPr>
        <w:t xml:space="preserve">v Zuma and Others </w:t>
      </w:r>
      <w:r w:rsidRPr="00CA3AF9">
        <w:rPr>
          <w:rFonts w:ascii="Arial" w:hAnsi="Arial" w:cs="Arial"/>
          <w:sz w:val="18"/>
        </w:rPr>
        <w:t>2021 (5) SA 327 (CC) at 59.</w:t>
      </w:r>
    </w:p>
  </w:footnote>
  <w:footnote w:id="8">
    <w:p w14:paraId="201D35FF" w14:textId="77777777" w:rsidR="00071299" w:rsidRPr="00CA3AF9" w:rsidRDefault="00071299" w:rsidP="00071299">
      <w:pPr>
        <w:pStyle w:val="FootnoteText"/>
        <w:ind w:left="142" w:hanging="142"/>
        <w:jc w:val="both"/>
        <w:rPr>
          <w:sz w:val="18"/>
        </w:rPr>
      </w:pPr>
      <w:r w:rsidRPr="00CA3AF9">
        <w:rPr>
          <w:rStyle w:val="FootnoteReference"/>
          <w:rFonts w:ascii="Arial" w:hAnsi="Arial" w:cs="Arial"/>
          <w:sz w:val="18"/>
        </w:rPr>
        <w:footnoteRef/>
      </w:r>
      <w:r w:rsidRPr="00CA3AF9">
        <w:rPr>
          <w:rFonts w:ascii="Arial" w:hAnsi="Arial" w:cs="Arial"/>
          <w:sz w:val="18"/>
        </w:rPr>
        <w:t xml:space="preserve"> Id at para 60.</w:t>
      </w:r>
    </w:p>
  </w:footnote>
  <w:footnote w:id="9">
    <w:p w14:paraId="1BAD4CC2" w14:textId="77777777" w:rsidR="00071299" w:rsidRDefault="00071299" w:rsidP="00071299">
      <w:pPr>
        <w:pStyle w:val="FootnoteText"/>
        <w:ind w:left="142" w:hanging="142"/>
        <w:jc w:val="both"/>
      </w:pPr>
      <w:r w:rsidRPr="00CA3AF9">
        <w:rPr>
          <w:rStyle w:val="FootnoteReference"/>
          <w:rFonts w:ascii="Arial" w:hAnsi="Arial" w:cs="Arial"/>
          <w:sz w:val="18"/>
        </w:rPr>
        <w:footnoteRef/>
      </w:r>
      <w:r w:rsidRPr="00CA3AF9">
        <w:rPr>
          <w:rFonts w:ascii="Arial" w:hAnsi="Arial" w:cs="Arial"/>
          <w:sz w:val="18"/>
        </w:rPr>
        <w:t xml:space="preserve"> 2003 (2) SA 363 (CC)</w:t>
      </w:r>
      <w:r w:rsidR="00730074">
        <w:rPr>
          <w:rFonts w:ascii="Arial" w:hAnsi="Arial" w:cs="Arial"/>
          <w:sz w:val="18"/>
        </w:rPr>
        <w:t xml:space="preserve"> </w:t>
      </w:r>
      <w:r w:rsidRPr="00CA3AF9">
        <w:rPr>
          <w:rFonts w:ascii="Arial" w:hAnsi="Arial" w:cs="Arial"/>
          <w:sz w:val="18"/>
        </w:rPr>
        <w:t>at 2</w:t>
      </w:r>
      <w:r w:rsidR="00730074">
        <w:rPr>
          <w:rFonts w:ascii="Arial" w:hAnsi="Arial" w:cs="Arial"/>
          <w:sz w:val="18"/>
        </w:rPr>
        <w:t>7</w:t>
      </w:r>
      <w:r w:rsidRPr="00CA3AF9">
        <w:rPr>
          <w:rFonts w:ascii="Arial" w:hAnsi="Arial" w:cs="Arial"/>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B3C2E5C"/>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71052A03"/>
    <w:multiLevelType w:val="multilevel"/>
    <w:tmpl w:val="805E351C"/>
    <w:lvl w:ilvl="0">
      <w:start w:val="1"/>
      <w:numFmt w:val="decimal"/>
      <w:lvlText w:val="[%1]"/>
      <w:lvlJc w:val="left"/>
      <w:pPr>
        <w:ind w:left="567" w:hanging="567"/>
      </w:pPr>
      <w:rPr>
        <w:rFonts w:ascii="Arial" w:hAnsi="Arial" w:cs="Times New Roman" w:hint="default"/>
        <w:b w:val="0"/>
        <w:i w:val="0"/>
        <w:color w:val="auto"/>
        <w:sz w:val="24"/>
      </w:rPr>
    </w:lvl>
    <w:lvl w:ilvl="1">
      <w:start w:val="1"/>
      <w:numFmt w:val="decimal"/>
      <w:lvlText w:val="[%1.%2]"/>
      <w:lvlJc w:val="left"/>
      <w:pPr>
        <w:ind w:left="1418" w:hanging="851"/>
      </w:pPr>
      <w:rPr>
        <w:rFonts w:ascii="Arial" w:hAnsi="Arial" w:cs="Times New Roman" w:hint="default"/>
        <w:sz w:val="24"/>
      </w:rPr>
    </w:lvl>
    <w:lvl w:ilvl="2">
      <w:start w:val="1"/>
      <w:numFmt w:val="none"/>
      <w:lvlText w:val="%3"/>
      <w:lvlJc w:val="left"/>
      <w:pPr>
        <w:ind w:left="1418" w:hanging="851"/>
      </w:pPr>
      <w:rPr>
        <w:rFonts w:ascii="Arial" w:hAnsi="Arial" w:cs="Times New Roman" w:hint="default"/>
        <w:b w:val="0"/>
        <w:i w:val="0"/>
        <w:caps w:val="0"/>
        <w:strike w:val="0"/>
        <w:dstrike w:val="0"/>
        <w:vanish w:val="0"/>
        <w:color w:val="auto"/>
        <w:sz w:val="22"/>
        <w:u w:val="none"/>
        <w:effect w:val="none"/>
        <w:vertAlign w:val="baseline"/>
      </w:rPr>
    </w:lvl>
    <w:lvl w:ilvl="3">
      <w:start w:val="1"/>
      <w:numFmt w:val="decimal"/>
      <w:lvlText w:val="(%4)"/>
      <w:lvlJc w:val="left"/>
      <w:pPr>
        <w:ind w:left="2126"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7767" w:hanging="567"/>
      </w:pPr>
      <w:rPr>
        <w:rFonts w:cs="Times New Roman" w:hint="default"/>
      </w:rPr>
    </w:lvl>
    <w:lvl w:ilvl="6">
      <w:start w:val="1"/>
      <w:numFmt w:val="decimal"/>
      <w:lvlText w:val="%7."/>
      <w:lvlJc w:val="left"/>
      <w:pPr>
        <w:ind w:left="9207" w:hanging="567"/>
      </w:pPr>
      <w:rPr>
        <w:rFonts w:cs="Times New Roman" w:hint="default"/>
      </w:rPr>
    </w:lvl>
    <w:lvl w:ilvl="7">
      <w:start w:val="1"/>
      <w:numFmt w:val="lowerLetter"/>
      <w:lvlText w:val="%8."/>
      <w:lvlJc w:val="left"/>
      <w:pPr>
        <w:ind w:left="10647" w:hanging="567"/>
      </w:pPr>
      <w:rPr>
        <w:rFonts w:cs="Times New Roman" w:hint="default"/>
      </w:rPr>
    </w:lvl>
    <w:lvl w:ilvl="8">
      <w:start w:val="1"/>
      <w:numFmt w:val="lowerRoman"/>
      <w:lvlText w:val="%9."/>
      <w:lvlJc w:val="left"/>
      <w:pPr>
        <w:ind w:left="12087" w:hanging="567"/>
      </w:pPr>
      <w:rPr>
        <w:rFonts w:cs="Times New Roman" w:hint="default"/>
      </w:rPr>
    </w:lvl>
  </w:abstractNum>
  <w:num w:numId="1">
    <w:abstractNumId w:val="1"/>
  </w:num>
  <w:num w:numId="2">
    <w:abstractNumId w:val="2"/>
  </w:num>
  <w:num w:numId="3">
    <w:abstractNumId w:val="0"/>
  </w:num>
  <w:num w:numId="4">
    <w:abstractNumId w:val="1"/>
  </w:num>
  <w:num w:numId="5">
    <w:abstractNumId w:val="3"/>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A3"/>
    <w:rsid w:val="00034B76"/>
    <w:rsid w:val="000649E5"/>
    <w:rsid w:val="00071299"/>
    <w:rsid w:val="000B75F9"/>
    <w:rsid w:val="000C7BF0"/>
    <w:rsid w:val="00133E6B"/>
    <w:rsid w:val="00162638"/>
    <w:rsid w:val="001C3576"/>
    <w:rsid w:val="001C5042"/>
    <w:rsid w:val="001C57DF"/>
    <w:rsid w:val="001C64D6"/>
    <w:rsid w:val="001D03CA"/>
    <w:rsid w:val="001E34A3"/>
    <w:rsid w:val="002026E2"/>
    <w:rsid w:val="002252CA"/>
    <w:rsid w:val="002959EB"/>
    <w:rsid w:val="002A394E"/>
    <w:rsid w:val="002B448C"/>
    <w:rsid w:val="002C0B58"/>
    <w:rsid w:val="002C231F"/>
    <w:rsid w:val="002E20D3"/>
    <w:rsid w:val="00326126"/>
    <w:rsid w:val="003433A9"/>
    <w:rsid w:val="003673B7"/>
    <w:rsid w:val="00382146"/>
    <w:rsid w:val="003B0BEA"/>
    <w:rsid w:val="004579FC"/>
    <w:rsid w:val="005137F8"/>
    <w:rsid w:val="005661FE"/>
    <w:rsid w:val="005A5CE9"/>
    <w:rsid w:val="005C3382"/>
    <w:rsid w:val="00730074"/>
    <w:rsid w:val="00751651"/>
    <w:rsid w:val="00765CDC"/>
    <w:rsid w:val="00794DCB"/>
    <w:rsid w:val="007B7F59"/>
    <w:rsid w:val="007F2E64"/>
    <w:rsid w:val="00816B80"/>
    <w:rsid w:val="00835775"/>
    <w:rsid w:val="008A752D"/>
    <w:rsid w:val="008D2FEF"/>
    <w:rsid w:val="0091649E"/>
    <w:rsid w:val="009370E6"/>
    <w:rsid w:val="00960C24"/>
    <w:rsid w:val="009A3194"/>
    <w:rsid w:val="009C08C0"/>
    <w:rsid w:val="00A703D2"/>
    <w:rsid w:val="00A82DAD"/>
    <w:rsid w:val="00A83A79"/>
    <w:rsid w:val="00AD39F6"/>
    <w:rsid w:val="00AF4618"/>
    <w:rsid w:val="00B1601C"/>
    <w:rsid w:val="00B37721"/>
    <w:rsid w:val="00BC3E0D"/>
    <w:rsid w:val="00C02F11"/>
    <w:rsid w:val="00C12801"/>
    <w:rsid w:val="00C15F72"/>
    <w:rsid w:val="00C41970"/>
    <w:rsid w:val="00C961B5"/>
    <w:rsid w:val="00CA3AF9"/>
    <w:rsid w:val="00CC2E81"/>
    <w:rsid w:val="00CC55EB"/>
    <w:rsid w:val="00CF2A38"/>
    <w:rsid w:val="00D07679"/>
    <w:rsid w:val="00D14EBA"/>
    <w:rsid w:val="00D2419C"/>
    <w:rsid w:val="00D4223D"/>
    <w:rsid w:val="00DB0D4D"/>
    <w:rsid w:val="00DC5A32"/>
    <w:rsid w:val="00DD32B6"/>
    <w:rsid w:val="00DF5389"/>
    <w:rsid w:val="00DF6ED9"/>
    <w:rsid w:val="00E049D0"/>
    <w:rsid w:val="00E04B9C"/>
    <w:rsid w:val="00E06F3D"/>
    <w:rsid w:val="00E469E1"/>
    <w:rsid w:val="00E561D1"/>
    <w:rsid w:val="00E70394"/>
    <w:rsid w:val="00EB01DA"/>
    <w:rsid w:val="00EE072F"/>
    <w:rsid w:val="00EF1CA3"/>
    <w:rsid w:val="00F207BE"/>
    <w:rsid w:val="00F4423B"/>
    <w:rsid w:val="00FA008A"/>
    <w:rsid w:val="00FE23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0662"/>
  <w15:chartTrackingRefBased/>
  <w15:docId w15:val="{B038310B-391A-467A-BA95-15575A43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BodyText">
    <w:name w:val="Body Text"/>
    <w:basedOn w:val="Normal"/>
    <w:link w:val="BodyTextChar"/>
    <w:uiPriority w:val="1"/>
    <w:qFormat/>
    <w:rsid w:val="001E34A3"/>
    <w:pPr>
      <w:widowControl w:val="0"/>
      <w:autoSpaceDE w:val="0"/>
      <w:autoSpaceDN w:val="0"/>
      <w:adjustRightInd w:val="0"/>
      <w:spacing w:after="0" w:line="240" w:lineRule="auto"/>
      <w:ind w:left="0"/>
      <w:jc w:val="left"/>
    </w:pPr>
    <w:rPr>
      <w:rFonts w:eastAsiaTheme="minorEastAsia" w:cs="Arial"/>
      <w:szCs w:val="24"/>
      <w:lang w:val="en-ZA" w:eastAsia="en-ZA"/>
    </w:rPr>
  </w:style>
  <w:style w:type="character" w:customStyle="1" w:styleId="BodyTextChar">
    <w:name w:val="Body Text Char"/>
    <w:basedOn w:val="DefaultParagraphFont"/>
    <w:link w:val="BodyText"/>
    <w:uiPriority w:val="1"/>
    <w:rsid w:val="001E34A3"/>
    <w:rPr>
      <w:rFonts w:ascii="Arial" w:eastAsiaTheme="minorEastAsia" w:hAnsi="Arial" w:cs="Arial"/>
      <w:sz w:val="24"/>
      <w:szCs w:val="24"/>
      <w:lang w:eastAsia="en-ZA"/>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link w:val="FootnoteText"/>
    <w:uiPriority w:val="99"/>
    <w:locked/>
    <w:rsid w:val="002C231F"/>
    <w:rPr>
      <w:rFonts w:ascii="Times New Roman" w:hAnsi="Times New Roman"/>
      <w:sz w:val="20"/>
      <w:lang w:val="en-GB" w:eastAsia="x-none"/>
    </w:r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
    <w:basedOn w:val="Normal"/>
    <w:link w:val="FootnoteTextChar"/>
    <w:uiPriority w:val="99"/>
    <w:unhideWhenUsed/>
    <w:qFormat/>
    <w:rsid w:val="002C231F"/>
    <w:pPr>
      <w:spacing w:after="0" w:line="240" w:lineRule="auto"/>
      <w:ind w:left="0"/>
      <w:jc w:val="left"/>
    </w:pPr>
    <w:rPr>
      <w:rFonts w:ascii="Times New Roman" w:hAnsi="Times New Roman"/>
      <w:sz w:val="20"/>
      <w:lang w:eastAsia="x-none"/>
    </w:rPr>
  </w:style>
  <w:style w:type="character" w:customStyle="1" w:styleId="FootnoteTextChar1">
    <w:name w:val="Footnote Text Char1"/>
    <w:basedOn w:val="DefaultParagraphFont"/>
    <w:uiPriority w:val="99"/>
    <w:semiHidden/>
    <w:rsid w:val="002C231F"/>
    <w:rPr>
      <w:rFonts w:ascii="Arial" w:hAnsi="Arial"/>
      <w:sz w:val="20"/>
      <w:szCs w:val="20"/>
      <w:lang w:val="en-GB"/>
    </w:rPr>
  </w:style>
  <w:style w:type="character" w:styleId="FootnoteReference">
    <w:name w:val="footnote reference"/>
    <w:basedOn w:val="DefaultParagraphFont"/>
    <w:uiPriority w:val="99"/>
    <w:unhideWhenUsed/>
    <w:rsid w:val="002C231F"/>
    <w:rPr>
      <w:rFonts w:ascii="Times New Roman" w:hAnsi="Times New Roman"/>
      <w:vertAlign w:val="superscript"/>
    </w:rPr>
  </w:style>
  <w:style w:type="paragraph" w:styleId="ListParagraph">
    <w:name w:val="List Paragraph"/>
    <w:basedOn w:val="Normal"/>
    <w:uiPriority w:val="34"/>
    <w:qFormat/>
    <w:rsid w:val="00751651"/>
    <w:pPr>
      <w:ind w:left="720"/>
      <w:contextualSpacing/>
    </w:pPr>
  </w:style>
  <w:style w:type="character" w:styleId="CommentReference">
    <w:name w:val="annotation reference"/>
    <w:basedOn w:val="DefaultParagraphFont"/>
    <w:uiPriority w:val="99"/>
    <w:semiHidden/>
    <w:unhideWhenUsed/>
    <w:rsid w:val="00162638"/>
    <w:rPr>
      <w:sz w:val="16"/>
      <w:szCs w:val="16"/>
    </w:rPr>
  </w:style>
  <w:style w:type="paragraph" w:styleId="CommentText">
    <w:name w:val="annotation text"/>
    <w:basedOn w:val="Normal"/>
    <w:link w:val="CommentTextChar"/>
    <w:uiPriority w:val="99"/>
    <w:semiHidden/>
    <w:unhideWhenUsed/>
    <w:rsid w:val="00162638"/>
    <w:pPr>
      <w:spacing w:line="240" w:lineRule="auto"/>
    </w:pPr>
    <w:rPr>
      <w:sz w:val="20"/>
      <w:szCs w:val="20"/>
    </w:rPr>
  </w:style>
  <w:style w:type="character" w:customStyle="1" w:styleId="CommentTextChar">
    <w:name w:val="Comment Text Char"/>
    <w:basedOn w:val="DefaultParagraphFont"/>
    <w:link w:val="CommentText"/>
    <w:uiPriority w:val="99"/>
    <w:semiHidden/>
    <w:rsid w:val="00162638"/>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62638"/>
    <w:rPr>
      <w:b/>
      <w:bCs/>
    </w:rPr>
  </w:style>
  <w:style w:type="character" w:customStyle="1" w:styleId="CommentSubjectChar">
    <w:name w:val="Comment Subject Char"/>
    <w:basedOn w:val="CommentTextChar"/>
    <w:link w:val="CommentSubject"/>
    <w:uiPriority w:val="99"/>
    <w:semiHidden/>
    <w:rsid w:val="00162638"/>
    <w:rPr>
      <w:rFonts w:ascii="Arial" w:hAnsi="Arial"/>
      <w:b/>
      <w:bCs/>
      <w:sz w:val="20"/>
      <w:szCs w:val="20"/>
      <w:lang w:val="en-GB"/>
    </w:rPr>
  </w:style>
  <w:style w:type="paragraph" w:styleId="BalloonText">
    <w:name w:val="Balloon Text"/>
    <w:basedOn w:val="Normal"/>
    <w:link w:val="BalloonTextChar"/>
    <w:uiPriority w:val="99"/>
    <w:semiHidden/>
    <w:unhideWhenUsed/>
    <w:rsid w:val="00162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elani\AppData\Local\Microsoft\Windows\INetCache\Content.Outlook\Q6GK97CK\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High Court Judgment Template</Template>
  <TotalTime>1</TotalTime>
  <Pages>11</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Luvo L. Nelani</dc:creator>
  <cp:keywords/>
  <dc:description/>
  <cp:lastModifiedBy>Mokone</cp:lastModifiedBy>
  <cp:revision>3</cp:revision>
  <cp:lastPrinted>2023-10-11T09:57:00Z</cp:lastPrinted>
  <dcterms:created xsi:type="dcterms:W3CDTF">2023-10-11T13:48:00Z</dcterms:created>
  <dcterms:modified xsi:type="dcterms:W3CDTF">2023-10-11T13:49:00Z</dcterms:modified>
</cp:coreProperties>
</file>