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75537BC9" w:rsidR="006C43D7" w:rsidRPr="006C43D7" w:rsidRDefault="006C43D7" w:rsidP="006C43D7">
      <w:pPr>
        <w:spacing w:line="360" w:lineRule="auto"/>
        <w:jc w:val="right"/>
        <w:rPr>
          <w:b/>
        </w:rPr>
      </w:pPr>
      <w:r w:rsidRPr="006C43D7">
        <w:rPr>
          <w:b/>
        </w:rPr>
        <w:t xml:space="preserve">CASE NO: </w:t>
      </w:r>
      <w:r w:rsidR="00A27A51">
        <w:rPr>
          <w:b/>
        </w:rPr>
        <w:t>202</w:t>
      </w:r>
      <w:r w:rsidR="00AB55F7">
        <w:rPr>
          <w:b/>
        </w:rPr>
        <w:t>0</w:t>
      </w:r>
      <w:r w:rsidR="00A27A51">
        <w:rPr>
          <w:b/>
        </w:rPr>
        <w:t>/</w:t>
      </w:r>
      <w:r w:rsidR="00AB55F7">
        <w:rPr>
          <w:b/>
        </w:rPr>
        <w:t>33363</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398BBF2B" w:rsidR="00D645C6" w:rsidRDefault="009D58F7" w:rsidP="009D58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6047B230" w:rsidR="00D645C6" w:rsidRPr="001D3CC2" w:rsidRDefault="009D58F7" w:rsidP="009D58F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398BBF2B" w:rsidR="00D645C6" w:rsidRDefault="009D58F7" w:rsidP="009D58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6047B230" w:rsidR="00D645C6" w:rsidRPr="001D3CC2" w:rsidRDefault="009D58F7" w:rsidP="009D58F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52913A35" w:rsidR="002104BF" w:rsidRPr="0089562F" w:rsidRDefault="00F4468A" w:rsidP="00AA7A76">
            <w:pPr>
              <w:spacing w:line="480" w:lineRule="auto"/>
              <w:jc w:val="both"/>
              <w:rPr>
                <w:rFonts w:cs="Arial"/>
                <w:b/>
                <w:szCs w:val="22"/>
              </w:rPr>
            </w:pPr>
            <w:r>
              <w:rPr>
                <w:rFonts w:cs="Arial"/>
                <w:b/>
              </w:rPr>
              <w:t>MTHETHWA, SPHAMANDLA LYMON</w:t>
            </w:r>
          </w:p>
        </w:tc>
        <w:tc>
          <w:tcPr>
            <w:tcW w:w="2246" w:type="dxa"/>
          </w:tcPr>
          <w:p w14:paraId="72EECEF8" w14:textId="72FDBD97" w:rsidR="002104BF" w:rsidRDefault="00C00276" w:rsidP="00E61081">
            <w:pPr>
              <w:spacing w:line="480" w:lineRule="auto"/>
              <w:rPr>
                <w:rFonts w:cs="Arial"/>
                <w:szCs w:val="22"/>
              </w:rPr>
            </w:pPr>
            <w:r>
              <w:rPr>
                <w:rFonts w:cs="Arial"/>
                <w:szCs w:val="22"/>
              </w:rPr>
              <w:t>Plaintiff</w:t>
            </w:r>
          </w:p>
        </w:tc>
      </w:tr>
      <w:tr w:rsidR="007A1D60" w14:paraId="64E42908" w14:textId="77777777" w:rsidTr="00F4468A">
        <w:tc>
          <w:tcPr>
            <w:tcW w:w="6305" w:type="dxa"/>
          </w:tcPr>
          <w:p w14:paraId="6E1E5BEB" w14:textId="42B97C2B" w:rsidR="002104BF" w:rsidRPr="00A22A14" w:rsidRDefault="00A22A14" w:rsidP="00A22A14">
            <w:pPr>
              <w:spacing w:line="480" w:lineRule="auto"/>
              <w:jc w:val="both"/>
              <w:rPr>
                <w:szCs w:val="22"/>
              </w:rPr>
            </w:pPr>
            <w:r>
              <w:rPr>
                <w:szCs w:val="22"/>
              </w:rPr>
              <w:t>a</w:t>
            </w:r>
            <w:r w:rsidR="002104BF" w:rsidRPr="00A22A14">
              <w:rPr>
                <w:szCs w:val="22"/>
              </w:rPr>
              <w:t>nd</w:t>
            </w:r>
            <w:r>
              <w:rPr>
                <w:szCs w:val="22"/>
              </w:rPr>
              <w:t xml:space="preserve">  </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1D1FA90F" w:rsidR="002104BF" w:rsidRDefault="00F4468A" w:rsidP="00C549F4">
            <w:pPr>
              <w:spacing w:line="480" w:lineRule="auto"/>
              <w:jc w:val="both"/>
              <w:rPr>
                <w:b/>
                <w:szCs w:val="22"/>
              </w:rPr>
            </w:pPr>
            <w:r>
              <w:rPr>
                <w:rFonts w:cs="Arial"/>
                <w:b/>
                <w:lang w:val="en-US"/>
              </w:rPr>
              <w:t>PASSENGER RAIL AGENCY OF SOUTH AFRICA (PRASA)</w:t>
            </w:r>
          </w:p>
        </w:tc>
        <w:tc>
          <w:tcPr>
            <w:tcW w:w="2246" w:type="dxa"/>
          </w:tcPr>
          <w:p w14:paraId="2A989CFA" w14:textId="37DE3EED" w:rsidR="002104BF" w:rsidRDefault="007A1D60" w:rsidP="00E61081">
            <w:pPr>
              <w:spacing w:line="480" w:lineRule="auto"/>
              <w:rPr>
                <w:rFonts w:cs="Arial"/>
                <w:szCs w:val="22"/>
              </w:rPr>
            </w:pPr>
            <w:r>
              <w:rPr>
                <w:rFonts w:cs="Arial"/>
                <w:szCs w:val="22"/>
              </w:rPr>
              <w:t>Defendant</w:t>
            </w:r>
          </w:p>
        </w:tc>
      </w:tr>
    </w:tbl>
    <w:p w14:paraId="4D632D47" w14:textId="70CCEB16" w:rsidR="00F9202F" w:rsidRDefault="00F9202F" w:rsidP="006C43D7">
      <w:pPr>
        <w:pBdr>
          <w:bottom w:val="single" w:sz="4" w:space="1" w:color="auto"/>
        </w:pBdr>
        <w:spacing w:line="360" w:lineRule="auto"/>
        <w:jc w:val="both"/>
        <w:rPr>
          <w:rFonts w:cs="Arial"/>
          <w:szCs w:val="22"/>
        </w:rPr>
      </w:pPr>
    </w:p>
    <w:p w14:paraId="00639339" w14:textId="77777777" w:rsidR="00F9202F" w:rsidRDefault="00F9202F" w:rsidP="006C43D7">
      <w:pPr>
        <w:pBdr>
          <w:bottom w:val="single" w:sz="4" w:space="1" w:color="auto"/>
        </w:pBdr>
        <w:spacing w:line="360" w:lineRule="auto"/>
        <w:jc w:val="both"/>
        <w:rPr>
          <w:rFonts w:cs="Arial"/>
          <w:szCs w:val="22"/>
        </w:rPr>
      </w:pPr>
    </w:p>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0B0FA989"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72E791A2" w14:textId="145B1DA1" w:rsidR="00123566" w:rsidRPr="00123566" w:rsidRDefault="00123566" w:rsidP="00653BA4">
      <w:pPr>
        <w:keepNext/>
        <w:spacing w:after="480" w:line="480" w:lineRule="auto"/>
        <w:jc w:val="both"/>
        <w:rPr>
          <w:rFonts w:cs="Arial"/>
          <w:bCs/>
          <w:i/>
          <w:iCs/>
          <w:szCs w:val="20"/>
        </w:rPr>
      </w:pPr>
      <w:r>
        <w:rPr>
          <w:rFonts w:cs="Arial"/>
          <w:bCs/>
          <w:i/>
          <w:iCs/>
          <w:szCs w:val="20"/>
        </w:rPr>
        <w:t>Negligence – defendant permitted train to travel with open doors of both sides and to keep the doors open on both sides when the train was stationary – plaintiff pushed</w:t>
      </w:r>
      <w:r w:rsidR="00B61667">
        <w:rPr>
          <w:rFonts w:cs="Arial"/>
          <w:bCs/>
          <w:i/>
          <w:iCs/>
          <w:szCs w:val="20"/>
        </w:rPr>
        <w:t xml:space="preserve"> out of door </w:t>
      </w:r>
      <w:r w:rsidR="00A10E27">
        <w:rPr>
          <w:rFonts w:cs="Arial"/>
          <w:bCs/>
          <w:i/>
          <w:iCs/>
          <w:szCs w:val="20"/>
        </w:rPr>
        <w:t xml:space="preserve">on the far side of </w:t>
      </w:r>
      <w:r w:rsidR="00B61667">
        <w:rPr>
          <w:rFonts w:cs="Arial"/>
          <w:bCs/>
          <w:i/>
          <w:iCs/>
          <w:szCs w:val="20"/>
        </w:rPr>
        <w:t xml:space="preserve">platform – </w:t>
      </w:r>
      <w:r w:rsidR="00A10E27">
        <w:rPr>
          <w:rFonts w:cs="Arial"/>
          <w:bCs/>
          <w:i/>
          <w:iCs/>
          <w:szCs w:val="20"/>
        </w:rPr>
        <w:t>Permitting a train to operate with open doors</w:t>
      </w:r>
      <w:r w:rsidR="0082670C">
        <w:rPr>
          <w:rFonts w:cs="Arial"/>
          <w:bCs/>
          <w:i/>
          <w:iCs/>
          <w:szCs w:val="20"/>
        </w:rPr>
        <w:t xml:space="preserve"> prima facie </w:t>
      </w:r>
      <w:r w:rsidR="00A10E27">
        <w:rPr>
          <w:rFonts w:cs="Arial"/>
          <w:bCs/>
          <w:i/>
          <w:iCs/>
          <w:szCs w:val="20"/>
        </w:rPr>
        <w:t>negligent - d</w:t>
      </w:r>
      <w:r w:rsidR="00B61667">
        <w:rPr>
          <w:rFonts w:cs="Arial"/>
          <w:bCs/>
          <w:i/>
          <w:iCs/>
          <w:szCs w:val="20"/>
        </w:rPr>
        <w:t>efendant bore onus of rebuttal but chose not to lead evidence – Defendant liable in delict for plaintiff’s damages arising from his injuries</w:t>
      </w:r>
    </w:p>
    <w:p w14:paraId="441492A8" w14:textId="3373CCC2" w:rsidR="00C9310B" w:rsidRPr="003D19C3" w:rsidRDefault="00C9310B" w:rsidP="009869F2">
      <w:pPr>
        <w:spacing w:after="480" w:line="480" w:lineRule="auto"/>
        <w:jc w:val="both"/>
        <w:rPr>
          <w:rFonts w:cs="Arial"/>
          <w:bCs/>
          <w:i/>
          <w:iCs/>
          <w:szCs w:val="20"/>
        </w:rPr>
      </w:pP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29CAB327" w:rsidR="00DC6EF8" w:rsidRPr="005B696E" w:rsidRDefault="009D58F7" w:rsidP="009D58F7">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DF5291">
        <w:rPr>
          <w:rFonts w:cs="Arial"/>
          <w:bCs/>
          <w:szCs w:val="22"/>
        </w:rPr>
        <w:t>k</w:t>
      </w:r>
      <w:r w:rsidR="00DC6EF8">
        <w:rPr>
          <w:rFonts w:cs="Arial"/>
          <w:bCs/>
          <w:szCs w:val="22"/>
        </w:rPr>
        <w:t>e</w:t>
      </w:r>
      <w:r w:rsidR="00C460A0">
        <w:rPr>
          <w:rFonts w:cs="Arial"/>
          <w:bCs/>
          <w:szCs w:val="22"/>
        </w:rPr>
        <w:t xml:space="preserve"> the following order:</w:t>
      </w:r>
    </w:p>
    <w:p w14:paraId="2C90C30F" w14:textId="688DFA5D" w:rsidR="00DF5291" w:rsidRPr="009D58F7" w:rsidRDefault="009D58F7" w:rsidP="009D58F7">
      <w:pPr>
        <w:spacing w:before="120" w:after="120"/>
        <w:ind w:left="360" w:hanging="360"/>
        <w:rPr>
          <w:i/>
          <w:iCs/>
        </w:rPr>
      </w:pPr>
      <w:r>
        <w:rPr>
          <w:i/>
          <w:iCs/>
        </w:rPr>
        <w:t>1.</w:t>
      </w:r>
      <w:r>
        <w:rPr>
          <w:i/>
          <w:iCs/>
        </w:rPr>
        <w:tab/>
      </w:r>
      <w:r w:rsidR="00805CF9" w:rsidRPr="009D58F7">
        <w:rPr>
          <w:i/>
          <w:iCs/>
        </w:rPr>
        <w:t>The defendant is liable for 100% of the agreed or proven damages suffered by the plaintiff as a result of having fallen from a train at Lindela Station on 12 September 2019;</w:t>
      </w:r>
    </w:p>
    <w:p w14:paraId="0A3977C5" w14:textId="23198029" w:rsidR="00805CF9" w:rsidRPr="009D58F7" w:rsidRDefault="009D58F7" w:rsidP="009D58F7">
      <w:pPr>
        <w:spacing w:before="120" w:after="120"/>
        <w:ind w:left="360" w:hanging="360"/>
        <w:rPr>
          <w:i/>
          <w:iCs/>
        </w:rPr>
      </w:pPr>
      <w:r>
        <w:rPr>
          <w:i/>
          <w:iCs/>
        </w:rPr>
        <w:t>2.</w:t>
      </w:r>
      <w:r>
        <w:rPr>
          <w:i/>
          <w:iCs/>
        </w:rPr>
        <w:tab/>
      </w:r>
      <w:r w:rsidR="00805CF9" w:rsidRPr="009D58F7">
        <w:rPr>
          <w:i/>
          <w:iCs/>
        </w:rPr>
        <w:t xml:space="preserve">The defendant is ordered to pay the plaintiff’s </w:t>
      </w:r>
      <w:r w:rsidR="00B61667" w:rsidRPr="009D58F7">
        <w:rPr>
          <w:i/>
          <w:iCs/>
        </w:rPr>
        <w:t xml:space="preserve">agreed or taxed </w:t>
      </w:r>
      <w:r w:rsidR="00805CF9" w:rsidRPr="009D58F7">
        <w:rPr>
          <w:i/>
          <w:iCs/>
        </w:rPr>
        <w:t>costs to date;</w:t>
      </w:r>
    </w:p>
    <w:p w14:paraId="616DF575" w14:textId="1E57C786" w:rsidR="00805CF9" w:rsidRPr="009D58F7" w:rsidRDefault="009D58F7" w:rsidP="009D58F7">
      <w:pPr>
        <w:spacing w:before="120" w:after="120"/>
        <w:ind w:left="360" w:hanging="360"/>
        <w:rPr>
          <w:i/>
          <w:iCs/>
        </w:rPr>
      </w:pPr>
      <w:r>
        <w:rPr>
          <w:i/>
          <w:iCs/>
        </w:rPr>
        <w:t>3.</w:t>
      </w:r>
      <w:r>
        <w:rPr>
          <w:i/>
          <w:iCs/>
        </w:rPr>
        <w:tab/>
      </w:r>
      <w:r w:rsidR="00805CF9" w:rsidRPr="009D58F7">
        <w:rPr>
          <w:i/>
          <w:iCs/>
        </w:rPr>
        <w:t>The trial on quantum is postponed sine die.</w:t>
      </w:r>
    </w:p>
    <w:p w14:paraId="5493FAA1" w14:textId="77777777" w:rsidR="00B16F69" w:rsidRPr="00B16F69" w:rsidRDefault="00B16F69" w:rsidP="00B16F69">
      <w:pPr>
        <w:spacing w:before="120" w:after="120"/>
        <w:rPr>
          <w:i/>
          <w:iCs/>
        </w:rPr>
      </w:pPr>
    </w:p>
    <w:p w14:paraId="3D76A11D" w14:textId="6A7A1C8C" w:rsidR="00123566" w:rsidRDefault="009D58F7" w:rsidP="009D58F7">
      <w:pPr>
        <w:widowControl w:val="0"/>
        <w:tabs>
          <w:tab w:val="left" w:pos="567"/>
        </w:tabs>
        <w:spacing w:before="480" w:after="480" w:line="480" w:lineRule="auto"/>
        <w:jc w:val="both"/>
        <w:rPr>
          <w:rFonts w:cs="Arial"/>
          <w:bCs/>
          <w:szCs w:val="22"/>
          <w:u w:val="single"/>
        </w:rPr>
      </w:pPr>
      <w:r w:rsidRPr="00DC621D">
        <w:rPr>
          <w:rFonts w:cs="Arial"/>
          <w:bCs/>
          <w:szCs w:val="22"/>
        </w:rPr>
        <w:t>[2]</w:t>
      </w:r>
      <w:r w:rsidRPr="00DC621D">
        <w:rPr>
          <w:rFonts w:cs="Arial"/>
          <w:bCs/>
          <w:szCs w:val="22"/>
        </w:rPr>
        <w:tab/>
      </w:r>
      <w:r w:rsidR="00573FF9" w:rsidRPr="009D58F7">
        <w:rPr>
          <w:rFonts w:cs="Arial"/>
          <w:bCs/>
          <w:szCs w:val="22"/>
        </w:rPr>
        <w:t xml:space="preserve">The reasons for the order </w:t>
      </w:r>
      <w:r w:rsidR="00A63709" w:rsidRPr="009D58F7">
        <w:rPr>
          <w:rFonts w:cs="Arial"/>
          <w:bCs/>
          <w:szCs w:val="22"/>
        </w:rPr>
        <w:t>follow</w:t>
      </w:r>
      <w:r w:rsidR="00573FF9" w:rsidRPr="009D58F7">
        <w:rPr>
          <w:rFonts w:cs="Arial"/>
          <w:bCs/>
          <w:szCs w:val="22"/>
        </w:rPr>
        <w:t xml:space="preserve"> below.</w:t>
      </w:r>
    </w:p>
    <w:p w14:paraId="3658C913" w14:textId="58DD50EE" w:rsidR="00573FF9" w:rsidRPr="00573FF9" w:rsidRDefault="00D9086C" w:rsidP="009869F2">
      <w:pPr>
        <w:keepNext/>
        <w:widowControl w:val="0"/>
        <w:spacing w:before="480" w:after="480" w:line="480" w:lineRule="auto"/>
        <w:jc w:val="both"/>
        <w:rPr>
          <w:rFonts w:cs="Arial"/>
          <w:bCs/>
          <w:szCs w:val="22"/>
          <w:u w:val="single"/>
        </w:rPr>
      </w:pPr>
      <w:r>
        <w:rPr>
          <w:rFonts w:cs="Arial"/>
          <w:bCs/>
          <w:szCs w:val="22"/>
          <w:u w:val="single"/>
        </w:rPr>
        <w:t>Introduction</w:t>
      </w:r>
    </w:p>
    <w:p w14:paraId="59368351" w14:textId="152273D3" w:rsidR="00DF5291" w:rsidRDefault="009D58F7" w:rsidP="009D58F7">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6245EC">
        <w:rPr>
          <w:rFonts w:cs="Arial"/>
          <w:bCs/>
          <w:szCs w:val="22"/>
        </w:rPr>
        <w:t xml:space="preserve">The plaintiff claims </w:t>
      </w:r>
      <w:proofErr w:type="spellStart"/>
      <w:r w:rsidR="006245EC">
        <w:rPr>
          <w:rFonts w:cs="Arial"/>
          <w:bCs/>
          <w:szCs w:val="22"/>
        </w:rPr>
        <w:t>delictual</w:t>
      </w:r>
      <w:proofErr w:type="spellEnd"/>
      <w:r w:rsidR="006245EC">
        <w:rPr>
          <w:rFonts w:cs="Arial"/>
          <w:bCs/>
          <w:szCs w:val="22"/>
        </w:rPr>
        <w:t xml:space="preserve"> damages from the defendant arising out of an incident at Lindela Station on 12 September 2019 when he fell out of a station</w:t>
      </w:r>
      <w:r w:rsidR="001025B5">
        <w:rPr>
          <w:rFonts w:cs="Arial"/>
          <w:bCs/>
          <w:szCs w:val="22"/>
        </w:rPr>
        <w:t>ary passenger train operated by the defendant.</w:t>
      </w:r>
    </w:p>
    <w:p w14:paraId="383B922B" w14:textId="32EEFB10" w:rsidR="001025B5" w:rsidRDefault="009D58F7" w:rsidP="009D58F7">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1025B5">
        <w:rPr>
          <w:rFonts w:cs="Arial"/>
          <w:bCs/>
          <w:szCs w:val="22"/>
        </w:rPr>
        <w:t xml:space="preserve">It was </w:t>
      </w:r>
      <w:r w:rsidR="00B61667">
        <w:rPr>
          <w:rFonts w:cs="Arial"/>
          <w:bCs/>
          <w:szCs w:val="22"/>
        </w:rPr>
        <w:t>ordered</w:t>
      </w:r>
      <w:r w:rsidR="001025B5">
        <w:rPr>
          <w:rFonts w:cs="Arial"/>
          <w:bCs/>
          <w:szCs w:val="22"/>
        </w:rPr>
        <w:t xml:space="preserve"> at a case management meeting that the issues of merits and </w:t>
      </w:r>
      <w:r w:rsidR="001025B5" w:rsidRPr="00B61667">
        <w:rPr>
          <w:rFonts w:cs="Arial"/>
          <w:bCs/>
          <w:i/>
          <w:iCs/>
          <w:szCs w:val="22"/>
        </w:rPr>
        <w:t>quantum</w:t>
      </w:r>
      <w:r w:rsidR="001025B5">
        <w:rPr>
          <w:rFonts w:cs="Arial"/>
          <w:bCs/>
          <w:szCs w:val="22"/>
        </w:rPr>
        <w:t xml:space="preserve"> be separated in terms of Rule 33(4) and the matter proceeded </w:t>
      </w:r>
      <w:r w:rsidR="0082670C">
        <w:rPr>
          <w:rFonts w:cs="Arial"/>
          <w:bCs/>
          <w:szCs w:val="22"/>
        </w:rPr>
        <w:t xml:space="preserve">before me </w:t>
      </w:r>
      <w:r w:rsidR="001025B5">
        <w:rPr>
          <w:rFonts w:cs="Arial"/>
          <w:bCs/>
          <w:szCs w:val="22"/>
        </w:rPr>
        <w:t xml:space="preserve">on </w:t>
      </w:r>
      <w:r w:rsidR="001025B5">
        <w:rPr>
          <w:rFonts w:cs="Arial"/>
          <w:bCs/>
          <w:szCs w:val="22"/>
        </w:rPr>
        <w:lastRenderedPageBreak/>
        <w:t>merits only.</w:t>
      </w:r>
    </w:p>
    <w:p w14:paraId="0560F500" w14:textId="700F856D" w:rsidR="00B61667" w:rsidRPr="00B57446" w:rsidRDefault="009D58F7" w:rsidP="00B57446">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1025B5">
        <w:rPr>
          <w:rFonts w:cs="Arial"/>
          <w:bCs/>
          <w:szCs w:val="22"/>
        </w:rPr>
        <w:t xml:space="preserve">The plaintiff was the only witness who testified </w:t>
      </w:r>
      <w:r w:rsidR="0082670C">
        <w:rPr>
          <w:rFonts w:cs="Arial"/>
          <w:bCs/>
          <w:szCs w:val="22"/>
        </w:rPr>
        <w:t xml:space="preserve">to the events surrounding the </w:t>
      </w:r>
      <w:r w:rsidR="009341BC">
        <w:rPr>
          <w:rFonts w:cs="Arial"/>
          <w:bCs/>
          <w:szCs w:val="22"/>
        </w:rPr>
        <w:t>incident</w:t>
      </w:r>
      <w:r w:rsidR="001025B5">
        <w:rPr>
          <w:rFonts w:cs="Arial"/>
          <w:bCs/>
          <w:szCs w:val="22"/>
        </w:rPr>
        <w:t xml:space="preserve">. The plaintiff’s brother </w:t>
      </w:r>
      <w:r w:rsidR="00ED3B36">
        <w:rPr>
          <w:rFonts w:cs="Arial"/>
          <w:bCs/>
          <w:szCs w:val="22"/>
        </w:rPr>
        <w:t xml:space="preserve">and the defendant’s supervisor, both of whom arrived on the scene </w:t>
      </w:r>
      <w:proofErr w:type="spellStart"/>
      <w:r w:rsidR="00ED3B36">
        <w:rPr>
          <w:rFonts w:cs="Arial"/>
          <w:bCs/>
          <w:szCs w:val="22"/>
        </w:rPr>
        <w:t>some time</w:t>
      </w:r>
      <w:proofErr w:type="spellEnd"/>
      <w:r w:rsidR="00ED3B36">
        <w:rPr>
          <w:rFonts w:cs="Arial"/>
          <w:bCs/>
          <w:szCs w:val="22"/>
        </w:rPr>
        <w:t xml:space="preserve"> after the incident, also testified</w:t>
      </w:r>
      <w:r w:rsidR="00364E6A">
        <w:rPr>
          <w:rFonts w:cs="Arial"/>
          <w:bCs/>
          <w:szCs w:val="22"/>
        </w:rPr>
        <w:t>; as did the plaintiff’s attorney on the contents of a letter</w:t>
      </w:r>
      <w:r w:rsidR="00364E6A">
        <w:rPr>
          <w:rStyle w:val="FootnoteReference"/>
          <w:rFonts w:cs="Arial"/>
          <w:bCs/>
          <w:szCs w:val="22"/>
        </w:rPr>
        <w:footnoteReference w:id="1"/>
      </w:r>
      <w:r w:rsidR="00364E6A">
        <w:rPr>
          <w:rFonts w:cs="Arial"/>
          <w:bCs/>
          <w:szCs w:val="22"/>
        </w:rPr>
        <w:t xml:space="preserve"> </w:t>
      </w:r>
      <w:r w:rsidR="00ED07AD">
        <w:rPr>
          <w:rFonts w:cs="Arial"/>
          <w:bCs/>
          <w:szCs w:val="22"/>
        </w:rPr>
        <w:t xml:space="preserve">dated 9 July 2020 </w:t>
      </w:r>
      <w:r w:rsidR="00364E6A">
        <w:rPr>
          <w:rFonts w:cs="Arial"/>
          <w:bCs/>
          <w:szCs w:val="22"/>
        </w:rPr>
        <w:t xml:space="preserve">where she had written that the incident occurred when the plaintiff was ‘boarding’ the train. She testified that this was an error caused by the </w:t>
      </w:r>
      <w:r w:rsidR="0082670C">
        <w:rPr>
          <w:rFonts w:cs="Arial"/>
          <w:bCs/>
          <w:szCs w:val="22"/>
        </w:rPr>
        <w:t>questionable</w:t>
      </w:r>
      <w:r w:rsidR="00364E6A">
        <w:rPr>
          <w:rFonts w:cs="Arial"/>
          <w:bCs/>
          <w:szCs w:val="22"/>
        </w:rPr>
        <w:t xml:space="preserve"> practice of ‘cut</w:t>
      </w:r>
      <w:r w:rsidR="00ED07AD">
        <w:rPr>
          <w:rFonts w:cs="Arial"/>
          <w:bCs/>
          <w:szCs w:val="22"/>
        </w:rPr>
        <w:t>ting</w:t>
      </w:r>
      <w:r w:rsidR="00364E6A">
        <w:rPr>
          <w:rFonts w:cs="Arial"/>
          <w:bCs/>
          <w:szCs w:val="22"/>
        </w:rPr>
        <w:t xml:space="preserve"> and past</w:t>
      </w:r>
      <w:r w:rsidR="00ED07AD">
        <w:rPr>
          <w:rFonts w:cs="Arial"/>
          <w:bCs/>
          <w:szCs w:val="22"/>
        </w:rPr>
        <w:t>ing’ when the letter was written.</w:t>
      </w:r>
    </w:p>
    <w:p w14:paraId="307363EB" w14:textId="0149C03F" w:rsidR="00DF5291" w:rsidRPr="00ED3B36" w:rsidRDefault="00ED3B36" w:rsidP="00ED3B36">
      <w:pPr>
        <w:widowControl w:val="0"/>
        <w:spacing w:before="480" w:after="480" w:line="480" w:lineRule="auto"/>
        <w:jc w:val="both"/>
        <w:rPr>
          <w:rFonts w:cs="Arial"/>
          <w:bCs/>
          <w:szCs w:val="22"/>
          <w:u w:val="single"/>
        </w:rPr>
      </w:pPr>
      <w:r w:rsidRPr="00ED3B36">
        <w:rPr>
          <w:rFonts w:cs="Arial"/>
          <w:bCs/>
          <w:szCs w:val="22"/>
          <w:u w:val="single"/>
        </w:rPr>
        <w:t>The amendment</w:t>
      </w:r>
    </w:p>
    <w:p w14:paraId="6AF3621D" w14:textId="370E1C25" w:rsidR="00B61667" w:rsidRDefault="009D58F7" w:rsidP="009D58F7">
      <w:pPr>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ED3B36">
        <w:rPr>
          <w:rFonts w:cs="Arial"/>
          <w:bCs/>
          <w:szCs w:val="22"/>
        </w:rPr>
        <w:t xml:space="preserve">The plaintiff’s case as pleaded was that he was ‘pushed or dislodged’ when there was a fire in the back of the carriage. He lost his balance and fell out of the open door of the carriage onto </w:t>
      </w:r>
      <w:r w:rsidR="00D95DFF">
        <w:rPr>
          <w:rFonts w:cs="Arial"/>
          <w:bCs/>
          <w:szCs w:val="22"/>
        </w:rPr>
        <w:t xml:space="preserve">a </w:t>
      </w:r>
      <w:r w:rsidR="00ED3B36">
        <w:rPr>
          <w:rFonts w:cs="Arial"/>
          <w:bCs/>
          <w:szCs w:val="22"/>
        </w:rPr>
        <w:t>cement platform</w:t>
      </w:r>
      <w:r w:rsidR="00B61667">
        <w:rPr>
          <w:rFonts w:cs="Arial"/>
          <w:bCs/>
          <w:szCs w:val="22"/>
        </w:rPr>
        <w:t>.</w:t>
      </w:r>
      <w:r w:rsidR="00ED3B36">
        <w:rPr>
          <w:rStyle w:val="FootnoteReference"/>
          <w:rFonts w:cs="Arial"/>
          <w:bCs/>
          <w:szCs w:val="22"/>
        </w:rPr>
        <w:footnoteReference w:id="2"/>
      </w:r>
      <w:r w:rsidR="00092591">
        <w:rPr>
          <w:rFonts w:cs="Arial"/>
          <w:bCs/>
          <w:szCs w:val="22"/>
        </w:rPr>
        <w:t xml:space="preserve"> He also </w:t>
      </w:r>
      <w:r w:rsidR="00B61667">
        <w:rPr>
          <w:rFonts w:cs="Arial"/>
          <w:bCs/>
          <w:szCs w:val="22"/>
        </w:rPr>
        <w:t xml:space="preserve">alleged in the particulars of claim that he was </w:t>
      </w:r>
      <w:r w:rsidR="00092591">
        <w:rPr>
          <w:rFonts w:cs="Arial"/>
          <w:bCs/>
          <w:szCs w:val="22"/>
        </w:rPr>
        <w:t>‘boarding’ the train</w:t>
      </w:r>
      <w:r w:rsidR="00B61667">
        <w:rPr>
          <w:rFonts w:cs="Arial"/>
          <w:bCs/>
          <w:szCs w:val="22"/>
        </w:rPr>
        <w:t>.</w:t>
      </w:r>
      <w:r w:rsidR="00092591">
        <w:rPr>
          <w:rStyle w:val="FootnoteReference"/>
          <w:rFonts w:cs="Arial"/>
          <w:bCs/>
          <w:szCs w:val="22"/>
        </w:rPr>
        <w:footnoteReference w:id="3"/>
      </w:r>
      <w:r w:rsidR="00092591">
        <w:rPr>
          <w:rFonts w:cs="Arial"/>
          <w:bCs/>
          <w:szCs w:val="22"/>
        </w:rPr>
        <w:t xml:space="preserve"> </w:t>
      </w:r>
    </w:p>
    <w:p w14:paraId="0D67AFC2" w14:textId="0EC1ACC8" w:rsidR="0082670C" w:rsidRDefault="009D58F7" w:rsidP="009D58F7">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092591">
        <w:rPr>
          <w:rFonts w:cs="Arial"/>
          <w:bCs/>
          <w:szCs w:val="22"/>
        </w:rPr>
        <w:t>The amendment</w:t>
      </w:r>
      <w:r w:rsidR="00364E6A">
        <w:rPr>
          <w:rStyle w:val="FootnoteReference"/>
          <w:rFonts w:cs="Arial"/>
          <w:bCs/>
          <w:szCs w:val="22"/>
        </w:rPr>
        <w:footnoteReference w:id="4"/>
      </w:r>
      <w:r w:rsidR="00092591">
        <w:rPr>
          <w:rFonts w:cs="Arial"/>
          <w:bCs/>
          <w:szCs w:val="22"/>
        </w:rPr>
        <w:t xml:space="preserve"> involved the substitution of ‘the railway tracks’ for the reference to ‘a cement platform.’ The defendant objected to the amendment on the basis that the reference to ‘a cement platform’ meant that it was the plaintiff’s case that he fell from the train onto the station platform, but this was of course not the only interpretation of</w:t>
      </w:r>
      <w:r w:rsidR="0082670C">
        <w:rPr>
          <w:rFonts w:cs="Arial"/>
          <w:bCs/>
          <w:szCs w:val="22"/>
        </w:rPr>
        <w:t xml:space="preserve"> the phrase</w:t>
      </w:r>
      <w:r w:rsidR="00092591">
        <w:rPr>
          <w:rFonts w:cs="Arial"/>
          <w:bCs/>
          <w:szCs w:val="22"/>
        </w:rPr>
        <w:t xml:space="preserve"> ‘a cement platform’ as it could also mean a cement platform </w:t>
      </w:r>
      <w:r w:rsidR="0082670C">
        <w:rPr>
          <w:rFonts w:cs="Arial"/>
          <w:bCs/>
          <w:szCs w:val="22"/>
        </w:rPr>
        <w:t xml:space="preserve">of any description </w:t>
      </w:r>
      <w:r w:rsidR="00092591">
        <w:rPr>
          <w:rFonts w:cs="Arial"/>
          <w:bCs/>
          <w:szCs w:val="22"/>
        </w:rPr>
        <w:t xml:space="preserve">near the </w:t>
      </w:r>
      <w:r w:rsidR="00364E6A">
        <w:rPr>
          <w:rFonts w:cs="Arial"/>
          <w:bCs/>
          <w:szCs w:val="22"/>
        </w:rPr>
        <w:t xml:space="preserve">railway </w:t>
      </w:r>
      <w:r w:rsidR="00092591">
        <w:rPr>
          <w:rFonts w:cs="Arial"/>
          <w:bCs/>
          <w:szCs w:val="22"/>
        </w:rPr>
        <w:t>tracks, other than the station platform.</w:t>
      </w:r>
      <w:r w:rsidR="00B61667">
        <w:rPr>
          <w:rFonts w:cs="Arial"/>
          <w:bCs/>
          <w:szCs w:val="22"/>
        </w:rPr>
        <w:t xml:space="preserve"> </w:t>
      </w:r>
    </w:p>
    <w:p w14:paraId="169E5166" w14:textId="09BC1015" w:rsidR="00364E6A" w:rsidRDefault="009D58F7" w:rsidP="009D58F7">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B61667">
        <w:rPr>
          <w:rFonts w:cs="Arial"/>
          <w:bCs/>
          <w:szCs w:val="22"/>
        </w:rPr>
        <w:t xml:space="preserve">It was not all clear from the particulars of claim whether the plaintiff fell onto the </w:t>
      </w:r>
      <w:r w:rsidR="00B61667">
        <w:rPr>
          <w:rFonts w:cs="Arial"/>
          <w:bCs/>
          <w:szCs w:val="22"/>
        </w:rPr>
        <w:lastRenderedPageBreak/>
        <w:t>station platform, or onto some or other cement platform on the other side of the train.</w:t>
      </w:r>
    </w:p>
    <w:p w14:paraId="28B7F046" w14:textId="560144DF" w:rsidR="00364E6A" w:rsidRPr="00364E6A" w:rsidRDefault="009D58F7" w:rsidP="009D58F7">
      <w:pPr>
        <w:widowControl w:val="0"/>
        <w:tabs>
          <w:tab w:val="left" w:pos="567"/>
        </w:tabs>
        <w:spacing w:before="480" w:after="480" w:line="480" w:lineRule="auto"/>
        <w:jc w:val="both"/>
        <w:rPr>
          <w:rFonts w:cs="Arial"/>
          <w:bCs/>
          <w:szCs w:val="22"/>
        </w:rPr>
      </w:pPr>
      <w:r w:rsidRPr="00364E6A">
        <w:rPr>
          <w:rFonts w:cs="Arial"/>
          <w:bCs/>
          <w:szCs w:val="22"/>
        </w:rPr>
        <w:t>[9]</w:t>
      </w:r>
      <w:r w:rsidRPr="00364E6A">
        <w:rPr>
          <w:rFonts w:cs="Arial"/>
          <w:bCs/>
          <w:szCs w:val="22"/>
        </w:rPr>
        <w:tab/>
      </w:r>
      <w:r w:rsidR="00364E6A" w:rsidRPr="00364E6A">
        <w:rPr>
          <w:rFonts w:cs="Arial"/>
          <w:bCs/>
          <w:szCs w:val="22"/>
        </w:rPr>
        <w:t xml:space="preserve">The application to amend was of course </w:t>
      </w:r>
      <w:r w:rsidR="00C00276" w:rsidRPr="00364E6A">
        <w:rPr>
          <w:rFonts w:cs="Arial"/>
          <w:bCs/>
          <w:szCs w:val="22"/>
        </w:rPr>
        <w:t>late</w:t>
      </w:r>
      <w:r w:rsidR="00364E6A" w:rsidRPr="00364E6A">
        <w:rPr>
          <w:rFonts w:cs="Arial"/>
          <w:bCs/>
          <w:szCs w:val="22"/>
        </w:rPr>
        <w:t xml:space="preserve"> and Mr </w:t>
      </w:r>
      <w:proofErr w:type="spellStart"/>
      <w:r w:rsidR="00364E6A" w:rsidRPr="00364E6A">
        <w:rPr>
          <w:rFonts w:cs="Arial"/>
          <w:bCs/>
          <w:szCs w:val="22"/>
        </w:rPr>
        <w:t>Kromhout</w:t>
      </w:r>
      <w:proofErr w:type="spellEnd"/>
      <w:r w:rsidR="00364E6A" w:rsidRPr="00364E6A">
        <w:rPr>
          <w:rFonts w:cs="Arial"/>
          <w:bCs/>
          <w:szCs w:val="22"/>
        </w:rPr>
        <w:t xml:space="preserve"> explained that the discrepancy between the evidence and the facts only came to light during consultations a few days before trial.</w:t>
      </w:r>
      <w:r w:rsidR="00364E6A">
        <w:rPr>
          <w:rFonts w:cs="Arial"/>
          <w:bCs/>
          <w:szCs w:val="22"/>
        </w:rPr>
        <w:t xml:space="preserve"> The application was served on Sunday, the 6</w:t>
      </w:r>
      <w:r w:rsidR="00364E6A" w:rsidRPr="00364E6A">
        <w:rPr>
          <w:rFonts w:cs="Arial"/>
          <w:bCs/>
          <w:szCs w:val="22"/>
          <w:vertAlign w:val="superscript"/>
        </w:rPr>
        <w:t>th</w:t>
      </w:r>
      <w:r w:rsidR="00364E6A">
        <w:rPr>
          <w:rFonts w:cs="Arial"/>
          <w:bCs/>
          <w:szCs w:val="22"/>
        </w:rPr>
        <w:t xml:space="preserve"> of February 2023 and the defendant was </w:t>
      </w:r>
      <w:proofErr w:type="spellStart"/>
      <w:r w:rsidR="00364E6A">
        <w:rPr>
          <w:rFonts w:cs="Arial"/>
          <w:bCs/>
          <w:szCs w:val="22"/>
        </w:rPr>
        <w:t>jusfified</w:t>
      </w:r>
      <w:proofErr w:type="spellEnd"/>
      <w:r w:rsidR="00364E6A">
        <w:rPr>
          <w:rFonts w:cs="Arial"/>
          <w:bCs/>
          <w:szCs w:val="22"/>
        </w:rPr>
        <w:t xml:space="preserve"> in opposing it.</w:t>
      </w:r>
    </w:p>
    <w:p w14:paraId="6AC01F52" w14:textId="1E7E8BD4" w:rsidR="00DA7123" w:rsidRPr="00B57446" w:rsidRDefault="009D58F7" w:rsidP="00B57446">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092591">
        <w:rPr>
          <w:rFonts w:cs="Arial"/>
          <w:bCs/>
          <w:szCs w:val="22"/>
        </w:rPr>
        <w:t>After hearing argument I granted the amendment and ordered the plaintiff to pay the costs of the amendment.</w:t>
      </w:r>
      <w:r w:rsidR="00364E6A">
        <w:rPr>
          <w:rFonts w:cs="Arial"/>
          <w:bCs/>
          <w:szCs w:val="22"/>
        </w:rPr>
        <w:t xml:space="preserve"> I concluded that the question of negligence was not impacted by whether the plaintiff fell on a cement platform (which may or may not on the pleadings be </w:t>
      </w:r>
      <w:r w:rsidR="008B1C5A">
        <w:rPr>
          <w:rFonts w:cs="Arial"/>
          <w:bCs/>
          <w:szCs w:val="22"/>
        </w:rPr>
        <w:t xml:space="preserve">the </w:t>
      </w:r>
      <w:r w:rsidR="00364E6A">
        <w:rPr>
          <w:rFonts w:cs="Arial"/>
          <w:bCs/>
          <w:szCs w:val="22"/>
        </w:rPr>
        <w:t>station platform) or on</w:t>
      </w:r>
      <w:r w:rsidR="00B61667">
        <w:rPr>
          <w:rFonts w:cs="Arial"/>
          <w:bCs/>
          <w:szCs w:val="22"/>
        </w:rPr>
        <w:t xml:space="preserve"> a</w:t>
      </w:r>
      <w:r w:rsidR="00364E6A">
        <w:rPr>
          <w:rFonts w:cs="Arial"/>
          <w:bCs/>
          <w:szCs w:val="22"/>
        </w:rPr>
        <w:t xml:space="preserve"> railway track</w:t>
      </w:r>
      <w:r w:rsidR="008B1C5A">
        <w:rPr>
          <w:rFonts w:cs="Arial"/>
          <w:bCs/>
          <w:szCs w:val="22"/>
        </w:rPr>
        <w:t>.</w:t>
      </w:r>
    </w:p>
    <w:p w14:paraId="533C7C2C" w14:textId="2C76F5CA" w:rsidR="00ED07AD" w:rsidRPr="00ED07AD" w:rsidRDefault="00ED07AD" w:rsidP="00ED07AD">
      <w:pPr>
        <w:widowControl w:val="0"/>
        <w:spacing w:before="480" w:after="480" w:line="480" w:lineRule="auto"/>
        <w:jc w:val="both"/>
        <w:rPr>
          <w:rFonts w:cs="Arial"/>
          <w:bCs/>
          <w:szCs w:val="22"/>
          <w:u w:val="single"/>
        </w:rPr>
      </w:pPr>
      <w:r w:rsidRPr="00ED07AD">
        <w:rPr>
          <w:rFonts w:cs="Arial"/>
          <w:bCs/>
          <w:szCs w:val="22"/>
          <w:u w:val="single"/>
        </w:rPr>
        <w:t>The plaintiff’s evidence</w:t>
      </w:r>
      <w:r w:rsidR="00192F78">
        <w:rPr>
          <w:rStyle w:val="FootnoteReference"/>
          <w:rFonts w:cs="Arial"/>
          <w:bCs/>
          <w:szCs w:val="22"/>
          <w:u w:val="single"/>
        </w:rPr>
        <w:footnoteReference w:id="5"/>
      </w:r>
    </w:p>
    <w:p w14:paraId="6A077075" w14:textId="047BFF4C" w:rsidR="00192F78" w:rsidRDefault="009D58F7" w:rsidP="009D58F7">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092591">
        <w:rPr>
          <w:rFonts w:cs="Arial"/>
          <w:bCs/>
          <w:szCs w:val="22"/>
        </w:rPr>
        <w:t>It was common cause that</w:t>
      </w:r>
      <w:r w:rsidR="00192F78">
        <w:rPr>
          <w:rFonts w:cs="Arial"/>
          <w:bCs/>
          <w:szCs w:val="22"/>
        </w:rPr>
        <w:t xml:space="preserve"> t</w:t>
      </w:r>
      <w:r w:rsidR="00ED07AD">
        <w:rPr>
          <w:rFonts w:cs="Arial"/>
          <w:bCs/>
          <w:szCs w:val="22"/>
        </w:rPr>
        <w:t xml:space="preserve">here </w:t>
      </w:r>
      <w:r w:rsidR="00092591">
        <w:rPr>
          <w:rFonts w:cs="Arial"/>
          <w:bCs/>
          <w:szCs w:val="22"/>
        </w:rPr>
        <w:t xml:space="preserve">are two railway </w:t>
      </w:r>
      <w:r w:rsidR="00E635F8">
        <w:rPr>
          <w:rFonts w:cs="Arial"/>
          <w:bCs/>
          <w:szCs w:val="22"/>
        </w:rPr>
        <w:t>lines</w:t>
      </w:r>
      <w:r w:rsidR="00092591">
        <w:rPr>
          <w:rFonts w:cs="Arial"/>
          <w:bCs/>
          <w:szCs w:val="22"/>
        </w:rPr>
        <w:t xml:space="preserve"> at </w:t>
      </w:r>
      <w:proofErr w:type="spellStart"/>
      <w:r w:rsidR="00092591">
        <w:rPr>
          <w:rFonts w:cs="Arial"/>
          <w:bCs/>
          <w:szCs w:val="22"/>
        </w:rPr>
        <w:t>LIndela</w:t>
      </w:r>
      <w:proofErr w:type="spellEnd"/>
      <w:r w:rsidR="00092591">
        <w:rPr>
          <w:rFonts w:cs="Arial"/>
          <w:bCs/>
          <w:szCs w:val="22"/>
        </w:rPr>
        <w:t xml:space="preserve"> station</w:t>
      </w:r>
      <w:r w:rsidR="00ED07AD">
        <w:rPr>
          <w:rFonts w:cs="Arial"/>
          <w:bCs/>
          <w:szCs w:val="22"/>
        </w:rPr>
        <w:t xml:space="preserve">, the one </w:t>
      </w:r>
      <w:r w:rsidR="00192F78">
        <w:rPr>
          <w:rFonts w:cs="Arial"/>
          <w:bCs/>
          <w:szCs w:val="22"/>
        </w:rPr>
        <w:t xml:space="preserve">for the train </w:t>
      </w:r>
      <w:r w:rsidR="00ED07AD">
        <w:rPr>
          <w:rFonts w:cs="Arial"/>
          <w:bCs/>
          <w:szCs w:val="22"/>
        </w:rPr>
        <w:t>coming from Germiston station towards Pilot station and the other</w:t>
      </w:r>
      <w:r w:rsidR="00192F78">
        <w:rPr>
          <w:rFonts w:cs="Arial"/>
          <w:bCs/>
          <w:szCs w:val="22"/>
        </w:rPr>
        <w:t xml:space="preserve"> for the train</w:t>
      </w:r>
      <w:r w:rsidR="005259D8">
        <w:rPr>
          <w:rFonts w:cs="Arial"/>
          <w:bCs/>
          <w:szCs w:val="22"/>
        </w:rPr>
        <w:t xml:space="preserve"> going in the opposite direction, from</w:t>
      </w:r>
      <w:r w:rsidR="00192F78">
        <w:rPr>
          <w:rFonts w:cs="Arial"/>
          <w:bCs/>
          <w:szCs w:val="22"/>
        </w:rPr>
        <w:t xml:space="preserve"> Pilot </w:t>
      </w:r>
      <w:r w:rsidR="005259D8">
        <w:rPr>
          <w:rFonts w:cs="Arial"/>
          <w:bCs/>
          <w:szCs w:val="22"/>
        </w:rPr>
        <w:t>to</w:t>
      </w:r>
      <w:r w:rsidR="00192F78">
        <w:rPr>
          <w:rFonts w:cs="Arial"/>
          <w:bCs/>
          <w:szCs w:val="22"/>
        </w:rPr>
        <w:t xml:space="preserve"> Germiston.</w:t>
      </w:r>
      <w:r w:rsidR="00E635F8">
        <w:rPr>
          <w:rFonts w:cs="Arial"/>
          <w:bCs/>
          <w:szCs w:val="22"/>
        </w:rPr>
        <w:t xml:space="preserve"> There are two platforms serving the two railway lines, situated on the outside of the lines.</w:t>
      </w:r>
    </w:p>
    <w:p w14:paraId="3A760B92" w14:textId="53A538AC" w:rsidR="00B33B5B" w:rsidRDefault="009D58F7" w:rsidP="009D58F7">
      <w:pPr>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B33B5B">
        <w:rPr>
          <w:rFonts w:cs="Arial"/>
          <w:bCs/>
          <w:szCs w:val="22"/>
        </w:rPr>
        <w:t xml:space="preserve">It was </w:t>
      </w:r>
      <w:r w:rsidR="0082670C">
        <w:rPr>
          <w:rFonts w:cs="Arial"/>
          <w:bCs/>
          <w:szCs w:val="22"/>
        </w:rPr>
        <w:t xml:space="preserve">also </w:t>
      </w:r>
      <w:r w:rsidR="00B33B5B">
        <w:rPr>
          <w:rFonts w:cs="Arial"/>
          <w:bCs/>
          <w:szCs w:val="22"/>
        </w:rPr>
        <w:t>common cause that the plaintiff was the holder of a valid train ticket</w:t>
      </w:r>
      <w:r w:rsidR="0082670C">
        <w:rPr>
          <w:rFonts w:cs="Arial"/>
          <w:bCs/>
          <w:szCs w:val="22"/>
        </w:rPr>
        <w:t>.</w:t>
      </w:r>
      <w:r w:rsidR="00B33B5B">
        <w:rPr>
          <w:rStyle w:val="FootnoteReference"/>
          <w:rFonts w:cs="Arial"/>
          <w:bCs/>
          <w:szCs w:val="22"/>
        </w:rPr>
        <w:footnoteReference w:id="6"/>
      </w:r>
      <w:r w:rsidR="00B33B5B">
        <w:rPr>
          <w:rFonts w:cs="Arial"/>
          <w:bCs/>
          <w:szCs w:val="22"/>
        </w:rPr>
        <w:t xml:space="preserve"> </w:t>
      </w:r>
    </w:p>
    <w:p w14:paraId="53CA9BC1" w14:textId="5AFDBF6A" w:rsidR="00E635F8" w:rsidRDefault="009D58F7" w:rsidP="009D58F7">
      <w:pPr>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192F78">
        <w:rPr>
          <w:rFonts w:cs="Arial"/>
          <w:bCs/>
          <w:szCs w:val="22"/>
        </w:rPr>
        <w:t xml:space="preserve">On the day of the incident the plaintiff </w:t>
      </w:r>
      <w:r w:rsidR="00A817D5">
        <w:rPr>
          <w:rFonts w:cs="Arial"/>
          <w:bCs/>
          <w:szCs w:val="22"/>
        </w:rPr>
        <w:t>(coming from his place of employment</w:t>
      </w:r>
      <w:r w:rsidR="00CF23C5">
        <w:rPr>
          <w:rFonts w:cs="Arial"/>
          <w:bCs/>
          <w:szCs w:val="22"/>
        </w:rPr>
        <w:t xml:space="preserve"> at the end of a working day</w:t>
      </w:r>
      <w:r w:rsidR="00A817D5">
        <w:rPr>
          <w:rFonts w:cs="Arial"/>
          <w:bCs/>
          <w:szCs w:val="22"/>
        </w:rPr>
        <w:t xml:space="preserve"> in Boksburg and </w:t>
      </w:r>
      <w:r w:rsidR="00CF23C5">
        <w:rPr>
          <w:rFonts w:cs="Arial"/>
          <w:bCs/>
          <w:szCs w:val="22"/>
        </w:rPr>
        <w:t xml:space="preserve">via </w:t>
      </w:r>
      <w:r w:rsidR="00A817D5">
        <w:rPr>
          <w:rFonts w:cs="Arial"/>
          <w:bCs/>
          <w:szCs w:val="22"/>
        </w:rPr>
        <w:t xml:space="preserve">the train station at Angelo) </w:t>
      </w:r>
      <w:r w:rsidR="00192F78">
        <w:rPr>
          <w:rFonts w:cs="Arial"/>
          <w:bCs/>
          <w:szCs w:val="22"/>
        </w:rPr>
        <w:t xml:space="preserve">changed trains at Germiston and boarded the train to Pilot, his destination. He was in the second carriage behind the locomotive.  The train was </w:t>
      </w:r>
      <w:r w:rsidR="00064D86">
        <w:rPr>
          <w:rFonts w:cs="Arial"/>
          <w:bCs/>
          <w:szCs w:val="22"/>
        </w:rPr>
        <w:t>crowded</w:t>
      </w:r>
      <w:r w:rsidR="00192F78">
        <w:rPr>
          <w:rFonts w:cs="Arial"/>
          <w:bCs/>
          <w:szCs w:val="22"/>
        </w:rPr>
        <w:t xml:space="preserve"> and many passengers were standing. </w:t>
      </w:r>
    </w:p>
    <w:p w14:paraId="21D16C8C" w14:textId="1DB59ABB" w:rsidR="00092591" w:rsidRDefault="009D58F7" w:rsidP="009D58F7">
      <w:pPr>
        <w:widowControl w:val="0"/>
        <w:tabs>
          <w:tab w:val="left" w:pos="567"/>
        </w:tabs>
        <w:spacing w:before="480" w:after="480" w:line="480" w:lineRule="auto"/>
        <w:jc w:val="both"/>
        <w:rPr>
          <w:rFonts w:cs="Arial"/>
          <w:bCs/>
          <w:szCs w:val="22"/>
        </w:rPr>
      </w:pPr>
      <w:r>
        <w:rPr>
          <w:rFonts w:cs="Arial"/>
          <w:bCs/>
          <w:szCs w:val="22"/>
        </w:rPr>
        <w:lastRenderedPageBreak/>
        <w:t>[14]</w:t>
      </w:r>
      <w:r>
        <w:rPr>
          <w:rFonts w:cs="Arial"/>
          <w:bCs/>
          <w:szCs w:val="22"/>
        </w:rPr>
        <w:tab/>
      </w:r>
      <w:r w:rsidR="00192F78">
        <w:rPr>
          <w:rFonts w:cs="Arial"/>
          <w:bCs/>
          <w:szCs w:val="22"/>
        </w:rPr>
        <w:t>The doors on both sides of the carriage were open and there were passengers standing in the doorways, preventing the doors from closing when the train departed Germiston.</w:t>
      </w:r>
      <w:r w:rsidR="005259D8">
        <w:rPr>
          <w:rFonts w:cs="Arial"/>
          <w:bCs/>
          <w:szCs w:val="22"/>
        </w:rPr>
        <w:t xml:space="preserve"> The plaintiff was standing between two opposing doors and approximately on the centre line.</w:t>
      </w:r>
    </w:p>
    <w:p w14:paraId="6582D8CF" w14:textId="00216F40" w:rsidR="00E635F8" w:rsidRDefault="009D58F7" w:rsidP="009D58F7">
      <w:pPr>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192F78">
        <w:rPr>
          <w:rFonts w:cs="Arial"/>
          <w:bCs/>
          <w:szCs w:val="22"/>
        </w:rPr>
        <w:t>The train stopped at Lindela station</w:t>
      </w:r>
      <w:r w:rsidR="00A817D5">
        <w:rPr>
          <w:rFonts w:cs="Arial"/>
          <w:bCs/>
          <w:szCs w:val="22"/>
        </w:rPr>
        <w:t>, which is not far from Pilot station</w:t>
      </w:r>
      <w:r w:rsidR="00192F78">
        <w:rPr>
          <w:rFonts w:cs="Arial"/>
          <w:bCs/>
          <w:szCs w:val="22"/>
        </w:rPr>
        <w:t xml:space="preserve">. </w:t>
      </w:r>
      <w:r w:rsidR="006D5E57">
        <w:rPr>
          <w:rFonts w:cs="Arial"/>
          <w:bCs/>
          <w:szCs w:val="22"/>
        </w:rPr>
        <w:t>The platform was on the left side of the train</w:t>
      </w:r>
      <w:r w:rsidR="00064D86">
        <w:rPr>
          <w:rFonts w:cs="Arial"/>
          <w:bCs/>
          <w:szCs w:val="22"/>
        </w:rPr>
        <w:t>, the ‘</w:t>
      </w:r>
      <w:r w:rsidR="00E635F8">
        <w:rPr>
          <w:rFonts w:cs="Arial"/>
          <w:bCs/>
          <w:szCs w:val="22"/>
        </w:rPr>
        <w:t>near</w:t>
      </w:r>
      <w:r w:rsidR="00064D86">
        <w:rPr>
          <w:rFonts w:cs="Arial"/>
          <w:bCs/>
          <w:szCs w:val="22"/>
        </w:rPr>
        <w:t>-side’</w:t>
      </w:r>
      <w:r w:rsidR="006D5E57">
        <w:rPr>
          <w:rFonts w:cs="Arial"/>
          <w:bCs/>
          <w:szCs w:val="22"/>
        </w:rPr>
        <w:t xml:space="preserve"> </w:t>
      </w:r>
      <w:r w:rsidR="00E635F8">
        <w:rPr>
          <w:rFonts w:cs="Arial"/>
          <w:bCs/>
          <w:szCs w:val="22"/>
        </w:rPr>
        <w:t xml:space="preserve">or ‘platform side’ </w:t>
      </w:r>
      <w:r w:rsidR="006D5E57">
        <w:rPr>
          <w:rFonts w:cs="Arial"/>
          <w:bCs/>
          <w:szCs w:val="22"/>
        </w:rPr>
        <w:t xml:space="preserve">and the second railway line </w:t>
      </w:r>
      <w:r w:rsidR="007A6A95">
        <w:rPr>
          <w:rFonts w:cs="Arial"/>
          <w:bCs/>
          <w:szCs w:val="22"/>
        </w:rPr>
        <w:t xml:space="preserve">was </w:t>
      </w:r>
      <w:r w:rsidR="006D5E57">
        <w:rPr>
          <w:rFonts w:cs="Arial"/>
          <w:bCs/>
          <w:szCs w:val="22"/>
        </w:rPr>
        <w:t>on the right side</w:t>
      </w:r>
      <w:r w:rsidR="00064D86">
        <w:rPr>
          <w:rFonts w:cs="Arial"/>
          <w:bCs/>
          <w:szCs w:val="22"/>
        </w:rPr>
        <w:t>, the ‘</w:t>
      </w:r>
      <w:r w:rsidR="00E635F8">
        <w:rPr>
          <w:rFonts w:cs="Arial"/>
          <w:bCs/>
          <w:szCs w:val="22"/>
        </w:rPr>
        <w:t>far</w:t>
      </w:r>
      <w:r w:rsidR="00064D86">
        <w:rPr>
          <w:rFonts w:cs="Arial"/>
          <w:bCs/>
          <w:szCs w:val="22"/>
        </w:rPr>
        <w:t>-side’‘</w:t>
      </w:r>
      <w:r w:rsidR="007A6A95">
        <w:rPr>
          <w:rFonts w:cs="Arial"/>
          <w:bCs/>
          <w:szCs w:val="22"/>
        </w:rPr>
        <w:t xml:space="preserve"> of the train.</w:t>
      </w:r>
      <w:r w:rsidR="006D5E57">
        <w:rPr>
          <w:rFonts w:cs="Arial"/>
          <w:bCs/>
          <w:szCs w:val="22"/>
        </w:rPr>
        <w:t xml:space="preserve"> </w:t>
      </w:r>
      <w:r w:rsidR="00192F78">
        <w:rPr>
          <w:rFonts w:cs="Arial"/>
          <w:bCs/>
          <w:szCs w:val="22"/>
        </w:rPr>
        <w:t xml:space="preserve">The plaintiff was </w:t>
      </w:r>
      <w:r w:rsidR="00E635F8">
        <w:rPr>
          <w:rFonts w:cs="Arial"/>
          <w:bCs/>
          <w:szCs w:val="22"/>
        </w:rPr>
        <w:t xml:space="preserve">still </w:t>
      </w:r>
      <w:r w:rsidR="00192F78">
        <w:rPr>
          <w:rFonts w:cs="Arial"/>
          <w:bCs/>
          <w:szCs w:val="22"/>
        </w:rPr>
        <w:t xml:space="preserve">standing between two doors and at the centre of the carriage. </w:t>
      </w:r>
    </w:p>
    <w:p w14:paraId="725EBAC9" w14:textId="0463B4F3" w:rsidR="00192F78" w:rsidRDefault="009D58F7" w:rsidP="009D58F7">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192F78">
        <w:rPr>
          <w:rFonts w:cs="Arial"/>
          <w:bCs/>
          <w:szCs w:val="22"/>
        </w:rPr>
        <w:t>The train jerked, forwards and backwards twice but did not depart. Then there was some kind of explosion, a ‘loud bang’</w:t>
      </w:r>
      <w:r w:rsidR="006D5E57">
        <w:rPr>
          <w:rFonts w:cs="Arial"/>
          <w:bCs/>
          <w:szCs w:val="22"/>
        </w:rPr>
        <w:t xml:space="preserve"> at the back of the carriage. Passenger</w:t>
      </w:r>
      <w:r w:rsidR="005259D8">
        <w:rPr>
          <w:rFonts w:cs="Arial"/>
          <w:bCs/>
          <w:szCs w:val="22"/>
        </w:rPr>
        <w:t>s</w:t>
      </w:r>
      <w:r w:rsidR="006D5E57">
        <w:rPr>
          <w:rFonts w:cs="Arial"/>
          <w:bCs/>
          <w:szCs w:val="22"/>
        </w:rPr>
        <w:t xml:space="preserve"> panicked and jostled, and in the melee </w:t>
      </w:r>
      <w:r w:rsidR="00E635F8">
        <w:rPr>
          <w:rFonts w:cs="Arial"/>
          <w:bCs/>
          <w:szCs w:val="22"/>
        </w:rPr>
        <w:t>t</w:t>
      </w:r>
      <w:r w:rsidR="006D5E57">
        <w:rPr>
          <w:rFonts w:cs="Arial"/>
          <w:bCs/>
          <w:szCs w:val="22"/>
        </w:rPr>
        <w:t xml:space="preserve">he </w:t>
      </w:r>
      <w:r w:rsidR="00E635F8">
        <w:rPr>
          <w:rFonts w:cs="Arial"/>
          <w:bCs/>
          <w:szCs w:val="22"/>
        </w:rPr>
        <w:t xml:space="preserve">plaintiff </w:t>
      </w:r>
      <w:r w:rsidR="006D5E57">
        <w:rPr>
          <w:rFonts w:cs="Arial"/>
          <w:bCs/>
          <w:szCs w:val="22"/>
        </w:rPr>
        <w:t xml:space="preserve">was pushed out of the carriage on the </w:t>
      </w:r>
      <w:r w:rsidR="007A6A95">
        <w:rPr>
          <w:rFonts w:cs="Arial"/>
          <w:bCs/>
          <w:szCs w:val="22"/>
        </w:rPr>
        <w:t xml:space="preserve">far </w:t>
      </w:r>
      <w:r w:rsidR="006D5E57">
        <w:rPr>
          <w:rFonts w:cs="Arial"/>
          <w:bCs/>
          <w:szCs w:val="22"/>
        </w:rPr>
        <w:t>side</w:t>
      </w:r>
      <w:r w:rsidR="005259D8">
        <w:rPr>
          <w:rFonts w:cs="Arial"/>
          <w:bCs/>
          <w:szCs w:val="22"/>
        </w:rPr>
        <w:t>.</w:t>
      </w:r>
      <w:r w:rsidR="006D5E57">
        <w:rPr>
          <w:rFonts w:cs="Arial"/>
          <w:bCs/>
          <w:szCs w:val="22"/>
        </w:rPr>
        <w:t xml:space="preserve"> He fell onto the rails and was injured. There was no train on the tracks</w:t>
      </w:r>
      <w:r w:rsidR="002041FA">
        <w:rPr>
          <w:rFonts w:cs="Arial"/>
          <w:bCs/>
          <w:szCs w:val="22"/>
        </w:rPr>
        <w:t xml:space="preserve"> for the train</w:t>
      </w:r>
      <w:r w:rsidR="00D95DFF">
        <w:rPr>
          <w:rFonts w:cs="Arial"/>
          <w:bCs/>
          <w:szCs w:val="22"/>
        </w:rPr>
        <w:t xml:space="preserve"> </w:t>
      </w:r>
      <w:r w:rsidR="006D5E57">
        <w:rPr>
          <w:rFonts w:cs="Arial"/>
          <w:bCs/>
          <w:szCs w:val="22"/>
        </w:rPr>
        <w:t>bound for Germiston</w:t>
      </w:r>
      <w:r w:rsidR="00064D86">
        <w:rPr>
          <w:rFonts w:cs="Arial"/>
          <w:bCs/>
          <w:szCs w:val="22"/>
        </w:rPr>
        <w:t xml:space="preserve"> when he fell</w:t>
      </w:r>
      <w:r w:rsidR="006D5E57">
        <w:rPr>
          <w:rFonts w:cs="Arial"/>
          <w:bCs/>
          <w:szCs w:val="22"/>
        </w:rPr>
        <w:t>.</w:t>
      </w:r>
    </w:p>
    <w:p w14:paraId="68E41D5A" w14:textId="2A651F04" w:rsidR="006A3B6B" w:rsidRDefault="009D58F7" w:rsidP="009D58F7">
      <w:pPr>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6A3B6B">
        <w:rPr>
          <w:rFonts w:cs="Arial"/>
          <w:bCs/>
          <w:szCs w:val="22"/>
        </w:rPr>
        <w:t>The train bound for Pilot that the plaintiff should have been on departed</w:t>
      </w:r>
      <w:r w:rsidR="00D95DFF">
        <w:rPr>
          <w:rFonts w:cs="Arial"/>
          <w:bCs/>
          <w:szCs w:val="22"/>
        </w:rPr>
        <w:t xml:space="preserve"> without him</w:t>
      </w:r>
      <w:r w:rsidR="006A3B6B">
        <w:rPr>
          <w:rFonts w:cs="Arial"/>
          <w:bCs/>
          <w:szCs w:val="22"/>
        </w:rPr>
        <w:t xml:space="preserve">. </w:t>
      </w:r>
      <w:proofErr w:type="spellStart"/>
      <w:r w:rsidR="006D5E57">
        <w:rPr>
          <w:rFonts w:cs="Arial"/>
          <w:bCs/>
          <w:szCs w:val="22"/>
        </w:rPr>
        <w:t>Some time</w:t>
      </w:r>
      <w:proofErr w:type="spellEnd"/>
      <w:r w:rsidR="006D5E57">
        <w:rPr>
          <w:rFonts w:cs="Arial"/>
          <w:bCs/>
          <w:szCs w:val="22"/>
        </w:rPr>
        <w:t xml:space="preserve"> later he was moved by bystanders to the platform on the </w:t>
      </w:r>
      <w:r w:rsidR="00DF260F">
        <w:rPr>
          <w:rFonts w:cs="Arial"/>
          <w:bCs/>
          <w:szCs w:val="22"/>
        </w:rPr>
        <w:t>other</w:t>
      </w:r>
      <w:r w:rsidR="006D5E57">
        <w:rPr>
          <w:rFonts w:cs="Arial"/>
          <w:bCs/>
          <w:szCs w:val="22"/>
        </w:rPr>
        <w:t xml:space="preserve"> side, the side where trains bound for Germiston would stop.</w:t>
      </w:r>
      <w:r w:rsidR="006A3B6B">
        <w:rPr>
          <w:rFonts w:cs="Arial"/>
          <w:bCs/>
          <w:szCs w:val="22"/>
        </w:rPr>
        <w:t xml:space="preserve"> This is where his brother and the supervisor of the defendant who attended at the incident, encountered him later. An ambulance fetched him and took him the hospital in </w:t>
      </w:r>
      <w:proofErr w:type="spellStart"/>
      <w:r w:rsidR="006A3B6B">
        <w:rPr>
          <w:rFonts w:cs="Arial"/>
          <w:bCs/>
          <w:szCs w:val="22"/>
        </w:rPr>
        <w:t>Vosloorust</w:t>
      </w:r>
      <w:proofErr w:type="spellEnd"/>
      <w:r w:rsidR="006A3B6B">
        <w:rPr>
          <w:rFonts w:cs="Arial"/>
          <w:bCs/>
          <w:szCs w:val="22"/>
        </w:rPr>
        <w:t>.</w:t>
      </w:r>
    </w:p>
    <w:p w14:paraId="4A48DD6B" w14:textId="46A7B204" w:rsidR="006A3B6B" w:rsidRDefault="009D58F7" w:rsidP="009D58F7">
      <w:pPr>
        <w:widowControl w:val="0"/>
        <w:tabs>
          <w:tab w:val="left" w:pos="567"/>
        </w:tabs>
        <w:spacing w:before="480" w:after="480" w:line="480" w:lineRule="auto"/>
        <w:jc w:val="both"/>
        <w:rPr>
          <w:rFonts w:cs="Arial"/>
          <w:bCs/>
          <w:szCs w:val="22"/>
        </w:rPr>
      </w:pPr>
      <w:r>
        <w:rPr>
          <w:rFonts w:cs="Arial"/>
          <w:bCs/>
          <w:szCs w:val="22"/>
        </w:rPr>
        <w:t>[18]</w:t>
      </w:r>
      <w:r>
        <w:rPr>
          <w:rFonts w:cs="Arial"/>
          <w:bCs/>
          <w:szCs w:val="22"/>
        </w:rPr>
        <w:tab/>
      </w:r>
      <w:r w:rsidR="006A3B6B">
        <w:rPr>
          <w:rFonts w:cs="Arial"/>
          <w:bCs/>
          <w:szCs w:val="22"/>
        </w:rPr>
        <w:t>I do not find it necessary to deal at length with the evidence of the plaintiff’s brother and the defendant’s supervisor who arrived on the scene a considerable time after the incident took place. The supervisor conceded that during his time working on the railway stations he dealt with a great many incidents and accidents, and his memory as to what exactly was said and by whom, might not be accurate four years later</w:t>
      </w:r>
      <w:r w:rsidR="00D41830">
        <w:rPr>
          <w:rFonts w:cs="Arial"/>
          <w:bCs/>
          <w:szCs w:val="22"/>
        </w:rPr>
        <w:t xml:space="preserve"> under circumstances where he had no reason to remember this specific incident in any detail.</w:t>
      </w:r>
      <w:r w:rsidR="00DF260F">
        <w:rPr>
          <w:rFonts w:cs="Arial"/>
          <w:bCs/>
          <w:szCs w:val="22"/>
        </w:rPr>
        <w:t xml:space="preserve"> </w:t>
      </w:r>
    </w:p>
    <w:p w14:paraId="0691095F" w14:textId="77C706C6" w:rsidR="009A7117" w:rsidRPr="00B57446" w:rsidRDefault="009D58F7" w:rsidP="00B57446">
      <w:pPr>
        <w:widowControl w:val="0"/>
        <w:tabs>
          <w:tab w:val="left" w:pos="567"/>
        </w:tabs>
        <w:spacing w:before="480" w:after="480" w:line="480" w:lineRule="auto"/>
        <w:jc w:val="both"/>
        <w:rPr>
          <w:rFonts w:cs="Arial"/>
          <w:bCs/>
          <w:szCs w:val="22"/>
        </w:rPr>
      </w:pPr>
      <w:r>
        <w:rPr>
          <w:rFonts w:cs="Arial"/>
          <w:bCs/>
          <w:szCs w:val="22"/>
        </w:rPr>
        <w:lastRenderedPageBreak/>
        <w:t>[19]</w:t>
      </w:r>
      <w:r>
        <w:rPr>
          <w:rFonts w:cs="Arial"/>
          <w:bCs/>
          <w:szCs w:val="22"/>
        </w:rPr>
        <w:tab/>
      </w:r>
      <w:r w:rsidR="00E65B9D">
        <w:rPr>
          <w:rFonts w:cs="Arial"/>
          <w:bCs/>
          <w:szCs w:val="22"/>
        </w:rPr>
        <w:t>What is common cause is that the defendant’s supervisor was shown a copy of the plaintiff’s ticket and wrote down his personal particulars.</w:t>
      </w:r>
    </w:p>
    <w:p w14:paraId="5B604DBD" w14:textId="77777777" w:rsidR="008F14CE" w:rsidRPr="00041B14" w:rsidRDefault="008F14CE" w:rsidP="008F14CE">
      <w:pPr>
        <w:widowControl w:val="0"/>
        <w:spacing w:before="480" w:after="480" w:line="480" w:lineRule="auto"/>
        <w:jc w:val="both"/>
        <w:rPr>
          <w:rFonts w:cs="Arial"/>
          <w:bCs/>
          <w:szCs w:val="22"/>
          <w:u w:val="single"/>
        </w:rPr>
      </w:pPr>
      <w:r w:rsidRPr="00041B14">
        <w:rPr>
          <w:rFonts w:cs="Arial"/>
          <w:bCs/>
          <w:szCs w:val="22"/>
          <w:u w:val="single"/>
        </w:rPr>
        <w:t>Wrongfulness</w:t>
      </w:r>
    </w:p>
    <w:p w14:paraId="18932F18" w14:textId="30EA1A3A" w:rsidR="008F14CE" w:rsidRDefault="009D58F7" w:rsidP="009D58F7">
      <w:pPr>
        <w:widowControl w:val="0"/>
        <w:tabs>
          <w:tab w:val="left" w:pos="567"/>
        </w:tabs>
        <w:spacing w:before="480" w:after="480" w:line="480" w:lineRule="auto"/>
        <w:jc w:val="both"/>
        <w:rPr>
          <w:rFonts w:cs="Arial"/>
          <w:bCs/>
          <w:szCs w:val="22"/>
        </w:rPr>
      </w:pPr>
      <w:r>
        <w:rPr>
          <w:rFonts w:cs="Arial"/>
          <w:bCs/>
          <w:szCs w:val="22"/>
        </w:rPr>
        <w:t>[20]</w:t>
      </w:r>
      <w:r>
        <w:rPr>
          <w:rFonts w:cs="Arial"/>
          <w:bCs/>
          <w:szCs w:val="22"/>
        </w:rPr>
        <w:tab/>
      </w:r>
      <w:r w:rsidR="008F14CE">
        <w:rPr>
          <w:rFonts w:cs="Arial"/>
          <w:bCs/>
          <w:szCs w:val="22"/>
        </w:rPr>
        <w:t xml:space="preserve">The railway system is a primary mode of transport for many, and users are entitled to a railway system that is safe, well-managed and efficient within the constraints imposed by economic realities. The breach of public law obligations are wrongful for purposes of public law remedies and for the purposes of determining </w:t>
      </w:r>
      <w:proofErr w:type="spellStart"/>
      <w:r w:rsidR="008F14CE">
        <w:rPr>
          <w:rFonts w:cs="Arial"/>
          <w:bCs/>
          <w:szCs w:val="22"/>
        </w:rPr>
        <w:t>delictual</w:t>
      </w:r>
      <w:proofErr w:type="spellEnd"/>
      <w:r w:rsidR="008F14CE">
        <w:rPr>
          <w:rFonts w:cs="Arial"/>
          <w:bCs/>
          <w:szCs w:val="22"/>
        </w:rPr>
        <w:t xml:space="preserve"> liability.</w:t>
      </w:r>
      <w:r w:rsidR="008F14CE" w:rsidRPr="001879D4">
        <w:rPr>
          <w:rStyle w:val="FootnoteReference"/>
          <w:rFonts w:cs="Arial"/>
          <w:bCs/>
          <w:color w:val="000000" w:themeColor="text1"/>
          <w:szCs w:val="22"/>
        </w:rPr>
        <w:footnoteReference w:id="7"/>
      </w:r>
      <w:r w:rsidR="008F14CE">
        <w:rPr>
          <w:rFonts w:cs="Arial"/>
          <w:bCs/>
          <w:szCs w:val="22"/>
        </w:rPr>
        <w:t xml:space="preserve"> </w:t>
      </w:r>
    </w:p>
    <w:p w14:paraId="74BB956C" w14:textId="295BD411" w:rsidR="008F14CE" w:rsidRPr="00B57446" w:rsidRDefault="009D58F7" w:rsidP="00B57446">
      <w:pPr>
        <w:widowControl w:val="0"/>
        <w:tabs>
          <w:tab w:val="left" w:pos="567"/>
        </w:tabs>
        <w:spacing w:before="480" w:after="480" w:line="480" w:lineRule="auto"/>
        <w:jc w:val="both"/>
        <w:rPr>
          <w:rFonts w:cs="Arial"/>
          <w:bCs/>
          <w:szCs w:val="22"/>
        </w:rPr>
      </w:pPr>
      <w:r>
        <w:rPr>
          <w:rFonts w:cs="Arial"/>
          <w:bCs/>
          <w:szCs w:val="22"/>
        </w:rPr>
        <w:t>[21]</w:t>
      </w:r>
      <w:r>
        <w:rPr>
          <w:rFonts w:cs="Arial"/>
          <w:bCs/>
          <w:szCs w:val="22"/>
        </w:rPr>
        <w:tab/>
      </w:r>
      <w:r w:rsidR="008F14CE">
        <w:rPr>
          <w:rFonts w:cs="Arial"/>
          <w:bCs/>
          <w:szCs w:val="22"/>
        </w:rPr>
        <w:t>Operating a train under conditions where the doors remain open even though the train is travelling at speed and when there is no platform onto which to step out is per se dangerous and wrongful.</w:t>
      </w:r>
      <w:r w:rsidR="008F14CE">
        <w:rPr>
          <w:rStyle w:val="FootnoteReference"/>
          <w:rFonts w:cs="Arial"/>
          <w:bCs/>
          <w:szCs w:val="22"/>
        </w:rPr>
        <w:footnoteReference w:id="8"/>
      </w:r>
      <w:r w:rsidR="008F14CE">
        <w:rPr>
          <w:rFonts w:cs="Arial"/>
          <w:bCs/>
          <w:szCs w:val="22"/>
        </w:rPr>
        <w:t xml:space="preserve"> </w:t>
      </w:r>
    </w:p>
    <w:p w14:paraId="48B1A620" w14:textId="060B9CF5" w:rsidR="006A3B6B" w:rsidRPr="006A3B6B" w:rsidRDefault="006A3B6B" w:rsidP="006A3B6B">
      <w:pPr>
        <w:widowControl w:val="0"/>
        <w:spacing w:before="480" w:after="480" w:line="480" w:lineRule="auto"/>
        <w:jc w:val="both"/>
        <w:rPr>
          <w:rFonts w:cs="Arial"/>
          <w:bCs/>
          <w:szCs w:val="22"/>
          <w:u w:val="single"/>
        </w:rPr>
      </w:pPr>
      <w:r w:rsidRPr="006A3B6B">
        <w:rPr>
          <w:rFonts w:cs="Arial"/>
          <w:bCs/>
          <w:szCs w:val="22"/>
          <w:u w:val="single"/>
        </w:rPr>
        <w:t>The question of negligence</w:t>
      </w:r>
    </w:p>
    <w:p w14:paraId="7EE9F7F5" w14:textId="5BBEFC7C" w:rsidR="006627E6" w:rsidRPr="006627E6" w:rsidRDefault="009D58F7" w:rsidP="009D58F7">
      <w:pPr>
        <w:widowControl w:val="0"/>
        <w:tabs>
          <w:tab w:val="left" w:pos="567"/>
        </w:tabs>
        <w:spacing w:before="480" w:after="480" w:line="480" w:lineRule="auto"/>
        <w:jc w:val="both"/>
        <w:rPr>
          <w:rFonts w:cs="Arial"/>
          <w:bCs/>
          <w:szCs w:val="22"/>
        </w:rPr>
      </w:pPr>
      <w:r w:rsidRPr="006627E6">
        <w:rPr>
          <w:rFonts w:cs="Arial"/>
          <w:bCs/>
          <w:szCs w:val="22"/>
        </w:rPr>
        <w:t>[22]</w:t>
      </w:r>
      <w:r w:rsidRPr="006627E6">
        <w:rPr>
          <w:rFonts w:cs="Arial"/>
          <w:bCs/>
          <w:szCs w:val="22"/>
        </w:rPr>
        <w:tab/>
      </w:r>
      <w:r w:rsidR="006627E6">
        <w:t xml:space="preserve">The test for negligence has often been stated and was formulated as follows in </w:t>
      </w:r>
      <w:r w:rsidR="006627E6" w:rsidRPr="006627E6">
        <w:rPr>
          <w:i/>
          <w:iCs/>
        </w:rPr>
        <w:t>Kruger v Coetzee</w:t>
      </w:r>
      <w:r w:rsidR="006627E6">
        <w:t>:</w:t>
      </w:r>
      <w:r w:rsidR="006627E6">
        <w:rPr>
          <w:rStyle w:val="FootnoteReference"/>
        </w:rPr>
        <w:footnoteReference w:id="9"/>
      </w:r>
    </w:p>
    <w:p w14:paraId="1C0CAB29" w14:textId="506B8D98" w:rsidR="009A7117" w:rsidRPr="009A7117" w:rsidRDefault="009A7117" w:rsidP="009A7117">
      <w:pPr>
        <w:spacing w:before="120" w:after="120"/>
        <w:ind w:left="720"/>
        <w:jc w:val="both"/>
        <w:rPr>
          <w:i/>
          <w:iCs/>
        </w:rPr>
      </w:pPr>
      <w:r w:rsidRPr="009A7117">
        <w:rPr>
          <w:i/>
          <w:iCs/>
        </w:rPr>
        <w:t>For the purposes of liability culpa</w:t>
      </w:r>
      <w:r w:rsidR="005259D8">
        <w:rPr>
          <w:rStyle w:val="FootnoteReference"/>
          <w:i/>
          <w:iCs/>
        </w:rPr>
        <w:footnoteReference w:id="10"/>
      </w:r>
      <w:r w:rsidRPr="009A7117">
        <w:rPr>
          <w:i/>
          <w:iCs/>
        </w:rPr>
        <w:t> arises if -</w:t>
      </w:r>
    </w:p>
    <w:p w14:paraId="2D0EF31A" w14:textId="606D4A0F" w:rsidR="009A7117" w:rsidRPr="009D58F7" w:rsidRDefault="009D58F7" w:rsidP="009D58F7">
      <w:pPr>
        <w:spacing w:before="120" w:after="120"/>
        <w:ind w:left="1080" w:hanging="360"/>
        <w:jc w:val="both"/>
        <w:rPr>
          <w:i/>
          <w:iCs/>
        </w:rPr>
      </w:pPr>
      <w:r w:rsidRPr="009A7117">
        <w:rPr>
          <w:i/>
          <w:iCs/>
        </w:rPr>
        <w:t>(a)</w:t>
      </w:r>
      <w:r w:rsidRPr="009A7117">
        <w:rPr>
          <w:i/>
          <w:iCs/>
        </w:rPr>
        <w:tab/>
      </w:r>
      <w:r w:rsidR="009A7117" w:rsidRPr="009D58F7">
        <w:rPr>
          <w:i/>
          <w:iCs/>
        </w:rPr>
        <w:t xml:space="preserve">a </w:t>
      </w:r>
      <w:proofErr w:type="spellStart"/>
      <w:r w:rsidR="009A7117" w:rsidRPr="009D58F7">
        <w:rPr>
          <w:i/>
          <w:iCs/>
        </w:rPr>
        <w:t>diligens</w:t>
      </w:r>
      <w:proofErr w:type="spellEnd"/>
      <w:r w:rsidR="009A7117" w:rsidRPr="009D58F7">
        <w:rPr>
          <w:i/>
          <w:iCs/>
        </w:rPr>
        <w:t xml:space="preserve"> paterfamilias</w:t>
      </w:r>
      <w:r w:rsidR="00E635F8">
        <w:rPr>
          <w:rStyle w:val="FootnoteReference"/>
          <w:i/>
          <w:iCs/>
        </w:rPr>
        <w:footnoteReference w:id="11"/>
      </w:r>
      <w:r w:rsidR="009A7117" w:rsidRPr="009D58F7">
        <w:rPr>
          <w:i/>
          <w:iCs/>
        </w:rPr>
        <w:t xml:space="preserve"> in the position of the defenda</w:t>
      </w:r>
      <w:r w:rsidR="009C448E" w:rsidRPr="009D58F7">
        <w:rPr>
          <w:i/>
          <w:iCs/>
        </w:rPr>
        <w:t>nt</w:t>
      </w:r>
      <w:r w:rsidR="009A7117" w:rsidRPr="009D58F7">
        <w:rPr>
          <w:i/>
          <w:iCs/>
        </w:rPr>
        <w:t xml:space="preserve"> –</w:t>
      </w:r>
    </w:p>
    <w:p w14:paraId="3190F08E" w14:textId="2D54D820" w:rsidR="009A7117" w:rsidRPr="009D58F7" w:rsidRDefault="009D58F7" w:rsidP="009D58F7">
      <w:pPr>
        <w:spacing w:before="120" w:after="120"/>
        <w:ind w:left="1440" w:hanging="720"/>
        <w:jc w:val="both"/>
        <w:rPr>
          <w:i/>
          <w:iCs/>
        </w:rPr>
      </w:pPr>
      <w:r w:rsidRPr="009A7117">
        <w:rPr>
          <w:i/>
          <w:iCs/>
        </w:rPr>
        <w:t>(</w:t>
      </w:r>
      <w:proofErr w:type="spellStart"/>
      <w:r w:rsidRPr="009A7117">
        <w:rPr>
          <w:i/>
          <w:iCs/>
        </w:rPr>
        <w:t>i</w:t>
      </w:r>
      <w:proofErr w:type="spellEnd"/>
      <w:r w:rsidRPr="009A7117">
        <w:rPr>
          <w:i/>
          <w:iCs/>
        </w:rPr>
        <w:t>)</w:t>
      </w:r>
      <w:r w:rsidRPr="009A7117">
        <w:rPr>
          <w:i/>
          <w:iCs/>
        </w:rPr>
        <w:tab/>
      </w:r>
      <w:r w:rsidR="009A7117" w:rsidRPr="009D58F7">
        <w:rPr>
          <w:i/>
          <w:iCs/>
        </w:rPr>
        <w:t>would foresee the reasonable possibility of his conduct injuring another in his person or property and causing him patrimonial loss; and</w:t>
      </w:r>
    </w:p>
    <w:p w14:paraId="57100BCC" w14:textId="5D2937CE" w:rsidR="009A7117" w:rsidRPr="009D58F7" w:rsidRDefault="009D58F7" w:rsidP="009D58F7">
      <w:pPr>
        <w:spacing w:before="120" w:after="120"/>
        <w:ind w:left="1440" w:hanging="720"/>
        <w:jc w:val="both"/>
        <w:rPr>
          <w:i/>
          <w:iCs/>
        </w:rPr>
      </w:pPr>
      <w:r w:rsidRPr="009A7117">
        <w:rPr>
          <w:i/>
          <w:iCs/>
        </w:rPr>
        <w:t>(ii)</w:t>
      </w:r>
      <w:r w:rsidRPr="009A7117">
        <w:rPr>
          <w:i/>
          <w:iCs/>
        </w:rPr>
        <w:tab/>
      </w:r>
      <w:r w:rsidR="009A7117" w:rsidRPr="009D58F7">
        <w:rPr>
          <w:i/>
          <w:iCs/>
        </w:rPr>
        <w:t>would take reasonable steps to guard against such occurrence; and</w:t>
      </w:r>
    </w:p>
    <w:p w14:paraId="23A1C57D" w14:textId="0B91CC76" w:rsidR="006627E6" w:rsidRPr="009D58F7" w:rsidRDefault="009D58F7" w:rsidP="009D58F7">
      <w:pPr>
        <w:spacing w:before="120" w:after="120"/>
        <w:ind w:left="1080" w:hanging="360"/>
        <w:jc w:val="both"/>
        <w:rPr>
          <w:i/>
          <w:iCs/>
        </w:rPr>
      </w:pPr>
      <w:r w:rsidRPr="009A7117">
        <w:rPr>
          <w:i/>
          <w:iCs/>
        </w:rPr>
        <w:t>(b)</w:t>
      </w:r>
      <w:r w:rsidRPr="009A7117">
        <w:rPr>
          <w:i/>
          <w:iCs/>
        </w:rPr>
        <w:tab/>
      </w:r>
      <w:r w:rsidR="009A7117" w:rsidRPr="009D58F7">
        <w:rPr>
          <w:i/>
          <w:iCs/>
        </w:rPr>
        <w:t>the defendant failed to take such steps</w:t>
      </w:r>
    </w:p>
    <w:p w14:paraId="65BEC7ED" w14:textId="0C1FDF7A" w:rsidR="00C24267" w:rsidRPr="00C24267" w:rsidRDefault="009D58F7" w:rsidP="009D58F7">
      <w:pPr>
        <w:widowControl w:val="0"/>
        <w:tabs>
          <w:tab w:val="left" w:pos="567"/>
        </w:tabs>
        <w:spacing w:before="480" w:after="480" w:line="480" w:lineRule="auto"/>
        <w:jc w:val="both"/>
        <w:rPr>
          <w:rFonts w:cs="Arial"/>
          <w:bCs/>
          <w:szCs w:val="22"/>
        </w:rPr>
      </w:pPr>
      <w:r w:rsidRPr="00C24267">
        <w:rPr>
          <w:rFonts w:cs="Arial"/>
          <w:bCs/>
          <w:szCs w:val="22"/>
        </w:rPr>
        <w:lastRenderedPageBreak/>
        <w:t>[23]</w:t>
      </w:r>
      <w:r w:rsidRPr="00C24267">
        <w:rPr>
          <w:rFonts w:cs="Arial"/>
          <w:bCs/>
          <w:szCs w:val="22"/>
        </w:rPr>
        <w:tab/>
      </w:r>
      <w:r w:rsidR="00D41830">
        <w:rPr>
          <w:rFonts w:cs="Arial"/>
          <w:bCs/>
          <w:szCs w:val="22"/>
        </w:rPr>
        <w:t>The plaintiff</w:t>
      </w:r>
      <w:r w:rsidR="00A73A76">
        <w:rPr>
          <w:rFonts w:cs="Arial"/>
          <w:bCs/>
          <w:szCs w:val="22"/>
        </w:rPr>
        <w:t>’s</w:t>
      </w:r>
      <w:r w:rsidR="00D41830">
        <w:rPr>
          <w:rFonts w:cs="Arial"/>
          <w:bCs/>
          <w:szCs w:val="22"/>
        </w:rPr>
        <w:t xml:space="preserve"> case for the negligence of the defendant and its employees and agents was based solely on the fact that the doors were kept open on both sides of the carriage from Germiston station and </w:t>
      </w:r>
      <w:r w:rsidR="009A7117">
        <w:rPr>
          <w:rFonts w:cs="Arial"/>
          <w:bCs/>
          <w:szCs w:val="22"/>
        </w:rPr>
        <w:t xml:space="preserve">then </w:t>
      </w:r>
      <w:r w:rsidR="00D41830">
        <w:rPr>
          <w:rFonts w:cs="Arial"/>
          <w:bCs/>
          <w:szCs w:val="22"/>
        </w:rPr>
        <w:t>at Lindela station. While the train was station</w:t>
      </w:r>
      <w:r w:rsidR="009C448E">
        <w:rPr>
          <w:rFonts w:cs="Arial"/>
          <w:bCs/>
          <w:szCs w:val="22"/>
        </w:rPr>
        <w:t>a</w:t>
      </w:r>
      <w:r w:rsidR="00D41830">
        <w:rPr>
          <w:rFonts w:cs="Arial"/>
          <w:bCs/>
          <w:szCs w:val="22"/>
        </w:rPr>
        <w:t xml:space="preserve">ry one would expect the doors to be open at the platform side, but there no was no explanation for the open doors on the </w:t>
      </w:r>
      <w:r w:rsidR="00A73A76">
        <w:rPr>
          <w:rFonts w:cs="Arial"/>
          <w:bCs/>
          <w:szCs w:val="22"/>
        </w:rPr>
        <w:t xml:space="preserve">far </w:t>
      </w:r>
      <w:r w:rsidR="00D41830">
        <w:rPr>
          <w:rFonts w:cs="Arial"/>
          <w:bCs/>
          <w:szCs w:val="22"/>
        </w:rPr>
        <w:t>side</w:t>
      </w:r>
      <w:r w:rsidR="00C24267">
        <w:rPr>
          <w:rFonts w:cs="Arial"/>
          <w:bCs/>
          <w:szCs w:val="22"/>
        </w:rPr>
        <w:t>. It was common cause that on the platform side, the floor of the carriage was at the approximate height of the platform whereas on the far side, there was an appreciable drop from the floor of the carriage to ground level. Passengers are not expected to embark or disembark on the</w:t>
      </w:r>
      <w:r w:rsidR="00A73A76">
        <w:rPr>
          <w:rFonts w:cs="Arial"/>
          <w:bCs/>
          <w:szCs w:val="22"/>
        </w:rPr>
        <w:t xml:space="preserve"> far </w:t>
      </w:r>
      <w:r w:rsidR="00C24267">
        <w:rPr>
          <w:rFonts w:cs="Arial"/>
          <w:bCs/>
          <w:szCs w:val="22"/>
        </w:rPr>
        <w:t>side.</w:t>
      </w:r>
    </w:p>
    <w:p w14:paraId="0CF3562B" w14:textId="17ED77F6" w:rsidR="00D41830" w:rsidRDefault="009D58F7" w:rsidP="009D58F7">
      <w:pPr>
        <w:widowControl w:val="0"/>
        <w:tabs>
          <w:tab w:val="left" w:pos="567"/>
        </w:tabs>
        <w:spacing w:before="480" w:after="480" w:line="480" w:lineRule="auto"/>
        <w:jc w:val="both"/>
        <w:rPr>
          <w:rFonts w:cs="Arial"/>
          <w:bCs/>
          <w:szCs w:val="22"/>
        </w:rPr>
      </w:pPr>
      <w:r>
        <w:rPr>
          <w:rFonts w:cs="Arial"/>
          <w:bCs/>
          <w:szCs w:val="22"/>
        </w:rPr>
        <w:t>[24]</w:t>
      </w:r>
      <w:r>
        <w:rPr>
          <w:rFonts w:cs="Arial"/>
          <w:bCs/>
          <w:szCs w:val="22"/>
        </w:rPr>
        <w:tab/>
      </w:r>
      <w:r w:rsidR="00D41830">
        <w:rPr>
          <w:rFonts w:cs="Arial"/>
          <w:bCs/>
          <w:szCs w:val="22"/>
        </w:rPr>
        <w:t xml:space="preserve">Neither the plaintiff nor the defendant dealt with the number of guards and conductors (if any) on the train or </w:t>
      </w:r>
      <w:r w:rsidR="009C448E">
        <w:rPr>
          <w:rFonts w:cs="Arial"/>
          <w:bCs/>
          <w:szCs w:val="22"/>
        </w:rPr>
        <w:t xml:space="preserve">with </w:t>
      </w:r>
      <w:r w:rsidR="00D41830">
        <w:rPr>
          <w:rFonts w:cs="Arial"/>
          <w:bCs/>
          <w:szCs w:val="22"/>
        </w:rPr>
        <w:t xml:space="preserve">the policies, </w:t>
      </w:r>
      <w:r w:rsidR="00064D86">
        <w:rPr>
          <w:rFonts w:cs="Arial"/>
          <w:bCs/>
          <w:szCs w:val="22"/>
        </w:rPr>
        <w:t xml:space="preserve">the </w:t>
      </w:r>
      <w:r w:rsidR="00D41830">
        <w:rPr>
          <w:rFonts w:cs="Arial"/>
          <w:bCs/>
          <w:szCs w:val="22"/>
        </w:rPr>
        <w:t xml:space="preserve">procedures and practices of the defendant in operating an urban passenger rail </w:t>
      </w:r>
      <w:r w:rsidR="00064D86">
        <w:rPr>
          <w:rFonts w:cs="Arial"/>
          <w:bCs/>
          <w:szCs w:val="22"/>
        </w:rPr>
        <w:t>network, the measure of control that the personnel had over the doors</w:t>
      </w:r>
      <w:r w:rsidR="007938AD">
        <w:rPr>
          <w:rFonts w:cs="Arial"/>
          <w:bCs/>
          <w:szCs w:val="22"/>
        </w:rPr>
        <w:t xml:space="preserve">, </w:t>
      </w:r>
      <w:r w:rsidR="00064D86">
        <w:rPr>
          <w:rFonts w:cs="Arial"/>
          <w:bCs/>
          <w:szCs w:val="22"/>
        </w:rPr>
        <w:t xml:space="preserve">the extent to which </w:t>
      </w:r>
      <w:r w:rsidR="007938AD">
        <w:rPr>
          <w:rFonts w:cs="Arial"/>
          <w:bCs/>
          <w:szCs w:val="22"/>
        </w:rPr>
        <w:t>personnel</w:t>
      </w:r>
      <w:r w:rsidR="00064D86">
        <w:rPr>
          <w:rFonts w:cs="Arial"/>
          <w:bCs/>
          <w:szCs w:val="22"/>
        </w:rPr>
        <w:t xml:space="preserve"> could interfere when passengers </w:t>
      </w:r>
      <w:r w:rsidR="009C448E">
        <w:rPr>
          <w:rFonts w:cs="Arial"/>
          <w:bCs/>
          <w:szCs w:val="22"/>
        </w:rPr>
        <w:t xml:space="preserve">impermissibly </w:t>
      </w:r>
      <w:r w:rsidR="00064D86">
        <w:rPr>
          <w:rFonts w:cs="Arial"/>
          <w:bCs/>
          <w:szCs w:val="22"/>
        </w:rPr>
        <w:t>kept the doors open</w:t>
      </w:r>
      <w:r w:rsidR="007938AD">
        <w:rPr>
          <w:rFonts w:cs="Arial"/>
          <w:bCs/>
          <w:szCs w:val="22"/>
        </w:rPr>
        <w:t>, and the mechanical or electronic systems used to manipulate the doors.</w:t>
      </w:r>
    </w:p>
    <w:p w14:paraId="6A94A067" w14:textId="139D630C" w:rsidR="00A103FF" w:rsidRDefault="009D58F7" w:rsidP="009D58F7">
      <w:pPr>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r w:rsidR="0061430D">
        <w:rPr>
          <w:rFonts w:cs="Arial"/>
          <w:bCs/>
          <w:szCs w:val="22"/>
        </w:rPr>
        <w:t>When reading the case law I must be careful to differentiate between statements of law and the analysis of factual evidence in those cases</w:t>
      </w:r>
      <w:r w:rsidR="006A3B6B">
        <w:rPr>
          <w:rFonts w:cs="Arial"/>
          <w:bCs/>
          <w:szCs w:val="22"/>
        </w:rPr>
        <w:t>.</w:t>
      </w:r>
      <w:r w:rsidR="00A103FF">
        <w:rPr>
          <w:rFonts w:cs="Arial"/>
          <w:bCs/>
          <w:szCs w:val="22"/>
        </w:rPr>
        <w:t xml:space="preserve"> I am bound by precedent but may not have regard to factual evidence</w:t>
      </w:r>
      <w:r w:rsidR="00FC48F4">
        <w:rPr>
          <w:rStyle w:val="FootnoteReference"/>
          <w:rFonts w:cs="Arial"/>
          <w:bCs/>
          <w:szCs w:val="22"/>
        </w:rPr>
        <w:footnoteReference w:id="12"/>
      </w:r>
      <w:r w:rsidR="00A103FF">
        <w:rPr>
          <w:rFonts w:cs="Arial"/>
          <w:bCs/>
          <w:szCs w:val="22"/>
        </w:rPr>
        <w:t xml:space="preserve"> and findings</w:t>
      </w:r>
      <w:r w:rsidR="00AB55F7">
        <w:rPr>
          <w:rFonts w:cs="Arial"/>
          <w:bCs/>
          <w:szCs w:val="22"/>
        </w:rPr>
        <w:t xml:space="preserve"> of fact</w:t>
      </w:r>
      <w:r w:rsidR="00A103FF">
        <w:rPr>
          <w:rFonts w:cs="Arial"/>
          <w:bCs/>
          <w:szCs w:val="22"/>
        </w:rPr>
        <w:t xml:space="preserve"> in other cases.</w:t>
      </w:r>
    </w:p>
    <w:p w14:paraId="72F03905" w14:textId="23C9E686" w:rsidR="00A103FF" w:rsidRDefault="009D58F7" w:rsidP="009D58F7">
      <w:pPr>
        <w:widowControl w:val="0"/>
        <w:tabs>
          <w:tab w:val="left" w:pos="567"/>
        </w:tabs>
        <w:spacing w:before="480" w:after="480" w:line="480" w:lineRule="auto"/>
        <w:jc w:val="both"/>
        <w:rPr>
          <w:rFonts w:cs="Arial"/>
          <w:bCs/>
          <w:szCs w:val="22"/>
        </w:rPr>
      </w:pPr>
      <w:r>
        <w:rPr>
          <w:rFonts w:cs="Arial"/>
          <w:bCs/>
          <w:szCs w:val="22"/>
        </w:rPr>
        <w:t>[26]</w:t>
      </w:r>
      <w:r>
        <w:rPr>
          <w:rFonts w:cs="Arial"/>
          <w:bCs/>
          <w:szCs w:val="22"/>
        </w:rPr>
        <w:tab/>
      </w:r>
      <w:r w:rsidR="00602258">
        <w:rPr>
          <w:rFonts w:cs="Arial"/>
          <w:bCs/>
          <w:szCs w:val="22"/>
        </w:rPr>
        <w:t>The undisputed evidence in this matter is that the doors</w:t>
      </w:r>
      <w:r w:rsidR="00805CF9">
        <w:rPr>
          <w:rFonts w:cs="Arial"/>
          <w:bCs/>
          <w:szCs w:val="22"/>
        </w:rPr>
        <w:t xml:space="preserve"> were open</w:t>
      </w:r>
      <w:r w:rsidR="00602258">
        <w:rPr>
          <w:rFonts w:cs="Arial"/>
          <w:bCs/>
          <w:szCs w:val="22"/>
        </w:rPr>
        <w:t xml:space="preserve"> on both sides of the carriage when the train travelled between Germiston and Lindela, and when it was stationary at Lindela. A crowded railway carriage travelling at normal speeds pose an obvious danger to passenger</w:t>
      </w:r>
      <w:r w:rsidR="00EC108D">
        <w:rPr>
          <w:rFonts w:cs="Arial"/>
          <w:bCs/>
          <w:szCs w:val="22"/>
        </w:rPr>
        <w:t>s</w:t>
      </w:r>
      <w:r w:rsidR="00602258">
        <w:rPr>
          <w:rFonts w:cs="Arial"/>
          <w:bCs/>
          <w:szCs w:val="22"/>
        </w:rPr>
        <w:t xml:space="preserve"> and injury or death is foreseeable in the event of a </w:t>
      </w:r>
      <w:r w:rsidR="00602258">
        <w:rPr>
          <w:rFonts w:cs="Arial"/>
          <w:bCs/>
          <w:szCs w:val="22"/>
        </w:rPr>
        <w:lastRenderedPageBreak/>
        <w:t>passenger falling out or being pushed out</w:t>
      </w:r>
      <w:r w:rsidR="00041B14">
        <w:rPr>
          <w:rFonts w:cs="Arial"/>
          <w:bCs/>
          <w:szCs w:val="22"/>
        </w:rPr>
        <w:t>. T</w:t>
      </w:r>
      <w:r w:rsidR="00602258">
        <w:rPr>
          <w:rFonts w:cs="Arial"/>
          <w:bCs/>
          <w:szCs w:val="22"/>
        </w:rPr>
        <w:t>he reasonable man</w:t>
      </w:r>
      <w:r w:rsidR="009C448E">
        <w:rPr>
          <w:rFonts w:cs="Arial"/>
          <w:bCs/>
          <w:szCs w:val="22"/>
        </w:rPr>
        <w:t xml:space="preserve"> (</w:t>
      </w:r>
      <w:r w:rsidR="00602258">
        <w:rPr>
          <w:rFonts w:cs="Arial"/>
          <w:bCs/>
          <w:szCs w:val="22"/>
        </w:rPr>
        <w:t>and the reasonable operator of a rail service</w:t>
      </w:r>
      <w:r w:rsidR="009C448E">
        <w:rPr>
          <w:rFonts w:cs="Arial"/>
          <w:bCs/>
          <w:szCs w:val="22"/>
        </w:rPr>
        <w:t>)</w:t>
      </w:r>
      <w:r w:rsidR="00602258">
        <w:rPr>
          <w:rFonts w:cs="Arial"/>
          <w:bCs/>
          <w:szCs w:val="22"/>
        </w:rPr>
        <w:t xml:space="preserve"> will foresee the possibility of </w:t>
      </w:r>
      <w:r w:rsidR="00EC108D">
        <w:rPr>
          <w:rFonts w:cs="Arial"/>
          <w:bCs/>
          <w:szCs w:val="22"/>
        </w:rPr>
        <w:t>harm</w:t>
      </w:r>
      <w:r w:rsidR="00602258">
        <w:rPr>
          <w:rFonts w:cs="Arial"/>
          <w:bCs/>
          <w:szCs w:val="22"/>
        </w:rPr>
        <w:t xml:space="preserve"> under these circumstances.</w:t>
      </w:r>
    </w:p>
    <w:p w14:paraId="70813C7F" w14:textId="38D6CED7" w:rsidR="001879D4" w:rsidRPr="001879D4" w:rsidRDefault="009D58F7" w:rsidP="009D58F7">
      <w:pPr>
        <w:widowControl w:val="0"/>
        <w:tabs>
          <w:tab w:val="left" w:pos="567"/>
        </w:tabs>
        <w:spacing w:before="480" w:after="480" w:line="480" w:lineRule="auto"/>
        <w:jc w:val="both"/>
        <w:rPr>
          <w:rFonts w:cs="Arial"/>
          <w:bCs/>
          <w:color w:val="000000" w:themeColor="text1"/>
          <w:szCs w:val="22"/>
        </w:rPr>
      </w:pPr>
      <w:r w:rsidRPr="001879D4">
        <w:rPr>
          <w:rFonts w:cs="Arial"/>
          <w:bCs/>
          <w:szCs w:val="22"/>
        </w:rPr>
        <w:t>[27]</w:t>
      </w:r>
      <w:r w:rsidRPr="001879D4">
        <w:rPr>
          <w:rFonts w:cs="Arial"/>
          <w:bCs/>
          <w:szCs w:val="22"/>
        </w:rPr>
        <w:tab/>
      </w:r>
      <w:r w:rsidR="001879D4">
        <w:rPr>
          <w:rFonts w:cs="Arial"/>
          <w:bCs/>
          <w:szCs w:val="22"/>
        </w:rPr>
        <w:t>The Constitutional Court declared in 2004 that Transnet Ltd (first respondent) and the present defendan</w:t>
      </w:r>
      <w:r w:rsidR="001879D4" w:rsidRPr="001879D4">
        <w:rPr>
          <w:rFonts w:cs="Arial"/>
          <w:bCs/>
          <w:color w:val="000000" w:themeColor="text1"/>
          <w:szCs w:val="22"/>
        </w:rPr>
        <w:t>t</w:t>
      </w:r>
      <w:r w:rsidR="001879D4">
        <w:rPr>
          <w:rFonts w:cs="Arial"/>
          <w:bCs/>
          <w:color w:val="000000" w:themeColor="text1"/>
          <w:szCs w:val="22"/>
        </w:rPr>
        <w:t xml:space="preserve"> (second respondent)</w:t>
      </w:r>
      <w:r w:rsidR="001879D4" w:rsidRPr="001879D4">
        <w:rPr>
          <w:rFonts w:cs="Arial"/>
          <w:bCs/>
          <w:color w:val="000000" w:themeColor="text1"/>
          <w:szCs w:val="22"/>
        </w:rPr>
        <w:t xml:space="preserve"> </w:t>
      </w:r>
      <w:r w:rsidR="001879D4" w:rsidRPr="001879D4">
        <w:rPr>
          <w:rFonts w:cs="Arial"/>
          <w:bCs/>
          <w:i/>
          <w:iCs/>
          <w:color w:val="000000" w:themeColor="text1"/>
          <w:szCs w:val="22"/>
        </w:rPr>
        <w:t>“</w:t>
      </w:r>
      <w:r w:rsidR="001879D4" w:rsidRPr="001879D4">
        <w:rPr>
          <w:rFonts w:cs="Arial"/>
          <w:i/>
          <w:iCs/>
          <w:color w:val="000000" w:themeColor="text1"/>
          <w:szCs w:val="22"/>
          <w:shd w:val="clear" w:color="auto" w:fill="FFFFFF"/>
        </w:rPr>
        <w:t>have an obligation to ensure that reasonable measures are taken to provide for the security of rail commuters whilst they are making use of rail  transport services provided and ensured by, respectively, the first and second respondents.</w:t>
      </w:r>
      <w:r w:rsidR="001879D4" w:rsidRPr="001879D4">
        <w:rPr>
          <w:rFonts w:cs="Arial"/>
          <w:bCs/>
          <w:i/>
          <w:iCs/>
          <w:color w:val="000000" w:themeColor="text1"/>
          <w:szCs w:val="22"/>
        </w:rPr>
        <w:t>”</w:t>
      </w:r>
      <w:r w:rsidR="001879D4" w:rsidRPr="001879D4">
        <w:rPr>
          <w:rStyle w:val="FootnoteReference"/>
          <w:rFonts w:cs="Arial"/>
          <w:bCs/>
          <w:color w:val="000000" w:themeColor="text1"/>
          <w:szCs w:val="22"/>
        </w:rPr>
        <w:footnoteReference w:id="13"/>
      </w:r>
    </w:p>
    <w:p w14:paraId="1C68ED3A" w14:textId="0C872D05" w:rsidR="00EC108D" w:rsidRDefault="009D58F7" w:rsidP="009D58F7">
      <w:pPr>
        <w:widowControl w:val="0"/>
        <w:tabs>
          <w:tab w:val="left" w:pos="567"/>
        </w:tabs>
        <w:spacing w:before="480" w:after="480" w:line="480" w:lineRule="auto"/>
        <w:jc w:val="both"/>
        <w:rPr>
          <w:rFonts w:cs="Arial"/>
          <w:bCs/>
          <w:szCs w:val="22"/>
        </w:rPr>
      </w:pPr>
      <w:r>
        <w:rPr>
          <w:rFonts w:cs="Arial"/>
          <w:bCs/>
          <w:szCs w:val="22"/>
        </w:rPr>
        <w:t>[28]</w:t>
      </w:r>
      <w:r>
        <w:rPr>
          <w:rFonts w:cs="Arial"/>
          <w:bCs/>
          <w:szCs w:val="22"/>
        </w:rPr>
        <w:tab/>
      </w:r>
      <w:r w:rsidR="00602258">
        <w:rPr>
          <w:rFonts w:cs="Arial"/>
          <w:bCs/>
          <w:szCs w:val="22"/>
        </w:rPr>
        <w:t>When the train is stationary at a designated stop next to a station platform one would expect the</w:t>
      </w:r>
      <w:r w:rsidR="00A73A76">
        <w:rPr>
          <w:rFonts w:cs="Arial"/>
          <w:bCs/>
          <w:szCs w:val="22"/>
        </w:rPr>
        <w:t xml:space="preserve"> near </w:t>
      </w:r>
      <w:r w:rsidR="00602258">
        <w:rPr>
          <w:rFonts w:cs="Arial"/>
          <w:bCs/>
          <w:szCs w:val="22"/>
        </w:rPr>
        <w:t xml:space="preserve">side doors to be open at some stage so that passengers </w:t>
      </w:r>
      <w:r w:rsidR="009C448E">
        <w:rPr>
          <w:rFonts w:cs="Arial"/>
          <w:bCs/>
          <w:szCs w:val="22"/>
        </w:rPr>
        <w:t>may</w:t>
      </w:r>
      <w:r w:rsidR="00602258">
        <w:rPr>
          <w:rFonts w:cs="Arial"/>
          <w:bCs/>
          <w:szCs w:val="22"/>
        </w:rPr>
        <w:t xml:space="preserve"> embark and disembark. The reason for the existence of </w:t>
      </w:r>
      <w:r w:rsidR="00293351">
        <w:rPr>
          <w:rFonts w:cs="Arial"/>
          <w:bCs/>
          <w:szCs w:val="22"/>
        </w:rPr>
        <w:t xml:space="preserve">a railway platform is for the platform to be flush with the doors and floor of the railway carriage so </w:t>
      </w:r>
      <w:r w:rsidR="00EC108D">
        <w:rPr>
          <w:rFonts w:cs="Arial"/>
          <w:bCs/>
          <w:szCs w:val="22"/>
        </w:rPr>
        <w:t>passengers</w:t>
      </w:r>
      <w:r w:rsidR="00293351">
        <w:rPr>
          <w:rFonts w:cs="Arial"/>
          <w:bCs/>
          <w:szCs w:val="22"/>
        </w:rPr>
        <w:t xml:space="preserve"> can step from one to the other in safety. </w:t>
      </w:r>
      <w:r w:rsidR="00853E83">
        <w:rPr>
          <w:rFonts w:cs="Arial"/>
          <w:bCs/>
          <w:szCs w:val="22"/>
        </w:rPr>
        <w:t>O</w:t>
      </w:r>
      <w:r w:rsidR="00293351">
        <w:rPr>
          <w:rFonts w:cs="Arial"/>
          <w:bCs/>
          <w:szCs w:val="22"/>
        </w:rPr>
        <w:t xml:space="preserve">n the </w:t>
      </w:r>
      <w:r w:rsidR="00A73A76">
        <w:rPr>
          <w:rFonts w:cs="Arial"/>
          <w:bCs/>
          <w:szCs w:val="22"/>
        </w:rPr>
        <w:t xml:space="preserve">far </w:t>
      </w:r>
      <w:r w:rsidR="00293351">
        <w:rPr>
          <w:rFonts w:cs="Arial"/>
          <w:bCs/>
          <w:szCs w:val="22"/>
        </w:rPr>
        <w:t xml:space="preserve">side there is a considerable drop between the floor of the carriage and ground level. There is no reason for the doors on the </w:t>
      </w:r>
      <w:r w:rsidR="00EC108D">
        <w:rPr>
          <w:rFonts w:cs="Arial"/>
          <w:bCs/>
          <w:szCs w:val="22"/>
        </w:rPr>
        <w:t xml:space="preserve">far </w:t>
      </w:r>
      <w:r w:rsidR="00293351">
        <w:rPr>
          <w:rFonts w:cs="Arial"/>
          <w:bCs/>
          <w:szCs w:val="22"/>
        </w:rPr>
        <w:t xml:space="preserve">side to be open at any time whether the train is stationary or in motion. </w:t>
      </w:r>
    </w:p>
    <w:p w14:paraId="63ADEBD1" w14:textId="09DA0890" w:rsidR="00602258" w:rsidRDefault="009D58F7" w:rsidP="009D58F7">
      <w:pPr>
        <w:widowControl w:val="0"/>
        <w:tabs>
          <w:tab w:val="left" w:pos="567"/>
        </w:tabs>
        <w:spacing w:before="480" w:after="480" w:line="480" w:lineRule="auto"/>
        <w:jc w:val="both"/>
        <w:rPr>
          <w:rFonts w:cs="Arial"/>
          <w:bCs/>
          <w:szCs w:val="22"/>
        </w:rPr>
      </w:pPr>
      <w:r>
        <w:rPr>
          <w:rFonts w:cs="Arial"/>
          <w:bCs/>
          <w:szCs w:val="22"/>
        </w:rPr>
        <w:t>[29]</w:t>
      </w:r>
      <w:r>
        <w:rPr>
          <w:rFonts w:cs="Arial"/>
          <w:bCs/>
          <w:szCs w:val="22"/>
        </w:rPr>
        <w:tab/>
      </w:r>
      <w:r w:rsidR="00293351">
        <w:rPr>
          <w:rFonts w:cs="Arial"/>
          <w:bCs/>
          <w:szCs w:val="22"/>
        </w:rPr>
        <w:t xml:space="preserve">The reasonable man will foresee the possibility of injury or death if a person fell out or were pushed out  the door on the </w:t>
      </w:r>
      <w:r w:rsidR="00EC108D">
        <w:rPr>
          <w:rFonts w:cs="Arial"/>
          <w:bCs/>
          <w:szCs w:val="22"/>
        </w:rPr>
        <w:t xml:space="preserve">far </w:t>
      </w:r>
      <w:r w:rsidR="00293351">
        <w:rPr>
          <w:rFonts w:cs="Arial"/>
          <w:bCs/>
          <w:szCs w:val="22"/>
        </w:rPr>
        <w:t>side and fell onto the ground, and this would be the case irrespective of whether the train was in motion or not.</w:t>
      </w:r>
      <w:r w:rsidR="008429CF">
        <w:rPr>
          <w:rFonts w:cs="Arial"/>
          <w:bCs/>
          <w:szCs w:val="22"/>
        </w:rPr>
        <w:t xml:space="preserve"> The undisputed evidence was that the adjacent </w:t>
      </w:r>
      <w:r w:rsidR="009C448E">
        <w:rPr>
          <w:rFonts w:cs="Arial"/>
          <w:bCs/>
          <w:szCs w:val="22"/>
        </w:rPr>
        <w:t xml:space="preserve">railway </w:t>
      </w:r>
      <w:r w:rsidR="008429CF">
        <w:rPr>
          <w:rFonts w:cs="Arial"/>
          <w:bCs/>
          <w:szCs w:val="22"/>
        </w:rPr>
        <w:t>lines were about two meters apart; a carriage is wider than the tracks and two trains passing would be in close proximity. The danger of failing onto</w:t>
      </w:r>
      <w:r w:rsidR="004F224E">
        <w:rPr>
          <w:rFonts w:cs="Arial"/>
          <w:bCs/>
          <w:szCs w:val="22"/>
        </w:rPr>
        <w:t>,</w:t>
      </w:r>
      <w:r w:rsidR="008429CF">
        <w:rPr>
          <w:rFonts w:cs="Arial"/>
          <w:bCs/>
          <w:szCs w:val="22"/>
        </w:rPr>
        <w:t xml:space="preserve"> or under the wheels of another train is therefore real, and utterly foreseeable.</w:t>
      </w:r>
      <w:r w:rsidR="001879D4">
        <w:rPr>
          <w:rFonts w:cs="Arial"/>
          <w:bCs/>
          <w:szCs w:val="22"/>
        </w:rPr>
        <w:t xml:space="preserve"> </w:t>
      </w:r>
      <w:r w:rsidR="00D333F3">
        <w:rPr>
          <w:rFonts w:cs="Arial"/>
          <w:bCs/>
          <w:szCs w:val="22"/>
        </w:rPr>
        <w:t>The reasonable man would guard against it.</w:t>
      </w:r>
    </w:p>
    <w:p w14:paraId="19944EB0" w14:textId="4736514E" w:rsidR="00A103FF" w:rsidRDefault="009D58F7" w:rsidP="009D58F7">
      <w:pPr>
        <w:widowControl w:val="0"/>
        <w:tabs>
          <w:tab w:val="left" w:pos="567"/>
        </w:tabs>
        <w:spacing w:before="480" w:after="480" w:line="480" w:lineRule="auto"/>
        <w:jc w:val="both"/>
        <w:rPr>
          <w:rFonts w:cs="Arial"/>
          <w:bCs/>
          <w:szCs w:val="22"/>
        </w:rPr>
      </w:pPr>
      <w:r>
        <w:rPr>
          <w:rFonts w:cs="Arial"/>
          <w:bCs/>
          <w:szCs w:val="22"/>
        </w:rPr>
        <w:t>[30]</w:t>
      </w:r>
      <w:r>
        <w:rPr>
          <w:rFonts w:cs="Arial"/>
          <w:bCs/>
          <w:szCs w:val="22"/>
        </w:rPr>
        <w:tab/>
      </w:r>
      <w:r w:rsidR="002A112D">
        <w:rPr>
          <w:rFonts w:cs="Arial"/>
          <w:bCs/>
          <w:szCs w:val="22"/>
        </w:rPr>
        <w:t xml:space="preserve">There is considerable authority to the effect that a railway operator has a duty to </w:t>
      </w:r>
      <w:r w:rsidR="002A112D">
        <w:rPr>
          <w:rFonts w:cs="Arial"/>
          <w:bCs/>
          <w:szCs w:val="22"/>
        </w:rPr>
        <w:lastRenderedPageBreak/>
        <w:t>see to it that the doors of a train are closed at relevant times.</w:t>
      </w:r>
      <w:r w:rsidR="0022710A">
        <w:rPr>
          <w:rStyle w:val="FootnoteReference"/>
          <w:rFonts w:cs="Arial"/>
          <w:bCs/>
          <w:szCs w:val="22"/>
        </w:rPr>
        <w:footnoteReference w:id="14"/>
      </w:r>
      <w:r w:rsidR="0022710A">
        <w:rPr>
          <w:rFonts w:cs="Arial"/>
          <w:bCs/>
          <w:szCs w:val="22"/>
        </w:rPr>
        <w:t xml:space="preserve"> </w:t>
      </w:r>
      <w:r w:rsidR="00A4779F">
        <w:rPr>
          <w:rFonts w:cs="Arial"/>
          <w:bCs/>
          <w:szCs w:val="22"/>
        </w:rPr>
        <w:t>A failure to comply with the</w:t>
      </w:r>
      <w:r w:rsidR="0022710A">
        <w:rPr>
          <w:rFonts w:cs="Arial"/>
          <w:bCs/>
          <w:szCs w:val="22"/>
        </w:rPr>
        <w:t xml:space="preserve"> duty can </w:t>
      </w:r>
      <w:r w:rsidR="00A73A76">
        <w:rPr>
          <w:rFonts w:cs="Arial"/>
          <w:bCs/>
          <w:szCs w:val="22"/>
        </w:rPr>
        <w:t>be interpreted as</w:t>
      </w:r>
      <w:r w:rsidR="0022710A">
        <w:rPr>
          <w:rFonts w:cs="Arial"/>
          <w:bCs/>
          <w:szCs w:val="22"/>
        </w:rPr>
        <w:t xml:space="preserve"> an </w:t>
      </w:r>
      <w:proofErr w:type="spellStart"/>
      <w:r w:rsidR="0022710A" w:rsidRPr="0022710A">
        <w:rPr>
          <w:rFonts w:cs="Arial"/>
          <w:bCs/>
          <w:i/>
          <w:iCs/>
          <w:szCs w:val="22"/>
        </w:rPr>
        <w:t>omissio</w:t>
      </w:r>
      <w:proofErr w:type="spellEnd"/>
      <w:r w:rsidR="0022710A">
        <w:rPr>
          <w:rFonts w:cs="Arial"/>
          <w:bCs/>
          <w:szCs w:val="22"/>
        </w:rPr>
        <w:t xml:space="preserve"> (the failure to see to it that the doors are properly closed) or a </w:t>
      </w:r>
      <w:proofErr w:type="spellStart"/>
      <w:r w:rsidR="0022710A" w:rsidRPr="0022710A">
        <w:rPr>
          <w:rFonts w:cs="Arial"/>
          <w:bCs/>
          <w:i/>
          <w:iCs/>
          <w:szCs w:val="22"/>
        </w:rPr>
        <w:t>commissio</w:t>
      </w:r>
      <w:proofErr w:type="spellEnd"/>
      <w:r w:rsidR="0022710A">
        <w:rPr>
          <w:rFonts w:cs="Arial"/>
          <w:bCs/>
          <w:i/>
          <w:iCs/>
          <w:szCs w:val="22"/>
        </w:rPr>
        <w:t xml:space="preserve"> </w:t>
      </w:r>
      <w:r w:rsidR="0022710A">
        <w:rPr>
          <w:rFonts w:cs="Arial"/>
          <w:bCs/>
          <w:szCs w:val="22"/>
        </w:rPr>
        <w:t>(permitting the train to depart a station and to travel with doors open).</w:t>
      </w:r>
    </w:p>
    <w:p w14:paraId="52E34134" w14:textId="7B45FE36" w:rsidR="00A73A76" w:rsidRDefault="009D58F7" w:rsidP="009D58F7">
      <w:pPr>
        <w:widowControl w:val="0"/>
        <w:tabs>
          <w:tab w:val="left" w:pos="567"/>
        </w:tabs>
        <w:spacing w:before="480" w:after="480" w:line="480" w:lineRule="auto"/>
        <w:jc w:val="both"/>
        <w:rPr>
          <w:rFonts w:cs="Arial"/>
          <w:bCs/>
          <w:szCs w:val="22"/>
        </w:rPr>
      </w:pPr>
      <w:r>
        <w:rPr>
          <w:rFonts w:cs="Arial"/>
          <w:bCs/>
          <w:szCs w:val="22"/>
        </w:rPr>
        <w:t>[31]</w:t>
      </w:r>
      <w:r>
        <w:rPr>
          <w:rFonts w:cs="Arial"/>
          <w:bCs/>
          <w:szCs w:val="22"/>
        </w:rPr>
        <w:tab/>
      </w:r>
      <w:r w:rsidR="00F34951">
        <w:rPr>
          <w:rFonts w:cs="Arial"/>
          <w:bCs/>
          <w:szCs w:val="22"/>
        </w:rPr>
        <w:t>The onus</w:t>
      </w:r>
      <w:r w:rsidR="00F33E1D">
        <w:rPr>
          <w:rStyle w:val="FootnoteReference"/>
          <w:rFonts w:cs="Arial"/>
          <w:bCs/>
          <w:szCs w:val="22"/>
        </w:rPr>
        <w:footnoteReference w:id="15"/>
      </w:r>
      <w:r w:rsidR="00F33E1D" w:rsidRPr="00F33E1D">
        <w:rPr>
          <w:rFonts w:cs="Arial"/>
          <w:bCs/>
          <w:szCs w:val="22"/>
        </w:rPr>
        <w:t xml:space="preserve"> </w:t>
      </w:r>
      <w:r w:rsidR="00F33E1D">
        <w:rPr>
          <w:rFonts w:cs="Arial"/>
          <w:bCs/>
          <w:szCs w:val="22"/>
        </w:rPr>
        <w:t>to prove</w:t>
      </w:r>
      <w:r w:rsidR="00817D45">
        <w:rPr>
          <w:rStyle w:val="FootnoteReference"/>
          <w:rFonts w:cs="Arial"/>
          <w:bCs/>
          <w:szCs w:val="22"/>
        </w:rPr>
        <w:footnoteReference w:id="16"/>
      </w:r>
      <w:r w:rsidR="00F34951">
        <w:rPr>
          <w:rFonts w:cs="Arial"/>
          <w:bCs/>
          <w:szCs w:val="22"/>
        </w:rPr>
        <w:t xml:space="preserve"> his case remains throughout on the plaintiff. </w:t>
      </w:r>
      <w:r w:rsidR="00853E83">
        <w:rPr>
          <w:rFonts w:cs="Arial"/>
          <w:bCs/>
          <w:szCs w:val="22"/>
        </w:rPr>
        <w:t xml:space="preserve">The </w:t>
      </w:r>
      <w:r w:rsidR="009C448E">
        <w:rPr>
          <w:rFonts w:cs="Arial"/>
          <w:bCs/>
          <w:szCs w:val="22"/>
        </w:rPr>
        <w:t xml:space="preserve">defendant’s </w:t>
      </w:r>
      <w:r w:rsidR="00853E83">
        <w:rPr>
          <w:rFonts w:cs="Arial"/>
          <w:bCs/>
          <w:szCs w:val="22"/>
        </w:rPr>
        <w:t>liability is not absolute</w:t>
      </w:r>
      <w:r w:rsidR="009C448E">
        <w:rPr>
          <w:rFonts w:cs="Arial"/>
          <w:bCs/>
          <w:szCs w:val="22"/>
        </w:rPr>
        <w:t>-</w:t>
      </w:r>
      <w:r w:rsidR="000534A0">
        <w:rPr>
          <w:rStyle w:val="FootnoteReference"/>
          <w:rFonts w:cs="Arial"/>
          <w:bCs/>
          <w:szCs w:val="22"/>
        </w:rPr>
        <w:footnoteReference w:id="17"/>
      </w:r>
      <w:r w:rsidR="00853E83">
        <w:rPr>
          <w:rFonts w:cs="Arial"/>
          <w:bCs/>
          <w:szCs w:val="22"/>
        </w:rPr>
        <w:t xml:space="preserve"> the liability of a railway operator is not strict liability, and a </w:t>
      </w:r>
      <w:r w:rsidR="00853E83" w:rsidRPr="00853E83">
        <w:rPr>
          <w:rFonts w:cs="Arial"/>
          <w:bCs/>
          <w:i/>
          <w:iCs/>
          <w:szCs w:val="22"/>
        </w:rPr>
        <w:t>prima facie</w:t>
      </w:r>
      <w:r w:rsidR="00853E83">
        <w:rPr>
          <w:rFonts w:cs="Arial"/>
          <w:bCs/>
          <w:szCs w:val="22"/>
        </w:rPr>
        <w:t xml:space="preserve"> case</w:t>
      </w:r>
      <w:r w:rsidR="009C448E">
        <w:rPr>
          <w:rFonts w:cs="Arial"/>
          <w:bCs/>
          <w:szCs w:val="22"/>
        </w:rPr>
        <w:t xml:space="preserve"> presented by the plaintiff</w:t>
      </w:r>
      <w:r w:rsidR="00853E83">
        <w:rPr>
          <w:rFonts w:cs="Arial"/>
          <w:bCs/>
          <w:szCs w:val="22"/>
        </w:rPr>
        <w:t xml:space="preserve"> can be rebutted. </w:t>
      </w:r>
    </w:p>
    <w:p w14:paraId="61A592EA" w14:textId="0BF619BC" w:rsidR="00FE6A21" w:rsidRDefault="009D58F7" w:rsidP="009D58F7">
      <w:pPr>
        <w:widowControl w:val="0"/>
        <w:tabs>
          <w:tab w:val="left" w:pos="567"/>
        </w:tabs>
        <w:spacing w:before="480" w:after="480" w:line="480" w:lineRule="auto"/>
        <w:jc w:val="both"/>
        <w:rPr>
          <w:rFonts w:cs="Arial"/>
          <w:bCs/>
          <w:szCs w:val="22"/>
        </w:rPr>
      </w:pPr>
      <w:r>
        <w:rPr>
          <w:rFonts w:cs="Arial"/>
          <w:bCs/>
          <w:szCs w:val="22"/>
        </w:rPr>
        <w:t>[32]</w:t>
      </w:r>
      <w:r>
        <w:rPr>
          <w:rFonts w:cs="Arial"/>
          <w:bCs/>
          <w:szCs w:val="22"/>
        </w:rPr>
        <w:tab/>
      </w:r>
      <w:r w:rsidR="00FE6A21">
        <w:rPr>
          <w:rFonts w:cs="Arial"/>
          <w:bCs/>
          <w:szCs w:val="22"/>
        </w:rPr>
        <w:t>The defendant’s dut</w:t>
      </w:r>
      <w:r w:rsidR="009C448E">
        <w:rPr>
          <w:rFonts w:cs="Arial"/>
          <w:bCs/>
          <w:szCs w:val="22"/>
        </w:rPr>
        <w:t>ies</w:t>
      </w:r>
      <w:r w:rsidR="00FE6A21">
        <w:rPr>
          <w:rFonts w:cs="Arial"/>
          <w:bCs/>
          <w:szCs w:val="22"/>
        </w:rPr>
        <w:t xml:space="preserve"> must be exercised in a reasonable manner. </w:t>
      </w:r>
      <w:r w:rsidR="009C448E">
        <w:rPr>
          <w:rFonts w:cs="Arial"/>
          <w:bCs/>
          <w:szCs w:val="22"/>
        </w:rPr>
        <w:t>Absolute perfection in a perfect World is not required.</w:t>
      </w:r>
    </w:p>
    <w:p w14:paraId="62944C38" w14:textId="42E346A6" w:rsidR="00041B14" w:rsidRPr="00B57446" w:rsidRDefault="009D58F7" w:rsidP="00B57446">
      <w:pPr>
        <w:widowControl w:val="0"/>
        <w:tabs>
          <w:tab w:val="left" w:pos="567"/>
        </w:tabs>
        <w:spacing w:before="480" w:after="480" w:line="480" w:lineRule="auto"/>
        <w:jc w:val="both"/>
        <w:rPr>
          <w:rFonts w:cs="Arial"/>
          <w:bCs/>
          <w:szCs w:val="22"/>
        </w:rPr>
      </w:pPr>
      <w:r>
        <w:rPr>
          <w:rFonts w:cs="Arial"/>
          <w:bCs/>
          <w:szCs w:val="22"/>
        </w:rPr>
        <w:t>[33]</w:t>
      </w:r>
      <w:r>
        <w:rPr>
          <w:rFonts w:cs="Arial"/>
          <w:bCs/>
          <w:szCs w:val="22"/>
        </w:rPr>
        <w:tab/>
      </w:r>
      <w:r w:rsidR="00F34951">
        <w:rPr>
          <w:rFonts w:cs="Arial"/>
          <w:bCs/>
          <w:szCs w:val="22"/>
        </w:rPr>
        <w:t xml:space="preserve">The undisputed evidence </w:t>
      </w:r>
      <w:r w:rsidR="009C448E">
        <w:rPr>
          <w:rFonts w:cs="Arial"/>
          <w:bCs/>
          <w:szCs w:val="22"/>
        </w:rPr>
        <w:t xml:space="preserve">in this matter </w:t>
      </w:r>
      <w:r w:rsidR="00F34951">
        <w:rPr>
          <w:rFonts w:cs="Arial"/>
          <w:bCs/>
          <w:szCs w:val="22"/>
        </w:rPr>
        <w:t>casts an onus of rebuttal</w:t>
      </w:r>
      <w:r w:rsidR="00817D45">
        <w:rPr>
          <w:rStyle w:val="FootnoteReference"/>
          <w:rFonts w:cs="Arial"/>
          <w:bCs/>
          <w:szCs w:val="22"/>
        </w:rPr>
        <w:footnoteReference w:id="18"/>
      </w:r>
      <w:r w:rsidR="00F34951">
        <w:rPr>
          <w:rFonts w:cs="Arial"/>
          <w:bCs/>
          <w:szCs w:val="22"/>
        </w:rPr>
        <w:t xml:space="preserve"> </w:t>
      </w:r>
      <w:r w:rsidR="00817D45">
        <w:rPr>
          <w:rFonts w:cs="Arial"/>
          <w:bCs/>
          <w:szCs w:val="22"/>
        </w:rPr>
        <w:t xml:space="preserve">or evidentiary burden </w:t>
      </w:r>
      <w:r w:rsidR="00F34951">
        <w:rPr>
          <w:rFonts w:cs="Arial"/>
          <w:bCs/>
          <w:szCs w:val="22"/>
        </w:rPr>
        <w:t>on</w:t>
      </w:r>
      <w:r w:rsidR="009C448E">
        <w:rPr>
          <w:rFonts w:cs="Arial"/>
          <w:bCs/>
          <w:szCs w:val="22"/>
        </w:rPr>
        <w:t>to</w:t>
      </w:r>
      <w:r w:rsidR="00F34951">
        <w:rPr>
          <w:rFonts w:cs="Arial"/>
          <w:bCs/>
          <w:szCs w:val="22"/>
        </w:rPr>
        <w:t xml:space="preserve"> the defendant. The </w:t>
      </w:r>
      <w:r w:rsidR="00F34951" w:rsidRPr="00853E83">
        <w:rPr>
          <w:rFonts w:cs="Arial"/>
          <w:bCs/>
          <w:i/>
          <w:iCs/>
          <w:szCs w:val="22"/>
        </w:rPr>
        <w:t>prima facie</w:t>
      </w:r>
      <w:r w:rsidR="00F34951">
        <w:rPr>
          <w:rFonts w:cs="Arial"/>
          <w:bCs/>
          <w:szCs w:val="22"/>
        </w:rPr>
        <w:t xml:space="preserve"> case made out by the plaintiff can conceivably be rebutted by the defendant by leading evidence to show that it took all reasonable steps to ensure that the doors were closed before the train departed a station </w:t>
      </w:r>
      <w:r w:rsidR="00F34951">
        <w:rPr>
          <w:rFonts w:cs="Arial"/>
          <w:bCs/>
          <w:szCs w:val="22"/>
        </w:rPr>
        <w:lastRenderedPageBreak/>
        <w:t xml:space="preserve">and that the doors on the </w:t>
      </w:r>
      <w:r w:rsidR="00EC108D">
        <w:rPr>
          <w:rFonts w:cs="Arial"/>
          <w:bCs/>
          <w:szCs w:val="22"/>
        </w:rPr>
        <w:t xml:space="preserve">far </w:t>
      </w:r>
      <w:r w:rsidR="00F34951">
        <w:rPr>
          <w:rFonts w:cs="Arial"/>
          <w:bCs/>
          <w:szCs w:val="22"/>
        </w:rPr>
        <w:t>side were always closed.</w:t>
      </w:r>
      <w:r w:rsidR="007F1785" w:rsidRPr="007F1785">
        <w:rPr>
          <w:rStyle w:val="FootnoteReference"/>
          <w:rFonts w:cs="Arial"/>
          <w:bCs/>
          <w:szCs w:val="22"/>
        </w:rPr>
        <w:t xml:space="preserve"> </w:t>
      </w:r>
      <w:r w:rsidR="007F1785">
        <w:rPr>
          <w:rStyle w:val="FootnoteReference"/>
          <w:rFonts w:cs="Arial"/>
          <w:bCs/>
          <w:szCs w:val="22"/>
        </w:rPr>
        <w:footnoteReference w:id="19"/>
      </w:r>
      <w:r w:rsidR="007F1785">
        <w:rPr>
          <w:rFonts w:cs="Arial"/>
          <w:bCs/>
          <w:szCs w:val="22"/>
        </w:rPr>
        <w:t xml:space="preserve"> </w:t>
      </w:r>
      <w:r w:rsidR="008E6D4A">
        <w:rPr>
          <w:rFonts w:cs="Arial"/>
          <w:bCs/>
          <w:szCs w:val="22"/>
        </w:rPr>
        <w:t xml:space="preserve">The </w:t>
      </w:r>
      <w:r w:rsidR="009C448E">
        <w:rPr>
          <w:rFonts w:cs="Arial"/>
          <w:bCs/>
          <w:szCs w:val="22"/>
        </w:rPr>
        <w:t>defendant however</w:t>
      </w:r>
      <w:r w:rsidR="008E6D4A">
        <w:rPr>
          <w:rFonts w:cs="Arial"/>
          <w:bCs/>
          <w:szCs w:val="22"/>
        </w:rPr>
        <w:t xml:space="preserve"> elected to lead no evidence.</w:t>
      </w:r>
    </w:p>
    <w:p w14:paraId="0C15542F" w14:textId="41512F67" w:rsidR="009341BC" w:rsidRPr="009341BC" w:rsidRDefault="009341BC" w:rsidP="009341BC">
      <w:pPr>
        <w:widowControl w:val="0"/>
        <w:spacing w:before="480" w:after="480" w:line="480" w:lineRule="auto"/>
        <w:jc w:val="both"/>
        <w:rPr>
          <w:rFonts w:cs="Arial"/>
          <w:bCs/>
          <w:szCs w:val="22"/>
          <w:u w:val="single"/>
        </w:rPr>
      </w:pPr>
      <w:r w:rsidRPr="009341BC">
        <w:rPr>
          <w:rFonts w:cs="Arial"/>
          <w:bCs/>
          <w:szCs w:val="22"/>
          <w:u w:val="single"/>
        </w:rPr>
        <w:t>Causation</w:t>
      </w:r>
    </w:p>
    <w:p w14:paraId="2560A0E6" w14:textId="241A2A2B" w:rsidR="00C377F6" w:rsidRPr="00B57446" w:rsidRDefault="009D58F7" w:rsidP="00B57446">
      <w:pPr>
        <w:widowControl w:val="0"/>
        <w:tabs>
          <w:tab w:val="left" w:pos="567"/>
        </w:tabs>
        <w:spacing w:before="480" w:after="480" w:line="480" w:lineRule="auto"/>
        <w:jc w:val="both"/>
        <w:rPr>
          <w:rFonts w:cs="Arial"/>
          <w:bCs/>
          <w:szCs w:val="22"/>
        </w:rPr>
      </w:pPr>
      <w:r>
        <w:rPr>
          <w:rFonts w:cs="Arial"/>
          <w:bCs/>
          <w:szCs w:val="22"/>
        </w:rPr>
        <w:t>[34]</w:t>
      </w:r>
      <w:r>
        <w:rPr>
          <w:rFonts w:cs="Arial"/>
          <w:bCs/>
          <w:szCs w:val="22"/>
        </w:rPr>
        <w:tab/>
      </w:r>
      <w:r w:rsidR="009341BC">
        <w:rPr>
          <w:rFonts w:cs="Arial"/>
          <w:bCs/>
          <w:szCs w:val="22"/>
        </w:rPr>
        <w:t>Had the far side door been closed the plaintiff would not have fallen out of the train. The open door</w:t>
      </w:r>
      <w:r w:rsidR="004C4511">
        <w:rPr>
          <w:rFonts w:cs="Arial"/>
          <w:bCs/>
          <w:szCs w:val="22"/>
        </w:rPr>
        <w:t xml:space="preserve"> (left open wrongfully and negligently)</w:t>
      </w:r>
      <w:r w:rsidR="009341BC">
        <w:rPr>
          <w:rFonts w:cs="Arial"/>
          <w:bCs/>
          <w:szCs w:val="22"/>
        </w:rPr>
        <w:t xml:space="preserve"> was a </w:t>
      </w:r>
      <w:proofErr w:type="spellStart"/>
      <w:r w:rsidR="009341BC" w:rsidRPr="004C4511">
        <w:rPr>
          <w:rFonts w:cs="Arial"/>
          <w:bCs/>
          <w:i/>
          <w:iCs/>
          <w:szCs w:val="22"/>
        </w:rPr>
        <w:t>conditio</w:t>
      </w:r>
      <w:proofErr w:type="spellEnd"/>
      <w:r w:rsidR="009341BC" w:rsidRPr="004C4511">
        <w:rPr>
          <w:rFonts w:cs="Arial"/>
          <w:bCs/>
          <w:i/>
          <w:iCs/>
          <w:szCs w:val="22"/>
        </w:rPr>
        <w:t xml:space="preserve"> sine qua</w:t>
      </w:r>
      <w:r w:rsidR="009341BC">
        <w:rPr>
          <w:rFonts w:cs="Arial"/>
          <w:bCs/>
          <w:szCs w:val="22"/>
        </w:rPr>
        <w:t xml:space="preserve"> non for the fall and the injuries suffered by the plaintiff.</w:t>
      </w:r>
      <w:r w:rsidR="00041B14" w:rsidRPr="00041B14">
        <w:rPr>
          <w:rStyle w:val="FootnoteReference"/>
          <w:rFonts w:cs="Arial"/>
          <w:bCs/>
          <w:szCs w:val="22"/>
        </w:rPr>
        <w:t xml:space="preserve"> </w:t>
      </w:r>
      <w:r w:rsidR="00041B14">
        <w:rPr>
          <w:rStyle w:val="FootnoteReference"/>
          <w:rFonts w:cs="Arial"/>
          <w:bCs/>
          <w:szCs w:val="22"/>
        </w:rPr>
        <w:footnoteReference w:id="20"/>
      </w:r>
    </w:p>
    <w:p w14:paraId="0F250ED1" w14:textId="6704192A" w:rsidR="00C377F6" w:rsidRPr="00C377F6" w:rsidRDefault="00C377F6" w:rsidP="00C377F6">
      <w:pPr>
        <w:widowControl w:val="0"/>
        <w:spacing w:before="480" w:after="480" w:line="480" w:lineRule="auto"/>
        <w:jc w:val="both"/>
        <w:rPr>
          <w:rFonts w:cs="Arial"/>
          <w:bCs/>
          <w:szCs w:val="22"/>
          <w:u w:val="single"/>
        </w:rPr>
      </w:pPr>
      <w:r>
        <w:rPr>
          <w:rFonts w:cs="Arial"/>
          <w:bCs/>
          <w:szCs w:val="22"/>
          <w:u w:val="single"/>
        </w:rPr>
        <w:t>Contributory negligence</w:t>
      </w:r>
    </w:p>
    <w:p w14:paraId="6902C70D" w14:textId="29F02B39" w:rsidR="006573B4" w:rsidRDefault="009D58F7" w:rsidP="009D58F7">
      <w:pPr>
        <w:widowControl w:val="0"/>
        <w:tabs>
          <w:tab w:val="left" w:pos="567"/>
        </w:tabs>
        <w:spacing w:before="480" w:after="480" w:line="480" w:lineRule="auto"/>
        <w:jc w:val="both"/>
        <w:rPr>
          <w:rFonts w:cs="Arial"/>
          <w:bCs/>
          <w:szCs w:val="22"/>
        </w:rPr>
      </w:pPr>
      <w:r>
        <w:rPr>
          <w:rFonts w:cs="Arial"/>
          <w:bCs/>
          <w:szCs w:val="22"/>
        </w:rPr>
        <w:t>[35]</w:t>
      </w:r>
      <w:r>
        <w:rPr>
          <w:rFonts w:cs="Arial"/>
          <w:bCs/>
          <w:szCs w:val="22"/>
        </w:rPr>
        <w:tab/>
      </w:r>
      <w:r w:rsidR="009C448E">
        <w:rPr>
          <w:rFonts w:cs="Arial"/>
          <w:bCs/>
          <w:szCs w:val="22"/>
        </w:rPr>
        <w:t>There is no evidence of contributory</w:t>
      </w:r>
      <w:r w:rsidR="00731F09">
        <w:rPr>
          <w:rFonts w:cs="Arial"/>
          <w:bCs/>
          <w:szCs w:val="22"/>
        </w:rPr>
        <w:t xml:space="preserve"> negligence</w:t>
      </w:r>
      <w:r w:rsidR="00A103FF" w:rsidRPr="007F1785">
        <w:rPr>
          <w:rFonts w:cs="Arial"/>
          <w:bCs/>
          <w:szCs w:val="22"/>
        </w:rPr>
        <w:t>.</w:t>
      </w:r>
      <w:r w:rsidR="009C448E">
        <w:rPr>
          <w:rFonts w:cs="Arial"/>
          <w:bCs/>
          <w:szCs w:val="22"/>
        </w:rPr>
        <w:t xml:space="preserve"> It was suggested in cross examination that the plaintiff had jumped from the train, but </w:t>
      </w:r>
      <w:r w:rsidR="006573B4">
        <w:rPr>
          <w:rFonts w:cs="Arial"/>
          <w:bCs/>
          <w:szCs w:val="22"/>
        </w:rPr>
        <w:t xml:space="preserve">the </w:t>
      </w:r>
      <w:r w:rsidR="000C1335">
        <w:rPr>
          <w:rFonts w:cs="Arial"/>
          <w:bCs/>
          <w:szCs w:val="22"/>
        </w:rPr>
        <w:t xml:space="preserve">defendant’s </w:t>
      </w:r>
      <w:r w:rsidR="006573B4">
        <w:rPr>
          <w:rFonts w:cs="Arial"/>
          <w:bCs/>
          <w:szCs w:val="22"/>
        </w:rPr>
        <w:t xml:space="preserve">witness who gave evidence to the effect that he had been told this by the plaintiff had to concede that his memory may be faulty. </w:t>
      </w:r>
    </w:p>
    <w:p w14:paraId="179F965E" w14:textId="04F79A89" w:rsidR="006A3B6B" w:rsidRPr="007F1785" w:rsidRDefault="009D58F7" w:rsidP="009D58F7">
      <w:pPr>
        <w:widowControl w:val="0"/>
        <w:tabs>
          <w:tab w:val="left" w:pos="567"/>
        </w:tabs>
        <w:spacing w:before="480" w:after="480" w:line="480" w:lineRule="auto"/>
        <w:jc w:val="both"/>
        <w:rPr>
          <w:rFonts w:cs="Arial"/>
          <w:bCs/>
          <w:szCs w:val="22"/>
        </w:rPr>
      </w:pPr>
      <w:r w:rsidRPr="007F1785">
        <w:rPr>
          <w:rFonts w:cs="Arial"/>
          <w:bCs/>
          <w:szCs w:val="22"/>
        </w:rPr>
        <w:t>[36]</w:t>
      </w:r>
      <w:r w:rsidRPr="007F1785">
        <w:rPr>
          <w:rFonts w:cs="Arial"/>
          <w:bCs/>
          <w:szCs w:val="22"/>
        </w:rPr>
        <w:tab/>
      </w:r>
      <w:r w:rsidR="006573B4">
        <w:rPr>
          <w:rFonts w:cs="Arial"/>
          <w:bCs/>
          <w:szCs w:val="22"/>
        </w:rPr>
        <w:t>The plaintiff’s u</w:t>
      </w:r>
      <w:r w:rsidR="009C448E">
        <w:rPr>
          <w:rFonts w:cs="Arial"/>
          <w:bCs/>
          <w:szCs w:val="22"/>
        </w:rPr>
        <w:t xml:space="preserve">ndisputed evidence was that he was on his way home and intended to disembark at Pilot station. There would be no reason for him to disembark at the Lindela station. </w:t>
      </w:r>
      <w:r w:rsidR="00A62A3E">
        <w:rPr>
          <w:rFonts w:cs="Arial"/>
          <w:bCs/>
          <w:szCs w:val="22"/>
        </w:rPr>
        <w:t>There was also no evidence that his behaviour differed from that of the other passengers when the explosion occurred in the back of the carriage and that he jumped out because of fear or that he over-reacted.</w:t>
      </w:r>
    </w:p>
    <w:p w14:paraId="66E14AFB" w14:textId="08ED7EEF" w:rsidR="000C1335" w:rsidRDefault="000C1335" w:rsidP="000C1335">
      <w:pPr>
        <w:widowControl w:val="0"/>
        <w:spacing w:before="480" w:after="480" w:line="480" w:lineRule="auto"/>
        <w:jc w:val="both"/>
        <w:rPr>
          <w:rFonts w:cs="Arial"/>
          <w:bCs/>
          <w:szCs w:val="22"/>
          <w:u w:val="single"/>
        </w:rPr>
      </w:pPr>
    </w:p>
    <w:p w14:paraId="1A2B5850" w14:textId="0BF26562" w:rsidR="000C1335" w:rsidRPr="000C1335" w:rsidRDefault="000C1335" w:rsidP="000C1335">
      <w:pPr>
        <w:widowControl w:val="0"/>
        <w:spacing w:before="480" w:after="480" w:line="480" w:lineRule="auto"/>
        <w:jc w:val="both"/>
        <w:rPr>
          <w:rFonts w:cs="Arial"/>
          <w:bCs/>
          <w:szCs w:val="22"/>
          <w:u w:val="single"/>
        </w:rPr>
      </w:pPr>
      <w:r>
        <w:rPr>
          <w:rFonts w:cs="Arial"/>
          <w:bCs/>
          <w:szCs w:val="22"/>
          <w:u w:val="single"/>
        </w:rPr>
        <w:lastRenderedPageBreak/>
        <w:t>Conclusion</w:t>
      </w:r>
    </w:p>
    <w:p w14:paraId="4D386E55" w14:textId="080362F2" w:rsidR="000C1335" w:rsidRDefault="009D58F7" w:rsidP="009D58F7">
      <w:pPr>
        <w:widowControl w:val="0"/>
        <w:tabs>
          <w:tab w:val="left" w:pos="567"/>
        </w:tabs>
        <w:spacing w:before="480" w:after="480" w:line="480" w:lineRule="auto"/>
        <w:jc w:val="both"/>
        <w:rPr>
          <w:rFonts w:cs="Arial"/>
          <w:bCs/>
          <w:szCs w:val="22"/>
        </w:rPr>
      </w:pPr>
      <w:r>
        <w:rPr>
          <w:rFonts w:cs="Arial"/>
          <w:bCs/>
          <w:szCs w:val="22"/>
        </w:rPr>
        <w:t>[37]</w:t>
      </w:r>
      <w:r>
        <w:rPr>
          <w:rFonts w:cs="Arial"/>
          <w:bCs/>
          <w:szCs w:val="22"/>
        </w:rPr>
        <w:tab/>
      </w:r>
      <w:r w:rsidR="000C1335">
        <w:rPr>
          <w:rFonts w:cs="Arial"/>
          <w:bCs/>
          <w:szCs w:val="22"/>
        </w:rPr>
        <w:t xml:space="preserve">The plaintiff made out a </w:t>
      </w:r>
      <w:r w:rsidR="000C1335" w:rsidRPr="000C1335">
        <w:rPr>
          <w:rFonts w:cs="Arial"/>
          <w:bCs/>
          <w:i/>
          <w:iCs/>
          <w:szCs w:val="22"/>
        </w:rPr>
        <w:t>prima facie</w:t>
      </w:r>
      <w:r w:rsidR="000C1335">
        <w:rPr>
          <w:rFonts w:cs="Arial"/>
          <w:bCs/>
          <w:szCs w:val="22"/>
        </w:rPr>
        <w:t xml:space="preserve"> case and the defendant failed to lead evidence to discharge the </w:t>
      </w:r>
      <w:r w:rsidR="00B37181">
        <w:rPr>
          <w:rFonts w:cs="Arial"/>
          <w:bCs/>
          <w:szCs w:val="22"/>
        </w:rPr>
        <w:t>evidentiary burden</w:t>
      </w:r>
      <w:r w:rsidR="000C1335">
        <w:rPr>
          <w:rFonts w:cs="Arial"/>
          <w:bCs/>
          <w:szCs w:val="22"/>
        </w:rPr>
        <w:t>.</w:t>
      </w:r>
      <w:r w:rsidR="0082670C">
        <w:rPr>
          <w:rFonts w:cs="Arial"/>
          <w:bCs/>
          <w:szCs w:val="22"/>
        </w:rPr>
        <w:t xml:space="preserve"> The defendant is liable for the damages suffered by the plaintiff.</w:t>
      </w:r>
    </w:p>
    <w:p w14:paraId="2123C4F6" w14:textId="44FF0F86" w:rsidR="00051A2B" w:rsidRPr="00BF4DDA" w:rsidRDefault="009D58F7" w:rsidP="009D58F7">
      <w:pPr>
        <w:widowControl w:val="0"/>
        <w:tabs>
          <w:tab w:val="left" w:pos="567"/>
        </w:tabs>
        <w:spacing w:before="480" w:after="480" w:line="480" w:lineRule="auto"/>
        <w:jc w:val="both"/>
        <w:rPr>
          <w:rFonts w:cs="Arial"/>
          <w:bCs/>
          <w:szCs w:val="22"/>
        </w:rPr>
      </w:pPr>
      <w:r w:rsidRPr="00BF4DDA">
        <w:rPr>
          <w:rFonts w:cs="Arial"/>
          <w:bCs/>
          <w:szCs w:val="22"/>
        </w:rPr>
        <w:t>[38]</w:t>
      </w:r>
      <w:r w:rsidRPr="00BF4DDA">
        <w:rPr>
          <w:rFonts w:cs="Arial"/>
          <w:bCs/>
          <w:szCs w:val="22"/>
        </w:rPr>
        <w:tab/>
      </w:r>
      <w:r w:rsidR="00051A2B" w:rsidRPr="00BF4DDA">
        <w:rPr>
          <w:rFonts w:cs="Arial"/>
          <w:bCs/>
          <w:szCs w:val="22"/>
        </w:rPr>
        <w:t>I therefore make the order as set out above.</w:t>
      </w:r>
    </w:p>
    <w:p w14:paraId="3E6BA7DA" w14:textId="43133B0D" w:rsidR="00AE287F" w:rsidRDefault="00AE287F" w:rsidP="006C43D7">
      <w:pPr>
        <w:tabs>
          <w:tab w:val="right" w:pos="0"/>
        </w:tabs>
        <w:spacing w:line="360" w:lineRule="auto"/>
        <w:contextualSpacing/>
        <w:jc w:val="right"/>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073F9B58"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6C43D7">
        <w:rPr>
          <w:rFonts w:eastAsia="Arial Unicode MS" w:cs="Arial"/>
          <w:bCs/>
        </w:rPr>
        <w:t>CaseLines</w:t>
      </w:r>
      <w:proofErr w:type="spellEnd"/>
      <w:r w:rsidRPr="006C43D7">
        <w:rPr>
          <w:rFonts w:eastAsia="Arial Unicode MS" w:cs="Arial"/>
          <w:bCs/>
        </w:rPr>
        <w:t>. The date of the judgment is deemed to be</w:t>
      </w:r>
      <w:r w:rsidR="00C460A0">
        <w:rPr>
          <w:rFonts w:eastAsia="Arial Unicode MS" w:cs="Arial"/>
          <w:bCs/>
        </w:rPr>
        <w:t xml:space="preserve"> </w:t>
      </w:r>
      <w:r w:rsidR="006573B4">
        <w:rPr>
          <w:rFonts w:eastAsia="Arial Unicode MS" w:cs="Arial"/>
          <w:b/>
        </w:rPr>
        <w:t>1</w:t>
      </w:r>
      <w:r w:rsidR="00E46912">
        <w:rPr>
          <w:rFonts w:eastAsia="Arial Unicode MS" w:cs="Arial"/>
          <w:b/>
        </w:rPr>
        <w:t>4</w:t>
      </w:r>
      <w:r w:rsidR="00DC6EF8" w:rsidRPr="005B696E">
        <w:rPr>
          <w:rFonts w:eastAsia="Arial Unicode MS" w:cs="Arial"/>
          <w:b/>
        </w:rPr>
        <w:t xml:space="preserve"> </w:t>
      </w:r>
      <w:r w:rsidR="00DC6EF8">
        <w:rPr>
          <w:rFonts w:eastAsia="Arial Unicode MS" w:cs="Arial"/>
          <w:b/>
          <w:bCs/>
        </w:rPr>
        <w:t>FEBRUARY</w:t>
      </w:r>
      <w:r w:rsidR="00237FF9">
        <w:rPr>
          <w:rFonts w:eastAsia="Arial Unicode MS" w:cs="Arial"/>
          <w:b/>
          <w:bCs/>
        </w:rPr>
        <w:t xml:space="preserve"> 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51"/>
      </w:tblGrid>
      <w:tr w:rsidR="009D35B5" w14:paraId="493AF0D7" w14:textId="77777777" w:rsidTr="006E3064">
        <w:tc>
          <w:tcPr>
            <w:tcW w:w="4962" w:type="dxa"/>
          </w:tcPr>
          <w:p w14:paraId="6A05541A" w14:textId="0DD3AE55"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THE </w:t>
            </w:r>
            <w:r w:rsidR="006245EC">
              <w:rPr>
                <w:rFonts w:cs="Arial"/>
              </w:rPr>
              <w:t>PLAINTIFF</w:t>
            </w:r>
            <w:r w:rsidRPr="006C43D7">
              <w:rPr>
                <w:rFonts w:cs="Arial"/>
              </w:rPr>
              <w:t>:</w:t>
            </w:r>
          </w:p>
        </w:tc>
        <w:tc>
          <w:tcPr>
            <w:tcW w:w="3651" w:type="dxa"/>
          </w:tcPr>
          <w:p w14:paraId="69785AA9" w14:textId="411FAF84" w:rsidR="00DC6EF8" w:rsidRDefault="00DF5291" w:rsidP="00DF5291">
            <w:pPr>
              <w:tabs>
                <w:tab w:val="right" w:pos="0"/>
                <w:tab w:val="left" w:pos="567"/>
                <w:tab w:val="right" w:pos="2727"/>
                <w:tab w:val="left" w:pos="4253"/>
              </w:tabs>
              <w:spacing w:line="360" w:lineRule="auto"/>
              <w:contextualSpacing/>
              <w:jc w:val="right"/>
              <w:rPr>
                <w:rFonts w:cs="Arial"/>
              </w:rPr>
            </w:pPr>
            <w:r>
              <w:rPr>
                <w:rFonts w:cs="Arial"/>
              </w:rPr>
              <w:t>E KROMHOUT</w:t>
            </w:r>
          </w:p>
        </w:tc>
      </w:tr>
      <w:tr w:rsidR="009D35B5" w14:paraId="183C176D" w14:textId="77777777" w:rsidTr="006E3064">
        <w:tc>
          <w:tcPr>
            <w:tcW w:w="4962" w:type="dxa"/>
          </w:tcPr>
          <w:p w14:paraId="75365413" w14:textId="481747B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4044534A" w14:textId="2743245B" w:rsidR="009D35B5" w:rsidRDefault="00DF5291" w:rsidP="00424BA6">
            <w:pPr>
              <w:tabs>
                <w:tab w:val="right" w:pos="0"/>
                <w:tab w:val="left" w:pos="4253"/>
              </w:tabs>
              <w:spacing w:line="360" w:lineRule="auto"/>
              <w:contextualSpacing/>
              <w:jc w:val="right"/>
              <w:rPr>
                <w:rFonts w:cs="Arial"/>
              </w:rPr>
            </w:pPr>
            <w:r>
              <w:rPr>
                <w:rFonts w:cs="Arial"/>
              </w:rPr>
              <w:t>MNGUNI ATTORNEYS INC</w:t>
            </w:r>
          </w:p>
        </w:tc>
      </w:tr>
      <w:tr w:rsidR="009D35B5" w14:paraId="6E2BF966" w14:textId="77777777" w:rsidTr="006E3064">
        <w:tc>
          <w:tcPr>
            <w:tcW w:w="4962" w:type="dxa"/>
          </w:tcPr>
          <w:p w14:paraId="545B6665" w14:textId="0C31C439"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6245EC">
              <w:rPr>
                <w:rFonts w:cs="Arial"/>
              </w:rPr>
              <w:t>DEFENDANT</w:t>
            </w:r>
            <w:r w:rsidRPr="006C43D7">
              <w:rPr>
                <w:rFonts w:cs="Arial"/>
              </w:rPr>
              <w:t>:</w:t>
            </w:r>
          </w:p>
        </w:tc>
        <w:tc>
          <w:tcPr>
            <w:tcW w:w="3651" w:type="dxa"/>
          </w:tcPr>
          <w:p w14:paraId="51741A90" w14:textId="6A516C62" w:rsidR="009D35B5" w:rsidRDefault="006245EC" w:rsidP="00424BA6">
            <w:pPr>
              <w:tabs>
                <w:tab w:val="right" w:pos="0"/>
                <w:tab w:val="left" w:pos="4253"/>
              </w:tabs>
              <w:spacing w:line="360" w:lineRule="auto"/>
              <w:contextualSpacing/>
              <w:jc w:val="right"/>
              <w:rPr>
                <w:rFonts w:cs="Arial"/>
              </w:rPr>
            </w:pPr>
            <w:r>
              <w:rPr>
                <w:rFonts w:cs="Arial"/>
              </w:rPr>
              <w:t>L MATSIELA</w:t>
            </w:r>
          </w:p>
        </w:tc>
      </w:tr>
      <w:tr w:rsidR="009D35B5" w14:paraId="1EC4105A" w14:textId="77777777" w:rsidTr="006E3064">
        <w:tc>
          <w:tcPr>
            <w:tcW w:w="4962" w:type="dxa"/>
          </w:tcPr>
          <w:p w14:paraId="184EC2ED" w14:textId="1E42F28A"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2098BE2A" w14:textId="46714400" w:rsidR="009D35B5" w:rsidRDefault="006245EC" w:rsidP="00424BA6">
            <w:pPr>
              <w:tabs>
                <w:tab w:val="right" w:pos="0"/>
                <w:tab w:val="left" w:pos="4253"/>
              </w:tabs>
              <w:spacing w:line="360" w:lineRule="auto"/>
              <w:contextualSpacing/>
              <w:jc w:val="right"/>
              <w:rPr>
                <w:rFonts w:cs="Arial"/>
              </w:rPr>
            </w:pPr>
            <w:r>
              <w:rPr>
                <w:rFonts w:cs="Arial"/>
              </w:rPr>
              <w:t>PADI INC</w:t>
            </w:r>
          </w:p>
        </w:tc>
      </w:tr>
      <w:tr w:rsidR="009D35B5" w14:paraId="2A3FE2B1" w14:textId="77777777" w:rsidTr="006E3064">
        <w:tc>
          <w:tcPr>
            <w:tcW w:w="4962" w:type="dxa"/>
          </w:tcPr>
          <w:p w14:paraId="0767D0FE" w14:textId="4707CE9D"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THE </w:t>
            </w:r>
            <w:r w:rsidR="006245EC">
              <w:rPr>
                <w:rFonts w:cs="Arial"/>
              </w:rPr>
              <w:t>TRIAL</w:t>
            </w:r>
            <w:r w:rsidRPr="006C43D7">
              <w:rPr>
                <w:rFonts w:cs="Arial"/>
              </w:rPr>
              <w:t>:</w:t>
            </w:r>
          </w:p>
        </w:tc>
        <w:tc>
          <w:tcPr>
            <w:tcW w:w="3651" w:type="dxa"/>
          </w:tcPr>
          <w:p w14:paraId="34C95147" w14:textId="06694A5C" w:rsidR="009D35B5" w:rsidRDefault="006245EC" w:rsidP="009D35B5">
            <w:pPr>
              <w:tabs>
                <w:tab w:val="right" w:pos="0"/>
                <w:tab w:val="left" w:pos="4253"/>
              </w:tabs>
              <w:spacing w:line="360" w:lineRule="auto"/>
              <w:contextualSpacing/>
              <w:jc w:val="right"/>
              <w:rPr>
                <w:rFonts w:cs="Arial"/>
              </w:rPr>
            </w:pPr>
            <w:r>
              <w:rPr>
                <w:rFonts w:cs="Arial"/>
              </w:rPr>
              <w:t xml:space="preserve">7 &amp; 8 FEBRUARY </w:t>
            </w:r>
            <w:r w:rsidR="00051A2B">
              <w:rPr>
                <w:rFonts w:cs="Arial"/>
              </w:rPr>
              <w:t>2023</w:t>
            </w:r>
          </w:p>
        </w:tc>
      </w:tr>
      <w:tr w:rsidR="009D35B5" w14:paraId="2AC11E46" w14:textId="77777777" w:rsidTr="006E3064">
        <w:tc>
          <w:tcPr>
            <w:tcW w:w="4962" w:type="dxa"/>
          </w:tcPr>
          <w:p w14:paraId="1136CEE6" w14:textId="67FA0375"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w:t>
            </w:r>
            <w:r>
              <w:rPr>
                <w:rFonts w:cs="Arial"/>
              </w:rPr>
              <w:t>ORDER</w:t>
            </w:r>
            <w:r w:rsidRPr="006C43D7">
              <w:rPr>
                <w:rFonts w:cs="Arial"/>
              </w:rPr>
              <w:t>:</w:t>
            </w:r>
          </w:p>
        </w:tc>
        <w:tc>
          <w:tcPr>
            <w:tcW w:w="3651" w:type="dxa"/>
          </w:tcPr>
          <w:p w14:paraId="7EAC157B" w14:textId="17044C2D" w:rsidR="009D35B5" w:rsidRDefault="006573B4" w:rsidP="009D35B5">
            <w:pPr>
              <w:tabs>
                <w:tab w:val="right" w:pos="0"/>
                <w:tab w:val="left" w:pos="4253"/>
              </w:tabs>
              <w:spacing w:line="360" w:lineRule="auto"/>
              <w:contextualSpacing/>
              <w:jc w:val="right"/>
              <w:rPr>
                <w:rFonts w:cs="Arial"/>
              </w:rPr>
            </w:pPr>
            <w:r>
              <w:rPr>
                <w:rFonts w:cs="Arial"/>
              </w:rPr>
              <w:t>1</w:t>
            </w:r>
            <w:r w:rsidR="00E46912">
              <w:rPr>
                <w:rFonts w:cs="Arial"/>
              </w:rPr>
              <w:t>4</w:t>
            </w:r>
            <w:r w:rsidR="00DC6EF8">
              <w:rPr>
                <w:rFonts w:cs="Arial"/>
              </w:rPr>
              <w:t xml:space="preserve"> FEBRUARY</w:t>
            </w:r>
            <w:r w:rsidR="00051A2B">
              <w:rPr>
                <w:rFonts w:cs="Arial"/>
              </w:rPr>
              <w:t xml:space="preserve"> 2023</w:t>
            </w:r>
          </w:p>
        </w:tc>
      </w:tr>
      <w:tr w:rsidR="009D35B5" w14:paraId="757AA656" w14:textId="77777777" w:rsidTr="006E3064">
        <w:tc>
          <w:tcPr>
            <w:tcW w:w="4962"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3651" w:type="dxa"/>
          </w:tcPr>
          <w:p w14:paraId="61863A62" w14:textId="476DAF64" w:rsidR="009D35B5" w:rsidRDefault="006573B4" w:rsidP="009D35B5">
            <w:pPr>
              <w:tabs>
                <w:tab w:val="right" w:pos="0"/>
                <w:tab w:val="left" w:pos="4253"/>
              </w:tabs>
              <w:spacing w:line="360" w:lineRule="auto"/>
              <w:contextualSpacing/>
              <w:jc w:val="right"/>
              <w:rPr>
                <w:rFonts w:cs="Arial"/>
              </w:rPr>
            </w:pPr>
            <w:r>
              <w:rPr>
                <w:rFonts w:cs="Arial"/>
              </w:rPr>
              <w:t>1</w:t>
            </w:r>
            <w:r w:rsidR="00A06516">
              <w:rPr>
                <w:rFonts w:cs="Arial"/>
              </w:rPr>
              <w:t>4</w:t>
            </w:r>
            <w:r w:rsidR="005B696E">
              <w:rPr>
                <w:rFonts w:cs="Arial"/>
              </w:rPr>
              <w:t xml:space="preserve"> </w:t>
            </w:r>
            <w:r w:rsidR="00DC6EF8">
              <w:rPr>
                <w:rFonts w:cs="Arial"/>
              </w:rPr>
              <w:t>FEBRUARY</w:t>
            </w:r>
            <w:r w:rsidR="00051A2B">
              <w:rPr>
                <w:rFonts w:cs="Arial"/>
              </w:rPr>
              <w:t xml:space="preserve"> 2023</w:t>
            </w:r>
          </w:p>
        </w:tc>
      </w:tr>
    </w:tbl>
    <w:p w14:paraId="1BD8F4EB" w14:textId="24205645" w:rsidR="00A402F6" w:rsidRPr="006C43D7" w:rsidRDefault="00A402F6" w:rsidP="00A402F6">
      <w:pPr>
        <w:tabs>
          <w:tab w:val="right" w:pos="8647"/>
        </w:tabs>
        <w:spacing w:line="360" w:lineRule="auto"/>
        <w:contextualSpacing/>
        <w:jc w:val="both"/>
        <w:rPr>
          <w:rFonts w:cs="Arial"/>
        </w:rPr>
      </w:pPr>
      <w:r w:rsidRPr="006C43D7">
        <w:rPr>
          <w:rFonts w:cs="Arial"/>
        </w:rPr>
        <w:tab/>
      </w:r>
    </w:p>
    <w:sectPr w:rsidR="00A402F6" w:rsidRPr="006C43D7"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E89B" w14:textId="77777777" w:rsidR="002F55B9" w:rsidRDefault="002F55B9">
      <w:r>
        <w:separator/>
      </w:r>
    </w:p>
  </w:endnote>
  <w:endnote w:type="continuationSeparator" w:id="0">
    <w:p w14:paraId="3488D9F5" w14:textId="77777777" w:rsidR="002F55B9" w:rsidRDefault="002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7EC8" w14:textId="77777777" w:rsidR="002F55B9" w:rsidRDefault="002F55B9">
      <w:r>
        <w:separator/>
      </w:r>
    </w:p>
  </w:footnote>
  <w:footnote w:type="continuationSeparator" w:id="0">
    <w:p w14:paraId="71D6D6C7" w14:textId="77777777" w:rsidR="002F55B9" w:rsidRDefault="002F55B9">
      <w:r>
        <w:continuationSeparator/>
      </w:r>
    </w:p>
  </w:footnote>
  <w:footnote w:id="1">
    <w:p w14:paraId="48054B96" w14:textId="5688CBA9" w:rsidR="00364E6A" w:rsidRDefault="00364E6A">
      <w:pPr>
        <w:pStyle w:val="FootnoteText"/>
      </w:pPr>
      <w:r>
        <w:rPr>
          <w:rStyle w:val="FootnoteReference"/>
        </w:rPr>
        <w:footnoteRef/>
      </w:r>
      <w:r>
        <w:t xml:space="preserve"> </w:t>
      </w:r>
      <w:r>
        <w:tab/>
      </w:r>
      <w:proofErr w:type="spellStart"/>
      <w:r>
        <w:t>CaseLines</w:t>
      </w:r>
      <w:proofErr w:type="spellEnd"/>
      <w:r>
        <w:t xml:space="preserve"> 027-37</w:t>
      </w:r>
      <w:r w:rsidR="000534A0">
        <w:t>.</w:t>
      </w:r>
    </w:p>
  </w:footnote>
  <w:footnote w:id="2">
    <w:p w14:paraId="50DC3BAB" w14:textId="6E4CA456" w:rsidR="00ED3B36" w:rsidRDefault="00ED3B36">
      <w:pPr>
        <w:pStyle w:val="FootnoteText"/>
      </w:pPr>
      <w:r>
        <w:rPr>
          <w:rStyle w:val="FootnoteReference"/>
        </w:rPr>
        <w:footnoteRef/>
      </w:r>
      <w:r>
        <w:t xml:space="preserve"> </w:t>
      </w:r>
      <w:r>
        <w:tab/>
        <w:t>Particulars of claim, par</w:t>
      </w:r>
      <w:r w:rsidR="00B61667">
        <w:t>as</w:t>
      </w:r>
      <w:r>
        <w:t xml:space="preserve"> 6, 8.12</w:t>
      </w:r>
      <w:r w:rsidR="00092591">
        <w:t>, 8.13, and 8.15.</w:t>
      </w:r>
    </w:p>
  </w:footnote>
  <w:footnote w:id="3">
    <w:p w14:paraId="7113085A" w14:textId="43919CFF" w:rsidR="00092591" w:rsidRDefault="00092591">
      <w:pPr>
        <w:pStyle w:val="FootnoteText"/>
      </w:pPr>
      <w:r>
        <w:rPr>
          <w:rStyle w:val="FootnoteReference"/>
        </w:rPr>
        <w:footnoteRef/>
      </w:r>
      <w:r>
        <w:t xml:space="preserve"> </w:t>
      </w:r>
      <w:r>
        <w:tab/>
        <w:t>P</w:t>
      </w:r>
      <w:r w:rsidR="00B61667">
        <w:t>articulars of claim, par.</w:t>
      </w:r>
      <w:r>
        <w:t xml:space="preserve"> 8.12.</w:t>
      </w:r>
    </w:p>
  </w:footnote>
  <w:footnote w:id="4">
    <w:p w14:paraId="6FE247C6" w14:textId="0BA2672B" w:rsidR="00364E6A" w:rsidRDefault="00364E6A">
      <w:pPr>
        <w:pStyle w:val="FootnoteText"/>
      </w:pPr>
      <w:r>
        <w:rPr>
          <w:rStyle w:val="FootnoteReference"/>
        </w:rPr>
        <w:footnoteRef/>
      </w:r>
      <w:r>
        <w:t xml:space="preserve"> </w:t>
      </w:r>
      <w:r>
        <w:tab/>
      </w:r>
      <w:proofErr w:type="spellStart"/>
      <w:r>
        <w:t>CaseLines</w:t>
      </w:r>
      <w:proofErr w:type="spellEnd"/>
      <w:r>
        <w:t xml:space="preserve"> 032-1.</w:t>
      </w:r>
    </w:p>
  </w:footnote>
  <w:footnote w:id="5">
    <w:p w14:paraId="0318C623" w14:textId="45D5CC8E" w:rsidR="00192F78" w:rsidRDefault="00192F78">
      <w:pPr>
        <w:pStyle w:val="FootnoteText"/>
      </w:pPr>
      <w:r>
        <w:rPr>
          <w:rStyle w:val="FootnoteReference"/>
        </w:rPr>
        <w:footnoteRef/>
      </w:r>
      <w:r>
        <w:t xml:space="preserve"> </w:t>
      </w:r>
      <w:r>
        <w:tab/>
        <w:t xml:space="preserve">The plaintiff testified through a Zulu/English interpreter, Mr. </w:t>
      </w:r>
      <w:proofErr w:type="spellStart"/>
      <w:r>
        <w:t>Mthombeni</w:t>
      </w:r>
      <w:proofErr w:type="spellEnd"/>
      <w:r>
        <w:t>.</w:t>
      </w:r>
    </w:p>
  </w:footnote>
  <w:footnote w:id="6">
    <w:p w14:paraId="5DA6AB6A" w14:textId="77777777" w:rsidR="00B33B5B" w:rsidRDefault="00B33B5B" w:rsidP="00B33B5B">
      <w:pPr>
        <w:pStyle w:val="FootnoteText"/>
      </w:pPr>
      <w:r>
        <w:rPr>
          <w:rStyle w:val="FootnoteReference"/>
        </w:rPr>
        <w:footnoteRef/>
      </w:r>
      <w:r>
        <w:t xml:space="preserve"> </w:t>
      </w:r>
      <w:r>
        <w:tab/>
      </w:r>
      <w:proofErr w:type="spellStart"/>
      <w:r>
        <w:t>CaseLines</w:t>
      </w:r>
      <w:proofErr w:type="spellEnd"/>
      <w:r>
        <w:t xml:space="preserve"> 027-4.</w:t>
      </w:r>
    </w:p>
  </w:footnote>
  <w:footnote w:id="7">
    <w:p w14:paraId="61C17061" w14:textId="77777777" w:rsidR="008F14CE" w:rsidRDefault="008F14CE" w:rsidP="008F14CE">
      <w:pPr>
        <w:pStyle w:val="FootnoteText"/>
      </w:pPr>
      <w:r>
        <w:rPr>
          <w:rStyle w:val="FootnoteReference"/>
        </w:rPr>
        <w:footnoteRef/>
      </w:r>
      <w:r>
        <w:t xml:space="preserve"> </w:t>
      </w:r>
      <w:r>
        <w:tab/>
        <w:t xml:space="preserve">See </w:t>
      </w:r>
      <w:r w:rsidRPr="001879D4">
        <w:rPr>
          <w:i/>
          <w:iCs/>
        </w:rPr>
        <w:t>Rail Commuters Action Group and Others v Transnet Ltd t/a Metrorail and Others</w:t>
      </w:r>
      <w:r>
        <w:t xml:space="preserve"> </w:t>
      </w:r>
      <w:r w:rsidRPr="00763A70">
        <w:t>2005 (2) SA 359 (CC)</w:t>
      </w:r>
      <w:r>
        <w:t xml:space="preserve"> par. 79 </w:t>
      </w:r>
      <w:r w:rsidRPr="00A62A3E">
        <w:rPr>
          <w:i/>
          <w:iCs/>
        </w:rPr>
        <w:t xml:space="preserve">et </w:t>
      </w:r>
      <w:proofErr w:type="spellStart"/>
      <w:r w:rsidRPr="00A62A3E">
        <w:rPr>
          <w:i/>
          <w:iCs/>
        </w:rPr>
        <w:t>seq</w:t>
      </w:r>
      <w:proofErr w:type="spellEnd"/>
      <w:r>
        <w:rPr>
          <w:i/>
          <w:iCs/>
        </w:rPr>
        <w:t xml:space="preserve">, </w:t>
      </w:r>
      <w:r w:rsidRPr="006573B4">
        <w:t>and</w:t>
      </w:r>
      <w:r>
        <w:rPr>
          <w:i/>
          <w:iCs/>
        </w:rPr>
        <w:t xml:space="preserve"> </w:t>
      </w:r>
      <w:proofErr w:type="spellStart"/>
      <w:r w:rsidRPr="00DE799E">
        <w:rPr>
          <w:i/>
          <w:iCs/>
        </w:rPr>
        <w:t>Mashongwa</w:t>
      </w:r>
      <w:proofErr w:type="spellEnd"/>
      <w:r w:rsidRPr="00DE799E">
        <w:rPr>
          <w:i/>
          <w:iCs/>
        </w:rPr>
        <w:t xml:space="preserve"> v Passenger Rail Agency of South Africa</w:t>
      </w:r>
      <w:r>
        <w:t xml:space="preserve"> </w:t>
      </w:r>
      <w:r w:rsidRPr="0032364D">
        <w:t>2016 (3) SA 528 (CC)</w:t>
      </w:r>
      <w:r>
        <w:t xml:space="preserve"> paras 16 to 21.</w:t>
      </w:r>
    </w:p>
  </w:footnote>
  <w:footnote w:id="8">
    <w:p w14:paraId="5501110E" w14:textId="2CFF7608" w:rsidR="008F14CE" w:rsidRDefault="008F14CE" w:rsidP="008F14CE">
      <w:pPr>
        <w:pStyle w:val="FootnoteText"/>
      </w:pPr>
      <w:r>
        <w:rPr>
          <w:rStyle w:val="FootnoteReference"/>
        </w:rPr>
        <w:footnoteRef/>
      </w:r>
      <w:r>
        <w:t xml:space="preserve"> </w:t>
      </w:r>
      <w:r>
        <w:tab/>
        <w:t xml:space="preserve">See </w:t>
      </w:r>
      <w:proofErr w:type="spellStart"/>
      <w:r w:rsidRPr="00DE799E">
        <w:rPr>
          <w:i/>
          <w:iCs/>
        </w:rPr>
        <w:t>Mashongwa</w:t>
      </w:r>
      <w:proofErr w:type="spellEnd"/>
      <w:r w:rsidRPr="00DE799E">
        <w:rPr>
          <w:i/>
          <w:iCs/>
        </w:rPr>
        <w:t xml:space="preserve"> v Passenger Rail Agency of South Africa</w:t>
      </w:r>
      <w:r>
        <w:t xml:space="preserve"> par. 23. </w:t>
      </w:r>
      <w:proofErr w:type="spellStart"/>
      <w:r>
        <w:t>Mogoeng</w:t>
      </w:r>
      <w:proofErr w:type="spellEnd"/>
      <w:r>
        <w:t xml:space="preserve"> CJ said: </w:t>
      </w:r>
      <w:r w:rsidRPr="00E37501">
        <w:rPr>
          <w:i/>
          <w:iCs/>
        </w:rPr>
        <w:t>“</w:t>
      </w:r>
      <w:r>
        <w:rPr>
          <w:i/>
          <w:iCs/>
        </w:rPr>
        <w:t>An omission will be regarded as wrongful when it ‘evokes moral indignation and the legal convictions of the community require that the omission be regarded as wrongful</w:t>
      </w:r>
      <w:r w:rsidR="004804A7">
        <w:rPr>
          <w:i/>
          <w:iCs/>
        </w:rPr>
        <w:t>.</w:t>
      </w:r>
      <w:r>
        <w:rPr>
          <w:i/>
          <w:iCs/>
        </w:rPr>
        <w:t>’</w:t>
      </w:r>
      <w:r w:rsidRPr="00E37501">
        <w:rPr>
          <w:i/>
          <w:iCs/>
        </w:rPr>
        <w:t>”</w:t>
      </w:r>
    </w:p>
  </w:footnote>
  <w:footnote w:id="9">
    <w:p w14:paraId="033FFAB1" w14:textId="5680B043" w:rsidR="006627E6" w:rsidRDefault="006627E6">
      <w:pPr>
        <w:pStyle w:val="FootnoteText"/>
      </w:pPr>
      <w:r>
        <w:rPr>
          <w:rStyle w:val="FootnoteReference"/>
        </w:rPr>
        <w:footnoteRef/>
      </w:r>
      <w:r>
        <w:t xml:space="preserve"> </w:t>
      </w:r>
      <w:r w:rsidR="005259D8">
        <w:tab/>
      </w:r>
      <w:r w:rsidRPr="006627E6">
        <w:rPr>
          <w:i/>
          <w:iCs/>
        </w:rPr>
        <w:t>Kruger v Coetzee</w:t>
      </w:r>
      <w:r>
        <w:t xml:space="preserve"> 1966 (2) SA 428 (A) 430E-F.</w:t>
      </w:r>
    </w:p>
  </w:footnote>
  <w:footnote w:id="10">
    <w:p w14:paraId="4923E78B" w14:textId="0B5563B7" w:rsidR="005259D8" w:rsidRDefault="005259D8">
      <w:pPr>
        <w:pStyle w:val="FootnoteText"/>
      </w:pPr>
      <w:r>
        <w:rPr>
          <w:rStyle w:val="FootnoteReference"/>
        </w:rPr>
        <w:footnoteRef/>
      </w:r>
      <w:r>
        <w:t xml:space="preserve"> </w:t>
      </w:r>
      <w:r>
        <w:tab/>
        <w:t>I.e., negligence.</w:t>
      </w:r>
    </w:p>
  </w:footnote>
  <w:footnote w:id="11">
    <w:p w14:paraId="62B78BA0" w14:textId="494F0A80" w:rsidR="00E635F8" w:rsidRDefault="00E635F8">
      <w:pPr>
        <w:pStyle w:val="FootnoteText"/>
      </w:pPr>
      <w:r>
        <w:rPr>
          <w:rStyle w:val="FootnoteReference"/>
        </w:rPr>
        <w:footnoteRef/>
      </w:r>
      <w:r>
        <w:t xml:space="preserve"> </w:t>
      </w:r>
      <w:r>
        <w:tab/>
        <w:t xml:space="preserve">The reasonable man, </w:t>
      </w:r>
      <w:r w:rsidR="000A1C9D">
        <w:t xml:space="preserve">travelling </w:t>
      </w:r>
      <w:r w:rsidR="004804A7">
        <w:t>on</w:t>
      </w:r>
      <w:r w:rsidR="000A1C9D">
        <w:t xml:space="preserve"> the proverbial bus to Putney.</w:t>
      </w:r>
    </w:p>
  </w:footnote>
  <w:footnote w:id="12">
    <w:p w14:paraId="0E60B243" w14:textId="3356A255" w:rsidR="00FC48F4" w:rsidRDefault="00FC48F4" w:rsidP="00FC48F4">
      <w:pPr>
        <w:pStyle w:val="FootnoteText"/>
      </w:pPr>
      <w:r>
        <w:rPr>
          <w:rStyle w:val="FootnoteReference"/>
        </w:rPr>
        <w:footnoteRef/>
      </w:r>
      <w:r>
        <w:t xml:space="preserve"> </w:t>
      </w:r>
      <w:r>
        <w:tab/>
        <w:t xml:space="preserve">For instance, in </w:t>
      </w:r>
      <w:r w:rsidRPr="00303919">
        <w:rPr>
          <w:i/>
          <w:iCs/>
        </w:rPr>
        <w:t>Transnet Ltd t/a Metrorail and Another v Witter</w:t>
      </w:r>
      <w:r>
        <w:t xml:space="preserve"> </w:t>
      </w:r>
      <w:r w:rsidRPr="009C04AD">
        <w:t>2008 (6) SA 549 (SCA)</w:t>
      </w:r>
      <w:r>
        <w:t xml:space="preserve"> 555 the Supreme Court of Appeal evaluated the written operating instructions of the appellant and heard evidence by experts. Such a document and such evidence could very well be very relevant to the present matter but neither the plaintiff nor the defendant elected to present such evidence. In </w:t>
      </w:r>
      <w:proofErr w:type="spellStart"/>
      <w:r w:rsidRPr="00853E83">
        <w:rPr>
          <w:i/>
          <w:iCs/>
        </w:rPr>
        <w:t>Mazibuko</w:t>
      </w:r>
      <w:proofErr w:type="spellEnd"/>
      <w:r w:rsidRPr="00853E83">
        <w:rPr>
          <w:i/>
          <w:iCs/>
        </w:rPr>
        <w:t xml:space="preserve"> v Passenger Rail Agency of South Africa</w:t>
      </w:r>
      <w:r>
        <w:t xml:space="preserve">, 2011/40493, </w:t>
      </w:r>
      <w:r w:rsidR="00AF291B">
        <w:t xml:space="preserve">South Gauteng High Court, </w:t>
      </w:r>
      <w:r>
        <w:t>7 December 2012</w:t>
      </w:r>
      <w:r w:rsidR="00AF291B">
        <w:t xml:space="preserve">, </w:t>
      </w:r>
      <w:r>
        <w:t>reference was made to the Metrorail General Operating Instructions.</w:t>
      </w:r>
    </w:p>
  </w:footnote>
  <w:footnote w:id="13">
    <w:p w14:paraId="61D3A7EE" w14:textId="13759B56" w:rsidR="001879D4" w:rsidRDefault="001879D4">
      <w:pPr>
        <w:pStyle w:val="FootnoteText"/>
      </w:pPr>
      <w:r>
        <w:rPr>
          <w:rStyle w:val="FootnoteReference"/>
        </w:rPr>
        <w:footnoteRef/>
      </w:r>
      <w:r>
        <w:t xml:space="preserve"> </w:t>
      </w:r>
      <w:r>
        <w:tab/>
      </w:r>
      <w:r w:rsidRPr="001879D4">
        <w:rPr>
          <w:i/>
          <w:iCs/>
        </w:rPr>
        <w:t>Rail Commuters Action Group and Others v Transnet Ltd t/a Metrorail and Others</w:t>
      </w:r>
      <w:r>
        <w:t xml:space="preserve"> </w:t>
      </w:r>
      <w:r w:rsidRPr="00763A70">
        <w:t>2005 (2) SA 359 (CC)</w:t>
      </w:r>
      <w:r w:rsidR="00A62A3E">
        <w:t>.</w:t>
      </w:r>
    </w:p>
  </w:footnote>
  <w:footnote w:id="14">
    <w:p w14:paraId="0B488B73" w14:textId="1ACDAE30" w:rsidR="0022710A" w:rsidRDefault="0022710A">
      <w:pPr>
        <w:pStyle w:val="FootnoteText"/>
      </w:pPr>
      <w:r>
        <w:rPr>
          <w:rStyle w:val="FootnoteReference"/>
        </w:rPr>
        <w:footnoteRef/>
      </w:r>
      <w:r>
        <w:t xml:space="preserve"> </w:t>
      </w:r>
      <w:r>
        <w:tab/>
      </w:r>
      <w:r w:rsidR="000534A0" w:rsidRPr="000534A0">
        <w:rPr>
          <w:i/>
          <w:iCs/>
        </w:rPr>
        <w:t>Shabalala v Metrorail</w:t>
      </w:r>
      <w:r w:rsidR="000534A0" w:rsidRPr="0032364D">
        <w:t xml:space="preserve"> 2008 (3) SA 142 (SCA)</w:t>
      </w:r>
      <w:r w:rsidR="000534A0">
        <w:t xml:space="preserve"> par</w:t>
      </w:r>
      <w:r w:rsidR="007938AD">
        <w:t>.</w:t>
      </w:r>
      <w:r w:rsidR="000534A0">
        <w:t xml:space="preserve"> 8,</w:t>
      </w:r>
      <w:r w:rsidR="007938AD">
        <w:t xml:space="preserve"> </w:t>
      </w:r>
      <w:r w:rsidR="007938AD" w:rsidRPr="007938AD">
        <w:rPr>
          <w:i/>
          <w:iCs/>
        </w:rPr>
        <w:t>Transnet Ltd t/a Metrorail and Another v Witter</w:t>
      </w:r>
      <w:r w:rsidR="007938AD">
        <w:t xml:space="preserve"> </w:t>
      </w:r>
      <w:r w:rsidR="007938AD" w:rsidRPr="0010261F">
        <w:t>2008</w:t>
      </w:r>
      <w:r w:rsidR="007938AD">
        <w:t xml:space="preserve"> </w:t>
      </w:r>
      <w:r w:rsidR="007938AD" w:rsidRPr="0010261F">
        <w:t>(6)</w:t>
      </w:r>
      <w:r w:rsidR="007938AD">
        <w:t xml:space="preserve"> </w:t>
      </w:r>
      <w:r w:rsidR="007938AD" w:rsidRPr="0010261F">
        <w:t>SA</w:t>
      </w:r>
      <w:r w:rsidR="007938AD">
        <w:t xml:space="preserve"> </w:t>
      </w:r>
      <w:r w:rsidR="007938AD" w:rsidRPr="0010261F">
        <w:t>549</w:t>
      </w:r>
      <w:r w:rsidR="007938AD">
        <w:t xml:space="preserve"> </w:t>
      </w:r>
      <w:r w:rsidR="007938AD" w:rsidRPr="0010261F">
        <w:t>(SCA)</w:t>
      </w:r>
      <w:r w:rsidR="007938AD">
        <w:t xml:space="preserve"> </w:t>
      </w:r>
      <w:r w:rsidR="000534A0">
        <w:t xml:space="preserve"> </w:t>
      </w:r>
      <w:proofErr w:type="spellStart"/>
      <w:r w:rsidR="00DE799E" w:rsidRPr="00DE799E">
        <w:rPr>
          <w:i/>
          <w:iCs/>
        </w:rPr>
        <w:t>Mashongwa</w:t>
      </w:r>
      <w:proofErr w:type="spellEnd"/>
      <w:r w:rsidR="00DE799E" w:rsidRPr="00DE799E">
        <w:rPr>
          <w:i/>
          <w:iCs/>
        </w:rPr>
        <w:t xml:space="preserve"> v Passenger Rail Agency of South Africa</w:t>
      </w:r>
      <w:r w:rsidR="00DE799E">
        <w:t xml:space="preserve"> </w:t>
      </w:r>
      <w:r w:rsidR="00DE799E" w:rsidRPr="0032364D">
        <w:t>2016 (3) SA 528 (CC)</w:t>
      </w:r>
      <w:r w:rsidR="00DE799E">
        <w:t xml:space="preserve"> paras 9, </w:t>
      </w:r>
      <w:r w:rsidR="007B3E2E">
        <w:t xml:space="preserve">18, 44 to 62, </w:t>
      </w:r>
      <w:proofErr w:type="spellStart"/>
      <w:r w:rsidRPr="008807C8">
        <w:rPr>
          <w:i/>
          <w:iCs/>
          <w:lang w:eastAsia="en-ZA"/>
        </w:rPr>
        <w:t>Motloung</w:t>
      </w:r>
      <w:proofErr w:type="spellEnd"/>
      <w:r w:rsidRPr="008807C8">
        <w:rPr>
          <w:i/>
          <w:iCs/>
          <w:lang w:eastAsia="en-ZA"/>
        </w:rPr>
        <w:t> v Passenger Rail Agency of S</w:t>
      </w:r>
      <w:r w:rsidRPr="008807C8">
        <w:rPr>
          <w:rFonts w:cs="Arial"/>
          <w:i/>
          <w:iCs/>
          <w:color w:val="000000" w:themeColor="text1"/>
          <w:lang w:eastAsia="en-ZA"/>
        </w:rPr>
        <w:t>outh Africa (PRASA)</w:t>
      </w:r>
      <w:r w:rsidR="00DE799E" w:rsidRPr="00DE799E">
        <w:rPr>
          <w:rFonts w:cs="Arial"/>
          <w:color w:val="000000" w:themeColor="text1"/>
          <w:shd w:val="clear" w:color="auto" w:fill="FFFFFF"/>
        </w:rPr>
        <w:t xml:space="preserve"> 2022 JDR 0398</w:t>
      </w:r>
      <w:r w:rsidR="00DE799E">
        <w:rPr>
          <w:rFonts w:cs="Arial"/>
          <w:color w:val="000000" w:themeColor="text1"/>
          <w:shd w:val="clear" w:color="auto" w:fill="FFFFFF"/>
        </w:rPr>
        <w:t>,</w:t>
      </w:r>
      <w:r w:rsidRPr="008807C8">
        <w:rPr>
          <w:rFonts w:cs="Arial"/>
          <w:color w:val="000000" w:themeColor="text1"/>
          <w:lang w:eastAsia="en-ZA"/>
        </w:rPr>
        <w:t xml:space="preserve"> [2022] </w:t>
      </w:r>
      <w:r w:rsidRPr="008807C8">
        <w:rPr>
          <w:lang w:eastAsia="en-ZA"/>
        </w:rPr>
        <w:t>ZAGPJHC 50</w:t>
      </w:r>
      <w:r>
        <w:rPr>
          <w:lang w:eastAsia="en-ZA"/>
        </w:rPr>
        <w:t xml:space="preserve"> par</w:t>
      </w:r>
      <w:r w:rsidR="00020F0A">
        <w:rPr>
          <w:lang w:eastAsia="en-ZA"/>
        </w:rPr>
        <w:t xml:space="preserve">as 11 to </w:t>
      </w:r>
      <w:r>
        <w:rPr>
          <w:lang w:eastAsia="en-ZA"/>
        </w:rPr>
        <w:t>15</w:t>
      </w:r>
      <w:r w:rsidR="008E6D4A">
        <w:rPr>
          <w:lang w:eastAsia="en-ZA"/>
        </w:rPr>
        <w:t xml:space="preserve">, </w:t>
      </w:r>
      <w:proofErr w:type="spellStart"/>
      <w:r w:rsidR="00D76E2E" w:rsidRPr="00D76E2E">
        <w:rPr>
          <w:i/>
          <w:iCs/>
          <w:lang w:eastAsia="en-ZA"/>
        </w:rPr>
        <w:t>Mmatli</w:t>
      </w:r>
      <w:proofErr w:type="spellEnd"/>
      <w:r w:rsidR="00D76E2E" w:rsidRPr="00D76E2E">
        <w:rPr>
          <w:i/>
          <w:iCs/>
          <w:lang w:eastAsia="en-ZA"/>
        </w:rPr>
        <w:t xml:space="preserve"> v SA Rail Commuter Corporation</w:t>
      </w:r>
      <w:r w:rsidR="00D76E2E">
        <w:rPr>
          <w:lang w:eastAsia="en-ZA"/>
        </w:rPr>
        <w:t xml:space="preserve">, 2009/51438, </w:t>
      </w:r>
      <w:r w:rsidR="007938AD" w:rsidRPr="00E27C6A">
        <w:rPr>
          <w:color w:val="000000" w:themeColor="text1"/>
        </w:rPr>
        <w:t xml:space="preserve">South </w:t>
      </w:r>
      <w:r w:rsidR="007938AD">
        <w:t>Gauteng High Court,</w:t>
      </w:r>
      <w:r w:rsidR="007938AD">
        <w:rPr>
          <w:lang w:eastAsia="en-ZA"/>
        </w:rPr>
        <w:t xml:space="preserve"> </w:t>
      </w:r>
      <w:r w:rsidR="00D76E2E">
        <w:rPr>
          <w:lang w:eastAsia="en-ZA"/>
        </w:rPr>
        <w:t xml:space="preserve">30 January 2012, </w:t>
      </w:r>
      <w:proofErr w:type="spellStart"/>
      <w:r w:rsidR="008E6D4A" w:rsidRPr="00E27C6A">
        <w:rPr>
          <w:i/>
          <w:iCs/>
          <w:color w:val="000000" w:themeColor="text1"/>
        </w:rPr>
        <w:t>Mazibuko</w:t>
      </w:r>
      <w:proofErr w:type="spellEnd"/>
      <w:r w:rsidR="008E6D4A" w:rsidRPr="00E27C6A">
        <w:rPr>
          <w:i/>
          <w:iCs/>
          <w:color w:val="000000" w:themeColor="text1"/>
        </w:rPr>
        <w:t xml:space="preserve"> v Passenger Rail Agency of South Africa</w:t>
      </w:r>
      <w:r w:rsidR="008E6D4A">
        <w:rPr>
          <w:color w:val="000000" w:themeColor="text1"/>
        </w:rPr>
        <w:t xml:space="preserve">, </w:t>
      </w:r>
      <w:r w:rsidR="008E6D4A" w:rsidRPr="00E27C6A">
        <w:rPr>
          <w:color w:val="000000" w:themeColor="text1"/>
        </w:rPr>
        <w:t xml:space="preserve">2011/40493, South </w:t>
      </w:r>
      <w:r w:rsidR="008E6D4A">
        <w:t>Gauteng High Court, 7 December 2012</w:t>
      </w:r>
      <w:r w:rsidR="008E6D4A">
        <w:rPr>
          <w:lang w:eastAsia="en-ZA"/>
        </w:rPr>
        <w:t>, par</w:t>
      </w:r>
      <w:r w:rsidR="00020F0A">
        <w:rPr>
          <w:lang w:eastAsia="en-ZA"/>
        </w:rPr>
        <w:t>as</w:t>
      </w:r>
      <w:r w:rsidR="008E6D4A">
        <w:rPr>
          <w:lang w:eastAsia="en-ZA"/>
        </w:rPr>
        <w:t xml:space="preserve"> 3</w:t>
      </w:r>
      <w:r w:rsidR="00D76E2E">
        <w:rPr>
          <w:lang w:eastAsia="en-ZA"/>
        </w:rPr>
        <w:t>1 to 36</w:t>
      </w:r>
      <w:r w:rsidR="008E6D4A">
        <w:rPr>
          <w:lang w:eastAsia="en-ZA"/>
        </w:rPr>
        <w:t xml:space="preserve">. In the latter case negligence stemmed from the </w:t>
      </w:r>
      <w:r w:rsidR="001F0970">
        <w:rPr>
          <w:lang w:eastAsia="en-ZA"/>
        </w:rPr>
        <w:t xml:space="preserve">General Operating Instructions (not relevant from the present) or from the failure of the rail operator </w:t>
      </w:r>
      <w:r w:rsidR="00D76E2E">
        <w:rPr>
          <w:lang w:eastAsia="en-ZA"/>
        </w:rPr>
        <w:t xml:space="preserve">to give proper instructions and imposing obligations on staff. Weiner J said in par. 33 that </w:t>
      </w:r>
      <w:r w:rsidR="00D76E2E" w:rsidRPr="00D76E2E">
        <w:rPr>
          <w:i/>
          <w:iCs/>
          <w:lang w:eastAsia="en-ZA"/>
        </w:rPr>
        <w:t>“no train should be in motion unless all the doors are properly closed”</w:t>
      </w:r>
      <w:r w:rsidR="00020F0A">
        <w:rPr>
          <w:i/>
          <w:iCs/>
          <w:lang w:eastAsia="en-ZA"/>
        </w:rPr>
        <w:t xml:space="preserve"> </w:t>
      </w:r>
      <w:r w:rsidR="00020F0A" w:rsidRPr="00020F0A">
        <w:rPr>
          <w:lang w:eastAsia="en-ZA"/>
        </w:rPr>
        <w:t xml:space="preserve">and in par. 34 </w:t>
      </w:r>
      <w:r w:rsidR="00020F0A">
        <w:rPr>
          <w:i/>
          <w:iCs/>
          <w:lang w:eastAsia="en-ZA"/>
        </w:rPr>
        <w:t>that to “avoid liability, the defendant would have to take such reasonable steps necessary under the circumstances to prevent people in the</w:t>
      </w:r>
      <w:r w:rsidR="00DC387D">
        <w:rPr>
          <w:i/>
          <w:iCs/>
          <w:lang w:eastAsia="en-ZA"/>
        </w:rPr>
        <w:t xml:space="preserve"> position of the</w:t>
      </w:r>
      <w:r w:rsidR="00020F0A">
        <w:rPr>
          <w:i/>
          <w:iCs/>
          <w:lang w:eastAsia="en-ZA"/>
        </w:rPr>
        <w:t xml:space="preserve"> plaintiff from being harmed whilst travelling on a moving train.”</w:t>
      </w:r>
    </w:p>
  </w:footnote>
  <w:footnote w:id="15">
    <w:p w14:paraId="12C14FAB" w14:textId="1DE8A757" w:rsidR="00F33E1D" w:rsidRDefault="00F33E1D">
      <w:pPr>
        <w:pStyle w:val="FootnoteText"/>
      </w:pPr>
      <w:r>
        <w:rPr>
          <w:rStyle w:val="FootnoteReference"/>
        </w:rPr>
        <w:footnoteRef/>
      </w:r>
      <w:r>
        <w:t xml:space="preserve"> </w:t>
      </w:r>
      <w:r>
        <w:tab/>
        <w:t>‘</w:t>
      </w:r>
      <w:proofErr w:type="spellStart"/>
      <w:r w:rsidRPr="00020F0A">
        <w:rPr>
          <w:i/>
          <w:iCs/>
        </w:rPr>
        <w:t>Bewyslas</w:t>
      </w:r>
      <w:proofErr w:type="spellEnd"/>
      <w:r w:rsidRPr="00020F0A">
        <w:rPr>
          <w:i/>
          <w:iCs/>
        </w:rPr>
        <w:t>’</w:t>
      </w:r>
      <w:r w:rsidR="00020F0A">
        <w:t xml:space="preserve"> or ‘burden of proof.’</w:t>
      </w:r>
    </w:p>
  </w:footnote>
  <w:footnote w:id="16">
    <w:p w14:paraId="01588159" w14:textId="1E9568A0" w:rsidR="00817D45" w:rsidRDefault="00817D45">
      <w:pPr>
        <w:pStyle w:val="FootnoteText"/>
      </w:pPr>
      <w:r>
        <w:rPr>
          <w:rStyle w:val="FootnoteReference"/>
        </w:rPr>
        <w:footnoteRef/>
      </w:r>
      <w:r>
        <w:t xml:space="preserve"> </w:t>
      </w:r>
      <w:r>
        <w:tab/>
      </w:r>
      <w:r w:rsidRPr="00817D45">
        <w:rPr>
          <w:i/>
          <w:iCs/>
        </w:rPr>
        <w:t>Pillay v Kris</w:t>
      </w:r>
      <w:r>
        <w:rPr>
          <w:i/>
          <w:iCs/>
        </w:rPr>
        <w:t>h</w:t>
      </w:r>
      <w:r w:rsidRPr="00817D45">
        <w:rPr>
          <w:i/>
          <w:iCs/>
        </w:rPr>
        <w:t>na</w:t>
      </w:r>
      <w:r>
        <w:t xml:space="preserve"> 1946 AD</w:t>
      </w:r>
      <w:r w:rsidR="008E6D4A">
        <w:t xml:space="preserve"> </w:t>
      </w:r>
      <w:r>
        <w:t>946 at</w:t>
      </w:r>
      <w:r w:rsidR="00F33E1D">
        <w:t xml:space="preserve"> </w:t>
      </w:r>
      <w:r>
        <w:t>952.</w:t>
      </w:r>
    </w:p>
  </w:footnote>
  <w:footnote w:id="17">
    <w:p w14:paraId="16C367C3" w14:textId="13007B26" w:rsidR="000534A0" w:rsidRDefault="000534A0">
      <w:pPr>
        <w:pStyle w:val="FootnoteText"/>
      </w:pPr>
      <w:r>
        <w:rPr>
          <w:rStyle w:val="FootnoteReference"/>
        </w:rPr>
        <w:footnoteRef/>
      </w:r>
      <w:r>
        <w:t xml:space="preserve"> </w:t>
      </w:r>
      <w:r>
        <w:tab/>
        <w:t xml:space="preserve">See </w:t>
      </w:r>
      <w:r w:rsidRPr="000534A0">
        <w:rPr>
          <w:i/>
          <w:iCs/>
        </w:rPr>
        <w:t>Shabalala v Metrorail</w:t>
      </w:r>
      <w:r w:rsidRPr="0032364D">
        <w:t xml:space="preserve"> 2008 (3) SA 142 (SCA)</w:t>
      </w:r>
      <w:r>
        <w:t xml:space="preserve"> par</w:t>
      </w:r>
      <w:r w:rsidR="00ED1BD6">
        <w:t>as 11 and 12.</w:t>
      </w:r>
    </w:p>
  </w:footnote>
  <w:footnote w:id="18">
    <w:p w14:paraId="032DA8C2" w14:textId="25F9E9E3" w:rsidR="00817D45" w:rsidRPr="00E27C6A" w:rsidRDefault="00817D45">
      <w:pPr>
        <w:pStyle w:val="FootnoteText"/>
        <w:rPr>
          <w:color w:val="000000" w:themeColor="text1"/>
        </w:rPr>
      </w:pPr>
      <w:r>
        <w:rPr>
          <w:rStyle w:val="FootnoteReference"/>
        </w:rPr>
        <w:footnoteRef/>
      </w:r>
      <w:r>
        <w:t xml:space="preserve"> </w:t>
      </w:r>
      <w:r>
        <w:tab/>
        <w:t>‘</w:t>
      </w:r>
      <w:proofErr w:type="spellStart"/>
      <w:r w:rsidRPr="00020F0A">
        <w:rPr>
          <w:i/>
          <w:iCs/>
        </w:rPr>
        <w:t>Weerleggingslas</w:t>
      </w:r>
      <w:proofErr w:type="spellEnd"/>
      <w:r>
        <w:t>.’</w:t>
      </w:r>
      <w:r w:rsidR="00E0040F">
        <w:t xml:space="preserve"> See </w:t>
      </w:r>
      <w:r w:rsidR="00E0040F" w:rsidRPr="00E0040F">
        <w:rPr>
          <w:i/>
          <w:iCs/>
        </w:rPr>
        <w:t>South Cape Corporation (Pty) Ltd v Engineering Management Services (Pty) Ltd</w:t>
      </w:r>
      <w:r w:rsidR="00E0040F">
        <w:t xml:space="preserve"> 1977 (3) SA 534 (A) 548</w:t>
      </w:r>
      <w:r w:rsidR="00E27C6A">
        <w:t xml:space="preserve">, Hoffmann &amp; </w:t>
      </w:r>
      <w:proofErr w:type="spellStart"/>
      <w:r w:rsidR="00E27C6A">
        <w:t>Zeffertt</w:t>
      </w:r>
      <w:proofErr w:type="spellEnd"/>
      <w:r w:rsidR="00E27C6A">
        <w:t xml:space="preserve"> </w:t>
      </w:r>
      <w:r w:rsidR="00E27C6A" w:rsidRPr="00E27C6A">
        <w:rPr>
          <w:i/>
          <w:iCs/>
        </w:rPr>
        <w:t xml:space="preserve">The South African Law of </w:t>
      </w:r>
      <w:r w:rsidR="00E27C6A" w:rsidRPr="00E27C6A">
        <w:rPr>
          <w:i/>
          <w:iCs/>
          <w:color w:val="000000" w:themeColor="text1"/>
        </w:rPr>
        <w:t>Evidence</w:t>
      </w:r>
      <w:r w:rsidR="00E27C6A" w:rsidRPr="00E27C6A">
        <w:rPr>
          <w:color w:val="000000" w:themeColor="text1"/>
        </w:rPr>
        <w:t xml:space="preserve"> 4</w:t>
      </w:r>
      <w:r w:rsidR="00E27C6A" w:rsidRPr="00E27C6A">
        <w:rPr>
          <w:color w:val="000000" w:themeColor="text1"/>
          <w:vertAlign w:val="superscript"/>
        </w:rPr>
        <w:t>th</w:t>
      </w:r>
      <w:r w:rsidR="00E27C6A" w:rsidRPr="00E27C6A">
        <w:rPr>
          <w:color w:val="000000" w:themeColor="text1"/>
        </w:rPr>
        <w:t xml:space="preserve"> ed. 1988 p 496</w:t>
      </w:r>
      <w:r w:rsidR="00F33E1D">
        <w:rPr>
          <w:color w:val="000000" w:themeColor="text1"/>
        </w:rPr>
        <w:t>,</w:t>
      </w:r>
      <w:r w:rsidR="00E27C6A" w:rsidRPr="00E27C6A">
        <w:rPr>
          <w:color w:val="000000" w:themeColor="text1"/>
        </w:rPr>
        <w:t xml:space="preserve"> and </w:t>
      </w:r>
      <w:proofErr w:type="spellStart"/>
      <w:r w:rsidR="00E27C6A" w:rsidRPr="00E27C6A">
        <w:rPr>
          <w:rFonts w:ascii="Helvetica" w:hAnsi="Helvetica" w:cs="Helvetica"/>
          <w:color w:val="000000" w:themeColor="text1"/>
          <w:sz w:val="19"/>
          <w:szCs w:val="19"/>
          <w:shd w:val="clear" w:color="auto" w:fill="FFFFFF"/>
        </w:rPr>
        <w:t>Schwikkard</w:t>
      </w:r>
      <w:proofErr w:type="spellEnd"/>
      <w:r w:rsidR="00F33E1D">
        <w:rPr>
          <w:rFonts w:ascii="Helvetica" w:hAnsi="Helvetica" w:cs="Helvetica"/>
          <w:color w:val="000000" w:themeColor="text1"/>
          <w:sz w:val="19"/>
          <w:szCs w:val="19"/>
          <w:shd w:val="clear" w:color="auto" w:fill="FFFFFF"/>
        </w:rPr>
        <w:t xml:space="preserve"> &amp; </w:t>
      </w:r>
      <w:r w:rsidR="00C2639B">
        <w:rPr>
          <w:rFonts w:ascii="Helvetica" w:hAnsi="Helvetica" w:cs="Helvetica"/>
          <w:color w:val="000000" w:themeColor="text1"/>
          <w:sz w:val="19"/>
          <w:szCs w:val="19"/>
          <w:shd w:val="clear" w:color="auto" w:fill="FFFFFF"/>
        </w:rPr>
        <w:t>O</w:t>
      </w:r>
      <w:r w:rsidR="00F33E1D">
        <w:rPr>
          <w:rFonts w:ascii="Helvetica" w:hAnsi="Helvetica" w:cs="Helvetica"/>
          <w:color w:val="000000" w:themeColor="text1"/>
          <w:sz w:val="19"/>
          <w:szCs w:val="19"/>
          <w:shd w:val="clear" w:color="auto" w:fill="FFFFFF"/>
        </w:rPr>
        <w:t>thers</w:t>
      </w:r>
      <w:r w:rsidR="00E27C6A" w:rsidRPr="00E27C6A">
        <w:rPr>
          <w:rFonts w:ascii="Helvetica" w:hAnsi="Helvetica" w:cs="Helvetica"/>
          <w:color w:val="000000" w:themeColor="text1"/>
          <w:sz w:val="19"/>
          <w:szCs w:val="19"/>
          <w:shd w:val="clear" w:color="auto" w:fill="FFFFFF"/>
        </w:rPr>
        <w:t> </w:t>
      </w:r>
      <w:r w:rsidR="00E27C6A" w:rsidRPr="00F33E1D">
        <w:rPr>
          <w:rFonts w:ascii="Helvetica" w:hAnsi="Helvetica" w:cs="Helvetica"/>
          <w:i/>
          <w:iCs/>
          <w:color w:val="000000" w:themeColor="text1"/>
          <w:sz w:val="19"/>
          <w:szCs w:val="19"/>
          <w:shd w:val="clear" w:color="auto" w:fill="FFFFFF"/>
        </w:rPr>
        <w:t>Principles of Evidence</w:t>
      </w:r>
      <w:r w:rsidR="00E27C6A">
        <w:rPr>
          <w:rFonts w:ascii="Helvetica" w:hAnsi="Helvetica" w:cs="Helvetica"/>
          <w:color w:val="000000" w:themeColor="text1"/>
          <w:sz w:val="19"/>
          <w:szCs w:val="19"/>
          <w:shd w:val="clear" w:color="auto" w:fill="FFFFFF"/>
        </w:rPr>
        <w:t xml:space="preserve"> 4</w:t>
      </w:r>
      <w:r w:rsidR="00E27C6A" w:rsidRPr="00E27C6A">
        <w:rPr>
          <w:rFonts w:ascii="Helvetica" w:hAnsi="Helvetica" w:cs="Helvetica"/>
          <w:color w:val="000000" w:themeColor="text1"/>
          <w:sz w:val="19"/>
          <w:szCs w:val="19"/>
          <w:shd w:val="clear" w:color="auto" w:fill="FFFFFF"/>
          <w:vertAlign w:val="superscript"/>
        </w:rPr>
        <w:t>th</w:t>
      </w:r>
      <w:r w:rsidR="00E27C6A">
        <w:rPr>
          <w:rFonts w:ascii="Helvetica" w:hAnsi="Helvetica" w:cs="Helvetica"/>
          <w:color w:val="000000" w:themeColor="text1"/>
          <w:sz w:val="19"/>
          <w:szCs w:val="19"/>
          <w:shd w:val="clear" w:color="auto" w:fill="FFFFFF"/>
        </w:rPr>
        <w:t xml:space="preserve"> ed. 2014 par. 31.2.</w:t>
      </w:r>
    </w:p>
  </w:footnote>
  <w:footnote w:id="19">
    <w:p w14:paraId="23ADD27B" w14:textId="2682022E" w:rsidR="007F1785" w:rsidRDefault="007F1785" w:rsidP="007F1785">
      <w:pPr>
        <w:pStyle w:val="FootnoteText"/>
      </w:pPr>
      <w:r w:rsidRPr="00E27C6A">
        <w:rPr>
          <w:rStyle w:val="FootnoteReference"/>
          <w:color w:val="000000" w:themeColor="text1"/>
        </w:rPr>
        <w:footnoteRef/>
      </w:r>
      <w:r w:rsidRPr="00E27C6A">
        <w:rPr>
          <w:color w:val="000000" w:themeColor="text1"/>
        </w:rPr>
        <w:t xml:space="preserve"> </w:t>
      </w:r>
      <w:r w:rsidRPr="00E27C6A">
        <w:rPr>
          <w:color w:val="000000" w:themeColor="text1"/>
        </w:rPr>
        <w:tab/>
        <w:t xml:space="preserve">In the words of Weiner J (as she then was) in </w:t>
      </w:r>
      <w:proofErr w:type="spellStart"/>
      <w:r w:rsidRPr="00E27C6A">
        <w:rPr>
          <w:i/>
          <w:iCs/>
          <w:color w:val="000000" w:themeColor="text1"/>
        </w:rPr>
        <w:t>Mazibuko</w:t>
      </w:r>
      <w:proofErr w:type="spellEnd"/>
      <w:r w:rsidRPr="00E27C6A">
        <w:rPr>
          <w:i/>
          <w:iCs/>
          <w:color w:val="000000" w:themeColor="text1"/>
        </w:rPr>
        <w:t xml:space="preserve"> v Passenger Rail Agency of South Afric</w:t>
      </w:r>
      <w:r w:rsidR="008E6D4A">
        <w:rPr>
          <w:i/>
          <w:iCs/>
          <w:color w:val="000000" w:themeColor="text1"/>
        </w:rPr>
        <w:t>a</w:t>
      </w:r>
      <w:r w:rsidR="008E6D4A">
        <w:rPr>
          <w:color w:val="000000" w:themeColor="text1"/>
        </w:rPr>
        <w:t xml:space="preserve">, </w:t>
      </w:r>
      <w:r w:rsidRPr="00E27C6A">
        <w:rPr>
          <w:color w:val="000000" w:themeColor="text1"/>
        </w:rPr>
        <w:t xml:space="preserve">2011/40493, South </w:t>
      </w:r>
      <w:r>
        <w:t>Gauteng High Court, 7 December 2012, the</w:t>
      </w:r>
      <w:r w:rsidR="003274E4">
        <w:t xml:space="preserve"> defendant</w:t>
      </w:r>
      <w:r>
        <w:t xml:space="preserve"> </w:t>
      </w:r>
      <w:r w:rsidRPr="007F1785">
        <w:rPr>
          <w:i/>
          <w:iCs/>
        </w:rPr>
        <w:t>“failed to provide any evidence of measures adopted to protect the plaintiff in such a situation.”</w:t>
      </w:r>
      <w:r>
        <w:t xml:space="preserve"> </w:t>
      </w:r>
    </w:p>
  </w:footnote>
  <w:footnote w:id="20">
    <w:p w14:paraId="6BA7A645" w14:textId="5BD80F32" w:rsidR="00041B14" w:rsidRPr="00E37501" w:rsidRDefault="00041B14" w:rsidP="00041B14">
      <w:pPr>
        <w:pStyle w:val="FootnoteText"/>
      </w:pPr>
      <w:r>
        <w:rPr>
          <w:rStyle w:val="FootnoteReference"/>
        </w:rPr>
        <w:footnoteRef/>
      </w:r>
      <w:r>
        <w:t xml:space="preserve"> </w:t>
      </w:r>
      <w:r>
        <w:tab/>
      </w:r>
      <w:r w:rsidR="004C4511">
        <w:t xml:space="preserve">See the distinction </w:t>
      </w:r>
      <w:r w:rsidR="0082670C">
        <w:t xml:space="preserve">between factual causation and legal causation in </w:t>
      </w:r>
      <w:proofErr w:type="spellStart"/>
      <w:r w:rsidRPr="00DE799E">
        <w:rPr>
          <w:i/>
          <w:iCs/>
        </w:rPr>
        <w:t>Mashongwa</w:t>
      </w:r>
      <w:proofErr w:type="spellEnd"/>
      <w:r w:rsidRPr="00DE799E">
        <w:rPr>
          <w:i/>
          <w:iCs/>
        </w:rPr>
        <w:t xml:space="preserve"> v Passenger Rail Agency of South Africa</w:t>
      </w:r>
      <w:r>
        <w:t xml:space="preserve"> </w:t>
      </w:r>
      <w:r w:rsidRPr="0032364D">
        <w:t>2016 (3) SA 528 (CC)</w:t>
      </w:r>
      <w:r>
        <w:t xml:space="preserve"> par</w:t>
      </w:r>
      <w:r w:rsidR="0082670C">
        <w:t>as 63 to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2F147BBB"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35173">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D15"/>
    <w:multiLevelType w:val="hybridMultilevel"/>
    <w:tmpl w:val="C722E98E"/>
    <w:lvl w:ilvl="0" w:tplc="7FDCA4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C0715"/>
    <w:multiLevelType w:val="hybridMultilevel"/>
    <w:tmpl w:val="1E10A8C0"/>
    <w:lvl w:ilvl="0" w:tplc="42D453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083468">
    <w:abstractNumId w:val="5"/>
  </w:num>
  <w:num w:numId="2" w16cid:durableId="2070154838">
    <w:abstractNumId w:val="2"/>
  </w:num>
  <w:num w:numId="3" w16cid:durableId="994186054">
    <w:abstractNumId w:val="13"/>
  </w:num>
  <w:num w:numId="4" w16cid:durableId="1880242162">
    <w:abstractNumId w:val="6"/>
  </w:num>
  <w:num w:numId="5" w16cid:durableId="1043751403">
    <w:abstractNumId w:val="12"/>
  </w:num>
  <w:num w:numId="6" w16cid:durableId="597374166">
    <w:abstractNumId w:val="9"/>
  </w:num>
  <w:num w:numId="7" w16cid:durableId="961837709">
    <w:abstractNumId w:val="1"/>
  </w:num>
  <w:num w:numId="8" w16cid:durableId="98685723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8793150">
    <w:abstractNumId w:val="8"/>
  </w:num>
  <w:num w:numId="10" w16cid:durableId="1948386994">
    <w:abstractNumId w:val="3"/>
  </w:num>
  <w:num w:numId="11" w16cid:durableId="1643846465">
    <w:abstractNumId w:val="14"/>
  </w:num>
  <w:num w:numId="12" w16cid:durableId="1406806618">
    <w:abstractNumId w:val="4"/>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1188180131">
    <w:abstractNumId w:val="10"/>
  </w:num>
  <w:num w:numId="14" w16cid:durableId="912012788">
    <w:abstractNumId w:val="0"/>
  </w:num>
  <w:num w:numId="15" w16cid:durableId="438456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1138"/>
    <w:rsid w:val="00006113"/>
    <w:rsid w:val="0001111B"/>
    <w:rsid w:val="0001140A"/>
    <w:rsid w:val="00011522"/>
    <w:rsid w:val="00013B7F"/>
    <w:rsid w:val="00015D74"/>
    <w:rsid w:val="00020F0A"/>
    <w:rsid w:val="00024A29"/>
    <w:rsid w:val="000262B3"/>
    <w:rsid w:val="00030A89"/>
    <w:rsid w:val="000325E2"/>
    <w:rsid w:val="00041B14"/>
    <w:rsid w:val="00047F26"/>
    <w:rsid w:val="00050086"/>
    <w:rsid w:val="000504F1"/>
    <w:rsid w:val="00051A2B"/>
    <w:rsid w:val="000534A0"/>
    <w:rsid w:val="00063F7B"/>
    <w:rsid w:val="00064D86"/>
    <w:rsid w:val="000737E1"/>
    <w:rsid w:val="00073E30"/>
    <w:rsid w:val="00081716"/>
    <w:rsid w:val="000833BB"/>
    <w:rsid w:val="00087AE6"/>
    <w:rsid w:val="00092591"/>
    <w:rsid w:val="0009488C"/>
    <w:rsid w:val="00097968"/>
    <w:rsid w:val="000A1C9D"/>
    <w:rsid w:val="000A6AD8"/>
    <w:rsid w:val="000B21DA"/>
    <w:rsid w:val="000B5EF7"/>
    <w:rsid w:val="000C1335"/>
    <w:rsid w:val="000D5760"/>
    <w:rsid w:val="000D7D6A"/>
    <w:rsid w:val="000E1EC8"/>
    <w:rsid w:val="000E5343"/>
    <w:rsid w:val="000F59F8"/>
    <w:rsid w:val="001025B5"/>
    <w:rsid w:val="00104142"/>
    <w:rsid w:val="001142D1"/>
    <w:rsid w:val="00120C79"/>
    <w:rsid w:val="00120FB1"/>
    <w:rsid w:val="00123566"/>
    <w:rsid w:val="00130253"/>
    <w:rsid w:val="00133E81"/>
    <w:rsid w:val="00140CED"/>
    <w:rsid w:val="00147FF5"/>
    <w:rsid w:val="00152899"/>
    <w:rsid w:val="00154961"/>
    <w:rsid w:val="00155A21"/>
    <w:rsid w:val="001671C1"/>
    <w:rsid w:val="00171182"/>
    <w:rsid w:val="0017124B"/>
    <w:rsid w:val="00171D7F"/>
    <w:rsid w:val="00172DDF"/>
    <w:rsid w:val="00185ACF"/>
    <w:rsid w:val="001879D4"/>
    <w:rsid w:val="00190579"/>
    <w:rsid w:val="001916C4"/>
    <w:rsid w:val="00192F78"/>
    <w:rsid w:val="00196E14"/>
    <w:rsid w:val="001A5145"/>
    <w:rsid w:val="001A522A"/>
    <w:rsid w:val="001A7904"/>
    <w:rsid w:val="001B1D39"/>
    <w:rsid w:val="001B4217"/>
    <w:rsid w:val="001B5D3E"/>
    <w:rsid w:val="001B606B"/>
    <w:rsid w:val="001C0755"/>
    <w:rsid w:val="001D3CC2"/>
    <w:rsid w:val="001E2EED"/>
    <w:rsid w:val="001E518E"/>
    <w:rsid w:val="001F0970"/>
    <w:rsid w:val="001F0A29"/>
    <w:rsid w:val="001F3DBD"/>
    <w:rsid w:val="001F648A"/>
    <w:rsid w:val="00201620"/>
    <w:rsid w:val="002041FA"/>
    <w:rsid w:val="00205392"/>
    <w:rsid w:val="002104BF"/>
    <w:rsid w:val="00215824"/>
    <w:rsid w:val="00216BC8"/>
    <w:rsid w:val="0022218D"/>
    <w:rsid w:val="00226926"/>
    <w:rsid w:val="0022710A"/>
    <w:rsid w:val="00232528"/>
    <w:rsid w:val="00235D20"/>
    <w:rsid w:val="00237FF9"/>
    <w:rsid w:val="00250164"/>
    <w:rsid w:val="00253F38"/>
    <w:rsid w:val="002625C5"/>
    <w:rsid w:val="00262819"/>
    <w:rsid w:val="00285040"/>
    <w:rsid w:val="00285062"/>
    <w:rsid w:val="00293351"/>
    <w:rsid w:val="0029369B"/>
    <w:rsid w:val="002976B8"/>
    <w:rsid w:val="002A030C"/>
    <w:rsid w:val="002A112D"/>
    <w:rsid w:val="002A4B7B"/>
    <w:rsid w:val="002C15AC"/>
    <w:rsid w:val="002C2E80"/>
    <w:rsid w:val="002C4687"/>
    <w:rsid w:val="002D2842"/>
    <w:rsid w:val="002D47B3"/>
    <w:rsid w:val="002D7171"/>
    <w:rsid w:val="002E5B57"/>
    <w:rsid w:val="002E6CD7"/>
    <w:rsid w:val="002F1C4D"/>
    <w:rsid w:val="002F55B9"/>
    <w:rsid w:val="002F72D3"/>
    <w:rsid w:val="00302290"/>
    <w:rsid w:val="00302C31"/>
    <w:rsid w:val="00303919"/>
    <w:rsid w:val="003047C2"/>
    <w:rsid w:val="0030653F"/>
    <w:rsid w:val="003102C8"/>
    <w:rsid w:val="0031117B"/>
    <w:rsid w:val="00312EBC"/>
    <w:rsid w:val="00313056"/>
    <w:rsid w:val="003154F5"/>
    <w:rsid w:val="003274E4"/>
    <w:rsid w:val="00337135"/>
    <w:rsid w:val="0034147B"/>
    <w:rsid w:val="00342E02"/>
    <w:rsid w:val="003463D6"/>
    <w:rsid w:val="00346D31"/>
    <w:rsid w:val="00346DE6"/>
    <w:rsid w:val="003543C5"/>
    <w:rsid w:val="00354EF2"/>
    <w:rsid w:val="00357081"/>
    <w:rsid w:val="00357D35"/>
    <w:rsid w:val="00363FCD"/>
    <w:rsid w:val="00364C43"/>
    <w:rsid w:val="00364E6A"/>
    <w:rsid w:val="00367720"/>
    <w:rsid w:val="00367778"/>
    <w:rsid w:val="0037029D"/>
    <w:rsid w:val="00373181"/>
    <w:rsid w:val="00381213"/>
    <w:rsid w:val="003832F7"/>
    <w:rsid w:val="003840EC"/>
    <w:rsid w:val="00390C3F"/>
    <w:rsid w:val="00393127"/>
    <w:rsid w:val="003A0F0B"/>
    <w:rsid w:val="003A7864"/>
    <w:rsid w:val="003B4100"/>
    <w:rsid w:val="003C1A16"/>
    <w:rsid w:val="003C1E91"/>
    <w:rsid w:val="003D19C3"/>
    <w:rsid w:val="003D36F9"/>
    <w:rsid w:val="003D77F1"/>
    <w:rsid w:val="003E7A60"/>
    <w:rsid w:val="003F1F49"/>
    <w:rsid w:val="003F4E8E"/>
    <w:rsid w:val="003F7448"/>
    <w:rsid w:val="00407F28"/>
    <w:rsid w:val="0041100A"/>
    <w:rsid w:val="004131C5"/>
    <w:rsid w:val="0042423E"/>
    <w:rsid w:val="00424BA6"/>
    <w:rsid w:val="004339E6"/>
    <w:rsid w:val="0043683A"/>
    <w:rsid w:val="00437EB1"/>
    <w:rsid w:val="00441422"/>
    <w:rsid w:val="00444ED6"/>
    <w:rsid w:val="00445DCB"/>
    <w:rsid w:val="0045044C"/>
    <w:rsid w:val="00460495"/>
    <w:rsid w:val="00460EEA"/>
    <w:rsid w:val="004630B6"/>
    <w:rsid w:val="00463106"/>
    <w:rsid w:val="00474607"/>
    <w:rsid w:val="00474910"/>
    <w:rsid w:val="004749AF"/>
    <w:rsid w:val="00475410"/>
    <w:rsid w:val="004804A7"/>
    <w:rsid w:val="00484116"/>
    <w:rsid w:val="0048424E"/>
    <w:rsid w:val="00486F42"/>
    <w:rsid w:val="00487D14"/>
    <w:rsid w:val="004A2C7E"/>
    <w:rsid w:val="004A6625"/>
    <w:rsid w:val="004A69D6"/>
    <w:rsid w:val="004A7DFE"/>
    <w:rsid w:val="004B21D9"/>
    <w:rsid w:val="004C0CE3"/>
    <w:rsid w:val="004C368B"/>
    <w:rsid w:val="004C4511"/>
    <w:rsid w:val="004D1A31"/>
    <w:rsid w:val="004D262A"/>
    <w:rsid w:val="004D2C6F"/>
    <w:rsid w:val="004D2E01"/>
    <w:rsid w:val="004E3305"/>
    <w:rsid w:val="004E568C"/>
    <w:rsid w:val="004E5AD8"/>
    <w:rsid w:val="004F12D8"/>
    <w:rsid w:val="004F224E"/>
    <w:rsid w:val="004F22A6"/>
    <w:rsid w:val="004F4A37"/>
    <w:rsid w:val="00504B53"/>
    <w:rsid w:val="00505F61"/>
    <w:rsid w:val="0051015D"/>
    <w:rsid w:val="0051292D"/>
    <w:rsid w:val="0051442D"/>
    <w:rsid w:val="0051622D"/>
    <w:rsid w:val="005219EB"/>
    <w:rsid w:val="005259D8"/>
    <w:rsid w:val="005262C2"/>
    <w:rsid w:val="0052705A"/>
    <w:rsid w:val="00537A72"/>
    <w:rsid w:val="005405F8"/>
    <w:rsid w:val="00542871"/>
    <w:rsid w:val="00546878"/>
    <w:rsid w:val="005509BE"/>
    <w:rsid w:val="00560115"/>
    <w:rsid w:val="00560E18"/>
    <w:rsid w:val="00571E81"/>
    <w:rsid w:val="00573FF9"/>
    <w:rsid w:val="00576B16"/>
    <w:rsid w:val="005A313A"/>
    <w:rsid w:val="005A680F"/>
    <w:rsid w:val="005B07CB"/>
    <w:rsid w:val="005B2FF9"/>
    <w:rsid w:val="005B696E"/>
    <w:rsid w:val="005B6D81"/>
    <w:rsid w:val="005B7DD3"/>
    <w:rsid w:val="005C7FC2"/>
    <w:rsid w:val="005D2408"/>
    <w:rsid w:val="005D6122"/>
    <w:rsid w:val="005D6E80"/>
    <w:rsid w:val="005E2F7B"/>
    <w:rsid w:val="005E3C94"/>
    <w:rsid w:val="005E5C01"/>
    <w:rsid w:val="005E7118"/>
    <w:rsid w:val="005F1CDA"/>
    <w:rsid w:val="005F37A4"/>
    <w:rsid w:val="00602258"/>
    <w:rsid w:val="00602403"/>
    <w:rsid w:val="006041A4"/>
    <w:rsid w:val="006109EC"/>
    <w:rsid w:val="00611D8A"/>
    <w:rsid w:val="0061430D"/>
    <w:rsid w:val="006150CE"/>
    <w:rsid w:val="006165F4"/>
    <w:rsid w:val="006245EC"/>
    <w:rsid w:val="006309D5"/>
    <w:rsid w:val="00642664"/>
    <w:rsid w:val="00644BBE"/>
    <w:rsid w:val="006479F9"/>
    <w:rsid w:val="00647DDD"/>
    <w:rsid w:val="00653BA4"/>
    <w:rsid w:val="006573B4"/>
    <w:rsid w:val="00657EDA"/>
    <w:rsid w:val="006609A2"/>
    <w:rsid w:val="00660C84"/>
    <w:rsid w:val="0066194B"/>
    <w:rsid w:val="00661FC4"/>
    <w:rsid w:val="006627E6"/>
    <w:rsid w:val="00666D4D"/>
    <w:rsid w:val="00672205"/>
    <w:rsid w:val="006858DA"/>
    <w:rsid w:val="006902F1"/>
    <w:rsid w:val="006918E9"/>
    <w:rsid w:val="006951CE"/>
    <w:rsid w:val="00695B2C"/>
    <w:rsid w:val="006A3B6B"/>
    <w:rsid w:val="006A438B"/>
    <w:rsid w:val="006A4F20"/>
    <w:rsid w:val="006B1E87"/>
    <w:rsid w:val="006B4880"/>
    <w:rsid w:val="006B4DA1"/>
    <w:rsid w:val="006B514A"/>
    <w:rsid w:val="006C31B7"/>
    <w:rsid w:val="006C4213"/>
    <w:rsid w:val="006C43D7"/>
    <w:rsid w:val="006C53ED"/>
    <w:rsid w:val="006C5694"/>
    <w:rsid w:val="006D29AA"/>
    <w:rsid w:val="006D4128"/>
    <w:rsid w:val="006D5E57"/>
    <w:rsid w:val="006E2083"/>
    <w:rsid w:val="006E3064"/>
    <w:rsid w:val="006E68E6"/>
    <w:rsid w:val="006F042A"/>
    <w:rsid w:val="006F2187"/>
    <w:rsid w:val="006F25E5"/>
    <w:rsid w:val="006F2FCE"/>
    <w:rsid w:val="006F415C"/>
    <w:rsid w:val="006F66E7"/>
    <w:rsid w:val="007112CA"/>
    <w:rsid w:val="007202BD"/>
    <w:rsid w:val="007205BF"/>
    <w:rsid w:val="007237D1"/>
    <w:rsid w:val="007241D4"/>
    <w:rsid w:val="00724D82"/>
    <w:rsid w:val="00726311"/>
    <w:rsid w:val="00730BF2"/>
    <w:rsid w:val="00731F09"/>
    <w:rsid w:val="00732A6F"/>
    <w:rsid w:val="0074214D"/>
    <w:rsid w:val="00742764"/>
    <w:rsid w:val="00751452"/>
    <w:rsid w:val="0075156A"/>
    <w:rsid w:val="00751F90"/>
    <w:rsid w:val="007619C5"/>
    <w:rsid w:val="00761C35"/>
    <w:rsid w:val="00762E4C"/>
    <w:rsid w:val="00766026"/>
    <w:rsid w:val="00772025"/>
    <w:rsid w:val="00781AA0"/>
    <w:rsid w:val="00781CF7"/>
    <w:rsid w:val="00782DE8"/>
    <w:rsid w:val="00792E10"/>
    <w:rsid w:val="007938AD"/>
    <w:rsid w:val="007A1D60"/>
    <w:rsid w:val="007A6A95"/>
    <w:rsid w:val="007B165A"/>
    <w:rsid w:val="007B2DAD"/>
    <w:rsid w:val="007B3E2E"/>
    <w:rsid w:val="007B7246"/>
    <w:rsid w:val="007B78C2"/>
    <w:rsid w:val="007C23FF"/>
    <w:rsid w:val="007C5008"/>
    <w:rsid w:val="007D1E79"/>
    <w:rsid w:val="007D27CF"/>
    <w:rsid w:val="007D4DAF"/>
    <w:rsid w:val="007E1175"/>
    <w:rsid w:val="007E468A"/>
    <w:rsid w:val="007E58FC"/>
    <w:rsid w:val="007F1517"/>
    <w:rsid w:val="007F1785"/>
    <w:rsid w:val="007F207F"/>
    <w:rsid w:val="007F5B91"/>
    <w:rsid w:val="00803CEC"/>
    <w:rsid w:val="00805CF9"/>
    <w:rsid w:val="008076A4"/>
    <w:rsid w:val="00810CA3"/>
    <w:rsid w:val="00817D45"/>
    <w:rsid w:val="00822050"/>
    <w:rsid w:val="0082670C"/>
    <w:rsid w:val="00830952"/>
    <w:rsid w:val="00830F84"/>
    <w:rsid w:val="008429CF"/>
    <w:rsid w:val="008443A9"/>
    <w:rsid w:val="008469B3"/>
    <w:rsid w:val="00853E83"/>
    <w:rsid w:val="00860576"/>
    <w:rsid w:val="008674AA"/>
    <w:rsid w:val="008675CC"/>
    <w:rsid w:val="0087609B"/>
    <w:rsid w:val="0088094C"/>
    <w:rsid w:val="00881004"/>
    <w:rsid w:val="00882C40"/>
    <w:rsid w:val="00892908"/>
    <w:rsid w:val="008942FC"/>
    <w:rsid w:val="0089562F"/>
    <w:rsid w:val="008A082A"/>
    <w:rsid w:val="008A4DF4"/>
    <w:rsid w:val="008B1C5A"/>
    <w:rsid w:val="008B1DA9"/>
    <w:rsid w:val="008B6162"/>
    <w:rsid w:val="008C3EBC"/>
    <w:rsid w:val="008C57F6"/>
    <w:rsid w:val="008D33A3"/>
    <w:rsid w:val="008D4715"/>
    <w:rsid w:val="008D6F1D"/>
    <w:rsid w:val="008E6D4A"/>
    <w:rsid w:val="008F11CF"/>
    <w:rsid w:val="008F14CE"/>
    <w:rsid w:val="008F189C"/>
    <w:rsid w:val="008F1FE1"/>
    <w:rsid w:val="008F32FF"/>
    <w:rsid w:val="008F4486"/>
    <w:rsid w:val="008F4FC6"/>
    <w:rsid w:val="00902179"/>
    <w:rsid w:val="00903877"/>
    <w:rsid w:val="0091544C"/>
    <w:rsid w:val="00921D03"/>
    <w:rsid w:val="00925CD2"/>
    <w:rsid w:val="00933065"/>
    <w:rsid w:val="00933569"/>
    <w:rsid w:val="009341BC"/>
    <w:rsid w:val="009365B1"/>
    <w:rsid w:val="0093799C"/>
    <w:rsid w:val="009422A1"/>
    <w:rsid w:val="00944804"/>
    <w:rsid w:val="0094634F"/>
    <w:rsid w:val="009473D8"/>
    <w:rsid w:val="00960ADF"/>
    <w:rsid w:val="00963A0C"/>
    <w:rsid w:val="00974A92"/>
    <w:rsid w:val="00975270"/>
    <w:rsid w:val="00975BA1"/>
    <w:rsid w:val="009835E3"/>
    <w:rsid w:val="009837A6"/>
    <w:rsid w:val="009869F2"/>
    <w:rsid w:val="00987CDB"/>
    <w:rsid w:val="009A2726"/>
    <w:rsid w:val="009A30E0"/>
    <w:rsid w:val="009A3619"/>
    <w:rsid w:val="009A66D0"/>
    <w:rsid w:val="009A7117"/>
    <w:rsid w:val="009B08AF"/>
    <w:rsid w:val="009B3DFC"/>
    <w:rsid w:val="009B793E"/>
    <w:rsid w:val="009C1EA6"/>
    <w:rsid w:val="009C37B9"/>
    <w:rsid w:val="009C38E7"/>
    <w:rsid w:val="009C448E"/>
    <w:rsid w:val="009D32BD"/>
    <w:rsid w:val="009D35B5"/>
    <w:rsid w:val="009D4486"/>
    <w:rsid w:val="009D58F7"/>
    <w:rsid w:val="009F211E"/>
    <w:rsid w:val="009F2572"/>
    <w:rsid w:val="009F294E"/>
    <w:rsid w:val="009F30F1"/>
    <w:rsid w:val="009F37C7"/>
    <w:rsid w:val="009F50AB"/>
    <w:rsid w:val="00A005F6"/>
    <w:rsid w:val="00A0424F"/>
    <w:rsid w:val="00A06516"/>
    <w:rsid w:val="00A103FF"/>
    <w:rsid w:val="00A10E27"/>
    <w:rsid w:val="00A16C6E"/>
    <w:rsid w:val="00A17DB2"/>
    <w:rsid w:val="00A22A14"/>
    <w:rsid w:val="00A26214"/>
    <w:rsid w:val="00A27A51"/>
    <w:rsid w:val="00A37BA4"/>
    <w:rsid w:val="00A402F6"/>
    <w:rsid w:val="00A43739"/>
    <w:rsid w:val="00A4779F"/>
    <w:rsid w:val="00A47815"/>
    <w:rsid w:val="00A47A18"/>
    <w:rsid w:val="00A539CB"/>
    <w:rsid w:val="00A62A3E"/>
    <w:rsid w:val="00A63709"/>
    <w:rsid w:val="00A649E6"/>
    <w:rsid w:val="00A660AF"/>
    <w:rsid w:val="00A70A95"/>
    <w:rsid w:val="00A70BDA"/>
    <w:rsid w:val="00A73A76"/>
    <w:rsid w:val="00A740B6"/>
    <w:rsid w:val="00A7621E"/>
    <w:rsid w:val="00A817D5"/>
    <w:rsid w:val="00A93351"/>
    <w:rsid w:val="00A95538"/>
    <w:rsid w:val="00AA0013"/>
    <w:rsid w:val="00AA26FF"/>
    <w:rsid w:val="00AA6E8C"/>
    <w:rsid w:val="00AA6F19"/>
    <w:rsid w:val="00AA75E6"/>
    <w:rsid w:val="00AA79A8"/>
    <w:rsid w:val="00AA7A76"/>
    <w:rsid w:val="00AB0286"/>
    <w:rsid w:val="00AB4C6D"/>
    <w:rsid w:val="00AB55F7"/>
    <w:rsid w:val="00AC2995"/>
    <w:rsid w:val="00AC4165"/>
    <w:rsid w:val="00AC556A"/>
    <w:rsid w:val="00AC76EA"/>
    <w:rsid w:val="00AD2631"/>
    <w:rsid w:val="00AE1220"/>
    <w:rsid w:val="00AE287F"/>
    <w:rsid w:val="00AE63BD"/>
    <w:rsid w:val="00AF0B2B"/>
    <w:rsid w:val="00AF2914"/>
    <w:rsid w:val="00AF291B"/>
    <w:rsid w:val="00AF363F"/>
    <w:rsid w:val="00AF3E4F"/>
    <w:rsid w:val="00B071FF"/>
    <w:rsid w:val="00B11505"/>
    <w:rsid w:val="00B11DC2"/>
    <w:rsid w:val="00B15142"/>
    <w:rsid w:val="00B16F69"/>
    <w:rsid w:val="00B33B5B"/>
    <w:rsid w:val="00B37181"/>
    <w:rsid w:val="00B42807"/>
    <w:rsid w:val="00B428A6"/>
    <w:rsid w:val="00B43340"/>
    <w:rsid w:val="00B4461C"/>
    <w:rsid w:val="00B53913"/>
    <w:rsid w:val="00B554D4"/>
    <w:rsid w:val="00B55F3A"/>
    <w:rsid w:val="00B56906"/>
    <w:rsid w:val="00B57446"/>
    <w:rsid w:val="00B61667"/>
    <w:rsid w:val="00B71CB5"/>
    <w:rsid w:val="00B72922"/>
    <w:rsid w:val="00B72A13"/>
    <w:rsid w:val="00B72ADA"/>
    <w:rsid w:val="00B84042"/>
    <w:rsid w:val="00B84DD5"/>
    <w:rsid w:val="00B8522A"/>
    <w:rsid w:val="00B9487E"/>
    <w:rsid w:val="00B95910"/>
    <w:rsid w:val="00BA29E7"/>
    <w:rsid w:val="00BA3A4C"/>
    <w:rsid w:val="00BB0F20"/>
    <w:rsid w:val="00BB4C60"/>
    <w:rsid w:val="00BB7F08"/>
    <w:rsid w:val="00BC35CD"/>
    <w:rsid w:val="00BC415B"/>
    <w:rsid w:val="00BD2CDE"/>
    <w:rsid w:val="00BD41CF"/>
    <w:rsid w:val="00BE0164"/>
    <w:rsid w:val="00BE12BD"/>
    <w:rsid w:val="00BE2ED7"/>
    <w:rsid w:val="00BE6AB8"/>
    <w:rsid w:val="00BF040B"/>
    <w:rsid w:val="00BF086D"/>
    <w:rsid w:val="00BF2167"/>
    <w:rsid w:val="00BF43BC"/>
    <w:rsid w:val="00BF4DDA"/>
    <w:rsid w:val="00BF55C7"/>
    <w:rsid w:val="00BF7ED8"/>
    <w:rsid w:val="00C00276"/>
    <w:rsid w:val="00C04139"/>
    <w:rsid w:val="00C0572E"/>
    <w:rsid w:val="00C21B3D"/>
    <w:rsid w:val="00C24267"/>
    <w:rsid w:val="00C2639B"/>
    <w:rsid w:val="00C2788D"/>
    <w:rsid w:val="00C33398"/>
    <w:rsid w:val="00C361F6"/>
    <w:rsid w:val="00C3669A"/>
    <w:rsid w:val="00C377F6"/>
    <w:rsid w:val="00C423E3"/>
    <w:rsid w:val="00C44BAC"/>
    <w:rsid w:val="00C45626"/>
    <w:rsid w:val="00C458AF"/>
    <w:rsid w:val="00C460A0"/>
    <w:rsid w:val="00C4720D"/>
    <w:rsid w:val="00C50068"/>
    <w:rsid w:val="00C549F4"/>
    <w:rsid w:val="00C610F2"/>
    <w:rsid w:val="00C676F3"/>
    <w:rsid w:val="00C71AB8"/>
    <w:rsid w:val="00C75909"/>
    <w:rsid w:val="00C767D5"/>
    <w:rsid w:val="00C77EFD"/>
    <w:rsid w:val="00C81A10"/>
    <w:rsid w:val="00C829DF"/>
    <w:rsid w:val="00C84021"/>
    <w:rsid w:val="00C84369"/>
    <w:rsid w:val="00C875AE"/>
    <w:rsid w:val="00C9310B"/>
    <w:rsid w:val="00CA696D"/>
    <w:rsid w:val="00CA6B5A"/>
    <w:rsid w:val="00CB1536"/>
    <w:rsid w:val="00CB3907"/>
    <w:rsid w:val="00CB6167"/>
    <w:rsid w:val="00CC0C54"/>
    <w:rsid w:val="00CC1016"/>
    <w:rsid w:val="00CD1721"/>
    <w:rsid w:val="00CD4DDC"/>
    <w:rsid w:val="00CE6301"/>
    <w:rsid w:val="00CF2008"/>
    <w:rsid w:val="00CF23C5"/>
    <w:rsid w:val="00CF3649"/>
    <w:rsid w:val="00CF4188"/>
    <w:rsid w:val="00CF4E9E"/>
    <w:rsid w:val="00CF7848"/>
    <w:rsid w:val="00D058FC"/>
    <w:rsid w:val="00D06213"/>
    <w:rsid w:val="00D10010"/>
    <w:rsid w:val="00D12BB7"/>
    <w:rsid w:val="00D21601"/>
    <w:rsid w:val="00D31882"/>
    <w:rsid w:val="00D31BAB"/>
    <w:rsid w:val="00D31D27"/>
    <w:rsid w:val="00D333F3"/>
    <w:rsid w:val="00D34AFB"/>
    <w:rsid w:val="00D35A03"/>
    <w:rsid w:val="00D37377"/>
    <w:rsid w:val="00D41830"/>
    <w:rsid w:val="00D45B8C"/>
    <w:rsid w:val="00D56058"/>
    <w:rsid w:val="00D567E0"/>
    <w:rsid w:val="00D56A09"/>
    <w:rsid w:val="00D61F2D"/>
    <w:rsid w:val="00D630DE"/>
    <w:rsid w:val="00D645C6"/>
    <w:rsid w:val="00D65905"/>
    <w:rsid w:val="00D7327A"/>
    <w:rsid w:val="00D74EC8"/>
    <w:rsid w:val="00D76E2E"/>
    <w:rsid w:val="00D81AC9"/>
    <w:rsid w:val="00D858CC"/>
    <w:rsid w:val="00D9086C"/>
    <w:rsid w:val="00D94745"/>
    <w:rsid w:val="00D95DFF"/>
    <w:rsid w:val="00D963D5"/>
    <w:rsid w:val="00DA41B2"/>
    <w:rsid w:val="00DA5D06"/>
    <w:rsid w:val="00DA7123"/>
    <w:rsid w:val="00DA7B20"/>
    <w:rsid w:val="00DB5727"/>
    <w:rsid w:val="00DC387D"/>
    <w:rsid w:val="00DC52BC"/>
    <w:rsid w:val="00DC621D"/>
    <w:rsid w:val="00DC6A98"/>
    <w:rsid w:val="00DC6EF8"/>
    <w:rsid w:val="00DC7245"/>
    <w:rsid w:val="00DC730A"/>
    <w:rsid w:val="00DD12FC"/>
    <w:rsid w:val="00DD6EBB"/>
    <w:rsid w:val="00DE130A"/>
    <w:rsid w:val="00DE1F21"/>
    <w:rsid w:val="00DE38B2"/>
    <w:rsid w:val="00DE799E"/>
    <w:rsid w:val="00DF260F"/>
    <w:rsid w:val="00DF2C9A"/>
    <w:rsid w:val="00DF5291"/>
    <w:rsid w:val="00DF6AC1"/>
    <w:rsid w:val="00E0040F"/>
    <w:rsid w:val="00E05572"/>
    <w:rsid w:val="00E16292"/>
    <w:rsid w:val="00E166FD"/>
    <w:rsid w:val="00E25706"/>
    <w:rsid w:val="00E264BB"/>
    <w:rsid w:val="00E276DF"/>
    <w:rsid w:val="00E27C6A"/>
    <w:rsid w:val="00E30596"/>
    <w:rsid w:val="00E33434"/>
    <w:rsid w:val="00E37501"/>
    <w:rsid w:val="00E43C23"/>
    <w:rsid w:val="00E45E6A"/>
    <w:rsid w:val="00E46912"/>
    <w:rsid w:val="00E50A42"/>
    <w:rsid w:val="00E54FA5"/>
    <w:rsid w:val="00E56D64"/>
    <w:rsid w:val="00E61081"/>
    <w:rsid w:val="00E635F8"/>
    <w:rsid w:val="00E65B9D"/>
    <w:rsid w:val="00E71CE6"/>
    <w:rsid w:val="00E71E16"/>
    <w:rsid w:val="00E76641"/>
    <w:rsid w:val="00E851E8"/>
    <w:rsid w:val="00E86DF2"/>
    <w:rsid w:val="00E879EC"/>
    <w:rsid w:val="00E95703"/>
    <w:rsid w:val="00EA0297"/>
    <w:rsid w:val="00EA2C29"/>
    <w:rsid w:val="00EA3F05"/>
    <w:rsid w:val="00EA5E85"/>
    <w:rsid w:val="00EB0B07"/>
    <w:rsid w:val="00EB144E"/>
    <w:rsid w:val="00EB1B82"/>
    <w:rsid w:val="00EB635D"/>
    <w:rsid w:val="00EB6AA6"/>
    <w:rsid w:val="00EC108D"/>
    <w:rsid w:val="00EC70BC"/>
    <w:rsid w:val="00ED018E"/>
    <w:rsid w:val="00ED07AD"/>
    <w:rsid w:val="00ED1BD6"/>
    <w:rsid w:val="00ED3B36"/>
    <w:rsid w:val="00EE55F9"/>
    <w:rsid w:val="00EE62A5"/>
    <w:rsid w:val="00EE63DE"/>
    <w:rsid w:val="00F02F23"/>
    <w:rsid w:val="00F11454"/>
    <w:rsid w:val="00F221FC"/>
    <w:rsid w:val="00F24025"/>
    <w:rsid w:val="00F33E1D"/>
    <w:rsid w:val="00F34951"/>
    <w:rsid w:val="00F35173"/>
    <w:rsid w:val="00F35CAE"/>
    <w:rsid w:val="00F36EE7"/>
    <w:rsid w:val="00F4468A"/>
    <w:rsid w:val="00F57AFC"/>
    <w:rsid w:val="00F627E4"/>
    <w:rsid w:val="00F65DBD"/>
    <w:rsid w:val="00F669B9"/>
    <w:rsid w:val="00F773E6"/>
    <w:rsid w:val="00F80CEE"/>
    <w:rsid w:val="00F81F36"/>
    <w:rsid w:val="00F8493C"/>
    <w:rsid w:val="00F85468"/>
    <w:rsid w:val="00F86A45"/>
    <w:rsid w:val="00F86BC7"/>
    <w:rsid w:val="00F9202F"/>
    <w:rsid w:val="00F92AA4"/>
    <w:rsid w:val="00FA6B1E"/>
    <w:rsid w:val="00FB4165"/>
    <w:rsid w:val="00FB59A0"/>
    <w:rsid w:val="00FC42BD"/>
    <w:rsid w:val="00FC48F4"/>
    <w:rsid w:val="00FD2E9B"/>
    <w:rsid w:val="00FE065B"/>
    <w:rsid w:val="00FE17D2"/>
    <w:rsid w:val="00FE6A2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080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3479-A0A7-4BF0-A8AB-39C71E0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Mariana Anguelov</cp:lastModifiedBy>
  <cp:revision>4</cp:revision>
  <cp:lastPrinted>2023-02-10T11:26:00Z</cp:lastPrinted>
  <dcterms:created xsi:type="dcterms:W3CDTF">2023-02-15T05:30:00Z</dcterms:created>
  <dcterms:modified xsi:type="dcterms:W3CDTF">2023-02-15T19:10:00Z</dcterms:modified>
</cp:coreProperties>
</file>