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6C43D7" w:rsidRDefault="006C43D7" w:rsidP="006C43D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6B27F133" w:rsidR="006C43D7" w:rsidRPr="006C43D7" w:rsidRDefault="006C43D7" w:rsidP="006C43D7">
      <w:pPr>
        <w:spacing w:line="360" w:lineRule="auto"/>
        <w:jc w:val="right"/>
        <w:rPr>
          <w:b/>
        </w:rPr>
      </w:pPr>
      <w:r w:rsidRPr="006C43D7">
        <w:rPr>
          <w:b/>
        </w:rPr>
        <w:t xml:space="preserve">CASE NO: </w:t>
      </w:r>
      <w:r w:rsidR="00A27A51">
        <w:rPr>
          <w:b/>
        </w:rPr>
        <w:t>20</w:t>
      </w:r>
      <w:r w:rsidR="00D15731">
        <w:rPr>
          <w:b/>
        </w:rPr>
        <w:t>19</w:t>
      </w:r>
      <w:r w:rsidR="00A27A51">
        <w:rPr>
          <w:b/>
        </w:rPr>
        <w:t>/</w:t>
      </w:r>
      <w:r w:rsidR="00D15731">
        <w:rPr>
          <w:b/>
        </w:rPr>
        <w:t>40372</w:t>
      </w:r>
    </w:p>
    <w:p w14:paraId="0AF8DD38" w14:textId="77777777" w:rsidR="006C43D7" w:rsidRPr="006C43D7" w:rsidRDefault="006C43D7" w:rsidP="006C43D7">
      <w:pPr>
        <w:spacing w:line="360" w:lineRule="auto"/>
        <w:jc w:val="right"/>
      </w:pPr>
      <w:r w:rsidRPr="006C43D7">
        <w:rPr>
          <w:noProof/>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1F107A13" w:rsidR="00D645C6" w:rsidRDefault="00FA0F52" w:rsidP="00FA0F5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149B2614" w:rsidR="00D645C6" w:rsidRPr="001D3CC2" w:rsidRDefault="00FA0F52" w:rsidP="00FA0F52">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175051">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1F107A13" w:rsidR="00D645C6" w:rsidRDefault="00FA0F52" w:rsidP="00FA0F5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149B2614" w:rsidR="00D645C6" w:rsidRPr="001D3CC2" w:rsidRDefault="00FA0F52" w:rsidP="00FA0F52">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175051">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65EE98C6" w14:textId="77777777" w:rsidR="00AA7A76" w:rsidRPr="006C43D7" w:rsidRDefault="00AA7A76" w:rsidP="00AA7A76">
      <w:pPr>
        <w:spacing w:line="480" w:lineRule="auto"/>
        <w:jc w:val="both"/>
        <w:rPr>
          <w:rFonts w:cs="Arial"/>
          <w:szCs w:val="22"/>
        </w:rPr>
      </w:pPr>
      <w:r w:rsidRPr="006C43D7">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7A1D60" w14:paraId="4E86F7E7" w14:textId="77777777" w:rsidTr="00F4468A">
        <w:tc>
          <w:tcPr>
            <w:tcW w:w="6305" w:type="dxa"/>
          </w:tcPr>
          <w:p w14:paraId="74EE3EDE" w14:textId="1047A6C1" w:rsidR="002104BF" w:rsidRPr="0089562F" w:rsidRDefault="00D15731" w:rsidP="00AA7A76">
            <w:pPr>
              <w:spacing w:line="480" w:lineRule="auto"/>
              <w:jc w:val="both"/>
              <w:rPr>
                <w:rFonts w:cs="Arial"/>
                <w:b/>
                <w:szCs w:val="22"/>
              </w:rPr>
            </w:pPr>
            <w:r>
              <w:rPr>
                <w:rFonts w:cs="Arial"/>
                <w:b/>
                <w:szCs w:val="22"/>
              </w:rPr>
              <w:t>MASEHLA, TEBOGO MATHIBENG</w:t>
            </w:r>
          </w:p>
        </w:tc>
        <w:tc>
          <w:tcPr>
            <w:tcW w:w="2246" w:type="dxa"/>
          </w:tcPr>
          <w:p w14:paraId="72EECEF8" w14:textId="415A9154" w:rsidR="002104BF" w:rsidRDefault="00C93FBD" w:rsidP="00E61081">
            <w:pPr>
              <w:spacing w:line="480" w:lineRule="auto"/>
              <w:rPr>
                <w:rFonts w:cs="Arial"/>
                <w:szCs w:val="22"/>
              </w:rPr>
            </w:pPr>
            <w:r>
              <w:rPr>
                <w:rFonts w:cs="Arial"/>
                <w:szCs w:val="22"/>
              </w:rPr>
              <w:t>Applicant</w:t>
            </w:r>
          </w:p>
        </w:tc>
      </w:tr>
      <w:tr w:rsidR="007A1D60" w14:paraId="64E42908" w14:textId="77777777" w:rsidTr="00F4468A">
        <w:tc>
          <w:tcPr>
            <w:tcW w:w="6305" w:type="dxa"/>
          </w:tcPr>
          <w:p w14:paraId="6E1E5BEB" w14:textId="50CB6C2A" w:rsidR="002104BF" w:rsidRPr="00A22A14" w:rsidRDefault="00A22A14" w:rsidP="00A22A14">
            <w:pPr>
              <w:spacing w:line="480" w:lineRule="auto"/>
              <w:jc w:val="both"/>
              <w:rPr>
                <w:szCs w:val="22"/>
              </w:rPr>
            </w:pPr>
            <w:r>
              <w:rPr>
                <w:szCs w:val="22"/>
              </w:rPr>
              <w:t>a</w:t>
            </w:r>
            <w:r w:rsidR="002104BF" w:rsidRPr="00A22A14">
              <w:rPr>
                <w:szCs w:val="22"/>
              </w:rPr>
              <w:t>nd</w:t>
            </w:r>
          </w:p>
        </w:tc>
        <w:tc>
          <w:tcPr>
            <w:tcW w:w="2246" w:type="dxa"/>
          </w:tcPr>
          <w:p w14:paraId="1DB932F2" w14:textId="77777777" w:rsidR="002104BF" w:rsidRDefault="002104BF" w:rsidP="007237D1">
            <w:pPr>
              <w:spacing w:line="480" w:lineRule="auto"/>
              <w:jc w:val="right"/>
              <w:rPr>
                <w:rFonts w:cs="Arial"/>
                <w:szCs w:val="22"/>
              </w:rPr>
            </w:pPr>
          </w:p>
        </w:tc>
      </w:tr>
      <w:tr w:rsidR="007A1D60" w14:paraId="3BCAF70A" w14:textId="77777777" w:rsidTr="00F4468A">
        <w:tc>
          <w:tcPr>
            <w:tcW w:w="6305" w:type="dxa"/>
          </w:tcPr>
          <w:p w14:paraId="0E8BF73D" w14:textId="632E3EA1" w:rsidR="002104BF" w:rsidRDefault="00D15731" w:rsidP="00C549F4">
            <w:pPr>
              <w:spacing w:line="480" w:lineRule="auto"/>
              <w:jc w:val="both"/>
              <w:rPr>
                <w:b/>
                <w:szCs w:val="22"/>
              </w:rPr>
            </w:pPr>
            <w:r>
              <w:rPr>
                <w:b/>
                <w:szCs w:val="22"/>
              </w:rPr>
              <w:t>GANCA, NOLUSIBA</w:t>
            </w:r>
          </w:p>
        </w:tc>
        <w:tc>
          <w:tcPr>
            <w:tcW w:w="2246" w:type="dxa"/>
          </w:tcPr>
          <w:p w14:paraId="2A989CFA" w14:textId="35C12180" w:rsidR="002104BF" w:rsidRDefault="00C93FBD" w:rsidP="00E61081">
            <w:pPr>
              <w:spacing w:line="480" w:lineRule="auto"/>
              <w:rPr>
                <w:rFonts w:cs="Arial"/>
                <w:szCs w:val="22"/>
              </w:rPr>
            </w:pPr>
            <w:r>
              <w:rPr>
                <w:rFonts w:cs="Arial"/>
                <w:szCs w:val="22"/>
              </w:rPr>
              <w:t>First Respondent</w:t>
            </w:r>
          </w:p>
        </w:tc>
      </w:tr>
      <w:tr w:rsidR="00466300" w:rsidRPr="00466300" w14:paraId="726EF528" w14:textId="77777777" w:rsidTr="00F4468A">
        <w:tc>
          <w:tcPr>
            <w:tcW w:w="6305" w:type="dxa"/>
          </w:tcPr>
          <w:p w14:paraId="2DFA29E9" w14:textId="0DDD9FA8" w:rsidR="00466300" w:rsidRPr="00D15731" w:rsidRDefault="00D15731" w:rsidP="00C549F4">
            <w:pPr>
              <w:spacing w:line="480" w:lineRule="auto"/>
              <w:jc w:val="both"/>
              <w:rPr>
                <w:b/>
              </w:rPr>
            </w:pPr>
            <w:r w:rsidRPr="00D15731">
              <w:rPr>
                <w:b/>
              </w:rPr>
              <w:t xml:space="preserve">GANCA, </w:t>
            </w:r>
            <w:r>
              <w:rPr>
                <w:b/>
              </w:rPr>
              <w:t>SIMO-SIHLE</w:t>
            </w:r>
          </w:p>
        </w:tc>
        <w:tc>
          <w:tcPr>
            <w:tcW w:w="2246" w:type="dxa"/>
          </w:tcPr>
          <w:p w14:paraId="7126A403" w14:textId="76719B85" w:rsidR="00466300" w:rsidRPr="00466300" w:rsidRDefault="00466300" w:rsidP="00E61081">
            <w:pPr>
              <w:spacing w:line="480" w:lineRule="auto"/>
              <w:rPr>
                <w:rFonts w:cs="Arial"/>
                <w:bCs/>
                <w:i/>
                <w:iCs/>
                <w:szCs w:val="22"/>
              </w:rPr>
            </w:pPr>
            <w:r>
              <w:rPr>
                <w:rFonts w:cs="Arial"/>
                <w:szCs w:val="22"/>
              </w:rPr>
              <w:t>Second Respondent</w:t>
            </w:r>
          </w:p>
        </w:tc>
      </w:tr>
      <w:tr w:rsidR="00C93FBD" w:rsidRPr="00466300" w14:paraId="4DF1DC9E" w14:textId="77777777" w:rsidTr="00F4468A">
        <w:tc>
          <w:tcPr>
            <w:tcW w:w="6305" w:type="dxa"/>
          </w:tcPr>
          <w:p w14:paraId="670A8D49" w14:textId="77777777" w:rsidR="00D15731" w:rsidRDefault="00D15731" w:rsidP="00C549F4">
            <w:pPr>
              <w:spacing w:line="480" w:lineRule="auto"/>
              <w:jc w:val="both"/>
              <w:rPr>
                <w:bCs/>
                <w:i/>
                <w:iCs/>
              </w:rPr>
            </w:pPr>
          </w:p>
          <w:p w14:paraId="2BA8D4C3" w14:textId="584841A0" w:rsidR="00C93FBD" w:rsidRPr="00466300" w:rsidRDefault="00466300" w:rsidP="00C549F4">
            <w:pPr>
              <w:spacing w:line="480" w:lineRule="auto"/>
              <w:jc w:val="both"/>
              <w:rPr>
                <w:bCs/>
                <w:i/>
                <w:iCs/>
              </w:rPr>
            </w:pPr>
            <w:r w:rsidRPr="00466300">
              <w:rPr>
                <w:bCs/>
                <w:i/>
                <w:iCs/>
              </w:rPr>
              <w:t>In re</w:t>
            </w:r>
          </w:p>
        </w:tc>
        <w:tc>
          <w:tcPr>
            <w:tcW w:w="2246" w:type="dxa"/>
          </w:tcPr>
          <w:p w14:paraId="06F707C6" w14:textId="67A31536" w:rsidR="00C93FBD" w:rsidRPr="00466300" w:rsidRDefault="00C93FBD" w:rsidP="00E61081">
            <w:pPr>
              <w:spacing w:line="480" w:lineRule="auto"/>
              <w:rPr>
                <w:rFonts w:cs="Arial"/>
                <w:bCs/>
                <w:i/>
                <w:iCs/>
                <w:szCs w:val="22"/>
              </w:rPr>
            </w:pPr>
          </w:p>
        </w:tc>
      </w:tr>
      <w:tr w:rsidR="00466300" w14:paraId="29F14DFC" w14:textId="77777777" w:rsidTr="00F4468A">
        <w:tc>
          <w:tcPr>
            <w:tcW w:w="6305" w:type="dxa"/>
          </w:tcPr>
          <w:p w14:paraId="4267104A" w14:textId="4716355A" w:rsidR="00466300" w:rsidRDefault="00D15731" w:rsidP="00C549F4">
            <w:pPr>
              <w:spacing w:line="480" w:lineRule="auto"/>
              <w:jc w:val="both"/>
              <w:rPr>
                <w:b/>
              </w:rPr>
            </w:pPr>
            <w:r>
              <w:rPr>
                <w:b/>
                <w:szCs w:val="22"/>
              </w:rPr>
              <w:t>GANCA, NOLUSIBA</w:t>
            </w:r>
          </w:p>
        </w:tc>
        <w:tc>
          <w:tcPr>
            <w:tcW w:w="2246" w:type="dxa"/>
          </w:tcPr>
          <w:p w14:paraId="06E8BEED" w14:textId="20132720" w:rsidR="00466300" w:rsidRDefault="00D15731" w:rsidP="00E61081">
            <w:pPr>
              <w:spacing w:line="480" w:lineRule="auto"/>
              <w:rPr>
                <w:rFonts w:cs="Arial"/>
                <w:szCs w:val="22"/>
              </w:rPr>
            </w:pPr>
            <w:r>
              <w:rPr>
                <w:rFonts w:cs="Arial"/>
                <w:szCs w:val="22"/>
              </w:rPr>
              <w:t>First Plaintiff</w:t>
            </w:r>
          </w:p>
        </w:tc>
      </w:tr>
      <w:tr w:rsidR="00D15731" w14:paraId="1048A529" w14:textId="77777777" w:rsidTr="00F4468A">
        <w:tc>
          <w:tcPr>
            <w:tcW w:w="6305" w:type="dxa"/>
          </w:tcPr>
          <w:p w14:paraId="444998D9" w14:textId="04767595" w:rsidR="00D15731" w:rsidRPr="00466300" w:rsidRDefault="00D15731" w:rsidP="00C549F4">
            <w:pPr>
              <w:spacing w:line="480" w:lineRule="auto"/>
              <w:jc w:val="both"/>
              <w:rPr>
                <w:bCs/>
              </w:rPr>
            </w:pPr>
            <w:r w:rsidRPr="00D15731">
              <w:rPr>
                <w:b/>
              </w:rPr>
              <w:t xml:space="preserve">GANCA, </w:t>
            </w:r>
            <w:r>
              <w:rPr>
                <w:b/>
              </w:rPr>
              <w:t>SIMO-SIHLE</w:t>
            </w:r>
          </w:p>
        </w:tc>
        <w:tc>
          <w:tcPr>
            <w:tcW w:w="2246" w:type="dxa"/>
          </w:tcPr>
          <w:p w14:paraId="56798DFA" w14:textId="388FD697" w:rsidR="00D15731" w:rsidRDefault="00D15731" w:rsidP="00E61081">
            <w:pPr>
              <w:spacing w:line="480" w:lineRule="auto"/>
              <w:rPr>
                <w:rFonts w:cs="Arial"/>
                <w:szCs w:val="22"/>
              </w:rPr>
            </w:pPr>
            <w:r>
              <w:rPr>
                <w:rFonts w:cs="Arial"/>
                <w:szCs w:val="22"/>
              </w:rPr>
              <w:t>Second Plaintiff</w:t>
            </w:r>
          </w:p>
        </w:tc>
      </w:tr>
      <w:tr w:rsidR="00466300" w14:paraId="6343A1BE" w14:textId="77777777" w:rsidTr="00F4468A">
        <w:tc>
          <w:tcPr>
            <w:tcW w:w="6305" w:type="dxa"/>
          </w:tcPr>
          <w:p w14:paraId="5B0FD28E" w14:textId="43A1E9F0" w:rsidR="00466300" w:rsidRDefault="00466300" w:rsidP="00C549F4">
            <w:pPr>
              <w:spacing w:line="480" w:lineRule="auto"/>
              <w:jc w:val="both"/>
              <w:rPr>
                <w:b/>
              </w:rPr>
            </w:pPr>
            <w:r w:rsidRPr="00466300">
              <w:rPr>
                <w:bCs/>
              </w:rPr>
              <w:t>and</w:t>
            </w:r>
          </w:p>
        </w:tc>
        <w:tc>
          <w:tcPr>
            <w:tcW w:w="2246" w:type="dxa"/>
          </w:tcPr>
          <w:p w14:paraId="090D6E0D" w14:textId="77777777" w:rsidR="00466300" w:rsidRDefault="00466300" w:rsidP="00E61081">
            <w:pPr>
              <w:spacing w:line="480" w:lineRule="auto"/>
              <w:rPr>
                <w:rFonts w:cs="Arial"/>
                <w:szCs w:val="22"/>
              </w:rPr>
            </w:pPr>
          </w:p>
        </w:tc>
      </w:tr>
      <w:tr w:rsidR="00466300" w14:paraId="4C0ECF7C" w14:textId="77777777" w:rsidTr="00F4468A">
        <w:tc>
          <w:tcPr>
            <w:tcW w:w="6305" w:type="dxa"/>
          </w:tcPr>
          <w:p w14:paraId="6CF35568" w14:textId="53CFBD8A" w:rsidR="00466300" w:rsidRDefault="00AD7010" w:rsidP="00C549F4">
            <w:pPr>
              <w:spacing w:line="480" w:lineRule="auto"/>
              <w:jc w:val="both"/>
              <w:rPr>
                <w:b/>
              </w:rPr>
            </w:pPr>
            <w:r>
              <w:rPr>
                <w:rFonts w:cs="Arial"/>
                <w:b/>
                <w:szCs w:val="22"/>
              </w:rPr>
              <w:t>MASEHLA, TEBOGO MATHIBENG</w:t>
            </w:r>
          </w:p>
        </w:tc>
        <w:tc>
          <w:tcPr>
            <w:tcW w:w="2246" w:type="dxa"/>
          </w:tcPr>
          <w:p w14:paraId="4E2066A6" w14:textId="0AF43CCF" w:rsidR="00466300" w:rsidRDefault="00D15731" w:rsidP="00E61081">
            <w:pPr>
              <w:spacing w:line="480" w:lineRule="auto"/>
              <w:rPr>
                <w:rFonts w:cs="Arial"/>
                <w:szCs w:val="22"/>
              </w:rPr>
            </w:pPr>
            <w:r>
              <w:rPr>
                <w:rFonts w:cs="Arial"/>
                <w:szCs w:val="22"/>
              </w:rPr>
              <w:t>First Defendant</w:t>
            </w:r>
          </w:p>
        </w:tc>
      </w:tr>
      <w:tr w:rsidR="00D15731" w14:paraId="161611D1" w14:textId="77777777" w:rsidTr="00F4468A">
        <w:tc>
          <w:tcPr>
            <w:tcW w:w="6305" w:type="dxa"/>
          </w:tcPr>
          <w:p w14:paraId="3DD6BD60" w14:textId="41661424" w:rsidR="00D15731" w:rsidRDefault="00D15731" w:rsidP="00C549F4">
            <w:pPr>
              <w:spacing w:line="480" w:lineRule="auto"/>
              <w:jc w:val="both"/>
              <w:rPr>
                <w:rFonts w:cs="Arial"/>
                <w:b/>
              </w:rPr>
            </w:pPr>
            <w:r>
              <w:rPr>
                <w:rFonts w:cs="Arial"/>
                <w:b/>
              </w:rPr>
              <w:t>MATHIBENG, ADAM CHINAME</w:t>
            </w:r>
          </w:p>
        </w:tc>
        <w:tc>
          <w:tcPr>
            <w:tcW w:w="2246" w:type="dxa"/>
          </w:tcPr>
          <w:p w14:paraId="722BD1A1" w14:textId="45050613" w:rsidR="00D15731" w:rsidRDefault="00D15731" w:rsidP="00E61081">
            <w:pPr>
              <w:spacing w:line="480" w:lineRule="auto"/>
              <w:rPr>
                <w:rFonts w:cs="Arial"/>
                <w:szCs w:val="22"/>
              </w:rPr>
            </w:pPr>
            <w:r>
              <w:rPr>
                <w:rFonts w:cs="Arial"/>
                <w:szCs w:val="22"/>
              </w:rPr>
              <w:t>Second Defendant</w:t>
            </w:r>
          </w:p>
        </w:tc>
      </w:tr>
      <w:tr w:rsidR="00D15731" w14:paraId="300CD645" w14:textId="77777777" w:rsidTr="00F4468A">
        <w:tc>
          <w:tcPr>
            <w:tcW w:w="6305" w:type="dxa"/>
          </w:tcPr>
          <w:p w14:paraId="36DAF473" w14:textId="417DF6D4" w:rsidR="00D15731" w:rsidRDefault="00D15731" w:rsidP="00C549F4">
            <w:pPr>
              <w:spacing w:line="480" w:lineRule="auto"/>
              <w:jc w:val="both"/>
              <w:rPr>
                <w:rFonts w:cs="Arial"/>
                <w:b/>
              </w:rPr>
            </w:pPr>
            <w:r>
              <w:rPr>
                <w:rFonts w:cs="Arial"/>
                <w:b/>
              </w:rPr>
              <w:t>MOODLEY, RHONA</w:t>
            </w:r>
          </w:p>
        </w:tc>
        <w:tc>
          <w:tcPr>
            <w:tcW w:w="2246" w:type="dxa"/>
          </w:tcPr>
          <w:p w14:paraId="08E0B859" w14:textId="4E46B3D2" w:rsidR="00D15731" w:rsidRDefault="00D15731" w:rsidP="00E61081">
            <w:pPr>
              <w:spacing w:line="480" w:lineRule="auto"/>
              <w:rPr>
                <w:rFonts w:cs="Arial"/>
                <w:szCs w:val="22"/>
              </w:rPr>
            </w:pPr>
            <w:r>
              <w:rPr>
                <w:rFonts w:cs="Arial"/>
                <w:szCs w:val="22"/>
              </w:rPr>
              <w:t>Third Defendant</w:t>
            </w:r>
          </w:p>
        </w:tc>
      </w:tr>
    </w:tbl>
    <w:p w14:paraId="64CFD117" w14:textId="77777777" w:rsidR="00CE6301" w:rsidRDefault="00CE6301" w:rsidP="006C43D7">
      <w:pPr>
        <w:pBdr>
          <w:bottom w:val="single" w:sz="4" w:space="1" w:color="auto"/>
        </w:pBdr>
        <w:spacing w:line="360" w:lineRule="auto"/>
        <w:jc w:val="both"/>
        <w:rPr>
          <w:rFonts w:cs="Arial"/>
          <w:szCs w:val="22"/>
        </w:rPr>
      </w:pPr>
    </w:p>
    <w:p w14:paraId="0B72B0BB" w14:textId="77777777" w:rsidR="00D15731" w:rsidRDefault="00D15731" w:rsidP="006C43D7">
      <w:pPr>
        <w:pBdr>
          <w:bottom w:val="single" w:sz="4" w:space="1" w:color="auto"/>
        </w:pBdr>
        <w:spacing w:line="360" w:lineRule="auto"/>
        <w:jc w:val="both"/>
        <w:rPr>
          <w:rFonts w:cs="Arial"/>
          <w:szCs w:val="22"/>
        </w:rPr>
      </w:pPr>
    </w:p>
    <w:p w14:paraId="29E52EFC" w14:textId="77777777" w:rsidR="00D15731" w:rsidRPr="006C43D7" w:rsidRDefault="00D15731"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0CA76DA1" w14:textId="77777777" w:rsidR="00DC621D" w:rsidRDefault="00DC621D" w:rsidP="00DC621D">
      <w:pPr>
        <w:spacing w:line="480" w:lineRule="auto"/>
        <w:jc w:val="both"/>
        <w:rPr>
          <w:rFonts w:cs="Arial"/>
          <w:b/>
          <w:szCs w:val="22"/>
        </w:rPr>
      </w:pPr>
    </w:p>
    <w:p w14:paraId="5BD82EFE" w14:textId="0F8FBF70"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09239A78" w14:textId="202EF25D" w:rsidR="00C460A0" w:rsidRDefault="00C460A0" w:rsidP="00653BA4">
      <w:pPr>
        <w:keepNext/>
        <w:spacing w:after="480" w:line="480" w:lineRule="auto"/>
        <w:jc w:val="both"/>
        <w:rPr>
          <w:rFonts w:cs="Arial"/>
          <w:bCs/>
          <w:i/>
          <w:iCs/>
          <w:szCs w:val="20"/>
          <w:u w:val="single"/>
        </w:rPr>
      </w:pPr>
      <w:r w:rsidRPr="003D19C3">
        <w:rPr>
          <w:rFonts w:cs="Arial"/>
          <w:bCs/>
          <w:i/>
          <w:iCs/>
          <w:szCs w:val="20"/>
          <w:u w:val="single"/>
        </w:rPr>
        <w:t>Summary</w:t>
      </w:r>
    </w:p>
    <w:p w14:paraId="1C075975" w14:textId="77777777" w:rsidR="00794575" w:rsidRPr="00A3283B" w:rsidRDefault="00794575" w:rsidP="00794575">
      <w:pPr>
        <w:keepNext/>
        <w:spacing w:after="480" w:line="480" w:lineRule="auto"/>
        <w:jc w:val="both"/>
        <w:rPr>
          <w:rFonts w:cs="Arial"/>
          <w:bCs/>
          <w:i/>
          <w:iCs/>
          <w:szCs w:val="20"/>
        </w:rPr>
      </w:pPr>
      <w:r>
        <w:rPr>
          <w:rFonts w:cs="Arial"/>
          <w:bCs/>
          <w:i/>
          <w:iCs/>
          <w:szCs w:val="20"/>
        </w:rPr>
        <w:t>Rule 27(1) of uniform rules – good cause – bona fides – reasonable explanation and bona fide defence</w:t>
      </w:r>
    </w:p>
    <w:p w14:paraId="26F422FB" w14:textId="4A4DC239" w:rsidR="00A3283B" w:rsidRDefault="00D15731" w:rsidP="00653BA4">
      <w:pPr>
        <w:keepNext/>
        <w:spacing w:after="480" w:line="480" w:lineRule="auto"/>
        <w:jc w:val="both"/>
        <w:rPr>
          <w:rFonts w:cs="Arial"/>
          <w:bCs/>
          <w:i/>
          <w:iCs/>
          <w:szCs w:val="20"/>
        </w:rPr>
      </w:pPr>
      <w:r>
        <w:rPr>
          <w:rFonts w:cs="Arial"/>
          <w:bCs/>
          <w:i/>
          <w:iCs/>
          <w:szCs w:val="20"/>
        </w:rPr>
        <w:t>Bar –</w:t>
      </w:r>
      <w:r w:rsidR="004763B3">
        <w:rPr>
          <w:rFonts w:cs="Arial"/>
          <w:bCs/>
          <w:i/>
          <w:iCs/>
          <w:szCs w:val="20"/>
        </w:rPr>
        <w:t xml:space="preserve">application for </w:t>
      </w:r>
      <w:r w:rsidR="00E41CE8">
        <w:rPr>
          <w:rFonts w:cs="Arial"/>
          <w:bCs/>
          <w:i/>
          <w:iCs/>
          <w:szCs w:val="20"/>
        </w:rPr>
        <w:t>removal</w:t>
      </w:r>
      <w:r w:rsidR="004763B3">
        <w:rPr>
          <w:rFonts w:cs="Arial"/>
          <w:bCs/>
          <w:i/>
          <w:iCs/>
          <w:szCs w:val="20"/>
        </w:rPr>
        <w:t xml:space="preserve"> of bar – no reasonable explanation for three-year delay</w:t>
      </w:r>
    </w:p>
    <w:p w14:paraId="07A92DEE" w14:textId="77777777" w:rsidR="00A3283B" w:rsidRDefault="00A3283B" w:rsidP="00653BA4">
      <w:pPr>
        <w:keepNext/>
        <w:spacing w:after="480" w:line="480" w:lineRule="auto"/>
        <w:jc w:val="both"/>
        <w:rPr>
          <w:rFonts w:cs="Arial"/>
          <w:bCs/>
          <w:szCs w:val="22"/>
          <w:u w:val="single"/>
        </w:rPr>
      </w:pPr>
    </w:p>
    <w:p w14:paraId="18AFD427" w14:textId="074F48D1"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25A66E53" w14:textId="61019417" w:rsidR="00DC6EF8" w:rsidRPr="005B696E" w:rsidRDefault="00FA0F52" w:rsidP="00FA0F52">
      <w:pPr>
        <w:tabs>
          <w:tab w:val="left" w:pos="567"/>
        </w:tabs>
        <w:spacing w:after="480" w:line="480" w:lineRule="auto"/>
        <w:jc w:val="both"/>
        <w:rPr>
          <w:rFonts w:cs="Arial"/>
          <w:bCs/>
          <w:szCs w:val="22"/>
        </w:rPr>
      </w:pPr>
      <w:r w:rsidRPr="005B696E">
        <w:rPr>
          <w:rFonts w:cs="Arial"/>
          <w:bCs/>
          <w:szCs w:val="22"/>
        </w:rPr>
        <w:t>[1]</w:t>
      </w:r>
      <w:r w:rsidRPr="005B696E">
        <w:rPr>
          <w:rFonts w:cs="Arial"/>
          <w:bCs/>
          <w:szCs w:val="22"/>
        </w:rPr>
        <w:tab/>
      </w:r>
      <w:r w:rsidR="003B4100">
        <w:rPr>
          <w:rFonts w:cs="Arial"/>
          <w:bCs/>
          <w:szCs w:val="22"/>
        </w:rPr>
        <w:t xml:space="preserve">In this </w:t>
      </w:r>
      <w:r w:rsidR="00B56906">
        <w:rPr>
          <w:rFonts w:cs="Arial"/>
          <w:bCs/>
          <w:szCs w:val="22"/>
        </w:rPr>
        <w:t xml:space="preserve">matter </w:t>
      </w:r>
      <w:r w:rsidR="00C460A0">
        <w:rPr>
          <w:rFonts w:cs="Arial"/>
          <w:bCs/>
          <w:szCs w:val="22"/>
        </w:rPr>
        <w:t>I ma</w:t>
      </w:r>
      <w:r w:rsidR="00DF5291">
        <w:rPr>
          <w:rFonts w:cs="Arial"/>
          <w:bCs/>
          <w:szCs w:val="22"/>
        </w:rPr>
        <w:t>k</w:t>
      </w:r>
      <w:r w:rsidR="00DC6EF8">
        <w:rPr>
          <w:rFonts w:cs="Arial"/>
          <w:bCs/>
          <w:szCs w:val="22"/>
        </w:rPr>
        <w:t>e</w:t>
      </w:r>
      <w:r w:rsidR="00C460A0">
        <w:rPr>
          <w:rFonts w:cs="Arial"/>
          <w:bCs/>
          <w:szCs w:val="22"/>
        </w:rPr>
        <w:t xml:space="preserve"> the following order:</w:t>
      </w:r>
    </w:p>
    <w:p w14:paraId="2C90C30F" w14:textId="789E03B8" w:rsidR="00DF5291" w:rsidRPr="00FA0F52" w:rsidRDefault="00FA0F52" w:rsidP="00FA0F52">
      <w:pPr>
        <w:spacing w:before="120" w:after="120"/>
        <w:ind w:left="360" w:hanging="360"/>
        <w:rPr>
          <w:i/>
          <w:iCs/>
        </w:rPr>
      </w:pPr>
      <w:r>
        <w:rPr>
          <w:i/>
          <w:iCs/>
        </w:rPr>
        <w:t>1.</w:t>
      </w:r>
      <w:r>
        <w:rPr>
          <w:i/>
          <w:iCs/>
        </w:rPr>
        <w:tab/>
      </w:r>
      <w:r w:rsidR="00466300" w:rsidRPr="00FA0F52">
        <w:rPr>
          <w:i/>
          <w:iCs/>
        </w:rPr>
        <w:t>The application is dismissed;</w:t>
      </w:r>
    </w:p>
    <w:p w14:paraId="03582D32" w14:textId="6D961FD4" w:rsidR="00DF5291" w:rsidRPr="00FA0F52" w:rsidRDefault="00FA0F52" w:rsidP="00FA0F52">
      <w:pPr>
        <w:spacing w:before="120" w:after="120"/>
        <w:ind w:left="360" w:hanging="360"/>
        <w:rPr>
          <w:i/>
          <w:iCs/>
        </w:rPr>
      </w:pPr>
      <w:r>
        <w:rPr>
          <w:i/>
          <w:iCs/>
        </w:rPr>
        <w:t>2</w:t>
      </w:r>
      <w:bookmarkStart w:id="0" w:name="_GoBack"/>
      <w:bookmarkEnd w:id="0"/>
      <w:r>
        <w:rPr>
          <w:i/>
          <w:iCs/>
        </w:rPr>
        <w:t>.</w:t>
      </w:r>
      <w:r>
        <w:rPr>
          <w:i/>
          <w:iCs/>
        </w:rPr>
        <w:tab/>
      </w:r>
      <w:r w:rsidR="00466300" w:rsidRPr="00FA0F52">
        <w:rPr>
          <w:i/>
          <w:iCs/>
        </w:rPr>
        <w:t>The applicant</w:t>
      </w:r>
      <w:r w:rsidR="001B1D06" w:rsidRPr="00FA0F52">
        <w:rPr>
          <w:i/>
          <w:iCs/>
        </w:rPr>
        <w:t xml:space="preserve"> i</w:t>
      </w:r>
      <w:r w:rsidR="00DE10C4" w:rsidRPr="00FA0F52">
        <w:rPr>
          <w:i/>
          <w:iCs/>
        </w:rPr>
        <w:t>s</w:t>
      </w:r>
      <w:r w:rsidR="00466300" w:rsidRPr="00FA0F52">
        <w:rPr>
          <w:i/>
          <w:iCs/>
        </w:rPr>
        <w:t xml:space="preserve"> ordered to pay the costs of the application</w:t>
      </w:r>
      <w:r w:rsidR="00D15731" w:rsidRPr="00FA0F52">
        <w:rPr>
          <w:i/>
          <w:iCs/>
        </w:rPr>
        <w:t>.</w:t>
      </w:r>
    </w:p>
    <w:p w14:paraId="3B893A85" w14:textId="77777777" w:rsidR="00DF5291" w:rsidRPr="00466300" w:rsidRDefault="00DF5291" w:rsidP="00466300">
      <w:pPr>
        <w:spacing w:before="120" w:after="120"/>
        <w:rPr>
          <w:i/>
          <w:iCs/>
        </w:rPr>
      </w:pPr>
    </w:p>
    <w:p w14:paraId="5493FAA1" w14:textId="77777777" w:rsidR="00B16F69" w:rsidRPr="00B16F69" w:rsidRDefault="00B16F69" w:rsidP="00B16F69">
      <w:pPr>
        <w:spacing w:before="120" w:after="120"/>
        <w:rPr>
          <w:i/>
          <w:iCs/>
        </w:rPr>
      </w:pPr>
    </w:p>
    <w:p w14:paraId="08540072" w14:textId="02F9CB5B" w:rsidR="00C9310B" w:rsidRPr="00FA0F52" w:rsidRDefault="00FA0F52" w:rsidP="00FA0F52">
      <w:pPr>
        <w:widowControl w:val="0"/>
        <w:tabs>
          <w:tab w:val="left" w:pos="567"/>
        </w:tabs>
        <w:spacing w:before="480" w:after="480" w:line="360" w:lineRule="auto"/>
        <w:jc w:val="both"/>
        <w:rPr>
          <w:rFonts w:cs="Arial"/>
          <w:bCs/>
          <w:szCs w:val="22"/>
          <w:u w:val="single"/>
        </w:rPr>
      </w:pPr>
      <w:r w:rsidRPr="00DC621D">
        <w:rPr>
          <w:rFonts w:cs="Arial"/>
          <w:bCs/>
          <w:szCs w:val="22"/>
        </w:rPr>
        <w:t>[2]</w:t>
      </w:r>
      <w:r w:rsidRPr="00DC621D">
        <w:rPr>
          <w:rFonts w:cs="Arial"/>
          <w:bCs/>
          <w:szCs w:val="22"/>
        </w:rPr>
        <w:tab/>
      </w:r>
      <w:r w:rsidR="00573FF9" w:rsidRPr="00FA0F52">
        <w:rPr>
          <w:rFonts w:cs="Arial"/>
          <w:bCs/>
          <w:szCs w:val="22"/>
        </w:rPr>
        <w:t xml:space="preserve">The reasons for the order </w:t>
      </w:r>
      <w:r w:rsidR="00A63709" w:rsidRPr="00FA0F52">
        <w:rPr>
          <w:rFonts w:cs="Arial"/>
          <w:bCs/>
          <w:szCs w:val="22"/>
        </w:rPr>
        <w:t>follow</w:t>
      </w:r>
      <w:r w:rsidR="00573FF9" w:rsidRPr="00FA0F52">
        <w:rPr>
          <w:rFonts w:cs="Arial"/>
          <w:bCs/>
          <w:szCs w:val="22"/>
        </w:rPr>
        <w:t xml:space="preserve"> below.</w:t>
      </w:r>
    </w:p>
    <w:p w14:paraId="4D9C7018" w14:textId="77777777" w:rsidR="00856204" w:rsidRDefault="00856204" w:rsidP="00A3283B">
      <w:pPr>
        <w:widowControl w:val="0"/>
        <w:spacing w:before="480" w:after="480" w:line="360" w:lineRule="auto"/>
        <w:jc w:val="both"/>
        <w:rPr>
          <w:rFonts w:cs="Arial"/>
          <w:bCs/>
          <w:szCs w:val="22"/>
          <w:u w:val="single"/>
        </w:rPr>
      </w:pPr>
    </w:p>
    <w:p w14:paraId="50138F75" w14:textId="1322917F" w:rsidR="00EC38E3" w:rsidRPr="00143036" w:rsidRDefault="00466300" w:rsidP="00FE4133">
      <w:pPr>
        <w:keepNext/>
        <w:widowControl w:val="0"/>
        <w:spacing w:before="480" w:after="480" w:line="360" w:lineRule="auto"/>
        <w:jc w:val="both"/>
        <w:rPr>
          <w:rFonts w:cs="Arial"/>
          <w:bCs/>
          <w:szCs w:val="22"/>
          <w:u w:val="single"/>
        </w:rPr>
      </w:pPr>
      <w:r>
        <w:rPr>
          <w:rFonts w:cs="Arial"/>
          <w:bCs/>
          <w:szCs w:val="22"/>
          <w:u w:val="single"/>
        </w:rPr>
        <w:t>Introduction</w:t>
      </w:r>
    </w:p>
    <w:p w14:paraId="5C560CA3" w14:textId="580A8992" w:rsidR="00237633" w:rsidRPr="00A05D30" w:rsidRDefault="00FA0F52" w:rsidP="00FA0F52">
      <w:pPr>
        <w:keepNext/>
        <w:widowControl w:val="0"/>
        <w:tabs>
          <w:tab w:val="left" w:pos="567"/>
        </w:tabs>
        <w:autoSpaceDE w:val="0"/>
        <w:autoSpaceDN w:val="0"/>
        <w:adjustRightInd w:val="0"/>
        <w:spacing w:before="480" w:after="480" w:line="360" w:lineRule="auto"/>
        <w:jc w:val="both"/>
        <w:rPr>
          <w:rFonts w:cs="Arial"/>
          <w:i/>
          <w:iCs/>
          <w:szCs w:val="22"/>
          <w:lang w:eastAsia="en-ZA"/>
        </w:rPr>
      </w:pPr>
      <w:r w:rsidRPr="00A05D30">
        <w:rPr>
          <w:rFonts w:cs="Arial"/>
          <w:iCs/>
          <w:szCs w:val="22"/>
          <w:lang w:eastAsia="en-ZA"/>
        </w:rPr>
        <w:t>[3]</w:t>
      </w:r>
      <w:r w:rsidRPr="00A05D30">
        <w:rPr>
          <w:rFonts w:cs="Arial"/>
          <w:iCs/>
          <w:szCs w:val="22"/>
          <w:lang w:eastAsia="en-ZA"/>
        </w:rPr>
        <w:tab/>
      </w:r>
      <w:r w:rsidR="00AC7078" w:rsidRPr="00237633">
        <w:rPr>
          <w:rFonts w:cs="Arial"/>
          <w:szCs w:val="22"/>
          <w:lang w:val="en-GB" w:eastAsia="en-ZA"/>
        </w:rPr>
        <w:t xml:space="preserve">For the sake of convenience I refer to the parties as they </w:t>
      </w:r>
      <w:r w:rsidR="004763B3">
        <w:rPr>
          <w:rFonts w:cs="Arial"/>
          <w:szCs w:val="22"/>
          <w:lang w:val="en-GB" w:eastAsia="en-ZA"/>
        </w:rPr>
        <w:t>are</w:t>
      </w:r>
      <w:r w:rsidR="00AC7078" w:rsidRPr="00237633">
        <w:rPr>
          <w:rFonts w:cs="Arial"/>
          <w:szCs w:val="22"/>
          <w:lang w:val="en-GB" w:eastAsia="en-ZA"/>
        </w:rPr>
        <w:t xml:space="preserve"> referred to in the </w:t>
      </w:r>
      <w:r w:rsidR="00AC7078" w:rsidRPr="00237633">
        <w:rPr>
          <w:rFonts w:cs="Arial"/>
          <w:szCs w:val="22"/>
          <w:lang w:val="en-GB" w:eastAsia="en-ZA"/>
        </w:rPr>
        <w:lastRenderedPageBreak/>
        <w:t xml:space="preserve">action. </w:t>
      </w:r>
      <w:r w:rsidR="00BD1446" w:rsidRPr="00237633">
        <w:rPr>
          <w:rFonts w:cs="Arial"/>
          <w:szCs w:val="22"/>
          <w:lang w:val="en-GB" w:eastAsia="en-ZA"/>
        </w:rPr>
        <w:t>The applicant in this application is the first defendant in the action and is referred to as such.</w:t>
      </w:r>
    </w:p>
    <w:p w14:paraId="0AEAABA1" w14:textId="77777777" w:rsidR="00A05D30" w:rsidRDefault="00A05D30" w:rsidP="00A05D30">
      <w:pPr>
        <w:widowControl w:val="0"/>
        <w:autoSpaceDE w:val="0"/>
        <w:autoSpaceDN w:val="0"/>
        <w:adjustRightInd w:val="0"/>
        <w:spacing w:before="480" w:after="480" w:line="360" w:lineRule="auto"/>
        <w:jc w:val="both"/>
        <w:rPr>
          <w:rFonts w:cs="Arial"/>
          <w:szCs w:val="22"/>
          <w:lang w:val="en-GB" w:eastAsia="en-ZA"/>
        </w:rPr>
      </w:pPr>
    </w:p>
    <w:p w14:paraId="579471B1" w14:textId="17CC8B2D" w:rsidR="00A05D30" w:rsidRPr="004A45F1" w:rsidRDefault="00A05D30" w:rsidP="00A05D30">
      <w:pPr>
        <w:widowControl w:val="0"/>
        <w:autoSpaceDE w:val="0"/>
        <w:autoSpaceDN w:val="0"/>
        <w:adjustRightInd w:val="0"/>
        <w:spacing w:before="480" w:after="480" w:line="360" w:lineRule="auto"/>
        <w:jc w:val="both"/>
        <w:rPr>
          <w:rFonts w:cs="Arial"/>
          <w:i/>
          <w:iCs/>
          <w:szCs w:val="22"/>
          <w:u w:val="single"/>
          <w:lang w:eastAsia="en-ZA"/>
        </w:rPr>
      </w:pPr>
      <w:r w:rsidRPr="004A45F1">
        <w:rPr>
          <w:rFonts w:cs="Arial"/>
          <w:szCs w:val="22"/>
          <w:u w:val="single"/>
          <w:lang w:val="en-GB" w:eastAsia="en-ZA"/>
        </w:rPr>
        <w:t>The co</w:t>
      </w:r>
      <w:r w:rsidR="004A45F1" w:rsidRPr="004A45F1">
        <w:rPr>
          <w:rFonts w:cs="Arial"/>
          <w:szCs w:val="22"/>
          <w:u w:val="single"/>
          <w:lang w:val="en-GB" w:eastAsia="en-ZA"/>
        </w:rPr>
        <w:t>ntract of sale</w:t>
      </w:r>
    </w:p>
    <w:p w14:paraId="533872A3" w14:textId="19A13212" w:rsidR="008F5518" w:rsidRPr="008F5518" w:rsidRDefault="00FA0F52" w:rsidP="00FA0F52">
      <w:pPr>
        <w:widowControl w:val="0"/>
        <w:tabs>
          <w:tab w:val="left" w:pos="567"/>
        </w:tabs>
        <w:autoSpaceDE w:val="0"/>
        <w:autoSpaceDN w:val="0"/>
        <w:adjustRightInd w:val="0"/>
        <w:spacing w:before="480" w:after="480" w:line="360" w:lineRule="auto"/>
        <w:jc w:val="both"/>
        <w:rPr>
          <w:rFonts w:cs="Arial"/>
          <w:i/>
          <w:iCs/>
          <w:szCs w:val="22"/>
          <w:lang w:eastAsia="en-ZA"/>
        </w:rPr>
      </w:pPr>
      <w:r w:rsidRPr="008F5518">
        <w:rPr>
          <w:rFonts w:cs="Arial"/>
          <w:iCs/>
          <w:szCs w:val="22"/>
          <w:lang w:eastAsia="en-ZA"/>
        </w:rPr>
        <w:t>[4]</w:t>
      </w:r>
      <w:r w:rsidRPr="008F5518">
        <w:rPr>
          <w:rFonts w:cs="Arial"/>
          <w:iCs/>
          <w:szCs w:val="22"/>
          <w:lang w:eastAsia="en-ZA"/>
        </w:rPr>
        <w:tab/>
      </w:r>
      <w:r w:rsidR="00237633" w:rsidRPr="00237633">
        <w:rPr>
          <w:rFonts w:cs="Arial"/>
          <w:szCs w:val="22"/>
          <w:lang w:val="en-GB" w:eastAsia="en-ZA"/>
        </w:rPr>
        <w:t xml:space="preserve">The </w:t>
      </w:r>
      <w:r w:rsidR="008F66C0">
        <w:rPr>
          <w:rFonts w:cs="Arial"/>
          <w:szCs w:val="22"/>
          <w:lang w:val="en-GB" w:eastAsia="en-ZA"/>
        </w:rPr>
        <w:t>plaintiffs (as purchasers) and the first and second defendants (as sellers)</w:t>
      </w:r>
      <w:r w:rsidR="00237633" w:rsidRPr="00237633">
        <w:rPr>
          <w:rFonts w:cs="Arial"/>
          <w:szCs w:val="22"/>
          <w:lang w:val="en-GB" w:eastAsia="en-ZA"/>
        </w:rPr>
        <w:t xml:space="preserve"> entered into a contract o</w:t>
      </w:r>
      <w:r w:rsidR="00FF39DB">
        <w:rPr>
          <w:rFonts w:cs="Arial"/>
          <w:szCs w:val="22"/>
          <w:lang w:val="en-GB" w:eastAsia="en-ZA"/>
        </w:rPr>
        <w:t>f</w:t>
      </w:r>
      <w:r w:rsidR="00237633" w:rsidRPr="00237633">
        <w:rPr>
          <w:rFonts w:cs="Arial"/>
          <w:szCs w:val="22"/>
          <w:lang w:val="en-GB" w:eastAsia="en-ZA"/>
        </w:rPr>
        <w:t xml:space="preserve"> sale </w:t>
      </w:r>
      <w:r w:rsidR="00FF39DB" w:rsidRPr="00FF39DB">
        <w:rPr>
          <w:rFonts w:cs="Arial"/>
          <w:szCs w:val="22"/>
          <w:lang w:val="en-GB" w:eastAsia="en-ZA"/>
        </w:rPr>
        <w:t xml:space="preserve">of </w:t>
      </w:r>
      <w:r w:rsidR="00FF39DB">
        <w:rPr>
          <w:rFonts w:cs="Arial"/>
          <w:szCs w:val="22"/>
          <w:lang w:val="en-GB" w:eastAsia="en-ZA"/>
        </w:rPr>
        <w:t>im</w:t>
      </w:r>
      <w:r w:rsidR="00FF39DB" w:rsidRPr="00FF39DB">
        <w:rPr>
          <w:rFonts w:cs="Arial"/>
          <w:szCs w:val="22"/>
          <w:lang w:val="en-GB" w:eastAsia="en-ZA"/>
        </w:rPr>
        <w:t>movable property</w:t>
      </w:r>
      <w:r w:rsidR="00FF39DB">
        <w:rPr>
          <w:rFonts w:cs="Arial"/>
          <w:szCs w:val="22"/>
          <w:lang w:val="en-GB" w:eastAsia="en-ZA"/>
        </w:rPr>
        <w:t xml:space="preserve"> </w:t>
      </w:r>
      <w:r w:rsidR="00237633" w:rsidRPr="00237633">
        <w:rPr>
          <w:rFonts w:cs="Arial"/>
          <w:szCs w:val="22"/>
          <w:lang w:val="en-GB" w:eastAsia="en-ZA"/>
        </w:rPr>
        <w:t>in December 2016</w:t>
      </w:r>
      <w:r w:rsidR="00237633">
        <w:rPr>
          <w:rFonts w:cs="Arial"/>
          <w:szCs w:val="22"/>
          <w:lang w:val="en-GB" w:eastAsia="en-ZA"/>
        </w:rPr>
        <w:t xml:space="preserve">. </w:t>
      </w:r>
      <w:r w:rsidR="008F5518">
        <w:rPr>
          <w:rFonts w:cs="Arial"/>
          <w:szCs w:val="22"/>
          <w:lang w:val="en-GB" w:eastAsia="en-ZA"/>
        </w:rPr>
        <w:t>The sellers were going through a divorce at the time</w:t>
      </w:r>
      <w:r w:rsidR="00FE4133">
        <w:rPr>
          <w:rFonts w:cs="Arial"/>
          <w:szCs w:val="22"/>
          <w:lang w:val="en-GB" w:eastAsia="en-ZA"/>
        </w:rPr>
        <w:t xml:space="preserve"> and were liquidat</w:t>
      </w:r>
      <w:r w:rsidR="00D577DC">
        <w:rPr>
          <w:rFonts w:cs="Arial"/>
          <w:szCs w:val="22"/>
          <w:lang w:val="en-GB" w:eastAsia="en-ZA"/>
        </w:rPr>
        <w:t>ing</w:t>
      </w:r>
      <w:r w:rsidR="00FE4133">
        <w:rPr>
          <w:rFonts w:cs="Arial"/>
          <w:szCs w:val="22"/>
          <w:lang w:val="en-GB" w:eastAsia="en-ZA"/>
        </w:rPr>
        <w:t xml:space="preserve"> their assets as part of the process.</w:t>
      </w:r>
    </w:p>
    <w:p w14:paraId="64BDAE73" w14:textId="35E126FB" w:rsidR="00FE4133" w:rsidRPr="00FE4133" w:rsidRDefault="00FA0F52" w:rsidP="00FA0F52">
      <w:pPr>
        <w:widowControl w:val="0"/>
        <w:tabs>
          <w:tab w:val="left" w:pos="567"/>
        </w:tabs>
        <w:autoSpaceDE w:val="0"/>
        <w:autoSpaceDN w:val="0"/>
        <w:adjustRightInd w:val="0"/>
        <w:spacing w:before="480" w:after="480" w:line="360" w:lineRule="auto"/>
        <w:jc w:val="both"/>
        <w:rPr>
          <w:rFonts w:cs="Arial"/>
          <w:i/>
          <w:iCs/>
          <w:szCs w:val="22"/>
          <w:lang w:eastAsia="en-ZA"/>
        </w:rPr>
      </w:pPr>
      <w:r w:rsidRPr="00FE4133">
        <w:rPr>
          <w:rFonts w:cs="Arial"/>
          <w:iCs/>
          <w:szCs w:val="22"/>
          <w:lang w:eastAsia="en-ZA"/>
        </w:rPr>
        <w:t>[5]</w:t>
      </w:r>
      <w:r w:rsidRPr="00FE4133">
        <w:rPr>
          <w:rFonts w:cs="Arial"/>
          <w:iCs/>
          <w:szCs w:val="22"/>
          <w:lang w:eastAsia="en-ZA"/>
        </w:rPr>
        <w:tab/>
      </w:r>
      <w:r w:rsidR="008F66C0" w:rsidRPr="008F5518">
        <w:rPr>
          <w:rFonts w:cs="Arial"/>
          <w:szCs w:val="22"/>
          <w:lang w:val="en-GB" w:eastAsia="en-ZA"/>
        </w:rPr>
        <w:t>T</w:t>
      </w:r>
      <w:r w:rsidR="00072B36" w:rsidRPr="008F5518">
        <w:rPr>
          <w:rFonts w:cs="Arial"/>
          <w:szCs w:val="22"/>
          <w:lang w:val="en-GB" w:eastAsia="en-ZA"/>
        </w:rPr>
        <w:t>he</w:t>
      </w:r>
      <w:r w:rsidR="00FF39DB" w:rsidRPr="008F5518">
        <w:rPr>
          <w:rFonts w:cs="Arial"/>
          <w:szCs w:val="22"/>
          <w:lang w:val="en-GB" w:eastAsia="en-ZA"/>
        </w:rPr>
        <w:t xml:space="preserve"> contract </w:t>
      </w:r>
      <w:r w:rsidR="008F5518" w:rsidRPr="008F5518">
        <w:rPr>
          <w:rFonts w:cs="Arial"/>
          <w:szCs w:val="22"/>
          <w:lang w:val="en-GB" w:eastAsia="en-ZA"/>
        </w:rPr>
        <w:t xml:space="preserve">of sale </w:t>
      </w:r>
      <w:r w:rsidR="00FF39DB" w:rsidRPr="008F5518">
        <w:rPr>
          <w:rFonts w:cs="Arial"/>
          <w:szCs w:val="22"/>
          <w:lang w:val="en-GB" w:eastAsia="en-ZA"/>
        </w:rPr>
        <w:t>was subject to a voetstoots</w:t>
      </w:r>
      <w:r w:rsidR="004A45F1">
        <w:rPr>
          <w:rFonts w:cs="Arial"/>
          <w:szCs w:val="22"/>
          <w:lang w:val="en-GB" w:eastAsia="en-ZA"/>
        </w:rPr>
        <w:t xml:space="preserve"> (“as is”)</w:t>
      </w:r>
      <w:r w:rsidR="00FF39DB" w:rsidRPr="008F5518">
        <w:rPr>
          <w:rFonts w:cs="Arial"/>
          <w:szCs w:val="22"/>
          <w:lang w:val="en-GB" w:eastAsia="en-ZA"/>
        </w:rPr>
        <w:t xml:space="preserve"> clause.</w:t>
      </w:r>
      <w:r w:rsidR="00072B36" w:rsidRPr="008F5518">
        <w:rPr>
          <w:rFonts w:cs="Arial"/>
          <w:szCs w:val="22"/>
          <w:lang w:val="en-GB" w:eastAsia="en-ZA"/>
        </w:rPr>
        <w:t xml:space="preserve"> </w:t>
      </w:r>
      <w:r w:rsidR="008F66C0" w:rsidRPr="008F5518">
        <w:rPr>
          <w:rFonts w:cs="Arial"/>
          <w:szCs w:val="22"/>
          <w:lang w:val="en-GB" w:eastAsia="en-ZA"/>
        </w:rPr>
        <w:t xml:space="preserve">A number of specific defects were listed in clause 18 of the contract and the sellers undertook to remedy these listed defects.  </w:t>
      </w:r>
    </w:p>
    <w:p w14:paraId="653F8845" w14:textId="77777777" w:rsidR="00FE4133" w:rsidRDefault="00072B36" w:rsidP="00FE4133">
      <w:pPr>
        <w:widowControl w:val="0"/>
        <w:autoSpaceDE w:val="0"/>
        <w:autoSpaceDN w:val="0"/>
        <w:adjustRightInd w:val="0"/>
        <w:spacing w:before="480" w:after="480" w:line="360" w:lineRule="auto"/>
        <w:jc w:val="both"/>
        <w:rPr>
          <w:rFonts w:cs="Arial"/>
          <w:szCs w:val="22"/>
          <w:lang w:val="en-GB" w:eastAsia="en-ZA"/>
        </w:rPr>
      </w:pPr>
      <w:r w:rsidRPr="008F5518">
        <w:rPr>
          <w:rFonts w:cs="Arial"/>
          <w:szCs w:val="22"/>
          <w:lang w:val="en-GB" w:eastAsia="en-ZA"/>
        </w:rPr>
        <w:t>An addendum to the contract was signed in October 2016. In terms of the addendum the defendants as sellers would no longer be responsible for the listed defects</w:t>
      </w:r>
      <w:r w:rsidR="008863E1" w:rsidRPr="008F5518">
        <w:rPr>
          <w:rFonts w:cs="Arial"/>
          <w:szCs w:val="22"/>
          <w:lang w:val="en-GB" w:eastAsia="en-ZA"/>
        </w:rPr>
        <w:t xml:space="preserve"> and the purchase price was reduced. </w:t>
      </w:r>
    </w:p>
    <w:p w14:paraId="7CFC05D2" w14:textId="5BDA6AC9" w:rsidR="00237633" w:rsidRPr="008F5518" w:rsidRDefault="008863E1" w:rsidP="00FE4133">
      <w:pPr>
        <w:widowControl w:val="0"/>
        <w:autoSpaceDE w:val="0"/>
        <w:autoSpaceDN w:val="0"/>
        <w:adjustRightInd w:val="0"/>
        <w:spacing w:before="480" w:after="480" w:line="360" w:lineRule="auto"/>
        <w:jc w:val="both"/>
        <w:rPr>
          <w:rFonts w:cs="Arial"/>
          <w:i/>
          <w:iCs/>
          <w:szCs w:val="22"/>
          <w:lang w:eastAsia="en-ZA"/>
        </w:rPr>
      </w:pPr>
      <w:r w:rsidRPr="008F5518">
        <w:rPr>
          <w:rFonts w:cs="Arial"/>
          <w:szCs w:val="22"/>
          <w:lang w:val="en-GB" w:eastAsia="en-ZA"/>
        </w:rPr>
        <w:t>The plaintiffs took occupation of the property on 1 January 2017.</w:t>
      </w:r>
    </w:p>
    <w:p w14:paraId="4EB8F212" w14:textId="24D26108" w:rsidR="00FE4133" w:rsidRPr="00FE4133" w:rsidRDefault="00FA0F52" w:rsidP="00FA0F52">
      <w:pPr>
        <w:widowControl w:val="0"/>
        <w:tabs>
          <w:tab w:val="left" w:pos="567"/>
        </w:tabs>
        <w:autoSpaceDE w:val="0"/>
        <w:autoSpaceDN w:val="0"/>
        <w:adjustRightInd w:val="0"/>
        <w:spacing w:before="480" w:after="480" w:line="360" w:lineRule="auto"/>
        <w:jc w:val="both"/>
        <w:rPr>
          <w:rFonts w:cs="Arial"/>
          <w:i/>
          <w:iCs/>
          <w:szCs w:val="22"/>
          <w:lang w:eastAsia="en-ZA"/>
        </w:rPr>
      </w:pPr>
      <w:r w:rsidRPr="00FE4133">
        <w:rPr>
          <w:rFonts w:cs="Arial"/>
          <w:iCs/>
          <w:szCs w:val="22"/>
          <w:lang w:eastAsia="en-ZA"/>
        </w:rPr>
        <w:t>[6]</w:t>
      </w:r>
      <w:r w:rsidRPr="00FE4133">
        <w:rPr>
          <w:rFonts w:cs="Arial"/>
          <w:iCs/>
          <w:szCs w:val="22"/>
          <w:lang w:eastAsia="en-ZA"/>
        </w:rPr>
        <w:tab/>
      </w:r>
      <w:r w:rsidR="00AC7078" w:rsidRPr="00237633">
        <w:rPr>
          <w:rFonts w:cs="Arial"/>
          <w:szCs w:val="22"/>
          <w:lang w:val="en-GB" w:eastAsia="en-ZA"/>
        </w:rPr>
        <w:t>T</w:t>
      </w:r>
      <w:r w:rsidR="008F66C0">
        <w:rPr>
          <w:rFonts w:cs="Arial"/>
          <w:szCs w:val="22"/>
          <w:lang w:val="en-GB" w:eastAsia="en-ZA"/>
        </w:rPr>
        <w:t xml:space="preserve">he plaintiffs </w:t>
      </w:r>
      <w:r w:rsidR="004A45F1">
        <w:rPr>
          <w:rFonts w:cs="Arial"/>
          <w:szCs w:val="22"/>
          <w:lang w:val="en-GB" w:eastAsia="en-ZA"/>
        </w:rPr>
        <w:t xml:space="preserve">allege that they </w:t>
      </w:r>
      <w:r w:rsidR="008F66C0">
        <w:rPr>
          <w:rFonts w:cs="Arial"/>
          <w:szCs w:val="22"/>
          <w:lang w:val="en-GB" w:eastAsia="en-ZA"/>
        </w:rPr>
        <w:t xml:space="preserve">never received an electrical compliance certificate </w:t>
      </w:r>
      <w:r w:rsidR="00476DBE">
        <w:rPr>
          <w:rFonts w:cs="Arial"/>
          <w:szCs w:val="22"/>
          <w:lang w:val="en-GB" w:eastAsia="en-ZA"/>
        </w:rPr>
        <w:t xml:space="preserve">as they were entitled to in terms of clause 14 of the contract </w:t>
      </w:r>
      <w:r w:rsidR="008F66C0">
        <w:rPr>
          <w:rFonts w:cs="Arial"/>
          <w:szCs w:val="22"/>
          <w:lang w:val="en-GB" w:eastAsia="en-ZA"/>
        </w:rPr>
        <w:t xml:space="preserve">and in January 2017 they learned that there were no approved building plans in respect of the improvements on the property. </w:t>
      </w:r>
      <w:r w:rsidR="00476DBE">
        <w:rPr>
          <w:rFonts w:cs="Arial"/>
          <w:szCs w:val="22"/>
          <w:lang w:val="en-GB" w:eastAsia="en-ZA"/>
        </w:rPr>
        <w:t>Approved building plans is a prerequisite for the erection of structures on land and the failure to have plans approved when building may amount to a</w:t>
      </w:r>
      <w:r w:rsidR="00FE4133">
        <w:rPr>
          <w:rFonts w:cs="Arial"/>
          <w:szCs w:val="22"/>
          <w:lang w:val="en-GB" w:eastAsia="en-ZA"/>
        </w:rPr>
        <w:t xml:space="preserve"> continuous </w:t>
      </w:r>
      <w:r w:rsidR="00476DBE">
        <w:rPr>
          <w:rFonts w:cs="Arial"/>
          <w:szCs w:val="22"/>
          <w:lang w:val="en-GB" w:eastAsia="en-ZA"/>
        </w:rPr>
        <w:t xml:space="preserve">offence. </w:t>
      </w:r>
    </w:p>
    <w:p w14:paraId="4356FB56" w14:textId="4A0F799A" w:rsidR="008F66C0" w:rsidRPr="008F66C0" w:rsidRDefault="008F66C0" w:rsidP="00FE4133">
      <w:pPr>
        <w:widowControl w:val="0"/>
        <w:autoSpaceDE w:val="0"/>
        <w:autoSpaceDN w:val="0"/>
        <w:adjustRightInd w:val="0"/>
        <w:spacing w:before="480" w:after="480" w:line="360" w:lineRule="auto"/>
        <w:jc w:val="both"/>
        <w:rPr>
          <w:rFonts w:cs="Arial"/>
          <w:i/>
          <w:iCs/>
          <w:szCs w:val="22"/>
          <w:lang w:eastAsia="en-ZA"/>
        </w:rPr>
      </w:pPr>
      <w:r>
        <w:rPr>
          <w:rFonts w:cs="Arial"/>
          <w:szCs w:val="22"/>
          <w:lang w:val="en-GB" w:eastAsia="en-ZA"/>
        </w:rPr>
        <w:t xml:space="preserve">They also  became aware of a number of latent defects after moving into the house, and aver that the sellers knew of these defects but failed to </w:t>
      </w:r>
      <w:r w:rsidR="00A05D30">
        <w:rPr>
          <w:rFonts w:cs="Arial"/>
          <w:szCs w:val="22"/>
          <w:lang w:val="en-GB" w:eastAsia="en-ZA"/>
        </w:rPr>
        <w:t xml:space="preserve">point these out to the plaintiffs </w:t>
      </w:r>
      <w:r>
        <w:rPr>
          <w:rFonts w:cs="Arial"/>
          <w:szCs w:val="22"/>
          <w:lang w:val="en-GB" w:eastAsia="en-ZA"/>
        </w:rPr>
        <w:t>as they were obliged to do.</w:t>
      </w:r>
    </w:p>
    <w:p w14:paraId="28473BF9" w14:textId="77777777" w:rsidR="004A45F1" w:rsidRDefault="004A45F1" w:rsidP="004A45F1">
      <w:pPr>
        <w:widowControl w:val="0"/>
        <w:autoSpaceDE w:val="0"/>
        <w:autoSpaceDN w:val="0"/>
        <w:adjustRightInd w:val="0"/>
        <w:spacing w:before="480" w:after="480" w:line="360" w:lineRule="auto"/>
        <w:jc w:val="both"/>
        <w:rPr>
          <w:rFonts w:cs="Arial"/>
          <w:szCs w:val="22"/>
          <w:u w:val="single"/>
          <w:lang w:eastAsia="en-ZA"/>
        </w:rPr>
      </w:pPr>
    </w:p>
    <w:p w14:paraId="05B6B59C" w14:textId="4E54DA4B" w:rsidR="004A45F1" w:rsidRPr="004A45F1" w:rsidRDefault="004A45F1" w:rsidP="004A45F1">
      <w:pPr>
        <w:widowControl w:val="0"/>
        <w:autoSpaceDE w:val="0"/>
        <w:autoSpaceDN w:val="0"/>
        <w:adjustRightInd w:val="0"/>
        <w:spacing w:before="480" w:after="480" w:line="360" w:lineRule="auto"/>
        <w:jc w:val="both"/>
        <w:rPr>
          <w:rFonts w:cs="Arial"/>
          <w:szCs w:val="22"/>
          <w:u w:val="single"/>
          <w:lang w:eastAsia="en-ZA"/>
        </w:rPr>
      </w:pPr>
      <w:r w:rsidRPr="004A45F1">
        <w:rPr>
          <w:rFonts w:cs="Arial"/>
          <w:szCs w:val="22"/>
          <w:u w:val="single"/>
          <w:lang w:eastAsia="en-ZA"/>
        </w:rPr>
        <w:lastRenderedPageBreak/>
        <w:t>The bar</w:t>
      </w:r>
    </w:p>
    <w:p w14:paraId="177843EA" w14:textId="51A7937F" w:rsidR="008F5518" w:rsidRPr="008F5518" w:rsidRDefault="00FA0F52" w:rsidP="00FA0F52">
      <w:pPr>
        <w:widowControl w:val="0"/>
        <w:tabs>
          <w:tab w:val="left" w:pos="567"/>
        </w:tabs>
        <w:autoSpaceDE w:val="0"/>
        <w:autoSpaceDN w:val="0"/>
        <w:adjustRightInd w:val="0"/>
        <w:spacing w:before="480" w:after="480" w:line="360" w:lineRule="auto"/>
        <w:jc w:val="both"/>
        <w:rPr>
          <w:rFonts w:cs="Arial"/>
          <w:i/>
          <w:iCs/>
          <w:szCs w:val="22"/>
          <w:lang w:eastAsia="en-ZA"/>
        </w:rPr>
      </w:pPr>
      <w:r w:rsidRPr="008F5518">
        <w:rPr>
          <w:rFonts w:cs="Arial"/>
          <w:iCs/>
          <w:szCs w:val="22"/>
          <w:lang w:eastAsia="en-ZA"/>
        </w:rPr>
        <w:t>[7]</w:t>
      </w:r>
      <w:r w:rsidRPr="008F5518">
        <w:rPr>
          <w:rFonts w:cs="Arial"/>
          <w:iCs/>
          <w:szCs w:val="22"/>
          <w:lang w:eastAsia="en-ZA"/>
        </w:rPr>
        <w:tab/>
      </w:r>
      <w:r w:rsidR="008F66C0">
        <w:rPr>
          <w:rFonts w:cs="Arial"/>
          <w:szCs w:val="22"/>
          <w:lang w:val="en-GB" w:eastAsia="en-ZA"/>
        </w:rPr>
        <w:t>T</w:t>
      </w:r>
      <w:r w:rsidR="00AC7078" w:rsidRPr="00237633">
        <w:rPr>
          <w:rFonts w:cs="Arial"/>
          <w:szCs w:val="22"/>
          <w:lang w:val="en-GB" w:eastAsia="en-ZA"/>
        </w:rPr>
        <w:t xml:space="preserve">he plaintiffs caused a summons to be served on the defendants </w:t>
      </w:r>
      <w:r w:rsidR="00044B5B">
        <w:rPr>
          <w:rFonts w:cs="Arial"/>
          <w:szCs w:val="22"/>
          <w:lang w:val="en-GB" w:eastAsia="en-ZA"/>
        </w:rPr>
        <w:t>on 20 November and 2</w:t>
      </w:r>
      <w:r w:rsidR="00AC7078" w:rsidRPr="00237633">
        <w:rPr>
          <w:rFonts w:cs="Arial"/>
          <w:szCs w:val="22"/>
          <w:lang w:val="en-GB" w:eastAsia="en-ZA"/>
        </w:rPr>
        <w:t xml:space="preserve"> December 2019</w:t>
      </w:r>
      <w:r w:rsidR="008863E1">
        <w:rPr>
          <w:rFonts w:cs="Arial"/>
          <w:szCs w:val="22"/>
          <w:lang w:val="en-GB" w:eastAsia="en-ZA"/>
        </w:rPr>
        <w:t>.</w:t>
      </w:r>
      <w:r w:rsidR="008F5518">
        <w:rPr>
          <w:rFonts w:cs="Arial"/>
          <w:szCs w:val="22"/>
          <w:lang w:val="en-GB" w:eastAsia="en-ZA"/>
        </w:rPr>
        <w:t xml:space="preserve"> </w:t>
      </w:r>
      <w:r w:rsidR="008863E1">
        <w:rPr>
          <w:rFonts w:cs="Arial"/>
          <w:szCs w:val="22"/>
          <w:lang w:val="en-GB" w:eastAsia="en-ZA"/>
        </w:rPr>
        <w:t>T</w:t>
      </w:r>
      <w:r w:rsidR="00AC7078" w:rsidRPr="00237633">
        <w:rPr>
          <w:rFonts w:cs="Arial"/>
          <w:szCs w:val="22"/>
          <w:lang w:val="en-GB" w:eastAsia="en-ZA"/>
        </w:rPr>
        <w:t xml:space="preserve">he first defendant entered appearance to defend the action on </w:t>
      </w:r>
      <w:r w:rsidR="00237633">
        <w:rPr>
          <w:rFonts w:cs="Arial"/>
          <w:szCs w:val="22"/>
          <w:lang w:val="en-GB" w:eastAsia="en-ZA"/>
        </w:rPr>
        <w:t>6</w:t>
      </w:r>
      <w:r w:rsidR="00AC7078" w:rsidRPr="00237633">
        <w:rPr>
          <w:rFonts w:cs="Arial"/>
          <w:szCs w:val="22"/>
          <w:lang w:val="en-GB" w:eastAsia="en-ZA"/>
        </w:rPr>
        <w:t xml:space="preserve"> December of that year. A plea was not forthcoming and a notice of bar was served on 9 March 2020. Receipt of the notice of bar is not in dispute.</w:t>
      </w:r>
      <w:r w:rsidR="008863E1">
        <w:rPr>
          <w:rFonts w:cs="Arial"/>
          <w:szCs w:val="22"/>
          <w:lang w:val="en-GB" w:eastAsia="en-ZA"/>
        </w:rPr>
        <w:t xml:space="preserve"> </w:t>
      </w:r>
    </w:p>
    <w:p w14:paraId="6DED3100" w14:textId="09746732" w:rsidR="00D15731" w:rsidRPr="00237633" w:rsidRDefault="00FA0F52" w:rsidP="00FA0F52">
      <w:pPr>
        <w:widowControl w:val="0"/>
        <w:tabs>
          <w:tab w:val="left" w:pos="567"/>
        </w:tabs>
        <w:autoSpaceDE w:val="0"/>
        <w:autoSpaceDN w:val="0"/>
        <w:adjustRightInd w:val="0"/>
        <w:spacing w:before="480" w:after="480" w:line="360" w:lineRule="auto"/>
        <w:jc w:val="both"/>
        <w:rPr>
          <w:rFonts w:cs="Arial"/>
          <w:i/>
          <w:iCs/>
          <w:szCs w:val="22"/>
          <w:lang w:eastAsia="en-ZA"/>
        </w:rPr>
      </w:pPr>
      <w:r w:rsidRPr="00237633">
        <w:rPr>
          <w:rFonts w:cs="Arial"/>
          <w:iCs/>
          <w:szCs w:val="22"/>
          <w:lang w:eastAsia="en-ZA"/>
        </w:rPr>
        <w:t>[8]</w:t>
      </w:r>
      <w:r w:rsidRPr="00237633">
        <w:rPr>
          <w:rFonts w:cs="Arial"/>
          <w:iCs/>
          <w:szCs w:val="22"/>
          <w:lang w:eastAsia="en-ZA"/>
        </w:rPr>
        <w:tab/>
      </w:r>
      <w:r w:rsidR="008863E1">
        <w:rPr>
          <w:rFonts w:cs="Arial"/>
          <w:szCs w:val="22"/>
          <w:lang w:val="en-GB" w:eastAsia="en-ZA"/>
        </w:rPr>
        <w:t>The plaintiff’s particulars of claim were amended in 2021</w:t>
      </w:r>
      <w:r w:rsidR="008F5518">
        <w:rPr>
          <w:rFonts w:cs="Arial"/>
          <w:szCs w:val="22"/>
          <w:lang w:val="en-GB" w:eastAsia="en-ZA"/>
        </w:rPr>
        <w:t xml:space="preserve"> but </w:t>
      </w:r>
      <w:r w:rsidR="004A45F1">
        <w:rPr>
          <w:rFonts w:cs="Arial"/>
          <w:szCs w:val="22"/>
          <w:lang w:val="en-GB" w:eastAsia="en-ZA"/>
        </w:rPr>
        <w:t xml:space="preserve">the amendment </w:t>
      </w:r>
      <w:r w:rsidR="008F5518">
        <w:rPr>
          <w:rFonts w:cs="Arial"/>
          <w:szCs w:val="22"/>
          <w:lang w:val="en-GB" w:eastAsia="en-ZA"/>
        </w:rPr>
        <w:t>did not elicit a response from the first defendant.</w:t>
      </w:r>
    </w:p>
    <w:p w14:paraId="2B149AC3" w14:textId="77777777" w:rsidR="004A45F1" w:rsidRDefault="004A45F1" w:rsidP="004A45F1">
      <w:pPr>
        <w:widowControl w:val="0"/>
        <w:autoSpaceDE w:val="0"/>
        <w:autoSpaceDN w:val="0"/>
        <w:adjustRightInd w:val="0"/>
        <w:spacing w:before="480" w:after="480" w:line="360" w:lineRule="auto"/>
        <w:jc w:val="both"/>
        <w:rPr>
          <w:rFonts w:cs="Arial"/>
          <w:szCs w:val="22"/>
          <w:u w:val="single"/>
          <w:lang w:eastAsia="en-ZA"/>
        </w:rPr>
      </w:pPr>
    </w:p>
    <w:p w14:paraId="2A09CA48" w14:textId="1F30B821" w:rsidR="004A45F1" w:rsidRPr="004A45F1" w:rsidRDefault="004A45F1" w:rsidP="004A45F1">
      <w:pPr>
        <w:widowControl w:val="0"/>
        <w:autoSpaceDE w:val="0"/>
        <w:autoSpaceDN w:val="0"/>
        <w:adjustRightInd w:val="0"/>
        <w:spacing w:before="480" w:after="480" w:line="360" w:lineRule="auto"/>
        <w:jc w:val="both"/>
        <w:rPr>
          <w:rFonts w:cs="Arial"/>
          <w:szCs w:val="22"/>
          <w:u w:val="single"/>
          <w:lang w:eastAsia="en-ZA"/>
        </w:rPr>
      </w:pPr>
      <w:r w:rsidRPr="004A45F1">
        <w:rPr>
          <w:rFonts w:cs="Arial"/>
          <w:szCs w:val="22"/>
          <w:u w:val="single"/>
          <w:lang w:eastAsia="en-ZA"/>
        </w:rPr>
        <w:t>The application to remove the bar</w:t>
      </w:r>
    </w:p>
    <w:p w14:paraId="5A12A5B4" w14:textId="2F19BD00" w:rsidR="001B1D06" w:rsidRPr="001B1D06" w:rsidRDefault="00FA0F52" w:rsidP="00FA0F52">
      <w:pPr>
        <w:widowControl w:val="0"/>
        <w:tabs>
          <w:tab w:val="left" w:pos="567"/>
        </w:tabs>
        <w:autoSpaceDE w:val="0"/>
        <w:autoSpaceDN w:val="0"/>
        <w:adjustRightInd w:val="0"/>
        <w:spacing w:before="480" w:after="480" w:line="360" w:lineRule="auto"/>
        <w:jc w:val="both"/>
        <w:rPr>
          <w:rFonts w:cs="Arial"/>
          <w:i/>
          <w:iCs/>
          <w:szCs w:val="22"/>
          <w:lang w:eastAsia="en-ZA"/>
        </w:rPr>
      </w:pPr>
      <w:r w:rsidRPr="001B1D06">
        <w:rPr>
          <w:rFonts w:cs="Arial"/>
          <w:iCs/>
          <w:szCs w:val="22"/>
          <w:lang w:eastAsia="en-ZA"/>
        </w:rPr>
        <w:t>[9]</w:t>
      </w:r>
      <w:r w:rsidRPr="001B1D06">
        <w:rPr>
          <w:rFonts w:cs="Arial"/>
          <w:iCs/>
          <w:szCs w:val="22"/>
          <w:lang w:eastAsia="en-ZA"/>
        </w:rPr>
        <w:tab/>
      </w:r>
      <w:r w:rsidR="00AC7078" w:rsidRPr="00AC7078">
        <w:rPr>
          <w:rFonts w:cs="Arial"/>
          <w:szCs w:val="22"/>
          <w:lang w:val="en-GB" w:eastAsia="en-ZA"/>
        </w:rPr>
        <w:t>The first defendant no</w:t>
      </w:r>
      <w:r w:rsidR="00237633">
        <w:rPr>
          <w:rFonts w:cs="Arial"/>
          <w:szCs w:val="22"/>
          <w:lang w:val="en-GB" w:eastAsia="en-ZA"/>
        </w:rPr>
        <w:t>w</w:t>
      </w:r>
      <w:r w:rsidR="00AC7078" w:rsidRPr="00AC7078">
        <w:rPr>
          <w:rFonts w:cs="Arial"/>
          <w:szCs w:val="22"/>
          <w:lang w:val="en-GB" w:eastAsia="en-ZA"/>
        </w:rPr>
        <w:t xml:space="preserve"> seeks to </w:t>
      </w:r>
      <w:r w:rsidR="008F5518">
        <w:rPr>
          <w:rFonts w:cs="Arial"/>
          <w:szCs w:val="22"/>
          <w:lang w:val="en-GB" w:eastAsia="en-ZA"/>
        </w:rPr>
        <w:t>remove the</w:t>
      </w:r>
      <w:r w:rsidR="00AC7078" w:rsidRPr="00AC7078">
        <w:rPr>
          <w:rFonts w:cs="Arial"/>
          <w:szCs w:val="22"/>
          <w:lang w:val="en-GB" w:eastAsia="en-ZA"/>
        </w:rPr>
        <w:t xml:space="preserve"> bar three years later</w:t>
      </w:r>
      <w:r w:rsidR="00AC7078">
        <w:rPr>
          <w:rFonts w:cs="Arial"/>
          <w:szCs w:val="22"/>
          <w:lang w:val="en-GB" w:eastAsia="en-ZA"/>
        </w:rPr>
        <w:t>.</w:t>
      </w:r>
      <w:r w:rsidR="00237633">
        <w:rPr>
          <w:rFonts w:cs="Arial"/>
          <w:szCs w:val="22"/>
          <w:lang w:val="en-GB" w:eastAsia="en-ZA"/>
        </w:rPr>
        <w:t xml:space="preserve"> </w:t>
      </w:r>
      <w:r w:rsidR="00237633" w:rsidRPr="00237633">
        <w:rPr>
          <w:rFonts w:cs="Arial"/>
          <w:szCs w:val="22"/>
          <w:lang w:val="en-GB" w:eastAsia="en-ZA"/>
        </w:rPr>
        <w:t xml:space="preserve">In January 2023 the first defendant requested the plaintiffs to agree to the </w:t>
      </w:r>
      <w:r w:rsidR="004254E1">
        <w:rPr>
          <w:rFonts w:cs="Arial"/>
          <w:szCs w:val="22"/>
          <w:lang w:val="en-GB" w:eastAsia="en-ZA"/>
        </w:rPr>
        <w:t>removal</w:t>
      </w:r>
      <w:r w:rsidR="00237633" w:rsidRPr="00237633">
        <w:rPr>
          <w:rFonts w:cs="Arial"/>
          <w:szCs w:val="22"/>
          <w:lang w:val="en-GB" w:eastAsia="en-ZA"/>
        </w:rPr>
        <w:t xml:space="preserve"> of the bar and the request was refused</w:t>
      </w:r>
      <w:r w:rsidR="001B1D06">
        <w:rPr>
          <w:rFonts w:cs="Arial"/>
          <w:szCs w:val="22"/>
          <w:lang w:val="en-GB" w:eastAsia="en-ZA"/>
        </w:rPr>
        <w:t>.</w:t>
      </w:r>
      <w:r w:rsidR="00237633" w:rsidRPr="00237633">
        <w:rPr>
          <w:rFonts w:cs="Arial"/>
          <w:szCs w:val="22"/>
          <w:lang w:val="en-GB" w:eastAsia="en-ZA"/>
        </w:rPr>
        <w:t xml:space="preserve"> The </w:t>
      </w:r>
      <w:r w:rsidR="00237633">
        <w:rPr>
          <w:rFonts w:cs="Arial"/>
          <w:szCs w:val="22"/>
          <w:lang w:val="en-GB" w:eastAsia="en-ZA"/>
        </w:rPr>
        <w:t xml:space="preserve">present </w:t>
      </w:r>
      <w:r w:rsidR="00237633" w:rsidRPr="00237633">
        <w:rPr>
          <w:rFonts w:cs="Arial"/>
          <w:szCs w:val="22"/>
          <w:lang w:val="en-GB" w:eastAsia="en-ZA"/>
        </w:rPr>
        <w:t>application</w:t>
      </w:r>
      <w:r w:rsidR="00237633">
        <w:rPr>
          <w:rFonts w:cs="Arial"/>
          <w:szCs w:val="22"/>
          <w:lang w:val="en-GB" w:eastAsia="en-ZA"/>
        </w:rPr>
        <w:t xml:space="preserve"> </w:t>
      </w:r>
      <w:r w:rsidR="00FE4133">
        <w:rPr>
          <w:rFonts w:cs="Arial"/>
          <w:szCs w:val="22"/>
          <w:lang w:val="en-GB" w:eastAsia="en-ZA"/>
        </w:rPr>
        <w:t xml:space="preserve">followed </w:t>
      </w:r>
      <w:r w:rsidR="00650BFC">
        <w:rPr>
          <w:rFonts w:cs="Arial"/>
          <w:szCs w:val="22"/>
          <w:lang w:val="en-GB" w:eastAsia="en-ZA"/>
        </w:rPr>
        <w:t>on 6</w:t>
      </w:r>
      <w:r w:rsidR="00237633" w:rsidRPr="00237633">
        <w:rPr>
          <w:rFonts w:cs="Arial"/>
          <w:szCs w:val="22"/>
          <w:lang w:val="en-GB" w:eastAsia="en-ZA"/>
        </w:rPr>
        <w:t xml:space="preserve"> February 2023 </w:t>
      </w:r>
      <w:r w:rsidR="00237633">
        <w:rPr>
          <w:rFonts w:cs="Arial"/>
          <w:szCs w:val="22"/>
          <w:lang w:val="en-GB" w:eastAsia="en-ZA"/>
        </w:rPr>
        <w:t>a</w:t>
      </w:r>
      <w:r w:rsidR="00237633" w:rsidRPr="00237633">
        <w:rPr>
          <w:rFonts w:cs="Arial"/>
          <w:szCs w:val="22"/>
          <w:lang w:val="en-GB" w:eastAsia="en-ZA"/>
        </w:rPr>
        <w:t xml:space="preserve">nd the answering affidavit was filed </w:t>
      </w:r>
      <w:r w:rsidR="00650BFC">
        <w:rPr>
          <w:rFonts w:cs="Arial"/>
          <w:szCs w:val="22"/>
          <w:lang w:val="en-GB" w:eastAsia="en-ZA"/>
        </w:rPr>
        <w:t>on 25</w:t>
      </w:r>
      <w:r w:rsidR="00237633" w:rsidRPr="00237633">
        <w:rPr>
          <w:rFonts w:cs="Arial"/>
          <w:szCs w:val="22"/>
          <w:lang w:val="en-GB" w:eastAsia="en-ZA"/>
        </w:rPr>
        <w:t xml:space="preserve"> </w:t>
      </w:r>
      <w:r w:rsidR="00FF39DB">
        <w:rPr>
          <w:rFonts w:cs="Arial"/>
          <w:szCs w:val="22"/>
          <w:lang w:val="en-GB" w:eastAsia="en-ZA"/>
        </w:rPr>
        <w:t>March</w:t>
      </w:r>
      <w:r w:rsidR="00237633" w:rsidRPr="00237633">
        <w:rPr>
          <w:rFonts w:cs="Arial"/>
          <w:szCs w:val="22"/>
          <w:lang w:val="en-GB" w:eastAsia="en-ZA"/>
        </w:rPr>
        <w:t xml:space="preserve"> 2023</w:t>
      </w:r>
      <w:r w:rsidR="00237633">
        <w:rPr>
          <w:rFonts w:cs="Arial"/>
          <w:szCs w:val="22"/>
          <w:lang w:val="en-GB" w:eastAsia="en-ZA"/>
        </w:rPr>
        <w:t>.</w:t>
      </w:r>
      <w:r w:rsidR="00FF39DB">
        <w:rPr>
          <w:rFonts w:cs="Arial"/>
          <w:szCs w:val="22"/>
          <w:lang w:val="en-GB" w:eastAsia="en-ZA"/>
        </w:rPr>
        <w:t xml:space="preserve"> </w:t>
      </w:r>
    </w:p>
    <w:p w14:paraId="4A04CCE7" w14:textId="63F5748D" w:rsidR="00476DBE" w:rsidRDefault="00FF39DB" w:rsidP="001B1D06">
      <w:pPr>
        <w:widowControl w:val="0"/>
        <w:autoSpaceDE w:val="0"/>
        <w:autoSpaceDN w:val="0"/>
        <w:adjustRightInd w:val="0"/>
        <w:spacing w:before="480" w:after="480" w:line="360" w:lineRule="auto"/>
        <w:jc w:val="both"/>
        <w:rPr>
          <w:rFonts w:cs="Arial"/>
          <w:szCs w:val="22"/>
          <w:lang w:val="en-GB" w:eastAsia="en-ZA"/>
        </w:rPr>
      </w:pPr>
      <w:r w:rsidRPr="00FF39DB">
        <w:rPr>
          <w:rFonts w:cs="Arial"/>
          <w:szCs w:val="22"/>
          <w:lang w:val="en-GB" w:eastAsia="en-ZA"/>
        </w:rPr>
        <w:t>The answering affidavit was filed out of time and condonation</w:t>
      </w:r>
      <w:r>
        <w:rPr>
          <w:rFonts w:cs="Arial"/>
          <w:szCs w:val="22"/>
          <w:lang w:val="en-GB" w:eastAsia="en-ZA"/>
        </w:rPr>
        <w:t xml:space="preserve"> </w:t>
      </w:r>
      <w:r w:rsidRPr="00FF39DB">
        <w:rPr>
          <w:rFonts w:cs="Arial"/>
          <w:szCs w:val="22"/>
          <w:lang w:val="en-GB" w:eastAsia="en-ZA"/>
        </w:rPr>
        <w:t>is being sought by the plaintiffs for the late filing</w:t>
      </w:r>
      <w:r>
        <w:rPr>
          <w:rFonts w:cs="Arial"/>
          <w:szCs w:val="22"/>
          <w:lang w:val="en-GB" w:eastAsia="en-ZA"/>
        </w:rPr>
        <w:t>.</w:t>
      </w:r>
      <w:r w:rsidR="00476DBE">
        <w:rPr>
          <w:rFonts w:cs="Arial"/>
          <w:szCs w:val="22"/>
          <w:lang w:val="en-GB" w:eastAsia="en-ZA"/>
        </w:rPr>
        <w:t xml:space="preserve"> The answering affidavit was filed some 33 days after receipt of the application and in terms of the notice of motion the plaintiffs were granted ten days to give notice of an intention to oppose the application and fifteen days to file their answering affidavits. They were late by some eight days.</w:t>
      </w:r>
    </w:p>
    <w:p w14:paraId="551CB955" w14:textId="18DF4FCB" w:rsidR="00D15731" w:rsidRPr="00D15731" w:rsidRDefault="00FF39DB" w:rsidP="001B1D06">
      <w:pPr>
        <w:widowControl w:val="0"/>
        <w:autoSpaceDE w:val="0"/>
        <w:autoSpaceDN w:val="0"/>
        <w:adjustRightInd w:val="0"/>
        <w:spacing w:before="480" w:after="480" w:line="360" w:lineRule="auto"/>
        <w:jc w:val="both"/>
        <w:rPr>
          <w:rFonts w:cs="Arial"/>
          <w:i/>
          <w:iCs/>
          <w:szCs w:val="22"/>
          <w:lang w:eastAsia="en-ZA"/>
        </w:rPr>
      </w:pPr>
      <w:r>
        <w:rPr>
          <w:rFonts w:cs="Arial"/>
          <w:szCs w:val="22"/>
          <w:lang w:val="en-GB" w:eastAsia="en-ZA"/>
        </w:rPr>
        <w:t xml:space="preserve"> </w:t>
      </w:r>
      <w:r w:rsidR="00650BFC">
        <w:rPr>
          <w:rFonts w:cs="Arial"/>
          <w:szCs w:val="22"/>
          <w:lang w:val="en-GB" w:eastAsia="en-ZA"/>
        </w:rPr>
        <w:t xml:space="preserve">The plaintiff explain that the second plaintiff was working in the United Kingdom and a new attorney had taken over the matter at their attorneys’ offices. </w:t>
      </w:r>
      <w:r w:rsidRPr="00FF39DB">
        <w:rPr>
          <w:rFonts w:cs="Arial"/>
          <w:szCs w:val="22"/>
          <w:lang w:val="en-GB" w:eastAsia="en-ZA"/>
        </w:rPr>
        <w:t xml:space="preserve">There is no reason why condemnation should not be granted as no prejudice </w:t>
      </w:r>
      <w:r w:rsidR="004763B3">
        <w:rPr>
          <w:rFonts w:cs="Arial"/>
          <w:szCs w:val="22"/>
          <w:lang w:val="en-GB" w:eastAsia="en-ZA"/>
        </w:rPr>
        <w:t>was</w:t>
      </w:r>
      <w:r w:rsidRPr="00FF39DB">
        <w:rPr>
          <w:rFonts w:cs="Arial"/>
          <w:szCs w:val="22"/>
          <w:lang w:val="en-GB" w:eastAsia="en-ZA"/>
        </w:rPr>
        <w:t xml:space="preserve"> shown</w:t>
      </w:r>
      <w:r>
        <w:rPr>
          <w:rFonts w:cs="Arial"/>
          <w:szCs w:val="22"/>
          <w:lang w:val="en-GB" w:eastAsia="en-ZA"/>
        </w:rPr>
        <w:t>.</w:t>
      </w:r>
      <w:r w:rsidRPr="00FF39DB">
        <w:rPr>
          <w:rFonts w:cs="Arial"/>
          <w:szCs w:val="22"/>
          <w:lang w:val="en-GB" w:eastAsia="en-ZA"/>
        </w:rPr>
        <w:t xml:space="preserve"> The short delay in filin</w:t>
      </w:r>
      <w:r>
        <w:rPr>
          <w:rFonts w:cs="Arial"/>
          <w:szCs w:val="22"/>
          <w:lang w:val="en-GB" w:eastAsia="en-ZA"/>
        </w:rPr>
        <w:t>g</w:t>
      </w:r>
      <w:r w:rsidRPr="00FF39DB">
        <w:rPr>
          <w:rFonts w:cs="Arial"/>
          <w:szCs w:val="22"/>
          <w:lang w:val="en-GB" w:eastAsia="en-ZA"/>
        </w:rPr>
        <w:t xml:space="preserve"> the </w:t>
      </w:r>
      <w:r>
        <w:rPr>
          <w:rFonts w:cs="Arial"/>
          <w:szCs w:val="22"/>
          <w:lang w:val="en-GB" w:eastAsia="en-ZA"/>
        </w:rPr>
        <w:t>answering</w:t>
      </w:r>
      <w:r w:rsidRPr="00FF39DB">
        <w:rPr>
          <w:rFonts w:cs="Arial"/>
          <w:szCs w:val="22"/>
          <w:lang w:val="en-GB" w:eastAsia="en-ZA"/>
        </w:rPr>
        <w:t xml:space="preserve"> affidavit</w:t>
      </w:r>
      <w:r>
        <w:rPr>
          <w:rFonts w:cs="Arial"/>
          <w:szCs w:val="22"/>
          <w:lang w:val="en-GB" w:eastAsia="en-ZA"/>
        </w:rPr>
        <w:t xml:space="preserve"> </w:t>
      </w:r>
      <w:r w:rsidRPr="00FF39DB">
        <w:rPr>
          <w:rFonts w:cs="Arial"/>
          <w:szCs w:val="22"/>
          <w:lang w:val="en-GB" w:eastAsia="en-ZA"/>
        </w:rPr>
        <w:t>is insignificant in the context of</w:t>
      </w:r>
      <w:r>
        <w:rPr>
          <w:rFonts w:cs="Arial"/>
          <w:szCs w:val="22"/>
          <w:lang w:val="en-GB" w:eastAsia="en-ZA"/>
        </w:rPr>
        <w:t xml:space="preserve"> </w:t>
      </w:r>
      <w:r w:rsidRPr="00FF39DB">
        <w:rPr>
          <w:rFonts w:cs="Arial"/>
          <w:szCs w:val="22"/>
          <w:lang w:val="en-GB" w:eastAsia="en-ZA"/>
        </w:rPr>
        <w:t>the long period that has elapsed</w:t>
      </w:r>
      <w:r>
        <w:rPr>
          <w:rFonts w:cs="Arial"/>
          <w:szCs w:val="22"/>
          <w:lang w:val="en-GB" w:eastAsia="en-ZA"/>
        </w:rPr>
        <w:t xml:space="preserve"> </w:t>
      </w:r>
      <w:r w:rsidRPr="00FF39DB">
        <w:rPr>
          <w:rFonts w:cs="Arial"/>
          <w:szCs w:val="22"/>
          <w:lang w:val="en-GB" w:eastAsia="en-ZA"/>
        </w:rPr>
        <w:t>since the notice of bar was given</w:t>
      </w:r>
      <w:r>
        <w:rPr>
          <w:rFonts w:cs="Arial"/>
          <w:szCs w:val="22"/>
          <w:lang w:val="en-GB" w:eastAsia="en-ZA"/>
        </w:rPr>
        <w:t>.</w:t>
      </w:r>
    </w:p>
    <w:p w14:paraId="4DCECF8B" w14:textId="0BE01887" w:rsidR="00D15731" w:rsidRPr="00972028" w:rsidRDefault="00FA0F52" w:rsidP="00FA0F52">
      <w:pPr>
        <w:widowControl w:val="0"/>
        <w:tabs>
          <w:tab w:val="left" w:pos="567"/>
        </w:tabs>
        <w:autoSpaceDE w:val="0"/>
        <w:autoSpaceDN w:val="0"/>
        <w:adjustRightInd w:val="0"/>
        <w:spacing w:before="480" w:after="480" w:line="360" w:lineRule="auto"/>
        <w:jc w:val="both"/>
        <w:rPr>
          <w:rFonts w:cs="Arial"/>
          <w:i/>
          <w:iCs/>
          <w:szCs w:val="22"/>
          <w:lang w:eastAsia="en-ZA"/>
        </w:rPr>
      </w:pPr>
      <w:r w:rsidRPr="00972028">
        <w:rPr>
          <w:rFonts w:cs="Arial"/>
          <w:iCs/>
          <w:szCs w:val="22"/>
          <w:lang w:eastAsia="en-ZA"/>
        </w:rPr>
        <w:t>[10]</w:t>
      </w:r>
      <w:r w:rsidRPr="00972028">
        <w:rPr>
          <w:rFonts w:cs="Arial"/>
          <w:iCs/>
          <w:szCs w:val="22"/>
          <w:lang w:eastAsia="en-ZA"/>
        </w:rPr>
        <w:tab/>
      </w:r>
      <w:r w:rsidR="00AC7078" w:rsidRPr="00AC7078">
        <w:rPr>
          <w:rFonts w:cs="Arial"/>
          <w:szCs w:val="22"/>
          <w:lang w:val="en-GB" w:eastAsia="en-ZA"/>
        </w:rPr>
        <w:t>The</w:t>
      </w:r>
      <w:r w:rsidR="004763B3">
        <w:rPr>
          <w:rFonts w:cs="Arial"/>
          <w:szCs w:val="22"/>
          <w:lang w:val="en-GB" w:eastAsia="en-ZA"/>
        </w:rPr>
        <w:t xml:space="preserve"> plaintiff’s</w:t>
      </w:r>
      <w:r w:rsidR="00AC7078" w:rsidRPr="00AC7078">
        <w:rPr>
          <w:rFonts w:cs="Arial"/>
          <w:szCs w:val="22"/>
          <w:lang w:val="en-GB" w:eastAsia="en-ZA"/>
        </w:rPr>
        <w:t xml:space="preserve"> application for default judgement was removed from the rol</w:t>
      </w:r>
      <w:r w:rsidR="00AC7078">
        <w:rPr>
          <w:rFonts w:cs="Arial"/>
          <w:szCs w:val="22"/>
          <w:lang w:val="en-GB" w:eastAsia="en-ZA"/>
        </w:rPr>
        <w:t>l</w:t>
      </w:r>
      <w:r w:rsidR="00AC7078" w:rsidRPr="00AC7078">
        <w:rPr>
          <w:rFonts w:cs="Arial"/>
          <w:szCs w:val="22"/>
          <w:lang w:val="en-GB" w:eastAsia="en-ZA"/>
        </w:rPr>
        <w:t xml:space="preserve"> on 19 April 2022</w:t>
      </w:r>
      <w:r w:rsidR="00972028">
        <w:rPr>
          <w:rFonts w:cs="Arial"/>
          <w:szCs w:val="22"/>
          <w:lang w:val="en-GB" w:eastAsia="en-ZA"/>
        </w:rPr>
        <w:t xml:space="preserve"> </w:t>
      </w:r>
      <w:r w:rsidR="001B1D06">
        <w:rPr>
          <w:rFonts w:cs="Arial"/>
          <w:szCs w:val="22"/>
          <w:lang w:val="en-GB" w:eastAsia="en-ZA"/>
        </w:rPr>
        <w:t>because of non-compliance with requirements for enrolment, but</w:t>
      </w:r>
      <w:r w:rsidR="00972028">
        <w:rPr>
          <w:rFonts w:cs="Arial"/>
          <w:szCs w:val="22"/>
          <w:lang w:val="en-GB" w:eastAsia="en-ZA"/>
        </w:rPr>
        <w:t xml:space="preserve"> </w:t>
      </w:r>
      <w:r w:rsidR="00044B5B">
        <w:rPr>
          <w:rFonts w:cs="Arial"/>
          <w:szCs w:val="22"/>
          <w:lang w:val="en-GB" w:eastAsia="en-ZA"/>
        </w:rPr>
        <w:t xml:space="preserve">only after a </w:t>
      </w:r>
      <w:r w:rsidR="00972028">
        <w:rPr>
          <w:rFonts w:cs="Arial"/>
          <w:szCs w:val="22"/>
          <w:lang w:val="en-GB" w:eastAsia="en-ZA"/>
        </w:rPr>
        <w:t xml:space="preserve">notice of set down </w:t>
      </w:r>
      <w:r w:rsidR="001B1D06">
        <w:rPr>
          <w:rFonts w:cs="Arial"/>
          <w:szCs w:val="22"/>
          <w:lang w:val="en-GB" w:eastAsia="en-ZA"/>
        </w:rPr>
        <w:t>had been</w:t>
      </w:r>
      <w:r w:rsidR="00972028">
        <w:rPr>
          <w:rFonts w:cs="Arial"/>
          <w:szCs w:val="22"/>
          <w:lang w:val="en-GB" w:eastAsia="en-ZA"/>
        </w:rPr>
        <w:t xml:space="preserve"> served on the first defendant. </w:t>
      </w:r>
      <w:r w:rsidR="004763B3">
        <w:rPr>
          <w:rFonts w:cs="Arial"/>
          <w:szCs w:val="22"/>
          <w:lang w:val="en-GB" w:eastAsia="en-ZA"/>
        </w:rPr>
        <w:t xml:space="preserve">It evoked no response. </w:t>
      </w:r>
      <w:r w:rsidR="00972028">
        <w:rPr>
          <w:rFonts w:cs="Arial"/>
          <w:szCs w:val="22"/>
          <w:lang w:val="en-GB" w:eastAsia="en-ZA"/>
        </w:rPr>
        <w:t xml:space="preserve">The matter was then enrolled for 12 September 2022 on which occasion the first defendant </w:t>
      </w:r>
      <w:r w:rsidR="00972028">
        <w:rPr>
          <w:rFonts w:cs="Arial"/>
          <w:szCs w:val="22"/>
          <w:lang w:val="en-GB" w:eastAsia="en-ZA"/>
        </w:rPr>
        <w:lastRenderedPageBreak/>
        <w:t>appeared in person. The matter was postponed.</w:t>
      </w:r>
    </w:p>
    <w:p w14:paraId="4FDF2988" w14:textId="2ECD0FB3" w:rsidR="00972028" w:rsidRPr="003E0C31" w:rsidRDefault="00FA0F52" w:rsidP="00FA0F52">
      <w:pPr>
        <w:widowControl w:val="0"/>
        <w:tabs>
          <w:tab w:val="left" w:pos="567"/>
        </w:tabs>
        <w:autoSpaceDE w:val="0"/>
        <w:autoSpaceDN w:val="0"/>
        <w:adjustRightInd w:val="0"/>
        <w:spacing w:before="480" w:after="480" w:line="360" w:lineRule="auto"/>
        <w:jc w:val="both"/>
        <w:rPr>
          <w:rFonts w:cs="Arial"/>
          <w:i/>
          <w:iCs/>
          <w:szCs w:val="22"/>
          <w:lang w:eastAsia="en-ZA"/>
        </w:rPr>
      </w:pPr>
      <w:r w:rsidRPr="003E0C31">
        <w:rPr>
          <w:rFonts w:cs="Arial"/>
          <w:iCs/>
          <w:szCs w:val="22"/>
          <w:lang w:eastAsia="en-ZA"/>
        </w:rPr>
        <w:t>[11]</w:t>
      </w:r>
      <w:r w:rsidRPr="003E0C31">
        <w:rPr>
          <w:rFonts w:cs="Arial"/>
          <w:iCs/>
          <w:szCs w:val="22"/>
          <w:lang w:eastAsia="en-ZA"/>
        </w:rPr>
        <w:tab/>
      </w:r>
      <w:r w:rsidR="00972028">
        <w:rPr>
          <w:rFonts w:cs="Arial"/>
          <w:szCs w:val="22"/>
          <w:lang w:val="en-GB" w:eastAsia="en-ZA"/>
        </w:rPr>
        <w:t>Four months later the first defendant</w:t>
      </w:r>
      <w:r w:rsidR="00972028">
        <w:rPr>
          <w:rFonts w:cs="Arial"/>
          <w:szCs w:val="22"/>
          <w:lang w:eastAsia="en-ZA"/>
        </w:rPr>
        <w:t>’s attorney came on record and the application was launched.</w:t>
      </w:r>
    </w:p>
    <w:p w14:paraId="20033710" w14:textId="77777777" w:rsidR="003E0C31" w:rsidRDefault="003E0C31" w:rsidP="003E0C31">
      <w:pPr>
        <w:widowControl w:val="0"/>
        <w:autoSpaceDE w:val="0"/>
        <w:autoSpaceDN w:val="0"/>
        <w:adjustRightInd w:val="0"/>
        <w:spacing w:before="480" w:after="480" w:line="360" w:lineRule="auto"/>
        <w:jc w:val="both"/>
        <w:rPr>
          <w:rFonts w:cs="Arial"/>
          <w:szCs w:val="22"/>
          <w:u w:val="single"/>
          <w:lang w:eastAsia="en-ZA"/>
        </w:rPr>
      </w:pPr>
    </w:p>
    <w:p w14:paraId="24129240" w14:textId="14EB4002" w:rsidR="003E0C31" w:rsidRPr="003E0C31" w:rsidRDefault="003E0C31" w:rsidP="003E0C31">
      <w:pPr>
        <w:widowControl w:val="0"/>
        <w:autoSpaceDE w:val="0"/>
        <w:autoSpaceDN w:val="0"/>
        <w:adjustRightInd w:val="0"/>
        <w:spacing w:before="480" w:after="480" w:line="360" w:lineRule="auto"/>
        <w:jc w:val="both"/>
        <w:rPr>
          <w:rFonts w:cs="Arial"/>
          <w:i/>
          <w:iCs/>
          <w:szCs w:val="22"/>
          <w:u w:val="single"/>
          <w:lang w:eastAsia="en-ZA"/>
        </w:rPr>
      </w:pPr>
      <w:r w:rsidRPr="003E0C31">
        <w:rPr>
          <w:rFonts w:cs="Arial"/>
          <w:szCs w:val="22"/>
          <w:u w:val="single"/>
          <w:lang w:eastAsia="en-ZA"/>
        </w:rPr>
        <w:t>Rule 27(1)</w:t>
      </w:r>
    </w:p>
    <w:p w14:paraId="537B17AD" w14:textId="029BD1D2" w:rsidR="00FE4133" w:rsidRPr="00FE4133" w:rsidRDefault="00FA0F52" w:rsidP="00FA0F52">
      <w:pPr>
        <w:widowControl w:val="0"/>
        <w:tabs>
          <w:tab w:val="left" w:pos="567"/>
        </w:tabs>
        <w:autoSpaceDE w:val="0"/>
        <w:autoSpaceDN w:val="0"/>
        <w:adjustRightInd w:val="0"/>
        <w:spacing w:before="480" w:after="480" w:line="360" w:lineRule="auto"/>
        <w:jc w:val="both"/>
        <w:rPr>
          <w:rFonts w:cs="Arial"/>
          <w:szCs w:val="22"/>
          <w:lang w:eastAsia="en-ZA"/>
        </w:rPr>
      </w:pPr>
      <w:r w:rsidRPr="00FE4133">
        <w:rPr>
          <w:rFonts w:cs="Arial"/>
          <w:szCs w:val="22"/>
          <w:lang w:eastAsia="en-ZA"/>
        </w:rPr>
        <w:t>[12]</w:t>
      </w:r>
      <w:r w:rsidRPr="00FE4133">
        <w:rPr>
          <w:rFonts w:cs="Arial"/>
          <w:szCs w:val="22"/>
          <w:lang w:eastAsia="en-ZA"/>
        </w:rPr>
        <w:tab/>
      </w:r>
      <w:r w:rsidR="00FF39DB" w:rsidRPr="00FF39DB">
        <w:rPr>
          <w:rFonts w:cs="Arial"/>
          <w:szCs w:val="22"/>
          <w:lang w:val="en-GB" w:eastAsia="en-ZA"/>
        </w:rPr>
        <w:t>Rule 27</w:t>
      </w:r>
      <w:r w:rsidR="00FF39DB">
        <w:rPr>
          <w:rFonts w:cs="Arial"/>
          <w:szCs w:val="22"/>
          <w:lang w:val="en-GB" w:eastAsia="en-ZA"/>
        </w:rPr>
        <w:t>(1)</w:t>
      </w:r>
      <w:r w:rsidR="00883D7C">
        <w:rPr>
          <w:rStyle w:val="FootnoteReference"/>
          <w:rFonts w:cs="Arial"/>
          <w:szCs w:val="22"/>
          <w:lang w:val="en-GB" w:eastAsia="en-ZA"/>
        </w:rPr>
        <w:footnoteReference w:id="1"/>
      </w:r>
      <w:r w:rsidR="00FF39DB">
        <w:rPr>
          <w:rFonts w:cs="Arial"/>
          <w:szCs w:val="22"/>
          <w:lang w:val="en-GB" w:eastAsia="en-ZA"/>
        </w:rPr>
        <w:t xml:space="preserve"> </w:t>
      </w:r>
      <w:r w:rsidR="00FF39DB" w:rsidRPr="00FF39DB">
        <w:rPr>
          <w:rFonts w:cs="Arial"/>
          <w:szCs w:val="22"/>
          <w:lang w:val="en-GB" w:eastAsia="en-ZA"/>
        </w:rPr>
        <w:t xml:space="preserve">provides that in the absence of agreement between the parties the court </w:t>
      </w:r>
      <w:r w:rsidR="00F30542">
        <w:rPr>
          <w:rFonts w:cs="Arial"/>
          <w:szCs w:val="22"/>
          <w:lang w:val="en-GB" w:eastAsia="en-ZA"/>
        </w:rPr>
        <w:t>may</w:t>
      </w:r>
      <w:r w:rsidR="00FF39DB" w:rsidRPr="00FF39DB">
        <w:rPr>
          <w:rFonts w:cs="Arial"/>
          <w:szCs w:val="22"/>
          <w:lang w:val="en-GB" w:eastAsia="en-ZA"/>
        </w:rPr>
        <w:t xml:space="preserve"> on good cause shown make an order extending or abridging any time for doing any act or taking any step in connection with proceedings of any nature whatsoever</w:t>
      </w:r>
      <w:r w:rsidR="00FF39DB">
        <w:rPr>
          <w:rFonts w:cs="Arial"/>
          <w:szCs w:val="22"/>
          <w:lang w:val="en-GB" w:eastAsia="en-ZA"/>
        </w:rPr>
        <w:t xml:space="preserve">. </w:t>
      </w:r>
      <w:r w:rsidR="00FF39DB" w:rsidRPr="00FF39DB">
        <w:rPr>
          <w:rFonts w:cs="Arial"/>
          <w:szCs w:val="22"/>
          <w:lang w:val="en-GB" w:eastAsia="en-ZA"/>
        </w:rPr>
        <w:t xml:space="preserve">The rule </w:t>
      </w:r>
      <w:r w:rsidR="00F30542">
        <w:rPr>
          <w:rFonts w:cs="Arial"/>
          <w:szCs w:val="22"/>
          <w:lang w:val="en-GB" w:eastAsia="en-ZA"/>
        </w:rPr>
        <w:t xml:space="preserve">therefore </w:t>
      </w:r>
      <w:r w:rsidR="00FF39DB" w:rsidRPr="00FF39DB">
        <w:rPr>
          <w:rFonts w:cs="Arial"/>
          <w:szCs w:val="22"/>
          <w:lang w:val="en-GB" w:eastAsia="en-ZA"/>
        </w:rPr>
        <w:t xml:space="preserve">provides the machinery for the </w:t>
      </w:r>
      <w:r w:rsidR="004254E1">
        <w:rPr>
          <w:rFonts w:cs="Arial"/>
          <w:szCs w:val="22"/>
          <w:lang w:val="en-GB" w:eastAsia="en-ZA"/>
        </w:rPr>
        <w:t>removal</w:t>
      </w:r>
      <w:r w:rsidR="00072B36">
        <w:rPr>
          <w:rFonts w:cs="Arial"/>
          <w:szCs w:val="22"/>
          <w:lang w:val="en-GB" w:eastAsia="en-ZA"/>
        </w:rPr>
        <w:t xml:space="preserve"> </w:t>
      </w:r>
      <w:r w:rsidR="00FF39DB" w:rsidRPr="00FF39DB">
        <w:rPr>
          <w:rFonts w:cs="Arial"/>
          <w:szCs w:val="22"/>
          <w:lang w:val="en-GB" w:eastAsia="en-ZA"/>
        </w:rPr>
        <w:t xml:space="preserve">of </w:t>
      </w:r>
      <w:r w:rsidR="00FE4133">
        <w:rPr>
          <w:rFonts w:cs="Arial"/>
          <w:szCs w:val="22"/>
          <w:lang w:val="en-GB" w:eastAsia="en-ZA"/>
        </w:rPr>
        <w:t>a</w:t>
      </w:r>
      <w:r w:rsidR="00072B36">
        <w:rPr>
          <w:rFonts w:cs="Arial"/>
          <w:szCs w:val="22"/>
          <w:lang w:val="en-GB" w:eastAsia="en-ZA"/>
        </w:rPr>
        <w:t xml:space="preserve"> </w:t>
      </w:r>
      <w:r w:rsidR="00FF39DB" w:rsidRPr="00FF39DB">
        <w:rPr>
          <w:rFonts w:cs="Arial"/>
          <w:szCs w:val="22"/>
          <w:lang w:val="en-GB" w:eastAsia="en-ZA"/>
        </w:rPr>
        <w:t>bar upon good cause shown</w:t>
      </w:r>
      <w:r w:rsidR="00FF39DB">
        <w:rPr>
          <w:rFonts w:cs="Arial"/>
          <w:szCs w:val="22"/>
          <w:lang w:val="en-GB" w:eastAsia="en-ZA"/>
        </w:rPr>
        <w:t xml:space="preserve">. </w:t>
      </w:r>
    </w:p>
    <w:p w14:paraId="42F629CA" w14:textId="2EEE7200" w:rsidR="00FF39DB" w:rsidRPr="00FF39DB" w:rsidRDefault="00FF39DB" w:rsidP="00FE4133">
      <w:pPr>
        <w:widowControl w:val="0"/>
        <w:autoSpaceDE w:val="0"/>
        <w:autoSpaceDN w:val="0"/>
        <w:adjustRightInd w:val="0"/>
        <w:spacing w:before="480" w:after="480" w:line="360" w:lineRule="auto"/>
        <w:jc w:val="both"/>
        <w:rPr>
          <w:rFonts w:cs="Arial"/>
          <w:szCs w:val="22"/>
          <w:lang w:eastAsia="en-ZA"/>
        </w:rPr>
      </w:pPr>
      <w:r w:rsidRPr="00FF39DB">
        <w:rPr>
          <w:rFonts w:cs="Arial"/>
          <w:szCs w:val="22"/>
          <w:lang w:val="en-GB" w:eastAsia="en-ZA"/>
        </w:rPr>
        <w:t>Good cause comprises two elements</w:t>
      </w:r>
      <w:r>
        <w:rPr>
          <w:rFonts w:cs="Arial"/>
          <w:szCs w:val="22"/>
          <w:lang w:val="en-GB" w:eastAsia="en-ZA"/>
        </w:rPr>
        <w:t>, a</w:t>
      </w:r>
      <w:r w:rsidRPr="001B1D06">
        <w:rPr>
          <w:rFonts w:cs="Arial"/>
          <w:i/>
          <w:iCs/>
          <w:szCs w:val="22"/>
          <w:lang w:val="en-GB" w:eastAsia="en-ZA"/>
        </w:rPr>
        <w:t xml:space="preserve"> bona fide</w:t>
      </w:r>
      <w:r>
        <w:rPr>
          <w:rFonts w:cs="Arial"/>
          <w:szCs w:val="22"/>
          <w:lang w:val="en-GB" w:eastAsia="en-ZA"/>
        </w:rPr>
        <w:t xml:space="preserve"> </w:t>
      </w:r>
      <w:r w:rsidRPr="00FF39DB">
        <w:rPr>
          <w:rFonts w:cs="Arial"/>
          <w:szCs w:val="22"/>
          <w:lang w:val="en-GB" w:eastAsia="en-ZA"/>
        </w:rPr>
        <w:t>defence and a reasonable explanation for the delay</w:t>
      </w:r>
      <w:r>
        <w:rPr>
          <w:rFonts w:cs="Arial"/>
          <w:szCs w:val="22"/>
          <w:lang w:val="en-GB" w:eastAsia="en-ZA"/>
        </w:rPr>
        <w:t xml:space="preserve">. </w:t>
      </w:r>
      <w:r w:rsidR="001B1D06">
        <w:rPr>
          <w:rFonts w:cs="Arial"/>
          <w:szCs w:val="22"/>
          <w:lang w:val="en-GB" w:eastAsia="en-ZA"/>
        </w:rPr>
        <w:t xml:space="preserve">The purpose of the rule is not to come to the aid of a </w:t>
      </w:r>
      <w:r w:rsidR="00F30542">
        <w:rPr>
          <w:rFonts w:cs="Arial"/>
          <w:szCs w:val="22"/>
          <w:lang w:val="en-GB" w:eastAsia="en-ZA"/>
        </w:rPr>
        <w:t xml:space="preserve">reckless litigant or one who acts with an intentional disregard </w:t>
      </w:r>
      <w:r w:rsidR="00D577DC">
        <w:rPr>
          <w:rFonts w:cs="Arial"/>
          <w:szCs w:val="22"/>
          <w:lang w:val="en-GB" w:eastAsia="en-ZA"/>
        </w:rPr>
        <w:t>for</w:t>
      </w:r>
      <w:r w:rsidR="00F30542">
        <w:rPr>
          <w:rFonts w:cs="Arial"/>
          <w:szCs w:val="22"/>
          <w:lang w:val="en-GB" w:eastAsia="en-ZA"/>
        </w:rPr>
        <w:t xml:space="preserve"> the rules of court</w:t>
      </w:r>
      <w:r w:rsidR="001B1D06">
        <w:rPr>
          <w:rFonts w:cs="Arial"/>
          <w:szCs w:val="22"/>
          <w:lang w:val="en-GB" w:eastAsia="en-ZA"/>
        </w:rPr>
        <w:t>; the purpose is rather to accommodate the</w:t>
      </w:r>
      <w:r w:rsidR="001B1D06" w:rsidRPr="001B1D06">
        <w:rPr>
          <w:rFonts w:cs="Arial"/>
          <w:i/>
          <w:iCs/>
          <w:szCs w:val="22"/>
          <w:lang w:val="en-GB" w:eastAsia="en-ZA"/>
        </w:rPr>
        <w:t xml:space="preserve"> bona fide </w:t>
      </w:r>
      <w:r w:rsidR="001B1D06">
        <w:rPr>
          <w:rFonts w:cs="Arial"/>
          <w:szCs w:val="22"/>
          <w:lang w:val="en-GB" w:eastAsia="en-ZA"/>
        </w:rPr>
        <w:t>litigant.</w:t>
      </w:r>
    </w:p>
    <w:p w14:paraId="471C300A" w14:textId="62A8D90E" w:rsidR="00D577DC" w:rsidRPr="00D577DC" w:rsidRDefault="00FA0F52" w:rsidP="00FA0F52">
      <w:pPr>
        <w:widowControl w:val="0"/>
        <w:tabs>
          <w:tab w:val="left" w:pos="567"/>
        </w:tabs>
        <w:autoSpaceDE w:val="0"/>
        <w:autoSpaceDN w:val="0"/>
        <w:adjustRightInd w:val="0"/>
        <w:spacing w:before="480" w:after="480" w:line="360" w:lineRule="auto"/>
        <w:jc w:val="both"/>
        <w:rPr>
          <w:rFonts w:cs="Arial"/>
          <w:szCs w:val="22"/>
          <w:lang w:eastAsia="en-ZA"/>
        </w:rPr>
      </w:pPr>
      <w:r w:rsidRPr="00D577DC">
        <w:rPr>
          <w:rFonts w:cs="Arial"/>
          <w:szCs w:val="22"/>
          <w:lang w:eastAsia="en-ZA"/>
        </w:rPr>
        <w:t>[13]</w:t>
      </w:r>
      <w:r w:rsidRPr="00D577DC">
        <w:rPr>
          <w:rFonts w:cs="Arial"/>
          <w:szCs w:val="22"/>
          <w:lang w:eastAsia="en-ZA"/>
        </w:rPr>
        <w:tab/>
      </w:r>
      <w:r w:rsidR="00072B36" w:rsidRPr="00FE4133">
        <w:rPr>
          <w:rFonts w:cs="Arial"/>
          <w:szCs w:val="22"/>
          <w:lang w:val="en-GB" w:eastAsia="en-ZA"/>
        </w:rPr>
        <w:t xml:space="preserve">A </w:t>
      </w:r>
      <w:r w:rsidR="00972028" w:rsidRPr="00FE4133">
        <w:rPr>
          <w:rFonts w:cs="Arial"/>
          <w:szCs w:val="22"/>
          <w:lang w:val="en-GB" w:eastAsia="en-ZA"/>
        </w:rPr>
        <w:t xml:space="preserve">satisfactory explanation </w:t>
      </w:r>
      <w:r w:rsidR="00072B36" w:rsidRPr="00FE4133">
        <w:rPr>
          <w:rFonts w:cs="Arial"/>
          <w:szCs w:val="22"/>
          <w:lang w:val="en-GB" w:eastAsia="en-ZA"/>
        </w:rPr>
        <w:t>must be given with</w:t>
      </w:r>
      <w:r w:rsidR="00972028" w:rsidRPr="00FE4133">
        <w:rPr>
          <w:rFonts w:cs="Arial"/>
          <w:szCs w:val="22"/>
          <w:lang w:val="en-GB" w:eastAsia="en-ZA"/>
        </w:rPr>
        <w:t xml:space="preserve"> sufficient particularity.</w:t>
      </w:r>
      <w:r w:rsidR="003E0C31" w:rsidRPr="00FE4133">
        <w:rPr>
          <w:rFonts w:cs="Arial"/>
          <w:szCs w:val="22"/>
          <w:lang w:val="en-GB" w:eastAsia="en-ZA"/>
        </w:rPr>
        <w:t xml:space="preserve"> This does not mean that an applicant for condonation must prove its claim or rebut a plaintiff’s claim as it would at trial.</w:t>
      </w:r>
      <w:r w:rsidR="00FE4133" w:rsidRPr="00FE4133">
        <w:rPr>
          <w:rFonts w:cs="Arial"/>
          <w:szCs w:val="22"/>
          <w:lang w:val="en-GB" w:eastAsia="en-ZA"/>
        </w:rPr>
        <w:t xml:space="preserve"> </w:t>
      </w:r>
    </w:p>
    <w:p w14:paraId="72EE27FD" w14:textId="0C983B00" w:rsidR="00972028" w:rsidRPr="00FE4133" w:rsidRDefault="00072B36" w:rsidP="00D577DC">
      <w:pPr>
        <w:widowControl w:val="0"/>
        <w:autoSpaceDE w:val="0"/>
        <w:autoSpaceDN w:val="0"/>
        <w:adjustRightInd w:val="0"/>
        <w:spacing w:before="480" w:after="480" w:line="360" w:lineRule="auto"/>
        <w:jc w:val="both"/>
        <w:rPr>
          <w:rFonts w:cs="Arial"/>
          <w:szCs w:val="22"/>
          <w:lang w:eastAsia="en-ZA"/>
        </w:rPr>
      </w:pPr>
      <w:r w:rsidRPr="00FE4133">
        <w:rPr>
          <w:rFonts w:cs="Arial"/>
          <w:szCs w:val="22"/>
          <w:lang w:val="en-GB" w:eastAsia="en-ZA"/>
        </w:rPr>
        <w:t xml:space="preserve">It must also be established </w:t>
      </w:r>
      <w:r w:rsidR="00972028" w:rsidRPr="00FE4133">
        <w:rPr>
          <w:rFonts w:cs="Arial"/>
          <w:szCs w:val="22"/>
          <w:lang w:val="en-GB" w:eastAsia="en-ZA"/>
        </w:rPr>
        <w:t>that the granting of the order will not prejudice the other parties in a way that cannot be compensated by a suitable cost order.</w:t>
      </w:r>
      <w:r w:rsidR="00BD1446">
        <w:rPr>
          <w:rStyle w:val="FootnoteReference"/>
          <w:rFonts w:cs="Arial"/>
          <w:szCs w:val="22"/>
          <w:lang w:val="en-GB" w:eastAsia="en-ZA"/>
        </w:rPr>
        <w:footnoteReference w:id="2"/>
      </w:r>
    </w:p>
    <w:p w14:paraId="64B41F45" w14:textId="72708B9C" w:rsidR="00852AB8" w:rsidRPr="00A05D30" w:rsidRDefault="00FA0F52" w:rsidP="00FA0F52">
      <w:pPr>
        <w:widowControl w:val="0"/>
        <w:tabs>
          <w:tab w:val="left" w:pos="567"/>
        </w:tabs>
        <w:autoSpaceDE w:val="0"/>
        <w:autoSpaceDN w:val="0"/>
        <w:adjustRightInd w:val="0"/>
        <w:spacing w:before="480" w:after="480" w:line="360" w:lineRule="auto"/>
        <w:jc w:val="both"/>
        <w:rPr>
          <w:rFonts w:cs="Arial"/>
          <w:szCs w:val="22"/>
          <w:lang w:eastAsia="en-ZA"/>
        </w:rPr>
      </w:pPr>
      <w:r w:rsidRPr="00A05D30">
        <w:rPr>
          <w:rFonts w:cs="Arial"/>
          <w:szCs w:val="22"/>
          <w:lang w:eastAsia="en-ZA"/>
        </w:rPr>
        <w:t>[14]</w:t>
      </w:r>
      <w:r w:rsidRPr="00A05D30">
        <w:rPr>
          <w:rFonts w:cs="Arial"/>
          <w:szCs w:val="22"/>
          <w:lang w:eastAsia="en-ZA"/>
        </w:rPr>
        <w:tab/>
      </w:r>
      <w:r w:rsidR="00852AB8" w:rsidRPr="00852AB8">
        <w:rPr>
          <w:rFonts w:cs="Arial"/>
          <w:szCs w:val="22"/>
          <w:lang w:val="en-GB" w:eastAsia="en-ZA"/>
        </w:rPr>
        <w:t>The first defendant blames the failure</w:t>
      </w:r>
      <w:r w:rsidR="00852AB8">
        <w:rPr>
          <w:rFonts w:cs="Arial"/>
          <w:szCs w:val="22"/>
          <w:lang w:val="en-GB" w:eastAsia="en-ZA"/>
        </w:rPr>
        <w:t xml:space="preserve"> to timeously </w:t>
      </w:r>
      <w:r w:rsidR="00852AB8" w:rsidRPr="00852AB8">
        <w:rPr>
          <w:rFonts w:cs="Arial"/>
          <w:szCs w:val="22"/>
          <w:lang w:val="en-GB" w:eastAsia="en-ZA"/>
        </w:rPr>
        <w:t>defend the action on the fact that she was not able to procure the services of a legal representative to assist her</w:t>
      </w:r>
      <w:r w:rsidR="00852AB8">
        <w:rPr>
          <w:rFonts w:cs="Arial"/>
          <w:szCs w:val="22"/>
          <w:lang w:val="en-GB" w:eastAsia="en-ZA"/>
        </w:rPr>
        <w:t xml:space="preserve"> </w:t>
      </w:r>
      <w:r w:rsidR="00852AB8" w:rsidRPr="00852AB8">
        <w:rPr>
          <w:rFonts w:cs="Arial"/>
          <w:szCs w:val="22"/>
          <w:lang w:val="en-GB" w:eastAsia="en-ZA"/>
        </w:rPr>
        <w:t>and she only managed to do so in December 2022</w:t>
      </w:r>
      <w:r w:rsidR="00852AB8">
        <w:rPr>
          <w:rFonts w:cs="Arial"/>
          <w:szCs w:val="22"/>
          <w:lang w:val="en-GB" w:eastAsia="en-ZA"/>
        </w:rPr>
        <w:t xml:space="preserve">. </w:t>
      </w:r>
      <w:r w:rsidR="00852AB8" w:rsidRPr="00852AB8">
        <w:rPr>
          <w:rFonts w:cs="Arial"/>
          <w:szCs w:val="22"/>
          <w:lang w:val="en-GB" w:eastAsia="en-ZA"/>
        </w:rPr>
        <w:t xml:space="preserve">There is </w:t>
      </w:r>
      <w:r w:rsidR="00852AB8">
        <w:rPr>
          <w:rFonts w:cs="Arial"/>
          <w:szCs w:val="22"/>
          <w:lang w:val="en-GB" w:eastAsia="en-ZA"/>
        </w:rPr>
        <w:t>however</w:t>
      </w:r>
      <w:r w:rsidR="00852AB8" w:rsidRPr="00852AB8">
        <w:rPr>
          <w:rFonts w:cs="Arial"/>
          <w:szCs w:val="22"/>
          <w:lang w:val="en-GB" w:eastAsia="en-ZA"/>
        </w:rPr>
        <w:t xml:space="preserve"> no explanation</w:t>
      </w:r>
      <w:r w:rsidR="00852AB8">
        <w:rPr>
          <w:rFonts w:cs="Arial"/>
          <w:szCs w:val="22"/>
          <w:lang w:val="en-GB" w:eastAsia="en-ZA"/>
        </w:rPr>
        <w:t xml:space="preserve"> </w:t>
      </w:r>
      <w:r w:rsidR="00852AB8" w:rsidRPr="00852AB8">
        <w:rPr>
          <w:rFonts w:cs="Arial"/>
          <w:szCs w:val="22"/>
          <w:lang w:val="en-GB" w:eastAsia="en-ZA"/>
        </w:rPr>
        <w:t>as to why she was unable to obtain the services of an attorney during the period</w:t>
      </w:r>
      <w:r w:rsidR="00852AB8">
        <w:rPr>
          <w:rFonts w:cs="Arial"/>
          <w:szCs w:val="22"/>
          <w:lang w:val="en-GB" w:eastAsia="en-ZA"/>
        </w:rPr>
        <w:t xml:space="preserve"> </w:t>
      </w:r>
      <w:r w:rsidR="00AB6BCE" w:rsidRPr="00AB6BCE">
        <w:rPr>
          <w:rFonts w:cs="Arial"/>
          <w:szCs w:val="22"/>
          <w:lang w:val="en-GB" w:eastAsia="en-ZA"/>
        </w:rPr>
        <w:t xml:space="preserve">March 2020 </w:t>
      </w:r>
      <w:r w:rsidR="009B0FF9">
        <w:rPr>
          <w:rFonts w:cs="Arial"/>
          <w:szCs w:val="22"/>
          <w:lang w:val="en-GB" w:eastAsia="en-ZA"/>
        </w:rPr>
        <w:t>t</w:t>
      </w:r>
      <w:r w:rsidR="00AB6BCE" w:rsidRPr="00AB6BCE">
        <w:rPr>
          <w:rFonts w:cs="Arial"/>
          <w:szCs w:val="22"/>
          <w:lang w:val="en-GB" w:eastAsia="en-ZA"/>
        </w:rPr>
        <w:t xml:space="preserve">o </w:t>
      </w:r>
      <w:r w:rsidR="00AB6BCE" w:rsidRPr="00AB6BCE">
        <w:rPr>
          <w:rFonts w:cs="Arial"/>
          <w:szCs w:val="22"/>
          <w:lang w:val="en-GB" w:eastAsia="en-ZA"/>
        </w:rPr>
        <w:lastRenderedPageBreak/>
        <w:t>December 2022</w:t>
      </w:r>
      <w:r w:rsidR="00AB6BCE">
        <w:rPr>
          <w:rFonts w:cs="Arial"/>
          <w:szCs w:val="22"/>
          <w:lang w:val="en-GB" w:eastAsia="en-ZA"/>
        </w:rPr>
        <w:t xml:space="preserve">, a </w:t>
      </w:r>
      <w:r w:rsidR="00AB6BCE" w:rsidRPr="00AB6BCE">
        <w:rPr>
          <w:rFonts w:cs="Arial"/>
          <w:szCs w:val="22"/>
          <w:lang w:val="en-GB" w:eastAsia="en-ZA"/>
        </w:rPr>
        <w:t xml:space="preserve">period of </w:t>
      </w:r>
      <w:r w:rsidR="00AB6BCE">
        <w:rPr>
          <w:rFonts w:cs="Arial"/>
          <w:szCs w:val="22"/>
          <w:lang w:val="en-GB" w:eastAsia="en-ZA"/>
        </w:rPr>
        <w:t>21 months.</w:t>
      </w:r>
    </w:p>
    <w:p w14:paraId="742190B5" w14:textId="1CDA014C" w:rsidR="00A05D30" w:rsidRPr="00A05D30" w:rsidRDefault="00FA0F52" w:rsidP="00FA0F52">
      <w:pPr>
        <w:widowControl w:val="0"/>
        <w:tabs>
          <w:tab w:val="left" w:pos="567"/>
        </w:tabs>
        <w:autoSpaceDE w:val="0"/>
        <w:autoSpaceDN w:val="0"/>
        <w:adjustRightInd w:val="0"/>
        <w:spacing w:before="480" w:after="480" w:line="360" w:lineRule="auto"/>
        <w:jc w:val="both"/>
        <w:rPr>
          <w:rFonts w:cs="Arial"/>
          <w:szCs w:val="22"/>
          <w:lang w:eastAsia="en-ZA"/>
        </w:rPr>
      </w:pPr>
      <w:r w:rsidRPr="00A05D30">
        <w:rPr>
          <w:rFonts w:cs="Arial"/>
          <w:szCs w:val="22"/>
          <w:lang w:eastAsia="en-ZA"/>
        </w:rPr>
        <w:t>[15]</w:t>
      </w:r>
      <w:r w:rsidRPr="00A05D30">
        <w:rPr>
          <w:rFonts w:cs="Arial"/>
          <w:szCs w:val="22"/>
          <w:lang w:eastAsia="en-ZA"/>
        </w:rPr>
        <w:tab/>
      </w:r>
      <w:r w:rsidR="00A05D30">
        <w:rPr>
          <w:rFonts w:cs="Arial"/>
          <w:szCs w:val="22"/>
          <w:lang w:val="en-GB" w:eastAsia="en-ZA"/>
        </w:rPr>
        <w:t>In the founding affidavit the first defendants deals with the reasons for the delay as follows in paragraph 42 of the founding affidavit:</w:t>
      </w:r>
    </w:p>
    <w:p w14:paraId="107685AA" w14:textId="42D13DC0" w:rsidR="00A05D30" w:rsidRPr="00A05D30" w:rsidRDefault="00A05D30" w:rsidP="00A05D30">
      <w:pPr>
        <w:widowControl w:val="0"/>
        <w:autoSpaceDE w:val="0"/>
        <w:autoSpaceDN w:val="0"/>
        <w:adjustRightInd w:val="0"/>
        <w:spacing w:before="480" w:after="480" w:line="360" w:lineRule="auto"/>
        <w:ind w:left="720"/>
        <w:jc w:val="both"/>
        <w:rPr>
          <w:rFonts w:cs="Arial"/>
          <w:i/>
          <w:iCs/>
          <w:szCs w:val="22"/>
          <w:lang w:eastAsia="en-ZA"/>
        </w:rPr>
      </w:pPr>
      <w:r w:rsidRPr="00A05D30">
        <w:rPr>
          <w:rFonts w:cs="Arial"/>
          <w:i/>
          <w:iCs/>
          <w:szCs w:val="22"/>
          <w:lang w:eastAsia="en-ZA"/>
        </w:rPr>
        <w:t>“</w:t>
      </w:r>
      <w:r>
        <w:rPr>
          <w:rFonts w:cs="Arial"/>
          <w:i/>
          <w:iCs/>
          <w:szCs w:val="22"/>
          <w:lang w:val="en-GB" w:eastAsia="en-ZA"/>
        </w:rPr>
        <w:t>T</w:t>
      </w:r>
      <w:r w:rsidRPr="00A05D30">
        <w:rPr>
          <w:rFonts w:cs="Arial"/>
          <w:i/>
          <w:iCs/>
          <w:szCs w:val="22"/>
          <w:lang w:val="en-GB" w:eastAsia="en-ZA"/>
        </w:rPr>
        <w:t>he plaintiffs</w:t>
      </w:r>
      <w:r>
        <w:rPr>
          <w:rFonts w:cs="Arial"/>
          <w:i/>
          <w:iCs/>
          <w:szCs w:val="22"/>
          <w:lang w:val="en-GB" w:eastAsia="en-ZA"/>
        </w:rPr>
        <w:t>’</w:t>
      </w:r>
      <w:r w:rsidRPr="00A05D30">
        <w:rPr>
          <w:rFonts w:cs="Arial"/>
          <w:i/>
          <w:iCs/>
          <w:szCs w:val="22"/>
          <w:lang w:val="en-GB" w:eastAsia="en-ZA"/>
        </w:rPr>
        <w:t xml:space="preserve"> combined summons were served on me on </w:t>
      </w:r>
      <w:r>
        <w:rPr>
          <w:rFonts w:cs="Arial"/>
          <w:i/>
          <w:iCs/>
          <w:szCs w:val="22"/>
          <w:lang w:val="en-GB" w:eastAsia="en-ZA"/>
        </w:rPr>
        <w:t>02</w:t>
      </w:r>
      <w:r w:rsidRPr="00A05D30">
        <w:rPr>
          <w:rFonts w:cs="Arial"/>
          <w:i/>
          <w:iCs/>
          <w:szCs w:val="22"/>
          <w:lang w:val="en-GB" w:eastAsia="en-ZA"/>
        </w:rPr>
        <w:t xml:space="preserve"> December 2019</w:t>
      </w:r>
      <w:r>
        <w:rPr>
          <w:rFonts w:cs="Arial"/>
          <w:i/>
          <w:iCs/>
          <w:szCs w:val="22"/>
          <w:lang w:val="en-GB" w:eastAsia="en-ZA"/>
        </w:rPr>
        <w:t xml:space="preserve">. </w:t>
      </w:r>
      <w:r w:rsidRPr="00A05D30">
        <w:rPr>
          <w:rFonts w:cs="Arial"/>
          <w:i/>
          <w:iCs/>
          <w:szCs w:val="22"/>
          <w:lang w:val="en-GB" w:eastAsia="en-ZA"/>
        </w:rPr>
        <w:t>Thereafter</w:t>
      </w:r>
      <w:r>
        <w:rPr>
          <w:rFonts w:cs="Arial"/>
          <w:i/>
          <w:iCs/>
          <w:szCs w:val="22"/>
          <w:lang w:val="en-GB" w:eastAsia="en-ZA"/>
        </w:rPr>
        <w:t xml:space="preserve">, </w:t>
      </w:r>
      <w:r w:rsidRPr="00A05D30">
        <w:rPr>
          <w:rFonts w:cs="Arial"/>
          <w:i/>
          <w:iCs/>
          <w:szCs w:val="22"/>
          <w:lang w:val="en-GB" w:eastAsia="en-ZA"/>
        </w:rPr>
        <w:t xml:space="preserve">I served the notice of intention to defend on time on </w:t>
      </w:r>
      <w:r>
        <w:rPr>
          <w:rFonts w:cs="Arial"/>
          <w:i/>
          <w:iCs/>
          <w:szCs w:val="22"/>
          <w:lang w:val="en-GB" w:eastAsia="en-ZA"/>
        </w:rPr>
        <w:t>0</w:t>
      </w:r>
      <w:r w:rsidRPr="00A05D30">
        <w:rPr>
          <w:rFonts w:cs="Arial"/>
          <w:i/>
          <w:iCs/>
          <w:szCs w:val="22"/>
          <w:lang w:val="en-GB" w:eastAsia="en-ZA"/>
        </w:rPr>
        <w:t>6 December 2019</w:t>
      </w:r>
      <w:r>
        <w:rPr>
          <w:rFonts w:cs="Arial"/>
          <w:i/>
          <w:iCs/>
          <w:szCs w:val="22"/>
          <w:lang w:val="en-GB" w:eastAsia="en-ZA"/>
        </w:rPr>
        <w:t xml:space="preserve">. </w:t>
      </w:r>
      <w:r w:rsidRPr="00A05D30">
        <w:rPr>
          <w:rFonts w:cs="Arial"/>
          <w:i/>
          <w:iCs/>
          <w:szCs w:val="22"/>
          <w:lang w:val="en-GB" w:eastAsia="en-ZA"/>
        </w:rPr>
        <w:t>On 12 September 2022</w:t>
      </w:r>
      <w:r>
        <w:rPr>
          <w:rFonts w:cs="Arial"/>
          <w:i/>
          <w:iCs/>
          <w:szCs w:val="22"/>
          <w:lang w:val="en-GB" w:eastAsia="en-ZA"/>
        </w:rPr>
        <w:t xml:space="preserve">, </w:t>
      </w:r>
      <w:r w:rsidRPr="00A05D30">
        <w:rPr>
          <w:rFonts w:cs="Arial"/>
          <w:i/>
          <w:iCs/>
          <w:szCs w:val="22"/>
          <w:lang w:val="en-GB" w:eastAsia="en-ZA"/>
        </w:rPr>
        <w:t>the plaintiffs applied for default judgement against me</w:t>
      </w:r>
      <w:r>
        <w:rPr>
          <w:rFonts w:cs="Arial"/>
          <w:i/>
          <w:iCs/>
          <w:szCs w:val="22"/>
          <w:lang w:val="en-GB" w:eastAsia="en-ZA"/>
        </w:rPr>
        <w:t xml:space="preserve">, </w:t>
      </w:r>
      <w:r w:rsidRPr="00A05D30">
        <w:rPr>
          <w:rFonts w:cs="Arial"/>
          <w:i/>
          <w:iCs/>
          <w:szCs w:val="22"/>
          <w:lang w:val="en-GB" w:eastAsia="en-ZA"/>
        </w:rPr>
        <w:t>and I went to appear in court personally to defend the application</w:t>
      </w:r>
      <w:r>
        <w:rPr>
          <w:rFonts w:cs="Arial"/>
          <w:i/>
          <w:iCs/>
          <w:szCs w:val="22"/>
          <w:lang w:val="en-GB" w:eastAsia="en-ZA"/>
        </w:rPr>
        <w:t xml:space="preserve">, </w:t>
      </w:r>
      <w:r w:rsidRPr="00A05D30">
        <w:rPr>
          <w:rFonts w:cs="Arial"/>
          <w:i/>
          <w:iCs/>
          <w:szCs w:val="22"/>
          <w:lang w:val="en-GB" w:eastAsia="en-ZA"/>
        </w:rPr>
        <w:t>as I was then not legally represented</w:t>
      </w:r>
      <w:r>
        <w:rPr>
          <w:rFonts w:cs="Arial"/>
          <w:i/>
          <w:iCs/>
          <w:szCs w:val="22"/>
          <w:lang w:val="en-GB" w:eastAsia="en-ZA"/>
        </w:rPr>
        <w:t xml:space="preserve">. </w:t>
      </w:r>
      <w:r w:rsidRPr="00A05D30">
        <w:rPr>
          <w:rFonts w:cs="Arial"/>
          <w:i/>
          <w:iCs/>
          <w:szCs w:val="22"/>
          <w:lang w:val="en-GB" w:eastAsia="en-ZA"/>
        </w:rPr>
        <w:t xml:space="preserve">On this day I informed the honourable </w:t>
      </w:r>
      <w:r>
        <w:rPr>
          <w:rFonts w:cs="Arial"/>
          <w:i/>
          <w:iCs/>
          <w:szCs w:val="22"/>
          <w:lang w:val="en-GB" w:eastAsia="en-ZA"/>
        </w:rPr>
        <w:t>court</w:t>
      </w:r>
      <w:r w:rsidRPr="00A05D30">
        <w:rPr>
          <w:rFonts w:cs="Arial"/>
          <w:i/>
          <w:iCs/>
          <w:szCs w:val="22"/>
          <w:lang w:val="en-GB" w:eastAsia="en-ZA"/>
        </w:rPr>
        <w:t xml:space="preserve"> that I was a lay</w:t>
      </w:r>
      <w:r>
        <w:rPr>
          <w:rFonts w:cs="Arial"/>
          <w:i/>
          <w:iCs/>
          <w:szCs w:val="22"/>
          <w:lang w:val="en-GB" w:eastAsia="en-ZA"/>
        </w:rPr>
        <w:t xml:space="preserve"> </w:t>
      </w:r>
      <w:r w:rsidRPr="00A05D30">
        <w:rPr>
          <w:rFonts w:cs="Arial"/>
          <w:i/>
          <w:iCs/>
          <w:szCs w:val="22"/>
          <w:lang w:val="en-GB" w:eastAsia="en-ZA"/>
        </w:rPr>
        <w:t>person and that I was in the process of procuring attorneys that would assist me in responding to the combined sermons that were served on me</w:t>
      </w:r>
      <w:r>
        <w:rPr>
          <w:rFonts w:cs="Arial"/>
          <w:i/>
          <w:iCs/>
          <w:szCs w:val="22"/>
          <w:lang w:val="en-GB" w:eastAsia="en-ZA"/>
        </w:rPr>
        <w:t>.</w:t>
      </w:r>
      <w:r w:rsidRPr="00A05D30">
        <w:rPr>
          <w:rFonts w:cs="Arial"/>
          <w:i/>
          <w:iCs/>
          <w:szCs w:val="22"/>
          <w:lang w:eastAsia="en-ZA"/>
        </w:rPr>
        <w:t>”</w:t>
      </w:r>
    </w:p>
    <w:p w14:paraId="3133EC64" w14:textId="37A700E4" w:rsidR="00972028" w:rsidRPr="00AB6BCE" w:rsidRDefault="00FA0F52" w:rsidP="00FA0F52">
      <w:pPr>
        <w:widowControl w:val="0"/>
        <w:tabs>
          <w:tab w:val="left" w:pos="567"/>
        </w:tabs>
        <w:autoSpaceDE w:val="0"/>
        <w:autoSpaceDN w:val="0"/>
        <w:adjustRightInd w:val="0"/>
        <w:spacing w:before="480" w:after="480" w:line="360" w:lineRule="auto"/>
        <w:jc w:val="both"/>
        <w:rPr>
          <w:rFonts w:cs="Arial"/>
          <w:szCs w:val="22"/>
          <w:lang w:eastAsia="en-ZA"/>
        </w:rPr>
      </w:pPr>
      <w:r w:rsidRPr="00AB6BCE">
        <w:rPr>
          <w:rFonts w:cs="Arial"/>
          <w:szCs w:val="22"/>
          <w:lang w:eastAsia="en-ZA"/>
        </w:rPr>
        <w:t>[16]</w:t>
      </w:r>
      <w:r w:rsidRPr="00AB6BCE">
        <w:rPr>
          <w:rFonts w:cs="Arial"/>
          <w:szCs w:val="22"/>
          <w:lang w:eastAsia="en-ZA"/>
        </w:rPr>
        <w:tab/>
      </w:r>
      <w:r w:rsidR="00972028" w:rsidRPr="00972028">
        <w:rPr>
          <w:rFonts w:cs="Arial"/>
          <w:szCs w:val="22"/>
          <w:lang w:val="en-GB" w:eastAsia="en-ZA"/>
        </w:rPr>
        <w:t xml:space="preserve">The first defendant </w:t>
      </w:r>
      <w:r w:rsidR="00DB4FF5">
        <w:rPr>
          <w:rFonts w:cs="Arial"/>
          <w:szCs w:val="22"/>
          <w:lang w:val="en-GB" w:eastAsia="en-ZA"/>
        </w:rPr>
        <w:t xml:space="preserve">waited another four months to brief attorneys and it was only in December 2022 that the attorneys contacted the plaintiffs’ attorneys. She </w:t>
      </w:r>
      <w:r w:rsidR="00972028" w:rsidRPr="00972028">
        <w:rPr>
          <w:rFonts w:cs="Arial"/>
          <w:szCs w:val="22"/>
          <w:lang w:val="en-GB" w:eastAsia="en-ZA"/>
        </w:rPr>
        <w:t xml:space="preserve">at all times knew of the importance of proper legal advice and already in 2019 before the </w:t>
      </w:r>
      <w:r w:rsidR="00BD1446">
        <w:rPr>
          <w:rFonts w:cs="Arial"/>
          <w:szCs w:val="22"/>
          <w:lang w:val="en-GB" w:eastAsia="en-ZA"/>
        </w:rPr>
        <w:t>litigation commenced</w:t>
      </w:r>
      <w:r w:rsidR="00972028" w:rsidRPr="00972028">
        <w:rPr>
          <w:rFonts w:cs="Arial"/>
          <w:szCs w:val="22"/>
          <w:lang w:val="en-GB" w:eastAsia="en-ZA"/>
        </w:rPr>
        <w:t xml:space="preserve"> </w:t>
      </w:r>
      <w:r w:rsidR="00AB6BCE">
        <w:rPr>
          <w:rFonts w:cs="Arial"/>
          <w:szCs w:val="22"/>
          <w:lang w:val="en-GB" w:eastAsia="en-ZA"/>
        </w:rPr>
        <w:t>she</w:t>
      </w:r>
      <w:r w:rsidR="00972028" w:rsidRPr="00972028">
        <w:rPr>
          <w:rFonts w:cs="Arial"/>
          <w:szCs w:val="22"/>
          <w:lang w:val="en-GB" w:eastAsia="en-ZA"/>
        </w:rPr>
        <w:t xml:space="preserve"> confirm</w:t>
      </w:r>
      <w:r w:rsidR="00AB6BCE">
        <w:rPr>
          <w:rFonts w:cs="Arial"/>
          <w:szCs w:val="22"/>
          <w:lang w:val="en-GB" w:eastAsia="en-ZA"/>
        </w:rPr>
        <w:t>ed</w:t>
      </w:r>
      <w:r w:rsidR="00972028" w:rsidRPr="00972028">
        <w:rPr>
          <w:rFonts w:cs="Arial"/>
          <w:szCs w:val="22"/>
          <w:lang w:val="en-GB" w:eastAsia="en-ZA"/>
        </w:rPr>
        <w:t xml:space="preserve"> </w:t>
      </w:r>
      <w:r w:rsidR="00650BFC">
        <w:rPr>
          <w:rFonts w:cs="Arial"/>
          <w:szCs w:val="22"/>
          <w:lang w:val="en-GB" w:eastAsia="en-ZA"/>
        </w:rPr>
        <w:t xml:space="preserve">in correspondence </w:t>
      </w:r>
      <w:r w:rsidR="00972028" w:rsidRPr="00972028">
        <w:rPr>
          <w:rFonts w:cs="Arial"/>
          <w:szCs w:val="22"/>
          <w:lang w:val="en-GB" w:eastAsia="en-ZA"/>
        </w:rPr>
        <w:t>that she was being advised by an attorney</w:t>
      </w:r>
      <w:r w:rsidR="00BD1446">
        <w:rPr>
          <w:rFonts w:cs="Arial"/>
          <w:szCs w:val="22"/>
          <w:lang w:val="en-GB" w:eastAsia="en-ZA"/>
        </w:rPr>
        <w:t xml:space="preserve">. </w:t>
      </w:r>
    </w:p>
    <w:p w14:paraId="608F6290" w14:textId="4726D430" w:rsidR="00AB6BCE" w:rsidRPr="00FA0F52" w:rsidRDefault="00FA0F52" w:rsidP="00FA0F52">
      <w:pPr>
        <w:widowControl w:val="0"/>
        <w:tabs>
          <w:tab w:val="left" w:pos="567"/>
        </w:tabs>
        <w:autoSpaceDE w:val="0"/>
        <w:autoSpaceDN w:val="0"/>
        <w:adjustRightInd w:val="0"/>
        <w:spacing w:before="480" w:after="480" w:line="360" w:lineRule="auto"/>
        <w:jc w:val="both"/>
        <w:rPr>
          <w:rFonts w:cs="Arial"/>
          <w:szCs w:val="22"/>
          <w:lang w:eastAsia="en-ZA"/>
        </w:rPr>
      </w:pPr>
      <w:r w:rsidRPr="00D577DC">
        <w:rPr>
          <w:rFonts w:cs="Arial"/>
          <w:szCs w:val="22"/>
          <w:lang w:eastAsia="en-ZA"/>
        </w:rPr>
        <w:t>[17]</w:t>
      </w:r>
      <w:r w:rsidRPr="00D577DC">
        <w:rPr>
          <w:rFonts w:cs="Arial"/>
          <w:szCs w:val="22"/>
          <w:lang w:eastAsia="en-ZA"/>
        </w:rPr>
        <w:tab/>
      </w:r>
      <w:r w:rsidR="007E5302" w:rsidRPr="00FA0F52">
        <w:rPr>
          <w:rFonts w:cs="Arial"/>
          <w:szCs w:val="22"/>
          <w:lang w:val="en-GB" w:eastAsia="en-ZA"/>
        </w:rPr>
        <w:t>Justice delayed is justice denied.</w:t>
      </w:r>
      <w:r w:rsidR="009B0FF9" w:rsidRPr="00FA0F52">
        <w:rPr>
          <w:rFonts w:cs="Arial"/>
          <w:szCs w:val="22"/>
          <w:lang w:val="en-GB" w:eastAsia="en-ZA"/>
        </w:rPr>
        <w:t xml:space="preserve"> </w:t>
      </w:r>
      <w:r w:rsidR="00AB6BCE" w:rsidRPr="00FA0F52">
        <w:rPr>
          <w:rFonts w:cs="Arial"/>
          <w:szCs w:val="22"/>
          <w:lang w:val="en-GB" w:eastAsia="en-ZA"/>
        </w:rPr>
        <w:t>In the absence of a reasonable explanation for the long delay the application must be dismissed.</w:t>
      </w:r>
    </w:p>
    <w:p w14:paraId="4F8886ED" w14:textId="13EBE96E" w:rsidR="00DB4FF5" w:rsidRPr="00DB4FF5" w:rsidRDefault="00FA0F52" w:rsidP="00FA0F52">
      <w:pPr>
        <w:widowControl w:val="0"/>
        <w:tabs>
          <w:tab w:val="left" w:pos="567"/>
        </w:tabs>
        <w:autoSpaceDE w:val="0"/>
        <w:autoSpaceDN w:val="0"/>
        <w:adjustRightInd w:val="0"/>
        <w:spacing w:before="480" w:after="480" w:line="360" w:lineRule="auto"/>
        <w:jc w:val="both"/>
        <w:rPr>
          <w:rFonts w:cs="Arial"/>
          <w:szCs w:val="22"/>
          <w:lang w:eastAsia="en-ZA"/>
        </w:rPr>
      </w:pPr>
      <w:r w:rsidRPr="00DB4FF5">
        <w:rPr>
          <w:rFonts w:cs="Arial"/>
          <w:szCs w:val="22"/>
          <w:lang w:eastAsia="en-ZA"/>
        </w:rPr>
        <w:t>[18]</w:t>
      </w:r>
      <w:r w:rsidRPr="00DB4FF5">
        <w:rPr>
          <w:rFonts w:cs="Arial"/>
          <w:szCs w:val="22"/>
          <w:lang w:eastAsia="en-ZA"/>
        </w:rPr>
        <w:tab/>
      </w:r>
      <w:r w:rsidR="00DB4FF5">
        <w:rPr>
          <w:rFonts w:cs="Arial"/>
          <w:szCs w:val="22"/>
          <w:lang w:val="en-GB" w:eastAsia="en-ZA"/>
        </w:rPr>
        <w:t xml:space="preserve">In respect of the </w:t>
      </w:r>
      <w:r w:rsidR="00DB4FF5" w:rsidRPr="00DB4FF5">
        <w:rPr>
          <w:rFonts w:cs="Arial"/>
          <w:i/>
          <w:iCs/>
          <w:szCs w:val="22"/>
          <w:lang w:val="en-GB" w:eastAsia="en-ZA"/>
        </w:rPr>
        <w:t>bona fide</w:t>
      </w:r>
      <w:r w:rsidR="00DB4FF5">
        <w:rPr>
          <w:rFonts w:cs="Arial"/>
          <w:szCs w:val="22"/>
          <w:lang w:val="en-GB" w:eastAsia="en-ZA"/>
        </w:rPr>
        <w:t xml:space="preserve"> defence the </w:t>
      </w:r>
      <w:r w:rsidR="004763B3">
        <w:rPr>
          <w:rFonts w:cs="Arial"/>
          <w:szCs w:val="22"/>
          <w:lang w:val="en-GB" w:eastAsia="en-ZA"/>
        </w:rPr>
        <w:t>first defendant</w:t>
      </w:r>
      <w:r w:rsidR="00237633" w:rsidRPr="00237633">
        <w:rPr>
          <w:rFonts w:cs="Arial"/>
          <w:szCs w:val="22"/>
          <w:lang w:val="en-GB" w:eastAsia="en-ZA"/>
        </w:rPr>
        <w:t xml:space="preserve"> relies on </w:t>
      </w:r>
      <w:r w:rsidR="00237633">
        <w:rPr>
          <w:rFonts w:cs="Arial"/>
          <w:szCs w:val="22"/>
          <w:lang w:val="en-GB" w:eastAsia="en-ZA"/>
        </w:rPr>
        <w:t xml:space="preserve">the voetstoots </w:t>
      </w:r>
      <w:r w:rsidR="00237633" w:rsidRPr="00237633">
        <w:rPr>
          <w:rFonts w:cs="Arial"/>
          <w:szCs w:val="22"/>
          <w:lang w:val="en-GB" w:eastAsia="en-ZA"/>
        </w:rPr>
        <w:t>close in the sale agreement and to a list of defects</w:t>
      </w:r>
      <w:r w:rsidR="00237633">
        <w:rPr>
          <w:rFonts w:cs="Arial"/>
          <w:szCs w:val="22"/>
          <w:lang w:val="en-GB" w:eastAsia="en-ZA"/>
        </w:rPr>
        <w:t xml:space="preserve">. </w:t>
      </w:r>
      <w:r w:rsidR="00237633" w:rsidRPr="00237633">
        <w:rPr>
          <w:rFonts w:cs="Arial"/>
          <w:szCs w:val="22"/>
          <w:lang w:val="en-GB" w:eastAsia="en-ZA"/>
        </w:rPr>
        <w:t>The plaintiffs deny that the list of defects form</w:t>
      </w:r>
      <w:r w:rsidR="00237633">
        <w:rPr>
          <w:rFonts w:cs="Arial"/>
          <w:szCs w:val="22"/>
          <w:lang w:val="en-GB" w:eastAsia="en-ZA"/>
        </w:rPr>
        <w:t>ed</w:t>
      </w:r>
      <w:r w:rsidR="00237633" w:rsidRPr="00237633">
        <w:rPr>
          <w:rFonts w:cs="Arial"/>
          <w:szCs w:val="22"/>
          <w:lang w:val="en-GB" w:eastAsia="en-ZA"/>
        </w:rPr>
        <w:t xml:space="preserve"> part of the agreement</w:t>
      </w:r>
      <w:r w:rsidR="00237633">
        <w:rPr>
          <w:rFonts w:cs="Arial"/>
          <w:szCs w:val="22"/>
          <w:lang w:val="en-GB" w:eastAsia="en-ZA"/>
        </w:rPr>
        <w:t xml:space="preserve"> </w:t>
      </w:r>
      <w:r w:rsidR="00237633" w:rsidRPr="00237633">
        <w:rPr>
          <w:rFonts w:cs="Arial"/>
          <w:szCs w:val="22"/>
          <w:lang w:val="en-GB" w:eastAsia="en-ZA"/>
        </w:rPr>
        <w:t xml:space="preserve">and state that </w:t>
      </w:r>
      <w:r w:rsidR="00237633">
        <w:rPr>
          <w:rFonts w:cs="Arial"/>
          <w:szCs w:val="22"/>
          <w:lang w:val="en-GB" w:eastAsia="en-ZA"/>
        </w:rPr>
        <w:t>it</w:t>
      </w:r>
      <w:r w:rsidR="00237633" w:rsidRPr="00237633">
        <w:rPr>
          <w:rFonts w:cs="Arial"/>
          <w:szCs w:val="22"/>
          <w:lang w:val="en-GB" w:eastAsia="en-ZA"/>
        </w:rPr>
        <w:t xml:space="preserve"> was only furnished in April 2017</w:t>
      </w:r>
      <w:r w:rsidR="00237633">
        <w:rPr>
          <w:rFonts w:cs="Arial"/>
          <w:szCs w:val="22"/>
          <w:lang w:val="en-GB" w:eastAsia="en-ZA"/>
        </w:rPr>
        <w:t xml:space="preserve">, </w:t>
      </w:r>
      <w:r w:rsidR="00237633" w:rsidRPr="00237633">
        <w:rPr>
          <w:rFonts w:cs="Arial"/>
          <w:szCs w:val="22"/>
          <w:lang w:val="en-GB" w:eastAsia="en-ZA"/>
        </w:rPr>
        <w:t>some seven months after the agreement were signed in September 2016</w:t>
      </w:r>
      <w:r w:rsidR="00237633">
        <w:rPr>
          <w:rFonts w:cs="Arial"/>
          <w:szCs w:val="22"/>
          <w:lang w:val="en-GB" w:eastAsia="en-ZA"/>
        </w:rPr>
        <w:t xml:space="preserve">. </w:t>
      </w:r>
      <w:r w:rsidR="00237633" w:rsidRPr="00237633">
        <w:rPr>
          <w:rFonts w:cs="Arial"/>
          <w:szCs w:val="22"/>
          <w:lang w:val="en-GB" w:eastAsia="en-ZA"/>
        </w:rPr>
        <w:t xml:space="preserve">The plaintiffs </w:t>
      </w:r>
      <w:r w:rsidR="004763B3">
        <w:rPr>
          <w:rFonts w:cs="Arial"/>
          <w:szCs w:val="22"/>
          <w:lang w:val="en-GB" w:eastAsia="en-ZA"/>
        </w:rPr>
        <w:t>aver</w:t>
      </w:r>
      <w:r w:rsidR="00237633" w:rsidRPr="00237633">
        <w:rPr>
          <w:rFonts w:cs="Arial"/>
          <w:szCs w:val="22"/>
          <w:lang w:val="en-GB" w:eastAsia="en-ZA"/>
        </w:rPr>
        <w:t xml:space="preserve"> that the first defendant was aware of the latent defects and could not rely on the </w:t>
      </w:r>
      <w:r w:rsidR="00237633">
        <w:rPr>
          <w:rFonts w:cs="Arial"/>
          <w:szCs w:val="22"/>
          <w:lang w:val="en-GB" w:eastAsia="en-ZA"/>
        </w:rPr>
        <w:t>voetstoots</w:t>
      </w:r>
      <w:r w:rsidR="00237633" w:rsidRPr="00237633">
        <w:rPr>
          <w:rFonts w:cs="Arial"/>
          <w:szCs w:val="22"/>
          <w:lang w:val="en-GB" w:eastAsia="en-ZA"/>
        </w:rPr>
        <w:t xml:space="preserve"> clause</w:t>
      </w:r>
      <w:r w:rsidR="00237633">
        <w:rPr>
          <w:rFonts w:cs="Arial"/>
          <w:szCs w:val="22"/>
          <w:lang w:val="en-GB" w:eastAsia="en-ZA"/>
        </w:rPr>
        <w:t>.</w:t>
      </w:r>
      <w:r w:rsidR="00DB4FF5">
        <w:rPr>
          <w:rFonts w:cs="Arial"/>
          <w:szCs w:val="22"/>
          <w:lang w:val="en-GB" w:eastAsia="en-ZA"/>
        </w:rPr>
        <w:t xml:space="preserve"> </w:t>
      </w:r>
    </w:p>
    <w:p w14:paraId="63AA7D98" w14:textId="5F6BC3F7" w:rsidR="00044B5B" w:rsidRDefault="00DB4FF5" w:rsidP="00DB4FF5">
      <w:pPr>
        <w:widowControl w:val="0"/>
        <w:autoSpaceDE w:val="0"/>
        <w:autoSpaceDN w:val="0"/>
        <w:adjustRightInd w:val="0"/>
        <w:spacing w:before="480" w:after="480" w:line="360" w:lineRule="auto"/>
        <w:jc w:val="both"/>
        <w:rPr>
          <w:rFonts w:cs="Arial"/>
          <w:szCs w:val="22"/>
          <w:lang w:val="en-GB" w:eastAsia="en-ZA"/>
        </w:rPr>
      </w:pPr>
      <w:r>
        <w:rPr>
          <w:rFonts w:cs="Arial"/>
          <w:szCs w:val="22"/>
          <w:lang w:val="en-GB" w:eastAsia="en-ZA"/>
        </w:rPr>
        <w:t>It is the case for the first defendant that list of defects was in existence when the contract was signed and that it formed part of the written contract; it follows that the contents were known to the first defendant at the time when the contract was entered into, and this is confirmed the signatures of the first and second defendants appearing on the document.</w:t>
      </w:r>
    </w:p>
    <w:p w14:paraId="6375C7EA" w14:textId="0B5D7166" w:rsidR="00DB4FF5" w:rsidRPr="00044B5B" w:rsidRDefault="00DB4FF5" w:rsidP="00DB4FF5">
      <w:pPr>
        <w:widowControl w:val="0"/>
        <w:autoSpaceDE w:val="0"/>
        <w:autoSpaceDN w:val="0"/>
        <w:adjustRightInd w:val="0"/>
        <w:spacing w:before="480" w:after="480" w:line="360" w:lineRule="auto"/>
        <w:jc w:val="both"/>
        <w:rPr>
          <w:rFonts w:cs="Arial"/>
          <w:szCs w:val="22"/>
          <w:lang w:eastAsia="en-ZA"/>
        </w:rPr>
      </w:pPr>
      <w:r>
        <w:rPr>
          <w:rFonts w:cs="Arial"/>
          <w:szCs w:val="22"/>
          <w:lang w:val="en-GB" w:eastAsia="en-ZA"/>
        </w:rPr>
        <w:t>The document was however not signed by the plaintiffs who did sign the contract itself.</w:t>
      </w:r>
      <w:r w:rsidR="00535A58">
        <w:rPr>
          <w:rFonts w:cs="Arial"/>
          <w:szCs w:val="22"/>
          <w:lang w:val="en-GB" w:eastAsia="en-ZA"/>
        </w:rPr>
        <w:t xml:space="preserve"> </w:t>
      </w:r>
      <w:r>
        <w:rPr>
          <w:rFonts w:cs="Arial"/>
          <w:szCs w:val="22"/>
          <w:lang w:val="en-GB" w:eastAsia="en-ZA"/>
        </w:rPr>
        <w:lastRenderedPageBreak/>
        <w:t>The document is not referred to in the body of the contract.</w:t>
      </w:r>
      <w:r w:rsidR="00D577DC">
        <w:rPr>
          <w:rFonts w:cs="Arial"/>
          <w:szCs w:val="22"/>
          <w:lang w:val="en-GB" w:eastAsia="en-ZA"/>
        </w:rPr>
        <w:t xml:space="preserve"> It is a free-standing document.</w:t>
      </w:r>
    </w:p>
    <w:p w14:paraId="67A9B234" w14:textId="77777777" w:rsidR="00044B5B" w:rsidRDefault="00044B5B" w:rsidP="00044B5B">
      <w:pPr>
        <w:widowControl w:val="0"/>
        <w:autoSpaceDE w:val="0"/>
        <w:autoSpaceDN w:val="0"/>
        <w:adjustRightInd w:val="0"/>
        <w:spacing w:before="480" w:after="480" w:line="360" w:lineRule="auto"/>
        <w:jc w:val="both"/>
        <w:rPr>
          <w:rFonts w:cs="Arial"/>
          <w:szCs w:val="22"/>
          <w:u w:val="single"/>
          <w:lang w:val="en-GB" w:eastAsia="en-ZA"/>
        </w:rPr>
      </w:pPr>
    </w:p>
    <w:p w14:paraId="5A2AD6DA" w14:textId="37A247CF" w:rsidR="00237633" w:rsidRPr="00044B5B" w:rsidRDefault="00044B5B" w:rsidP="00044B5B">
      <w:pPr>
        <w:widowControl w:val="0"/>
        <w:autoSpaceDE w:val="0"/>
        <w:autoSpaceDN w:val="0"/>
        <w:adjustRightInd w:val="0"/>
        <w:spacing w:before="480" w:after="480" w:line="360" w:lineRule="auto"/>
        <w:jc w:val="both"/>
        <w:rPr>
          <w:rFonts w:cs="Arial"/>
          <w:szCs w:val="22"/>
          <w:u w:val="single"/>
          <w:lang w:eastAsia="en-ZA"/>
        </w:rPr>
      </w:pPr>
      <w:r w:rsidRPr="00044B5B">
        <w:rPr>
          <w:rFonts w:cs="Arial"/>
          <w:szCs w:val="22"/>
          <w:u w:val="single"/>
          <w:lang w:val="en-GB" w:eastAsia="en-ZA"/>
        </w:rPr>
        <w:t>Prescription</w:t>
      </w:r>
    </w:p>
    <w:p w14:paraId="5B0E928E" w14:textId="35A84856" w:rsidR="00237633" w:rsidRDefault="00FA0F52" w:rsidP="00FA0F52">
      <w:pPr>
        <w:widowControl w:val="0"/>
        <w:tabs>
          <w:tab w:val="left" w:pos="567"/>
        </w:tabs>
        <w:autoSpaceDE w:val="0"/>
        <w:autoSpaceDN w:val="0"/>
        <w:adjustRightInd w:val="0"/>
        <w:spacing w:before="480" w:after="480" w:line="360" w:lineRule="auto"/>
        <w:jc w:val="both"/>
        <w:rPr>
          <w:rFonts w:cs="Arial"/>
          <w:szCs w:val="22"/>
          <w:lang w:eastAsia="en-ZA"/>
        </w:rPr>
      </w:pPr>
      <w:r>
        <w:rPr>
          <w:rFonts w:cs="Arial"/>
          <w:szCs w:val="22"/>
          <w:lang w:eastAsia="en-ZA"/>
        </w:rPr>
        <w:t>[19]</w:t>
      </w:r>
      <w:r>
        <w:rPr>
          <w:rFonts w:cs="Arial"/>
          <w:szCs w:val="22"/>
          <w:lang w:eastAsia="en-ZA"/>
        </w:rPr>
        <w:tab/>
      </w:r>
      <w:r w:rsidR="00237633" w:rsidRPr="00237633">
        <w:rPr>
          <w:rFonts w:cs="Arial"/>
          <w:szCs w:val="22"/>
          <w:lang w:val="en-GB" w:eastAsia="en-ZA"/>
        </w:rPr>
        <w:t>The first defendant also rel</w:t>
      </w:r>
      <w:r w:rsidR="009B0FF9">
        <w:rPr>
          <w:rFonts w:cs="Arial"/>
          <w:szCs w:val="22"/>
          <w:lang w:val="en-GB" w:eastAsia="en-ZA"/>
        </w:rPr>
        <w:t xml:space="preserve">ies </w:t>
      </w:r>
      <w:r w:rsidR="00237633" w:rsidRPr="00237633">
        <w:rPr>
          <w:rFonts w:cs="Arial"/>
          <w:szCs w:val="22"/>
          <w:lang w:val="en-GB" w:eastAsia="en-ZA"/>
        </w:rPr>
        <w:t>on prescription</w:t>
      </w:r>
      <w:r w:rsidR="00237633">
        <w:rPr>
          <w:rFonts w:cs="Arial"/>
          <w:szCs w:val="22"/>
          <w:lang w:val="en-GB" w:eastAsia="en-ZA"/>
        </w:rPr>
        <w:t>.</w:t>
      </w:r>
      <w:r w:rsidR="00072B36">
        <w:rPr>
          <w:rFonts w:cs="Arial"/>
          <w:szCs w:val="22"/>
          <w:lang w:val="en-GB" w:eastAsia="en-ZA"/>
        </w:rPr>
        <w:t xml:space="preserve"> </w:t>
      </w:r>
      <w:r w:rsidR="00072B36" w:rsidRPr="00072B36">
        <w:rPr>
          <w:rFonts w:cs="Arial"/>
          <w:szCs w:val="22"/>
          <w:lang w:val="en-GB" w:eastAsia="en-ZA"/>
        </w:rPr>
        <w:t>The summons were served three years and two months after the contract was entered into and the three-year prescription</w:t>
      </w:r>
      <w:r w:rsidR="00852AB8">
        <w:rPr>
          <w:rFonts w:cs="Arial"/>
          <w:szCs w:val="22"/>
          <w:lang w:val="en-GB" w:eastAsia="en-ZA"/>
        </w:rPr>
        <w:t xml:space="preserve"> period</w:t>
      </w:r>
      <w:r w:rsidR="00072B36" w:rsidRPr="00072B36">
        <w:rPr>
          <w:rFonts w:cs="Arial"/>
          <w:szCs w:val="22"/>
          <w:lang w:val="en-GB" w:eastAsia="en-ZA"/>
        </w:rPr>
        <w:t xml:space="preserve"> </w:t>
      </w:r>
      <w:r w:rsidR="00852AB8">
        <w:rPr>
          <w:rFonts w:cs="Arial"/>
          <w:szCs w:val="22"/>
          <w:lang w:val="en-GB" w:eastAsia="en-ZA"/>
        </w:rPr>
        <w:t>i</w:t>
      </w:r>
      <w:r w:rsidR="00072B36" w:rsidRPr="00072B36">
        <w:rPr>
          <w:rFonts w:cs="Arial"/>
          <w:szCs w:val="22"/>
          <w:lang w:val="en-GB" w:eastAsia="en-ZA"/>
        </w:rPr>
        <w:t>n section 11</w:t>
      </w:r>
      <w:r w:rsidR="00852AB8">
        <w:rPr>
          <w:rFonts w:cs="Arial"/>
          <w:szCs w:val="22"/>
          <w:lang w:val="en-GB" w:eastAsia="en-ZA"/>
        </w:rPr>
        <w:t>(d)</w:t>
      </w:r>
      <w:r w:rsidR="00072B36" w:rsidRPr="00072B36">
        <w:rPr>
          <w:rFonts w:cs="Arial"/>
          <w:szCs w:val="22"/>
          <w:lang w:val="en-GB" w:eastAsia="en-ZA"/>
        </w:rPr>
        <w:t xml:space="preserve"> of the Prescription Act</w:t>
      </w:r>
      <w:r w:rsidR="00072B36">
        <w:rPr>
          <w:rFonts w:cs="Arial"/>
          <w:szCs w:val="22"/>
          <w:lang w:val="en-GB" w:eastAsia="en-ZA"/>
        </w:rPr>
        <w:t xml:space="preserve">, 68 of 1969 </w:t>
      </w:r>
      <w:r w:rsidR="00072B36" w:rsidRPr="00072B36">
        <w:rPr>
          <w:rFonts w:cs="Arial"/>
          <w:szCs w:val="22"/>
          <w:lang w:val="en-GB" w:eastAsia="en-ZA"/>
        </w:rPr>
        <w:t>is applicable</w:t>
      </w:r>
      <w:r w:rsidR="00072B36">
        <w:rPr>
          <w:rFonts w:cs="Arial"/>
          <w:szCs w:val="22"/>
          <w:lang w:val="en-GB" w:eastAsia="en-ZA"/>
        </w:rPr>
        <w:t>.</w:t>
      </w:r>
      <w:r w:rsidR="00072B36" w:rsidRPr="00072B36">
        <w:rPr>
          <w:rFonts w:cs="Arial"/>
          <w:szCs w:val="22"/>
          <w:lang w:val="en-GB" w:eastAsia="en-ZA"/>
        </w:rPr>
        <w:t xml:space="preserve"> Prescription only begins to run</w:t>
      </w:r>
      <w:r w:rsidR="00852AB8">
        <w:rPr>
          <w:rFonts w:cs="Arial"/>
          <w:szCs w:val="22"/>
          <w:lang w:val="en-GB" w:eastAsia="en-ZA"/>
        </w:rPr>
        <w:t xml:space="preserve"> </w:t>
      </w:r>
      <w:r w:rsidR="00852AB8" w:rsidRPr="00852AB8">
        <w:rPr>
          <w:rFonts w:cs="Arial"/>
          <w:szCs w:val="22"/>
          <w:lang w:val="en-GB" w:eastAsia="en-ZA"/>
        </w:rPr>
        <w:t xml:space="preserve">when the </w:t>
      </w:r>
      <w:r w:rsidR="00852AB8" w:rsidRPr="00852AB8">
        <w:rPr>
          <w:rFonts w:cs="Arial"/>
          <w:i/>
          <w:iCs/>
          <w:szCs w:val="22"/>
          <w:lang w:val="en-GB" w:eastAsia="en-ZA"/>
        </w:rPr>
        <w:t>“creditor becomes aware of the existence of the debt”</w:t>
      </w:r>
      <w:r w:rsidR="00852AB8">
        <w:rPr>
          <w:rStyle w:val="FootnoteReference"/>
          <w:rFonts w:cs="Arial"/>
          <w:szCs w:val="22"/>
          <w:lang w:val="en-GB" w:eastAsia="en-ZA"/>
        </w:rPr>
        <w:footnoteReference w:id="3"/>
      </w:r>
      <w:r w:rsidR="00852AB8" w:rsidRPr="00044B5B">
        <w:rPr>
          <w:rFonts w:cs="Arial"/>
          <w:szCs w:val="22"/>
          <w:lang w:val="en-GB" w:eastAsia="en-ZA"/>
        </w:rPr>
        <w:t xml:space="preserve"> </w:t>
      </w:r>
      <w:r w:rsidR="00044B5B" w:rsidRPr="00044B5B">
        <w:rPr>
          <w:rFonts w:cs="Arial"/>
          <w:szCs w:val="22"/>
          <w:lang w:val="en-GB" w:eastAsia="en-ZA"/>
        </w:rPr>
        <w:t xml:space="preserve">and </w:t>
      </w:r>
      <w:r w:rsidR="00852AB8" w:rsidRPr="00852AB8">
        <w:rPr>
          <w:rFonts w:cs="Arial"/>
          <w:szCs w:val="22"/>
          <w:lang w:val="en-GB" w:eastAsia="en-ZA"/>
        </w:rPr>
        <w:t>the plaintiffs explained that th</w:t>
      </w:r>
      <w:r w:rsidR="00852AB8">
        <w:rPr>
          <w:rFonts w:cs="Arial"/>
          <w:szCs w:val="22"/>
          <w:lang w:val="en-GB" w:eastAsia="en-ZA"/>
        </w:rPr>
        <w:t xml:space="preserve">e </w:t>
      </w:r>
      <w:r w:rsidR="00852AB8" w:rsidRPr="00852AB8">
        <w:rPr>
          <w:rFonts w:cs="Arial"/>
          <w:szCs w:val="22"/>
          <w:lang w:val="en-GB" w:eastAsia="en-ZA"/>
        </w:rPr>
        <w:t xml:space="preserve">defects </w:t>
      </w:r>
      <w:r w:rsidR="00044B5B">
        <w:rPr>
          <w:rFonts w:cs="Arial"/>
          <w:szCs w:val="22"/>
          <w:lang w:val="en-GB" w:eastAsia="en-ZA"/>
        </w:rPr>
        <w:t>only became visible after they had taken occupation on 1 January 2017.</w:t>
      </w:r>
    </w:p>
    <w:p w14:paraId="069F59E1" w14:textId="77777777" w:rsidR="001B1D06" w:rsidRDefault="001B1D06" w:rsidP="002F60E1">
      <w:pPr>
        <w:keepNext/>
        <w:widowControl w:val="0"/>
        <w:spacing w:before="480" w:after="480" w:line="360" w:lineRule="auto"/>
        <w:jc w:val="both"/>
        <w:rPr>
          <w:rFonts w:cs="Arial"/>
          <w:bCs/>
          <w:szCs w:val="22"/>
          <w:u w:val="single"/>
        </w:rPr>
      </w:pPr>
    </w:p>
    <w:p w14:paraId="2B632C8A" w14:textId="1F010EBE" w:rsidR="004F4D7D" w:rsidRPr="00972028" w:rsidRDefault="004F4D7D" w:rsidP="002F60E1">
      <w:pPr>
        <w:keepNext/>
        <w:widowControl w:val="0"/>
        <w:spacing w:before="480" w:after="480" w:line="360" w:lineRule="auto"/>
        <w:jc w:val="both"/>
        <w:rPr>
          <w:rFonts w:cs="Arial"/>
          <w:bCs/>
          <w:szCs w:val="22"/>
          <w:u w:val="single"/>
        </w:rPr>
      </w:pPr>
      <w:r w:rsidRPr="00972028">
        <w:rPr>
          <w:rFonts w:cs="Arial"/>
          <w:bCs/>
          <w:szCs w:val="22"/>
          <w:u w:val="single"/>
        </w:rPr>
        <w:t>Conclusion</w:t>
      </w:r>
    </w:p>
    <w:p w14:paraId="2123C4F6" w14:textId="7ACDFAC0" w:rsidR="00051A2B" w:rsidRPr="00BF4DDA" w:rsidRDefault="00FA0F52" w:rsidP="00FA0F52">
      <w:pPr>
        <w:keepNext/>
        <w:widowControl w:val="0"/>
        <w:tabs>
          <w:tab w:val="left" w:pos="567"/>
        </w:tabs>
        <w:spacing w:before="480" w:after="480" w:line="360" w:lineRule="auto"/>
        <w:jc w:val="both"/>
        <w:rPr>
          <w:rFonts w:cs="Arial"/>
          <w:bCs/>
          <w:szCs w:val="22"/>
        </w:rPr>
      </w:pPr>
      <w:r w:rsidRPr="00BF4DDA">
        <w:rPr>
          <w:rFonts w:cs="Arial"/>
          <w:bCs/>
          <w:szCs w:val="22"/>
        </w:rPr>
        <w:t>[20]</w:t>
      </w:r>
      <w:r w:rsidRPr="00BF4DDA">
        <w:rPr>
          <w:rFonts w:cs="Arial"/>
          <w:bCs/>
          <w:szCs w:val="22"/>
        </w:rPr>
        <w:tab/>
      </w:r>
      <w:r w:rsidR="00476DBE">
        <w:rPr>
          <w:rFonts w:cs="Arial"/>
          <w:bCs/>
          <w:szCs w:val="22"/>
        </w:rPr>
        <w:t>I conclude that the first defendant failed to show good cause</w:t>
      </w:r>
      <w:r w:rsidR="0091372B">
        <w:rPr>
          <w:rFonts w:cs="Arial"/>
          <w:bCs/>
          <w:szCs w:val="22"/>
        </w:rPr>
        <w:t xml:space="preserve"> for removal of the bar</w:t>
      </w:r>
      <w:r w:rsidR="00476DBE">
        <w:rPr>
          <w:rFonts w:cs="Arial"/>
          <w:bCs/>
          <w:szCs w:val="22"/>
        </w:rPr>
        <w:t xml:space="preserve">. </w:t>
      </w:r>
      <w:r w:rsidR="00051A2B" w:rsidRPr="00BF4DDA">
        <w:rPr>
          <w:rFonts w:cs="Arial"/>
          <w:bCs/>
          <w:szCs w:val="22"/>
        </w:rPr>
        <w:t>I therefore make the order as set out</w:t>
      </w:r>
      <w:r w:rsidR="00DD69AF">
        <w:rPr>
          <w:rFonts w:cs="Arial"/>
          <w:bCs/>
          <w:szCs w:val="22"/>
        </w:rPr>
        <w:t xml:space="preserve"> in paragraph 1</w:t>
      </w:r>
      <w:r w:rsidR="00051A2B" w:rsidRPr="00BF4DDA">
        <w:rPr>
          <w:rFonts w:cs="Arial"/>
          <w:bCs/>
          <w:szCs w:val="22"/>
        </w:rPr>
        <w:t xml:space="preserve"> above.</w:t>
      </w:r>
    </w:p>
    <w:p w14:paraId="3E6BA7DA" w14:textId="43133B0D" w:rsidR="00AE287F" w:rsidRDefault="00AE287F" w:rsidP="00A3283B">
      <w:pPr>
        <w:tabs>
          <w:tab w:val="right" w:pos="0"/>
        </w:tabs>
        <w:spacing w:line="360" w:lineRule="auto"/>
        <w:contextualSpacing/>
        <w:jc w:val="both"/>
        <w:rPr>
          <w:rFonts w:cs="Arial"/>
          <w:b/>
        </w:rPr>
      </w:pPr>
    </w:p>
    <w:p w14:paraId="53CD27EE" w14:textId="672559CF" w:rsidR="00AE287F" w:rsidRDefault="00A649E6" w:rsidP="006C43D7">
      <w:pPr>
        <w:tabs>
          <w:tab w:val="right" w:pos="0"/>
        </w:tabs>
        <w:spacing w:line="360" w:lineRule="auto"/>
        <w:contextualSpacing/>
        <w:jc w:val="right"/>
        <w:rPr>
          <w:rFonts w:cs="Arial"/>
          <w:b/>
        </w:rPr>
      </w:pPr>
      <w:r>
        <w:rPr>
          <w:rFonts w:cs="Arial"/>
          <w:b/>
        </w:rPr>
        <w:t>______________</w:t>
      </w:r>
    </w:p>
    <w:p w14:paraId="0CCB9BFE" w14:textId="7ABE564D" w:rsidR="006C43D7" w:rsidRPr="006C43D7" w:rsidRDefault="00C676F3" w:rsidP="006C43D7">
      <w:pPr>
        <w:tabs>
          <w:tab w:val="right" w:pos="0"/>
        </w:tabs>
        <w:spacing w:line="360" w:lineRule="auto"/>
        <w:contextualSpacing/>
        <w:jc w:val="right"/>
        <w:rPr>
          <w:rFonts w:cs="Arial"/>
          <w:b/>
        </w:rPr>
      </w:pPr>
      <w:r>
        <w:rPr>
          <w:rFonts w:cs="Arial"/>
          <w:b/>
        </w:rPr>
        <w:t>J MOORCROFT</w:t>
      </w:r>
    </w:p>
    <w:p w14:paraId="7A2C1059" w14:textId="77777777" w:rsidR="006C43D7" w:rsidRPr="006C43D7" w:rsidRDefault="006C43D7" w:rsidP="006C43D7">
      <w:pPr>
        <w:tabs>
          <w:tab w:val="right" w:pos="0"/>
        </w:tabs>
        <w:spacing w:line="360" w:lineRule="auto"/>
        <w:contextualSpacing/>
        <w:jc w:val="right"/>
        <w:rPr>
          <w:rFonts w:cs="Arial"/>
          <w:b/>
        </w:rPr>
      </w:pPr>
      <w:r w:rsidRPr="006C43D7">
        <w:rPr>
          <w:rFonts w:cs="Arial"/>
          <w:b/>
        </w:rPr>
        <w:t>ACTING JUDGE OF THE HIGH COURT OF SOUTH AFRICA</w:t>
      </w:r>
    </w:p>
    <w:p w14:paraId="077C2590" w14:textId="7452355B"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GAUTENG DIVISION</w:t>
      </w:r>
    </w:p>
    <w:p w14:paraId="40B9C946" w14:textId="77777777"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JOHANNESBURG</w:t>
      </w:r>
    </w:p>
    <w:p w14:paraId="326B529B" w14:textId="77777777" w:rsidR="006C43D7" w:rsidRPr="006C43D7" w:rsidRDefault="006C43D7" w:rsidP="006C43D7">
      <w:pPr>
        <w:tabs>
          <w:tab w:val="right" w:pos="0"/>
          <w:tab w:val="left" w:pos="4253"/>
        </w:tabs>
        <w:spacing w:line="360" w:lineRule="auto"/>
        <w:contextualSpacing/>
        <w:jc w:val="center"/>
        <w:rPr>
          <w:rFonts w:cs="Arial"/>
          <w:b/>
        </w:rPr>
      </w:pPr>
    </w:p>
    <w:p w14:paraId="5A4CC56C" w14:textId="051C4E22" w:rsidR="006C43D7" w:rsidRPr="006C43D7" w:rsidRDefault="006C43D7" w:rsidP="006C43D7">
      <w:pPr>
        <w:spacing w:after="200" w:line="480" w:lineRule="auto"/>
        <w:contextualSpacing/>
        <w:jc w:val="right"/>
        <w:rPr>
          <w:rFonts w:cs="Arial"/>
          <w:b/>
          <w:i/>
          <w:iCs/>
        </w:rPr>
      </w:pPr>
      <w:r w:rsidRPr="006C43D7">
        <w:rPr>
          <w:rFonts w:cs="Arial"/>
          <w:b/>
          <w:i/>
          <w:iCs/>
        </w:rPr>
        <w:t>Electronically submitted</w:t>
      </w:r>
    </w:p>
    <w:p w14:paraId="4E3E9427" w14:textId="77777777" w:rsidR="006C43D7" w:rsidRPr="006C43D7" w:rsidRDefault="006C43D7" w:rsidP="006C43D7">
      <w:pPr>
        <w:spacing w:after="200" w:line="360" w:lineRule="auto"/>
        <w:contextualSpacing/>
        <w:jc w:val="both"/>
        <w:rPr>
          <w:rFonts w:eastAsia="Arial Unicode MS" w:cs="Arial"/>
          <w:bCs/>
        </w:rPr>
      </w:pPr>
    </w:p>
    <w:p w14:paraId="51C686CA" w14:textId="1596A598" w:rsidR="006C43D7" w:rsidRPr="00051A2B" w:rsidRDefault="006C43D7" w:rsidP="006C43D7">
      <w:pPr>
        <w:spacing w:after="200" w:line="360" w:lineRule="auto"/>
        <w:contextualSpacing/>
        <w:jc w:val="both"/>
        <w:rPr>
          <w:rFonts w:eastAsia="Arial Unicode MS" w:cs="Arial"/>
          <w:bCs/>
        </w:rPr>
      </w:pPr>
      <w:r w:rsidRPr="006C43D7">
        <w:rPr>
          <w:rFonts w:eastAsia="Arial Unicode MS" w:cs="Arial"/>
          <w:bCs/>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Pr>
          <w:rFonts w:eastAsia="Arial Unicode MS" w:cs="Arial"/>
          <w:bCs/>
        </w:rPr>
        <w:t xml:space="preserve"> </w:t>
      </w:r>
      <w:r w:rsidR="0050692B">
        <w:rPr>
          <w:rFonts w:eastAsia="Arial Unicode MS" w:cs="Arial"/>
          <w:b/>
        </w:rPr>
        <w:t>1</w:t>
      </w:r>
      <w:r w:rsidR="00C50C46">
        <w:rPr>
          <w:rFonts w:eastAsia="Arial Unicode MS" w:cs="Arial"/>
          <w:b/>
        </w:rPr>
        <w:t>6</w:t>
      </w:r>
      <w:r w:rsidR="00C93FBD">
        <w:rPr>
          <w:rFonts w:eastAsia="Arial Unicode MS" w:cs="Arial"/>
          <w:b/>
        </w:rPr>
        <w:t xml:space="preserve"> OCTOBER </w:t>
      </w:r>
      <w:r w:rsidR="00237FF9">
        <w:rPr>
          <w:rFonts w:eastAsia="Arial Unicode MS" w:cs="Arial"/>
          <w:b/>
          <w:bCs/>
        </w:rPr>
        <w:t>202</w:t>
      </w:r>
      <w:r w:rsidR="00051A2B">
        <w:rPr>
          <w:rFonts w:eastAsia="Arial Unicode MS" w:cs="Arial"/>
          <w:b/>
          <w:bCs/>
        </w:rPr>
        <w:t>3</w:t>
      </w:r>
      <w:r w:rsidR="00051A2B">
        <w:rPr>
          <w:rFonts w:eastAsia="Arial Unicode MS" w:cs="Arial"/>
          <w:bCs/>
        </w:rPr>
        <w:t>.</w:t>
      </w:r>
    </w:p>
    <w:p w14:paraId="482DDF6E" w14:textId="77777777" w:rsidR="006C43D7" w:rsidRPr="006C43D7" w:rsidRDefault="006C43D7" w:rsidP="006C43D7">
      <w:pPr>
        <w:tabs>
          <w:tab w:val="right" w:pos="0"/>
          <w:tab w:val="left" w:pos="4253"/>
        </w:tabs>
        <w:spacing w:line="360" w:lineRule="auto"/>
        <w:contextualSpacing/>
        <w:jc w:val="center"/>
        <w:rPr>
          <w:rFonts w:cs="Arial"/>
          <w:b/>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878"/>
        <w:gridCol w:w="283"/>
        <w:gridCol w:w="2693"/>
      </w:tblGrid>
      <w:tr w:rsidR="009D35B5" w14:paraId="493AF0D7" w14:textId="77777777" w:rsidTr="0053293A">
        <w:tc>
          <w:tcPr>
            <w:tcW w:w="5529" w:type="dxa"/>
            <w:gridSpan w:val="2"/>
          </w:tcPr>
          <w:p w14:paraId="6A05541A" w14:textId="092AE0D8" w:rsidR="009D35B5" w:rsidRDefault="009D35B5" w:rsidP="002C2E80">
            <w:pPr>
              <w:tabs>
                <w:tab w:val="right" w:pos="0"/>
                <w:tab w:val="left" w:pos="4253"/>
              </w:tabs>
              <w:spacing w:line="360" w:lineRule="auto"/>
              <w:contextualSpacing/>
              <w:rPr>
                <w:rFonts w:cs="Arial"/>
              </w:rPr>
            </w:pPr>
            <w:r>
              <w:rPr>
                <w:rFonts w:cs="Arial"/>
              </w:rPr>
              <w:t>COUNSEL</w:t>
            </w:r>
            <w:r w:rsidRPr="006C43D7">
              <w:rPr>
                <w:rFonts w:cs="Arial"/>
              </w:rPr>
              <w:t xml:space="preserve"> FOR </w:t>
            </w:r>
            <w:r w:rsidR="0053293A">
              <w:rPr>
                <w:rFonts w:cs="Arial"/>
              </w:rPr>
              <w:t xml:space="preserve">THE </w:t>
            </w:r>
            <w:r w:rsidR="00466300">
              <w:rPr>
                <w:rFonts w:cs="Arial"/>
              </w:rPr>
              <w:t>APPLICANT</w:t>
            </w:r>
            <w:r w:rsidRPr="006C43D7">
              <w:rPr>
                <w:rFonts w:cs="Arial"/>
              </w:rPr>
              <w:t>:</w:t>
            </w:r>
          </w:p>
        </w:tc>
        <w:tc>
          <w:tcPr>
            <w:tcW w:w="2976" w:type="dxa"/>
            <w:gridSpan w:val="2"/>
          </w:tcPr>
          <w:p w14:paraId="69785AA9" w14:textId="61122139" w:rsidR="00DC6EF8" w:rsidRDefault="00D15731" w:rsidP="00DF5291">
            <w:pPr>
              <w:tabs>
                <w:tab w:val="right" w:pos="0"/>
                <w:tab w:val="left" w:pos="567"/>
                <w:tab w:val="right" w:pos="2727"/>
                <w:tab w:val="left" w:pos="4253"/>
              </w:tabs>
              <w:spacing w:line="360" w:lineRule="auto"/>
              <w:contextualSpacing/>
              <w:jc w:val="right"/>
              <w:rPr>
                <w:rFonts w:cs="Arial"/>
              </w:rPr>
            </w:pPr>
            <w:r>
              <w:rPr>
                <w:rFonts w:cs="Arial"/>
              </w:rPr>
              <w:t>T QHALI</w:t>
            </w:r>
          </w:p>
        </w:tc>
      </w:tr>
      <w:tr w:rsidR="009D35B5" w14:paraId="183C176D" w14:textId="77777777" w:rsidTr="0053293A">
        <w:tc>
          <w:tcPr>
            <w:tcW w:w="3651" w:type="dxa"/>
          </w:tcPr>
          <w:p w14:paraId="75365413" w14:textId="481747BC" w:rsidR="009D35B5" w:rsidRDefault="009D35B5" w:rsidP="002C2E80">
            <w:pPr>
              <w:tabs>
                <w:tab w:val="right" w:pos="0"/>
                <w:tab w:val="left" w:pos="4253"/>
              </w:tabs>
              <w:spacing w:line="360" w:lineRule="auto"/>
              <w:contextualSpacing/>
              <w:rPr>
                <w:rFonts w:cs="Arial"/>
              </w:rPr>
            </w:pPr>
            <w:r w:rsidRPr="006C43D7">
              <w:rPr>
                <w:rFonts w:cs="Arial"/>
              </w:rPr>
              <w:t>INSTRUCTED BY:</w:t>
            </w:r>
          </w:p>
        </w:tc>
        <w:tc>
          <w:tcPr>
            <w:tcW w:w="4854" w:type="dxa"/>
            <w:gridSpan w:val="3"/>
          </w:tcPr>
          <w:p w14:paraId="4044534A" w14:textId="67023C38" w:rsidR="00762178" w:rsidRDefault="00D15731" w:rsidP="00762178">
            <w:pPr>
              <w:tabs>
                <w:tab w:val="right" w:pos="0"/>
                <w:tab w:val="left" w:pos="4253"/>
              </w:tabs>
              <w:spacing w:line="360" w:lineRule="auto"/>
              <w:contextualSpacing/>
              <w:jc w:val="right"/>
              <w:rPr>
                <w:rFonts w:cs="Arial"/>
              </w:rPr>
            </w:pPr>
            <w:r>
              <w:rPr>
                <w:rFonts w:cs="Arial"/>
              </w:rPr>
              <w:t>NYAPOTSE INC</w:t>
            </w:r>
          </w:p>
        </w:tc>
      </w:tr>
      <w:tr w:rsidR="009D35B5" w14:paraId="6E2BF966" w14:textId="77777777" w:rsidTr="0053293A">
        <w:tc>
          <w:tcPr>
            <w:tcW w:w="5812" w:type="dxa"/>
            <w:gridSpan w:val="3"/>
          </w:tcPr>
          <w:p w14:paraId="545B6665" w14:textId="49526CC1" w:rsidR="009D35B5" w:rsidRDefault="009D35B5" w:rsidP="002C2E80">
            <w:pPr>
              <w:tabs>
                <w:tab w:val="right" w:pos="0"/>
                <w:tab w:val="left" w:pos="4253"/>
              </w:tabs>
              <w:spacing w:line="360" w:lineRule="auto"/>
              <w:contextualSpacing/>
              <w:rPr>
                <w:rFonts w:cs="Arial"/>
              </w:rPr>
            </w:pPr>
            <w:r>
              <w:rPr>
                <w:rFonts w:cs="Arial"/>
              </w:rPr>
              <w:t>COUNSEL</w:t>
            </w:r>
            <w:r w:rsidRPr="006C43D7">
              <w:rPr>
                <w:rFonts w:cs="Arial"/>
              </w:rPr>
              <w:t xml:space="preserve"> FOR </w:t>
            </w:r>
            <w:r w:rsidR="0053293A">
              <w:rPr>
                <w:rFonts w:cs="Arial"/>
              </w:rPr>
              <w:t xml:space="preserve">THE </w:t>
            </w:r>
            <w:r w:rsidR="00466300">
              <w:rPr>
                <w:rFonts w:cs="Arial"/>
              </w:rPr>
              <w:t>RESPONDENT</w:t>
            </w:r>
            <w:r w:rsidR="002B50C3">
              <w:rPr>
                <w:rFonts w:cs="Arial"/>
              </w:rPr>
              <w:t>S</w:t>
            </w:r>
            <w:r w:rsidRPr="006C43D7">
              <w:rPr>
                <w:rFonts w:cs="Arial"/>
              </w:rPr>
              <w:t>:</w:t>
            </w:r>
          </w:p>
        </w:tc>
        <w:tc>
          <w:tcPr>
            <w:tcW w:w="2693" w:type="dxa"/>
          </w:tcPr>
          <w:p w14:paraId="51741A90" w14:textId="7A22FD14" w:rsidR="009D35B5" w:rsidRDefault="00D15731" w:rsidP="00424BA6">
            <w:pPr>
              <w:tabs>
                <w:tab w:val="right" w:pos="0"/>
                <w:tab w:val="left" w:pos="4253"/>
              </w:tabs>
              <w:spacing w:line="360" w:lineRule="auto"/>
              <w:contextualSpacing/>
              <w:jc w:val="right"/>
              <w:rPr>
                <w:rFonts w:cs="Arial"/>
              </w:rPr>
            </w:pPr>
            <w:r>
              <w:rPr>
                <w:rFonts w:cs="Arial"/>
              </w:rPr>
              <w:t>N TERBLANC</w:t>
            </w:r>
            <w:r w:rsidR="002B50C3">
              <w:rPr>
                <w:rFonts w:cs="Arial"/>
              </w:rPr>
              <w:t>H</w:t>
            </w:r>
            <w:r>
              <w:rPr>
                <w:rFonts w:cs="Arial"/>
              </w:rPr>
              <w:t>E</w:t>
            </w:r>
          </w:p>
        </w:tc>
      </w:tr>
      <w:tr w:rsidR="009D35B5" w14:paraId="1EC4105A" w14:textId="77777777" w:rsidTr="0053293A">
        <w:tc>
          <w:tcPr>
            <w:tcW w:w="3651" w:type="dxa"/>
          </w:tcPr>
          <w:p w14:paraId="184EC2ED" w14:textId="1E42F28A" w:rsidR="009D35B5" w:rsidRDefault="009D35B5" w:rsidP="002C2E80">
            <w:pPr>
              <w:tabs>
                <w:tab w:val="right" w:pos="0"/>
                <w:tab w:val="left" w:pos="4253"/>
              </w:tabs>
              <w:spacing w:line="360" w:lineRule="auto"/>
              <w:contextualSpacing/>
              <w:rPr>
                <w:rFonts w:cs="Arial"/>
              </w:rPr>
            </w:pPr>
            <w:r w:rsidRPr="006C43D7">
              <w:rPr>
                <w:rFonts w:cs="Arial"/>
              </w:rPr>
              <w:t>INSTRUCTED BY:</w:t>
            </w:r>
          </w:p>
        </w:tc>
        <w:tc>
          <w:tcPr>
            <w:tcW w:w="4854" w:type="dxa"/>
            <w:gridSpan w:val="3"/>
          </w:tcPr>
          <w:p w14:paraId="2098BE2A" w14:textId="05AF082A" w:rsidR="009D35B5" w:rsidRDefault="00D15731" w:rsidP="00424BA6">
            <w:pPr>
              <w:tabs>
                <w:tab w:val="right" w:pos="0"/>
                <w:tab w:val="left" w:pos="4253"/>
              </w:tabs>
              <w:spacing w:line="360" w:lineRule="auto"/>
              <w:contextualSpacing/>
              <w:jc w:val="right"/>
              <w:rPr>
                <w:rFonts w:cs="Arial"/>
              </w:rPr>
            </w:pPr>
            <w:r>
              <w:rPr>
                <w:rFonts w:cs="Arial"/>
              </w:rPr>
              <w:t>COETZEE ATTORNEYS</w:t>
            </w:r>
          </w:p>
        </w:tc>
      </w:tr>
      <w:tr w:rsidR="009D35B5" w14:paraId="2A3FE2B1" w14:textId="77777777" w:rsidTr="0053293A">
        <w:tc>
          <w:tcPr>
            <w:tcW w:w="3651" w:type="dxa"/>
          </w:tcPr>
          <w:p w14:paraId="0767D0FE" w14:textId="5D8C7247" w:rsidR="009D35B5" w:rsidRPr="006C43D7" w:rsidRDefault="009D35B5" w:rsidP="002C2E80">
            <w:pPr>
              <w:tabs>
                <w:tab w:val="right" w:pos="0"/>
                <w:tab w:val="left" w:pos="4253"/>
              </w:tabs>
              <w:spacing w:line="360" w:lineRule="auto"/>
              <w:contextualSpacing/>
              <w:rPr>
                <w:rFonts w:cs="Arial"/>
              </w:rPr>
            </w:pPr>
            <w:r w:rsidRPr="006C43D7">
              <w:rPr>
                <w:rFonts w:cs="Arial"/>
              </w:rPr>
              <w:t xml:space="preserve">DATE OF </w:t>
            </w:r>
            <w:r w:rsidR="00C93FBD">
              <w:rPr>
                <w:rFonts w:cs="Arial"/>
              </w:rPr>
              <w:t>HEARING</w:t>
            </w:r>
            <w:r w:rsidRPr="006C43D7">
              <w:rPr>
                <w:rFonts w:cs="Arial"/>
              </w:rPr>
              <w:t>:</w:t>
            </w:r>
          </w:p>
        </w:tc>
        <w:tc>
          <w:tcPr>
            <w:tcW w:w="4854" w:type="dxa"/>
            <w:gridSpan w:val="3"/>
          </w:tcPr>
          <w:p w14:paraId="34C95147" w14:textId="6888FDF1" w:rsidR="009D35B5" w:rsidRDefault="00D15731" w:rsidP="009D35B5">
            <w:pPr>
              <w:tabs>
                <w:tab w:val="right" w:pos="0"/>
                <w:tab w:val="left" w:pos="4253"/>
              </w:tabs>
              <w:spacing w:line="360" w:lineRule="auto"/>
              <w:contextualSpacing/>
              <w:jc w:val="right"/>
              <w:rPr>
                <w:rFonts w:cs="Arial"/>
              </w:rPr>
            </w:pPr>
            <w:r>
              <w:rPr>
                <w:rFonts w:cs="Arial"/>
              </w:rPr>
              <w:t>3</w:t>
            </w:r>
            <w:r w:rsidR="00C93FBD">
              <w:rPr>
                <w:rFonts w:cs="Arial"/>
              </w:rPr>
              <w:t xml:space="preserve"> OCTOBER 2023</w:t>
            </w:r>
          </w:p>
        </w:tc>
      </w:tr>
      <w:tr w:rsidR="009D35B5" w14:paraId="757AA656" w14:textId="77777777" w:rsidTr="0053293A">
        <w:tc>
          <w:tcPr>
            <w:tcW w:w="3651" w:type="dxa"/>
          </w:tcPr>
          <w:p w14:paraId="05387251" w14:textId="5A778948" w:rsidR="009D35B5" w:rsidRPr="006C43D7" w:rsidRDefault="009D35B5" w:rsidP="002C2E80">
            <w:pPr>
              <w:tabs>
                <w:tab w:val="right" w:pos="0"/>
                <w:tab w:val="left" w:pos="4253"/>
              </w:tabs>
              <w:spacing w:line="360" w:lineRule="auto"/>
              <w:contextualSpacing/>
              <w:rPr>
                <w:rFonts w:cs="Arial"/>
              </w:rPr>
            </w:pPr>
            <w:r w:rsidRPr="006C43D7">
              <w:rPr>
                <w:rFonts w:cs="Arial"/>
              </w:rPr>
              <w:t>DATE OF JUDGMENT:</w:t>
            </w:r>
          </w:p>
        </w:tc>
        <w:tc>
          <w:tcPr>
            <w:tcW w:w="4854" w:type="dxa"/>
            <w:gridSpan w:val="3"/>
          </w:tcPr>
          <w:p w14:paraId="61863A62" w14:textId="0AA903AE" w:rsidR="009D35B5" w:rsidRDefault="0050692B" w:rsidP="009D35B5">
            <w:pPr>
              <w:tabs>
                <w:tab w:val="right" w:pos="0"/>
                <w:tab w:val="left" w:pos="4253"/>
              </w:tabs>
              <w:spacing w:line="360" w:lineRule="auto"/>
              <w:contextualSpacing/>
              <w:jc w:val="right"/>
              <w:rPr>
                <w:rFonts w:cs="Arial"/>
              </w:rPr>
            </w:pPr>
            <w:r>
              <w:rPr>
                <w:rFonts w:cs="Arial"/>
              </w:rPr>
              <w:t>1</w:t>
            </w:r>
            <w:r w:rsidR="00A901F2">
              <w:rPr>
                <w:rFonts w:cs="Arial"/>
              </w:rPr>
              <w:t>6</w:t>
            </w:r>
            <w:r w:rsidR="005B696E">
              <w:rPr>
                <w:rFonts w:cs="Arial"/>
              </w:rPr>
              <w:t xml:space="preserve"> </w:t>
            </w:r>
            <w:r w:rsidR="00A97BBC">
              <w:rPr>
                <w:rFonts w:cs="Arial"/>
              </w:rPr>
              <w:t>OCTOBER</w:t>
            </w:r>
            <w:r w:rsidR="00051A2B">
              <w:rPr>
                <w:rFonts w:cs="Arial"/>
              </w:rPr>
              <w:t xml:space="preserve"> 2023</w:t>
            </w:r>
          </w:p>
        </w:tc>
      </w:tr>
    </w:tbl>
    <w:p w14:paraId="1BD8F4EB" w14:textId="5263C90B" w:rsidR="00A402F6" w:rsidRPr="006C43D7" w:rsidRDefault="00A402F6" w:rsidP="00DC1DED">
      <w:pPr>
        <w:tabs>
          <w:tab w:val="right" w:pos="8647"/>
        </w:tabs>
        <w:spacing w:line="360" w:lineRule="auto"/>
        <w:contextualSpacing/>
        <w:jc w:val="both"/>
        <w:rPr>
          <w:rFonts w:cs="Arial"/>
        </w:rPr>
      </w:pPr>
    </w:p>
    <w:sectPr w:rsidR="00A402F6" w:rsidRPr="006C43D7"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42394" w14:textId="77777777" w:rsidR="00C41D88" w:rsidRDefault="00C41D88">
      <w:r>
        <w:separator/>
      </w:r>
    </w:p>
  </w:endnote>
  <w:endnote w:type="continuationSeparator" w:id="0">
    <w:p w14:paraId="1FEEEB88" w14:textId="77777777" w:rsidR="00C41D88" w:rsidRDefault="00C4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240D6" w14:textId="77777777" w:rsidR="00C41D88" w:rsidRDefault="00C41D88">
      <w:r>
        <w:separator/>
      </w:r>
    </w:p>
  </w:footnote>
  <w:footnote w:type="continuationSeparator" w:id="0">
    <w:p w14:paraId="12DDEB24" w14:textId="77777777" w:rsidR="00C41D88" w:rsidRDefault="00C41D88">
      <w:r>
        <w:continuationSeparator/>
      </w:r>
    </w:p>
  </w:footnote>
  <w:footnote w:id="1">
    <w:p w14:paraId="590A443E" w14:textId="51E38D80" w:rsidR="00883D7C" w:rsidRPr="00883D7C" w:rsidRDefault="00883D7C">
      <w:pPr>
        <w:pStyle w:val="FootnoteText"/>
        <w:rPr>
          <w:rFonts w:cs="Arial"/>
          <w:color w:val="000000" w:themeColor="text1"/>
        </w:rPr>
      </w:pPr>
      <w:r>
        <w:rPr>
          <w:rStyle w:val="FootnoteReference"/>
        </w:rPr>
        <w:footnoteRef/>
      </w:r>
      <w:r>
        <w:t xml:space="preserve"> </w:t>
      </w:r>
      <w:r>
        <w:tab/>
        <w:t>See the discussion by Van Lo</w:t>
      </w:r>
      <w:r w:rsidRPr="00883D7C">
        <w:rPr>
          <w:rFonts w:cs="Arial"/>
          <w:color w:val="000000" w:themeColor="text1"/>
        </w:rPr>
        <w:t xml:space="preserve">ggerenberg </w:t>
      </w:r>
      <w:r w:rsidRPr="00883D7C">
        <w:rPr>
          <w:rFonts w:cs="Arial"/>
          <w:i/>
          <w:iCs/>
          <w:color w:val="000000" w:themeColor="text1"/>
        </w:rPr>
        <w:t>Erasmus: Superior Court Practice</w:t>
      </w:r>
      <w:r w:rsidRPr="00883D7C">
        <w:rPr>
          <w:rFonts w:cs="Arial"/>
          <w:color w:val="000000" w:themeColor="text1"/>
        </w:rPr>
        <w:t xml:space="preserve"> </w:t>
      </w:r>
      <w:r w:rsidRPr="00883D7C">
        <w:rPr>
          <w:rFonts w:cs="Arial"/>
          <w:color w:val="000000" w:themeColor="text1"/>
          <w:lang w:eastAsia="en-ZA"/>
        </w:rPr>
        <w:t>RS 17, 2021, D1-321</w:t>
      </w:r>
      <w:r w:rsidR="00504FAF">
        <w:rPr>
          <w:rFonts w:cs="Arial"/>
          <w:color w:val="000000" w:themeColor="text1"/>
          <w:lang w:eastAsia="en-ZA"/>
        </w:rPr>
        <w:t xml:space="preserve"> to D1-328B.</w:t>
      </w:r>
    </w:p>
  </w:footnote>
  <w:footnote w:id="2">
    <w:p w14:paraId="00C2494B" w14:textId="38611EB0" w:rsidR="00BD1446" w:rsidRDefault="00BD1446">
      <w:pPr>
        <w:pStyle w:val="FootnoteText"/>
      </w:pPr>
      <w:r>
        <w:rPr>
          <w:rStyle w:val="FootnoteReference"/>
        </w:rPr>
        <w:footnoteRef/>
      </w:r>
      <w:r>
        <w:t xml:space="preserve"> </w:t>
      </w:r>
      <w:r w:rsidR="00AB6BCE">
        <w:tab/>
      </w:r>
      <w:r w:rsidR="00AB6BCE" w:rsidRPr="00076172">
        <w:rPr>
          <w:i/>
          <w:iCs/>
        </w:rPr>
        <w:t>IL &amp; B Marcow Caterers (Pty) Ltd v Greatermans SA Ltd and Another;</w:t>
      </w:r>
      <w:r w:rsidR="009B0FF9">
        <w:rPr>
          <w:i/>
          <w:iCs/>
        </w:rPr>
        <w:t xml:space="preserve"> </w:t>
      </w:r>
      <w:r w:rsidR="00AB6BCE" w:rsidRPr="00076172">
        <w:rPr>
          <w:i/>
          <w:iCs/>
        </w:rPr>
        <w:t>Aroma Inn (Pty) Ltd v Hypermarkets (Pty) Ltd and Another</w:t>
      </w:r>
      <w:r w:rsidR="00AB6BCE">
        <w:t xml:space="preserve"> </w:t>
      </w:r>
      <w:r w:rsidR="00AB6BCE" w:rsidRPr="00076172">
        <w:t>1981 (4) SA 108 (C)</w:t>
      </w:r>
      <w:r w:rsidR="00AB6BCE">
        <w:t xml:space="preserve"> 112H to 113A.</w:t>
      </w:r>
    </w:p>
  </w:footnote>
  <w:footnote w:id="3">
    <w:p w14:paraId="2ABB179C" w14:textId="1613DAA2" w:rsidR="00852AB8" w:rsidRDefault="00852AB8">
      <w:pPr>
        <w:pStyle w:val="FootnoteText"/>
      </w:pPr>
      <w:r>
        <w:rPr>
          <w:rStyle w:val="FootnoteReference"/>
        </w:rPr>
        <w:footnoteRef/>
      </w:r>
      <w:r>
        <w:t xml:space="preserve"> </w:t>
      </w:r>
      <w:r>
        <w:tab/>
        <w:t>Section 12(2) of the Prescription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77FC433E"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FA0F52">
      <w:rPr>
        <w:rFonts w:cs="Arial"/>
        <w:noProof/>
        <w:sz w:val="20"/>
        <w:szCs w:val="20"/>
        <w:lang w:val="en-GB"/>
      </w:rPr>
      <w:t>3</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1"/>
  </w:num>
  <w:num w:numId="4">
    <w:abstractNumId w:val="5"/>
  </w:num>
  <w:num w:numId="5">
    <w:abstractNumId w:val="10"/>
  </w:num>
  <w:num w:numId="6">
    <w:abstractNumId w:val="8"/>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2"/>
  </w:num>
  <w:num w:numId="12">
    <w:abstractNumId w:val="3"/>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1138"/>
    <w:rsid w:val="00006113"/>
    <w:rsid w:val="0001111B"/>
    <w:rsid w:val="0001140A"/>
    <w:rsid w:val="00011522"/>
    <w:rsid w:val="00013B7F"/>
    <w:rsid w:val="00014506"/>
    <w:rsid w:val="00015D74"/>
    <w:rsid w:val="00024A29"/>
    <w:rsid w:val="000262B3"/>
    <w:rsid w:val="00030A89"/>
    <w:rsid w:val="000325E2"/>
    <w:rsid w:val="00044B5B"/>
    <w:rsid w:val="00047F26"/>
    <w:rsid w:val="00050086"/>
    <w:rsid w:val="000504F1"/>
    <w:rsid w:val="00051A2B"/>
    <w:rsid w:val="00063F7B"/>
    <w:rsid w:val="00072B36"/>
    <w:rsid w:val="000737E1"/>
    <w:rsid w:val="00073E30"/>
    <w:rsid w:val="00081716"/>
    <w:rsid w:val="000833BB"/>
    <w:rsid w:val="00087AE6"/>
    <w:rsid w:val="00092591"/>
    <w:rsid w:val="0009488C"/>
    <w:rsid w:val="00097968"/>
    <w:rsid w:val="000A1522"/>
    <w:rsid w:val="000A6AD8"/>
    <w:rsid w:val="000A7534"/>
    <w:rsid w:val="000B21DA"/>
    <w:rsid w:val="000C3DDE"/>
    <w:rsid w:val="000D5760"/>
    <w:rsid w:val="000D7D6A"/>
    <w:rsid w:val="000E1EC8"/>
    <w:rsid w:val="000E5343"/>
    <w:rsid w:val="000F376A"/>
    <w:rsid w:val="000F59F8"/>
    <w:rsid w:val="000F7039"/>
    <w:rsid w:val="001025B5"/>
    <w:rsid w:val="00104142"/>
    <w:rsid w:val="001142D1"/>
    <w:rsid w:val="00120C79"/>
    <w:rsid w:val="00120FB1"/>
    <w:rsid w:val="00130253"/>
    <w:rsid w:val="00133E81"/>
    <w:rsid w:val="00140CED"/>
    <w:rsid w:val="00141199"/>
    <w:rsid w:val="00147FF5"/>
    <w:rsid w:val="00152899"/>
    <w:rsid w:val="00154961"/>
    <w:rsid w:val="00155A21"/>
    <w:rsid w:val="001671C1"/>
    <w:rsid w:val="00171182"/>
    <w:rsid w:val="0017124B"/>
    <w:rsid w:val="00171D7F"/>
    <w:rsid w:val="00172DDF"/>
    <w:rsid w:val="00175051"/>
    <w:rsid w:val="00185ACF"/>
    <w:rsid w:val="00190579"/>
    <w:rsid w:val="001916C4"/>
    <w:rsid w:val="00192F78"/>
    <w:rsid w:val="00196E14"/>
    <w:rsid w:val="00196FD3"/>
    <w:rsid w:val="001A5145"/>
    <w:rsid w:val="001A522A"/>
    <w:rsid w:val="001A67C6"/>
    <w:rsid w:val="001A7904"/>
    <w:rsid w:val="001B1D06"/>
    <w:rsid w:val="001B1D39"/>
    <w:rsid w:val="001B4217"/>
    <w:rsid w:val="001B498E"/>
    <w:rsid w:val="001B5D3E"/>
    <w:rsid w:val="001B606B"/>
    <w:rsid w:val="001B729C"/>
    <w:rsid w:val="001C0755"/>
    <w:rsid w:val="001C285B"/>
    <w:rsid w:val="001C7D7D"/>
    <w:rsid w:val="001D35F8"/>
    <w:rsid w:val="001D3CC2"/>
    <w:rsid w:val="001E2EED"/>
    <w:rsid w:val="001E518E"/>
    <w:rsid w:val="001F0A29"/>
    <w:rsid w:val="001F3DBD"/>
    <w:rsid w:val="001F648A"/>
    <w:rsid w:val="00201620"/>
    <w:rsid w:val="00205392"/>
    <w:rsid w:val="002104BF"/>
    <w:rsid w:val="00215824"/>
    <w:rsid w:val="00216BC8"/>
    <w:rsid w:val="002208C5"/>
    <w:rsid w:val="0022218D"/>
    <w:rsid w:val="00222343"/>
    <w:rsid w:val="00226926"/>
    <w:rsid w:val="00232528"/>
    <w:rsid w:val="00235210"/>
    <w:rsid w:val="00235D20"/>
    <w:rsid w:val="00237633"/>
    <w:rsid w:val="00237FF9"/>
    <w:rsid w:val="002409CA"/>
    <w:rsid w:val="00241FCE"/>
    <w:rsid w:val="00250164"/>
    <w:rsid w:val="00253F38"/>
    <w:rsid w:val="002625C5"/>
    <w:rsid w:val="00262819"/>
    <w:rsid w:val="00285040"/>
    <w:rsid w:val="00285062"/>
    <w:rsid w:val="00285F28"/>
    <w:rsid w:val="00290C5C"/>
    <w:rsid w:val="0029369B"/>
    <w:rsid w:val="002976B8"/>
    <w:rsid w:val="002A030C"/>
    <w:rsid w:val="002A4B7B"/>
    <w:rsid w:val="002B50C3"/>
    <w:rsid w:val="002C15AC"/>
    <w:rsid w:val="002C2E80"/>
    <w:rsid w:val="002C4687"/>
    <w:rsid w:val="002D2842"/>
    <w:rsid w:val="002D300B"/>
    <w:rsid w:val="002D47B3"/>
    <w:rsid w:val="002E1B51"/>
    <w:rsid w:val="002E5B57"/>
    <w:rsid w:val="002E6CD7"/>
    <w:rsid w:val="002E7F8D"/>
    <w:rsid w:val="002F1C4D"/>
    <w:rsid w:val="002F4115"/>
    <w:rsid w:val="002F60E1"/>
    <w:rsid w:val="002F72D3"/>
    <w:rsid w:val="00302290"/>
    <w:rsid w:val="00302C31"/>
    <w:rsid w:val="00303919"/>
    <w:rsid w:val="003047C2"/>
    <w:rsid w:val="0030653F"/>
    <w:rsid w:val="0030744F"/>
    <w:rsid w:val="003102C8"/>
    <w:rsid w:val="0031117B"/>
    <w:rsid w:val="00312EBC"/>
    <w:rsid w:val="00313056"/>
    <w:rsid w:val="00323204"/>
    <w:rsid w:val="00337135"/>
    <w:rsid w:val="0034147B"/>
    <w:rsid w:val="00342E02"/>
    <w:rsid w:val="00345CED"/>
    <w:rsid w:val="003463D6"/>
    <w:rsid w:val="00346D31"/>
    <w:rsid w:val="00346DE6"/>
    <w:rsid w:val="003543C5"/>
    <w:rsid w:val="00354EF2"/>
    <w:rsid w:val="00357081"/>
    <w:rsid w:val="00357D35"/>
    <w:rsid w:val="00363FCD"/>
    <w:rsid w:val="00364C43"/>
    <w:rsid w:val="00364E6A"/>
    <w:rsid w:val="003676CF"/>
    <w:rsid w:val="00367720"/>
    <w:rsid w:val="00367778"/>
    <w:rsid w:val="0037029D"/>
    <w:rsid w:val="00373181"/>
    <w:rsid w:val="00381213"/>
    <w:rsid w:val="003832F7"/>
    <w:rsid w:val="003840EC"/>
    <w:rsid w:val="00390891"/>
    <w:rsid w:val="00390C3F"/>
    <w:rsid w:val="00393127"/>
    <w:rsid w:val="003A606C"/>
    <w:rsid w:val="003A7864"/>
    <w:rsid w:val="003B4100"/>
    <w:rsid w:val="003B57A4"/>
    <w:rsid w:val="003C1A16"/>
    <w:rsid w:val="003C1E91"/>
    <w:rsid w:val="003D12B2"/>
    <w:rsid w:val="003D19C3"/>
    <w:rsid w:val="003D36F9"/>
    <w:rsid w:val="003D77F1"/>
    <w:rsid w:val="003E0C31"/>
    <w:rsid w:val="003E562A"/>
    <w:rsid w:val="003E7A60"/>
    <w:rsid w:val="003F1F49"/>
    <w:rsid w:val="003F7448"/>
    <w:rsid w:val="00402620"/>
    <w:rsid w:val="00407F28"/>
    <w:rsid w:val="0041100A"/>
    <w:rsid w:val="004131C5"/>
    <w:rsid w:val="00414B44"/>
    <w:rsid w:val="0042423E"/>
    <w:rsid w:val="00424BA6"/>
    <w:rsid w:val="004254E1"/>
    <w:rsid w:val="004339E6"/>
    <w:rsid w:val="0043683A"/>
    <w:rsid w:val="00437EB1"/>
    <w:rsid w:val="004405CE"/>
    <w:rsid w:val="00441422"/>
    <w:rsid w:val="00444ED6"/>
    <w:rsid w:val="00445DCB"/>
    <w:rsid w:val="0045044C"/>
    <w:rsid w:val="00460495"/>
    <w:rsid w:val="00460EEA"/>
    <w:rsid w:val="004630B6"/>
    <w:rsid w:val="00463106"/>
    <w:rsid w:val="00466300"/>
    <w:rsid w:val="00472150"/>
    <w:rsid w:val="00474607"/>
    <w:rsid w:val="00474910"/>
    <w:rsid w:val="004749AF"/>
    <w:rsid w:val="00475410"/>
    <w:rsid w:val="004763B3"/>
    <w:rsid w:val="00476DBE"/>
    <w:rsid w:val="00484116"/>
    <w:rsid w:val="0048424E"/>
    <w:rsid w:val="00486F42"/>
    <w:rsid w:val="00487D14"/>
    <w:rsid w:val="004A2C7E"/>
    <w:rsid w:val="004A45F1"/>
    <w:rsid w:val="004A6625"/>
    <w:rsid w:val="004A69D6"/>
    <w:rsid w:val="004A7DFE"/>
    <w:rsid w:val="004B21D9"/>
    <w:rsid w:val="004C0CE3"/>
    <w:rsid w:val="004C368B"/>
    <w:rsid w:val="004D0599"/>
    <w:rsid w:val="004D1A31"/>
    <w:rsid w:val="004D262A"/>
    <w:rsid w:val="004D2C6F"/>
    <w:rsid w:val="004D2E01"/>
    <w:rsid w:val="004E3305"/>
    <w:rsid w:val="004E568C"/>
    <w:rsid w:val="004E5AD8"/>
    <w:rsid w:val="004F0806"/>
    <w:rsid w:val="004F12D8"/>
    <w:rsid w:val="004F22A6"/>
    <w:rsid w:val="004F4A37"/>
    <w:rsid w:val="004F4D7D"/>
    <w:rsid w:val="004F7551"/>
    <w:rsid w:val="00500786"/>
    <w:rsid w:val="00504B53"/>
    <w:rsid w:val="00504FAF"/>
    <w:rsid w:val="00505202"/>
    <w:rsid w:val="0050692B"/>
    <w:rsid w:val="0051015D"/>
    <w:rsid w:val="0051292D"/>
    <w:rsid w:val="00513307"/>
    <w:rsid w:val="0051442D"/>
    <w:rsid w:val="0051622D"/>
    <w:rsid w:val="00517067"/>
    <w:rsid w:val="005219EB"/>
    <w:rsid w:val="005262C2"/>
    <w:rsid w:val="0052705A"/>
    <w:rsid w:val="0053293A"/>
    <w:rsid w:val="00535A58"/>
    <w:rsid w:val="00537A72"/>
    <w:rsid w:val="005405F8"/>
    <w:rsid w:val="00546878"/>
    <w:rsid w:val="005509BE"/>
    <w:rsid w:val="00560E18"/>
    <w:rsid w:val="00561C3C"/>
    <w:rsid w:val="00571E81"/>
    <w:rsid w:val="00571FEB"/>
    <w:rsid w:val="00573FF9"/>
    <w:rsid w:val="00576B16"/>
    <w:rsid w:val="005A313A"/>
    <w:rsid w:val="005A680F"/>
    <w:rsid w:val="005B07CB"/>
    <w:rsid w:val="005B0E76"/>
    <w:rsid w:val="005B2FF9"/>
    <w:rsid w:val="005B696E"/>
    <w:rsid w:val="005B6D81"/>
    <w:rsid w:val="005B7DD3"/>
    <w:rsid w:val="005C50F5"/>
    <w:rsid w:val="005C7FC2"/>
    <w:rsid w:val="005D2408"/>
    <w:rsid w:val="005D522E"/>
    <w:rsid w:val="005D6122"/>
    <w:rsid w:val="005D6E80"/>
    <w:rsid w:val="005E23E3"/>
    <w:rsid w:val="005E2F7B"/>
    <w:rsid w:val="005E3C94"/>
    <w:rsid w:val="005E5C01"/>
    <w:rsid w:val="005E5DC1"/>
    <w:rsid w:val="005E7118"/>
    <w:rsid w:val="005F1CDA"/>
    <w:rsid w:val="005F37A4"/>
    <w:rsid w:val="005F6338"/>
    <w:rsid w:val="00602403"/>
    <w:rsid w:val="006041A4"/>
    <w:rsid w:val="006105B8"/>
    <w:rsid w:val="006109EC"/>
    <w:rsid w:val="00611D8A"/>
    <w:rsid w:val="00611F96"/>
    <w:rsid w:val="0061430D"/>
    <w:rsid w:val="006150CE"/>
    <w:rsid w:val="006165F4"/>
    <w:rsid w:val="006245EC"/>
    <w:rsid w:val="006309D5"/>
    <w:rsid w:val="00642664"/>
    <w:rsid w:val="00644BBE"/>
    <w:rsid w:val="006479F9"/>
    <w:rsid w:val="00647DDD"/>
    <w:rsid w:val="00650BFC"/>
    <w:rsid w:val="00653BA4"/>
    <w:rsid w:val="00654409"/>
    <w:rsid w:val="00656062"/>
    <w:rsid w:val="00657EDA"/>
    <w:rsid w:val="006609A2"/>
    <w:rsid w:val="00660C84"/>
    <w:rsid w:val="00661812"/>
    <w:rsid w:val="0066194B"/>
    <w:rsid w:val="00661FC4"/>
    <w:rsid w:val="00666D4D"/>
    <w:rsid w:val="00667EDC"/>
    <w:rsid w:val="00672205"/>
    <w:rsid w:val="006748BB"/>
    <w:rsid w:val="00683854"/>
    <w:rsid w:val="006858DA"/>
    <w:rsid w:val="006902F1"/>
    <w:rsid w:val="006918E9"/>
    <w:rsid w:val="006951CE"/>
    <w:rsid w:val="00695B2C"/>
    <w:rsid w:val="006A3B6B"/>
    <w:rsid w:val="006A438B"/>
    <w:rsid w:val="006A4F20"/>
    <w:rsid w:val="006B1E87"/>
    <w:rsid w:val="006B514A"/>
    <w:rsid w:val="006C31B7"/>
    <w:rsid w:val="006C4213"/>
    <w:rsid w:val="006C43D7"/>
    <w:rsid w:val="006C53ED"/>
    <w:rsid w:val="006C5694"/>
    <w:rsid w:val="006C59A9"/>
    <w:rsid w:val="006D29AA"/>
    <w:rsid w:val="006D3C5C"/>
    <w:rsid w:val="006D4128"/>
    <w:rsid w:val="006D5E57"/>
    <w:rsid w:val="006E2083"/>
    <w:rsid w:val="006E3064"/>
    <w:rsid w:val="006E64BE"/>
    <w:rsid w:val="006E68E6"/>
    <w:rsid w:val="006F042A"/>
    <w:rsid w:val="006F0D9B"/>
    <w:rsid w:val="006F2187"/>
    <w:rsid w:val="006F25E5"/>
    <w:rsid w:val="006F2FCE"/>
    <w:rsid w:val="006F415C"/>
    <w:rsid w:val="007112CA"/>
    <w:rsid w:val="007202BD"/>
    <w:rsid w:val="007205BF"/>
    <w:rsid w:val="007237D1"/>
    <w:rsid w:val="007241D4"/>
    <w:rsid w:val="00724D82"/>
    <w:rsid w:val="00730BF2"/>
    <w:rsid w:val="00732A6F"/>
    <w:rsid w:val="0074214D"/>
    <w:rsid w:val="00742764"/>
    <w:rsid w:val="00751452"/>
    <w:rsid w:val="0075156A"/>
    <w:rsid w:val="00751F90"/>
    <w:rsid w:val="007575E7"/>
    <w:rsid w:val="007619C5"/>
    <w:rsid w:val="00761C35"/>
    <w:rsid w:val="00762178"/>
    <w:rsid w:val="00766026"/>
    <w:rsid w:val="00772025"/>
    <w:rsid w:val="00780A2B"/>
    <w:rsid w:val="00781AA0"/>
    <w:rsid w:val="00781CF7"/>
    <w:rsid w:val="00782DE8"/>
    <w:rsid w:val="00792E10"/>
    <w:rsid w:val="00794575"/>
    <w:rsid w:val="007A1D60"/>
    <w:rsid w:val="007B165A"/>
    <w:rsid w:val="007B2DAD"/>
    <w:rsid w:val="007B7246"/>
    <w:rsid w:val="007B78C2"/>
    <w:rsid w:val="007C1424"/>
    <w:rsid w:val="007C23FF"/>
    <w:rsid w:val="007C5008"/>
    <w:rsid w:val="007D1E79"/>
    <w:rsid w:val="007D27CF"/>
    <w:rsid w:val="007D4DAF"/>
    <w:rsid w:val="007D6F16"/>
    <w:rsid w:val="007D7194"/>
    <w:rsid w:val="007E1175"/>
    <w:rsid w:val="007E468A"/>
    <w:rsid w:val="007E5302"/>
    <w:rsid w:val="007E58FC"/>
    <w:rsid w:val="007E6B92"/>
    <w:rsid w:val="007F1517"/>
    <w:rsid w:val="007F207F"/>
    <w:rsid w:val="007F5B91"/>
    <w:rsid w:val="00803CEC"/>
    <w:rsid w:val="008076A4"/>
    <w:rsid w:val="00810CA3"/>
    <w:rsid w:val="00822050"/>
    <w:rsid w:val="00830952"/>
    <w:rsid w:val="00830F84"/>
    <w:rsid w:val="00837BEE"/>
    <w:rsid w:val="008443A9"/>
    <w:rsid w:val="008469B3"/>
    <w:rsid w:val="00852AB8"/>
    <w:rsid w:val="00856204"/>
    <w:rsid w:val="00860576"/>
    <w:rsid w:val="008674AA"/>
    <w:rsid w:val="008675CC"/>
    <w:rsid w:val="0087609B"/>
    <w:rsid w:val="0088094C"/>
    <w:rsid w:val="00881004"/>
    <w:rsid w:val="00882C40"/>
    <w:rsid w:val="00883D7C"/>
    <w:rsid w:val="00884B89"/>
    <w:rsid w:val="008863E1"/>
    <w:rsid w:val="00892908"/>
    <w:rsid w:val="008942FC"/>
    <w:rsid w:val="0089562F"/>
    <w:rsid w:val="008A082A"/>
    <w:rsid w:val="008A4DF4"/>
    <w:rsid w:val="008B1DA9"/>
    <w:rsid w:val="008B6162"/>
    <w:rsid w:val="008C3EBC"/>
    <w:rsid w:val="008C57F6"/>
    <w:rsid w:val="008D33A3"/>
    <w:rsid w:val="008D4715"/>
    <w:rsid w:val="008D499C"/>
    <w:rsid w:val="008D6F1D"/>
    <w:rsid w:val="008F11CF"/>
    <w:rsid w:val="008F189C"/>
    <w:rsid w:val="008F1FE1"/>
    <w:rsid w:val="008F32FF"/>
    <w:rsid w:val="008F4486"/>
    <w:rsid w:val="008F4FC6"/>
    <w:rsid w:val="008F5518"/>
    <w:rsid w:val="008F66C0"/>
    <w:rsid w:val="00900DC1"/>
    <w:rsid w:val="00902179"/>
    <w:rsid w:val="00903877"/>
    <w:rsid w:val="009045D4"/>
    <w:rsid w:val="00907F7F"/>
    <w:rsid w:val="0091372B"/>
    <w:rsid w:val="0091544C"/>
    <w:rsid w:val="00921D03"/>
    <w:rsid w:val="00925CD2"/>
    <w:rsid w:val="00933065"/>
    <w:rsid w:val="00933569"/>
    <w:rsid w:val="009365B1"/>
    <w:rsid w:val="0093799C"/>
    <w:rsid w:val="009422A1"/>
    <w:rsid w:val="00942A7D"/>
    <w:rsid w:val="009444C5"/>
    <w:rsid w:val="00944804"/>
    <w:rsid w:val="0094634F"/>
    <w:rsid w:val="009473D8"/>
    <w:rsid w:val="00960ADF"/>
    <w:rsid w:val="00963A0C"/>
    <w:rsid w:val="00965EAF"/>
    <w:rsid w:val="009719EA"/>
    <w:rsid w:val="00972028"/>
    <w:rsid w:val="00974A92"/>
    <w:rsid w:val="00975270"/>
    <w:rsid w:val="00975BA1"/>
    <w:rsid w:val="009835E3"/>
    <w:rsid w:val="009837A6"/>
    <w:rsid w:val="009869F2"/>
    <w:rsid w:val="00987CDB"/>
    <w:rsid w:val="009A2726"/>
    <w:rsid w:val="009A30E0"/>
    <w:rsid w:val="009A3619"/>
    <w:rsid w:val="009A66D0"/>
    <w:rsid w:val="009B08AF"/>
    <w:rsid w:val="009B0FF9"/>
    <w:rsid w:val="009B3DFC"/>
    <w:rsid w:val="009B793E"/>
    <w:rsid w:val="009C1EA6"/>
    <w:rsid w:val="009C37B9"/>
    <w:rsid w:val="009C38E7"/>
    <w:rsid w:val="009D32BD"/>
    <w:rsid w:val="009D35B5"/>
    <w:rsid w:val="009D4486"/>
    <w:rsid w:val="009D4AC1"/>
    <w:rsid w:val="009E1697"/>
    <w:rsid w:val="009E2A77"/>
    <w:rsid w:val="009F211E"/>
    <w:rsid w:val="009F2572"/>
    <w:rsid w:val="009F294E"/>
    <w:rsid w:val="009F30F1"/>
    <w:rsid w:val="009F37C7"/>
    <w:rsid w:val="009F50AB"/>
    <w:rsid w:val="00A005F6"/>
    <w:rsid w:val="00A0424F"/>
    <w:rsid w:val="00A04762"/>
    <w:rsid w:val="00A05D30"/>
    <w:rsid w:val="00A103FF"/>
    <w:rsid w:val="00A16C6E"/>
    <w:rsid w:val="00A17DB2"/>
    <w:rsid w:val="00A22A14"/>
    <w:rsid w:val="00A253D0"/>
    <w:rsid w:val="00A26214"/>
    <w:rsid w:val="00A27A51"/>
    <w:rsid w:val="00A3283B"/>
    <w:rsid w:val="00A332DE"/>
    <w:rsid w:val="00A37BA4"/>
    <w:rsid w:val="00A402F6"/>
    <w:rsid w:val="00A43739"/>
    <w:rsid w:val="00A451FC"/>
    <w:rsid w:val="00A47815"/>
    <w:rsid w:val="00A47A18"/>
    <w:rsid w:val="00A52ED5"/>
    <w:rsid w:val="00A539CB"/>
    <w:rsid w:val="00A54302"/>
    <w:rsid w:val="00A63709"/>
    <w:rsid w:val="00A649E6"/>
    <w:rsid w:val="00A660AF"/>
    <w:rsid w:val="00A70A95"/>
    <w:rsid w:val="00A70BDA"/>
    <w:rsid w:val="00A740B6"/>
    <w:rsid w:val="00A7621E"/>
    <w:rsid w:val="00A817D5"/>
    <w:rsid w:val="00A901F2"/>
    <w:rsid w:val="00A93351"/>
    <w:rsid w:val="00A95538"/>
    <w:rsid w:val="00A97BBC"/>
    <w:rsid w:val="00AA0013"/>
    <w:rsid w:val="00AA26FF"/>
    <w:rsid w:val="00AA6E8C"/>
    <w:rsid w:val="00AA6F19"/>
    <w:rsid w:val="00AA75E6"/>
    <w:rsid w:val="00AA79A8"/>
    <w:rsid w:val="00AA7A76"/>
    <w:rsid w:val="00AB0286"/>
    <w:rsid w:val="00AB4C6D"/>
    <w:rsid w:val="00AB55F7"/>
    <w:rsid w:val="00AB6BCE"/>
    <w:rsid w:val="00AB71C3"/>
    <w:rsid w:val="00AC163D"/>
    <w:rsid w:val="00AC2995"/>
    <w:rsid w:val="00AC4165"/>
    <w:rsid w:val="00AC556A"/>
    <w:rsid w:val="00AC7078"/>
    <w:rsid w:val="00AC76EA"/>
    <w:rsid w:val="00AD2631"/>
    <w:rsid w:val="00AD7010"/>
    <w:rsid w:val="00AE1220"/>
    <w:rsid w:val="00AE287F"/>
    <w:rsid w:val="00AE45B9"/>
    <w:rsid w:val="00AE63BD"/>
    <w:rsid w:val="00AF0B2B"/>
    <w:rsid w:val="00AF2914"/>
    <w:rsid w:val="00AF363F"/>
    <w:rsid w:val="00AF3E4F"/>
    <w:rsid w:val="00B05CC4"/>
    <w:rsid w:val="00B071FF"/>
    <w:rsid w:val="00B11505"/>
    <w:rsid w:val="00B11DC2"/>
    <w:rsid w:val="00B15142"/>
    <w:rsid w:val="00B16F69"/>
    <w:rsid w:val="00B1789D"/>
    <w:rsid w:val="00B273DC"/>
    <w:rsid w:val="00B279DF"/>
    <w:rsid w:val="00B42807"/>
    <w:rsid w:val="00B428A6"/>
    <w:rsid w:val="00B43340"/>
    <w:rsid w:val="00B4461C"/>
    <w:rsid w:val="00B45476"/>
    <w:rsid w:val="00B53913"/>
    <w:rsid w:val="00B554D4"/>
    <w:rsid w:val="00B55F3A"/>
    <w:rsid w:val="00B56906"/>
    <w:rsid w:val="00B67BEF"/>
    <w:rsid w:val="00B71CB5"/>
    <w:rsid w:val="00B72922"/>
    <w:rsid w:val="00B72A13"/>
    <w:rsid w:val="00B72ADA"/>
    <w:rsid w:val="00B84042"/>
    <w:rsid w:val="00B84DD5"/>
    <w:rsid w:val="00B9487E"/>
    <w:rsid w:val="00B95910"/>
    <w:rsid w:val="00BA29E7"/>
    <w:rsid w:val="00BA3A4C"/>
    <w:rsid w:val="00BB0F20"/>
    <w:rsid w:val="00BB7F08"/>
    <w:rsid w:val="00BC35CD"/>
    <w:rsid w:val="00BC415B"/>
    <w:rsid w:val="00BC7BBE"/>
    <w:rsid w:val="00BD1446"/>
    <w:rsid w:val="00BD2CDE"/>
    <w:rsid w:val="00BD41CF"/>
    <w:rsid w:val="00BE0164"/>
    <w:rsid w:val="00BE12BD"/>
    <w:rsid w:val="00BE2ED7"/>
    <w:rsid w:val="00BE6AB8"/>
    <w:rsid w:val="00BF040B"/>
    <w:rsid w:val="00BF086D"/>
    <w:rsid w:val="00BF2167"/>
    <w:rsid w:val="00BF43BC"/>
    <w:rsid w:val="00BF4DDA"/>
    <w:rsid w:val="00BF55C7"/>
    <w:rsid w:val="00BF7ED8"/>
    <w:rsid w:val="00C04139"/>
    <w:rsid w:val="00C044B1"/>
    <w:rsid w:val="00C0572E"/>
    <w:rsid w:val="00C21B3D"/>
    <w:rsid w:val="00C24267"/>
    <w:rsid w:val="00C2788D"/>
    <w:rsid w:val="00C322E9"/>
    <w:rsid w:val="00C33398"/>
    <w:rsid w:val="00C361F6"/>
    <w:rsid w:val="00C3669A"/>
    <w:rsid w:val="00C41D88"/>
    <w:rsid w:val="00C423E3"/>
    <w:rsid w:val="00C44BAC"/>
    <w:rsid w:val="00C45626"/>
    <w:rsid w:val="00C458AF"/>
    <w:rsid w:val="00C45AC9"/>
    <w:rsid w:val="00C460A0"/>
    <w:rsid w:val="00C4720D"/>
    <w:rsid w:val="00C50068"/>
    <w:rsid w:val="00C50C46"/>
    <w:rsid w:val="00C549F4"/>
    <w:rsid w:val="00C54B12"/>
    <w:rsid w:val="00C610F2"/>
    <w:rsid w:val="00C676F3"/>
    <w:rsid w:val="00C71AB8"/>
    <w:rsid w:val="00C7535D"/>
    <w:rsid w:val="00C75909"/>
    <w:rsid w:val="00C767D5"/>
    <w:rsid w:val="00C77EFD"/>
    <w:rsid w:val="00C81A10"/>
    <w:rsid w:val="00C82423"/>
    <w:rsid w:val="00C829DF"/>
    <w:rsid w:val="00C84021"/>
    <w:rsid w:val="00C875AE"/>
    <w:rsid w:val="00C9310B"/>
    <w:rsid w:val="00C93FBD"/>
    <w:rsid w:val="00CA3E24"/>
    <w:rsid w:val="00CA696D"/>
    <w:rsid w:val="00CA6B5A"/>
    <w:rsid w:val="00CB1536"/>
    <w:rsid w:val="00CB3907"/>
    <w:rsid w:val="00CB6167"/>
    <w:rsid w:val="00CC0C54"/>
    <w:rsid w:val="00CC1016"/>
    <w:rsid w:val="00CD1721"/>
    <w:rsid w:val="00CD4DDC"/>
    <w:rsid w:val="00CD6B80"/>
    <w:rsid w:val="00CE6301"/>
    <w:rsid w:val="00CE74A8"/>
    <w:rsid w:val="00CF2008"/>
    <w:rsid w:val="00CF3649"/>
    <w:rsid w:val="00CF4188"/>
    <w:rsid w:val="00CF4E9E"/>
    <w:rsid w:val="00CF7848"/>
    <w:rsid w:val="00D058FC"/>
    <w:rsid w:val="00D06213"/>
    <w:rsid w:val="00D06732"/>
    <w:rsid w:val="00D10010"/>
    <w:rsid w:val="00D12BB7"/>
    <w:rsid w:val="00D1420E"/>
    <w:rsid w:val="00D15731"/>
    <w:rsid w:val="00D21601"/>
    <w:rsid w:val="00D31882"/>
    <w:rsid w:val="00D31BAB"/>
    <w:rsid w:val="00D31D27"/>
    <w:rsid w:val="00D34AFB"/>
    <w:rsid w:val="00D35A03"/>
    <w:rsid w:val="00D37377"/>
    <w:rsid w:val="00D41447"/>
    <w:rsid w:val="00D41830"/>
    <w:rsid w:val="00D45B8C"/>
    <w:rsid w:val="00D56058"/>
    <w:rsid w:val="00D567E0"/>
    <w:rsid w:val="00D56A09"/>
    <w:rsid w:val="00D577DC"/>
    <w:rsid w:val="00D61F2D"/>
    <w:rsid w:val="00D630DE"/>
    <w:rsid w:val="00D630E3"/>
    <w:rsid w:val="00D645C6"/>
    <w:rsid w:val="00D65905"/>
    <w:rsid w:val="00D7327A"/>
    <w:rsid w:val="00D74EC8"/>
    <w:rsid w:val="00D81AC9"/>
    <w:rsid w:val="00D858CC"/>
    <w:rsid w:val="00D9086C"/>
    <w:rsid w:val="00D9304D"/>
    <w:rsid w:val="00D94745"/>
    <w:rsid w:val="00D95DFF"/>
    <w:rsid w:val="00D963D5"/>
    <w:rsid w:val="00D96AF5"/>
    <w:rsid w:val="00DA41B2"/>
    <w:rsid w:val="00DA5D06"/>
    <w:rsid w:val="00DA7B20"/>
    <w:rsid w:val="00DB4FF5"/>
    <w:rsid w:val="00DB5727"/>
    <w:rsid w:val="00DC1DED"/>
    <w:rsid w:val="00DC52BC"/>
    <w:rsid w:val="00DC621D"/>
    <w:rsid w:val="00DC6A98"/>
    <w:rsid w:val="00DC6EF8"/>
    <w:rsid w:val="00DC7245"/>
    <w:rsid w:val="00DC730A"/>
    <w:rsid w:val="00DD12FC"/>
    <w:rsid w:val="00DD4A81"/>
    <w:rsid w:val="00DD69AF"/>
    <w:rsid w:val="00DE10C4"/>
    <w:rsid w:val="00DE130A"/>
    <w:rsid w:val="00DE1F21"/>
    <w:rsid w:val="00DE38B2"/>
    <w:rsid w:val="00DF2C9A"/>
    <w:rsid w:val="00DF5291"/>
    <w:rsid w:val="00DF6AC1"/>
    <w:rsid w:val="00E03B66"/>
    <w:rsid w:val="00E05572"/>
    <w:rsid w:val="00E16292"/>
    <w:rsid w:val="00E166FD"/>
    <w:rsid w:val="00E25706"/>
    <w:rsid w:val="00E25BDD"/>
    <w:rsid w:val="00E264BB"/>
    <w:rsid w:val="00E276DF"/>
    <w:rsid w:val="00E30596"/>
    <w:rsid w:val="00E33434"/>
    <w:rsid w:val="00E41CE8"/>
    <w:rsid w:val="00E41EA6"/>
    <w:rsid w:val="00E43C23"/>
    <w:rsid w:val="00E45E6A"/>
    <w:rsid w:val="00E50A42"/>
    <w:rsid w:val="00E5197A"/>
    <w:rsid w:val="00E54FA5"/>
    <w:rsid w:val="00E56D64"/>
    <w:rsid w:val="00E61081"/>
    <w:rsid w:val="00E65B9D"/>
    <w:rsid w:val="00E6777A"/>
    <w:rsid w:val="00E7122F"/>
    <w:rsid w:val="00E71CE6"/>
    <w:rsid w:val="00E71E16"/>
    <w:rsid w:val="00E76641"/>
    <w:rsid w:val="00E851E8"/>
    <w:rsid w:val="00E86DF2"/>
    <w:rsid w:val="00E879EC"/>
    <w:rsid w:val="00E934B6"/>
    <w:rsid w:val="00E95703"/>
    <w:rsid w:val="00EA0297"/>
    <w:rsid w:val="00EA2C29"/>
    <w:rsid w:val="00EA3F05"/>
    <w:rsid w:val="00EA5E85"/>
    <w:rsid w:val="00EB0B07"/>
    <w:rsid w:val="00EB144E"/>
    <w:rsid w:val="00EB17D3"/>
    <w:rsid w:val="00EB1B82"/>
    <w:rsid w:val="00EB635D"/>
    <w:rsid w:val="00EB6AA6"/>
    <w:rsid w:val="00EC2653"/>
    <w:rsid w:val="00EC38E3"/>
    <w:rsid w:val="00EC70BC"/>
    <w:rsid w:val="00ED018E"/>
    <w:rsid w:val="00ED07AD"/>
    <w:rsid w:val="00ED3B36"/>
    <w:rsid w:val="00EE55F9"/>
    <w:rsid w:val="00EE62A5"/>
    <w:rsid w:val="00EE63DE"/>
    <w:rsid w:val="00F03754"/>
    <w:rsid w:val="00F11454"/>
    <w:rsid w:val="00F14302"/>
    <w:rsid w:val="00F221FC"/>
    <w:rsid w:val="00F24025"/>
    <w:rsid w:val="00F30542"/>
    <w:rsid w:val="00F35CAE"/>
    <w:rsid w:val="00F36EE7"/>
    <w:rsid w:val="00F4468A"/>
    <w:rsid w:val="00F45F1C"/>
    <w:rsid w:val="00F57AFC"/>
    <w:rsid w:val="00F627E4"/>
    <w:rsid w:val="00F65DBD"/>
    <w:rsid w:val="00F669B9"/>
    <w:rsid w:val="00F725AC"/>
    <w:rsid w:val="00F773E6"/>
    <w:rsid w:val="00F80CEE"/>
    <w:rsid w:val="00F81F36"/>
    <w:rsid w:val="00F8493C"/>
    <w:rsid w:val="00F85468"/>
    <w:rsid w:val="00F86A45"/>
    <w:rsid w:val="00F86BC7"/>
    <w:rsid w:val="00F9202F"/>
    <w:rsid w:val="00F92AA4"/>
    <w:rsid w:val="00FA0F52"/>
    <w:rsid w:val="00FA6B1E"/>
    <w:rsid w:val="00FB4165"/>
    <w:rsid w:val="00FB59A0"/>
    <w:rsid w:val="00FC42BD"/>
    <w:rsid w:val="00FD0D76"/>
    <w:rsid w:val="00FD2E9B"/>
    <w:rsid w:val="00FE065B"/>
    <w:rsid w:val="00FE17D2"/>
    <w:rsid w:val="00FE4133"/>
    <w:rsid w:val="00FF39DB"/>
    <w:rsid w:val="00FF6D2A"/>
    <w:rsid w:val="00FF71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E1F9935E-2E9F-4B13-8260-886E8E0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footnotes">
    <w:name w:val="footnotes"/>
    <w:basedOn w:val="Normal"/>
    <w:rsid w:val="00345CED"/>
    <w:pPr>
      <w:tabs>
        <w:tab w:val="right" w:pos="397"/>
        <w:tab w:val="left" w:pos="567"/>
      </w:tabs>
      <w:adjustRightInd w:val="0"/>
      <w:ind w:left="567" w:hanging="567"/>
      <w:jc w:val="both"/>
      <w:textAlignment w:val="baseline"/>
    </w:pPr>
    <w:rPr>
      <w:rFonts w:ascii="Verdana" w:hAnsi="Verdana"/>
      <w:sz w:val="16"/>
      <w:szCs w:val="20"/>
      <w:lang w:val="en-US" w:eastAsia="en-ZA"/>
    </w:rPr>
  </w:style>
  <w:style w:type="character" w:customStyle="1" w:styleId="apple-converted-space">
    <w:name w:val="apple-converted-space"/>
    <w:basedOn w:val="DefaultParagraphFont"/>
    <w:rsid w:val="00CD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463887362">
      <w:bodyDiv w:val="1"/>
      <w:marLeft w:val="0"/>
      <w:marRight w:val="0"/>
      <w:marTop w:val="0"/>
      <w:marBottom w:val="0"/>
      <w:divBdr>
        <w:top w:val="none" w:sz="0" w:space="0" w:color="auto"/>
        <w:left w:val="none" w:sz="0" w:space="0" w:color="auto"/>
        <w:bottom w:val="none" w:sz="0" w:space="0" w:color="auto"/>
        <w:right w:val="none" w:sz="0" w:space="0" w:color="auto"/>
      </w:divBdr>
      <w:divsChild>
        <w:div w:id="850796764">
          <w:marLeft w:val="0"/>
          <w:marRight w:val="0"/>
          <w:marTop w:val="120"/>
          <w:marBottom w:val="0"/>
          <w:divBdr>
            <w:top w:val="none" w:sz="0" w:space="0" w:color="auto"/>
            <w:left w:val="none" w:sz="0" w:space="0" w:color="auto"/>
            <w:bottom w:val="none" w:sz="0" w:space="0" w:color="auto"/>
            <w:right w:val="none" w:sz="0" w:space="0" w:color="auto"/>
          </w:divBdr>
        </w:div>
      </w:divsChild>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822624161">
      <w:bodyDiv w:val="1"/>
      <w:marLeft w:val="0"/>
      <w:marRight w:val="0"/>
      <w:marTop w:val="0"/>
      <w:marBottom w:val="0"/>
      <w:divBdr>
        <w:top w:val="none" w:sz="0" w:space="0" w:color="auto"/>
        <w:left w:val="none" w:sz="0" w:space="0" w:color="auto"/>
        <w:bottom w:val="none" w:sz="0" w:space="0" w:color="auto"/>
        <w:right w:val="none" w:sz="0" w:space="0" w:color="auto"/>
      </w:divBdr>
      <w:divsChild>
        <w:div w:id="1073314101">
          <w:marLeft w:val="0"/>
          <w:marRight w:val="0"/>
          <w:marTop w:val="120"/>
          <w:marBottom w:val="0"/>
          <w:divBdr>
            <w:top w:val="none" w:sz="0" w:space="0" w:color="auto"/>
            <w:left w:val="none" w:sz="0" w:space="0" w:color="auto"/>
            <w:bottom w:val="none" w:sz="0" w:space="0" w:color="auto"/>
            <w:right w:val="none" w:sz="0" w:space="0" w:color="auto"/>
          </w:divBdr>
        </w:div>
        <w:div w:id="148712595">
          <w:marLeft w:val="0"/>
          <w:marRight w:val="0"/>
          <w:marTop w:val="120"/>
          <w:marBottom w:val="0"/>
          <w:divBdr>
            <w:top w:val="none" w:sz="0" w:space="0" w:color="auto"/>
            <w:left w:val="none" w:sz="0" w:space="0" w:color="auto"/>
            <w:bottom w:val="none" w:sz="0" w:space="0" w:color="auto"/>
            <w:right w:val="none" w:sz="0" w:space="0" w:color="auto"/>
          </w:divBdr>
        </w:div>
        <w:div w:id="708187907">
          <w:marLeft w:val="0"/>
          <w:marRight w:val="0"/>
          <w:marTop w:val="60"/>
          <w:marBottom w:val="0"/>
          <w:divBdr>
            <w:top w:val="none" w:sz="0" w:space="0" w:color="auto"/>
            <w:left w:val="none" w:sz="0" w:space="0" w:color="auto"/>
            <w:bottom w:val="none" w:sz="0" w:space="0" w:color="auto"/>
            <w:right w:val="none" w:sz="0" w:space="0" w:color="auto"/>
          </w:divBdr>
        </w:div>
        <w:div w:id="1729719204">
          <w:marLeft w:val="0"/>
          <w:marRight w:val="0"/>
          <w:marTop w:val="60"/>
          <w:marBottom w:val="0"/>
          <w:divBdr>
            <w:top w:val="none" w:sz="0" w:space="0" w:color="auto"/>
            <w:left w:val="none" w:sz="0" w:space="0" w:color="auto"/>
            <w:bottom w:val="none" w:sz="0" w:space="0" w:color="auto"/>
            <w:right w:val="none" w:sz="0" w:space="0" w:color="auto"/>
          </w:divBdr>
        </w:div>
        <w:div w:id="518784028">
          <w:marLeft w:val="0"/>
          <w:marRight w:val="0"/>
          <w:marTop w:val="60"/>
          <w:marBottom w:val="0"/>
          <w:divBdr>
            <w:top w:val="none" w:sz="0" w:space="0" w:color="auto"/>
            <w:left w:val="none" w:sz="0" w:space="0" w:color="auto"/>
            <w:bottom w:val="none" w:sz="0" w:space="0" w:color="auto"/>
            <w:right w:val="none" w:sz="0" w:space="0" w:color="auto"/>
          </w:divBdr>
        </w:div>
      </w:divsChild>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A33E-6AC7-42FB-BECF-0C5EE2BD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TotalTime>
  <Pages>8</Pages>
  <Words>1573</Words>
  <Characters>7900</Characters>
  <Application>Microsoft Office Word</Application>
  <DocSecurity>0</DocSecurity>
  <Lines>146</Lines>
  <Paragraphs>45</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2023-10-13T11:02:00Z</cp:lastPrinted>
  <dcterms:created xsi:type="dcterms:W3CDTF">2023-10-17T11:28:00Z</dcterms:created>
  <dcterms:modified xsi:type="dcterms:W3CDTF">2023-10-17T11:28:00Z</dcterms:modified>
</cp:coreProperties>
</file>