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81421" w14:textId="568409F3" w:rsidR="006C43D7" w:rsidRPr="006C43D7" w:rsidRDefault="006C43D7" w:rsidP="00C74E97">
      <w:pPr>
        <w:spacing w:after="120" w:line="360" w:lineRule="auto"/>
        <w:jc w:val="center"/>
        <w:rPr>
          <w:rFonts w:cs="Arial"/>
          <w:b/>
          <w:bCs/>
        </w:rPr>
      </w:pPr>
      <w:r w:rsidRPr="006C43D7">
        <w:rPr>
          <w:rFonts w:cs="Arial"/>
          <w:b/>
          <w:bCs/>
          <w:noProof/>
          <w:lang w:val="en-US"/>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793913" w:rsidRDefault="006C43D7" w:rsidP="00C74E97">
      <w:pPr>
        <w:spacing w:line="360" w:lineRule="auto"/>
        <w:jc w:val="center"/>
        <w:rPr>
          <w:b/>
          <w:szCs w:val="22"/>
        </w:rPr>
      </w:pPr>
      <w:r w:rsidRPr="00793913">
        <w:rPr>
          <w:b/>
          <w:szCs w:val="22"/>
        </w:rPr>
        <w:t xml:space="preserve">IN THE HIGH COURT OF SOUTH AFRICA, </w:t>
      </w:r>
    </w:p>
    <w:p w14:paraId="566C4D1B" w14:textId="77777777" w:rsidR="006C43D7" w:rsidRPr="00793913" w:rsidRDefault="006C43D7" w:rsidP="00C74E97">
      <w:pPr>
        <w:spacing w:line="360" w:lineRule="auto"/>
        <w:jc w:val="center"/>
        <w:rPr>
          <w:b/>
          <w:szCs w:val="22"/>
        </w:rPr>
      </w:pPr>
      <w:r w:rsidRPr="00793913">
        <w:rPr>
          <w:b/>
          <w:szCs w:val="22"/>
        </w:rPr>
        <w:t>GAUTENG DIVISION, JOHANNESBURG</w:t>
      </w:r>
    </w:p>
    <w:p w14:paraId="13D6E83E" w14:textId="77777777" w:rsidR="006C43D7" w:rsidRPr="00793913" w:rsidRDefault="006C43D7" w:rsidP="00C74E97">
      <w:pPr>
        <w:spacing w:line="360" w:lineRule="auto"/>
        <w:jc w:val="both"/>
        <w:rPr>
          <w:b/>
          <w:szCs w:val="22"/>
        </w:rPr>
      </w:pPr>
    </w:p>
    <w:p w14:paraId="3698476C" w14:textId="219263F3" w:rsidR="006C43D7" w:rsidRPr="00793913" w:rsidRDefault="006C43D7" w:rsidP="00C74E97">
      <w:pPr>
        <w:spacing w:line="360" w:lineRule="auto"/>
        <w:jc w:val="right"/>
        <w:rPr>
          <w:b/>
          <w:szCs w:val="22"/>
        </w:rPr>
      </w:pPr>
      <w:r w:rsidRPr="00793913">
        <w:rPr>
          <w:b/>
          <w:szCs w:val="22"/>
        </w:rPr>
        <w:t xml:space="preserve">CASE NO: </w:t>
      </w:r>
      <w:r w:rsidR="008C7019" w:rsidRPr="00793913">
        <w:rPr>
          <w:b/>
          <w:szCs w:val="22"/>
        </w:rPr>
        <w:t>202</w:t>
      </w:r>
      <w:r w:rsidR="00665624" w:rsidRPr="00793913">
        <w:rPr>
          <w:b/>
          <w:szCs w:val="22"/>
        </w:rPr>
        <w:t xml:space="preserve">2 </w:t>
      </w:r>
      <w:r w:rsidR="00A408C1" w:rsidRPr="00793913">
        <w:rPr>
          <w:b/>
          <w:szCs w:val="22"/>
        </w:rPr>
        <w:t xml:space="preserve">/ </w:t>
      </w:r>
      <w:r w:rsidR="00665624" w:rsidRPr="00793913">
        <w:rPr>
          <w:b/>
          <w:szCs w:val="22"/>
        </w:rPr>
        <w:t>031631</w:t>
      </w:r>
    </w:p>
    <w:p w14:paraId="0AF8DD38" w14:textId="77777777" w:rsidR="006C43D7" w:rsidRPr="00793913" w:rsidRDefault="006C43D7" w:rsidP="00C74E97">
      <w:pPr>
        <w:spacing w:line="360" w:lineRule="auto"/>
        <w:jc w:val="right"/>
        <w:rPr>
          <w:szCs w:val="22"/>
        </w:rPr>
      </w:pPr>
      <w:r w:rsidRPr="00793913">
        <w:rPr>
          <w:noProof/>
          <w:szCs w:val="22"/>
          <w:lang w:val="en-US"/>
        </w:rPr>
        <mc:AlternateContent>
          <mc:Choice Requires="wps">
            <w:drawing>
              <wp:anchor distT="0" distB="0" distL="114300" distR="114300" simplePos="0" relativeHeight="251659264" behindDoc="0" locked="0" layoutInCell="1" allowOverlap="1" wp14:anchorId="2E430887" wp14:editId="55507A88">
                <wp:simplePos x="0" y="0"/>
                <wp:positionH relativeFrom="margin">
                  <wp:align>left</wp:align>
                </wp:positionH>
                <wp:positionV relativeFrom="paragraph">
                  <wp:posOffset>49304</wp:posOffset>
                </wp:positionV>
                <wp:extent cx="3314700" cy="1592825"/>
                <wp:effectExtent l="0" t="0" r="1905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825"/>
                        </a:xfrm>
                        <a:prstGeom prst="rect">
                          <a:avLst/>
                        </a:prstGeom>
                        <a:solidFill>
                          <a:srgbClr val="FFFFFF"/>
                        </a:solidFill>
                        <a:ln w="9525">
                          <a:solidFill>
                            <a:srgbClr val="000000"/>
                          </a:solidFill>
                          <a:miter lim="800000"/>
                          <a:headEnd/>
                          <a:tailEnd/>
                        </a:ln>
                      </wps:spPr>
                      <wps:txbx>
                        <w:txbxContent>
                          <w:p w14:paraId="0EA4B470" w14:textId="77777777" w:rsidR="00D645C6" w:rsidRPr="00913F95" w:rsidRDefault="00D645C6" w:rsidP="006C43D7">
                            <w:pPr>
                              <w:jc w:val="center"/>
                              <w:rPr>
                                <w:rFonts w:ascii="Century Gothic" w:hAnsi="Century Gothic"/>
                                <w:b/>
                                <w:sz w:val="20"/>
                                <w:szCs w:val="20"/>
                              </w:rPr>
                            </w:pPr>
                          </w:p>
                          <w:p w14:paraId="01FDAE28" w14:textId="6230B657" w:rsidR="00D645C6" w:rsidRDefault="00C710C9" w:rsidP="00C710C9">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5C6" w:rsidRPr="001D3CC2">
                              <w:rPr>
                                <w:rFonts w:ascii="Century Gothic" w:hAnsi="Century Gothic"/>
                                <w:sz w:val="20"/>
                                <w:szCs w:val="20"/>
                              </w:rPr>
                              <w:t>REPORTABLE:</w:t>
                            </w:r>
                            <w:r w:rsidR="00665624">
                              <w:rPr>
                                <w:rFonts w:ascii="Century Gothic" w:hAnsi="Century Gothic"/>
                                <w:sz w:val="20"/>
                                <w:szCs w:val="20"/>
                              </w:rPr>
                              <w:t xml:space="preserve"> NO</w:t>
                            </w:r>
                          </w:p>
                          <w:p w14:paraId="3A4C7296" w14:textId="70FAD7AB" w:rsidR="00D645C6" w:rsidRPr="001D3CC2" w:rsidRDefault="00C710C9" w:rsidP="00C710C9">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D645C6" w:rsidRPr="001D3CC2">
                              <w:rPr>
                                <w:rFonts w:ascii="Century Gothic" w:hAnsi="Century Gothic"/>
                                <w:sz w:val="20"/>
                                <w:szCs w:val="20"/>
                              </w:rPr>
                              <w:t>OF INTEREST TO OTHER JUDGES</w:t>
                            </w:r>
                            <w:r w:rsidR="00D645C6">
                              <w:rPr>
                                <w:rFonts w:ascii="Century Gothic" w:hAnsi="Century Gothic"/>
                                <w:sz w:val="20"/>
                                <w:szCs w:val="20"/>
                              </w:rPr>
                              <w:t xml:space="preserve">: </w:t>
                            </w:r>
                            <w:r w:rsidR="00665624">
                              <w:rPr>
                                <w:rFonts w:ascii="Century Gothic" w:hAnsi="Century Gothic"/>
                                <w:sz w:val="20"/>
                                <w:szCs w:val="20"/>
                              </w:rPr>
                              <w:t>NO</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30887" id="_x0000_t202" coordsize="21600,21600" o:spt="202" path="m,l,21600r21600,l21600,xe">
                <v:stroke joinstyle="miter"/>
                <v:path gradientshapeok="t" o:connecttype="rect"/>
              </v:shapetype>
              <v:shape id="Text Box 4"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">
                <v:textbox>
                  <w:txbxContent>
                    <w:p w14:paraId="0EA4B470" w14:textId="77777777" w:rsidR="00D645C6" w:rsidRPr="00913F95" w:rsidRDefault="00D645C6" w:rsidP="006C43D7">
                      <w:pPr>
                        <w:jc w:val="center"/>
                        <w:rPr>
                          <w:rFonts w:ascii="Century Gothic" w:hAnsi="Century Gothic"/>
                          <w:b/>
                          <w:sz w:val="20"/>
                          <w:szCs w:val="20"/>
                        </w:rPr>
                      </w:pPr>
                    </w:p>
                    <w:p w14:paraId="01FDAE28" w14:textId="6230B657" w:rsidR="00D645C6" w:rsidRDefault="00C710C9" w:rsidP="00C710C9">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5C6" w:rsidRPr="001D3CC2">
                        <w:rPr>
                          <w:rFonts w:ascii="Century Gothic" w:hAnsi="Century Gothic"/>
                          <w:sz w:val="20"/>
                          <w:szCs w:val="20"/>
                        </w:rPr>
                        <w:t>REPORTABLE:</w:t>
                      </w:r>
                      <w:r w:rsidR="00665624">
                        <w:rPr>
                          <w:rFonts w:ascii="Century Gothic" w:hAnsi="Century Gothic"/>
                          <w:sz w:val="20"/>
                          <w:szCs w:val="20"/>
                        </w:rPr>
                        <w:t xml:space="preserve"> NO</w:t>
                      </w:r>
                    </w:p>
                    <w:p w14:paraId="3A4C7296" w14:textId="70FAD7AB" w:rsidR="00D645C6" w:rsidRPr="001D3CC2" w:rsidRDefault="00C710C9" w:rsidP="00C710C9">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D645C6" w:rsidRPr="001D3CC2">
                        <w:rPr>
                          <w:rFonts w:ascii="Century Gothic" w:hAnsi="Century Gothic"/>
                          <w:sz w:val="20"/>
                          <w:szCs w:val="20"/>
                        </w:rPr>
                        <w:t>OF INTEREST TO OTHER JUDGES</w:t>
                      </w:r>
                      <w:r w:rsidR="00D645C6">
                        <w:rPr>
                          <w:rFonts w:ascii="Century Gothic" w:hAnsi="Century Gothic"/>
                          <w:sz w:val="20"/>
                          <w:szCs w:val="20"/>
                        </w:rPr>
                        <w:t xml:space="preserve">: </w:t>
                      </w:r>
                      <w:r w:rsidR="00665624">
                        <w:rPr>
                          <w:rFonts w:ascii="Century Gothic" w:hAnsi="Century Gothic"/>
                          <w:sz w:val="20"/>
                          <w:szCs w:val="20"/>
                        </w:rPr>
                        <w:t>NO</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084B5ECD" w14:textId="77777777" w:rsidR="006C43D7" w:rsidRPr="00793913" w:rsidRDefault="006C43D7" w:rsidP="00C74E97">
      <w:pPr>
        <w:spacing w:line="360" w:lineRule="auto"/>
        <w:jc w:val="both"/>
        <w:rPr>
          <w:szCs w:val="22"/>
        </w:rPr>
      </w:pPr>
    </w:p>
    <w:p w14:paraId="4E808D74" w14:textId="77777777" w:rsidR="006C43D7" w:rsidRPr="00793913" w:rsidRDefault="006C43D7" w:rsidP="00C74E97">
      <w:pPr>
        <w:spacing w:line="360" w:lineRule="auto"/>
        <w:jc w:val="both"/>
        <w:rPr>
          <w:szCs w:val="22"/>
        </w:rPr>
      </w:pPr>
    </w:p>
    <w:p w14:paraId="34BF70B6" w14:textId="77777777" w:rsidR="006C43D7" w:rsidRPr="00793913" w:rsidRDefault="006C43D7" w:rsidP="00C74E97">
      <w:pPr>
        <w:spacing w:line="360" w:lineRule="auto"/>
        <w:jc w:val="both"/>
        <w:rPr>
          <w:szCs w:val="22"/>
        </w:rPr>
      </w:pPr>
    </w:p>
    <w:p w14:paraId="2F53BA3A" w14:textId="77777777" w:rsidR="006C43D7" w:rsidRPr="00793913" w:rsidRDefault="006C43D7" w:rsidP="00C74E97">
      <w:pPr>
        <w:spacing w:line="360" w:lineRule="auto"/>
        <w:jc w:val="both"/>
        <w:rPr>
          <w:szCs w:val="22"/>
        </w:rPr>
      </w:pPr>
    </w:p>
    <w:p w14:paraId="3A1C212E" w14:textId="77777777" w:rsidR="006C43D7" w:rsidRPr="00793913" w:rsidRDefault="006C43D7" w:rsidP="00C74E97">
      <w:pPr>
        <w:spacing w:line="360" w:lineRule="auto"/>
        <w:jc w:val="both"/>
        <w:rPr>
          <w:szCs w:val="22"/>
        </w:rPr>
      </w:pPr>
    </w:p>
    <w:p w14:paraId="04919B1B" w14:textId="77777777" w:rsidR="001D3CC2" w:rsidRPr="00793913" w:rsidRDefault="001D3CC2" w:rsidP="00C74E97">
      <w:pPr>
        <w:spacing w:line="360" w:lineRule="auto"/>
        <w:jc w:val="both"/>
        <w:rPr>
          <w:rFonts w:cs="Arial"/>
          <w:szCs w:val="22"/>
        </w:rPr>
      </w:pPr>
    </w:p>
    <w:p w14:paraId="045D3852" w14:textId="77777777" w:rsidR="00E57446" w:rsidRPr="00793913" w:rsidRDefault="00E57446" w:rsidP="00C74E97">
      <w:pPr>
        <w:spacing w:line="360" w:lineRule="auto"/>
        <w:jc w:val="both"/>
        <w:rPr>
          <w:rFonts w:cs="Arial"/>
          <w:szCs w:val="22"/>
        </w:rPr>
      </w:pPr>
      <w:bookmarkStart w:id="0" w:name="_Hlk137101343"/>
    </w:p>
    <w:p w14:paraId="2804C32A" w14:textId="6C8D50AF" w:rsidR="00E57446" w:rsidRPr="00793913" w:rsidRDefault="00E57446" w:rsidP="00C74E97">
      <w:pPr>
        <w:spacing w:line="360" w:lineRule="auto"/>
        <w:jc w:val="both"/>
        <w:rPr>
          <w:rFonts w:cs="Arial"/>
          <w:szCs w:val="22"/>
        </w:rPr>
      </w:pPr>
      <w:r w:rsidRPr="00793913">
        <w:rPr>
          <w:rFonts w:cs="Arial"/>
          <w:szCs w:val="22"/>
        </w:rPr>
        <w:t>In the application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5"/>
        <w:gridCol w:w="2246"/>
      </w:tblGrid>
      <w:tr w:rsidR="00E57446" w:rsidRPr="00793913" w14:paraId="4CBFF906" w14:textId="77777777" w:rsidTr="00F013A6">
        <w:tc>
          <w:tcPr>
            <w:tcW w:w="6305" w:type="dxa"/>
          </w:tcPr>
          <w:p w14:paraId="07466740" w14:textId="5B6D6385" w:rsidR="00E57446" w:rsidRPr="00793913" w:rsidRDefault="00665624" w:rsidP="00F013A6">
            <w:pPr>
              <w:spacing w:line="360" w:lineRule="auto"/>
              <w:jc w:val="both"/>
              <w:rPr>
                <w:rFonts w:cs="Arial"/>
                <w:b/>
                <w:szCs w:val="22"/>
              </w:rPr>
            </w:pPr>
            <w:r w:rsidRPr="00793913">
              <w:rPr>
                <w:rFonts w:cs="Arial"/>
                <w:b/>
                <w:szCs w:val="22"/>
              </w:rPr>
              <w:t>PRIOSTE, MARIA DA CONCEICAO FREITAS</w:t>
            </w:r>
          </w:p>
        </w:tc>
        <w:tc>
          <w:tcPr>
            <w:tcW w:w="2246" w:type="dxa"/>
          </w:tcPr>
          <w:p w14:paraId="32F3C456" w14:textId="4542077E" w:rsidR="00E57446" w:rsidRPr="00793913" w:rsidRDefault="00E57446" w:rsidP="00F013A6">
            <w:pPr>
              <w:spacing w:line="360" w:lineRule="auto"/>
              <w:rPr>
                <w:rFonts w:cs="Arial"/>
                <w:szCs w:val="22"/>
              </w:rPr>
            </w:pPr>
            <w:r w:rsidRPr="00793913">
              <w:rPr>
                <w:rFonts w:cs="Arial"/>
                <w:szCs w:val="22"/>
              </w:rPr>
              <w:t>Applicant</w:t>
            </w:r>
          </w:p>
        </w:tc>
      </w:tr>
      <w:tr w:rsidR="00E57446" w:rsidRPr="00793913" w14:paraId="582D8E94" w14:textId="77777777" w:rsidTr="00F013A6">
        <w:tc>
          <w:tcPr>
            <w:tcW w:w="6305" w:type="dxa"/>
          </w:tcPr>
          <w:p w14:paraId="7BC13697" w14:textId="77777777" w:rsidR="00E57446" w:rsidRPr="00793913" w:rsidRDefault="00E57446" w:rsidP="00F013A6">
            <w:pPr>
              <w:spacing w:line="360" w:lineRule="auto"/>
              <w:jc w:val="both"/>
              <w:rPr>
                <w:szCs w:val="22"/>
              </w:rPr>
            </w:pPr>
            <w:r w:rsidRPr="00793913">
              <w:rPr>
                <w:szCs w:val="22"/>
              </w:rPr>
              <w:t xml:space="preserve">and  </w:t>
            </w:r>
          </w:p>
        </w:tc>
        <w:tc>
          <w:tcPr>
            <w:tcW w:w="2246" w:type="dxa"/>
          </w:tcPr>
          <w:p w14:paraId="3E582FC6" w14:textId="77777777" w:rsidR="00E57446" w:rsidRPr="00793913" w:rsidRDefault="00E57446" w:rsidP="00F013A6">
            <w:pPr>
              <w:spacing w:line="360" w:lineRule="auto"/>
              <w:jc w:val="right"/>
              <w:rPr>
                <w:rFonts w:cs="Arial"/>
                <w:szCs w:val="22"/>
              </w:rPr>
            </w:pPr>
          </w:p>
        </w:tc>
      </w:tr>
      <w:tr w:rsidR="00E57446" w:rsidRPr="00793913" w14:paraId="143F83E0" w14:textId="77777777" w:rsidTr="00F013A6">
        <w:tc>
          <w:tcPr>
            <w:tcW w:w="6305" w:type="dxa"/>
          </w:tcPr>
          <w:p w14:paraId="66C3A0D3" w14:textId="7559EEE6" w:rsidR="00E57446" w:rsidRPr="00793913" w:rsidRDefault="00665624" w:rsidP="00F013A6">
            <w:pPr>
              <w:spacing w:line="360" w:lineRule="auto"/>
              <w:jc w:val="both"/>
              <w:rPr>
                <w:b/>
                <w:szCs w:val="22"/>
              </w:rPr>
            </w:pPr>
            <w:r w:rsidRPr="00793913">
              <w:rPr>
                <w:b/>
                <w:szCs w:val="22"/>
              </w:rPr>
              <w:t>EDELSTEIN FABER GROBLER INC</w:t>
            </w:r>
          </w:p>
        </w:tc>
        <w:tc>
          <w:tcPr>
            <w:tcW w:w="2246" w:type="dxa"/>
          </w:tcPr>
          <w:p w14:paraId="79FDAF6B" w14:textId="155244AA" w:rsidR="00E57446" w:rsidRPr="00793913" w:rsidRDefault="008C7019" w:rsidP="00F013A6">
            <w:pPr>
              <w:spacing w:line="360" w:lineRule="auto"/>
              <w:rPr>
                <w:rFonts w:cs="Arial"/>
                <w:szCs w:val="22"/>
              </w:rPr>
            </w:pPr>
            <w:r w:rsidRPr="00793913">
              <w:rPr>
                <w:rFonts w:cs="Arial"/>
                <w:szCs w:val="22"/>
              </w:rPr>
              <w:t xml:space="preserve">First </w:t>
            </w:r>
            <w:r w:rsidR="00E57446" w:rsidRPr="00793913">
              <w:rPr>
                <w:rFonts w:cs="Arial"/>
                <w:szCs w:val="22"/>
              </w:rPr>
              <w:t>Respondent</w:t>
            </w:r>
          </w:p>
        </w:tc>
      </w:tr>
      <w:tr w:rsidR="008C7019" w:rsidRPr="00793913" w14:paraId="77CF61B5" w14:textId="77777777" w:rsidTr="00F013A6">
        <w:tc>
          <w:tcPr>
            <w:tcW w:w="6305" w:type="dxa"/>
          </w:tcPr>
          <w:p w14:paraId="7D5559A9" w14:textId="1A5D57CA" w:rsidR="008C7019" w:rsidRPr="00793913" w:rsidRDefault="00665624" w:rsidP="00F013A6">
            <w:pPr>
              <w:spacing w:line="360" w:lineRule="auto"/>
              <w:jc w:val="both"/>
              <w:rPr>
                <w:b/>
                <w:szCs w:val="22"/>
              </w:rPr>
            </w:pPr>
            <w:r w:rsidRPr="00793913">
              <w:rPr>
                <w:b/>
                <w:szCs w:val="22"/>
              </w:rPr>
              <w:t>GROBLER, RONEL</w:t>
            </w:r>
          </w:p>
        </w:tc>
        <w:tc>
          <w:tcPr>
            <w:tcW w:w="2246" w:type="dxa"/>
          </w:tcPr>
          <w:p w14:paraId="4E5D9950" w14:textId="537AFF21" w:rsidR="008C7019" w:rsidRPr="00793913" w:rsidRDefault="008C7019" w:rsidP="00F013A6">
            <w:pPr>
              <w:spacing w:line="360" w:lineRule="auto"/>
              <w:rPr>
                <w:rFonts w:cs="Arial"/>
                <w:szCs w:val="22"/>
              </w:rPr>
            </w:pPr>
            <w:r w:rsidRPr="00793913">
              <w:rPr>
                <w:rFonts w:cs="Arial"/>
                <w:szCs w:val="22"/>
              </w:rPr>
              <w:t>Second Respondent</w:t>
            </w:r>
          </w:p>
        </w:tc>
      </w:tr>
    </w:tbl>
    <w:p w14:paraId="25A9B909" w14:textId="77777777" w:rsidR="00C1108E" w:rsidRPr="00793913" w:rsidRDefault="00C1108E" w:rsidP="00C1108E">
      <w:pPr>
        <w:spacing w:line="360" w:lineRule="auto"/>
        <w:jc w:val="both"/>
        <w:rPr>
          <w:b/>
          <w:szCs w:val="22"/>
        </w:rPr>
      </w:pPr>
    </w:p>
    <w:bookmarkEnd w:id="0"/>
    <w:p w14:paraId="73A7E259" w14:textId="77777777" w:rsidR="00C1108E" w:rsidRPr="00793913" w:rsidRDefault="00C1108E" w:rsidP="00C74E97">
      <w:pPr>
        <w:pBdr>
          <w:bottom w:val="single" w:sz="4" w:space="1" w:color="auto"/>
        </w:pBdr>
        <w:spacing w:line="360" w:lineRule="auto"/>
        <w:jc w:val="both"/>
        <w:rPr>
          <w:rFonts w:cs="Arial"/>
          <w:szCs w:val="22"/>
        </w:rPr>
      </w:pPr>
    </w:p>
    <w:p w14:paraId="58DE5549" w14:textId="77777777" w:rsidR="006C43D7" w:rsidRPr="00793913" w:rsidRDefault="006C43D7" w:rsidP="00C74E97">
      <w:pPr>
        <w:spacing w:line="360" w:lineRule="auto"/>
        <w:jc w:val="both"/>
        <w:rPr>
          <w:rFonts w:cs="Arial"/>
          <w:szCs w:val="22"/>
        </w:rPr>
      </w:pPr>
    </w:p>
    <w:p w14:paraId="647AB70C" w14:textId="77777777" w:rsidR="006C43D7" w:rsidRPr="00793913" w:rsidRDefault="006C43D7" w:rsidP="00C74E97">
      <w:pPr>
        <w:keepNext/>
        <w:spacing w:line="360" w:lineRule="auto"/>
        <w:jc w:val="center"/>
        <w:outlineLvl w:val="1"/>
        <w:rPr>
          <w:rFonts w:cs="Arial"/>
          <w:b/>
          <w:bCs/>
          <w:szCs w:val="22"/>
        </w:rPr>
      </w:pPr>
      <w:r w:rsidRPr="00793913">
        <w:rPr>
          <w:rFonts w:cs="Arial"/>
          <w:b/>
          <w:bCs/>
          <w:szCs w:val="22"/>
        </w:rPr>
        <w:t>JUDGMENT</w:t>
      </w:r>
    </w:p>
    <w:p w14:paraId="52CD25EB" w14:textId="77777777" w:rsidR="006C43D7" w:rsidRPr="00793913" w:rsidRDefault="006C43D7" w:rsidP="00C74E97">
      <w:pPr>
        <w:pBdr>
          <w:bottom w:val="single" w:sz="4" w:space="1" w:color="auto"/>
        </w:pBdr>
        <w:spacing w:line="360" w:lineRule="auto"/>
        <w:jc w:val="both"/>
        <w:rPr>
          <w:rFonts w:cs="Arial"/>
          <w:szCs w:val="22"/>
        </w:rPr>
      </w:pPr>
    </w:p>
    <w:p w14:paraId="0CA76DA1" w14:textId="77777777" w:rsidR="00DC621D" w:rsidRPr="00793913" w:rsidRDefault="00DC621D" w:rsidP="00C74E97">
      <w:pPr>
        <w:spacing w:line="360" w:lineRule="auto"/>
        <w:jc w:val="both"/>
        <w:rPr>
          <w:rFonts w:cs="Arial"/>
          <w:b/>
          <w:szCs w:val="22"/>
        </w:rPr>
      </w:pPr>
    </w:p>
    <w:p w14:paraId="5BD82EFE" w14:textId="0F8FBF70" w:rsidR="00BE6AB8" w:rsidRPr="00793913" w:rsidRDefault="00C676F3" w:rsidP="00C74E97">
      <w:pPr>
        <w:spacing w:after="480" w:line="360" w:lineRule="auto"/>
        <w:jc w:val="both"/>
        <w:rPr>
          <w:rFonts w:cs="Arial"/>
          <w:b/>
          <w:szCs w:val="22"/>
        </w:rPr>
      </w:pPr>
      <w:r w:rsidRPr="00793913">
        <w:rPr>
          <w:rFonts w:cs="Arial"/>
          <w:b/>
          <w:szCs w:val="22"/>
        </w:rPr>
        <w:t>MOORCROFT</w:t>
      </w:r>
      <w:r w:rsidR="006C43D7" w:rsidRPr="00793913">
        <w:rPr>
          <w:rFonts w:cs="Arial"/>
          <w:b/>
          <w:szCs w:val="22"/>
        </w:rPr>
        <w:t xml:space="preserve"> AJ:</w:t>
      </w:r>
    </w:p>
    <w:p w14:paraId="09239A78" w14:textId="202EF25D" w:rsidR="00C460A0" w:rsidRPr="00793913" w:rsidRDefault="00C460A0" w:rsidP="00C74E97">
      <w:pPr>
        <w:keepNext/>
        <w:spacing w:after="480" w:line="360" w:lineRule="auto"/>
        <w:jc w:val="both"/>
        <w:rPr>
          <w:rFonts w:cs="Arial"/>
          <w:bCs/>
          <w:i/>
          <w:iCs/>
          <w:szCs w:val="22"/>
          <w:u w:val="single"/>
        </w:rPr>
      </w:pPr>
      <w:r w:rsidRPr="00793913">
        <w:rPr>
          <w:rFonts w:cs="Arial"/>
          <w:bCs/>
          <w:i/>
          <w:iCs/>
          <w:szCs w:val="22"/>
          <w:u w:val="single"/>
        </w:rPr>
        <w:t>Summary</w:t>
      </w:r>
    </w:p>
    <w:p w14:paraId="1082353C" w14:textId="3EC81E0E" w:rsidR="00B61E3E" w:rsidRDefault="00C270D9" w:rsidP="00C270D9">
      <w:pPr>
        <w:spacing w:after="480" w:line="360" w:lineRule="auto"/>
        <w:jc w:val="both"/>
        <w:rPr>
          <w:rFonts w:cs="Arial"/>
          <w:bCs/>
          <w:i/>
          <w:iCs/>
          <w:szCs w:val="22"/>
        </w:rPr>
      </w:pPr>
      <w:r>
        <w:rPr>
          <w:rFonts w:cs="Arial"/>
          <w:bCs/>
          <w:i/>
          <w:iCs/>
          <w:szCs w:val="22"/>
        </w:rPr>
        <w:t xml:space="preserve">Application for leave to appeal </w:t>
      </w:r>
      <w:r w:rsidR="00B61E3E">
        <w:rPr>
          <w:rFonts w:cs="Arial"/>
          <w:bCs/>
          <w:i/>
          <w:iCs/>
          <w:szCs w:val="22"/>
        </w:rPr>
        <w:t>–</w:t>
      </w:r>
      <w:r>
        <w:rPr>
          <w:rFonts w:cs="Arial"/>
          <w:bCs/>
          <w:i/>
          <w:iCs/>
          <w:szCs w:val="22"/>
        </w:rPr>
        <w:t xml:space="preserve"> </w:t>
      </w:r>
      <w:r w:rsidR="00B61E3E">
        <w:rPr>
          <w:rFonts w:cs="Arial"/>
          <w:bCs/>
          <w:i/>
          <w:iCs/>
          <w:szCs w:val="22"/>
        </w:rPr>
        <w:t>Reasonable prospects of success</w:t>
      </w:r>
    </w:p>
    <w:p w14:paraId="5B03FF4F" w14:textId="5EDE81A6" w:rsidR="00920B9A" w:rsidRPr="00793913" w:rsidRDefault="00665624" w:rsidP="00C270D9">
      <w:pPr>
        <w:spacing w:after="480" w:line="360" w:lineRule="auto"/>
        <w:jc w:val="both"/>
        <w:rPr>
          <w:rFonts w:cs="Arial"/>
          <w:bCs/>
          <w:i/>
          <w:iCs/>
          <w:szCs w:val="22"/>
        </w:rPr>
      </w:pPr>
      <w:r w:rsidRPr="00793913">
        <w:rPr>
          <w:rFonts w:cs="Arial"/>
          <w:bCs/>
          <w:i/>
          <w:iCs/>
          <w:szCs w:val="22"/>
        </w:rPr>
        <w:lastRenderedPageBreak/>
        <w:t xml:space="preserve">Mandate </w:t>
      </w:r>
      <w:r w:rsidR="00920B9A">
        <w:rPr>
          <w:rFonts w:cs="Arial"/>
          <w:bCs/>
          <w:i/>
          <w:iCs/>
          <w:szCs w:val="22"/>
        </w:rPr>
        <w:t>–</w:t>
      </w:r>
      <w:r w:rsidRPr="00793913">
        <w:rPr>
          <w:rFonts w:cs="Arial"/>
          <w:bCs/>
          <w:i/>
          <w:iCs/>
          <w:szCs w:val="22"/>
        </w:rPr>
        <w:t xml:space="preserve"> </w:t>
      </w:r>
      <w:r w:rsidR="00920B9A">
        <w:rPr>
          <w:rFonts w:cs="Arial"/>
          <w:bCs/>
          <w:i/>
          <w:iCs/>
          <w:szCs w:val="22"/>
        </w:rPr>
        <w:t xml:space="preserve">Instruction </w:t>
      </w:r>
      <w:r w:rsidR="00B61E3E">
        <w:rPr>
          <w:rFonts w:cs="Arial"/>
          <w:bCs/>
          <w:i/>
          <w:iCs/>
          <w:szCs w:val="22"/>
        </w:rPr>
        <w:t>–</w:t>
      </w:r>
      <w:r w:rsidR="00C270D9">
        <w:rPr>
          <w:rFonts w:cs="Arial"/>
          <w:bCs/>
          <w:i/>
          <w:iCs/>
          <w:szCs w:val="22"/>
        </w:rPr>
        <w:t xml:space="preserve"> </w:t>
      </w:r>
      <w:r w:rsidR="00B61E3E">
        <w:rPr>
          <w:rFonts w:cs="Arial"/>
          <w:bCs/>
          <w:i/>
          <w:iCs/>
          <w:szCs w:val="22"/>
        </w:rPr>
        <w:t>Not irrevocable</w:t>
      </w:r>
    </w:p>
    <w:p w14:paraId="297F2035" w14:textId="77777777" w:rsidR="006A5D95" w:rsidRPr="00793913" w:rsidRDefault="006A5D95" w:rsidP="00C74E97">
      <w:pPr>
        <w:keepNext/>
        <w:spacing w:after="480" w:line="360" w:lineRule="auto"/>
        <w:jc w:val="both"/>
        <w:rPr>
          <w:rFonts w:cs="Arial"/>
          <w:bCs/>
          <w:szCs w:val="22"/>
          <w:u w:val="single"/>
        </w:rPr>
      </w:pPr>
    </w:p>
    <w:p w14:paraId="18AFD427" w14:textId="79ED8E75" w:rsidR="00BE6AB8" w:rsidRPr="00793913" w:rsidRDefault="00BE6AB8" w:rsidP="00A46026">
      <w:pPr>
        <w:keepNext/>
        <w:widowControl w:val="0"/>
        <w:spacing w:after="480" w:line="360" w:lineRule="auto"/>
        <w:jc w:val="both"/>
        <w:rPr>
          <w:rFonts w:cs="Arial"/>
          <w:bCs/>
          <w:szCs w:val="22"/>
          <w:u w:val="single"/>
        </w:rPr>
      </w:pPr>
      <w:r w:rsidRPr="00793913">
        <w:rPr>
          <w:rFonts w:cs="Arial"/>
          <w:bCs/>
          <w:szCs w:val="22"/>
          <w:u w:val="single"/>
        </w:rPr>
        <w:t>Order</w:t>
      </w:r>
    </w:p>
    <w:p w14:paraId="25A66E53" w14:textId="2E904D86" w:rsidR="00DC6EF8" w:rsidRPr="00793913" w:rsidRDefault="00C710C9" w:rsidP="00C710C9">
      <w:pPr>
        <w:widowControl w:val="0"/>
        <w:tabs>
          <w:tab w:val="left" w:pos="567"/>
        </w:tabs>
        <w:spacing w:after="480" w:line="360" w:lineRule="auto"/>
        <w:jc w:val="both"/>
        <w:rPr>
          <w:rFonts w:cs="Arial"/>
          <w:bCs/>
          <w:szCs w:val="22"/>
        </w:rPr>
      </w:pPr>
      <w:r w:rsidRPr="00793913">
        <w:rPr>
          <w:rFonts w:cs="Arial"/>
          <w:bCs/>
          <w:szCs w:val="22"/>
        </w:rPr>
        <w:t>[1]</w:t>
      </w:r>
      <w:r w:rsidRPr="00793913">
        <w:rPr>
          <w:rFonts w:cs="Arial"/>
          <w:bCs/>
          <w:szCs w:val="22"/>
        </w:rPr>
        <w:tab/>
      </w:r>
      <w:r w:rsidR="003B4100" w:rsidRPr="00793913">
        <w:rPr>
          <w:rFonts w:cs="Arial"/>
          <w:bCs/>
          <w:szCs w:val="22"/>
        </w:rPr>
        <w:t xml:space="preserve">In this </w:t>
      </w:r>
      <w:r w:rsidR="00B56906" w:rsidRPr="00793913">
        <w:rPr>
          <w:rFonts w:cs="Arial"/>
          <w:bCs/>
          <w:szCs w:val="22"/>
        </w:rPr>
        <w:t xml:space="preserve">matter </w:t>
      </w:r>
      <w:r w:rsidR="00C460A0" w:rsidRPr="00793913">
        <w:rPr>
          <w:rFonts w:cs="Arial"/>
          <w:bCs/>
          <w:szCs w:val="22"/>
        </w:rPr>
        <w:t>I ma</w:t>
      </w:r>
      <w:r w:rsidR="00665624" w:rsidRPr="00793913">
        <w:rPr>
          <w:rFonts w:cs="Arial"/>
          <w:bCs/>
          <w:szCs w:val="22"/>
        </w:rPr>
        <w:t>k</w:t>
      </w:r>
      <w:r w:rsidR="00DC6EF8" w:rsidRPr="00793913">
        <w:rPr>
          <w:rFonts w:cs="Arial"/>
          <w:bCs/>
          <w:szCs w:val="22"/>
        </w:rPr>
        <w:t>e</w:t>
      </w:r>
      <w:r w:rsidR="00C460A0" w:rsidRPr="00793913">
        <w:rPr>
          <w:rFonts w:cs="Arial"/>
          <w:bCs/>
          <w:szCs w:val="22"/>
        </w:rPr>
        <w:t xml:space="preserve"> the following order</w:t>
      </w:r>
      <w:r w:rsidR="00665624" w:rsidRPr="00793913">
        <w:rPr>
          <w:rFonts w:cs="Arial"/>
          <w:bCs/>
          <w:szCs w:val="22"/>
        </w:rPr>
        <w:t>:</w:t>
      </w:r>
    </w:p>
    <w:p w14:paraId="2CC2AF83" w14:textId="18CA93AF" w:rsidR="00665624" w:rsidRPr="00C710C9" w:rsidRDefault="00C710C9" w:rsidP="00C710C9">
      <w:pPr>
        <w:spacing w:before="120" w:after="120" w:line="360" w:lineRule="auto"/>
        <w:ind w:left="1134" w:hanging="567"/>
        <w:jc w:val="both"/>
        <w:rPr>
          <w:i/>
          <w:iCs/>
          <w:szCs w:val="22"/>
        </w:rPr>
      </w:pPr>
      <w:r w:rsidRPr="00793913">
        <w:rPr>
          <w:i/>
          <w:iCs/>
          <w:szCs w:val="22"/>
        </w:rPr>
        <w:t>1.</w:t>
      </w:r>
      <w:r w:rsidRPr="00793913">
        <w:rPr>
          <w:i/>
          <w:iCs/>
          <w:szCs w:val="22"/>
        </w:rPr>
        <w:tab/>
      </w:r>
      <w:r w:rsidR="0085580A" w:rsidRPr="00C710C9">
        <w:rPr>
          <w:i/>
          <w:iCs/>
          <w:szCs w:val="22"/>
        </w:rPr>
        <w:t xml:space="preserve">The </w:t>
      </w:r>
      <w:r w:rsidR="005B79B2" w:rsidRPr="00C710C9">
        <w:rPr>
          <w:i/>
          <w:iCs/>
          <w:szCs w:val="22"/>
        </w:rPr>
        <w:t>application</w:t>
      </w:r>
      <w:r w:rsidR="00C270D9" w:rsidRPr="00C710C9">
        <w:rPr>
          <w:i/>
          <w:iCs/>
          <w:szCs w:val="22"/>
        </w:rPr>
        <w:t xml:space="preserve"> for leave to appeal</w:t>
      </w:r>
      <w:r w:rsidR="005B79B2" w:rsidRPr="00C710C9">
        <w:rPr>
          <w:i/>
          <w:iCs/>
          <w:szCs w:val="22"/>
        </w:rPr>
        <w:t xml:space="preserve"> is dismissed.</w:t>
      </w:r>
    </w:p>
    <w:p w14:paraId="3AF61580" w14:textId="5AD41A5B" w:rsidR="000264AE" w:rsidRPr="00C710C9" w:rsidRDefault="00C710C9" w:rsidP="00C710C9">
      <w:pPr>
        <w:spacing w:before="120" w:after="120" w:line="360" w:lineRule="auto"/>
        <w:ind w:left="1134" w:hanging="567"/>
        <w:jc w:val="both"/>
        <w:rPr>
          <w:i/>
          <w:iCs/>
          <w:szCs w:val="22"/>
        </w:rPr>
      </w:pPr>
      <w:r w:rsidRPr="00793913">
        <w:rPr>
          <w:i/>
          <w:iCs/>
          <w:szCs w:val="22"/>
        </w:rPr>
        <w:t>2.</w:t>
      </w:r>
      <w:r w:rsidRPr="00793913">
        <w:rPr>
          <w:i/>
          <w:iCs/>
          <w:szCs w:val="22"/>
        </w:rPr>
        <w:tab/>
      </w:r>
      <w:r w:rsidR="0085580A" w:rsidRPr="00C710C9">
        <w:rPr>
          <w:i/>
          <w:iCs/>
          <w:szCs w:val="22"/>
        </w:rPr>
        <w:t xml:space="preserve">The </w:t>
      </w:r>
      <w:r w:rsidR="005B79B2" w:rsidRPr="00C710C9">
        <w:rPr>
          <w:i/>
          <w:iCs/>
          <w:szCs w:val="22"/>
        </w:rPr>
        <w:t xml:space="preserve">applicant </w:t>
      </w:r>
      <w:r w:rsidR="0085580A" w:rsidRPr="00C710C9">
        <w:rPr>
          <w:i/>
          <w:iCs/>
          <w:szCs w:val="22"/>
        </w:rPr>
        <w:t>is ordered to pay the</w:t>
      </w:r>
      <w:r w:rsidR="005B79B2" w:rsidRPr="00C710C9">
        <w:rPr>
          <w:i/>
          <w:iCs/>
          <w:szCs w:val="22"/>
        </w:rPr>
        <w:t xml:space="preserve"> respondents’</w:t>
      </w:r>
      <w:r w:rsidR="0085580A" w:rsidRPr="00C710C9">
        <w:rPr>
          <w:i/>
          <w:iCs/>
          <w:szCs w:val="22"/>
        </w:rPr>
        <w:t xml:space="preserve"> costs.</w:t>
      </w:r>
    </w:p>
    <w:p w14:paraId="08540072" w14:textId="4009CCF8" w:rsidR="00C9310B" w:rsidRPr="00C710C9" w:rsidRDefault="00C710C9" w:rsidP="00C710C9">
      <w:pPr>
        <w:widowControl w:val="0"/>
        <w:tabs>
          <w:tab w:val="left" w:pos="567"/>
        </w:tabs>
        <w:spacing w:before="480" w:after="480" w:line="360" w:lineRule="auto"/>
        <w:jc w:val="both"/>
        <w:rPr>
          <w:rFonts w:cs="Arial"/>
          <w:bCs/>
          <w:szCs w:val="22"/>
          <w:u w:val="single"/>
        </w:rPr>
      </w:pPr>
      <w:r w:rsidRPr="00793913">
        <w:rPr>
          <w:rFonts w:cs="Arial"/>
          <w:bCs/>
          <w:szCs w:val="22"/>
        </w:rPr>
        <w:t>[2]</w:t>
      </w:r>
      <w:r w:rsidRPr="00793913">
        <w:rPr>
          <w:rFonts w:cs="Arial"/>
          <w:bCs/>
          <w:szCs w:val="22"/>
        </w:rPr>
        <w:tab/>
      </w:r>
      <w:r w:rsidR="00573FF9" w:rsidRPr="00C710C9">
        <w:rPr>
          <w:rFonts w:cs="Arial"/>
          <w:bCs/>
          <w:szCs w:val="22"/>
        </w:rPr>
        <w:t xml:space="preserve">The reasons for the order </w:t>
      </w:r>
      <w:r w:rsidR="00A63709" w:rsidRPr="00C710C9">
        <w:rPr>
          <w:rFonts w:cs="Arial"/>
          <w:bCs/>
          <w:szCs w:val="22"/>
        </w:rPr>
        <w:t>follow</w:t>
      </w:r>
      <w:r w:rsidR="00573FF9" w:rsidRPr="00C710C9">
        <w:rPr>
          <w:rFonts w:cs="Arial"/>
          <w:bCs/>
          <w:szCs w:val="22"/>
        </w:rPr>
        <w:t xml:space="preserve"> below.</w:t>
      </w:r>
    </w:p>
    <w:p w14:paraId="3658C913" w14:textId="73DC7682" w:rsidR="00573FF9" w:rsidRPr="00793913" w:rsidRDefault="00D9086C" w:rsidP="00C74E97">
      <w:pPr>
        <w:keepNext/>
        <w:widowControl w:val="0"/>
        <w:spacing w:before="480" w:after="480" w:line="360" w:lineRule="auto"/>
        <w:jc w:val="both"/>
        <w:rPr>
          <w:rFonts w:cs="Arial"/>
          <w:bCs/>
          <w:szCs w:val="22"/>
          <w:u w:val="single"/>
        </w:rPr>
      </w:pPr>
      <w:r w:rsidRPr="00793913">
        <w:rPr>
          <w:rFonts w:cs="Arial"/>
          <w:bCs/>
          <w:szCs w:val="22"/>
          <w:u w:val="single"/>
        </w:rPr>
        <w:t>Introduction</w:t>
      </w:r>
    </w:p>
    <w:p w14:paraId="6767FACC" w14:textId="02FCE1C8" w:rsidR="00C270D9" w:rsidRDefault="00C710C9" w:rsidP="00C710C9">
      <w:pPr>
        <w:widowControl w:val="0"/>
        <w:tabs>
          <w:tab w:val="left" w:pos="567"/>
        </w:tabs>
        <w:spacing w:before="480" w:after="480" w:line="360" w:lineRule="auto"/>
        <w:jc w:val="both"/>
        <w:rPr>
          <w:rFonts w:cs="Arial"/>
          <w:bCs/>
          <w:szCs w:val="22"/>
        </w:rPr>
      </w:pPr>
      <w:r>
        <w:rPr>
          <w:rFonts w:cs="Arial"/>
          <w:bCs/>
          <w:szCs w:val="22"/>
        </w:rPr>
        <w:t>[3]</w:t>
      </w:r>
      <w:r>
        <w:rPr>
          <w:rFonts w:cs="Arial"/>
          <w:bCs/>
          <w:szCs w:val="22"/>
        </w:rPr>
        <w:tab/>
      </w:r>
      <w:r w:rsidR="00AC071D">
        <w:rPr>
          <w:rFonts w:cs="Arial"/>
          <w:bCs/>
          <w:szCs w:val="22"/>
        </w:rPr>
        <w:t>This is an application by the applicant for leave to appeal to the Full Court of the Gauteng Division, Johannesburg</w:t>
      </w:r>
      <w:r w:rsidR="00C54C34">
        <w:rPr>
          <w:rFonts w:cs="Arial"/>
          <w:bCs/>
          <w:szCs w:val="22"/>
        </w:rPr>
        <w:t xml:space="preserve"> against a decision</w:t>
      </w:r>
      <w:r w:rsidR="00C54C34">
        <w:rPr>
          <w:rStyle w:val="FootnoteReference"/>
          <w:rFonts w:cs="Arial"/>
          <w:bCs/>
          <w:szCs w:val="22"/>
        </w:rPr>
        <w:footnoteReference w:id="1"/>
      </w:r>
      <w:r w:rsidR="00C54C34">
        <w:rPr>
          <w:rFonts w:cs="Arial"/>
          <w:bCs/>
          <w:szCs w:val="22"/>
        </w:rPr>
        <w:t xml:space="preserve"> I handed down on 8 June 2023.</w:t>
      </w:r>
    </w:p>
    <w:p w14:paraId="54A3C36C" w14:textId="4130AA2A" w:rsidR="00AC071D" w:rsidRPr="002D0186" w:rsidRDefault="00C710C9" w:rsidP="00C710C9">
      <w:pPr>
        <w:keepNext/>
        <w:widowControl w:val="0"/>
        <w:tabs>
          <w:tab w:val="left" w:pos="567"/>
        </w:tabs>
        <w:spacing w:before="480" w:after="480" w:line="480" w:lineRule="auto"/>
        <w:jc w:val="both"/>
        <w:rPr>
          <w:rFonts w:cs="Arial"/>
          <w:bCs/>
          <w:szCs w:val="22"/>
        </w:rPr>
      </w:pPr>
      <w:r w:rsidRPr="002D0186">
        <w:rPr>
          <w:rFonts w:cs="Arial"/>
          <w:bCs/>
          <w:szCs w:val="22"/>
        </w:rPr>
        <w:t>[4</w:t>
      </w:r>
      <w:bookmarkStart w:id="1" w:name="_GoBack"/>
      <w:bookmarkEnd w:id="1"/>
      <w:r w:rsidRPr="002D0186">
        <w:rPr>
          <w:rFonts w:cs="Arial"/>
          <w:bCs/>
          <w:szCs w:val="22"/>
        </w:rPr>
        <w:t>]</w:t>
      </w:r>
      <w:r w:rsidRPr="002D0186">
        <w:rPr>
          <w:rFonts w:cs="Arial"/>
          <w:bCs/>
          <w:szCs w:val="22"/>
        </w:rPr>
        <w:tab/>
      </w:r>
      <w:r w:rsidR="00AC071D" w:rsidRPr="002D0186">
        <w:rPr>
          <w:rFonts w:eastAsia="Calibri" w:cs="Arial"/>
          <w:szCs w:val="22"/>
        </w:rPr>
        <w:t>Section 17(1)(a)(i) and (ii) of the Superior Courts Act provides that leave to appeal may only be given where the judge or judges concerned are of the opinion that the appeal would have a reasonable prospect of success or there is some other compelling reason why the appeal should be heard, including conflicting judgments on the matter under consideration.</w:t>
      </w:r>
      <w:r w:rsidR="00AC071D" w:rsidRPr="002D0186">
        <w:rPr>
          <w:rFonts w:cs="Arial"/>
          <w:szCs w:val="22"/>
        </w:rPr>
        <w:t xml:space="preserve"> </w:t>
      </w:r>
    </w:p>
    <w:p w14:paraId="298CF1D5" w14:textId="254AC9E9" w:rsidR="00AC071D" w:rsidRPr="002D0186" w:rsidRDefault="00C710C9" w:rsidP="00C710C9">
      <w:pPr>
        <w:tabs>
          <w:tab w:val="left" w:pos="567"/>
        </w:tabs>
        <w:spacing w:before="480" w:after="480" w:line="480" w:lineRule="auto"/>
        <w:jc w:val="both"/>
        <w:rPr>
          <w:rFonts w:cs="Arial"/>
          <w:bCs/>
          <w:szCs w:val="22"/>
        </w:rPr>
      </w:pPr>
      <w:r w:rsidRPr="002D0186">
        <w:rPr>
          <w:rFonts w:cs="Arial"/>
          <w:bCs/>
          <w:szCs w:val="22"/>
        </w:rPr>
        <w:t>[5]</w:t>
      </w:r>
      <w:r w:rsidRPr="002D0186">
        <w:rPr>
          <w:rFonts w:cs="Arial"/>
          <w:bCs/>
          <w:szCs w:val="22"/>
        </w:rPr>
        <w:tab/>
      </w:r>
      <w:r w:rsidR="00AC071D" w:rsidRPr="002D0186">
        <w:rPr>
          <w:rFonts w:eastAsia="Calibri" w:cs="Arial"/>
          <w:szCs w:val="22"/>
        </w:rPr>
        <w:t>An appellant must convince the court of appeal that the prospects of success are not remote but have a realistic chance of succeeding. A mere possibility of success is not enough. There must be a sound and rational basis for the conclusion that there are reasonable prospect of success on appeal.</w:t>
      </w:r>
    </w:p>
    <w:p w14:paraId="1B3B8AE2" w14:textId="29B87AC6" w:rsidR="00AC071D" w:rsidRPr="002D0186" w:rsidRDefault="00C710C9" w:rsidP="00C710C9">
      <w:pPr>
        <w:widowControl w:val="0"/>
        <w:tabs>
          <w:tab w:val="left" w:pos="567"/>
        </w:tabs>
        <w:spacing w:before="480" w:after="480" w:line="360" w:lineRule="auto"/>
        <w:jc w:val="both"/>
        <w:rPr>
          <w:rFonts w:cs="Arial"/>
          <w:bCs/>
          <w:szCs w:val="22"/>
        </w:rPr>
      </w:pPr>
      <w:r w:rsidRPr="002D0186">
        <w:rPr>
          <w:rFonts w:cs="Arial"/>
          <w:bCs/>
          <w:szCs w:val="22"/>
        </w:rPr>
        <w:lastRenderedPageBreak/>
        <w:t>[6]</w:t>
      </w:r>
      <w:r w:rsidRPr="002D0186">
        <w:rPr>
          <w:rFonts w:cs="Arial"/>
          <w:bCs/>
          <w:szCs w:val="22"/>
        </w:rPr>
        <w:tab/>
      </w:r>
      <w:r w:rsidR="00AC071D" w:rsidRPr="002D0186">
        <w:rPr>
          <w:rFonts w:cs="Arial"/>
          <w:bCs/>
          <w:szCs w:val="22"/>
        </w:rPr>
        <w:t xml:space="preserve">In </w:t>
      </w:r>
      <w:r w:rsidR="00AC071D" w:rsidRPr="002D0186">
        <w:rPr>
          <w:rStyle w:val="searchhit"/>
          <w:rFonts w:cs="Arial"/>
          <w:i/>
          <w:iCs/>
          <w:color w:val="000000"/>
          <w:szCs w:val="22"/>
          <w:bdr w:val="none" w:sz="0" w:space="0" w:color="auto" w:frame="1"/>
          <w:shd w:val="clear" w:color="auto" w:fill="F9F9F9"/>
        </w:rPr>
        <w:t>Ramakatsa</w:t>
      </w:r>
      <w:r w:rsidR="00AC071D" w:rsidRPr="002D0186">
        <w:rPr>
          <w:rFonts w:cs="Arial"/>
          <w:i/>
          <w:iCs/>
          <w:color w:val="000000"/>
          <w:szCs w:val="22"/>
          <w:shd w:val="clear" w:color="auto" w:fill="F9F9F9"/>
        </w:rPr>
        <w:t> and others v African National Congress and another</w:t>
      </w:r>
      <w:r w:rsidR="00AC071D" w:rsidRPr="002D0186">
        <w:rPr>
          <w:rStyle w:val="FootnoteReference"/>
          <w:rFonts w:cs="Arial"/>
          <w:bCs/>
          <w:i/>
          <w:iCs/>
          <w:szCs w:val="22"/>
        </w:rPr>
        <w:t xml:space="preserve"> </w:t>
      </w:r>
      <w:r w:rsidR="00AC071D" w:rsidRPr="002D0186">
        <w:rPr>
          <w:rStyle w:val="FootnoteReference"/>
          <w:rFonts w:cs="Arial"/>
          <w:bCs/>
          <w:i/>
          <w:iCs/>
          <w:szCs w:val="22"/>
        </w:rPr>
        <w:footnoteReference w:id="2"/>
      </w:r>
      <w:r w:rsidR="00AC071D" w:rsidRPr="002D0186">
        <w:rPr>
          <w:rFonts w:cs="Arial"/>
          <w:bCs/>
          <w:i/>
          <w:iCs/>
          <w:szCs w:val="22"/>
        </w:rPr>
        <w:t xml:space="preserve"> </w:t>
      </w:r>
      <w:r w:rsidR="00AC071D" w:rsidRPr="002D0186">
        <w:rPr>
          <w:rFonts w:cs="Arial"/>
          <w:bCs/>
          <w:szCs w:val="22"/>
        </w:rPr>
        <w:t xml:space="preserve"> Dlodlo JA </w:t>
      </w:r>
      <w:r w:rsidR="00C54C34">
        <w:rPr>
          <w:rFonts w:cs="Arial"/>
          <w:bCs/>
          <w:szCs w:val="22"/>
        </w:rPr>
        <w:t>dealt with the authorities</w:t>
      </w:r>
      <w:r w:rsidR="00C54C34">
        <w:rPr>
          <w:rStyle w:val="FootnoteReference"/>
          <w:rFonts w:cs="Arial"/>
          <w:bCs/>
          <w:szCs w:val="22"/>
        </w:rPr>
        <w:footnoteReference w:id="3"/>
      </w:r>
      <w:r w:rsidR="00C54C34">
        <w:rPr>
          <w:rFonts w:cs="Arial"/>
          <w:bCs/>
          <w:szCs w:val="22"/>
        </w:rPr>
        <w:t xml:space="preserve"> as follows:</w:t>
      </w:r>
    </w:p>
    <w:p w14:paraId="564BB407" w14:textId="77777777" w:rsidR="00AC071D" w:rsidRPr="002D0186" w:rsidRDefault="00AC071D" w:rsidP="00AC071D">
      <w:pPr>
        <w:widowControl w:val="0"/>
        <w:spacing w:before="480" w:after="480" w:line="360" w:lineRule="auto"/>
        <w:ind w:left="1440"/>
        <w:jc w:val="both"/>
        <w:rPr>
          <w:rFonts w:cs="Arial"/>
          <w:bCs/>
          <w:i/>
          <w:iCs/>
          <w:szCs w:val="22"/>
        </w:rPr>
      </w:pPr>
      <w:r w:rsidRPr="002D0186">
        <w:rPr>
          <w:rFonts w:cs="Arial"/>
          <w:bCs/>
          <w:i/>
          <w:iCs/>
          <w:szCs w:val="22"/>
        </w:rPr>
        <w:t xml:space="preserve">“[10] </w:t>
      </w:r>
      <w:r w:rsidRPr="002D0186">
        <w:rPr>
          <w:rFonts w:cs="Arial"/>
          <w:i/>
          <w:iCs/>
          <w:szCs w:val="22"/>
        </w:rPr>
        <w:t>Turning the focus to the relevant provisions of the Superior Courts Act (the SC Act), leave to appeal may only be granted where the judges concerned are of the opinion that the appeal would have a reasonable prospect of success or there are compelling reasons which exist why the appeal should be heard such as the interests of justice. This Court in Caratco</w:t>
      </w:r>
      <w:r w:rsidRPr="002D0186">
        <w:rPr>
          <w:rStyle w:val="FootnoteReference"/>
          <w:rFonts w:cs="Arial"/>
          <w:i/>
          <w:iCs/>
          <w:szCs w:val="22"/>
        </w:rPr>
        <w:footnoteReference w:id="4"/>
      </w:r>
      <w:r w:rsidRPr="002D0186">
        <w:rPr>
          <w:rFonts w:cs="Arial"/>
          <w:i/>
          <w:iCs/>
          <w:szCs w:val="22"/>
        </w:rPr>
        <w:t>, concerning the provisions of s 17(1)(a)(ii) of the SC Act pointed out that if the court is unpersuaded that there are prospects of success, it must still enquire into whether there is a compelling reason to entertain the appeal. Compelling reason would of course include an important question of law or a discreet issue of public importance that will have an effect on future disputes. However, this Court correctly added that ‘but here too the merits remain vitally important and are often decisive.’</w:t>
      </w:r>
      <w:r w:rsidRPr="002D0186">
        <w:rPr>
          <w:rFonts w:cs="Arial"/>
          <w:bCs/>
          <w:i/>
          <w:iCs/>
          <w:szCs w:val="22"/>
        </w:rPr>
        <w:t xml:space="preserve"> </w:t>
      </w:r>
      <w:r w:rsidRPr="002D0186">
        <w:rPr>
          <w:rFonts w:cs="Arial"/>
          <w:i/>
          <w:iCs/>
          <w:szCs w:val="22"/>
        </w:rPr>
        <w:t xml:space="preserve">I am mindful of the decisions at high court level debating whether the use of the word ‘would’ as opposed to ‘could’ possibly means that the threshold for granting the appeal has been raised. If a reasonable prospect of success is established, leave to appeal should be granted. Similarly, if there are some other compelling reasons why the appeal should be heard, leave to appeal should be granted. The test of reasonable prospects of success postulates a dispassionate decision based on the facts and the law that a court of appeal could reasonably arrive at a conclusion different to that of the trial court. In other words, the appellants in this matter need to convince this Court on proper grounds that they have prospects of success on appeal. Those prospects of success must not be remote, but </w:t>
      </w:r>
      <w:r w:rsidRPr="002D0186">
        <w:rPr>
          <w:rFonts w:cs="Arial"/>
          <w:i/>
          <w:iCs/>
          <w:szCs w:val="22"/>
        </w:rPr>
        <w:lastRenderedPageBreak/>
        <w:t>there must exist a reasonable chance of succeeding. A sound rational basis for the conclusion that there are prospects of success must be shown to exist.</w:t>
      </w:r>
      <w:r w:rsidRPr="002D0186">
        <w:rPr>
          <w:rFonts w:cs="Arial"/>
          <w:bCs/>
          <w:i/>
          <w:iCs/>
          <w:szCs w:val="22"/>
        </w:rPr>
        <w:t>”</w:t>
      </w:r>
      <w:r w:rsidRPr="002D0186">
        <w:rPr>
          <w:rStyle w:val="FootnoteReference"/>
          <w:rFonts w:cs="Arial"/>
          <w:bCs/>
          <w:i/>
          <w:iCs/>
          <w:szCs w:val="22"/>
        </w:rPr>
        <w:footnoteReference w:id="5"/>
      </w:r>
    </w:p>
    <w:p w14:paraId="6B105620" w14:textId="77777777" w:rsidR="002814F5" w:rsidRDefault="002814F5" w:rsidP="002814F5">
      <w:pPr>
        <w:widowControl w:val="0"/>
        <w:spacing w:before="480" w:after="480" w:line="360" w:lineRule="auto"/>
        <w:jc w:val="both"/>
        <w:rPr>
          <w:rFonts w:cs="Arial"/>
          <w:bCs/>
          <w:szCs w:val="22"/>
          <w:u w:val="single"/>
        </w:rPr>
      </w:pPr>
    </w:p>
    <w:p w14:paraId="2B888F5D" w14:textId="25313022" w:rsidR="002814F5" w:rsidRDefault="002814F5" w:rsidP="002814F5">
      <w:pPr>
        <w:widowControl w:val="0"/>
        <w:spacing w:before="480" w:after="480" w:line="360" w:lineRule="auto"/>
        <w:jc w:val="both"/>
        <w:rPr>
          <w:rFonts w:cs="Arial"/>
          <w:bCs/>
          <w:szCs w:val="22"/>
        </w:rPr>
      </w:pPr>
      <w:r>
        <w:rPr>
          <w:rFonts w:cs="Arial"/>
          <w:bCs/>
          <w:szCs w:val="22"/>
          <w:u w:val="single"/>
        </w:rPr>
        <w:t>The mandate, or instruction</w:t>
      </w:r>
    </w:p>
    <w:p w14:paraId="686FC988" w14:textId="143CED9A" w:rsidR="00C270D9" w:rsidRDefault="00C710C9" w:rsidP="00C710C9">
      <w:pPr>
        <w:widowControl w:val="0"/>
        <w:tabs>
          <w:tab w:val="left" w:pos="567"/>
        </w:tabs>
        <w:spacing w:before="480" w:after="480" w:line="360" w:lineRule="auto"/>
        <w:jc w:val="both"/>
        <w:rPr>
          <w:rFonts w:cs="Arial"/>
          <w:bCs/>
          <w:szCs w:val="22"/>
        </w:rPr>
      </w:pPr>
      <w:r>
        <w:rPr>
          <w:rFonts w:cs="Arial"/>
          <w:bCs/>
          <w:szCs w:val="22"/>
        </w:rPr>
        <w:t>[7]</w:t>
      </w:r>
      <w:r>
        <w:rPr>
          <w:rFonts w:cs="Arial"/>
          <w:bCs/>
          <w:szCs w:val="22"/>
        </w:rPr>
        <w:tab/>
      </w:r>
      <w:r w:rsidR="00B61E3E">
        <w:rPr>
          <w:rFonts w:cs="Arial"/>
          <w:bCs/>
          <w:szCs w:val="22"/>
        </w:rPr>
        <w:t xml:space="preserve">I turn to the facts and the applicable law. </w:t>
      </w:r>
      <w:r w:rsidR="004423F0">
        <w:rPr>
          <w:rFonts w:cs="Arial"/>
          <w:bCs/>
          <w:szCs w:val="22"/>
        </w:rPr>
        <w:t>The applicant and her husband instructed the respondents to see to the transfer of immovable property and to pay the balance of the proceeds into the applicant’s bank account. The applicant’s husband subsequently changed the instruction and as a result his 50% share of the proceeds were paid directly to him.</w:t>
      </w:r>
    </w:p>
    <w:p w14:paraId="4FA075EE" w14:textId="40A8511F" w:rsidR="004423F0" w:rsidRDefault="00C710C9" w:rsidP="00C710C9">
      <w:pPr>
        <w:widowControl w:val="0"/>
        <w:tabs>
          <w:tab w:val="left" w:pos="567"/>
        </w:tabs>
        <w:spacing w:before="480" w:after="480" w:line="360" w:lineRule="auto"/>
        <w:jc w:val="both"/>
        <w:rPr>
          <w:rFonts w:cs="Arial"/>
          <w:bCs/>
          <w:szCs w:val="22"/>
        </w:rPr>
      </w:pPr>
      <w:r>
        <w:rPr>
          <w:rFonts w:cs="Arial"/>
          <w:bCs/>
          <w:szCs w:val="22"/>
        </w:rPr>
        <w:t>[8]</w:t>
      </w:r>
      <w:r>
        <w:rPr>
          <w:rFonts w:cs="Arial"/>
          <w:bCs/>
          <w:szCs w:val="22"/>
        </w:rPr>
        <w:tab/>
      </w:r>
      <w:r w:rsidR="004423F0">
        <w:rPr>
          <w:rFonts w:cs="Arial"/>
          <w:bCs/>
          <w:szCs w:val="22"/>
        </w:rPr>
        <w:t>The applicant claimed the amount of money that was paid to her former husband from the transferring attorneys. She chose not to claim from her former husband who was the recipient of the money.</w:t>
      </w:r>
    </w:p>
    <w:p w14:paraId="53F5831C" w14:textId="7702C764" w:rsidR="000F57F1" w:rsidRDefault="00C710C9" w:rsidP="00C710C9">
      <w:pPr>
        <w:widowControl w:val="0"/>
        <w:tabs>
          <w:tab w:val="left" w:pos="567"/>
        </w:tabs>
        <w:spacing w:before="480" w:after="480" w:line="360" w:lineRule="auto"/>
        <w:jc w:val="both"/>
        <w:rPr>
          <w:rFonts w:cs="Arial"/>
          <w:bCs/>
          <w:szCs w:val="22"/>
        </w:rPr>
      </w:pPr>
      <w:r>
        <w:rPr>
          <w:rFonts w:cs="Arial"/>
          <w:bCs/>
          <w:szCs w:val="22"/>
        </w:rPr>
        <w:t>[9]</w:t>
      </w:r>
      <w:r>
        <w:rPr>
          <w:rFonts w:cs="Arial"/>
          <w:bCs/>
          <w:szCs w:val="22"/>
        </w:rPr>
        <w:tab/>
      </w:r>
      <w:r w:rsidR="004423F0">
        <w:rPr>
          <w:rFonts w:cs="Arial"/>
          <w:bCs/>
          <w:szCs w:val="22"/>
        </w:rPr>
        <w:t xml:space="preserve">The language used in the instruction documents do not create an irrevocable instruction to the attorney nor is it the applicant’s case that she was entitled to payment because of a cession or an underlying tripartite agreement in terms of which the attorneys bound themselves to pay the money into her bank account and not to accept an instruction from her husband to change the details of the recipient account. </w:t>
      </w:r>
    </w:p>
    <w:p w14:paraId="1199CE0A" w14:textId="0745DF1D" w:rsidR="004423F0" w:rsidRDefault="004423F0" w:rsidP="000F57F1">
      <w:pPr>
        <w:widowControl w:val="0"/>
        <w:spacing w:before="480" w:after="480" w:line="360" w:lineRule="auto"/>
        <w:jc w:val="both"/>
        <w:rPr>
          <w:rFonts w:cs="Arial"/>
          <w:bCs/>
          <w:szCs w:val="22"/>
        </w:rPr>
      </w:pPr>
      <w:r>
        <w:rPr>
          <w:rFonts w:cs="Arial"/>
          <w:bCs/>
          <w:szCs w:val="22"/>
        </w:rPr>
        <w:t>The attorneys would of course not be bound by an agreement between the applicant and her former husband unless they undertook obligations in terms of the agreement.</w:t>
      </w:r>
      <w:r w:rsidR="00F864C5">
        <w:rPr>
          <w:rFonts w:cs="Arial"/>
          <w:bCs/>
          <w:szCs w:val="22"/>
        </w:rPr>
        <w:t xml:space="preserve"> They would also not be bound to give effect to a cession unless they undertook obligations on behalf of one or more parties.</w:t>
      </w:r>
    </w:p>
    <w:p w14:paraId="6450B455" w14:textId="3211FC24" w:rsidR="00C270D9" w:rsidRDefault="00C710C9" w:rsidP="00C710C9">
      <w:pPr>
        <w:widowControl w:val="0"/>
        <w:tabs>
          <w:tab w:val="left" w:pos="567"/>
        </w:tabs>
        <w:spacing w:before="480" w:after="480" w:line="360" w:lineRule="auto"/>
        <w:jc w:val="both"/>
        <w:rPr>
          <w:rFonts w:cs="Arial"/>
          <w:bCs/>
          <w:szCs w:val="22"/>
        </w:rPr>
      </w:pPr>
      <w:r>
        <w:rPr>
          <w:rFonts w:cs="Arial"/>
          <w:bCs/>
          <w:szCs w:val="22"/>
        </w:rPr>
        <w:t>[10]</w:t>
      </w:r>
      <w:r>
        <w:rPr>
          <w:rFonts w:cs="Arial"/>
          <w:bCs/>
          <w:szCs w:val="22"/>
        </w:rPr>
        <w:tab/>
      </w:r>
      <w:r w:rsidR="00B61E3E">
        <w:rPr>
          <w:rFonts w:cs="Arial"/>
          <w:bCs/>
          <w:szCs w:val="22"/>
        </w:rPr>
        <w:t xml:space="preserve">The applicant’s counsel argued that the instruction documents constitute a mandate rather than an instruction. In my view on the facts </w:t>
      </w:r>
      <w:r w:rsidR="00F864C5">
        <w:rPr>
          <w:rFonts w:cs="Arial"/>
          <w:bCs/>
          <w:szCs w:val="22"/>
        </w:rPr>
        <w:t xml:space="preserve">and in the context of the meaning of the words in this case </w:t>
      </w:r>
      <w:r w:rsidR="00B61E3E">
        <w:rPr>
          <w:rFonts w:cs="Arial"/>
          <w:bCs/>
          <w:szCs w:val="22"/>
        </w:rPr>
        <w:t xml:space="preserve"> the distinction is a semantic distinction only.</w:t>
      </w:r>
    </w:p>
    <w:p w14:paraId="2579C80C" w14:textId="77777777" w:rsidR="002814F5" w:rsidRPr="002814F5" w:rsidRDefault="002814F5" w:rsidP="002814F5">
      <w:pPr>
        <w:widowControl w:val="0"/>
        <w:spacing w:before="480" w:after="480" w:line="360" w:lineRule="auto"/>
        <w:jc w:val="both"/>
        <w:rPr>
          <w:rFonts w:cs="Arial"/>
          <w:bCs/>
          <w:szCs w:val="22"/>
          <w:u w:val="single"/>
        </w:rPr>
      </w:pPr>
      <w:r w:rsidRPr="002814F5">
        <w:rPr>
          <w:rFonts w:cs="Arial"/>
          <w:bCs/>
          <w:szCs w:val="22"/>
          <w:u w:val="single"/>
        </w:rPr>
        <w:lastRenderedPageBreak/>
        <w:t>Conclusion</w:t>
      </w:r>
    </w:p>
    <w:p w14:paraId="31F9AA01" w14:textId="175BA692" w:rsidR="00983105" w:rsidRDefault="00C710C9" w:rsidP="00C710C9">
      <w:pPr>
        <w:widowControl w:val="0"/>
        <w:tabs>
          <w:tab w:val="left" w:pos="567"/>
        </w:tabs>
        <w:spacing w:before="480" w:after="480" w:line="360" w:lineRule="auto"/>
        <w:jc w:val="both"/>
        <w:rPr>
          <w:rFonts w:cs="Arial"/>
          <w:bCs/>
          <w:szCs w:val="22"/>
        </w:rPr>
      </w:pPr>
      <w:r>
        <w:rPr>
          <w:rFonts w:cs="Arial"/>
          <w:bCs/>
          <w:szCs w:val="22"/>
        </w:rPr>
        <w:t>[11]</w:t>
      </w:r>
      <w:r>
        <w:rPr>
          <w:rFonts w:cs="Arial"/>
          <w:bCs/>
          <w:szCs w:val="22"/>
        </w:rPr>
        <w:tab/>
      </w:r>
      <w:r w:rsidR="00B61E3E">
        <w:rPr>
          <w:rFonts w:cs="Arial"/>
          <w:bCs/>
          <w:szCs w:val="22"/>
        </w:rPr>
        <w:t>I am of the view that the intended appeal would not have a reasonable prospect of success.</w:t>
      </w:r>
    </w:p>
    <w:p w14:paraId="49B1067F" w14:textId="2E83F506" w:rsidR="003E54E1" w:rsidRPr="00793913" w:rsidRDefault="00C710C9" w:rsidP="00C710C9">
      <w:pPr>
        <w:widowControl w:val="0"/>
        <w:tabs>
          <w:tab w:val="left" w:pos="567"/>
        </w:tabs>
        <w:spacing w:before="480" w:after="480" w:line="360" w:lineRule="auto"/>
        <w:jc w:val="both"/>
        <w:rPr>
          <w:rFonts w:cs="Arial"/>
          <w:bCs/>
          <w:szCs w:val="22"/>
        </w:rPr>
      </w:pPr>
      <w:r w:rsidRPr="00793913">
        <w:rPr>
          <w:rFonts w:cs="Arial"/>
          <w:bCs/>
          <w:szCs w:val="22"/>
        </w:rPr>
        <w:t>[12]</w:t>
      </w:r>
      <w:r w:rsidRPr="00793913">
        <w:rPr>
          <w:rFonts w:cs="Arial"/>
          <w:bCs/>
          <w:szCs w:val="22"/>
        </w:rPr>
        <w:tab/>
      </w:r>
      <w:r w:rsidR="003E54E1" w:rsidRPr="00793913">
        <w:rPr>
          <w:rFonts w:cs="Arial"/>
          <w:bCs/>
          <w:szCs w:val="22"/>
        </w:rPr>
        <w:t>For the reasons set out above I make the order in paragraph 1.</w:t>
      </w:r>
    </w:p>
    <w:p w14:paraId="53CD27EE" w14:textId="672559CF" w:rsidR="00AE287F" w:rsidRPr="00793913" w:rsidRDefault="00A649E6" w:rsidP="006C43D7">
      <w:pPr>
        <w:tabs>
          <w:tab w:val="right" w:pos="0"/>
        </w:tabs>
        <w:spacing w:line="360" w:lineRule="auto"/>
        <w:contextualSpacing/>
        <w:jc w:val="right"/>
        <w:rPr>
          <w:rFonts w:cs="Arial"/>
          <w:b/>
          <w:szCs w:val="22"/>
        </w:rPr>
      </w:pPr>
      <w:r w:rsidRPr="00793913">
        <w:rPr>
          <w:rFonts w:cs="Arial"/>
          <w:b/>
          <w:szCs w:val="22"/>
        </w:rPr>
        <w:t>______________</w:t>
      </w:r>
    </w:p>
    <w:p w14:paraId="0CCB9BFE" w14:textId="7ABE564D" w:rsidR="006C43D7" w:rsidRPr="00793913" w:rsidRDefault="00C676F3" w:rsidP="006C43D7">
      <w:pPr>
        <w:tabs>
          <w:tab w:val="right" w:pos="0"/>
        </w:tabs>
        <w:spacing w:line="360" w:lineRule="auto"/>
        <w:contextualSpacing/>
        <w:jc w:val="right"/>
        <w:rPr>
          <w:rFonts w:cs="Arial"/>
          <w:b/>
          <w:szCs w:val="22"/>
        </w:rPr>
      </w:pPr>
      <w:r w:rsidRPr="00793913">
        <w:rPr>
          <w:rFonts w:cs="Arial"/>
          <w:b/>
          <w:szCs w:val="22"/>
        </w:rPr>
        <w:t>J MOORCROFT</w:t>
      </w:r>
    </w:p>
    <w:p w14:paraId="7A2C1059" w14:textId="77777777" w:rsidR="006C43D7" w:rsidRPr="00793913" w:rsidRDefault="006C43D7" w:rsidP="006C43D7">
      <w:pPr>
        <w:tabs>
          <w:tab w:val="right" w:pos="0"/>
        </w:tabs>
        <w:spacing w:line="360" w:lineRule="auto"/>
        <w:contextualSpacing/>
        <w:jc w:val="right"/>
        <w:rPr>
          <w:rFonts w:cs="Arial"/>
          <w:b/>
          <w:szCs w:val="22"/>
        </w:rPr>
      </w:pPr>
      <w:r w:rsidRPr="00793913">
        <w:rPr>
          <w:rFonts w:cs="Arial"/>
          <w:b/>
          <w:szCs w:val="22"/>
        </w:rPr>
        <w:t>ACTING JUDGE OF THE HIGH COURT OF SOUTH AFRICA</w:t>
      </w:r>
    </w:p>
    <w:p w14:paraId="077C2590" w14:textId="7452355B" w:rsidR="006C43D7" w:rsidRPr="00793913" w:rsidRDefault="006C43D7" w:rsidP="006C43D7">
      <w:pPr>
        <w:tabs>
          <w:tab w:val="right" w:pos="0"/>
          <w:tab w:val="left" w:pos="4253"/>
        </w:tabs>
        <w:spacing w:line="360" w:lineRule="auto"/>
        <w:contextualSpacing/>
        <w:jc w:val="right"/>
        <w:rPr>
          <w:rFonts w:cs="Arial"/>
          <w:b/>
          <w:szCs w:val="22"/>
        </w:rPr>
      </w:pPr>
      <w:r w:rsidRPr="00793913">
        <w:rPr>
          <w:rFonts w:cs="Arial"/>
          <w:b/>
          <w:szCs w:val="22"/>
        </w:rPr>
        <w:t>GAUTENG DIVISION</w:t>
      </w:r>
    </w:p>
    <w:p w14:paraId="40B9C946" w14:textId="77777777" w:rsidR="006C43D7" w:rsidRPr="00793913" w:rsidRDefault="006C43D7" w:rsidP="006C43D7">
      <w:pPr>
        <w:tabs>
          <w:tab w:val="right" w:pos="0"/>
          <w:tab w:val="left" w:pos="4253"/>
        </w:tabs>
        <w:spacing w:line="360" w:lineRule="auto"/>
        <w:contextualSpacing/>
        <w:jc w:val="right"/>
        <w:rPr>
          <w:rFonts w:cs="Arial"/>
          <w:b/>
          <w:szCs w:val="22"/>
        </w:rPr>
      </w:pPr>
      <w:r w:rsidRPr="00793913">
        <w:rPr>
          <w:rFonts w:cs="Arial"/>
          <w:b/>
          <w:szCs w:val="22"/>
        </w:rPr>
        <w:t>JOHANNESBURG</w:t>
      </w:r>
    </w:p>
    <w:p w14:paraId="326B529B" w14:textId="77777777" w:rsidR="006C43D7" w:rsidRPr="00793913" w:rsidRDefault="006C43D7" w:rsidP="006C43D7">
      <w:pPr>
        <w:tabs>
          <w:tab w:val="right" w:pos="0"/>
          <w:tab w:val="left" w:pos="4253"/>
        </w:tabs>
        <w:spacing w:line="360" w:lineRule="auto"/>
        <w:contextualSpacing/>
        <w:jc w:val="center"/>
        <w:rPr>
          <w:rFonts w:cs="Arial"/>
          <w:b/>
          <w:szCs w:val="22"/>
        </w:rPr>
      </w:pPr>
    </w:p>
    <w:p w14:paraId="5A4CC56C" w14:textId="051C4E22" w:rsidR="006C43D7" w:rsidRPr="00793913" w:rsidRDefault="006C43D7" w:rsidP="006C43D7">
      <w:pPr>
        <w:spacing w:after="200" w:line="480" w:lineRule="auto"/>
        <w:contextualSpacing/>
        <w:jc w:val="right"/>
        <w:rPr>
          <w:rFonts w:cs="Arial"/>
          <w:b/>
          <w:i/>
          <w:iCs/>
          <w:szCs w:val="22"/>
        </w:rPr>
      </w:pPr>
      <w:r w:rsidRPr="00793913">
        <w:rPr>
          <w:rFonts w:cs="Arial"/>
          <w:b/>
          <w:i/>
          <w:iCs/>
          <w:szCs w:val="22"/>
        </w:rPr>
        <w:t>Electronically submitted</w:t>
      </w:r>
    </w:p>
    <w:p w14:paraId="4E3E9427" w14:textId="77777777" w:rsidR="006C43D7" w:rsidRPr="00793913" w:rsidRDefault="006C43D7" w:rsidP="006C43D7">
      <w:pPr>
        <w:spacing w:after="200" w:line="360" w:lineRule="auto"/>
        <w:contextualSpacing/>
        <w:jc w:val="both"/>
        <w:rPr>
          <w:rFonts w:eastAsia="Arial Unicode MS" w:cs="Arial"/>
          <w:bCs/>
          <w:szCs w:val="22"/>
        </w:rPr>
      </w:pPr>
    </w:p>
    <w:p w14:paraId="51C686CA" w14:textId="3011C2BC" w:rsidR="006C43D7" w:rsidRPr="00793913" w:rsidRDefault="006C43D7" w:rsidP="006C43D7">
      <w:pPr>
        <w:spacing w:after="200" w:line="360" w:lineRule="auto"/>
        <w:contextualSpacing/>
        <w:jc w:val="both"/>
        <w:rPr>
          <w:rFonts w:eastAsia="Arial Unicode MS" w:cs="Arial"/>
          <w:bCs/>
          <w:szCs w:val="22"/>
        </w:rPr>
      </w:pPr>
      <w:r w:rsidRPr="00793913">
        <w:rPr>
          <w:rFonts w:eastAsia="Arial Unicode MS" w:cs="Arial"/>
          <w:bCs/>
          <w:szCs w:val="22"/>
        </w:rPr>
        <w:t>Delivered: This judgement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w:t>
      </w:r>
      <w:r w:rsidR="00C460A0" w:rsidRPr="00793913">
        <w:rPr>
          <w:rFonts w:eastAsia="Arial Unicode MS" w:cs="Arial"/>
          <w:bCs/>
          <w:szCs w:val="22"/>
        </w:rPr>
        <w:t xml:space="preserve"> </w:t>
      </w:r>
      <w:r w:rsidR="002814F5">
        <w:rPr>
          <w:rFonts w:eastAsia="Arial Unicode MS" w:cs="Arial"/>
          <w:b/>
          <w:szCs w:val="22"/>
        </w:rPr>
        <w:t>16</w:t>
      </w:r>
      <w:r w:rsidR="00920B9A">
        <w:rPr>
          <w:rFonts w:eastAsia="Arial Unicode MS" w:cs="Arial"/>
          <w:b/>
          <w:szCs w:val="22"/>
        </w:rPr>
        <w:t xml:space="preserve"> </w:t>
      </w:r>
      <w:r w:rsidR="00C270D9">
        <w:rPr>
          <w:rFonts w:eastAsia="Arial Unicode MS" w:cs="Arial"/>
          <w:b/>
          <w:szCs w:val="22"/>
        </w:rPr>
        <w:t>OCTOBER</w:t>
      </w:r>
      <w:r w:rsidR="00920B9A">
        <w:rPr>
          <w:rFonts w:eastAsia="Arial Unicode MS" w:cs="Arial"/>
          <w:b/>
          <w:szCs w:val="22"/>
        </w:rPr>
        <w:t xml:space="preserve"> </w:t>
      </w:r>
      <w:r w:rsidR="00237FF9" w:rsidRPr="00793913">
        <w:rPr>
          <w:rFonts w:eastAsia="Arial Unicode MS" w:cs="Arial"/>
          <w:b/>
          <w:bCs/>
          <w:szCs w:val="22"/>
        </w:rPr>
        <w:t>202</w:t>
      </w:r>
      <w:r w:rsidR="00051A2B" w:rsidRPr="00793913">
        <w:rPr>
          <w:rFonts w:eastAsia="Arial Unicode MS" w:cs="Arial"/>
          <w:b/>
          <w:bCs/>
          <w:szCs w:val="22"/>
        </w:rPr>
        <w:t>3</w:t>
      </w:r>
      <w:r w:rsidR="00051A2B" w:rsidRPr="00793913">
        <w:rPr>
          <w:rFonts w:eastAsia="Arial Unicode MS" w:cs="Arial"/>
          <w:bCs/>
          <w:szCs w:val="22"/>
        </w:rPr>
        <w:t>.</w:t>
      </w:r>
    </w:p>
    <w:p w14:paraId="482DDF6E" w14:textId="77777777" w:rsidR="006C43D7" w:rsidRPr="00793913" w:rsidRDefault="006C43D7" w:rsidP="006C43D7">
      <w:pPr>
        <w:tabs>
          <w:tab w:val="right" w:pos="0"/>
          <w:tab w:val="left" w:pos="4253"/>
        </w:tabs>
        <w:spacing w:line="360" w:lineRule="auto"/>
        <w:contextualSpacing/>
        <w:jc w:val="center"/>
        <w:rPr>
          <w:rFonts w:cs="Arial"/>
          <w:b/>
          <w:szCs w:val="22"/>
        </w:rPr>
      </w:pPr>
    </w:p>
    <w:tbl>
      <w:tblPr>
        <w:tblStyle w:val="TableGrid"/>
        <w:tblW w:w="808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402"/>
      </w:tblGrid>
      <w:tr w:rsidR="009D35B5" w:rsidRPr="00793913" w14:paraId="493AF0D7" w14:textId="77777777" w:rsidTr="00027D19">
        <w:tc>
          <w:tcPr>
            <w:tcW w:w="4678" w:type="dxa"/>
          </w:tcPr>
          <w:p w14:paraId="6A05541A" w14:textId="61334A5F" w:rsidR="009D35B5" w:rsidRPr="00793913" w:rsidRDefault="009D35B5" w:rsidP="00A25AB4">
            <w:pPr>
              <w:tabs>
                <w:tab w:val="right" w:pos="0"/>
                <w:tab w:val="left" w:pos="4253"/>
              </w:tabs>
              <w:spacing w:before="120" w:after="120"/>
              <w:rPr>
                <w:rFonts w:cs="Arial"/>
                <w:szCs w:val="22"/>
              </w:rPr>
            </w:pPr>
            <w:r w:rsidRPr="00793913">
              <w:rPr>
                <w:rFonts w:cs="Arial"/>
                <w:szCs w:val="22"/>
              </w:rPr>
              <w:t xml:space="preserve">COUNSEL FOR THE </w:t>
            </w:r>
            <w:r w:rsidR="00027D19" w:rsidRPr="00793913">
              <w:rPr>
                <w:rFonts w:cs="Arial"/>
                <w:szCs w:val="22"/>
              </w:rPr>
              <w:t>APPLICANT</w:t>
            </w:r>
            <w:r w:rsidRPr="00793913">
              <w:rPr>
                <w:rFonts w:cs="Arial"/>
                <w:szCs w:val="22"/>
              </w:rPr>
              <w:t>:</w:t>
            </w:r>
          </w:p>
        </w:tc>
        <w:tc>
          <w:tcPr>
            <w:tcW w:w="3402" w:type="dxa"/>
          </w:tcPr>
          <w:p w14:paraId="69785AA9" w14:textId="4BC9821F" w:rsidR="00D15C79" w:rsidRPr="00793913" w:rsidRDefault="006A5D95" w:rsidP="00A25AB4">
            <w:pPr>
              <w:tabs>
                <w:tab w:val="right" w:pos="0"/>
                <w:tab w:val="left" w:pos="567"/>
                <w:tab w:val="right" w:pos="2727"/>
                <w:tab w:val="left" w:pos="4253"/>
              </w:tabs>
              <w:spacing w:before="120" w:after="120"/>
              <w:jc w:val="right"/>
              <w:rPr>
                <w:rFonts w:cs="Arial"/>
                <w:szCs w:val="22"/>
              </w:rPr>
            </w:pPr>
            <w:r w:rsidRPr="00793913">
              <w:rPr>
                <w:rFonts w:cs="Arial"/>
                <w:szCs w:val="22"/>
              </w:rPr>
              <w:t>H P WEST</w:t>
            </w:r>
          </w:p>
        </w:tc>
      </w:tr>
      <w:tr w:rsidR="009D35B5" w:rsidRPr="00793913" w14:paraId="183C176D" w14:textId="77777777" w:rsidTr="00027D19">
        <w:tc>
          <w:tcPr>
            <w:tcW w:w="4678" w:type="dxa"/>
          </w:tcPr>
          <w:p w14:paraId="75365413" w14:textId="481747BC" w:rsidR="009D35B5" w:rsidRPr="00793913" w:rsidRDefault="009D35B5" w:rsidP="00A25AB4">
            <w:pPr>
              <w:tabs>
                <w:tab w:val="right" w:pos="0"/>
                <w:tab w:val="left" w:pos="4253"/>
              </w:tabs>
              <w:spacing w:before="120" w:after="120"/>
              <w:rPr>
                <w:rFonts w:cs="Arial"/>
                <w:szCs w:val="22"/>
              </w:rPr>
            </w:pPr>
            <w:r w:rsidRPr="00793913">
              <w:rPr>
                <w:rFonts w:cs="Arial"/>
                <w:szCs w:val="22"/>
              </w:rPr>
              <w:t>INSTRUCTED BY:</w:t>
            </w:r>
          </w:p>
        </w:tc>
        <w:tc>
          <w:tcPr>
            <w:tcW w:w="3402" w:type="dxa"/>
          </w:tcPr>
          <w:p w14:paraId="4044534A" w14:textId="3871BE28" w:rsidR="00E10D04" w:rsidRPr="00793913" w:rsidRDefault="00665624" w:rsidP="00A25AB4">
            <w:pPr>
              <w:tabs>
                <w:tab w:val="right" w:pos="0"/>
                <w:tab w:val="left" w:pos="4253"/>
              </w:tabs>
              <w:spacing w:before="120" w:after="120"/>
              <w:jc w:val="right"/>
              <w:rPr>
                <w:rFonts w:cs="Arial"/>
                <w:szCs w:val="22"/>
              </w:rPr>
            </w:pPr>
            <w:r w:rsidRPr="00793913">
              <w:rPr>
                <w:rFonts w:cs="Arial"/>
                <w:szCs w:val="22"/>
              </w:rPr>
              <w:t>ST ATTORNEYS</w:t>
            </w:r>
          </w:p>
        </w:tc>
      </w:tr>
      <w:tr w:rsidR="009D35B5" w:rsidRPr="00793913" w14:paraId="6E2BF966" w14:textId="77777777" w:rsidTr="00027D19">
        <w:tc>
          <w:tcPr>
            <w:tcW w:w="4678" w:type="dxa"/>
          </w:tcPr>
          <w:p w14:paraId="545B6665" w14:textId="07428381" w:rsidR="009D35B5" w:rsidRPr="00793913" w:rsidRDefault="009D35B5" w:rsidP="00A25AB4">
            <w:pPr>
              <w:tabs>
                <w:tab w:val="right" w:pos="0"/>
                <w:tab w:val="left" w:pos="4253"/>
              </w:tabs>
              <w:spacing w:before="120" w:after="120"/>
              <w:rPr>
                <w:rFonts w:cs="Arial"/>
                <w:szCs w:val="22"/>
              </w:rPr>
            </w:pPr>
            <w:r w:rsidRPr="00793913">
              <w:rPr>
                <w:rFonts w:cs="Arial"/>
                <w:szCs w:val="22"/>
              </w:rPr>
              <w:t xml:space="preserve">COUNSEL FOR </w:t>
            </w:r>
            <w:r w:rsidR="00027D19" w:rsidRPr="00793913">
              <w:rPr>
                <w:rFonts w:cs="Arial"/>
                <w:szCs w:val="22"/>
              </w:rPr>
              <w:t>RESPONDENT</w:t>
            </w:r>
            <w:r w:rsidR="009710AE">
              <w:rPr>
                <w:rFonts w:cs="Arial"/>
                <w:szCs w:val="22"/>
              </w:rPr>
              <w:t>S</w:t>
            </w:r>
            <w:r w:rsidRPr="00793913">
              <w:rPr>
                <w:rFonts w:cs="Arial"/>
                <w:szCs w:val="22"/>
              </w:rPr>
              <w:t>:</w:t>
            </w:r>
          </w:p>
        </w:tc>
        <w:tc>
          <w:tcPr>
            <w:tcW w:w="3402" w:type="dxa"/>
          </w:tcPr>
          <w:p w14:paraId="51741A90" w14:textId="4DDB8797" w:rsidR="009D35B5" w:rsidRPr="00793913" w:rsidRDefault="006A5D95" w:rsidP="006A5D95">
            <w:pPr>
              <w:tabs>
                <w:tab w:val="right" w:pos="0"/>
                <w:tab w:val="left" w:pos="4253"/>
              </w:tabs>
              <w:spacing w:before="120" w:after="120"/>
              <w:jc w:val="right"/>
              <w:rPr>
                <w:rFonts w:cs="Arial"/>
                <w:szCs w:val="22"/>
              </w:rPr>
            </w:pPr>
            <w:r w:rsidRPr="00793913">
              <w:rPr>
                <w:rFonts w:cs="Arial"/>
                <w:szCs w:val="22"/>
              </w:rPr>
              <w:t>R SHEPSTONE</w:t>
            </w:r>
          </w:p>
        </w:tc>
      </w:tr>
      <w:tr w:rsidR="009D35B5" w:rsidRPr="00793913" w14:paraId="1EC4105A" w14:textId="77777777" w:rsidTr="00027D19">
        <w:tc>
          <w:tcPr>
            <w:tcW w:w="4678" w:type="dxa"/>
          </w:tcPr>
          <w:p w14:paraId="184EC2ED" w14:textId="1E42F28A" w:rsidR="009D35B5" w:rsidRPr="00793913" w:rsidRDefault="009D35B5" w:rsidP="00A25AB4">
            <w:pPr>
              <w:tabs>
                <w:tab w:val="right" w:pos="0"/>
                <w:tab w:val="left" w:pos="4253"/>
              </w:tabs>
              <w:spacing w:before="120" w:after="120"/>
              <w:rPr>
                <w:rFonts w:cs="Arial"/>
                <w:szCs w:val="22"/>
              </w:rPr>
            </w:pPr>
            <w:r w:rsidRPr="00793913">
              <w:rPr>
                <w:rFonts w:cs="Arial"/>
                <w:szCs w:val="22"/>
              </w:rPr>
              <w:t>INSTRUCTED BY:</w:t>
            </w:r>
          </w:p>
        </w:tc>
        <w:tc>
          <w:tcPr>
            <w:tcW w:w="3402" w:type="dxa"/>
          </w:tcPr>
          <w:p w14:paraId="2098BE2A" w14:textId="580F973B" w:rsidR="009D35B5" w:rsidRPr="00793913" w:rsidRDefault="00665624" w:rsidP="00A25AB4">
            <w:pPr>
              <w:tabs>
                <w:tab w:val="right" w:pos="0"/>
                <w:tab w:val="left" w:pos="4253"/>
              </w:tabs>
              <w:spacing w:before="120" w:after="120"/>
              <w:jc w:val="right"/>
              <w:rPr>
                <w:rFonts w:cs="Arial"/>
                <w:szCs w:val="22"/>
              </w:rPr>
            </w:pPr>
            <w:r w:rsidRPr="00793913">
              <w:rPr>
                <w:rFonts w:cs="Arial"/>
                <w:szCs w:val="22"/>
              </w:rPr>
              <w:t>FAIRBRIDGES WERTHEIM BECKER ATTORNEYS</w:t>
            </w:r>
          </w:p>
        </w:tc>
      </w:tr>
      <w:tr w:rsidR="009D35B5" w:rsidRPr="00793913" w14:paraId="2A3FE2B1" w14:textId="77777777" w:rsidTr="00027D19">
        <w:tc>
          <w:tcPr>
            <w:tcW w:w="4678" w:type="dxa"/>
          </w:tcPr>
          <w:p w14:paraId="0767D0FE" w14:textId="61925A22" w:rsidR="009D35B5" w:rsidRPr="00793913" w:rsidRDefault="009D35B5" w:rsidP="00A25AB4">
            <w:pPr>
              <w:tabs>
                <w:tab w:val="right" w:pos="0"/>
                <w:tab w:val="left" w:pos="4253"/>
              </w:tabs>
              <w:spacing w:before="120" w:after="120"/>
              <w:rPr>
                <w:rFonts w:cs="Arial"/>
                <w:szCs w:val="22"/>
              </w:rPr>
            </w:pPr>
            <w:r w:rsidRPr="00793913">
              <w:rPr>
                <w:rFonts w:cs="Arial"/>
                <w:szCs w:val="22"/>
              </w:rPr>
              <w:t xml:space="preserve">DATE </w:t>
            </w:r>
            <w:r w:rsidR="00E57446" w:rsidRPr="00793913">
              <w:rPr>
                <w:rFonts w:cs="Arial"/>
                <w:szCs w:val="22"/>
              </w:rPr>
              <w:t>OF ARGUMENT</w:t>
            </w:r>
            <w:r w:rsidRPr="00793913">
              <w:rPr>
                <w:rFonts w:cs="Arial"/>
                <w:szCs w:val="22"/>
              </w:rPr>
              <w:t>:</w:t>
            </w:r>
          </w:p>
        </w:tc>
        <w:tc>
          <w:tcPr>
            <w:tcW w:w="3402" w:type="dxa"/>
          </w:tcPr>
          <w:p w14:paraId="34C95147" w14:textId="275F2B27" w:rsidR="009D35B5" w:rsidRPr="00793913" w:rsidRDefault="00C270D9" w:rsidP="00A25AB4">
            <w:pPr>
              <w:tabs>
                <w:tab w:val="right" w:pos="0"/>
                <w:tab w:val="left" w:pos="4253"/>
              </w:tabs>
              <w:spacing w:before="120" w:after="120"/>
              <w:jc w:val="right"/>
              <w:rPr>
                <w:rFonts w:cs="Arial"/>
                <w:szCs w:val="22"/>
              </w:rPr>
            </w:pPr>
            <w:r>
              <w:rPr>
                <w:rFonts w:cs="Arial"/>
                <w:szCs w:val="22"/>
              </w:rPr>
              <w:t>12 OCTOBER</w:t>
            </w:r>
            <w:r w:rsidR="00027D19" w:rsidRPr="00793913">
              <w:rPr>
                <w:rFonts w:cs="Arial"/>
                <w:szCs w:val="22"/>
              </w:rPr>
              <w:t xml:space="preserve"> 2023</w:t>
            </w:r>
          </w:p>
        </w:tc>
      </w:tr>
      <w:tr w:rsidR="00A25AB4" w:rsidRPr="00793913" w14:paraId="5ECDFF3A" w14:textId="77777777" w:rsidTr="00027D19">
        <w:tc>
          <w:tcPr>
            <w:tcW w:w="4678" w:type="dxa"/>
          </w:tcPr>
          <w:p w14:paraId="1DF2AE9E" w14:textId="1FC539A4" w:rsidR="00A25AB4" w:rsidRPr="00793913" w:rsidRDefault="00A25AB4" w:rsidP="00A25AB4">
            <w:pPr>
              <w:tabs>
                <w:tab w:val="right" w:pos="0"/>
                <w:tab w:val="left" w:pos="4253"/>
              </w:tabs>
              <w:spacing w:before="120" w:after="120"/>
              <w:rPr>
                <w:rFonts w:cs="Arial"/>
                <w:szCs w:val="22"/>
              </w:rPr>
            </w:pPr>
            <w:r w:rsidRPr="00793913">
              <w:rPr>
                <w:rFonts w:cs="Arial"/>
                <w:szCs w:val="22"/>
              </w:rPr>
              <w:t>DATE OF JUDGMENT:</w:t>
            </w:r>
          </w:p>
        </w:tc>
        <w:tc>
          <w:tcPr>
            <w:tcW w:w="3402" w:type="dxa"/>
          </w:tcPr>
          <w:p w14:paraId="02219E99" w14:textId="3339066F" w:rsidR="00A25AB4" w:rsidRPr="00793913" w:rsidRDefault="002814F5" w:rsidP="00A25AB4">
            <w:pPr>
              <w:tabs>
                <w:tab w:val="right" w:pos="0"/>
                <w:tab w:val="left" w:pos="4253"/>
              </w:tabs>
              <w:spacing w:before="120" w:after="120"/>
              <w:jc w:val="right"/>
              <w:rPr>
                <w:rFonts w:cs="Arial"/>
                <w:szCs w:val="22"/>
              </w:rPr>
            </w:pPr>
            <w:r>
              <w:rPr>
                <w:rFonts w:cs="Arial"/>
                <w:szCs w:val="22"/>
              </w:rPr>
              <w:t>16</w:t>
            </w:r>
            <w:r w:rsidR="00C270D9">
              <w:rPr>
                <w:rFonts w:cs="Arial"/>
                <w:szCs w:val="22"/>
              </w:rPr>
              <w:t xml:space="preserve"> OCTOBER</w:t>
            </w:r>
            <w:r w:rsidR="00881D0E" w:rsidRPr="00793913">
              <w:rPr>
                <w:rFonts w:cs="Arial"/>
                <w:szCs w:val="22"/>
              </w:rPr>
              <w:t xml:space="preserve"> </w:t>
            </w:r>
            <w:r w:rsidR="00A25AB4" w:rsidRPr="00793913">
              <w:rPr>
                <w:rFonts w:cs="Arial"/>
                <w:szCs w:val="22"/>
              </w:rPr>
              <w:t>2023</w:t>
            </w:r>
          </w:p>
        </w:tc>
      </w:tr>
    </w:tbl>
    <w:p w14:paraId="1BD8F4EB" w14:textId="24205645" w:rsidR="00A402F6" w:rsidRPr="00793913" w:rsidRDefault="00A402F6" w:rsidP="00A402F6">
      <w:pPr>
        <w:tabs>
          <w:tab w:val="right" w:pos="8647"/>
        </w:tabs>
        <w:spacing w:line="360" w:lineRule="auto"/>
        <w:contextualSpacing/>
        <w:jc w:val="both"/>
        <w:rPr>
          <w:rFonts w:cs="Arial"/>
          <w:szCs w:val="22"/>
        </w:rPr>
      </w:pPr>
      <w:r w:rsidRPr="00793913">
        <w:rPr>
          <w:rFonts w:cs="Arial"/>
          <w:szCs w:val="22"/>
        </w:rPr>
        <w:tab/>
      </w:r>
    </w:p>
    <w:sectPr w:rsidR="00A402F6" w:rsidRPr="00793913" w:rsidSect="009869F2">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A0116" w14:textId="77777777" w:rsidR="0047030E" w:rsidRDefault="0047030E">
      <w:r>
        <w:separator/>
      </w:r>
    </w:p>
  </w:endnote>
  <w:endnote w:type="continuationSeparator" w:id="0">
    <w:p w14:paraId="0511B8CF" w14:textId="77777777" w:rsidR="0047030E" w:rsidRDefault="0047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F0B4F" w14:textId="77777777" w:rsidR="0047030E" w:rsidRDefault="0047030E">
      <w:r>
        <w:separator/>
      </w:r>
    </w:p>
  </w:footnote>
  <w:footnote w:type="continuationSeparator" w:id="0">
    <w:p w14:paraId="7B892290" w14:textId="77777777" w:rsidR="0047030E" w:rsidRDefault="0047030E">
      <w:r>
        <w:continuationSeparator/>
      </w:r>
    </w:p>
  </w:footnote>
  <w:footnote w:id="1">
    <w:p w14:paraId="71D6C812" w14:textId="370451BF" w:rsidR="00C54C34" w:rsidRDefault="00C54C34">
      <w:pPr>
        <w:pStyle w:val="FootnoteText"/>
      </w:pPr>
      <w:r>
        <w:rPr>
          <w:rStyle w:val="FootnoteReference"/>
        </w:rPr>
        <w:footnoteRef/>
      </w:r>
      <w:r>
        <w:t xml:space="preserve"> </w:t>
      </w:r>
      <w:r>
        <w:tab/>
      </w:r>
      <w:r w:rsidRPr="00793913">
        <w:rPr>
          <w:rFonts w:cs="Arial"/>
          <w:bCs/>
          <w:i/>
          <w:iCs/>
          <w:szCs w:val="22"/>
        </w:rPr>
        <w:t>Prioste</w:t>
      </w:r>
      <w:r w:rsidRPr="00793913">
        <w:rPr>
          <w:bCs/>
          <w:i/>
          <w:iCs/>
          <w:szCs w:val="22"/>
        </w:rPr>
        <w:t xml:space="preserve"> </w:t>
      </w:r>
      <w:r w:rsidRPr="00793913">
        <w:rPr>
          <w:i/>
          <w:szCs w:val="22"/>
        </w:rPr>
        <w:t xml:space="preserve">v </w:t>
      </w:r>
      <w:r w:rsidRPr="00793913">
        <w:rPr>
          <w:bCs/>
          <w:i/>
          <w:iCs/>
          <w:szCs w:val="22"/>
        </w:rPr>
        <w:t>Edelstein Fa</w:t>
      </w:r>
      <w:r w:rsidR="002814F5">
        <w:rPr>
          <w:bCs/>
          <w:i/>
          <w:iCs/>
          <w:szCs w:val="22"/>
        </w:rPr>
        <w:t>r</w:t>
      </w:r>
      <w:r w:rsidRPr="00793913">
        <w:rPr>
          <w:bCs/>
          <w:i/>
          <w:iCs/>
          <w:szCs w:val="22"/>
        </w:rPr>
        <w:t>ber Grobler Inc and Another</w:t>
      </w:r>
      <w:r w:rsidRPr="00793913">
        <w:rPr>
          <w:szCs w:val="22"/>
        </w:rPr>
        <w:t xml:space="preserve">  [2023] ZAGPJHC </w:t>
      </w:r>
      <w:r>
        <w:rPr>
          <w:szCs w:val="22"/>
        </w:rPr>
        <w:t>666</w:t>
      </w:r>
    </w:p>
  </w:footnote>
  <w:footnote w:id="2">
    <w:p w14:paraId="160D2669" w14:textId="51DAD7FE" w:rsidR="00AC071D" w:rsidRDefault="00AC071D" w:rsidP="00AC071D">
      <w:pPr>
        <w:pStyle w:val="FootnoteText"/>
      </w:pPr>
      <w:r w:rsidRPr="00B83232">
        <w:rPr>
          <w:rStyle w:val="FootnoteReference"/>
          <w:rFonts w:cs="Arial"/>
        </w:rPr>
        <w:footnoteRef/>
      </w:r>
      <w:r w:rsidRPr="00B83232">
        <w:rPr>
          <w:rFonts w:cs="Arial"/>
        </w:rPr>
        <w:t xml:space="preserve"> </w:t>
      </w:r>
      <w:r w:rsidRPr="00B83232">
        <w:rPr>
          <w:rFonts w:cs="Arial"/>
        </w:rPr>
        <w:tab/>
      </w:r>
      <w:r w:rsidRPr="00B83232">
        <w:rPr>
          <w:rStyle w:val="searchhit"/>
          <w:rFonts w:cs="Arial"/>
          <w:i/>
          <w:iCs/>
          <w:color w:val="000000"/>
          <w:bdr w:val="none" w:sz="0" w:space="0" w:color="auto" w:frame="1"/>
          <w:shd w:val="clear" w:color="auto" w:fill="F9F9F9"/>
        </w:rPr>
        <w:t>Ramakatsa</w:t>
      </w:r>
      <w:r w:rsidRPr="00B83232">
        <w:rPr>
          <w:rFonts w:cs="Arial"/>
          <w:i/>
          <w:iCs/>
          <w:color w:val="000000"/>
          <w:shd w:val="clear" w:color="auto" w:fill="F9F9F9"/>
        </w:rPr>
        <w:t> and others v African National Congress and another</w:t>
      </w:r>
      <w:r w:rsidRPr="00B83232">
        <w:rPr>
          <w:rFonts w:cs="Arial"/>
          <w:color w:val="000000"/>
          <w:shd w:val="clear" w:color="auto" w:fill="F9F9F9"/>
        </w:rPr>
        <w:t xml:space="preserve"> [2021] JOL 49993 (SCA)</w:t>
      </w:r>
      <w:r>
        <w:rPr>
          <w:rFonts w:cs="Arial"/>
          <w:color w:val="000000"/>
          <w:shd w:val="clear" w:color="auto" w:fill="F9F9F9"/>
        </w:rPr>
        <w:t xml:space="preserve">, also reported as </w:t>
      </w:r>
      <w:r w:rsidRPr="00B83232">
        <w:rPr>
          <w:rFonts w:cs="Arial"/>
          <w:i/>
          <w:iCs/>
        </w:rPr>
        <w:t>Ramakatsa</w:t>
      </w:r>
      <w:r w:rsidRPr="00B83232">
        <w:rPr>
          <w:i/>
          <w:iCs/>
        </w:rPr>
        <w:t xml:space="preserve"> v ANC</w:t>
      </w:r>
      <w:r w:rsidRPr="00B83232">
        <w:t xml:space="preserve"> </w:t>
      </w:r>
      <w:r w:rsidR="00D219BC">
        <w:t>[</w:t>
      </w:r>
      <w:r w:rsidRPr="00B83232">
        <w:t>2021</w:t>
      </w:r>
      <w:r w:rsidR="00D219BC">
        <w:t>]</w:t>
      </w:r>
      <w:r w:rsidRPr="00B83232">
        <w:t xml:space="preserve"> ZASCA 31</w:t>
      </w:r>
      <w:r>
        <w:t>.</w:t>
      </w:r>
    </w:p>
  </w:footnote>
  <w:footnote w:id="3">
    <w:p w14:paraId="6B978F53" w14:textId="465085ED" w:rsidR="00C54C34" w:rsidRDefault="00C54C34">
      <w:pPr>
        <w:pStyle w:val="FootnoteText"/>
      </w:pPr>
      <w:r>
        <w:rPr>
          <w:rStyle w:val="FootnoteReference"/>
        </w:rPr>
        <w:footnoteRef/>
      </w:r>
      <w:r>
        <w:t xml:space="preserve"> </w:t>
      </w:r>
      <w:r>
        <w:tab/>
        <w:t>See</w:t>
      </w:r>
      <w:r w:rsidR="00F864C5">
        <w:t xml:space="preserve"> </w:t>
      </w:r>
      <w:r w:rsidR="00F864C5" w:rsidRPr="00FC088C">
        <w:rPr>
          <w:i/>
          <w:iCs/>
        </w:rPr>
        <w:t>Dexgroup (Pty) Ltd v Trustco Group International (Pty) Ltd and Others</w:t>
      </w:r>
      <w:r w:rsidR="00F864C5">
        <w:t xml:space="preserve"> </w:t>
      </w:r>
      <w:r w:rsidR="00F864C5" w:rsidRPr="00FC088C">
        <w:t>2013 (6) SA 520 (SCA)</w:t>
      </w:r>
      <w:r w:rsidR="00F864C5">
        <w:t xml:space="preserve"> </w:t>
      </w:r>
      <w:r w:rsidR="008C3CE1">
        <w:t>para 24</w:t>
      </w:r>
      <w:r w:rsidR="00F864C5">
        <w:t xml:space="preserve">, </w:t>
      </w:r>
      <w:r w:rsidRPr="00C54C34">
        <w:rPr>
          <w:rFonts w:eastAsia="Calibri"/>
          <w:i/>
          <w:iCs/>
        </w:rPr>
        <w:t>KwaZulu-Natal Law Society v Sharma</w:t>
      </w:r>
      <w:r w:rsidRPr="00A16279">
        <w:rPr>
          <w:rFonts w:eastAsia="Calibri"/>
        </w:rPr>
        <w:t xml:space="preserve"> [2017] JOL 37724 (KZP) para 29</w:t>
      </w:r>
      <w:r w:rsidRPr="00A16279">
        <w:t xml:space="preserve">, </w:t>
      </w:r>
      <w:r w:rsidRPr="00C54C34">
        <w:rPr>
          <w:rFonts w:eastAsia="Calibri"/>
          <w:i/>
          <w:iCs/>
        </w:rPr>
        <w:t>Lakaje N.O v MEC: Department of Health</w:t>
      </w:r>
      <w:r w:rsidRPr="00A16279">
        <w:rPr>
          <w:rFonts w:eastAsia="Calibri"/>
        </w:rPr>
        <w:t xml:space="preserve"> [2019] JOL 45564 (FB) para 5</w:t>
      </w:r>
      <w:r>
        <w:t xml:space="preserve">, </w:t>
      </w:r>
      <w:r w:rsidRPr="00C54C34">
        <w:rPr>
          <w:i/>
          <w:iCs/>
        </w:rPr>
        <w:t>Member of the Executive Council for Health, Eastern Cape v Mkhitha and another</w:t>
      </w:r>
      <w:r w:rsidRPr="00A16279">
        <w:t xml:space="preserve"> [2016] JOL 36940 (SCA) para 16,</w:t>
      </w:r>
      <w:r>
        <w:t xml:space="preserve"> </w:t>
      </w:r>
      <w:r w:rsidRPr="00C54C34">
        <w:rPr>
          <w:rFonts w:eastAsia="Calibri"/>
          <w:i/>
          <w:iCs/>
        </w:rPr>
        <w:t>Nwafor v Minister of Home Affairs</w:t>
      </w:r>
      <w:r w:rsidRPr="00A16279">
        <w:rPr>
          <w:rFonts w:eastAsia="Calibri"/>
        </w:rPr>
        <w:t xml:space="preserve"> [2021] JOL 50310 (SCA),</w:t>
      </w:r>
      <w:r w:rsidRPr="00A16279">
        <w:t xml:space="preserve"> 2021 JDR 0948 (SCA)</w:t>
      </w:r>
      <w:r w:rsidRPr="00A16279">
        <w:rPr>
          <w:rFonts w:eastAsia="Calibri"/>
        </w:rPr>
        <w:t xml:space="preserve"> paras 25 and 26; </w:t>
      </w:r>
      <w:r w:rsidRPr="00C54C34">
        <w:rPr>
          <w:i/>
          <w:iCs/>
        </w:rPr>
        <w:t>Lephoi v Ramakarane</w:t>
      </w:r>
      <w:r w:rsidRPr="00A16279">
        <w:t xml:space="preserve">  [2023] JOL 59548 (FB) para 4</w:t>
      </w:r>
      <w:r>
        <w:t xml:space="preserve">, </w:t>
      </w:r>
      <w:r w:rsidRPr="00C54C34">
        <w:rPr>
          <w:rFonts w:eastAsia="Calibri"/>
          <w:i/>
          <w:iCs/>
        </w:rPr>
        <w:t>S v Smith</w:t>
      </w:r>
      <w:r w:rsidRPr="00A16279">
        <w:rPr>
          <w:rFonts w:eastAsia="Calibri"/>
        </w:rPr>
        <w:t xml:space="preserve"> 2012 (1) SACR 567 (SCA) para 7</w:t>
      </w:r>
      <w:r w:rsidRPr="00A16279">
        <w:t xml:space="preserve">, </w:t>
      </w:r>
      <w:r w:rsidRPr="00C54C34">
        <w:rPr>
          <w:i/>
          <w:iCs/>
        </w:rPr>
        <w:t>Shinga v The State and another (Society of Advocates (Pietermaritzburg Bar) intervening as Amicus Curiae); S v O'Connell and others</w:t>
      </w:r>
      <w:r w:rsidRPr="00A16279">
        <w:t xml:space="preserve"> 2007 (2) SACR 28 (CC), </w:t>
      </w:r>
      <w:r w:rsidRPr="00C54C34">
        <w:rPr>
          <w:rFonts w:eastAsia="Calibri"/>
          <w:i/>
          <w:iCs/>
        </w:rPr>
        <w:t>South African Breweries (Pty) Ltd v Commissioner of the South African Revenue Services</w:t>
      </w:r>
      <w:r w:rsidRPr="00A16279">
        <w:rPr>
          <w:rFonts w:eastAsia="Calibri"/>
        </w:rPr>
        <w:t xml:space="preserve"> [2017] ZAGPPHC 340 para 5</w:t>
      </w:r>
      <w:r>
        <w:t xml:space="preserve">, </w:t>
      </w:r>
      <w:r w:rsidRPr="00C54C34">
        <w:rPr>
          <w:rFonts w:eastAsia="Calibri"/>
          <w:i/>
          <w:iCs/>
        </w:rPr>
        <w:t>The Acting National Director of Public Prosecution v Democratic Alliance</w:t>
      </w:r>
      <w:r w:rsidRPr="00A16279">
        <w:rPr>
          <w:rFonts w:eastAsia="Calibri"/>
        </w:rPr>
        <w:t xml:space="preserve"> [2016] ZAGPPHC 489, JOL 36123 (GP) para 25</w:t>
      </w:r>
      <w:r>
        <w:t xml:space="preserve">. See also </w:t>
      </w:r>
      <w:r w:rsidRPr="00A16279">
        <w:rPr>
          <w:rFonts w:eastAsia="Calibri"/>
        </w:rPr>
        <w:t xml:space="preserve">Van Loggerenberg </w:t>
      </w:r>
      <w:r w:rsidRPr="00C54C34">
        <w:rPr>
          <w:rFonts w:eastAsia="Calibri"/>
          <w:i/>
          <w:iCs/>
        </w:rPr>
        <w:t>Erasmus: Superior Court Practice</w:t>
      </w:r>
      <w:r w:rsidRPr="00A16279">
        <w:rPr>
          <w:rFonts w:eastAsia="Calibri"/>
        </w:rPr>
        <w:t xml:space="preserve"> A2-55</w:t>
      </w:r>
      <w:r>
        <w:t>.</w:t>
      </w:r>
    </w:p>
  </w:footnote>
  <w:footnote w:id="4">
    <w:p w14:paraId="1187427E" w14:textId="77777777" w:rsidR="00AC071D" w:rsidRDefault="00AC071D" w:rsidP="00AC071D">
      <w:pPr>
        <w:pStyle w:val="FootnoteText"/>
      </w:pPr>
      <w:r>
        <w:rPr>
          <w:rStyle w:val="FootnoteReference"/>
        </w:rPr>
        <w:footnoteRef/>
      </w:r>
      <w:r>
        <w:t xml:space="preserve"> </w:t>
      </w:r>
      <w:r>
        <w:tab/>
        <w:t xml:space="preserve">The reference in footnote 7 is to </w:t>
      </w:r>
      <w:r w:rsidRPr="00FA69B4">
        <w:rPr>
          <w:i/>
          <w:iCs/>
        </w:rPr>
        <w:t>Caratco (Pty) Ltd v Independent Advisory (Pty) Ltd</w:t>
      </w:r>
      <w:r w:rsidRPr="00FA69B4">
        <w:t xml:space="preserve"> 2020 (5) SA 35 (SCA)</w:t>
      </w:r>
      <w:r>
        <w:t>,</w:t>
      </w:r>
      <w:r w:rsidRPr="00FA69B4">
        <w:t xml:space="preserve"> [2020] ZASCA 17</w:t>
      </w:r>
      <w:r>
        <w:t>.</w:t>
      </w:r>
    </w:p>
  </w:footnote>
  <w:footnote w:id="5">
    <w:p w14:paraId="0D0EA608" w14:textId="77777777" w:rsidR="00AC071D" w:rsidRDefault="00AC071D" w:rsidP="00AC071D">
      <w:pPr>
        <w:pStyle w:val="FootnoteText"/>
      </w:pPr>
      <w:r>
        <w:rPr>
          <w:rStyle w:val="FootnoteReference"/>
        </w:rPr>
        <w:footnoteRef/>
      </w:r>
      <w:r>
        <w:t xml:space="preserve"> </w:t>
      </w:r>
      <w:r>
        <w:tab/>
        <w:t>Footnote 9 in the judgment reads as follows: “</w:t>
      </w:r>
      <w:r w:rsidRPr="00F06FCF">
        <w:rPr>
          <w:i/>
          <w:iCs/>
        </w:rPr>
        <w:t>See Smith v S [2011] ZASCA 15; 2012 (1) SACR 567 (SCA); MEC Health, Eastern Cape v Mkhitha [2016] ZASCA 176 para 17</w:t>
      </w:r>
      <w:r>
        <w:rPr>
          <w:i/>
          <w:iCs/>
        </w:rPr>
        <w:t>.</w:t>
      </w:r>
      <w:r w:rsidRPr="00F06FCF">
        <w:rPr>
          <w:i/>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68A9B" w14:textId="1F583E3B" w:rsidR="00D645C6" w:rsidRPr="006C43D7" w:rsidRDefault="00D645C6"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C710C9">
      <w:rPr>
        <w:rFonts w:cs="Arial"/>
        <w:noProof/>
        <w:sz w:val="20"/>
        <w:szCs w:val="20"/>
        <w:lang w:val="en-GB"/>
      </w:rPr>
      <w:t>2</w:t>
    </w:r>
    <w:r w:rsidRPr="006C43D7">
      <w:rPr>
        <w:rFonts w:cs="Arial"/>
        <w:sz w:val="20"/>
        <w:szCs w:val="20"/>
        <w:lang w:val="en-GB"/>
      </w:rPr>
      <w:fldChar w:fldCharType="end"/>
    </w:r>
  </w:p>
  <w:p w14:paraId="08C008E5" w14:textId="77777777" w:rsidR="00D645C6" w:rsidRPr="006C43D7" w:rsidRDefault="00D645C6" w:rsidP="006C43D7">
    <w:pPr>
      <w:tabs>
        <w:tab w:val="center" w:pos="4153"/>
        <w:tab w:val="right" w:pos="8306"/>
      </w:tabs>
      <w:spacing w:line="276" w:lineRule="auto"/>
      <w:jc w:val="right"/>
      <w:rPr>
        <w:rFonts w:cs="Arial"/>
        <w:lang w:val="en-US"/>
      </w:rPr>
    </w:pPr>
  </w:p>
  <w:p w14:paraId="4A21EF97" w14:textId="77777777" w:rsidR="00D645C6" w:rsidRPr="006C43D7" w:rsidRDefault="00D645C6" w:rsidP="006C4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1395632B"/>
    <w:multiLevelType w:val="multilevel"/>
    <w:tmpl w:val="18D4C7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8DD7D02"/>
    <w:multiLevelType w:val="multilevel"/>
    <w:tmpl w:val="DF0C55CC"/>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7">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8">
    <w:nsid w:val="439C0D19"/>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9950EAD"/>
    <w:multiLevelType w:val="multilevel"/>
    <w:tmpl w:val="0D281B32"/>
    <w:lvl w:ilvl="0">
      <w:start w:val="1"/>
      <w:numFmt w:val="decimal"/>
      <w:lvlText w:val="%1."/>
      <w:lvlJc w:val="left"/>
      <w:pPr>
        <w:ind w:left="1134" w:hanging="567"/>
      </w:pPr>
      <w:rPr>
        <w:rFonts w:hint="default"/>
      </w:rPr>
    </w:lvl>
    <w:lvl w:ilvl="1">
      <w:start w:val="1"/>
      <w:numFmt w:val="decimal"/>
      <w:lvlText w:val="%1.%2."/>
      <w:lvlJc w:val="left"/>
      <w:pPr>
        <w:ind w:left="1872" w:hanging="432"/>
      </w:pPr>
      <w:rPr>
        <w:rFonts w:hint="default"/>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1">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nsid w:val="77EE27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12"/>
  </w:num>
  <w:num w:numId="4">
    <w:abstractNumId w:val="5"/>
  </w:num>
  <w:num w:numId="5">
    <w:abstractNumId w:val="11"/>
  </w:num>
  <w:num w:numId="6">
    <w:abstractNumId w:val="9"/>
  </w:num>
  <w:num w:numId="7">
    <w:abstractNumId w:val="0"/>
  </w:num>
  <w:num w:numId="8">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13"/>
  </w:num>
  <w:num w:numId="12">
    <w:abstractNumId w:val="3"/>
    <w:lvlOverride w:ilvl="0">
      <w:lvl w:ilvl="0">
        <w:start w:val="1"/>
        <w:numFmt w:val="decimal"/>
        <w:pStyle w:val="AFUaffidavitnumbering"/>
        <w:lvlText w:val="%1"/>
        <w:lvlJc w:val="left"/>
        <w:pPr>
          <w:tabs>
            <w:tab w:val="num" w:pos="567"/>
          </w:tabs>
          <w:ind w:left="567" w:hanging="567"/>
        </w:pPr>
        <w:rPr>
          <w:rFonts w:hint="default"/>
        </w:rPr>
      </w:lvl>
    </w:lvlOverride>
    <w:lvlOverride w:ilvl="1">
      <w:lvl w:ilvl="1">
        <w:start w:val="1"/>
        <w:numFmt w:val="decimal"/>
        <w:lvlText w:val="%1.%2"/>
        <w:lvlJc w:val="left"/>
        <w:pPr>
          <w:tabs>
            <w:tab w:val="num" w:pos="1418"/>
          </w:tabs>
          <w:ind w:left="1418" w:hanging="851"/>
        </w:pPr>
        <w:rPr>
          <w:rFonts w:hint="default"/>
        </w:rPr>
      </w:lvl>
    </w:lvlOverride>
    <w:lvlOverride w:ilvl="2">
      <w:lvl w:ilvl="2">
        <w:start w:val="1"/>
        <w:numFmt w:val="decimal"/>
        <w:lvlText w:val="%1.%2.%3"/>
        <w:lvlJc w:val="left"/>
        <w:pPr>
          <w:tabs>
            <w:tab w:val="num" w:pos="2268"/>
          </w:tabs>
          <w:ind w:left="2268" w:hanging="850"/>
        </w:pPr>
        <w:rPr>
          <w:rFonts w:hint="default"/>
          <w:b w:val="0"/>
        </w:rPr>
      </w:lvl>
    </w:lvlOverride>
    <w:lvlOverride w:ilvl="3">
      <w:lvl w:ilvl="3">
        <w:start w:val="1"/>
        <w:numFmt w:val="decimal"/>
        <w:lvlText w:val="%1.%2.%3.%4"/>
        <w:lvlJc w:val="left"/>
        <w:pPr>
          <w:tabs>
            <w:tab w:val="num" w:pos="141"/>
          </w:tabs>
          <w:ind w:left="2409" w:hanging="567"/>
        </w:pPr>
        <w:rPr>
          <w:rFonts w:hint="default"/>
          <w:b w:val="0"/>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F3"/>
    <w:rsid w:val="000004A3"/>
    <w:rsid w:val="00000AFE"/>
    <w:rsid w:val="00001138"/>
    <w:rsid w:val="000019D2"/>
    <w:rsid w:val="00005CDD"/>
    <w:rsid w:val="00006113"/>
    <w:rsid w:val="0001111B"/>
    <w:rsid w:val="0001140A"/>
    <w:rsid w:val="00011522"/>
    <w:rsid w:val="00013B7F"/>
    <w:rsid w:val="00013F00"/>
    <w:rsid w:val="0001593E"/>
    <w:rsid w:val="00015D74"/>
    <w:rsid w:val="00022ACD"/>
    <w:rsid w:val="00024A29"/>
    <w:rsid w:val="00025815"/>
    <w:rsid w:val="000262B3"/>
    <w:rsid w:val="000264AE"/>
    <w:rsid w:val="00026D9A"/>
    <w:rsid w:val="00027D19"/>
    <w:rsid w:val="00030A89"/>
    <w:rsid w:val="000325E2"/>
    <w:rsid w:val="00036508"/>
    <w:rsid w:val="00040CD3"/>
    <w:rsid w:val="00047F26"/>
    <w:rsid w:val="00050086"/>
    <w:rsid w:val="000504F1"/>
    <w:rsid w:val="00051A2B"/>
    <w:rsid w:val="000550EB"/>
    <w:rsid w:val="00063F7B"/>
    <w:rsid w:val="00066971"/>
    <w:rsid w:val="000737E1"/>
    <w:rsid w:val="00073E30"/>
    <w:rsid w:val="00075F5B"/>
    <w:rsid w:val="00077D11"/>
    <w:rsid w:val="00081716"/>
    <w:rsid w:val="00082EDC"/>
    <w:rsid w:val="000833BB"/>
    <w:rsid w:val="00087AE6"/>
    <w:rsid w:val="000906B5"/>
    <w:rsid w:val="00092591"/>
    <w:rsid w:val="0009429D"/>
    <w:rsid w:val="0009488C"/>
    <w:rsid w:val="0009540B"/>
    <w:rsid w:val="000956E5"/>
    <w:rsid w:val="00096A67"/>
    <w:rsid w:val="00097968"/>
    <w:rsid w:val="000A6AD8"/>
    <w:rsid w:val="000B21DA"/>
    <w:rsid w:val="000B2FC1"/>
    <w:rsid w:val="000B4261"/>
    <w:rsid w:val="000C1FC3"/>
    <w:rsid w:val="000C7A3D"/>
    <w:rsid w:val="000D01E0"/>
    <w:rsid w:val="000D415C"/>
    <w:rsid w:val="000D4E84"/>
    <w:rsid w:val="000D53F5"/>
    <w:rsid w:val="000D5760"/>
    <w:rsid w:val="000D71C5"/>
    <w:rsid w:val="000D7D6A"/>
    <w:rsid w:val="000E1EC8"/>
    <w:rsid w:val="000E3EE8"/>
    <w:rsid w:val="000E5343"/>
    <w:rsid w:val="000F1420"/>
    <w:rsid w:val="000F57F1"/>
    <w:rsid w:val="000F59F8"/>
    <w:rsid w:val="001025B5"/>
    <w:rsid w:val="00104142"/>
    <w:rsid w:val="00105F97"/>
    <w:rsid w:val="00107D26"/>
    <w:rsid w:val="00107D90"/>
    <w:rsid w:val="001142D1"/>
    <w:rsid w:val="00120C79"/>
    <w:rsid w:val="00120FB1"/>
    <w:rsid w:val="00130253"/>
    <w:rsid w:val="00133E81"/>
    <w:rsid w:val="00140CED"/>
    <w:rsid w:val="00147FF5"/>
    <w:rsid w:val="00151DA9"/>
    <w:rsid w:val="00152899"/>
    <w:rsid w:val="00154961"/>
    <w:rsid w:val="00155A21"/>
    <w:rsid w:val="00161057"/>
    <w:rsid w:val="001671C1"/>
    <w:rsid w:val="00171182"/>
    <w:rsid w:val="0017124B"/>
    <w:rsid w:val="00171D7F"/>
    <w:rsid w:val="00172DDF"/>
    <w:rsid w:val="00175DDD"/>
    <w:rsid w:val="001802F8"/>
    <w:rsid w:val="00180CB6"/>
    <w:rsid w:val="001838CC"/>
    <w:rsid w:val="00183EB6"/>
    <w:rsid w:val="00185ACF"/>
    <w:rsid w:val="00190579"/>
    <w:rsid w:val="001916C4"/>
    <w:rsid w:val="00192F78"/>
    <w:rsid w:val="00195810"/>
    <w:rsid w:val="00196E14"/>
    <w:rsid w:val="001A2608"/>
    <w:rsid w:val="001A5145"/>
    <w:rsid w:val="001A522A"/>
    <w:rsid w:val="001A53CD"/>
    <w:rsid w:val="001A7904"/>
    <w:rsid w:val="001B1D39"/>
    <w:rsid w:val="001B4217"/>
    <w:rsid w:val="001B4893"/>
    <w:rsid w:val="001B5D3E"/>
    <w:rsid w:val="001B606B"/>
    <w:rsid w:val="001C0755"/>
    <w:rsid w:val="001C2371"/>
    <w:rsid w:val="001C33E6"/>
    <w:rsid w:val="001C7048"/>
    <w:rsid w:val="001D3CC2"/>
    <w:rsid w:val="001E0529"/>
    <w:rsid w:val="001E2EED"/>
    <w:rsid w:val="001E44D1"/>
    <w:rsid w:val="001E4691"/>
    <w:rsid w:val="001E518E"/>
    <w:rsid w:val="001E7948"/>
    <w:rsid w:val="001F09D1"/>
    <w:rsid w:val="001F0A29"/>
    <w:rsid w:val="001F0CE5"/>
    <w:rsid w:val="001F3DBD"/>
    <w:rsid w:val="001F648A"/>
    <w:rsid w:val="001F6F43"/>
    <w:rsid w:val="00201620"/>
    <w:rsid w:val="0020474A"/>
    <w:rsid w:val="00205392"/>
    <w:rsid w:val="00206919"/>
    <w:rsid w:val="002104BF"/>
    <w:rsid w:val="002108B6"/>
    <w:rsid w:val="00214877"/>
    <w:rsid w:val="00215824"/>
    <w:rsid w:val="00216BC8"/>
    <w:rsid w:val="002175BA"/>
    <w:rsid w:val="0022218D"/>
    <w:rsid w:val="00226926"/>
    <w:rsid w:val="002302E3"/>
    <w:rsid w:val="00232528"/>
    <w:rsid w:val="00235D20"/>
    <w:rsid w:val="00237806"/>
    <w:rsid w:val="00237FF9"/>
    <w:rsid w:val="0024012B"/>
    <w:rsid w:val="00243D2F"/>
    <w:rsid w:val="00250164"/>
    <w:rsid w:val="00251668"/>
    <w:rsid w:val="00253F38"/>
    <w:rsid w:val="00253F72"/>
    <w:rsid w:val="002625C5"/>
    <w:rsid w:val="00262819"/>
    <w:rsid w:val="00263A96"/>
    <w:rsid w:val="00272B77"/>
    <w:rsid w:val="002814F5"/>
    <w:rsid w:val="00282D16"/>
    <w:rsid w:val="00285040"/>
    <w:rsid w:val="00285062"/>
    <w:rsid w:val="00292B43"/>
    <w:rsid w:val="00292E3E"/>
    <w:rsid w:val="0029369B"/>
    <w:rsid w:val="00296DAF"/>
    <w:rsid w:val="002976B8"/>
    <w:rsid w:val="002A030C"/>
    <w:rsid w:val="002A4B7B"/>
    <w:rsid w:val="002B05EA"/>
    <w:rsid w:val="002C15AC"/>
    <w:rsid w:val="002C2E80"/>
    <w:rsid w:val="002C4687"/>
    <w:rsid w:val="002D2842"/>
    <w:rsid w:val="002D47B3"/>
    <w:rsid w:val="002E5B57"/>
    <w:rsid w:val="002E6CD7"/>
    <w:rsid w:val="002F1C4D"/>
    <w:rsid w:val="002F2881"/>
    <w:rsid w:val="002F508A"/>
    <w:rsid w:val="002F72D3"/>
    <w:rsid w:val="00300987"/>
    <w:rsid w:val="00302290"/>
    <w:rsid w:val="003023F9"/>
    <w:rsid w:val="00302C31"/>
    <w:rsid w:val="00303919"/>
    <w:rsid w:val="003047C2"/>
    <w:rsid w:val="0030653F"/>
    <w:rsid w:val="003102C8"/>
    <w:rsid w:val="0031117B"/>
    <w:rsid w:val="00312EBC"/>
    <w:rsid w:val="00313056"/>
    <w:rsid w:val="003312BF"/>
    <w:rsid w:val="003313A2"/>
    <w:rsid w:val="00337135"/>
    <w:rsid w:val="0034147B"/>
    <w:rsid w:val="00342E02"/>
    <w:rsid w:val="00346102"/>
    <w:rsid w:val="003463D6"/>
    <w:rsid w:val="00346D31"/>
    <w:rsid w:val="00346DE6"/>
    <w:rsid w:val="00347E19"/>
    <w:rsid w:val="0035170A"/>
    <w:rsid w:val="003541F6"/>
    <w:rsid w:val="003543C5"/>
    <w:rsid w:val="00354EF2"/>
    <w:rsid w:val="00355BEB"/>
    <w:rsid w:val="00357081"/>
    <w:rsid w:val="00357D35"/>
    <w:rsid w:val="0036253D"/>
    <w:rsid w:val="00363FCD"/>
    <w:rsid w:val="00364C43"/>
    <w:rsid w:val="00364E6A"/>
    <w:rsid w:val="00364E80"/>
    <w:rsid w:val="003676CF"/>
    <w:rsid w:val="00367720"/>
    <w:rsid w:val="00367778"/>
    <w:rsid w:val="0037029D"/>
    <w:rsid w:val="00372A48"/>
    <w:rsid w:val="00373181"/>
    <w:rsid w:val="00375E93"/>
    <w:rsid w:val="00377123"/>
    <w:rsid w:val="00381213"/>
    <w:rsid w:val="003832F7"/>
    <w:rsid w:val="003840EC"/>
    <w:rsid w:val="00385DBA"/>
    <w:rsid w:val="0038715A"/>
    <w:rsid w:val="00390C3F"/>
    <w:rsid w:val="00393127"/>
    <w:rsid w:val="00395873"/>
    <w:rsid w:val="003A62CC"/>
    <w:rsid w:val="003A7864"/>
    <w:rsid w:val="003A7CA2"/>
    <w:rsid w:val="003B4100"/>
    <w:rsid w:val="003B6C02"/>
    <w:rsid w:val="003C067B"/>
    <w:rsid w:val="003C1488"/>
    <w:rsid w:val="003C1A16"/>
    <w:rsid w:val="003C1E91"/>
    <w:rsid w:val="003C5536"/>
    <w:rsid w:val="003C7FCC"/>
    <w:rsid w:val="003D1202"/>
    <w:rsid w:val="003D19C3"/>
    <w:rsid w:val="003D36F9"/>
    <w:rsid w:val="003D3C5C"/>
    <w:rsid w:val="003D77F1"/>
    <w:rsid w:val="003D7970"/>
    <w:rsid w:val="003E449A"/>
    <w:rsid w:val="003E4A33"/>
    <w:rsid w:val="003E54E1"/>
    <w:rsid w:val="003E724B"/>
    <w:rsid w:val="003E7A60"/>
    <w:rsid w:val="003F1F49"/>
    <w:rsid w:val="003F4801"/>
    <w:rsid w:val="003F7448"/>
    <w:rsid w:val="004078AC"/>
    <w:rsid w:val="00407F28"/>
    <w:rsid w:val="0041100A"/>
    <w:rsid w:val="004131C5"/>
    <w:rsid w:val="00413D9B"/>
    <w:rsid w:val="0042423E"/>
    <w:rsid w:val="00424BA6"/>
    <w:rsid w:val="004339E6"/>
    <w:rsid w:val="00434796"/>
    <w:rsid w:val="0043683A"/>
    <w:rsid w:val="00437EB1"/>
    <w:rsid w:val="00441422"/>
    <w:rsid w:val="004423F0"/>
    <w:rsid w:val="00444ED6"/>
    <w:rsid w:val="00445DCB"/>
    <w:rsid w:val="00447235"/>
    <w:rsid w:val="0045044C"/>
    <w:rsid w:val="00460495"/>
    <w:rsid w:val="00460EEA"/>
    <w:rsid w:val="004630B6"/>
    <w:rsid w:val="00463106"/>
    <w:rsid w:val="00466A30"/>
    <w:rsid w:val="0047030E"/>
    <w:rsid w:val="00474607"/>
    <w:rsid w:val="00474910"/>
    <w:rsid w:val="004749AF"/>
    <w:rsid w:val="00475410"/>
    <w:rsid w:val="004774FF"/>
    <w:rsid w:val="00484116"/>
    <w:rsid w:val="0048424E"/>
    <w:rsid w:val="00486F42"/>
    <w:rsid w:val="00487D14"/>
    <w:rsid w:val="004923A9"/>
    <w:rsid w:val="0049550A"/>
    <w:rsid w:val="00495F7C"/>
    <w:rsid w:val="004A1E3F"/>
    <w:rsid w:val="004A2C7E"/>
    <w:rsid w:val="004A6625"/>
    <w:rsid w:val="004A69D6"/>
    <w:rsid w:val="004A70AB"/>
    <w:rsid w:val="004A7DFE"/>
    <w:rsid w:val="004B0DBA"/>
    <w:rsid w:val="004B21D9"/>
    <w:rsid w:val="004C0CE3"/>
    <w:rsid w:val="004C368B"/>
    <w:rsid w:val="004D1A31"/>
    <w:rsid w:val="004D1A91"/>
    <w:rsid w:val="004D262A"/>
    <w:rsid w:val="004D2C6F"/>
    <w:rsid w:val="004D2E01"/>
    <w:rsid w:val="004D3237"/>
    <w:rsid w:val="004D4E89"/>
    <w:rsid w:val="004E0F3F"/>
    <w:rsid w:val="004E1349"/>
    <w:rsid w:val="004E3305"/>
    <w:rsid w:val="004E568C"/>
    <w:rsid w:val="004E5AD8"/>
    <w:rsid w:val="004F0806"/>
    <w:rsid w:val="004F12D8"/>
    <w:rsid w:val="004F22A6"/>
    <w:rsid w:val="004F4A37"/>
    <w:rsid w:val="00504B53"/>
    <w:rsid w:val="00505FF7"/>
    <w:rsid w:val="0051015D"/>
    <w:rsid w:val="0051292D"/>
    <w:rsid w:val="0051442D"/>
    <w:rsid w:val="00514863"/>
    <w:rsid w:val="0051622D"/>
    <w:rsid w:val="005207B2"/>
    <w:rsid w:val="005219EB"/>
    <w:rsid w:val="005262C2"/>
    <w:rsid w:val="0052705A"/>
    <w:rsid w:val="00537126"/>
    <w:rsid w:val="00537A72"/>
    <w:rsid w:val="005405F8"/>
    <w:rsid w:val="00542EAE"/>
    <w:rsid w:val="00545DF5"/>
    <w:rsid w:val="00546878"/>
    <w:rsid w:val="005509BE"/>
    <w:rsid w:val="00560E18"/>
    <w:rsid w:val="005621E7"/>
    <w:rsid w:val="00563355"/>
    <w:rsid w:val="00571E81"/>
    <w:rsid w:val="00573FF9"/>
    <w:rsid w:val="00576B16"/>
    <w:rsid w:val="005949BC"/>
    <w:rsid w:val="005971D5"/>
    <w:rsid w:val="005A313A"/>
    <w:rsid w:val="005A35EB"/>
    <w:rsid w:val="005A5D51"/>
    <w:rsid w:val="005A680F"/>
    <w:rsid w:val="005A70F0"/>
    <w:rsid w:val="005A747A"/>
    <w:rsid w:val="005B07CB"/>
    <w:rsid w:val="005B2FF9"/>
    <w:rsid w:val="005B696E"/>
    <w:rsid w:val="005B6D81"/>
    <w:rsid w:val="005B7767"/>
    <w:rsid w:val="005B79B2"/>
    <w:rsid w:val="005B7DD3"/>
    <w:rsid w:val="005B7F04"/>
    <w:rsid w:val="005C7FC2"/>
    <w:rsid w:val="005D1F92"/>
    <w:rsid w:val="005D2137"/>
    <w:rsid w:val="005D2408"/>
    <w:rsid w:val="005D32A9"/>
    <w:rsid w:val="005D4A96"/>
    <w:rsid w:val="005D6122"/>
    <w:rsid w:val="005D6E80"/>
    <w:rsid w:val="005E0B20"/>
    <w:rsid w:val="005E2936"/>
    <w:rsid w:val="005E2F7B"/>
    <w:rsid w:val="005E3C94"/>
    <w:rsid w:val="005E5C01"/>
    <w:rsid w:val="005E7118"/>
    <w:rsid w:val="005E7E9F"/>
    <w:rsid w:val="005F1CDA"/>
    <w:rsid w:val="005F35C5"/>
    <w:rsid w:val="005F37A4"/>
    <w:rsid w:val="00602403"/>
    <w:rsid w:val="006041A4"/>
    <w:rsid w:val="006109EC"/>
    <w:rsid w:val="00610F53"/>
    <w:rsid w:val="00611D8A"/>
    <w:rsid w:val="00613C2D"/>
    <w:rsid w:val="0061430D"/>
    <w:rsid w:val="006150CE"/>
    <w:rsid w:val="006165F4"/>
    <w:rsid w:val="006245EC"/>
    <w:rsid w:val="006309D5"/>
    <w:rsid w:val="006334F9"/>
    <w:rsid w:val="00642664"/>
    <w:rsid w:val="00644BBE"/>
    <w:rsid w:val="006466DA"/>
    <w:rsid w:val="00646711"/>
    <w:rsid w:val="006479F9"/>
    <w:rsid w:val="00647DDD"/>
    <w:rsid w:val="00653BA4"/>
    <w:rsid w:val="0065620E"/>
    <w:rsid w:val="00657478"/>
    <w:rsid w:val="00657EDA"/>
    <w:rsid w:val="006609A2"/>
    <w:rsid w:val="00660C84"/>
    <w:rsid w:val="0066132D"/>
    <w:rsid w:val="0066194B"/>
    <w:rsid w:val="00661FC4"/>
    <w:rsid w:val="00665624"/>
    <w:rsid w:val="00666D4D"/>
    <w:rsid w:val="00667549"/>
    <w:rsid w:val="00671D29"/>
    <w:rsid w:val="00672205"/>
    <w:rsid w:val="00672E95"/>
    <w:rsid w:val="0067508C"/>
    <w:rsid w:val="00677059"/>
    <w:rsid w:val="00680072"/>
    <w:rsid w:val="00680421"/>
    <w:rsid w:val="006858DA"/>
    <w:rsid w:val="006861C0"/>
    <w:rsid w:val="006902F1"/>
    <w:rsid w:val="006918E9"/>
    <w:rsid w:val="006951CE"/>
    <w:rsid w:val="00695B2C"/>
    <w:rsid w:val="006A1F2C"/>
    <w:rsid w:val="006A3B6B"/>
    <w:rsid w:val="006A438B"/>
    <w:rsid w:val="006A4F20"/>
    <w:rsid w:val="006A5D95"/>
    <w:rsid w:val="006A6039"/>
    <w:rsid w:val="006B1E87"/>
    <w:rsid w:val="006B514A"/>
    <w:rsid w:val="006C1EA3"/>
    <w:rsid w:val="006C2AB0"/>
    <w:rsid w:val="006C2B5F"/>
    <w:rsid w:val="006C31B7"/>
    <w:rsid w:val="006C4213"/>
    <w:rsid w:val="006C43D7"/>
    <w:rsid w:val="006C49F6"/>
    <w:rsid w:val="006C53ED"/>
    <w:rsid w:val="006C5694"/>
    <w:rsid w:val="006D11AD"/>
    <w:rsid w:val="006D193A"/>
    <w:rsid w:val="006D25DD"/>
    <w:rsid w:val="006D29AA"/>
    <w:rsid w:val="006D4128"/>
    <w:rsid w:val="006D4C1B"/>
    <w:rsid w:val="006D5E57"/>
    <w:rsid w:val="006E0B4D"/>
    <w:rsid w:val="006E2083"/>
    <w:rsid w:val="006E2725"/>
    <w:rsid w:val="006E3064"/>
    <w:rsid w:val="006E68E6"/>
    <w:rsid w:val="006F042A"/>
    <w:rsid w:val="006F0C74"/>
    <w:rsid w:val="006F1875"/>
    <w:rsid w:val="006F2187"/>
    <w:rsid w:val="006F25E5"/>
    <w:rsid w:val="006F2FCE"/>
    <w:rsid w:val="006F36B9"/>
    <w:rsid w:val="006F415C"/>
    <w:rsid w:val="006F489F"/>
    <w:rsid w:val="0070560F"/>
    <w:rsid w:val="007112CA"/>
    <w:rsid w:val="007202BD"/>
    <w:rsid w:val="007205BF"/>
    <w:rsid w:val="00721AE9"/>
    <w:rsid w:val="007237D1"/>
    <w:rsid w:val="007241D4"/>
    <w:rsid w:val="00724D82"/>
    <w:rsid w:val="00725127"/>
    <w:rsid w:val="00730BF2"/>
    <w:rsid w:val="00732A6F"/>
    <w:rsid w:val="0074214D"/>
    <w:rsid w:val="00742764"/>
    <w:rsid w:val="00745456"/>
    <w:rsid w:val="00751452"/>
    <w:rsid w:val="0075156A"/>
    <w:rsid w:val="00751F90"/>
    <w:rsid w:val="007619C5"/>
    <w:rsid w:val="00761C35"/>
    <w:rsid w:val="00762178"/>
    <w:rsid w:val="00765F62"/>
    <w:rsid w:val="00766026"/>
    <w:rsid w:val="00772025"/>
    <w:rsid w:val="007726C0"/>
    <w:rsid w:val="00781088"/>
    <w:rsid w:val="00781AA0"/>
    <w:rsid w:val="00781CF7"/>
    <w:rsid w:val="00781D24"/>
    <w:rsid w:val="00782DE8"/>
    <w:rsid w:val="00792E10"/>
    <w:rsid w:val="0079383D"/>
    <w:rsid w:val="00793913"/>
    <w:rsid w:val="007A006B"/>
    <w:rsid w:val="007A1D60"/>
    <w:rsid w:val="007B165A"/>
    <w:rsid w:val="007B2DAD"/>
    <w:rsid w:val="007B2DF7"/>
    <w:rsid w:val="007B7246"/>
    <w:rsid w:val="007B78C2"/>
    <w:rsid w:val="007C23FF"/>
    <w:rsid w:val="007C416B"/>
    <w:rsid w:val="007C4CB7"/>
    <w:rsid w:val="007C5008"/>
    <w:rsid w:val="007C658B"/>
    <w:rsid w:val="007D1E79"/>
    <w:rsid w:val="007D27CF"/>
    <w:rsid w:val="007D4DAF"/>
    <w:rsid w:val="007E1175"/>
    <w:rsid w:val="007E220A"/>
    <w:rsid w:val="007E468A"/>
    <w:rsid w:val="007E58FC"/>
    <w:rsid w:val="007E6B0B"/>
    <w:rsid w:val="007F025D"/>
    <w:rsid w:val="007F07D4"/>
    <w:rsid w:val="007F1517"/>
    <w:rsid w:val="007F207F"/>
    <w:rsid w:val="007F3DCA"/>
    <w:rsid w:val="007F5B91"/>
    <w:rsid w:val="008019A7"/>
    <w:rsid w:val="00803CEC"/>
    <w:rsid w:val="00804B15"/>
    <w:rsid w:val="008076A4"/>
    <w:rsid w:val="00807DC2"/>
    <w:rsid w:val="00810CA3"/>
    <w:rsid w:val="00811776"/>
    <w:rsid w:val="008126B0"/>
    <w:rsid w:val="008200A7"/>
    <w:rsid w:val="00822050"/>
    <w:rsid w:val="008304EC"/>
    <w:rsid w:val="00830952"/>
    <w:rsid w:val="00830F84"/>
    <w:rsid w:val="00841C01"/>
    <w:rsid w:val="00843EFD"/>
    <w:rsid w:val="008443A9"/>
    <w:rsid w:val="008469B3"/>
    <w:rsid w:val="008535CA"/>
    <w:rsid w:val="0085580A"/>
    <w:rsid w:val="008578F4"/>
    <w:rsid w:val="00860576"/>
    <w:rsid w:val="0086688C"/>
    <w:rsid w:val="008674AA"/>
    <w:rsid w:val="008675CC"/>
    <w:rsid w:val="0087609B"/>
    <w:rsid w:val="0088094C"/>
    <w:rsid w:val="00881004"/>
    <w:rsid w:val="00881D0E"/>
    <w:rsid w:val="00882C40"/>
    <w:rsid w:val="00885973"/>
    <w:rsid w:val="00887442"/>
    <w:rsid w:val="00892908"/>
    <w:rsid w:val="008942FC"/>
    <w:rsid w:val="0089562F"/>
    <w:rsid w:val="008957BF"/>
    <w:rsid w:val="008A082A"/>
    <w:rsid w:val="008A4DF4"/>
    <w:rsid w:val="008A5896"/>
    <w:rsid w:val="008B0950"/>
    <w:rsid w:val="008B1DA9"/>
    <w:rsid w:val="008B571D"/>
    <w:rsid w:val="008B6162"/>
    <w:rsid w:val="008C3CE1"/>
    <w:rsid w:val="008C3EBC"/>
    <w:rsid w:val="008C4AE0"/>
    <w:rsid w:val="008C57F6"/>
    <w:rsid w:val="008C7019"/>
    <w:rsid w:val="008D33A3"/>
    <w:rsid w:val="008D4715"/>
    <w:rsid w:val="008D5B23"/>
    <w:rsid w:val="008D6F1D"/>
    <w:rsid w:val="008E1B11"/>
    <w:rsid w:val="008E2ACD"/>
    <w:rsid w:val="008E7F87"/>
    <w:rsid w:val="008F0CC7"/>
    <w:rsid w:val="008F11CF"/>
    <w:rsid w:val="008F189C"/>
    <w:rsid w:val="008F1FE1"/>
    <w:rsid w:val="008F32FF"/>
    <w:rsid w:val="008F4486"/>
    <w:rsid w:val="008F4FC6"/>
    <w:rsid w:val="008F72CD"/>
    <w:rsid w:val="008F7D25"/>
    <w:rsid w:val="009015D3"/>
    <w:rsid w:val="00902179"/>
    <w:rsid w:val="00903877"/>
    <w:rsid w:val="0091544C"/>
    <w:rsid w:val="00920B9A"/>
    <w:rsid w:val="00921D03"/>
    <w:rsid w:val="00925CD2"/>
    <w:rsid w:val="00927F6A"/>
    <w:rsid w:val="00932559"/>
    <w:rsid w:val="00933065"/>
    <w:rsid w:val="00933569"/>
    <w:rsid w:val="009365B1"/>
    <w:rsid w:val="0093799C"/>
    <w:rsid w:val="009422A1"/>
    <w:rsid w:val="00943484"/>
    <w:rsid w:val="00944804"/>
    <w:rsid w:val="009449FB"/>
    <w:rsid w:val="0094634F"/>
    <w:rsid w:val="009473D8"/>
    <w:rsid w:val="00960ADF"/>
    <w:rsid w:val="00963A0C"/>
    <w:rsid w:val="009661B5"/>
    <w:rsid w:val="00967C3A"/>
    <w:rsid w:val="009710AE"/>
    <w:rsid w:val="009725C0"/>
    <w:rsid w:val="009729BD"/>
    <w:rsid w:val="00974A92"/>
    <w:rsid w:val="00975270"/>
    <w:rsid w:val="00975BA1"/>
    <w:rsid w:val="00976F39"/>
    <w:rsid w:val="009809DD"/>
    <w:rsid w:val="00983105"/>
    <w:rsid w:val="009835E3"/>
    <w:rsid w:val="009837A6"/>
    <w:rsid w:val="00983C64"/>
    <w:rsid w:val="009869F2"/>
    <w:rsid w:val="00987CDB"/>
    <w:rsid w:val="00995190"/>
    <w:rsid w:val="009A1C26"/>
    <w:rsid w:val="009A2613"/>
    <w:rsid w:val="009A2726"/>
    <w:rsid w:val="009A30E0"/>
    <w:rsid w:val="009A3619"/>
    <w:rsid w:val="009A66D0"/>
    <w:rsid w:val="009B08AF"/>
    <w:rsid w:val="009B10F4"/>
    <w:rsid w:val="009B3DFC"/>
    <w:rsid w:val="009B793E"/>
    <w:rsid w:val="009C1EA6"/>
    <w:rsid w:val="009C37B9"/>
    <w:rsid w:val="009C38E7"/>
    <w:rsid w:val="009D31FA"/>
    <w:rsid w:val="009D32BD"/>
    <w:rsid w:val="009D33F1"/>
    <w:rsid w:val="009D35B5"/>
    <w:rsid w:val="009D37BD"/>
    <w:rsid w:val="009D4486"/>
    <w:rsid w:val="009D7128"/>
    <w:rsid w:val="009E21DE"/>
    <w:rsid w:val="009E6174"/>
    <w:rsid w:val="009F211E"/>
    <w:rsid w:val="009F2572"/>
    <w:rsid w:val="009F294E"/>
    <w:rsid w:val="009F30F1"/>
    <w:rsid w:val="009F37C7"/>
    <w:rsid w:val="009F4A9F"/>
    <w:rsid w:val="009F50AB"/>
    <w:rsid w:val="00A005F6"/>
    <w:rsid w:val="00A0424F"/>
    <w:rsid w:val="00A051FB"/>
    <w:rsid w:val="00A053DB"/>
    <w:rsid w:val="00A06DE4"/>
    <w:rsid w:val="00A103FF"/>
    <w:rsid w:val="00A121B5"/>
    <w:rsid w:val="00A16C6E"/>
    <w:rsid w:val="00A17DB2"/>
    <w:rsid w:val="00A22A14"/>
    <w:rsid w:val="00A23A49"/>
    <w:rsid w:val="00A25AB4"/>
    <w:rsid w:val="00A26214"/>
    <w:rsid w:val="00A26566"/>
    <w:rsid w:val="00A27A51"/>
    <w:rsid w:val="00A31837"/>
    <w:rsid w:val="00A3310D"/>
    <w:rsid w:val="00A37BA4"/>
    <w:rsid w:val="00A402F6"/>
    <w:rsid w:val="00A408C1"/>
    <w:rsid w:val="00A42167"/>
    <w:rsid w:val="00A43739"/>
    <w:rsid w:val="00A45767"/>
    <w:rsid w:val="00A46026"/>
    <w:rsid w:val="00A47150"/>
    <w:rsid w:val="00A47466"/>
    <w:rsid w:val="00A47815"/>
    <w:rsid w:val="00A47A18"/>
    <w:rsid w:val="00A539CB"/>
    <w:rsid w:val="00A63709"/>
    <w:rsid w:val="00A643AB"/>
    <w:rsid w:val="00A649E6"/>
    <w:rsid w:val="00A660AF"/>
    <w:rsid w:val="00A6647C"/>
    <w:rsid w:val="00A70A95"/>
    <w:rsid w:val="00A70BDA"/>
    <w:rsid w:val="00A740B6"/>
    <w:rsid w:val="00A7621E"/>
    <w:rsid w:val="00A817D5"/>
    <w:rsid w:val="00A84F01"/>
    <w:rsid w:val="00A91332"/>
    <w:rsid w:val="00A93351"/>
    <w:rsid w:val="00A94AE7"/>
    <w:rsid w:val="00A95538"/>
    <w:rsid w:val="00AA0013"/>
    <w:rsid w:val="00AA26FF"/>
    <w:rsid w:val="00AA6E8C"/>
    <w:rsid w:val="00AA6F19"/>
    <w:rsid w:val="00AA75E6"/>
    <w:rsid w:val="00AA79A8"/>
    <w:rsid w:val="00AA7A76"/>
    <w:rsid w:val="00AA7C2E"/>
    <w:rsid w:val="00AB0286"/>
    <w:rsid w:val="00AB404E"/>
    <w:rsid w:val="00AB4C6D"/>
    <w:rsid w:val="00AB53F2"/>
    <w:rsid w:val="00AB55F7"/>
    <w:rsid w:val="00AC022F"/>
    <w:rsid w:val="00AC071D"/>
    <w:rsid w:val="00AC2995"/>
    <w:rsid w:val="00AC4165"/>
    <w:rsid w:val="00AC556A"/>
    <w:rsid w:val="00AC76EA"/>
    <w:rsid w:val="00AC7FB7"/>
    <w:rsid w:val="00AD23BF"/>
    <w:rsid w:val="00AD25B6"/>
    <w:rsid w:val="00AD2631"/>
    <w:rsid w:val="00AD662C"/>
    <w:rsid w:val="00AE1220"/>
    <w:rsid w:val="00AE287F"/>
    <w:rsid w:val="00AE39F3"/>
    <w:rsid w:val="00AE4006"/>
    <w:rsid w:val="00AE5118"/>
    <w:rsid w:val="00AE63BD"/>
    <w:rsid w:val="00AF0B2B"/>
    <w:rsid w:val="00AF2914"/>
    <w:rsid w:val="00AF363F"/>
    <w:rsid w:val="00AF3E4F"/>
    <w:rsid w:val="00AF71E5"/>
    <w:rsid w:val="00B0366D"/>
    <w:rsid w:val="00B071FF"/>
    <w:rsid w:val="00B10A24"/>
    <w:rsid w:val="00B11505"/>
    <w:rsid w:val="00B11DC2"/>
    <w:rsid w:val="00B15142"/>
    <w:rsid w:val="00B16F69"/>
    <w:rsid w:val="00B1789D"/>
    <w:rsid w:val="00B223FE"/>
    <w:rsid w:val="00B3208F"/>
    <w:rsid w:val="00B3260E"/>
    <w:rsid w:val="00B42807"/>
    <w:rsid w:val="00B428A6"/>
    <w:rsid w:val="00B43340"/>
    <w:rsid w:val="00B4461C"/>
    <w:rsid w:val="00B53913"/>
    <w:rsid w:val="00B554D4"/>
    <w:rsid w:val="00B55F3A"/>
    <w:rsid w:val="00B56906"/>
    <w:rsid w:val="00B61484"/>
    <w:rsid w:val="00B61E3E"/>
    <w:rsid w:val="00B641B1"/>
    <w:rsid w:val="00B71CB5"/>
    <w:rsid w:val="00B71F16"/>
    <w:rsid w:val="00B72922"/>
    <w:rsid w:val="00B72A13"/>
    <w:rsid w:val="00B72ADA"/>
    <w:rsid w:val="00B7473A"/>
    <w:rsid w:val="00B75819"/>
    <w:rsid w:val="00B75CDA"/>
    <w:rsid w:val="00B81526"/>
    <w:rsid w:val="00B819E4"/>
    <w:rsid w:val="00B84042"/>
    <w:rsid w:val="00B84DD5"/>
    <w:rsid w:val="00B9165A"/>
    <w:rsid w:val="00B924B4"/>
    <w:rsid w:val="00B9487E"/>
    <w:rsid w:val="00B95910"/>
    <w:rsid w:val="00B9692A"/>
    <w:rsid w:val="00BA29E7"/>
    <w:rsid w:val="00BA33AF"/>
    <w:rsid w:val="00BA3A4C"/>
    <w:rsid w:val="00BA61FA"/>
    <w:rsid w:val="00BA67FC"/>
    <w:rsid w:val="00BB0F20"/>
    <w:rsid w:val="00BB17D2"/>
    <w:rsid w:val="00BB50D7"/>
    <w:rsid w:val="00BB7F08"/>
    <w:rsid w:val="00BB7F81"/>
    <w:rsid w:val="00BC0623"/>
    <w:rsid w:val="00BC35CD"/>
    <w:rsid w:val="00BC3C54"/>
    <w:rsid w:val="00BC415B"/>
    <w:rsid w:val="00BD2C66"/>
    <w:rsid w:val="00BD2CDE"/>
    <w:rsid w:val="00BD3D16"/>
    <w:rsid w:val="00BD41CF"/>
    <w:rsid w:val="00BD75F3"/>
    <w:rsid w:val="00BE0164"/>
    <w:rsid w:val="00BE12BD"/>
    <w:rsid w:val="00BE2ED7"/>
    <w:rsid w:val="00BE3498"/>
    <w:rsid w:val="00BE6AB8"/>
    <w:rsid w:val="00BF040B"/>
    <w:rsid w:val="00BF086D"/>
    <w:rsid w:val="00BF2167"/>
    <w:rsid w:val="00BF43BC"/>
    <w:rsid w:val="00BF4DDA"/>
    <w:rsid w:val="00BF55C7"/>
    <w:rsid w:val="00BF7ED8"/>
    <w:rsid w:val="00C0222C"/>
    <w:rsid w:val="00C04139"/>
    <w:rsid w:val="00C0572E"/>
    <w:rsid w:val="00C1108E"/>
    <w:rsid w:val="00C14A51"/>
    <w:rsid w:val="00C14B1A"/>
    <w:rsid w:val="00C15C65"/>
    <w:rsid w:val="00C21B3D"/>
    <w:rsid w:val="00C24267"/>
    <w:rsid w:val="00C243E6"/>
    <w:rsid w:val="00C26FA6"/>
    <w:rsid w:val="00C270D9"/>
    <w:rsid w:val="00C2788D"/>
    <w:rsid w:val="00C31D37"/>
    <w:rsid w:val="00C33398"/>
    <w:rsid w:val="00C361F6"/>
    <w:rsid w:val="00C3669A"/>
    <w:rsid w:val="00C371D5"/>
    <w:rsid w:val="00C423E3"/>
    <w:rsid w:val="00C44BAC"/>
    <w:rsid w:val="00C45626"/>
    <w:rsid w:val="00C458AF"/>
    <w:rsid w:val="00C460A0"/>
    <w:rsid w:val="00C4720D"/>
    <w:rsid w:val="00C50068"/>
    <w:rsid w:val="00C549F4"/>
    <w:rsid w:val="00C54C34"/>
    <w:rsid w:val="00C60DD4"/>
    <w:rsid w:val="00C60F27"/>
    <w:rsid w:val="00C610F2"/>
    <w:rsid w:val="00C676F3"/>
    <w:rsid w:val="00C710C9"/>
    <w:rsid w:val="00C71AB8"/>
    <w:rsid w:val="00C73E8B"/>
    <w:rsid w:val="00C74E97"/>
    <w:rsid w:val="00C75909"/>
    <w:rsid w:val="00C767D5"/>
    <w:rsid w:val="00C77219"/>
    <w:rsid w:val="00C77EFD"/>
    <w:rsid w:val="00C809AF"/>
    <w:rsid w:val="00C81A10"/>
    <w:rsid w:val="00C81F39"/>
    <w:rsid w:val="00C829DF"/>
    <w:rsid w:val="00C82F5A"/>
    <w:rsid w:val="00C84021"/>
    <w:rsid w:val="00C86AEA"/>
    <w:rsid w:val="00C875AE"/>
    <w:rsid w:val="00C9310B"/>
    <w:rsid w:val="00C937FB"/>
    <w:rsid w:val="00CA2964"/>
    <w:rsid w:val="00CA696D"/>
    <w:rsid w:val="00CA6B5A"/>
    <w:rsid w:val="00CB00A4"/>
    <w:rsid w:val="00CB1536"/>
    <w:rsid w:val="00CB3907"/>
    <w:rsid w:val="00CB6167"/>
    <w:rsid w:val="00CC0C54"/>
    <w:rsid w:val="00CC1016"/>
    <w:rsid w:val="00CC32A0"/>
    <w:rsid w:val="00CC69C6"/>
    <w:rsid w:val="00CD0D1D"/>
    <w:rsid w:val="00CD1673"/>
    <w:rsid w:val="00CD1721"/>
    <w:rsid w:val="00CD1D22"/>
    <w:rsid w:val="00CD4DDC"/>
    <w:rsid w:val="00CE6301"/>
    <w:rsid w:val="00CF2008"/>
    <w:rsid w:val="00CF3649"/>
    <w:rsid w:val="00CF4188"/>
    <w:rsid w:val="00CF4E9E"/>
    <w:rsid w:val="00CF7848"/>
    <w:rsid w:val="00D058FC"/>
    <w:rsid w:val="00D06213"/>
    <w:rsid w:val="00D10010"/>
    <w:rsid w:val="00D11510"/>
    <w:rsid w:val="00D12BB7"/>
    <w:rsid w:val="00D159D4"/>
    <w:rsid w:val="00D15C79"/>
    <w:rsid w:val="00D21601"/>
    <w:rsid w:val="00D219BC"/>
    <w:rsid w:val="00D21AA7"/>
    <w:rsid w:val="00D22F1C"/>
    <w:rsid w:val="00D23D75"/>
    <w:rsid w:val="00D2639B"/>
    <w:rsid w:val="00D31882"/>
    <w:rsid w:val="00D31BAB"/>
    <w:rsid w:val="00D31D27"/>
    <w:rsid w:val="00D32109"/>
    <w:rsid w:val="00D336A4"/>
    <w:rsid w:val="00D34AFB"/>
    <w:rsid w:val="00D35A03"/>
    <w:rsid w:val="00D37377"/>
    <w:rsid w:val="00D41830"/>
    <w:rsid w:val="00D45B8C"/>
    <w:rsid w:val="00D56058"/>
    <w:rsid w:val="00D567E0"/>
    <w:rsid w:val="00D56A09"/>
    <w:rsid w:val="00D57976"/>
    <w:rsid w:val="00D61F2D"/>
    <w:rsid w:val="00D630DE"/>
    <w:rsid w:val="00D645C6"/>
    <w:rsid w:val="00D6548A"/>
    <w:rsid w:val="00D65905"/>
    <w:rsid w:val="00D67355"/>
    <w:rsid w:val="00D7327A"/>
    <w:rsid w:val="00D74EC8"/>
    <w:rsid w:val="00D81AC9"/>
    <w:rsid w:val="00D858CC"/>
    <w:rsid w:val="00D9086C"/>
    <w:rsid w:val="00D93AAA"/>
    <w:rsid w:val="00D94745"/>
    <w:rsid w:val="00D95DFF"/>
    <w:rsid w:val="00D963D5"/>
    <w:rsid w:val="00DA1588"/>
    <w:rsid w:val="00DA41B2"/>
    <w:rsid w:val="00DA5D06"/>
    <w:rsid w:val="00DA7B20"/>
    <w:rsid w:val="00DB049D"/>
    <w:rsid w:val="00DB473D"/>
    <w:rsid w:val="00DB5727"/>
    <w:rsid w:val="00DC2E38"/>
    <w:rsid w:val="00DC2FBF"/>
    <w:rsid w:val="00DC52BC"/>
    <w:rsid w:val="00DC621D"/>
    <w:rsid w:val="00DC6A98"/>
    <w:rsid w:val="00DC6EF8"/>
    <w:rsid w:val="00DC7245"/>
    <w:rsid w:val="00DC730A"/>
    <w:rsid w:val="00DD12FC"/>
    <w:rsid w:val="00DD1ED6"/>
    <w:rsid w:val="00DD2B0D"/>
    <w:rsid w:val="00DE130A"/>
    <w:rsid w:val="00DE1F21"/>
    <w:rsid w:val="00DE3369"/>
    <w:rsid w:val="00DE33DB"/>
    <w:rsid w:val="00DE38B2"/>
    <w:rsid w:val="00DF2C9A"/>
    <w:rsid w:val="00DF5291"/>
    <w:rsid w:val="00DF6AC1"/>
    <w:rsid w:val="00E010C4"/>
    <w:rsid w:val="00E04539"/>
    <w:rsid w:val="00E05572"/>
    <w:rsid w:val="00E10D04"/>
    <w:rsid w:val="00E15C6A"/>
    <w:rsid w:val="00E16292"/>
    <w:rsid w:val="00E166FD"/>
    <w:rsid w:val="00E16FA0"/>
    <w:rsid w:val="00E20294"/>
    <w:rsid w:val="00E25706"/>
    <w:rsid w:val="00E264BB"/>
    <w:rsid w:val="00E276DF"/>
    <w:rsid w:val="00E30596"/>
    <w:rsid w:val="00E31FF9"/>
    <w:rsid w:val="00E33434"/>
    <w:rsid w:val="00E33B23"/>
    <w:rsid w:val="00E37B1B"/>
    <w:rsid w:val="00E43C23"/>
    <w:rsid w:val="00E45160"/>
    <w:rsid w:val="00E45E6A"/>
    <w:rsid w:val="00E50A42"/>
    <w:rsid w:val="00E54FA5"/>
    <w:rsid w:val="00E56D64"/>
    <w:rsid w:val="00E57446"/>
    <w:rsid w:val="00E61081"/>
    <w:rsid w:val="00E65B18"/>
    <w:rsid w:val="00E65B9D"/>
    <w:rsid w:val="00E71CE6"/>
    <w:rsid w:val="00E71E16"/>
    <w:rsid w:val="00E728C6"/>
    <w:rsid w:val="00E76641"/>
    <w:rsid w:val="00E77AC7"/>
    <w:rsid w:val="00E80868"/>
    <w:rsid w:val="00E83DA2"/>
    <w:rsid w:val="00E851E8"/>
    <w:rsid w:val="00E862E7"/>
    <w:rsid w:val="00E86DF2"/>
    <w:rsid w:val="00E879EC"/>
    <w:rsid w:val="00E92A9D"/>
    <w:rsid w:val="00E95703"/>
    <w:rsid w:val="00E96F1E"/>
    <w:rsid w:val="00EA0297"/>
    <w:rsid w:val="00EA2C29"/>
    <w:rsid w:val="00EA3F05"/>
    <w:rsid w:val="00EA5E85"/>
    <w:rsid w:val="00EB0B07"/>
    <w:rsid w:val="00EB0C6A"/>
    <w:rsid w:val="00EB144E"/>
    <w:rsid w:val="00EB1B82"/>
    <w:rsid w:val="00EB2F49"/>
    <w:rsid w:val="00EB462A"/>
    <w:rsid w:val="00EB635D"/>
    <w:rsid w:val="00EB6AA6"/>
    <w:rsid w:val="00EC0354"/>
    <w:rsid w:val="00EC5A70"/>
    <w:rsid w:val="00EC70BC"/>
    <w:rsid w:val="00ED018E"/>
    <w:rsid w:val="00ED044F"/>
    <w:rsid w:val="00ED07AD"/>
    <w:rsid w:val="00ED39D5"/>
    <w:rsid w:val="00ED3B36"/>
    <w:rsid w:val="00EE4D81"/>
    <w:rsid w:val="00EE55F9"/>
    <w:rsid w:val="00EE62A5"/>
    <w:rsid w:val="00EE63DE"/>
    <w:rsid w:val="00EF00EA"/>
    <w:rsid w:val="00EF0CBA"/>
    <w:rsid w:val="00EF34E1"/>
    <w:rsid w:val="00EF36A0"/>
    <w:rsid w:val="00EF6E2C"/>
    <w:rsid w:val="00F00D0F"/>
    <w:rsid w:val="00F0109E"/>
    <w:rsid w:val="00F02310"/>
    <w:rsid w:val="00F11454"/>
    <w:rsid w:val="00F12E5A"/>
    <w:rsid w:val="00F221FC"/>
    <w:rsid w:val="00F24025"/>
    <w:rsid w:val="00F322F5"/>
    <w:rsid w:val="00F35033"/>
    <w:rsid w:val="00F35CAE"/>
    <w:rsid w:val="00F36EE7"/>
    <w:rsid w:val="00F41D9D"/>
    <w:rsid w:val="00F4468A"/>
    <w:rsid w:val="00F47EFB"/>
    <w:rsid w:val="00F505CE"/>
    <w:rsid w:val="00F5169E"/>
    <w:rsid w:val="00F51C0B"/>
    <w:rsid w:val="00F57AFC"/>
    <w:rsid w:val="00F627E4"/>
    <w:rsid w:val="00F65DBD"/>
    <w:rsid w:val="00F669B9"/>
    <w:rsid w:val="00F773E6"/>
    <w:rsid w:val="00F80A07"/>
    <w:rsid w:val="00F80C1E"/>
    <w:rsid w:val="00F80CEE"/>
    <w:rsid w:val="00F81C18"/>
    <w:rsid w:val="00F81F36"/>
    <w:rsid w:val="00F8493C"/>
    <w:rsid w:val="00F85468"/>
    <w:rsid w:val="00F864C5"/>
    <w:rsid w:val="00F86A45"/>
    <w:rsid w:val="00F86BC7"/>
    <w:rsid w:val="00F907D4"/>
    <w:rsid w:val="00F9202F"/>
    <w:rsid w:val="00F92AA4"/>
    <w:rsid w:val="00FA2519"/>
    <w:rsid w:val="00FA6B1E"/>
    <w:rsid w:val="00FB4165"/>
    <w:rsid w:val="00FB59A0"/>
    <w:rsid w:val="00FC1792"/>
    <w:rsid w:val="00FC42BD"/>
    <w:rsid w:val="00FD2E9B"/>
    <w:rsid w:val="00FE065B"/>
    <w:rsid w:val="00FE06D8"/>
    <w:rsid w:val="00FE17D2"/>
    <w:rsid w:val="00FE43C6"/>
    <w:rsid w:val="00FE7835"/>
    <w:rsid w:val="00FF304A"/>
    <w:rsid w:val="00FF6D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57696"/>
  <w15:docId w15:val="{3C58BB0F-9B57-42C6-BE76-28646FD5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30A89"/>
    <w:rPr>
      <w:sz w:val="20"/>
      <w:szCs w:val="20"/>
    </w:rPr>
  </w:style>
  <w:style w:type="character" w:customStyle="1" w:styleId="EndnoteTextChar">
    <w:name w:val="Endnote Text Char"/>
    <w:basedOn w:val="DefaultParagraphFont"/>
    <w:link w:val="EndnoteText"/>
    <w:uiPriority w:val="99"/>
    <w:semiHidden/>
    <w:rsid w:val="00030A89"/>
    <w:rPr>
      <w:rFonts w:ascii="Arial" w:hAnsi="Arial"/>
      <w:lang w:eastAsia="en-US"/>
    </w:rPr>
  </w:style>
  <w:style w:type="character" w:styleId="EndnoteReference">
    <w:name w:val="endnote reference"/>
    <w:basedOn w:val="DefaultParagraphFont"/>
    <w:uiPriority w:val="99"/>
    <w:semiHidden/>
    <w:unhideWhenUsed/>
    <w:rsid w:val="00030A89"/>
    <w:rPr>
      <w:vertAlign w:val="superscript"/>
    </w:rPr>
  </w:style>
  <w:style w:type="character" w:customStyle="1" w:styleId="footnoteanchor">
    <w:name w:val="footnoteanchor"/>
    <w:basedOn w:val="DefaultParagraphFont"/>
    <w:rsid w:val="00BF7ED8"/>
  </w:style>
  <w:style w:type="character" w:customStyle="1" w:styleId="AFUBodytextCharChar">
    <w:name w:val="AFU Body text Char Char"/>
    <w:basedOn w:val="DefaultParagraphFont"/>
    <w:link w:val="AFUBodytext"/>
    <w:locked/>
    <w:rsid w:val="007A1D60"/>
    <w:rPr>
      <w:rFonts w:ascii="Arial" w:hAnsi="Arial" w:cs="Arial"/>
      <w:sz w:val="22"/>
      <w:szCs w:val="22"/>
      <w:lang w:eastAsia="en-GB"/>
    </w:rPr>
  </w:style>
  <w:style w:type="paragraph" w:customStyle="1" w:styleId="AFUBodytext">
    <w:name w:val="AFU Body text"/>
    <w:basedOn w:val="Normal"/>
    <w:link w:val="AFUBodytextCharChar"/>
    <w:rsid w:val="007A1D60"/>
    <w:pPr>
      <w:spacing w:before="120" w:after="120" w:line="480" w:lineRule="auto"/>
      <w:jc w:val="both"/>
    </w:pPr>
    <w:rPr>
      <w:rFonts w:cs="Arial"/>
      <w:szCs w:val="22"/>
      <w:lang w:eastAsia="en-GB"/>
    </w:rPr>
  </w:style>
  <w:style w:type="paragraph" w:customStyle="1" w:styleId="AFUaffidavitnumbering">
    <w:name w:val="AFU affidavit numbering"/>
    <w:basedOn w:val="Normal"/>
    <w:link w:val="AFUaffidavitnumberingCharChar"/>
    <w:uiPriority w:val="99"/>
    <w:qFormat/>
    <w:rsid w:val="00E61081"/>
    <w:pPr>
      <w:numPr>
        <w:numId w:val="12"/>
      </w:numPr>
      <w:spacing w:before="240" w:after="240" w:line="480" w:lineRule="auto"/>
      <w:jc w:val="both"/>
    </w:pPr>
    <w:rPr>
      <w:rFonts w:eastAsia="Calibri"/>
      <w:szCs w:val="22"/>
    </w:rPr>
  </w:style>
  <w:style w:type="character" w:customStyle="1" w:styleId="AFUaffidavitnumberingCharChar">
    <w:name w:val="AFU affidavit numbering Char Char"/>
    <w:basedOn w:val="DefaultParagraphFont"/>
    <w:link w:val="AFUaffidavitnumbering"/>
    <w:uiPriority w:val="99"/>
    <w:rsid w:val="00E61081"/>
    <w:rPr>
      <w:rFonts w:ascii="Arial" w:eastAsia="Calibri" w:hAnsi="Arial"/>
      <w:sz w:val="22"/>
      <w:szCs w:val="22"/>
      <w:lang w:eastAsia="en-US"/>
    </w:rPr>
  </w:style>
  <w:style w:type="character" w:customStyle="1" w:styleId="searchhit">
    <w:name w:val="searchhit"/>
    <w:basedOn w:val="DefaultParagraphFont"/>
    <w:rsid w:val="00AC0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63209253">
      <w:bodyDiv w:val="1"/>
      <w:marLeft w:val="0"/>
      <w:marRight w:val="0"/>
      <w:marTop w:val="0"/>
      <w:marBottom w:val="0"/>
      <w:divBdr>
        <w:top w:val="none" w:sz="0" w:space="0" w:color="auto"/>
        <w:left w:val="none" w:sz="0" w:space="0" w:color="auto"/>
        <w:bottom w:val="none" w:sz="0" w:space="0" w:color="auto"/>
        <w:right w:val="none" w:sz="0" w:space="0" w:color="auto"/>
      </w:divBdr>
      <w:divsChild>
        <w:div w:id="1238244361">
          <w:marLeft w:val="0"/>
          <w:marRight w:val="0"/>
          <w:marTop w:val="240"/>
          <w:marBottom w:val="0"/>
          <w:divBdr>
            <w:top w:val="none" w:sz="0" w:space="0" w:color="auto"/>
            <w:left w:val="none" w:sz="0" w:space="0" w:color="auto"/>
            <w:bottom w:val="none" w:sz="0" w:space="0" w:color="auto"/>
            <w:right w:val="none" w:sz="0" w:space="0" w:color="auto"/>
          </w:divBdr>
        </w:div>
        <w:div w:id="559486776">
          <w:marLeft w:val="0"/>
          <w:marRight w:val="0"/>
          <w:marTop w:val="120"/>
          <w:marBottom w:val="0"/>
          <w:divBdr>
            <w:top w:val="none" w:sz="0" w:space="0" w:color="auto"/>
            <w:left w:val="none" w:sz="0" w:space="0" w:color="auto"/>
            <w:bottom w:val="none" w:sz="0" w:space="0" w:color="auto"/>
            <w:right w:val="none" w:sz="0" w:space="0" w:color="auto"/>
          </w:divBdr>
        </w:div>
        <w:div w:id="1412848520">
          <w:marLeft w:val="567"/>
          <w:marRight w:val="567"/>
          <w:marTop w:val="20"/>
          <w:marBottom w:val="20"/>
          <w:divBdr>
            <w:top w:val="none" w:sz="0" w:space="0" w:color="auto"/>
            <w:left w:val="none" w:sz="0" w:space="0" w:color="auto"/>
            <w:bottom w:val="none" w:sz="0" w:space="0" w:color="auto"/>
            <w:right w:val="none" w:sz="0" w:space="0" w:color="auto"/>
          </w:divBdr>
        </w:div>
      </w:divsChild>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570697089">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150560590">
      <w:bodyDiv w:val="1"/>
      <w:marLeft w:val="0"/>
      <w:marRight w:val="0"/>
      <w:marTop w:val="0"/>
      <w:marBottom w:val="0"/>
      <w:divBdr>
        <w:top w:val="none" w:sz="0" w:space="0" w:color="auto"/>
        <w:left w:val="none" w:sz="0" w:space="0" w:color="auto"/>
        <w:bottom w:val="none" w:sz="0" w:space="0" w:color="auto"/>
        <w:right w:val="none" w:sz="0" w:space="0" w:color="auto"/>
      </w:divBdr>
    </w:div>
    <w:div w:id="1174035608">
      <w:bodyDiv w:val="1"/>
      <w:marLeft w:val="0"/>
      <w:marRight w:val="0"/>
      <w:marTop w:val="0"/>
      <w:marBottom w:val="0"/>
      <w:divBdr>
        <w:top w:val="none" w:sz="0" w:space="0" w:color="auto"/>
        <w:left w:val="none" w:sz="0" w:space="0" w:color="auto"/>
        <w:bottom w:val="none" w:sz="0" w:space="0" w:color="auto"/>
        <w:right w:val="none" w:sz="0" w:space="0" w:color="auto"/>
      </w:divBdr>
    </w:div>
    <w:div w:id="1197696140">
      <w:bodyDiv w:val="1"/>
      <w:marLeft w:val="0"/>
      <w:marRight w:val="0"/>
      <w:marTop w:val="0"/>
      <w:marBottom w:val="0"/>
      <w:divBdr>
        <w:top w:val="none" w:sz="0" w:space="0" w:color="auto"/>
        <w:left w:val="none" w:sz="0" w:space="0" w:color="auto"/>
        <w:bottom w:val="none" w:sz="0" w:space="0" w:color="auto"/>
        <w:right w:val="none" w:sz="0" w:space="0" w:color="auto"/>
      </w:divBdr>
      <w:divsChild>
        <w:div w:id="1892958996">
          <w:marLeft w:val="675"/>
          <w:marRight w:val="0"/>
          <w:marTop w:val="0"/>
          <w:marBottom w:val="0"/>
          <w:divBdr>
            <w:top w:val="none" w:sz="0" w:space="0" w:color="auto"/>
            <w:left w:val="none" w:sz="0" w:space="0" w:color="auto"/>
            <w:bottom w:val="none" w:sz="0" w:space="0" w:color="auto"/>
            <w:right w:val="none" w:sz="0" w:space="0" w:color="auto"/>
          </w:divBdr>
        </w:div>
        <w:div w:id="1878808815">
          <w:marLeft w:val="675"/>
          <w:marRight w:val="0"/>
          <w:marTop w:val="0"/>
          <w:marBottom w:val="0"/>
          <w:divBdr>
            <w:top w:val="none" w:sz="0" w:space="0" w:color="auto"/>
            <w:left w:val="none" w:sz="0" w:space="0" w:color="auto"/>
            <w:bottom w:val="none" w:sz="0" w:space="0" w:color="auto"/>
            <w:right w:val="none" w:sz="0" w:space="0" w:color="auto"/>
          </w:divBdr>
        </w:div>
        <w:div w:id="1937789993">
          <w:marLeft w:val="675"/>
          <w:marRight w:val="0"/>
          <w:marTop w:val="0"/>
          <w:marBottom w:val="0"/>
          <w:divBdr>
            <w:top w:val="none" w:sz="0" w:space="0" w:color="auto"/>
            <w:left w:val="none" w:sz="0" w:space="0" w:color="auto"/>
            <w:bottom w:val="none" w:sz="0" w:space="0" w:color="auto"/>
            <w:right w:val="none" w:sz="0" w:space="0" w:color="auto"/>
          </w:divBdr>
        </w:div>
      </w:divsChild>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670987435">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BA14C-0D39-4AF6-A1C7-21EA24505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1</TotalTime>
  <Pages>5</Pages>
  <Words>965</Words>
  <Characters>4850</Characters>
  <Application>Microsoft Office Word</Application>
  <DocSecurity>0</DocSecurity>
  <Lines>89</Lines>
  <Paragraphs>27</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JOHAN MOORCROFT</cp:keywords>
  <cp:lastModifiedBy>Mokone</cp:lastModifiedBy>
  <cp:revision>3</cp:revision>
  <cp:lastPrinted>2023-06-08T10:46:00Z</cp:lastPrinted>
  <dcterms:created xsi:type="dcterms:W3CDTF">2023-10-17T11:36:00Z</dcterms:created>
  <dcterms:modified xsi:type="dcterms:W3CDTF">2023-10-17T11:37:00Z</dcterms:modified>
</cp:coreProperties>
</file>