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0B2D" w14:textId="77777777" w:rsidR="00CC464E" w:rsidRDefault="00CC464E" w:rsidP="00CC464E">
      <w:pPr>
        <w:suppressAutoHyphens/>
        <w:spacing w:after="0" w:line="480" w:lineRule="auto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14:paraId="3C0535ED" w14:textId="77777777" w:rsidR="00CC464E" w:rsidRPr="008A779E" w:rsidRDefault="00CC464E" w:rsidP="00CC464E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Times New Roman" w:eastAsia="Arial Unicode MS" w:hAnsi="Times New Roman" w:cs="Times New Roman"/>
          <w:b/>
          <w:color w:val="222222"/>
          <w:sz w:val="28"/>
          <w:szCs w:val="28"/>
          <w:lang w:val="af-ZA"/>
        </w:rPr>
      </w:pPr>
      <w:r w:rsidRPr="008A779E">
        <w:rPr>
          <w:rFonts w:ascii="Times New Roman" w:eastAsia="Arial Unicode MS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4E3C9D6" wp14:editId="38062F59">
            <wp:extent cx="972000" cy="972000"/>
            <wp:effectExtent l="0" t="0" r="0" b="0"/>
            <wp:docPr id="1960864442" name="Picture 1960864442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A84E" w14:textId="77777777" w:rsidR="00CC464E" w:rsidRPr="008A779E" w:rsidRDefault="00CC464E" w:rsidP="00CC464E">
      <w:pPr>
        <w:shd w:val="clear" w:color="auto" w:fill="F5F5F5"/>
        <w:suppressAutoHyphens/>
        <w:spacing w:after="120" w:line="360" w:lineRule="auto"/>
        <w:jc w:val="center"/>
        <w:textAlignment w:val="top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A779E">
        <w:rPr>
          <w:rFonts w:ascii="Times New Roman" w:eastAsia="Arial Unicode MS" w:hAnsi="Times New Roman" w:cs="Times New Roman"/>
          <w:b/>
          <w:sz w:val="28"/>
          <w:szCs w:val="28"/>
          <w:lang w:val="af-ZA"/>
        </w:rPr>
        <w:t>IN THE HIGH COURT OF SOUTH AFRICA</w:t>
      </w:r>
      <w:r w:rsidRPr="008A779E">
        <w:rPr>
          <w:rFonts w:ascii="Times New Roman" w:eastAsia="Arial Unicode MS" w:hAnsi="Times New Roman" w:cs="Times New Roman"/>
          <w:b/>
          <w:sz w:val="28"/>
          <w:szCs w:val="28"/>
          <w:lang w:val="af-ZA"/>
        </w:rPr>
        <w:br/>
        <w:t>(GAUTENG DIVISION, JOHANNESBURG)</w:t>
      </w:r>
    </w:p>
    <w:p w14:paraId="2E2F7EB2" w14:textId="77777777" w:rsidR="00CC464E" w:rsidRPr="008A779E" w:rsidRDefault="00CC464E" w:rsidP="00CC464E">
      <w:pPr>
        <w:shd w:val="clear" w:color="auto" w:fill="F5F5F5"/>
        <w:suppressAutoHyphens/>
        <w:spacing w:after="120" w:line="360" w:lineRule="auto"/>
        <w:jc w:val="center"/>
        <w:textAlignment w:val="top"/>
        <w:rPr>
          <w:rFonts w:ascii="Times New Roman" w:eastAsia="Arial Unicode MS" w:hAnsi="Times New Roman" w:cs="Times New Roman"/>
          <w:b/>
          <w:color w:val="777777"/>
          <w:sz w:val="28"/>
          <w:szCs w:val="28"/>
        </w:rPr>
      </w:pPr>
      <w:r w:rsidRPr="008A779E">
        <w:rPr>
          <w:rFonts w:ascii="Times New Roman" w:eastAsia="Arial Unicode MS" w:hAnsi="Times New Roman" w:cs="Times New Roman"/>
          <w:b/>
          <w:sz w:val="28"/>
          <w:szCs w:val="28"/>
        </w:rPr>
        <w:t>REPUBLIC OF SOUTH AFRICA</w:t>
      </w:r>
    </w:p>
    <w:p w14:paraId="6F1C3BA4" w14:textId="72CDED9C" w:rsidR="00CC464E" w:rsidRPr="008A779E" w:rsidRDefault="004955D3" w:rsidP="004955D3">
      <w:pPr>
        <w:ind w:left="5760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C464E" w:rsidRPr="008A779E">
        <w:rPr>
          <w:rFonts w:ascii="Times New Roman" w:eastAsia="Times New Roman" w:hAnsi="Times New Roman" w:cs="Times New Roman"/>
          <w:b/>
          <w:bCs/>
          <w:sz w:val="28"/>
          <w:szCs w:val="28"/>
        </w:rPr>
        <w:t>CASE NO</w:t>
      </w:r>
      <w:r w:rsidR="00CC464E" w:rsidRPr="008A77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E1D37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41796</w:t>
      </w:r>
      <w:r w:rsidR="008A779E" w:rsidRPr="008A779E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/202</w:t>
      </w:r>
      <w:r w:rsidR="000E1D37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0</w:t>
      </w:r>
    </w:p>
    <w:p w14:paraId="63D62A52" w14:textId="77777777" w:rsidR="00510DEE" w:rsidRPr="004B16A6" w:rsidRDefault="00510DEE" w:rsidP="00510DE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</w:tblGrid>
      <w:tr w:rsidR="00510DEE" w:rsidRPr="004B16A6" w14:paraId="4861BD55" w14:textId="77777777" w:rsidTr="00F90DA6">
        <w:trPr>
          <w:trHeight w:val="2618"/>
        </w:trPr>
        <w:tc>
          <w:tcPr>
            <w:tcW w:w="4765" w:type="dxa"/>
          </w:tcPr>
          <w:p w14:paraId="09111015" w14:textId="77777777" w:rsidR="00510DEE" w:rsidRPr="004B16A6" w:rsidRDefault="00510DEE" w:rsidP="00F90DA6">
            <w:pPr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bookmarkStart w:id="1" w:name="_Hlk148099835"/>
          </w:p>
          <w:p w14:paraId="6EA29818" w14:textId="77777777" w:rsidR="00510DEE" w:rsidRPr="004B16A6" w:rsidRDefault="00510DEE" w:rsidP="00F90DA6">
            <w:pP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>(1)</w:t>
            </w: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ab/>
              <w:t xml:space="preserve">REPORTABLE:  </w:t>
            </w:r>
            <w:r w:rsidRPr="004B16A6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NO</w:t>
            </w:r>
          </w:p>
          <w:p w14:paraId="6EB1BFD6" w14:textId="77777777" w:rsidR="00510DEE" w:rsidRPr="004B16A6" w:rsidRDefault="00510DEE" w:rsidP="00F90DA6">
            <w:pP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>(2)</w:t>
            </w: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ab/>
              <w:t xml:space="preserve">OF INTEREST TO OTHER JUDGES: </w:t>
            </w:r>
            <w:r w:rsidRPr="004B16A6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NO</w:t>
            </w:r>
          </w:p>
          <w:p w14:paraId="34195CF8" w14:textId="77777777" w:rsidR="00510DEE" w:rsidRPr="004B16A6" w:rsidRDefault="00510DEE" w:rsidP="00F90DA6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>(3)</w:t>
            </w: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ab/>
              <w:t xml:space="preserve">REVISED: </w:t>
            </w:r>
            <w:r w:rsidRPr="004B16A6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NO</w:t>
            </w:r>
          </w:p>
          <w:p w14:paraId="4C10630B" w14:textId="5CE666D9" w:rsidR="00510DEE" w:rsidRPr="004C0333" w:rsidRDefault="00510DEE" w:rsidP="00F90DA6">
            <w:pP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>(4)</w:t>
            </w: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ab/>
              <w:t>DATE: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  <w:r w:rsidRPr="004C0333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1</w:t>
            </w:r>
            <w:r w:rsidR="00A3702F" w:rsidRPr="004C0333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3</w:t>
            </w:r>
            <w:r w:rsidRPr="004C0333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OCTOBER 2023</w:t>
            </w:r>
          </w:p>
          <w:p w14:paraId="2BB48BBE" w14:textId="77777777" w:rsidR="00510DEE" w:rsidRPr="004B16A6" w:rsidRDefault="00510DEE" w:rsidP="00F90DA6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>(5)</w:t>
            </w:r>
            <w:r w:rsidRPr="004B16A6">
              <w:rPr>
                <w:rFonts w:ascii="Times New Roman" w:eastAsia="Arial Unicode MS" w:hAnsi="Times New Roman"/>
                <w:sz w:val="18"/>
                <w:szCs w:val="18"/>
              </w:rPr>
              <w:tab/>
              <w:t xml:space="preserve">SIGNATURE: </w:t>
            </w:r>
            <w:r w:rsidRPr="004B16A6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ML SENYATSI</w:t>
            </w:r>
          </w:p>
        </w:tc>
      </w:tr>
      <w:bookmarkEnd w:id="1"/>
    </w:tbl>
    <w:p w14:paraId="1C88984F" w14:textId="77777777" w:rsidR="00CC464E" w:rsidRPr="008A779E" w:rsidRDefault="00CC464E" w:rsidP="00CC464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6F5943" w14:textId="74B5B337" w:rsidR="00CC464E" w:rsidRPr="008A779E" w:rsidRDefault="00510DEE" w:rsidP="00510DE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64E" w:rsidRPr="008A779E">
        <w:rPr>
          <w:rFonts w:ascii="Times New Roman" w:eastAsia="Times New Roman" w:hAnsi="Times New Roman" w:cs="Times New Roman"/>
          <w:sz w:val="28"/>
          <w:szCs w:val="28"/>
        </w:rPr>
        <w:t>In the matter between: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204"/>
        <w:gridCol w:w="3435"/>
      </w:tblGrid>
      <w:tr w:rsidR="00CC464E" w:rsidRPr="008A779E" w14:paraId="1D30E963" w14:textId="77777777" w:rsidTr="00445DE0">
        <w:tc>
          <w:tcPr>
            <w:tcW w:w="6204" w:type="dxa"/>
          </w:tcPr>
          <w:p w14:paraId="64C057BF" w14:textId="0BCE3DA8" w:rsidR="00CC464E" w:rsidRPr="008A779E" w:rsidRDefault="000E1D37" w:rsidP="00B10B71">
            <w:pPr>
              <w:tabs>
                <w:tab w:val="right" w:pos="82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="00510D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CARTHY </w:t>
            </w:r>
            <w:r w:rsidR="00510D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PTY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LIMITED</w:t>
            </w:r>
            <w:r w:rsidR="00CC464E" w:rsidRPr="008A7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</w:t>
            </w:r>
          </w:p>
          <w:p w14:paraId="41F3369E" w14:textId="77777777" w:rsidR="00CC464E" w:rsidRPr="008A779E" w:rsidRDefault="00CC464E" w:rsidP="00B10B71">
            <w:pPr>
              <w:tabs>
                <w:tab w:val="right" w:pos="82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46457551" w14:textId="644BB7D9" w:rsidR="00B57152" w:rsidRDefault="00B57152" w:rsidP="00B10B71">
            <w:pPr>
              <w:tabs>
                <w:tab w:val="right" w:pos="82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CC464E" w:rsidRPr="008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nd</w:t>
            </w:r>
          </w:p>
          <w:p w14:paraId="67A47050" w14:textId="77777777" w:rsidR="00510DEE" w:rsidRDefault="00510DEE" w:rsidP="00B10B71">
            <w:pPr>
              <w:tabs>
                <w:tab w:val="right" w:pos="82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74E74335" w14:textId="7188A62C" w:rsidR="00CC464E" w:rsidRPr="00510DEE" w:rsidRDefault="00510DEE" w:rsidP="004C0333">
            <w:pPr>
              <w:widowControl w:val="0"/>
              <w:suppressAutoHyphens/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LAUREN BARBARA OLINSKY</w:t>
            </w:r>
            <w:r w:rsidRPr="008A7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3435" w:type="dxa"/>
          </w:tcPr>
          <w:p w14:paraId="670A3A71" w14:textId="7B2D3C78" w:rsidR="00CC464E" w:rsidRDefault="00CC464E" w:rsidP="004C033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1D37" w:rsidRPr="00510D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Plaintiff</w:t>
            </w:r>
          </w:p>
          <w:p w14:paraId="078D13E5" w14:textId="77777777" w:rsidR="00510DEE" w:rsidRDefault="00510DEE" w:rsidP="004C033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0FD58700" w14:textId="77777777" w:rsidR="00510DEE" w:rsidRPr="00510DEE" w:rsidRDefault="00510DEE" w:rsidP="004C033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5CA6684" w14:textId="0FD04730" w:rsidR="00B57152" w:rsidRPr="008A779E" w:rsidRDefault="00510DEE" w:rsidP="004C0333">
            <w:pPr>
              <w:widowControl w:val="0"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Defendant</w:t>
            </w:r>
          </w:p>
          <w:p w14:paraId="0F53CECB" w14:textId="157390A7" w:rsidR="00CC464E" w:rsidRPr="008A779E" w:rsidRDefault="00CC464E" w:rsidP="004C0333">
            <w:pPr>
              <w:widowControl w:val="0"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BF4029D" w14:textId="28D606CD" w:rsidR="00CC464E" w:rsidRPr="008A779E" w:rsidRDefault="00CC464E" w:rsidP="00B10B71">
      <w:pPr>
        <w:pBdr>
          <w:top w:val="single" w:sz="36" w:space="31" w:color="auto"/>
          <w:bottom w:val="single" w:sz="36" w:space="1" w:color="auto"/>
        </w:pBdr>
        <w:suppressAutoHyphens/>
        <w:spacing w:before="360" w:after="12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A779E">
        <w:rPr>
          <w:rFonts w:ascii="Times New Roman" w:eastAsia="Arial Unicode MS" w:hAnsi="Times New Roman" w:cs="Times New Roman"/>
          <w:b/>
          <w:sz w:val="28"/>
          <w:szCs w:val="28"/>
        </w:rPr>
        <w:t>JUDGMEN</w:t>
      </w:r>
      <w:r w:rsidR="00630B24" w:rsidRPr="008A779E">
        <w:rPr>
          <w:rFonts w:ascii="Times New Roman" w:eastAsia="Arial Unicode MS" w:hAnsi="Times New Roman" w:cs="Times New Roman"/>
          <w:b/>
          <w:sz w:val="28"/>
          <w:szCs w:val="28"/>
        </w:rPr>
        <w:t>T</w:t>
      </w:r>
    </w:p>
    <w:p w14:paraId="4A9215E7" w14:textId="77777777" w:rsidR="00510DEE" w:rsidRDefault="00CC464E" w:rsidP="00510DEE">
      <w:pPr>
        <w:suppressAutoHyphens/>
        <w:spacing w:before="320" w:after="32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77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SENYATSI J</w:t>
      </w:r>
    </w:p>
    <w:p w14:paraId="63A37531" w14:textId="1B23E197" w:rsidR="00656E12" w:rsidRPr="00510DEE" w:rsidRDefault="00656E12" w:rsidP="004C0333">
      <w:pPr>
        <w:suppressAutoHyphens/>
        <w:spacing w:before="320" w:after="0" w:line="48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E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Introduction</w:t>
      </w:r>
    </w:p>
    <w:p w14:paraId="36B059CB" w14:textId="4C6EF661" w:rsidR="00C01BB7" w:rsidRDefault="00CC464E" w:rsidP="004C0333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[1] </w:t>
      </w: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B253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On 5 </w:t>
      </w:r>
      <w:r w:rsidR="00456793">
        <w:rPr>
          <w:rFonts w:ascii="Times New Roman" w:eastAsia="Calibri" w:hAnsi="Times New Roman" w:cs="Times New Roman"/>
          <w:sz w:val="28"/>
          <w:szCs w:val="28"/>
          <w:lang w:val="en-GB"/>
        </w:rPr>
        <w:t>October 2023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45679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 granted an application for absolution f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>rom</w:t>
      </w:r>
      <w:r w:rsidR="0045679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instance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t</w:t>
      </w:r>
      <w:r w:rsidR="00C01BB7">
        <w:rPr>
          <w:rFonts w:ascii="Times New Roman" w:eastAsia="Calibri" w:hAnsi="Times New Roman" w:cs="Times New Roman"/>
          <w:sz w:val="28"/>
          <w:szCs w:val="28"/>
          <w:lang w:val="en-GB"/>
        </w:rPr>
        <w:t>he reasons for the order are as set out in this judgment.</w:t>
      </w:r>
    </w:p>
    <w:p w14:paraId="4DB0B6BC" w14:textId="4E38DDBE" w:rsidR="00EE18D3" w:rsidRDefault="00C01BB7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[2] 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CD791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This is an application for absolution from the instance brought by the </w:t>
      </w:r>
      <w:r w:rsidR="009320FC">
        <w:rPr>
          <w:rFonts w:ascii="Times New Roman" w:eastAsia="Calibri" w:hAnsi="Times New Roman" w:cs="Times New Roman"/>
          <w:sz w:val="28"/>
          <w:szCs w:val="28"/>
          <w:lang w:val="en-GB"/>
        </w:rPr>
        <w:t>defendant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320FC">
        <w:rPr>
          <w:rFonts w:ascii="Times New Roman" w:eastAsia="Calibri" w:hAnsi="Times New Roman" w:cs="Times New Roman"/>
          <w:sz w:val="28"/>
          <w:szCs w:val="28"/>
          <w:lang w:val="en-GB"/>
        </w:rPr>
        <w:t>(“</w:t>
      </w:r>
      <w:r w:rsidR="00440DE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Olinsky”).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>The plaintiff (“McCarthy”)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sued Olinsky for the </w:t>
      </w:r>
      <w:r w:rsidR="008F49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alleged damages it 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>suffered. The</w:t>
      </w:r>
      <w:r w:rsidR="002E7D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quantum claimed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McCarthy</w:t>
      </w:r>
      <w:r w:rsidR="002E7D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is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R5 million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which it </w:t>
      </w:r>
      <w:r w:rsidR="002E7DD6">
        <w:rPr>
          <w:rFonts w:ascii="Times New Roman" w:eastAsia="Calibri" w:hAnsi="Times New Roman" w:cs="Times New Roman"/>
          <w:sz w:val="28"/>
          <w:szCs w:val="28"/>
          <w:lang w:val="en-GB"/>
        </w:rPr>
        <w:t>claim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 </w:t>
      </w:r>
      <w:r w:rsidR="002E7DD6">
        <w:rPr>
          <w:rFonts w:ascii="Times New Roman" w:eastAsia="Calibri" w:hAnsi="Times New Roman" w:cs="Times New Roman"/>
          <w:sz w:val="28"/>
          <w:szCs w:val="28"/>
          <w:lang w:val="en-GB"/>
        </w:rPr>
        <w:t>was induced by Olin</w:t>
      </w:r>
      <w:r w:rsidR="00796C2D">
        <w:rPr>
          <w:rFonts w:ascii="Times New Roman" w:eastAsia="Calibri" w:hAnsi="Times New Roman" w:cs="Times New Roman"/>
          <w:sz w:val="28"/>
          <w:szCs w:val="28"/>
          <w:lang w:val="en-GB"/>
        </w:rPr>
        <w:t>sky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>’s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misrepresentation 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and 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>caused it</w:t>
      </w:r>
      <w:r w:rsidR="00796C2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advance 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amount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>to CanCom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>(Pty)</w:t>
      </w:r>
      <w:r w:rsidR="00826DE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>Ltd</w:t>
      </w:r>
      <w:r w:rsidR="004B6F3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</w:t>
      </w:r>
      <w:r w:rsidR="00091660">
        <w:rPr>
          <w:rFonts w:ascii="Times New Roman" w:eastAsia="Calibri" w:hAnsi="Times New Roman" w:cs="Times New Roman"/>
          <w:sz w:val="28"/>
          <w:szCs w:val="28"/>
          <w:lang w:val="en-GB"/>
        </w:rPr>
        <w:t>“</w:t>
      </w:r>
      <w:r w:rsidR="004B6F37">
        <w:rPr>
          <w:rFonts w:ascii="Times New Roman" w:eastAsia="Calibri" w:hAnsi="Times New Roman" w:cs="Times New Roman"/>
          <w:sz w:val="28"/>
          <w:szCs w:val="28"/>
          <w:lang w:val="en-GB"/>
        </w:rPr>
        <w:t>CanCom</w:t>
      </w:r>
      <w:r w:rsidR="00091660">
        <w:rPr>
          <w:rFonts w:ascii="Times New Roman" w:eastAsia="Calibri" w:hAnsi="Times New Roman" w:cs="Times New Roman"/>
          <w:sz w:val="28"/>
          <w:szCs w:val="28"/>
          <w:lang w:val="en-GB"/>
        </w:rPr>
        <w:t>”)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E6018">
        <w:rPr>
          <w:rFonts w:ascii="Times New Roman" w:eastAsia="Calibri" w:hAnsi="Times New Roman" w:cs="Times New Roman"/>
          <w:sz w:val="28"/>
          <w:szCs w:val="28"/>
          <w:lang w:val="en-GB"/>
        </w:rPr>
        <w:t>a company which Olinsky was the sole director and shareholder of.</w:t>
      </w:r>
      <w:r w:rsidR="00591C8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7193DB9D" w14:textId="18CA341A" w:rsidR="003B50CE" w:rsidRDefault="000060AB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C01BB7">
        <w:rPr>
          <w:rFonts w:ascii="Times New Roman" w:eastAsia="Calibri" w:hAnsi="Times New Roman" w:cs="Times New Roman"/>
          <w:sz w:val="28"/>
          <w:szCs w:val="28"/>
          <w:lang w:val="en-GB"/>
        </w:rPr>
        <w:t>3</w:t>
      </w:r>
      <w:r w:rsidR="00B0143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510DE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B01432">
        <w:rPr>
          <w:rFonts w:ascii="Times New Roman" w:eastAsia="Calibri" w:hAnsi="Times New Roman" w:cs="Times New Roman"/>
          <w:sz w:val="28"/>
          <w:szCs w:val="28"/>
          <w:lang w:val="en-GB"/>
        </w:rPr>
        <w:t>McCarthy’s</w:t>
      </w:r>
      <w:r w:rsidR="00351CD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bas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>is</w:t>
      </w:r>
      <w:r w:rsidR="00351CDE">
        <w:rPr>
          <w:rFonts w:ascii="Times New Roman" w:eastAsia="Calibri" w:hAnsi="Times New Roman" w:cs="Times New Roman"/>
          <w:sz w:val="28"/>
          <w:szCs w:val="28"/>
          <w:lang w:val="en-GB"/>
        </w:rPr>
        <w:t>, so it contends</w:t>
      </w:r>
      <w:r w:rsidR="00FA63FC">
        <w:rPr>
          <w:rFonts w:ascii="Times New Roman" w:eastAsia="Calibri" w:hAnsi="Times New Roman" w:cs="Times New Roman"/>
          <w:sz w:val="28"/>
          <w:szCs w:val="28"/>
          <w:lang w:val="en-GB"/>
        </w:rPr>
        <w:t>, is delict because Olinsky</w:t>
      </w:r>
      <w:r w:rsidR="00826DE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>decei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>ved</w:t>
      </w:r>
      <w:r w:rsidR="00FA63F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and </w:t>
      </w:r>
      <w:r w:rsidR="003426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>caused</w:t>
      </w:r>
      <w:r w:rsidR="003426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it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</w:t>
      </w:r>
      <w:r w:rsidR="003426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advance R5 million 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>to Can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om </w:t>
      </w:r>
      <w:r w:rsidR="003426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during </w:t>
      </w:r>
      <w:r w:rsidR="00A81CB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9 </w:t>
      </w:r>
      <w:r w:rsidR="003426C5">
        <w:rPr>
          <w:rFonts w:ascii="Times New Roman" w:eastAsia="Calibri" w:hAnsi="Times New Roman" w:cs="Times New Roman"/>
          <w:sz w:val="28"/>
          <w:szCs w:val="28"/>
          <w:lang w:val="en-GB"/>
        </w:rPr>
        <w:t>June 2019 and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>thereafter</w:t>
      </w:r>
      <w:r w:rsidR="003426C5" w:rsidRPr="005677C9"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  <w:t xml:space="preserve"> </w:t>
      </w:r>
      <w:r w:rsidR="00EF05FE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proceeded to </w:t>
      </w:r>
      <w:r w:rsidR="003426C5">
        <w:rPr>
          <w:rFonts w:ascii="Times New Roman" w:eastAsia="Calibri" w:hAnsi="Times New Roman" w:cs="Times New Roman"/>
          <w:sz w:val="28"/>
          <w:szCs w:val="28"/>
          <w:lang w:val="en-GB"/>
        </w:rPr>
        <w:t>put CanCom in volun</w:t>
      </w:r>
      <w:r w:rsidR="003262B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tary winding up </w:t>
      </w:r>
      <w:r w:rsidR="002C03BA">
        <w:rPr>
          <w:rFonts w:ascii="Times New Roman" w:eastAsia="Calibri" w:hAnsi="Times New Roman" w:cs="Times New Roman"/>
          <w:sz w:val="28"/>
          <w:szCs w:val="28"/>
          <w:lang w:val="en-GB"/>
        </w:rPr>
        <w:t>on 31</w:t>
      </w:r>
      <w:r w:rsidR="003262B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July 2019.</w:t>
      </w:r>
      <w:r w:rsidR="006838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4696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pleaded case by McCarthy is that </w:t>
      </w:r>
      <w:r w:rsidR="0098719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business of CanCom represented by Olinsky was carried </w:t>
      </w:r>
      <w:r w:rsidR="00987193" w:rsidRPr="00854662">
        <w:rPr>
          <w:rFonts w:ascii="Times New Roman" w:eastAsia="Calibri" w:hAnsi="Times New Roman" w:cs="Times New Roman"/>
          <w:sz w:val="28"/>
          <w:szCs w:val="28"/>
          <w:lang w:val="en-GB"/>
        </w:rPr>
        <w:t>on</w:t>
      </w:r>
      <w:r w:rsidR="00EF05FE"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  <w:t xml:space="preserve"> </w:t>
      </w:r>
      <w:r w:rsidR="00987193" w:rsidRPr="005677C9"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  <w:t xml:space="preserve"> </w:t>
      </w:r>
      <w:r w:rsidR="0098719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with the intent </w:t>
      </w:r>
      <w:r w:rsidR="00730105">
        <w:rPr>
          <w:rFonts w:ascii="Times New Roman" w:eastAsia="Calibri" w:hAnsi="Times New Roman" w:cs="Times New Roman"/>
          <w:sz w:val="28"/>
          <w:szCs w:val="28"/>
          <w:lang w:val="en-GB"/>
        </w:rPr>
        <w:t>of defrauding McCarthy</w:t>
      </w:r>
      <w:r w:rsidR="00965EC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various ways </w:t>
      </w:r>
      <w:r w:rsidR="00EF05FE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as</w:t>
      </w:r>
      <w:r w:rsidR="005677C9" w:rsidRPr="005677C9"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  <w:t xml:space="preserve"> </w:t>
      </w:r>
      <w:r w:rsidR="00965EC7">
        <w:rPr>
          <w:rFonts w:ascii="Times New Roman" w:eastAsia="Calibri" w:hAnsi="Times New Roman" w:cs="Times New Roman"/>
          <w:sz w:val="28"/>
          <w:szCs w:val="28"/>
          <w:lang w:val="en-GB"/>
        </w:rPr>
        <w:t>set out in paragraphs 6 and 7 of the particulars of claim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; </w:t>
      </w:r>
      <w:r w:rsidR="00AB54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which include </w:t>
      </w:r>
      <w:r w:rsidR="00F0221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for instance </w:t>
      </w:r>
      <w:r w:rsidR="007C5E5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alleged inducement to enter into </w:t>
      </w:r>
      <w:r w:rsidR="00F0221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Alliance Agreement and Loan Agreement as well as </w:t>
      </w:r>
      <w:r w:rsidR="00BC6549">
        <w:rPr>
          <w:rFonts w:ascii="Times New Roman" w:eastAsia="Calibri" w:hAnsi="Times New Roman" w:cs="Times New Roman"/>
          <w:sz w:val="28"/>
          <w:szCs w:val="28"/>
          <w:lang w:val="en-GB"/>
        </w:rPr>
        <w:t>the change of name</w:t>
      </w:r>
      <w:r w:rsidR="00EF05F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C6549">
        <w:rPr>
          <w:rFonts w:ascii="Times New Roman" w:eastAsia="Calibri" w:hAnsi="Times New Roman" w:cs="Times New Roman"/>
          <w:sz w:val="28"/>
          <w:szCs w:val="28"/>
          <w:lang w:val="en-GB"/>
        </w:rPr>
        <w:t>of CanCom to Zevoli 158 (Pty)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44DC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Ltd on 23 July 2019 and </w:t>
      </w:r>
      <w:r w:rsidR="0046458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name change</w:t>
      </w:r>
      <w:r w:rsidR="00A44DC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 Canfleet</w:t>
      </w:r>
      <w:r w:rsidR="00DF2EB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CanCom/Canfleet (Pty) Ltd</w:t>
      </w:r>
      <w:r w:rsidR="0002666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on 24 July 2019.</w:t>
      </w:r>
    </w:p>
    <w:p w14:paraId="023E2EF6" w14:textId="1464D23B" w:rsidR="005A4B9D" w:rsidRDefault="003B50CE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[</w:t>
      </w:r>
      <w:r w:rsidR="00C01BB7">
        <w:rPr>
          <w:rFonts w:ascii="Times New Roman" w:eastAsia="Calibri" w:hAnsi="Times New Roman" w:cs="Times New Roman"/>
          <w:sz w:val="28"/>
          <w:szCs w:val="28"/>
          <w:lang w:val="en-GB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  </w:t>
      </w:r>
      <w:r w:rsidR="00026669">
        <w:rPr>
          <w:rFonts w:ascii="Times New Roman" w:eastAsia="Calibri" w:hAnsi="Times New Roman" w:cs="Times New Roman"/>
          <w:sz w:val="28"/>
          <w:szCs w:val="28"/>
          <w:lang w:val="en-GB"/>
        </w:rPr>
        <w:t>McCarthy contends furthermore th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at</w:t>
      </w:r>
      <w:r w:rsidR="005677C9"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claim </w:t>
      </w:r>
      <w:r w:rsidR="006838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by Olinsky that CanCom owned a keyless patent </w:t>
      </w:r>
      <w:r w:rsidR="005A4B9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was 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>not correct</w:t>
      </w:r>
      <w:r w:rsidR="008810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A4B9D">
        <w:rPr>
          <w:rFonts w:ascii="Times New Roman" w:eastAsia="Calibri" w:hAnsi="Times New Roman" w:cs="Times New Roman"/>
          <w:sz w:val="28"/>
          <w:szCs w:val="28"/>
          <w:lang w:val="en-GB"/>
        </w:rPr>
        <w:t>because</w:t>
      </w:r>
      <w:r w:rsidR="006838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patent belonged to her husband</w:t>
      </w:r>
      <w:r w:rsidR="00464586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6838A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Mr. Kevin Olinsky.</w:t>
      </w:r>
      <w:r w:rsidR="00464586"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  <w:t xml:space="preserve"> </w:t>
      </w:r>
      <w:r w:rsidR="00464586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Furthermore, that</w:t>
      </w:r>
      <w:r w:rsidR="000D5001" w:rsidRPr="008810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FF5588">
        <w:rPr>
          <w:rFonts w:ascii="Times New Roman" w:eastAsia="Calibri" w:hAnsi="Times New Roman" w:cs="Times New Roman"/>
          <w:sz w:val="28"/>
          <w:szCs w:val="28"/>
          <w:lang w:val="en-GB"/>
        </w:rPr>
        <w:t>Olinsky put CanCom into liquidation in July 2019 in order to d</w:t>
      </w:r>
      <w:r w:rsidR="00D4386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 away with the </w:t>
      </w:r>
      <w:r w:rsidR="00510A80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obligation</w:t>
      </w:r>
      <w:r w:rsidR="00510A80" w:rsidRPr="008810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 </w:t>
      </w:r>
      <w:r w:rsidR="00D4386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repay 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D4386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 5 million </w:t>
      </w:r>
      <w:r w:rsidR="004F171F">
        <w:rPr>
          <w:rFonts w:ascii="Times New Roman" w:eastAsia="Calibri" w:hAnsi="Times New Roman" w:cs="Times New Roman"/>
          <w:sz w:val="28"/>
          <w:szCs w:val="28"/>
          <w:lang w:val="en-GB"/>
        </w:rPr>
        <w:t>owed to</w:t>
      </w:r>
      <w:r w:rsidR="00FF55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McCarthy</w:t>
      </w:r>
      <w:r w:rsidR="005F7E85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14:paraId="14E1A223" w14:textId="40E7E074" w:rsidR="00F252FC" w:rsidRDefault="005A4B9D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[</w:t>
      </w:r>
      <w:r w:rsidR="00C01BB7">
        <w:rPr>
          <w:rFonts w:ascii="Times New Roman" w:eastAsia="Calibri" w:hAnsi="Times New Roman" w:cs="Times New Roman"/>
          <w:sz w:val="28"/>
          <w:szCs w:val="28"/>
          <w:lang w:val="en-GB"/>
        </w:rPr>
        <w:t>5</w:t>
      </w:r>
      <w:r w:rsidR="00F423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F423F3">
        <w:rPr>
          <w:rFonts w:ascii="Times New Roman" w:eastAsia="Calibri" w:hAnsi="Times New Roman" w:cs="Times New Roman"/>
          <w:sz w:val="28"/>
          <w:szCs w:val="28"/>
          <w:lang w:val="en-GB"/>
        </w:rPr>
        <w:t>As a result of the</w:t>
      </w:r>
      <w:r w:rsidR="00464586">
        <w:rPr>
          <w:rFonts w:ascii="Times New Roman" w:eastAsia="Calibri" w:hAnsi="Times New Roman" w:cs="Times New Roman"/>
          <w:color w:val="FF0000"/>
          <w:sz w:val="28"/>
          <w:szCs w:val="28"/>
          <w:lang w:val="en-GB"/>
        </w:rPr>
        <w:t xml:space="preserve"> </w:t>
      </w:r>
      <w:r w:rsidR="005C1809">
        <w:rPr>
          <w:rFonts w:ascii="Times New Roman" w:eastAsia="Calibri" w:hAnsi="Times New Roman" w:cs="Times New Roman"/>
          <w:sz w:val="28"/>
          <w:szCs w:val="28"/>
          <w:lang w:val="en-GB"/>
        </w:rPr>
        <w:t>representations</w:t>
      </w:r>
      <w:r w:rsidR="00F423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Olinsky, so argues McCarthy,</w:t>
      </w:r>
      <w:r w:rsidR="005C180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it suffered damages </w:t>
      </w:r>
      <w:r w:rsidR="007E5578">
        <w:rPr>
          <w:rFonts w:ascii="Times New Roman" w:eastAsia="Calibri" w:hAnsi="Times New Roman" w:cs="Times New Roman"/>
          <w:sz w:val="28"/>
          <w:szCs w:val="28"/>
          <w:lang w:val="en-GB"/>
        </w:rPr>
        <w:t>in the sum of R5 million which is made up of the loan amount paid to CanCom</w:t>
      </w:r>
      <w:r w:rsidR="00B869B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together with interest thereon at prime interest rate </w:t>
      </w:r>
      <w:r w:rsidR="00E92240">
        <w:rPr>
          <w:rFonts w:ascii="Times New Roman" w:eastAsia="Calibri" w:hAnsi="Times New Roman" w:cs="Times New Roman"/>
          <w:sz w:val="28"/>
          <w:szCs w:val="28"/>
          <w:lang w:val="en-GB"/>
        </w:rPr>
        <w:t>compounded monthly from 31 July 2019 to date of payment.</w:t>
      </w:r>
      <w:r w:rsidR="00B728D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539FAEBA" w14:textId="53F92AF6" w:rsidR="00DA2E50" w:rsidRDefault="00915F67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C01BB7">
        <w:rPr>
          <w:rFonts w:ascii="Times New Roman" w:eastAsia="Calibri" w:hAnsi="Times New Roman" w:cs="Times New Roman"/>
          <w:sz w:val="28"/>
          <w:szCs w:val="28"/>
          <w:lang w:val="en-GB"/>
        </w:rPr>
        <w:t>6</w:t>
      </w:r>
      <w:r w:rsidR="0031438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AF59F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AF59F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Alternatively, </w:t>
      </w:r>
      <w:r w:rsidR="0079202B">
        <w:rPr>
          <w:rFonts w:ascii="Times New Roman" w:eastAsia="Calibri" w:hAnsi="Times New Roman" w:cs="Times New Roman"/>
          <w:sz w:val="28"/>
          <w:szCs w:val="28"/>
          <w:lang w:val="en-GB"/>
        </w:rPr>
        <w:t>by virtue of the facts set out in the particulars of claim,</w:t>
      </w:r>
      <w:r w:rsidR="006F37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in accordance with section 424(1) of the Companies Act </w:t>
      </w:r>
      <w:r w:rsidR="007A08ED">
        <w:rPr>
          <w:rFonts w:ascii="Times New Roman" w:eastAsia="Calibri" w:hAnsi="Times New Roman" w:cs="Times New Roman"/>
          <w:sz w:val="28"/>
          <w:szCs w:val="28"/>
          <w:lang w:val="en-GB"/>
        </w:rPr>
        <w:t>61 of 1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>9</w:t>
      </w:r>
      <w:r w:rsidR="007A08ED">
        <w:rPr>
          <w:rFonts w:ascii="Times New Roman" w:eastAsia="Calibri" w:hAnsi="Times New Roman" w:cs="Times New Roman"/>
          <w:sz w:val="28"/>
          <w:szCs w:val="28"/>
          <w:lang w:val="en-GB"/>
        </w:rPr>
        <w:t>73, it would be appropria</w:t>
      </w:r>
      <w:r w:rsidR="00D04BE8">
        <w:rPr>
          <w:rFonts w:ascii="Times New Roman" w:eastAsia="Calibri" w:hAnsi="Times New Roman" w:cs="Times New Roman"/>
          <w:sz w:val="28"/>
          <w:szCs w:val="28"/>
          <w:lang w:val="en-GB"/>
        </w:rPr>
        <w:t>te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hold Olinsky personally liable for the amount of R 5 million owed by CanCom to McCarthy.</w:t>
      </w:r>
    </w:p>
    <w:p w14:paraId="38505E81" w14:textId="77777777" w:rsidR="004C0333" w:rsidRPr="00DA2E50" w:rsidRDefault="004C0333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655ACB4D" w14:textId="1E78EA87" w:rsidR="0077021A" w:rsidRDefault="007E059D" w:rsidP="004C0333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7E059D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Contentions</w:t>
      </w:r>
    </w:p>
    <w:p w14:paraId="236475BD" w14:textId="72CA77AA" w:rsidR="007E059D" w:rsidRDefault="00D04BE8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D04BE8">
        <w:rPr>
          <w:rFonts w:ascii="Times New Roman" w:eastAsia="Calibri" w:hAnsi="Times New Roman" w:cs="Times New Roman"/>
          <w:sz w:val="28"/>
          <w:szCs w:val="28"/>
          <w:lang w:val="en-GB"/>
        </w:rPr>
        <w:t>[7</w:t>
      </w:r>
      <w:r w:rsidR="007E059D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0623B2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Olinsky contended through Mr Shapiro SC, that the evidence led is not </w:t>
      </w:r>
      <w:r w:rsidR="00442255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sufficient  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that </w:t>
      </w:r>
      <w:r w:rsidR="00442255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Court applying its mind reasonabl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>y</w:t>
      </w:r>
      <w:r w:rsidR="00442255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the evidence will </w:t>
      </w:r>
      <w:r w:rsidR="00631676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>find for</w:t>
      </w:r>
      <w:r w:rsidR="0046458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(in favour of )</w:t>
      </w:r>
      <w:r w:rsidR="00631676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McCarthy. This is so because the two witnesses who testified for McCarthy both conceded the existence of the intention that the final agreement </w:t>
      </w:r>
      <w:r w:rsidR="00E22AD4" w:rsidRPr="00BD63E4">
        <w:rPr>
          <w:rFonts w:ascii="Times New Roman" w:eastAsia="Calibri" w:hAnsi="Times New Roman" w:cs="Times New Roman"/>
          <w:sz w:val="28"/>
          <w:szCs w:val="28"/>
          <w:lang w:val="en-GB"/>
        </w:rPr>
        <w:t>to regulate their relationship would be carried out by a new company which</w:t>
      </w:r>
      <w:r w:rsidR="00C912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was referred to in the</w:t>
      </w:r>
      <w:r w:rsidR="00510A8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912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Memorandum of Understanding</w:t>
      </w:r>
      <w:r w:rsidR="006C790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(“MOU”)</w:t>
      </w:r>
      <w:r w:rsidR="00C912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46458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concluded in </w:t>
      </w:r>
      <w:r w:rsidR="00C912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2015 and the Alliance Agreement </w:t>
      </w:r>
      <w:r w:rsidR="0046458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concluded in </w:t>
      </w:r>
      <w:r w:rsidR="00C912D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2016. </w:t>
      </w:r>
      <w:r w:rsidR="00445B5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She contended that putting </w:t>
      </w:r>
      <w:r w:rsidR="00B9264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CanCom </w:t>
      </w:r>
      <w:r w:rsidR="00510A80" w:rsidRPr="00464586">
        <w:rPr>
          <w:rFonts w:ascii="Times New Roman" w:eastAsia="Calibri" w:hAnsi="Times New Roman" w:cs="Times New Roman"/>
          <w:sz w:val="28"/>
          <w:szCs w:val="28"/>
          <w:lang w:val="en-GB"/>
        </w:rPr>
        <w:t>(</w:t>
      </w:r>
      <w:r w:rsidR="00B92640" w:rsidRPr="00464586">
        <w:rPr>
          <w:rFonts w:ascii="Times New Roman" w:eastAsia="Calibri" w:hAnsi="Times New Roman" w:cs="Times New Roman"/>
          <w:sz w:val="28"/>
          <w:szCs w:val="28"/>
          <w:lang w:val="en-GB"/>
        </w:rPr>
        <w:t>Pty</w:t>
      </w:r>
      <w:r w:rsidR="00510A80" w:rsidRPr="00464586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B9264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Ltd into voluntary liquidation was consistent with </w:t>
      </w:r>
      <w:r w:rsidR="0042772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>MOU and Alliance A</w:t>
      </w:r>
      <w:r w:rsidR="0042772E">
        <w:rPr>
          <w:rFonts w:ascii="Times New Roman" w:eastAsia="Calibri" w:hAnsi="Times New Roman" w:cs="Times New Roman"/>
          <w:sz w:val="28"/>
          <w:szCs w:val="28"/>
          <w:lang w:val="en-GB"/>
        </w:rPr>
        <w:t>greement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there was no misrepresentation which caused McCarthy to lend and advance R 5</w:t>
      </w:r>
      <w:r w:rsidR="008810C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>million to CanCom</w:t>
      </w:r>
      <w:r w:rsidR="0042772E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CD7D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42772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This was so if regard is had that the R5 million loan was reflected in the books of </w:t>
      </w:r>
      <w:r w:rsidR="006814F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Canfleet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>(</w:t>
      </w:r>
      <w:r w:rsidR="006814FF">
        <w:rPr>
          <w:rFonts w:ascii="Times New Roman" w:eastAsia="Calibri" w:hAnsi="Times New Roman" w:cs="Times New Roman"/>
          <w:sz w:val="28"/>
          <w:szCs w:val="28"/>
          <w:lang w:val="en-GB"/>
        </w:rPr>
        <w:t>Pty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6814F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Ltd and was supported by the Cession of Contract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="006814F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greement </w:t>
      </w:r>
      <w:r w:rsidR="001B696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the 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="001B696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ssignment of the two patents forming the subject of the products. Consequently,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so </w:t>
      </w:r>
      <w:r w:rsidR="001B696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contention continued, there was </w:t>
      </w:r>
      <w:r w:rsidR="005F29E2">
        <w:rPr>
          <w:rFonts w:ascii="Times New Roman" w:eastAsia="Calibri" w:hAnsi="Times New Roman" w:cs="Times New Roman"/>
          <w:sz w:val="28"/>
          <w:szCs w:val="28"/>
          <w:lang w:val="en-GB"/>
        </w:rPr>
        <w:t>no evidence</w:t>
      </w:r>
      <w:r w:rsidR="00E665B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presented</w:t>
      </w:r>
      <w:r w:rsidR="005F29E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that </w:t>
      </w:r>
      <w:r w:rsidR="004C7C7E">
        <w:rPr>
          <w:rFonts w:ascii="Times New Roman" w:eastAsia="Calibri" w:hAnsi="Times New Roman" w:cs="Times New Roman"/>
          <w:sz w:val="28"/>
          <w:szCs w:val="28"/>
          <w:lang w:val="en-GB"/>
        </w:rPr>
        <w:t>Oli</w:t>
      </w:r>
      <w:r w:rsidR="006776F0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="004C7C7E">
        <w:rPr>
          <w:rFonts w:ascii="Times New Roman" w:eastAsia="Calibri" w:hAnsi="Times New Roman" w:cs="Times New Roman"/>
          <w:sz w:val="28"/>
          <w:szCs w:val="28"/>
          <w:lang w:val="en-GB"/>
        </w:rPr>
        <w:t>sky</w:t>
      </w:r>
      <w:r w:rsidR="00FA3E7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lied</w:t>
      </w:r>
      <w:r w:rsidR="004C7C7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F29E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about the formation of the new company and </w:t>
      </w:r>
      <w:r w:rsidR="00133AB8">
        <w:rPr>
          <w:rFonts w:ascii="Times New Roman" w:eastAsia="Calibri" w:hAnsi="Times New Roman" w:cs="Times New Roman"/>
          <w:sz w:val="28"/>
          <w:szCs w:val="28"/>
          <w:lang w:val="en-GB"/>
        </w:rPr>
        <w:t>placed</w:t>
      </w:r>
      <w:r w:rsidR="005F29E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45858">
        <w:rPr>
          <w:rFonts w:ascii="Times New Roman" w:eastAsia="Calibri" w:hAnsi="Times New Roman" w:cs="Times New Roman"/>
          <w:sz w:val="28"/>
          <w:szCs w:val="28"/>
          <w:lang w:val="en-GB"/>
        </w:rPr>
        <w:t>CanCom in voluntary liquidation with the intention of defrauding McCarthy.</w:t>
      </w:r>
      <w:r w:rsidR="0042772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22AD4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6FE7CAC7" w14:textId="00602C30" w:rsidR="00E665B7" w:rsidRDefault="006776F0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[</w:t>
      </w:r>
      <w:r w:rsidR="00D04BE8">
        <w:rPr>
          <w:rFonts w:ascii="Times New Roman" w:eastAsia="Calibri" w:hAnsi="Times New Roman" w:cs="Times New Roman"/>
          <w:sz w:val="28"/>
          <w:szCs w:val="28"/>
          <w:lang w:val="en-GB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E854A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Mr Kaplan contended on behalf of McCarthy that </w:t>
      </w:r>
      <w:r w:rsidR="001645AC">
        <w:rPr>
          <w:rFonts w:ascii="Times New Roman" w:eastAsia="Calibri" w:hAnsi="Times New Roman" w:cs="Times New Roman"/>
          <w:sz w:val="28"/>
          <w:szCs w:val="28"/>
          <w:lang w:val="en-GB"/>
        </w:rPr>
        <w:t>it could not be denied that Olinsky was the sole shareholder and director of CanCom</w:t>
      </w:r>
      <w:r w:rsidR="00162C1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665B7">
        <w:rPr>
          <w:rFonts w:ascii="Times New Roman" w:eastAsia="Calibri" w:hAnsi="Times New Roman" w:cs="Times New Roman"/>
          <w:sz w:val="28"/>
          <w:szCs w:val="28"/>
          <w:lang w:val="en-GB"/>
        </w:rPr>
        <w:t>and that s</w:t>
      </w:r>
      <w:r w:rsidR="00162C1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he represented to MacCarthy that CanCom was developing and marketing </w:t>
      </w:r>
      <w:r w:rsidR="000B055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products which it owned </w:t>
      </w:r>
      <w:r w:rsidR="00D9066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together with the patents. </w:t>
      </w:r>
      <w:r w:rsidR="00E665B7">
        <w:rPr>
          <w:rFonts w:ascii="Times New Roman" w:eastAsia="Calibri" w:hAnsi="Times New Roman" w:cs="Times New Roman"/>
          <w:sz w:val="28"/>
          <w:szCs w:val="28"/>
          <w:lang w:val="en-GB"/>
        </w:rPr>
        <w:t>According to McCarthy t</w:t>
      </w:r>
      <w:r w:rsidR="00D90661">
        <w:rPr>
          <w:rFonts w:ascii="Times New Roman" w:eastAsia="Calibri" w:hAnsi="Times New Roman" w:cs="Times New Roman"/>
          <w:sz w:val="28"/>
          <w:szCs w:val="28"/>
          <w:lang w:val="en-GB"/>
        </w:rPr>
        <w:t>he representation was false</w:t>
      </w:r>
      <w:r w:rsidR="00B108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 for that reason alone, a case of fraud has been </w:t>
      </w:r>
      <w:r w:rsidR="008810C5">
        <w:rPr>
          <w:rFonts w:ascii="Times New Roman" w:eastAsia="Calibri" w:hAnsi="Times New Roman" w:cs="Times New Roman"/>
          <w:sz w:val="28"/>
          <w:szCs w:val="28"/>
          <w:lang w:val="en-GB"/>
        </w:rPr>
        <w:t>proven</w:t>
      </w:r>
      <w:r w:rsidR="00B108F3">
        <w:rPr>
          <w:rFonts w:ascii="Times New Roman" w:eastAsia="Calibri" w:hAnsi="Times New Roman" w:cs="Times New Roman"/>
          <w:sz w:val="28"/>
          <w:szCs w:val="28"/>
          <w:lang w:val="en-GB"/>
        </w:rPr>
        <w:t>. For the reasons that follow below, I do not agree</w:t>
      </w:r>
      <w:r w:rsidR="00E665B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with this contention</w:t>
      </w:r>
      <w:r w:rsidR="00B108F3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14:paraId="4E195B07" w14:textId="4B2F47F1" w:rsidR="006776F0" w:rsidRPr="006776F0" w:rsidRDefault="00162C1E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2BB5EB17" w14:textId="07913711" w:rsidR="00656E12" w:rsidRPr="0077021A" w:rsidRDefault="00656E12" w:rsidP="004C0333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77021A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Is</w:t>
      </w:r>
      <w:r w:rsidR="0077021A" w:rsidRPr="0077021A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</w:t>
      </w:r>
      <w:r w:rsidRPr="0077021A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u</w:t>
      </w:r>
      <w:r w:rsidR="0077021A" w:rsidRPr="0077021A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e for determination </w:t>
      </w:r>
    </w:p>
    <w:p w14:paraId="2A28D453" w14:textId="5DF3E3E8" w:rsidR="00CC4D3E" w:rsidRDefault="005632D7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E7756C">
        <w:rPr>
          <w:rFonts w:ascii="Times New Roman" w:eastAsia="Calibri" w:hAnsi="Times New Roman" w:cs="Times New Roman"/>
          <w:sz w:val="28"/>
          <w:szCs w:val="28"/>
          <w:lang w:val="en-GB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The issue for determination is whether the</w:t>
      </w:r>
      <w:r w:rsidR="00A34EB8">
        <w:rPr>
          <w:rFonts w:ascii="Times New Roman" w:eastAsia="Calibri" w:hAnsi="Times New Roman" w:cs="Times New Roman"/>
          <w:sz w:val="28"/>
          <w:szCs w:val="28"/>
          <w:lang w:val="en-GB"/>
        </w:rPr>
        <w:t>re is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evidence </w:t>
      </w:r>
      <w:r w:rsidR="00E941A9">
        <w:rPr>
          <w:rFonts w:ascii="Times New Roman" w:eastAsia="Calibri" w:hAnsi="Times New Roman" w:cs="Times New Roman"/>
          <w:sz w:val="28"/>
          <w:szCs w:val="28"/>
          <w:lang w:val="en-GB"/>
        </w:rPr>
        <w:t>upon which a Court</w:t>
      </w:r>
      <w:r w:rsidR="00EA01FB">
        <w:rPr>
          <w:rFonts w:ascii="Times New Roman" w:eastAsia="Calibri" w:hAnsi="Times New Roman" w:cs="Times New Roman"/>
          <w:sz w:val="28"/>
          <w:szCs w:val="28"/>
          <w:lang w:val="en-GB"/>
        </w:rPr>
        <w:t>, applying its mind reasonably to such evidence,</w:t>
      </w:r>
      <w:r w:rsidR="005924B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could or might find for the plaintiff.</w:t>
      </w:r>
    </w:p>
    <w:p w14:paraId="2582D398" w14:textId="77777777" w:rsidR="004C0333" w:rsidRDefault="004C0333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022CB753" w14:textId="63CAF18A" w:rsidR="005924B5" w:rsidRPr="00656E12" w:rsidRDefault="00874C44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656E1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The legal principles o</w:t>
      </w:r>
      <w:r w:rsidR="007A4513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n</w:t>
      </w:r>
      <w:r w:rsidRPr="00656E1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absolution from the instance</w:t>
      </w:r>
      <w:r w:rsidR="007A4513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and </w:t>
      </w:r>
      <w:r w:rsidR="008F617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delict</w:t>
      </w:r>
      <w:r w:rsidR="00656E12" w:rsidRPr="00656E1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.</w:t>
      </w:r>
    </w:p>
    <w:p w14:paraId="5525E25D" w14:textId="0CB2A9FF" w:rsidR="00AF7A54" w:rsidRDefault="00F252FC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E7756C">
        <w:rPr>
          <w:rFonts w:ascii="Times New Roman" w:eastAsia="Calibri" w:hAnsi="Times New Roman" w:cs="Times New Roman"/>
          <w:sz w:val="28"/>
          <w:szCs w:val="28"/>
          <w:lang w:val="en-GB"/>
        </w:rPr>
        <w:t>10</w:t>
      </w: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263B72">
        <w:rPr>
          <w:rFonts w:ascii="Times New Roman" w:eastAsia="Calibri" w:hAnsi="Times New Roman" w:cs="Times New Roman"/>
          <w:sz w:val="28"/>
          <w:szCs w:val="28"/>
          <w:lang w:val="en-GB"/>
        </w:rPr>
        <w:t>The test for an application for absolution from the instance is regulated by Rule 39(6).</w:t>
      </w:r>
      <w:r w:rsidR="0073596A" w:rsidRPr="0073596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When absolution from the instance </w:t>
      </w:r>
      <w:r w:rsidR="005E3338">
        <w:rPr>
          <w:rFonts w:ascii="Times New Roman" w:eastAsia="Calibri" w:hAnsi="Times New Roman" w:cs="Times New Roman"/>
          <w:sz w:val="28"/>
          <w:szCs w:val="28"/>
          <w:lang w:val="en-GB"/>
        </w:rPr>
        <w:t>is</w:t>
      </w:r>
      <w:r w:rsidR="0073596A" w:rsidRPr="0073596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sought in terms of sub rule 6</w:t>
      </w:r>
      <w:r w:rsidR="00597846" w:rsidRPr="0059784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292262">
        <w:rPr>
          <w:rFonts w:ascii="Times New Roman" w:eastAsia="Calibri" w:hAnsi="Times New Roman" w:cs="Times New Roman"/>
          <w:sz w:val="28"/>
          <w:szCs w:val="28"/>
          <w:lang w:val="en-GB"/>
        </w:rPr>
        <w:t>at the close</w:t>
      </w:r>
      <w:r w:rsidR="00597846" w:rsidRPr="0059784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 the plaintiffs case the test to be applied is not whether the evidence established is what would finally be required to be established, but whether there is evidence upon which a court, applying its mind reasonably to such evidence, could or might</w:t>
      </w:r>
      <w:r w:rsidR="00B1328B" w:rsidRPr="00B1328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1328B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(not sho</w:t>
      </w:r>
      <w:r w:rsidR="00A666E8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uld</w:t>
      </w:r>
      <w:r w:rsidR="00B1328B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or </w:t>
      </w:r>
      <w:r w:rsidR="00A666E8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ought </w:t>
      </w:r>
      <w:r w:rsidR="00B1328B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to</w:t>
      </w:r>
      <w:r w:rsidR="005E3338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)</w:t>
      </w:r>
      <w:r w:rsidR="00B1328B" w:rsidRPr="00B1328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find for the plaintiff.</w:t>
      </w:r>
      <w:r w:rsidR="00292262">
        <w:rPr>
          <w:rStyle w:val="FootnoteReference"/>
          <w:rFonts w:ascii="Times New Roman" w:eastAsia="Calibri" w:hAnsi="Times New Roman" w:cs="Times New Roman"/>
          <w:sz w:val="28"/>
          <w:szCs w:val="28"/>
          <w:lang w:val="en-GB"/>
        </w:rPr>
        <w:footnoteReference w:id="1"/>
      </w:r>
      <w:r w:rsidR="0085341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00367B" w:rsidRPr="0000367B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 xml:space="preserve">This implies that a plaintiff has to make out a </w:t>
      </w:r>
      <w:r w:rsidR="0000367B" w:rsidRPr="00854662">
        <w:rPr>
          <w:rFonts w:ascii="Times New Roman" w:hAnsi="Times New Roman" w:cs="Times New Roman"/>
          <w:i/>
          <w:iCs/>
          <w:color w:val="242121"/>
          <w:sz w:val="28"/>
          <w:szCs w:val="28"/>
          <w:shd w:val="clear" w:color="auto" w:fill="FFFFFF"/>
        </w:rPr>
        <w:t>prima facie</w:t>
      </w:r>
      <w:r w:rsidR="0000367B" w:rsidRPr="0000367B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 xml:space="preserve"> case - in the sense that there is evidence relating to all the elements of the claim - to survive absolution because without such evidence no court </w:t>
      </w:r>
      <w:r w:rsidR="0000367B" w:rsidRPr="0000367B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lastRenderedPageBreak/>
        <w:t>could find for the</w:t>
      </w:r>
      <w:r w:rsidR="0000367B" w:rsidRPr="0000367B">
        <w:rPr>
          <w:rFonts w:ascii="Verdana" w:hAnsi="Verdana"/>
          <w:color w:val="242121"/>
          <w:sz w:val="28"/>
          <w:szCs w:val="28"/>
          <w:shd w:val="clear" w:color="auto" w:fill="FFFFFF"/>
        </w:rPr>
        <w:t xml:space="preserve"> </w:t>
      </w:r>
      <w:r w:rsidR="0000367B" w:rsidRPr="0000367B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>plaintiff</w:t>
      </w:r>
      <w:r w:rsidR="0000367B" w:rsidRPr="0000367B">
        <w:rPr>
          <w:rFonts w:ascii="Verdana" w:hAnsi="Verdana"/>
          <w:color w:val="242121"/>
          <w:sz w:val="28"/>
          <w:szCs w:val="28"/>
          <w:shd w:val="clear" w:color="auto" w:fill="FFFFFF"/>
        </w:rPr>
        <w:t xml:space="preserve"> </w:t>
      </w:r>
      <w:r w:rsidR="0000367B">
        <w:rPr>
          <w:rFonts w:ascii="Verdana" w:hAnsi="Verdana"/>
          <w:color w:val="242121"/>
          <w:sz w:val="28"/>
          <w:szCs w:val="28"/>
          <w:shd w:val="clear" w:color="auto" w:fill="FFFFFF"/>
        </w:rPr>
        <w:t>.</w:t>
      </w:r>
      <w:r w:rsidR="0000367B">
        <w:rPr>
          <w:rStyle w:val="FootnoteReference"/>
          <w:rFonts w:ascii="Verdana" w:hAnsi="Verdana"/>
          <w:color w:val="242121"/>
          <w:sz w:val="28"/>
          <w:szCs w:val="28"/>
          <w:shd w:val="clear" w:color="auto" w:fill="FFFFFF"/>
        </w:rPr>
        <w:footnoteReference w:id="2"/>
      </w:r>
      <w:r w:rsidR="00B705A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5341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705A4">
        <w:rPr>
          <w:rFonts w:ascii="Times New Roman" w:eastAsia="Calibri" w:hAnsi="Times New Roman" w:cs="Times New Roman"/>
          <w:sz w:val="28"/>
          <w:szCs w:val="28"/>
          <w:lang w:val="en-GB"/>
        </w:rPr>
        <w:t>D</w:t>
      </w:r>
      <w:r w:rsidR="00853417">
        <w:rPr>
          <w:rFonts w:ascii="Times New Roman" w:eastAsia="Calibri" w:hAnsi="Times New Roman" w:cs="Times New Roman"/>
          <w:sz w:val="28"/>
          <w:szCs w:val="28"/>
          <w:lang w:val="en-GB"/>
        </w:rPr>
        <w:t>ifferently</w:t>
      </w:r>
      <w:r w:rsidR="00B705A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put</w:t>
      </w:r>
      <w:r w:rsidR="0085341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the </w:t>
      </w:r>
      <w:r w:rsidR="0010294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Court will be required in such cases to assess whether a </w:t>
      </w:r>
      <w:r w:rsidR="0010294A" w:rsidRPr="00702F8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prima facie</w:t>
      </w:r>
      <w:r w:rsidR="0010294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case has been</w:t>
      </w:r>
      <w:r w:rsidR="00D471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made for the plaintiff.</w:t>
      </w:r>
      <w:r w:rsidR="00D471F3">
        <w:rPr>
          <w:rStyle w:val="FootnoteReference"/>
          <w:rFonts w:ascii="Times New Roman" w:eastAsia="Calibri" w:hAnsi="Times New Roman" w:cs="Times New Roman"/>
          <w:sz w:val="28"/>
          <w:szCs w:val="28"/>
          <w:lang w:val="en-GB"/>
        </w:rPr>
        <w:footnoteReference w:id="3"/>
      </w:r>
      <w:r w:rsidR="000F789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deciding </w:t>
      </w:r>
      <w:r w:rsidR="005A720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an application for absolution from the instance </w:t>
      </w:r>
      <w:r w:rsidR="000F789B">
        <w:rPr>
          <w:rFonts w:ascii="Times New Roman" w:eastAsia="Calibri" w:hAnsi="Times New Roman" w:cs="Times New Roman"/>
          <w:sz w:val="28"/>
          <w:szCs w:val="28"/>
          <w:lang w:val="en-GB"/>
        </w:rPr>
        <w:t>whether the evidence is sufficient enough to find for the plaintiff, the</w:t>
      </w:r>
      <w:r w:rsidR="005A720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Court is not called upon to make a determination on the </w:t>
      </w:r>
      <w:r w:rsidR="0088769B">
        <w:rPr>
          <w:rFonts w:ascii="Times New Roman" w:eastAsia="Calibri" w:hAnsi="Times New Roman" w:cs="Times New Roman"/>
          <w:sz w:val="28"/>
          <w:szCs w:val="28"/>
          <w:lang w:val="en-GB"/>
        </w:rPr>
        <w:t>witnesses’ s</w:t>
      </w:r>
      <w:r w:rsidR="00D1189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credibility.</w:t>
      </w:r>
      <w:r w:rsidR="00D11891">
        <w:rPr>
          <w:rStyle w:val="FootnoteReference"/>
          <w:rFonts w:ascii="Times New Roman" w:eastAsia="Calibri" w:hAnsi="Times New Roman" w:cs="Times New Roman"/>
          <w:sz w:val="28"/>
          <w:szCs w:val="28"/>
          <w:lang w:val="en-GB"/>
        </w:rPr>
        <w:footnoteReference w:id="4"/>
      </w:r>
    </w:p>
    <w:p w14:paraId="263848F6" w14:textId="4688D7C9" w:rsidR="00977328" w:rsidRDefault="00222C7A" w:rsidP="004C0333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E7756C">
        <w:rPr>
          <w:rFonts w:ascii="Times New Roman" w:eastAsia="Calibri" w:hAnsi="Times New Roman" w:cs="Times New Roman"/>
          <w:sz w:val="28"/>
          <w:szCs w:val="28"/>
          <w:lang w:val="en-GB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CC4D3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FE20D5" w:rsidRPr="00B54D78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>The test has from time to time been formulated in different terms, especially it has been said that the court must consider whether there is “evidence upon which a reasonable man might find for the plaintiff”  - a test which had it</w:t>
      </w:r>
      <w:r w:rsidR="00CC4D3E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>s</w:t>
      </w:r>
      <w:r w:rsidR="00FE20D5" w:rsidRPr="00B54D78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 xml:space="preserve"> origin in jury trials when the “reasonable man” was a reasonable member of the jury. Such a formulation tends to cloud the issue. The court ought not to be concerned with what someone else might think; it should </w:t>
      </w:r>
      <w:r w:rsidR="00FE20D5" w:rsidRPr="00320088">
        <w:rPr>
          <w:rFonts w:ascii="Times New Roman" w:hAnsi="Times New Roman" w:cs="Times New Roman"/>
          <w:color w:val="242121"/>
          <w:sz w:val="27"/>
          <w:szCs w:val="27"/>
          <w:shd w:val="clear" w:color="auto" w:fill="FFFFFF"/>
        </w:rPr>
        <w:t xml:space="preserve">rather be concerned with its own judgment and not that of another “reasonable” person or court. </w:t>
      </w:r>
      <w:r w:rsidR="00FE20D5" w:rsidRPr="00320088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 xml:space="preserve">Having said this, absolution at the end </w:t>
      </w:r>
      <w:r w:rsidR="00FE20D5" w:rsidRPr="00320088">
        <w:rPr>
          <w:rFonts w:ascii="Times New Roman" w:hAnsi="Times New Roman" w:cs="Times New Roman"/>
          <w:color w:val="242121"/>
          <w:sz w:val="27"/>
          <w:szCs w:val="27"/>
          <w:shd w:val="clear" w:color="auto" w:fill="FFFFFF"/>
        </w:rPr>
        <w:t>of a</w:t>
      </w:r>
      <w:r w:rsidR="00FE20D5">
        <w:rPr>
          <w:rFonts w:ascii="Verdana" w:hAnsi="Verdana"/>
          <w:color w:val="242121"/>
          <w:sz w:val="27"/>
          <w:szCs w:val="27"/>
          <w:shd w:val="clear" w:color="auto" w:fill="FFFFFF"/>
        </w:rPr>
        <w:t xml:space="preserve"> </w:t>
      </w:r>
      <w:r w:rsidR="00FE20D5" w:rsidRPr="00320088">
        <w:rPr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t>plaintiff's case, in the ordinary course of events, will nevertheless be granted sparingly but when the occasion arises a court should order it in the interests of justice.</w:t>
      </w:r>
      <w:r w:rsidR="00977328">
        <w:rPr>
          <w:rStyle w:val="FootnoteReference"/>
          <w:rFonts w:ascii="Times New Roman" w:hAnsi="Times New Roman" w:cs="Times New Roman"/>
          <w:color w:val="242121"/>
          <w:sz w:val="28"/>
          <w:szCs w:val="28"/>
          <w:shd w:val="clear" w:color="auto" w:fill="FFFFFF"/>
        </w:rPr>
        <w:footnoteReference w:id="5"/>
      </w:r>
    </w:p>
    <w:p w14:paraId="4A749AA7" w14:textId="227FFC1F" w:rsidR="00E93C40" w:rsidRDefault="00E32C5F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E7756C">
        <w:rPr>
          <w:rFonts w:ascii="Times New Roman" w:eastAsia="Calibri" w:hAnsi="Times New Roman" w:cs="Times New Roman"/>
          <w:sz w:val="28"/>
          <w:szCs w:val="28"/>
          <w:lang w:val="en-GB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   </w:t>
      </w:r>
      <w:r w:rsidR="00354D45" w:rsidRPr="003200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If a </w:t>
      </w:r>
      <w:r w:rsidR="00354D45" w:rsidRPr="00E32C5F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prima facie </w:t>
      </w:r>
      <w:r w:rsidR="00354D45" w:rsidRPr="003200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case has been made, the defendant will </w:t>
      </w:r>
      <w:r w:rsidRPr="00320088">
        <w:rPr>
          <w:rFonts w:ascii="Times New Roman" w:eastAsia="Calibri" w:hAnsi="Times New Roman" w:cs="Times New Roman"/>
          <w:sz w:val="28"/>
          <w:szCs w:val="28"/>
          <w:lang w:val="en-GB"/>
        </w:rPr>
        <w:t>be required</w:t>
      </w:r>
      <w:r w:rsidR="00354D45" w:rsidRPr="003200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meet the case and if there is none, then the Court </w:t>
      </w:r>
      <w:r w:rsidR="008C3091" w:rsidRPr="00320088">
        <w:rPr>
          <w:rFonts w:ascii="Times New Roman" w:eastAsia="Calibri" w:hAnsi="Times New Roman" w:cs="Times New Roman"/>
          <w:sz w:val="28"/>
          <w:szCs w:val="28"/>
          <w:lang w:val="en-GB"/>
        </w:rPr>
        <w:t>will grant absolution from the instance</w:t>
      </w:r>
      <w:r w:rsidR="008C3091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354D4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92CC6">
        <w:rPr>
          <w:rFonts w:ascii="Times New Roman" w:eastAsia="Calibri" w:hAnsi="Times New Roman" w:cs="Times New Roman"/>
          <w:sz w:val="28"/>
          <w:szCs w:val="28"/>
          <w:lang w:val="en-GB"/>
        </w:rPr>
        <w:t>Each case will, of course, as usual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192CC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depend on its own facts. </w:t>
      </w:r>
      <w:r w:rsidR="00680DF2">
        <w:rPr>
          <w:rFonts w:ascii="Times New Roman" w:eastAsia="Calibri" w:hAnsi="Times New Roman" w:cs="Times New Roman"/>
          <w:sz w:val="28"/>
          <w:szCs w:val="28"/>
          <w:lang w:val="en-GB"/>
        </w:rPr>
        <w:t>The plaintiff bears the onus to pro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>ve</w:t>
      </w:r>
      <w:r w:rsidR="00680DF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its case.</w:t>
      </w:r>
    </w:p>
    <w:p w14:paraId="483D5CA4" w14:textId="75906AB2" w:rsidR="004C0333" w:rsidRDefault="00B377DD" w:rsidP="004955D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 xml:space="preserve">[13] 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To be able to sustain a case </w:t>
      </w:r>
      <w:r w:rsidR="0088769B">
        <w:rPr>
          <w:rFonts w:ascii="Times New Roman" w:eastAsia="Calibri" w:hAnsi="Times New Roman" w:cs="Times New Roman"/>
          <w:sz w:val="28"/>
          <w:szCs w:val="28"/>
          <w:lang w:val="en-GB"/>
        </w:rPr>
        <w:t>for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F450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delict </w:t>
      </w:r>
      <w:r w:rsidR="004F17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or </w:t>
      </w:r>
      <w:r w:rsidR="005B09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for </w:t>
      </w:r>
      <w:r w:rsidR="00AF0F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reckless trading to fall foul of section 424 of the Companies Act </w:t>
      </w:r>
      <w:r w:rsidR="004E41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61 of 1973, McCarthy was required to make out a case on the </w:t>
      </w:r>
      <w:r w:rsidR="00F77AEB">
        <w:rPr>
          <w:rFonts w:ascii="Times New Roman" w:eastAsia="Calibri" w:hAnsi="Times New Roman" w:cs="Times New Roman"/>
          <w:sz w:val="28"/>
          <w:szCs w:val="28"/>
          <w:lang w:val="en-GB"/>
        </w:rPr>
        <w:t>two bases of its claim.</w:t>
      </w:r>
    </w:p>
    <w:p w14:paraId="76EE768B" w14:textId="2A8F1A34" w:rsidR="00F77AEB" w:rsidRDefault="00F77AEB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F60E0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14] 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E3679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</w:t>
      </w:r>
      <w:r w:rsidR="0077445C"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  <w:r w:rsidR="00E36793">
        <w:rPr>
          <w:rFonts w:ascii="Times New Roman" w:eastAsia="Calibri" w:hAnsi="Times New Roman" w:cs="Times New Roman"/>
          <w:sz w:val="28"/>
          <w:szCs w:val="28"/>
          <w:lang w:val="en-GB"/>
        </w:rPr>
        <w:t>rder to</w:t>
      </w:r>
      <w:r w:rsidR="0077445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succeed in </w:t>
      </w:r>
      <w:r w:rsidR="005B09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proving </w:t>
      </w:r>
      <w:r w:rsidR="0077445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delict, </w:t>
      </w:r>
      <w:r w:rsidR="004E191E">
        <w:rPr>
          <w:rFonts w:ascii="Times New Roman" w:eastAsia="Calibri" w:hAnsi="Times New Roman" w:cs="Times New Roman"/>
          <w:sz w:val="28"/>
          <w:szCs w:val="28"/>
          <w:lang w:val="en-GB"/>
        </w:rPr>
        <w:t>the plaintiff</w:t>
      </w:r>
      <w:r w:rsidR="0077445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4E191E">
        <w:rPr>
          <w:rFonts w:ascii="Times New Roman" w:eastAsia="Calibri" w:hAnsi="Times New Roman" w:cs="Times New Roman"/>
          <w:sz w:val="28"/>
          <w:szCs w:val="28"/>
          <w:lang w:val="en-GB"/>
        </w:rPr>
        <w:t>is</w:t>
      </w:r>
      <w:r w:rsidR="0077445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required to lead evidence </w:t>
      </w:r>
      <w:r w:rsidR="006D76BC">
        <w:rPr>
          <w:rFonts w:ascii="Times New Roman" w:eastAsia="Calibri" w:hAnsi="Times New Roman" w:cs="Times New Roman"/>
          <w:sz w:val="28"/>
          <w:szCs w:val="28"/>
          <w:lang w:val="en-GB"/>
        </w:rPr>
        <w:t>to prove-</w:t>
      </w:r>
    </w:p>
    <w:p w14:paraId="12CA5688" w14:textId="578559A0" w:rsidR="006D76BC" w:rsidRDefault="006D76BC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(a) a </w:t>
      </w:r>
      <w:r w:rsidR="004E191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wrongful </w:t>
      </w:r>
      <w:r w:rsidR="00812DA9">
        <w:rPr>
          <w:rFonts w:ascii="Times New Roman" w:eastAsia="Calibri" w:hAnsi="Times New Roman" w:cs="Times New Roman"/>
          <w:sz w:val="28"/>
          <w:szCs w:val="28"/>
          <w:lang w:val="en-GB"/>
        </w:rPr>
        <w:t>act or omission;</w:t>
      </w:r>
    </w:p>
    <w:p w14:paraId="6DC1D71D" w14:textId="4939C91C" w:rsidR="00FD77DE" w:rsidRDefault="00FD77DE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(b) </w:t>
      </w:r>
      <w:r w:rsidR="000350A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fault which consists </w:t>
      </w:r>
      <w:r w:rsidR="00C1023F">
        <w:rPr>
          <w:rFonts w:ascii="Times New Roman" w:eastAsia="Calibri" w:hAnsi="Times New Roman" w:cs="Times New Roman"/>
          <w:sz w:val="28"/>
          <w:szCs w:val="28"/>
          <w:lang w:val="en-GB"/>
        </w:rPr>
        <w:t>of either intention or omission;</w:t>
      </w:r>
    </w:p>
    <w:p w14:paraId="33A674FC" w14:textId="05940F76" w:rsidR="00BC3010" w:rsidRDefault="00BC3010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(c) </w:t>
      </w:r>
      <w:r w:rsidR="009161AF">
        <w:rPr>
          <w:rFonts w:ascii="Times New Roman" w:eastAsia="Calibri" w:hAnsi="Times New Roman" w:cs="Times New Roman"/>
          <w:sz w:val="28"/>
          <w:szCs w:val="28"/>
          <w:lang w:val="en-GB"/>
        </w:rPr>
        <w:t>causation, which must not be too remote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  <w:r w:rsidR="00583CB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</w:t>
      </w:r>
    </w:p>
    <w:p w14:paraId="0E1A212D" w14:textId="33277457" w:rsidR="00583CB9" w:rsidRDefault="00583CB9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</w:t>
      </w:r>
      <w:r w:rsidR="005B09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(d) </w:t>
      </w:r>
      <w:r w:rsidR="0071792D">
        <w:rPr>
          <w:rFonts w:ascii="Times New Roman" w:eastAsia="Calibri" w:hAnsi="Times New Roman" w:cs="Times New Roman"/>
          <w:sz w:val="28"/>
          <w:szCs w:val="28"/>
          <w:lang w:val="en-GB"/>
        </w:rPr>
        <w:t>patrimonial loss.</w:t>
      </w:r>
      <w:r w:rsidR="0071792D">
        <w:rPr>
          <w:rStyle w:val="FootnoteReference"/>
          <w:rFonts w:ascii="Times New Roman" w:eastAsia="Calibri" w:hAnsi="Times New Roman" w:cs="Times New Roman"/>
          <w:sz w:val="28"/>
          <w:szCs w:val="28"/>
          <w:lang w:val="en-GB"/>
        </w:rPr>
        <w:footnoteReference w:id="6"/>
      </w:r>
    </w:p>
    <w:p w14:paraId="3D0A1D68" w14:textId="184CB5C3" w:rsidR="000A6797" w:rsidRDefault="000A6797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</w:t>
      </w:r>
      <w:r w:rsidR="005B095B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(</w:t>
      </w:r>
      <w:r w:rsidR="005B095B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e</w:t>
      </w:r>
      <w:r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) that McCarthy suffered </w:t>
      </w:r>
      <w:r w:rsidR="00294C1A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damages.</w:t>
      </w:r>
    </w:p>
    <w:p w14:paraId="27C124C3" w14:textId="77777777" w:rsidR="004C0333" w:rsidRPr="004C0333" w:rsidRDefault="004C0333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738269EF" w14:textId="3D8B8A90" w:rsidR="004C0333" w:rsidRDefault="00EC6001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[15] 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ab/>
        <w:t>I</w:t>
      </w:r>
      <w:r w:rsidR="00905A9D" w:rsidRPr="00905A9D">
        <w:rPr>
          <w:rFonts w:ascii="Times New Roman" w:eastAsia="Calibri" w:hAnsi="Times New Roman" w:cs="Times New Roman"/>
          <w:sz w:val="28"/>
          <w:szCs w:val="28"/>
          <w:lang w:val="en-GB"/>
        </w:rPr>
        <w:t>n South African law the foundation</w:t>
      </w:r>
      <w:r w:rsidR="002B0C92">
        <w:rPr>
          <w:rFonts w:ascii="Times New Roman" w:eastAsia="Calibri" w:hAnsi="Times New Roman" w:cs="Times New Roman"/>
          <w:sz w:val="28"/>
          <w:szCs w:val="28"/>
          <w:lang w:val="en-GB"/>
        </w:rPr>
        <w:t>s</w:t>
      </w:r>
      <w:r w:rsidR="002D229A" w:rsidRPr="002D229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 delectable liability, are the </w:t>
      </w:r>
      <w:r w:rsidR="002D229A" w:rsidRPr="00C2746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aquilian</w:t>
      </w:r>
      <w:r w:rsidR="002D229A" w:rsidRPr="002D229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action </w:t>
      </w:r>
      <w:r w:rsidR="00C2746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and the </w:t>
      </w:r>
      <w:r w:rsidR="00C27469" w:rsidRPr="00EE6D8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actio in</w:t>
      </w:r>
      <w:r w:rsidR="00EE6D8C" w:rsidRPr="00EE6D8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i</w:t>
      </w:r>
      <w:r w:rsidR="00C27469" w:rsidRPr="00EE6D8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uriar</w:t>
      </w:r>
      <w:r w:rsidR="00EE6D8C" w:rsidRPr="00EE6D8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u</w:t>
      </w:r>
      <w:r w:rsidR="00C27469" w:rsidRPr="00EE6D8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m</w:t>
      </w:r>
      <w:r w:rsidR="00C27469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973DF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73DF6" w:rsidRPr="00973DF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former provides a general remedy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>for</w:t>
      </w:r>
      <w:r w:rsidR="00973DF6" w:rsidRPr="00973DF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wrongs to interest of substance</w:t>
      </w:r>
      <w:r w:rsidR="00DE1E82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DE1E82" w:rsidRPr="00DE1E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latter a general remedy </w:t>
      </w:r>
      <w:r w:rsidR="00DE1E82">
        <w:rPr>
          <w:rFonts w:ascii="Times New Roman" w:eastAsia="Calibri" w:hAnsi="Times New Roman" w:cs="Times New Roman"/>
          <w:sz w:val="28"/>
          <w:szCs w:val="28"/>
          <w:lang w:val="en-GB"/>
        </w:rPr>
        <w:t>for</w:t>
      </w:r>
      <w:r w:rsidR="00DE1E82" w:rsidRPr="00DE1E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wrongs to interest of personality</w:t>
      </w:r>
      <w:r w:rsidR="00DE1E82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DE1E82">
        <w:rPr>
          <w:rStyle w:val="FootnoteReference"/>
          <w:rFonts w:ascii="Times New Roman" w:eastAsia="Calibri" w:hAnsi="Times New Roman" w:cs="Times New Roman"/>
          <w:sz w:val="28"/>
          <w:szCs w:val="28"/>
          <w:lang w:val="en-GB"/>
        </w:rPr>
        <w:footnoteReference w:id="7"/>
      </w:r>
      <w:r w:rsidR="00E02C87" w:rsidRPr="007C2C3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42F6D72A" w14:textId="5479DBB2" w:rsidR="00413FA5" w:rsidRDefault="00413FA5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[16]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For reasons set out below, </w:t>
      </w:r>
      <w:r w:rsidR="00C2657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it is evident that McCarthy has failed to establish a </w:t>
      </w:r>
      <w:r w:rsidR="00C2657F" w:rsidRPr="00AD2941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prima facie</w:t>
      </w:r>
      <w:r w:rsidR="00C2657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case against Olin</w:t>
      </w:r>
      <w:r w:rsidR="00AD2941">
        <w:rPr>
          <w:rFonts w:ascii="Times New Roman" w:eastAsia="Calibri" w:hAnsi="Times New Roman" w:cs="Times New Roman"/>
          <w:sz w:val="28"/>
          <w:szCs w:val="28"/>
          <w:lang w:val="en-GB"/>
        </w:rPr>
        <w:t>sky.</w:t>
      </w:r>
    </w:p>
    <w:p w14:paraId="38BB255B" w14:textId="04F865EB" w:rsidR="0088769B" w:rsidRDefault="0088769B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[17]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ab/>
        <w:t>S</w:t>
      </w:r>
      <w:r w:rsidR="00247E2F" w:rsidRPr="00247E2F">
        <w:rPr>
          <w:rFonts w:ascii="Times New Roman" w:eastAsia="Calibri" w:hAnsi="Times New Roman" w:cs="Times New Roman"/>
          <w:sz w:val="28"/>
          <w:szCs w:val="28"/>
          <w:lang w:val="en-GB"/>
        </w:rPr>
        <w:t>ection 424</w:t>
      </w:r>
      <w:r w:rsidR="000B4EA6">
        <w:rPr>
          <w:rFonts w:ascii="Times New Roman" w:eastAsia="Calibri" w:hAnsi="Times New Roman" w:cs="Times New Roman"/>
          <w:sz w:val="28"/>
          <w:szCs w:val="28"/>
          <w:lang w:val="en-GB"/>
        </w:rPr>
        <w:t>(1) of the Companies Act 61 of 1973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0B4EA6">
        <w:rPr>
          <w:rFonts w:ascii="Times New Roman" w:eastAsia="Calibri" w:hAnsi="Times New Roman" w:cs="Times New Roman"/>
          <w:sz w:val="28"/>
          <w:szCs w:val="28"/>
          <w:lang w:val="en-GB"/>
        </w:rPr>
        <w:t>(“the old Companies Act</w:t>
      </w:r>
      <w:r w:rsidR="00372503">
        <w:rPr>
          <w:rFonts w:ascii="Times New Roman" w:eastAsia="Calibri" w:hAnsi="Times New Roman" w:cs="Times New Roman"/>
          <w:sz w:val="28"/>
          <w:szCs w:val="28"/>
          <w:lang w:val="en-GB"/>
        </w:rPr>
        <w:t>”</w:t>
      </w:r>
      <w:r w:rsidR="000B4EA6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37250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provides that:-</w:t>
      </w:r>
    </w:p>
    <w:p w14:paraId="62DDEAD0" w14:textId="55B2B89C" w:rsidR="00372503" w:rsidRDefault="00372503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“</w:t>
      </w:r>
      <w:r w:rsidR="009C1156">
        <w:rPr>
          <w:rFonts w:ascii="Times New Roman" w:eastAsia="Calibri" w:hAnsi="Times New Roman" w:cs="Times New Roman"/>
          <w:sz w:val="28"/>
          <w:szCs w:val="28"/>
          <w:lang w:val="en-GB"/>
        </w:rPr>
        <w:t>W</w:t>
      </w:r>
      <w:r w:rsidR="000D3FF6" w:rsidRPr="000D3FF6">
        <w:rPr>
          <w:rFonts w:ascii="Times New Roman" w:eastAsia="Calibri" w:hAnsi="Times New Roman" w:cs="Times New Roman"/>
          <w:sz w:val="28"/>
          <w:szCs w:val="28"/>
          <w:lang w:val="en-GB"/>
        </w:rPr>
        <w:t>hen it appears, whether it be in the winding up</w:t>
      </w:r>
      <w:r w:rsidR="00FC0307" w:rsidRPr="00FC0307">
        <w:rPr>
          <w:rFonts w:ascii="Times New Roman" w:eastAsia="Calibri" w:hAnsi="Times New Roman" w:cs="Times New Roman"/>
          <w:sz w:val="28"/>
          <w:szCs w:val="28"/>
          <w:lang w:val="en-GB"/>
        </w:rPr>
        <w:t>, judicial management or otherwise, that any business of the company was or is being carried on recklessly or with inten</w:t>
      </w:r>
      <w:r w:rsidR="000E3176">
        <w:rPr>
          <w:rFonts w:ascii="Times New Roman" w:eastAsia="Calibri" w:hAnsi="Times New Roman" w:cs="Times New Roman"/>
          <w:sz w:val="28"/>
          <w:szCs w:val="28"/>
          <w:lang w:val="en-GB"/>
        </w:rPr>
        <w:t>t</w:t>
      </w:r>
      <w:r w:rsidR="00FC0307" w:rsidRPr="00FC030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defraud creditors of the company</w:t>
      </w:r>
      <w:r w:rsidR="006D43CA" w:rsidRPr="006D43C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or creditors of any other person order for any fraudulent papers, the </w:t>
      </w:r>
      <w:r w:rsidR="000E3176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r w:rsidR="006D43CA" w:rsidRPr="006D43C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ourt may on the </w:t>
      </w:r>
      <w:r w:rsidR="006D43CA" w:rsidRPr="006D43CA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application of the master, the liquidator, the judicial manager,</w:t>
      </w:r>
      <w:r w:rsidR="00887050" w:rsidRPr="0088705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any creditor or member or contributory of the company, declare that any person who was knowingly a party to the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>carryi</w:t>
      </w:r>
      <w:r w:rsidR="00887050" w:rsidRPr="0088705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ng on </w:t>
      </w:r>
      <w:r w:rsidR="00055498" w:rsidRPr="00055498">
        <w:rPr>
          <w:rFonts w:ascii="Times New Roman" w:eastAsia="Calibri" w:hAnsi="Times New Roman" w:cs="Times New Roman"/>
          <w:sz w:val="28"/>
          <w:szCs w:val="28"/>
          <w:lang w:val="en-GB"/>
        </w:rPr>
        <w:t>of the business in the m</w:t>
      </w:r>
      <w:r w:rsidR="00055498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="00055498" w:rsidRPr="00055498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="00055498">
        <w:rPr>
          <w:rFonts w:ascii="Times New Roman" w:eastAsia="Calibri" w:hAnsi="Times New Roman" w:cs="Times New Roman"/>
          <w:sz w:val="28"/>
          <w:szCs w:val="28"/>
          <w:lang w:val="en-GB"/>
        </w:rPr>
        <w:t>ner</w:t>
      </w:r>
      <w:r w:rsidR="00055498" w:rsidRPr="0005549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aforesaid</w:t>
      </w:r>
      <w:r w:rsidR="00055498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7710AE" w:rsidRPr="007710A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shall be personally responsible,</w:t>
      </w:r>
      <w:r w:rsidR="00234E01" w:rsidRPr="00234E0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without any limitation of liability, for all or any of the </w:t>
      </w:r>
      <w:r w:rsidR="00234E01" w:rsidRP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debts </w:t>
      </w:r>
      <w:r w:rsidR="00951182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>or</w:t>
      </w:r>
      <w:r w:rsidR="00234E01" w:rsidRP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liabilities of </w:t>
      </w:r>
      <w:r w:rsidR="00234E01" w:rsidRPr="00234E01">
        <w:rPr>
          <w:rFonts w:ascii="Times New Roman" w:eastAsia="Calibri" w:hAnsi="Times New Roman" w:cs="Times New Roman"/>
          <w:sz w:val="28"/>
          <w:szCs w:val="28"/>
          <w:lang w:val="en-GB"/>
        </w:rPr>
        <w:t>the company as the court made direct</w:t>
      </w:r>
      <w:r w:rsidR="009C1156" w:rsidRPr="009C1156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”</w:t>
      </w:r>
    </w:p>
    <w:p w14:paraId="7F858579" w14:textId="44611BF4" w:rsidR="009C1156" w:rsidRDefault="009C1156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[18]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AF1DA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Court has a discretion to exercise where such an application </w:t>
      </w:r>
      <w:r w:rsidR="00B17AD9">
        <w:rPr>
          <w:rFonts w:ascii="Times New Roman" w:eastAsia="Calibri" w:hAnsi="Times New Roman" w:cs="Times New Roman"/>
          <w:sz w:val="28"/>
          <w:szCs w:val="28"/>
          <w:lang w:val="en-GB"/>
        </w:rPr>
        <w:t>for a</w:t>
      </w:r>
      <w:r w:rsidR="00AF1DA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declara</w:t>
      </w:r>
      <w:r w:rsidR="00B17AD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tory order  is made. It </w:t>
      </w:r>
      <w:r w:rsidR="000219C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goes without saying that sufficient evidence must be produced </w:t>
      </w:r>
      <w:r w:rsidR="00E8755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by the applicant to enable the Court to consider such application favourably. Normally, </w:t>
      </w:r>
      <w:r w:rsidR="00607B63">
        <w:rPr>
          <w:rFonts w:ascii="Times New Roman" w:eastAsia="Calibri" w:hAnsi="Times New Roman" w:cs="Times New Roman"/>
          <w:sz w:val="28"/>
          <w:szCs w:val="28"/>
          <w:lang w:val="en-GB"/>
        </w:rPr>
        <w:t>a prelude to such a declaratory order would be a liquidation in</w:t>
      </w:r>
      <w:r w:rsidR="009A18B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quiry carried out in terms of sections 417 and 418 of the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  <w:r w:rsidR="009A18B1">
        <w:rPr>
          <w:rFonts w:ascii="Times New Roman" w:eastAsia="Calibri" w:hAnsi="Times New Roman" w:cs="Times New Roman"/>
          <w:sz w:val="28"/>
          <w:szCs w:val="28"/>
          <w:lang w:val="en-GB"/>
        </w:rPr>
        <w:t>ld Companies Act.</w:t>
      </w:r>
      <w:r w:rsidR="00607B6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F1DA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19EB4B16" w14:textId="77777777" w:rsidR="0031634B" w:rsidRPr="007C2C32" w:rsidRDefault="0031634B" w:rsidP="004C033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7D92EFF1" w14:textId="1F291643" w:rsidR="00F7436B" w:rsidRDefault="00F7436B" w:rsidP="004C0333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7931DA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The</w:t>
      </w:r>
      <w:r w:rsidR="008F49EC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r w:rsidR="00AB43C4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evidence</w:t>
      </w:r>
    </w:p>
    <w:p w14:paraId="60A6CCE9" w14:textId="776296D8" w:rsidR="008F49EC" w:rsidRDefault="0071485A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AB43C4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2F5BF0">
        <w:rPr>
          <w:rFonts w:ascii="Times New Roman" w:eastAsia="Calibri" w:hAnsi="Times New Roman" w:cs="Times New Roman"/>
          <w:sz w:val="28"/>
          <w:szCs w:val="28"/>
          <w:lang w:val="en-GB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McCarthy relied on the evidence of two witnesses, </w:t>
      </w:r>
      <w:r w:rsidR="006D5AA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Ms </w:t>
      </w:r>
      <w:r w:rsidR="00842D20">
        <w:rPr>
          <w:rFonts w:ascii="Times New Roman" w:eastAsia="Calibri" w:hAnsi="Times New Roman" w:cs="Times New Roman"/>
          <w:sz w:val="28"/>
          <w:szCs w:val="28"/>
          <w:lang w:val="en-GB"/>
        </w:rPr>
        <w:t>McGhee</w:t>
      </w:r>
      <w:r w:rsidR="006D5AA1">
        <w:rPr>
          <w:rFonts w:ascii="Times New Roman" w:eastAsia="Calibri" w:hAnsi="Times New Roman" w:cs="Times New Roman"/>
          <w:sz w:val="28"/>
          <w:szCs w:val="28"/>
          <w:lang w:val="en-GB"/>
        </w:rPr>
        <w:t>, the former chief executive officer of Bid</w:t>
      </w:r>
      <w:r w:rsidR="00E46956">
        <w:rPr>
          <w:rFonts w:ascii="Times New Roman" w:eastAsia="Calibri" w:hAnsi="Times New Roman" w:cs="Times New Roman"/>
          <w:sz w:val="28"/>
          <w:szCs w:val="28"/>
          <w:lang w:val="en-GB"/>
        </w:rPr>
        <w:t>vest Car Rental</w:t>
      </w:r>
      <w:r w:rsidR="006D5AA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M</w:t>
      </w:r>
      <w:r w:rsidR="00E4695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 Downing, the former chief </w:t>
      </w:r>
      <w:r w:rsidR="002F76AC">
        <w:rPr>
          <w:rFonts w:ascii="Times New Roman" w:eastAsia="Calibri" w:hAnsi="Times New Roman" w:cs="Times New Roman"/>
          <w:sz w:val="28"/>
          <w:szCs w:val="28"/>
          <w:lang w:val="en-GB"/>
        </w:rPr>
        <w:t>f</w:t>
      </w:r>
      <w:r w:rsidR="00E46956">
        <w:rPr>
          <w:rFonts w:ascii="Times New Roman" w:eastAsia="Calibri" w:hAnsi="Times New Roman" w:cs="Times New Roman"/>
          <w:sz w:val="28"/>
          <w:szCs w:val="28"/>
          <w:lang w:val="en-GB"/>
        </w:rPr>
        <w:t>ina</w:t>
      </w:r>
      <w:r w:rsidR="002F76AC">
        <w:rPr>
          <w:rFonts w:ascii="Times New Roman" w:eastAsia="Calibri" w:hAnsi="Times New Roman" w:cs="Times New Roman"/>
          <w:sz w:val="28"/>
          <w:szCs w:val="28"/>
          <w:lang w:val="en-GB"/>
        </w:rPr>
        <w:t>ncial officer. They both admitted the existence of the Mem</w:t>
      </w:r>
      <w:r w:rsidR="007931D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orandum of </w:t>
      </w:r>
      <w:r w:rsidR="002356A4">
        <w:rPr>
          <w:rFonts w:ascii="Times New Roman" w:eastAsia="Calibri" w:hAnsi="Times New Roman" w:cs="Times New Roman"/>
          <w:sz w:val="28"/>
          <w:szCs w:val="28"/>
          <w:lang w:val="en-GB"/>
        </w:rPr>
        <w:t>Understanding of 2015 as well as the Alliance Agreement of 2016. Both th</w:t>
      </w:r>
      <w:r w:rsidR="003966B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ose documents refer to the fact that a new company will be created </w:t>
      </w:r>
      <w:r w:rsidR="00F60CB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to replace CanCom in relation to the commercial agreement between the </w:t>
      </w:r>
      <w:r w:rsidR="005A78BE">
        <w:rPr>
          <w:rFonts w:ascii="Times New Roman" w:eastAsia="Calibri" w:hAnsi="Times New Roman" w:cs="Times New Roman"/>
          <w:sz w:val="28"/>
          <w:szCs w:val="28"/>
          <w:lang w:val="en-GB"/>
        </w:rPr>
        <w:t>CanCom and McCarthy.</w:t>
      </w:r>
    </w:p>
    <w:p w14:paraId="6238E192" w14:textId="12C8D3E0" w:rsidR="000D31BC" w:rsidRPr="008A779E" w:rsidRDefault="008F49EC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AB43C4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2F5BF0">
        <w:rPr>
          <w:rFonts w:ascii="Times New Roman" w:eastAsia="Calibri" w:hAnsi="Times New Roman" w:cs="Times New Roman"/>
          <w:sz w:val="28"/>
          <w:szCs w:val="28"/>
          <w:lang w:val="en-GB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5A78B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2F76A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0604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506048" w:rsidRPr="00506048">
        <w:rPr>
          <w:rFonts w:ascii="Times New Roman" w:eastAsia="Calibri" w:hAnsi="Times New Roman" w:cs="Times New Roman"/>
          <w:sz w:val="28"/>
          <w:szCs w:val="28"/>
          <w:lang w:val="en-GB"/>
        </w:rPr>
        <w:t>evidence at the end of Mc</w:t>
      </w:r>
      <w:r w:rsidR="00506048">
        <w:rPr>
          <w:rFonts w:ascii="Times New Roman" w:eastAsia="Calibri" w:hAnsi="Times New Roman" w:cs="Times New Roman"/>
          <w:sz w:val="28"/>
          <w:szCs w:val="28"/>
          <w:lang w:val="en-GB"/>
        </w:rPr>
        <w:t>Carthy</w:t>
      </w:r>
      <w:r w:rsidR="00506048" w:rsidRPr="00506048">
        <w:rPr>
          <w:rFonts w:ascii="Times New Roman" w:eastAsia="Calibri" w:hAnsi="Times New Roman" w:cs="Times New Roman"/>
          <w:sz w:val="28"/>
          <w:szCs w:val="28"/>
          <w:lang w:val="en-GB"/>
        </w:rPr>
        <w:t>'s case</w:t>
      </w:r>
      <w:r w:rsidR="002518B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2518B8" w:rsidRPr="002518B8">
        <w:rPr>
          <w:rFonts w:ascii="Times New Roman" w:eastAsia="Calibri" w:hAnsi="Times New Roman" w:cs="Times New Roman"/>
          <w:sz w:val="28"/>
          <w:szCs w:val="28"/>
          <w:lang w:val="en-GB"/>
        </w:rPr>
        <w:t>wa</w:t>
      </w:r>
      <w:r w:rsidR="002518B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 </w:t>
      </w:r>
      <w:r w:rsidR="0005323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that </w:t>
      </w:r>
      <w:r w:rsidR="005A13A5"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  <w:r w:rsidR="00A3489D" w:rsidRPr="00A3489D">
        <w:rPr>
          <w:rFonts w:ascii="Times New Roman" w:eastAsia="Calibri" w:hAnsi="Times New Roman" w:cs="Times New Roman"/>
          <w:sz w:val="28"/>
          <w:szCs w:val="28"/>
          <w:lang w:val="en-GB"/>
        </w:rPr>
        <w:t>linsky had offered to secure repayment of the debt owed to McCarthy</w:t>
      </w:r>
      <w:r w:rsidR="00FD096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through Canfleet</w:t>
      </w:r>
      <w:r w:rsidR="00CB505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3489D" w:rsidRPr="00A3489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</w:t>
      </w:r>
      <w:r w:rsidR="00053237">
        <w:rPr>
          <w:rFonts w:ascii="Times New Roman" w:eastAsia="Calibri" w:hAnsi="Times New Roman" w:cs="Times New Roman"/>
          <w:sz w:val="28"/>
          <w:szCs w:val="28"/>
          <w:lang w:val="en-GB"/>
        </w:rPr>
        <w:t>Mc</w:t>
      </w:r>
      <w:r w:rsidR="00A81D87">
        <w:rPr>
          <w:rFonts w:ascii="Times New Roman" w:eastAsia="Calibri" w:hAnsi="Times New Roman" w:cs="Times New Roman"/>
          <w:sz w:val="28"/>
          <w:szCs w:val="28"/>
          <w:lang w:val="en-GB"/>
        </w:rPr>
        <w:t>Carthy</w:t>
      </w:r>
      <w:r w:rsidR="00A3489D" w:rsidRPr="00A3489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refused to accept that offer</w:t>
      </w:r>
      <w:r w:rsidR="00B37E6A" w:rsidRPr="00B37E6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because it was unhappy about the vehicle through which any such  payment would be made.</w:t>
      </w:r>
      <w:r w:rsidR="005F630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30AC3">
        <w:rPr>
          <w:rFonts w:ascii="Times New Roman" w:eastAsia="Calibri" w:hAnsi="Times New Roman" w:cs="Times New Roman"/>
          <w:sz w:val="28"/>
          <w:szCs w:val="28"/>
          <w:lang w:val="en-GB"/>
        </w:rPr>
        <w:t>Ms Down</w:t>
      </w:r>
      <w:r w:rsidR="0082666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ing refused to accept that payment of the loan should be made through </w:t>
      </w:r>
      <w:r w:rsidR="004669F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Canfleet and her basis of refusal was that the loan agreement was in the name of </w:t>
      </w:r>
      <w:r w:rsidR="004669F1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CanCom</w:t>
      </w:r>
      <w:r w:rsidR="00336D6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She confirmed the existence of the financial statements </w:t>
      </w:r>
      <w:r w:rsidR="001029E0">
        <w:rPr>
          <w:rFonts w:ascii="Times New Roman" w:eastAsia="Calibri" w:hAnsi="Times New Roman" w:cs="Times New Roman"/>
          <w:sz w:val="28"/>
          <w:szCs w:val="28"/>
          <w:lang w:val="en-GB"/>
        </w:rPr>
        <w:t>which indicated that the loan of R5 million was in Canfleet’s books and not CanCom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>’s</w:t>
      </w:r>
      <w:r w:rsidR="001029E0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336D6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37E6A" w:rsidRPr="00B37E6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F6302">
        <w:rPr>
          <w:rFonts w:ascii="Times New Roman" w:eastAsia="Calibri" w:hAnsi="Times New Roman" w:cs="Times New Roman"/>
          <w:sz w:val="28"/>
          <w:szCs w:val="28"/>
          <w:lang w:val="en-GB"/>
        </w:rPr>
        <w:t>She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also</w:t>
      </w:r>
      <w:r w:rsidR="005F630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6338EB" w:rsidRPr="006338EB">
        <w:rPr>
          <w:rFonts w:ascii="Times New Roman" w:eastAsia="Calibri" w:hAnsi="Times New Roman" w:cs="Times New Roman"/>
          <w:sz w:val="28"/>
          <w:szCs w:val="28"/>
          <w:lang w:val="en-GB"/>
        </w:rPr>
        <w:t>con</w:t>
      </w:r>
      <w:r w:rsidR="00A81D87">
        <w:rPr>
          <w:rFonts w:ascii="Times New Roman" w:eastAsia="Calibri" w:hAnsi="Times New Roman" w:cs="Times New Roman"/>
          <w:sz w:val="28"/>
          <w:szCs w:val="28"/>
          <w:lang w:val="en-GB"/>
        </w:rPr>
        <w:t>ceded</w:t>
      </w:r>
      <w:r w:rsidR="006338EB" w:rsidRPr="006338E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F630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when asked by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5F6302">
        <w:rPr>
          <w:rFonts w:ascii="Times New Roman" w:eastAsia="Calibri" w:hAnsi="Times New Roman" w:cs="Times New Roman"/>
          <w:sz w:val="28"/>
          <w:szCs w:val="28"/>
          <w:lang w:val="en-GB"/>
        </w:rPr>
        <w:t>Court that it would actually not matter who repaid the R5 million.</w:t>
      </w:r>
    </w:p>
    <w:p w14:paraId="5BAE1D00" w14:textId="561BEAF4" w:rsidR="002F5BF0" w:rsidRDefault="00CC464E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2F2A7B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2F5BF0">
        <w:rPr>
          <w:rFonts w:ascii="Times New Roman" w:eastAsia="Calibri" w:hAnsi="Times New Roman" w:cs="Times New Roman"/>
          <w:sz w:val="28"/>
          <w:szCs w:val="28"/>
          <w:lang w:val="en-GB"/>
        </w:rPr>
        <w:t>9</w:t>
      </w: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>]</w:t>
      </w: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C243E9">
        <w:rPr>
          <w:rFonts w:ascii="Times New Roman" w:eastAsia="Calibri" w:hAnsi="Times New Roman" w:cs="Times New Roman"/>
          <w:sz w:val="28"/>
          <w:szCs w:val="28"/>
          <w:lang w:val="en-GB"/>
        </w:rPr>
        <w:t>Both witnesses conceded that the negotiati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on </w:t>
      </w:r>
      <w:r w:rsidR="00C243E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try an</w:t>
      </w:r>
      <w:r w:rsidR="00BD6CE2">
        <w:rPr>
          <w:rFonts w:ascii="Times New Roman" w:eastAsia="Calibri" w:hAnsi="Times New Roman" w:cs="Times New Roman"/>
          <w:sz w:val="28"/>
          <w:szCs w:val="28"/>
          <w:lang w:val="en-GB"/>
        </w:rPr>
        <w:t>d give effect to the MOU as well as the Alliance Agreement</w:t>
      </w:r>
      <w:r w:rsidR="00F5296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that Canfleet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>(</w:t>
      </w:r>
      <w:r w:rsidR="00F5296D">
        <w:rPr>
          <w:rFonts w:ascii="Times New Roman" w:eastAsia="Calibri" w:hAnsi="Times New Roman" w:cs="Times New Roman"/>
          <w:sz w:val="28"/>
          <w:szCs w:val="28"/>
          <w:lang w:val="en-GB"/>
        </w:rPr>
        <w:t>Pty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F5296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Ltd should substitute CanCom</w:t>
      </w:r>
      <w:r w:rsidR="008F13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oc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r w:rsidR="008F1382">
        <w:rPr>
          <w:rFonts w:ascii="Times New Roman" w:eastAsia="Calibri" w:hAnsi="Times New Roman" w:cs="Times New Roman"/>
          <w:sz w:val="28"/>
          <w:szCs w:val="28"/>
          <w:lang w:val="en-GB"/>
        </w:rPr>
        <w:t>urred</w:t>
      </w:r>
      <w:r w:rsidR="00C73D3B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2C7B0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They both had no difficulty with the proposal but </w:t>
      </w:r>
      <w:r w:rsidR="00A0613D">
        <w:rPr>
          <w:rFonts w:ascii="Times New Roman" w:eastAsia="Calibri" w:hAnsi="Times New Roman" w:cs="Times New Roman"/>
          <w:sz w:val="28"/>
          <w:szCs w:val="28"/>
          <w:lang w:val="en-GB"/>
        </w:rPr>
        <w:t>gave varying reasons why the agreements could not be finalized.</w:t>
      </w:r>
    </w:p>
    <w:p w14:paraId="093C046F" w14:textId="081169B6" w:rsidR="004E0037" w:rsidRDefault="009B22D0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3458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[20] </w:t>
      </w:r>
      <w:r w:rsidR="0031634B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C73D3B"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  <w:r w:rsidR="0031634B">
        <w:rPr>
          <w:rFonts w:ascii="Times New Roman" w:eastAsia="Calibri" w:hAnsi="Times New Roman" w:cs="Times New Roman"/>
          <w:sz w:val="28"/>
          <w:szCs w:val="28"/>
          <w:lang w:val="en-GB"/>
        </w:rPr>
        <w:t>lin</w:t>
      </w:r>
      <w:r w:rsidR="00C73D3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sky </w:t>
      </w:r>
      <w:r w:rsidR="00C73D3B" w:rsidRPr="004C033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had procured </w:t>
      </w:r>
      <w:r w:rsidR="00C73D3B" w:rsidRP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C73D3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necessary draft agreements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which </w:t>
      </w:r>
      <w:r w:rsidR="00C73D3B">
        <w:rPr>
          <w:rFonts w:ascii="Times New Roman" w:eastAsia="Calibri" w:hAnsi="Times New Roman" w:cs="Times New Roman"/>
          <w:sz w:val="28"/>
          <w:szCs w:val="28"/>
          <w:lang w:val="en-GB"/>
        </w:rPr>
        <w:t>were prepared and sent to M</w:t>
      </w:r>
      <w:r w:rsidR="00FA3E7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cCarthy for consideration. The documents included the draft Cession of the </w:t>
      </w:r>
      <w:r w:rsidR="003F6AF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Contract between McCarthy and </w:t>
      </w:r>
      <w:r w:rsidR="009511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3F6AF2">
        <w:rPr>
          <w:rFonts w:ascii="Times New Roman" w:eastAsia="Calibri" w:hAnsi="Times New Roman" w:cs="Times New Roman"/>
          <w:sz w:val="28"/>
          <w:szCs w:val="28"/>
          <w:lang w:val="en-GB"/>
        </w:rPr>
        <w:t>new company. It should be rem</w:t>
      </w:r>
      <w:r w:rsidR="00623B2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embered that both witnesses had testified that </w:t>
      </w:r>
      <w:r w:rsidR="00FC021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initial R5 million </w:t>
      </w:r>
      <w:r w:rsidR="00405DAA">
        <w:rPr>
          <w:rFonts w:ascii="Times New Roman" w:eastAsia="Calibri" w:hAnsi="Times New Roman" w:cs="Times New Roman"/>
          <w:sz w:val="28"/>
          <w:szCs w:val="28"/>
          <w:lang w:val="en-GB"/>
        </w:rPr>
        <w:t>grant</w:t>
      </w:r>
      <w:r w:rsidR="00FC021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had preceded the loan agreement </w:t>
      </w:r>
      <w:r w:rsidR="000D22A4">
        <w:rPr>
          <w:rFonts w:ascii="Times New Roman" w:eastAsia="Calibri" w:hAnsi="Times New Roman" w:cs="Times New Roman"/>
          <w:sz w:val="28"/>
          <w:szCs w:val="28"/>
          <w:lang w:val="en-GB"/>
        </w:rPr>
        <w:t>amount which was paid to CanCom during 2017.</w:t>
      </w:r>
      <w:r w:rsidR="004E003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They both admitted that McCarthy was using the product</w:t>
      </w:r>
      <w:r w:rsidR="002F2A7B">
        <w:rPr>
          <w:rFonts w:ascii="Times New Roman" w:eastAsia="Calibri" w:hAnsi="Times New Roman" w:cs="Times New Roman"/>
          <w:sz w:val="28"/>
          <w:szCs w:val="28"/>
          <w:lang w:val="en-GB"/>
        </w:rPr>
        <w:t>s consisting of the keyless system used in the rent</w:t>
      </w:r>
      <w:r w:rsidR="005B60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ed </w:t>
      </w:r>
      <w:r w:rsidR="00D5339D">
        <w:rPr>
          <w:rFonts w:ascii="Times New Roman" w:eastAsia="Calibri" w:hAnsi="Times New Roman" w:cs="Times New Roman"/>
          <w:sz w:val="28"/>
          <w:szCs w:val="28"/>
          <w:lang w:val="en-GB"/>
        </w:rPr>
        <w:t>cars. The</w:t>
      </w:r>
      <w:r w:rsidR="005B60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patent</w:t>
      </w:r>
      <w:r w:rsidR="000C3E0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which was registered in 2013</w:t>
      </w:r>
      <w:r w:rsidR="005B60E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pertaining to that product belonged to </w:t>
      </w:r>
      <w:r w:rsidR="00864595">
        <w:rPr>
          <w:rFonts w:ascii="Times New Roman" w:eastAsia="Calibri" w:hAnsi="Times New Roman" w:cs="Times New Roman"/>
          <w:sz w:val="28"/>
          <w:szCs w:val="28"/>
          <w:lang w:val="en-GB"/>
        </w:rPr>
        <w:t>Mr. Kevin Olinsky, the husband to the defendant</w:t>
      </w:r>
      <w:r w:rsidR="000C3E0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It can reasonably be assumed that he had no issues with the use of that patent,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>and t</w:t>
      </w:r>
      <w:r w:rsidR="000C3E0A">
        <w:rPr>
          <w:rFonts w:ascii="Times New Roman" w:eastAsia="Calibri" w:hAnsi="Times New Roman" w:cs="Times New Roman"/>
          <w:sz w:val="28"/>
          <w:szCs w:val="28"/>
          <w:lang w:val="en-GB"/>
        </w:rPr>
        <w:t>he other patent</w:t>
      </w:r>
      <w:r w:rsidR="00D6043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registered in 2014 belonged to CanCom and was for the traffic management s</w:t>
      </w:r>
      <w:r w:rsidR="00D5339D">
        <w:rPr>
          <w:rFonts w:ascii="Times New Roman" w:eastAsia="Calibri" w:hAnsi="Times New Roman" w:cs="Times New Roman"/>
          <w:sz w:val="28"/>
          <w:szCs w:val="28"/>
          <w:lang w:val="en-GB"/>
        </w:rPr>
        <w:t>ystem pertaining to the rented cars.</w:t>
      </w:r>
      <w:r w:rsidR="000C3E0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48260750" w14:textId="065BB667" w:rsidR="00D5339D" w:rsidRDefault="00D5339D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790E55">
        <w:rPr>
          <w:rFonts w:ascii="Times New Roman" w:eastAsia="Calibri" w:hAnsi="Times New Roman" w:cs="Times New Roman"/>
          <w:sz w:val="28"/>
          <w:szCs w:val="28"/>
          <w:lang w:val="en-GB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The proposed agreements were never finalized and according to </w:t>
      </w:r>
      <w:r w:rsidR="0014459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Ms </w:t>
      </w:r>
      <w:r w:rsidR="006B2E0A">
        <w:rPr>
          <w:rFonts w:ascii="Times New Roman" w:eastAsia="Calibri" w:hAnsi="Times New Roman" w:cs="Times New Roman"/>
          <w:sz w:val="28"/>
          <w:szCs w:val="28"/>
          <w:lang w:val="en-GB"/>
        </w:rPr>
        <w:t>McGhee</w:t>
      </w:r>
      <w:r w:rsidR="0014459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who had no issues with the proposed agreements, the reason they were never signed to give effect to the MOU and the Alliance Agreement, was due to Covid-19 interruptions and </w:t>
      </w:r>
      <w:r w:rsidR="00E25E5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change of </w:t>
      </w:r>
      <w:r w:rsidR="00102D1E">
        <w:rPr>
          <w:rFonts w:ascii="Times New Roman" w:eastAsia="Calibri" w:hAnsi="Times New Roman" w:cs="Times New Roman"/>
          <w:sz w:val="28"/>
          <w:szCs w:val="28"/>
          <w:lang w:val="en-GB"/>
        </w:rPr>
        <w:t>strategy</w:t>
      </w:r>
      <w:r w:rsidR="00E25E5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pertaining to the sale of Bidvest Car Rental.</w:t>
      </w:r>
      <w:r w:rsidR="00102D1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She confirmed that Olinsky </w:t>
      </w:r>
      <w:r w:rsidR="000657D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sent her the proposal that CanCom should be replaced by Canfleet and that she had no issues with the fact that </w:t>
      </w:r>
      <w:r w:rsidR="00181F70">
        <w:rPr>
          <w:rFonts w:ascii="Times New Roman" w:eastAsia="Calibri" w:hAnsi="Times New Roman" w:cs="Times New Roman"/>
          <w:sz w:val="28"/>
          <w:szCs w:val="28"/>
          <w:lang w:val="en-GB"/>
        </w:rPr>
        <w:t>McCarthy’s R5 million loan was now reflected in Canfleet’s books</w:t>
      </w:r>
      <w:r w:rsidR="00080D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She also confirmed that she sent all the </w:t>
      </w:r>
      <w:r w:rsidR="00080D8C" w:rsidRPr="00B8414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080D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Assignment and </w:t>
      </w:r>
      <w:r w:rsidR="00080D8C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 xml:space="preserve">Cession Agreements </w:t>
      </w:r>
      <w:r w:rsidR="00080D8C" w:rsidRPr="00B8414E">
        <w:rPr>
          <w:rFonts w:ascii="Times New Roman" w:eastAsia="Calibri" w:hAnsi="Times New Roman" w:cs="Times New Roman"/>
          <w:sz w:val="28"/>
          <w:szCs w:val="28"/>
          <w:lang w:val="en-GB"/>
        </w:rPr>
        <w:t>proposed</w:t>
      </w:r>
      <w:r w:rsidR="00080D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Olinsky to McCarthy’s Legal Department for their </w:t>
      </w:r>
      <w:r w:rsidR="00B7389F">
        <w:rPr>
          <w:rFonts w:ascii="Times New Roman" w:eastAsia="Calibri" w:hAnsi="Times New Roman" w:cs="Times New Roman"/>
          <w:sz w:val="28"/>
          <w:szCs w:val="28"/>
          <w:lang w:val="en-GB"/>
        </w:rPr>
        <w:t>consideration and did not object to the fact that the loan was reflected in Canfleet’s financial statements.</w:t>
      </w:r>
      <w:r w:rsidR="00102D1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8414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There was no evidence on the </w:t>
      </w:r>
      <w:r w:rsidR="008E742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input of 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E742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McCarthy’s Legal Department about the proposed agreements. This is understandable because </w:t>
      </w:r>
      <w:r w:rsidR="00DD2D8E">
        <w:rPr>
          <w:rFonts w:ascii="Times New Roman" w:eastAsia="Calibri" w:hAnsi="Times New Roman" w:cs="Times New Roman"/>
          <w:sz w:val="28"/>
          <w:szCs w:val="28"/>
          <w:lang w:val="en-GB"/>
        </w:rPr>
        <w:t>McCarthy’s car rental business was sold.</w:t>
      </w:r>
    </w:p>
    <w:p w14:paraId="7F3F768B" w14:textId="3190AA61" w:rsidR="00CC464E" w:rsidRDefault="006F3F27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[22] </w:t>
      </w:r>
      <w:r w:rsidR="00BD6CE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D930D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Ms Downing objected to the R5 million </w:t>
      </w:r>
      <w:r w:rsidR="00203E32">
        <w:rPr>
          <w:rFonts w:ascii="Times New Roman" w:eastAsia="Calibri" w:hAnsi="Times New Roman" w:cs="Times New Roman"/>
          <w:sz w:val="28"/>
          <w:szCs w:val="28"/>
          <w:lang w:val="en-GB"/>
        </w:rPr>
        <w:t>payment to be made in Canfleet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’s </w:t>
      </w:r>
      <w:r w:rsidR="00203E3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bank account as she felt that it would not be consistent with the loan agreement which was in the name of CanCom. She was a</w:t>
      </w:r>
      <w:r w:rsidR="00FD531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ware of the MOU although it was concluded in 2015 which was a year before she was employed by McCarthy. She was 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>also aware</w:t>
      </w:r>
      <w:r w:rsidR="00FD531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about the </w:t>
      </w:r>
      <w:r w:rsidR="002B5EC7">
        <w:rPr>
          <w:rFonts w:ascii="Times New Roman" w:eastAsia="Calibri" w:hAnsi="Times New Roman" w:cs="Times New Roman"/>
          <w:sz w:val="28"/>
          <w:szCs w:val="28"/>
          <w:lang w:val="en-GB"/>
        </w:rPr>
        <w:t>Al</w:t>
      </w:r>
      <w:r w:rsidR="004C0333">
        <w:rPr>
          <w:rFonts w:ascii="Times New Roman" w:eastAsia="Calibri" w:hAnsi="Times New Roman" w:cs="Times New Roman"/>
          <w:sz w:val="28"/>
          <w:szCs w:val="28"/>
          <w:lang w:val="en-GB"/>
        </w:rPr>
        <w:t>l</w:t>
      </w:r>
      <w:r w:rsidR="002B5EC7">
        <w:rPr>
          <w:rFonts w:ascii="Times New Roman" w:eastAsia="Calibri" w:hAnsi="Times New Roman" w:cs="Times New Roman"/>
          <w:sz w:val="28"/>
          <w:szCs w:val="28"/>
          <w:lang w:val="en-GB"/>
        </w:rPr>
        <w:t>iance Agreement which was concluded in 2016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as well as</w:t>
      </w:r>
      <w:r w:rsidR="002B5EC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proposed </w:t>
      </w:r>
      <w:r w:rsidR="009B076F">
        <w:rPr>
          <w:rFonts w:ascii="Times New Roman" w:eastAsia="Calibri" w:hAnsi="Times New Roman" w:cs="Times New Roman"/>
          <w:sz w:val="28"/>
          <w:szCs w:val="28"/>
          <w:lang w:val="en-GB"/>
        </w:rPr>
        <w:t>Cession and Assig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="009B076F">
        <w:rPr>
          <w:rFonts w:ascii="Times New Roman" w:eastAsia="Calibri" w:hAnsi="Times New Roman" w:cs="Times New Roman"/>
          <w:sz w:val="28"/>
          <w:szCs w:val="28"/>
          <w:lang w:val="en-GB"/>
        </w:rPr>
        <w:t>ment Agreement to which Canfleet financial</w:t>
      </w:r>
      <w:r w:rsidR="00BF180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statement</w:t>
      </w:r>
      <w:r w:rsidR="009B076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were attached showing the </w:t>
      </w:r>
      <w:r w:rsidR="00BB32B6">
        <w:rPr>
          <w:rFonts w:ascii="Times New Roman" w:eastAsia="Calibri" w:hAnsi="Times New Roman" w:cs="Times New Roman"/>
          <w:sz w:val="28"/>
          <w:szCs w:val="28"/>
          <w:lang w:val="en-GB"/>
        </w:rPr>
        <w:t>debt of R5 millio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="00BB32B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advanced to CanCom </w:t>
      </w:r>
      <w:r w:rsidR="00BF180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>Can fleet’s</w:t>
      </w:r>
      <w:r w:rsidR="00BF180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books. She 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testified that she </w:t>
      </w:r>
      <w:r w:rsidR="00BF180D">
        <w:rPr>
          <w:rFonts w:ascii="Times New Roman" w:eastAsia="Calibri" w:hAnsi="Times New Roman" w:cs="Times New Roman"/>
          <w:sz w:val="28"/>
          <w:szCs w:val="28"/>
          <w:lang w:val="en-GB"/>
        </w:rPr>
        <w:t>was not involved directly with the negotiations to give effect to the MOU and the Alliance Agreement</w:t>
      </w:r>
      <w:r w:rsidR="00C8260B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14:paraId="404A38E5" w14:textId="77777777" w:rsidR="004C0333" w:rsidRDefault="004C0333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53963F13" w14:textId="319A836F" w:rsidR="00615B38" w:rsidRPr="00615B38" w:rsidRDefault="00615B38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615B38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Con</w:t>
      </w:r>
      <w:r w:rsidR="001B25B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siderations</w:t>
      </w:r>
    </w:p>
    <w:p w14:paraId="24350FCB" w14:textId="1088158B" w:rsidR="0027133B" w:rsidRDefault="00CC464E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293922">
        <w:rPr>
          <w:rFonts w:ascii="Times New Roman" w:eastAsia="Calibri" w:hAnsi="Times New Roman" w:cs="Times New Roman"/>
          <w:sz w:val="28"/>
          <w:szCs w:val="28"/>
          <w:lang w:val="en-GB"/>
        </w:rPr>
        <w:t>23</w:t>
      </w: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615B3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evidence after </w:t>
      </w:r>
      <w:r w:rsidR="00E3706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close of the case was insufficient to make out a </w:t>
      </w:r>
      <w:r w:rsidR="00293922" w:rsidRPr="0029392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prima</w:t>
      </w:r>
      <w:r w:rsidR="0029392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293922" w:rsidRPr="0029392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facie</w:t>
      </w:r>
      <w:r w:rsidR="0029392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3706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case for </w:t>
      </w:r>
      <w:r w:rsidR="00C938AB" w:rsidRPr="00C938AB">
        <w:rPr>
          <w:rFonts w:ascii="Times New Roman" w:eastAsia="Calibri" w:hAnsi="Times New Roman" w:cs="Times New Roman"/>
          <w:sz w:val="28"/>
          <w:szCs w:val="28"/>
          <w:lang w:val="en-GB"/>
        </w:rPr>
        <w:t>M</w:t>
      </w:r>
      <w:r w:rsidR="003F2E7D">
        <w:rPr>
          <w:rFonts w:ascii="Times New Roman" w:eastAsia="Calibri" w:hAnsi="Times New Roman" w:cs="Times New Roman"/>
          <w:sz w:val="28"/>
          <w:szCs w:val="28"/>
          <w:lang w:val="en-GB"/>
        </w:rPr>
        <w:t>cCarthy</w:t>
      </w:r>
      <w:r w:rsidR="003F2E7D" w:rsidRPr="003F2E7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as it </w:t>
      </w:r>
      <w:r w:rsidR="003F2E7D" w:rsidRPr="003F2E7D">
        <w:rPr>
          <w:rFonts w:ascii="Times New Roman" w:eastAsia="Calibri" w:hAnsi="Times New Roman" w:cs="Times New Roman"/>
          <w:sz w:val="28"/>
          <w:szCs w:val="28"/>
          <w:lang w:val="en-GB"/>
        </w:rPr>
        <w:t>was obliged to approve each step in this alleged conspiracy, each misrepresentation that, as it pleaded, cumulatively amounted to the conduct that apparently induced it to sign two agreements an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>d</w:t>
      </w:r>
      <w:r w:rsidR="003F2E7D" w:rsidRPr="003F2E7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advance a</w:t>
      </w:r>
      <w:r w:rsidR="003B1D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loan</w:t>
      </w:r>
      <w:r w:rsidR="003F2E7D" w:rsidRPr="003F2E7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 </w:t>
      </w:r>
      <w:r w:rsidR="003F2E7D">
        <w:rPr>
          <w:rFonts w:ascii="Times New Roman" w:eastAsia="Calibri" w:hAnsi="Times New Roman" w:cs="Times New Roman"/>
          <w:sz w:val="28"/>
          <w:szCs w:val="28"/>
          <w:lang w:val="en-GB"/>
        </w:rPr>
        <w:t>R</w:t>
      </w:r>
      <w:r w:rsidR="003F2E7D" w:rsidRPr="003F2E7D">
        <w:rPr>
          <w:rFonts w:ascii="Times New Roman" w:eastAsia="Calibri" w:hAnsi="Times New Roman" w:cs="Times New Roman"/>
          <w:sz w:val="28"/>
          <w:szCs w:val="28"/>
          <w:lang w:val="en-GB"/>
        </w:rPr>
        <w:t>5 million</w:t>
      </w:r>
      <w:r w:rsidR="000736CD" w:rsidRPr="000736C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which caused it to suffer damages in an equivalent amoun</w:t>
      </w:r>
      <w:r w:rsidR="000736CD">
        <w:rPr>
          <w:rFonts w:ascii="Times New Roman" w:eastAsia="Calibri" w:hAnsi="Times New Roman" w:cs="Times New Roman"/>
          <w:sz w:val="28"/>
          <w:szCs w:val="28"/>
          <w:lang w:val="en-GB"/>
        </w:rPr>
        <w:t>t.</w:t>
      </w:r>
      <w:r w:rsidR="0030741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This h</w:t>
      </w:r>
      <w:r w:rsidR="003F17F5">
        <w:rPr>
          <w:rFonts w:ascii="Times New Roman" w:eastAsia="Calibri" w:hAnsi="Times New Roman" w:cs="Times New Roman"/>
          <w:sz w:val="28"/>
          <w:szCs w:val="28"/>
          <w:lang w:val="en-GB"/>
        </w:rPr>
        <w:t>as not been established because the MOU and the Alliance Agreement</w:t>
      </w:r>
      <w:r w:rsidR="005773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clearly </w:t>
      </w:r>
      <w:r w:rsidR="0057738F">
        <w:rPr>
          <w:rFonts w:ascii="Times New Roman" w:eastAsia="Calibri" w:hAnsi="Times New Roman" w:cs="Times New Roman"/>
          <w:sz w:val="28"/>
          <w:szCs w:val="28"/>
          <w:lang w:val="en-GB"/>
        </w:rPr>
        <w:t>show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>s</w:t>
      </w:r>
      <w:r w:rsidR="005773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that it was the intention of the parties that CanCom was going to be supplemented as a party to the loan agreement by the new company to be formed by Olinsky.</w:t>
      </w:r>
      <w:r w:rsidR="005123D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64BEEB53" w14:textId="7E605A8A" w:rsidR="0097333E" w:rsidRDefault="0027133B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 xml:space="preserve">[24]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5123D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Even if I am wrong on this assessment, I am fortified by the fact that Olinsky is the one who initiated the steps to give effect </w:t>
      </w:r>
      <w:r w:rsidR="00DF2939">
        <w:rPr>
          <w:rFonts w:ascii="Times New Roman" w:eastAsia="Calibri" w:hAnsi="Times New Roman" w:cs="Times New Roman"/>
          <w:sz w:val="28"/>
          <w:szCs w:val="28"/>
          <w:lang w:val="en-GB"/>
        </w:rPr>
        <w:t>in</w:t>
      </w:r>
      <w:r w:rsidR="005123D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A2AA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bringing the substitution of CanCom by Canfleet to life. She sent the proposed draft agreements showing the </w:t>
      </w:r>
      <w:r w:rsidR="006D6C2A">
        <w:rPr>
          <w:rFonts w:ascii="Times New Roman" w:eastAsia="Calibri" w:hAnsi="Times New Roman" w:cs="Times New Roman"/>
          <w:sz w:val="28"/>
          <w:szCs w:val="28"/>
          <w:lang w:val="en-GB"/>
        </w:rPr>
        <w:t>new company as envisaged in the MOU and the Alliance Agreement to Ms McGhee</w:t>
      </w:r>
      <w:r w:rsidR="0063057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together with the financial statements of Canfleet clearly showing the R5 million debt in the books of Canfleet.</w:t>
      </w:r>
      <w:r w:rsidR="006D6C2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A2AA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That conduct cannot amount to </w:t>
      </w:r>
      <w:r w:rsidR="001F38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deceit; conspiracy or fraud and it is </w:t>
      </w:r>
      <w:r w:rsidR="0097333E">
        <w:rPr>
          <w:rFonts w:ascii="Times New Roman" w:eastAsia="Calibri" w:hAnsi="Times New Roman" w:cs="Times New Roman"/>
          <w:sz w:val="28"/>
          <w:szCs w:val="28"/>
          <w:lang w:val="en-GB"/>
        </w:rPr>
        <w:t>devoid</w:t>
      </w:r>
      <w:r w:rsidR="001F38E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</w:t>
      </w:r>
      <w:r w:rsidR="0097333E">
        <w:rPr>
          <w:rFonts w:ascii="Times New Roman" w:eastAsia="Calibri" w:hAnsi="Times New Roman" w:cs="Times New Roman"/>
          <w:sz w:val="28"/>
          <w:szCs w:val="28"/>
          <w:lang w:val="en-GB"/>
        </w:rPr>
        <w:t>f the intention to cause harm to M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r w:rsidR="0097333E">
        <w:rPr>
          <w:rFonts w:ascii="Times New Roman" w:eastAsia="Calibri" w:hAnsi="Times New Roman" w:cs="Times New Roman"/>
          <w:sz w:val="28"/>
          <w:szCs w:val="28"/>
          <w:lang w:val="en-GB"/>
        </w:rPr>
        <w:t>Carthy.</w:t>
      </w:r>
    </w:p>
    <w:p w14:paraId="40B3B83E" w14:textId="79340A1F" w:rsidR="00CC464E" w:rsidRDefault="00CA65CB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[25]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proposition on behalf of McCarthy that the voluntary liquidation of CanCom was done with the intention to kill off the claim </w:t>
      </w:r>
      <w:r w:rsidR="00E658C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of R5 million in CanCom has no factual basis. This is so because </w:t>
      </w:r>
      <w:r w:rsidR="00CB3A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even after becoming aware of the voluntary liquidation of CanCom in December 2019, McCarthy still continued to negotiate with Olinsky way </w:t>
      </w:r>
      <w:r w:rsidR="00435E3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into 2020 and as already stated, the reasons as understood by Ms </w:t>
      </w:r>
      <w:r w:rsidR="00C42051">
        <w:rPr>
          <w:rFonts w:ascii="Times New Roman" w:eastAsia="Calibri" w:hAnsi="Times New Roman" w:cs="Times New Roman"/>
          <w:sz w:val="28"/>
          <w:szCs w:val="28"/>
          <w:lang w:val="en-GB"/>
        </w:rPr>
        <w:t>McGhee why the new agreements, which she had no problem with could not be finalized was because of the Covid-19 interruptions and the dec</w:t>
      </w:r>
      <w:r w:rsidR="001F1152">
        <w:rPr>
          <w:rFonts w:ascii="Times New Roman" w:eastAsia="Calibri" w:hAnsi="Times New Roman" w:cs="Times New Roman"/>
          <w:sz w:val="28"/>
          <w:szCs w:val="28"/>
          <w:lang w:val="en-GB"/>
        </w:rPr>
        <w:t>ision by McCarthy to sell its car rental business.</w:t>
      </w:r>
    </w:p>
    <w:p w14:paraId="49B00534" w14:textId="1B1B085B" w:rsidR="00CC464E" w:rsidRPr="00C87673" w:rsidRDefault="001F1152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603B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26]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603B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proposition by McCarthy that fraud by </w:t>
      </w:r>
      <w:r w:rsidR="0012199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Olinsky was also 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>evidence</w:t>
      </w:r>
      <w:r w:rsidR="0012199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 by the fact that CanCom did not own the keyless </w:t>
      </w:r>
      <w:r w:rsidR="00EE36B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patent, which 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>is</w:t>
      </w:r>
      <w:r w:rsidR="00EE36B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common c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>ause</w:t>
      </w:r>
      <w:r w:rsidR="00EE36B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was owned by </w:t>
      </w:r>
      <w:r w:rsidR="00C6253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Olinsky’s husband, cannot in my view, establish a </w:t>
      </w:r>
      <w:r w:rsidR="00C6253F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prima facie</w:t>
      </w:r>
      <w:r w:rsidR="00C6253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case of fraud. This is so because McCarthy </w:t>
      </w:r>
      <w:r w:rsidR="001B36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was using the patent and admittedly, 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as previously stated </w:t>
      </w:r>
      <w:r w:rsidR="001B36F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Olinsky’s husband did not have any issue with the </w:t>
      </w:r>
      <w:r w:rsidR="00D901D5"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status quo</w:t>
      </w:r>
      <w:r w:rsidR="00D901D5">
        <w:rPr>
          <w:rFonts w:ascii="Times New Roman" w:eastAsia="Calibri" w:hAnsi="Times New Roman" w:cs="Times New Roman"/>
          <w:sz w:val="28"/>
          <w:szCs w:val="28"/>
          <w:lang w:val="en-GB"/>
        </w:rPr>
        <w:t>. It could well be that had he been requested to assign the patent</w:t>
      </w:r>
      <w:r w:rsidR="00CA278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for the keyless product </w:t>
      </w:r>
      <w:r w:rsidR="00D901D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McCarthy</w:t>
      </w:r>
      <w:r w:rsidR="00CA2782">
        <w:rPr>
          <w:rFonts w:ascii="Times New Roman" w:eastAsia="Calibri" w:hAnsi="Times New Roman" w:cs="Times New Roman"/>
          <w:sz w:val="28"/>
          <w:szCs w:val="28"/>
          <w:lang w:val="en-GB"/>
        </w:rPr>
        <w:t>, chances are that he would ha</w:t>
      </w:r>
      <w:r w:rsidR="00CA4D7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ve no issue with such assignment. Accordingly, the contention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>of</w:t>
      </w:r>
      <w:r w:rsidR="006210D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fraud based on this ground must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>fail.</w:t>
      </w:r>
      <w:r w:rsidR="00D901D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2199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56FB926A" w14:textId="14C7E35D" w:rsidR="0099243B" w:rsidRDefault="00CC464E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C87673">
        <w:rPr>
          <w:rFonts w:ascii="Times New Roman" w:eastAsia="Calibri" w:hAnsi="Times New Roman" w:cs="Times New Roman"/>
          <w:sz w:val="28"/>
          <w:szCs w:val="28"/>
          <w:lang w:val="en-GB"/>
        </w:rPr>
        <w:t>27</w:t>
      </w:r>
      <w:r w:rsidRPr="008A779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B04B8F" w:rsidRPr="00B04B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B04B8F" w:rsidRPr="00B04B8F">
        <w:rPr>
          <w:rFonts w:ascii="Times New Roman" w:eastAsia="Calibri" w:hAnsi="Times New Roman" w:cs="Times New Roman"/>
          <w:sz w:val="28"/>
          <w:szCs w:val="28"/>
          <w:lang w:val="en-GB"/>
        </w:rPr>
        <w:t>McCarthy</w:t>
      </w:r>
      <w:r w:rsidR="00B04B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A03C6">
        <w:rPr>
          <w:rFonts w:ascii="Times New Roman" w:eastAsia="Calibri" w:hAnsi="Times New Roman" w:cs="Times New Roman"/>
          <w:sz w:val="28"/>
          <w:szCs w:val="28"/>
          <w:lang w:val="en-GB"/>
        </w:rPr>
        <w:t>ha</w:t>
      </w:r>
      <w:r w:rsidR="00B04B8F" w:rsidRPr="00B04B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 failed to lead any evidence which demonstrates an intent on </w:t>
      </w:r>
      <w:r w:rsidR="00132C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B04B8F" w:rsidRPr="00B04B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part </w:t>
      </w:r>
      <w:r w:rsidR="00132C29">
        <w:rPr>
          <w:rFonts w:ascii="Times New Roman" w:eastAsia="Calibri" w:hAnsi="Times New Roman" w:cs="Times New Roman"/>
          <w:sz w:val="28"/>
          <w:szCs w:val="28"/>
          <w:lang w:val="en-GB"/>
        </w:rPr>
        <w:t>of Olinsky</w:t>
      </w:r>
      <w:r w:rsidR="00B04B8F" w:rsidRPr="00B04B8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to </w:t>
      </w:r>
      <w:r w:rsidR="00B04B8F" w:rsidRPr="00B04B8F">
        <w:rPr>
          <w:rFonts w:ascii="Times New Roman" w:eastAsia="Calibri" w:hAnsi="Times New Roman" w:cs="Times New Roman"/>
          <w:sz w:val="28"/>
          <w:szCs w:val="28"/>
          <w:lang w:val="en-GB"/>
        </w:rPr>
        <w:t>defraud it.</w:t>
      </w:r>
      <w:r w:rsidR="005A03C6" w:rsidRPr="005A03C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5346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She co-operated with </w:t>
      </w:r>
      <w:r w:rsidR="005A03C6" w:rsidRPr="005A03C6">
        <w:rPr>
          <w:rFonts w:ascii="Times New Roman" w:eastAsia="Calibri" w:hAnsi="Times New Roman" w:cs="Times New Roman"/>
          <w:sz w:val="28"/>
          <w:szCs w:val="28"/>
          <w:lang w:val="en-GB"/>
        </w:rPr>
        <w:t>McCarthy</w:t>
      </w:r>
      <w:r w:rsidR="0015346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A7C10" w:rsidRPr="003B0E9B">
        <w:rPr>
          <w:rFonts w:ascii="Times New Roman" w:eastAsia="Calibri" w:hAnsi="Times New Roman" w:cs="Times New Roman"/>
          <w:sz w:val="28"/>
          <w:szCs w:val="28"/>
          <w:lang w:val="en-GB"/>
        </w:rPr>
        <w:t>until</w:t>
      </w:r>
      <w:r w:rsidR="00153467" w:rsidRPr="003B0E9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53467">
        <w:rPr>
          <w:rFonts w:ascii="Times New Roman" w:eastAsia="Calibri" w:hAnsi="Times New Roman" w:cs="Times New Roman"/>
          <w:sz w:val="28"/>
          <w:szCs w:val="28"/>
          <w:lang w:val="en-GB"/>
        </w:rPr>
        <w:t>McCarthy deci</w:t>
      </w:r>
      <w:r w:rsidR="007E4FF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ded to sell its car rental business. Her conduct was at all </w:t>
      </w:r>
      <w:r w:rsidR="007E4FF6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 xml:space="preserve">times consistent with what she understood the </w:t>
      </w:r>
      <w:r w:rsidR="00C307B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MOU and Alliance Agreements referred to </w:t>
      </w:r>
      <w:r w:rsidR="004C7B0A">
        <w:rPr>
          <w:rFonts w:ascii="Times New Roman" w:eastAsia="Calibri" w:hAnsi="Times New Roman" w:cs="Times New Roman"/>
          <w:sz w:val="28"/>
          <w:szCs w:val="28"/>
          <w:lang w:val="en-GB"/>
        </w:rPr>
        <w:t>in</w:t>
      </w:r>
      <w:r w:rsidR="00C307B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respect </w:t>
      </w:r>
      <w:r w:rsidR="004C7B0A">
        <w:rPr>
          <w:rFonts w:ascii="Times New Roman" w:eastAsia="Calibri" w:hAnsi="Times New Roman" w:cs="Times New Roman"/>
          <w:sz w:val="28"/>
          <w:szCs w:val="28"/>
          <w:lang w:val="en-GB"/>
        </w:rPr>
        <w:t>of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</w:t>
      </w:r>
      <w:r w:rsidR="004C7B0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formation of a new company to replace CanCom.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7215D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my view, her conduct is not consistent with someone with an intention to </w:t>
      </w:r>
      <w:r w:rsidR="00CA1AA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mislead and cause harm to McCarthy. </w:t>
      </w:r>
    </w:p>
    <w:p w14:paraId="61BFE436" w14:textId="22F7E56A" w:rsidR="00C8260B" w:rsidRDefault="00625DA6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[28] 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Based on the evidence led, there is no basis to suggest that Olinsky carried on the business of CanCom </w:t>
      </w:r>
      <w:r w:rsidR="00FD4A2A">
        <w:rPr>
          <w:rFonts w:ascii="Times New Roman" w:eastAsia="Calibri" w:hAnsi="Times New Roman" w:cs="Times New Roman"/>
          <w:sz w:val="28"/>
          <w:szCs w:val="28"/>
          <w:lang w:val="en-GB"/>
        </w:rPr>
        <w:t>with the intention of  defrauding McCarthy of its R</w:t>
      </w:r>
      <w:r w:rsidR="00E11EF2">
        <w:rPr>
          <w:rFonts w:ascii="Times New Roman" w:eastAsia="Calibri" w:hAnsi="Times New Roman" w:cs="Times New Roman"/>
          <w:sz w:val="28"/>
          <w:szCs w:val="28"/>
          <w:lang w:val="en-GB"/>
        </w:rPr>
        <w:t>5 million. On the contrary, the uncontroverted evidence from the two witnesses</w:t>
      </w:r>
      <w:r w:rsidR="00994FA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is that the loan would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be</w:t>
      </w:r>
      <w:r w:rsidR="00994FA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repaid by Canfleet which is consistent with the MOU and Alliance </w:t>
      </w:r>
      <w:r w:rsidR="00F56415">
        <w:rPr>
          <w:rFonts w:ascii="Times New Roman" w:eastAsia="Calibri" w:hAnsi="Times New Roman" w:cs="Times New Roman"/>
          <w:sz w:val="28"/>
          <w:szCs w:val="28"/>
          <w:lang w:val="en-GB"/>
        </w:rPr>
        <w:t>Agreement. The contention on behalf of McCarthy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is</w:t>
      </w:r>
      <w:r w:rsidR="00F5641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that the MOU</w:t>
      </w:r>
      <w:r w:rsidR="00BB364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F56415">
        <w:rPr>
          <w:rFonts w:ascii="Times New Roman" w:eastAsia="Calibri" w:hAnsi="Times New Roman" w:cs="Times New Roman"/>
          <w:sz w:val="28"/>
          <w:szCs w:val="28"/>
          <w:lang w:val="en-GB"/>
        </w:rPr>
        <w:t>and</w:t>
      </w:r>
      <w:r w:rsidR="00BB364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Alliance Agreement should not be considered by this Court as the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>ir</w:t>
      </w:r>
      <w:r w:rsidR="00280C1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agreement to agree is flawed. Olinsky did all she </w:t>
      </w:r>
      <w:r w:rsidR="00F52954">
        <w:rPr>
          <w:rFonts w:ascii="Times New Roman" w:eastAsia="Calibri" w:hAnsi="Times New Roman" w:cs="Times New Roman"/>
          <w:sz w:val="28"/>
          <w:szCs w:val="28"/>
          <w:lang w:val="en-GB"/>
        </w:rPr>
        <w:t>could to give effect to what the two agreements stated in terms of creating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</w:t>
      </w:r>
      <w:r w:rsidR="00F5295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new company to </w:t>
      </w:r>
      <w:r w:rsidR="004E1A7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take over the agreement from CanCom and McCarthy’s change of strategy </w:t>
      </w:r>
      <w:r w:rsidR="00A8638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by selling its car rental business appears to be the reason the proposed agreements could not be finalized. It follows accordingly that </w:t>
      </w:r>
      <w:r w:rsidR="003C5EF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no </w:t>
      </w:r>
      <w:r w:rsidR="003C5EFE" w:rsidRPr="004C0333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prima facie</w:t>
      </w:r>
      <w:r w:rsidR="003C5EF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evidence of reckless trading in violation of section 424 of the </w:t>
      </w:r>
      <w:r w:rsidR="00C300D7"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  <w:r w:rsidR="003C5EF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ld Companies Act was </w:t>
      </w:r>
      <w:r w:rsidR="00854662">
        <w:rPr>
          <w:rFonts w:ascii="Times New Roman" w:eastAsia="Calibri" w:hAnsi="Times New Roman" w:cs="Times New Roman"/>
          <w:sz w:val="28"/>
          <w:szCs w:val="28"/>
          <w:lang w:val="en-GB"/>
        </w:rPr>
        <w:t>established.</w:t>
      </w:r>
      <w:r w:rsidR="00BB364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F5641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00C47E33" w14:textId="5C5DA9F2" w:rsidR="00CC464E" w:rsidRPr="008A779E" w:rsidRDefault="0099243B" w:rsidP="004C0333">
      <w:pPr>
        <w:spacing w:line="360" w:lineRule="auto"/>
        <w:ind w:left="720" w:hanging="6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[2</w:t>
      </w:r>
      <w:r w:rsidR="00B656A6">
        <w:rPr>
          <w:rFonts w:ascii="Times New Roman" w:eastAsia="Calibri" w:hAnsi="Times New Roman" w:cs="Times New Roman"/>
          <w:sz w:val="28"/>
          <w:szCs w:val="28"/>
          <w:lang w:val="en-GB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] </w:t>
      </w:r>
      <w:r w:rsidR="00A3702F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FC0B59">
        <w:rPr>
          <w:rFonts w:ascii="Times New Roman" w:eastAsia="Calibri" w:hAnsi="Times New Roman" w:cs="Times New Roman"/>
          <w:sz w:val="28"/>
          <w:szCs w:val="28"/>
          <w:lang w:val="en-GB"/>
        </w:rPr>
        <w:t>Accordingly,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no </w:t>
      </w:r>
      <w:r w:rsidRPr="00854662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prima facie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case has been made and </w:t>
      </w:r>
      <w:r w:rsidR="00C7177B">
        <w:rPr>
          <w:rFonts w:ascii="Times New Roman" w:eastAsia="Calibri" w:hAnsi="Times New Roman" w:cs="Times New Roman"/>
          <w:sz w:val="28"/>
          <w:szCs w:val="28"/>
          <w:lang w:val="en-GB"/>
        </w:rPr>
        <w:t>I therefore stand by my order to grant absolution from the instance.</w:t>
      </w:r>
      <w:r w:rsidR="00BE1D1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2E2995A5" w14:textId="77777777" w:rsidR="00CC464E" w:rsidRPr="008A779E" w:rsidRDefault="00CC464E" w:rsidP="004C0333">
      <w:pPr>
        <w:spacing w:line="360" w:lineRule="auto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0C5E9CA6" w14:textId="3E407C45" w:rsidR="00CC464E" w:rsidRPr="008A779E" w:rsidRDefault="00A3702F" w:rsidP="004C0333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shd w:val="clear" w:color="auto" w:fill="FFFFFF"/>
          <w:lang w:val="en-GB"/>
        </w:rPr>
        <w:t xml:space="preserve"> </w:t>
      </w:r>
      <w:r w:rsidR="00CC464E" w:rsidRPr="008A779E"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shd w:val="clear" w:color="auto" w:fill="FFFFFF"/>
          <w:lang w:val="en-GB"/>
        </w:rPr>
        <w:t>ORDER</w:t>
      </w:r>
    </w:p>
    <w:p w14:paraId="097D656E" w14:textId="104D860E" w:rsidR="00CC464E" w:rsidRDefault="00CC464E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  <w:r w:rsidRPr="008A779E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>[</w:t>
      </w:r>
      <w:r w:rsidR="00B656A6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>30</w:t>
      </w:r>
      <w:r w:rsidRPr="008A779E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 xml:space="preserve">] </w:t>
      </w:r>
      <w:r w:rsidRPr="008A779E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ab/>
      </w:r>
      <w:r w:rsidR="00FC0B59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>I stand by my order made on</w:t>
      </w:r>
      <w:r w:rsidR="008F7EFA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 xml:space="preserve"> 5 October 2023 to </w:t>
      </w:r>
      <w:bookmarkStart w:id="2" w:name="_Hlk148099564"/>
      <w:r w:rsidR="008F7EFA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>grant absolution from the instance with costs including the costs of two counsel.</w:t>
      </w:r>
    </w:p>
    <w:bookmarkEnd w:id="2"/>
    <w:p w14:paraId="2351E69A" w14:textId="77777777" w:rsidR="00B656A6" w:rsidRDefault="00B656A6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7B6BE9D4" w14:textId="77777777" w:rsidR="00B656A6" w:rsidRDefault="00B656A6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728B0E06" w14:textId="77777777" w:rsidR="00B656A6" w:rsidRDefault="00B656A6" w:rsidP="004C033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47993094" w14:textId="287AF52B" w:rsidR="00A3702F" w:rsidRDefault="00A3702F" w:rsidP="00A3702F">
      <w:pPr>
        <w:spacing w:line="48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3AFFEBB8" w14:textId="24313DAE" w:rsidR="00A3702F" w:rsidRDefault="00A3702F" w:rsidP="00854662">
      <w:pPr>
        <w:spacing w:line="48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168108D5" w14:textId="03129F60" w:rsidR="004C0333" w:rsidRPr="008A779E" w:rsidRDefault="004C0333" w:rsidP="00854662">
      <w:pPr>
        <w:spacing w:line="480" w:lineRule="auto"/>
        <w:ind w:left="720" w:hanging="720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</w:p>
    <w:p w14:paraId="4ED74D39" w14:textId="77777777" w:rsidR="00CC464E" w:rsidRPr="008A779E" w:rsidRDefault="00CC464E" w:rsidP="00CC464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</w:p>
    <w:p w14:paraId="34BA5348" w14:textId="167098A7" w:rsidR="00CC464E" w:rsidRPr="008A779E" w:rsidRDefault="00FE3D70" w:rsidP="00CC464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8A779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3E3ED2" wp14:editId="52EE2E3C">
                <wp:simplePos x="0" y="0"/>
                <wp:positionH relativeFrom="page">
                  <wp:posOffset>825500</wp:posOffset>
                </wp:positionH>
                <wp:positionV relativeFrom="paragraph">
                  <wp:posOffset>219075</wp:posOffset>
                </wp:positionV>
                <wp:extent cx="3436620" cy="1270"/>
                <wp:effectExtent l="0" t="0" r="0" b="0"/>
                <wp:wrapTopAndBottom/>
                <wp:docPr id="1348806506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66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412"/>
                            <a:gd name="T2" fmla="+- 0 6854 1441"/>
                            <a:gd name="T3" fmla="*/ T2 w 5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12">
                              <a:moveTo>
                                <a:pt x="0" y="0"/>
                              </a:moveTo>
                              <a:lnTo>
                                <a:pt x="541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780411A" id="Freeform: Shape 1" o:spid="_x0000_s1026" style="position:absolute;margin-left:65pt;margin-top:17.25pt;width:27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" path="m,l5413,e" filled="f" strokeweight=".37678mm">
                <v:path arrowok="t" o:connecttype="custom" o:connectlocs="0,0;3437255,0" o:connectangles="0,0"/>
                <w10:wrap type="topAndBottom" anchorx="page"/>
              </v:shape>
            </w:pict>
          </mc:Fallback>
        </mc:AlternateContent>
      </w:r>
    </w:p>
    <w:p w14:paraId="6B19C73F" w14:textId="77777777" w:rsidR="00CC464E" w:rsidRPr="008A779E" w:rsidRDefault="00CC464E" w:rsidP="00CC464E">
      <w:pPr>
        <w:widowControl w:val="0"/>
        <w:autoSpaceDE w:val="0"/>
        <w:autoSpaceDN w:val="0"/>
        <w:spacing w:before="87"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ML SENYATSI</w:t>
      </w:r>
    </w:p>
    <w:p w14:paraId="56FDB0C6" w14:textId="77777777" w:rsidR="00CC464E" w:rsidRPr="008A779E" w:rsidRDefault="00CC464E" w:rsidP="00CC464E">
      <w:pPr>
        <w:widowControl w:val="0"/>
        <w:autoSpaceDE w:val="0"/>
        <w:autoSpaceDN w:val="0"/>
        <w:spacing w:before="84" w:after="0" w:line="240" w:lineRule="auto"/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  <w:lang w:val="en-US"/>
        </w:rPr>
      </w:pP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JUDGE</w:t>
      </w:r>
      <w:r w:rsidRPr="008A779E">
        <w:rPr>
          <w:rFonts w:ascii="Times New Roman" w:eastAsia="Arial" w:hAnsi="Times New Roman" w:cs="Times New Roman"/>
          <w:b/>
          <w:color w:val="000000"/>
          <w:spacing w:val="-3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OF</w:t>
      </w:r>
      <w:r w:rsidRPr="008A779E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THE</w:t>
      </w:r>
      <w:r w:rsidRPr="008A779E">
        <w:rPr>
          <w:rFonts w:ascii="Times New Roman" w:eastAsia="Arial" w:hAnsi="Times New Roman" w:cs="Times New Roman"/>
          <w:b/>
          <w:color w:val="000000"/>
          <w:spacing w:val="-13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HIGH</w:t>
      </w:r>
      <w:r w:rsidRPr="008A779E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COURT</w:t>
      </w:r>
      <w:r w:rsidRPr="008A779E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OF</w:t>
      </w:r>
      <w:r w:rsidRPr="008A779E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SOUTH</w:t>
      </w:r>
      <w:r w:rsidRPr="008A779E">
        <w:rPr>
          <w:rFonts w:ascii="Times New Roman" w:eastAsia="Arial" w:hAnsi="Times New Roman" w:cs="Times New Roman"/>
          <w:b/>
          <w:color w:val="000000"/>
          <w:spacing w:val="-14"/>
          <w:sz w:val="28"/>
          <w:szCs w:val="28"/>
          <w:lang w:val="en-US"/>
        </w:rPr>
        <w:t xml:space="preserve"> </w:t>
      </w:r>
      <w:r w:rsidRPr="008A779E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  <w:lang w:val="en-US"/>
        </w:rPr>
        <w:t>AFRICA</w:t>
      </w:r>
    </w:p>
    <w:p w14:paraId="5D73838E" w14:textId="77777777" w:rsidR="00CC464E" w:rsidRDefault="00CC464E" w:rsidP="00CC464E">
      <w:pPr>
        <w:suppressAutoHyphens/>
        <w:spacing w:before="120" w:after="120" w:line="240" w:lineRule="exact"/>
        <w:ind w:left="720" w:hanging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A779E">
        <w:rPr>
          <w:rFonts w:ascii="Times New Roman" w:eastAsia="Arial" w:hAnsi="Times New Roman" w:cs="Times New Roman"/>
          <w:b/>
          <w:color w:val="000000"/>
          <w:spacing w:val="-2"/>
          <w:sz w:val="28"/>
          <w:szCs w:val="28"/>
          <w:lang w:val="en-US"/>
        </w:rPr>
        <w:t>GAUTENG DIVISION, JOHANNESBUR</w:t>
      </w:r>
      <w:r w:rsidRPr="008A779E">
        <w:rPr>
          <w:rFonts w:ascii="Times New Roman" w:eastAsia="Arial Unicode MS" w:hAnsi="Times New Roman" w:cs="Times New Roman"/>
          <w:b/>
          <w:sz w:val="28"/>
          <w:szCs w:val="28"/>
        </w:rPr>
        <w:t>G</w:t>
      </w:r>
    </w:p>
    <w:p w14:paraId="4E80932B" w14:textId="77777777" w:rsidR="00510DEE" w:rsidRDefault="00510DEE" w:rsidP="00CC464E">
      <w:pPr>
        <w:suppressAutoHyphens/>
        <w:spacing w:before="120" w:after="120" w:line="240" w:lineRule="exact"/>
        <w:ind w:left="720" w:hanging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BAE9FAE" w14:textId="77777777" w:rsidR="00510DEE" w:rsidRPr="008A779E" w:rsidRDefault="00510DEE" w:rsidP="00CC464E">
      <w:pPr>
        <w:suppressAutoHyphens/>
        <w:spacing w:before="120" w:after="120" w:line="240" w:lineRule="exact"/>
        <w:ind w:left="720" w:hanging="720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14:paraId="0EF4FCCA" w14:textId="254399D2" w:rsidR="00510DEE" w:rsidRPr="004B16A6" w:rsidRDefault="00510DEE" w:rsidP="00510DEE">
      <w:pPr>
        <w:spacing w:before="120" w:after="120" w:line="360" w:lineRule="auto"/>
        <w:rPr>
          <w:rFonts w:ascii="Times New Roman" w:eastAsia="Arial Unicode MS" w:hAnsi="Times New Roman"/>
          <w:bCs/>
          <w:sz w:val="28"/>
          <w:szCs w:val="28"/>
        </w:rPr>
      </w:pPr>
      <w:bookmarkStart w:id="3" w:name="_Hlk148100736"/>
      <w:r w:rsidRPr="004B16A6">
        <w:rPr>
          <w:rFonts w:ascii="Times New Roman" w:eastAsia="Arial Unicode MS" w:hAnsi="Times New Roman"/>
          <w:bCs/>
          <w:sz w:val="28"/>
          <w:szCs w:val="28"/>
        </w:rPr>
        <w:t>Delivered: This Judgment was handed down electronically by circulation to the parties/ their legal representatives by email and by uploading to the electronic file on Case Lines. The date for hand-down is deemed to be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</w:rPr>
        <w:t>1</w:t>
      </w:r>
      <w:r w:rsidR="00A3702F">
        <w:rPr>
          <w:rFonts w:ascii="Times New Roman" w:eastAsia="Arial Unicode MS" w:hAnsi="Times New Roman"/>
          <w:b/>
          <w:sz w:val="28"/>
          <w:szCs w:val="28"/>
        </w:rPr>
        <w:t>3</w:t>
      </w:r>
      <w:r w:rsidRPr="0034691B">
        <w:rPr>
          <w:rFonts w:ascii="Times New Roman" w:eastAsia="Arial Unicode MS" w:hAnsi="Times New Roman"/>
          <w:b/>
          <w:sz w:val="28"/>
          <w:szCs w:val="28"/>
        </w:rPr>
        <w:t xml:space="preserve"> October 2023</w:t>
      </w:r>
      <w:r w:rsidRPr="004B16A6">
        <w:rPr>
          <w:rFonts w:ascii="Times New Roman" w:eastAsia="Arial Unicode MS" w:hAnsi="Times New Roman"/>
          <w:bCs/>
          <w:sz w:val="28"/>
          <w:szCs w:val="28"/>
        </w:rPr>
        <w:t>.</w:t>
      </w:r>
    </w:p>
    <w:p w14:paraId="639DC557" w14:textId="77777777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890EB" w14:textId="77777777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14:paraId="7BCC59F0" w14:textId="77777777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8A779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APPEARANCES</w:t>
      </w:r>
    </w:p>
    <w:p w14:paraId="69A352D5" w14:textId="77777777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14:paraId="39AD9EF4" w14:textId="1F1A5716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shd w:val="clear" w:color="auto" w:fill="FFFFFF"/>
          <w:lang w:val="en-US"/>
        </w:rPr>
      </w:pPr>
      <w:r w:rsidRPr="008A779E">
        <w:rPr>
          <w:rFonts w:ascii="Times New Roman" w:eastAsia="Arial Unicode MS" w:hAnsi="Times New Roman" w:cs="Times New Roman"/>
          <w:sz w:val="28"/>
          <w:szCs w:val="28"/>
        </w:rPr>
        <w:t xml:space="preserve">Counsel for the </w:t>
      </w:r>
      <w:r w:rsidR="00510DEE">
        <w:rPr>
          <w:rFonts w:ascii="Times New Roman" w:eastAsia="Arial Unicode MS" w:hAnsi="Times New Roman" w:cs="Times New Roman"/>
          <w:sz w:val="28"/>
          <w:szCs w:val="28"/>
        </w:rPr>
        <w:t>Plaintiff</w:t>
      </w:r>
      <w:r w:rsidRPr="008A779E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8A779E">
        <w:rPr>
          <w:rFonts w:ascii="Times New Roman" w:eastAsia="Arial Unicode MS" w:hAnsi="Times New Roman" w:cs="Times New Roman"/>
          <w:sz w:val="28"/>
          <w:szCs w:val="28"/>
        </w:rPr>
        <w:tab/>
      </w:r>
      <w:r w:rsidR="00510DEE">
        <w:rPr>
          <w:rFonts w:ascii="Times New Roman" w:eastAsia="Arial Unicode MS" w:hAnsi="Times New Roman" w:cs="Times New Roman"/>
          <w:sz w:val="28"/>
          <w:szCs w:val="28"/>
        </w:rPr>
        <w:t xml:space="preserve"> Adv J Kaplan</w:t>
      </w:r>
      <w:r w:rsidRPr="008A779E">
        <w:rPr>
          <w:rFonts w:ascii="Times New Roman" w:eastAsia="Arial Unicode MS" w:hAnsi="Times New Roman" w:cs="Times New Roman"/>
          <w:sz w:val="28"/>
          <w:szCs w:val="28"/>
        </w:rPr>
        <w:tab/>
      </w:r>
      <w:r w:rsidRPr="008A779E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54B7CDDB" w14:textId="4A1C64DA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</w:pP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Instructed by:</w:t>
      </w:r>
      <w:r w:rsidR="00510DE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Hirschowitz Flionis Attorneys</w:t>
      </w: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</w:p>
    <w:p w14:paraId="2A6134E2" w14:textId="77777777" w:rsidR="00CC464E" w:rsidRPr="008A779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</w:pP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</w:p>
    <w:p w14:paraId="6E369246" w14:textId="77777777" w:rsidR="00CC464E" w:rsidRPr="008A779E" w:rsidRDefault="00CC464E" w:rsidP="00CC4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8A779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</w:p>
    <w:p w14:paraId="1C726F05" w14:textId="77777777" w:rsidR="00510DE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</w:pP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>Counsel for the</w:t>
      </w:r>
      <w:r w:rsidR="00510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 xml:space="preserve"> Defendant</w:t>
      </w: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>:</w:t>
      </w:r>
      <w:r w:rsidR="00510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 xml:space="preserve"> Adv W Shapiro SC</w:t>
      </w:r>
    </w:p>
    <w:p w14:paraId="44D464B9" w14:textId="77777777" w:rsidR="00510DEE" w:rsidRDefault="00510DE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shd w:val="clear" w:color="auto" w:fill="FFFFFF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ab/>
        <w:t xml:space="preserve">   Adv I Veerasamy</w:t>
      </w:r>
      <w:r w:rsidR="00CC464E" w:rsidRPr="008A779E">
        <w:rPr>
          <w:rFonts w:ascii="Times New Roman" w:eastAsia="Arial Unicode MS" w:hAnsi="Times New Roman" w:cs="Times New Roman"/>
          <w:bCs/>
          <w:sz w:val="28"/>
          <w:szCs w:val="28"/>
          <w:u w:color="000000"/>
          <w:shd w:val="clear" w:color="auto" w:fill="FFFFFF"/>
          <w:lang w:val="en-US"/>
        </w:rPr>
        <w:tab/>
      </w:r>
      <w:r w:rsidR="00CC464E" w:rsidRPr="008A779E">
        <w:rPr>
          <w:rFonts w:ascii="Times New Roman" w:eastAsia="Arial Unicode MS" w:hAnsi="Times New Roman" w:cs="Times New Roman"/>
          <w:bCs/>
          <w:sz w:val="28"/>
          <w:szCs w:val="28"/>
          <w:u w:color="000000"/>
          <w:shd w:val="clear" w:color="auto" w:fill="FFFFFF"/>
          <w:lang w:val="en-US"/>
        </w:rPr>
        <w:tab/>
      </w:r>
      <w:r w:rsidR="00CC464E" w:rsidRPr="008A779E">
        <w:rPr>
          <w:rFonts w:ascii="Times New Roman" w:eastAsia="Arial Unicode MS" w:hAnsi="Times New Roman" w:cs="Times New Roman"/>
          <w:bCs/>
          <w:sz w:val="28"/>
          <w:szCs w:val="28"/>
          <w:u w:color="000000"/>
          <w:shd w:val="clear" w:color="auto" w:fill="FFFFFF"/>
          <w:lang w:val="en-US"/>
        </w:rPr>
        <w:tab/>
      </w:r>
    </w:p>
    <w:p w14:paraId="3C74E7A7" w14:textId="77777777" w:rsidR="00510DEE" w:rsidRDefault="00CC464E" w:rsidP="00CC46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</w:pPr>
      <w:r w:rsidRPr="008A77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>Instructed by:</w:t>
      </w:r>
      <w:r w:rsidR="00510DE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/>
        </w:rPr>
        <w:t xml:space="preserve"> Mcgregor Erasmus Attorneys Inc</w:t>
      </w:r>
    </w:p>
    <w:p w14:paraId="3AC5E257" w14:textId="77777777" w:rsidR="00510DEE" w:rsidRPr="004B16A6" w:rsidRDefault="00510DEE" w:rsidP="00510DEE">
      <w:pPr>
        <w:pStyle w:val="JudgmentNumbered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14:paraId="2780E3CD" w14:textId="0A618093" w:rsidR="00510DEE" w:rsidRPr="004B16A6" w:rsidRDefault="00510DEE" w:rsidP="00510DEE">
      <w:pPr>
        <w:spacing w:line="240" w:lineRule="auto"/>
        <w:rPr>
          <w:rFonts w:ascii="Times New Roman" w:hAnsi="Times New Roman"/>
          <w:sz w:val="28"/>
          <w:szCs w:val="28"/>
          <w:lang w:eastAsia="en-GB"/>
        </w:rPr>
      </w:pPr>
      <w:r w:rsidRPr="004B16A6">
        <w:rPr>
          <w:rFonts w:ascii="Times New Roman" w:hAnsi="Times New Roman"/>
          <w:sz w:val="28"/>
          <w:szCs w:val="28"/>
          <w:lang w:eastAsia="en-GB"/>
        </w:rPr>
        <w:t xml:space="preserve">Date of Hearing: </w:t>
      </w:r>
      <w:r>
        <w:rPr>
          <w:rFonts w:ascii="Times New Roman" w:hAnsi="Times New Roman"/>
          <w:sz w:val="28"/>
          <w:szCs w:val="28"/>
          <w:lang w:eastAsia="en-GB"/>
        </w:rPr>
        <w:t>02 – 05 September 2023</w:t>
      </w:r>
    </w:p>
    <w:p w14:paraId="75C834F2" w14:textId="2D70C38A" w:rsidR="00CC464E" w:rsidRPr="00510DEE" w:rsidRDefault="00510DEE" w:rsidP="00510DEE">
      <w:pPr>
        <w:rPr>
          <w:rFonts w:ascii="Times New Roman" w:hAnsi="Times New Roman"/>
          <w:sz w:val="28"/>
          <w:szCs w:val="28"/>
          <w:lang w:val="en-US"/>
        </w:rPr>
      </w:pPr>
      <w:r w:rsidRPr="004B16A6">
        <w:rPr>
          <w:rFonts w:ascii="Times New Roman" w:hAnsi="Times New Roman"/>
          <w:sz w:val="28"/>
          <w:szCs w:val="28"/>
          <w:lang w:eastAsia="en-GB"/>
        </w:rPr>
        <w:t>Date of Judgment:</w:t>
      </w:r>
      <w:r>
        <w:rPr>
          <w:rFonts w:ascii="Times New Roman" w:hAnsi="Times New Roman"/>
          <w:sz w:val="28"/>
          <w:szCs w:val="28"/>
          <w:lang w:eastAsia="en-GB"/>
        </w:rPr>
        <w:t xml:space="preserve"> 1</w:t>
      </w:r>
      <w:r w:rsidR="00A3702F">
        <w:rPr>
          <w:rFonts w:ascii="Times New Roman" w:hAnsi="Times New Roman"/>
          <w:sz w:val="28"/>
          <w:szCs w:val="28"/>
          <w:lang w:eastAsia="en-GB"/>
        </w:rPr>
        <w:t>3</w:t>
      </w:r>
      <w:r>
        <w:rPr>
          <w:rFonts w:ascii="Times New Roman" w:hAnsi="Times New Roman"/>
          <w:sz w:val="28"/>
          <w:szCs w:val="28"/>
          <w:lang w:eastAsia="en-GB"/>
        </w:rPr>
        <w:t xml:space="preserve"> October 2023</w:t>
      </w:r>
    </w:p>
    <w:p w14:paraId="1CA40FD8" w14:textId="77777777" w:rsidR="00CC464E" w:rsidRPr="008A779E" w:rsidRDefault="00CC464E" w:rsidP="00CC46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D00828C" w14:textId="77777777" w:rsidR="00CC464E" w:rsidRPr="008A779E" w:rsidRDefault="00CC464E" w:rsidP="00CC46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79D0DB9" w14:textId="77777777" w:rsidR="00CC464E" w:rsidRPr="008A779E" w:rsidRDefault="00CC464E" w:rsidP="00CC46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bookmarkEnd w:id="3"/>
    <w:p w14:paraId="68ECC763" w14:textId="77777777" w:rsidR="00445DE0" w:rsidRPr="008A779E" w:rsidRDefault="00445DE0">
      <w:pPr>
        <w:rPr>
          <w:rFonts w:ascii="Times New Roman" w:hAnsi="Times New Roman" w:cs="Times New Roman"/>
          <w:sz w:val="28"/>
          <w:szCs w:val="28"/>
        </w:rPr>
      </w:pPr>
    </w:p>
    <w:sectPr w:rsidR="00445DE0" w:rsidRPr="008A779E">
      <w:headerReference w:type="even" r:id="rId13"/>
      <w:headerReference w:type="default" r:id="rId14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FB07" w14:textId="77777777" w:rsidR="00901530" w:rsidRDefault="00901530" w:rsidP="00CC464E">
      <w:pPr>
        <w:spacing w:after="0" w:line="240" w:lineRule="auto"/>
      </w:pPr>
      <w:r>
        <w:separator/>
      </w:r>
    </w:p>
  </w:endnote>
  <w:endnote w:type="continuationSeparator" w:id="0">
    <w:p w14:paraId="77A35938" w14:textId="77777777" w:rsidR="00901530" w:rsidRDefault="00901530" w:rsidP="00CC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355A" w14:textId="77777777" w:rsidR="00901530" w:rsidRDefault="00901530" w:rsidP="00CC464E">
      <w:pPr>
        <w:spacing w:after="0" w:line="240" w:lineRule="auto"/>
      </w:pPr>
      <w:r>
        <w:separator/>
      </w:r>
    </w:p>
  </w:footnote>
  <w:footnote w:type="continuationSeparator" w:id="0">
    <w:p w14:paraId="65F7CBE3" w14:textId="77777777" w:rsidR="00901530" w:rsidRDefault="00901530" w:rsidP="00CC464E">
      <w:pPr>
        <w:spacing w:after="0" w:line="240" w:lineRule="auto"/>
      </w:pPr>
      <w:r>
        <w:continuationSeparator/>
      </w:r>
    </w:p>
  </w:footnote>
  <w:footnote w:id="1">
    <w:p w14:paraId="2A897BFF" w14:textId="29B5FBA6" w:rsidR="00292262" w:rsidRPr="00B10B71" w:rsidRDefault="00292262" w:rsidP="00854662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B10B71">
        <w:rPr>
          <w:rStyle w:val="FootnoteReference"/>
          <w:rFonts w:ascii="Times New Roman" w:hAnsi="Times New Roman" w:cs="Times New Roman"/>
        </w:rPr>
        <w:footnoteRef/>
      </w:r>
      <w:r w:rsidRPr="00B10B71">
        <w:rPr>
          <w:rFonts w:ascii="Times New Roman" w:hAnsi="Times New Roman" w:cs="Times New Roman"/>
        </w:rPr>
        <w:t xml:space="preserve"> </w:t>
      </w:r>
      <w:r w:rsidR="006163C6" w:rsidRPr="00B10B71">
        <w:rPr>
          <w:rFonts w:ascii="Times New Roman" w:hAnsi="Times New Roman" w:cs="Times New Roman"/>
          <w:color w:val="242121"/>
          <w:shd w:val="clear" w:color="auto" w:fill="FFFFFF"/>
        </w:rPr>
        <w:t>Gascoyne v Paul and Hunter, </w:t>
      </w:r>
      <w:hyperlink r:id="rId1" w:tooltip="View LawCiteRecord" w:history="1">
        <w:r w:rsidR="006163C6" w:rsidRPr="00B10B7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1917 T.P.D. 170</w:t>
        </w:r>
      </w:hyperlink>
      <w:r w:rsidR="006163C6" w:rsidRPr="00B10B71">
        <w:rPr>
          <w:rFonts w:ascii="Times New Roman" w:hAnsi="Times New Roman" w:cs="Times New Roman"/>
          <w:color w:val="242121"/>
          <w:shd w:val="clear" w:color="auto" w:fill="FFFFFF"/>
        </w:rPr>
        <w:t> at p. 173; Ruto Flour Mills (Pty.) Ltd. v</w:t>
      </w:r>
      <w:r w:rsidR="006163C6" w:rsidRPr="00B10B71">
        <w:rPr>
          <w:rFonts w:ascii="Times New Roman" w:hAnsi="Times New Roman" w:cs="Times New Roman"/>
          <w:i/>
          <w:iCs/>
          <w:color w:val="242121"/>
          <w:shd w:val="clear" w:color="auto" w:fill="FFFFFF"/>
        </w:rPr>
        <w:t xml:space="preserve"> </w:t>
      </w:r>
      <w:r w:rsidR="006163C6" w:rsidRPr="00B10B71">
        <w:rPr>
          <w:rFonts w:ascii="Times New Roman" w:hAnsi="Times New Roman" w:cs="Times New Roman"/>
          <w:color w:val="242121"/>
          <w:shd w:val="clear" w:color="auto" w:fill="FFFFFF"/>
        </w:rPr>
        <w:t>Adelson (2), </w:t>
      </w:r>
      <w:hyperlink r:id="rId2" w:tooltip="View LawCiteRecord" w:history="1">
        <w:r w:rsidR="006163C6" w:rsidRPr="00B10B71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1958 (4) SA 307</w:t>
        </w:r>
      </w:hyperlink>
      <w:r w:rsidR="006163C6" w:rsidRPr="00B10B71">
        <w:rPr>
          <w:rFonts w:ascii="Times New Roman" w:hAnsi="Times New Roman" w:cs="Times New Roman"/>
          <w:color w:val="242121"/>
          <w:shd w:val="clear" w:color="auto" w:fill="FFFFFF"/>
        </w:rPr>
        <w:t> (T));</w:t>
      </w:r>
      <w:r w:rsidR="00945CC9" w:rsidRPr="00B10B71">
        <w:rPr>
          <w:rFonts w:ascii="Times New Roman" w:hAnsi="Times New Roman" w:cs="Times New Roman"/>
          <w:lang w:val="en-GB"/>
        </w:rPr>
        <w:t>Claude Neon Lights (SA) Ltd v Daniel 1976 (4) SA 403 (A) 409G-H;</w:t>
      </w:r>
      <w:r w:rsidR="00BD73BD" w:rsidRPr="00B10B71">
        <w:rPr>
          <w:rFonts w:ascii="Times New Roman" w:hAnsi="Times New Roman" w:cs="Times New Roman"/>
          <w:lang w:val="en-GB"/>
        </w:rPr>
        <w:t xml:space="preserve"> McCarthy Ltd v A</w:t>
      </w:r>
      <w:r w:rsidR="000E196C" w:rsidRPr="00B10B71">
        <w:rPr>
          <w:rFonts w:ascii="Times New Roman" w:hAnsi="Times New Roman" w:cs="Times New Roman"/>
          <w:lang w:val="en-GB"/>
        </w:rPr>
        <w:t>bsa Bank Ltd 2010(2) SA 321 (SCA</w:t>
      </w:r>
      <w:r w:rsidR="00E11659" w:rsidRPr="00B10B71">
        <w:rPr>
          <w:rFonts w:ascii="Times New Roman" w:hAnsi="Times New Roman" w:cs="Times New Roman"/>
          <w:lang w:val="en-GB"/>
        </w:rPr>
        <w:t>) at 328H</w:t>
      </w:r>
      <w:r w:rsidR="006163C6" w:rsidRPr="00B10B71">
        <w:rPr>
          <w:rFonts w:ascii="Times New Roman" w:hAnsi="Times New Roman" w:cs="Times New Roman"/>
          <w:lang w:val="en-GB"/>
        </w:rPr>
        <w:t>;</w:t>
      </w:r>
    </w:p>
  </w:footnote>
  <w:footnote w:id="2">
    <w:p w14:paraId="09342CA7" w14:textId="42DF0774" w:rsidR="0000367B" w:rsidRPr="00B10B71" w:rsidRDefault="0000367B" w:rsidP="00854662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B10B71">
        <w:rPr>
          <w:rStyle w:val="FootnoteReference"/>
          <w:rFonts w:ascii="Times New Roman" w:hAnsi="Times New Roman" w:cs="Times New Roman"/>
        </w:rPr>
        <w:footnoteRef/>
      </w:r>
      <w:r w:rsidRPr="00B10B71">
        <w:rPr>
          <w:rFonts w:ascii="Times New Roman" w:hAnsi="Times New Roman" w:cs="Times New Roman"/>
        </w:rPr>
        <w:t xml:space="preserve"> </w:t>
      </w:r>
      <w:r w:rsidR="00453B48" w:rsidRPr="00B10B71">
        <w:rPr>
          <w:rFonts w:ascii="Times New Roman" w:hAnsi="Times New Roman" w:cs="Times New Roman"/>
          <w:color w:val="242121"/>
          <w:shd w:val="clear" w:color="auto" w:fill="FFFFFF"/>
        </w:rPr>
        <w:t>Marine &amp; Trade Insurance Co Ltd v Van der Schyff </w:t>
      </w:r>
      <w:hyperlink r:id="rId3" w:tooltip="View LawCiteRecord" w:history="1">
        <w:r w:rsidR="00453B48" w:rsidRPr="00B10B71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1972 (1) SA 26</w:t>
        </w:r>
      </w:hyperlink>
      <w:r w:rsidR="00453B48" w:rsidRPr="00B10B71">
        <w:rPr>
          <w:rFonts w:ascii="Times New Roman" w:hAnsi="Times New Roman" w:cs="Times New Roman"/>
          <w:color w:val="000000" w:themeColor="text1"/>
          <w:shd w:val="clear" w:color="auto" w:fill="FFFFFF"/>
        </w:rPr>
        <w:t> (</w:t>
      </w:r>
      <w:r w:rsidR="00453B48" w:rsidRPr="00B10B71">
        <w:rPr>
          <w:rFonts w:ascii="Times New Roman" w:hAnsi="Times New Roman" w:cs="Times New Roman"/>
          <w:color w:val="242121"/>
          <w:shd w:val="clear" w:color="auto" w:fill="FFFFFF"/>
        </w:rPr>
        <w:t>A) 37G-38A; Schmidt -Bewysre</w:t>
      </w:r>
      <w:r w:rsidR="00453B48" w:rsidRPr="00B10B71">
        <w:rPr>
          <w:rFonts w:ascii="Times New Roman" w:hAnsi="Times New Roman" w:cs="Times New Roman"/>
          <w:i/>
          <w:iCs/>
          <w:color w:val="242121"/>
          <w:shd w:val="clear" w:color="auto" w:fill="FFFFFF"/>
        </w:rPr>
        <w:t>g</w:t>
      </w:r>
      <w:r w:rsidR="00453B48" w:rsidRPr="00B10B71">
        <w:rPr>
          <w:rFonts w:ascii="Times New Roman" w:hAnsi="Times New Roman" w:cs="Times New Roman"/>
          <w:color w:val="242121"/>
          <w:shd w:val="clear" w:color="auto" w:fill="FFFFFF"/>
        </w:rPr>
        <w:t> 4</w:t>
      </w:r>
      <w:r w:rsidR="00453B48" w:rsidRPr="00B10B71">
        <w:rPr>
          <w:rFonts w:ascii="Times New Roman" w:hAnsi="Times New Roman" w:cs="Times New Roman"/>
          <w:color w:val="242121"/>
          <w:shd w:val="clear" w:color="auto" w:fill="FFFFFF"/>
          <w:vertAlign w:val="superscript"/>
        </w:rPr>
        <w:t>th</w:t>
      </w:r>
      <w:r w:rsidR="00453B48" w:rsidRPr="00B10B71">
        <w:rPr>
          <w:rFonts w:ascii="Times New Roman" w:hAnsi="Times New Roman" w:cs="Times New Roman"/>
          <w:color w:val="242121"/>
          <w:shd w:val="clear" w:color="auto" w:fill="FFFFFF"/>
        </w:rPr>
        <w:t> ed 91-92</w:t>
      </w:r>
    </w:p>
  </w:footnote>
  <w:footnote w:id="3">
    <w:p w14:paraId="1E67CBE2" w14:textId="2BB44E06" w:rsidR="00D471F3" w:rsidRPr="00B10B71" w:rsidRDefault="00D471F3" w:rsidP="00854662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B10B71">
        <w:rPr>
          <w:rStyle w:val="FootnoteReference"/>
          <w:rFonts w:ascii="Times New Roman" w:hAnsi="Times New Roman" w:cs="Times New Roman"/>
        </w:rPr>
        <w:footnoteRef/>
      </w:r>
      <w:r w:rsidRPr="00B10B71">
        <w:rPr>
          <w:rFonts w:ascii="Times New Roman" w:hAnsi="Times New Roman" w:cs="Times New Roman"/>
        </w:rPr>
        <w:t xml:space="preserve"> </w:t>
      </w:r>
      <w:r w:rsidR="0010089E" w:rsidRPr="00B10B71">
        <w:rPr>
          <w:rFonts w:ascii="Times New Roman" w:hAnsi="Times New Roman" w:cs="Times New Roman"/>
          <w:lang w:val="en-GB"/>
        </w:rPr>
        <w:t>Si</w:t>
      </w:r>
      <w:r w:rsidR="00512D97" w:rsidRPr="00B10B71">
        <w:rPr>
          <w:rFonts w:ascii="Times New Roman" w:hAnsi="Times New Roman" w:cs="Times New Roman"/>
          <w:lang w:val="en-GB"/>
        </w:rPr>
        <w:t>nqobile Equestrian Security Services (Pty) Ltd v Marks</w:t>
      </w:r>
      <w:r w:rsidR="00287E6E" w:rsidRPr="00B10B71">
        <w:rPr>
          <w:rFonts w:ascii="Times New Roman" w:hAnsi="Times New Roman" w:cs="Times New Roman"/>
          <w:lang w:val="en-GB"/>
        </w:rPr>
        <w:t xml:space="preserve"> Koko Latha</w:t>
      </w:r>
      <w:r w:rsidR="00C63937" w:rsidRPr="00B10B71">
        <w:rPr>
          <w:rFonts w:ascii="Times New Roman" w:hAnsi="Times New Roman" w:cs="Times New Roman"/>
          <w:lang w:val="en-GB"/>
        </w:rPr>
        <w:t xml:space="preserve"> </w:t>
      </w:r>
      <w:r w:rsidR="005F0969" w:rsidRPr="00B10B71">
        <w:rPr>
          <w:rFonts w:ascii="Times New Roman" w:hAnsi="Times New Roman" w:cs="Times New Roman"/>
          <w:lang w:val="en-GB"/>
        </w:rPr>
        <w:t xml:space="preserve">[2023] ZANWHC 12 </w:t>
      </w:r>
      <w:r w:rsidR="00F754DD" w:rsidRPr="00B10B71">
        <w:rPr>
          <w:rFonts w:ascii="Times New Roman" w:hAnsi="Times New Roman" w:cs="Times New Roman"/>
          <w:lang w:val="en-GB"/>
        </w:rPr>
        <w:t>(6 February 2023) para</w:t>
      </w:r>
      <w:r w:rsidR="00D867E8" w:rsidRPr="00B10B71">
        <w:rPr>
          <w:rFonts w:ascii="Times New Roman" w:hAnsi="Times New Roman" w:cs="Times New Roman"/>
          <w:lang w:val="en-GB"/>
        </w:rPr>
        <w:t>s</w:t>
      </w:r>
      <w:r w:rsidR="00F754DD" w:rsidRPr="00B10B71">
        <w:rPr>
          <w:rFonts w:ascii="Times New Roman" w:hAnsi="Times New Roman" w:cs="Times New Roman"/>
          <w:lang w:val="en-GB"/>
        </w:rPr>
        <w:t xml:space="preserve"> 4</w:t>
      </w:r>
      <w:r w:rsidR="00892A51" w:rsidRPr="00B10B71">
        <w:rPr>
          <w:rFonts w:ascii="Times New Roman" w:hAnsi="Times New Roman" w:cs="Times New Roman"/>
          <w:lang w:val="en-GB"/>
        </w:rPr>
        <w:t>1-42</w:t>
      </w:r>
      <w:r w:rsidR="006B0CBB" w:rsidRPr="00B10B71">
        <w:rPr>
          <w:rFonts w:ascii="Times New Roman" w:hAnsi="Times New Roman" w:cs="Times New Roman"/>
          <w:lang w:val="en-GB"/>
        </w:rPr>
        <w:t>; Gordon Lloyd Page &amp; Associates v Rivera and Another 2001(1) SA 88 (SCA) para 2.</w:t>
      </w:r>
    </w:p>
  </w:footnote>
  <w:footnote w:id="4">
    <w:p w14:paraId="19BC0D62" w14:textId="221D0939" w:rsidR="00D11891" w:rsidRPr="00B10B71" w:rsidRDefault="00D11891" w:rsidP="00B10B71">
      <w:pPr>
        <w:pStyle w:val="FootnoteText"/>
        <w:spacing w:before="240"/>
        <w:jc w:val="both"/>
        <w:rPr>
          <w:rFonts w:ascii="Times New Roman" w:hAnsi="Times New Roman" w:cs="Times New Roman"/>
          <w:lang w:val="en-GB"/>
        </w:rPr>
      </w:pPr>
      <w:r w:rsidRPr="00B10B71">
        <w:rPr>
          <w:rStyle w:val="FootnoteReference"/>
        </w:rPr>
        <w:footnoteRef/>
      </w:r>
      <w:r w:rsidRPr="00B10B71">
        <w:t xml:space="preserve"> </w:t>
      </w:r>
      <w:r w:rsidR="00892A51" w:rsidRPr="00B10B71">
        <w:rPr>
          <w:rFonts w:ascii="Times New Roman" w:hAnsi="Times New Roman" w:cs="Times New Roman"/>
        </w:rPr>
        <w:t>Sinqobile Equestrain above para 45</w:t>
      </w:r>
    </w:p>
  </w:footnote>
  <w:footnote w:id="5">
    <w:p w14:paraId="1FB8DEB4" w14:textId="1B28D72C" w:rsidR="00977328" w:rsidRPr="00977328" w:rsidRDefault="00977328" w:rsidP="00B10B71">
      <w:pPr>
        <w:pStyle w:val="Heading2"/>
        <w:shd w:val="clear" w:color="auto" w:fill="FFFFFF"/>
        <w:spacing w:before="240" w:after="180" w:line="240" w:lineRule="auto"/>
        <w:rPr>
          <w:lang w:val="en-GB"/>
        </w:rPr>
      </w:pPr>
      <w:r w:rsidRPr="00B10B71">
        <w:rPr>
          <w:rStyle w:val="FootnoteReference"/>
          <w:color w:val="000000" w:themeColor="text1"/>
          <w:sz w:val="20"/>
          <w:szCs w:val="20"/>
        </w:rPr>
        <w:footnoteRef/>
      </w:r>
      <w:r w:rsidRPr="00B10B71">
        <w:rPr>
          <w:color w:val="000000" w:themeColor="text1"/>
          <w:sz w:val="20"/>
          <w:szCs w:val="20"/>
        </w:rPr>
        <w:t xml:space="preserve"> </w:t>
      </w:r>
      <w:r w:rsidRPr="004C03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ZA"/>
        </w:rPr>
        <w:t>Gordon Lloyd Page &amp; Associates v Rivera and Another (384/98) [2000] ZASCA 33; 2001 (1) SA 88 (SCA); [2000] 4 All SA 241 (A) (31 August 2000)</w:t>
      </w:r>
      <w:r w:rsidR="00E00619" w:rsidRPr="004C03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ZA"/>
        </w:rPr>
        <w:t xml:space="preserve"> para</w:t>
      </w:r>
      <w:r w:rsidR="009941DE" w:rsidRPr="004C03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ZA"/>
        </w:rPr>
        <w:t xml:space="preserve"> 2.</w:t>
      </w:r>
    </w:p>
  </w:footnote>
  <w:footnote w:id="6">
    <w:p w14:paraId="72C1B848" w14:textId="79F7357A" w:rsidR="0071792D" w:rsidRPr="00854662" w:rsidRDefault="0071792D">
      <w:pPr>
        <w:pStyle w:val="FootnoteText"/>
        <w:rPr>
          <w:rFonts w:ascii="Times New Roman" w:hAnsi="Times New Roman" w:cs="Times New Roman"/>
          <w:lang w:val="en-GB"/>
        </w:rPr>
      </w:pPr>
      <w:r w:rsidRPr="00854662">
        <w:rPr>
          <w:rStyle w:val="FootnoteReference"/>
          <w:rFonts w:ascii="Times New Roman" w:hAnsi="Times New Roman" w:cs="Times New Roman"/>
        </w:rPr>
        <w:footnoteRef/>
      </w:r>
      <w:r w:rsidRPr="00854662">
        <w:rPr>
          <w:rFonts w:ascii="Times New Roman" w:hAnsi="Times New Roman" w:cs="Times New Roman"/>
        </w:rPr>
        <w:t xml:space="preserve"> </w:t>
      </w:r>
      <w:r w:rsidR="0024096B" w:rsidRPr="00854662">
        <w:rPr>
          <w:rFonts w:ascii="Times New Roman" w:hAnsi="Times New Roman" w:cs="Times New Roman"/>
          <w:lang w:val="en-GB"/>
        </w:rPr>
        <w:t xml:space="preserve">Boberg, The Law of </w:t>
      </w:r>
      <w:r w:rsidR="002B6782" w:rsidRPr="00854662">
        <w:rPr>
          <w:rFonts w:ascii="Times New Roman" w:hAnsi="Times New Roman" w:cs="Times New Roman"/>
          <w:lang w:val="en-GB"/>
        </w:rPr>
        <w:t>Delict, Vol</w:t>
      </w:r>
      <w:r w:rsidR="0024096B" w:rsidRPr="00854662">
        <w:rPr>
          <w:rFonts w:ascii="Times New Roman" w:hAnsi="Times New Roman" w:cs="Times New Roman"/>
          <w:lang w:val="en-GB"/>
        </w:rPr>
        <w:t xml:space="preserve"> 1 p18</w:t>
      </w:r>
    </w:p>
  </w:footnote>
  <w:footnote w:id="7">
    <w:p w14:paraId="69443429" w14:textId="0520DB36" w:rsidR="00DE1E82" w:rsidRPr="00854662" w:rsidRDefault="00DE1E82">
      <w:pPr>
        <w:pStyle w:val="FootnoteText"/>
        <w:rPr>
          <w:rFonts w:ascii="Times New Roman" w:hAnsi="Times New Roman" w:cs="Times New Roman"/>
          <w:lang w:val="en-GB"/>
        </w:rPr>
      </w:pPr>
      <w:r w:rsidRPr="00854662">
        <w:rPr>
          <w:rStyle w:val="FootnoteReference"/>
          <w:rFonts w:ascii="Times New Roman" w:hAnsi="Times New Roman" w:cs="Times New Roman"/>
        </w:rPr>
        <w:footnoteRef/>
      </w:r>
      <w:r w:rsidRPr="00854662">
        <w:rPr>
          <w:rFonts w:ascii="Times New Roman" w:hAnsi="Times New Roman" w:cs="Times New Roman"/>
        </w:rPr>
        <w:t xml:space="preserve"> </w:t>
      </w:r>
      <w:r w:rsidR="00AB0F80" w:rsidRPr="00854662">
        <w:rPr>
          <w:rFonts w:ascii="Times New Roman" w:hAnsi="Times New Roman" w:cs="Times New Roman"/>
          <w:lang w:val="en-GB"/>
        </w:rPr>
        <w:t xml:space="preserve">Boberg, </w:t>
      </w:r>
      <w:r w:rsidR="00384EF9" w:rsidRPr="00854662">
        <w:rPr>
          <w:rFonts w:ascii="Times New Roman" w:hAnsi="Times New Roman" w:cs="Times New Roman"/>
          <w:lang w:val="en-GB"/>
        </w:rPr>
        <w:t>above</w:t>
      </w:r>
      <w:r w:rsidR="00F720F2" w:rsidRPr="00854662">
        <w:rPr>
          <w:rFonts w:ascii="Times New Roman" w:hAnsi="Times New Roman" w:cs="Times New Roman"/>
          <w:lang w:val="en-GB"/>
        </w:rPr>
        <w:t xml:space="preserve"> </w:t>
      </w:r>
      <w:r w:rsidR="00206AD8" w:rsidRPr="00854662">
        <w:rPr>
          <w:rFonts w:ascii="Times New Roman" w:hAnsi="Times New Roman" w:cs="Times New Roman"/>
          <w:lang w:val="en-GB"/>
        </w:rPr>
        <w:t>p18.</w:t>
      </w:r>
      <w:r w:rsidR="00AB0F80" w:rsidRPr="00854662">
        <w:rPr>
          <w:rFonts w:ascii="Times New Roman" w:hAnsi="Times New Roman" w:cs="Times New Roman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9BF9" w14:textId="77777777" w:rsidR="00445DE0" w:rsidRDefault="00A54C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B7793" w14:textId="77777777" w:rsidR="00445DE0" w:rsidRDefault="00445DE0">
    <w:pPr>
      <w:pStyle w:val="Header"/>
      <w:ind w:right="360"/>
    </w:pPr>
  </w:p>
  <w:p w14:paraId="10D70D42" w14:textId="77777777" w:rsidR="00445DE0" w:rsidRDefault="00445D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C56B" w14:textId="152238BB" w:rsidR="00445DE0" w:rsidRDefault="00A54C2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A8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94C"/>
    <w:multiLevelType w:val="hybridMultilevel"/>
    <w:tmpl w:val="9A60F4FA"/>
    <w:lvl w:ilvl="0" w:tplc="4C745D8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45473B"/>
    <w:multiLevelType w:val="multilevel"/>
    <w:tmpl w:val="191A5ECE"/>
    <w:lvl w:ilvl="0">
      <w:start w:val="1"/>
      <w:numFmt w:val="decimal"/>
      <w:pStyle w:val="JudgmentNumbered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ADA6938"/>
    <w:multiLevelType w:val="hybridMultilevel"/>
    <w:tmpl w:val="E2AC75BE"/>
    <w:lvl w:ilvl="0" w:tplc="BFF6CB0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E"/>
    <w:rsid w:val="0000367B"/>
    <w:rsid w:val="000060AB"/>
    <w:rsid w:val="00013F9E"/>
    <w:rsid w:val="000219C6"/>
    <w:rsid w:val="00026669"/>
    <w:rsid w:val="00031159"/>
    <w:rsid w:val="00032801"/>
    <w:rsid w:val="000350A6"/>
    <w:rsid w:val="00053237"/>
    <w:rsid w:val="00055498"/>
    <w:rsid w:val="00055A25"/>
    <w:rsid w:val="000623B2"/>
    <w:rsid w:val="000638DB"/>
    <w:rsid w:val="000657D8"/>
    <w:rsid w:val="000736CD"/>
    <w:rsid w:val="00074567"/>
    <w:rsid w:val="00080D8C"/>
    <w:rsid w:val="0008149C"/>
    <w:rsid w:val="000876FC"/>
    <w:rsid w:val="00091660"/>
    <w:rsid w:val="000A2914"/>
    <w:rsid w:val="000A2C2C"/>
    <w:rsid w:val="000A6797"/>
    <w:rsid w:val="000A7F7A"/>
    <w:rsid w:val="000B0557"/>
    <w:rsid w:val="000B4EA6"/>
    <w:rsid w:val="000C0259"/>
    <w:rsid w:val="000C3E0A"/>
    <w:rsid w:val="000D22A4"/>
    <w:rsid w:val="000D2ED0"/>
    <w:rsid w:val="000D31BC"/>
    <w:rsid w:val="000D3FF6"/>
    <w:rsid w:val="000D5001"/>
    <w:rsid w:val="000D6EE9"/>
    <w:rsid w:val="000E1700"/>
    <w:rsid w:val="000E196C"/>
    <w:rsid w:val="000E1D37"/>
    <w:rsid w:val="000E3176"/>
    <w:rsid w:val="000E727D"/>
    <w:rsid w:val="000F789B"/>
    <w:rsid w:val="0010089E"/>
    <w:rsid w:val="0010294A"/>
    <w:rsid w:val="001029E0"/>
    <w:rsid w:val="00102D1E"/>
    <w:rsid w:val="00104B1D"/>
    <w:rsid w:val="00107EF4"/>
    <w:rsid w:val="00116E13"/>
    <w:rsid w:val="00121996"/>
    <w:rsid w:val="00121C1C"/>
    <w:rsid w:val="00125C75"/>
    <w:rsid w:val="0013043F"/>
    <w:rsid w:val="00132C29"/>
    <w:rsid w:val="00133AB8"/>
    <w:rsid w:val="00144594"/>
    <w:rsid w:val="00153114"/>
    <w:rsid w:val="00153467"/>
    <w:rsid w:val="00154664"/>
    <w:rsid w:val="00162C1E"/>
    <w:rsid w:val="001645AC"/>
    <w:rsid w:val="00181F70"/>
    <w:rsid w:val="00192CC6"/>
    <w:rsid w:val="001A7C10"/>
    <w:rsid w:val="001B25B9"/>
    <w:rsid w:val="001B36F3"/>
    <w:rsid w:val="001B6968"/>
    <w:rsid w:val="001C04CF"/>
    <w:rsid w:val="001E78F5"/>
    <w:rsid w:val="001F1152"/>
    <w:rsid w:val="001F38E4"/>
    <w:rsid w:val="00203E32"/>
    <w:rsid w:val="002046C8"/>
    <w:rsid w:val="00206AD8"/>
    <w:rsid w:val="00222C7A"/>
    <w:rsid w:val="00231B71"/>
    <w:rsid w:val="00234E01"/>
    <w:rsid w:val="002356A4"/>
    <w:rsid w:val="0024096B"/>
    <w:rsid w:val="00247E2F"/>
    <w:rsid w:val="002518B8"/>
    <w:rsid w:val="00251DD2"/>
    <w:rsid w:val="002631FA"/>
    <w:rsid w:val="00263B72"/>
    <w:rsid w:val="00266679"/>
    <w:rsid w:val="00270E61"/>
    <w:rsid w:val="0027133B"/>
    <w:rsid w:val="00280C10"/>
    <w:rsid w:val="00282C2C"/>
    <w:rsid w:val="002878D4"/>
    <w:rsid w:val="00287E6E"/>
    <w:rsid w:val="00292262"/>
    <w:rsid w:val="00293922"/>
    <w:rsid w:val="00294C1A"/>
    <w:rsid w:val="002A5FFB"/>
    <w:rsid w:val="002B09CA"/>
    <w:rsid w:val="002B0C92"/>
    <w:rsid w:val="002B18CB"/>
    <w:rsid w:val="002B5EC7"/>
    <w:rsid w:val="002B6782"/>
    <w:rsid w:val="002C03BA"/>
    <w:rsid w:val="002C7B06"/>
    <w:rsid w:val="002D1DBF"/>
    <w:rsid w:val="002D229A"/>
    <w:rsid w:val="002D77DA"/>
    <w:rsid w:val="002E305E"/>
    <w:rsid w:val="002E4300"/>
    <w:rsid w:val="002E7DD6"/>
    <w:rsid w:val="002F2A7B"/>
    <w:rsid w:val="002F5BF0"/>
    <w:rsid w:val="002F76AC"/>
    <w:rsid w:val="0030050F"/>
    <w:rsid w:val="0030741A"/>
    <w:rsid w:val="00314385"/>
    <w:rsid w:val="0031634B"/>
    <w:rsid w:val="00320088"/>
    <w:rsid w:val="003262B0"/>
    <w:rsid w:val="00336D6B"/>
    <w:rsid w:val="003426C5"/>
    <w:rsid w:val="00351CDE"/>
    <w:rsid w:val="003546BD"/>
    <w:rsid w:val="00354D45"/>
    <w:rsid w:val="0035506B"/>
    <w:rsid w:val="00362209"/>
    <w:rsid w:val="00372503"/>
    <w:rsid w:val="00373311"/>
    <w:rsid w:val="00384EF9"/>
    <w:rsid w:val="003966B3"/>
    <w:rsid w:val="003A2C49"/>
    <w:rsid w:val="003A7DF1"/>
    <w:rsid w:val="003B0E9B"/>
    <w:rsid w:val="003B1D8C"/>
    <w:rsid w:val="003B50CE"/>
    <w:rsid w:val="003B63ED"/>
    <w:rsid w:val="003C0864"/>
    <w:rsid w:val="003C5EFE"/>
    <w:rsid w:val="003D42C4"/>
    <w:rsid w:val="003E765B"/>
    <w:rsid w:val="003E7E46"/>
    <w:rsid w:val="003F17F5"/>
    <w:rsid w:val="003F2E7D"/>
    <w:rsid w:val="003F6AF2"/>
    <w:rsid w:val="004013F9"/>
    <w:rsid w:val="00405DAA"/>
    <w:rsid w:val="00413FA5"/>
    <w:rsid w:val="00417C57"/>
    <w:rsid w:val="0042772E"/>
    <w:rsid w:val="00435B56"/>
    <w:rsid w:val="00435E3F"/>
    <w:rsid w:val="00440DE3"/>
    <w:rsid w:val="00442255"/>
    <w:rsid w:val="00445B54"/>
    <w:rsid w:val="00445DE0"/>
    <w:rsid w:val="00453243"/>
    <w:rsid w:val="00453B48"/>
    <w:rsid w:val="00456793"/>
    <w:rsid w:val="00464586"/>
    <w:rsid w:val="004669F1"/>
    <w:rsid w:val="00474A8B"/>
    <w:rsid w:val="00485645"/>
    <w:rsid w:val="004955D3"/>
    <w:rsid w:val="004A4841"/>
    <w:rsid w:val="004A51AF"/>
    <w:rsid w:val="004B6F37"/>
    <w:rsid w:val="004C0333"/>
    <w:rsid w:val="004C6ECC"/>
    <w:rsid w:val="004C7B0A"/>
    <w:rsid w:val="004C7C7E"/>
    <w:rsid w:val="004E0037"/>
    <w:rsid w:val="004E191E"/>
    <w:rsid w:val="004E1A70"/>
    <w:rsid w:val="004E22F1"/>
    <w:rsid w:val="004E413D"/>
    <w:rsid w:val="004E5B51"/>
    <w:rsid w:val="004F171F"/>
    <w:rsid w:val="004F5A3F"/>
    <w:rsid w:val="00500127"/>
    <w:rsid w:val="00506048"/>
    <w:rsid w:val="00510A80"/>
    <w:rsid w:val="00510DEE"/>
    <w:rsid w:val="005123DD"/>
    <w:rsid w:val="00512D97"/>
    <w:rsid w:val="00527401"/>
    <w:rsid w:val="00527449"/>
    <w:rsid w:val="00530427"/>
    <w:rsid w:val="00533EAB"/>
    <w:rsid w:val="00545FB6"/>
    <w:rsid w:val="00556D43"/>
    <w:rsid w:val="005632D7"/>
    <w:rsid w:val="00564A7F"/>
    <w:rsid w:val="005677C9"/>
    <w:rsid w:val="0057738F"/>
    <w:rsid w:val="005773CA"/>
    <w:rsid w:val="00583CB9"/>
    <w:rsid w:val="00591C81"/>
    <w:rsid w:val="005924B5"/>
    <w:rsid w:val="0059323C"/>
    <w:rsid w:val="00597846"/>
    <w:rsid w:val="005A03C6"/>
    <w:rsid w:val="005A13A5"/>
    <w:rsid w:val="005A4B9D"/>
    <w:rsid w:val="005A7205"/>
    <w:rsid w:val="005A78BE"/>
    <w:rsid w:val="005B095B"/>
    <w:rsid w:val="005B60EE"/>
    <w:rsid w:val="005C1809"/>
    <w:rsid w:val="005D2FFD"/>
    <w:rsid w:val="005E3338"/>
    <w:rsid w:val="005F0969"/>
    <w:rsid w:val="005F29E2"/>
    <w:rsid w:val="005F6302"/>
    <w:rsid w:val="005F7E85"/>
    <w:rsid w:val="00603B5B"/>
    <w:rsid w:val="00607B63"/>
    <w:rsid w:val="00613FA9"/>
    <w:rsid w:val="00615B38"/>
    <w:rsid w:val="006163C6"/>
    <w:rsid w:val="006210D2"/>
    <w:rsid w:val="00623B2A"/>
    <w:rsid w:val="00625DA6"/>
    <w:rsid w:val="00630579"/>
    <w:rsid w:val="00630B24"/>
    <w:rsid w:val="00631676"/>
    <w:rsid w:val="006338EB"/>
    <w:rsid w:val="00656E12"/>
    <w:rsid w:val="00666903"/>
    <w:rsid w:val="006776F0"/>
    <w:rsid w:val="00680DF2"/>
    <w:rsid w:val="006814FF"/>
    <w:rsid w:val="006838AA"/>
    <w:rsid w:val="006A063C"/>
    <w:rsid w:val="006B0CBB"/>
    <w:rsid w:val="006B0D75"/>
    <w:rsid w:val="006B2E0A"/>
    <w:rsid w:val="006C7902"/>
    <w:rsid w:val="006D43CA"/>
    <w:rsid w:val="006D5AA1"/>
    <w:rsid w:val="006D6C2A"/>
    <w:rsid w:val="006D76BC"/>
    <w:rsid w:val="006E03C2"/>
    <w:rsid w:val="006F2F34"/>
    <w:rsid w:val="006F3788"/>
    <w:rsid w:val="006F3F27"/>
    <w:rsid w:val="007019DA"/>
    <w:rsid w:val="00701EEC"/>
    <w:rsid w:val="00702F8C"/>
    <w:rsid w:val="00706B5B"/>
    <w:rsid w:val="0071485A"/>
    <w:rsid w:val="0071792D"/>
    <w:rsid w:val="007215DD"/>
    <w:rsid w:val="00730105"/>
    <w:rsid w:val="0073596A"/>
    <w:rsid w:val="00741B19"/>
    <w:rsid w:val="00743B31"/>
    <w:rsid w:val="00746448"/>
    <w:rsid w:val="00753B82"/>
    <w:rsid w:val="00764393"/>
    <w:rsid w:val="00766F0D"/>
    <w:rsid w:val="0077021A"/>
    <w:rsid w:val="007710AE"/>
    <w:rsid w:val="00773F82"/>
    <w:rsid w:val="0077445C"/>
    <w:rsid w:val="00780A42"/>
    <w:rsid w:val="00790E55"/>
    <w:rsid w:val="0079202B"/>
    <w:rsid w:val="007931DA"/>
    <w:rsid w:val="00795950"/>
    <w:rsid w:val="00796C2D"/>
    <w:rsid w:val="007A08ED"/>
    <w:rsid w:val="007A4513"/>
    <w:rsid w:val="007A4B45"/>
    <w:rsid w:val="007B0A13"/>
    <w:rsid w:val="007B34C2"/>
    <w:rsid w:val="007C206A"/>
    <w:rsid w:val="007C2C32"/>
    <w:rsid w:val="007C5E57"/>
    <w:rsid w:val="007D083D"/>
    <w:rsid w:val="007D7205"/>
    <w:rsid w:val="007E059D"/>
    <w:rsid w:val="007E4FF6"/>
    <w:rsid w:val="007E5578"/>
    <w:rsid w:val="007F320F"/>
    <w:rsid w:val="007F4167"/>
    <w:rsid w:val="0081099D"/>
    <w:rsid w:val="00812DA9"/>
    <w:rsid w:val="00826667"/>
    <w:rsid w:val="00826DE1"/>
    <w:rsid w:val="00832E4C"/>
    <w:rsid w:val="00842D20"/>
    <w:rsid w:val="00853417"/>
    <w:rsid w:val="00854662"/>
    <w:rsid w:val="00864595"/>
    <w:rsid w:val="0086584A"/>
    <w:rsid w:val="008743CD"/>
    <w:rsid w:val="00874C44"/>
    <w:rsid w:val="008810C5"/>
    <w:rsid w:val="00887050"/>
    <w:rsid w:val="0088769B"/>
    <w:rsid w:val="00892A51"/>
    <w:rsid w:val="008A779E"/>
    <w:rsid w:val="008C3091"/>
    <w:rsid w:val="008E19AE"/>
    <w:rsid w:val="008E742A"/>
    <w:rsid w:val="008F1382"/>
    <w:rsid w:val="008F491F"/>
    <w:rsid w:val="008F49EC"/>
    <w:rsid w:val="008F6083"/>
    <w:rsid w:val="008F6172"/>
    <w:rsid w:val="008F7EFA"/>
    <w:rsid w:val="00901530"/>
    <w:rsid w:val="0090341E"/>
    <w:rsid w:val="00905A9D"/>
    <w:rsid w:val="00915F67"/>
    <w:rsid w:val="009161AF"/>
    <w:rsid w:val="00922AD6"/>
    <w:rsid w:val="009320FC"/>
    <w:rsid w:val="00944924"/>
    <w:rsid w:val="00945CC9"/>
    <w:rsid w:val="00951182"/>
    <w:rsid w:val="00965EC7"/>
    <w:rsid w:val="00967E03"/>
    <w:rsid w:val="00971CF0"/>
    <w:rsid w:val="0097333E"/>
    <w:rsid w:val="00973DF6"/>
    <w:rsid w:val="00977328"/>
    <w:rsid w:val="00987193"/>
    <w:rsid w:val="0099243B"/>
    <w:rsid w:val="009941DE"/>
    <w:rsid w:val="00994FA7"/>
    <w:rsid w:val="009974EB"/>
    <w:rsid w:val="00997D2C"/>
    <w:rsid w:val="009A18B1"/>
    <w:rsid w:val="009A6BEB"/>
    <w:rsid w:val="009B076F"/>
    <w:rsid w:val="009B22D0"/>
    <w:rsid w:val="009C1156"/>
    <w:rsid w:val="009D11FA"/>
    <w:rsid w:val="009F01BC"/>
    <w:rsid w:val="009F1F80"/>
    <w:rsid w:val="00A0613D"/>
    <w:rsid w:val="00A21361"/>
    <w:rsid w:val="00A34589"/>
    <w:rsid w:val="00A3489D"/>
    <w:rsid w:val="00A34EB8"/>
    <w:rsid w:val="00A36A89"/>
    <w:rsid w:val="00A3702F"/>
    <w:rsid w:val="00A44DCA"/>
    <w:rsid w:val="00A46962"/>
    <w:rsid w:val="00A53D0D"/>
    <w:rsid w:val="00A54C21"/>
    <w:rsid w:val="00A666E8"/>
    <w:rsid w:val="00A70F08"/>
    <w:rsid w:val="00A81CB0"/>
    <w:rsid w:val="00A81D87"/>
    <w:rsid w:val="00A852A6"/>
    <w:rsid w:val="00A86388"/>
    <w:rsid w:val="00A9163D"/>
    <w:rsid w:val="00AA7D73"/>
    <w:rsid w:val="00AB0F80"/>
    <w:rsid w:val="00AB43C4"/>
    <w:rsid w:val="00AB54F3"/>
    <w:rsid w:val="00AB6D6A"/>
    <w:rsid w:val="00AD2941"/>
    <w:rsid w:val="00AD35B1"/>
    <w:rsid w:val="00AE6FB5"/>
    <w:rsid w:val="00AF0F43"/>
    <w:rsid w:val="00AF1DAE"/>
    <w:rsid w:val="00AF59F7"/>
    <w:rsid w:val="00AF7A54"/>
    <w:rsid w:val="00B01432"/>
    <w:rsid w:val="00B04B8F"/>
    <w:rsid w:val="00B108F3"/>
    <w:rsid w:val="00B10B71"/>
    <w:rsid w:val="00B12C59"/>
    <w:rsid w:val="00B1328B"/>
    <w:rsid w:val="00B17AD9"/>
    <w:rsid w:val="00B253F3"/>
    <w:rsid w:val="00B308FF"/>
    <w:rsid w:val="00B30AC3"/>
    <w:rsid w:val="00B30E34"/>
    <w:rsid w:val="00B377DD"/>
    <w:rsid w:val="00B37E6A"/>
    <w:rsid w:val="00B513A9"/>
    <w:rsid w:val="00B54D78"/>
    <w:rsid w:val="00B57152"/>
    <w:rsid w:val="00B656A6"/>
    <w:rsid w:val="00B705A4"/>
    <w:rsid w:val="00B728D4"/>
    <w:rsid w:val="00B7389F"/>
    <w:rsid w:val="00B805BF"/>
    <w:rsid w:val="00B8414E"/>
    <w:rsid w:val="00B869B1"/>
    <w:rsid w:val="00B92640"/>
    <w:rsid w:val="00B965D9"/>
    <w:rsid w:val="00BB0503"/>
    <w:rsid w:val="00BB32B6"/>
    <w:rsid w:val="00BB332A"/>
    <w:rsid w:val="00BB364B"/>
    <w:rsid w:val="00BB664C"/>
    <w:rsid w:val="00BC3010"/>
    <w:rsid w:val="00BC323D"/>
    <w:rsid w:val="00BC5406"/>
    <w:rsid w:val="00BC6549"/>
    <w:rsid w:val="00BD63E4"/>
    <w:rsid w:val="00BD6CE2"/>
    <w:rsid w:val="00BD73BD"/>
    <w:rsid w:val="00BE1D10"/>
    <w:rsid w:val="00BE733F"/>
    <w:rsid w:val="00BF180D"/>
    <w:rsid w:val="00BF4506"/>
    <w:rsid w:val="00C01BB7"/>
    <w:rsid w:val="00C1023F"/>
    <w:rsid w:val="00C1782E"/>
    <w:rsid w:val="00C243E9"/>
    <w:rsid w:val="00C2657F"/>
    <w:rsid w:val="00C27469"/>
    <w:rsid w:val="00C300D7"/>
    <w:rsid w:val="00C307B2"/>
    <w:rsid w:val="00C42051"/>
    <w:rsid w:val="00C431AD"/>
    <w:rsid w:val="00C44FEC"/>
    <w:rsid w:val="00C6253F"/>
    <w:rsid w:val="00C63937"/>
    <w:rsid w:val="00C7177B"/>
    <w:rsid w:val="00C73D3B"/>
    <w:rsid w:val="00C75344"/>
    <w:rsid w:val="00C8260B"/>
    <w:rsid w:val="00C87673"/>
    <w:rsid w:val="00C912D6"/>
    <w:rsid w:val="00C938AB"/>
    <w:rsid w:val="00CA1AAB"/>
    <w:rsid w:val="00CA2782"/>
    <w:rsid w:val="00CA2AA5"/>
    <w:rsid w:val="00CA4D7A"/>
    <w:rsid w:val="00CA65CB"/>
    <w:rsid w:val="00CB3AAF"/>
    <w:rsid w:val="00CB5056"/>
    <w:rsid w:val="00CC430B"/>
    <w:rsid w:val="00CC464E"/>
    <w:rsid w:val="00CC4D3E"/>
    <w:rsid w:val="00CD791B"/>
    <w:rsid w:val="00CD7D88"/>
    <w:rsid w:val="00CE6018"/>
    <w:rsid w:val="00D04BE8"/>
    <w:rsid w:val="00D11891"/>
    <w:rsid w:val="00D3154C"/>
    <w:rsid w:val="00D43865"/>
    <w:rsid w:val="00D44DAF"/>
    <w:rsid w:val="00D471F3"/>
    <w:rsid w:val="00D5339D"/>
    <w:rsid w:val="00D60436"/>
    <w:rsid w:val="00D867E8"/>
    <w:rsid w:val="00D901D5"/>
    <w:rsid w:val="00D90661"/>
    <w:rsid w:val="00D923DA"/>
    <w:rsid w:val="00D930D8"/>
    <w:rsid w:val="00DA2E50"/>
    <w:rsid w:val="00DC3F17"/>
    <w:rsid w:val="00DD2D8E"/>
    <w:rsid w:val="00DE1E82"/>
    <w:rsid w:val="00DE7BF0"/>
    <w:rsid w:val="00DF2939"/>
    <w:rsid w:val="00DF2EBB"/>
    <w:rsid w:val="00DF44A4"/>
    <w:rsid w:val="00DF7F32"/>
    <w:rsid w:val="00E00619"/>
    <w:rsid w:val="00E02C87"/>
    <w:rsid w:val="00E11659"/>
    <w:rsid w:val="00E11EF2"/>
    <w:rsid w:val="00E13BC5"/>
    <w:rsid w:val="00E14B08"/>
    <w:rsid w:val="00E14B8F"/>
    <w:rsid w:val="00E22AD4"/>
    <w:rsid w:val="00E25E5F"/>
    <w:rsid w:val="00E32C5F"/>
    <w:rsid w:val="00E36793"/>
    <w:rsid w:val="00E37064"/>
    <w:rsid w:val="00E45858"/>
    <w:rsid w:val="00E46956"/>
    <w:rsid w:val="00E54383"/>
    <w:rsid w:val="00E56765"/>
    <w:rsid w:val="00E658C2"/>
    <w:rsid w:val="00E665B7"/>
    <w:rsid w:val="00E6697F"/>
    <w:rsid w:val="00E70696"/>
    <w:rsid w:val="00E7756C"/>
    <w:rsid w:val="00E854A9"/>
    <w:rsid w:val="00E860AD"/>
    <w:rsid w:val="00E86A73"/>
    <w:rsid w:val="00E87553"/>
    <w:rsid w:val="00E91CEE"/>
    <w:rsid w:val="00E92240"/>
    <w:rsid w:val="00E93C40"/>
    <w:rsid w:val="00E941A9"/>
    <w:rsid w:val="00E97380"/>
    <w:rsid w:val="00EA01FB"/>
    <w:rsid w:val="00EC6001"/>
    <w:rsid w:val="00ED1309"/>
    <w:rsid w:val="00EE18D3"/>
    <w:rsid w:val="00EE36B9"/>
    <w:rsid w:val="00EE6D8C"/>
    <w:rsid w:val="00EF05FE"/>
    <w:rsid w:val="00F02218"/>
    <w:rsid w:val="00F13B84"/>
    <w:rsid w:val="00F14B13"/>
    <w:rsid w:val="00F252FC"/>
    <w:rsid w:val="00F37DC7"/>
    <w:rsid w:val="00F423F3"/>
    <w:rsid w:val="00F52954"/>
    <w:rsid w:val="00F5296D"/>
    <w:rsid w:val="00F56415"/>
    <w:rsid w:val="00F60CB0"/>
    <w:rsid w:val="00F60E0D"/>
    <w:rsid w:val="00F720F2"/>
    <w:rsid w:val="00F7436B"/>
    <w:rsid w:val="00F754DD"/>
    <w:rsid w:val="00F77AEB"/>
    <w:rsid w:val="00F77E3C"/>
    <w:rsid w:val="00F90EFA"/>
    <w:rsid w:val="00F91F4D"/>
    <w:rsid w:val="00FA3E72"/>
    <w:rsid w:val="00FA3E7E"/>
    <w:rsid w:val="00FA63FC"/>
    <w:rsid w:val="00FC021A"/>
    <w:rsid w:val="00FC0307"/>
    <w:rsid w:val="00FC0B59"/>
    <w:rsid w:val="00FD096E"/>
    <w:rsid w:val="00FD4A2A"/>
    <w:rsid w:val="00FD5311"/>
    <w:rsid w:val="00FD5513"/>
    <w:rsid w:val="00FD77DE"/>
    <w:rsid w:val="00FE20D5"/>
    <w:rsid w:val="00FE3D70"/>
    <w:rsid w:val="00FF1ABA"/>
    <w:rsid w:val="00FF558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5F63"/>
  <w15:docId w15:val="{0B21280C-D176-4984-B9FA-453C542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64E"/>
  </w:style>
  <w:style w:type="character" w:styleId="PageNumber">
    <w:name w:val="page number"/>
    <w:rsid w:val="00CC464E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6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6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64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163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7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JudgmentNumbered">
    <w:name w:val="Judgment Numbered"/>
    <w:basedOn w:val="Normal"/>
    <w:link w:val="JudgmentNumberedChar"/>
    <w:qFormat/>
    <w:rsid w:val="00510DEE"/>
    <w:pPr>
      <w:numPr>
        <w:numId w:val="3"/>
      </w:numPr>
      <w:spacing w:after="240" w:line="360" w:lineRule="auto"/>
      <w:jc w:val="both"/>
    </w:pPr>
    <w:rPr>
      <w:rFonts w:ascii="Arial" w:hAnsi="Arial" w:cs="Arial"/>
      <w:sz w:val="24"/>
      <w:lang w:val="en-GB"/>
      <w14:ligatures w14:val="standardContextual"/>
    </w:rPr>
  </w:style>
  <w:style w:type="character" w:customStyle="1" w:styleId="JudgmentNumberedChar">
    <w:name w:val="Judgment Numbered Char"/>
    <w:basedOn w:val="DefaultParagraphFont"/>
    <w:link w:val="JudgmentNumbered"/>
    <w:rsid w:val="00510DEE"/>
    <w:rPr>
      <w:rFonts w:ascii="Arial" w:hAnsi="Arial" w:cs="Arial"/>
      <w:sz w:val="24"/>
      <w:lang w:val="en-GB"/>
      <w14:ligatures w14:val="standardContextual"/>
    </w:rPr>
  </w:style>
  <w:style w:type="paragraph" w:styleId="Revision">
    <w:name w:val="Revision"/>
    <w:hidden/>
    <w:uiPriority w:val="99"/>
    <w:semiHidden/>
    <w:rsid w:val="00510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102A3.6AE544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flii.org/cgi-bin/LawCite?cit=1972%20%281%29%20SA%2026" TargetMode="External"/><Relationship Id="rId2" Type="http://schemas.openxmlformats.org/officeDocument/2006/relationships/hyperlink" Target="https://www.saflii.org/cgi-bin/LawCite?cit=1958%20%284%29%20SA%20307" TargetMode="External"/><Relationship Id="rId1" Type="http://schemas.openxmlformats.org/officeDocument/2006/relationships/hyperlink" Target="https://www.saflii.org/cgi-bin/LawCite?cit=1917%20TPD%2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252F0196DE4AA0724C2D98C2B69F" ma:contentTypeVersion="4" ma:contentTypeDescription="Create a new document." ma:contentTypeScope="" ma:versionID="054f636873b4b909f053dd2f826b904a">
  <xsd:schema xmlns:xsd="http://www.w3.org/2001/XMLSchema" xmlns:xs="http://www.w3.org/2001/XMLSchema" xmlns:p="http://schemas.microsoft.com/office/2006/metadata/properties" xmlns:ns3="068c6b3d-be1e-4467-bdef-3b2882ff4aae" targetNamespace="http://schemas.microsoft.com/office/2006/metadata/properties" ma:root="true" ma:fieldsID="20a63b28d7e22166cbd1cb676cd7068d" ns3:_="">
    <xsd:import namespace="068c6b3d-be1e-4467-bdef-3b2882ff4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b3d-be1e-4467-bdef-3b2882ff4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8c6b3d-be1e-4467-bdef-3b2882ff4a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B146-03AA-4F1D-A191-5E0C91067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6b3d-be1e-4467-bdef-3b2882ff4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D346F-FC00-42CB-8B1F-0489A647E136}">
  <ds:schemaRefs>
    <ds:schemaRef ds:uri="http://schemas.microsoft.com/office/2006/metadata/properties"/>
    <ds:schemaRef ds:uri="http://schemas.microsoft.com/office/infopath/2007/PartnerControls"/>
    <ds:schemaRef ds:uri="068c6b3d-be1e-4467-bdef-3b2882ff4aae"/>
  </ds:schemaRefs>
</ds:datastoreItem>
</file>

<file path=customXml/itemProps3.xml><?xml version="1.0" encoding="utf-8"?>
<ds:datastoreItem xmlns:ds="http://schemas.openxmlformats.org/officeDocument/2006/customXml" ds:itemID="{E6795644-A45D-4376-B440-C02671465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AB3BA-4FEA-44C5-9501-47594D55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2887</Words>
  <Characters>14496</Characters>
  <Application>Microsoft Office Word</Application>
  <DocSecurity>0</DocSecurity>
  <Lines>268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Judge-Marcus Senyatsi</dc:creator>
  <cp:keywords/>
  <dc:description/>
  <cp:lastModifiedBy>Mokone</cp:lastModifiedBy>
  <cp:revision>2</cp:revision>
  <cp:lastPrinted>2023-10-16T11:20:00Z</cp:lastPrinted>
  <dcterms:created xsi:type="dcterms:W3CDTF">2023-10-17T12:04:00Z</dcterms:created>
  <dcterms:modified xsi:type="dcterms:W3CDTF">2023-10-17T12:04:00Z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0x01010016DA252F0196DE4AA0724C2D98C2B69F</vt:lpwstr>
  </property>
</Properties>
</file>