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8853B" w14:textId="77777777" w:rsidR="00633CD8" w:rsidRDefault="00633CD8" w:rsidP="00633CD8">
      <w:pPr>
        <w:pStyle w:val="LegalNormal"/>
        <w:spacing w:after="0" w:line="360" w:lineRule="auto"/>
        <w:jc w:val="center"/>
      </w:pPr>
      <w:r w:rsidRPr="00D0071D">
        <w:rPr>
          <w:noProof/>
          <w:color w:val="1F497D"/>
          <w:lang w:val="en-US" w:eastAsia="en-US"/>
        </w:rPr>
        <w:drawing>
          <wp:inline distT="0" distB="0" distL="0" distR="0" wp14:anchorId="0291BE0F" wp14:editId="2C34F4BB">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62F5C444" w14:textId="77777777" w:rsidR="00F11A88" w:rsidRDefault="00F11A88" w:rsidP="00633CD8">
      <w:pPr>
        <w:pStyle w:val="LegalTitle"/>
        <w:spacing w:after="0" w:line="360" w:lineRule="auto"/>
        <w:rPr>
          <w:u w:val="single"/>
        </w:rPr>
      </w:pPr>
    </w:p>
    <w:p w14:paraId="733BDA42" w14:textId="274025C5" w:rsidR="00633CD8" w:rsidRPr="00520591" w:rsidRDefault="00633CD8" w:rsidP="00633CD8">
      <w:pPr>
        <w:pStyle w:val="LegalTitle"/>
        <w:spacing w:after="0" w:line="360" w:lineRule="auto"/>
        <w:rPr>
          <w:u w:val="single"/>
        </w:rPr>
      </w:pPr>
      <w:r w:rsidRPr="00520591">
        <w:rPr>
          <w:u w:val="single"/>
        </w:rPr>
        <w:t>IN THE HIGH COURT of south africa</w:t>
      </w:r>
    </w:p>
    <w:p w14:paraId="5A310E29" w14:textId="39862BAE" w:rsidR="00633CD8" w:rsidRDefault="00633CD8" w:rsidP="00633CD8">
      <w:pPr>
        <w:pStyle w:val="LegalTitle"/>
        <w:spacing w:after="0" w:line="360" w:lineRule="auto"/>
        <w:rPr>
          <w:u w:val="single"/>
        </w:rPr>
      </w:pPr>
      <w:r w:rsidRPr="00520591">
        <w:rPr>
          <w:u w:val="single"/>
        </w:rPr>
        <w:t xml:space="preserve">GAUTENG </w:t>
      </w:r>
      <w:r w:rsidR="00707CAF">
        <w:rPr>
          <w:u w:val="single"/>
        </w:rPr>
        <w:t xml:space="preserve">LOCAL </w:t>
      </w:r>
      <w:r w:rsidRPr="00520591">
        <w:rPr>
          <w:u w:val="single"/>
        </w:rPr>
        <w:t xml:space="preserve">DIVISION, </w:t>
      </w:r>
      <w:r>
        <w:rPr>
          <w:u w:val="single"/>
        </w:rPr>
        <w:t>JOHANNESBURG</w:t>
      </w:r>
    </w:p>
    <w:p w14:paraId="26F92239" w14:textId="09774C68" w:rsidR="00633CD8" w:rsidRDefault="00633CD8" w:rsidP="00633CD8">
      <w:pPr>
        <w:pStyle w:val="LegalAnnexure"/>
        <w:spacing w:after="960" w:line="360" w:lineRule="auto"/>
        <w:rPr>
          <w:u w:val="single"/>
        </w:rP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069D7505" wp14:editId="4BA7DAC4">
                <wp:simplePos x="0" y="0"/>
                <wp:positionH relativeFrom="column">
                  <wp:posOffset>-127635</wp:posOffset>
                </wp:positionH>
                <wp:positionV relativeFrom="paragraph">
                  <wp:posOffset>173355</wp:posOffset>
                </wp:positionV>
                <wp:extent cx="3619500" cy="8572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57250"/>
                        </a:xfrm>
                        <a:prstGeom prst="rect">
                          <a:avLst/>
                        </a:prstGeom>
                        <a:solidFill>
                          <a:srgbClr val="FFFFFF"/>
                        </a:solidFill>
                        <a:ln w="9525">
                          <a:solidFill>
                            <a:srgbClr val="000000"/>
                          </a:solidFill>
                          <a:miter lim="800000"/>
                          <a:headEnd/>
                          <a:tailEnd/>
                        </a:ln>
                      </wps:spPr>
                      <wps:txbx>
                        <w:txbxContent>
                          <w:p w14:paraId="031C1BFF" w14:textId="52A5D438" w:rsidR="00633CD8" w:rsidRDefault="001B3350" w:rsidP="001B3350">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r w:rsidR="00737855" w:rsidRPr="00737855">
                              <w:rPr>
                                <w:rFonts w:ascii="Century Gothic" w:hAnsi="Century Gothic"/>
                                <w:b/>
                                <w:bCs/>
                                <w:sz w:val="20"/>
                              </w:rPr>
                              <w:t>NO</w:t>
                            </w:r>
                          </w:p>
                          <w:p w14:paraId="686AC699" w14:textId="13BCF23D" w:rsidR="00633CD8" w:rsidRDefault="001B3350" w:rsidP="001B3350">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r w:rsidR="00737855" w:rsidRPr="00737855">
                              <w:rPr>
                                <w:rFonts w:ascii="Century Gothic" w:hAnsi="Century Gothic"/>
                                <w:b/>
                                <w:bCs/>
                                <w:sz w:val="20"/>
                              </w:rPr>
                              <w:t>NO</w:t>
                            </w:r>
                          </w:p>
                          <w:p w14:paraId="6351C7EE" w14:textId="3ED886EC" w:rsidR="00633CD8" w:rsidRDefault="001B3350" w:rsidP="001B3350">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536FD8F7" w14:textId="63E0D97F" w:rsidR="00633CD8" w:rsidRDefault="00633CD8" w:rsidP="00633CD8">
                            <w:pPr>
                              <w:rPr>
                                <w:rFonts w:ascii="Century Gothic" w:hAnsi="Century Gothic"/>
                                <w:sz w:val="28"/>
                                <w:szCs w:val="28"/>
                              </w:rPr>
                            </w:pPr>
                            <w:r>
                              <w:rPr>
                                <w:rFonts w:ascii="Century Gothic" w:hAnsi="Century Gothic"/>
                                <w:sz w:val="22"/>
                                <w:szCs w:val="22"/>
                              </w:rPr>
                              <w:t>Date:</w:t>
                            </w:r>
                            <w:r w:rsidR="00737855">
                              <w:rPr>
                                <w:rFonts w:ascii="Century Gothic" w:hAnsi="Century Gothic"/>
                                <w:sz w:val="22"/>
                                <w:szCs w:val="22"/>
                              </w:rPr>
                              <w:t xml:space="preserve"> </w:t>
                            </w:r>
                            <w:r w:rsidR="00737855" w:rsidRPr="00737855">
                              <w:rPr>
                                <w:rFonts w:ascii="Century Gothic" w:hAnsi="Century Gothic"/>
                                <w:b/>
                                <w:bCs/>
                                <w:sz w:val="22"/>
                                <w:szCs w:val="22"/>
                              </w:rPr>
                              <w:t>27/09/2023</w:t>
                            </w:r>
                            <w:r w:rsidR="00737855">
                              <w:rPr>
                                <w:rFonts w:ascii="Century Gothic" w:hAnsi="Century Gothic"/>
                                <w:sz w:val="22"/>
                                <w:szCs w:val="22"/>
                              </w:rPr>
                              <w:t xml:space="preserve"> </w:t>
                            </w:r>
                            <w:r>
                              <w:rPr>
                                <w:rFonts w:ascii="Century Gothic" w:hAnsi="Century Gothic"/>
                                <w:sz w:val="22"/>
                                <w:szCs w:val="22"/>
                              </w:rPr>
                              <w:t xml:space="preserve"> </w:t>
                            </w:r>
                            <w:r w:rsidR="00737855">
                              <w:rPr>
                                <w:rFonts w:ascii="Century Gothic" w:hAnsi="Century Gothic"/>
                                <w:sz w:val="22"/>
                                <w:szCs w:val="22"/>
                              </w:rPr>
                              <w:t xml:space="preserve">           </w:t>
                            </w:r>
                            <w:r>
                              <w:rPr>
                                <w:rFonts w:ascii="Century Gothic" w:hAnsi="Century Gothic"/>
                                <w:sz w:val="22"/>
                                <w:szCs w:val="22"/>
                              </w:rPr>
                              <w:t>Signature: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7505" id="_x0000_t202" coordsize="21600,21600" o:spt="202" path="m,l,21600r21600,l21600,xe">
                <v:stroke joinstyle="miter"/>
                <v:path gradientshapeok="t" o:connecttype="rect"/>
              </v:shapetype>
              <v:shape id="Text Box 1" o:spid="_x0000_s1026" type="#_x0000_t202" style="position:absolute;left:0;text-align:left;margin-left:-10.05pt;margin-top:13.65pt;width:28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">
                <v:textbox>
                  <w:txbxContent>
                    <w:p w14:paraId="031C1BFF" w14:textId="52A5D438" w:rsidR="00633CD8" w:rsidRDefault="001B3350" w:rsidP="001B3350">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r w:rsidR="00737855" w:rsidRPr="00737855">
                        <w:rPr>
                          <w:rFonts w:ascii="Century Gothic" w:hAnsi="Century Gothic"/>
                          <w:b/>
                          <w:bCs/>
                          <w:sz w:val="20"/>
                        </w:rPr>
                        <w:t>NO</w:t>
                      </w:r>
                    </w:p>
                    <w:p w14:paraId="686AC699" w14:textId="13BCF23D" w:rsidR="00633CD8" w:rsidRDefault="001B3350" w:rsidP="001B3350">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r w:rsidR="00737855" w:rsidRPr="00737855">
                        <w:rPr>
                          <w:rFonts w:ascii="Century Gothic" w:hAnsi="Century Gothic"/>
                          <w:b/>
                          <w:bCs/>
                          <w:sz w:val="20"/>
                        </w:rPr>
                        <w:t>NO</w:t>
                      </w:r>
                    </w:p>
                    <w:p w14:paraId="6351C7EE" w14:textId="3ED886EC" w:rsidR="00633CD8" w:rsidRDefault="001B3350" w:rsidP="001B3350">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536FD8F7" w14:textId="63E0D97F" w:rsidR="00633CD8" w:rsidRDefault="00633CD8" w:rsidP="00633CD8">
                      <w:pPr>
                        <w:rPr>
                          <w:rFonts w:ascii="Century Gothic" w:hAnsi="Century Gothic"/>
                          <w:sz w:val="28"/>
                          <w:szCs w:val="28"/>
                        </w:rPr>
                      </w:pPr>
                      <w:r>
                        <w:rPr>
                          <w:rFonts w:ascii="Century Gothic" w:hAnsi="Century Gothic"/>
                          <w:sz w:val="22"/>
                          <w:szCs w:val="22"/>
                        </w:rPr>
                        <w:t>Date:</w:t>
                      </w:r>
                      <w:r w:rsidR="00737855">
                        <w:rPr>
                          <w:rFonts w:ascii="Century Gothic" w:hAnsi="Century Gothic"/>
                          <w:sz w:val="22"/>
                          <w:szCs w:val="22"/>
                        </w:rPr>
                        <w:t xml:space="preserve"> </w:t>
                      </w:r>
                      <w:r w:rsidR="00737855" w:rsidRPr="00737855">
                        <w:rPr>
                          <w:rFonts w:ascii="Century Gothic" w:hAnsi="Century Gothic"/>
                          <w:b/>
                          <w:bCs/>
                          <w:sz w:val="22"/>
                          <w:szCs w:val="22"/>
                        </w:rPr>
                        <w:t>27/09/2023</w:t>
                      </w:r>
                      <w:r w:rsidR="00737855">
                        <w:rPr>
                          <w:rFonts w:ascii="Century Gothic" w:hAnsi="Century Gothic"/>
                          <w:sz w:val="22"/>
                          <w:szCs w:val="22"/>
                        </w:rPr>
                        <w:t xml:space="preserve"> </w:t>
                      </w:r>
                      <w:r>
                        <w:rPr>
                          <w:rFonts w:ascii="Century Gothic" w:hAnsi="Century Gothic"/>
                          <w:sz w:val="22"/>
                          <w:szCs w:val="22"/>
                        </w:rPr>
                        <w:t xml:space="preserve"> </w:t>
                      </w:r>
                      <w:r w:rsidR="00737855">
                        <w:rPr>
                          <w:rFonts w:ascii="Century Gothic" w:hAnsi="Century Gothic"/>
                          <w:sz w:val="22"/>
                          <w:szCs w:val="22"/>
                        </w:rPr>
                        <w:t xml:space="preserve">           </w:t>
                      </w:r>
                      <w:r>
                        <w:rPr>
                          <w:rFonts w:ascii="Century Gothic" w:hAnsi="Century Gothic"/>
                          <w:sz w:val="22"/>
                          <w:szCs w:val="22"/>
                        </w:rPr>
                        <w:t>Signature: _____________</w:t>
                      </w:r>
                    </w:p>
                  </w:txbxContent>
                </v:textbox>
              </v:shape>
            </w:pict>
          </mc:Fallback>
        </mc:AlternateContent>
      </w:r>
    </w:p>
    <w:p w14:paraId="1C4FD250" w14:textId="77777777" w:rsidR="00633CD8" w:rsidRDefault="00633CD8" w:rsidP="00633CD8">
      <w:pPr>
        <w:pStyle w:val="LegalAnnexure"/>
        <w:spacing w:after="0" w:line="360" w:lineRule="auto"/>
      </w:pPr>
    </w:p>
    <w:p w14:paraId="3EA2AAB1" w14:textId="5FA3643F" w:rsidR="00633CD8" w:rsidRPr="001C6F28" w:rsidRDefault="00633CD8" w:rsidP="00633CD8">
      <w:pPr>
        <w:pStyle w:val="LegalAnnexure"/>
        <w:spacing w:after="0" w:line="360" w:lineRule="auto"/>
      </w:pPr>
      <w:r>
        <w:rPr>
          <w:u w:val="single"/>
        </w:rPr>
        <w:t>CASE</w:t>
      </w:r>
      <w:r w:rsidRPr="00A84826">
        <w:rPr>
          <w:u w:val="single"/>
        </w:rPr>
        <w:t xml:space="preserve"> NO</w:t>
      </w:r>
      <w:r w:rsidRPr="002D4810">
        <w:rPr>
          <w:b w:val="0"/>
        </w:rPr>
        <w:t>:</w:t>
      </w:r>
      <w:r w:rsidR="006E34E4">
        <w:rPr>
          <w:b w:val="0"/>
        </w:rPr>
        <w:t xml:space="preserve"> </w:t>
      </w:r>
      <w:r w:rsidR="00616303">
        <w:rPr>
          <w:b w:val="0"/>
        </w:rPr>
        <w:t>2020/19556</w:t>
      </w:r>
    </w:p>
    <w:p w14:paraId="2667FA3C" w14:textId="77777777" w:rsidR="00737855" w:rsidRDefault="00737855" w:rsidP="00633CD8">
      <w:pPr>
        <w:pStyle w:val="LegalNormal"/>
        <w:spacing w:after="240" w:line="360" w:lineRule="auto"/>
        <w:rPr>
          <w:b/>
          <w:u w:val="single"/>
        </w:rPr>
      </w:pPr>
    </w:p>
    <w:p w14:paraId="69D9E7C5" w14:textId="42648C52" w:rsidR="00633CD8" w:rsidRPr="00A84826" w:rsidRDefault="00633CD8" w:rsidP="00633CD8">
      <w:pPr>
        <w:pStyle w:val="LegalNormal"/>
        <w:spacing w:after="240" w:line="360" w:lineRule="auto"/>
      </w:pPr>
      <w:r w:rsidRPr="00A84826">
        <w:t>In the matter between:</w:t>
      </w:r>
    </w:p>
    <w:tbl>
      <w:tblPr>
        <w:tblW w:w="8810" w:type="dxa"/>
        <w:tblLayout w:type="fixed"/>
        <w:tblLook w:val="0000" w:firstRow="0" w:lastRow="0" w:firstColumn="0" w:lastColumn="0" w:noHBand="0" w:noVBand="0"/>
      </w:tblPr>
      <w:tblGrid>
        <w:gridCol w:w="6204"/>
        <w:gridCol w:w="2606"/>
      </w:tblGrid>
      <w:tr w:rsidR="006E34E4" w:rsidRPr="00D905E4" w14:paraId="3808171C" w14:textId="77777777" w:rsidTr="006E34E4">
        <w:tc>
          <w:tcPr>
            <w:tcW w:w="6204" w:type="dxa"/>
          </w:tcPr>
          <w:p w14:paraId="2CB986D7" w14:textId="5DDCDF29" w:rsidR="007A3836" w:rsidRPr="00707CAF" w:rsidRDefault="00616303" w:rsidP="00707CAF">
            <w:pPr>
              <w:pStyle w:val="Title"/>
              <w:rPr>
                <w:b/>
                <w:sz w:val="21"/>
              </w:rPr>
            </w:pPr>
            <w:r>
              <w:rPr>
                <w:b/>
                <w:sz w:val="21"/>
              </w:rPr>
              <w:t>ALF’S TIPPERS CC</w:t>
            </w:r>
          </w:p>
        </w:tc>
        <w:tc>
          <w:tcPr>
            <w:tcW w:w="2606" w:type="dxa"/>
          </w:tcPr>
          <w:p w14:paraId="6476AE42" w14:textId="651B6AE8" w:rsidR="006E34E4" w:rsidRPr="00D905E4" w:rsidRDefault="00616303" w:rsidP="005545E1">
            <w:pPr>
              <w:pStyle w:val="Title"/>
              <w:spacing w:line="360" w:lineRule="auto"/>
              <w:jc w:val="right"/>
              <w:rPr>
                <w:sz w:val="21"/>
              </w:rPr>
            </w:pPr>
            <w:r>
              <w:rPr>
                <w:sz w:val="21"/>
              </w:rPr>
              <w:t xml:space="preserve">Applicant </w:t>
            </w:r>
          </w:p>
        </w:tc>
      </w:tr>
      <w:tr w:rsidR="006E34E4" w:rsidRPr="00D905E4" w14:paraId="29265C62" w14:textId="77777777" w:rsidTr="006E34E4">
        <w:tc>
          <w:tcPr>
            <w:tcW w:w="6204" w:type="dxa"/>
          </w:tcPr>
          <w:p w14:paraId="3EB8A71D" w14:textId="51148608" w:rsidR="006E34E4" w:rsidRPr="00D905E4" w:rsidRDefault="006E34E4" w:rsidP="005545E1">
            <w:pPr>
              <w:pStyle w:val="Title"/>
              <w:spacing w:line="360" w:lineRule="auto"/>
              <w:rPr>
                <w:sz w:val="21"/>
              </w:rPr>
            </w:pPr>
          </w:p>
        </w:tc>
        <w:tc>
          <w:tcPr>
            <w:tcW w:w="2606" w:type="dxa"/>
          </w:tcPr>
          <w:p w14:paraId="4CEFDE0C" w14:textId="77777777" w:rsidR="006E34E4" w:rsidRPr="00D905E4" w:rsidRDefault="006E34E4" w:rsidP="005545E1">
            <w:pPr>
              <w:pStyle w:val="Title"/>
              <w:spacing w:line="360" w:lineRule="auto"/>
              <w:rPr>
                <w:sz w:val="21"/>
              </w:rPr>
            </w:pPr>
          </w:p>
        </w:tc>
      </w:tr>
      <w:tr w:rsidR="006E34E4" w:rsidRPr="00D905E4" w14:paraId="09E13C66" w14:textId="77777777" w:rsidTr="006E34E4">
        <w:tc>
          <w:tcPr>
            <w:tcW w:w="6204" w:type="dxa"/>
          </w:tcPr>
          <w:p w14:paraId="3FB2F644" w14:textId="542052B1" w:rsidR="006E34E4" w:rsidRPr="00D905E4" w:rsidRDefault="003C7511" w:rsidP="005545E1">
            <w:pPr>
              <w:pStyle w:val="Title"/>
              <w:spacing w:after="120"/>
              <w:rPr>
                <w:b/>
                <w:sz w:val="21"/>
              </w:rPr>
            </w:pPr>
            <w:proofErr w:type="gramStart"/>
            <w:r w:rsidRPr="003C7511">
              <w:rPr>
                <w:bCs/>
                <w:sz w:val="21"/>
              </w:rPr>
              <w:t>and</w:t>
            </w:r>
            <w:proofErr w:type="gramEnd"/>
            <w:r w:rsidR="006E34E4" w:rsidRPr="00D905E4">
              <w:rPr>
                <w:b/>
                <w:sz w:val="21"/>
              </w:rPr>
              <w:fldChar w:fldCharType="begin"/>
            </w:r>
            <w:r w:rsidR="006E34E4" w:rsidRPr="00D905E4">
              <w:rPr>
                <w:b/>
                <w:sz w:val="21"/>
              </w:rPr>
              <w:instrText xml:space="preserve">  </w:instrText>
            </w:r>
            <w:r w:rsidR="006E34E4" w:rsidRPr="00D905E4">
              <w:rPr>
                <w:b/>
                <w:sz w:val="21"/>
              </w:rPr>
              <w:fldChar w:fldCharType="end"/>
            </w:r>
          </w:p>
        </w:tc>
        <w:tc>
          <w:tcPr>
            <w:tcW w:w="2606" w:type="dxa"/>
          </w:tcPr>
          <w:p w14:paraId="4F9E604D" w14:textId="77777777" w:rsidR="006E34E4" w:rsidRPr="00D905E4" w:rsidRDefault="006E34E4" w:rsidP="005545E1">
            <w:pPr>
              <w:pStyle w:val="Title"/>
              <w:spacing w:line="360" w:lineRule="auto"/>
              <w:jc w:val="right"/>
              <w:rPr>
                <w:sz w:val="21"/>
              </w:rPr>
            </w:pPr>
          </w:p>
        </w:tc>
      </w:tr>
      <w:tr w:rsidR="006E34E4" w:rsidRPr="00D905E4" w14:paraId="627B0A96" w14:textId="77777777" w:rsidTr="006E34E4">
        <w:tc>
          <w:tcPr>
            <w:tcW w:w="6204" w:type="dxa"/>
          </w:tcPr>
          <w:p w14:paraId="20D6C10A" w14:textId="1F1D9037" w:rsidR="006E34E4" w:rsidRPr="00D905E4" w:rsidRDefault="006E34E4" w:rsidP="005545E1">
            <w:pPr>
              <w:pStyle w:val="Title"/>
              <w:rPr>
                <w:bCs/>
                <w:sz w:val="21"/>
              </w:rPr>
            </w:pPr>
          </w:p>
        </w:tc>
        <w:tc>
          <w:tcPr>
            <w:tcW w:w="2606" w:type="dxa"/>
          </w:tcPr>
          <w:p w14:paraId="69B86802" w14:textId="257BF2C7" w:rsidR="006E34E4" w:rsidRPr="00D905E4" w:rsidRDefault="006E34E4" w:rsidP="005545E1">
            <w:pPr>
              <w:pStyle w:val="Title"/>
              <w:spacing w:line="360" w:lineRule="auto"/>
              <w:jc w:val="right"/>
              <w:rPr>
                <w:sz w:val="21"/>
              </w:rPr>
            </w:pPr>
          </w:p>
        </w:tc>
      </w:tr>
      <w:tr w:rsidR="003C7511" w:rsidRPr="00D905E4" w14:paraId="3B8E44DF" w14:textId="77777777" w:rsidTr="006E34E4">
        <w:tc>
          <w:tcPr>
            <w:tcW w:w="6204" w:type="dxa"/>
          </w:tcPr>
          <w:p w14:paraId="6084FA3E" w14:textId="5FD3A9E8" w:rsidR="003C7511" w:rsidRPr="003C7511" w:rsidRDefault="00616303" w:rsidP="005545E1">
            <w:pPr>
              <w:pStyle w:val="Title"/>
              <w:rPr>
                <w:b/>
                <w:sz w:val="21"/>
              </w:rPr>
            </w:pPr>
            <w:r>
              <w:rPr>
                <w:b/>
                <w:sz w:val="21"/>
              </w:rPr>
              <w:t>BALOYI, PAUL CAMBO</w:t>
            </w:r>
          </w:p>
        </w:tc>
        <w:tc>
          <w:tcPr>
            <w:tcW w:w="2606" w:type="dxa"/>
          </w:tcPr>
          <w:p w14:paraId="6881184E" w14:textId="5F1964A4" w:rsidR="003C7511" w:rsidRPr="00D905E4" w:rsidRDefault="00707CAF" w:rsidP="005545E1">
            <w:pPr>
              <w:pStyle w:val="Title"/>
              <w:spacing w:line="360" w:lineRule="auto"/>
              <w:jc w:val="right"/>
              <w:rPr>
                <w:sz w:val="21"/>
              </w:rPr>
            </w:pPr>
            <w:r>
              <w:rPr>
                <w:sz w:val="21"/>
              </w:rPr>
              <w:t xml:space="preserve">First </w:t>
            </w:r>
            <w:r w:rsidR="00616303">
              <w:rPr>
                <w:sz w:val="21"/>
              </w:rPr>
              <w:t xml:space="preserve">Respondent </w:t>
            </w:r>
          </w:p>
        </w:tc>
      </w:tr>
      <w:tr w:rsidR="00707CAF" w:rsidRPr="00D905E4" w14:paraId="7F8303A1" w14:textId="77777777" w:rsidTr="006E34E4">
        <w:tc>
          <w:tcPr>
            <w:tcW w:w="6204" w:type="dxa"/>
          </w:tcPr>
          <w:p w14:paraId="1E24BC1C" w14:textId="7E5C8840" w:rsidR="00707CAF" w:rsidRPr="00616303" w:rsidRDefault="00616303" w:rsidP="005545E1">
            <w:pPr>
              <w:pStyle w:val="Title"/>
              <w:rPr>
                <w:b/>
                <w:sz w:val="21"/>
              </w:rPr>
            </w:pPr>
            <w:r>
              <w:rPr>
                <w:b/>
                <w:sz w:val="21"/>
              </w:rPr>
              <w:t>CASTLE, DARRYLL JOHN</w:t>
            </w:r>
          </w:p>
        </w:tc>
        <w:tc>
          <w:tcPr>
            <w:tcW w:w="2606" w:type="dxa"/>
          </w:tcPr>
          <w:p w14:paraId="02512EF4" w14:textId="24C3A2F5" w:rsidR="00707CAF" w:rsidRDefault="00707CAF" w:rsidP="005545E1">
            <w:pPr>
              <w:pStyle w:val="Title"/>
              <w:spacing w:line="360" w:lineRule="auto"/>
              <w:jc w:val="right"/>
              <w:rPr>
                <w:sz w:val="21"/>
              </w:rPr>
            </w:pPr>
            <w:r>
              <w:rPr>
                <w:sz w:val="21"/>
              </w:rPr>
              <w:t xml:space="preserve">Second </w:t>
            </w:r>
            <w:r w:rsidR="00616303">
              <w:rPr>
                <w:sz w:val="21"/>
              </w:rPr>
              <w:t xml:space="preserve">Respondent </w:t>
            </w:r>
          </w:p>
        </w:tc>
      </w:tr>
      <w:tr w:rsidR="00616303" w:rsidRPr="00D905E4" w14:paraId="40487F64" w14:textId="77777777" w:rsidTr="006E34E4">
        <w:tc>
          <w:tcPr>
            <w:tcW w:w="6204" w:type="dxa"/>
          </w:tcPr>
          <w:p w14:paraId="0C7F53A4" w14:textId="50134811" w:rsidR="00616303" w:rsidRDefault="00616303" w:rsidP="005545E1">
            <w:pPr>
              <w:pStyle w:val="Title"/>
              <w:rPr>
                <w:b/>
                <w:sz w:val="21"/>
              </w:rPr>
            </w:pPr>
            <w:r>
              <w:rPr>
                <w:b/>
                <w:sz w:val="21"/>
              </w:rPr>
              <w:t>LUVHENGO, SHAMMY AREWANGA</w:t>
            </w:r>
          </w:p>
        </w:tc>
        <w:tc>
          <w:tcPr>
            <w:tcW w:w="2606" w:type="dxa"/>
          </w:tcPr>
          <w:p w14:paraId="0BB88164" w14:textId="4DC2DF6E" w:rsidR="00616303" w:rsidRDefault="00616303" w:rsidP="005545E1">
            <w:pPr>
              <w:pStyle w:val="Title"/>
              <w:spacing w:line="360" w:lineRule="auto"/>
              <w:jc w:val="right"/>
              <w:rPr>
                <w:sz w:val="21"/>
              </w:rPr>
            </w:pPr>
            <w:r>
              <w:rPr>
                <w:sz w:val="21"/>
              </w:rPr>
              <w:t xml:space="preserve">Third Respondent </w:t>
            </w:r>
          </w:p>
        </w:tc>
      </w:tr>
      <w:tr w:rsidR="00616303" w:rsidRPr="00D905E4" w14:paraId="76A450CA" w14:textId="77777777" w:rsidTr="006E34E4">
        <w:tc>
          <w:tcPr>
            <w:tcW w:w="6204" w:type="dxa"/>
          </w:tcPr>
          <w:p w14:paraId="5B66D7DF" w14:textId="4FD58B07" w:rsidR="00616303" w:rsidRDefault="00616303" w:rsidP="005545E1">
            <w:pPr>
              <w:pStyle w:val="Title"/>
              <w:rPr>
                <w:b/>
                <w:sz w:val="21"/>
              </w:rPr>
            </w:pPr>
            <w:r>
              <w:rPr>
                <w:b/>
                <w:sz w:val="21"/>
              </w:rPr>
              <w:t>MANNING, CLAUDIA ESTELLE</w:t>
            </w:r>
          </w:p>
        </w:tc>
        <w:tc>
          <w:tcPr>
            <w:tcW w:w="2606" w:type="dxa"/>
          </w:tcPr>
          <w:p w14:paraId="13747B21" w14:textId="51C89CD1" w:rsidR="00616303" w:rsidRDefault="00616303" w:rsidP="005545E1">
            <w:pPr>
              <w:pStyle w:val="Title"/>
              <w:spacing w:line="360" w:lineRule="auto"/>
              <w:jc w:val="right"/>
              <w:rPr>
                <w:sz w:val="21"/>
              </w:rPr>
            </w:pPr>
            <w:r>
              <w:rPr>
                <w:sz w:val="21"/>
              </w:rPr>
              <w:t xml:space="preserve">Fourth Respondent </w:t>
            </w:r>
          </w:p>
        </w:tc>
      </w:tr>
      <w:tr w:rsidR="00616303" w:rsidRPr="00D905E4" w14:paraId="6D4C5EAA" w14:textId="77777777" w:rsidTr="006E34E4">
        <w:tc>
          <w:tcPr>
            <w:tcW w:w="6204" w:type="dxa"/>
          </w:tcPr>
          <w:p w14:paraId="297C5272" w14:textId="4A5AC27A" w:rsidR="00616303" w:rsidRDefault="00616303" w:rsidP="005545E1">
            <w:pPr>
              <w:pStyle w:val="Title"/>
              <w:rPr>
                <w:b/>
                <w:sz w:val="21"/>
              </w:rPr>
            </w:pPr>
            <w:r>
              <w:rPr>
                <w:b/>
                <w:sz w:val="21"/>
              </w:rPr>
              <w:t>MAPASA, KHATHUTSHELO</w:t>
            </w:r>
          </w:p>
        </w:tc>
        <w:tc>
          <w:tcPr>
            <w:tcW w:w="2606" w:type="dxa"/>
          </w:tcPr>
          <w:p w14:paraId="2173A9F8" w14:textId="7E594615" w:rsidR="00616303" w:rsidRDefault="00616303" w:rsidP="005545E1">
            <w:pPr>
              <w:pStyle w:val="Title"/>
              <w:spacing w:line="360" w:lineRule="auto"/>
              <w:jc w:val="right"/>
              <w:rPr>
                <w:sz w:val="21"/>
              </w:rPr>
            </w:pPr>
            <w:r>
              <w:rPr>
                <w:sz w:val="21"/>
              </w:rPr>
              <w:t xml:space="preserve">Fifth Respondent </w:t>
            </w:r>
          </w:p>
        </w:tc>
      </w:tr>
      <w:tr w:rsidR="00616303" w:rsidRPr="00D905E4" w14:paraId="6181E9DF" w14:textId="77777777" w:rsidTr="006E34E4">
        <w:tc>
          <w:tcPr>
            <w:tcW w:w="6204" w:type="dxa"/>
          </w:tcPr>
          <w:p w14:paraId="5AD7AB12" w14:textId="6538ACE6" w:rsidR="00616303" w:rsidRDefault="00616303" w:rsidP="005545E1">
            <w:pPr>
              <w:pStyle w:val="Title"/>
              <w:rPr>
                <w:b/>
                <w:sz w:val="21"/>
              </w:rPr>
            </w:pPr>
            <w:r>
              <w:rPr>
                <w:b/>
                <w:sz w:val="21"/>
              </w:rPr>
              <w:t>NDONI, ANDISWA THANDEKA</w:t>
            </w:r>
          </w:p>
        </w:tc>
        <w:tc>
          <w:tcPr>
            <w:tcW w:w="2606" w:type="dxa"/>
          </w:tcPr>
          <w:p w14:paraId="1ECAB4AC" w14:textId="57E45421" w:rsidR="00616303" w:rsidRDefault="00616303" w:rsidP="005545E1">
            <w:pPr>
              <w:pStyle w:val="Title"/>
              <w:spacing w:line="360" w:lineRule="auto"/>
              <w:jc w:val="right"/>
              <w:rPr>
                <w:sz w:val="21"/>
              </w:rPr>
            </w:pPr>
            <w:r>
              <w:rPr>
                <w:sz w:val="21"/>
              </w:rPr>
              <w:t xml:space="preserve">Sixth Respondent </w:t>
            </w:r>
          </w:p>
        </w:tc>
      </w:tr>
      <w:tr w:rsidR="00616303" w:rsidRPr="00D905E4" w14:paraId="56499221" w14:textId="77777777" w:rsidTr="006E34E4">
        <w:tc>
          <w:tcPr>
            <w:tcW w:w="6204" w:type="dxa"/>
          </w:tcPr>
          <w:p w14:paraId="506A8A0B" w14:textId="0EEE6F64" w:rsidR="00616303" w:rsidRDefault="00616303" w:rsidP="005545E1">
            <w:pPr>
              <w:pStyle w:val="Title"/>
              <w:rPr>
                <w:b/>
                <w:sz w:val="21"/>
              </w:rPr>
            </w:pPr>
            <w:r>
              <w:rPr>
                <w:b/>
                <w:sz w:val="21"/>
              </w:rPr>
              <w:t>SEFOLO, TSHEGOFATSO</w:t>
            </w:r>
          </w:p>
        </w:tc>
        <w:tc>
          <w:tcPr>
            <w:tcW w:w="2606" w:type="dxa"/>
          </w:tcPr>
          <w:p w14:paraId="223E9792" w14:textId="08962218" w:rsidR="00616303" w:rsidRDefault="00616303" w:rsidP="005545E1">
            <w:pPr>
              <w:pStyle w:val="Title"/>
              <w:spacing w:line="360" w:lineRule="auto"/>
              <w:jc w:val="right"/>
              <w:rPr>
                <w:sz w:val="21"/>
              </w:rPr>
            </w:pPr>
            <w:r>
              <w:rPr>
                <w:sz w:val="21"/>
              </w:rPr>
              <w:t xml:space="preserve">Seventh Respondent </w:t>
            </w:r>
          </w:p>
        </w:tc>
      </w:tr>
    </w:tbl>
    <w:p w14:paraId="080B1F8B" w14:textId="77777777" w:rsidR="006E34E4" w:rsidRPr="00D905E4" w:rsidRDefault="006E34E4" w:rsidP="006E34E4">
      <w:pPr>
        <w:pStyle w:val="Title"/>
        <w:rPr>
          <w:sz w:val="21"/>
        </w:rPr>
      </w:pPr>
    </w:p>
    <w:p w14:paraId="12DFC443" w14:textId="70143870" w:rsidR="00633CD8" w:rsidRDefault="00633CD8" w:rsidP="006E34E4">
      <w:pPr>
        <w:tabs>
          <w:tab w:val="left" w:pos="1418"/>
        </w:tabs>
        <w:spacing w:before="120" w:after="120"/>
        <w:rPr>
          <w:rFonts w:cs="Arial"/>
        </w:rPr>
      </w:pPr>
      <w:r>
        <w:rPr>
          <w:rFonts w:cs="Arial"/>
          <w:b/>
          <w:bCs/>
        </w:rPr>
        <w:t>Coram:</w:t>
      </w:r>
      <w:r>
        <w:rPr>
          <w:rFonts w:cs="Arial"/>
        </w:rPr>
        <w:tab/>
      </w:r>
      <w:r w:rsidR="003C7511">
        <w:rPr>
          <w:rFonts w:cs="Arial"/>
        </w:rPr>
        <w:tab/>
      </w:r>
      <w:proofErr w:type="spellStart"/>
      <w:r w:rsidR="003C7511">
        <w:rPr>
          <w:rFonts w:cs="Arial"/>
        </w:rPr>
        <w:t>Ternent</w:t>
      </w:r>
      <w:proofErr w:type="spellEnd"/>
      <w:r w:rsidR="003C7511">
        <w:rPr>
          <w:rFonts w:cs="Arial"/>
        </w:rPr>
        <w:t xml:space="preserve"> AJ</w:t>
      </w:r>
    </w:p>
    <w:p w14:paraId="2D78F15E" w14:textId="0F06B5A5" w:rsidR="00633CD8" w:rsidRDefault="00633CD8" w:rsidP="00633CD8">
      <w:pPr>
        <w:spacing w:after="120"/>
        <w:ind w:left="1418" w:hanging="1418"/>
        <w:rPr>
          <w:rFonts w:cs="Arial"/>
          <w:b/>
        </w:rPr>
      </w:pPr>
      <w:r>
        <w:rPr>
          <w:rFonts w:cs="Arial"/>
          <w:b/>
          <w:bCs/>
        </w:rPr>
        <w:t>Heard on</w:t>
      </w:r>
      <w:r>
        <w:rPr>
          <w:rFonts w:cs="Arial"/>
        </w:rPr>
        <w:t>:</w:t>
      </w:r>
      <w:r>
        <w:rPr>
          <w:rFonts w:cs="Arial"/>
        </w:rPr>
        <w:tab/>
      </w:r>
      <w:r w:rsidR="00616303">
        <w:rPr>
          <w:rFonts w:cs="Arial"/>
        </w:rPr>
        <w:t xml:space="preserve">23 May </w:t>
      </w:r>
      <w:r w:rsidR="00615156">
        <w:rPr>
          <w:rFonts w:cs="Arial"/>
        </w:rPr>
        <w:t>2023</w:t>
      </w:r>
    </w:p>
    <w:p w14:paraId="13D07160" w14:textId="4D8B1BCC" w:rsidR="00633CD8" w:rsidRPr="003C7511" w:rsidRDefault="00633CD8" w:rsidP="00633CD8">
      <w:pPr>
        <w:tabs>
          <w:tab w:val="left" w:pos="1418"/>
        </w:tabs>
        <w:spacing w:after="120"/>
        <w:ind w:left="1418" w:hanging="1418"/>
        <w:rPr>
          <w:rFonts w:cs="Arial"/>
          <w:bCs/>
        </w:rPr>
      </w:pPr>
      <w:r>
        <w:rPr>
          <w:rFonts w:cs="Arial"/>
          <w:b/>
        </w:rPr>
        <w:t>Delivered:</w:t>
      </w:r>
      <w:r>
        <w:rPr>
          <w:rFonts w:cs="Arial"/>
          <w:b/>
        </w:rPr>
        <w:tab/>
      </w:r>
      <w:r w:rsidR="00737855">
        <w:rPr>
          <w:rFonts w:cs="Arial"/>
          <w:bCs/>
        </w:rPr>
        <w:t>27</w:t>
      </w:r>
      <w:r w:rsidR="00616303">
        <w:rPr>
          <w:rFonts w:cs="Arial"/>
          <w:bCs/>
        </w:rPr>
        <w:t xml:space="preserve"> September </w:t>
      </w:r>
      <w:r w:rsidR="003C7511">
        <w:rPr>
          <w:rFonts w:cs="Arial"/>
          <w:bCs/>
        </w:rPr>
        <w:t>2023</w:t>
      </w:r>
    </w:p>
    <w:p w14:paraId="3E9A3BA1" w14:textId="7DF79E78" w:rsidR="00633CD8" w:rsidRDefault="00633CD8" w:rsidP="00633CD8">
      <w:pPr>
        <w:spacing w:after="240"/>
        <w:rPr>
          <w:rFonts w:cs="Arial"/>
        </w:rPr>
      </w:pPr>
      <w:r>
        <w:rPr>
          <w:rFonts w:cs="Arial"/>
          <w:b/>
          <w:bCs/>
        </w:rPr>
        <w:tab/>
      </w:r>
    </w:p>
    <w:p w14:paraId="7C37C51C" w14:textId="77777777" w:rsidR="00633CD8" w:rsidRPr="00A84826" w:rsidRDefault="00633CD8" w:rsidP="00633CD8">
      <w:pPr>
        <w:pStyle w:val="LegalTramLines"/>
        <w:spacing w:after="240"/>
      </w:pPr>
      <w:r>
        <w:lastRenderedPageBreak/>
        <w:t xml:space="preserve">JUDGMENT </w:t>
      </w:r>
    </w:p>
    <w:p w14:paraId="264149BC" w14:textId="77777777" w:rsidR="00616303" w:rsidRDefault="00616303" w:rsidP="00A34D30">
      <w:pPr>
        <w:pStyle w:val="Heading1"/>
        <w:keepNext/>
        <w:numPr>
          <w:ilvl w:val="0"/>
          <w:numId w:val="0"/>
        </w:numPr>
        <w:ind w:left="862" w:hanging="862"/>
        <w:rPr>
          <w:b/>
          <w:bCs/>
          <w:u w:val="single"/>
        </w:rPr>
      </w:pPr>
      <w:bookmarkStart w:id="0" w:name="_Hlk81386236"/>
      <w:bookmarkStart w:id="1" w:name="_Hlk81386419"/>
    </w:p>
    <w:p w14:paraId="100A4C80" w14:textId="0DAEE7C6" w:rsidR="000460FA" w:rsidRPr="00881F23" w:rsidRDefault="005F5D78" w:rsidP="00881F23">
      <w:pPr>
        <w:pStyle w:val="Heading1"/>
        <w:keepNext/>
        <w:numPr>
          <w:ilvl w:val="0"/>
          <w:numId w:val="0"/>
        </w:numPr>
        <w:ind w:left="862" w:hanging="862"/>
      </w:pPr>
      <w:r w:rsidRPr="000460FA">
        <w:rPr>
          <w:b/>
          <w:bCs/>
          <w:u w:val="single"/>
        </w:rPr>
        <w:t>TERNENT</w:t>
      </w:r>
      <w:r w:rsidR="00833533" w:rsidRPr="000460FA">
        <w:rPr>
          <w:b/>
          <w:bCs/>
          <w:u w:val="single"/>
        </w:rPr>
        <w:t>, AJ</w:t>
      </w:r>
      <w:r w:rsidR="002A19E4" w:rsidRPr="005F5D78">
        <w:t>:</w:t>
      </w:r>
      <w:bookmarkStart w:id="2" w:name="_Hlk81386187"/>
      <w:bookmarkEnd w:id="0"/>
    </w:p>
    <w:p w14:paraId="34CB91C7" w14:textId="3458699D" w:rsidR="00284394" w:rsidRDefault="001B3350" w:rsidP="001B3350">
      <w:pPr>
        <w:pStyle w:val="Heading1"/>
        <w:numPr>
          <w:ilvl w:val="0"/>
          <w:numId w:val="0"/>
        </w:numPr>
        <w:tabs>
          <w:tab w:val="left" w:pos="862"/>
        </w:tabs>
        <w:ind w:left="862" w:hanging="862"/>
      </w:pPr>
      <w:bookmarkStart w:id="3" w:name="_Hlk81386320"/>
      <w:bookmarkEnd w:id="2"/>
      <w:r>
        <w:t>[1</w:t>
      </w:r>
      <w:bookmarkStart w:id="4" w:name="_GoBack"/>
      <w:r>
        <w:t>]</w:t>
      </w:r>
      <w:bookmarkEnd w:id="4"/>
      <w:r>
        <w:tab/>
      </w:r>
      <w:r w:rsidR="00284394">
        <w:t>I shall refer to the parties as they are cited in the trial action.</w:t>
      </w:r>
    </w:p>
    <w:p w14:paraId="3410A168" w14:textId="649B4950" w:rsidR="00284394" w:rsidRDefault="001B3350" w:rsidP="001B3350">
      <w:pPr>
        <w:pStyle w:val="Heading1"/>
        <w:numPr>
          <w:ilvl w:val="0"/>
          <w:numId w:val="0"/>
        </w:numPr>
        <w:tabs>
          <w:tab w:val="left" w:pos="862"/>
        </w:tabs>
        <w:ind w:left="862" w:hanging="862"/>
      </w:pPr>
      <w:r>
        <w:t>[2]</w:t>
      </w:r>
      <w:r>
        <w:tab/>
      </w:r>
      <w:r w:rsidR="00616303">
        <w:t xml:space="preserve">This is an application in terms of Rule 35(7) in terms whereof the </w:t>
      </w:r>
      <w:r w:rsidR="00407878">
        <w:t>plaintiff</w:t>
      </w:r>
      <w:r w:rsidR="00616303">
        <w:t xml:space="preserve"> seeks an order compelling the fifth </w:t>
      </w:r>
      <w:r w:rsidR="00407878">
        <w:t>defendant</w:t>
      </w:r>
      <w:r w:rsidR="00616303">
        <w:t xml:space="preserve">, Mr </w:t>
      </w:r>
      <w:proofErr w:type="spellStart"/>
      <w:r w:rsidR="00616303">
        <w:t>Mapasa</w:t>
      </w:r>
      <w:proofErr w:type="spellEnd"/>
      <w:r w:rsidR="00284394">
        <w:t>,</w:t>
      </w:r>
      <w:r w:rsidR="00616303">
        <w:t xml:space="preserve"> to discover </w:t>
      </w:r>
      <w:proofErr w:type="gramStart"/>
      <w:r w:rsidR="00616303">
        <w:t>documents</w:t>
      </w:r>
      <w:proofErr w:type="gramEnd"/>
      <w:r w:rsidR="00616303">
        <w:t xml:space="preserve"> requested under a Rule 35(3) notice delivered by the plaintiff </w:t>
      </w:r>
      <w:r w:rsidR="00E37DD8">
        <w:t xml:space="preserve">subsequent discovery by </w:t>
      </w:r>
      <w:proofErr w:type="spellStart"/>
      <w:r w:rsidR="00284394">
        <w:t>Mapasa</w:t>
      </w:r>
      <w:proofErr w:type="spellEnd"/>
      <w:r w:rsidR="00284394">
        <w:t xml:space="preserve">, purportedly on behalf of all of the defendants, </w:t>
      </w:r>
      <w:r w:rsidR="00E37DD8">
        <w:t>on 22 April 2021.</w:t>
      </w:r>
      <w:r w:rsidR="00E37DD8">
        <w:rPr>
          <w:rStyle w:val="FootnoteReference"/>
        </w:rPr>
        <w:footnoteReference w:id="1"/>
      </w:r>
      <w:r w:rsidR="00E37DD8">
        <w:t xml:space="preserve">  In addition, the </w:t>
      </w:r>
      <w:r w:rsidR="00407878">
        <w:t>plaintiff</w:t>
      </w:r>
      <w:r w:rsidR="00E37DD8">
        <w:t xml:space="preserve"> seeks an order compelling the remaining </w:t>
      </w:r>
      <w:r w:rsidR="00407878">
        <w:t>defendants</w:t>
      </w:r>
      <w:r w:rsidR="00E37DD8">
        <w:t xml:space="preserve"> to delivery discovery affidavits in terms of Rule 35(1).  </w:t>
      </w:r>
    </w:p>
    <w:p w14:paraId="53D3026F" w14:textId="2BBBF463" w:rsidR="00616303" w:rsidRDefault="001B3350" w:rsidP="001B3350">
      <w:pPr>
        <w:pStyle w:val="Heading1"/>
        <w:numPr>
          <w:ilvl w:val="0"/>
          <w:numId w:val="0"/>
        </w:numPr>
        <w:tabs>
          <w:tab w:val="left" w:pos="862"/>
        </w:tabs>
        <w:ind w:left="862" w:hanging="862"/>
      </w:pPr>
      <w:r>
        <w:t>[3]</w:t>
      </w:r>
      <w:r>
        <w:tab/>
      </w:r>
      <w:r w:rsidR="00E37DD8">
        <w:t xml:space="preserve">In the event that an order is granted, and the </w:t>
      </w:r>
      <w:r w:rsidR="00407878">
        <w:t>defendants</w:t>
      </w:r>
      <w:r w:rsidR="00E37DD8">
        <w:t xml:space="preserve"> fail to comply with the order within ten days, the </w:t>
      </w:r>
      <w:r w:rsidR="00407878">
        <w:t>plaintiff</w:t>
      </w:r>
      <w:r w:rsidR="00E37DD8">
        <w:t xml:space="preserve"> also seeks leave to approach this Court on the same papers duly supplemented for an order striking out the </w:t>
      </w:r>
      <w:r w:rsidR="00407878">
        <w:t>defendants</w:t>
      </w:r>
      <w:r w:rsidR="00E37DD8">
        <w:t xml:space="preserve">’ defence in the action and for judgment by default.  A costs order is sought against the </w:t>
      </w:r>
      <w:r w:rsidR="00407878">
        <w:t>defendants</w:t>
      </w:r>
      <w:r w:rsidR="00E37DD8">
        <w:t xml:space="preserve"> jointly and severally the one paying the other to be absolved on the attorney and client scale.</w:t>
      </w:r>
    </w:p>
    <w:p w14:paraId="74E87498" w14:textId="754D261C" w:rsidR="00284394" w:rsidRDefault="001B3350" w:rsidP="001B3350">
      <w:pPr>
        <w:pStyle w:val="Heading1"/>
        <w:numPr>
          <w:ilvl w:val="0"/>
          <w:numId w:val="0"/>
        </w:numPr>
        <w:tabs>
          <w:tab w:val="left" w:pos="862"/>
        </w:tabs>
        <w:ind w:left="862" w:hanging="862"/>
      </w:pPr>
      <w:r>
        <w:t>[4]</w:t>
      </w:r>
      <w:r>
        <w:tab/>
      </w:r>
      <w:r w:rsidR="00E37DD8">
        <w:t>The plaintiff seeks judgment in the amount of R994 581</w:t>
      </w:r>
      <w:proofErr w:type="gramStart"/>
      <w:r w:rsidR="00E37DD8">
        <w:t>,83</w:t>
      </w:r>
      <w:proofErr w:type="gramEnd"/>
      <w:r w:rsidR="00E37DD8">
        <w:t xml:space="preserve"> from the </w:t>
      </w:r>
      <w:r w:rsidR="00407878">
        <w:t>defendants</w:t>
      </w:r>
      <w:r w:rsidR="00E37DD8">
        <w:t xml:space="preserve"> in their personal capacity it being contended that the </w:t>
      </w:r>
      <w:r w:rsidR="00407878">
        <w:t>defendants</w:t>
      </w:r>
      <w:r w:rsidR="00E37DD8">
        <w:t xml:space="preserve"> carried out the business of Basil Read Limited (Registration No. 1962/002313/06) recklessly </w:t>
      </w:r>
      <w:r w:rsidR="008D66A9">
        <w:t xml:space="preserve">and with the intent to defraud the creditors of Basil Read including the plaintiff in circumstances where Basil Read was not solvent and was financially distressed. </w:t>
      </w:r>
      <w:proofErr w:type="spellStart"/>
      <w:r w:rsidR="008D66A9">
        <w:t>Mapasa</w:t>
      </w:r>
      <w:proofErr w:type="spellEnd"/>
      <w:r w:rsidR="008D66A9">
        <w:t xml:space="preserve"> is employed at Basil Read as its Chief Executive Officer.  The sixth defendant, Ms </w:t>
      </w:r>
      <w:proofErr w:type="spellStart"/>
      <w:r w:rsidR="008D66A9">
        <w:lastRenderedPageBreak/>
        <w:t>Ndoni</w:t>
      </w:r>
      <w:proofErr w:type="spellEnd"/>
      <w:r w:rsidR="008D66A9">
        <w:t xml:space="preserve">, is the Company Secretary and continues to hold that position.  The remaining </w:t>
      </w:r>
      <w:r w:rsidR="00407878">
        <w:t>defendants</w:t>
      </w:r>
      <w:r w:rsidR="008D66A9">
        <w:t xml:space="preserve"> are non-executive directors although it is contended that some of them no longer hold this position without identifying which of the </w:t>
      </w:r>
      <w:r w:rsidR="00407878">
        <w:t>defendants</w:t>
      </w:r>
      <w:r w:rsidR="008D66A9">
        <w:t xml:space="preserve"> have terminated their employ.</w:t>
      </w:r>
    </w:p>
    <w:p w14:paraId="58B8D797" w14:textId="1B8C6D63" w:rsidR="00284394" w:rsidRDefault="001B3350" w:rsidP="001B3350">
      <w:pPr>
        <w:pStyle w:val="Heading1"/>
        <w:numPr>
          <w:ilvl w:val="0"/>
          <w:numId w:val="0"/>
        </w:numPr>
        <w:tabs>
          <w:tab w:val="left" w:pos="862"/>
        </w:tabs>
        <w:ind w:left="862" w:hanging="862"/>
      </w:pPr>
      <w:r>
        <w:t>[5]</w:t>
      </w:r>
      <w:r>
        <w:tab/>
      </w:r>
      <w:r w:rsidR="008D66A9">
        <w:t xml:space="preserve">It appears from the </w:t>
      </w:r>
      <w:r w:rsidR="00407878">
        <w:t>defendants</w:t>
      </w:r>
      <w:r w:rsidR="008D66A9">
        <w:t xml:space="preserve">’ plea that it is not disputed that Basil Read contracted with the </w:t>
      </w:r>
      <w:r w:rsidR="00407878">
        <w:t>plaintiff</w:t>
      </w:r>
      <w:r w:rsidR="008D66A9">
        <w:t xml:space="preserve"> and hired tippers from it in relation to the </w:t>
      </w:r>
      <w:proofErr w:type="spellStart"/>
      <w:r w:rsidR="008D66A9">
        <w:t>Masina</w:t>
      </w:r>
      <w:proofErr w:type="spellEnd"/>
      <w:r w:rsidR="008D66A9">
        <w:t xml:space="preserve"> Ring Road Project.  The dispute appears to be in relation to the quantum due in that it is conceded that there is an outstanding balance due of R547 056</w:t>
      </w:r>
      <w:proofErr w:type="gramStart"/>
      <w:r w:rsidR="008D66A9">
        <w:t>,30</w:t>
      </w:r>
      <w:proofErr w:type="gramEnd"/>
      <w:r w:rsidR="008D66A9">
        <w:t xml:space="preserve"> but that the balance </w:t>
      </w:r>
      <w:r w:rsidR="00284394">
        <w:t xml:space="preserve">of </w:t>
      </w:r>
      <w:r w:rsidR="008D66A9">
        <w:t>the total sum</w:t>
      </w:r>
      <w:r w:rsidR="00284394">
        <w:t xml:space="preserve"> claimed</w:t>
      </w:r>
      <w:r w:rsidR="008D66A9">
        <w:t xml:space="preserve"> of R994 581,83 is not due.  </w:t>
      </w:r>
      <w:r w:rsidR="00284394">
        <w:t xml:space="preserve">It is furthermore common cause that other than </w:t>
      </w:r>
      <w:proofErr w:type="spellStart"/>
      <w:r w:rsidR="00284394">
        <w:t>Ndoni</w:t>
      </w:r>
      <w:proofErr w:type="spellEnd"/>
      <w:r w:rsidR="00284394">
        <w:t xml:space="preserve">, all of the defendants served on the board of directors of Basil Read. </w:t>
      </w:r>
      <w:r w:rsidR="008D66A9">
        <w:t>It is also common cause that Basil Read has been placed in business rescue</w:t>
      </w:r>
      <w:r w:rsidR="00284394">
        <w:t xml:space="preserve"> on 15 June 2018</w:t>
      </w:r>
      <w:r w:rsidR="008D66A9">
        <w:t xml:space="preserve"> and that the </w:t>
      </w:r>
      <w:r w:rsidR="00407878">
        <w:t>plaintiff</w:t>
      </w:r>
      <w:r w:rsidR="008D66A9">
        <w:t xml:space="preserve"> has lodged a claim in the business rescue process, which claim has been accepted by the business rescue practitioners.  The remaining allegations pertaining to the reckless trading and personal liability of the </w:t>
      </w:r>
      <w:r w:rsidR="00407878">
        <w:t>defendants</w:t>
      </w:r>
      <w:r w:rsidR="008D66A9">
        <w:t xml:space="preserve"> is denied.  </w:t>
      </w:r>
    </w:p>
    <w:p w14:paraId="21F7F2AA" w14:textId="0E84E686" w:rsidR="00C855B4" w:rsidRDefault="001B3350" w:rsidP="001B3350">
      <w:pPr>
        <w:pStyle w:val="Heading1"/>
        <w:numPr>
          <w:ilvl w:val="0"/>
          <w:numId w:val="0"/>
        </w:numPr>
        <w:tabs>
          <w:tab w:val="left" w:pos="862"/>
        </w:tabs>
        <w:ind w:left="862" w:hanging="862"/>
      </w:pPr>
      <w:r>
        <w:t>[6]</w:t>
      </w:r>
      <w:r>
        <w:tab/>
      </w:r>
      <w:r w:rsidR="00407878">
        <w:t xml:space="preserve">The discovery affidavit deposed to by </w:t>
      </w:r>
      <w:proofErr w:type="spellStart"/>
      <w:r w:rsidR="00407878">
        <w:t>Mapasa</w:t>
      </w:r>
      <w:proofErr w:type="spellEnd"/>
      <w:r w:rsidR="00407878">
        <w:rPr>
          <w:rStyle w:val="FootnoteReference"/>
        </w:rPr>
        <w:footnoteReference w:id="2"/>
      </w:r>
      <w:r w:rsidR="00407878">
        <w:t xml:space="preserve"> reflects that </w:t>
      </w:r>
      <w:proofErr w:type="spellStart"/>
      <w:r w:rsidR="00407878">
        <w:t>Mapasa</w:t>
      </w:r>
      <w:proofErr w:type="spellEnd"/>
      <w:r w:rsidR="00A35BB8">
        <w:t xml:space="preserve"> is the CEO of Basil Read which is in business rescue and he furthermore says that he is executing his duties as such at Basil Read’s </w:t>
      </w:r>
      <w:r w:rsidR="004D6885">
        <w:t xml:space="preserve">place of business which is Corporate Office:  Block B, Viscount Office Park, </w:t>
      </w:r>
      <w:proofErr w:type="spellStart"/>
      <w:proofErr w:type="gramStart"/>
      <w:r w:rsidR="004D6885">
        <w:t>Bedfordview</w:t>
      </w:r>
      <w:proofErr w:type="spellEnd"/>
      <w:proofErr w:type="gramEnd"/>
      <w:r w:rsidR="004D6885">
        <w:t xml:space="preserve">, Gauteng. Under oath he records that he is authorised to depose to the affidavit on behalf of all the defendants because he has access to the documents related to this matter.  Notably, no confirmatory affidavits are filed by any of the defendants to confirm that </w:t>
      </w:r>
      <w:proofErr w:type="spellStart"/>
      <w:r w:rsidR="004D6885">
        <w:t>Mapasa</w:t>
      </w:r>
      <w:proofErr w:type="spellEnd"/>
      <w:r w:rsidR="004D6885">
        <w:t xml:space="preserve"> is authorised to depose to the affidavit on their behalf nor their position in relation to the documents to be discovered for trial.  </w:t>
      </w:r>
    </w:p>
    <w:p w14:paraId="37B7AF71" w14:textId="4169AFAA" w:rsidR="00E37DD8" w:rsidRPr="004D6885" w:rsidRDefault="001B3350" w:rsidP="001B3350">
      <w:pPr>
        <w:pStyle w:val="Heading1"/>
        <w:numPr>
          <w:ilvl w:val="0"/>
          <w:numId w:val="0"/>
        </w:numPr>
        <w:tabs>
          <w:tab w:val="left" w:pos="862"/>
        </w:tabs>
        <w:ind w:left="862" w:hanging="862"/>
      </w:pPr>
      <w:r w:rsidRPr="004D6885">
        <w:t>[7]</w:t>
      </w:r>
      <w:r w:rsidRPr="004D6885">
        <w:tab/>
      </w:r>
      <w:r w:rsidR="004D6885">
        <w:t xml:space="preserve">As held in the </w:t>
      </w:r>
      <w:r w:rsidR="004D6885">
        <w:rPr>
          <w:b/>
          <w:bCs/>
          <w:i/>
          <w:iCs/>
        </w:rPr>
        <w:t xml:space="preserve">MV v </w:t>
      </w:r>
      <w:proofErr w:type="spellStart"/>
      <w:r w:rsidR="004D6885">
        <w:rPr>
          <w:b/>
          <w:bCs/>
          <w:i/>
          <w:iCs/>
        </w:rPr>
        <w:t>Urgup</w:t>
      </w:r>
      <w:proofErr w:type="spellEnd"/>
      <w:r w:rsidR="004D6885">
        <w:rPr>
          <w:b/>
          <w:bCs/>
          <w:i/>
          <w:iCs/>
        </w:rPr>
        <w:t xml:space="preserve">:  Owners of the MV </w:t>
      </w:r>
      <w:proofErr w:type="spellStart"/>
      <w:r w:rsidR="004D6885">
        <w:rPr>
          <w:b/>
          <w:bCs/>
          <w:i/>
          <w:iCs/>
        </w:rPr>
        <w:t>Urgup</w:t>
      </w:r>
      <w:proofErr w:type="spellEnd"/>
      <w:r w:rsidR="004D6885">
        <w:rPr>
          <w:b/>
          <w:bCs/>
          <w:i/>
          <w:iCs/>
        </w:rPr>
        <w:t xml:space="preserve"> v Western Bulk </w:t>
      </w:r>
      <w:r w:rsidR="004D6885">
        <w:rPr>
          <w:b/>
          <w:bCs/>
          <w:i/>
          <w:iCs/>
        </w:rPr>
        <w:lastRenderedPageBreak/>
        <w:t>Carriers (Australia) (Pty) Ltd and Others</w:t>
      </w:r>
      <w:r w:rsidR="004D6885" w:rsidRPr="00926FC3">
        <w:t>:</w:t>
      </w:r>
      <w:r w:rsidR="004D6885" w:rsidRPr="00926FC3">
        <w:rPr>
          <w:rStyle w:val="FootnoteReference"/>
        </w:rPr>
        <w:footnoteReference w:id="3"/>
      </w:r>
    </w:p>
    <w:p w14:paraId="3DF9E0E4" w14:textId="24927503" w:rsidR="004D6885" w:rsidRDefault="004D6885" w:rsidP="00926FC3">
      <w:pPr>
        <w:ind w:left="1871" w:hanging="1871"/>
        <w:rPr>
          <w:i/>
          <w:iCs/>
        </w:rPr>
      </w:pPr>
      <w:r>
        <w:tab/>
      </w:r>
      <w:r>
        <w:tab/>
      </w:r>
      <w:r>
        <w:rPr>
          <w:i/>
          <w:iCs/>
        </w:rPr>
        <w:t>“</w:t>
      </w:r>
      <w:r w:rsidRPr="004D6885">
        <w:rPr>
          <w:i/>
          <w:iCs/>
        </w:rPr>
        <w:t>Discovery has been said</w:t>
      </w:r>
      <w:r w:rsidR="00926FC3">
        <w:rPr>
          <w:i/>
          <w:iCs/>
        </w:rPr>
        <w:t xml:space="preserve"> </w:t>
      </w:r>
      <w:r w:rsidRPr="004D6885">
        <w:rPr>
          <w:i/>
          <w:iCs/>
        </w:rPr>
        <w:t>to rank with cross-examination as one of the two mightiest engines for the exposure of the truth</w:t>
      </w:r>
      <w:r w:rsidR="00926FC3">
        <w:rPr>
          <w:i/>
          <w:iCs/>
        </w:rPr>
        <w:t xml:space="preserve"> </w:t>
      </w:r>
      <w:r w:rsidRPr="004D6885">
        <w:rPr>
          <w:i/>
          <w:iCs/>
        </w:rPr>
        <w:t>ever to have been devised in the Anglo-Saxon family of legal systems. Properly employed</w:t>
      </w:r>
      <w:r w:rsidR="00926FC3">
        <w:rPr>
          <w:i/>
          <w:iCs/>
        </w:rPr>
        <w:t xml:space="preserve"> </w:t>
      </w:r>
      <w:r w:rsidRPr="004D6885">
        <w:rPr>
          <w:i/>
          <w:iCs/>
        </w:rPr>
        <w:t>where its use is called</w:t>
      </w:r>
      <w:r w:rsidR="00926FC3">
        <w:rPr>
          <w:i/>
          <w:iCs/>
        </w:rPr>
        <w:t xml:space="preserve"> for</w:t>
      </w:r>
      <w:r w:rsidRPr="004D6885">
        <w:rPr>
          <w:i/>
          <w:iCs/>
        </w:rPr>
        <w:t xml:space="preserve"> it can be, and often is, a devastating tool. But it must not be abused or</w:t>
      </w:r>
      <w:r w:rsidR="00926FC3">
        <w:rPr>
          <w:i/>
          <w:iCs/>
        </w:rPr>
        <w:t xml:space="preserve"> </w:t>
      </w:r>
      <w:r w:rsidRPr="004D6885">
        <w:rPr>
          <w:i/>
          <w:iCs/>
        </w:rPr>
        <w:t>called in aid lightly in situations for which it was not designed</w:t>
      </w:r>
      <w:r w:rsidR="00926FC3">
        <w:rPr>
          <w:i/>
          <w:iCs/>
        </w:rPr>
        <w:t xml:space="preserve"> or </w:t>
      </w:r>
      <w:r w:rsidRPr="004D6885">
        <w:rPr>
          <w:i/>
          <w:iCs/>
        </w:rPr>
        <w:t>it will lose its edge</w:t>
      </w:r>
      <w:r w:rsidR="00926FC3">
        <w:rPr>
          <w:i/>
          <w:iCs/>
        </w:rPr>
        <w:t xml:space="preserve"> </w:t>
      </w:r>
      <w:r w:rsidRPr="004D6885">
        <w:rPr>
          <w:i/>
          <w:iCs/>
        </w:rPr>
        <w:t>and become debased</w:t>
      </w:r>
      <w:r w:rsidR="00926FC3">
        <w:rPr>
          <w:i/>
          <w:iCs/>
        </w:rPr>
        <w:t>.”</w:t>
      </w:r>
    </w:p>
    <w:p w14:paraId="3E0EA25E" w14:textId="08946EC2" w:rsidR="00C855B4" w:rsidRDefault="001B3350" w:rsidP="001B3350">
      <w:pPr>
        <w:pStyle w:val="Heading1"/>
        <w:numPr>
          <w:ilvl w:val="0"/>
          <w:numId w:val="0"/>
        </w:numPr>
        <w:tabs>
          <w:tab w:val="left" w:pos="862"/>
        </w:tabs>
        <w:ind w:left="862" w:hanging="862"/>
      </w:pPr>
      <w:r>
        <w:t>[8]</w:t>
      </w:r>
      <w:r>
        <w:tab/>
      </w:r>
      <w:r w:rsidR="00806985">
        <w:t xml:space="preserve">It is trite, that parties to civil litigation must discover.  It is an established principle of High Court practice that there is an obligation on parties to discover documents </w:t>
      </w:r>
      <w:r w:rsidR="00806985" w:rsidRPr="00806985">
        <w:rPr>
          <w:i/>
          <w:iCs/>
        </w:rPr>
        <w:t>“which may”</w:t>
      </w:r>
      <w:r w:rsidR="00806985">
        <w:t xml:space="preserve">  - not </w:t>
      </w:r>
      <w:r w:rsidR="006B11CE" w:rsidRPr="006B11CE">
        <w:rPr>
          <w:i/>
          <w:iCs/>
        </w:rPr>
        <w:t>“</w:t>
      </w:r>
      <w:r w:rsidR="00806985" w:rsidRPr="006B11CE">
        <w:rPr>
          <w:i/>
          <w:iCs/>
        </w:rPr>
        <w:t>which must</w:t>
      </w:r>
      <w:r w:rsidR="006B11CE" w:rsidRPr="006B11CE">
        <w:rPr>
          <w:i/>
          <w:iCs/>
        </w:rPr>
        <w:t>”</w:t>
      </w:r>
      <w:r w:rsidR="00806985">
        <w:t xml:space="preserve"> – either directly or indirectly enable the party requiring the affidavit of discovery either to advance his own case or to damage the case of his adversary.</w:t>
      </w:r>
    </w:p>
    <w:p w14:paraId="5550E5D4" w14:textId="6CCCD1AB" w:rsidR="00C855B4" w:rsidRDefault="001B3350" w:rsidP="001B3350">
      <w:pPr>
        <w:pStyle w:val="Heading1"/>
        <w:numPr>
          <w:ilvl w:val="0"/>
          <w:numId w:val="0"/>
        </w:numPr>
        <w:tabs>
          <w:tab w:val="left" w:pos="862"/>
        </w:tabs>
        <w:ind w:left="862" w:hanging="862"/>
      </w:pPr>
      <w:r>
        <w:t>[9]</w:t>
      </w:r>
      <w:r>
        <w:tab/>
      </w:r>
      <w:r w:rsidR="00806985">
        <w:t xml:space="preserve">The documents which the fifth respondent is being compelled to discover relate to Basil Read’s business operations namely its bank statements, documentation made available to SARS, documentation relating to the payment of income tax and VAT, how income derived from the hire out of plant and equipment was declared to SARS and treated in its financial records, various tax documentation including IRP5 forms, IT3(a) forms, IT14 forms and supporting schedules, tax documents relating to directors’ remuneration </w:t>
      </w:r>
      <w:r w:rsidR="00806985" w:rsidRPr="00C855B4">
        <w:rPr>
          <w:i/>
        </w:rPr>
        <w:t>inter alia</w:t>
      </w:r>
      <w:r w:rsidR="00806985">
        <w:t>, its share register and certificates.</w:t>
      </w:r>
    </w:p>
    <w:p w14:paraId="42827B2C" w14:textId="44E3A8BA" w:rsidR="00C855B4" w:rsidRDefault="001B3350" w:rsidP="001B3350">
      <w:pPr>
        <w:pStyle w:val="Heading1"/>
        <w:numPr>
          <w:ilvl w:val="0"/>
          <w:numId w:val="0"/>
        </w:numPr>
        <w:tabs>
          <w:tab w:val="left" w:pos="862"/>
        </w:tabs>
        <w:ind w:left="862" w:hanging="862"/>
      </w:pPr>
      <w:r>
        <w:t>[10]</w:t>
      </w:r>
      <w:r>
        <w:tab/>
      </w:r>
      <w:r w:rsidR="00806985">
        <w:t xml:space="preserve">As this documentation was not discovered the plaintiff delivered a Rule 35(3) notice on 28 June 2021 requesting the defendants to produce these documents for inspection.  </w:t>
      </w:r>
    </w:p>
    <w:p w14:paraId="09BA8000" w14:textId="3119C692" w:rsidR="00926FC3" w:rsidRDefault="001B3350" w:rsidP="001B3350">
      <w:pPr>
        <w:pStyle w:val="Heading1"/>
        <w:numPr>
          <w:ilvl w:val="0"/>
          <w:numId w:val="0"/>
        </w:numPr>
        <w:tabs>
          <w:tab w:val="left" w:pos="862"/>
        </w:tabs>
        <w:ind w:left="862" w:hanging="862"/>
      </w:pPr>
      <w:r>
        <w:t>[11]</w:t>
      </w:r>
      <w:r>
        <w:tab/>
      </w:r>
      <w:r w:rsidR="00806985">
        <w:t xml:space="preserve">A </w:t>
      </w:r>
      <w:r w:rsidR="00C855B4">
        <w:t>further affidavit</w:t>
      </w:r>
      <w:r w:rsidR="00806985">
        <w:t xml:space="preserve"> was received but only from </w:t>
      </w:r>
      <w:proofErr w:type="spellStart"/>
      <w:r w:rsidR="00806985">
        <w:t>Mapasa</w:t>
      </w:r>
      <w:proofErr w:type="spellEnd"/>
      <w:r w:rsidR="00806985">
        <w:t>.</w:t>
      </w:r>
      <w:r w:rsidR="00806985">
        <w:rPr>
          <w:rStyle w:val="FootnoteReference"/>
        </w:rPr>
        <w:footnoteReference w:id="4"/>
      </w:r>
      <w:r w:rsidR="006B11CE">
        <w:t xml:space="preserve">  In essence, </w:t>
      </w:r>
      <w:proofErr w:type="spellStart"/>
      <w:r w:rsidR="006B11CE">
        <w:lastRenderedPageBreak/>
        <w:t>Mapasa</w:t>
      </w:r>
      <w:proofErr w:type="spellEnd"/>
      <w:r w:rsidR="006B11CE">
        <w:t xml:space="preserve"> again states that he is duly authorised to depose to the affidavit on behalf of the defendants.  He</w:t>
      </w:r>
      <w:r w:rsidR="00C855B4">
        <w:t xml:space="preserve"> </w:t>
      </w:r>
      <w:r w:rsidR="006B11CE">
        <w:t>refers to the request for bank statements and documentation provided to SARS demonstrating proof of income</w:t>
      </w:r>
      <w:r w:rsidR="00C855B4">
        <w:t>,</w:t>
      </w:r>
      <w:r w:rsidR="00C855B4" w:rsidRPr="00C855B4">
        <w:t xml:space="preserve"> </w:t>
      </w:r>
      <w:r w:rsidR="00C855B4">
        <w:t>says he is not in possession of these documents and</w:t>
      </w:r>
      <w:r w:rsidR="006B11CE">
        <w:t xml:space="preserve"> refers the plaintiff to the business rescue practitioners should the documents exist.  The averment is made that the documents can be subpoenaed from the business rescue practitioners.  </w:t>
      </w:r>
    </w:p>
    <w:p w14:paraId="4926187C" w14:textId="269EB1DA" w:rsidR="006B11CE" w:rsidRDefault="001B3350" w:rsidP="001B3350">
      <w:pPr>
        <w:pStyle w:val="Heading1"/>
        <w:numPr>
          <w:ilvl w:val="0"/>
          <w:numId w:val="0"/>
        </w:numPr>
        <w:tabs>
          <w:tab w:val="left" w:pos="862"/>
        </w:tabs>
        <w:ind w:left="862" w:hanging="862"/>
      </w:pPr>
      <w:r>
        <w:t>[12]</w:t>
      </w:r>
      <w:r>
        <w:tab/>
      </w:r>
      <w:r w:rsidR="006B11CE">
        <w:t>On 15 July 2021</w:t>
      </w:r>
      <w:r w:rsidR="00C855B4">
        <w:t>,</w:t>
      </w:r>
      <w:r w:rsidR="006B11CE">
        <w:t xml:space="preserve"> the plaintiff’s attorney addressed an e-mail to the defendants’ attorney wherein he recorded that the discovery affidavits filed by </w:t>
      </w:r>
      <w:proofErr w:type="spellStart"/>
      <w:r w:rsidR="006B11CE">
        <w:t>Mapasa</w:t>
      </w:r>
      <w:proofErr w:type="spellEnd"/>
      <w:r w:rsidR="006B11CE">
        <w:t xml:space="preserve"> were defective because</w:t>
      </w:r>
      <w:r w:rsidR="00C855B4">
        <w:t xml:space="preserve"> </w:t>
      </w:r>
      <w:proofErr w:type="spellStart"/>
      <w:r w:rsidR="00C855B4">
        <w:t>Mapasa</w:t>
      </w:r>
      <w:proofErr w:type="spellEnd"/>
      <w:r w:rsidR="00C855B4">
        <w:t xml:space="preserve"> could have </w:t>
      </w:r>
      <w:r w:rsidR="006B11CE">
        <w:t xml:space="preserve">no knowledge of the documents that were in the possession of the remaining defendants.  Furthermore, </w:t>
      </w:r>
      <w:r w:rsidR="00C855B4">
        <w:t xml:space="preserve">it recorded that it was not denied by </w:t>
      </w:r>
      <w:proofErr w:type="spellStart"/>
      <w:r w:rsidR="00C855B4">
        <w:t>Mapasa</w:t>
      </w:r>
      <w:proofErr w:type="spellEnd"/>
      <w:r w:rsidR="00C855B4">
        <w:t xml:space="preserve"> that</w:t>
      </w:r>
      <w:r w:rsidR="006B11CE">
        <w:t xml:space="preserve"> the documents requested were in the possession of Basil Read.  A ten-day period was afforded to</w:t>
      </w:r>
      <w:r w:rsidR="00901789">
        <w:t xml:space="preserve"> </w:t>
      </w:r>
      <w:proofErr w:type="spellStart"/>
      <w:r w:rsidR="00901789">
        <w:t>Mapasa</w:t>
      </w:r>
      <w:proofErr w:type="spellEnd"/>
      <w:r w:rsidR="00901789">
        <w:t xml:space="preserve"> to obtain the documents and to all of</w:t>
      </w:r>
      <w:r w:rsidR="00C855B4">
        <w:t xml:space="preserve"> the defendants to</w:t>
      </w:r>
      <w:r w:rsidR="006B11CE">
        <w:t xml:space="preserve"> comply with the demand failing which the current application to compel would be brought.  On 11 August 2021 the defendants’ attorney responded.  In the main his contention was that because </w:t>
      </w:r>
      <w:proofErr w:type="spellStart"/>
      <w:r w:rsidR="006B11CE">
        <w:t>Mapasa</w:t>
      </w:r>
      <w:proofErr w:type="spellEnd"/>
      <w:r w:rsidR="006B11CE">
        <w:t xml:space="preserve"> was authorised to depose to the discovery affidavit it was unnecessary for seven identical discovery affidavits to mulct the proceedings.  As such</w:t>
      </w:r>
      <w:r w:rsidR="00901789">
        <w:t>,</w:t>
      </w:r>
      <w:r w:rsidR="006B11CE">
        <w:t xml:space="preserve"> the defendants would not file separate affidavits.  He affirmed that the documents were in the possession of Basil Read but not in the personal possession of the defendants.  The plaintiff was forewarned that should it proceed with the application an adverse costs order would be sought against it.</w:t>
      </w:r>
    </w:p>
    <w:p w14:paraId="60CD2081" w14:textId="427BE8CC" w:rsidR="006B11CE" w:rsidRDefault="001B3350" w:rsidP="001B3350">
      <w:pPr>
        <w:pStyle w:val="Heading1"/>
        <w:numPr>
          <w:ilvl w:val="0"/>
          <w:numId w:val="0"/>
        </w:numPr>
        <w:tabs>
          <w:tab w:val="left" w:pos="862"/>
        </w:tabs>
        <w:ind w:left="862" w:hanging="862"/>
      </w:pPr>
      <w:r>
        <w:t>[13]</w:t>
      </w:r>
      <w:r>
        <w:tab/>
      </w:r>
      <w:r w:rsidR="006B11CE">
        <w:t>The current application to compel was launched on 18 November 2021</w:t>
      </w:r>
      <w:r w:rsidR="009D24C2">
        <w:t xml:space="preserve">.  The defendants opposed the application and an opposing affidavit was filed by </w:t>
      </w:r>
      <w:proofErr w:type="spellStart"/>
      <w:r w:rsidR="009D24C2">
        <w:t>Mapasa</w:t>
      </w:r>
      <w:proofErr w:type="spellEnd"/>
      <w:r w:rsidR="00901789">
        <w:t>,</w:t>
      </w:r>
      <w:r w:rsidR="009D24C2">
        <w:t xml:space="preserve"> once again authorised by the remaining defendants</w:t>
      </w:r>
      <w:r w:rsidR="00901789">
        <w:t>,</w:t>
      </w:r>
      <w:r w:rsidR="009D24C2">
        <w:t xml:space="preserve"> and which was deposed to by him on </w:t>
      </w:r>
      <w:proofErr w:type="gramStart"/>
      <w:r w:rsidR="009D24C2">
        <w:t>17</w:t>
      </w:r>
      <w:r w:rsidR="00901789">
        <w:rPr>
          <w:vertAlign w:val="superscript"/>
        </w:rPr>
        <w:t xml:space="preserve"> </w:t>
      </w:r>
      <w:r w:rsidR="009D24C2">
        <w:t xml:space="preserve"> December</w:t>
      </w:r>
      <w:proofErr w:type="gramEnd"/>
      <w:r w:rsidR="009D24C2">
        <w:t xml:space="preserve"> 2021.  In the affidavit, it was recorded that the remaining defendants would file confirmatory affidavits to</w:t>
      </w:r>
      <w:r w:rsidR="00901789">
        <w:t xml:space="preserve"> his opposing</w:t>
      </w:r>
      <w:r w:rsidR="009D24C2">
        <w:t xml:space="preserve"> affidavit.  Confirmatory affidavits were delivered</w:t>
      </w:r>
      <w:r w:rsidR="00901789">
        <w:t>,</w:t>
      </w:r>
      <w:r w:rsidR="009D24C2">
        <w:t xml:space="preserve"> on 14 December 2022</w:t>
      </w:r>
      <w:r w:rsidR="00901789">
        <w:t>,</w:t>
      </w:r>
      <w:r w:rsidR="009D24C2">
        <w:t xml:space="preserve"> almost a year later by the remaining defendants </w:t>
      </w:r>
      <w:r w:rsidR="009D24C2">
        <w:lastRenderedPageBreak/>
        <w:t xml:space="preserve">in which they confirmed that they had read the </w:t>
      </w:r>
      <w:r w:rsidR="00901789">
        <w:t>opposing</w:t>
      </w:r>
      <w:r w:rsidR="009D24C2">
        <w:t xml:space="preserve"> affidavit deposed to by </w:t>
      </w:r>
      <w:proofErr w:type="spellStart"/>
      <w:r w:rsidR="009D24C2">
        <w:t>Mapasa</w:t>
      </w:r>
      <w:proofErr w:type="spellEnd"/>
      <w:r w:rsidR="009D24C2">
        <w:t xml:space="preserve"> and that they confirmed the contents thereof insofar as it related to them.  However, no confirmatory affidavits were filed to the affidavit filed by </w:t>
      </w:r>
      <w:proofErr w:type="spellStart"/>
      <w:r w:rsidR="009D24C2">
        <w:t>Mapasa</w:t>
      </w:r>
      <w:proofErr w:type="spellEnd"/>
      <w:r w:rsidR="009D24C2">
        <w:t xml:space="preserve"> in response to the Rule 35(3) request for documents.  In essence, </w:t>
      </w:r>
      <w:proofErr w:type="spellStart"/>
      <w:r w:rsidR="009D24C2">
        <w:t>Mapasa</w:t>
      </w:r>
      <w:proofErr w:type="spellEnd"/>
      <w:r w:rsidR="009D24C2">
        <w:t xml:space="preserve"> stated that there was no objection to the plaintiff gaining access to the requested documents but that the documents were not in their possession and were now in the possession of the business rescue practitioners. </w:t>
      </w:r>
    </w:p>
    <w:p w14:paraId="39F257FD" w14:textId="51CD0D16" w:rsidR="00901789" w:rsidRDefault="001B3350" w:rsidP="001B3350">
      <w:pPr>
        <w:pStyle w:val="Heading1"/>
        <w:numPr>
          <w:ilvl w:val="0"/>
          <w:numId w:val="0"/>
        </w:numPr>
        <w:tabs>
          <w:tab w:val="left" w:pos="862"/>
        </w:tabs>
        <w:ind w:left="862" w:hanging="862"/>
      </w:pPr>
      <w:r>
        <w:t>[14]</w:t>
      </w:r>
      <w:r>
        <w:tab/>
      </w:r>
      <w:r w:rsidR="009D24C2">
        <w:t xml:space="preserve">Although not raised in argument by the defendants’ counsel, the defendants sought to attack the merits of the plaintiff’s claim as formulated.  Wisely, this was not pursued as it is trite that it is not necessary when a Court considers an application to compel discovery to determine whether the requisite </w:t>
      </w:r>
      <w:proofErr w:type="spellStart"/>
      <w:r w:rsidR="009D24C2" w:rsidRPr="000518AC">
        <w:rPr>
          <w:i/>
        </w:rPr>
        <w:t>facta</w:t>
      </w:r>
      <w:proofErr w:type="spellEnd"/>
      <w:r w:rsidR="009D24C2" w:rsidRPr="000518AC">
        <w:rPr>
          <w:i/>
        </w:rPr>
        <w:t xml:space="preserve"> </w:t>
      </w:r>
      <w:proofErr w:type="spellStart"/>
      <w:r w:rsidR="009D24C2" w:rsidRPr="000518AC">
        <w:rPr>
          <w:i/>
        </w:rPr>
        <w:t>probanda</w:t>
      </w:r>
      <w:proofErr w:type="spellEnd"/>
      <w:r w:rsidR="009D24C2">
        <w:t xml:space="preserve"> to sustain a cause of action was pleaded.</w:t>
      </w:r>
      <w:r w:rsidR="00901789">
        <w:t xml:space="preserve"> </w:t>
      </w:r>
      <w:r w:rsidR="009D24C2">
        <w:t>The only issue is to determine whether the documents that are requested are relevant to an issue in question.</w:t>
      </w:r>
      <w:r w:rsidR="009D24C2">
        <w:rPr>
          <w:rStyle w:val="FootnoteReference"/>
        </w:rPr>
        <w:footnoteReference w:id="5"/>
      </w:r>
      <w:r w:rsidR="0048459E">
        <w:t xml:space="preserve"> </w:t>
      </w:r>
    </w:p>
    <w:p w14:paraId="32AAEFCE" w14:textId="07333035" w:rsidR="00E56ABB" w:rsidRDefault="001B3350" w:rsidP="001B3350">
      <w:pPr>
        <w:pStyle w:val="Heading1"/>
        <w:numPr>
          <w:ilvl w:val="0"/>
          <w:numId w:val="0"/>
        </w:numPr>
        <w:tabs>
          <w:tab w:val="left" w:pos="862"/>
        </w:tabs>
        <w:ind w:left="862" w:hanging="862"/>
      </w:pPr>
      <w:r>
        <w:t>[15]</w:t>
      </w:r>
      <w:r>
        <w:tab/>
      </w:r>
      <w:r w:rsidR="0048459E">
        <w:t xml:space="preserve">Defendants’ counsel </w:t>
      </w:r>
      <w:r w:rsidR="00901789">
        <w:t xml:space="preserve">submitted to me </w:t>
      </w:r>
      <w:r w:rsidR="0048459E">
        <w:t xml:space="preserve">that it was unnecessary for each of the defendants to file confirmatory affidavits in confirmation of the Rule 35(3) affidavit filed by </w:t>
      </w:r>
      <w:proofErr w:type="spellStart"/>
      <w:r w:rsidR="0048459E">
        <w:t>Mapasa</w:t>
      </w:r>
      <w:proofErr w:type="spellEnd"/>
      <w:r w:rsidR="0048459E">
        <w:t>.  I do not agree</w:t>
      </w:r>
      <w:r w:rsidR="00901789">
        <w:t>.</w:t>
      </w:r>
      <w:r w:rsidR="0048459E">
        <w:t xml:space="preserve"> Without these affidavits, the allegations made about authority and that documents are not in the remaining defendants’ possession </w:t>
      </w:r>
      <w:r w:rsidR="00901789">
        <w:t xml:space="preserve">constitute </w:t>
      </w:r>
      <w:r w:rsidR="00A06F3D">
        <w:t>inadmissible</w:t>
      </w:r>
      <w:r w:rsidR="0048459E">
        <w:t xml:space="preserve"> hearsay evidence.  The submission went further</w:t>
      </w:r>
      <w:r w:rsidR="00E56ABB">
        <w:t xml:space="preserve">, however.  </w:t>
      </w:r>
      <w:proofErr w:type="gramStart"/>
      <w:r w:rsidR="00E56ABB">
        <w:t>Any  defect</w:t>
      </w:r>
      <w:proofErr w:type="gramEnd"/>
      <w:r w:rsidR="00E56ABB">
        <w:t xml:space="preserve"> was cured because the </w:t>
      </w:r>
      <w:r w:rsidR="00A06F3D">
        <w:t>defendant</w:t>
      </w:r>
      <w:r w:rsidR="00E56ABB">
        <w:t xml:space="preserve"> had affirmed the </w:t>
      </w:r>
      <w:r w:rsidR="00A06F3D">
        <w:t>self-same</w:t>
      </w:r>
      <w:r w:rsidR="00E56ABB">
        <w:t xml:space="preserve"> allegations in the opposing affidavit </w:t>
      </w:r>
      <w:r w:rsidR="0048459E">
        <w:t xml:space="preserve">in </w:t>
      </w:r>
      <w:r w:rsidR="00E56ABB">
        <w:t xml:space="preserve"> their </w:t>
      </w:r>
      <w:r w:rsidR="0048459E">
        <w:t xml:space="preserve">confirmatory affidavits.  </w:t>
      </w:r>
    </w:p>
    <w:p w14:paraId="564AC55B" w14:textId="7AF7959A" w:rsidR="00E56ABB" w:rsidRDefault="001B3350" w:rsidP="001B3350">
      <w:pPr>
        <w:pStyle w:val="Heading1"/>
        <w:numPr>
          <w:ilvl w:val="0"/>
          <w:numId w:val="0"/>
        </w:numPr>
        <w:tabs>
          <w:tab w:val="left" w:pos="862"/>
        </w:tabs>
        <w:ind w:left="862" w:hanging="862"/>
      </w:pPr>
      <w:r>
        <w:t>[16]</w:t>
      </w:r>
      <w:r>
        <w:tab/>
      </w:r>
      <w:r w:rsidR="0048459E">
        <w:t xml:space="preserve">As submitted by the plaintiff’s counsel this is not so.  Cognisance has not been taken </w:t>
      </w:r>
      <w:r w:rsidR="00E56ABB">
        <w:t>of</w:t>
      </w:r>
      <w:r w:rsidR="0048459E">
        <w:t xml:space="preserve"> Rule 35(1) which allows the plaintiff to request any other party thereto, i.e. the remaining seven defendants, to make discovery on oath </w:t>
      </w:r>
      <w:r w:rsidR="0048459E">
        <w:rPr>
          <w:i/>
          <w:iCs/>
        </w:rPr>
        <w:t xml:space="preserve">“relating to any matter in question in such action which are or have </w:t>
      </w:r>
      <w:r w:rsidR="0048459E">
        <w:rPr>
          <w:i/>
          <w:iCs/>
        </w:rPr>
        <w:lastRenderedPageBreak/>
        <w:t>at any time been in the possession or control of such other party”</w:t>
      </w:r>
      <w:r w:rsidR="0048459E">
        <w:t xml:space="preserve">.  It is common cause that the remaining defendants have not made discovery under Rule 35(1). </w:t>
      </w:r>
    </w:p>
    <w:p w14:paraId="57D0E1AD" w14:textId="66FC5FE4" w:rsidR="00294114" w:rsidRDefault="001B3350" w:rsidP="001B3350">
      <w:pPr>
        <w:pStyle w:val="Heading1"/>
        <w:numPr>
          <w:ilvl w:val="0"/>
          <w:numId w:val="0"/>
        </w:numPr>
        <w:tabs>
          <w:tab w:val="left" w:pos="862"/>
        </w:tabs>
        <w:ind w:left="862" w:hanging="862"/>
      </w:pPr>
      <w:r>
        <w:t>[17]</w:t>
      </w:r>
      <w:r>
        <w:tab/>
      </w:r>
      <w:r w:rsidR="0048459E">
        <w:t xml:space="preserve">In </w:t>
      </w:r>
      <w:proofErr w:type="spellStart"/>
      <w:r w:rsidR="0048459E">
        <w:rPr>
          <w:b/>
          <w:bCs/>
          <w:i/>
          <w:iCs/>
        </w:rPr>
        <w:t>Copalcor</w:t>
      </w:r>
      <w:proofErr w:type="spellEnd"/>
      <w:r w:rsidR="0048459E">
        <w:rPr>
          <w:b/>
          <w:bCs/>
          <w:i/>
          <w:iCs/>
        </w:rPr>
        <w:t xml:space="preserve"> Manufacturing (Pty) Ltd and Another v GDC Hauliers (Pty) Ltd (formerly GDC Hauliers CC)</w:t>
      </w:r>
      <w:r w:rsidR="00294114" w:rsidRPr="00294114">
        <w:rPr>
          <w:rStyle w:val="FootnoteReference"/>
        </w:rPr>
        <w:footnoteReference w:id="6"/>
      </w:r>
      <w:r w:rsidR="00294114">
        <w:rPr>
          <w:b/>
          <w:bCs/>
          <w:i/>
          <w:iCs/>
        </w:rPr>
        <w:t xml:space="preserve"> </w:t>
      </w:r>
      <w:proofErr w:type="spellStart"/>
      <w:r w:rsidR="00294114">
        <w:t>Claassen</w:t>
      </w:r>
      <w:proofErr w:type="spellEnd"/>
      <w:r w:rsidR="00294114">
        <w:t xml:space="preserve"> J confirmed:</w:t>
      </w:r>
    </w:p>
    <w:p w14:paraId="49A5BA55" w14:textId="77777777" w:rsidR="00294114" w:rsidRDefault="00294114" w:rsidP="00294114">
      <w:pPr>
        <w:ind w:left="1871" w:hanging="1009"/>
        <w:rPr>
          <w:i/>
          <w:iCs/>
        </w:rPr>
      </w:pPr>
      <w:r>
        <w:rPr>
          <w:i/>
          <w:iCs/>
        </w:rPr>
        <w:t>“[23]</w:t>
      </w:r>
      <w:r>
        <w:rPr>
          <w:i/>
          <w:iCs/>
        </w:rPr>
        <w:tab/>
        <w:t xml:space="preserve">In answering the question whether the plaintiff has properly responded to the aforesaid request for discovery of further documentation, one will have to look at Rule 35(3) in its context with the other Rules of discovery … </w:t>
      </w:r>
    </w:p>
    <w:p w14:paraId="2A1DF2B6" w14:textId="77777777" w:rsidR="003D20CC" w:rsidRDefault="00294114" w:rsidP="00294114">
      <w:pPr>
        <w:ind w:left="1871" w:hanging="1009"/>
        <w:rPr>
          <w:i/>
          <w:iCs/>
        </w:rPr>
      </w:pPr>
      <w:r>
        <w:rPr>
          <w:i/>
          <w:iCs/>
        </w:rPr>
        <w:t>[24]</w:t>
      </w:r>
      <w:r>
        <w:rPr>
          <w:i/>
          <w:iCs/>
        </w:rPr>
        <w:tab/>
        <w:t xml:space="preserve">Rule 35(3) must be read in context with </w:t>
      </w:r>
      <w:proofErr w:type="spellStart"/>
      <w:r>
        <w:rPr>
          <w:i/>
          <w:iCs/>
        </w:rPr>
        <w:t>subrules</w:t>
      </w:r>
      <w:proofErr w:type="spellEnd"/>
      <w:r>
        <w:rPr>
          <w:i/>
          <w:iCs/>
        </w:rPr>
        <w:t xml:space="preserve"> (1), (2), (4) and (6).  Questions such as when a document is under the control of a party referred to in </w:t>
      </w:r>
      <w:proofErr w:type="spellStart"/>
      <w:r>
        <w:rPr>
          <w:i/>
          <w:iCs/>
        </w:rPr>
        <w:t>subrule</w:t>
      </w:r>
      <w:proofErr w:type="spellEnd"/>
      <w:r>
        <w:rPr>
          <w:i/>
          <w:iCs/>
        </w:rPr>
        <w:t xml:space="preserve"> (1) … are in my view, </w:t>
      </w:r>
      <w:r w:rsidRPr="00294114">
        <w:rPr>
          <w:i/>
          <w:iCs/>
        </w:rPr>
        <w:t>mutatis mutandis</w:t>
      </w:r>
      <w:r>
        <w:rPr>
          <w:i/>
          <w:iCs/>
        </w:rPr>
        <w:t xml:space="preserve"> applicable to discovery pursuant to a Rule 35(3) notice.  These general principles of discovery are therefore as applicable to the discovery pursuant to </w:t>
      </w:r>
      <w:r w:rsidR="003D20CC">
        <w:rPr>
          <w:i/>
          <w:iCs/>
        </w:rPr>
        <w:t>a notice in terms of Rule 35(3) as they are pursuant to a notice for discovery under Rule 35(1).”</w:t>
      </w:r>
    </w:p>
    <w:p w14:paraId="6BB114A7" w14:textId="00B626D5" w:rsidR="009D24C2" w:rsidRDefault="001B3350" w:rsidP="001B3350">
      <w:pPr>
        <w:pStyle w:val="Heading1"/>
        <w:numPr>
          <w:ilvl w:val="0"/>
          <w:numId w:val="0"/>
        </w:numPr>
        <w:tabs>
          <w:tab w:val="left" w:pos="862"/>
        </w:tabs>
        <w:ind w:left="862" w:hanging="862"/>
      </w:pPr>
      <w:r>
        <w:t>[18]</w:t>
      </w:r>
      <w:r>
        <w:tab/>
      </w:r>
      <w:r w:rsidR="003D20CC">
        <w:t>Importantly, the remaining defendants have not discovered at all and they are obliged to do so in terms of the provisions of Rule 35(1). Even if they have filed confirmatory affidavits to this application they have not complied with Rule 35(1) and until such time as they do so the provisions of Rule 35(3) cannot be triggered in relation to them.  In any event, no confirmatory affidavits</w:t>
      </w:r>
      <w:r w:rsidR="00E56ABB">
        <w:t xml:space="preserve"> exist</w:t>
      </w:r>
      <w:r w:rsidR="003D20CC">
        <w:t xml:space="preserve"> to the Rule 35(1) notice</w:t>
      </w:r>
      <w:r w:rsidR="00E56ABB">
        <w:t>. Also,</w:t>
      </w:r>
      <w:r w:rsidR="003D20CC">
        <w:t xml:space="preserve"> </w:t>
      </w:r>
      <w:proofErr w:type="spellStart"/>
      <w:r w:rsidR="003D20CC">
        <w:t>Mapasa</w:t>
      </w:r>
      <w:proofErr w:type="spellEnd"/>
      <w:r w:rsidR="003D20CC">
        <w:t xml:space="preserve"> </w:t>
      </w:r>
      <w:r w:rsidR="00E56ABB">
        <w:t>pertinently</w:t>
      </w:r>
      <w:r w:rsidR="003D20CC">
        <w:t xml:space="preserve"> says that he is deposing to the affidavit on behalf of the remaining defendants because </w:t>
      </w:r>
      <w:r w:rsidR="003D20CC">
        <w:rPr>
          <w:i/>
          <w:iCs/>
        </w:rPr>
        <w:t>“I had access to the documents related to the abovementioned matter”</w:t>
      </w:r>
      <w:r w:rsidR="003D20CC">
        <w:t>.</w:t>
      </w:r>
      <w:r w:rsidR="003D20CC">
        <w:rPr>
          <w:rStyle w:val="FootnoteReference"/>
        </w:rPr>
        <w:footnoteReference w:id="7"/>
      </w:r>
      <w:r w:rsidR="003D20CC">
        <w:t xml:space="preserve">  The problem for the plaintiff is that in so </w:t>
      </w:r>
      <w:r w:rsidR="003D20CC">
        <w:lastRenderedPageBreak/>
        <w:t xml:space="preserve">doing his affidavit only refers to the documents which he has in his possession or under his control.  Nowhere in that affidavit, do the remaining defendants stipulate as they are required to do in terms of Rule 35(1) the documents </w:t>
      </w:r>
      <w:r w:rsidR="003D20CC">
        <w:rPr>
          <w:i/>
          <w:iCs/>
        </w:rPr>
        <w:t xml:space="preserve">“which are or have at any time been in </w:t>
      </w:r>
      <w:proofErr w:type="gramStart"/>
      <w:r w:rsidR="003D20CC">
        <w:rPr>
          <w:i/>
          <w:iCs/>
        </w:rPr>
        <w:t>the</w:t>
      </w:r>
      <w:r w:rsidR="00E56ABB">
        <w:rPr>
          <w:i/>
          <w:iCs/>
        </w:rPr>
        <w:t>[</w:t>
      </w:r>
      <w:proofErr w:type="spellStart"/>
      <w:proofErr w:type="gramEnd"/>
      <w:r w:rsidR="00E56ABB">
        <w:rPr>
          <w:i/>
          <w:iCs/>
        </w:rPr>
        <w:t>ir</w:t>
      </w:r>
      <w:proofErr w:type="spellEnd"/>
      <w:r w:rsidR="00E56ABB">
        <w:rPr>
          <w:i/>
          <w:iCs/>
        </w:rPr>
        <w:t>]</w:t>
      </w:r>
      <w:r w:rsidR="003D20CC">
        <w:rPr>
          <w:i/>
          <w:iCs/>
        </w:rPr>
        <w:t xml:space="preserve"> possession or control”</w:t>
      </w:r>
      <w:r w:rsidR="003D20CC">
        <w:t>.  As such, there clearly has been no compliance with Rule 35(1) and an order compelling them to comply in their personal capacity is sound.  The su</w:t>
      </w:r>
      <w:r w:rsidR="00E56ABB">
        <w:t>bmission</w:t>
      </w:r>
      <w:r w:rsidR="003D20CC">
        <w:t xml:space="preserve"> that doing so would simply mulct the proceedings in unnecessary affidavits does not hold water.</w:t>
      </w:r>
    </w:p>
    <w:p w14:paraId="171199CB" w14:textId="595DDB62" w:rsidR="00E56ABB" w:rsidRDefault="001B3350" w:rsidP="001B3350">
      <w:pPr>
        <w:pStyle w:val="Heading1"/>
        <w:numPr>
          <w:ilvl w:val="0"/>
          <w:numId w:val="0"/>
        </w:numPr>
        <w:tabs>
          <w:tab w:val="left" w:pos="862"/>
        </w:tabs>
        <w:ind w:left="862" w:hanging="862"/>
      </w:pPr>
      <w:r>
        <w:t>[19]</w:t>
      </w:r>
      <w:r>
        <w:tab/>
      </w:r>
      <w:r w:rsidR="003D20CC">
        <w:t>The real thrust of the defendants’ opposition to the Rule 35(3)</w:t>
      </w:r>
      <w:r w:rsidR="00E56ABB">
        <w:t xml:space="preserve"> notice</w:t>
      </w:r>
      <w:r w:rsidR="003D20CC">
        <w:t xml:space="preserve"> </w:t>
      </w:r>
      <w:r w:rsidR="00E56ABB">
        <w:t>i</w:t>
      </w:r>
      <w:r w:rsidR="003D20CC">
        <w:t xml:space="preserve">s that the documents which are requested belong to Basil Read which is not a party to the action and under Rule 35(3), </w:t>
      </w:r>
      <w:proofErr w:type="spellStart"/>
      <w:r w:rsidR="003D20CC">
        <w:t>Mapasa</w:t>
      </w:r>
      <w:proofErr w:type="spellEnd"/>
      <w:r w:rsidR="003D20CC">
        <w:t xml:space="preserve"> has stated that the documents can be obtained from the business rescue practitioners.  As submitted</w:t>
      </w:r>
      <w:r w:rsidR="00E56ABB">
        <w:t xml:space="preserve">, </w:t>
      </w:r>
      <w:r w:rsidR="003D20CC">
        <w:t xml:space="preserve">the focus </w:t>
      </w:r>
      <w:r w:rsidR="00E56ABB">
        <w:t xml:space="preserve">is </w:t>
      </w:r>
      <w:r w:rsidR="003D20CC">
        <w:t xml:space="preserve">on the word </w:t>
      </w:r>
      <w:r w:rsidR="003D20CC">
        <w:rPr>
          <w:i/>
          <w:iCs/>
        </w:rPr>
        <w:t>“possession”</w:t>
      </w:r>
      <w:r w:rsidR="003D20CC">
        <w:t xml:space="preserve">.  In other words, </w:t>
      </w:r>
      <w:r w:rsidR="004D7EB1">
        <w:t xml:space="preserve">if the defendants are not in personal possession of the documents, they are not obliged to provide same to the plaintiff.  </w:t>
      </w:r>
    </w:p>
    <w:p w14:paraId="154E1413" w14:textId="5656C203" w:rsidR="00B63A10" w:rsidRDefault="001B3350" w:rsidP="001B3350">
      <w:pPr>
        <w:pStyle w:val="Heading1"/>
        <w:numPr>
          <w:ilvl w:val="0"/>
          <w:numId w:val="0"/>
        </w:numPr>
        <w:tabs>
          <w:tab w:val="left" w:pos="862"/>
        </w:tabs>
        <w:ind w:left="862" w:hanging="862"/>
      </w:pPr>
      <w:r>
        <w:t>[20]</w:t>
      </w:r>
      <w:r>
        <w:tab/>
      </w:r>
      <w:r w:rsidR="004D7EB1">
        <w:t xml:space="preserve">As set out by Du </w:t>
      </w:r>
      <w:proofErr w:type="spellStart"/>
      <w:r w:rsidR="004D7EB1">
        <w:t>Toit</w:t>
      </w:r>
      <w:proofErr w:type="spellEnd"/>
      <w:r w:rsidR="004D7EB1">
        <w:t xml:space="preserve"> AJ in </w:t>
      </w:r>
      <w:proofErr w:type="spellStart"/>
      <w:r w:rsidR="004D7EB1">
        <w:rPr>
          <w:b/>
          <w:bCs/>
          <w:i/>
          <w:iCs/>
        </w:rPr>
        <w:t>Loureiro</w:t>
      </w:r>
      <w:proofErr w:type="spellEnd"/>
      <w:r w:rsidR="004D7EB1">
        <w:rPr>
          <w:b/>
          <w:bCs/>
          <w:i/>
          <w:iCs/>
        </w:rPr>
        <w:t xml:space="preserve"> L and Three Others v </w:t>
      </w:r>
      <w:proofErr w:type="spellStart"/>
      <w:r w:rsidR="004D7EB1">
        <w:rPr>
          <w:b/>
          <w:bCs/>
          <w:i/>
          <w:iCs/>
        </w:rPr>
        <w:t>Imvula</w:t>
      </w:r>
      <w:proofErr w:type="spellEnd"/>
      <w:r w:rsidR="004D7EB1">
        <w:rPr>
          <w:b/>
          <w:bCs/>
          <w:i/>
          <w:iCs/>
        </w:rPr>
        <w:t xml:space="preserve"> Quality Protection (Pty)</w:t>
      </w:r>
      <w:r w:rsidR="004D7EB1" w:rsidRPr="004D7EB1">
        <w:rPr>
          <w:rStyle w:val="FootnoteReference"/>
        </w:rPr>
        <w:footnoteReference w:id="8"/>
      </w:r>
      <w:r w:rsidR="004D7EB1" w:rsidRPr="004D7EB1">
        <w:t xml:space="preserve"> </w:t>
      </w:r>
      <w:r w:rsidR="004D7EB1">
        <w:t xml:space="preserve">personal </w:t>
      </w:r>
      <w:r w:rsidR="004D7EB1" w:rsidRPr="004D7EB1">
        <w:t>possession</w:t>
      </w:r>
      <w:r w:rsidR="004D7EB1">
        <w:t xml:space="preserve"> alone is not what the Rule requires.</w:t>
      </w:r>
      <w:r w:rsidR="00B63A10">
        <w:t xml:space="preserve">  In fact:</w:t>
      </w:r>
    </w:p>
    <w:p w14:paraId="02B1F524" w14:textId="77777777" w:rsidR="00B63A10" w:rsidRDefault="00B63A10" w:rsidP="00B63A10">
      <w:pPr>
        <w:ind w:left="1871" w:hanging="1009"/>
        <w:rPr>
          <w:i/>
          <w:iCs/>
        </w:rPr>
      </w:pPr>
      <w:r>
        <w:rPr>
          <w:i/>
          <w:iCs/>
        </w:rPr>
        <w:t>“</w:t>
      </w:r>
      <w:r w:rsidRPr="00B63A10">
        <w:rPr>
          <w:i/>
          <w:iCs/>
        </w:rPr>
        <w:t xml:space="preserve">[61] </w:t>
      </w:r>
      <w:r>
        <w:rPr>
          <w:i/>
          <w:iCs/>
        </w:rPr>
        <w:tab/>
      </w:r>
      <w:r w:rsidRPr="00B63A10">
        <w:rPr>
          <w:i/>
          <w:iCs/>
        </w:rPr>
        <w:t>The words “control”</w:t>
      </w:r>
      <w:proofErr w:type="gramStart"/>
      <w:r w:rsidRPr="00B63A10">
        <w:rPr>
          <w:i/>
          <w:iCs/>
        </w:rPr>
        <w:t>,  “</w:t>
      </w:r>
      <w:proofErr w:type="gramEnd"/>
      <w:r w:rsidRPr="00B63A10">
        <w:rPr>
          <w:i/>
          <w:iCs/>
        </w:rPr>
        <w:t>possession”,  “power” and “custody”, occur in the various subsections of Rule 35 and in the related Form 11.  The first two words occur in Rule 35(1), while only “possession” appears in Rule 35(2</w:t>
      </w:r>
      <w:proofErr w:type="gramStart"/>
      <w:r w:rsidRPr="00B63A10">
        <w:rPr>
          <w:i/>
          <w:iCs/>
        </w:rPr>
        <w:t>)(</w:t>
      </w:r>
      <w:proofErr w:type="gramEnd"/>
      <w:r w:rsidRPr="00B63A10">
        <w:rPr>
          <w:i/>
          <w:iCs/>
        </w:rPr>
        <w:t>a) and 35(3).  The words “power” and “custody” appear in Form 11, in addition to “possession”.</w:t>
      </w:r>
    </w:p>
    <w:p w14:paraId="20938E83" w14:textId="77777777" w:rsidR="00B63A10" w:rsidRDefault="00B63A10" w:rsidP="00B63A10">
      <w:pPr>
        <w:ind w:left="1871" w:hanging="1009"/>
        <w:rPr>
          <w:i/>
          <w:iCs/>
        </w:rPr>
      </w:pPr>
      <w:r>
        <w:rPr>
          <w:i/>
          <w:iCs/>
        </w:rPr>
        <w:t>[62]</w:t>
      </w:r>
      <w:r>
        <w:rPr>
          <w:i/>
          <w:iCs/>
        </w:rPr>
        <w:tab/>
      </w:r>
      <w:r w:rsidRPr="00B63A10">
        <w:rPr>
          <w:i/>
          <w:iCs/>
        </w:rPr>
        <w:t xml:space="preserve">Form 11 requires a litigant to state on oath the documents he has in his “possession or power”. He is further required to specify what documents were, but are no longer, in his </w:t>
      </w:r>
      <w:r w:rsidRPr="00B63A10">
        <w:rPr>
          <w:i/>
          <w:iCs/>
        </w:rPr>
        <w:lastRenderedPageBreak/>
        <w:t>“possession or power”.  He is further required to state that he does not have in his “possession, custody or power” or that of his attorney or agent or any other person on his behalf, any document other than the documents disclosed.</w:t>
      </w:r>
    </w:p>
    <w:p w14:paraId="4922550E" w14:textId="77777777" w:rsidR="00B63A10" w:rsidRDefault="00B63A10" w:rsidP="00B63A10">
      <w:pPr>
        <w:ind w:left="1871" w:hanging="1009"/>
        <w:rPr>
          <w:i/>
          <w:iCs/>
        </w:rPr>
      </w:pPr>
      <w:r>
        <w:rPr>
          <w:i/>
          <w:iCs/>
        </w:rPr>
        <w:t>[63]</w:t>
      </w:r>
      <w:r>
        <w:rPr>
          <w:i/>
          <w:iCs/>
        </w:rPr>
        <w:tab/>
      </w:r>
      <w:r w:rsidRPr="00B63A10">
        <w:rPr>
          <w:i/>
          <w:iCs/>
        </w:rPr>
        <w:t xml:space="preserve">The words “control” and “power” have a wide connotation.  “Control” obviously means something different to “possession”.  “Power” suggests an even wider scope than “control”.  “Control” includes the function or power of directing.  “Power” includes the ability to effect something.  See also the discussion of “control” and “power” by Coetzee J. in The </w:t>
      </w:r>
      <w:proofErr w:type="spellStart"/>
      <w:r w:rsidRPr="00B63A10">
        <w:rPr>
          <w:i/>
          <w:iCs/>
        </w:rPr>
        <w:t>Unisec</w:t>
      </w:r>
      <w:proofErr w:type="spellEnd"/>
      <w:r w:rsidRPr="00B63A10">
        <w:rPr>
          <w:i/>
          <w:iCs/>
        </w:rPr>
        <w:t xml:space="preserve"> Group Ltd and Others v Sage Holdings Ltd 1986 (3) SA 259 (T), especially at 274I and Brits Investment (Pty) Ltd v Commissioner for Inland Revenue 1938 CPD 146 at 151, regarding “potential control”.</w:t>
      </w:r>
    </w:p>
    <w:p w14:paraId="6FB66507" w14:textId="77777777" w:rsidR="00407BBF" w:rsidRDefault="00B63A10" w:rsidP="00B63A10">
      <w:pPr>
        <w:ind w:left="1871" w:hanging="1009"/>
        <w:rPr>
          <w:i/>
          <w:iCs/>
        </w:rPr>
      </w:pPr>
      <w:r>
        <w:rPr>
          <w:i/>
          <w:iCs/>
        </w:rPr>
        <w:t>[64]</w:t>
      </w:r>
      <w:r>
        <w:rPr>
          <w:i/>
          <w:iCs/>
        </w:rPr>
        <w:tab/>
      </w:r>
      <w:r w:rsidRPr="00B63A10">
        <w:rPr>
          <w:i/>
          <w:iCs/>
        </w:rPr>
        <w:t xml:space="preserve">The plaintiffs submit that “possession” and “control” have a meaning something which is more than “mere detention”.  There had to be, it is argued, sufficient power or authority over the document to render the document discoverable in the hands </w:t>
      </w:r>
      <w:r>
        <w:rPr>
          <w:i/>
          <w:iCs/>
        </w:rPr>
        <w:t xml:space="preserve">of </w:t>
      </w:r>
      <w:r w:rsidRPr="00B63A10">
        <w:rPr>
          <w:i/>
          <w:iCs/>
        </w:rPr>
        <w:t xml:space="preserve">the party which holds it or has it under his power.  Plaintiffs rely on the judgment of Goldstein J reported as MIP Holdings (Pty) Ltd v Dawkins [2003] JOL 12373 (W).  In that matter Goldstein J relied on a dictum of </w:t>
      </w:r>
      <w:proofErr w:type="spellStart"/>
      <w:r w:rsidRPr="00B63A10">
        <w:rPr>
          <w:i/>
          <w:iCs/>
        </w:rPr>
        <w:t>Diemont</w:t>
      </w:r>
      <w:proofErr w:type="spellEnd"/>
      <w:r w:rsidRPr="00B63A10">
        <w:rPr>
          <w:i/>
          <w:iCs/>
        </w:rPr>
        <w:t xml:space="preserve"> J in R v </w:t>
      </w:r>
      <w:proofErr w:type="spellStart"/>
      <w:r w:rsidRPr="00B63A10">
        <w:rPr>
          <w:i/>
          <w:iCs/>
        </w:rPr>
        <w:t>Seeiso</w:t>
      </w:r>
      <w:proofErr w:type="spellEnd"/>
      <w:r w:rsidRPr="00B63A10">
        <w:rPr>
          <w:i/>
          <w:iCs/>
        </w:rPr>
        <w:t xml:space="preserve"> 1958 (2) SA 231 (GW) at 233G-H.  That matter related to the interpretation of a particular statute regulating </w:t>
      </w:r>
      <w:proofErr w:type="spellStart"/>
      <w:r w:rsidRPr="00B63A10">
        <w:rPr>
          <w:i/>
          <w:iCs/>
        </w:rPr>
        <w:t>furtum</w:t>
      </w:r>
      <w:proofErr w:type="spellEnd"/>
      <w:r w:rsidRPr="00B63A10">
        <w:rPr>
          <w:i/>
          <w:iCs/>
        </w:rPr>
        <w:t xml:space="preserve"> </w:t>
      </w:r>
      <w:proofErr w:type="spellStart"/>
      <w:r w:rsidRPr="00B63A10">
        <w:rPr>
          <w:i/>
          <w:iCs/>
        </w:rPr>
        <w:t>usus</w:t>
      </w:r>
      <w:proofErr w:type="spellEnd"/>
      <w:r w:rsidRPr="00B63A10">
        <w:rPr>
          <w:i/>
          <w:iCs/>
        </w:rPr>
        <w:t xml:space="preserve"> and is perhaps not useful here.</w:t>
      </w:r>
    </w:p>
    <w:p w14:paraId="00873C9B" w14:textId="77777777" w:rsidR="00407BBF" w:rsidRDefault="00407BBF" w:rsidP="00B63A10">
      <w:pPr>
        <w:ind w:left="1871" w:hanging="1009"/>
        <w:rPr>
          <w:i/>
          <w:iCs/>
        </w:rPr>
      </w:pPr>
      <w:r>
        <w:rPr>
          <w:i/>
          <w:iCs/>
        </w:rPr>
        <w:t>[65]</w:t>
      </w:r>
      <w:r>
        <w:rPr>
          <w:i/>
          <w:iCs/>
        </w:rPr>
        <w:tab/>
      </w:r>
      <w:r w:rsidRPr="00407BBF">
        <w:rPr>
          <w:i/>
          <w:iCs/>
        </w:rPr>
        <w:t xml:space="preserve">In further support of their argument, plaintiffs referred to a recent decision in the Free State High Court namely G.G. </w:t>
      </w:r>
      <w:proofErr w:type="spellStart"/>
      <w:r w:rsidRPr="00407BBF">
        <w:rPr>
          <w:i/>
          <w:iCs/>
        </w:rPr>
        <w:t>Ramakarane</w:t>
      </w:r>
      <w:proofErr w:type="spellEnd"/>
      <w:r w:rsidRPr="00407BBF">
        <w:rPr>
          <w:i/>
          <w:iCs/>
        </w:rPr>
        <w:t xml:space="preserve"> </w:t>
      </w:r>
      <w:proofErr w:type="gramStart"/>
      <w:r w:rsidRPr="00407BBF">
        <w:rPr>
          <w:i/>
          <w:iCs/>
        </w:rPr>
        <w:t xml:space="preserve">v  </w:t>
      </w:r>
      <w:proofErr w:type="spellStart"/>
      <w:r w:rsidRPr="00407BBF">
        <w:rPr>
          <w:i/>
          <w:iCs/>
        </w:rPr>
        <w:t>Centlec</w:t>
      </w:r>
      <w:proofErr w:type="spellEnd"/>
      <w:proofErr w:type="gramEnd"/>
      <w:r w:rsidRPr="00407BBF">
        <w:rPr>
          <w:i/>
          <w:iCs/>
        </w:rPr>
        <w:t xml:space="preserve"> (Pty) Ltd  (4907/2006) [2016] ZAFSHC.  In that matter </w:t>
      </w:r>
      <w:proofErr w:type="spellStart"/>
      <w:r w:rsidRPr="00407BBF">
        <w:rPr>
          <w:i/>
          <w:iCs/>
        </w:rPr>
        <w:t>Pienaar</w:t>
      </w:r>
      <w:proofErr w:type="spellEnd"/>
      <w:r w:rsidRPr="00407BBF">
        <w:rPr>
          <w:i/>
          <w:iCs/>
        </w:rPr>
        <w:t xml:space="preserve"> A.J. held that a litigant not in possession of income tax assessments could not be obliged under Rule 35(3) to procure them.  He referred to </w:t>
      </w:r>
      <w:proofErr w:type="spellStart"/>
      <w:r w:rsidRPr="00407BBF">
        <w:rPr>
          <w:i/>
          <w:iCs/>
        </w:rPr>
        <w:t>Tooch</w:t>
      </w:r>
      <w:proofErr w:type="spellEnd"/>
      <w:r w:rsidRPr="00407BBF">
        <w:rPr>
          <w:i/>
          <w:iCs/>
        </w:rPr>
        <w:t xml:space="preserve"> v Greenaway 1922 CPD 331.  There </w:t>
      </w:r>
      <w:proofErr w:type="spellStart"/>
      <w:r w:rsidRPr="00407BBF">
        <w:rPr>
          <w:i/>
          <w:iCs/>
        </w:rPr>
        <w:lastRenderedPageBreak/>
        <w:t>Watermeyer</w:t>
      </w:r>
      <w:proofErr w:type="spellEnd"/>
      <w:r w:rsidRPr="00407BBF">
        <w:rPr>
          <w:i/>
          <w:iCs/>
        </w:rPr>
        <w:t xml:space="preserve"> A.J. refused to issue an order authorising the Receiver of Revenue, Cape Town, to allow a party's attorney “to inspect and make copies” of the other party's income tax return.  </w:t>
      </w:r>
      <w:proofErr w:type="spellStart"/>
      <w:r w:rsidRPr="00407BBF">
        <w:rPr>
          <w:i/>
          <w:iCs/>
        </w:rPr>
        <w:t>Pienaar</w:t>
      </w:r>
      <w:proofErr w:type="spellEnd"/>
      <w:r w:rsidRPr="00407BBF">
        <w:rPr>
          <w:i/>
          <w:iCs/>
        </w:rPr>
        <w:t xml:space="preserve"> A.J. found, in effect, that a document with SARS to which a litigant had access, was not in that litigant's “possession”.</w:t>
      </w:r>
    </w:p>
    <w:p w14:paraId="7006D55A" w14:textId="77777777" w:rsidR="00407BBF" w:rsidRDefault="00407BBF" w:rsidP="00B63A10">
      <w:pPr>
        <w:ind w:left="1871" w:hanging="1009"/>
        <w:rPr>
          <w:i/>
          <w:iCs/>
        </w:rPr>
      </w:pPr>
      <w:r>
        <w:rPr>
          <w:i/>
          <w:iCs/>
        </w:rPr>
        <w:t>[66]</w:t>
      </w:r>
      <w:r>
        <w:rPr>
          <w:i/>
          <w:iCs/>
        </w:rPr>
        <w:tab/>
      </w:r>
      <w:r w:rsidRPr="00407BBF">
        <w:rPr>
          <w:i/>
          <w:iCs/>
        </w:rPr>
        <w:t>Section 34 of the Constitution provides that “everyone has the right to have any dispute that can be resolved by the application of law decided in a fair public hearing before a court ....”  I would like to stress the word “fair”.</w:t>
      </w:r>
    </w:p>
    <w:p w14:paraId="15153E26" w14:textId="77777777" w:rsidR="00407BBF" w:rsidRDefault="00407BBF" w:rsidP="00B63A10">
      <w:pPr>
        <w:ind w:left="1871" w:hanging="1009"/>
        <w:rPr>
          <w:i/>
          <w:iCs/>
        </w:rPr>
      </w:pPr>
      <w:r>
        <w:rPr>
          <w:i/>
          <w:iCs/>
        </w:rPr>
        <w:t>[67]</w:t>
      </w:r>
      <w:r>
        <w:rPr>
          <w:i/>
          <w:iCs/>
        </w:rPr>
        <w:tab/>
      </w:r>
      <w:r w:rsidRPr="00407BBF">
        <w:rPr>
          <w:i/>
          <w:iCs/>
        </w:rPr>
        <w:t>Section 173 of the Constitution provides that High Courts have the “inherent power to protect and regulate their own process, and to develop the common law, taking into account the interests of justice”.  I have underlined the words regarding the development of the common law, as, in my view, rule 35 is based on the common law.</w:t>
      </w:r>
    </w:p>
    <w:p w14:paraId="1FA53A37" w14:textId="77777777" w:rsidR="00407BBF" w:rsidRDefault="00407BBF" w:rsidP="00B63A10">
      <w:pPr>
        <w:ind w:left="1871" w:hanging="1009"/>
        <w:rPr>
          <w:i/>
          <w:iCs/>
        </w:rPr>
      </w:pPr>
      <w:r>
        <w:rPr>
          <w:i/>
          <w:iCs/>
        </w:rPr>
        <w:t>[68]</w:t>
      </w:r>
      <w:r>
        <w:rPr>
          <w:i/>
          <w:iCs/>
        </w:rPr>
        <w:tab/>
      </w:r>
      <w:r w:rsidRPr="00407BBF">
        <w:rPr>
          <w:i/>
          <w:iCs/>
        </w:rPr>
        <w:t>Section 69 of the Tax Administration Act 28 of 2011 deals with the secrecy of taxpayer information.  Taxpayer information is in terms of s 67(1</w:t>
      </w:r>
      <w:proofErr w:type="gramStart"/>
      <w:r w:rsidRPr="00407BBF">
        <w:rPr>
          <w:i/>
          <w:iCs/>
        </w:rPr>
        <w:t>)(</w:t>
      </w:r>
      <w:proofErr w:type="gramEnd"/>
      <w:r w:rsidRPr="00407BBF">
        <w:rPr>
          <w:i/>
          <w:iCs/>
        </w:rPr>
        <w:t>b) “any information provided by a taxpayer or obtained by SARS in respect of the taxpayer, including biometric information”. That clearly includes a tax return and a tax assessment.</w:t>
      </w:r>
      <w:r>
        <w:rPr>
          <w:i/>
          <w:iCs/>
        </w:rPr>
        <w:t xml:space="preserve"> </w:t>
      </w:r>
    </w:p>
    <w:p w14:paraId="2A6AF5E4" w14:textId="77777777" w:rsidR="00407BBF" w:rsidRDefault="00407BBF" w:rsidP="00B63A10">
      <w:pPr>
        <w:ind w:left="1871" w:hanging="1009"/>
        <w:rPr>
          <w:i/>
          <w:iCs/>
        </w:rPr>
      </w:pPr>
      <w:r>
        <w:rPr>
          <w:i/>
          <w:iCs/>
        </w:rPr>
        <w:t>…</w:t>
      </w:r>
    </w:p>
    <w:p w14:paraId="5992AA38" w14:textId="77777777" w:rsidR="00407BBF" w:rsidRDefault="00407BBF" w:rsidP="00B63A10">
      <w:pPr>
        <w:ind w:left="1871" w:hanging="1009"/>
        <w:rPr>
          <w:i/>
          <w:iCs/>
        </w:rPr>
      </w:pPr>
      <w:r>
        <w:rPr>
          <w:i/>
          <w:iCs/>
        </w:rPr>
        <w:t>[73]</w:t>
      </w:r>
      <w:r>
        <w:rPr>
          <w:i/>
          <w:iCs/>
        </w:rPr>
        <w:tab/>
      </w:r>
      <w:r w:rsidRPr="00407BBF">
        <w:rPr>
          <w:i/>
          <w:iCs/>
        </w:rPr>
        <w:t>A taxpayer can thus require his taxpayer information from SARS.  Such a taxpayer can also authorise the taxpayer's information to be made available to someone else.  This lies within his “power”.  Section 73 quoted above establishes the taxpayer's entitlement.</w:t>
      </w:r>
    </w:p>
    <w:p w14:paraId="361736A8" w14:textId="77777777" w:rsidR="00407BBF" w:rsidRDefault="00407BBF" w:rsidP="00B63A10">
      <w:pPr>
        <w:ind w:left="1871" w:hanging="1009"/>
        <w:rPr>
          <w:i/>
          <w:iCs/>
        </w:rPr>
      </w:pPr>
      <w:r>
        <w:rPr>
          <w:i/>
          <w:iCs/>
        </w:rPr>
        <w:lastRenderedPageBreak/>
        <w:t>…</w:t>
      </w:r>
    </w:p>
    <w:p w14:paraId="47A551BC" w14:textId="77777777" w:rsidR="00407BBF" w:rsidRDefault="00407BBF" w:rsidP="00B63A10">
      <w:pPr>
        <w:ind w:left="1871" w:hanging="1009"/>
        <w:rPr>
          <w:i/>
          <w:iCs/>
        </w:rPr>
      </w:pPr>
      <w:r>
        <w:rPr>
          <w:i/>
          <w:iCs/>
        </w:rPr>
        <w:t>[75]</w:t>
      </w:r>
      <w:r>
        <w:rPr>
          <w:i/>
          <w:iCs/>
        </w:rPr>
        <w:tab/>
      </w:r>
      <w:r w:rsidRPr="00407BBF">
        <w:rPr>
          <w:i/>
          <w:iCs/>
        </w:rPr>
        <w:t>A “fair” trial means that parties to litigation should enjoy level playing fields.  This includes disclosure of all information that is relevant to the matter.</w:t>
      </w:r>
    </w:p>
    <w:p w14:paraId="65A33C88" w14:textId="77777777" w:rsidR="00407BBF" w:rsidRDefault="00407BBF" w:rsidP="00B63A10">
      <w:pPr>
        <w:ind w:left="1871" w:hanging="1009"/>
        <w:rPr>
          <w:i/>
          <w:iCs/>
        </w:rPr>
      </w:pPr>
      <w:r>
        <w:rPr>
          <w:i/>
          <w:iCs/>
        </w:rPr>
        <w:t>…</w:t>
      </w:r>
    </w:p>
    <w:p w14:paraId="25EE1390" w14:textId="77777777" w:rsidR="0089156D" w:rsidRDefault="00407BBF" w:rsidP="00B63A10">
      <w:pPr>
        <w:ind w:left="1871" w:hanging="1009"/>
        <w:rPr>
          <w:i/>
          <w:iCs/>
        </w:rPr>
      </w:pPr>
      <w:r>
        <w:rPr>
          <w:i/>
          <w:iCs/>
        </w:rPr>
        <w:t>[77]</w:t>
      </w:r>
      <w:r>
        <w:rPr>
          <w:i/>
          <w:iCs/>
        </w:rPr>
        <w:tab/>
      </w:r>
      <w:r w:rsidR="0089156D" w:rsidRPr="0089156D">
        <w:rPr>
          <w:i/>
          <w:iCs/>
        </w:rPr>
        <w:t xml:space="preserve">Plaintiffs principally argue that rule 35(3) refers only to documents in a party's possession.  SARS cannot be said to be </w:t>
      </w:r>
      <w:proofErr w:type="spellStart"/>
      <w:r w:rsidR="0089156D" w:rsidRPr="0089156D">
        <w:rPr>
          <w:i/>
          <w:iCs/>
        </w:rPr>
        <w:t>Mr.</w:t>
      </w:r>
      <w:proofErr w:type="spellEnd"/>
      <w:r w:rsidR="0089156D" w:rsidRPr="0089156D">
        <w:rPr>
          <w:i/>
          <w:iCs/>
        </w:rPr>
        <w:t xml:space="preserve"> </w:t>
      </w:r>
      <w:proofErr w:type="spellStart"/>
      <w:r w:rsidR="0089156D" w:rsidRPr="0089156D">
        <w:rPr>
          <w:i/>
          <w:iCs/>
        </w:rPr>
        <w:t>Loureiro</w:t>
      </w:r>
      <w:r w:rsidR="0089156D">
        <w:rPr>
          <w:i/>
          <w:iCs/>
        </w:rPr>
        <w:t>’</w:t>
      </w:r>
      <w:r w:rsidR="0089156D" w:rsidRPr="0089156D">
        <w:rPr>
          <w:i/>
          <w:iCs/>
        </w:rPr>
        <w:t>s</w:t>
      </w:r>
      <w:proofErr w:type="spellEnd"/>
      <w:r w:rsidR="0089156D" w:rsidRPr="0089156D">
        <w:rPr>
          <w:i/>
          <w:iCs/>
        </w:rPr>
        <w:t xml:space="preserve"> agent.  I believe that this is too narrow an approach to rule 35 and Form 11.  In my view the rule must be read as a whole. </w:t>
      </w:r>
      <w:proofErr w:type="spellStart"/>
      <w:r w:rsidR="0089156D" w:rsidRPr="0089156D">
        <w:rPr>
          <w:i/>
          <w:iCs/>
        </w:rPr>
        <w:t>Cf</w:t>
      </w:r>
      <w:proofErr w:type="spellEnd"/>
      <w:r w:rsidR="0089156D" w:rsidRPr="0089156D">
        <w:rPr>
          <w:i/>
          <w:iCs/>
        </w:rPr>
        <w:t xml:space="preserve"> </w:t>
      </w:r>
      <w:proofErr w:type="spellStart"/>
      <w:r w:rsidR="0089156D" w:rsidRPr="0089156D">
        <w:rPr>
          <w:i/>
          <w:iCs/>
        </w:rPr>
        <w:t>Copalcor</w:t>
      </w:r>
      <w:proofErr w:type="spellEnd"/>
      <w:r w:rsidR="0089156D" w:rsidRPr="0089156D">
        <w:rPr>
          <w:i/>
          <w:iCs/>
        </w:rPr>
        <w:t xml:space="preserve"> Manufacturing (Pty) Ltd and Another v GDC Hauliers (Pty) Ltd (formerly GDC Hauliers CC) 2000 (3) SA 181 (W).  Secondly, the general considerations I have referred to above regarding fairness are overlooked by such literalism.</w:t>
      </w:r>
    </w:p>
    <w:p w14:paraId="01015BEE" w14:textId="77777777" w:rsidR="0089156D" w:rsidRPr="0089156D" w:rsidRDefault="0089156D" w:rsidP="0089156D">
      <w:pPr>
        <w:ind w:left="1871" w:hanging="1009"/>
        <w:rPr>
          <w:i/>
          <w:iCs/>
        </w:rPr>
      </w:pPr>
      <w:r>
        <w:rPr>
          <w:i/>
          <w:iCs/>
        </w:rPr>
        <w:t>[78]</w:t>
      </w:r>
      <w:r>
        <w:rPr>
          <w:i/>
          <w:iCs/>
        </w:rPr>
        <w:tab/>
      </w:r>
      <w:r w:rsidRPr="0089156D">
        <w:rPr>
          <w:i/>
          <w:iCs/>
        </w:rPr>
        <w:t xml:space="preserve">As far back as 1866 an English judge rejected a discovery affidavit by directors of a bank who said they did not have documents in their “possession or power", other than what the bank had.  Page Wood V.C. commented: </w:t>
      </w:r>
    </w:p>
    <w:p w14:paraId="735383C1" w14:textId="40DFA2CD" w:rsidR="00407BBF" w:rsidRDefault="0089156D" w:rsidP="0089156D">
      <w:pPr>
        <w:ind w:left="1871" w:hanging="1009"/>
        <w:rPr>
          <w:i/>
          <w:iCs/>
        </w:rPr>
      </w:pPr>
      <w:r>
        <w:rPr>
          <w:i/>
          <w:iCs/>
        </w:rPr>
        <w:tab/>
      </w:r>
      <w:r w:rsidRPr="0089156D">
        <w:rPr>
          <w:i/>
          <w:iCs/>
        </w:rPr>
        <w:t xml:space="preserve">“.... </w:t>
      </w:r>
      <w:proofErr w:type="gramStart"/>
      <w:r w:rsidRPr="0089156D">
        <w:rPr>
          <w:i/>
          <w:iCs/>
        </w:rPr>
        <w:t>these</w:t>
      </w:r>
      <w:proofErr w:type="gramEnd"/>
      <w:r w:rsidRPr="0089156D">
        <w:rPr>
          <w:i/>
          <w:iCs/>
        </w:rPr>
        <w:t xml:space="preserve"> documents, though in substance they may be the property of the bank, are in the possession or power of the directors, who are the only persons who can give an order for their production.”</w:t>
      </w:r>
      <w:r w:rsidR="00B63A10">
        <w:rPr>
          <w:i/>
          <w:iCs/>
        </w:rPr>
        <w:t>”</w:t>
      </w:r>
    </w:p>
    <w:p w14:paraId="02ECC956" w14:textId="566AB2B6" w:rsidR="00EB1D67" w:rsidRDefault="001B3350" w:rsidP="001B3350">
      <w:pPr>
        <w:pStyle w:val="Heading1"/>
        <w:numPr>
          <w:ilvl w:val="0"/>
          <w:numId w:val="0"/>
        </w:numPr>
        <w:tabs>
          <w:tab w:val="left" w:pos="862"/>
        </w:tabs>
        <w:ind w:left="862" w:hanging="862"/>
      </w:pPr>
      <w:r>
        <w:t>[21]</w:t>
      </w:r>
      <w:r>
        <w:tab/>
      </w:r>
      <w:r w:rsidR="0089156D">
        <w:t>The submissions made that this Court cannot disregard the cases referred to a</w:t>
      </w:r>
      <w:r w:rsidR="00EB1D67">
        <w:t>nd</w:t>
      </w:r>
      <w:r w:rsidR="0089156D">
        <w:t xml:space="preserve"> quoted in paragraph [65] of the </w:t>
      </w:r>
      <w:proofErr w:type="spellStart"/>
      <w:r w:rsidR="0089156D">
        <w:rPr>
          <w:b/>
          <w:bCs/>
          <w:i/>
          <w:iCs/>
        </w:rPr>
        <w:t>Loureiro</w:t>
      </w:r>
      <w:proofErr w:type="spellEnd"/>
      <w:r w:rsidR="0089156D">
        <w:rPr>
          <w:b/>
          <w:bCs/>
          <w:i/>
          <w:iCs/>
        </w:rPr>
        <w:t xml:space="preserve"> </w:t>
      </w:r>
      <w:r w:rsidR="0089156D">
        <w:t xml:space="preserve">judgment is clearly wrong.  </w:t>
      </w:r>
      <w:r w:rsidR="00EB1D67">
        <w:t>B</w:t>
      </w:r>
      <w:r w:rsidR="0089156D">
        <w:t>oth of these judgments are not of this division</w:t>
      </w:r>
      <w:r w:rsidR="00EB1D67">
        <w:t xml:space="preserve">, and are persuasive. </w:t>
      </w:r>
      <w:r w:rsidR="0089156D">
        <w:t>Judgments in this division are binding and this Court</w:t>
      </w:r>
      <w:r w:rsidR="00EB1D67">
        <w:t>,</w:t>
      </w:r>
      <w:r w:rsidR="0089156D">
        <w:t xml:space="preserve"> unless it is of the view that the judgment</w:t>
      </w:r>
      <w:r w:rsidR="00EB1D67">
        <w:t>s are</w:t>
      </w:r>
      <w:r w:rsidR="0089156D">
        <w:t xml:space="preserve"> clearly wrong</w:t>
      </w:r>
      <w:r w:rsidR="00EB1D67">
        <w:t>,</w:t>
      </w:r>
      <w:r w:rsidR="0089156D">
        <w:t xml:space="preserve"> must apply these judgments.</w:t>
      </w:r>
    </w:p>
    <w:p w14:paraId="3B0CEEA0" w14:textId="2785E338" w:rsidR="00EB1D67" w:rsidRDefault="001B3350" w:rsidP="001B3350">
      <w:pPr>
        <w:pStyle w:val="Heading1"/>
        <w:numPr>
          <w:ilvl w:val="0"/>
          <w:numId w:val="0"/>
        </w:numPr>
        <w:tabs>
          <w:tab w:val="left" w:pos="862"/>
        </w:tabs>
        <w:ind w:left="862" w:hanging="862"/>
      </w:pPr>
      <w:r>
        <w:lastRenderedPageBreak/>
        <w:t>[22]</w:t>
      </w:r>
      <w:r>
        <w:tab/>
      </w:r>
      <w:r w:rsidR="0089156D">
        <w:t>I</w:t>
      </w:r>
      <w:r w:rsidR="00EB1D67">
        <w:t>,</w:t>
      </w:r>
      <w:r w:rsidR="0089156D">
        <w:t xml:space="preserve"> accordingly,</w:t>
      </w:r>
      <w:r w:rsidR="00EB1D67">
        <w:t xml:space="preserve"> </w:t>
      </w:r>
      <w:r w:rsidR="001E24C1">
        <w:t>find that the bank statements and/or the tax documents must be obtained</w:t>
      </w:r>
      <w:r w:rsidR="00EB1D67">
        <w:t xml:space="preserve"> from</w:t>
      </w:r>
      <w:r w:rsidR="001E24C1">
        <w:t xml:space="preserve"> the relevant bank</w:t>
      </w:r>
      <w:r w:rsidR="00EB1D67">
        <w:t xml:space="preserve">, and SARS </w:t>
      </w:r>
      <w:r w:rsidR="001E24C1">
        <w:t xml:space="preserve">because these documents are clearly within the control of </w:t>
      </w:r>
      <w:proofErr w:type="spellStart"/>
      <w:r w:rsidR="001E24C1">
        <w:t>Mapasa</w:t>
      </w:r>
      <w:proofErr w:type="spellEnd"/>
      <w:r w:rsidR="001E24C1">
        <w:t>.</w:t>
      </w:r>
    </w:p>
    <w:p w14:paraId="5D81DCF2" w14:textId="0EA33DC8" w:rsidR="00EB1D67" w:rsidRDefault="001B3350" w:rsidP="001B3350">
      <w:pPr>
        <w:pStyle w:val="Heading1"/>
        <w:numPr>
          <w:ilvl w:val="0"/>
          <w:numId w:val="0"/>
        </w:numPr>
        <w:tabs>
          <w:tab w:val="left" w:pos="862"/>
        </w:tabs>
        <w:ind w:left="862" w:hanging="862"/>
      </w:pPr>
      <w:r>
        <w:t>[23]</w:t>
      </w:r>
      <w:r>
        <w:tab/>
      </w:r>
      <w:r w:rsidR="001E24C1">
        <w:t>To the extent that submissions were made about the non-executive directors, these submissions can be disregarded in the sense that relief is not sought against them in relation to the Rule 35(3) notice.</w:t>
      </w:r>
    </w:p>
    <w:p w14:paraId="35D3E50C" w14:textId="64CC59F0" w:rsidR="001E24C1" w:rsidRDefault="001B3350" w:rsidP="001B3350">
      <w:pPr>
        <w:pStyle w:val="Heading1"/>
        <w:numPr>
          <w:ilvl w:val="0"/>
          <w:numId w:val="0"/>
        </w:numPr>
        <w:tabs>
          <w:tab w:val="left" w:pos="862"/>
        </w:tabs>
        <w:ind w:left="862" w:hanging="862"/>
      </w:pPr>
      <w:r>
        <w:t>[24]</w:t>
      </w:r>
      <w:r>
        <w:tab/>
      </w:r>
      <w:proofErr w:type="spellStart"/>
      <w:r w:rsidR="001E24C1">
        <w:t>Mapasa</w:t>
      </w:r>
      <w:proofErr w:type="spellEnd"/>
      <w:r w:rsidR="00EB1D67">
        <w:t xml:space="preserve">, </w:t>
      </w:r>
      <w:r w:rsidR="001E24C1">
        <w:t>in his capacity as the Chief Executive Officer of Basil Read</w:t>
      </w:r>
      <w:r w:rsidR="00EB1D67">
        <w:t>,</w:t>
      </w:r>
      <w:r w:rsidR="001E24C1">
        <w:t xml:space="preserve"> does have control of these documents more importantly as:</w:t>
      </w:r>
    </w:p>
    <w:p w14:paraId="5598873E" w14:textId="1A9F1A9B" w:rsidR="001E24C1" w:rsidRDefault="001B3350" w:rsidP="001B3350">
      <w:pPr>
        <w:pStyle w:val="Heading2"/>
        <w:numPr>
          <w:ilvl w:val="0"/>
          <w:numId w:val="0"/>
        </w:numPr>
        <w:tabs>
          <w:tab w:val="left" w:pos="1871"/>
        </w:tabs>
        <w:ind w:left="1871" w:hanging="1009"/>
      </w:pPr>
      <w:r>
        <w:t>[24.1]</w:t>
      </w:r>
      <w:r>
        <w:tab/>
      </w:r>
      <w:r w:rsidR="001E24C1">
        <w:t>he</w:t>
      </w:r>
      <w:r w:rsidR="00120AEF">
        <w:t xml:space="preserve"> asserts that </w:t>
      </w:r>
      <w:r w:rsidR="001E24C1">
        <w:t>is the Chief Executive Officer of Basil Read and that he is exercising his duties at its place of business;</w:t>
      </w:r>
    </w:p>
    <w:p w14:paraId="43A2D79D" w14:textId="3F577E8F" w:rsidR="001E24C1" w:rsidRDefault="001B3350" w:rsidP="001B3350">
      <w:pPr>
        <w:pStyle w:val="Heading2"/>
        <w:numPr>
          <w:ilvl w:val="0"/>
          <w:numId w:val="0"/>
        </w:numPr>
        <w:tabs>
          <w:tab w:val="left" w:pos="1871"/>
        </w:tabs>
        <w:ind w:left="1871" w:hanging="1009"/>
      </w:pPr>
      <w:r>
        <w:t>[24.2]</w:t>
      </w:r>
      <w:r>
        <w:tab/>
      </w:r>
      <w:r w:rsidR="001E24C1">
        <w:t xml:space="preserve">he </w:t>
      </w:r>
      <w:r w:rsidR="00120AEF">
        <w:t xml:space="preserve">asserts </w:t>
      </w:r>
      <w:proofErr w:type="gramStart"/>
      <w:r w:rsidR="00120AEF">
        <w:t>that  he</w:t>
      </w:r>
      <w:proofErr w:type="gramEnd"/>
      <w:r w:rsidR="00120AEF">
        <w:t xml:space="preserve"> </w:t>
      </w:r>
      <w:r w:rsidR="001E24C1">
        <w:t>has access to these documents;</w:t>
      </w:r>
    </w:p>
    <w:p w14:paraId="4B7F76D0" w14:textId="0F3A017B" w:rsidR="001E24C1" w:rsidRPr="00120AEF" w:rsidRDefault="001B3350" w:rsidP="001B3350">
      <w:pPr>
        <w:pStyle w:val="Heading2"/>
        <w:numPr>
          <w:ilvl w:val="0"/>
          <w:numId w:val="0"/>
        </w:numPr>
        <w:tabs>
          <w:tab w:val="left" w:pos="1871"/>
        </w:tabs>
        <w:ind w:left="1871" w:hanging="1009"/>
      </w:pPr>
      <w:r w:rsidRPr="00120AEF">
        <w:t>[24.3]</w:t>
      </w:r>
      <w:r w:rsidRPr="00120AEF">
        <w:tab/>
      </w:r>
      <w:r w:rsidR="001E24C1">
        <w:t xml:space="preserve">although baldly denied, the business rescue plan </w:t>
      </w:r>
      <w:r w:rsidR="000F04D0">
        <w:t>(</w:t>
      </w:r>
      <w:r w:rsidR="000F04D0">
        <w:rPr>
          <w:bCs/>
        </w:rPr>
        <w:t>definitions</w:t>
      </w:r>
      <w:r w:rsidR="00EB1D67">
        <w:rPr>
          <w:bCs/>
        </w:rPr>
        <w:t xml:space="preserve"> section</w:t>
      </w:r>
      <w:r w:rsidR="000F04D0">
        <w:rPr>
          <w:bCs/>
        </w:rPr>
        <w:t>)</w:t>
      </w:r>
      <w:r w:rsidR="000F04D0">
        <w:rPr>
          <w:rStyle w:val="FootnoteReference"/>
        </w:rPr>
        <w:footnoteReference w:id="9"/>
      </w:r>
      <w:r w:rsidR="000F04D0">
        <w:rPr>
          <w:bCs/>
        </w:rPr>
        <w:t xml:space="preserve"> </w:t>
      </w:r>
      <w:r w:rsidR="00EB1D67">
        <w:rPr>
          <w:bCs/>
        </w:rPr>
        <w:t xml:space="preserve"> refers to </w:t>
      </w:r>
      <w:r w:rsidR="000F04D0">
        <w:rPr>
          <w:bCs/>
        </w:rPr>
        <w:t xml:space="preserve">the first to fifth defendants and </w:t>
      </w:r>
      <w:proofErr w:type="spellStart"/>
      <w:r w:rsidR="000F04D0">
        <w:rPr>
          <w:bCs/>
        </w:rPr>
        <w:t>Ndoni</w:t>
      </w:r>
      <w:proofErr w:type="spellEnd"/>
      <w:r w:rsidR="000F04D0">
        <w:rPr>
          <w:bCs/>
        </w:rPr>
        <w:t>, the Company Secretary</w:t>
      </w:r>
      <w:r w:rsidR="00EB1D67">
        <w:rPr>
          <w:bCs/>
        </w:rPr>
        <w:t>, who</w:t>
      </w:r>
      <w:r w:rsidR="000F04D0">
        <w:rPr>
          <w:bCs/>
        </w:rPr>
        <w:t xml:space="preserve"> are to continue with the management and control</w:t>
      </w:r>
      <w:r w:rsidR="00EB1D67">
        <w:rPr>
          <w:bCs/>
        </w:rPr>
        <w:t xml:space="preserve"> of Basil Read having been </w:t>
      </w:r>
      <w:r w:rsidR="000F04D0">
        <w:rPr>
          <w:bCs/>
        </w:rPr>
        <w:t>delegated certain functions.</w:t>
      </w:r>
    </w:p>
    <w:p w14:paraId="25983E0A" w14:textId="77777777" w:rsidR="00120AEF" w:rsidRDefault="00120AEF" w:rsidP="00120AEF">
      <w:pPr>
        <w:pStyle w:val="Heading2"/>
        <w:numPr>
          <w:ilvl w:val="0"/>
          <w:numId w:val="0"/>
        </w:numPr>
        <w:ind w:left="862"/>
      </w:pPr>
    </w:p>
    <w:p w14:paraId="6E636418" w14:textId="393DB448" w:rsidR="001E24C1" w:rsidRDefault="001B3350" w:rsidP="001B3350">
      <w:pPr>
        <w:pStyle w:val="Heading1"/>
        <w:numPr>
          <w:ilvl w:val="0"/>
          <w:numId w:val="0"/>
        </w:numPr>
        <w:tabs>
          <w:tab w:val="left" w:pos="862"/>
        </w:tabs>
        <w:ind w:left="862" w:hanging="862"/>
      </w:pPr>
      <w:r>
        <w:t>[25]</w:t>
      </w:r>
      <w:r>
        <w:tab/>
      </w:r>
      <w:r w:rsidR="000F04D0">
        <w:t xml:space="preserve">  In this regard, I was also </w:t>
      </w:r>
      <w:r w:rsidR="00EB1D67">
        <w:t xml:space="preserve">provided </w:t>
      </w:r>
      <w:r w:rsidR="000F04D0">
        <w:t xml:space="preserve">with a </w:t>
      </w:r>
      <w:r w:rsidR="00EB1D67">
        <w:t>judgement</w:t>
      </w:r>
      <w:r w:rsidR="000F04D0">
        <w:t xml:space="preserve"> involving the same plaintiff and plaintiff’s counsel </w:t>
      </w:r>
      <w:r w:rsidR="000F04D0">
        <w:rPr>
          <w:b/>
          <w:bCs/>
          <w:i/>
          <w:iCs/>
        </w:rPr>
        <w:t xml:space="preserve">Alf’s Tippers CC v Martha Susanna </w:t>
      </w:r>
      <w:proofErr w:type="spellStart"/>
      <w:r w:rsidR="000F04D0">
        <w:rPr>
          <w:b/>
          <w:bCs/>
          <w:i/>
          <w:iCs/>
        </w:rPr>
        <w:t>Steyn</w:t>
      </w:r>
      <w:proofErr w:type="spellEnd"/>
      <w:r w:rsidR="000F04D0" w:rsidRPr="000F04D0">
        <w:rPr>
          <w:rStyle w:val="FootnoteReference"/>
        </w:rPr>
        <w:footnoteReference w:id="10"/>
      </w:r>
      <w:r w:rsidR="000F04D0">
        <w:t xml:space="preserve"> by </w:t>
      </w:r>
      <w:proofErr w:type="spellStart"/>
      <w:r w:rsidR="000F04D0">
        <w:t>Twala</w:t>
      </w:r>
      <w:proofErr w:type="spellEnd"/>
      <w:r w:rsidR="000F04D0">
        <w:t xml:space="preserve"> J. </w:t>
      </w:r>
      <w:r w:rsidR="00EB1D67">
        <w:t xml:space="preserve"> T</w:t>
      </w:r>
      <w:r w:rsidR="000F04D0">
        <w:t xml:space="preserve">he plaintiff here too sought to compel discovery of documents in terms of Rules 35(1) and (3) which documents in the main corresponded with the documents sought in this application.  Notably, the </w:t>
      </w:r>
      <w:r w:rsidR="000F04D0">
        <w:lastRenderedPageBreak/>
        <w:t xml:space="preserve">learned Judge also refused to give a narrow interpretation to the word </w:t>
      </w:r>
      <w:r w:rsidR="000F04D0">
        <w:rPr>
          <w:i/>
          <w:iCs/>
        </w:rPr>
        <w:t>“possession”</w:t>
      </w:r>
      <w:r w:rsidR="000F04D0">
        <w:t xml:space="preserve"> and held as follows:</w:t>
      </w:r>
      <w:r w:rsidR="000F04D0">
        <w:rPr>
          <w:rStyle w:val="FootnoteReference"/>
        </w:rPr>
        <w:footnoteReference w:id="11"/>
      </w:r>
    </w:p>
    <w:p w14:paraId="6BC6DA7E" w14:textId="07AF838F" w:rsidR="0061629E" w:rsidRDefault="0061629E" w:rsidP="0061629E">
      <w:pPr>
        <w:ind w:left="1871" w:hanging="1009"/>
        <w:rPr>
          <w:i/>
          <w:iCs/>
        </w:rPr>
      </w:pPr>
      <w:r>
        <w:rPr>
          <w:i/>
          <w:iCs/>
        </w:rPr>
        <w:t>“[14]</w:t>
      </w:r>
      <w:r>
        <w:rPr>
          <w:i/>
          <w:iCs/>
        </w:rPr>
        <w:tab/>
      </w:r>
      <w:r w:rsidRPr="0061629E">
        <w:rPr>
          <w:i/>
          <w:iCs/>
        </w:rPr>
        <w:t>It does not assist the respondent to ascribe a narrow interpretation to rule 35 and make the operative word to be ‘possession’. The plain interpretation of rule 35 is that the person who had the power and control over and or possessed the documents, should comply with the request under the rule. In terms of her fiduciary duties as the sole director of MSR</w:t>
      </w:r>
      <w:r>
        <w:rPr>
          <w:i/>
          <w:iCs/>
        </w:rPr>
        <w:t>,</w:t>
      </w:r>
      <w:r w:rsidRPr="0061629E">
        <w:rPr>
          <w:i/>
          <w:iCs/>
        </w:rPr>
        <w:t xml:space="preserve"> the respondent had the power and control over and possessed the documents as specified in the notice of motion and should comply with the rule. The answer provided by the respondent that the documents belonged to a separate entity is correct. However, the answer is inadequate since the separate entity was under the power and control of the respondent and she owed a fiduciary duty to keep its records.</w:t>
      </w:r>
      <w:r>
        <w:rPr>
          <w:i/>
          <w:iCs/>
        </w:rPr>
        <w:t>”</w:t>
      </w:r>
    </w:p>
    <w:p w14:paraId="257BE9B6" w14:textId="37404FAF" w:rsidR="00EB1D67" w:rsidRDefault="001B3350" w:rsidP="001B3350">
      <w:pPr>
        <w:pStyle w:val="Heading1"/>
        <w:numPr>
          <w:ilvl w:val="0"/>
          <w:numId w:val="0"/>
        </w:numPr>
        <w:tabs>
          <w:tab w:val="left" w:pos="862"/>
        </w:tabs>
        <w:ind w:left="862" w:hanging="862"/>
      </w:pPr>
      <w:r>
        <w:t>[26]</w:t>
      </w:r>
      <w:r>
        <w:tab/>
      </w:r>
      <w:r w:rsidR="0061629E">
        <w:t>In this matter, the defendant sought to allege that the documents were in the possession of the company and not</w:t>
      </w:r>
      <w:r w:rsidR="00EB1D67">
        <w:t xml:space="preserve"> the sole director</w:t>
      </w:r>
      <w:r w:rsidR="0061629E">
        <w:t xml:space="preserve">. </w:t>
      </w:r>
      <w:r w:rsidR="00EB1D67">
        <w:t xml:space="preserve"> Yet</w:t>
      </w:r>
      <w:r w:rsidR="0061629E">
        <w:t xml:space="preserve">, </w:t>
      </w:r>
      <w:proofErr w:type="spellStart"/>
      <w:r w:rsidR="0061629E">
        <w:t>Twala</w:t>
      </w:r>
      <w:proofErr w:type="spellEnd"/>
      <w:r w:rsidR="0061629E">
        <w:t xml:space="preserve"> J gave the order for the documentation to be discovered.  </w:t>
      </w:r>
    </w:p>
    <w:p w14:paraId="4890FB3A" w14:textId="40091390" w:rsidR="00AC04D2" w:rsidRDefault="001B3350" w:rsidP="001B3350">
      <w:pPr>
        <w:pStyle w:val="Heading1"/>
        <w:numPr>
          <w:ilvl w:val="0"/>
          <w:numId w:val="0"/>
        </w:numPr>
        <w:tabs>
          <w:tab w:val="left" w:pos="862"/>
        </w:tabs>
        <w:ind w:left="862" w:hanging="862"/>
      </w:pPr>
      <w:r>
        <w:t>[27]</w:t>
      </w:r>
      <w:r>
        <w:tab/>
      </w:r>
      <w:r w:rsidR="0061629E">
        <w:t>I disagree with the submission by the defendants’ counsel that this matter is distinguishable</w:t>
      </w:r>
      <w:r w:rsidR="00EB1D67">
        <w:t xml:space="preserve"> from the present case</w:t>
      </w:r>
      <w:r w:rsidR="0061629E">
        <w:t xml:space="preserve"> because there was a sole director and because she shared the premises</w:t>
      </w:r>
      <w:r w:rsidR="00AC04D2">
        <w:t xml:space="preserve"> with MSR</w:t>
      </w:r>
      <w:r w:rsidR="0061629E">
        <w:t xml:space="preserve">.  There is no suggestion that Mr </w:t>
      </w:r>
      <w:proofErr w:type="spellStart"/>
      <w:r w:rsidR="0061629E">
        <w:t>Mapasa</w:t>
      </w:r>
      <w:proofErr w:type="spellEnd"/>
      <w:r w:rsidR="0061629E">
        <w:t xml:space="preserve"> is no longer employed and does not have access to the documents. </w:t>
      </w:r>
      <w:r w:rsidR="00AC04D2">
        <w:t>T</w:t>
      </w:r>
      <w:r w:rsidR="0061629E">
        <w:t xml:space="preserve">o the contrary.  </w:t>
      </w:r>
      <w:r w:rsidR="00AC04D2">
        <w:t>Further</w:t>
      </w:r>
      <w:r w:rsidR="0061629E">
        <w:t>,</w:t>
      </w:r>
      <w:r w:rsidR="00AC04D2">
        <w:t xml:space="preserve"> the defendant’s counsel also submitted </w:t>
      </w:r>
      <w:r w:rsidR="0061629E">
        <w:t xml:space="preserve">that </w:t>
      </w:r>
      <w:r w:rsidR="00AC04D2">
        <w:t xml:space="preserve">because </w:t>
      </w:r>
      <w:r w:rsidR="0061629E">
        <w:t xml:space="preserve">the plaintiff knows that the business rescue practitioner has the share register it should go to the business rescue practitioner and request the documents.  This begs the question why </w:t>
      </w:r>
      <w:proofErr w:type="spellStart"/>
      <w:r w:rsidR="0061629E">
        <w:t>Mapasa</w:t>
      </w:r>
      <w:proofErr w:type="spellEnd"/>
      <w:r w:rsidR="0061629E">
        <w:t xml:space="preserve"> cannot go to the business rescue practitioner and get the documents as he is obliged to do in terms of the Rules.</w:t>
      </w:r>
      <w:r w:rsidR="00AC04D2">
        <w:t xml:space="preserve"> Not only is he </w:t>
      </w:r>
      <w:proofErr w:type="gramStart"/>
      <w:r w:rsidR="00AC04D2">
        <w:t xml:space="preserve">in </w:t>
      </w:r>
      <w:r w:rsidR="0061629E">
        <w:t xml:space="preserve"> </w:t>
      </w:r>
      <w:r w:rsidR="0061629E">
        <w:lastRenderedPageBreak/>
        <w:t>possession</w:t>
      </w:r>
      <w:proofErr w:type="gramEnd"/>
      <w:r w:rsidR="0061629E">
        <w:t xml:space="preserve"> and control</w:t>
      </w:r>
      <w:r w:rsidR="00AC04D2">
        <w:t xml:space="preserve"> of the documents,</w:t>
      </w:r>
      <w:r w:rsidR="0061629E">
        <w:t xml:space="preserve"> he is still involved in Basil Read and can easily access these documents.  There is no reason why the plaintiff should issue expensive subpoenas to obtain the documents when </w:t>
      </w:r>
      <w:proofErr w:type="spellStart"/>
      <w:r w:rsidR="0061629E">
        <w:t>Mapasa</w:t>
      </w:r>
      <w:proofErr w:type="spellEnd"/>
      <w:r w:rsidR="0061629E">
        <w:t xml:space="preserve"> can easily </w:t>
      </w:r>
      <w:r w:rsidR="00AC04D2">
        <w:t>“access”</w:t>
      </w:r>
      <w:r w:rsidR="0061629E">
        <w:t xml:space="preserve"> </w:t>
      </w:r>
      <w:proofErr w:type="gramStart"/>
      <w:r w:rsidR="0061629E">
        <w:t xml:space="preserve">them </w:t>
      </w:r>
      <w:r w:rsidR="00AC04D2">
        <w:t xml:space="preserve"> and</w:t>
      </w:r>
      <w:proofErr w:type="gramEnd"/>
      <w:r w:rsidR="00AC04D2">
        <w:t xml:space="preserve"> provide the documents </w:t>
      </w:r>
      <w:r w:rsidR="0061629E">
        <w:t xml:space="preserve">to the plaintiff. </w:t>
      </w:r>
    </w:p>
    <w:p w14:paraId="7D32F310" w14:textId="4BB6D4A8" w:rsidR="00AC04D2" w:rsidRDefault="001B3350" w:rsidP="001B3350">
      <w:pPr>
        <w:pStyle w:val="Heading1"/>
        <w:numPr>
          <w:ilvl w:val="0"/>
          <w:numId w:val="0"/>
        </w:numPr>
        <w:tabs>
          <w:tab w:val="left" w:pos="862"/>
        </w:tabs>
        <w:ind w:left="862" w:hanging="862"/>
      </w:pPr>
      <w:r>
        <w:t>[28]</w:t>
      </w:r>
      <w:r>
        <w:tab/>
      </w:r>
      <w:r w:rsidR="0061629E">
        <w:t xml:space="preserve"> I am further not persuaded by the argument that the </w:t>
      </w:r>
      <w:r w:rsidR="0061629E" w:rsidRPr="00AC04D2">
        <w:rPr>
          <w:b/>
          <w:bCs/>
          <w:i/>
          <w:iCs/>
        </w:rPr>
        <w:t xml:space="preserve">Hilbert Plant Hire CC </w:t>
      </w:r>
      <w:r w:rsidR="0061629E">
        <w:t>matter</w:t>
      </w:r>
      <w:r w:rsidR="00AC04D2">
        <w:t>, to which I was also referred, is distinguishable</w:t>
      </w:r>
      <w:r w:rsidR="0061629E">
        <w:t xml:space="preserve"> because it was accepted that the documents were in the defendant’s possession</w:t>
      </w:r>
      <w:r w:rsidR="00AC04D2">
        <w:t xml:space="preserve">. </w:t>
      </w:r>
      <w:r w:rsidR="00430AE3">
        <w:t xml:space="preserve">This </w:t>
      </w:r>
      <w:r w:rsidR="00AC04D2">
        <w:t xml:space="preserve">contention can only operate if </w:t>
      </w:r>
      <w:r w:rsidR="00430AE3">
        <w:t>the limited definition</w:t>
      </w:r>
      <w:r w:rsidR="00AC04D2">
        <w:t xml:space="preserve"> is given to possession, </w:t>
      </w:r>
      <w:proofErr w:type="gramStart"/>
      <w:r w:rsidR="00AC04D2">
        <w:t xml:space="preserve">as </w:t>
      </w:r>
      <w:r w:rsidR="00430AE3">
        <w:t xml:space="preserve"> the</w:t>
      </w:r>
      <w:proofErr w:type="gramEnd"/>
      <w:r w:rsidR="00430AE3">
        <w:t xml:space="preserve"> defendants’ counsel sought to </w:t>
      </w:r>
      <w:r w:rsidR="00AC04D2">
        <w:t xml:space="preserve"> do. </w:t>
      </w:r>
    </w:p>
    <w:p w14:paraId="1AE67B85" w14:textId="6CC1390F" w:rsidR="00AC04D2" w:rsidRDefault="001B3350" w:rsidP="001B3350">
      <w:pPr>
        <w:pStyle w:val="Heading1"/>
        <w:numPr>
          <w:ilvl w:val="0"/>
          <w:numId w:val="0"/>
        </w:numPr>
        <w:tabs>
          <w:tab w:val="left" w:pos="862"/>
        </w:tabs>
        <w:ind w:left="862" w:hanging="862"/>
      </w:pPr>
      <w:r>
        <w:t>[29]</w:t>
      </w:r>
      <w:r>
        <w:tab/>
      </w:r>
      <w:r w:rsidR="00430AE3">
        <w:t xml:space="preserve">Insofar as the relevance of the documents is concerned, I agree with the submission that this dispute is sparse at best.  It was apparent that the defendants’ counsel did not seek to pursue this issue with vigour.  He referenced the </w:t>
      </w:r>
      <w:proofErr w:type="spellStart"/>
      <w:r w:rsidR="00430AE3">
        <w:t>Mapasa</w:t>
      </w:r>
      <w:proofErr w:type="spellEnd"/>
      <w:r w:rsidR="00430AE3">
        <w:t xml:space="preserve"> </w:t>
      </w:r>
      <w:r w:rsidR="00AC04D2">
        <w:t>opposing</w:t>
      </w:r>
      <w:r w:rsidR="00430AE3">
        <w:t xml:space="preserve"> affidavit which</w:t>
      </w:r>
      <w:r w:rsidR="00AC04D2">
        <w:t xml:space="preserve"> raised </w:t>
      </w:r>
      <w:r w:rsidR="00430AE3">
        <w:t>an exception</w:t>
      </w:r>
      <w:r w:rsidR="00AC04D2">
        <w:t xml:space="preserve"> but as already stated, this point is not </w:t>
      </w:r>
      <w:r w:rsidR="00430AE3">
        <w:t>within the scope of this application and the Court’s enquiry.</w:t>
      </w:r>
    </w:p>
    <w:p w14:paraId="62E1407A" w14:textId="65D30DB1" w:rsidR="00AC04D2" w:rsidRDefault="001B3350" w:rsidP="001B3350">
      <w:pPr>
        <w:pStyle w:val="Heading1"/>
        <w:numPr>
          <w:ilvl w:val="0"/>
          <w:numId w:val="0"/>
        </w:numPr>
        <w:tabs>
          <w:tab w:val="left" w:pos="862"/>
        </w:tabs>
        <w:ind w:left="862" w:hanging="862"/>
      </w:pPr>
      <w:r>
        <w:t>[30]</w:t>
      </w:r>
      <w:r>
        <w:tab/>
      </w:r>
      <w:r w:rsidR="00430AE3">
        <w:t xml:space="preserve"> As such, and particularly in the light of the </w:t>
      </w:r>
      <w:proofErr w:type="spellStart"/>
      <w:r w:rsidR="00430AE3" w:rsidRPr="00AC04D2">
        <w:rPr>
          <w:b/>
          <w:bCs/>
          <w:i/>
          <w:iCs/>
        </w:rPr>
        <w:t>Steyn</w:t>
      </w:r>
      <w:proofErr w:type="spellEnd"/>
      <w:r w:rsidR="00430AE3" w:rsidRPr="00AC04D2">
        <w:rPr>
          <w:b/>
          <w:bCs/>
          <w:i/>
          <w:iCs/>
        </w:rPr>
        <w:t xml:space="preserve"> </w:t>
      </w:r>
      <w:r w:rsidR="00430AE3">
        <w:t>judgment, I find that the documents are relevant and ought to be discovered.  As submitted to me by the plaintiff’s counsel I am not obliged at this stage of the proceedings to determine the liability of the defendants but rather the entitlement to discovery to enable a fair and proper hearing in due course.</w:t>
      </w:r>
    </w:p>
    <w:p w14:paraId="60D7004D" w14:textId="67B3550F" w:rsidR="0061629E" w:rsidRDefault="001B3350" w:rsidP="001B3350">
      <w:pPr>
        <w:pStyle w:val="Heading1"/>
        <w:numPr>
          <w:ilvl w:val="0"/>
          <w:numId w:val="0"/>
        </w:numPr>
        <w:tabs>
          <w:tab w:val="left" w:pos="862"/>
        </w:tabs>
        <w:ind w:left="862" w:hanging="862"/>
      </w:pPr>
      <w:r>
        <w:t>[31]</w:t>
      </w:r>
      <w:r>
        <w:tab/>
      </w:r>
      <w:r w:rsidR="00430AE3">
        <w:t xml:space="preserve"> Although no submissions were made in</w:t>
      </w:r>
      <w:r w:rsidR="00AC04D2">
        <w:t xml:space="preserve"> argument in</w:t>
      </w:r>
      <w:r w:rsidR="00430AE3">
        <w:t xml:space="preserve"> relation to the sixth defendant</w:t>
      </w:r>
      <w:r w:rsidR="00AC04D2">
        <w:t xml:space="preserve">, she continues to </w:t>
      </w:r>
      <w:proofErr w:type="gramStart"/>
      <w:r w:rsidR="00AC04D2">
        <w:t xml:space="preserve">be </w:t>
      </w:r>
      <w:r w:rsidR="00430AE3">
        <w:t xml:space="preserve"> employed</w:t>
      </w:r>
      <w:proofErr w:type="gramEnd"/>
      <w:r w:rsidR="00430AE3">
        <w:t xml:space="preserve"> as the Company Secretary as set out in the business rescue practitioner’s report</w:t>
      </w:r>
      <w:r w:rsidR="00AC04D2">
        <w:t>.</w:t>
      </w:r>
      <w:r w:rsidR="00430AE3">
        <w:t xml:space="preserve"> </w:t>
      </w:r>
      <w:r w:rsidR="00AC04D2">
        <w:t>T</w:t>
      </w:r>
      <w:r w:rsidR="00430AE3">
        <w:t>he contention that because she is not a director</w:t>
      </w:r>
      <w:r w:rsidR="00AC04D2">
        <w:t>, this</w:t>
      </w:r>
      <w:r w:rsidR="00430AE3">
        <w:t xml:space="preserve"> negates her obligation to discover is not </w:t>
      </w:r>
      <w:r w:rsidR="00CB5D0D">
        <w:t>sound</w:t>
      </w:r>
      <w:r w:rsidR="00430AE3">
        <w:t xml:space="preserve">.  </w:t>
      </w:r>
      <w:r w:rsidR="00CB5D0D">
        <w:t>A</w:t>
      </w:r>
      <w:r w:rsidR="00430AE3">
        <w:t>s submitted by the plaintiff’s counsel the duties of a company secretary are extensive</w:t>
      </w:r>
      <w:r w:rsidR="00430AE3">
        <w:rPr>
          <w:rStyle w:val="FootnoteReference"/>
        </w:rPr>
        <w:footnoteReference w:id="12"/>
      </w:r>
      <w:r w:rsidR="00430AE3">
        <w:t xml:space="preserve"> and</w:t>
      </w:r>
      <w:r w:rsidR="00CB5D0D">
        <w:t xml:space="preserve"> although </w:t>
      </w:r>
      <w:r w:rsidR="00430AE3">
        <w:t>her liability is yet to be determined</w:t>
      </w:r>
      <w:r w:rsidR="00AE546A">
        <w:t xml:space="preserve">, </w:t>
      </w:r>
      <w:r w:rsidR="00AE546A">
        <w:lastRenderedPageBreak/>
        <w:t>i</w:t>
      </w:r>
      <w:r w:rsidR="00430AE3">
        <w:t>t is only discovery that is sought</w:t>
      </w:r>
      <w:r w:rsidR="00CB5D0D">
        <w:t xml:space="preserve"> by the plaintiff</w:t>
      </w:r>
      <w:r w:rsidR="00430AE3">
        <w:t>.</w:t>
      </w:r>
    </w:p>
    <w:p w14:paraId="0516AA9E" w14:textId="14359C21" w:rsidR="00CB5D0D" w:rsidRDefault="001B3350" w:rsidP="001B3350">
      <w:pPr>
        <w:pStyle w:val="Heading1"/>
        <w:numPr>
          <w:ilvl w:val="0"/>
          <w:numId w:val="0"/>
        </w:numPr>
        <w:tabs>
          <w:tab w:val="left" w:pos="862"/>
        </w:tabs>
        <w:ind w:left="862" w:hanging="862"/>
      </w:pPr>
      <w:r>
        <w:t>[32]</w:t>
      </w:r>
      <w:r>
        <w:tab/>
      </w:r>
      <w:r w:rsidR="00AE546A">
        <w:t>It was also submitted</w:t>
      </w:r>
      <w:r w:rsidR="00CB5D0D">
        <w:t xml:space="preserve"> by plaintiff’s counsel</w:t>
      </w:r>
      <w:r w:rsidR="00AE546A">
        <w:t xml:space="preserve"> that no cogent explanation has been furnished as to why the defendants individually did not deliver discovery affidavits.  I am not of the view that it is necessary for each litigant to deliver </w:t>
      </w:r>
      <w:r w:rsidR="00CB5D0D">
        <w:t>his/her</w:t>
      </w:r>
      <w:r w:rsidR="00AE546A">
        <w:t xml:space="preserve"> own discovery affidavit.  </w:t>
      </w:r>
      <w:r w:rsidR="00CB5D0D">
        <w:t xml:space="preserve">A joint affidavit can be delivered but there must be compliance with the rule. </w:t>
      </w:r>
      <w:proofErr w:type="gramStart"/>
      <w:r w:rsidR="00CB5D0D">
        <w:t>in</w:t>
      </w:r>
      <w:proofErr w:type="gramEnd"/>
      <w:r w:rsidR="00CB5D0D">
        <w:t xml:space="preserve"> doing so.  Each defendant must be specifically mentioned and documents in their respective possession and control must be clearly identified. C</w:t>
      </w:r>
      <w:r w:rsidR="00AE546A">
        <w:t>onfirmatory affidavits would need to be filed by each of the defendants</w:t>
      </w:r>
      <w:r w:rsidR="00CB5D0D">
        <w:t>.</w:t>
      </w:r>
      <w:r w:rsidR="00AE546A">
        <w:t xml:space="preserve"> That said, it may then be </w:t>
      </w:r>
      <w:r w:rsidR="00CB5D0D">
        <w:t>more efficient</w:t>
      </w:r>
      <w:r w:rsidR="00AE546A">
        <w:t xml:space="preserve"> for each of the defendants to prepare their own affidavit.  </w:t>
      </w:r>
    </w:p>
    <w:p w14:paraId="67F59074" w14:textId="219CB76D" w:rsidR="00AE546A" w:rsidRDefault="001B3350" w:rsidP="001B3350">
      <w:pPr>
        <w:pStyle w:val="Heading1"/>
        <w:numPr>
          <w:ilvl w:val="0"/>
          <w:numId w:val="0"/>
        </w:numPr>
        <w:tabs>
          <w:tab w:val="left" w:pos="862"/>
        </w:tabs>
        <w:ind w:left="862" w:hanging="862"/>
      </w:pPr>
      <w:r>
        <w:t>[33]</w:t>
      </w:r>
      <w:r>
        <w:tab/>
      </w:r>
      <w:r w:rsidR="00AE546A">
        <w:t>As also submitted to me</w:t>
      </w:r>
      <w:r w:rsidR="00CB5D0D">
        <w:t>,</w:t>
      </w:r>
      <w:r w:rsidR="00AE546A">
        <w:t xml:space="preserve"> in the decision of </w:t>
      </w:r>
      <w:r w:rsidR="00AE546A" w:rsidRPr="00CB5D0D">
        <w:rPr>
          <w:b/>
          <w:bCs/>
          <w:i/>
          <w:iCs/>
        </w:rPr>
        <w:t>Sandy’s Construction Co v Pilla</w:t>
      </w:r>
      <w:r w:rsidR="0017730A" w:rsidRPr="00CB5D0D">
        <w:rPr>
          <w:b/>
          <w:bCs/>
          <w:i/>
          <w:iCs/>
        </w:rPr>
        <w:t>i</w:t>
      </w:r>
      <w:r w:rsidR="00AE546A" w:rsidRPr="00CB5D0D">
        <w:rPr>
          <w:b/>
          <w:bCs/>
          <w:i/>
          <w:iCs/>
        </w:rPr>
        <w:t xml:space="preserve"> and Another</w:t>
      </w:r>
      <w:r w:rsidR="00AE546A" w:rsidRPr="0017730A">
        <w:rPr>
          <w:rStyle w:val="FootnoteReference"/>
        </w:rPr>
        <w:footnoteReference w:id="13"/>
      </w:r>
      <w:r w:rsidR="0017730A" w:rsidRPr="0017730A">
        <w:t xml:space="preserve"> it was said</w:t>
      </w:r>
      <w:r w:rsidR="0017730A">
        <w:t>:</w:t>
      </w:r>
    </w:p>
    <w:p w14:paraId="6A5ACC05" w14:textId="65CF5F24" w:rsidR="0017730A" w:rsidRDefault="0017730A" w:rsidP="0072246D">
      <w:pPr>
        <w:ind w:left="1871" w:hanging="1871"/>
        <w:rPr>
          <w:i/>
          <w:iCs/>
        </w:rPr>
      </w:pPr>
      <w:r>
        <w:tab/>
      </w:r>
      <w:r>
        <w:tab/>
      </w:r>
      <w:r>
        <w:rPr>
          <w:i/>
          <w:iCs/>
        </w:rPr>
        <w:t xml:space="preserve">“It has frequently been stressed that a discovery affidavit is an important document and that the legal advisors of the parties to cases must impress upon their clients the considerable importance which the Courts attach to such a document.  The Courts have mentioned that dire results may flow unless there is a full compliance with the requirements laid down by the Rules and the common law in regard to discovery affidavits.  I mention the case of Natal Vermiculite (Pty) Ltd v Clark 1957 (2) SA 431 (D) and also the case of Gunn, NO v </w:t>
      </w:r>
      <w:proofErr w:type="spellStart"/>
      <w:r>
        <w:rPr>
          <w:i/>
          <w:iCs/>
        </w:rPr>
        <w:t>Marendaz</w:t>
      </w:r>
      <w:proofErr w:type="spellEnd"/>
      <w:r>
        <w:rPr>
          <w:i/>
          <w:iCs/>
        </w:rPr>
        <w:t xml:space="preserve"> 1963 (2) SA 281 (W), in which </w:t>
      </w:r>
      <w:r w:rsidR="0072246D">
        <w:rPr>
          <w:i/>
          <w:iCs/>
        </w:rPr>
        <w:t>BEKKER J. at p. 282, said:</w:t>
      </w:r>
    </w:p>
    <w:p w14:paraId="451D90E2" w14:textId="6D6E82FE" w:rsidR="0072246D" w:rsidRDefault="0072246D" w:rsidP="0072246D">
      <w:pPr>
        <w:ind w:left="1871" w:hanging="1871"/>
        <w:rPr>
          <w:i/>
          <w:iCs/>
        </w:rPr>
      </w:pPr>
      <w:r>
        <w:rPr>
          <w:i/>
          <w:iCs/>
        </w:rPr>
        <w:tab/>
      </w:r>
      <w:r>
        <w:rPr>
          <w:i/>
          <w:iCs/>
        </w:rPr>
        <w:tab/>
        <w:t>“</w:t>
      </w:r>
      <w:r w:rsidRPr="0072246D">
        <w:rPr>
          <w:i/>
          <w:iCs/>
        </w:rPr>
        <w:t xml:space="preserve">With reference to the discovery affidavit I wish to emphasize in the first place that an affidavit of discovery is a solemn document, it is not just a scrap of paper. It is a document to which the deponent swears as to the correctness of the contents </w:t>
      </w:r>
      <w:r w:rsidRPr="0072246D">
        <w:rPr>
          <w:i/>
          <w:iCs/>
        </w:rPr>
        <w:lastRenderedPageBreak/>
        <w:t>thereof under oath</w:t>
      </w:r>
      <w:r>
        <w:rPr>
          <w:i/>
          <w:iCs/>
        </w:rPr>
        <w:t>.”</w:t>
      </w:r>
    </w:p>
    <w:p w14:paraId="7DBD9A65" w14:textId="19606202" w:rsidR="0072246D" w:rsidRDefault="001B3350" w:rsidP="001B3350">
      <w:pPr>
        <w:pStyle w:val="Heading1"/>
        <w:numPr>
          <w:ilvl w:val="0"/>
          <w:numId w:val="0"/>
        </w:numPr>
        <w:tabs>
          <w:tab w:val="left" w:pos="862"/>
        </w:tabs>
        <w:ind w:left="862" w:hanging="862"/>
      </w:pPr>
      <w:r>
        <w:t>[34]</w:t>
      </w:r>
      <w:r>
        <w:tab/>
      </w:r>
      <w:r w:rsidR="0072246D">
        <w:t xml:space="preserve">In all of the circumstances, I find that </w:t>
      </w:r>
      <w:proofErr w:type="spellStart"/>
      <w:r w:rsidR="0072246D">
        <w:t>Mapasa</w:t>
      </w:r>
      <w:proofErr w:type="spellEnd"/>
      <w:r w:rsidR="0072246D">
        <w:t xml:space="preserve"> has not complied with the provisions of Rule 35(3) and that an order is fitting that he make full and proper discovery of the documents to which he has access and as referred to in the Rule 35(3) notice.  </w:t>
      </w:r>
    </w:p>
    <w:p w14:paraId="39F5BC0D" w14:textId="58283404" w:rsidR="00A06F3D" w:rsidRDefault="001B3350" w:rsidP="001B3350">
      <w:pPr>
        <w:pStyle w:val="Heading1"/>
        <w:numPr>
          <w:ilvl w:val="0"/>
          <w:numId w:val="0"/>
        </w:numPr>
        <w:tabs>
          <w:tab w:val="left" w:pos="862"/>
        </w:tabs>
        <w:ind w:left="862" w:hanging="862"/>
      </w:pPr>
      <w:r>
        <w:t>[35]</w:t>
      </w:r>
      <w:r>
        <w:tab/>
      </w:r>
      <w:r w:rsidR="0072246D">
        <w:t xml:space="preserve">Insofar as the costs are concerned, plaintiff’s counsel motivated that costs should be punitive and awarded on an attorney client scale.  He emphasised that </w:t>
      </w:r>
      <w:proofErr w:type="spellStart"/>
      <w:r w:rsidR="0072246D">
        <w:t>Mapasa</w:t>
      </w:r>
      <w:proofErr w:type="spellEnd"/>
      <w:r w:rsidR="0072246D">
        <w:t xml:space="preserve"> has always conceded that he had access to the documents and</w:t>
      </w:r>
      <w:r w:rsidR="00CB5D0D">
        <w:t>,</w:t>
      </w:r>
      <w:r w:rsidR="0072246D">
        <w:t xml:space="preserve"> as a </w:t>
      </w:r>
      <w:r w:rsidR="00A06F3D">
        <w:t>consequence, he</w:t>
      </w:r>
      <w:r w:rsidR="0072246D">
        <w:t xml:space="preserve"> should have simply made discovery in compliance with the Rules.  It was impressed upon me that having filed an answering affidavit on 17 December 2021, no confirmatory affidavits were forthcoming until almost a year later</w:t>
      </w:r>
      <w:r w:rsidR="00A06F3D">
        <w:t>, and after the application to compel was launched</w:t>
      </w:r>
      <w:r w:rsidR="0072246D">
        <w:t xml:space="preserve">.  </w:t>
      </w:r>
      <w:r w:rsidR="00CB5D0D">
        <w:t>O</w:t>
      </w:r>
      <w:r w:rsidR="0072246D">
        <w:t xml:space="preserve">nly when </w:t>
      </w:r>
      <w:r w:rsidR="00A80FBE" w:rsidRPr="00A80FBE">
        <w:rPr>
          <w:i/>
          <w:iCs/>
        </w:rPr>
        <w:t>“</w:t>
      </w:r>
      <w:r w:rsidR="0072246D" w:rsidRPr="00A80FBE">
        <w:rPr>
          <w:i/>
          <w:iCs/>
        </w:rPr>
        <w:t>the shoe pinched</w:t>
      </w:r>
      <w:r w:rsidR="00A80FBE" w:rsidRPr="00A80FBE">
        <w:rPr>
          <w:i/>
          <w:iCs/>
        </w:rPr>
        <w:t>”</w:t>
      </w:r>
      <w:r w:rsidR="0072246D">
        <w:t xml:space="preserve"> </w:t>
      </w:r>
      <w:r w:rsidR="00A80FBE">
        <w:t xml:space="preserve">the confirmatory affidavits came to the fore. </w:t>
      </w:r>
      <w:r w:rsidR="00CB5D0D">
        <w:t xml:space="preserve"> This conduct, so it was submitted</w:t>
      </w:r>
      <w:r w:rsidR="00A06F3D">
        <w:t>,</w:t>
      </w:r>
      <w:r w:rsidR="00CB5D0D">
        <w:t xml:space="preserve"> reveals an </w:t>
      </w:r>
      <w:r w:rsidR="00A80FBE">
        <w:t xml:space="preserve">intention to be obstructive and oppose an application when there was no real basis to do so.  Furthermore, in considering </w:t>
      </w:r>
      <w:proofErr w:type="spellStart"/>
      <w:r w:rsidR="00A80FBE">
        <w:t>Mapasa’s</w:t>
      </w:r>
      <w:proofErr w:type="spellEnd"/>
      <w:r w:rsidR="00A80FBE">
        <w:t xml:space="preserve"> response to the Rule 35(3) notice, his affidavit</w:t>
      </w:r>
      <w:r w:rsidR="00A06F3D">
        <w:t>,</w:t>
      </w:r>
      <w:r w:rsidR="00A80FBE">
        <w:t xml:space="preserve"> too</w:t>
      </w:r>
      <w:r w:rsidR="00A06F3D">
        <w:t>,</w:t>
      </w:r>
      <w:r w:rsidR="00A80FBE">
        <w:t xml:space="preserve"> was patently dismissive</w:t>
      </w:r>
      <w:r w:rsidR="00A06F3D">
        <w:t>.</w:t>
      </w:r>
      <w:r w:rsidR="00A80FBE">
        <w:t xml:space="preserve"> </w:t>
      </w:r>
      <w:r w:rsidR="00A06F3D">
        <w:t>I</w:t>
      </w:r>
      <w:r w:rsidR="00A80FBE">
        <w:t>nstead of simply providing the documents to which he had access a full blown opposed application had to be entertained wasting the Court’s time</w:t>
      </w:r>
      <w:r w:rsidR="00A06F3D">
        <w:t>. T</w:t>
      </w:r>
      <w:r w:rsidR="00A80FBE">
        <w:t xml:space="preserve">he attitude was clearly highhanded in the face of the clear indication that punitive costs would be sought.  The submission </w:t>
      </w:r>
      <w:proofErr w:type="gramStart"/>
      <w:r w:rsidR="00A80FBE">
        <w:t xml:space="preserve">was </w:t>
      </w:r>
      <w:r w:rsidR="00A06F3D">
        <w:t xml:space="preserve"> that</w:t>
      </w:r>
      <w:proofErr w:type="gramEnd"/>
      <w:r w:rsidR="00A06F3D">
        <w:t xml:space="preserve"> </w:t>
      </w:r>
      <w:r w:rsidR="00A80FBE">
        <w:t xml:space="preserve">the defendants have played games in attempting to avoid deposing to affidavits and </w:t>
      </w:r>
      <w:r w:rsidR="00A06F3D">
        <w:t xml:space="preserve"> persisting with </w:t>
      </w:r>
      <w:r w:rsidR="00A80FBE">
        <w:t xml:space="preserve">the contrived reliance on the word </w:t>
      </w:r>
      <w:r w:rsidR="00A80FBE">
        <w:rPr>
          <w:i/>
          <w:iCs/>
        </w:rPr>
        <w:t>“possession”</w:t>
      </w:r>
      <w:r w:rsidR="00A80FBE">
        <w:t>.  In essence, it was submitted to me that the opposition is frivolous and unnecessary legal costs were incurred so that the plaintiff is now out of pocket.</w:t>
      </w:r>
    </w:p>
    <w:p w14:paraId="4B5BD36F" w14:textId="0DDC5150" w:rsidR="00A06F3D" w:rsidRDefault="001B3350" w:rsidP="001B3350">
      <w:pPr>
        <w:pStyle w:val="Heading1"/>
        <w:numPr>
          <w:ilvl w:val="0"/>
          <w:numId w:val="0"/>
        </w:numPr>
        <w:tabs>
          <w:tab w:val="left" w:pos="862"/>
        </w:tabs>
        <w:ind w:left="862" w:hanging="862"/>
      </w:pPr>
      <w:r>
        <w:t>[36]</w:t>
      </w:r>
      <w:r>
        <w:tab/>
      </w:r>
      <w:r w:rsidR="00A80FBE">
        <w:t xml:space="preserve">The defendants’ counsel submitted to me that should the Court be inclined to entertain a punitive costs order the defendants </w:t>
      </w:r>
      <w:r w:rsidR="00A80FBE" w:rsidRPr="00475029">
        <w:rPr>
          <w:i/>
        </w:rPr>
        <w:t>bona fide</w:t>
      </w:r>
      <w:r w:rsidR="00A80FBE">
        <w:t xml:space="preserve"> believed that they could rely on the</w:t>
      </w:r>
      <w:r w:rsidR="007C4EAB">
        <w:t xml:space="preserve"> </w:t>
      </w:r>
      <w:proofErr w:type="spellStart"/>
      <w:r w:rsidR="007C4EAB">
        <w:rPr>
          <w:b/>
          <w:bCs/>
          <w:i/>
          <w:iCs/>
        </w:rPr>
        <w:t>Tooch</w:t>
      </w:r>
      <w:proofErr w:type="spellEnd"/>
      <w:r w:rsidR="00A80FBE">
        <w:t xml:space="preserve"> </w:t>
      </w:r>
      <w:r w:rsidR="007C4EAB" w:rsidRPr="007C4EAB">
        <w:t>and</w:t>
      </w:r>
      <w:r w:rsidR="007C4EAB">
        <w:rPr>
          <w:b/>
          <w:bCs/>
        </w:rPr>
        <w:t xml:space="preserve"> </w:t>
      </w:r>
      <w:proofErr w:type="spellStart"/>
      <w:r w:rsidR="00D97DE4">
        <w:rPr>
          <w:b/>
          <w:bCs/>
          <w:i/>
          <w:iCs/>
        </w:rPr>
        <w:t>Ramakarane</w:t>
      </w:r>
      <w:proofErr w:type="spellEnd"/>
      <w:r w:rsidR="00D97DE4">
        <w:rPr>
          <w:b/>
          <w:bCs/>
          <w:i/>
          <w:iCs/>
        </w:rPr>
        <w:t xml:space="preserve"> </w:t>
      </w:r>
      <w:r w:rsidR="00D97DE4">
        <w:t>judgment</w:t>
      </w:r>
      <w:r w:rsidR="007C4EAB">
        <w:t>s</w:t>
      </w:r>
      <w:r w:rsidR="00D97DE4">
        <w:t xml:space="preserve"> and if they ha</w:t>
      </w:r>
      <w:r w:rsidR="00A06F3D">
        <w:t>d</w:t>
      </w:r>
      <w:r w:rsidR="00D97DE4">
        <w:t xml:space="preserve"> mistakenly done so they should not be penalised therefor.</w:t>
      </w:r>
    </w:p>
    <w:p w14:paraId="705F58A0" w14:textId="6DFFEAB7" w:rsidR="0072246D" w:rsidRPr="0017730A" w:rsidRDefault="001B3350" w:rsidP="001B3350">
      <w:pPr>
        <w:pStyle w:val="Heading1"/>
        <w:numPr>
          <w:ilvl w:val="0"/>
          <w:numId w:val="0"/>
        </w:numPr>
        <w:tabs>
          <w:tab w:val="left" w:pos="862"/>
        </w:tabs>
        <w:ind w:left="862" w:hanging="862"/>
      </w:pPr>
      <w:r w:rsidRPr="0017730A">
        <w:lastRenderedPageBreak/>
        <w:t>[37]</w:t>
      </w:r>
      <w:r w:rsidRPr="0017730A">
        <w:tab/>
      </w:r>
      <w:r w:rsidR="00D97DE4">
        <w:t>Although I accept that the plaintiff has been put to unnecessary costs and time in bringing this application, I am reluctant to grant an adverse costs order given the nature of these proceedings.  Discovery is a procedural process which the defendants would not necessarily understand and</w:t>
      </w:r>
      <w:r w:rsidR="00A06F3D">
        <w:t>,</w:t>
      </w:r>
      <w:r w:rsidR="00D97DE4">
        <w:t xml:space="preserve"> more particularly</w:t>
      </w:r>
      <w:r w:rsidR="00A06F3D">
        <w:t>,</w:t>
      </w:r>
      <w:r w:rsidR="00D97DE4">
        <w:t xml:space="preserve"> the requirements under the Rule.  To my mind, the legal representatives </w:t>
      </w:r>
      <w:r w:rsidR="00A06F3D">
        <w:t>should</w:t>
      </w:r>
      <w:r w:rsidR="00D97DE4">
        <w:t xml:space="preserve"> guide the defendants as to the content, import and necessity for proper and transparent discovery.  It appeared to me from the submissions made by the defendants’ counsel</w:t>
      </w:r>
      <w:r w:rsidR="00A06F3D">
        <w:t>,</w:t>
      </w:r>
      <w:r w:rsidR="00D97DE4">
        <w:t xml:space="preserve"> that albeit misguided</w:t>
      </w:r>
      <w:r w:rsidR="00A06F3D">
        <w:t>,</w:t>
      </w:r>
      <w:r w:rsidR="00D97DE4">
        <w:t xml:space="preserve"> there was a genuine reliance on the two decisions mentioned above.  No costs orders were sought against the attorneys </w:t>
      </w:r>
      <w:r w:rsidR="00D97DE4" w:rsidRPr="00B07C0C">
        <w:rPr>
          <w:i/>
          <w:iCs/>
        </w:rPr>
        <w:t xml:space="preserve">de </w:t>
      </w:r>
      <w:proofErr w:type="spellStart"/>
      <w:r w:rsidR="00D97DE4" w:rsidRPr="00B07C0C">
        <w:rPr>
          <w:i/>
          <w:iCs/>
        </w:rPr>
        <w:t>bonis</w:t>
      </w:r>
      <w:proofErr w:type="spellEnd"/>
      <w:r w:rsidR="00D97DE4" w:rsidRPr="00B07C0C">
        <w:rPr>
          <w:i/>
          <w:iCs/>
        </w:rPr>
        <w:t xml:space="preserve"> </w:t>
      </w:r>
      <w:proofErr w:type="spellStart"/>
      <w:r w:rsidR="00D97DE4" w:rsidRPr="00B07C0C">
        <w:rPr>
          <w:i/>
          <w:iCs/>
        </w:rPr>
        <w:t>propriis</w:t>
      </w:r>
      <w:proofErr w:type="spellEnd"/>
      <w:r w:rsidR="00D97DE4">
        <w:t xml:space="preserve"> which in any event are only awarded if there is </w:t>
      </w:r>
      <w:r w:rsidR="00D97DE4">
        <w:rPr>
          <w:i/>
          <w:iCs/>
        </w:rPr>
        <w:t>“negligence of a serious degree”</w:t>
      </w:r>
      <w:r w:rsidR="00D97DE4">
        <w:t xml:space="preserve">.  In addition </w:t>
      </w:r>
      <w:r w:rsidR="00D97DE4">
        <w:rPr>
          <w:i/>
          <w:iCs/>
        </w:rPr>
        <w:t xml:space="preserve">“no order will be made where the representative has acted </w:t>
      </w:r>
      <w:r w:rsidR="00D97DE4" w:rsidRPr="00D97DE4">
        <w:rPr>
          <w:i/>
          <w:iCs/>
        </w:rPr>
        <w:t>bona fide</w:t>
      </w:r>
      <w:proofErr w:type="gramStart"/>
      <w:r w:rsidR="00D97DE4">
        <w:rPr>
          <w:i/>
          <w:iCs/>
        </w:rPr>
        <w:t>;  a</w:t>
      </w:r>
      <w:proofErr w:type="gramEnd"/>
      <w:r w:rsidR="00D97DE4">
        <w:rPr>
          <w:i/>
          <w:iCs/>
        </w:rPr>
        <w:t xml:space="preserve"> mere error of judgment does not warrant an order of costs </w:t>
      </w:r>
      <w:r w:rsidR="00D97DE4" w:rsidRPr="00D97DE4">
        <w:rPr>
          <w:i/>
          <w:iCs/>
        </w:rPr>
        <w:t xml:space="preserve">de </w:t>
      </w:r>
      <w:proofErr w:type="spellStart"/>
      <w:r w:rsidR="00D97DE4" w:rsidRPr="00D97DE4">
        <w:rPr>
          <w:i/>
          <w:iCs/>
        </w:rPr>
        <w:t>bonis</w:t>
      </w:r>
      <w:proofErr w:type="spellEnd"/>
      <w:r w:rsidR="00D97DE4" w:rsidRPr="00D97DE4">
        <w:rPr>
          <w:i/>
          <w:iCs/>
        </w:rPr>
        <w:t xml:space="preserve"> </w:t>
      </w:r>
      <w:proofErr w:type="spellStart"/>
      <w:r w:rsidR="00D97DE4" w:rsidRPr="00D97DE4">
        <w:rPr>
          <w:i/>
          <w:iCs/>
        </w:rPr>
        <w:t>propriis</w:t>
      </w:r>
      <w:proofErr w:type="spellEnd"/>
      <w:r w:rsidR="00D97DE4">
        <w:rPr>
          <w:i/>
          <w:iCs/>
        </w:rPr>
        <w:t>”</w:t>
      </w:r>
      <w:r w:rsidR="00D97DE4">
        <w:t>.</w:t>
      </w:r>
      <w:r w:rsidR="00D97DE4">
        <w:rPr>
          <w:rStyle w:val="FootnoteReference"/>
        </w:rPr>
        <w:footnoteReference w:id="14"/>
      </w:r>
      <w:r w:rsidR="00D97DE4">
        <w:t xml:space="preserve"> </w:t>
      </w:r>
      <w:r w:rsidR="000E687A">
        <w:t xml:space="preserve"> I am of the view that there was an error of judgment and as such costs cannot be awarded on </w:t>
      </w:r>
      <w:r w:rsidR="00A06F3D">
        <w:t xml:space="preserve">a </w:t>
      </w:r>
      <w:r w:rsidR="000E687A">
        <w:t xml:space="preserve">punitive scale.  </w:t>
      </w:r>
      <w:r w:rsidR="00D97DE4">
        <w:t xml:space="preserve"> </w:t>
      </w:r>
    </w:p>
    <w:p w14:paraId="28528161" w14:textId="6AA14D17" w:rsidR="001471ED" w:rsidRPr="00D842FD" w:rsidRDefault="001B3350" w:rsidP="001B3350">
      <w:pPr>
        <w:pStyle w:val="Heading1"/>
        <w:numPr>
          <w:ilvl w:val="0"/>
          <w:numId w:val="0"/>
        </w:numPr>
        <w:tabs>
          <w:tab w:val="left" w:pos="862"/>
        </w:tabs>
        <w:ind w:left="862" w:hanging="862"/>
      </w:pPr>
      <w:r w:rsidRPr="00D842FD">
        <w:t>[38]</w:t>
      </w:r>
      <w:r w:rsidRPr="00D842FD">
        <w:tab/>
      </w:r>
      <w:r w:rsidR="000E687A">
        <w:t>I ac</w:t>
      </w:r>
      <w:r w:rsidR="001471ED">
        <w:t>cordingly</w:t>
      </w:r>
      <w:r w:rsidR="000E687A">
        <w:t xml:space="preserve"> make an order </w:t>
      </w:r>
      <w:r w:rsidR="001471ED">
        <w:t>in the following terms:</w:t>
      </w:r>
    </w:p>
    <w:p w14:paraId="41F23257" w14:textId="2E576A99" w:rsidR="000E687A" w:rsidRDefault="001B3350" w:rsidP="001B3350">
      <w:pPr>
        <w:ind w:left="1877" w:hanging="1021"/>
      </w:pPr>
      <w:r>
        <w:t>1.</w:t>
      </w:r>
      <w:r>
        <w:tab/>
      </w:r>
      <w:r w:rsidR="001471ED">
        <w:t xml:space="preserve">The </w:t>
      </w:r>
      <w:r w:rsidR="000E687A">
        <w:t xml:space="preserve">fifth </w:t>
      </w:r>
      <w:r w:rsidR="00120AEF">
        <w:t>respondent</w:t>
      </w:r>
      <w:r w:rsidR="000E687A">
        <w:t xml:space="preserve"> is to discover, in relation to Basil Read Limited, with Registration No. 1962/002313/06 for the period 2016 to 2019:</w:t>
      </w:r>
    </w:p>
    <w:p w14:paraId="3A86D12E" w14:textId="70703F9E" w:rsidR="000E687A" w:rsidRDefault="000E687A" w:rsidP="00036510">
      <w:pPr>
        <w:pStyle w:val="ListParagraph"/>
        <w:ind w:left="3022" w:hanging="1145"/>
        <w:contextualSpacing w:val="0"/>
      </w:pPr>
      <w:r>
        <w:t>1.1</w:t>
      </w:r>
      <w:r>
        <w:tab/>
        <w:t>bank statements reflecting all transactions on account in relation to the hiring out of plant and equipment and the outflow of funds previously paid into the bank account by the customer/customers in relation to the hiring out of plant and equipment, both for the deposit of its own money and for paying major creditors such as the applicant;</w:t>
      </w:r>
    </w:p>
    <w:p w14:paraId="081BC0D5" w14:textId="77777777" w:rsidR="000E687A" w:rsidRDefault="000E687A" w:rsidP="00036510">
      <w:pPr>
        <w:pStyle w:val="ListParagraph"/>
        <w:ind w:left="3022" w:hanging="1145"/>
        <w:contextualSpacing w:val="0"/>
      </w:pPr>
      <w:r>
        <w:lastRenderedPageBreak/>
        <w:t>1.2</w:t>
      </w:r>
      <w:r>
        <w:tab/>
        <w:t>all documentation made available by or on its behalf to the South African Revenue Services (Revenue authorities) demonstrating or evidencing proof of income, the source or sources of income and the expenditure incurred by it;</w:t>
      </w:r>
    </w:p>
    <w:p w14:paraId="0D40D81D" w14:textId="77777777" w:rsidR="000E687A" w:rsidRDefault="000E687A" w:rsidP="00036510">
      <w:pPr>
        <w:pStyle w:val="ListParagraph"/>
        <w:ind w:left="3022" w:hanging="1145"/>
        <w:contextualSpacing w:val="0"/>
      </w:pPr>
      <w:r>
        <w:t>1.3</w:t>
      </w:r>
      <w:r>
        <w:tab/>
        <w:t>any documents evidencing, setting forth and/or supporting its income, the source or sources of its income and the expenditure incurred by it in the calculation of its income tax or VAT for the 2016 to 2019 tax years;</w:t>
      </w:r>
    </w:p>
    <w:p w14:paraId="05FA3BE2" w14:textId="49B045E3" w:rsidR="001471ED" w:rsidRDefault="000E687A" w:rsidP="00036510">
      <w:pPr>
        <w:pStyle w:val="ListParagraph"/>
        <w:ind w:left="3022" w:hanging="1145"/>
        <w:contextualSpacing w:val="0"/>
      </w:pPr>
      <w:r>
        <w:t>1.4</w:t>
      </w:r>
      <w:r>
        <w:tab/>
        <w:t>any documents showing how the income derived directly or indirectly by from the hire out of plant and equipment was declared by it to the Revenue authorities and how that income was treated in its financial records;</w:t>
      </w:r>
    </w:p>
    <w:p w14:paraId="6C3EB46A" w14:textId="23667C4A" w:rsidR="000E687A" w:rsidRDefault="000E687A" w:rsidP="00036510">
      <w:pPr>
        <w:pStyle w:val="ListParagraph"/>
        <w:ind w:left="3022" w:hanging="1145"/>
        <w:contextualSpacing w:val="0"/>
      </w:pPr>
      <w:r>
        <w:t>1.5</w:t>
      </w:r>
      <w:r>
        <w:tab/>
        <w:t xml:space="preserve">the IRP5 forms, </w:t>
      </w:r>
      <w:proofErr w:type="gramStart"/>
      <w:r>
        <w:t>IT3(</w:t>
      </w:r>
      <w:proofErr w:type="gramEnd"/>
      <w:r>
        <w:t xml:space="preserve">a) forms, IT14 forms and supporting schedules, </w:t>
      </w:r>
      <w:r w:rsidR="008D0F9C">
        <w:t>income tax reconciliation computations and schedules, directors’ remuneration schedules and trial balances, EMP201 monthly employer declarations, EMP501 employer reconciliation declarations and any spreadsheet or calculation which shows how it determined the amount of PAYE to be deducted per month for the period 2016 to 2019, be they in draft or final form;</w:t>
      </w:r>
    </w:p>
    <w:p w14:paraId="74FD6ABC" w14:textId="5CFFA826" w:rsidR="008D0F9C" w:rsidRDefault="008D0F9C" w:rsidP="000E687A">
      <w:pPr>
        <w:pStyle w:val="ListParagraph"/>
        <w:ind w:left="1877"/>
        <w:contextualSpacing w:val="0"/>
      </w:pPr>
      <w:r>
        <w:t>1.6</w:t>
      </w:r>
      <w:r>
        <w:tab/>
        <w:t>share register and certificates.</w:t>
      </w:r>
    </w:p>
    <w:p w14:paraId="5A68F1A2" w14:textId="06808944" w:rsidR="008D0F9C" w:rsidRDefault="001B3350" w:rsidP="001B3350">
      <w:pPr>
        <w:ind w:left="1877" w:hanging="1021"/>
      </w:pPr>
      <w:r>
        <w:t>2.</w:t>
      </w:r>
      <w:r>
        <w:tab/>
      </w:r>
      <w:r w:rsidR="008D0F9C">
        <w:t>The first, second, third, fourth, sixth and seventh respondents are to deliver their discovery affidavits in terms of Rule 35(1).</w:t>
      </w:r>
    </w:p>
    <w:p w14:paraId="506EA433" w14:textId="7C74A8A5" w:rsidR="008D0F9C" w:rsidRDefault="001B3350" w:rsidP="001B3350">
      <w:pPr>
        <w:ind w:left="1877" w:hanging="1021"/>
      </w:pPr>
      <w:r>
        <w:lastRenderedPageBreak/>
        <w:t>3.</w:t>
      </w:r>
      <w:r>
        <w:tab/>
      </w:r>
      <w:r w:rsidR="008D0F9C">
        <w:t>Should the respondents fail to comply with this order within 10 (ten) days, the applicant is authorised to approach this Court on the same papers, duly supplemented, for an order striking out the respondents’ defence in the action and for judgment by default.</w:t>
      </w:r>
    </w:p>
    <w:p w14:paraId="3448E78B" w14:textId="73EA100C" w:rsidR="008051A7" w:rsidRDefault="001B3350" w:rsidP="001B3350">
      <w:pPr>
        <w:ind w:left="1877" w:hanging="1021"/>
      </w:pPr>
      <w:r>
        <w:t>4.</w:t>
      </w:r>
      <w:r>
        <w:tab/>
      </w:r>
      <w:r w:rsidR="008D0F9C">
        <w:t>The respondents are to pay the costs of this application jointly and severally the one paying the other to be absolved on the party and party scale.</w:t>
      </w:r>
    </w:p>
    <w:p w14:paraId="116BD6E8" w14:textId="78E39D36" w:rsidR="00500CF6" w:rsidRDefault="00500CF6" w:rsidP="00831AD2">
      <w:pPr>
        <w:ind w:left="1871" w:hanging="1871"/>
      </w:pPr>
    </w:p>
    <w:p w14:paraId="53743F67" w14:textId="10C42F70" w:rsidR="006E34E4" w:rsidRDefault="006E34E4" w:rsidP="006E34E4">
      <w:pPr>
        <w:keepNext/>
        <w:keepLines/>
        <w:tabs>
          <w:tab w:val="left" w:pos="0"/>
        </w:tabs>
        <w:spacing w:before="240" w:after="0" w:line="240" w:lineRule="auto"/>
        <w:jc w:val="right"/>
        <w:rPr>
          <w:b/>
          <w:u w:val="single"/>
        </w:rPr>
      </w:pPr>
      <w:r>
        <w:rPr>
          <w:b/>
          <w:u w:val="single"/>
        </w:rPr>
        <w:t>______________________________________</w:t>
      </w:r>
    </w:p>
    <w:p w14:paraId="2DB13194" w14:textId="4425743F" w:rsidR="006E34E4" w:rsidRDefault="006E34E4" w:rsidP="006E34E4">
      <w:pPr>
        <w:keepNext/>
        <w:spacing w:after="0" w:line="240" w:lineRule="auto"/>
        <w:jc w:val="right"/>
        <w:rPr>
          <w:rFonts w:cs="Arial"/>
          <w:b/>
        </w:rPr>
      </w:pPr>
      <w:r>
        <w:rPr>
          <w:rFonts w:cs="Arial"/>
          <w:b/>
        </w:rPr>
        <w:t>P V TERNENT</w:t>
      </w:r>
    </w:p>
    <w:p w14:paraId="01C7C878" w14:textId="77777777" w:rsidR="006E34E4" w:rsidRPr="0084771B" w:rsidRDefault="006E34E4" w:rsidP="006E34E4">
      <w:pPr>
        <w:keepNext/>
        <w:spacing w:after="0" w:line="240" w:lineRule="auto"/>
        <w:jc w:val="right"/>
        <w:rPr>
          <w:rFonts w:cs="Arial"/>
          <w:i/>
        </w:rPr>
      </w:pPr>
      <w:r>
        <w:rPr>
          <w:rFonts w:cs="Arial"/>
          <w:i/>
        </w:rPr>
        <w:t xml:space="preserve">Acting </w:t>
      </w:r>
      <w:r w:rsidRPr="0084771B">
        <w:rPr>
          <w:rFonts w:cs="Arial"/>
          <w:i/>
        </w:rPr>
        <w:t>Judge of the High Court</w:t>
      </w:r>
      <w:r>
        <w:rPr>
          <w:rFonts w:cs="Arial"/>
          <w:i/>
        </w:rPr>
        <w:t xml:space="preserve"> of South Africa</w:t>
      </w:r>
    </w:p>
    <w:p w14:paraId="686264EE" w14:textId="2163247A" w:rsidR="006E34E4" w:rsidRDefault="006E34E4" w:rsidP="006E34E4">
      <w:pPr>
        <w:spacing w:after="120"/>
        <w:jc w:val="right"/>
        <w:rPr>
          <w:rFonts w:cs="Arial"/>
          <w:i/>
        </w:rPr>
      </w:pPr>
      <w:r w:rsidRPr="0084771B">
        <w:rPr>
          <w:rFonts w:cs="Arial"/>
          <w:i/>
        </w:rPr>
        <w:t xml:space="preserve">Gauteng Division, </w:t>
      </w:r>
      <w:r>
        <w:rPr>
          <w:rFonts w:cs="Arial"/>
          <w:i/>
        </w:rPr>
        <w:t>Johannesburg</w:t>
      </w:r>
    </w:p>
    <w:p w14:paraId="3F04DAED" w14:textId="77777777" w:rsidR="00EA5BC8" w:rsidRDefault="00EA5BC8" w:rsidP="006E34E4">
      <w:pPr>
        <w:spacing w:after="120"/>
        <w:jc w:val="right"/>
        <w:rPr>
          <w:rFonts w:cs="Arial"/>
          <w:i/>
        </w:rPr>
      </w:pPr>
    </w:p>
    <w:p w14:paraId="21C6E74A" w14:textId="1C722E84" w:rsidR="006E34E4" w:rsidRPr="00A06F3D" w:rsidRDefault="00EA5BC8" w:rsidP="00A06F3D">
      <w:pPr>
        <w:spacing w:after="120"/>
        <w:ind w:left="1871" w:hanging="1871"/>
        <w:rPr>
          <w:rFonts w:cs="Arial"/>
          <w:i/>
          <w:szCs w:val="24"/>
        </w:rPr>
      </w:pPr>
      <w:r>
        <w:rPr>
          <w:rFonts w:cs="Arial"/>
          <w:i/>
          <w:szCs w:val="24"/>
        </w:rPr>
        <w:t>Delivered:</w:t>
      </w:r>
      <w:r>
        <w:rPr>
          <w:rFonts w:cs="Arial"/>
          <w:i/>
          <w:szCs w:val="24"/>
        </w:rPr>
        <w:tab/>
        <w:t xml:space="preserve">This judgment was prepared and authored by the Judge whose name is reflected and is handed down electronically by circulation to the Parties/their legal representatives by email and by uploading it to the electronic file of this matter on </w:t>
      </w:r>
      <w:proofErr w:type="spellStart"/>
      <w:r>
        <w:rPr>
          <w:rFonts w:cs="Arial"/>
          <w:i/>
          <w:szCs w:val="24"/>
        </w:rPr>
        <w:t>CaseLines</w:t>
      </w:r>
      <w:proofErr w:type="spellEnd"/>
      <w:r>
        <w:rPr>
          <w:rFonts w:cs="Arial"/>
          <w:i/>
          <w:szCs w:val="24"/>
        </w:rPr>
        <w:t xml:space="preserve">. The date for hand-down is deemed to be on </w:t>
      </w:r>
      <w:r w:rsidR="00A06F3D">
        <w:rPr>
          <w:rFonts w:cs="Arial"/>
          <w:i/>
          <w:szCs w:val="24"/>
        </w:rPr>
        <w:t>2</w:t>
      </w:r>
      <w:r w:rsidR="00737855">
        <w:rPr>
          <w:rFonts w:cs="Arial"/>
          <w:i/>
          <w:szCs w:val="24"/>
        </w:rPr>
        <w:t>7</w:t>
      </w:r>
      <w:r>
        <w:rPr>
          <w:rFonts w:cs="Arial"/>
          <w:i/>
          <w:szCs w:val="24"/>
        </w:rPr>
        <w:t xml:space="preserve"> September 2023.</w:t>
      </w:r>
    </w:p>
    <w:p w14:paraId="66A3D0C8" w14:textId="77777777" w:rsidR="006E34E4" w:rsidRDefault="006E34E4" w:rsidP="006E34E4">
      <w:pPr>
        <w:pBdr>
          <w:bottom w:val="single" w:sz="6" w:space="1" w:color="auto"/>
        </w:pBdr>
        <w:spacing w:after="360"/>
        <w:rPr>
          <w:rFonts w:cs="Arial"/>
          <w:i/>
        </w:rPr>
      </w:pPr>
    </w:p>
    <w:tbl>
      <w:tblPr>
        <w:tblW w:w="9144" w:type="dxa"/>
        <w:tblLook w:val="04A0" w:firstRow="1" w:lastRow="0" w:firstColumn="1" w:lastColumn="0" w:noHBand="0" w:noVBand="1"/>
      </w:tblPr>
      <w:tblGrid>
        <w:gridCol w:w="3936"/>
        <w:gridCol w:w="5208"/>
      </w:tblGrid>
      <w:tr w:rsidR="006E34E4" w14:paraId="3EFE509C" w14:textId="77777777" w:rsidTr="005545E1">
        <w:tc>
          <w:tcPr>
            <w:tcW w:w="3936" w:type="dxa"/>
            <w:tcMar>
              <w:top w:w="32" w:type="dxa"/>
              <w:left w:w="108" w:type="dxa"/>
              <w:bottom w:w="32" w:type="dxa"/>
              <w:right w:w="108" w:type="dxa"/>
            </w:tcMar>
            <w:vAlign w:val="center"/>
            <w:hideMark/>
          </w:tcPr>
          <w:p w14:paraId="358D6CC3" w14:textId="77777777" w:rsidR="006E34E4" w:rsidRDefault="006E34E4" w:rsidP="007154C1">
            <w:pPr>
              <w:keepNext/>
              <w:spacing w:before="120" w:after="0" w:line="240" w:lineRule="auto"/>
              <w:rPr>
                <w:sz w:val="22"/>
                <w:szCs w:val="22"/>
              </w:rPr>
            </w:pPr>
            <w:r>
              <w:lastRenderedPageBreak/>
              <w:t>HEARD ON: </w:t>
            </w:r>
          </w:p>
        </w:tc>
        <w:tc>
          <w:tcPr>
            <w:tcW w:w="5208" w:type="dxa"/>
            <w:tcMar>
              <w:top w:w="32" w:type="dxa"/>
              <w:left w:w="108" w:type="dxa"/>
              <w:bottom w:w="32" w:type="dxa"/>
              <w:right w:w="108" w:type="dxa"/>
            </w:tcMar>
            <w:vAlign w:val="center"/>
            <w:hideMark/>
          </w:tcPr>
          <w:p w14:paraId="0D924218" w14:textId="33D46638" w:rsidR="006E34E4" w:rsidRDefault="00036510" w:rsidP="00C240DF">
            <w:pPr>
              <w:keepNext/>
              <w:spacing w:after="0" w:line="240" w:lineRule="auto"/>
              <w:rPr>
                <w:sz w:val="22"/>
                <w:szCs w:val="22"/>
              </w:rPr>
            </w:pPr>
            <w:r w:rsidRPr="00036510">
              <w:rPr>
                <w:sz w:val="22"/>
                <w:szCs w:val="22"/>
              </w:rPr>
              <w:t xml:space="preserve">22 May </w:t>
            </w:r>
            <w:r w:rsidR="00831AD2">
              <w:rPr>
                <w:sz w:val="22"/>
                <w:szCs w:val="22"/>
              </w:rPr>
              <w:t>2023</w:t>
            </w:r>
          </w:p>
        </w:tc>
      </w:tr>
      <w:tr w:rsidR="006E34E4" w14:paraId="35A136C3" w14:textId="77777777" w:rsidTr="005545E1">
        <w:tc>
          <w:tcPr>
            <w:tcW w:w="3936" w:type="dxa"/>
            <w:tcMar>
              <w:top w:w="32" w:type="dxa"/>
              <w:left w:w="108" w:type="dxa"/>
              <w:bottom w:w="32" w:type="dxa"/>
              <w:right w:w="108" w:type="dxa"/>
            </w:tcMar>
            <w:vAlign w:val="center"/>
            <w:hideMark/>
          </w:tcPr>
          <w:p w14:paraId="3D674BDC" w14:textId="77777777" w:rsidR="006E34E4" w:rsidRDefault="006E34E4" w:rsidP="007154C1">
            <w:pPr>
              <w:keepNext/>
              <w:spacing w:before="120" w:after="0" w:line="240" w:lineRule="auto"/>
            </w:pPr>
            <w:r>
              <w:t>DATE OF JUDGMENT:</w:t>
            </w:r>
          </w:p>
        </w:tc>
        <w:tc>
          <w:tcPr>
            <w:tcW w:w="5208" w:type="dxa"/>
            <w:tcMar>
              <w:top w:w="32" w:type="dxa"/>
              <w:left w:w="108" w:type="dxa"/>
              <w:bottom w:w="32" w:type="dxa"/>
              <w:right w:w="108" w:type="dxa"/>
            </w:tcMar>
            <w:vAlign w:val="center"/>
            <w:hideMark/>
          </w:tcPr>
          <w:p w14:paraId="3ED612EF" w14:textId="2802D6CD" w:rsidR="006E34E4" w:rsidRDefault="00A06F3D" w:rsidP="00C240DF">
            <w:pPr>
              <w:keepNext/>
              <w:spacing w:after="0" w:line="240" w:lineRule="auto"/>
            </w:pPr>
            <w:r>
              <w:t>2</w:t>
            </w:r>
            <w:r w:rsidR="00737855">
              <w:t>7</w:t>
            </w:r>
            <w:r w:rsidR="00036510">
              <w:t xml:space="preserve"> </w:t>
            </w:r>
            <w:r w:rsidR="00831AD2">
              <w:t>September 2023</w:t>
            </w:r>
          </w:p>
        </w:tc>
      </w:tr>
      <w:tr w:rsidR="006E34E4" w14:paraId="0FEED89A" w14:textId="77777777" w:rsidTr="005545E1">
        <w:tc>
          <w:tcPr>
            <w:tcW w:w="3936" w:type="dxa"/>
            <w:tcMar>
              <w:top w:w="32" w:type="dxa"/>
              <w:left w:w="108" w:type="dxa"/>
              <w:bottom w:w="32" w:type="dxa"/>
              <w:right w:w="108" w:type="dxa"/>
            </w:tcMar>
            <w:vAlign w:val="center"/>
            <w:hideMark/>
          </w:tcPr>
          <w:p w14:paraId="04BEABD0" w14:textId="02A2CF6F" w:rsidR="006E34E4" w:rsidRDefault="006E34E4" w:rsidP="00143DA0">
            <w:pPr>
              <w:keepNext/>
              <w:spacing w:before="120" w:after="0" w:line="240" w:lineRule="auto"/>
              <w:ind w:right="-108"/>
              <w:jc w:val="left"/>
            </w:pPr>
            <w:r>
              <w:t xml:space="preserve">FOR </w:t>
            </w:r>
            <w:r w:rsidR="00036510">
              <w:t>APPLICANT</w:t>
            </w:r>
            <w:r>
              <w:t>:</w:t>
            </w:r>
          </w:p>
        </w:tc>
        <w:tc>
          <w:tcPr>
            <w:tcW w:w="5208" w:type="dxa"/>
            <w:tcMar>
              <w:top w:w="32" w:type="dxa"/>
              <w:left w:w="108" w:type="dxa"/>
              <w:bottom w:w="32" w:type="dxa"/>
              <w:right w:w="108" w:type="dxa"/>
            </w:tcMar>
            <w:vAlign w:val="center"/>
            <w:hideMark/>
          </w:tcPr>
          <w:p w14:paraId="7A3DC197" w14:textId="30DB0C7F" w:rsidR="00DB42AA" w:rsidRDefault="00831AD2" w:rsidP="00C240DF">
            <w:pPr>
              <w:keepNext/>
              <w:spacing w:after="0" w:line="240" w:lineRule="auto"/>
            </w:pPr>
            <w:r>
              <w:t xml:space="preserve">Advocate </w:t>
            </w:r>
            <w:r w:rsidR="00036510">
              <w:t>C van der Merwe</w:t>
            </w:r>
          </w:p>
          <w:p w14:paraId="4E8C465C" w14:textId="16B9B556" w:rsidR="00DB42AA" w:rsidRDefault="00DB42AA" w:rsidP="00C240DF">
            <w:pPr>
              <w:keepNext/>
              <w:spacing w:after="0" w:line="240" w:lineRule="auto"/>
            </w:pPr>
            <w:r>
              <w:t xml:space="preserve">E-mail: </w:t>
            </w:r>
            <w:hyperlink r:id="rId10" w:history="1">
              <w:r w:rsidR="00036510" w:rsidRPr="00735034">
                <w:rPr>
                  <w:rStyle w:val="Hyperlink"/>
                  <w:sz w:val="22"/>
                  <w:szCs w:val="18"/>
                </w:rPr>
                <w:t>dominus.cvdm@gmail.com</w:t>
              </w:r>
            </w:hyperlink>
            <w:r w:rsidR="009804A8">
              <w:rPr>
                <w:rStyle w:val="Hyperlink"/>
              </w:rPr>
              <w:t xml:space="preserve"> </w:t>
            </w:r>
            <w:r w:rsidR="00831AD2">
              <w:t xml:space="preserve"> </w:t>
            </w:r>
          </w:p>
          <w:p w14:paraId="21D1FD4B" w14:textId="73D85050" w:rsidR="00831AD2" w:rsidRDefault="00831AD2" w:rsidP="00C240DF">
            <w:pPr>
              <w:keepNext/>
              <w:spacing w:after="0" w:line="240" w:lineRule="auto"/>
            </w:pPr>
            <w:r>
              <w:t>Cell: 08</w:t>
            </w:r>
            <w:r w:rsidR="00036510">
              <w:t>2</w:t>
            </w:r>
            <w:r>
              <w:t> </w:t>
            </w:r>
            <w:r w:rsidR="00036510">
              <w:t>788</w:t>
            </w:r>
            <w:r>
              <w:t xml:space="preserve"> </w:t>
            </w:r>
            <w:r w:rsidR="00036510">
              <w:t>3911</w:t>
            </w:r>
          </w:p>
        </w:tc>
      </w:tr>
      <w:tr w:rsidR="006E34E4" w14:paraId="2DF2512C" w14:textId="77777777" w:rsidTr="005545E1">
        <w:tc>
          <w:tcPr>
            <w:tcW w:w="3936" w:type="dxa"/>
            <w:tcMar>
              <w:top w:w="32" w:type="dxa"/>
              <w:left w:w="108" w:type="dxa"/>
              <w:bottom w:w="32" w:type="dxa"/>
              <w:right w:w="108" w:type="dxa"/>
            </w:tcMar>
            <w:vAlign w:val="center"/>
            <w:hideMark/>
          </w:tcPr>
          <w:p w14:paraId="58F841D1" w14:textId="77777777" w:rsidR="006E34E4" w:rsidRDefault="006E34E4" w:rsidP="00CF7049">
            <w:pPr>
              <w:keepNext/>
              <w:spacing w:before="120" w:line="240" w:lineRule="auto"/>
              <w:rPr>
                <w:sz w:val="22"/>
                <w:szCs w:val="22"/>
              </w:rPr>
            </w:pPr>
            <w:r>
              <w:t>INSTRUCTED BY: </w:t>
            </w:r>
          </w:p>
        </w:tc>
        <w:tc>
          <w:tcPr>
            <w:tcW w:w="5208" w:type="dxa"/>
            <w:tcMar>
              <w:top w:w="32" w:type="dxa"/>
              <w:left w:w="108" w:type="dxa"/>
              <w:bottom w:w="32" w:type="dxa"/>
              <w:right w:w="108" w:type="dxa"/>
            </w:tcMar>
            <w:vAlign w:val="center"/>
            <w:hideMark/>
          </w:tcPr>
          <w:p w14:paraId="3372109F" w14:textId="2F091BFC" w:rsidR="00D478B5" w:rsidRDefault="00036510" w:rsidP="00D478B5">
            <w:pPr>
              <w:spacing w:after="0" w:line="240" w:lineRule="auto"/>
              <w:ind w:left="3022" w:hanging="3022"/>
            </w:pPr>
            <w:proofErr w:type="spellStart"/>
            <w:r>
              <w:t>Warffemius</w:t>
            </w:r>
            <w:proofErr w:type="spellEnd"/>
            <w:r>
              <w:t xml:space="preserve"> Van der Merwe Inc.</w:t>
            </w:r>
          </w:p>
          <w:p w14:paraId="0AD17EDC" w14:textId="770246CE" w:rsidR="00C240DF" w:rsidRDefault="003202ED" w:rsidP="00C240DF">
            <w:pPr>
              <w:keepNext/>
              <w:spacing w:after="0" w:line="240" w:lineRule="auto"/>
              <w:rPr>
                <w:sz w:val="22"/>
                <w:szCs w:val="22"/>
              </w:rPr>
            </w:pPr>
            <w:r>
              <w:rPr>
                <w:sz w:val="22"/>
                <w:szCs w:val="22"/>
              </w:rPr>
              <w:t xml:space="preserve">E-mail: </w:t>
            </w:r>
            <w:hyperlink r:id="rId11" w:history="1">
              <w:r w:rsidR="00036510" w:rsidRPr="00735034">
                <w:rPr>
                  <w:rStyle w:val="Hyperlink"/>
                  <w:sz w:val="22"/>
                  <w:szCs w:val="22"/>
                </w:rPr>
                <w:t>jaco@wminc.co.za</w:t>
              </w:r>
            </w:hyperlink>
            <w:r w:rsidR="0012080E">
              <w:rPr>
                <w:sz w:val="22"/>
                <w:szCs w:val="22"/>
              </w:rPr>
              <w:t xml:space="preserve"> </w:t>
            </w:r>
          </w:p>
          <w:p w14:paraId="4701DFC5" w14:textId="121CD239" w:rsidR="00831AD2" w:rsidRDefault="00036510" w:rsidP="00C240DF">
            <w:pPr>
              <w:keepNext/>
              <w:spacing w:after="0" w:line="240" w:lineRule="auto"/>
              <w:rPr>
                <w:sz w:val="22"/>
                <w:szCs w:val="22"/>
              </w:rPr>
            </w:pPr>
            <w:r>
              <w:rPr>
                <w:sz w:val="22"/>
                <w:szCs w:val="22"/>
              </w:rPr>
              <w:t>C</w:t>
            </w:r>
            <w:r>
              <w:rPr>
                <w:szCs w:val="22"/>
              </w:rPr>
              <w:t>ell</w:t>
            </w:r>
            <w:r w:rsidR="00831AD2">
              <w:rPr>
                <w:sz w:val="22"/>
                <w:szCs w:val="22"/>
              </w:rPr>
              <w:t xml:space="preserve">: </w:t>
            </w:r>
            <w:r>
              <w:rPr>
                <w:sz w:val="22"/>
                <w:szCs w:val="22"/>
              </w:rPr>
              <w:t>0</w:t>
            </w:r>
            <w:r>
              <w:rPr>
                <w:szCs w:val="22"/>
              </w:rPr>
              <w:t>82 821 3281</w:t>
            </w:r>
          </w:p>
        </w:tc>
      </w:tr>
      <w:tr w:rsidR="006E34E4" w14:paraId="1DF258FF" w14:textId="77777777" w:rsidTr="005545E1">
        <w:tc>
          <w:tcPr>
            <w:tcW w:w="3936" w:type="dxa"/>
            <w:tcMar>
              <w:top w:w="32" w:type="dxa"/>
              <w:left w:w="108" w:type="dxa"/>
              <w:bottom w:w="32" w:type="dxa"/>
              <w:right w:w="108" w:type="dxa"/>
            </w:tcMar>
            <w:vAlign w:val="center"/>
            <w:hideMark/>
          </w:tcPr>
          <w:p w14:paraId="4420DF33" w14:textId="47E56463" w:rsidR="006E34E4" w:rsidRDefault="006E34E4" w:rsidP="00C240DF">
            <w:pPr>
              <w:keepNext/>
              <w:spacing w:before="120" w:after="0" w:line="240" w:lineRule="auto"/>
              <w:jc w:val="left"/>
              <w:rPr>
                <w:sz w:val="22"/>
                <w:szCs w:val="22"/>
              </w:rPr>
            </w:pPr>
            <w:r>
              <w:t xml:space="preserve">FOR </w:t>
            </w:r>
            <w:r w:rsidR="00036510">
              <w:t>RESPONDENTS</w:t>
            </w:r>
            <w:r>
              <w:t>: </w:t>
            </w:r>
          </w:p>
        </w:tc>
        <w:tc>
          <w:tcPr>
            <w:tcW w:w="5208" w:type="dxa"/>
            <w:tcMar>
              <w:top w:w="32" w:type="dxa"/>
              <w:left w:w="108" w:type="dxa"/>
              <w:bottom w:w="32" w:type="dxa"/>
              <w:right w:w="108" w:type="dxa"/>
            </w:tcMar>
            <w:vAlign w:val="center"/>
            <w:hideMark/>
          </w:tcPr>
          <w:p w14:paraId="429FD972" w14:textId="49EF4695" w:rsidR="006E34E4" w:rsidRDefault="00EA5BC8" w:rsidP="00C240DF">
            <w:pPr>
              <w:keepNext/>
              <w:spacing w:after="0" w:line="240" w:lineRule="auto"/>
            </w:pPr>
            <w:r>
              <w:t xml:space="preserve">Advocate </w:t>
            </w:r>
            <w:r w:rsidR="00036510">
              <w:t xml:space="preserve">M </w:t>
            </w:r>
            <w:proofErr w:type="spellStart"/>
            <w:r w:rsidR="00036510">
              <w:t>Salukazana</w:t>
            </w:r>
            <w:proofErr w:type="spellEnd"/>
          </w:p>
          <w:p w14:paraId="4CAD69E2" w14:textId="44FE45D1" w:rsidR="00C240DF" w:rsidRDefault="00C240DF" w:rsidP="00C240DF">
            <w:pPr>
              <w:keepNext/>
              <w:spacing w:after="0" w:line="240" w:lineRule="auto"/>
              <w:rPr>
                <w:szCs w:val="22"/>
              </w:rPr>
            </w:pPr>
            <w:r>
              <w:rPr>
                <w:szCs w:val="22"/>
              </w:rPr>
              <w:t xml:space="preserve">E-mail: </w:t>
            </w:r>
            <w:hyperlink r:id="rId12" w:history="1">
              <w:r w:rsidR="00036510" w:rsidRPr="00036510">
                <w:rPr>
                  <w:rStyle w:val="Hyperlink"/>
                  <w:sz w:val="22"/>
                  <w:szCs w:val="18"/>
                </w:rPr>
                <w:t xml:space="preserve">Salukazana@thulamelachambers.co.za </w:t>
              </w:r>
            </w:hyperlink>
            <w:r w:rsidR="0012080E" w:rsidRPr="00036510">
              <w:rPr>
                <w:rStyle w:val="Hyperlink"/>
                <w:sz w:val="22"/>
              </w:rPr>
              <w:t xml:space="preserve"> </w:t>
            </w:r>
            <w:r w:rsidR="00EA5BC8" w:rsidRPr="00036510">
              <w:rPr>
                <w:sz w:val="22"/>
              </w:rPr>
              <w:t xml:space="preserve"> </w:t>
            </w:r>
          </w:p>
          <w:p w14:paraId="3C1F75AE" w14:textId="2B53548C" w:rsidR="00EA5BC8" w:rsidRDefault="00EA5BC8" w:rsidP="00C240DF">
            <w:pPr>
              <w:keepNext/>
              <w:spacing w:after="0" w:line="240" w:lineRule="auto"/>
              <w:rPr>
                <w:sz w:val="22"/>
                <w:szCs w:val="22"/>
              </w:rPr>
            </w:pPr>
            <w:r>
              <w:rPr>
                <w:szCs w:val="22"/>
              </w:rPr>
              <w:t xml:space="preserve">Cell: </w:t>
            </w:r>
            <w:r w:rsidR="0012080E">
              <w:rPr>
                <w:szCs w:val="22"/>
              </w:rPr>
              <w:t>0</w:t>
            </w:r>
            <w:r w:rsidR="00036510">
              <w:rPr>
                <w:szCs w:val="22"/>
              </w:rPr>
              <w:t>82</w:t>
            </w:r>
            <w:r>
              <w:rPr>
                <w:szCs w:val="22"/>
              </w:rPr>
              <w:t> </w:t>
            </w:r>
            <w:r w:rsidR="00036510">
              <w:rPr>
                <w:szCs w:val="22"/>
              </w:rPr>
              <w:t>813</w:t>
            </w:r>
            <w:r>
              <w:rPr>
                <w:szCs w:val="22"/>
              </w:rPr>
              <w:t xml:space="preserve"> </w:t>
            </w:r>
            <w:r w:rsidR="00036510">
              <w:rPr>
                <w:szCs w:val="22"/>
              </w:rPr>
              <w:t>7094</w:t>
            </w:r>
          </w:p>
        </w:tc>
      </w:tr>
      <w:tr w:rsidR="006E34E4" w14:paraId="03D680E1" w14:textId="77777777" w:rsidTr="005545E1">
        <w:tc>
          <w:tcPr>
            <w:tcW w:w="3936" w:type="dxa"/>
            <w:tcMar>
              <w:top w:w="32" w:type="dxa"/>
              <w:left w:w="108" w:type="dxa"/>
              <w:bottom w:w="32" w:type="dxa"/>
              <w:right w:w="108" w:type="dxa"/>
            </w:tcMar>
            <w:vAlign w:val="center"/>
            <w:hideMark/>
          </w:tcPr>
          <w:p w14:paraId="754CFEBB" w14:textId="77777777" w:rsidR="006E34E4" w:rsidRDefault="006E34E4" w:rsidP="00CF7049">
            <w:pPr>
              <w:keepNext/>
              <w:spacing w:before="120" w:line="240" w:lineRule="auto"/>
              <w:rPr>
                <w:sz w:val="22"/>
                <w:szCs w:val="22"/>
              </w:rPr>
            </w:pPr>
            <w:r>
              <w:t>INSTRUCTED BY: </w:t>
            </w:r>
          </w:p>
        </w:tc>
        <w:tc>
          <w:tcPr>
            <w:tcW w:w="5208" w:type="dxa"/>
            <w:tcMar>
              <w:top w:w="32" w:type="dxa"/>
              <w:left w:w="108" w:type="dxa"/>
              <w:bottom w:w="32" w:type="dxa"/>
              <w:right w:w="108" w:type="dxa"/>
            </w:tcMar>
            <w:vAlign w:val="center"/>
            <w:hideMark/>
          </w:tcPr>
          <w:p w14:paraId="76A404B5" w14:textId="4478A8C0" w:rsidR="00EA5BC8" w:rsidRDefault="00036510" w:rsidP="00C240DF">
            <w:pPr>
              <w:keepNext/>
              <w:spacing w:after="0" w:line="240" w:lineRule="auto"/>
            </w:pPr>
            <w:proofErr w:type="spellStart"/>
            <w:r>
              <w:t>Gwina</w:t>
            </w:r>
            <w:proofErr w:type="spellEnd"/>
            <w:r>
              <w:t xml:space="preserve"> Attorneys Inc.</w:t>
            </w:r>
          </w:p>
          <w:p w14:paraId="16E86901" w14:textId="77777777" w:rsidR="00867F57" w:rsidRDefault="00C240DF" w:rsidP="00C240DF">
            <w:pPr>
              <w:keepNext/>
              <w:spacing w:after="0" w:line="240" w:lineRule="auto"/>
            </w:pPr>
            <w:r>
              <w:t>E-mail:</w:t>
            </w:r>
            <w:r w:rsidR="00143DA0">
              <w:t xml:space="preserve"> </w:t>
            </w:r>
            <w:hyperlink r:id="rId13" w:history="1">
              <w:r w:rsidR="00867F57" w:rsidRPr="00735034">
                <w:rPr>
                  <w:rStyle w:val="Hyperlink"/>
                  <w:sz w:val="22"/>
                  <w:szCs w:val="18"/>
                </w:rPr>
                <w:t>mahlakuk@gwinaattorneys.co.za</w:t>
              </w:r>
            </w:hyperlink>
            <w:r w:rsidR="0012080E">
              <w:t xml:space="preserve"> </w:t>
            </w:r>
          </w:p>
          <w:p w14:paraId="039E71D0" w14:textId="77777777" w:rsidR="00867F57" w:rsidRDefault="00DE2520" w:rsidP="00C240DF">
            <w:pPr>
              <w:keepNext/>
              <w:spacing w:after="0" w:line="240" w:lineRule="auto"/>
            </w:pPr>
            <w:hyperlink r:id="rId14" w:history="1">
              <w:r w:rsidR="00867F57" w:rsidRPr="00867F57">
                <w:rPr>
                  <w:rStyle w:val="Hyperlink"/>
                  <w:sz w:val="22"/>
                  <w:szCs w:val="18"/>
                </w:rPr>
                <w:t>mthembun@gwinaattorneys.co.za</w:t>
              </w:r>
            </w:hyperlink>
          </w:p>
          <w:p w14:paraId="6BE9CF34" w14:textId="2C09E5D4" w:rsidR="007154C1" w:rsidRDefault="00DE2520" w:rsidP="00C240DF">
            <w:pPr>
              <w:keepNext/>
              <w:spacing w:after="0" w:line="240" w:lineRule="auto"/>
              <w:rPr>
                <w:rStyle w:val="Hyperlink"/>
              </w:rPr>
            </w:pPr>
            <w:hyperlink r:id="rId15" w:history="1">
              <w:r w:rsidR="00867F57" w:rsidRPr="00867F57">
                <w:rPr>
                  <w:rStyle w:val="Hyperlink"/>
                  <w:sz w:val="22"/>
                  <w:szCs w:val="18"/>
                </w:rPr>
                <w:t>mabokelag@gwinaattorneys.co.za</w:t>
              </w:r>
            </w:hyperlink>
            <w:r w:rsidR="00867F57">
              <w:t xml:space="preserve">  </w:t>
            </w:r>
            <w:r w:rsidR="00143DA0">
              <w:t xml:space="preserve"> </w:t>
            </w:r>
            <w:hyperlink r:id="rId16" w:history="1">
              <w:r w:rsidR="00143DA0" w:rsidRPr="006C446C">
                <w:rPr>
                  <w:rStyle w:val="Hyperlink"/>
                </w:rPr>
                <w:t xml:space="preserve">      </w:t>
              </w:r>
            </w:hyperlink>
          </w:p>
          <w:p w14:paraId="25D552CE" w14:textId="2E5D612D" w:rsidR="00EA5BC8" w:rsidRDefault="00867F57" w:rsidP="00C240DF">
            <w:pPr>
              <w:keepNext/>
              <w:spacing w:after="0" w:line="240" w:lineRule="auto"/>
              <w:rPr>
                <w:sz w:val="22"/>
                <w:szCs w:val="22"/>
              </w:rPr>
            </w:pPr>
            <w:r>
              <w:rPr>
                <w:sz w:val="22"/>
                <w:szCs w:val="22"/>
              </w:rPr>
              <w:t>Cell: 072 548 8745</w:t>
            </w:r>
          </w:p>
        </w:tc>
      </w:tr>
      <w:bookmarkEnd w:id="1"/>
      <w:bookmarkEnd w:id="3"/>
    </w:tbl>
    <w:p w14:paraId="32C6E511" w14:textId="77777777" w:rsidR="006E34E4" w:rsidRDefault="006E34E4" w:rsidP="006E34E4">
      <w:pPr>
        <w:pStyle w:val="Heading2"/>
        <w:numPr>
          <w:ilvl w:val="0"/>
          <w:numId w:val="0"/>
        </w:numPr>
      </w:pPr>
    </w:p>
    <w:p w14:paraId="06EDD1BB" w14:textId="77777777" w:rsidR="00EA5BC8" w:rsidRPr="00964F05" w:rsidRDefault="00EA5BC8" w:rsidP="006E34E4">
      <w:pPr>
        <w:pStyle w:val="Heading2"/>
        <w:numPr>
          <w:ilvl w:val="0"/>
          <w:numId w:val="0"/>
        </w:numPr>
      </w:pPr>
    </w:p>
    <w:sectPr w:rsidR="00EA5BC8" w:rsidRPr="00964F05" w:rsidSect="00CF7049">
      <w:headerReference w:type="even" r:id="rId17"/>
      <w:headerReference w:type="default" r:id="rId18"/>
      <w:pgSz w:w="11906" w:h="16838" w:code="9"/>
      <w:pgMar w:top="1429" w:right="1729" w:bottom="993" w:left="1582" w:header="1276"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8C95A" w14:textId="77777777" w:rsidR="00DE2520" w:rsidRDefault="00DE2520" w:rsidP="00B958BA">
      <w:pPr>
        <w:pStyle w:val="Title"/>
      </w:pPr>
      <w:r>
        <w:separator/>
      </w:r>
    </w:p>
  </w:endnote>
  <w:endnote w:type="continuationSeparator" w:id="0">
    <w:p w14:paraId="018D0D49" w14:textId="77777777" w:rsidR="00DE2520" w:rsidRDefault="00DE2520"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9E1B4" w14:textId="77777777" w:rsidR="00DE2520" w:rsidRDefault="00DE2520" w:rsidP="00B958BA">
      <w:pPr>
        <w:pStyle w:val="Title"/>
      </w:pPr>
      <w:r>
        <w:separator/>
      </w:r>
    </w:p>
  </w:footnote>
  <w:footnote w:type="continuationSeparator" w:id="0">
    <w:p w14:paraId="0835BF3F" w14:textId="77777777" w:rsidR="00DE2520" w:rsidRDefault="00DE2520" w:rsidP="00B958BA">
      <w:pPr>
        <w:pStyle w:val="Title"/>
      </w:pPr>
      <w:r>
        <w:continuationSeparator/>
      </w:r>
    </w:p>
  </w:footnote>
  <w:footnote w:id="1">
    <w:p w14:paraId="0843EE02" w14:textId="7DAA9A12" w:rsidR="00E37DD8" w:rsidRPr="00E37DD8" w:rsidRDefault="00E37DD8">
      <w:pPr>
        <w:pStyle w:val="FootnoteText"/>
        <w:rPr>
          <w:bCs/>
        </w:rPr>
      </w:pPr>
      <w:r>
        <w:rPr>
          <w:rStyle w:val="FootnoteReference"/>
        </w:rPr>
        <w:footnoteRef/>
      </w:r>
      <w:r>
        <w:t xml:space="preserve"> </w:t>
      </w:r>
      <w:r>
        <w:tab/>
      </w:r>
      <w:proofErr w:type="spellStart"/>
      <w:r>
        <w:t>CaseLines</w:t>
      </w:r>
      <w:proofErr w:type="spellEnd"/>
      <w:r>
        <w:t>, 048-</w:t>
      </w:r>
      <w:r w:rsidR="00284394">
        <w:t>59</w:t>
      </w:r>
      <w:r>
        <w:t xml:space="preserve"> to 048-</w:t>
      </w:r>
      <w:r w:rsidR="00284394">
        <w:t>66</w:t>
      </w:r>
      <w:r>
        <w:t xml:space="preserve">, </w:t>
      </w:r>
      <w:r w:rsidRPr="00BF0ACB">
        <w:t xml:space="preserve">Annexure </w:t>
      </w:r>
      <w:r w:rsidRPr="00BF0ACB">
        <w:rPr>
          <w:b/>
        </w:rPr>
        <w:t>“</w:t>
      </w:r>
      <w:r>
        <w:rPr>
          <w:b/>
        </w:rPr>
        <w:t>FA</w:t>
      </w:r>
      <w:r w:rsidR="00284394">
        <w:rPr>
          <w:b/>
        </w:rPr>
        <w:t>5</w:t>
      </w:r>
      <w:r>
        <w:rPr>
          <w:b/>
        </w:rPr>
        <w:t>”</w:t>
      </w:r>
    </w:p>
  </w:footnote>
  <w:footnote w:id="2">
    <w:p w14:paraId="196D0F4D" w14:textId="45790E35" w:rsidR="00407878" w:rsidRDefault="00407878">
      <w:pPr>
        <w:pStyle w:val="FootnoteText"/>
      </w:pPr>
      <w:r>
        <w:rPr>
          <w:rStyle w:val="FootnoteReference"/>
        </w:rPr>
        <w:footnoteRef/>
      </w:r>
      <w:r>
        <w:t xml:space="preserve"> </w:t>
      </w:r>
      <w:r>
        <w:tab/>
      </w:r>
      <w:proofErr w:type="spellStart"/>
      <w:r>
        <w:t>CaseLines</w:t>
      </w:r>
      <w:proofErr w:type="spellEnd"/>
      <w:r>
        <w:t xml:space="preserve">, 048-59 to 048-66, </w:t>
      </w:r>
      <w:r w:rsidRPr="00BF0ACB">
        <w:t xml:space="preserve">Annexure </w:t>
      </w:r>
      <w:r w:rsidRPr="00BF0ACB">
        <w:rPr>
          <w:b/>
        </w:rPr>
        <w:t>“</w:t>
      </w:r>
      <w:r>
        <w:rPr>
          <w:b/>
        </w:rPr>
        <w:t>FA5”</w:t>
      </w:r>
    </w:p>
  </w:footnote>
  <w:footnote w:id="3">
    <w:p w14:paraId="4C1B0A55" w14:textId="15198C62" w:rsidR="004D6885" w:rsidRDefault="004D6885">
      <w:pPr>
        <w:pStyle w:val="FootnoteText"/>
      </w:pPr>
      <w:r>
        <w:rPr>
          <w:rStyle w:val="FootnoteReference"/>
        </w:rPr>
        <w:footnoteRef/>
      </w:r>
      <w:r>
        <w:t xml:space="preserve"> </w:t>
      </w:r>
      <w:r>
        <w:tab/>
        <w:t xml:space="preserve">1999 (3) SA 500 (C) at 513 </w:t>
      </w:r>
    </w:p>
  </w:footnote>
  <w:footnote w:id="4">
    <w:p w14:paraId="00854969" w14:textId="46076A85" w:rsidR="00806985" w:rsidRPr="00806985" w:rsidRDefault="00806985">
      <w:pPr>
        <w:pStyle w:val="FootnoteText"/>
        <w:rPr>
          <w:bCs/>
        </w:rPr>
      </w:pPr>
      <w:r>
        <w:rPr>
          <w:rStyle w:val="FootnoteReference"/>
        </w:rPr>
        <w:footnoteRef/>
      </w:r>
      <w:r>
        <w:t xml:space="preserve"> </w:t>
      </w:r>
      <w:r>
        <w:tab/>
      </w:r>
      <w:proofErr w:type="spellStart"/>
      <w:r>
        <w:t>CaseLines</w:t>
      </w:r>
      <w:proofErr w:type="spellEnd"/>
      <w:r>
        <w:t xml:space="preserve">, 048-67 to 048-69, </w:t>
      </w:r>
      <w:r w:rsidRPr="00BF0ACB">
        <w:t xml:space="preserve">Annexure </w:t>
      </w:r>
      <w:r w:rsidRPr="00BF0ACB">
        <w:rPr>
          <w:b/>
        </w:rPr>
        <w:t>“</w:t>
      </w:r>
      <w:r>
        <w:rPr>
          <w:b/>
        </w:rPr>
        <w:t>FA6”</w:t>
      </w:r>
    </w:p>
  </w:footnote>
  <w:footnote w:id="5">
    <w:p w14:paraId="48821C0A" w14:textId="2C3A7B69" w:rsidR="009D24C2" w:rsidRPr="0048459E" w:rsidRDefault="009D24C2">
      <w:pPr>
        <w:pStyle w:val="FootnoteText"/>
      </w:pPr>
      <w:r>
        <w:rPr>
          <w:rStyle w:val="FootnoteReference"/>
        </w:rPr>
        <w:footnoteRef/>
      </w:r>
      <w:r>
        <w:t xml:space="preserve"> </w:t>
      </w:r>
      <w:r>
        <w:tab/>
        <w:t xml:space="preserve">Unreported decision </w:t>
      </w:r>
      <w:r>
        <w:rPr>
          <w:b/>
          <w:bCs/>
          <w:i/>
          <w:iCs/>
        </w:rPr>
        <w:t xml:space="preserve">Hilbert Plant Hire CC v JS </w:t>
      </w:r>
      <w:proofErr w:type="spellStart"/>
      <w:r>
        <w:rPr>
          <w:b/>
          <w:bCs/>
          <w:i/>
          <w:iCs/>
        </w:rPr>
        <w:t>Brider</w:t>
      </w:r>
      <w:proofErr w:type="spellEnd"/>
      <w:r>
        <w:rPr>
          <w:b/>
          <w:bCs/>
          <w:i/>
          <w:iCs/>
        </w:rPr>
        <w:t xml:space="preserve"> and J </w:t>
      </w:r>
      <w:proofErr w:type="spellStart"/>
      <w:r>
        <w:rPr>
          <w:b/>
          <w:bCs/>
          <w:i/>
          <w:iCs/>
        </w:rPr>
        <w:t>Brider</w:t>
      </w:r>
      <w:proofErr w:type="spellEnd"/>
      <w:r w:rsidR="0048459E">
        <w:rPr>
          <w:i/>
          <w:iCs/>
        </w:rPr>
        <w:t xml:space="preserve">, </w:t>
      </w:r>
      <w:r w:rsidR="0048459E">
        <w:t>Case No. 41890/19 (dated 3 August 2021) at para [20]</w:t>
      </w:r>
    </w:p>
  </w:footnote>
  <w:footnote w:id="6">
    <w:p w14:paraId="0E7BE189" w14:textId="2E830003" w:rsidR="00294114" w:rsidRDefault="00294114">
      <w:pPr>
        <w:pStyle w:val="FootnoteText"/>
      </w:pPr>
      <w:r>
        <w:rPr>
          <w:rStyle w:val="FootnoteReference"/>
        </w:rPr>
        <w:footnoteRef/>
      </w:r>
      <w:r>
        <w:t xml:space="preserve"> </w:t>
      </w:r>
      <w:r>
        <w:tab/>
        <w:t>2000 (3) SA 181 (W) at para [23] and [24]</w:t>
      </w:r>
    </w:p>
  </w:footnote>
  <w:footnote w:id="7">
    <w:p w14:paraId="46D5A658" w14:textId="03ACF9B9" w:rsidR="003D20CC" w:rsidRDefault="003D20CC">
      <w:pPr>
        <w:pStyle w:val="FootnoteText"/>
      </w:pPr>
      <w:r>
        <w:rPr>
          <w:rStyle w:val="FootnoteReference"/>
        </w:rPr>
        <w:footnoteRef/>
      </w:r>
      <w:r>
        <w:t xml:space="preserve"> </w:t>
      </w:r>
      <w:r>
        <w:tab/>
      </w:r>
      <w:proofErr w:type="spellStart"/>
      <w:r>
        <w:t>CaseLines</w:t>
      </w:r>
      <w:proofErr w:type="spellEnd"/>
      <w:r>
        <w:t>, 048-60, para 2</w:t>
      </w:r>
    </w:p>
  </w:footnote>
  <w:footnote w:id="8">
    <w:p w14:paraId="1DC445D4" w14:textId="4E0CED3D" w:rsidR="004D7EB1" w:rsidRDefault="004D7EB1">
      <w:pPr>
        <w:pStyle w:val="FootnoteText"/>
      </w:pPr>
      <w:r>
        <w:rPr>
          <w:rStyle w:val="FootnoteReference"/>
        </w:rPr>
        <w:footnoteRef/>
      </w:r>
      <w:r>
        <w:t xml:space="preserve"> </w:t>
      </w:r>
      <w:r>
        <w:tab/>
        <w:t>[2019] JOL 43169 GJ at paras 61-67</w:t>
      </w:r>
    </w:p>
  </w:footnote>
  <w:footnote w:id="9">
    <w:p w14:paraId="1A4AE547" w14:textId="77777777" w:rsidR="000F04D0" w:rsidRPr="000F04D0" w:rsidRDefault="000F04D0" w:rsidP="000F04D0">
      <w:pPr>
        <w:pStyle w:val="FootnoteText"/>
        <w:rPr>
          <w:b/>
        </w:rPr>
      </w:pPr>
      <w:r>
        <w:rPr>
          <w:rStyle w:val="FootnoteReference"/>
        </w:rPr>
        <w:footnoteRef/>
      </w:r>
      <w:r>
        <w:t xml:space="preserve"> </w:t>
      </w:r>
      <w:r>
        <w:tab/>
      </w:r>
      <w:proofErr w:type="spellStart"/>
      <w:r>
        <w:t>CaseLines</w:t>
      </w:r>
      <w:proofErr w:type="spellEnd"/>
      <w:r>
        <w:t xml:space="preserve">, 048-74 to 048-77, </w:t>
      </w:r>
      <w:r w:rsidRPr="00BF0ACB">
        <w:t>Annexure</w:t>
      </w:r>
      <w:r>
        <w:t>s</w:t>
      </w:r>
      <w:r w:rsidRPr="00BF0ACB">
        <w:t xml:space="preserve"> </w:t>
      </w:r>
      <w:r w:rsidRPr="00BF0ACB">
        <w:rPr>
          <w:b/>
        </w:rPr>
        <w:t>“</w:t>
      </w:r>
      <w:r>
        <w:rPr>
          <w:b/>
        </w:rPr>
        <w:t>FA9.1”</w:t>
      </w:r>
      <w:r>
        <w:rPr>
          <w:bCs/>
        </w:rPr>
        <w:t xml:space="preserve"> to </w:t>
      </w:r>
      <w:r>
        <w:rPr>
          <w:b/>
        </w:rPr>
        <w:t>“FA9.4”</w:t>
      </w:r>
    </w:p>
  </w:footnote>
  <w:footnote w:id="10">
    <w:p w14:paraId="25E7D488" w14:textId="44A8A53A" w:rsidR="000F04D0" w:rsidRDefault="000F04D0">
      <w:pPr>
        <w:pStyle w:val="FootnoteText"/>
      </w:pPr>
      <w:r>
        <w:rPr>
          <w:rStyle w:val="FootnoteReference"/>
        </w:rPr>
        <w:footnoteRef/>
      </w:r>
      <w:r>
        <w:t xml:space="preserve"> </w:t>
      </w:r>
      <w:r>
        <w:tab/>
        <w:t>Unreported decision, Case No. 11407/2019 dated 19 May 2020</w:t>
      </w:r>
    </w:p>
  </w:footnote>
  <w:footnote w:id="11">
    <w:p w14:paraId="5F62E60F" w14:textId="6D6BCC7C" w:rsidR="000F04D0" w:rsidRDefault="000F04D0">
      <w:pPr>
        <w:pStyle w:val="FootnoteText"/>
      </w:pPr>
      <w:r>
        <w:rPr>
          <w:rStyle w:val="FootnoteReference"/>
        </w:rPr>
        <w:footnoteRef/>
      </w:r>
      <w:r>
        <w:t xml:space="preserve"> </w:t>
      </w:r>
      <w:r>
        <w:tab/>
        <w:t>Page 9, para 14</w:t>
      </w:r>
    </w:p>
  </w:footnote>
  <w:footnote w:id="12">
    <w:p w14:paraId="5524D4CD" w14:textId="088979C7" w:rsidR="00430AE3" w:rsidRDefault="00430AE3">
      <w:pPr>
        <w:pStyle w:val="FootnoteText"/>
      </w:pPr>
      <w:r>
        <w:rPr>
          <w:rStyle w:val="FootnoteReference"/>
        </w:rPr>
        <w:footnoteRef/>
      </w:r>
      <w:r>
        <w:t xml:space="preserve"> </w:t>
      </w:r>
      <w:r>
        <w:tab/>
        <w:t xml:space="preserve">Section 88(1) and 88(2) of the Companies Act </w:t>
      </w:r>
    </w:p>
  </w:footnote>
  <w:footnote w:id="13">
    <w:p w14:paraId="27F8F476" w14:textId="646E6058" w:rsidR="00AE546A" w:rsidRDefault="00AE546A">
      <w:pPr>
        <w:pStyle w:val="FootnoteText"/>
      </w:pPr>
      <w:r>
        <w:rPr>
          <w:rStyle w:val="FootnoteReference"/>
        </w:rPr>
        <w:footnoteRef/>
      </w:r>
      <w:r>
        <w:t xml:space="preserve"> </w:t>
      </w:r>
      <w:r>
        <w:tab/>
        <w:t>1965 (1) SA 427 (N) at 429</w:t>
      </w:r>
    </w:p>
  </w:footnote>
  <w:footnote w:id="14">
    <w:p w14:paraId="364ADA15" w14:textId="42B97B8C" w:rsidR="00D97DE4" w:rsidRPr="00D97DE4" w:rsidRDefault="00D97DE4">
      <w:pPr>
        <w:pStyle w:val="FootnoteText"/>
      </w:pPr>
      <w:r>
        <w:rPr>
          <w:rStyle w:val="FootnoteReference"/>
        </w:rPr>
        <w:footnoteRef/>
      </w:r>
      <w:r>
        <w:t xml:space="preserve"> </w:t>
      </w:r>
      <w:r>
        <w:tab/>
        <w:t xml:space="preserve">Erasmus, D5-30 to D5-31 and </w:t>
      </w:r>
      <w:r>
        <w:rPr>
          <w:b/>
          <w:bCs/>
          <w:i/>
          <w:iCs/>
        </w:rPr>
        <w:t xml:space="preserve">Multi-Links Telecommunications Ltd v Africa Prepaid Services Nigeria Ltd </w:t>
      </w:r>
      <w:r>
        <w:t>2014 (3) SA 265 (GP) at 289A-D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1714"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3968438A" w14:textId="77777777" w:rsidR="00853FC4" w:rsidRDefault="00853F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321655"/>
      <w:docPartObj>
        <w:docPartGallery w:val="Page Numbers (Top of Page)"/>
        <w:docPartUnique/>
      </w:docPartObj>
    </w:sdtPr>
    <w:sdtEndPr>
      <w:rPr>
        <w:noProof/>
        <w:sz w:val="24"/>
        <w:szCs w:val="24"/>
      </w:rPr>
    </w:sdtEndPr>
    <w:sdtContent>
      <w:p w14:paraId="2A952557" w14:textId="2DDA87A6" w:rsidR="00CF7049" w:rsidRPr="00E928E8" w:rsidRDefault="00CF7049">
        <w:pPr>
          <w:pStyle w:val="Header"/>
          <w:jc w:val="right"/>
          <w:rPr>
            <w:sz w:val="24"/>
            <w:szCs w:val="24"/>
          </w:rPr>
        </w:pPr>
        <w:r w:rsidRPr="00E928E8">
          <w:rPr>
            <w:sz w:val="24"/>
            <w:szCs w:val="24"/>
          </w:rPr>
          <w:fldChar w:fldCharType="begin"/>
        </w:r>
        <w:r w:rsidRPr="00E928E8">
          <w:rPr>
            <w:sz w:val="24"/>
            <w:szCs w:val="24"/>
          </w:rPr>
          <w:instrText xml:space="preserve"> PAGE   \* MERGEFORMAT </w:instrText>
        </w:r>
        <w:r w:rsidRPr="00E928E8">
          <w:rPr>
            <w:sz w:val="24"/>
            <w:szCs w:val="24"/>
          </w:rPr>
          <w:fldChar w:fldCharType="separate"/>
        </w:r>
        <w:r w:rsidR="001B3350">
          <w:rPr>
            <w:noProof/>
            <w:sz w:val="24"/>
            <w:szCs w:val="24"/>
          </w:rPr>
          <w:t>2</w:t>
        </w:r>
        <w:r w:rsidRPr="00E928E8">
          <w:rPr>
            <w:noProof/>
            <w:sz w:val="24"/>
            <w:szCs w:val="24"/>
          </w:rPr>
          <w:fldChar w:fldCharType="end"/>
        </w:r>
      </w:p>
    </w:sdtContent>
  </w:sdt>
  <w:p w14:paraId="75F8C4BE" w14:textId="77777777" w:rsidR="00853FC4" w:rsidRDefault="00853FC4">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452B"/>
    <w:multiLevelType w:val="hybridMultilevel"/>
    <w:tmpl w:val="3A925C82"/>
    <w:lvl w:ilvl="0" w:tplc="A740E922">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nsid w:val="0AB15D65"/>
    <w:multiLevelType w:val="hybridMultilevel"/>
    <w:tmpl w:val="97424382"/>
    <w:lvl w:ilvl="0" w:tplc="0C9C1414">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3">
    <w:nsid w:val="154C3444"/>
    <w:multiLevelType w:val="multilevel"/>
    <w:tmpl w:val="CFDE2536"/>
    <w:lvl w:ilvl="0">
      <w:start w:val="1"/>
      <w:numFmt w:val="decimal"/>
      <w:pStyle w:val="Heading1"/>
      <w:lvlText w:val="[%1]"/>
      <w:lvlJc w:val="left"/>
      <w:pPr>
        <w:tabs>
          <w:tab w:val="num" w:pos="862"/>
        </w:tabs>
        <w:ind w:left="862" w:hanging="862"/>
      </w:pPr>
      <w:rPr>
        <w:rFonts w:hint="default"/>
        <w:b w:val="0"/>
        <w:bCs w:val="0"/>
      </w:rPr>
    </w:lvl>
    <w:lvl w:ilvl="1">
      <w:start w:val="1"/>
      <w:numFmt w:val="decimal"/>
      <w:pStyle w:val="Heading2"/>
      <w:lvlText w:val="[%1.%2]"/>
      <w:lvlJc w:val="left"/>
      <w:pPr>
        <w:tabs>
          <w:tab w:val="num" w:pos="1871"/>
        </w:tabs>
        <w:ind w:left="1871" w:hanging="1009"/>
      </w:pPr>
      <w:rPr>
        <w:rFonts w:hint="default"/>
      </w:rPr>
    </w:lvl>
    <w:lvl w:ilvl="2">
      <w:start w:val="1"/>
      <w:numFmt w:val="decimal"/>
      <w:pStyle w:val="Heading3"/>
      <w:lvlText w:val="[%1.%2.%3]"/>
      <w:lvlJc w:val="left"/>
      <w:pPr>
        <w:tabs>
          <w:tab w:val="num" w:pos="3022"/>
        </w:tabs>
        <w:ind w:left="3022" w:hanging="1151"/>
      </w:pPr>
      <w:rPr>
        <w:rFonts w:hint="default"/>
      </w:rPr>
    </w:lvl>
    <w:lvl w:ilvl="3">
      <w:start w:val="1"/>
      <w:numFmt w:val="decimal"/>
      <w:pStyle w:val="Heading4"/>
      <w:lvlText w:val="%1.%2.%3.%4"/>
      <w:lvlJc w:val="left"/>
      <w:pPr>
        <w:tabs>
          <w:tab w:val="num" w:pos="4321"/>
        </w:tabs>
        <w:ind w:left="4321" w:hanging="1299"/>
      </w:pPr>
      <w:rPr>
        <w:rFonts w:hint="default"/>
      </w:rPr>
    </w:lvl>
    <w:lvl w:ilvl="4">
      <w:start w:val="1"/>
      <w:numFmt w:val="decimal"/>
      <w:pStyle w:val="Heading5"/>
      <w:lvlText w:val="%1.%2.%3.%4.%5"/>
      <w:lvlJc w:val="left"/>
      <w:pPr>
        <w:tabs>
          <w:tab w:val="num" w:pos="5761"/>
        </w:tabs>
        <w:ind w:left="5761" w:hanging="1440"/>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4">
    <w:nsid w:val="311536CB"/>
    <w:multiLevelType w:val="multilevel"/>
    <w:tmpl w:val="9F646534"/>
    <w:lvl w:ilvl="0">
      <w:start w:val="5"/>
      <w:numFmt w:val="decimal"/>
      <w:lvlText w:val="%1"/>
      <w:lvlJc w:val="left"/>
      <w:pPr>
        <w:ind w:left="360" w:hanging="360"/>
      </w:pPr>
      <w:rPr>
        <w:rFonts w:hint="default"/>
      </w:rPr>
    </w:lvl>
    <w:lvl w:ilvl="1">
      <w:start w:val="1"/>
      <w:numFmt w:val="decimal"/>
      <w:lvlText w:val="%1.%2"/>
      <w:lvlJc w:val="left"/>
      <w:pPr>
        <w:ind w:left="2235" w:hanging="360"/>
      </w:pPr>
      <w:rPr>
        <w:rFonts w:hint="default"/>
      </w:rPr>
    </w:lvl>
    <w:lvl w:ilvl="2">
      <w:start w:val="1"/>
      <w:numFmt w:val="decimal"/>
      <w:lvlText w:val="%1.%2.%3"/>
      <w:lvlJc w:val="left"/>
      <w:pPr>
        <w:ind w:left="4470" w:hanging="720"/>
      </w:pPr>
      <w:rPr>
        <w:rFonts w:hint="default"/>
      </w:rPr>
    </w:lvl>
    <w:lvl w:ilvl="3">
      <w:start w:val="1"/>
      <w:numFmt w:val="decimal"/>
      <w:lvlText w:val="%1.%2.%3.%4"/>
      <w:lvlJc w:val="left"/>
      <w:pPr>
        <w:ind w:left="6705" w:hanging="1080"/>
      </w:pPr>
      <w:rPr>
        <w:rFonts w:hint="default"/>
      </w:rPr>
    </w:lvl>
    <w:lvl w:ilvl="4">
      <w:start w:val="1"/>
      <w:numFmt w:val="decimal"/>
      <w:lvlText w:val="%1.%2.%3.%4.%5"/>
      <w:lvlJc w:val="left"/>
      <w:pPr>
        <w:ind w:left="8580" w:hanging="1080"/>
      </w:pPr>
      <w:rPr>
        <w:rFonts w:hint="default"/>
      </w:rPr>
    </w:lvl>
    <w:lvl w:ilvl="5">
      <w:start w:val="1"/>
      <w:numFmt w:val="decimal"/>
      <w:lvlText w:val="%1.%2.%3.%4.%5.%6"/>
      <w:lvlJc w:val="left"/>
      <w:pPr>
        <w:ind w:left="10815" w:hanging="1440"/>
      </w:pPr>
      <w:rPr>
        <w:rFonts w:hint="default"/>
      </w:rPr>
    </w:lvl>
    <w:lvl w:ilvl="6">
      <w:start w:val="1"/>
      <w:numFmt w:val="decimal"/>
      <w:lvlText w:val="%1.%2.%3.%4.%5.%6.%7"/>
      <w:lvlJc w:val="left"/>
      <w:pPr>
        <w:ind w:left="12690" w:hanging="1440"/>
      </w:pPr>
      <w:rPr>
        <w:rFonts w:hint="default"/>
      </w:rPr>
    </w:lvl>
    <w:lvl w:ilvl="7">
      <w:start w:val="1"/>
      <w:numFmt w:val="decimal"/>
      <w:lvlText w:val="%1.%2.%3.%4.%5.%6.%7.%8"/>
      <w:lvlJc w:val="left"/>
      <w:pPr>
        <w:ind w:left="14925" w:hanging="1800"/>
      </w:pPr>
      <w:rPr>
        <w:rFonts w:hint="default"/>
      </w:rPr>
    </w:lvl>
    <w:lvl w:ilvl="8">
      <w:start w:val="1"/>
      <w:numFmt w:val="decimal"/>
      <w:lvlText w:val="%1.%2.%3.%4.%5.%6.%7.%8.%9"/>
      <w:lvlJc w:val="left"/>
      <w:pPr>
        <w:ind w:left="16800" w:hanging="1800"/>
      </w:pPr>
      <w:rPr>
        <w:rFonts w:hint="default"/>
      </w:rPr>
    </w:lvl>
  </w:abstractNum>
  <w:abstractNum w:abstractNumId="5">
    <w:nsid w:val="43107D6E"/>
    <w:multiLevelType w:val="hybridMultilevel"/>
    <w:tmpl w:val="5D7CD81A"/>
    <w:lvl w:ilvl="0" w:tplc="BC3E0B2E">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6">
    <w:nsid w:val="467A01E0"/>
    <w:multiLevelType w:val="hybridMultilevel"/>
    <w:tmpl w:val="B9CEA7F8"/>
    <w:lvl w:ilvl="0" w:tplc="0D1C5B6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746D72"/>
    <w:multiLevelType w:val="multilevel"/>
    <w:tmpl w:val="0EDECADA"/>
    <w:lvl w:ilvl="0">
      <w:start w:val="1"/>
      <w:numFmt w:val="decimal"/>
      <w:lvlText w:val="%1"/>
      <w:lvlJc w:val="left"/>
      <w:pPr>
        <w:ind w:left="1140" w:hanging="1140"/>
      </w:pPr>
      <w:rPr>
        <w:rFonts w:hint="default"/>
      </w:rPr>
    </w:lvl>
    <w:lvl w:ilvl="1">
      <w:start w:val="1"/>
      <w:numFmt w:val="decimal"/>
      <w:lvlText w:val="%1.%2"/>
      <w:lvlJc w:val="left"/>
      <w:pPr>
        <w:ind w:left="3015" w:hanging="1140"/>
      </w:pPr>
      <w:rPr>
        <w:rFonts w:hint="default"/>
      </w:rPr>
    </w:lvl>
    <w:lvl w:ilvl="2">
      <w:start w:val="1"/>
      <w:numFmt w:val="decimal"/>
      <w:lvlText w:val="%1.%2.%3"/>
      <w:lvlJc w:val="left"/>
      <w:pPr>
        <w:ind w:left="4890" w:hanging="1140"/>
      </w:pPr>
      <w:rPr>
        <w:rFonts w:hint="default"/>
      </w:rPr>
    </w:lvl>
    <w:lvl w:ilvl="3">
      <w:start w:val="1"/>
      <w:numFmt w:val="decimal"/>
      <w:lvlText w:val="%1.%2.%3.%4"/>
      <w:lvlJc w:val="left"/>
      <w:pPr>
        <w:ind w:left="6765" w:hanging="1140"/>
      </w:pPr>
      <w:rPr>
        <w:rFonts w:hint="default"/>
      </w:rPr>
    </w:lvl>
    <w:lvl w:ilvl="4">
      <w:start w:val="1"/>
      <w:numFmt w:val="decimal"/>
      <w:lvlText w:val="%1.%2.%3.%4.%5"/>
      <w:lvlJc w:val="left"/>
      <w:pPr>
        <w:ind w:left="8640" w:hanging="1140"/>
      </w:pPr>
      <w:rPr>
        <w:rFonts w:hint="default"/>
      </w:rPr>
    </w:lvl>
    <w:lvl w:ilvl="5">
      <w:start w:val="1"/>
      <w:numFmt w:val="decimal"/>
      <w:lvlText w:val="%1.%2.%3.%4.%5.%6"/>
      <w:lvlJc w:val="left"/>
      <w:pPr>
        <w:ind w:left="10815" w:hanging="1440"/>
      </w:pPr>
      <w:rPr>
        <w:rFonts w:hint="default"/>
      </w:rPr>
    </w:lvl>
    <w:lvl w:ilvl="6">
      <w:start w:val="1"/>
      <w:numFmt w:val="decimal"/>
      <w:lvlText w:val="%1.%2.%3.%4.%5.%6.%7"/>
      <w:lvlJc w:val="left"/>
      <w:pPr>
        <w:ind w:left="12690" w:hanging="1440"/>
      </w:pPr>
      <w:rPr>
        <w:rFonts w:hint="default"/>
      </w:rPr>
    </w:lvl>
    <w:lvl w:ilvl="7">
      <w:start w:val="1"/>
      <w:numFmt w:val="decimal"/>
      <w:lvlText w:val="%1.%2.%3.%4.%5.%6.%7.%8"/>
      <w:lvlJc w:val="left"/>
      <w:pPr>
        <w:ind w:left="14925" w:hanging="1800"/>
      </w:pPr>
      <w:rPr>
        <w:rFonts w:hint="default"/>
      </w:rPr>
    </w:lvl>
    <w:lvl w:ilvl="8">
      <w:start w:val="1"/>
      <w:numFmt w:val="decimal"/>
      <w:lvlText w:val="%1.%2.%3.%4.%5.%6.%7.%8.%9"/>
      <w:lvlJc w:val="left"/>
      <w:pPr>
        <w:ind w:left="16800" w:hanging="1800"/>
      </w:pPr>
      <w:rPr>
        <w:rFonts w:hint="default"/>
      </w:rPr>
    </w:lvl>
  </w:abstractNum>
  <w:abstractNum w:abstractNumId="8">
    <w:nsid w:val="4CF50D67"/>
    <w:multiLevelType w:val="hybridMultilevel"/>
    <w:tmpl w:val="C966D4C4"/>
    <w:lvl w:ilvl="0" w:tplc="37B8E1CC">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9">
    <w:nsid w:val="59607BD3"/>
    <w:multiLevelType w:val="hybridMultilevel"/>
    <w:tmpl w:val="D3D66EFA"/>
    <w:lvl w:ilvl="0" w:tplc="FB405C28">
      <w:start w:val="1"/>
      <w:numFmt w:val="lowerLetter"/>
      <w:lvlText w:val="(%1)"/>
      <w:lvlJc w:val="left"/>
      <w:pPr>
        <w:ind w:left="2242" w:hanging="36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abstractNum w:abstractNumId="10">
    <w:nsid w:val="59AD1D2E"/>
    <w:multiLevelType w:val="hybridMultilevel"/>
    <w:tmpl w:val="D982CEFC"/>
    <w:lvl w:ilvl="0" w:tplc="CE08C4DC">
      <w:start w:val="1"/>
      <w:numFmt w:val="decimal"/>
      <w:lvlText w:val="%1."/>
      <w:lvlJc w:val="left"/>
      <w:pPr>
        <w:ind w:left="1875" w:hanging="102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1">
    <w:nsid w:val="72FA435D"/>
    <w:multiLevelType w:val="hybridMultilevel"/>
    <w:tmpl w:val="5CCC7F2E"/>
    <w:lvl w:ilvl="0" w:tplc="AFF0F7F0">
      <w:start w:val="1"/>
      <w:numFmt w:val="lowerLetter"/>
      <w:lvlText w:val="(%1)"/>
      <w:lvlJc w:val="left"/>
      <w:pPr>
        <w:ind w:left="3022" w:hanging="114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abstractNum w:abstractNumId="12">
    <w:nsid w:val="7A3F0572"/>
    <w:multiLevelType w:val="multilevel"/>
    <w:tmpl w:val="0EDECADA"/>
    <w:lvl w:ilvl="0">
      <w:start w:val="1"/>
      <w:numFmt w:val="decimal"/>
      <w:lvlText w:val="%1"/>
      <w:lvlJc w:val="left"/>
      <w:pPr>
        <w:ind w:left="1140" w:hanging="1140"/>
      </w:pPr>
      <w:rPr>
        <w:rFonts w:hint="default"/>
      </w:rPr>
    </w:lvl>
    <w:lvl w:ilvl="1">
      <w:start w:val="1"/>
      <w:numFmt w:val="decimal"/>
      <w:lvlText w:val="%1.%2"/>
      <w:lvlJc w:val="left"/>
      <w:pPr>
        <w:ind w:left="3015" w:hanging="1140"/>
      </w:pPr>
      <w:rPr>
        <w:rFonts w:hint="default"/>
      </w:rPr>
    </w:lvl>
    <w:lvl w:ilvl="2">
      <w:start w:val="1"/>
      <w:numFmt w:val="decimal"/>
      <w:lvlText w:val="%1.%2.%3"/>
      <w:lvlJc w:val="left"/>
      <w:pPr>
        <w:ind w:left="4890" w:hanging="1140"/>
      </w:pPr>
      <w:rPr>
        <w:rFonts w:hint="default"/>
      </w:rPr>
    </w:lvl>
    <w:lvl w:ilvl="3">
      <w:start w:val="1"/>
      <w:numFmt w:val="decimal"/>
      <w:lvlText w:val="%1.%2.%3.%4"/>
      <w:lvlJc w:val="left"/>
      <w:pPr>
        <w:ind w:left="6765" w:hanging="1140"/>
      </w:pPr>
      <w:rPr>
        <w:rFonts w:hint="default"/>
      </w:rPr>
    </w:lvl>
    <w:lvl w:ilvl="4">
      <w:start w:val="1"/>
      <w:numFmt w:val="decimal"/>
      <w:lvlText w:val="%1.%2.%3.%4.%5"/>
      <w:lvlJc w:val="left"/>
      <w:pPr>
        <w:ind w:left="8640" w:hanging="1140"/>
      </w:pPr>
      <w:rPr>
        <w:rFonts w:hint="default"/>
      </w:rPr>
    </w:lvl>
    <w:lvl w:ilvl="5">
      <w:start w:val="1"/>
      <w:numFmt w:val="decimal"/>
      <w:lvlText w:val="%1.%2.%3.%4.%5.%6"/>
      <w:lvlJc w:val="left"/>
      <w:pPr>
        <w:ind w:left="10815" w:hanging="1440"/>
      </w:pPr>
      <w:rPr>
        <w:rFonts w:hint="default"/>
      </w:rPr>
    </w:lvl>
    <w:lvl w:ilvl="6">
      <w:start w:val="1"/>
      <w:numFmt w:val="decimal"/>
      <w:lvlText w:val="%1.%2.%3.%4.%5.%6.%7"/>
      <w:lvlJc w:val="left"/>
      <w:pPr>
        <w:ind w:left="12690" w:hanging="1440"/>
      </w:pPr>
      <w:rPr>
        <w:rFonts w:hint="default"/>
      </w:rPr>
    </w:lvl>
    <w:lvl w:ilvl="7">
      <w:start w:val="1"/>
      <w:numFmt w:val="decimal"/>
      <w:lvlText w:val="%1.%2.%3.%4.%5.%6.%7.%8"/>
      <w:lvlJc w:val="left"/>
      <w:pPr>
        <w:ind w:left="14925" w:hanging="1800"/>
      </w:pPr>
      <w:rPr>
        <w:rFonts w:hint="default"/>
      </w:rPr>
    </w:lvl>
    <w:lvl w:ilvl="8">
      <w:start w:val="1"/>
      <w:numFmt w:val="decimal"/>
      <w:lvlText w:val="%1.%2.%3.%4.%5.%6.%7.%8.%9"/>
      <w:lvlJc w:val="left"/>
      <w:pPr>
        <w:ind w:left="1680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num>
  <w:num w:numId="34">
    <w:abstractNumId w:val="5"/>
  </w:num>
  <w:num w:numId="35">
    <w:abstractNumId w:val="8"/>
  </w:num>
  <w:num w:numId="36">
    <w:abstractNumId w:val="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1"/>
  </w:num>
  <w:num w:numId="40">
    <w:abstractNumId w:val="2"/>
  </w:num>
  <w:num w:numId="41">
    <w:abstractNumId w:val="0"/>
  </w:num>
  <w:num w:numId="42">
    <w:abstractNumId w:val="7"/>
  </w:num>
  <w:num w:numId="43">
    <w:abstractNumId w:val="12"/>
  </w:num>
  <w:num w:numId="44">
    <w:abstractNumId w:val="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4"/>
    <w:rsid w:val="00000058"/>
    <w:rsid w:val="00006720"/>
    <w:rsid w:val="00013916"/>
    <w:rsid w:val="00013F13"/>
    <w:rsid w:val="00013F66"/>
    <w:rsid w:val="00016FCE"/>
    <w:rsid w:val="000206B9"/>
    <w:rsid w:val="00021572"/>
    <w:rsid w:val="000223E2"/>
    <w:rsid w:val="00024069"/>
    <w:rsid w:val="00024EC0"/>
    <w:rsid w:val="000269A0"/>
    <w:rsid w:val="000330AA"/>
    <w:rsid w:val="00033689"/>
    <w:rsid w:val="00035295"/>
    <w:rsid w:val="00035850"/>
    <w:rsid w:val="00036510"/>
    <w:rsid w:val="00040532"/>
    <w:rsid w:val="000449C9"/>
    <w:rsid w:val="00045C2A"/>
    <w:rsid w:val="000460FA"/>
    <w:rsid w:val="000463D4"/>
    <w:rsid w:val="0005193C"/>
    <w:rsid w:val="00056698"/>
    <w:rsid w:val="000600AD"/>
    <w:rsid w:val="00060B83"/>
    <w:rsid w:val="00062E02"/>
    <w:rsid w:val="00064ABB"/>
    <w:rsid w:val="00076A3C"/>
    <w:rsid w:val="000806A3"/>
    <w:rsid w:val="00081824"/>
    <w:rsid w:val="00090BBB"/>
    <w:rsid w:val="00096D51"/>
    <w:rsid w:val="000A3B02"/>
    <w:rsid w:val="000A4A93"/>
    <w:rsid w:val="000A5255"/>
    <w:rsid w:val="000A7277"/>
    <w:rsid w:val="000B0F7E"/>
    <w:rsid w:val="000B2270"/>
    <w:rsid w:val="000B57CF"/>
    <w:rsid w:val="000C3DC6"/>
    <w:rsid w:val="000C3E53"/>
    <w:rsid w:val="000C42FC"/>
    <w:rsid w:val="000C4BAD"/>
    <w:rsid w:val="000C6E46"/>
    <w:rsid w:val="000D17F5"/>
    <w:rsid w:val="000D45A1"/>
    <w:rsid w:val="000E201A"/>
    <w:rsid w:val="000E51FA"/>
    <w:rsid w:val="000E5E70"/>
    <w:rsid w:val="000E687A"/>
    <w:rsid w:val="000E7C01"/>
    <w:rsid w:val="000F04D0"/>
    <w:rsid w:val="000F0879"/>
    <w:rsid w:val="000F50B7"/>
    <w:rsid w:val="000F562D"/>
    <w:rsid w:val="000F6E3C"/>
    <w:rsid w:val="0010300F"/>
    <w:rsid w:val="0010379E"/>
    <w:rsid w:val="001073B8"/>
    <w:rsid w:val="00117066"/>
    <w:rsid w:val="0012080E"/>
    <w:rsid w:val="00120AEF"/>
    <w:rsid w:val="0012130E"/>
    <w:rsid w:val="0012684E"/>
    <w:rsid w:val="00127FB4"/>
    <w:rsid w:val="001348C7"/>
    <w:rsid w:val="0013761F"/>
    <w:rsid w:val="00141EEC"/>
    <w:rsid w:val="00142F93"/>
    <w:rsid w:val="00143DA0"/>
    <w:rsid w:val="001471ED"/>
    <w:rsid w:val="0014737C"/>
    <w:rsid w:val="00150259"/>
    <w:rsid w:val="00153383"/>
    <w:rsid w:val="0015742D"/>
    <w:rsid w:val="00161D1A"/>
    <w:rsid w:val="0016510E"/>
    <w:rsid w:val="00165DA8"/>
    <w:rsid w:val="001662A9"/>
    <w:rsid w:val="00167703"/>
    <w:rsid w:val="00171857"/>
    <w:rsid w:val="0017394F"/>
    <w:rsid w:val="001740EB"/>
    <w:rsid w:val="00176C16"/>
    <w:rsid w:val="0017730A"/>
    <w:rsid w:val="0018046C"/>
    <w:rsid w:val="00191E78"/>
    <w:rsid w:val="00193B63"/>
    <w:rsid w:val="00193BA1"/>
    <w:rsid w:val="00196B94"/>
    <w:rsid w:val="001B3350"/>
    <w:rsid w:val="001B3615"/>
    <w:rsid w:val="001B4598"/>
    <w:rsid w:val="001B4819"/>
    <w:rsid w:val="001B48CB"/>
    <w:rsid w:val="001C1534"/>
    <w:rsid w:val="001C4CC1"/>
    <w:rsid w:val="001D151A"/>
    <w:rsid w:val="001D5D9B"/>
    <w:rsid w:val="001E24C1"/>
    <w:rsid w:val="001E3056"/>
    <w:rsid w:val="001E48C8"/>
    <w:rsid w:val="001E5695"/>
    <w:rsid w:val="001E6155"/>
    <w:rsid w:val="0020226C"/>
    <w:rsid w:val="00204CA6"/>
    <w:rsid w:val="00206B44"/>
    <w:rsid w:val="00207BCE"/>
    <w:rsid w:val="00210EF6"/>
    <w:rsid w:val="00211229"/>
    <w:rsid w:val="00212F35"/>
    <w:rsid w:val="00213776"/>
    <w:rsid w:val="002167A8"/>
    <w:rsid w:val="00220088"/>
    <w:rsid w:val="002231BF"/>
    <w:rsid w:val="002238E5"/>
    <w:rsid w:val="00233C3C"/>
    <w:rsid w:val="00233C6D"/>
    <w:rsid w:val="002369F2"/>
    <w:rsid w:val="00244807"/>
    <w:rsid w:val="00245902"/>
    <w:rsid w:val="00247B19"/>
    <w:rsid w:val="0025399F"/>
    <w:rsid w:val="00272D1E"/>
    <w:rsid w:val="002754D8"/>
    <w:rsid w:val="002757F0"/>
    <w:rsid w:val="002800C5"/>
    <w:rsid w:val="00283838"/>
    <w:rsid w:val="00284394"/>
    <w:rsid w:val="00284C8A"/>
    <w:rsid w:val="002856E1"/>
    <w:rsid w:val="00285FB4"/>
    <w:rsid w:val="002912A7"/>
    <w:rsid w:val="00292568"/>
    <w:rsid w:val="002929B8"/>
    <w:rsid w:val="00294114"/>
    <w:rsid w:val="00294E30"/>
    <w:rsid w:val="002A19E4"/>
    <w:rsid w:val="002A1E37"/>
    <w:rsid w:val="002A2729"/>
    <w:rsid w:val="002A3918"/>
    <w:rsid w:val="002A554A"/>
    <w:rsid w:val="002C6134"/>
    <w:rsid w:val="002E082A"/>
    <w:rsid w:val="002E1EEC"/>
    <w:rsid w:val="002E703F"/>
    <w:rsid w:val="002F0615"/>
    <w:rsid w:val="002F30AA"/>
    <w:rsid w:val="002F39A3"/>
    <w:rsid w:val="00300F41"/>
    <w:rsid w:val="00310029"/>
    <w:rsid w:val="00311DAF"/>
    <w:rsid w:val="0031638A"/>
    <w:rsid w:val="00316597"/>
    <w:rsid w:val="003202ED"/>
    <w:rsid w:val="003204FF"/>
    <w:rsid w:val="00324245"/>
    <w:rsid w:val="003366C1"/>
    <w:rsid w:val="0033693B"/>
    <w:rsid w:val="00337192"/>
    <w:rsid w:val="00340B40"/>
    <w:rsid w:val="003414B0"/>
    <w:rsid w:val="003458D7"/>
    <w:rsid w:val="00345C84"/>
    <w:rsid w:val="003470FF"/>
    <w:rsid w:val="003504CE"/>
    <w:rsid w:val="00351515"/>
    <w:rsid w:val="00352048"/>
    <w:rsid w:val="003521B3"/>
    <w:rsid w:val="0035315B"/>
    <w:rsid w:val="00354DFA"/>
    <w:rsid w:val="00357F85"/>
    <w:rsid w:val="00365157"/>
    <w:rsid w:val="0037012A"/>
    <w:rsid w:val="0037230C"/>
    <w:rsid w:val="003724BA"/>
    <w:rsid w:val="00374A10"/>
    <w:rsid w:val="0038171B"/>
    <w:rsid w:val="00390FA1"/>
    <w:rsid w:val="00395E13"/>
    <w:rsid w:val="003969E9"/>
    <w:rsid w:val="003A1760"/>
    <w:rsid w:val="003A4CE2"/>
    <w:rsid w:val="003B13EC"/>
    <w:rsid w:val="003B1EC4"/>
    <w:rsid w:val="003B42D5"/>
    <w:rsid w:val="003C0382"/>
    <w:rsid w:val="003C2823"/>
    <w:rsid w:val="003C2889"/>
    <w:rsid w:val="003C3E35"/>
    <w:rsid w:val="003C6767"/>
    <w:rsid w:val="003C68E4"/>
    <w:rsid w:val="003C6B86"/>
    <w:rsid w:val="003C7511"/>
    <w:rsid w:val="003D0EF9"/>
    <w:rsid w:val="003D20CC"/>
    <w:rsid w:val="003D30FA"/>
    <w:rsid w:val="003D5E64"/>
    <w:rsid w:val="003E2E2E"/>
    <w:rsid w:val="003E3B3D"/>
    <w:rsid w:val="003E4735"/>
    <w:rsid w:val="003E5F9A"/>
    <w:rsid w:val="003E6F1C"/>
    <w:rsid w:val="003F1E6B"/>
    <w:rsid w:val="003F4D15"/>
    <w:rsid w:val="003F7203"/>
    <w:rsid w:val="004031B7"/>
    <w:rsid w:val="00407878"/>
    <w:rsid w:val="00407BBF"/>
    <w:rsid w:val="00410657"/>
    <w:rsid w:val="00415AE9"/>
    <w:rsid w:val="00417C15"/>
    <w:rsid w:val="00421296"/>
    <w:rsid w:val="00421F93"/>
    <w:rsid w:val="00424920"/>
    <w:rsid w:val="004253C5"/>
    <w:rsid w:val="00426B56"/>
    <w:rsid w:val="00427341"/>
    <w:rsid w:val="00430AE3"/>
    <w:rsid w:val="00430D78"/>
    <w:rsid w:val="004363DF"/>
    <w:rsid w:val="004447F3"/>
    <w:rsid w:val="00446DF2"/>
    <w:rsid w:val="0044753A"/>
    <w:rsid w:val="00447580"/>
    <w:rsid w:val="004521D0"/>
    <w:rsid w:val="00457F34"/>
    <w:rsid w:val="00463B1B"/>
    <w:rsid w:val="0046533B"/>
    <w:rsid w:val="00465FDC"/>
    <w:rsid w:val="00470040"/>
    <w:rsid w:val="00481C88"/>
    <w:rsid w:val="0048459E"/>
    <w:rsid w:val="004845DF"/>
    <w:rsid w:val="00484D33"/>
    <w:rsid w:val="00484FE7"/>
    <w:rsid w:val="0049082C"/>
    <w:rsid w:val="0049324B"/>
    <w:rsid w:val="00496A2E"/>
    <w:rsid w:val="004A12A6"/>
    <w:rsid w:val="004A12D0"/>
    <w:rsid w:val="004A2102"/>
    <w:rsid w:val="004A4B36"/>
    <w:rsid w:val="004B214D"/>
    <w:rsid w:val="004B544B"/>
    <w:rsid w:val="004C24E9"/>
    <w:rsid w:val="004D671B"/>
    <w:rsid w:val="004D6885"/>
    <w:rsid w:val="004D7EB1"/>
    <w:rsid w:val="004F18B2"/>
    <w:rsid w:val="004F2C82"/>
    <w:rsid w:val="00500CF6"/>
    <w:rsid w:val="00501216"/>
    <w:rsid w:val="00501614"/>
    <w:rsid w:val="00504A4D"/>
    <w:rsid w:val="00504C83"/>
    <w:rsid w:val="0050502F"/>
    <w:rsid w:val="00505AA1"/>
    <w:rsid w:val="00505F6E"/>
    <w:rsid w:val="00511FC0"/>
    <w:rsid w:val="0051663B"/>
    <w:rsid w:val="0052278C"/>
    <w:rsid w:val="005361BD"/>
    <w:rsid w:val="00542D61"/>
    <w:rsid w:val="00545B8F"/>
    <w:rsid w:val="00547233"/>
    <w:rsid w:val="00552DA5"/>
    <w:rsid w:val="005546A8"/>
    <w:rsid w:val="00554864"/>
    <w:rsid w:val="00555319"/>
    <w:rsid w:val="005601A9"/>
    <w:rsid w:val="005615A7"/>
    <w:rsid w:val="00561695"/>
    <w:rsid w:val="0056639C"/>
    <w:rsid w:val="00586DEC"/>
    <w:rsid w:val="00586E1D"/>
    <w:rsid w:val="005953BC"/>
    <w:rsid w:val="00597C6F"/>
    <w:rsid w:val="005A0D18"/>
    <w:rsid w:val="005A415D"/>
    <w:rsid w:val="005A5817"/>
    <w:rsid w:val="005A6491"/>
    <w:rsid w:val="005A66C2"/>
    <w:rsid w:val="005A70BF"/>
    <w:rsid w:val="005B230A"/>
    <w:rsid w:val="005B3E15"/>
    <w:rsid w:val="005B6B8D"/>
    <w:rsid w:val="005C5F65"/>
    <w:rsid w:val="005C6062"/>
    <w:rsid w:val="005D08C4"/>
    <w:rsid w:val="005E22C9"/>
    <w:rsid w:val="005E4649"/>
    <w:rsid w:val="005E7DCC"/>
    <w:rsid w:val="005F3902"/>
    <w:rsid w:val="005F4A06"/>
    <w:rsid w:val="005F58FB"/>
    <w:rsid w:val="005F5D78"/>
    <w:rsid w:val="005F5DEF"/>
    <w:rsid w:val="00601150"/>
    <w:rsid w:val="00615156"/>
    <w:rsid w:val="0061578A"/>
    <w:rsid w:val="0061629E"/>
    <w:rsid w:val="006162C1"/>
    <w:rsid w:val="00616303"/>
    <w:rsid w:val="006211E1"/>
    <w:rsid w:val="006247CE"/>
    <w:rsid w:val="0062734B"/>
    <w:rsid w:val="00630EFF"/>
    <w:rsid w:val="00633CD8"/>
    <w:rsid w:val="00636673"/>
    <w:rsid w:val="00640BF2"/>
    <w:rsid w:val="00642B95"/>
    <w:rsid w:val="006435B6"/>
    <w:rsid w:val="00644462"/>
    <w:rsid w:val="006474D2"/>
    <w:rsid w:val="0065099B"/>
    <w:rsid w:val="00654EE3"/>
    <w:rsid w:val="006566CD"/>
    <w:rsid w:val="00660DC9"/>
    <w:rsid w:val="00662EF2"/>
    <w:rsid w:val="00664022"/>
    <w:rsid w:val="0067053A"/>
    <w:rsid w:val="006714D1"/>
    <w:rsid w:val="00677A91"/>
    <w:rsid w:val="00682D44"/>
    <w:rsid w:val="0068303E"/>
    <w:rsid w:val="00683DBE"/>
    <w:rsid w:val="00684176"/>
    <w:rsid w:val="006844B0"/>
    <w:rsid w:val="00690157"/>
    <w:rsid w:val="00690B26"/>
    <w:rsid w:val="006923FD"/>
    <w:rsid w:val="006A09E7"/>
    <w:rsid w:val="006A0B4E"/>
    <w:rsid w:val="006A2B3F"/>
    <w:rsid w:val="006A31BB"/>
    <w:rsid w:val="006A5E45"/>
    <w:rsid w:val="006A6B54"/>
    <w:rsid w:val="006B11CE"/>
    <w:rsid w:val="006B19F7"/>
    <w:rsid w:val="006B5704"/>
    <w:rsid w:val="006B5DAC"/>
    <w:rsid w:val="006B6D95"/>
    <w:rsid w:val="006C2652"/>
    <w:rsid w:val="006C53ED"/>
    <w:rsid w:val="006D02DC"/>
    <w:rsid w:val="006D03AA"/>
    <w:rsid w:val="006D0E5D"/>
    <w:rsid w:val="006D4E2B"/>
    <w:rsid w:val="006E34E4"/>
    <w:rsid w:val="006E3C40"/>
    <w:rsid w:val="006E42A9"/>
    <w:rsid w:val="006E5155"/>
    <w:rsid w:val="006E522B"/>
    <w:rsid w:val="006E557B"/>
    <w:rsid w:val="006E73B9"/>
    <w:rsid w:val="006E77C0"/>
    <w:rsid w:val="006F0B86"/>
    <w:rsid w:val="006F1EF6"/>
    <w:rsid w:val="006F7C73"/>
    <w:rsid w:val="00700CC4"/>
    <w:rsid w:val="00707CAF"/>
    <w:rsid w:val="00710FD9"/>
    <w:rsid w:val="00713C91"/>
    <w:rsid w:val="007154C1"/>
    <w:rsid w:val="00716A2D"/>
    <w:rsid w:val="0072246D"/>
    <w:rsid w:val="00723EE1"/>
    <w:rsid w:val="00724F3C"/>
    <w:rsid w:val="00733979"/>
    <w:rsid w:val="00733E99"/>
    <w:rsid w:val="00737855"/>
    <w:rsid w:val="00741025"/>
    <w:rsid w:val="007425AB"/>
    <w:rsid w:val="00756B54"/>
    <w:rsid w:val="00757DB9"/>
    <w:rsid w:val="00760FFF"/>
    <w:rsid w:val="007619B3"/>
    <w:rsid w:val="00763C6D"/>
    <w:rsid w:val="00771A66"/>
    <w:rsid w:val="0077321B"/>
    <w:rsid w:val="00774612"/>
    <w:rsid w:val="00776F15"/>
    <w:rsid w:val="007773AC"/>
    <w:rsid w:val="00785236"/>
    <w:rsid w:val="00787F6C"/>
    <w:rsid w:val="00792018"/>
    <w:rsid w:val="00796047"/>
    <w:rsid w:val="007A04FD"/>
    <w:rsid w:val="007A2ABB"/>
    <w:rsid w:val="007A3836"/>
    <w:rsid w:val="007A4FC5"/>
    <w:rsid w:val="007B2070"/>
    <w:rsid w:val="007B4E86"/>
    <w:rsid w:val="007B7744"/>
    <w:rsid w:val="007B7DE0"/>
    <w:rsid w:val="007B7E35"/>
    <w:rsid w:val="007C0237"/>
    <w:rsid w:val="007C3EBD"/>
    <w:rsid w:val="007C4EAB"/>
    <w:rsid w:val="007C6E1E"/>
    <w:rsid w:val="007C7824"/>
    <w:rsid w:val="007D03A3"/>
    <w:rsid w:val="007D459F"/>
    <w:rsid w:val="007D4A8A"/>
    <w:rsid w:val="007D63CE"/>
    <w:rsid w:val="007D7235"/>
    <w:rsid w:val="007E126A"/>
    <w:rsid w:val="007E1556"/>
    <w:rsid w:val="007F0F35"/>
    <w:rsid w:val="007F446F"/>
    <w:rsid w:val="007F5466"/>
    <w:rsid w:val="008051A7"/>
    <w:rsid w:val="00806985"/>
    <w:rsid w:val="008150D5"/>
    <w:rsid w:val="008255C7"/>
    <w:rsid w:val="00825EB5"/>
    <w:rsid w:val="00831AD2"/>
    <w:rsid w:val="008326F1"/>
    <w:rsid w:val="00833533"/>
    <w:rsid w:val="00833792"/>
    <w:rsid w:val="00844404"/>
    <w:rsid w:val="00844EA1"/>
    <w:rsid w:val="00846E44"/>
    <w:rsid w:val="008509BE"/>
    <w:rsid w:val="0085264E"/>
    <w:rsid w:val="00853F12"/>
    <w:rsid w:val="00853FC4"/>
    <w:rsid w:val="008555DE"/>
    <w:rsid w:val="00860B9E"/>
    <w:rsid w:val="0086223F"/>
    <w:rsid w:val="008624E2"/>
    <w:rsid w:val="0086270F"/>
    <w:rsid w:val="00863A38"/>
    <w:rsid w:val="00864519"/>
    <w:rsid w:val="008653CC"/>
    <w:rsid w:val="00867551"/>
    <w:rsid w:val="00867F57"/>
    <w:rsid w:val="008739CB"/>
    <w:rsid w:val="00873D0F"/>
    <w:rsid w:val="008770E9"/>
    <w:rsid w:val="0088113C"/>
    <w:rsid w:val="00881F23"/>
    <w:rsid w:val="00885048"/>
    <w:rsid w:val="00885F18"/>
    <w:rsid w:val="0089156D"/>
    <w:rsid w:val="008923E1"/>
    <w:rsid w:val="008924CA"/>
    <w:rsid w:val="00895C40"/>
    <w:rsid w:val="00897206"/>
    <w:rsid w:val="008A129D"/>
    <w:rsid w:val="008A1AC9"/>
    <w:rsid w:val="008A2E5B"/>
    <w:rsid w:val="008A6D05"/>
    <w:rsid w:val="008A78E7"/>
    <w:rsid w:val="008A7EC7"/>
    <w:rsid w:val="008B03DE"/>
    <w:rsid w:val="008B1DDB"/>
    <w:rsid w:val="008C0814"/>
    <w:rsid w:val="008C2196"/>
    <w:rsid w:val="008C4C23"/>
    <w:rsid w:val="008D0F9C"/>
    <w:rsid w:val="008D20D3"/>
    <w:rsid w:val="008D66A9"/>
    <w:rsid w:val="008E129B"/>
    <w:rsid w:val="008E407B"/>
    <w:rsid w:val="008F63B3"/>
    <w:rsid w:val="008F6C0F"/>
    <w:rsid w:val="00901789"/>
    <w:rsid w:val="00902987"/>
    <w:rsid w:val="0090528A"/>
    <w:rsid w:val="00907BBD"/>
    <w:rsid w:val="00912C24"/>
    <w:rsid w:val="00915EBA"/>
    <w:rsid w:val="0092135E"/>
    <w:rsid w:val="00922F8F"/>
    <w:rsid w:val="0092318D"/>
    <w:rsid w:val="00926FC3"/>
    <w:rsid w:val="00937FB2"/>
    <w:rsid w:val="00947A8C"/>
    <w:rsid w:val="0095600B"/>
    <w:rsid w:val="00964991"/>
    <w:rsid w:val="00964F05"/>
    <w:rsid w:val="00965FAA"/>
    <w:rsid w:val="009777C7"/>
    <w:rsid w:val="009804A8"/>
    <w:rsid w:val="009874C6"/>
    <w:rsid w:val="00992E21"/>
    <w:rsid w:val="00994CFE"/>
    <w:rsid w:val="009A0BD5"/>
    <w:rsid w:val="009A1259"/>
    <w:rsid w:val="009A4CDC"/>
    <w:rsid w:val="009B12AD"/>
    <w:rsid w:val="009B7BD3"/>
    <w:rsid w:val="009C256C"/>
    <w:rsid w:val="009D24C2"/>
    <w:rsid w:val="009D4549"/>
    <w:rsid w:val="009E00E3"/>
    <w:rsid w:val="009E2CB7"/>
    <w:rsid w:val="009E65C0"/>
    <w:rsid w:val="009F0396"/>
    <w:rsid w:val="009F0AC2"/>
    <w:rsid w:val="009F2F16"/>
    <w:rsid w:val="00A00585"/>
    <w:rsid w:val="00A03C6A"/>
    <w:rsid w:val="00A06F3D"/>
    <w:rsid w:val="00A10756"/>
    <w:rsid w:val="00A124D5"/>
    <w:rsid w:val="00A15DD5"/>
    <w:rsid w:val="00A1796E"/>
    <w:rsid w:val="00A27FA6"/>
    <w:rsid w:val="00A3251B"/>
    <w:rsid w:val="00A34D30"/>
    <w:rsid w:val="00A34EE3"/>
    <w:rsid w:val="00A35BB8"/>
    <w:rsid w:val="00A36EB9"/>
    <w:rsid w:val="00A4202C"/>
    <w:rsid w:val="00A42064"/>
    <w:rsid w:val="00A424AC"/>
    <w:rsid w:val="00A433AA"/>
    <w:rsid w:val="00A439B0"/>
    <w:rsid w:val="00A60DA6"/>
    <w:rsid w:val="00A629A8"/>
    <w:rsid w:val="00A7023E"/>
    <w:rsid w:val="00A70EDD"/>
    <w:rsid w:val="00A71CAA"/>
    <w:rsid w:val="00A802F7"/>
    <w:rsid w:val="00A80C25"/>
    <w:rsid w:val="00A80FBE"/>
    <w:rsid w:val="00A8182A"/>
    <w:rsid w:val="00A81DEE"/>
    <w:rsid w:val="00A91D4E"/>
    <w:rsid w:val="00A93999"/>
    <w:rsid w:val="00A96295"/>
    <w:rsid w:val="00A975C1"/>
    <w:rsid w:val="00AA14E7"/>
    <w:rsid w:val="00AA282F"/>
    <w:rsid w:val="00AB65AA"/>
    <w:rsid w:val="00AC04D2"/>
    <w:rsid w:val="00AC33C6"/>
    <w:rsid w:val="00AC3F61"/>
    <w:rsid w:val="00AC56D3"/>
    <w:rsid w:val="00AC743C"/>
    <w:rsid w:val="00AD2B7D"/>
    <w:rsid w:val="00AD2B8A"/>
    <w:rsid w:val="00AD780A"/>
    <w:rsid w:val="00AE4675"/>
    <w:rsid w:val="00AE546A"/>
    <w:rsid w:val="00AF0C2E"/>
    <w:rsid w:val="00AF1308"/>
    <w:rsid w:val="00AF2E72"/>
    <w:rsid w:val="00AF5EAC"/>
    <w:rsid w:val="00AF72EB"/>
    <w:rsid w:val="00B0132A"/>
    <w:rsid w:val="00B11B7B"/>
    <w:rsid w:val="00B158CB"/>
    <w:rsid w:val="00B17D38"/>
    <w:rsid w:val="00B21804"/>
    <w:rsid w:val="00B21985"/>
    <w:rsid w:val="00B236D8"/>
    <w:rsid w:val="00B453DC"/>
    <w:rsid w:val="00B63A10"/>
    <w:rsid w:val="00B663AB"/>
    <w:rsid w:val="00B66B19"/>
    <w:rsid w:val="00B76DE9"/>
    <w:rsid w:val="00B77395"/>
    <w:rsid w:val="00B77DE1"/>
    <w:rsid w:val="00B82DF7"/>
    <w:rsid w:val="00B83B75"/>
    <w:rsid w:val="00B93E5F"/>
    <w:rsid w:val="00B958BA"/>
    <w:rsid w:val="00B96E0E"/>
    <w:rsid w:val="00B97B71"/>
    <w:rsid w:val="00BB1870"/>
    <w:rsid w:val="00BB4FFF"/>
    <w:rsid w:val="00BE2224"/>
    <w:rsid w:val="00BE33E3"/>
    <w:rsid w:val="00BE788A"/>
    <w:rsid w:val="00BF06A5"/>
    <w:rsid w:val="00BF2BEC"/>
    <w:rsid w:val="00BF34C6"/>
    <w:rsid w:val="00C01FF9"/>
    <w:rsid w:val="00C0292E"/>
    <w:rsid w:val="00C04B0E"/>
    <w:rsid w:val="00C050C9"/>
    <w:rsid w:val="00C05564"/>
    <w:rsid w:val="00C14F08"/>
    <w:rsid w:val="00C17582"/>
    <w:rsid w:val="00C22F42"/>
    <w:rsid w:val="00C240DF"/>
    <w:rsid w:val="00C24A03"/>
    <w:rsid w:val="00C25A16"/>
    <w:rsid w:val="00C35AE6"/>
    <w:rsid w:val="00C35F34"/>
    <w:rsid w:val="00C55EC2"/>
    <w:rsid w:val="00C5712B"/>
    <w:rsid w:val="00C63194"/>
    <w:rsid w:val="00C63391"/>
    <w:rsid w:val="00C66445"/>
    <w:rsid w:val="00C74E36"/>
    <w:rsid w:val="00C76854"/>
    <w:rsid w:val="00C77169"/>
    <w:rsid w:val="00C77411"/>
    <w:rsid w:val="00C808A9"/>
    <w:rsid w:val="00C85248"/>
    <w:rsid w:val="00C855B4"/>
    <w:rsid w:val="00C860FB"/>
    <w:rsid w:val="00C8788C"/>
    <w:rsid w:val="00C906EC"/>
    <w:rsid w:val="00C956DF"/>
    <w:rsid w:val="00C96454"/>
    <w:rsid w:val="00CA268A"/>
    <w:rsid w:val="00CA4A2B"/>
    <w:rsid w:val="00CA78DD"/>
    <w:rsid w:val="00CB0D15"/>
    <w:rsid w:val="00CB20B2"/>
    <w:rsid w:val="00CB2503"/>
    <w:rsid w:val="00CB3AFB"/>
    <w:rsid w:val="00CB4DB9"/>
    <w:rsid w:val="00CB5D0D"/>
    <w:rsid w:val="00CC17D9"/>
    <w:rsid w:val="00CC5BF0"/>
    <w:rsid w:val="00CD50F3"/>
    <w:rsid w:val="00CD6D6A"/>
    <w:rsid w:val="00CE4A6C"/>
    <w:rsid w:val="00CE6950"/>
    <w:rsid w:val="00CF3964"/>
    <w:rsid w:val="00CF6A93"/>
    <w:rsid w:val="00CF7049"/>
    <w:rsid w:val="00CF7F6C"/>
    <w:rsid w:val="00D10CBB"/>
    <w:rsid w:val="00D127B9"/>
    <w:rsid w:val="00D134CE"/>
    <w:rsid w:val="00D1692F"/>
    <w:rsid w:val="00D22F94"/>
    <w:rsid w:val="00D267AC"/>
    <w:rsid w:val="00D31952"/>
    <w:rsid w:val="00D31B6A"/>
    <w:rsid w:val="00D3360D"/>
    <w:rsid w:val="00D3373C"/>
    <w:rsid w:val="00D34D64"/>
    <w:rsid w:val="00D36320"/>
    <w:rsid w:val="00D4019A"/>
    <w:rsid w:val="00D42865"/>
    <w:rsid w:val="00D43327"/>
    <w:rsid w:val="00D45541"/>
    <w:rsid w:val="00D478B5"/>
    <w:rsid w:val="00D52B3B"/>
    <w:rsid w:val="00D52E36"/>
    <w:rsid w:val="00D552FC"/>
    <w:rsid w:val="00D60D2D"/>
    <w:rsid w:val="00D65172"/>
    <w:rsid w:val="00D75DBC"/>
    <w:rsid w:val="00D842FD"/>
    <w:rsid w:val="00D905E4"/>
    <w:rsid w:val="00D90FD8"/>
    <w:rsid w:val="00D912C4"/>
    <w:rsid w:val="00D964BA"/>
    <w:rsid w:val="00D96639"/>
    <w:rsid w:val="00D97DE4"/>
    <w:rsid w:val="00DA332F"/>
    <w:rsid w:val="00DA3F1D"/>
    <w:rsid w:val="00DA4E0C"/>
    <w:rsid w:val="00DB0B8E"/>
    <w:rsid w:val="00DB1590"/>
    <w:rsid w:val="00DB42AA"/>
    <w:rsid w:val="00DB4489"/>
    <w:rsid w:val="00DB7D1C"/>
    <w:rsid w:val="00DC027A"/>
    <w:rsid w:val="00DC0AD9"/>
    <w:rsid w:val="00DD651B"/>
    <w:rsid w:val="00DE0AE6"/>
    <w:rsid w:val="00DE0B7B"/>
    <w:rsid w:val="00DE2520"/>
    <w:rsid w:val="00DE3255"/>
    <w:rsid w:val="00DE41F0"/>
    <w:rsid w:val="00DF1F5C"/>
    <w:rsid w:val="00DF4A7A"/>
    <w:rsid w:val="00DF4C8B"/>
    <w:rsid w:val="00DF5DA1"/>
    <w:rsid w:val="00E00E1B"/>
    <w:rsid w:val="00E00FDF"/>
    <w:rsid w:val="00E02B6E"/>
    <w:rsid w:val="00E02C94"/>
    <w:rsid w:val="00E05230"/>
    <w:rsid w:val="00E13867"/>
    <w:rsid w:val="00E13A1D"/>
    <w:rsid w:val="00E156EB"/>
    <w:rsid w:val="00E23510"/>
    <w:rsid w:val="00E25969"/>
    <w:rsid w:val="00E26023"/>
    <w:rsid w:val="00E303AF"/>
    <w:rsid w:val="00E34CF6"/>
    <w:rsid w:val="00E36B92"/>
    <w:rsid w:val="00E37DD8"/>
    <w:rsid w:val="00E50CC7"/>
    <w:rsid w:val="00E51266"/>
    <w:rsid w:val="00E51A50"/>
    <w:rsid w:val="00E53D8B"/>
    <w:rsid w:val="00E54DAA"/>
    <w:rsid w:val="00E55495"/>
    <w:rsid w:val="00E558C3"/>
    <w:rsid w:val="00E56ABB"/>
    <w:rsid w:val="00E63CD1"/>
    <w:rsid w:val="00E75408"/>
    <w:rsid w:val="00E77851"/>
    <w:rsid w:val="00E81456"/>
    <w:rsid w:val="00E82176"/>
    <w:rsid w:val="00E858B8"/>
    <w:rsid w:val="00E877EE"/>
    <w:rsid w:val="00E87D02"/>
    <w:rsid w:val="00E91505"/>
    <w:rsid w:val="00E927E5"/>
    <w:rsid w:val="00E928E8"/>
    <w:rsid w:val="00E940B8"/>
    <w:rsid w:val="00E94884"/>
    <w:rsid w:val="00EA240C"/>
    <w:rsid w:val="00EA4FA7"/>
    <w:rsid w:val="00EA5BC8"/>
    <w:rsid w:val="00EA6B5D"/>
    <w:rsid w:val="00EA6CD4"/>
    <w:rsid w:val="00EA788F"/>
    <w:rsid w:val="00EB1D67"/>
    <w:rsid w:val="00EB6F17"/>
    <w:rsid w:val="00EC653B"/>
    <w:rsid w:val="00ED2946"/>
    <w:rsid w:val="00EE1978"/>
    <w:rsid w:val="00EE1F1C"/>
    <w:rsid w:val="00EF2ED0"/>
    <w:rsid w:val="00EF2F5C"/>
    <w:rsid w:val="00EF45EB"/>
    <w:rsid w:val="00EF5857"/>
    <w:rsid w:val="00F033F2"/>
    <w:rsid w:val="00F04A6E"/>
    <w:rsid w:val="00F0722B"/>
    <w:rsid w:val="00F07E82"/>
    <w:rsid w:val="00F11A88"/>
    <w:rsid w:val="00F15C35"/>
    <w:rsid w:val="00F26D06"/>
    <w:rsid w:val="00F334D0"/>
    <w:rsid w:val="00F44665"/>
    <w:rsid w:val="00F44D75"/>
    <w:rsid w:val="00F554DB"/>
    <w:rsid w:val="00F606EA"/>
    <w:rsid w:val="00F67FE3"/>
    <w:rsid w:val="00F851FE"/>
    <w:rsid w:val="00F95C27"/>
    <w:rsid w:val="00F97B1F"/>
    <w:rsid w:val="00FA0C06"/>
    <w:rsid w:val="00FA13A5"/>
    <w:rsid w:val="00FA5336"/>
    <w:rsid w:val="00FB12E7"/>
    <w:rsid w:val="00FB42CF"/>
    <w:rsid w:val="00FB60F0"/>
    <w:rsid w:val="00FC4520"/>
    <w:rsid w:val="00FC48B7"/>
    <w:rsid w:val="00FC50BF"/>
    <w:rsid w:val="00FC52B8"/>
    <w:rsid w:val="00FD4554"/>
    <w:rsid w:val="00FD4C4B"/>
    <w:rsid w:val="00FE38D9"/>
    <w:rsid w:val="00FE5C07"/>
    <w:rsid w:val="00FE6896"/>
    <w:rsid w:val="00FF0F2C"/>
    <w:rsid w:val="00FF7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8E151"/>
  <w15:docId w15:val="{701E7EC1-DF64-4706-BE7B-9078935B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6B"/>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pPr>
    <w:rPr>
      <w:rFonts w:ascii="Arial" w:hAnsi="Arial"/>
      <w:kern w:val="25"/>
      <w:sz w:val="24"/>
      <w:lang w:eastAsia="en-US"/>
    </w:rPr>
  </w:style>
  <w:style w:type="paragraph" w:styleId="Heading1">
    <w:name w:val="heading 1"/>
    <w:qFormat/>
    <w:rsid w:val="00545B8F"/>
    <w:pPr>
      <w:widowControl w:val="0"/>
      <w:numPr>
        <w:numId w:val="33"/>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pPr>
    <w:rPr>
      <w:rFonts w:ascii="Arial" w:hAnsi="Arial"/>
      <w:kern w:val="25"/>
      <w:sz w:val="24"/>
      <w:lang w:eastAsia="en-US"/>
    </w:rPr>
  </w:style>
  <w:style w:type="paragraph" w:styleId="Heading2">
    <w:name w:val="heading 2"/>
    <w:basedOn w:val="Heading1"/>
    <w:qFormat/>
    <w:rsid w:val="00D905E4"/>
    <w:pPr>
      <w:numPr>
        <w:ilvl w:val="1"/>
      </w:numPr>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character" w:styleId="Hyperlink">
    <w:name w:val="Hyperlink"/>
    <w:basedOn w:val="DefaultParagraphFont"/>
    <w:unhideWhenUsed/>
    <w:rsid w:val="00CB4DB9"/>
    <w:rPr>
      <w:color w:val="0563C1" w:themeColor="hyperlink"/>
      <w:u w:val="single"/>
    </w:rPr>
  </w:style>
  <w:style w:type="character" w:customStyle="1" w:styleId="UnresolvedMention">
    <w:name w:val="Unresolved Mention"/>
    <w:basedOn w:val="DefaultParagraphFont"/>
    <w:uiPriority w:val="99"/>
    <w:semiHidden/>
    <w:unhideWhenUsed/>
    <w:rsid w:val="00CB4DB9"/>
    <w:rPr>
      <w:color w:val="605E5C"/>
      <w:shd w:val="clear" w:color="auto" w:fill="E1DFDD"/>
    </w:rPr>
  </w:style>
  <w:style w:type="paragraph" w:customStyle="1" w:styleId="lrquote">
    <w:name w:val="lrquote"/>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paragraph" w:customStyle="1" w:styleId="lrquoteindt1hang">
    <w:name w:val="lrquoteindt1hang"/>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mc">
    <w:name w:val="mc"/>
    <w:basedOn w:val="DefaultParagraphFont"/>
    <w:rsid w:val="00D65172"/>
  </w:style>
  <w:style w:type="paragraph" w:customStyle="1" w:styleId="lrpara">
    <w:name w:val="lrpara"/>
    <w:basedOn w:val="Normal"/>
    <w:rsid w:val="00D9663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footnoteanchor">
    <w:name w:val="footnoteanchor"/>
    <w:basedOn w:val="DefaultParagraphFont"/>
    <w:rsid w:val="00D96639"/>
  </w:style>
  <w:style w:type="paragraph" w:customStyle="1" w:styleId="LegalAnnexure">
    <w:name w:val="Legal_Annexure"/>
    <w:basedOn w:val="LegalNormal"/>
    <w:next w:val="LegalNormal"/>
    <w:semiHidden/>
    <w:rsid w:val="00633CD8"/>
    <w:pPr>
      <w:keepNext/>
      <w:jc w:val="right"/>
    </w:pPr>
    <w:rPr>
      <w:b/>
      <w:caps/>
    </w:rPr>
  </w:style>
  <w:style w:type="paragraph" w:customStyle="1" w:styleId="LegalTitle">
    <w:name w:val="Legal_Title"/>
    <w:basedOn w:val="LegalNormal"/>
    <w:next w:val="LegalNormal"/>
    <w:semiHidden/>
    <w:rsid w:val="00633CD8"/>
    <w:pPr>
      <w:keepNext/>
      <w:jc w:val="center"/>
    </w:pPr>
    <w:rPr>
      <w:b/>
      <w:caps/>
    </w:rPr>
  </w:style>
  <w:style w:type="paragraph" w:customStyle="1" w:styleId="LegalTramLines">
    <w:name w:val="Legal_TramLines"/>
    <w:basedOn w:val="LegalNormal"/>
    <w:next w:val="LegalNormal"/>
    <w:semiHidden/>
    <w:rsid w:val="00633CD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633CD8"/>
    <w:pPr>
      <w:tabs>
        <w:tab w:val="right" w:pos="8789"/>
      </w:tabs>
    </w:pPr>
  </w:style>
  <w:style w:type="paragraph" w:customStyle="1" w:styleId="LegalNormal">
    <w:name w:val="Legal_Normal"/>
    <w:basedOn w:val="Normal"/>
    <w:rsid w:val="00633CD8"/>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uppressAutoHyphens/>
      <w:spacing w:after="360" w:line="480" w:lineRule="auto"/>
    </w:pPr>
    <w:rPr>
      <w:kern w:val="0"/>
      <w:szCs w:val="24"/>
      <w:lang w:val="en-GB" w:eastAsia="en-GB"/>
    </w:rPr>
  </w:style>
  <w:style w:type="character" w:customStyle="1" w:styleId="HeaderChar">
    <w:name w:val="Header Char"/>
    <w:basedOn w:val="DefaultParagraphFont"/>
    <w:link w:val="Header"/>
    <w:uiPriority w:val="99"/>
    <w:rsid w:val="00CF7049"/>
    <w:rPr>
      <w:rFonts w:ascii="Arial" w:hAnsi="Arial"/>
      <w:sz w:val="25"/>
      <w:lang w:eastAsia="en-US"/>
    </w:rPr>
  </w:style>
  <w:style w:type="paragraph" w:styleId="ListParagraph">
    <w:name w:val="List Paragraph"/>
    <w:basedOn w:val="Normal"/>
    <w:uiPriority w:val="34"/>
    <w:qFormat/>
    <w:rsid w:val="003C6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5137">
      <w:bodyDiv w:val="1"/>
      <w:marLeft w:val="0"/>
      <w:marRight w:val="0"/>
      <w:marTop w:val="0"/>
      <w:marBottom w:val="0"/>
      <w:divBdr>
        <w:top w:val="none" w:sz="0" w:space="0" w:color="auto"/>
        <w:left w:val="none" w:sz="0" w:space="0" w:color="auto"/>
        <w:bottom w:val="none" w:sz="0" w:space="0" w:color="auto"/>
        <w:right w:val="none" w:sz="0" w:space="0" w:color="auto"/>
      </w:divBdr>
    </w:div>
    <w:div w:id="664436645">
      <w:bodyDiv w:val="1"/>
      <w:marLeft w:val="0"/>
      <w:marRight w:val="0"/>
      <w:marTop w:val="0"/>
      <w:marBottom w:val="0"/>
      <w:divBdr>
        <w:top w:val="none" w:sz="0" w:space="0" w:color="auto"/>
        <w:left w:val="none" w:sz="0" w:space="0" w:color="auto"/>
        <w:bottom w:val="none" w:sz="0" w:space="0" w:color="auto"/>
        <w:right w:val="none" w:sz="0" w:space="0" w:color="auto"/>
      </w:divBdr>
    </w:div>
    <w:div w:id="668408092">
      <w:bodyDiv w:val="1"/>
      <w:marLeft w:val="0"/>
      <w:marRight w:val="0"/>
      <w:marTop w:val="0"/>
      <w:marBottom w:val="0"/>
      <w:divBdr>
        <w:top w:val="none" w:sz="0" w:space="0" w:color="auto"/>
        <w:left w:val="none" w:sz="0" w:space="0" w:color="auto"/>
        <w:bottom w:val="none" w:sz="0" w:space="0" w:color="auto"/>
        <w:right w:val="none" w:sz="0" w:space="0" w:color="auto"/>
      </w:divBdr>
    </w:div>
    <w:div w:id="710492503">
      <w:bodyDiv w:val="1"/>
      <w:marLeft w:val="0"/>
      <w:marRight w:val="0"/>
      <w:marTop w:val="0"/>
      <w:marBottom w:val="0"/>
      <w:divBdr>
        <w:top w:val="none" w:sz="0" w:space="0" w:color="auto"/>
        <w:left w:val="none" w:sz="0" w:space="0" w:color="auto"/>
        <w:bottom w:val="none" w:sz="0" w:space="0" w:color="auto"/>
        <w:right w:val="none" w:sz="0" w:space="0" w:color="auto"/>
      </w:divBdr>
    </w:div>
    <w:div w:id="714040656">
      <w:bodyDiv w:val="1"/>
      <w:marLeft w:val="0"/>
      <w:marRight w:val="0"/>
      <w:marTop w:val="0"/>
      <w:marBottom w:val="0"/>
      <w:divBdr>
        <w:top w:val="none" w:sz="0" w:space="0" w:color="auto"/>
        <w:left w:val="none" w:sz="0" w:space="0" w:color="auto"/>
        <w:bottom w:val="none" w:sz="0" w:space="0" w:color="auto"/>
        <w:right w:val="none" w:sz="0" w:space="0" w:color="auto"/>
      </w:divBdr>
    </w:div>
    <w:div w:id="801846258">
      <w:bodyDiv w:val="1"/>
      <w:marLeft w:val="0"/>
      <w:marRight w:val="0"/>
      <w:marTop w:val="0"/>
      <w:marBottom w:val="0"/>
      <w:divBdr>
        <w:top w:val="none" w:sz="0" w:space="0" w:color="auto"/>
        <w:left w:val="none" w:sz="0" w:space="0" w:color="auto"/>
        <w:bottom w:val="none" w:sz="0" w:space="0" w:color="auto"/>
        <w:right w:val="none" w:sz="0" w:space="0" w:color="auto"/>
      </w:divBdr>
    </w:div>
    <w:div w:id="822309839">
      <w:bodyDiv w:val="1"/>
      <w:marLeft w:val="0"/>
      <w:marRight w:val="0"/>
      <w:marTop w:val="0"/>
      <w:marBottom w:val="0"/>
      <w:divBdr>
        <w:top w:val="none" w:sz="0" w:space="0" w:color="auto"/>
        <w:left w:val="none" w:sz="0" w:space="0" w:color="auto"/>
        <w:bottom w:val="none" w:sz="0" w:space="0" w:color="auto"/>
        <w:right w:val="none" w:sz="0" w:space="0" w:color="auto"/>
      </w:divBdr>
      <w:divsChild>
        <w:div w:id="717097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927801">
      <w:bodyDiv w:val="1"/>
      <w:marLeft w:val="0"/>
      <w:marRight w:val="0"/>
      <w:marTop w:val="0"/>
      <w:marBottom w:val="0"/>
      <w:divBdr>
        <w:top w:val="none" w:sz="0" w:space="0" w:color="auto"/>
        <w:left w:val="none" w:sz="0" w:space="0" w:color="auto"/>
        <w:bottom w:val="none" w:sz="0" w:space="0" w:color="auto"/>
        <w:right w:val="none" w:sz="0" w:space="0" w:color="auto"/>
      </w:divBdr>
    </w:div>
    <w:div w:id="1175460938">
      <w:bodyDiv w:val="1"/>
      <w:marLeft w:val="0"/>
      <w:marRight w:val="0"/>
      <w:marTop w:val="0"/>
      <w:marBottom w:val="0"/>
      <w:divBdr>
        <w:top w:val="none" w:sz="0" w:space="0" w:color="auto"/>
        <w:left w:val="none" w:sz="0" w:space="0" w:color="auto"/>
        <w:bottom w:val="none" w:sz="0" w:space="0" w:color="auto"/>
        <w:right w:val="none" w:sz="0" w:space="0" w:color="auto"/>
      </w:divBdr>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409420992">
      <w:bodyDiv w:val="1"/>
      <w:marLeft w:val="0"/>
      <w:marRight w:val="0"/>
      <w:marTop w:val="0"/>
      <w:marBottom w:val="0"/>
      <w:divBdr>
        <w:top w:val="none" w:sz="0" w:space="0" w:color="auto"/>
        <w:left w:val="none" w:sz="0" w:space="0" w:color="auto"/>
        <w:bottom w:val="none" w:sz="0" w:space="0" w:color="auto"/>
        <w:right w:val="none" w:sz="0" w:space="0" w:color="auto"/>
      </w:divBdr>
    </w:div>
    <w:div w:id="1434083898">
      <w:bodyDiv w:val="1"/>
      <w:marLeft w:val="0"/>
      <w:marRight w:val="0"/>
      <w:marTop w:val="0"/>
      <w:marBottom w:val="0"/>
      <w:divBdr>
        <w:top w:val="none" w:sz="0" w:space="0" w:color="auto"/>
        <w:left w:val="none" w:sz="0" w:space="0" w:color="auto"/>
        <w:bottom w:val="none" w:sz="0" w:space="0" w:color="auto"/>
        <w:right w:val="none" w:sz="0" w:space="0" w:color="auto"/>
      </w:divBdr>
    </w:div>
    <w:div w:id="1444616439">
      <w:bodyDiv w:val="1"/>
      <w:marLeft w:val="0"/>
      <w:marRight w:val="0"/>
      <w:marTop w:val="0"/>
      <w:marBottom w:val="0"/>
      <w:divBdr>
        <w:top w:val="none" w:sz="0" w:space="0" w:color="auto"/>
        <w:left w:val="none" w:sz="0" w:space="0" w:color="auto"/>
        <w:bottom w:val="none" w:sz="0" w:space="0" w:color="auto"/>
        <w:right w:val="none" w:sz="0" w:space="0" w:color="auto"/>
      </w:divBdr>
    </w:div>
    <w:div w:id="1677222819">
      <w:bodyDiv w:val="1"/>
      <w:marLeft w:val="0"/>
      <w:marRight w:val="0"/>
      <w:marTop w:val="0"/>
      <w:marBottom w:val="0"/>
      <w:divBdr>
        <w:top w:val="none" w:sz="0" w:space="0" w:color="auto"/>
        <w:left w:val="none" w:sz="0" w:space="0" w:color="auto"/>
        <w:bottom w:val="none" w:sz="0" w:space="0" w:color="auto"/>
        <w:right w:val="none" w:sz="0" w:space="0" w:color="auto"/>
      </w:divBdr>
    </w:div>
    <w:div w:id="1883863398">
      <w:bodyDiv w:val="1"/>
      <w:marLeft w:val="0"/>
      <w:marRight w:val="0"/>
      <w:marTop w:val="0"/>
      <w:marBottom w:val="0"/>
      <w:divBdr>
        <w:top w:val="none" w:sz="0" w:space="0" w:color="auto"/>
        <w:left w:val="none" w:sz="0" w:space="0" w:color="auto"/>
        <w:bottom w:val="none" w:sz="0" w:space="0" w:color="auto"/>
        <w:right w:val="none" w:sz="0" w:space="0" w:color="auto"/>
      </w:divBdr>
    </w:div>
    <w:div w:id="2019042913">
      <w:bodyDiv w:val="1"/>
      <w:marLeft w:val="0"/>
      <w:marRight w:val="0"/>
      <w:marTop w:val="0"/>
      <w:marBottom w:val="0"/>
      <w:divBdr>
        <w:top w:val="none" w:sz="0" w:space="0" w:color="auto"/>
        <w:left w:val="none" w:sz="0" w:space="0" w:color="auto"/>
        <w:bottom w:val="none" w:sz="0" w:space="0" w:color="auto"/>
        <w:right w:val="none" w:sz="0" w:space="0" w:color="auto"/>
      </w:divBdr>
    </w:div>
    <w:div w:id="212168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hlakuk@gwinaattorneys.co.za"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ukazana@thulamelachambers.co.za%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ana@phattorneys.co.za%20%20%20%20%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o@wminc.co.za" TargetMode="External"/><Relationship Id="rId5" Type="http://schemas.openxmlformats.org/officeDocument/2006/relationships/webSettings" Target="webSettings.xml"/><Relationship Id="rId15" Type="http://schemas.openxmlformats.org/officeDocument/2006/relationships/hyperlink" Target="mailto:mabokelag@gwinaattorneys.co.za" TargetMode="External"/><Relationship Id="rId10" Type="http://schemas.openxmlformats.org/officeDocument/2006/relationships/hyperlink" Target="mailto:dominus.cvdm@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hyperlink" Target="mailto:mthembun@gwinaattorneys.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9CD68-9B30-41CF-AF93-F66EEC80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SGHC</Template>
  <TotalTime>2</TotalTime>
  <Pages>20</Pages>
  <Words>4633</Words>
  <Characters>26410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30982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VL</dc:creator>
  <cp:lastModifiedBy>Mokone</cp:lastModifiedBy>
  <cp:revision>3</cp:revision>
  <cp:lastPrinted>2021-08-27T15:58:00Z</cp:lastPrinted>
  <dcterms:created xsi:type="dcterms:W3CDTF">2023-10-18T10:03:00Z</dcterms:created>
  <dcterms:modified xsi:type="dcterms:W3CDTF">2023-10-18T10:06:00Z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f29926b415c78adf3aeb27d9b2fd47479c71e28d0100ab97d324c56b334ecb53</vt:lpwstr>
  </property>
</Properties>
</file>